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0F7D58" w14:textId="77777777" w:rsidR="00E15BFF" w:rsidRPr="00A45E22" w:rsidRDefault="00E15BFF">
      <w:pPr>
        <w:spacing w:line="240" w:lineRule="auto"/>
        <w:rPr>
          <w:rFonts w:ascii="Arial" w:hAnsi="Arial"/>
          <w:sz w:val="19"/>
        </w:rPr>
      </w:pPr>
      <w:bookmarkStart w:id="0" w:name="_GoBack"/>
      <w:bookmarkEnd w:id="0"/>
    </w:p>
    <w:p w14:paraId="400F7D59" w14:textId="77777777" w:rsidR="00E15BFF" w:rsidRPr="00A45E22" w:rsidRDefault="00E15BFF" w:rsidP="00E15BFF">
      <w:pPr>
        <w:pStyle w:val="ttCrest"/>
        <w:rPr>
          <w:sz w:val="19"/>
        </w:rPr>
      </w:pPr>
    </w:p>
    <w:p w14:paraId="400F7D5A" w14:textId="77777777" w:rsidR="00E15BFF" w:rsidRPr="00A45E22" w:rsidRDefault="00E15BFF" w:rsidP="00E15BFF">
      <w:pPr>
        <w:pStyle w:val="ttCrest"/>
        <w:rPr>
          <w:sz w:val="19"/>
        </w:rPr>
      </w:pPr>
      <w:r w:rsidRPr="00A45E22">
        <w:rPr>
          <w:noProof/>
          <w:lang w:eastAsia="en-AU"/>
        </w:rPr>
        <w:drawing>
          <wp:inline distT="0" distB="0" distL="0" distR="0" wp14:anchorId="400F7FF7" wp14:editId="400F7FF8">
            <wp:extent cx="1500505" cy="1100455"/>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0505" cy="1100455"/>
                    </a:xfrm>
                    <a:prstGeom prst="rect">
                      <a:avLst/>
                    </a:prstGeom>
                    <a:noFill/>
                    <a:ln>
                      <a:noFill/>
                    </a:ln>
                  </pic:spPr>
                </pic:pic>
              </a:graphicData>
            </a:graphic>
          </wp:inline>
        </w:drawing>
      </w:r>
    </w:p>
    <w:p w14:paraId="400F7D5B" w14:textId="77777777" w:rsidR="00E15BFF" w:rsidRDefault="00E15BFF" w:rsidP="00E15BFF">
      <w:pPr>
        <w:pStyle w:val="ShortT"/>
      </w:pPr>
      <w:r w:rsidRPr="00A45E22">
        <w:t>Supplement to the Carbon Credits (Carbon Farming Initiative—Animal Effluent Management</w:t>
      </w:r>
      <w:r w:rsidR="00F20EC9" w:rsidRPr="00A45E22">
        <w:t>) Methodology Determination 2019</w:t>
      </w:r>
    </w:p>
    <w:p w14:paraId="400F7D5C" w14:textId="77777777" w:rsidR="001F3358" w:rsidRDefault="001F3358" w:rsidP="001F3358">
      <w:pPr>
        <w:rPr>
          <w:lang w:eastAsia="en-AU"/>
        </w:rPr>
      </w:pPr>
    </w:p>
    <w:p w14:paraId="400F7D5D" w14:textId="77777777" w:rsidR="001F3358" w:rsidRDefault="001F3358" w:rsidP="001F3358">
      <w:pPr>
        <w:rPr>
          <w:lang w:eastAsia="en-AU"/>
        </w:rPr>
      </w:pPr>
    </w:p>
    <w:p w14:paraId="400F7D5E" w14:textId="77777777" w:rsidR="00A97CA4" w:rsidRDefault="00A97CA4" w:rsidP="001F3358">
      <w:pPr>
        <w:rPr>
          <w:lang w:eastAsia="en-AU"/>
        </w:rPr>
      </w:pPr>
    </w:p>
    <w:p w14:paraId="400F7D5F" w14:textId="77777777" w:rsidR="00E15BFF" w:rsidRPr="00A45E22" w:rsidRDefault="00E15BFF" w:rsidP="00E15BFF"/>
    <w:p w14:paraId="400F7D60" w14:textId="77777777" w:rsidR="00A97CA4" w:rsidRDefault="00A97CA4" w:rsidP="00E15BFF">
      <w:pPr>
        <w:rPr>
          <w:i/>
        </w:rPr>
      </w:pPr>
    </w:p>
    <w:p w14:paraId="400F7D61" w14:textId="77777777" w:rsidR="00A97CA4" w:rsidRDefault="00A97CA4" w:rsidP="00E15BFF">
      <w:pPr>
        <w:rPr>
          <w:i/>
        </w:rPr>
      </w:pPr>
    </w:p>
    <w:p w14:paraId="400F7D62" w14:textId="77777777" w:rsidR="00A97CA4" w:rsidRDefault="00A97CA4" w:rsidP="00E15BFF">
      <w:pPr>
        <w:rPr>
          <w:i/>
        </w:rPr>
      </w:pPr>
    </w:p>
    <w:p w14:paraId="400F7D63" w14:textId="77777777" w:rsidR="00A97CA4" w:rsidRDefault="00A97CA4" w:rsidP="00E15BFF">
      <w:pPr>
        <w:rPr>
          <w:i/>
        </w:rPr>
      </w:pPr>
    </w:p>
    <w:p w14:paraId="400F7D64" w14:textId="77777777" w:rsidR="00A97CA4" w:rsidRDefault="00A97CA4" w:rsidP="00E15BFF">
      <w:pPr>
        <w:rPr>
          <w:i/>
        </w:rPr>
      </w:pPr>
    </w:p>
    <w:p w14:paraId="400F7D65" w14:textId="77777777" w:rsidR="00A97CA4" w:rsidRDefault="00A97CA4" w:rsidP="00E15BFF">
      <w:pPr>
        <w:rPr>
          <w:i/>
        </w:rPr>
      </w:pPr>
    </w:p>
    <w:p w14:paraId="400F7D66" w14:textId="77777777" w:rsidR="00A97CA4" w:rsidRDefault="00A97CA4" w:rsidP="00E15BFF">
      <w:pPr>
        <w:rPr>
          <w:i/>
        </w:rPr>
      </w:pPr>
    </w:p>
    <w:p w14:paraId="400F7D67" w14:textId="77777777" w:rsidR="00A97CA4" w:rsidRDefault="00A97CA4" w:rsidP="00E15BFF">
      <w:pPr>
        <w:rPr>
          <w:i/>
        </w:rPr>
      </w:pPr>
    </w:p>
    <w:p w14:paraId="400F7D68" w14:textId="77777777" w:rsidR="00A97CA4" w:rsidRDefault="00A97CA4" w:rsidP="00E15BFF">
      <w:pPr>
        <w:rPr>
          <w:i/>
        </w:rPr>
      </w:pPr>
    </w:p>
    <w:p w14:paraId="400F7D69" w14:textId="77777777" w:rsidR="00A97CA4" w:rsidRDefault="00A97CA4" w:rsidP="00E15BFF">
      <w:pPr>
        <w:rPr>
          <w:i/>
        </w:rPr>
      </w:pPr>
    </w:p>
    <w:p w14:paraId="400F7D6A" w14:textId="77777777" w:rsidR="00A97CA4" w:rsidRDefault="00A97CA4" w:rsidP="00E15BFF">
      <w:pPr>
        <w:rPr>
          <w:i/>
        </w:rPr>
      </w:pPr>
    </w:p>
    <w:p w14:paraId="400F7D6B" w14:textId="77777777" w:rsidR="00A97CA4" w:rsidRDefault="00A97CA4" w:rsidP="00E15BFF">
      <w:pPr>
        <w:rPr>
          <w:i/>
        </w:rPr>
      </w:pPr>
    </w:p>
    <w:p w14:paraId="400F7D6C" w14:textId="77777777" w:rsidR="00A97CA4" w:rsidRDefault="00A97CA4" w:rsidP="00E15BFF">
      <w:pPr>
        <w:rPr>
          <w:i/>
        </w:rPr>
      </w:pPr>
    </w:p>
    <w:p w14:paraId="400F7D6D" w14:textId="77777777" w:rsidR="00A97CA4" w:rsidRDefault="00A97CA4" w:rsidP="00E15BFF">
      <w:pPr>
        <w:rPr>
          <w:i/>
        </w:rPr>
      </w:pPr>
    </w:p>
    <w:p w14:paraId="400F7D6E" w14:textId="77777777" w:rsidR="00C73974" w:rsidRDefault="00C73974" w:rsidP="00E15BFF">
      <w:pPr>
        <w:rPr>
          <w:i/>
        </w:rPr>
      </w:pPr>
    </w:p>
    <w:p w14:paraId="400F7D6F" w14:textId="77777777" w:rsidR="00C73974" w:rsidRDefault="00C73974" w:rsidP="00E15BFF">
      <w:pPr>
        <w:rPr>
          <w:i/>
        </w:rPr>
      </w:pPr>
    </w:p>
    <w:p w14:paraId="400F7D70" w14:textId="77777777" w:rsidR="00C73974" w:rsidRDefault="00C73974" w:rsidP="00E15BFF">
      <w:pPr>
        <w:rPr>
          <w:i/>
        </w:rPr>
      </w:pPr>
    </w:p>
    <w:p w14:paraId="400F7D71" w14:textId="77777777" w:rsidR="00C73974" w:rsidRDefault="00C73974" w:rsidP="00E15BFF">
      <w:pPr>
        <w:rPr>
          <w:i/>
        </w:rPr>
      </w:pPr>
    </w:p>
    <w:p w14:paraId="400F7D72" w14:textId="77777777" w:rsidR="00C73974" w:rsidRDefault="00C73974" w:rsidP="00E15BFF">
      <w:pPr>
        <w:rPr>
          <w:i/>
        </w:rPr>
      </w:pPr>
    </w:p>
    <w:p w14:paraId="400F7D73" w14:textId="77777777" w:rsidR="00C73974" w:rsidRDefault="00C73974" w:rsidP="00E15BFF">
      <w:pPr>
        <w:rPr>
          <w:i/>
        </w:rPr>
      </w:pPr>
    </w:p>
    <w:p w14:paraId="400F7D74" w14:textId="77777777" w:rsidR="00C73974" w:rsidRDefault="00C73974" w:rsidP="00E15BFF">
      <w:pPr>
        <w:rPr>
          <w:i/>
        </w:rPr>
      </w:pPr>
    </w:p>
    <w:p w14:paraId="400F7D75" w14:textId="77777777" w:rsidR="00C73974" w:rsidRDefault="00C73974" w:rsidP="00E15BFF">
      <w:pPr>
        <w:rPr>
          <w:i/>
        </w:rPr>
      </w:pPr>
    </w:p>
    <w:p w14:paraId="400F7D76" w14:textId="77777777" w:rsidR="00A97CA4" w:rsidRDefault="00A97CA4" w:rsidP="00E15BFF">
      <w:pPr>
        <w:rPr>
          <w:i/>
        </w:rPr>
      </w:pPr>
    </w:p>
    <w:p w14:paraId="400F7D7B" w14:textId="77777777" w:rsidR="0019787C" w:rsidRPr="00A45E22" w:rsidRDefault="0019787C" w:rsidP="00E15BFF"/>
    <w:p w14:paraId="400F7D7C" w14:textId="77777777" w:rsidR="00E15BFF" w:rsidRPr="00A45E22" w:rsidRDefault="00E15BFF" w:rsidP="00E15BFF">
      <w:pPr>
        <w:pStyle w:val="Header"/>
        <w:tabs>
          <w:tab w:val="left" w:pos="720"/>
        </w:tabs>
      </w:pPr>
      <w:r w:rsidRPr="00A45E22">
        <w:rPr>
          <w:rStyle w:val="CharChapNo"/>
        </w:rPr>
        <w:t xml:space="preserve"> </w:t>
      </w:r>
      <w:r w:rsidRPr="00A45E22">
        <w:rPr>
          <w:rStyle w:val="CharChapText"/>
        </w:rPr>
        <w:t xml:space="preserve"> </w:t>
      </w:r>
    </w:p>
    <w:p w14:paraId="400F7D7D" w14:textId="77777777" w:rsidR="0019787C" w:rsidRPr="00A45E22" w:rsidRDefault="0019787C" w:rsidP="00A97CA4">
      <w:pPr>
        <w:spacing w:line="240" w:lineRule="auto"/>
        <w:rPr>
          <w:sz w:val="36"/>
        </w:rPr>
      </w:pPr>
      <w:r w:rsidRPr="00A45E22">
        <w:rPr>
          <w:sz w:val="36"/>
        </w:rPr>
        <w:br w:type="page"/>
      </w:r>
    </w:p>
    <w:p w14:paraId="400F7D7E" w14:textId="77777777" w:rsidR="00A97CA4" w:rsidRDefault="00A97CA4">
      <w:pPr>
        <w:spacing w:line="240" w:lineRule="auto"/>
        <w:rPr>
          <w:sz w:val="36"/>
        </w:rPr>
      </w:pPr>
    </w:p>
    <w:p w14:paraId="400F7D7F" w14:textId="77777777" w:rsidR="00A97CA4" w:rsidRDefault="00A97CA4">
      <w:pPr>
        <w:spacing w:line="240" w:lineRule="auto"/>
        <w:rPr>
          <w:sz w:val="36"/>
        </w:rPr>
      </w:pPr>
    </w:p>
    <w:p w14:paraId="400F7D80" w14:textId="77777777" w:rsidR="00A97CA4" w:rsidRDefault="00A97CA4">
      <w:pPr>
        <w:spacing w:line="240" w:lineRule="auto"/>
        <w:rPr>
          <w:sz w:val="36"/>
        </w:rPr>
      </w:pPr>
    </w:p>
    <w:p w14:paraId="400F7D81" w14:textId="77777777" w:rsidR="00A97CA4" w:rsidRDefault="00A97CA4">
      <w:pPr>
        <w:spacing w:line="240" w:lineRule="auto"/>
        <w:rPr>
          <w:sz w:val="36"/>
        </w:rPr>
      </w:pPr>
    </w:p>
    <w:p w14:paraId="400F7D82" w14:textId="77777777" w:rsidR="00A97CA4" w:rsidRDefault="00A97CA4">
      <w:pPr>
        <w:spacing w:line="240" w:lineRule="auto"/>
        <w:rPr>
          <w:sz w:val="36"/>
        </w:rPr>
      </w:pPr>
    </w:p>
    <w:p w14:paraId="400F7D83" w14:textId="77777777" w:rsidR="00A97CA4" w:rsidRDefault="00A97CA4">
      <w:pPr>
        <w:spacing w:line="240" w:lineRule="auto"/>
        <w:rPr>
          <w:sz w:val="36"/>
        </w:rPr>
      </w:pPr>
    </w:p>
    <w:p w14:paraId="400F7D84" w14:textId="77777777" w:rsidR="00A97CA4" w:rsidRDefault="00A97CA4">
      <w:pPr>
        <w:spacing w:line="240" w:lineRule="auto"/>
        <w:rPr>
          <w:sz w:val="36"/>
        </w:rPr>
      </w:pPr>
    </w:p>
    <w:p w14:paraId="400F7D85" w14:textId="77777777" w:rsidR="00A97CA4" w:rsidRDefault="00A97CA4">
      <w:pPr>
        <w:spacing w:line="240" w:lineRule="auto"/>
        <w:rPr>
          <w:sz w:val="36"/>
        </w:rPr>
      </w:pPr>
    </w:p>
    <w:p w14:paraId="400F7D86" w14:textId="77777777" w:rsidR="00A97CA4" w:rsidRDefault="00A97CA4">
      <w:pPr>
        <w:spacing w:line="240" w:lineRule="auto"/>
        <w:rPr>
          <w:sz w:val="36"/>
        </w:rPr>
      </w:pPr>
    </w:p>
    <w:p w14:paraId="400F7D87" w14:textId="77777777" w:rsidR="00A97CA4" w:rsidRDefault="00A97CA4">
      <w:pPr>
        <w:spacing w:line="240" w:lineRule="auto"/>
        <w:rPr>
          <w:sz w:val="36"/>
        </w:rPr>
      </w:pPr>
    </w:p>
    <w:p w14:paraId="400F7D88" w14:textId="77777777" w:rsidR="00A97CA4" w:rsidRDefault="00A97CA4">
      <w:pPr>
        <w:spacing w:line="240" w:lineRule="auto"/>
        <w:rPr>
          <w:sz w:val="36"/>
        </w:rPr>
      </w:pPr>
    </w:p>
    <w:p w14:paraId="400F7D89" w14:textId="77777777" w:rsidR="00A97CA4" w:rsidRDefault="00A97CA4">
      <w:pPr>
        <w:spacing w:line="240" w:lineRule="auto"/>
        <w:rPr>
          <w:sz w:val="36"/>
        </w:rPr>
      </w:pPr>
    </w:p>
    <w:p w14:paraId="400F7D8A" w14:textId="77777777" w:rsidR="00A97CA4" w:rsidRDefault="00A97CA4">
      <w:pPr>
        <w:spacing w:line="240" w:lineRule="auto"/>
        <w:rPr>
          <w:sz w:val="36"/>
        </w:rPr>
      </w:pPr>
    </w:p>
    <w:p w14:paraId="400F7D8B" w14:textId="77777777" w:rsidR="00A97CA4" w:rsidRDefault="00A97CA4">
      <w:pPr>
        <w:spacing w:line="240" w:lineRule="auto"/>
        <w:rPr>
          <w:sz w:val="36"/>
        </w:rPr>
      </w:pPr>
    </w:p>
    <w:p w14:paraId="400F7D8C" w14:textId="77777777" w:rsidR="00A97CA4" w:rsidRDefault="00A97CA4">
      <w:pPr>
        <w:spacing w:line="240" w:lineRule="auto"/>
        <w:rPr>
          <w:sz w:val="36"/>
        </w:rPr>
      </w:pPr>
    </w:p>
    <w:p w14:paraId="400F7D8D" w14:textId="77777777" w:rsidR="00A97CA4" w:rsidRDefault="00A97CA4">
      <w:pPr>
        <w:spacing w:line="240" w:lineRule="auto"/>
        <w:rPr>
          <w:sz w:val="36"/>
        </w:rPr>
      </w:pPr>
    </w:p>
    <w:p w14:paraId="400F7D8E" w14:textId="77777777" w:rsidR="00A97CA4" w:rsidRDefault="00A97CA4">
      <w:pPr>
        <w:spacing w:line="240" w:lineRule="auto"/>
        <w:rPr>
          <w:sz w:val="36"/>
        </w:rPr>
      </w:pPr>
    </w:p>
    <w:p w14:paraId="400F7D8F" w14:textId="77777777" w:rsidR="00A97CA4" w:rsidRDefault="00A97CA4">
      <w:pPr>
        <w:spacing w:line="240" w:lineRule="auto"/>
        <w:rPr>
          <w:sz w:val="36"/>
        </w:rPr>
      </w:pPr>
    </w:p>
    <w:p w14:paraId="400F7D90" w14:textId="77777777" w:rsidR="00A97CA4" w:rsidRDefault="00A97CA4">
      <w:pPr>
        <w:spacing w:line="240" w:lineRule="auto"/>
        <w:rPr>
          <w:sz w:val="36"/>
        </w:rPr>
      </w:pPr>
    </w:p>
    <w:p w14:paraId="400F7D91" w14:textId="77777777" w:rsidR="00A97CA4" w:rsidRDefault="00A97CA4" w:rsidP="00A97CA4">
      <w:pPr>
        <w:ind w:left="720"/>
        <w:rPr>
          <w:rFonts w:ascii="Segoe UI Web (West European)" w:eastAsiaTheme="minorHAnsi" w:hAnsi="Segoe UI Web (West European)"/>
          <w:color w:val="333333"/>
          <w:sz w:val="21"/>
          <w:szCs w:val="21"/>
          <w:lang w:val="en-US" w:eastAsia="en-AU"/>
        </w:rPr>
      </w:pPr>
      <w:r>
        <w:rPr>
          <w:color w:val="1F497D"/>
        </w:rPr>
        <w:t>   </w:t>
      </w:r>
      <w:r>
        <w:rPr>
          <w:rFonts w:ascii="Segoe UI Web (West European)" w:hAnsi="Segoe UI Web (West European)"/>
          <w:color w:val="333333"/>
          <w:sz w:val="21"/>
          <w:szCs w:val="21"/>
          <w:lang w:val="en-US"/>
        </w:rPr>
        <w:t>© Copyright Commonwealth of Australia, 2019.</w:t>
      </w:r>
    </w:p>
    <w:p w14:paraId="400F7D92" w14:textId="77777777" w:rsidR="00A97CA4" w:rsidRDefault="00A97CA4" w:rsidP="00A97CA4">
      <w:pPr>
        <w:ind w:left="720"/>
        <w:rPr>
          <w:rFonts w:ascii="Segoe UI Web (West European)" w:hAnsi="Segoe UI Web (West European)"/>
          <w:color w:val="333333"/>
          <w:sz w:val="21"/>
          <w:szCs w:val="21"/>
          <w:lang w:val="en-US"/>
        </w:rPr>
      </w:pPr>
    </w:p>
    <w:p w14:paraId="400F7D93" w14:textId="77777777" w:rsidR="00A97CA4" w:rsidRDefault="00A97CA4" w:rsidP="00A97CA4">
      <w:pPr>
        <w:ind w:left="720"/>
        <w:rPr>
          <w:rFonts w:ascii="Segoe UI Web (West European)" w:hAnsi="Segoe UI Web (West European)"/>
          <w:color w:val="333333"/>
          <w:sz w:val="21"/>
          <w:szCs w:val="21"/>
          <w:lang w:val="en-US"/>
        </w:rPr>
      </w:pPr>
      <w:r w:rsidRPr="00A97CA4">
        <w:rPr>
          <w:rFonts w:ascii="Segoe UI Web (West European)" w:hAnsi="Segoe UI Web (West European)"/>
          <w:noProof/>
          <w:color w:val="333333"/>
          <w:sz w:val="21"/>
          <w:szCs w:val="21"/>
          <w:lang w:eastAsia="en-AU"/>
        </w:rPr>
        <w:drawing>
          <wp:inline distT="0" distB="0" distL="0" distR="0" wp14:anchorId="400F7FF9" wp14:editId="400F7FFA">
            <wp:extent cx="2400300" cy="857250"/>
            <wp:effectExtent l="0" t="0" r="0" b="0"/>
            <wp:docPr id="1" name="Picture 1" descr="C:\Users\nichop\AppData\Local\Microsoft\Windows\INetCache\Content.Outlook\I36Z2I0X\31445-26191-creative_commons_lic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hop\AppData\Local\Microsoft\Windows\INetCache\Content.Outlook\I36Z2I0X\31445-26191-creative_commons_licenc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0300" cy="857250"/>
                    </a:xfrm>
                    <a:prstGeom prst="rect">
                      <a:avLst/>
                    </a:prstGeom>
                    <a:noFill/>
                    <a:ln>
                      <a:noFill/>
                    </a:ln>
                  </pic:spPr>
                </pic:pic>
              </a:graphicData>
            </a:graphic>
          </wp:inline>
        </w:drawing>
      </w:r>
    </w:p>
    <w:p w14:paraId="400F7D94" w14:textId="77777777" w:rsidR="00A97CA4" w:rsidRDefault="00A97CA4" w:rsidP="00A97CA4">
      <w:pPr>
        <w:ind w:left="720"/>
        <w:rPr>
          <w:rFonts w:ascii="Segoe UI Web (West European)" w:hAnsi="Segoe UI Web (West European)"/>
          <w:color w:val="333333"/>
          <w:sz w:val="21"/>
          <w:szCs w:val="21"/>
          <w:lang w:val="en-US"/>
        </w:rPr>
      </w:pPr>
    </w:p>
    <w:p w14:paraId="400F7D95" w14:textId="77777777" w:rsidR="00A97CA4" w:rsidRDefault="00A97CA4" w:rsidP="00A97CA4">
      <w:pPr>
        <w:pStyle w:val="ShortT"/>
        <w:ind w:left="720"/>
        <w:rPr>
          <w:rFonts w:ascii="Segoe UI Web (West European)" w:hAnsi="Segoe UI Web (West European)"/>
          <w:b w:val="0"/>
          <w:bCs/>
          <w:color w:val="333333"/>
          <w:sz w:val="21"/>
          <w:szCs w:val="21"/>
          <w:lang w:val="en-US"/>
        </w:rPr>
      </w:pPr>
      <w:r>
        <w:rPr>
          <w:rFonts w:ascii="Segoe UI Web (West European)" w:hAnsi="Segoe UI Web (West European)"/>
          <w:b w:val="0"/>
          <w:bCs/>
          <w:i/>
          <w:iCs/>
          <w:color w:val="333333"/>
          <w:sz w:val="21"/>
          <w:szCs w:val="21"/>
          <w:lang w:val="en-US"/>
        </w:rPr>
        <w:t>Supplement to the Carbon Credits (Carbon Farming Initiative—Animal Effluent Management) Methodology Determination 2019</w:t>
      </w:r>
      <w:r>
        <w:rPr>
          <w:rFonts w:ascii="Segoe UI Web (West European)" w:hAnsi="Segoe UI Web (West European)"/>
          <w:b w:val="0"/>
          <w:bCs/>
          <w:color w:val="333333"/>
          <w:sz w:val="21"/>
          <w:szCs w:val="21"/>
          <w:lang w:val="en-US"/>
        </w:rPr>
        <w:t xml:space="preserve"> is licensed by the Commonwealth of Australia for use under a Creative Commons Attribution 4.0 International licence with the exception of the Coat of Arms of the Commonwealth of Australia, content supplied by third parties, and any images depicting people.</w:t>
      </w:r>
    </w:p>
    <w:p w14:paraId="400F7D96" w14:textId="77777777" w:rsidR="00A97CA4" w:rsidRPr="00A97CA4" w:rsidRDefault="00A97CA4" w:rsidP="00A97CA4">
      <w:pPr>
        <w:rPr>
          <w:lang w:val="en-US" w:eastAsia="en-AU"/>
        </w:rPr>
      </w:pPr>
    </w:p>
    <w:p w14:paraId="400F7D97" w14:textId="77777777" w:rsidR="00A97CA4" w:rsidRDefault="00A97CA4" w:rsidP="00A97CA4">
      <w:pPr>
        <w:pStyle w:val="NormalWeb"/>
        <w:ind w:left="720"/>
        <w:rPr>
          <w:rFonts w:ascii="Segoe UI Web (West European)" w:hAnsi="Segoe UI Web (West European)"/>
          <w:color w:val="333333"/>
          <w:sz w:val="21"/>
          <w:szCs w:val="21"/>
          <w:lang w:val="en-US"/>
        </w:rPr>
      </w:pPr>
      <w:r w:rsidRPr="00A97CA4">
        <w:rPr>
          <w:rFonts w:ascii="Segoe UI Web (West European)" w:hAnsi="Segoe UI Web (West European)"/>
          <w:color w:val="333333"/>
          <w:sz w:val="21"/>
          <w:szCs w:val="21"/>
          <w:lang w:val="en-US"/>
        </w:rPr>
        <w:t>Under this licence, you are free to copy and share the material, and adapt the material for any purpose, so long as you give attribution to this document.</w:t>
      </w:r>
      <w:r>
        <w:rPr>
          <w:rFonts w:ascii="Segoe UI Web (West European)" w:hAnsi="Segoe UI Web (West European)"/>
          <w:color w:val="333333"/>
          <w:sz w:val="21"/>
          <w:szCs w:val="21"/>
          <w:lang w:val="en-US"/>
        </w:rPr>
        <w:t xml:space="preserve"> For licence conditions see </w:t>
      </w:r>
      <w:hyperlink r:id="rId10" w:history="1">
        <w:r>
          <w:rPr>
            <w:rStyle w:val="Hyperlink"/>
            <w:rFonts w:ascii="Segoe UI Web (West European)" w:hAnsi="Segoe UI Web (West European)"/>
            <w:sz w:val="21"/>
            <w:szCs w:val="21"/>
            <w:lang w:val="en-US"/>
          </w:rPr>
          <w:t>Creative Commons website - Attribution 4.0 International page</w:t>
        </w:r>
      </w:hyperlink>
      <w:r>
        <w:rPr>
          <w:rFonts w:ascii="Segoe UI Web (West European)" w:hAnsi="Segoe UI Web (West European)"/>
          <w:color w:val="333333"/>
          <w:sz w:val="21"/>
          <w:szCs w:val="21"/>
          <w:lang w:val="en-US"/>
        </w:rPr>
        <w:t xml:space="preserve">. </w:t>
      </w:r>
    </w:p>
    <w:p w14:paraId="400F7D98" w14:textId="77777777" w:rsidR="00A97CA4" w:rsidRDefault="00A97CA4" w:rsidP="00A97CA4">
      <w:pPr>
        <w:pStyle w:val="NormalWeb"/>
        <w:ind w:left="720"/>
        <w:rPr>
          <w:rFonts w:ascii="Segoe UI Web (West European)" w:hAnsi="Segoe UI Web (West European)"/>
          <w:color w:val="333333"/>
          <w:sz w:val="21"/>
          <w:szCs w:val="21"/>
          <w:lang w:val="en-US"/>
        </w:rPr>
      </w:pPr>
    </w:p>
    <w:p w14:paraId="400F7D99" w14:textId="77777777" w:rsidR="00A97CA4" w:rsidRDefault="00A97CA4" w:rsidP="00A97CA4">
      <w:pPr>
        <w:ind w:left="720"/>
        <w:rPr>
          <w:rFonts w:ascii="Segoe UI Web (West European)" w:hAnsi="Segoe UI Web (West European)"/>
          <w:color w:val="333333"/>
          <w:sz w:val="21"/>
          <w:szCs w:val="21"/>
          <w:lang w:val="en-US"/>
        </w:rPr>
      </w:pPr>
      <w:r>
        <w:rPr>
          <w:rFonts w:ascii="Segoe UI Web (West European)" w:hAnsi="Segoe UI Web (West European)"/>
          <w:color w:val="333333"/>
          <w:sz w:val="21"/>
          <w:szCs w:val="21"/>
          <w:lang w:val="en-US"/>
        </w:rPr>
        <w:t>This document should be attributed as ‘</w:t>
      </w:r>
      <w:r>
        <w:rPr>
          <w:rFonts w:ascii="Segoe UI Web (West European)" w:hAnsi="Segoe UI Web (West European)"/>
          <w:i/>
          <w:iCs/>
          <w:color w:val="333333"/>
          <w:sz w:val="21"/>
          <w:szCs w:val="21"/>
          <w:lang w:val="en-US"/>
        </w:rPr>
        <w:t>Supplement to the Carbon Credits (Carbon Farming Initiative—Animal Effluent Management) Methodology Determination 2019</w:t>
      </w:r>
      <w:r>
        <w:rPr>
          <w:rFonts w:ascii="Segoe UI Web (West European)" w:hAnsi="Segoe UI Web (West European)"/>
          <w:color w:val="333333"/>
          <w:sz w:val="21"/>
          <w:szCs w:val="21"/>
          <w:lang w:val="en-US"/>
        </w:rPr>
        <w:t>, Commonwealth of Australia 2019’.</w:t>
      </w:r>
    </w:p>
    <w:p w14:paraId="400F7D9A" w14:textId="77777777" w:rsidR="00A97CA4" w:rsidRDefault="00A97CA4">
      <w:pPr>
        <w:spacing w:line="240" w:lineRule="auto"/>
        <w:rPr>
          <w:sz w:val="36"/>
        </w:rPr>
      </w:pPr>
      <w:r>
        <w:rPr>
          <w:sz w:val="36"/>
        </w:rPr>
        <w:br w:type="page"/>
      </w:r>
    </w:p>
    <w:p w14:paraId="400F7D9B" w14:textId="77777777" w:rsidR="00E15BFF" w:rsidRPr="00A45E22" w:rsidRDefault="00E15BFF" w:rsidP="00E15BFF">
      <w:pPr>
        <w:rPr>
          <w:sz w:val="36"/>
        </w:rPr>
      </w:pPr>
      <w:r w:rsidRPr="00A45E22">
        <w:rPr>
          <w:sz w:val="36"/>
        </w:rPr>
        <w:lastRenderedPageBreak/>
        <w:t>Contents</w:t>
      </w:r>
    </w:p>
    <w:p w14:paraId="400F7D9C" w14:textId="77777777" w:rsidR="00C73974" w:rsidRDefault="00E15BFF">
      <w:pPr>
        <w:pStyle w:val="TOC2"/>
        <w:rPr>
          <w:rFonts w:asciiTheme="minorHAnsi" w:eastAsiaTheme="minorEastAsia" w:hAnsiTheme="minorHAnsi" w:cstheme="minorBidi"/>
          <w:b w:val="0"/>
          <w:noProof/>
          <w:kern w:val="0"/>
          <w:sz w:val="22"/>
          <w:szCs w:val="22"/>
          <w:lang w:val="en-GB" w:eastAsia="en-GB"/>
        </w:rPr>
      </w:pPr>
      <w:r w:rsidRPr="00A45E22">
        <w:fldChar w:fldCharType="begin"/>
      </w:r>
      <w:r w:rsidRPr="00A45E22">
        <w:instrText xml:space="preserve"> TOC \o1-9 </w:instrText>
      </w:r>
      <w:r w:rsidRPr="00A45E22">
        <w:fldChar w:fldCharType="separate"/>
      </w:r>
      <w:r w:rsidR="00C73974">
        <w:rPr>
          <w:noProof/>
        </w:rPr>
        <w:t>Part 1—Preliminary</w:t>
      </w:r>
      <w:r w:rsidR="00C73974">
        <w:rPr>
          <w:noProof/>
        </w:rPr>
        <w:tab/>
      </w:r>
      <w:r w:rsidR="00C73974">
        <w:rPr>
          <w:noProof/>
        </w:rPr>
        <w:fldChar w:fldCharType="begin"/>
      </w:r>
      <w:r w:rsidR="00C73974">
        <w:rPr>
          <w:noProof/>
        </w:rPr>
        <w:instrText xml:space="preserve"> PAGEREF _Toc17792690 \h </w:instrText>
      </w:r>
      <w:r w:rsidR="00C73974">
        <w:rPr>
          <w:noProof/>
        </w:rPr>
      </w:r>
      <w:r w:rsidR="00C73974">
        <w:rPr>
          <w:noProof/>
        </w:rPr>
        <w:fldChar w:fldCharType="separate"/>
      </w:r>
      <w:r w:rsidR="00053904">
        <w:rPr>
          <w:noProof/>
        </w:rPr>
        <w:t>4</w:t>
      </w:r>
      <w:r w:rsidR="00C73974">
        <w:rPr>
          <w:noProof/>
        </w:rPr>
        <w:fldChar w:fldCharType="end"/>
      </w:r>
    </w:p>
    <w:p w14:paraId="400F7D9D" w14:textId="77777777" w:rsidR="00C73974" w:rsidRDefault="00C73974">
      <w:pPr>
        <w:pStyle w:val="TOC5"/>
        <w:tabs>
          <w:tab w:val="left" w:pos="2183"/>
        </w:tabs>
        <w:rPr>
          <w:rFonts w:asciiTheme="minorHAnsi" w:eastAsiaTheme="minorEastAsia" w:hAnsiTheme="minorHAnsi" w:cstheme="minorBidi"/>
          <w:noProof/>
          <w:kern w:val="0"/>
          <w:sz w:val="22"/>
          <w:szCs w:val="22"/>
          <w:lang w:val="en-GB" w:eastAsia="en-GB"/>
        </w:rPr>
      </w:pPr>
      <w:r w:rsidRPr="00334F6C">
        <w:rPr>
          <w:noProof/>
          <w:u w:val="single"/>
        </w:rPr>
        <w:t>1</w:t>
      </w:r>
      <w:r>
        <w:rPr>
          <w:rFonts w:asciiTheme="minorHAnsi" w:eastAsiaTheme="minorEastAsia" w:hAnsiTheme="minorHAnsi" w:cstheme="minorBidi"/>
          <w:noProof/>
          <w:kern w:val="0"/>
          <w:sz w:val="22"/>
          <w:szCs w:val="22"/>
          <w:lang w:val="en-GB" w:eastAsia="en-GB"/>
        </w:rPr>
        <w:tab/>
      </w:r>
      <w:r w:rsidRPr="00334F6C">
        <w:rPr>
          <w:noProof/>
          <w:u w:val="single"/>
        </w:rPr>
        <w:t>Name</w:t>
      </w:r>
      <w:r>
        <w:rPr>
          <w:noProof/>
        </w:rPr>
        <w:tab/>
      </w:r>
      <w:r>
        <w:rPr>
          <w:noProof/>
        </w:rPr>
        <w:fldChar w:fldCharType="begin"/>
      </w:r>
      <w:r>
        <w:rPr>
          <w:noProof/>
        </w:rPr>
        <w:instrText xml:space="preserve"> PAGEREF _Toc17792691 \h </w:instrText>
      </w:r>
      <w:r>
        <w:rPr>
          <w:noProof/>
        </w:rPr>
      </w:r>
      <w:r>
        <w:rPr>
          <w:noProof/>
        </w:rPr>
        <w:fldChar w:fldCharType="separate"/>
      </w:r>
      <w:r w:rsidR="00053904">
        <w:rPr>
          <w:noProof/>
        </w:rPr>
        <w:t>4</w:t>
      </w:r>
      <w:r>
        <w:rPr>
          <w:noProof/>
        </w:rPr>
        <w:fldChar w:fldCharType="end"/>
      </w:r>
    </w:p>
    <w:p w14:paraId="400F7D9E" w14:textId="77777777" w:rsidR="00C73974" w:rsidRDefault="00C73974">
      <w:pPr>
        <w:pStyle w:val="TOC5"/>
        <w:tabs>
          <w:tab w:val="left" w:pos="2183"/>
        </w:tabs>
        <w:rPr>
          <w:rFonts w:asciiTheme="minorHAnsi" w:eastAsiaTheme="minorEastAsia" w:hAnsiTheme="minorHAnsi" w:cstheme="minorBidi"/>
          <w:noProof/>
          <w:kern w:val="0"/>
          <w:sz w:val="22"/>
          <w:szCs w:val="22"/>
          <w:lang w:val="en-GB" w:eastAsia="en-GB"/>
        </w:rPr>
      </w:pPr>
      <w:r w:rsidRPr="00334F6C">
        <w:rPr>
          <w:noProof/>
          <w:u w:val="single"/>
        </w:rPr>
        <w:t>2</w:t>
      </w:r>
      <w:r>
        <w:rPr>
          <w:rFonts w:asciiTheme="minorHAnsi" w:eastAsiaTheme="minorEastAsia" w:hAnsiTheme="minorHAnsi" w:cstheme="minorBidi"/>
          <w:noProof/>
          <w:kern w:val="0"/>
          <w:sz w:val="22"/>
          <w:szCs w:val="22"/>
          <w:lang w:val="en-GB" w:eastAsia="en-GB"/>
        </w:rPr>
        <w:tab/>
      </w:r>
      <w:r w:rsidRPr="00334F6C">
        <w:rPr>
          <w:noProof/>
          <w:u w:val="single"/>
        </w:rPr>
        <w:t>Entry into effect</w:t>
      </w:r>
      <w:r>
        <w:rPr>
          <w:noProof/>
        </w:rPr>
        <w:tab/>
      </w:r>
      <w:r>
        <w:rPr>
          <w:noProof/>
        </w:rPr>
        <w:fldChar w:fldCharType="begin"/>
      </w:r>
      <w:r>
        <w:rPr>
          <w:noProof/>
        </w:rPr>
        <w:instrText xml:space="preserve"> PAGEREF _Toc17792692 \h </w:instrText>
      </w:r>
      <w:r>
        <w:rPr>
          <w:noProof/>
        </w:rPr>
      </w:r>
      <w:r>
        <w:rPr>
          <w:noProof/>
        </w:rPr>
        <w:fldChar w:fldCharType="separate"/>
      </w:r>
      <w:r w:rsidR="00053904">
        <w:rPr>
          <w:noProof/>
        </w:rPr>
        <w:t>4</w:t>
      </w:r>
      <w:r>
        <w:rPr>
          <w:noProof/>
        </w:rPr>
        <w:fldChar w:fldCharType="end"/>
      </w:r>
    </w:p>
    <w:p w14:paraId="400F7D9F" w14:textId="77777777" w:rsidR="00C73974" w:rsidRDefault="00C73974">
      <w:pPr>
        <w:pStyle w:val="TOC5"/>
        <w:tabs>
          <w:tab w:val="left" w:pos="2183"/>
        </w:tabs>
        <w:rPr>
          <w:rFonts w:asciiTheme="minorHAnsi" w:eastAsiaTheme="minorEastAsia" w:hAnsiTheme="minorHAnsi" w:cstheme="minorBidi"/>
          <w:noProof/>
          <w:kern w:val="0"/>
          <w:sz w:val="22"/>
          <w:szCs w:val="22"/>
          <w:lang w:val="en-GB" w:eastAsia="en-GB"/>
        </w:rPr>
      </w:pPr>
      <w:r w:rsidRPr="00334F6C">
        <w:rPr>
          <w:noProof/>
          <w:u w:val="single"/>
        </w:rPr>
        <w:t>3</w:t>
      </w:r>
      <w:r>
        <w:rPr>
          <w:rFonts w:asciiTheme="minorHAnsi" w:eastAsiaTheme="minorEastAsia" w:hAnsiTheme="minorHAnsi" w:cstheme="minorBidi"/>
          <w:noProof/>
          <w:kern w:val="0"/>
          <w:sz w:val="22"/>
          <w:szCs w:val="22"/>
          <w:lang w:val="en-GB" w:eastAsia="en-GB"/>
        </w:rPr>
        <w:tab/>
      </w:r>
      <w:r w:rsidRPr="00334F6C">
        <w:rPr>
          <w:noProof/>
          <w:u w:val="single"/>
        </w:rPr>
        <w:t>Definitions</w:t>
      </w:r>
      <w:r>
        <w:rPr>
          <w:noProof/>
        </w:rPr>
        <w:tab/>
      </w:r>
      <w:r>
        <w:rPr>
          <w:noProof/>
        </w:rPr>
        <w:fldChar w:fldCharType="begin"/>
      </w:r>
      <w:r>
        <w:rPr>
          <w:noProof/>
        </w:rPr>
        <w:instrText xml:space="preserve"> PAGEREF _Toc17792693 \h </w:instrText>
      </w:r>
      <w:r>
        <w:rPr>
          <w:noProof/>
        </w:rPr>
      </w:r>
      <w:r>
        <w:rPr>
          <w:noProof/>
        </w:rPr>
        <w:fldChar w:fldCharType="separate"/>
      </w:r>
      <w:r w:rsidR="00053904">
        <w:rPr>
          <w:noProof/>
        </w:rPr>
        <w:t>4</w:t>
      </w:r>
      <w:r>
        <w:rPr>
          <w:noProof/>
        </w:rPr>
        <w:fldChar w:fldCharType="end"/>
      </w:r>
    </w:p>
    <w:p w14:paraId="400F7DA0" w14:textId="77777777" w:rsidR="00C73974" w:rsidRDefault="00C73974">
      <w:pPr>
        <w:pStyle w:val="TOC5"/>
        <w:tabs>
          <w:tab w:val="left" w:pos="2183"/>
        </w:tabs>
        <w:rPr>
          <w:rFonts w:asciiTheme="minorHAnsi" w:eastAsiaTheme="minorEastAsia" w:hAnsiTheme="minorHAnsi" w:cstheme="minorBidi"/>
          <w:noProof/>
          <w:kern w:val="0"/>
          <w:sz w:val="22"/>
          <w:szCs w:val="22"/>
          <w:lang w:val="en-GB" w:eastAsia="en-GB"/>
        </w:rPr>
      </w:pPr>
      <w:r w:rsidRPr="00334F6C">
        <w:rPr>
          <w:noProof/>
          <w:u w:val="single"/>
        </w:rPr>
        <w:t>4</w:t>
      </w:r>
      <w:r>
        <w:rPr>
          <w:rFonts w:asciiTheme="minorHAnsi" w:eastAsiaTheme="minorEastAsia" w:hAnsiTheme="minorHAnsi" w:cstheme="minorBidi"/>
          <w:noProof/>
          <w:kern w:val="0"/>
          <w:sz w:val="22"/>
          <w:szCs w:val="22"/>
          <w:lang w:val="en-GB" w:eastAsia="en-GB"/>
        </w:rPr>
        <w:tab/>
      </w:r>
      <w:r w:rsidRPr="00334F6C">
        <w:rPr>
          <w:noProof/>
          <w:u w:val="single"/>
        </w:rPr>
        <w:t>Section 5—definition of ‘default capacity’</w:t>
      </w:r>
      <w:r>
        <w:rPr>
          <w:noProof/>
        </w:rPr>
        <w:tab/>
      </w:r>
      <w:r>
        <w:rPr>
          <w:noProof/>
        </w:rPr>
        <w:fldChar w:fldCharType="begin"/>
      </w:r>
      <w:r>
        <w:rPr>
          <w:noProof/>
        </w:rPr>
        <w:instrText xml:space="preserve"> PAGEREF _Toc17792694 \h </w:instrText>
      </w:r>
      <w:r>
        <w:rPr>
          <w:noProof/>
        </w:rPr>
      </w:r>
      <w:r>
        <w:rPr>
          <w:noProof/>
        </w:rPr>
        <w:fldChar w:fldCharType="separate"/>
      </w:r>
      <w:r w:rsidR="00053904">
        <w:rPr>
          <w:noProof/>
        </w:rPr>
        <w:t>4</w:t>
      </w:r>
      <w:r>
        <w:rPr>
          <w:noProof/>
        </w:rPr>
        <w:fldChar w:fldCharType="end"/>
      </w:r>
    </w:p>
    <w:p w14:paraId="400F7DA1" w14:textId="77777777" w:rsidR="00C73974" w:rsidRDefault="00C73974">
      <w:pPr>
        <w:pStyle w:val="TOC5"/>
        <w:tabs>
          <w:tab w:val="left" w:pos="2183"/>
        </w:tabs>
        <w:rPr>
          <w:rFonts w:asciiTheme="minorHAnsi" w:eastAsiaTheme="minorEastAsia" w:hAnsiTheme="minorHAnsi" w:cstheme="minorBidi"/>
          <w:noProof/>
          <w:kern w:val="0"/>
          <w:sz w:val="22"/>
          <w:szCs w:val="22"/>
          <w:lang w:val="en-GB" w:eastAsia="en-GB"/>
        </w:rPr>
      </w:pPr>
      <w:r w:rsidRPr="00334F6C">
        <w:rPr>
          <w:noProof/>
          <w:u w:val="single"/>
        </w:rPr>
        <w:t>5</w:t>
      </w:r>
      <w:r>
        <w:rPr>
          <w:rFonts w:asciiTheme="minorHAnsi" w:eastAsiaTheme="minorEastAsia" w:hAnsiTheme="minorHAnsi" w:cstheme="minorBidi"/>
          <w:noProof/>
          <w:kern w:val="0"/>
          <w:sz w:val="22"/>
          <w:szCs w:val="22"/>
          <w:lang w:val="en-GB" w:eastAsia="en-GB"/>
        </w:rPr>
        <w:tab/>
      </w:r>
      <w:r w:rsidRPr="00334F6C">
        <w:rPr>
          <w:noProof/>
          <w:u w:val="single"/>
        </w:rPr>
        <w:t>Section 5—definition of ‘listed types’</w:t>
      </w:r>
      <w:r>
        <w:rPr>
          <w:noProof/>
        </w:rPr>
        <w:tab/>
      </w:r>
      <w:r>
        <w:rPr>
          <w:noProof/>
        </w:rPr>
        <w:fldChar w:fldCharType="begin"/>
      </w:r>
      <w:r>
        <w:rPr>
          <w:noProof/>
        </w:rPr>
        <w:instrText xml:space="preserve"> PAGEREF _Toc17792695 \h </w:instrText>
      </w:r>
      <w:r>
        <w:rPr>
          <w:noProof/>
        </w:rPr>
      </w:r>
      <w:r>
        <w:rPr>
          <w:noProof/>
        </w:rPr>
        <w:fldChar w:fldCharType="separate"/>
      </w:r>
      <w:r w:rsidR="00053904">
        <w:rPr>
          <w:noProof/>
        </w:rPr>
        <w:t>4</w:t>
      </w:r>
      <w:r>
        <w:rPr>
          <w:noProof/>
        </w:rPr>
        <w:fldChar w:fldCharType="end"/>
      </w:r>
    </w:p>
    <w:p w14:paraId="400F7DA2" w14:textId="77777777" w:rsidR="00C73974" w:rsidRDefault="00C73974">
      <w:pPr>
        <w:pStyle w:val="TOC2"/>
        <w:rPr>
          <w:rFonts w:asciiTheme="minorHAnsi" w:eastAsiaTheme="minorEastAsia" w:hAnsiTheme="minorHAnsi" w:cstheme="minorBidi"/>
          <w:b w:val="0"/>
          <w:noProof/>
          <w:kern w:val="0"/>
          <w:sz w:val="22"/>
          <w:szCs w:val="22"/>
          <w:lang w:val="en-GB" w:eastAsia="en-GB"/>
        </w:rPr>
      </w:pPr>
      <w:r>
        <w:rPr>
          <w:noProof/>
        </w:rPr>
        <w:t>Part 2—Matters referred to in Parts 1 to 3 in the Determination</w:t>
      </w:r>
      <w:r>
        <w:rPr>
          <w:noProof/>
        </w:rPr>
        <w:tab/>
      </w:r>
      <w:r>
        <w:rPr>
          <w:noProof/>
        </w:rPr>
        <w:fldChar w:fldCharType="begin"/>
      </w:r>
      <w:r>
        <w:rPr>
          <w:noProof/>
        </w:rPr>
        <w:instrText xml:space="preserve"> PAGEREF _Toc17792696 \h </w:instrText>
      </w:r>
      <w:r>
        <w:rPr>
          <w:noProof/>
        </w:rPr>
      </w:r>
      <w:r>
        <w:rPr>
          <w:noProof/>
        </w:rPr>
        <w:fldChar w:fldCharType="separate"/>
      </w:r>
      <w:r w:rsidR="00053904">
        <w:rPr>
          <w:noProof/>
        </w:rPr>
        <w:t>5</w:t>
      </w:r>
      <w:r>
        <w:rPr>
          <w:noProof/>
        </w:rPr>
        <w:fldChar w:fldCharType="end"/>
      </w:r>
    </w:p>
    <w:p w14:paraId="400F7DA3" w14:textId="77777777" w:rsidR="00C73974" w:rsidRDefault="00C73974">
      <w:pPr>
        <w:pStyle w:val="TOC5"/>
        <w:tabs>
          <w:tab w:val="left" w:pos="2183"/>
        </w:tabs>
        <w:rPr>
          <w:rFonts w:asciiTheme="minorHAnsi" w:eastAsiaTheme="minorEastAsia" w:hAnsiTheme="minorHAnsi" w:cstheme="minorBidi"/>
          <w:noProof/>
          <w:kern w:val="0"/>
          <w:sz w:val="22"/>
          <w:szCs w:val="22"/>
          <w:lang w:val="en-GB" w:eastAsia="en-GB"/>
        </w:rPr>
      </w:pPr>
      <w:r w:rsidRPr="00334F6C">
        <w:rPr>
          <w:noProof/>
          <w:u w:val="single"/>
        </w:rPr>
        <w:t>6</w:t>
      </w:r>
      <w:r>
        <w:rPr>
          <w:rFonts w:asciiTheme="minorHAnsi" w:eastAsiaTheme="minorEastAsia" w:hAnsiTheme="minorHAnsi" w:cstheme="minorBidi"/>
          <w:noProof/>
          <w:kern w:val="0"/>
          <w:sz w:val="22"/>
          <w:szCs w:val="22"/>
          <w:lang w:val="en-GB" w:eastAsia="en-GB"/>
        </w:rPr>
        <w:tab/>
      </w:r>
      <w:r w:rsidRPr="00334F6C">
        <w:rPr>
          <w:noProof/>
          <w:u w:val="single"/>
        </w:rPr>
        <w:t>Section 9—Capacity of the project facility</w:t>
      </w:r>
      <w:r>
        <w:rPr>
          <w:noProof/>
        </w:rPr>
        <w:tab/>
      </w:r>
      <w:r>
        <w:rPr>
          <w:noProof/>
        </w:rPr>
        <w:fldChar w:fldCharType="begin"/>
      </w:r>
      <w:r>
        <w:rPr>
          <w:noProof/>
        </w:rPr>
        <w:instrText xml:space="preserve"> PAGEREF _Toc17792697 \h </w:instrText>
      </w:r>
      <w:r>
        <w:rPr>
          <w:noProof/>
        </w:rPr>
      </w:r>
      <w:r>
        <w:rPr>
          <w:noProof/>
        </w:rPr>
        <w:fldChar w:fldCharType="separate"/>
      </w:r>
      <w:r w:rsidR="00053904">
        <w:rPr>
          <w:noProof/>
        </w:rPr>
        <w:t>5</w:t>
      </w:r>
      <w:r>
        <w:rPr>
          <w:noProof/>
        </w:rPr>
        <w:fldChar w:fldCharType="end"/>
      </w:r>
    </w:p>
    <w:p w14:paraId="400F7DA4" w14:textId="77777777" w:rsidR="00C73974" w:rsidRDefault="00C73974">
      <w:pPr>
        <w:pStyle w:val="TOC5"/>
        <w:tabs>
          <w:tab w:val="left" w:pos="2183"/>
        </w:tabs>
        <w:rPr>
          <w:rFonts w:asciiTheme="minorHAnsi" w:eastAsiaTheme="minorEastAsia" w:hAnsiTheme="minorHAnsi" w:cstheme="minorBidi"/>
          <w:noProof/>
          <w:kern w:val="0"/>
          <w:sz w:val="22"/>
          <w:szCs w:val="22"/>
          <w:lang w:val="en-GB" w:eastAsia="en-GB"/>
        </w:rPr>
      </w:pPr>
      <w:r w:rsidRPr="00334F6C">
        <w:rPr>
          <w:noProof/>
          <w:u w:val="single"/>
        </w:rPr>
        <w:t>7</w:t>
      </w:r>
      <w:r>
        <w:rPr>
          <w:rFonts w:asciiTheme="minorHAnsi" w:eastAsiaTheme="minorEastAsia" w:hAnsiTheme="minorHAnsi" w:cstheme="minorBidi"/>
          <w:noProof/>
          <w:kern w:val="0"/>
          <w:sz w:val="22"/>
          <w:szCs w:val="22"/>
          <w:lang w:val="en-GB" w:eastAsia="en-GB"/>
        </w:rPr>
        <w:tab/>
      </w:r>
      <w:r w:rsidRPr="00334F6C">
        <w:rPr>
          <w:noProof/>
          <w:u w:val="single"/>
        </w:rPr>
        <w:t>Section 13—Flare operation for methane destruction projects</w:t>
      </w:r>
      <w:r>
        <w:rPr>
          <w:noProof/>
        </w:rPr>
        <w:tab/>
      </w:r>
      <w:r>
        <w:rPr>
          <w:noProof/>
        </w:rPr>
        <w:fldChar w:fldCharType="begin"/>
      </w:r>
      <w:r>
        <w:rPr>
          <w:noProof/>
        </w:rPr>
        <w:instrText xml:space="preserve"> PAGEREF _Toc17792698 \h </w:instrText>
      </w:r>
      <w:r>
        <w:rPr>
          <w:noProof/>
        </w:rPr>
      </w:r>
      <w:r>
        <w:rPr>
          <w:noProof/>
        </w:rPr>
        <w:fldChar w:fldCharType="separate"/>
      </w:r>
      <w:r w:rsidR="00053904">
        <w:rPr>
          <w:noProof/>
        </w:rPr>
        <w:t>5</w:t>
      </w:r>
      <w:r>
        <w:rPr>
          <w:noProof/>
        </w:rPr>
        <w:fldChar w:fldCharType="end"/>
      </w:r>
    </w:p>
    <w:p w14:paraId="400F7DA5" w14:textId="77777777" w:rsidR="00C73974" w:rsidRDefault="00C73974">
      <w:pPr>
        <w:pStyle w:val="TOC5"/>
        <w:tabs>
          <w:tab w:val="left" w:pos="2183"/>
        </w:tabs>
        <w:rPr>
          <w:rFonts w:asciiTheme="minorHAnsi" w:eastAsiaTheme="minorEastAsia" w:hAnsiTheme="minorHAnsi" w:cstheme="minorBidi"/>
          <w:noProof/>
          <w:kern w:val="0"/>
          <w:sz w:val="22"/>
          <w:szCs w:val="22"/>
          <w:lang w:val="en-GB" w:eastAsia="en-GB"/>
        </w:rPr>
      </w:pPr>
      <w:r w:rsidRPr="00334F6C">
        <w:rPr>
          <w:noProof/>
          <w:u w:val="single"/>
        </w:rPr>
        <w:t>8</w:t>
      </w:r>
      <w:r>
        <w:rPr>
          <w:rFonts w:asciiTheme="minorHAnsi" w:eastAsiaTheme="minorEastAsia" w:hAnsiTheme="minorHAnsi" w:cstheme="minorBidi"/>
          <w:noProof/>
          <w:kern w:val="0"/>
          <w:sz w:val="22"/>
          <w:szCs w:val="22"/>
          <w:lang w:val="en-GB" w:eastAsia="en-GB"/>
        </w:rPr>
        <w:tab/>
      </w:r>
      <w:r w:rsidRPr="00334F6C">
        <w:rPr>
          <w:noProof/>
          <w:u w:val="single"/>
        </w:rPr>
        <w:t>Section 14—Emissions avoidance treatment facility—solids separation method</w:t>
      </w:r>
      <w:r>
        <w:rPr>
          <w:noProof/>
        </w:rPr>
        <w:tab/>
      </w:r>
      <w:r>
        <w:rPr>
          <w:noProof/>
        </w:rPr>
        <w:fldChar w:fldCharType="begin"/>
      </w:r>
      <w:r>
        <w:rPr>
          <w:noProof/>
        </w:rPr>
        <w:instrText xml:space="preserve"> PAGEREF _Toc17792699 \h </w:instrText>
      </w:r>
      <w:r>
        <w:rPr>
          <w:noProof/>
        </w:rPr>
      </w:r>
      <w:r>
        <w:rPr>
          <w:noProof/>
        </w:rPr>
        <w:fldChar w:fldCharType="separate"/>
      </w:r>
      <w:r w:rsidR="00053904">
        <w:rPr>
          <w:noProof/>
        </w:rPr>
        <w:t>5</w:t>
      </w:r>
      <w:r>
        <w:rPr>
          <w:noProof/>
        </w:rPr>
        <w:fldChar w:fldCharType="end"/>
      </w:r>
    </w:p>
    <w:p w14:paraId="400F7DA6" w14:textId="77777777" w:rsidR="00C73974" w:rsidRDefault="00C73974">
      <w:pPr>
        <w:pStyle w:val="TOC5"/>
        <w:tabs>
          <w:tab w:val="left" w:pos="2183"/>
        </w:tabs>
        <w:rPr>
          <w:rFonts w:asciiTheme="minorHAnsi" w:eastAsiaTheme="minorEastAsia" w:hAnsiTheme="minorHAnsi" w:cstheme="minorBidi"/>
          <w:noProof/>
          <w:kern w:val="0"/>
          <w:sz w:val="22"/>
          <w:szCs w:val="22"/>
          <w:lang w:val="en-GB" w:eastAsia="en-GB"/>
        </w:rPr>
      </w:pPr>
      <w:r w:rsidRPr="00334F6C">
        <w:rPr>
          <w:noProof/>
          <w:u w:val="single"/>
        </w:rPr>
        <w:t>9</w:t>
      </w:r>
      <w:r>
        <w:rPr>
          <w:rFonts w:asciiTheme="minorHAnsi" w:eastAsiaTheme="minorEastAsia" w:hAnsiTheme="minorHAnsi" w:cstheme="minorBidi"/>
          <w:noProof/>
          <w:kern w:val="0"/>
          <w:sz w:val="22"/>
          <w:szCs w:val="22"/>
          <w:lang w:val="en-GB" w:eastAsia="en-GB"/>
        </w:rPr>
        <w:tab/>
      </w:r>
      <w:r w:rsidRPr="00334F6C">
        <w:rPr>
          <w:noProof/>
          <w:u w:val="single"/>
        </w:rPr>
        <w:t>Section 14—Emissions avoidance treatment facility—post-diversion treatment</w:t>
      </w:r>
      <w:r>
        <w:rPr>
          <w:noProof/>
        </w:rPr>
        <w:tab/>
      </w:r>
      <w:r>
        <w:rPr>
          <w:noProof/>
        </w:rPr>
        <w:fldChar w:fldCharType="begin"/>
      </w:r>
      <w:r>
        <w:rPr>
          <w:noProof/>
        </w:rPr>
        <w:instrText xml:space="preserve"> PAGEREF _Toc17792700 \h </w:instrText>
      </w:r>
      <w:r>
        <w:rPr>
          <w:noProof/>
        </w:rPr>
      </w:r>
      <w:r>
        <w:rPr>
          <w:noProof/>
        </w:rPr>
        <w:fldChar w:fldCharType="separate"/>
      </w:r>
      <w:r w:rsidR="00053904">
        <w:rPr>
          <w:noProof/>
        </w:rPr>
        <w:t>5</w:t>
      </w:r>
      <w:r>
        <w:rPr>
          <w:noProof/>
        </w:rPr>
        <w:fldChar w:fldCharType="end"/>
      </w:r>
    </w:p>
    <w:p w14:paraId="400F7DA7" w14:textId="77777777" w:rsidR="00C73974" w:rsidRDefault="00C73974">
      <w:pPr>
        <w:pStyle w:val="TOC5"/>
        <w:tabs>
          <w:tab w:val="left" w:pos="2183"/>
        </w:tabs>
        <w:rPr>
          <w:rFonts w:asciiTheme="minorHAnsi" w:eastAsiaTheme="minorEastAsia" w:hAnsiTheme="minorHAnsi" w:cstheme="minorBidi"/>
          <w:noProof/>
          <w:kern w:val="0"/>
          <w:sz w:val="22"/>
          <w:szCs w:val="22"/>
          <w:lang w:val="en-GB" w:eastAsia="en-GB"/>
        </w:rPr>
      </w:pPr>
      <w:r w:rsidRPr="00334F6C">
        <w:rPr>
          <w:noProof/>
          <w:u w:val="single"/>
        </w:rPr>
        <w:t>10</w:t>
      </w:r>
      <w:r>
        <w:rPr>
          <w:rFonts w:asciiTheme="minorHAnsi" w:eastAsiaTheme="minorEastAsia" w:hAnsiTheme="minorHAnsi" w:cstheme="minorBidi"/>
          <w:noProof/>
          <w:kern w:val="0"/>
          <w:sz w:val="22"/>
          <w:szCs w:val="22"/>
          <w:lang w:val="en-GB" w:eastAsia="en-GB"/>
        </w:rPr>
        <w:tab/>
      </w:r>
      <w:r w:rsidRPr="00334F6C">
        <w:rPr>
          <w:noProof/>
          <w:u w:val="single"/>
        </w:rPr>
        <w:t>Section 15—Evidence that satisfies the Regulator that the specified organic effluent would have been treated in an anaerobic pond</w:t>
      </w:r>
      <w:r>
        <w:rPr>
          <w:noProof/>
        </w:rPr>
        <w:tab/>
      </w:r>
      <w:r>
        <w:rPr>
          <w:noProof/>
        </w:rPr>
        <w:fldChar w:fldCharType="begin"/>
      </w:r>
      <w:r>
        <w:rPr>
          <w:noProof/>
        </w:rPr>
        <w:instrText xml:space="preserve"> PAGEREF _Toc17792701 \h </w:instrText>
      </w:r>
      <w:r>
        <w:rPr>
          <w:noProof/>
        </w:rPr>
      </w:r>
      <w:r>
        <w:rPr>
          <w:noProof/>
        </w:rPr>
        <w:fldChar w:fldCharType="separate"/>
      </w:r>
      <w:r w:rsidR="00053904">
        <w:rPr>
          <w:noProof/>
        </w:rPr>
        <w:t>6</w:t>
      </w:r>
      <w:r>
        <w:rPr>
          <w:noProof/>
        </w:rPr>
        <w:fldChar w:fldCharType="end"/>
      </w:r>
    </w:p>
    <w:p w14:paraId="400F7DA8" w14:textId="77777777" w:rsidR="00C73974" w:rsidRDefault="00C73974">
      <w:pPr>
        <w:pStyle w:val="TOC2"/>
        <w:rPr>
          <w:rFonts w:asciiTheme="minorHAnsi" w:eastAsiaTheme="minorEastAsia" w:hAnsiTheme="minorHAnsi" w:cstheme="minorBidi"/>
          <w:b w:val="0"/>
          <w:noProof/>
          <w:kern w:val="0"/>
          <w:sz w:val="22"/>
          <w:szCs w:val="22"/>
          <w:lang w:val="en-GB" w:eastAsia="en-GB"/>
        </w:rPr>
      </w:pPr>
      <w:r>
        <w:rPr>
          <w:noProof/>
        </w:rPr>
        <w:t>Part 3—Matters referred to in Part 4 in the Determination – Net abatement amount</w:t>
      </w:r>
      <w:r>
        <w:rPr>
          <w:noProof/>
        </w:rPr>
        <w:tab/>
      </w:r>
      <w:r>
        <w:rPr>
          <w:noProof/>
        </w:rPr>
        <w:fldChar w:fldCharType="begin"/>
      </w:r>
      <w:r>
        <w:rPr>
          <w:noProof/>
        </w:rPr>
        <w:instrText xml:space="preserve"> PAGEREF _Toc17792702 \h </w:instrText>
      </w:r>
      <w:r>
        <w:rPr>
          <w:noProof/>
        </w:rPr>
      </w:r>
      <w:r>
        <w:rPr>
          <w:noProof/>
        </w:rPr>
        <w:fldChar w:fldCharType="separate"/>
      </w:r>
      <w:r w:rsidR="00053904">
        <w:rPr>
          <w:noProof/>
        </w:rPr>
        <w:t>7</w:t>
      </w:r>
      <w:r>
        <w:rPr>
          <w:noProof/>
        </w:rPr>
        <w:fldChar w:fldCharType="end"/>
      </w:r>
    </w:p>
    <w:p w14:paraId="400F7DA9" w14:textId="77777777" w:rsidR="00C73974" w:rsidRDefault="00C73974">
      <w:pPr>
        <w:pStyle w:val="TOC5"/>
        <w:tabs>
          <w:tab w:val="left" w:pos="2183"/>
        </w:tabs>
        <w:rPr>
          <w:rFonts w:asciiTheme="minorHAnsi" w:eastAsiaTheme="minorEastAsia" w:hAnsiTheme="minorHAnsi" w:cstheme="minorBidi"/>
          <w:noProof/>
          <w:kern w:val="0"/>
          <w:sz w:val="22"/>
          <w:szCs w:val="22"/>
          <w:lang w:val="en-GB" w:eastAsia="en-GB"/>
        </w:rPr>
      </w:pPr>
      <w:r w:rsidRPr="00334F6C">
        <w:rPr>
          <w:noProof/>
          <w:u w:val="single"/>
        </w:rPr>
        <w:t>11</w:t>
      </w:r>
      <w:r>
        <w:rPr>
          <w:rFonts w:asciiTheme="minorHAnsi" w:eastAsiaTheme="minorEastAsia" w:hAnsiTheme="minorHAnsi" w:cstheme="minorBidi"/>
          <w:noProof/>
          <w:kern w:val="0"/>
          <w:sz w:val="22"/>
          <w:szCs w:val="22"/>
          <w:lang w:val="en-GB" w:eastAsia="en-GB"/>
        </w:rPr>
        <w:tab/>
      </w:r>
      <w:r w:rsidRPr="00334F6C">
        <w:rPr>
          <w:noProof/>
          <w:u w:val="single"/>
        </w:rPr>
        <w:t>Sections 16, 25 and 27—Measurement of methane-producing capacity</w:t>
      </w:r>
      <w:r>
        <w:rPr>
          <w:noProof/>
        </w:rPr>
        <w:tab/>
      </w:r>
      <w:r>
        <w:rPr>
          <w:noProof/>
        </w:rPr>
        <w:fldChar w:fldCharType="begin"/>
      </w:r>
      <w:r>
        <w:rPr>
          <w:noProof/>
        </w:rPr>
        <w:instrText xml:space="preserve"> PAGEREF _Toc17792703 \h </w:instrText>
      </w:r>
      <w:r>
        <w:rPr>
          <w:noProof/>
        </w:rPr>
      </w:r>
      <w:r>
        <w:rPr>
          <w:noProof/>
        </w:rPr>
        <w:fldChar w:fldCharType="separate"/>
      </w:r>
      <w:r w:rsidR="00053904">
        <w:rPr>
          <w:noProof/>
        </w:rPr>
        <w:t>7</w:t>
      </w:r>
      <w:r>
        <w:rPr>
          <w:noProof/>
        </w:rPr>
        <w:fldChar w:fldCharType="end"/>
      </w:r>
    </w:p>
    <w:p w14:paraId="400F7DAA" w14:textId="77777777" w:rsidR="00C73974" w:rsidRDefault="00C73974">
      <w:pPr>
        <w:pStyle w:val="TOC5"/>
        <w:tabs>
          <w:tab w:val="left" w:pos="2183"/>
        </w:tabs>
        <w:rPr>
          <w:rFonts w:asciiTheme="minorHAnsi" w:eastAsiaTheme="minorEastAsia" w:hAnsiTheme="minorHAnsi" w:cstheme="minorBidi"/>
          <w:noProof/>
          <w:kern w:val="0"/>
          <w:sz w:val="22"/>
          <w:szCs w:val="22"/>
          <w:lang w:val="en-GB" w:eastAsia="en-GB"/>
        </w:rPr>
      </w:pPr>
      <w:r w:rsidRPr="00334F6C">
        <w:rPr>
          <w:noProof/>
          <w:u w:val="single"/>
        </w:rPr>
        <w:t>12</w:t>
      </w:r>
      <w:r>
        <w:rPr>
          <w:rFonts w:asciiTheme="minorHAnsi" w:eastAsiaTheme="minorEastAsia" w:hAnsiTheme="minorHAnsi" w:cstheme="minorBidi"/>
          <w:noProof/>
          <w:kern w:val="0"/>
          <w:sz w:val="22"/>
          <w:szCs w:val="22"/>
          <w:lang w:val="en-GB" w:eastAsia="en-GB"/>
        </w:rPr>
        <w:tab/>
      </w:r>
      <w:r w:rsidRPr="00334F6C">
        <w:rPr>
          <w:noProof/>
          <w:u w:val="single"/>
        </w:rPr>
        <w:t xml:space="preserve">Section 24—Measuring the quantity of biogas sent to a combustion device, </w:t>
      </w:r>
      <w:r w:rsidRPr="00334F6C">
        <w:rPr>
          <w:i/>
          <w:noProof/>
          <w:u w:val="single"/>
        </w:rPr>
        <w:t>Q</w:t>
      </w:r>
      <w:r w:rsidRPr="00334F6C">
        <w:rPr>
          <w:i/>
          <w:noProof/>
          <w:u w:val="single"/>
          <w:vertAlign w:val="subscript"/>
        </w:rPr>
        <w:t>biogas, i</w:t>
      </w:r>
      <w:r>
        <w:rPr>
          <w:noProof/>
        </w:rPr>
        <w:tab/>
      </w:r>
      <w:r>
        <w:rPr>
          <w:noProof/>
        </w:rPr>
        <w:fldChar w:fldCharType="begin"/>
      </w:r>
      <w:r>
        <w:rPr>
          <w:noProof/>
        </w:rPr>
        <w:instrText xml:space="preserve"> PAGEREF _Toc17792704 \h </w:instrText>
      </w:r>
      <w:r>
        <w:rPr>
          <w:noProof/>
        </w:rPr>
      </w:r>
      <w:r>
        <w:rPr>
          <w:noProof/>
        </w:rPr>
        <w:fldChar w:fldCharType="separate"/>
      </w:r>
      <w:r w:rsidR="00053904">
        <w:rPr>
          <w:noProof/>
        </w:rPr>
        <w:t>7</w:t>
      </w:r>
      <w:r>
        <w:rPr>
          <w:noProof/>
        </w:rPr>
        <w:fldChar w:fldCharType="end"/>
      </w:r>
    </w:p>
    <w:p w14:paraId="400F7DAB" w14:textId="77777777" w:rsidR="00C73974" w:rsidRDefault="00C73974">
      <w:pPr>
        <w:pStyle w:val="TOC5"/>
        <w:tabs>
          <w:tab w:val="left" w:pos="2183"/>
        </w:tabs>
        <w:rPr>
          <w:rFonts w:asciiTheme="minorHAnsi" w:eastAsiaTheme="minorEastAsia" w:hAnsiTheme="minorHAnsi" w:cstheme="minorBidi"/>
          <w:noProof/>
          <w:kern w:val="0"/>
          <w:sz w:val="22"/>
          <w:szCs w:val="22"/>
          <w:lang w:val="en-GB" w:eastAsia="en-GB"/>
        </w:rPr>
      </w:pPr>
      <w:r w:rsidRPr="00334F6C">
        <w:rPr>
          <w:noProof/>
          <w:u w:val="single"/>
        </w:rPr>
        <w:t>13</w:t>
      </w:r>
      <w:r>
        <w:rPr>
          <w:rFonts w:asciiTheme="minorHAnsi" w:eastAsiaTheme="minorEastAsia" w:hAnsiTheme="minorHAnsi" w:cstheme="minorBidi"/>
          <w:noProof/>
          <w:kern w:val="0"/>
          <w:sz w:val="22"/>
          <w:szCs w:val="22"/>
          <w:lang w:val="en-GB" w:eastAsia="en-GB"/>
        </w:rPr>
        <w:tab/>
      </w:r>
      <w:r w:rsidRPr="00334F6C">
        <w:rPr>
          <w:noProof/>
          <w:u w:val="single"/>
        </w:rPr>
        <w:t xml:space="preserve">Section 24—Measuring the proportion of methane in biogas, </w:t>
      </w:r>
      <w:r w:rsidRPr="00334F6C">
        <w:rPr>
          <w:i/>
          <w:noProof/>
          <w:u w:val="single"/>
        </w:rPr>
        <w:t>W</w:t>
      </w:r>
      <w:r w:rsidRPr="00334F6C">
        <w:rPr>
          <w:i/>
          <w:noProof/>
          <w:u w:val="single"/>
          <w:vertAlign w:val="subscript"/>
        </w:rPr>
        <w:t>BG, CH4</w:t>
      </w:r>
      <w:r>
        <w:rPr>
          <w:noProof/>
        </w:rPr>
        <w:tab/>
      </w:r>
      <w:r>
        <w:rPr>
          <w:noProof/>
        </w:rPr>
        <w:fldChar w:fldCharType="begin"/>
      </w:r>
      <w:r>
        <w:rPr>
          <w:noProof/>
        </w:rPr>
        <w:instrText xml:space="preserve"> PAGEREF _Toc17792705 \h </w:instrText>
      </w:r>
      <w:r>
        <w:rPr>
          <w:noProof/>
        </w:rPr>
      </w:r>
      <w:r>
        <w:rPr>
          <w:noProof/>
        </w:rPr>
        <w:fldChar w:fldCharType="separate"/>
      </w:r>
      <w:r w:rsidR="00053904">
        <w:rPr>
          <w:noProof/>
        </w:rPr>
        <w:t>8</w:t>
      </w:r>
      <w:r>
        <w:rPr>
          <w:noProof/>
        </w:rPr>
        <w:fldChar w:fldCharType="end"/>
      </w:r>
    </w:p>
    <w:p w14:paraId="400F7DAC" w14:textId="77777777" w:rsidR="00C73974" w:rsidRDefault="00C73974">
      <w:pPr>
        <w:pStyle w:val="TOC5"/>
        <w:tabs>
          <w:tab w:val="left" w:pos="2183"/>
        </w:tabs>
        <w:rPr>
          <w:rFonts w:asciiTheme="minorHAnsi" w:eastAsiaTheme="minorEastAsia" w:hAnsiTheme="minorHAnsi" w:cstheme="minorBidi"/>
          <w:noProof/>
          <w:kern w:val="0"/>
          <w:sz w:val="22"/>
          <w:szCs w:val="22"/>
          <w:lang w:val="en-GB" w:eastAsia="en-GB"/>
        </w:rPr>
      </w:pPr>
      <w:r w:rsidRPr="00334F6C">
        <w:rPr>
          <w:noProof/>
          <w:u w:val="single"/>
        </w:rPr>
        <w:t>14</w:t>
      </w:r>
      <w:r>
        <w:rPr>
          <w:rFonts w:asciiTheme="minorHAnsi" w:eastAsiaTheme="minorEastAsia" w:hAnsiTheme="minorHAnsi" w:cstheme="minorBidi"/>
          <w:noProof/>
          <w:kern w:val="0"/>
          <w:sz w:val="22"/>
          <w:szCs w:val="22"/>
          <w:lang w:val="en-GB" w:eastAsia="en-GB"/>
        </w:rPr>
        <w:tab/>
      </w:r>
      <w:r w:rsidRPr="00334F6C">
        <w:rPr>
          <w:noProof/>
          <w:u w:val="single"/>
        </w:rPr>
        <w:t xml:space="preserve">Section 24—Measuring the methane destruction efficiency of a combustion device, </w:t>
      </w:r>
      <w:r w:rsidRPr="00334F6C">
        <w:rPr>
          <w:i/>
          <w:noProof/>
          <w:u w:val="single"/>
        </w:rPr>
        <w:t>DE</w:t>
      </w:r>
      <w:r w:rsidRPr="00334F6C">
        <w:rPr>
          <w:i/>
          <w:noProof/>
          <w:u w:val="single"/>
          <w:vertAlign w:val="subscript"/>
        </w:rPr>
        <w:t>i</w:t>
      </w:r>
      <w:r>
        <w:rPr>
          <w:noProof/>
        </w:rPr>
        <w:tab/>
      </w:r>
      <w:r>
        <w:rPr>
          <w:noProof/>
        </w:rPr>
        <w:fldChar w:fldCharType="begin"/>
      </w:r>
      <w:r>
        <w:rPr>
          <w:noProof/>
        </w:rPr>
        <w:instrText xml:space="preserve"> PAGEREF _Toc17792706 \h </w:instrText>
      </w:r>
      <w:r>
        <w:rPr>
          <w:noProof/>
        </w:rPr>
      </w:r>
      <w:r>
        <w:rPr>
          <w:noProof/>
        </w:rPr>
        <w:fldChar w:fldCharType="separate"/>
      </w:r>
      <w:r w:rsidR="00053904">
        <w:rPr>
          <w:noProof/>
        </w:rPr>
        <w:t>8</w:t>
      </w:r>
      <w:r>
        <w:rPr>
          <w:noProof/>
        </w:rPr>
        <w:fldChar w:fldCharType="end"/>
      </w:r>
    </w:p>
    <w:p w14:paraId="400F7DAD" w14:textId="77777777" w:rsidR="00C73974" w:rsidRDefault="00C73974">
      <w:pPr>
        <w:pStyle w:val="TOC5"/>
        <w:tabs>
          <w:tab w:val="left" w:pos="2183"/>
        </w:tabs>
        <w:rPr>
          <w:rFonts w:asciiTheme="minorHAnsi" w:eastAsiaTheme="minorEastAsia" w:hAnsiTheme="minorHAnsi" w:cstheme="minorBidi"/>
          <w:noProof/>
          <w:kern w:val="0"/>
          <w:sz w:val="22"/>
          <w:szCs w:val="22"/>
          <w:lang w:val="en-GB" w:eastAsia="en-GB"/>
        </w:rPr>
      </w:pPr>
      <w:r w:rsidRPr="00334F6C">
        <w:rPr>
          <w:noProof/>
          <w:u w:val="single"/>
        </w:rPr>
        <w:t>15</w:t>
      </w:r>
      <w:r>
        <w:rPr>
          <w:rFonts w:asciiTheme="minorHAnsi" w:eastAsiaTheme="minorEastAsia" w:hAnsiTheme="minorHAnsi" w:cstheme="minorBidi"/>
          <w:noProof/>
          <w:kern w:val="0"/>
          <w:sz w:val="22"/>
          <w:szCs w:val="22"/>
          <w:lang w:val="en-GB" w:eastAsia="en-GB"/>
        </w:rPr>
        <w:tab/>
      </w:r>
      <w:r w:rsidRPr="00334F6C">
        <w:rPr>
          <w:noProof/>
          <w:u w:val="single"/>
        </w:rPr>
        <w:t xml:space="preserve">Section 24—Measuring the total amount of electricity produced by combustion device. </w:t>
      </w:r>
      <w:r w:rsidRPr="00334F6C">
        <w:rPr>
          <w:i/>
          <w:noProof/>
          <w:u w:val="single"/>
        </w:rPr>
        <w:t>Q</w:t>
      </w:r>
      <w:r w:rsidRPr="00334F6C">
        <w:rPr>
          <w:i/>
          <w:noProof/>
          <w:u w:val="single"/>
          <w:vertAlign w:val="subscript"/>
        </w:rPr>
        <w:t>EG, i</w:t>
      </w:r>
      <w:r>
        <w:rPr>
          <w:noProof/>
        </w:rPr>
        <w:tab/>
      </w:r>
      <w:r>
        <w:rPr>
          <w:noProof/>
        </w:rPr>
        <w:fldChar w:fldCharType="begin"/>
      </w:r>
      <w:r>
        <w:rPr>
          <w:noProof/>
        </w:rPr>
        <w:instrText xml:space="preserve"> PAGEREF _Toc17792707 \h </w:instrText>
      </w:r>
      <w:r>
        <w:rPr>
          <w:noProof/>
        </w:rPr>
      </w:r>
      <w:r>
        <w:rPr>
          <w:noProof/>
        </w:rPr>
        <w:fldChar w:fldCharType="separate"/>
      </w:r>
      <w:r w:rsidR="00053904">
        <w:rPr>
          <w:noProof/>
        </w:rPr>
        <w:t>9</w:t>
      </w:r>
      <w:r>
        <w:rPr>
          <w:noProof/>
        </w:rPr>
        <w:fldChar w:fldCharType="end"/>
      </w:r>
    </w:p>
    <w:p w14:paraId="400F7DAE" w14:textId="77777777" w:rsidR="00C73974" w:rsidRDefault="00C73974">
      <w:pPr>
        <w:pStyle w:val="TOC5"/>
        <w:tabs>
          <w:tab w:val="left" w:pos="2183"/>
        </w:tabs>
        <w:rPr>
          <w:rFonts w:asciiTheme="minorHAnsi" w:eastAsiaTheme="minorEastAsia" w:hAnsiTheme="minorHAnsi" w:cstheme="minorBidi"/>
          <w:noProof/>
          <w:kern w:val="0"/>
          <w:sz w:val="22"/>
          <w:szCs w:val="22"/>
          <w:lang w:val="en-GB" w:eastAsia="en-GB"/>
        </w:rPr>
      </w:pPr>
      <w:r w:rsidRPr="00334F6C">
        <w:rPr>
          <w:noProof/>
          <w:u w:val="single"/>
        </w:rPr>
        <w:t>16</w:t>
      </w:r>
      <w:r>
        <w:rPr>
          <w:rFonts w:asciiTheme="minorHAnsi" w:eastAsiaTheme="minorEastAsia" w:hAnsiTheme="minorHAnsi" w:cstheme="minorBidi"/>
          <w:noProof/>
          <w:kern w:val="0"/>
          <w:sz w:val="22"/>
          <w:szCs w:val="22"/>
          <w:lang w:val="en-GB" w:eastAsia="en-GB"/>
        </w:rPr>
        <w:tab/>
      </w:r>
      <w:r w:rsidRPr="00334F6C">
        <w:rPr>
          <w:noProof/>
          <w:u w:val="single"/>
        </w:rPr>
        <w:t xml:space="preserve">Section 24—Measuring the electrical efficiency of the combustion device, </w:t>
      </w:r>
      <w:r w:rsidRPr="00334F6C">
        <w:rPr>
          <w:i/>
          <w:noProof/>
          <w:u w:val="single"/>
        </w:rPr>
        <w:t>Effi</w:t>
      </w:r>
      <w:r>
        <w:rPr>
          <w:noProof/>
        </w:rPr>
        <w:tab/>
      </w:r>
      <w:r>
        <w:rPr>
          <w:noProof/>
        </w:rPr>
        <w:fldChar w:fldCharType="begin"/>
      </w:r>
      <w:r>
        <w:rPr>
          <w:noProof/>
        </w:rPr>
        <w:instrText xml:space="preserve"> PAGEREF _Toc17792708 \h </w:instrText>
      </w:r>
      <w:r>
        <w:rPr>
          <w:noProof/>
        </w:rPr>
      </w:r>
      <w:r>
        <w:rPr>
          <w:noProof/>
        </w:rPr>
        <w:fldChar w:fldCharType="separate"/>
      </w:r>
      <w:r w:rsidR="00053904">
        <w:rPr>
          <w:noProof/>
        </w:rPr>
        <w:t>9</w:t>
      </w:r>
      <w:r>
        <w:rPr>
          <w:noProof/>
        </w:rPr>
        <w:fldChar w:fldCharType="end"/>
      </w:r>
    </w:p>
    <w:p w14:paraId="400F7DAF" w14:textId="77777777" w:rsidR="00C73974" w:rsidRDefault="00C73974">
      <w:pPr>
        <w:pStyle w:val="TOC5"/>
        <w:tabs>
          <w:tab w:val="left" w:pos="2183"/>
        </w:tabs>
        <w:rPr>
          <w:rFonts w:asciiTheme="minorHAnsi" w:eastAsiaTheme="minorEastAsia" w:hAnsiTheme="minorHAnsi" w:cstheme="minorBidi"/>
          <w:noProof/>
          <w:kern w:val="0"/>
          <w:sz w:val="22"/>
          <w:szCs w:val="22"/>
          <w:lang w:val="en-GB" w:eastAsia="en-GB"/>
        </w:rPr>
      </w:pPr>
      <w:r w:rsidRPr="00334F6C">
        <w:rPr>
          <w:noProof/>
          <w:u w:val="single"/>
        </w:rPr>
        <w:t>17</w:t>
      </w:r>
      <w:r>
        <w:rPr>
          <w:rFonts w:asciiTheme="minorHAnsi" w:eastAsiaTheme="minorEastAsia" w:hAnsiTheme="minorHAnsi" w:cstheme="minorBidi"/>
          <w:noProof/>
          <w:kern w:val="0"/>
          <w:sz w:val="22"/>
          <w:szCs w:val="22"/>
          <w:lang w:val="en-GB" w:eastAsia="en-GB"/>
        </w:rPr>
        <w:tab/>
      </w:r>
      <w:r w:rsidRPr="00334F6C">
        <w:rPr>
          <w:noProof/>
          <w:u w:val="single"/>
        </w:rPr>
        <w:t xml:space="preserve">Section 25—Methane Conversion Factor, </w:t>
      </w:r>
      <w:r w:rsidRPr="00334F6C">
        <w:rPr>
          <w:i/>
          <w:noProof/>
          <w:u w:val="single"/>
        </w:rPr>
        <w:t>MCF</w:t>
      </w:r>
      <w:r w:rsidRPr="00334F6C">
        <w:rPr>
          <w:i/>
          <w:noProof/>
          <w:u w:val="single"/>
          <w:vertAlign w:val="subscript"/>
        </w:rPr>
        <w:t>n</w:t>
      </w:r>
      <w:r>
        <w:rPr>
          <w:noProof/>
        </w:rPr>
        <w:tab/>
      </w:r>
      <w:r>
        <w:rPr>
          <w:noProof/>
        </w:rPr>
        <w:fldChar w:fldCharType="begin"/>
      </w:r>
      <w:r>
        <w:rPr>
          <w:noProof/>
        </w:rPr>
        <w:instrText xml:space="preserve"> PAGEREF _Toc17792709 \h </w:instrText>
      </w:r>
      <w:r>
        <w:rPr>
          <w:noProof/>
        </w:rPr>
      </w:r>
      <w:r>
        <w:rPr>
          <w:noProof/>
        </w:rPr>
        <w:fldChar w:fldCharType="separate"/>
      </w:r>
      <w:r w:rsidR="00053904">
        <w:rPr>
          <w:noProof/>
        </w:rPr>
        <w:t>9</w:t>
      </w:r>
      <w:r>
        <w:rPr>
          <w:noProof/>
        </w:rPr>
        <w:fldChar w:fldCharType="end"/>
      </w:r>
    </w:p>
    <w:p w14:paraId="400F7DB0" w14:textId="77777777" w:rsidR="00C73974" w:rsidRDefault="00C73974">
      <w:pPr>
        <w:pStyle w:val="TOC5"/>
        <w:tabs>
          <w:tab w:val="left" w:pos="2183"/>
        </w:tabs>
        <w:rPr>
          <w:rFonts w:asciiTheme="minorHAnsi" w:eastAsiaTheme="minorEastAsia" w:hAnsiTheme="minorHAnsi" w:cstheme="minorBidi"/>
          <w:noProof/>
          <w:kern w:val="0"/>
          <w:sz w:val="22"/>
          <w:szCs w:val="22"/>
          <w:lang w:val="en-GB" w:eastAsia="en-GB"/>
        </w:rPr>
      </w:pPr>
      <w:r w:rsidRPr="00334F6C">
        <w:rPr>
          <w:noProof/>
          <w:u w:val="single"/>
        </w:rPr>
        <w:t>18</w:t>
      </w:r>
      <w:r>
        <w:rPr>
          <w:rFonts w:asciiTheme="minorHAnsi" w:eastAsiaTheme="minorEastAsia" w:hAnsiTheme="minorHAnsi" w:cstheme="minorBidi"/>
          <w:noProof/>
          <w:kern w:val="0"/>
          <w:sz w:val="22"/>
          <w:szCs w:val="22"/>
          <w:lang w:val="en-GB" w:eastAsia="en-GB"/>
        </w:rPr>
        <w:tab/>
      </w:r>
      <w:r w:rsidRPr="00334F6C">
        <w:rPr>
          <w:noProof/>
          <w:u w:val="single"/>
        </w:rPr>
        <w:t xml:space="preserve">Determining the amount of volatile solids in material type </w:t>
      </w:r>
      <w:r w:rsidRPr="00334F6C">
        <w:rPr>
          <w:i/>
          <w:noProof/>
          <w:u w:val="single"/>
        </w:rPr>
        <w:t>w</w:t>
      </w:r>
      <w:r>
        <w:rPr>
          <w:noProof/>
        </w:rPr>
        <w:tab/>
      </w:r>
      <w:r>
        <w:rPr>
          <w:noProof/>
        </w:rPr>
        <w:fldChar w:fldCharType="begin"/>
      </w:r>
      <w:r>
        <w:rPr>
          <w:noProof/>
        </w:rPr>
        <w:instrText xml:space="preserve"> PAGEREF _Toc17792710 \h </w:instrText>
      </w:r>
      <w:r>
        <w:rPr>
          <w:noProof/>
        </w:rPr>
      </w:r>
      <w:r>
        <w:rPr>
          <w:noProof/>
        </w:rPr>
        <w:fldChar w:fldCharType="separate"/>
      </w:r>
      <w:r w:rsidR="00053904">
        <w:rPr>
          <w:noProof/>
        </w:rPr>
        <w:t>10</w:t>
      </w:r>
      <w:r>
        <w:rPr>
          <w:noProof/>
        </w:rPr>
        <w:fldChar w:fldCharType="end"/>
      </w:r>
    </w:p>
    <w:p w14:paraId="400F7DB1" w14:textId="77777777" w:rsidR="00C73974" w:rsidRDefault="00C73974">
      <w:pPr>
        <w:pStyle w:val="TOC5"/>
        <w:tabs>
          <w:tab w:val="left" w:pos="2183"/>
        </w:tabs>
        <w:rPr>
          <w:rFonts w:asciiTheme="minorHAnsi" w:eastAsiaTheme="minorEastAsia" w:hAnsiTheme="minorHAnsi" w:cstheme="minorBidi"/>
          <w:noProof/>
          <w:kern w:val="0"/>
          <w:sz w:val="22"/>
          <w:szCs w:val="22"/>
          <w:lang w:val="en-GB" w:eastAsia="en-GB"/>
        </w:rPr>
      </w:pPr>
      <w:r w:rsidRPr="00334F6C">
        <w:rPr>
          <w:noProof/>
          <w:u w:val="single"/>
        </w:rPr>
        <w:t>19</w:t>
      </w:r>
      <w:r>
        <w:rPr>
          <w:rFonts w:asciiTheme="minorHAnsi" w:eastAsiaTheme="minorEastAsia" w:hAnsiTheme="minorHAnsi" w:cstheme="minorBidi"/>
          <w:noProof/>
          <w:kern w:val="0"/>
          <w:sz w:val="22"/>
          <w:szCs w:val="22"/>
          <w:lang w:val="en-GB" w:eastAsia="en-GB"/>
        </w:rPr>
        <w:tab/>
      </w:r>
      <w:r w:rsidRPr="00334F6C">
        <w:rPr>
          <w:noProof/>
          <w:u w:val="single"/>
        </w:rPr>
        <w:t xml:space="preserve">Section 30—fuel use attributable to operation of project facility, </w:t>
      </w:r>
      <w:r w:rsidRPr="00334F6C">
        <w:rPr>
          <w:i/>
          <w:noProof/>
          <w:u w:val="single"/>
        </w:rPr>
        <w:t>Q</w:t>
      </w:r>
      <w:r w:rsidRPr="00334F6C">
        <w:rPr>
          <w:i/>
          <w:noProof/>
          <w:u w:val="single"/>
          <w:vertAlign w:val="subscript"/>
        </w:rPr>
        <w:t>F, i</w:t>
      </w:r>
      <w:r>
        <w:rPr>
          <w:noProof/>
        </w:rPr>
        <w:tab/>
      </w:r>
      <w:r>
        <w:rPr>
          <w:noProof/>
        </w:rPr>
        <w:fldChar w:fldCharType="begin"/>
      </w:r>
      <w:r>
        <w:rPr>
          <w:noProof/>
        </w:rPr>
        <w:instrText xml:space="preserve"> PAGEREF _Toc17792711 \h </w:instrText>
      </w:r>
      <w:r>
        <w:rPr>
          <w:noProof/>
        </w:rPr>
      </w:r>
      <w:r>
        <w:rPr>
          <w:noProof/>
        </w:rPr>
        <w:fldChar w:fldCharType="separate"/>
      </w:r>
      <w:r w:rsidR="00053904">
        <w:rPr>
          <w:noProof/>
        </w:rPr>
        <w:t>12</w:t>
      </w:r>
      <w:r>
        <w:rPr>
          <w:noProof/>
        </w:rPr>
        <w:fldChar w:fldCharType="end"/>
      </w:r>
    </w:p>
    <w:p w14:paraId="400F7DB2" w14:textId="77777777" w:rsidR="00C73974" w:rsidRDefault="00C73974">
      <w:pPr>
        <w:pStyle w:val="TOC5"/>
        <w:tabs>
          <w:tab w:val="left" w:pos="2183"/>
        </w:tabs>
        <w:rPr>
          <w:rFonts w:asciiTheme="minorHAnsi" w:eastAsiaTheme="minorEastAsia" w:hAnsiTheme="minorHAnsi" w:cstheme="minorBidi"/>
          <w:noProof/>
          <w:kern w:val="0"/>
          <w:sz w:val="22"/>
          <w:szCs w:val="22"/>
          <w:lang w:val="en-GB" w:eastAsia="en-GB"/>
        </w:rPr>
      </w:pPr>
      <w:r w:rsidRPr="00334F6C">
        <w:rPr>
          <w:noProof/>
          <w:u w:val="single"/>
        </w:rPr>
        <w:t>20</w:t>
      </w:r>
      <w:r>
        <w:rPr>
          <w:rFonts w:asciiTheme="minorHAnsi" w:eastAsiaTheme="minorEastAsia" w:hAnsiTheme="minorHAnsi" w:cstheme="minorBidi"/>
          <w:noProof/>
          <w:kern w:val="0"/>
          <w:sz w:val="22"/>
          <w:szCs w:val="22"/>
          <w:lang w:val="en-GB" w:eastAsia="en-GB"/>
        </w:rPr>
        <w:tab/>
      </w:r>
      <w:r w:rsidRPr="00334F6C">
        <w:rPr>
          <w:noProof/>
          <w:u w:val="single"/>
        </w:rPr>
        <w:t xml:space="preserve">Section 31—the amount of purchased electricity that is specifically attributable to the operation of the project facility, </w:t>
      </w:r>
      <w:r w:rsidRPr="00334F6C">
        <w:rPr>
          <w:i/>
          <w:noProof/>
          <w:u w:val="single"/>
        </w:rPr>
        <w:t>Q</w:t>
      </w:r>
      <w:r w:rsidRPr="00334F6C">
        <w:rPr>
          <w:i/>
          <w:noProof/>
          <w:u w:val="single"/>
          <w:vertAlign w:val="subscript"/>
        </w:rPr>
        <w:t>PE</w:t>
      </w:r>
      <w:r>
        <w:rPr>
          <w:noProof/>
        </w:rPr>
        <w:tab/>
      </w:r>
      <w:r>
        <w:rPr>
          <w:noProof/>
        </w:rPr>
        <w:fldChar w:fldCharType="begin"/>
      </w:r>
      <w:r>
        <w:rPr>
          <w:noProof/>
        </w:rPr>
        <w:instrText xml:space="preserve"> PAGEREF _Toc17792712 \h </w:instrText>
      </w:r>
      <w:r>
        <w:rPr>
          <w:noProof/>
        </w:rPr>
      </w:r>
      <w:r>
        <w:rPr>
          <w:noProof/>
        </w:rPr>
        <w:fldChar w:fldCharType="separate"/>
      </w:r>
      <w:r w:rsidR="00053904">
        <w:rPr>
          <w:noProof/>
        </w:rPr>
        <w:t>12</w:t>
      </w:r>
      <w:r>
        <w:rPr>
          <w:noProof/>
        </w:rPr>
        <w:fldChar w:fldCharType="end"/>
      </w:r>
    </w:p>
    <w:p w14:paraId="400F7DB3" w14:textId="77777777" w:rsidR="00C73974" w:rsidRDefault="00C73974">
      <w:pPr>
        <w:pStyle w:val="TOC5"/>
        <w:tabs>
          <w:tab w:val="left" w:pos="2183"/>
        </w:tabs>
        <w:rPr>
          <w:rFonts w:asciiTheme="minorHAnsi" w:eastAsiaTheme="minorEastAsia" w:hAnsiTheme="minorHAnsi" w:cstheme="minorBidi"/>
          <w:noProof/>
          <w:kern w:val="0"/>
          <w:sz w:val="22"/>
          <w:szCs w:val="22"/>
          <w:lang w:val="en-GB" w:eastAsia="en-GB"/>
        </w:rPr>
      </w:pPr>
      <w:r w:rsidRPr="00334F6C">
        <w:rPr>
          <w:noProof/>
          <w:u w:val="single"/>
        </w:rPr>
        <w:t>21</w:t>
      </w:r>
      <w:r>
        <w:rPr>
          <w:rFonts w:asciiTheme="minorHAnsi" w:eastAsiaTheme="minorEastAsia" w:hAnsiTheme="minorHAnsi" w:cstheme="minorBidi"/>
          <w:noProof/>
          <w:kern w:val="0"/>
          <w:sz w:val="22"/>
          <w:szCs w:val="22"/>
          <w:lang w:val="en-GB" w:eastAsia="en-GB"/>
        </w:rPr>
        <w:tab/>
      </w:r>
      <w:r w:rsidRPr="00334F6C">
        <w:rPr>
          <w:noProof/>
          <w:u w:val="single"/>
        </w:rPr>
        <w:t>Section 32—post-diversion methane conversion factor, MCF</w:t>
      </w:r>
      <w:r w:rsidRPr="00334F6C">
        <w:rPr>
          <w:noProof/>
          <w:u w:val="single"/>
          <w:vertAlign w:val="subscript"/>
        </w:rPr>
        <w:t>Post, n</w:t>
      </w:r>
      <w:r>
        <w:rPr>
          <w:noProof/>
        </w:rPr>
        <w:tab/>
      </w:r>
      <w:r>
        <w:rPr>
          <w:noProof/>
        </w:rPr>
        <w:fldChar w:fldCharType="begin"/>
      </w:r>
      <w:r>
        <w:rPr>
          <w:noProof/>
        </w:rPr>
        <w:instrText xml:space="preserve"> PAGEREF _Toc17792713 \h </w:instrText>
      </w:r>
      <w:r>
        <w:rPr>
          <w:noProof/>
        </w:rPr>
      </w:r>
      <w:r>
        <w:rPr>
          <w:noProof/>
        </w:rPr>
        <w:fldChar w:fldCharType="separate"/>
      </w:r>
      <w:r w:rsidR="00053904">
        <w:rPr>
          <w:noProof/>
        </w:rPr>
        <w:t>12</w:t>
      </w:r>
      <w:r>
        <w:rPr>
          <w:noProof/>
        </w:rPr>
        <w:fldChar w:fldCharType="end"/>
      </w:r>
    </w:p>
    <w:p w14:paraId="400F7DB4" w14:textId="77777777" w:rsidR="00C73974" w:rsidRDefault="00C73974">
      <w:pPr>
        <w:pStyle w:val="TOC5"/>
        <w:tabs>
          <w:tab w:val="left" w:pos="2183"/>
        </w:tabs>
        <w:rPr>
          <w:rFonts w:asciiTheme="minorHAnsi" w:eastAsiaTheme="minorEastAsia" w:hAnsiTheme="minorHAnsi" w:cstheme="minorBidi"/>
          <w:noProof/>
          <w:kern w:val="0"/>
          <w:sz w:val="22"/>
          <w:szCs w:val="22"/>
          <w:lang w:val="en-GB" w:eastAsia="en-GB"/>
        </w:rPr>
      </w:pPr>
      <w:r w:rsidRPr="00334F6C">
        <w:rPr>
          <w:noProof/>
          <w:u w:val="single"/>
        </w:rPr>
        <w:t>22</w:t>
      </w:r>
      <w:r>
        <w:rPr>
          <w:rFonts w:asciiTheme="minorHAnsi" w:eastAsiaTheme="minorEastAsia" w:hAnsiTheme="minorHAnsi" w:cstheme="minorBidi"/>
          <w:noProof/>
          <w:kern w:val="0"/>
          <w:sz w:val="22"/>
          <w:szCs w:val="22"/>
          <w:lang w:val="en-GB" w:eastAsia="en-GB"/>
        </w:rPr>
        <w:tab/>
      </w:r>
      <w:r w:rsidRPr="00334F6C">
        <w:rPr>
          <w:noProof/>
          <w:u w:val="single"/>
        </w:rPr>
        <w:t xml:space="preserve">Section 32—the methane-producing capacity for the volatile solids, </w:t>
      </w:r>
      <w:r w:rsidRPr="00334F6C">
        <w:rPr>
          <w:i/>
          <w:noProof/>
          <w:u w:val="single"/>
        </w:rPr>
        <w:t>B</w:t>
      </w:r>
      <w:r w:rsidRPr="00334F6C">
        <w:rPr>
          <w:i/>
          <w:noProof/>
          <w:u w:val="single"/>
          <w:vertAlign w:val="subscript"/>
        </w:rPr>
        <w:t>0,Div</w:t>
      </w:r>
      <w:r w:rsidRPr="00334F6C">
        <w:rPr>
          <w:noProof/>
          <w:u w:val="single"/>
          <w:vertAlign w:val="subscript"/>
        </w:rPr>
        <w:t>, w</w:t>
      </w:r>
      <w:r>
        <w:rPr>
          <w:noProof/>
        </w:rPr>
        <w:tab/>
      </w:r>
      <w:r>
        <w:rPr>
          <w:noProof/>
        </w:rPr>
        <w:fldChar w:fldCharType="begin"/>
      </w:r>
      <w:r>
        <w:rPr>
          <w:noProof/>
        </w:rPr>
        <w:instrText xml:space="preserve"> PAGEREF _Toc17792714 \h </w:instrText>
      </w:r>
      <w:r>
        <w:rPr>
          <w:noProof/>
        </w:rPr>
      </w:r>
      <w:r>
        <w:rPr>
          <w:noProof/>
        </w:rPr>
        <w:fldChar w:fldCharType="separate"/>
      </w:r>
      <w:r w:rsidR="00053904">
        <w:rPr>
          <w:noProof/>
        </w:rPr>
        <w:t>12</w:t>
      </w:r>
      <w:r>
        <w:rPr>
          <w:noProof/>
        </w:rPr>
        <w:fldChar w:fldCharType="end"/>
      </w:r>
    </w:p>
    <w:p w14:paraId="400F7DB5" w14:textId="77777777" w:rsidR="00C73974" w:rsidRDefault="00C73974">
      <w:pPr>
        <w:pStyle w:val="TOC5"/>
        <w:tabs>
          <w:tab w:val="left" w:pos="2183"/>
        </w:tabs>
        <w:rPr>
          <w:rFonts w:asciiTheme="minorHAnsi" w:eastAsiaTheme="minorEastAsia" w:hAnsiTheme="minorHAnsi" w:cstheme="minorBidi"/>
          <w:noProof/>
          <w:kern w:val="0"/>
          <w:sz w:val="22"/>
          <w:szCs w:val="22"/>
          <w:lang w:val="en-GB" w:eastAsia="en-GB"/>
        </w:rPr>
      </w:pPr>
      <w:r w:rsidRPr="00334F6C">
        <w:rPr>
          <w:noProof/>
          <w:u w:val="single"/>
        </w:rPr>
        <w:t>23</w:t>
      </w:r>
      <w:r>
        <w:rPr>
          <w:rFonts w:asciiTheme="minorHAnsi" w:eastAsiaTheme="minorEastAsia" w:hAnsiTheme="minorHAnsi" w:cstheme="minorBidi"/>
          <w:noProof/>
          <w:kern w:val="0"/>
          <w:sz w:val="22"/>
          <w:szCs w:val="22"/>
          <w:lang w:val="en-GB" w:eastAsia="en-GB"/>
        </w:rPr>
        <w:tab/>
      </w:r>
      <w:r w:rsidRPr="00334F6C">
        <w:rPr>
          <w:noProof/>
          <w:u w:val="single"/>
        </w:rPr>
        <w:t xml:space="preserve">Section 32—nitrous oxide conversion factor,  </w:t>
      </w:r>
      <w:r w:rsidRPr="00334F6C">
        <w:rPr>
          <w:i/>
          <w:noProof/>
          <w:u w:val="single"/>
        </w:rPr>
        <w:t>N</w:t>
      </w:r>
      <w:r w:rsidRPr="00334F6C">
        <w:rPr>
          <w:i/>
          <w:noProof/>
          <w:u w:val="single"/>
          <w:vertAlign w:val="subscript"/>
        </w:rPr>
        <w:t>2</w:t>
      </w:r>
      <w:r w:rsidRPr="00334F6C">
        <w:rPr>
          <w:i/>
          <w:noProof/>
          <w:u w:val="single"/>
        </w:rPr>
        <w:t>O-N</w:t>
      </w:r>
      <w:r w:rsidRPr="00334F6C">
        <w:rPr>
          <w:i/>
          <w:noProof/>
          <w:u w:val="single"/>
          <w:vertAlign w:val="subscript"/>
        </w:rPr>
        <w:t>CF</w:t>
      </w:r>
      <w:r>
        <w:rPr>
          <w:noProof/>
        </w:rPr>
        <w:tab/>
      </w:r>
      <w:r>
        <w:rPr>
          <w:noProof/>
        </w:rPr>
        <w:fldChar w:fldCharType="begin"/>
      </w:r>
      <w:r>
        <w:rPr>
          <w:noProof/>
        </w:rPr>
        <w:instrText xml:space="preserve"> PAGEREF _Toc17792715 \h </w:instrText>
      </w:r>
      <w:r>
        <w:rPr>
          <w:noProof/>
        </w:rPr>
      </w:r>
      <w:r>
        <w:rPr>
          <w:noProof/>
        </w:rPr>
        <w:fldChar w:fldCharType="separate"/>
      </w:r>
      <w:r w:rsidR="00053904">
        <w:rPr>
          <w:noProof/>
        </w:rPr>
        <w:t>13</w:t>
      </w:r>
      <w:r>
        <w:rPr>
          <w:noProof/>
        </w:rPr>
        <w:fldChar w:fldCharType="end"/>
      </w:r>
    </w:p>
    <w:p w14:paraId="400F7DB6" w14:textId="2F2C8448" w:rsidR="00C73974" w:rsidRDefault="00C73974">
      <w:pPr>
        <w:pStyle w:val="TOC5"/>
        <w:tabs>
          <w:tab w:val="left" w:pos="2183"/>
        </w:tabs>
        <w:rPr>
          <w:rFonts w:asciiTheme="minorHAnsi" w:eastAsiaTheme="minorEastAsia" w:hAnsiTheme="minorHAnsi" w:cstheme="minorBidi"/>
          <w:noProof/>
          <w:kern w:val="0"/>
          <w:sz w:val="22"/>
          <w:szCs w:val="22"/>
          <w:lang w:val="en-GB" w:eastAsia="en-GB"/>
        </w:rPr>
      </w:pPr>
      <w:r w:rsidRPr="00334F6C">
        <w:rPr>
          <w:noProof/>
          <w:u w:val="single"/>
        </w:rPr>
        <w:t>24</w:t>
      </w:r>
      <w:r>
        <w:rPr>
          <w:rFonts w:asciiTheme="minorHAnsi" w:eastAsiaTheme="minorEastAsia" w:hAnsiTheme="minorHAnsi" w:cstheme="minorBidi"/>
          <w:noProof/>
          <w:kern w:val="0"/>
          <w:sz w:val="22"/>
          <w:szCs w:val="22"/>
          <w:lang w:val="en-GB" w:eastAsia="en-GB"/>
        </w:rPr>
        <w:tab/>
      </w:r>
      <w:r w:rsidR="003D7380">
        <w:rPr>
          <w:noProof/>
          <w:u w:val="single"/>
        </w:rPr>
        <w:t>Section 32</w:t>
      </w:r>
      <w:r w:rsidRPr="00334F6C">
        <w:rPr>
          <w:noProof/>
          <w:u w:val="single"/>
        </w:rPr>
        <w:t xml:space="preserve">—nitrous oxide emission factor, </w:t>
      </w:r>
      <w:r w:rsidRPr="00334F6C">
        <w:rPr>
          <w:i/>
          <w:noProof/>
          <w:u w:val="single"/>
        </w:rPr>
        <w:t>INOEF</w:t>
      </w:r>
      <w:r w:rsidR="00FF6394" w:rsidRPr="00FF6394">
        <w:rPr>
          <w:i/>
          <w:u w:val="single"/>
          <w:vertAlign w:val="subscript"/>
        </w:rPr>
        <w:t xml:space="preserve">Post </w:t>
      </w:r>
      <w:r w:rsidRPr="00FF6394">
        <w:rPr>
          <w:i/>
          <w:noProof/>
          <w:u w:val="single"/>
          <w:vertAlign w:val="subscript"/>
        </w:rPr>
        <w:t>n</w:t>
      </w:r>
      <w:r>
        <w:rPr>
          <w:noProof/>
        </w:rPr>
        <w:tab/>
      </w:r>
      <w:r>
        <w:rPr>
          <w:noProof/>
        </w:rPr>
        <w:fldChar w:fldCharType="begin"/>
      </w:r>
      <w:r>
        <w:rPr>
          <w:noProof/>
        </w:rPr>
        <w:instrText xml:space="preserve"> PAGEREF _Toc17792716 \h </w:instrText>
      </w:r>
      <w:r>
        <w:rPr>
          <w:noProof/>
        </w:rPr>
      </w:r>
      <w:r>
        <w:rPr>
          <w:noProof/>
        </w:rPr>
        <w:fldChar w:fldCharType="separate"/>
      </w:r>
      <w:r w:rsidR="00053904">
        <w:rPr>
          <w:noProof/>
        </w:rPr>
        <w:t>13</w:t>
      </w:r>
      <w:r>
        <w:rPr>
          <w:noProof/>
        </w:rPr>
        <w:fldChar w:fldCharType="end"/>
      </w:r>
    </w:p>
    <w:p w14:paraId="400F7DB7" w14:textId="77777777" w:rsidR="00C73974" w:rsidRDefault="00C73974">
      <w:pPr>
        <w:pStyle w:val="TOC5"/>
        <w:tabs>
          <w:tab w:val="left" w:pos="2183"/>
        </w:tabs>
        <w:rPr>
          <w:rFonts w:asciiTheme="minorHAnsi" w:eastAsiaTheme="minorEastAsia" w:hAnsiTheme="minorHAnsi" w:cstheme="minorBidi"/>
          <w:noProof/>
          <w:kern w:val="0"/>
          <w:sz w:val="22"/>
          <w:szCs w:val="22"/>
          <w:lang w:val="en-GB" w:eastAsia="en-GB"/>
        </w:rPr>
      </w:pPr>
      <w:r w:rsidRPr="00334F6C">
        <w:rPr>
          <w:noProof/>
          <w:u w:val="single"/>
        </w:rPr>
        <w:t>25</w:t>
      </w:r>
      <w:r>
        <w:rPr>
          <w:rFonts w:asciiTheme="minorHAnsi" w:eastAsiaTheme="minorEastAsia" w:hAnsiTheme="minorHAnsi" w:cstheme="minorBidi"/>
          <w:noProof/>
          <w:kern w:val="0"/>
          <w:sz w:val="22"/>
          <w:szCs w:val="22"/>
          <w:lang w:val="en-GB" w:eastAsia="en-GB"/>
        </w:rPr>
        <w:tab/>
      </w:r>
      <w:r w:rsidRPr="00334F6C">
        <w:rPr>
          <w:noProof/>
          <w:u w:val="single"/>
        </w:rPr>
        <w:t xml:space="preserve">Section 32—the amount of nitrogen in material type </w:t>
      </w:r>
      <w:r w:rsidRPr="00334F6C">
        <w:rPr>
          <w:i/>
          <w:noProof/>
          <w:u w:val="single"/>
        </w:rPr>
        <w:t>w, N</w:t>
      </w:r>
      <w:r w:rsidRPr="00334F6C">
        <w:rPr>
          <w:rFonts w:eastAsia="Calibri"/>
          <w:i/>
          <w:noProof/>
          <w:u w:val="single"/>
          <w:vertAlign w:val="subscript"/>
        </w:rPr>
        <w:t>Div, w, n</w:t>
      </w:r>
      <w:r>
        <w:rPr>
          <w:noProof/>
        </w:rPr>
        <w:tab/>
      </w:r>
      <w:r>
        <w:rPr>
          <w:noProof/>
        </w:rPr>
        <w:fldChar w:fldCharType="begin"/>
      </w:r>
      <w:r>
        <w:rPr>
          <w:noProof/>
        </w:rPr>
        <w:instrText xml:space="preserve"> PAGEREF _Toc17792717 \h </w:instrText>
      </w:r>
      <w:r>
        <w:rPr>
          <w:noProof/>
        </w:rPr>
      </w:r>
      <w:r>
        <w:rPr>
          <w:noProof/>
        </w:rPr>
        <w:fldChar w:fldCharType="separate"/>
      </w:r>
      <w:r w:rsidR="00053904">
        <w:rPr>
          <w:noProof/>
        </w:rPr>
        <w:t>13</w:t>
      </w:r>
      <w:r>
        <w:rPr>
          <w:noProof/>
        </w:rPr>
        <w:fldChar w:fldCharType="end"/>
      </w:r>
    </w:p>
    <w:p w14:paraId="400F7DB8" w14:textId="77777777" w:rsidR="00C73974" w:rsidRDefault="00C73974">
      <w:pPr>
        <w:pStyle w:val="TOC2"/>
        <w:rPr>
          <w:rFonts w:asciiTheme="minorHAnsi" w:eastAsiaTheme="minorEastAsia" w:hAnsiTheme="minorHAnsi" w:cstheme="minorBidi"/>
          <w:b w:val="0"/>
          <w:noProof/>
          <w:kern w:val="0"/>
          <w:sz w:val="22"/>
          <w:szCs w:val="22"/>
          <w:lang w:val="en-GB" w:eastAsia="en-GB"/>
        </w:rPr>
      </w:pPr>
      <w:r>
        <w:rPr>
          <w:noProof/>
        </w:rPr>
        <w:t>Part 4—Recordkeeping</w:t>
      </w:r>
      <w:r>
        <w:rPr>
          <w:noProof/>
        </w:rPr>
        <w:tab/>
      </w:r>
      <w:r>
        <w:rPr>
          <w:noProof/>
        </w:rPr>
        <w:fldChar w:fldCharType="begin"/>
      </w:r>
      <w:r>
        <w:rPr>
          <w:noProof/>
        </w:rPr>
        <w:instrText xml:space="preserve"> PAGEREF _Toc17792718 \h </w:instrText>
      </w:r>
      <w:r>
        <w:rPr>
          <w:noProof/>
        </w:rPr>
      </w:r>
      <w:r>
        <w:rPr>
          <w:noProof/>
        </w:rPr>
        <w:fldChar w:fldCharType="separate"/>
      </w:r>
      <w:r w:rsidR="00053904">
        <w:rPr>
          <w:noProof/>
        </w:rPr>
        <w:t>15</w:t>
      </w:r>
      <w:r>
        <w:rPr>
          <w:noProof/>
        </w:rPr>
        <w:fldChar w:fldCharType="end"/>
      </w:r>
    </w:p>
    <w:p w14:paraId="400F7DB9" w14:textId="77777777" w:rsidR="00C73974" w:rsidRDefault="00C73974">
      <w:pPr>
        <w:pStyle w:val="TOC5"/>
        <w:tabs>
          <w:tab w:val="left" w:pos="2183"/>
        </w:tabs>
        <w:rPr>
          <w:rFonts w:asciiTheme="minorHAnsi" w:eastAsiaTheme="minorEastAsia" w:hAnsiTheme="minorHAnsi" w:cstheme="minorBidi"/>
          <w:noProof/>
          <w:kern w:val="0"/>
          <w:sz w:val="22"/>
          <w:szCs w:val="22"/>
          <w:lang w:val="en-GB" w:eastAsia="en-GB"/>
        </w:rPr>
      </w:pPr>
      <w:r w:rsidRPr="00334F6C">
        <w:rPr>
          <w:noProof/>
          <w:u w:val="single"/>
        </w:rPr>
        <w:t>26</w:t>
      </w:r>
      <w:r>
        <w:rPr>
          <w:rFonts w:asciiTheme="minorHAnsi" w:eastAsiaTheme="minorEastAsia" w:hAnsiTheme="minorHAnsi" w:cstheme="minorBidi"/>
          <w:noProof/>
          <w:kern w:val="0"/>
          <w:sz w:val="22"/>
          <w:szCs w:val="22"/>
          <w:lang w:val="en-GB" w:eastAsia="en-GB"/>
        </w:rPr>
        <w:tab/>
      </w:r>
      <w:r w:rsidRPr="00334F6C">
        <w:rPr>
          <w:noProof/>
          <w:u w:val="single"/>
        </w:rPr>
        <w:t>Sections 38 and 39—Record-keeping requirements</w:t>
      </w:r>
      <w:r>
        <w:rPr>
          <w:noProof/>
        </w:rPr>
        <w:tab/>
      </w:r>
      <w:r>
        <w:rPr>
          <w:noProof/>
        </w:rPr>
        <w:fldChar w:fldCharType="begin"/>
      </w:r>
      <w:r>
        <w:rPr>
          <w:noProof/>
        </w:rPr>
        <w:instrText xml:space="preserve"> PAGEREF _Toc17792719 \h </w:instrText>
      </w:r>
      <w:r>
        <w:rPr>
          <w:noProof/>
        </w:rPr>
      </w:r>
      <w:r>
        <w:rPr>
          <w:noProof/>
        </w:rPr>
        <w:fldChar w:fldCharType="separate"/>
      </w:r>
      <w:r w:rsidR="00053904">
        <w:rPr>
          <w:noProof/>
        </w:rPr>
        <w:t>15</w:t>
      </w:r>
      <w:r>
        <w:rPr>
          <w:noProof/>
        </w:rPr>
        <w:fldChar w:fldCharType="end"/>
      </w:r>
    </w:p>
    <w:p w14:paraId="400F7DBA" w14:textId="77777777" w:rsidR="00C73974" w:rsidRDefault="00C73974">
      <w:pPr>
        <w:pStyle w:val="TOC5"/>
        <w:tabs>
          <w:tab w:val="left" w:pos="2183"/>
        </w:tabs>
        <w:rPr>
          <w:rFonts w:asciiTheme="minorHAnsi" w:eastAsiaTheme="minorEastAsia" w:hAnsiTheme="minorHAnsi" w:cstheme="minorBidi"/>
          <w:noProof/>
          <w:kern w:val="0"/>
          <w:sz w:val="22"/>
          <w:szCs w:val="22"/>
          <w:lang w:val="en-GB" w:eastAsia="en-GB"/>
        </w:rPr>
      </w:pPr>
      <w:r w:rsidRPr="00334F6C">
        <w:rPr>
          <w:noProof/>
          <w:u w:val="single"/>
        </w:rPr>
        <w:t>27</w:t>
      </w:r>
      <w:r>
        <w:rPr>
          <w:rFonts w:asciiTheme="minorHAnsi" w:eastAsiaTheme="minorEastAsia" w:hAnsiTheme="minorHAnsi" w:cstheme="minorBidi"/>
          <w:noProof/>
          <w:kern w:val="0"/>
          <w:sz w:val="22"/>
          <w:szCs w:val="22"/>
          <w:lang w:val="en-GB" w:eastAsia="en-GB"/>
        </w:rPr>
        <w:tab/>
      </w:r>
      <w:r w:rsidRPr="00334F6C">
        <w:rPr>
          <w:noProof/>
          <w:u w:val="single"/>
        </w:rPr>
        <w:t>Section 39—Biogas composition for methane destruction projects</w:t>
      </w:r>
      <w:r>
        <w:rPr>
          <w:noProof/>
        </w:rPr>
        <w:tab/>
      </w:r>
      <w:r>
        <w:rPr>
          <w:noProof/>
        </w:rPr>
        <w:fldChar w:fldCharType="begin"/>
      </w:r>
      <w:r>
        <w:rPr>
          <w:noProof/>
        </w:rPr>
        <w:instrText xml:space="preserve"> PAGEREF _Toc17792720 \h </w:instrText>
      </w:r>
      <w:r>
        <w:rPr>
          <w:noProof/>
        </w:rPr>
      </w:r>
      <w:r>
        <w:rPr>
          <w:noProof/>
        </w:rPr>
        <w:fldChar w:fldCharType="separate"/>
      </w:r>
      <w:r w:rsidR="00053904">
        <w:rPr>
          <w:noProof/>
        </w:rPr>
        <w:t>15</w:t>
      </w:r>
      <w:r>
        <w:rPr>
          <w:noProof/>
        </w:rPr>
        <w:fldChar w:fldCharType="end"/>
      </w:r>
    </w:p>
    <w:p w14:paraId="400F7DBB" w14:textId="77777777" w:rsidR="00C73974" w:rsidRDefault="00C73974">
      <w:pPr>
        <w:pStyle w:val="TOC5"/>
        <w:tabs>
          <w:tab w:val="left" w:pos="2183"/>
        </w:tabs>
        <w:rPr>
          <w:rFonts w:asciiTheme="minorHAnsi" w:eastAsiaTheme="minorEastAsia" w:hAnsiTheme="minorHAnsi" w:cstheme="minorBidi"/>
          <w:noProof/>
          <w:kern w:val="0"/>
          <w:sz w:val="22"/>
          <w:szCs w:val="22"/>
          <w:lang w:val="en-GB" w:eastAsia="en-GB"/>
        </w:rPr>
      </w:pPr>
      <w:r w:rsidRPr="00334F6C">
        <w:rPr>
          <w:noProof/>
          <w:u w:val="single"/>
        </w:rPr>
        <w:t>28</w:t>
      </w:r>
      <w:r>
        <w:rPr>
          <w:rFonts w:asciiTheme="minorHAnsi" w:eastAsiaTheme="minorEastAsia" w:hAnsiTheme="minorHAnsi" w:cstheme="minorBidi"/>
          <w:noProof/>
          <w:kern w:val="0"/>
          <w:sz w:val="22"/>
          <w:szCs w:val="22"/>
          <w:lang w:val="en-GB" w:eastAsia="en-GB"/>
        </w:rPr>
        <w:tab/>
      </w:r>
      <w:r w:rsidRPr="00334F6C">
        <w:rPr>
          <w:noProof/>
          <w:u w:val="single"/>
        </w:rPr>
        <w:t>Section 41—Monitoring equipment</w:t>
      </w:r>
      <w:r>
        <w:rPr>
          <w:noProof/>
        </w:rPr>
        <w:tab/>
      </w:r>
      <w:r>
        <w:rPr>
          <w:noProof/>
        </w:rPr>
        <w:fldChar w:fldCharType="begin"/>
      </w:r>
      <w:r>
        <w:rPr>
          <w:noProof/>
        </w:rPr>
        <w:instrText xml:space="preserve"> PAGEREF _Toc17792721 \h </w:instrText>
      </w:r>
      <w:r>
        <w:rPr>
          <w:noProof/>
        </w:rPr>
      </w:r>
      <w:r>
        <w:rPr>
          <w:noProof/>
        </w:rPr>
        <w:fldChar w:fldCharType="separate"/>
      </w:r>
      <w:r w:rsidR="00053904">
        <w:rPr>
          <w:noProof/>
        </w:rPr>
        <w:t>15</w:t>
      </w:r>
      <w:r>
        <w:rPr>
          <w:noProof/>
        </w:rPr>
        <w:fldChar w:fldCharType="end"/>
      </w:r>
    </w:p>
    <w:p w14:paraId="400F7DBC" w14:textId="77777777" w:rsidR="00C73974" w:rsidRDefault="00C73974">
      <w:pPr>
        <w:pStyle w:val="TOC2"/>
        <w:rPr>
          <w:rFonts w:asciiTheme="minorHAnsi" w:eastAsiaTheme="minorEastAsia" w:hAnsiTheme="minorHAnsi" w:cstheme="minorBidi"/>
          <w:b w:val="0"/>
          <w:noProof/>
          <w:kern w:val="0"/>
          <w:sz w:val="22"/>
          <w:szCs w:val="22"/>
          <w:lang w:val="en-GB" w:eastAsia="en-GB"/>
        </w:rPr>
      </w:pPr>
      <w:r>
        <w:rPr>
          <w:noProof/>
        </w:rPr>
        <w:t>Part 5—Monitoring</w:t>
      </w:r>
      <w:r>
        <w:rPr>
          <w:noProof/>
        </w:rPr>
        <w:tab/>
      </w:r>
      <w:r>
        <w:rPr>
          <w:noProof/>
        </w:rPr>
        <w:fldChar w:fldCharType="begin"/>
      </w:r>
      <w:r>
        <w:rPr>
          <w:noProof/>
        </w:rPr>
        <w:instrText xml:space="preserve"> PAGEREF _Toc17792722 \h </w:instrText>
      </w:r>
      <w:r>
        <w:rPr>
          <w:noProof/>
        </w:rPr>
      </w:r>
      <w:r>
        <w:rPr>
          <w:noProof/>
        </w:rPr>
        <w:fldChar w:fldCharType="separate"/>
      </w:r>
      <w:r w:rsidR="00053904">
        <w:rPr>
          <w:noProof/>
        </w:rPr>
        <w:t>17</w:t>
      </w:r>
      <w:r>
        <w:rPr>
          <w:noProof/>
        </w:rPr>
        <w:fldChar w:fldCharType="end"/>
      </w:r>
    </w:p>
    <w:p w14:paraId="400F7DBD" w14:textId="77777777" w:rsidR="00C73974" w:rsidRDefault="00C73974">
      <w:pPr>
        <w:pStyle w:val="TOC5"/>
        <w:tabs>
          <w:tab w:val="left" w:pos="2183"/>
        </w:tabs>
        <w:rPr>
          <w:rFonts w:asciiTheme="minorHAnsi" w:eastAsiaTheme="minorEastAsia" w:hAnsiTheme="minorHAnsi" w:cstheme="minorBidi"/>
          <w:noProof/>
          <w:kern w:val="0"/>
          <w:sz w:val="22"/>
          <w:szCs w:val="22"/>
          <w:lang w:val="en-GB" w:eastAsia="en-GB"/>
        </w:rPr>
      </w:pPr>
      <w:r w:rsidRPr="00334F6C">
        <w:rPr>
          <w:noProof/>
          <w:u w:val="single"/>
        </w:rPr>
        <w:t>29</w:t>
      </w:r>
      <w:r>
        <w:rPr>
          <w:rFonts w:asciiTheme="minorHAnsi" w:eastAsiaTheme="minorEastAsia" w:hAnsiTheme="minorHAnsi" w:cstheme="minorBidi"/>
          <w:noProof/>
          <w:kern w:val="0"/>
          <w:sz w:val="22"/>
          <w:szCs w:val="22"/>
          <w:lang w:val="en-GB" w:eastAsia="en-GB"/>
        </w:rPr>
        <w:tab/>
      </w:r>
      <w:r w:rsidRPr="00334F6C">
        <w:rPr>
          <w:noProof/>
          <w:u w:val="single"/>
        </w:rPr>
        <w:t>Section 41—Monitoring requirements</w:t>
      </w:r>
      <w:r>
        <w:rPr>
          <w:noProof/>
        </w:rPr>
        <w:tab/>
      </w:r>
      <w:r>
        <w:rPr>
          <w:noProof/>
        </w:rPr>
        <w:fldChar w:fldCharType="begin"/>
      </w:r>
      <w:r>
        <w:rPr>
          <w:noProof/>
        </w:rPr>
        <w:instrText xml:space="preserve"> PAGEREF _Toc17792723 \h </w:instrText>
      </w:r>
      <w:r>
        <w:rPr>
          <w:noProof/>
        </w:rPr>
      </w:r>
      <w:r>
        <w:rPr>
          <w:noProof/>
        </w:rPr>
        <w:fldChar w:fldCharType="separate"/>
      </w:r>
      <w:r w:rsidR="00053904">
        <w:rPr>
          <w:noProof/>
        </w:rPr>
        <w:t>17</w:t>
      </w:r>
      <w:r>
        <w:rPr>
          <w:noProof/>
        </w:rPr>
        <w:fldChar w:fldCharType="end"/>
      </w:r>
    </w:p>
    <w:p w14:paraId="400F7DBE" w14:textId="77777777" w:rsidR="00C73974" w:rsidRDefault="00C73974">
      <w:pPr>
        <w:pStyle w:val="TOC5"/>
        <w:tabs>
          <w:tab w:val="left" w:pos="2183"/>
        </w:tabs>
        <w:rPr>
          <w:rFonts w:asciiTheme="minorHAnsi" w:eastAsiaTheme="minorEastAsia" w:hAnsiTheme="minorHAnsi" w:cstheme="minorBidi"/>
          <w:noProof/>
          <w:kern w:val="0"/>
          <w:sz w:val="22"/>
          <w:szCs w:val="22"/>
          <w:lang w:val="en-GB" w:eastAsia="en-GB"/>
        </w:rPr>
      </w:pPr>
      <w:r w:rsidRPr="00334F6C">
        <w:rPr>
          <w:noProof/>
          <w:u w:val="single"/>
        </w:rPr>
        <w:t>30</w:t>
      </w:r>
      <w:r>
        <w:rPr>
          <w:rFonts w:asciiTheme="minorHAnsi" w:eastAsiaTheme="minorEastAsia" w:hAnsiTheme="minorHAnsi" w:cstheme="minorBidi"/>
          <w:noProof/>
          <w:kern w:val="0"/>
          <w:sz w:val="22"/>
          <w:szCs w:val="22"/>
          <w:lang w:val="en-GB" w:eastAsia="en-GB"/>
        </w:rPr>
        <w:tab/>
      </w:r>
      <w:r w:rsidRPr="00334F6C">
        <w:rPr>
          <w:noProof/>
          <w:u w:val="single"/>
        </w:rPr>
        <w:t>Biogas measurement error margins</w:t>
      </w:r>
      <w:r>
        <w:rPr>
          <w:noProof/>
        </w:rPr>
        <w:tab/>
      </w:r>
      <w:r>
        <w:rPr>
          <w:noProof/>
        </w:rPr>
        <w:fldChar w:fldCharType="begin"/>
      </w:r>
      <w:r>
        <w:rPr>
          <w:noProof/>
        </w:rPr>
        <w:instrText xml:space="preserve"> PAGEREF _Toc17792724 \h </w:instrText>
      </w:r>
      <w:r>
        <w:rPr>
          <w:noProof/>
        </w:rPr>
      </w:r>
      <w:r>
        <w:rPr>
          <w:noProof/>
        </w:rPr>
        <w:fldChar w:fldCharType="separate"/>
      </w:r>
      <w:r w:rsidR="00053904">
        <w:rPr>
          <w:noProof/>
        </w:rPr>
        <w:t>17</w:t>
      </w:r>
      <w:r>
        <w:rPr>
          <w:noProof/>
        </w:rPr>
        <w:fldChar w:fldCharType="end"/>
      </w:r>
    </w:p>
    <w:p w14:paraId="400F7DBF" w14:textId="77777777" w:rsidR="00C73974" w:rsidRDefault="00C73974">
      <w:pPr>
        <w:pStyle w:val="TOC1"/>
        <w:rPr>
          <w:rFonts w:asciiTheme="minorHAnsi" w:eastAsiaTheme="minorEastAsia" w:hAnsiTheme="minorHAnsi" w:cstheme="minorBidi"/>
          <w:b w:val="0"/>
          <w:noProof/>
          <w:kern w:val="0"/>
          <w:sz w:val="22"/>
          <w:szCs w:val="22"/>
          <w:lang w:val="en-GB" w:eastAsia="en-GB"/>
        </w:rPr>
      </w:pPr>
      <w:r>
        <w:rPr>
          <w:noProof/>
        </w:rPr>
        <w:t>Schedule 1—Default methane</w:t>
      </w:r>
      <w:r>
        <w:rPr>
          <w:noProof/>
        </w:rPr>
        <w:noBreakHyphen/>
        <w:t>producing capacities for types of material</w:t>
      </w:r>
      <w:r>
        <w:rPr>
          <w:noProof/>
        </w:rPr>
        <w:tab/>
      </w:r>
      <w:r>
        <w:rPr>
          <w:noProof/>
        </w:rPr>
        <w:fldChar w:fldCharType="begin"/>
      </w:r>
      <w:r>
        <w:rPr>
          <w:noProof/>
        </w:rPr>
        <w:instrText xml:space="preserve"> PAGEREF _Toc17792725 \h </w:instrText>
      </w:r>
      <w:r>
        <w:rPr>
          <w:noProof/>
        </w:rPr>
      </w:r>
      <w:r>
        <w:rPr>
          <w:noProof/>
        </w:rPr>
        <w:fldChar w:fldCharType="separate"/>
      </w:r>
      <w:r w:rsidR="00053904">
        <w:rPr>
          <w:noProof/>
        </w:rPr>
        <w:t>18</w:t>
      </w:r>
      <w:r>
        <w:rPr>
          <w:noProof/>
        </w:rPr>
        <w:fldChar w:fldCharType="end"/>
      </w:r>
    </w:p>
    <w:p w14:paraId="400F7DC0" w14:textId="77777777" w:rsidR="00C73974" w:rsidRDefault="00C73974">
      <w:pPr>
        <w:pStyle w:val="TOC1"/>
        <w:rPr>
          <w:rFonts w:asciiTheme="minorHAnsi" w:eastAsiaTheme="minorEastAsia" w:hAnsiTheme="minorHAnsi" w:cstheme="minorBidi"/>
          <w:b w:val="0"/>
          <w:noProof/>
          <w:kern w:val="0"/>
          <w:sz w:val="22"/>
          <w:szCs w:val="22"/>
          <w:lang w:val="en-GB" w:eastAsia="en-GB"/>
        </w:rPr>
      </w:pPr>
      <w:r>
        <w:rPr>
          <w:noProof/>
        </w:rPr>
        <w:t>Schedule 2—</w:t>
      </w:r>
      <w:r w:rsidRPr="00334F6C">
        <w:rPr>
          <w:noProof/>
          <w:lang w:val="en-GB"/>
        </w:rPr>
        <w:t>Treatment method—Solids Separation</w:t>
      </w:r>
      <w:r>
        <w:rPr>
          <w:noProof/>
        </w:rPr>
        <w:tab/>
      </w:r>
      <w:r>
        <w:rPr>
          <w:noProof/>
        </w:rPr>
        <w:fldChar w:fldCharType="begin"/>
      </w:r>
      <w:r>
        <w:rPr>
          <w:noProof/>
        </w:rPr>
        <w:instrText xml:space="preserve"> PAGEREF _Toc17792726 \h </w:instrText>
      </w:r>
      <w:r>
        <w:rPr>
          <w:noProof/>
        </w:rPr>
      </w:r>
      <w:r>
        <w:rPr>
          <w:noProof/>
        </w:rPr>
        <w:fldChar w:fldCharType="separate"/>
      </w:r>
      <w:r w:rsidR="00053904">
        <w:rPr>
          <w:noProof/>
        </w:rPr>
        <w:t>20</w:t>
      </w:r>
      <w:r>
        <w:rPr>
          <w:noProof/>
        </w:rPr>
        <w:fldChar w:fldCharType="end"/>
      </w:r>
    </w:p>
    <w:p w14:paraId="400F7DC1" w14:textId="77777777" w:rsidR="00C73974" w:rsidRDefault="00C73974">
      <w:pPr>
        <w:pStyle w:val="TOC1"/>
        <w:rPr>
          <w:rFonts w:asciiTheme="minorHAnsi" w:eastAsiaTheme="minorEastAsia" w:hAnsiTheme="minorHAnsi" w:cstheme="minorBidi"/>
          <w:b w:val="0"/>
          <w:noProof/>
          <w:kern w:val="0"/>
          <w:sz w:val="22"/>
          <w:szCs w:val="22"/>
          <w:lang w:val="en-GB" w:eastAsia="en-GB"/>
        </w:rPr>
      </w:pPr>
      <w:r>
        <w:rPr>
          <w:noProof/>
        </w:rPr>
        <w:t>Schedule 3—Process for updating the Supplement</w:t>
      </w:r>
      <w:r>
        <w:rPr>
          <w:noProof/>
        </w:rPr>
        <w:tab/>
      </w:r>
      <w:r>
        <w:rPr>
          <w:noProof/>
        </w:rPr>
        <w:fldChar w:fldCharType="begin"/>
      </w:r>
      <w:r>
        <w:rPr>
          <w:noProof/>
        </w:rPr>
        <w:instrText xml:space="preserve"> PAGEREF _Toc17792727 \h </w:instrText>
      </w:r>
      <w:r>
        <w:rPr>
          <w:noProof/>
        </w:rPr>
      </w:r>
      <w:r>
        <w:rPr>
          <w:noProof/>
        </w:rPr>
        <w:fldChar w:fldCharType="separate"/>
      </w:r>
      <w:r w:rsidR="00053904">
        <w:rPr>
          <w:noProof/>
        </w:rPr>
        <w:t>21</w:t>
      </w:r>
      <w:r>
        <w:rPr>
          <w:noProof/>
        </w:rPr>
        <w:fldChar w:fldCharType="end"/>
      </w:r>
    </w:p>
    <w:p w14:paraId="400F7DC2" w14:textId="77777777" w:rsidR="00E15BFF" w:rsidRPr="00A45E22" w:rsidRDefault="00E15BFF" w:rsidP="00E15BFF">
      <w:pPr>
        <w:spacing w:line="240" w:lineRule="auto"/>
      </w:pPr>
      <w:r w:rsidRPr="00A45E22">
        <w:fldChar w:fldCharType="end"/>
      </w:r>
      <w:r w:rsidRPr="00A45E22">
        <w:br w:type="page"/>
      </w:r>
    </w:p>
    <w:p w14:paraId="400F7DC3" w14:textId="77777777" w:rsidR="00E15BFF" w:rsidRPr="00A45E22" w:rsidRDefault="00ED1883" w:rsidP="00E15BFF">
      <w:pPr>
        <w:pStyle w:val="h2Part"/>
      </w:pPr>
      <w:bookmarkStart w:id="1" w:name="_Toc495409287"/>
      <w:bookmarkStart w:id="2" w:name="_Toc498293967"/>
      <w:bookmarkStart w:id="3" w:name="_Toc17792690"/>
      <w:r w:rsidRPr="00A45E22">
        <w:lastRenderedPageBreak/>
        <w:t>P</w:t>
      </w:r>
      <w:r w:rsidR="00E741AF" w:rsidRPr="00A45E22">
        <w:t>art 1</w:t>
      </w:r>
      <w:r w:rsidR="00E15BFF" w:rsidRPr="00A45E22">
        <w:t>—Preliminary</w:t>
      </w:r>
      <w:bookmarkEnd w:id="1"/>
      <w:bookmarkEnd w:id="2"/>
      <w:bookmarkEnd w:id="3"/>
    </w:p>
    <w:p w14:paraId="400F7DC4" w14:textId="77777777" w:rsidR="00E15BFF" w:rsidRPr="00A45E22" w:rsidRDefault="0060500D" w:rsidP="00E15BFF">
      <w:pPr>
        <w:pStyle w:val="h5Section"/>
        <w:rPr>
          <w:u w:val="single"/>
        </w:rPr>
      </w:pPr>
      <w:bookmarkStart w:id="4" w:name="_Toc498293968"/>
      <w:bookmarkStart w:id="5" w:name="_Toc17792691"/>
      <w:r w:rsidRPr="00A45E22">
        <w:rPr>
          <w:u w:val="single"/>
        </w:rPr>
        <w:t>1</w:t>
      </w:r>
      <w:r w:rsidRPr="00A45E22">
        <w:rPr>
          <w:u w:val="single"/>
        </w:rPr>
        <w:tab/>
      </w:r>
      <w:r w:rsidR="00E15BFF" w:rsidRPr="00A45E22">
        <w:rPr>
          <w:u w:val="single"/>
        </w:rPr>
        <w:t>Name</w:t>
      </w:r>
      <w:bookmarkEnd w:id="4"/>
      <w:bookmarkEnd w:id="5"/>
    </w:p>
    <w:p w14:paraId="400F7DC5" w14:textId="77777777" w:rsidR="00E15BFF" w:rsidRPr="00A45E22" w:rsidRDefault="00E15BFF" w:rsidP="00E15BFF">
      <w:pPr>
        <w:pStyle w:val="tMain"/>
      </w:pPr>
      <w:r w:rsidRPr="00A45E22">
        <w:tab/>
      </w:r>
      <w:r w:rsidRPr="00A45E22">
        <w:tab/>
        <w:t xml:space="preserve">This is the </w:t>
      </w:r>
      <w:r w:rsidR="002A7439" w:rsidRPr="00A45E22">
        <w:rPr>
          <w:i/>
          <w:noProof/>
        </w:rPr>
        <w:t>Supplement to the Carbon Credits (Carbon Farming Initiative—Animal Effluent Management</w:t>
      </w:r>
      <w:r w:rsidR="00B44883" w:rsidRPr="00A45E22">
        <w:rPr>
          <w:i/>
          <w:noProof/>
        </w:rPr>
        <w:t>) Methodology Determination 2019</w:t>
      </w:r>
      <w:r w:rsidRPr="00A45E22">
        <w:t>.</w:t>
      </w:r>
    </w:p>
    <w:p w14:paraId="400F7DC6" w14:textId="77777777" w:rsidR="00E15BFF" w:rsidRPr="00A45E22" w:rsidRDefault="00E741AF" w:rsidP="00E15BFF">
      <w:pPr>
        <w:pStyle w:val="h5Section"/>
        <w:rPr>
          <w:u w:val="single"/>
        </w:rPr>
      </w:pPr>
      <w:bookmarkStart w:id="6" w:name="_Toc498293969"/>
      <w:bookmarkStart w:id="7" w:name="_Toc17792692"/>
      <w:r w:rsidRPr="00A45E22">
        <w:rPr>
          <w:u w:val="single"/>
        </w:rPr>
        <w:t>2</w:t>
      </w:r>
      <w:r w:rsidR="0060500D" w:rsidRPr="00A45E22">
        <w:rPr>
          <w:u w:val="single"/>
        </w:rPr>
        <w:tab/>
      </w:r>
      <w:r w:rsidR="00E15BFF" w:rsidRPr="00A45E22">
        <w:rPr>
          <w:u w:val="single"/>
        </w:rPr>
        <w:t>Entry into effect</w:t>
      </w:r>
      <w:bookmarkEnd w:id="6"/>
      <w:bookmarkEnd w:id="7"/>
    </w:p>
    <w:p w14:paraId="400F7DC7" w14:textId="77777777" w:rsidR="00E15BFF" w:rsidRPr="00A45E22" w:rsidRDefault="00E52C94" w:rsidP="00E15BFF">
      <w:pPr>
        <w:pStyle w:val="tMain"/>
      </w:pPr>
      <w:r w:rsidRPr="00A45E22">
        <w:tab/>
        <w:t>(1)</w:t>
      </w:r>
      <w:r w:rsidRPr="00A45E22">
        <w:tab/>
      </w:r>
      <w:r w:rsidR="00E15BFF" w:rsidRPr="00A45E22">
        <w:t xml:space="preserve">This Supplement comes into effect on </w:t>
      </w:r>
      <w:r w:rsidR="00C637C9" w:rsidRPr="00A45E22">
        <w:t xml:space="preserve">the commencement of the </w:t>
      </w:r>
      <w:r w:rsidR="00C637C9" w:rsidRPr="00A45E22">
        <w:rPr>
          <w:i/>
          <w:noProof/>
        </w:rPr>
        <w:t>Carbon Credits (Carbon Farming Initiative—Animal Effluent Management) Methodology Determination 2019</w:t>
      </w:r>
      <w:r w:rsidR="00E15BFF" w:rsidRPr="00A45E22">
        <w:t>.</w:t>
      </w:r>
    </w:p>
    <w:p w14:paraId="400F7DC8" w14:textId="77777777" w:rsidR="00E52C94" w:rsidRPr="00A45E22" w:rsidRDefault="00E52C94" w:rsidP="00E15BFF">
      <w:pPr>
        <w:pStyle w:val="tMain"/>
      </w:pPr>
      <w:r w:rsidRPr="00A45E22">
        <w:tab/>
        <w:t>(2)</w:t>
      </w:r>
      <w:r w:rsidRPr="00A45E22">
        <w:tab/>
        <w:t>A statement on the intended process for updating the Supplement is at Schedule 3.</w:t>
      </w:r>
    </w:p>
    <w:p w14:paraId="400F7DC9" w14:textId="77777777" w:rsidR="00E15BFF" w:rsidRPr="00A45E22" w:rsidRDefault="00E741AF" w:rsidP="00E15BFF">
      <w:pPr>
        <w:pStyle w:val="h5Section"/>
        <w:rPr>
          <w:u w:val="single"/>
        </w:rPr>
      </w:pPr>
      <w:bookmarkStart w:id="8" w:name="_Toc498293970"/>
      <w:bookmarkStart w:id="9" w:name="_Toc17792693"/>
      <w:r w:rsidRPr="00A45E22">
        <w:rPr>
          <w:u w:val="single"/>
        </w:rPr>
        <w:t>3</w:t>
      </w:r>
      <w:r w:rsidR="0060500D" w:rsidRPr="00A45E22">
        <w:rPr>
          <w:u w:val="single"/>
        </w:rPr>
        <w:tab/>
      </w:r>
      <w:r w:rsidR="00E15BFF" w:rsidRPr="00A45E22">
        <w:rPr>
          <w:u w:val="single"/>
        </w:rPr>
        <w:t>Definitions</w:t>
      </w:r>
      <w:bookmarkEnd w:id="8"/>
      <w:bookmarkEnd w:id="9"/>
    </w:p>
    <w:p w14:paraId="400F7DCA" w14:textId="77777777" w:rsidR="00E15BFF" w:rsidRPr="00A45E22" w:rsidRDefault="00E15BFF" w:rsidP="00E15BFF">
      <w:pPr>
        <w:pStyle w:val="tMain"/>
      </w:pPr>
      <w:r w:rsidRPr="00A45E22">
        <w:tab/>
      </w:r>
      <w:r w:rsidRPr="00A45E22">
        <w:tab/>
        <w:t>In this instrument:</w:t>
      </w:r>
    </w:p>
    <w:p w14:paraId="400F7DCB" w14:textId="77777777" w:rsidR="00B3732B" w:rsidRPr="00A45E22" w:rsidRDefault="00E15BFF" w:rsidP="006D24A2">
      <w:pPr>
        <w:pStyle w:val="tDefn"/>
      </w:pPr>
      <w:r w:rsidRPr="00A45E22">
        <w:rPr>
          <w:b/>
          <w:i/>
        </w:rPr>
        <w:t>Determination</w:t>
      </w:r>
      <w:r w:rsidRPr="00A45E22">
        <w:rPr>
          <w:b/>
        </w:rPr>
        <w:t xml:space="preserve"> </w:t>
      </w:r>
      <w:r w:rsidRPr="00A45E22">
        <w:t xml:space="preserve">means the </w:t>
      </w:r>
      <w:r w:rsidRPr="00A45E22">
        <w:rPr>
          <w:i/>
          <w:noProof/>
        </w:rPr>
        <w:t>Carbon Credits (Carbon Farming Initiative—Animal Effluent Management) Methodology Determination 201</w:t>
      </w:r>
      <w:r w:rsidR="00B44883" w:rsidRPr="00A45E22">
        <w:rPr>
          <w:i/>
          <w:noProof/>
        </w:rPr>
        <w:t>9</w:t>
      </w:r>
      <w:r w:rsidRPr="00A45E22">
        <w:t>.</w:t>
      </w:r>
    </w:p>
    <w:p w14:paraId="400F7DCC" w14:textId="77777777" w:rsidR="00194C3A" w:rsidRPr="00A45E22" w:rsidRDefault="00194C3A" w:rsidP="006D24A2">
      <w:pPr>
        <w:pStyle w:val="tDefn"/>
      </w:pPr>
      <w:r w:rsidRPr="00A45E22">
        <w:rPr>
          <w:b/>
          <w:i/>
        </w:rPr>
        <w:t xml:space="preserve">NATA </w:t>
      </w:r>
      <w:r w:rsidRPr="00A45E22">
        <w:t>means the National Association of Testing Authorities Australia (ACN 004 379 749).</w:t>
      </w:r>
    </w:p>
    <w:p w14:paraId="400F7DCD" w14:textId="77777777" w:rsidR="00C56F77" w:rsidRPr="00A45E22" w:rsidRDefault="00C56F77" w:rsidP="00C56F77">
      <w:pPr>
        <w:pStyle w:val="tDefn"/>
      </w:pPr>
      <w:r w:rsidRPr="00A45E22">
        <w:rPr>
          <w:b/>
          <w:i/>
        </w:rPr>
        <w:t>US EPA Method</w:t>
      </w:r>
      <w:r w:rsidRPr="00A45E22">
        <w:rPr>
          <w:b/>
        </w:rPr>
        <w:t xml:space="preserve"> </w:t>
      </w:r>
      <w:r w:rsidRPr="00A45E22">
        <w:t>followed by a reference to a method number (for example, Method 3C) means a standard of that description issued by the United States Environmental Protection Agency.</w:t>
      </w:r>
    </w:p>
    <w:p w14:paraId="400F7DCE" w14:textId="77777777" w:rsidR="00916EF1" w:rsidRPr="00A45E22" w:rsidRDefault="00E741AF" w:rsidP="00916EF1">
      <w:pPr>
        <w:pStyle w:val="h5Section"/>
        <w:rPr>
          <w:u w:val="single"/>
        </w:rPr>
      </w:pPr>
      <w:bookmarkStart w:id="10" w:name="_Toc498293972"/>
      <w:bookmarkStart w:id="11" w:name="_Toc17792694"/>
      <w:r w:rsidRPr="00A45E22">
        <w:rPr>
          <w:u w:val="single"/>
        </w:rPr>
        <w:t>4</w:t>
      </w:r>
      <w:r w:rsidR="0060500D" w:rsidRPr="00A45E22">
        <w:rPr>
          <w:u w:val="single"/>
        </w:rPr>
        <w:tab/>
      </w:r>
      <w:r w:rsidR="00916EF1" w:rsidRPr="00A45E22">
        <w:rPr>
          <w:u w:val="single"/>
        </w:rPr>
        <w:t xml:space="preserve">Section </w:t>
      </w:r>
      <w:r w:rsidR="002A7439" w:rsidRPr="00A45E22">
        <w:rPr>
          <w:u w:val="single"/>
        </w:rPr>
        <w:t>5</w:t>
      </w:r>
      <w:r w:rsidR="00916EF1" w:rsidRPr="00A45E22">
        <w:rPr>
          <w:u w:val="single"/>
        </w:rPr>
        <w:t>—definition of ‘default capacity’</w:t>
      </w:r>
      <w:bookmarkEnd w:id="10"/>
      <w:bookmarkEnd w:id="11"/>
    </w:p>
    <w:p w14:paraId="400F7DCF" w14:textId="77777777" w:rsidR="00B221E5" w:rsidRPr="00A45E22" w:rsidRDefault="00916EF1" w:rsidP="007B4D29">
      <w:pPr>
        <w:pStyle w:val="tMain"/>
      </w:pPr>
      <w:r w:rsidRPr="00A45E22">
        <w:tab/>
      </w:r>
      <w:r w:rsidRPr="00A45E22">
        <w:tab/>
        <w:t>For the definition of ‘default capacity’ in the Determination</w:t>
      </w:r>
      <w:r w:rsidR="007B4D29" w:rsidRPr="00A45E22">
        <w:t xml:space="preserve">, </w:t>
      </w:r>
      <w:r w:rsidRPr="00A45E22">
        <w:t xml:space="preserve">the default capacity of </w:t>
      </w:r>
      <w:r w:rsidRPr="00A45E22">
        <w:rPr>
          <w:rStyle w:val="CharChapText"/>
        </w:rPr>
        <w:t>the methane</w:t>
      </w:r>
      <w:r w:rsidRPr="00A45E22">
        <w:rPr>
          <w:rStyle w:val="CharChapText"/>
        </w:rPr>
        <w:noBreakHyphen/>
        <w:t xml:space="preserve">producing capacities of listed types of material are specified in </w:t>
      </w:r>
      <w:r w:rsidR="002A7439" w:rsidRPr="00A45E22">
        <w:t>Schedule 1</w:t>
      </w:r>
      <w:r w:rsidR="008D3E59" w:rsidRPr="00A45E22">
        <w:t xml:space="preserve">. They differ depending </w:t>
      </w:r>
      <w:r w:rsidR="00977670" w:rsidRPr="00A45E22">
        <w:t>up</w:t>
      </w:r>
      <w:r w:rsidR="008D3E59" w:rsidRPr="00A45E22">
        <w:t>on which</w:t>
      </w:r>
      <w:r w:rsidR="00C8677F" w:rsidRPr="00A45E22">
        <w:t xml:space="preserve"> </w:t>
      </w:r>
      <w:r w:rsidR="008D3E59" w:rsidRPr="00A45E22">
        <w:t>equation</w:t>
      </w:r>
      <w:r w:rsidR="00C8677F" w:rsidRPr="00A45E22">
        <w:t xml:space="preserve"> the capacity is used</w:t>
      </w:r>
      <w:r w:rsidR="007B4D29" w:rsidRPr="00A45E22">
        <w:t>.</w:t>
      </w:r>
    </w:p>
    <w:p w14:paraId="400F7DD0" w14:textId="77777777" w:rsidR="00E15BFF" w:rsidRPr="00A45E22" w:rsidRDefault="0060500D" w:rsidP="00E15BFF">
      <w:pPr>
        <w:pStyle w:val="h5Section"/>
        <w:rPr>
          <w:u w:val="single"/>
        </w:rPr>
      </w:pPr>
      <w:bookmarkStart w:id="12" w:name="_Toc498293975"/>
      <w:bookmarkStart w:id="13" w:name="_Toc17792695"/>
      <w:r w:rsidRPr="00A45E22">
        <w:rPr>
          <w:u w:val="single"/>
        </w:rPr>
        <w:t>5</w:t>
      </w:r>
      <w:r w:rsidRPr="00A45E22">
        <w:rPr>
          <w:u w:val="single"/>
        </w:rPr>
        <w:tab/>
      </w:r>
      <w:r w:rsidR="00101B4D" w:rsidRPr="00A45E22">
        <w:rPr>
          <w:u w:val="single"/>
        </w:rPr>
        <w:t xml:space="preserve">Section </w:t>
      </w:r>
      <w:r w:rsidR="002A7439" w:rsidRPr="00A45E22">
        <w:rPr>
          <w:u w:val="single"/>
        </w:rPr>
        <w:t>5</w:t>
      </w:r>
      <w:r w:rsidR="00101B4D" w:rsidRPr="00A45E22">
        <w:rPr>
          <w:u w:val="single"/>
        </w:rPr>
        <w:t>—d</w:t>
      </w:r>
      <w:r w:rsidR="00E15BFF" w:rsidRPr="00A45E22">
        <w:rPr>
          <w:u w:val="single"/>
        </w:rPr>
        <w:t>efinition of ‘listed types’</w:t>
      </w:r>
      <w:bookmarkEnd w:id="12"/>
      <w:bookmarkEnd w:id="13"/>
    </w:p>
    <w:p w14:paraId="400F7DD1" w14:textId="77777777" w:rsidR="00E15BFF" w:rsidRPr="00A45E22" w:rsidRDefault="00E15BFF" w:rsidP="00E15BFF">
      <w:pPr>
        <w:pStyle w:val="tMain"/>
      </w:pPr>
      <w:r w:rsidRPr="00A45E22">
        <w:tab/>
      </w:r>
      <w:r w:rsidR="00DA5BB6" w:rsidRPr="00A45E22">
        <w:t>(1)</w:t>
      </w:r>
      <w:r w:rsidRPr="00A45E22">
        <w:tab/>
        <w:t xml:space="preserve">For the </w:t>
      </w:r>
      <w:r w:rsidR="0071180B" w:rsidRPr="00A45E22">
        <w:t xml:space="preserve">definition of ‘listed types’ in </w:t>
      </w:r>
      <w:r w:rsidRPr="00A45E22">
        <w:t xml:space="preserve">the Determination, each of the material types listed in </w:t>
      </w:r>
      <w:r w:rsidR="002A7439" w:rsidRPr="00A45E22">
        <w:t>Schedule 1</w:t>
      </w:r>
      <w:r w:rsidRPr="00A45E22">
        <w:t xml:space="preserve"> is</w:t>
      </w:r>
      <w:r w:rsidR="00946860" w:rsidRPr="00A45E22">
        <w:t xml:space="preserve"> </w:t>
      </w:r>
      <w:r w:rsidRPr="00A45E22">
        <w:t>specified as a listed type.</w:t>
      </w:r>
    </w:p>
    <w:p w14:paraId="400F7DD2" w14:textId="77777777" w:rsidR="00DA5BB6" w:rsidRPr="00A45E22" w:rsidRDefault="00DA5BB6" w:rsidP="00DA5BB6">
      <w:pPr>
        <w:pStyle w:val="tMain"/>
      </w:pPr>
      <w:r w:rsidRPr="00A45E22">
        <w:tab/>
        <w:t>(2)</w:t>
      </w:r>
      <w:r w:rsidRPr="00A45E22">
        <w:tab/>
        <w:t>How</w:t>
      </w:r>
      <w:r w:rsidR="005A3500" w:rsidRPr="00A45E22">
        <w:t>e</w:t>
      </w:r>
      <w:r w:rsidRPr="00A45E22">
        <w:t xml:space="preserve">ver, if material of a listed type is treated by an anaerobic digester, the residual material from that digester is not material of a listed type. </w:t>
      </w:r>
    </w:p>
    <w:p w14:paraId="400F7DD3" w14:textId="77777777" w:rsidR="00DA5BB6" w:rsidRPr="00A45E22" w:rsidRDefault="00DA5BB6" w:rsidP="00DA5BB6">
      <w:pPr>
        <w:pStyle w:val="nMain"/>
        <w:spacing w:line="276" w:lineRule="auto"/>
      </w:pPr>
      <w:r w:rsidRPr="00A45E22">
        <w:t xml:space="preserve">Note: </w:t>
      </w:r>
      <w:r w:rsidRPr="00A45E22">
        <w:tab/>
        <w:t xml:space="preserve">The methane producing capacity of such </w:t>
      </w:r>
      <w:r w:rsidR="00D40523" w:rsidRPr="00A45E22">
        <w:t xml:space="preserve">residual </w:t>
      </w:r>
      <w:r w:rsidRPr="00A45E22">
        <w:t>material would need to be measured under section 11.</w:t>
      </w:r>
    </w:p>
    <w:p w14:paraId="400F7DD4" w14:textId="77777777" w:rsidR="00DA5BB6" w:rsidRPr="00A45E22" w:rsidRDefault="00DA5BB6" w:rsidP="00E15BFF">
      <w:pPr>
        <w:pStyle w:val="tMain"/>
      </w:pPr>
    </w:p>
    <w:p w14:paraId="400F7DD5" w14:textId="77777777" w:rsidR="001B52AC" w:rsidRPr="00A45E22" w:rsidRDefault="001B52AC" w:rsidP="001B52AC">
      <w:pPr>
        <w:pStyle w:val="h2Part"/>
      </w:pPr>
      <w:bookmarkStart w:id="14" w:name="_Toc498293971"/>
      <w:bookmarkStart w:id="15" w:name="_Toc17792696"/>
      <w:r w:rsidRPr="00A45E22">
        <w:lastRenderedPageBreak/>
        <w:t>Part 2—Matters referred</w:t>
      </w:r>
      <w:r w:rsidR="00781A3D" w:rsidRPr="00A45E22">
        <w:t xml:space="preserve"> to</w:t>
      </w:r>
      <w:r w:rsidRPr="00A45E22">
        <w:t xml:space="preserve"> in </w:t>
      </w:r>
      <w:r w:rsidR="00743CE5" w:rsidRPr="00A45E22">
        <w:t>Parts 1 to 3</w:t>
      </w:r>
      <w:r w:rsidRPr="00A45E22">
        <w:t xml:space="preserve"> in the Determination</w:t>
      </w:r>
      <w:bookmarkEnd w:id="14"/>
      <w:bookmarkEnd w:id="15"/>
    </w:p>
    <w:p w14:paraId="400F7DD6" w14:textId="77777777" w:rsidR="001B52AC" w:rsidRPr="00A45E22" w:rsidRDefault="001B52AC" w:rsidP="001B52AC">
      <w:pPr>
        <w:rPr>
          <w:lang w:eastAsia="en-AU"/>
        </w:rPr>
      </w:pPr>
    </w:p>
    <w:p w14:paraId="400F7DD7" w14:textId="77777777" w:rsidR="00BA776A" w:rsidRPr="00A45E22" w:rsidRDefault="00BA776A" w:rsidP="00D17E79">
      <w:pPr>
        <w:pStyle w:val="h5Section"/>
        <w:rPr>
          <w:u w:val="single"/>
        </w:rPr>
      </w:pPr>
      <w:bookmarkStart w:id="16" w:name="_Toc17792697"/>
      <w:r w:rsidRPr="00A45E22">
        <w:rPr>
          <w:u w:val="single"/>
        </w:rPr>
        <w:t>6</w:t>
      </w:r>
      <w:r w:rsidR="009832C5" w:rsidRPr="00A45E22">
        <w:rPr>
          <w:u w:val="single"/>
        </w:rPr>
        <w:tab/>
      </w:r>
      <w:r w:rsidRPr="00A45E22">
        <w:rPr>
          <w:u w:val="single"/>
        </w:rPr>
        <w:t>Section 9—Capacity of the project facility</w:t>
      </w:r>
      <w:bookmarkEnd w:id="16"/>
    </w:p>
    <w:p w14:paraId="400F7DD8" w14:textId="77777777" w:rsidR="00BA776A" w:rsidRPr="00A45E22" w:rsidRDefault="00BA776A" w:rsidP="00D17E79"/>
    <w:p w14:paraId="400F7DD9" w14:textId="77777777" w:rsidR="00916EF1" w:rsidRPr="00A45E22" w:rsidRDefault="00BA776A" w:rsidP="00BA776A">
      <w:pPr>
        <w:ind w:left="1134" w:hanging="1134"/>
        <w:rPr>
          <w:lang w:eastAsia="en-AU"/>
        </w:rPr>
      </w:pPr>
      <w:r w:rsidRPr="00A45E22">
        <w:rPr>
          <w:lang w:eastAsia="en-AU"/>
        </w:rPr>
        <w:tab/>
      </w:r>
      <w:r w:rsidR="00B93ECF" w:rsidRPr="00A45E22">
        <w:rPr>
          <w:lang w:eastAsia="en-AU"/>
        </w:rPr>
        <w:t>For section 9 of the Determination, t</w:t>
      </w:r>
      <w:r w:rsidRPr="00A45E22">
        <w:rPr>
          <w:lang w:eastAsia="en-AU"/>
        </w:rPr>
        <w:t>he capacity of the facility must be specified using the following metrics:</w:t>
      </w:r>
    </w:p>
    <w:p w14:paraId="400F7DDA" w14:textId="77777777" w:rsidR="007B4D29" w:rsidRPr="00A45E22" w:rsidRDefault="007B4D29" w:rsidP="007B4D29">
      <w:pPr>
        <w:pStyle w:val="tPara"/>
      </w:pPr>
      <w:r w:rsidRPr="00A45E22">
        <w:tab/>
      </w:r>
      <w:r w:rsidRPr="00A45E22">
        <w:fldChar w:fldCharType="begin"/>
      </w:r>
      <w:r w:rsidRPr="00A45E22">
        <w:instrText xml:space="preserve">  LISTNUM "main numbering" \l 7 \* MERGEFORMAT </w:instrText>
      </w:r>
      <w:r w:rsidRPr="00A45E22">
        <w:fldChar w:fldCharType="end">
          <w:numberingChange w:id="17" w:author="Author" w:original="(a)"/>
        </w:fldChar>
      </w:r>
      <w:r w:rsidRPr="00A45E22">
        <w:tab/>
        <w:t>for a project facility that treats organic effluent by emissions destruction—ML or m</w:t>
      </w:r>
      <w:r w:rsidRPr="00A45E22">
        <w:rPr>
          <w:vertAlign w:val="superscript"/>
        </w:rPr>
        <w:t>3</w:t>
      </w:r>
      <w:r w:rsidR="003E012B" w:rsidRPr="00A45E22">
        <w:t xml:space="preserve"> of </w:t>
      </w:r>
      <w:r w:rsidR="00BF0173" w:rsidRPr="00A45E22">
        <w:t>organic effluent treated by the facility per year</w:t>
      </w:r>
      <w:r w:rsidR="003E012B" w:rsidRPr="00A45E22">
        <w:t>; and</w:t>
      </w:r>
    </w:p>
    <w:p w14:paraId="400F7DDB" w14:textId="77777777" w:rsidR="007B4D29" w:rsidRPr="00A45E22" w:rsidRDefault="007B4D29" w:rsidP="007B4D29">
      <w:pPr>
        <w:pStyle w:val="tPara"/>
      </w:pPr>
      <w:r w:rsidRPr="00A45E22">
        <w:tab/>
      </w:r>
      <w:r w:rsidRPr="00A45E22">
        <w:fldChar w:fldCharType="begin"/>
      </w:r>
      <w:r w:rsidRPr="00A45E22">
        <w:instrText xml:space="preserve">  LISTNUM "main numbering" \l 7 \* MERGEFORMAT </w:instrText>
      </w:r>
      <w:r w:rsidRPr="00A45E22">
        <w:fldChar w:fldCharType="end">
          <w:numberingChange w:id="18" w:author="Author" w:original="(b)"/>
        </w:fldChar>
      </w:r>
      <w:r w:rsidRPr="00A45E22">
        <w:tab/>
        <w:t xml:space="preserve">for a project facility that treats organic </w:t>
      </w:r>
      <w:r w:rsidR="00BA2D88" w:rsidRPr="00A45E22">
        <w:t>effluent</w:t>
      </w:r>
      <w:r w:rsidRPr="00A45E22">
        <w:t xml:space="preserve"> by emissions avoidance</w:t>
      </w:r>
      <w:r w:rsidR="00BA2D88" w:rsidRPr="00A45E22">
        <w:t>—tonnes per year.</w:t>
      </w:r>
    </w:p>
    <w:p w14:paraId="400F7DDC" w14:textId="77777777" w:rsidR="00916EF1" w:rsidRPr="00A45E22" w:rsidRDefault="009832C5" w:rsidP="00916EF1">
      <w:pPr>
        <w:pStyle w:val="h5Section"/>
        <w:rPr>
          <w:u w:val="single"/>
        </w:rPr>
      </w:pPr>
      <w:bookmarkStart w:id="19" w:name="_Toc498293977"/>
      <w:bookmarkStart w:id="20" w:name="_Toc17792698"/>
      <w:r w:rsidRPr="00A45E22">
        <w:rPr>
          <w:u w:val="single"/>
        </w:rPr>
        <w:t>7</w:t>
      </w:r>
      <w:r w:rsidRPr="00A45E22">
        <w:rPr>
          <w:u w:val="single"/>
        </w:rPr>
        <w:tab/>
      </w:r>
      <w:r w:rsidR="004C61C6" w:rsidRPr="00A45E22">
        <w:rPr>
          <w:u w:val="single"/>
        </w:rPr>
        <w:t>Section</w:t>
      </w:r>
      <w:r w:rsidR="00916EF1" w:rsidRPr="00A45E22">
        <w:rPr>
          <w:u w:val="single"/>
        </w:rPr>
        <w:t xml:space="preserve"> </w:t>
      </w:r>
      <w:r w:rsidR="00B87953" w:rsidRPr="00A45E22">
        <w:rPr>
          <w:u w:val="single"/>
        </w:rPr>
        <w:t>13</w:t>
      </w:r>
      <w:r w:rsidR="00916EF1" w:rsidRPr="00A45E22">
        <w:rPr>
          <w:u w:val="single"/>
        </w:rPr>
        <w:t>—Flare operation for methane destruction projects</w:t>
      </w:r>
      <w:bookmarkEnd w:id="19"/>
      <w:bookmarkEnd w:id="20"/>
    </w:p>
    <w:p w14:paraId="400F7DDD" w14:textId="77777777" w:rsidR="00916EF1" w:rsidRPr="00A45E22" w:rsidRDefault="00916EF1" w:rsidP="00916EF1">
      <w:pPr>
        <w:pStyle w:val="tMain"/>
      </w:pPr>
      <w:r w:rsidRPr="00A45E22">
        <w:tab/>
      </w:r>
      <w:r w:rsidR="00E741AF" w:rsidRPr="00A45E22">
        <w:t>(1)</w:t>
      </w:r>
      <w:r w:rsidRPr="00A45E22">
        <w:tab/>
        <w:t xml:space="preserve">For section </w:t>
      </w:r>
      <w:r w:rsidR="002A7439" w:rsidRPr="00A45E22">
        <w:t>1</w:t>
      </w:r>
      <w:r w:rsidR="00B87953" w:rsidRPr="00A45E22">
        <w:t>3</w:t>
      </w:r>
      <w:r w:rsidRPr="00A45E22">
        <w:t xml:space="preserve"> of the Determination, and for the purposes of determining the destruction efficiency </w:t>
      </w:r>
      <w:r w:rsidRPr="00A45E22">
        <w:rPr>
          <w:i/>
        </w:rPr>
        <w:t>DE</w:t>
      </w:r>
      <w:r w:rsidRPr="00A45E22">
        <w:rPr>
          <w:i/>
          <w:vertAlign w:val="subscript"/>
        </w:rPr>
        <w:t>i</w:t>
      </w:r>
      <w:r w:rsidRPr="00A45E22">
        <w:rPr>
          <w:i/>
        </w:rPr>
        <w:t xml:space="preserve"> </w:t>
      </w:r>
      <w:r w:rsidR="004C61C6" w:rsidRPr="00A45E22">
        <w:t>of the flaring system (subsection 2</w:t>
      </w:r>
      <w:r w:rsidR="00B87953" w:rsidRPr="00A45E22">
        <w:t>4</w:t>
      </w:r>
      <w:r w:rsidR="004C61C6" w:rsidRPr="00A45E22">
        <w:t>(2)</w:t>
      </w:r>
      <w:r w:rsidR="000105AB" w:rsidRPr="00A45E22">
        <w:t xml:space="preserve"> of the Determination</w:t>
      </w:r>
      <w:r w:rsidR="004C61C6" w:rsidRPr="00A45E22">
        <w:t>),</w:t>
      </w:r>
      <w:r w:rsidRPr="00A45E22">
        <w:t xml:space="preserve"> this section sets out the requirements for determining whether a flaring system used</w:t>
      </w:r>
      <w:r w:rsidR="00B44883" w:rsidRPr="00A45E22">
        <w:t xml:space="preserve"> in the project is operational.</w:t>
      </w:r>
    </w:p>
    <w:p w14:paraId="400F7DDE" w14:textId="77777777" w:rsidR="00916EF1" w:rsidRPr="00A45E22" w:rsidRDefault="00916EF1" w:rsidP="00916EF1">
      <w:pPr>
        <w:pStyle w:val="tMain"/>
      </w:pPr>
      <w:r w:rsidRPr="00A45E22">
        <w:tab/>
      </w:r>
      <w:r w:rsidR="00E741AF" w:rsidRPr="00A45E22">
        <w:t>(2)</w:t>
      </w:r>
      <w:r w:rsidRPr="00A45E22">
        <w:tab/>
        <w:t>Subject to subsection (3), if for any particular hour:</w:t>
      </w:r>
    </w:p>
    <w:p w14:paraId="400F7DDF" w14:textId="77777777" w:rsidR="00916EF1" w:rsidRPr="00A45E22" w:rsidRDefault="00916EF1" w:rsidP="00916EF1">
      <w:pPr>
        <w:pStyle w:val="tPara"/>
      </w:pPr>
      <w:r w:rsidRPr="00A45E22">
        <w:tab/>
      </w:r>
      <w:r w:rsidR="00E741AF" w:rsidRPr="00A45E22">
        <w:t>(a)</w:t>
      </w:r>
      <w:r w:rsidRPr="00A45E22">
        <w:tab/>
        <w:t>there is no record of the flare being operational</w:t>
      </w:r>
      <w:r w:rsidR="00110391" w:rsidRPr="00A45E22">
        <w:t xml:space="preserve"> for a period exceeding 30 minutes in that hour</w:t>
      </w:r>
      <w:r w:rsidRPr="00A45E22">
        <w:t>; or</w:t>
      </w:r>
    </w:p>
    <w:p w14:paraId="400F7DE0" w14:textId="77777777" w:rsidR="00916EF1" w:rsidRPr="00A45E22" w:rsidRDefault="00916EF1" w:rsidP="00916EF1">
      <w:pPr>
        <w:pStyle w:val="tPara"/>
      </w:pPr>
      <w:r w:rsidRPr="00A45E22">
        <w:tab/>
      </w:r>
      <w:r w:rsidR="00E741AF" w:rsidRPr="00A45E22">
        <w:t>(b)</w:t>
      </w:r>
      <w:r w:rsidRPr="00A45E22">
        <w:tab/>
      </w:r>
      <w:r w:rsidR="00110391" w:rsidRPr="00A45E22">
        <w:t xml:space="preserve">there is other evidence which indicates that </w:t>
      </w:r>
      <w:r w:rsidRPr="00A45E22">
        <w:t>the flare is not oper</w:t>
      </w:r>
      <w:r w:rsidR="00110391" w:rsidRPr="00A45E22">
        <w:t>ational for a period exceeding 3</w:t>
      </w:r>
      <w:r w:rsidRPr="00A45E22">
        <w:t xml:space="preserve">0 minutes; </w:t>
      </w:r>
    </w:p>
    <w:p w14:paraId="400F7DE1" w14:textId="77777777" w:rsidR="00916EF1" w:rsidRPr="00A45E22" w:rsidRDefault="00916EF1" w:rsidP="006D24A2">
      <w:pPr>
        <w:pStyle w:val="tMain"/>
        <w:spacing w:before="60"/>
      </w:pPr>
      <w:r w:rsidRPr="00A45E22">
        <w:tab/>
      </w:r>
      <w:r w:rsidRPr="00A45E22">
        <w:tab/>
        <w:t>then it must be assumed that during that hour the flare destruction efficiency is zero.</w:t>
      </w:r>
    </w:p>
    <w:p w14:paraId="400F7DE2" w14:textId="77777777" w:rsidR="00916EF1" w:rsidRPr="00A45E22" w:rsidRDefault="00916EF1" w:rsidP="00916EF1">
      <w:pPr>
        <w:pStyle w:val="tMain"/>
      </w:pPr>
      <w:r w:rsidRPr="00A45E22">
        <w:tab/>
      </w:r>
      <w:r w:rsidR="00E741AF" w:rsidRPr="00A45E22">
        <w:t>(3)</w:t>
      </w:r>
      <w:r w:rsidRPr="00A45E22">
        <w:tab/>
        <w:t>A flare is operational if the continuous presence of a flame is detected using:</w:t>
      </w:r>
    </w:p>
    <w:p w14:paraId="400F7DE3" w14:textId="77777777" w:rsidR="00916EF1" w:rsidRPr="00A45E22" w:rsidRDefault="00916EF1" w:rsidP="00916EF1">
      <w:pPr>
        <w:pStyle w:val="tPara"/>
      </w:pPr>
      <w:r w:rsidRPr="00A45E22">
        <w:tab/>
      </w:r>
      <w:r w:rsidR="00E741AF" w:rsidRPr="00A45E22">
        <w:t>(a)</w:t>
      </w:r>
      <w:r w:rsidRPr="00A45E22">
        <w:tab/>
        <w:t xml:space="preserve">an ultra-violet beam sensor; or </w:t>
      </w:r>
    </w:p>
    <w:p w14:paraId="400F7DE4" w14:textId="77777777" w:rsidR="00916EF1" w:rsidRPr="00A45E22" w:rsidRDefault="00916EF1" w:rsidP="00916EF1">
      <w:pPr>
        <w:pStyle w:val="tPara"/>
      </w:pPr>
      <w:r w:rsidRPr="00A45E22">
        <w:tab/>
      </w:r>
      <w:r w:rsidR="00E741AF" w:rsidRPr="00A45E22">
        <w:t>(b)</w:t>
      </w:r>
      <w:r w:rsidRPr="00A45E22">
        <w:tab/>
        <w:t xml:space="preserve">a thermocouple; or </w:t>
      </w:r>
    </w:p>
    <w:p w14:paraId="400F7DE5" w14:textId="77777777" w:rsidR="00916EF1" w:rsidRPr="00A45E22" w:rsidRDefault="00916EF1" w:rsidP="00916EF1">
      <w:pPr>
        <w:pStyle w:val="tPara"/>
      </w:pPr>
      <w:r w:rsidRPr="00A45E22">
        <w:tab/>
      </w:r>
      <w:r w:rsidR="00E741AF" w:rsidRPr="00A45E22">
        <w:t>(c)</w:t>
      </w:r>
      <w:r w:rsidRPr="00A45E22">
        <w:tab/>
        <w:t>a temperature sensor; or</w:t>
      </w:r>
    </w:p>
    <w:p w14:paraId="400F7DE6" w14:textId="77777777" w:rsidR="00916EF1" w:rsidRPr="00A45E22" w:rsidRDefault="00916EF1" w:rsidP="00916EF1">
      <w:pPr>
        <w:pStyle w:val="tPara"/>
      </w:pPr>
      <w:r w:rsidRPr="00A45E22">
        <w:tab/>
      </w:r>
      <w:r w:rsidR="00E741AF" w:rsidRPr="00A45E22">
        <w:t>(d)</w:t>
      </w:r>
      <w:r w:rsidRPr="00A45E22">
        <w:tab/>
        <w:t>an equivalent device that automatically detects the presence or absence of the flame.</w:t>
      </w:r>
    </w:p>
    <w:p w14:paraId="400F7DE7" w14:textId="77777777" w:rsidR="00451353" w:rsidRPr="00A45E22" w:rsidRDefault="009832C5" w:rsidP="0002637D">
      <w:pPr>
        <w:pStyle w:val="h5Section"/>
        <w:ind w:left="0" w:firstLine="0"/>
        <w:rPr>
          <w:u w:val="single"/>
        </w:rPr>
      </w:pPr>
      <w:bookmarkStart w:id="21" w:name="_Toc17792699"/>
      <w:r w:rsidRPr="00A45E22">
        <w:rPr>
          <w:u w:val="single"/>
        </w:rPr>
        <w:t>8</w:t>
      </w:r>
      <w:r w:rsidRPr="00A45E22">
        <w:rPr>
          <w:u w:val="single"/>
        </w:rPr>
        <w:tab/>
      </w:r>
      <w:r w:rsidR="00657B47" w:rsidRPr="00A45E22">
        <w:rPr>
          <w:u w:val="single"/>
        </w:rPr>
        <w:t>Section</w:t>
      </w:r>
      <w:r w:rsidR="00225AA4" w:rsidRPr="00A45E22">
        <w:rPr>
          <w:u w:val="single"/>
        </w:rPr>
        <w:t xml:space="preserve"> 1</w:t>
      </w:r>
      <w:r w:rsidR="00B87953" w:rsidRPr="00A45E22">
        <w:rPr>
          <w:u w:val="single"/>
        </w:rPr>
        <w:t>4</w:t>
      </w:r>
      <w:r w:rsidR="00225AA4" w:rsidRPr="00A45E22">
        <w:rPr>
          <w:u w:val="single"/>
        </w:rPr>
        <w:t>—</w:t>
      </w:r>
      <w:r w:rsidR="00A65251" w:rsidRPr="00A45E22">
        <w:rPr>
          <w:u w:val="single"/>
        </w:rPr>
        <w:t>Emissions avoidance t</w:t>
      </w:r>
      <w:r w:rsidR="00225AA4" w:rsidRPr="00A45E22">
        <w:rPr>
          <w:u w:val="single"/>
        </w:rPr>
        <w:t>reatment facility—</w:t>
      </w:r>
      <w:r w:rsidR="00A65251" w:rsidRPr="00A45E22">
        <w:rPr>
          <w:u w:val="single"/>
        </w:rPr>
        <w:t>solids separation method</w:t>
      </w:r>
      <w:bookmarkEnd w:id="21"/>
    </w:p>
    <w:p w14:paraId="400F7DE8" w14:textId="77777777" w:rsidR="00451353" w:rsidRPr="00A45E22" w:rsidRDefault="00451353" w:rsidP="00BA2D88">
      <w:pPr>
        <w:pStyle w:val="tMain"/>
        <w:tabs>
          <w:tab w:val="clear" w:pos="1021"/>
          <w:tab w:val="left" w:pos="709"/>
        </w:tabs>
      </w:pPr>
      <w:r w:rsidRPr="00A45E22">
        <w:tab/>
      </w:r>
      <w:r w:rsidRPr="00A45E22">
        <w:tab/>
      </w:r>
      <w:r w:rsidR="00BA2D88" w:rsidRPr="00A45E22">
        <w:t>For section 1</w:t>
      </w:r>
      <w:r w:rsidR="00B87953" w:rsidRPr="00A45E22">
        <w:t>4</w:t>
      </w:r>
      <w:r w:rsidR="00BA2D88" w:rsidRPr="00A45E22">
        <w:t xml:space="preserve"> of the Determination, the requirements for the use of a solids separation method of diversion</w:t>
      </w:r>
      <w:r w:rsidR="0002637D" w:rsidRPr="00A45E22">
        <w:t xml:space="preserve"> are set out</w:t>
      </w:r>
      <w:r w:rsidR="00BA2D88" w:rsidRPr="00A45E22">
        <w:t xml:space="preserve"> in Schedule 2.  </w:t>
      </w:r>
    </w:p>
    <w:p w14:paraId="400F7DE9" w14:textId="77777777" w:rsidR="00A65251" w:rsidRPr="00A45E22" w:rsidRDefault="00D969FB" w:rsidP="00A65251">
      <w:pPr>
        <w:pStyle w:val="h5Section"/>
        <w:ind w:left="0" w:firstLine="0"/>
        <w:rPr>
          <w:u w:val="single"/>
        </w:rPr>
      </w:pPr>
      <w:bookmarkStart w:id="22" w:name="_Toc17792700"/>
      <w:r w:rsidRPr="00A45E22">
        <w:rPr>
          <w:u w:val="single"/>
        </w:rPr>
        <w:t>9</w:t>
      </w:r>
      <w:r w:rsidR="009832C5" w:rsidRPr="00A45E22">
        <w:rPr>
          <w:u w:val="single"/>
        </w:rPr>
        <w:tab/>
      </w:r>
      <w:r w:rsidR="00A65251" w:rsidRPr="00A45E22">
        <w:rPr>
          <w:u w:val="single"/>
        </w:rPr>
        <w:t>Section 1</w:t>
      </w:r>
      <w:r w:rsidR="00B87953" w:rsidRPr="00A45E22">
        <w:rPr>
          <w:u w:val="single"/>
        </w:rPr>
        <w:t>4</w:t>
      </w:r>
      <w:r w:rsidR="00A65251" w:rsidRPr="00A45E22">
        <w:rPr>
          <w:u w:val="single"/>
        </w:rPr>
        <w:t>—</w:t>
      </w:r>
      <w:r w:rsidRPr="00A45E22">
        <w:rPr>
          <w:u w:val="single"/>
        </w:rPr>
        <w:t>Emissions avoidance t</w:t>
      </w:r>
      <w:r w:rsidR="00A65251" w:rsidRPr="00A45E22">
        <w:rPr>
          <w:u w:val="single"/>
        </w:rPr>
        <w:t>reatment facility—</w:t>
      </w:r>
      <w:r w:rsidRPr="00A45E22">
        <w:rPr>
          <w:u w:val="single"/>
        </w:rPr>
        <w:t>post-diversion treatment</w:t>
      </w:r>
      <w:bookmarkEnd w:id="22"/>
    </w:p>
    <w:p w14:paraId="400F7DEA" w14:textId="77777777" w:rsidR="00D969FB" w:rsidRPr="00A45E22" w:rsidRDefault="00D969FB" w:rsidP="00D969FB">
      <w:pPr>
        <w:pStyle w:val="tMain"/>
        <w:tabs>
          <w:tab w:val="clear" w:pos="1021"/>
          <w:tab w:val="left" w:pos="709"/>
        </w:tabs>
        <w:ind w:firstLine="0"/>
      </w:pPr>
      <w:r w:rsidRPr="00A45E22">
        <w:t>For section 1</w:t>
      </w:r>
      <w:r w:rsidR="00B87953" w:rsidRPr="00A45E22">
        <w:t>4</w:t>
      </w:r>
      <w:r w:rsidRPr="00A45E22">
        <w:t xml:space="preserve"> of the Determination, </w:t>
      </w:r>
      <w:r w:rsidR="00831507" w:rsidRPr="00A45E22">
        <w:t>the post-diversion treatment must:</w:t>
      </w:r>
    </w:p>
    <w:p w14:paraId="400F7DEB" w14:textId="77777777" w:rsidR="00831507" w:rsidRPr="00A45E22" w:rsidRDefault="00831507" w:rsidP="00831507">
      <w:pPr>
        <w:pStyle w:val="tPara"/>
      </w:pPr>
      <w:r w:rsidRPr="00A45E22">
        <w:tab/>
        <w:t>(a)</w:t>
      </w:r>
      <w:r w:rsidRPr="00A45E22">
        <w:tab/>
        <w:t>take into account industry best practice to ensure the treatment facility complies with subsection 7(4) of the Determination; and</w:t>
      </w:r>
    </w:p>
    <w:p w14:paraId="400F7DEC" w14:textId="77777777" w:rsidR="00831507" w:rsidRPr="00A45E22" w:rsidRDefault="00831507" w:rsidP="00831507">
      <w:pPr>
        <w:pStyle w:val="tPara"/>
      </w:pPr>
      <w:r w:rsidRPr="00A45E22">
        <w:tab/>
        <w:t>(b)</w:t>
      </w:r>
      <w:r w:rsidRPr="00A45E22">
        <w:tab/>
        <w:t>ensure that stockpiles do not become large or compacted so as to create significant emissions of m</w:t>
      </w:r>
      <w:r w:rsidR="00705717" w:rsidRPr="00A45E22">
        <w:t>ethane</w:t>
      </w:r>
      <w:r w:rsidR="00F910E3">
        <w:t xml:space="preserve"> or nitrous oxide</w:t>
      </w:r>
      <w:r w:rsidR="00705717" w:rsidRPr="00A45E22">
        <w:t>; and</w:t>
      </w:r>
    </w:p>
    <w:p w14:paraId="400F7DED" w14:textId="77777777" w:rsidR="00705717" w:rsidRPr="00A45E22" w:rsidRDefault="00705717" w:rsidP="00831507">
      <w:pPr>
        <w:pStyle w:val="tPara"/>
      </w:pPr>
      <w:r w:rsidRPr="00A45E22">
        <w:tab/>
        <w:t>(c)</w:t>
      </w:r>
      <w:r w:rsidRPr="00A45E22">
        <w:tab/>
        <w:t>be carried out consistently with the definitions of composting (passive windrow) or stockpiles (solid storage) in the Determination.</w:t>
      </w:r>
    </w:p>
    <w:p w14:paraId="400F7DEE" w14:textId="77777777" w:rsidR="00831507" w:rsidRPr="00A45E22" w:rsidRDefault="00831507" w:rsidP="00831507">
      <w:pPr>
        <w:pStyle w:val="nMain"/>
        <w:ind w:hanging="710"/>
      </w:pPr>
      <w:r w:rsidRPr="00A45E22">
        <w:t>Note:       The storage of solids is expected to typically be in small stockpiles (approximately 5m diameter x 2m high) or windrows (approximately 3m wide and 2m high) so as to reduce the amount of methane produced.</w:t>
      </w:r>
    </w:p>
    <w:p w14:paraId="400F7DEF" w14:textId="77777777" w:rsidR="00831507" w:rsidRPr="00A45E22" w:rsidRDefault="00831507" w:rsidP="00831507">
      <w:pPr>
        <w:pStyle w:val="tPara"/>
      </w:pPr>
    </w:p>
    <w:p w14:paraId="400F7DF0" w14:textId="77777777" w:rsidR="00831507" w:rsidRPr="00A45E22" w:rsidRDefault="00831507" w:rsidP="00831507">
      <w:pPr>
        <w:pStyle w:val="tPara"/>
      </w:pPr>
      <w:r w:rsidRPr="00A45E22">
        <w:tab/>
      </w:r>
    </w:p>
    <w:p w14:paraId="400F7DF1" w14:textId="77777777" w:rsidR="00831507" w:rsidRPr="00A45E22" w:rsidRDefault="00831507" w:rsidP="00D969FB">
      <w:pPr>
        <w:pStyle w:val="tMain"/>
        <w:tabs>
          <w:tab w:val="clear" w:pos="1021"/>
          <w:tab w:val="left" w:pos="709"/>
        </w:tabs>
        <w:ind w:firstLine="0"/>
        <w:rPr>
          <w:i/>
        </w:rPr>
      </w:pPr>
    </w:p>
    <w:p w14:paraId="400F7DF2" w14:textId="77777777" w:rsidR="00743CE5" w:rsidRPr="00A45E22" w:rsidRDefault="00743CE5" w:rsidP="00743CE5">
      <w:pPr>
        <w:rPr>
          <w:lang w:eastAsia="en-AU"/>
        </w:rPr>
      </w:pPr>
    </w:p>
    <w:p w14:paraId="400F7DF3" w14:textId="77777777" w:rsidR="008B4B68" w:rsidRPr="00A45E22" w:rsidRDefault="004F33C9" w:rsidP="00552351">
      <w:pPr>
        <w:pStyle w:val="h5Section"/>
        <w:ind w:left="0" w:firstLine="0"/>
        <w:rPr>
          <w:u w:val="single"/>
        </w:rPr>
      </w:pPr>
      <w:bookmarkStart w:id="23" w:name="_Toc17792701"/>
      <w:r w:rsidRPr="00A45E22">
        <w:rPr>
          <w:u w:val="single"/>
        </w:rPr>
        <w:t>10</w:t>
      </w:r>
      <w:r w:rsidR="009832C5" w:rsidRPr="00A45E22">
        <w:rPr>
          <w:u w:val="single"/>
        </w:rPr>
        <w:tab/>
      </w:r>
      <w:r w:rsidR="008B4B68" w:rsidRPr="00A45E22">
        <w:rPr>
          <w:u w:val="single"/>
        </w:rPr>
        <w:t>Section 1</w:t>
      </w:r>
      <w:r w:rsidR="00B87953" w:rsidRPr="00A45E22">
        <w:rPr>
          <w:u w:val="single"/>
        </w:rPr>
        <w:t>5</w:t>
      </w:r>
      <w:r w:rsidR="00607641" w:rsidRPr="00A45E22">
        <w:rPr>
          <w:u w:val="single"/>
        </w:rPr>
        <w:t>—</w:t>
      </w:r>
      <w:r w:rsidR="00B206DC" w:rsidRPr="00A45E22">
        <w:rPr>
          <w:u w:val="single"/>
        </w:rPr>
        <w:t xml:space="preserve">Evidence that satisfies the Regulator that the </w:t>
      </w:r>
      <w:r w:rsidR="00022F82" w:rsidRPr="00A45E22">
        <w:rPr>
          <w:u w:val="single"/>
        </w:rPr>
        <w:t xml:space="preserve">specified organic effluent </w:t>
      </w:r>
      <w:r w:rsidR="00B206DC" w:rsidRPr="00A45E22">
        <w:rPr>
          <w:u w:val="single"/>
        </w:rPr>
        <w:t>would have been treated in an anaerobic pond</w:t>
      </w:r>
      <w:bookmarkEnd w:id="23"/>
    </w:p>
    <w:p w14:paraId="400F7DF4" w14:textId="77777777" w:rsidR="004936DC" w:rsidRPr="00A45E22" w:rsidRDefault="004936DC" w:rsidP="00C637C9">
      <w:pPr>
        <w:pStyle w:val="tMain"/>
      </w:pPr>
      <w:r w:rsidRPr="00A45E22">
        <w:tab/>
        <w:t>(1)</w:t>
      </w:r>
      <w:r w:rsidRPr="00A45E22">
        <w:tab/>
        <w:t xml:space="preserve">For paragraph 15(2)(b) of the Determination, organic effluent from </w:t>
      </w:r>
      <w:r w:rsidR="00725353">
        <w:t xml:space="preserve">new or expanded </w:t>
      </w:r>
      <w:r w:rsidRPr="00A45E22">
        <w:t>piggeries is specified.</w:t>
      </w:r>
    </w:p>
    <w:p w14:paraId="400F7DF5" w14:textId="77777777" w:rsidR="009725BF" w:rsidRPr="00A45E22" w:rsidRDefault="004936DC" w:rsidP="00552351">
      <w:pPr>
        <w:pStyle w:val="tMain"/>
      </w:pPr>
      <w:r w:rsidRPr="00A45E22">
        <w:tab/>
        <w:t>(2)</w:t>
      </w:r>
      <w:r w:rsidRPr="00A45E22">
        <w:tab/>
      </w:r>
      <w:r w:rsidR="009725BF" w:rsidRPr="00A45E22">
        <w:t xml:space="preserve">For </w:t>
      </w:r>
      <w:r w:rsidR="00B87953" w:rsidRPr="00A45E22">
        <w:t xml:space="preserve">paragraph </w:t>
      </w:r>
      <w:r w:rsidR="009725BF" w:rsidRPr="00A45E22">
        <w:t>1</w:t>
      </w:r>
      <w:r w:rsidR="00B87953" w:rsidRPr="00A45E22">
        <w:t>5</w:t>
      </w:r>
      <w:r w:rsidR="009725BF" w:rsidRPr="00A45E22">
        <w:t xml:space="preserve">(2)(b) of the Determination, evidence that satisfies the Regulator that </w:t>
      </w:r>
      <w:r w:rsidRPr="00A45E22">
        <w:t xml:space="preserve">organic effluent specified by subsection (1) </w:t>
      </w:r>
      <w:r w:rsidR="009725BF" w:rsidRPr="00A45E22">
        <w:t>would have been treated in an anaerobic pond</w:t>
      </w:r>
      <w:r w:rsidR="00F21A37" w:rsidRPr="00A45E22">
        <w:t xml:space="preserve"> must</w:t>
      </w:r>
      <w:r w:rsidR="009725BF" w:rsidRPr="00A45E22">
        <w:t xml:space="preserve"> include:</w:t>
      </w:r>
    </w:p>
    <w:p w14:paraId="400F7DF6" w14:textId="77777777" w:rsidR="006F7977" w:rsidRPr="00A45E22" w:rsidRDefault="009725BF" w:rsidP="009725BF">
      <w:pPr>
        <w:pStyle w:val="tPara"/>
      </w:pPr>
      <w:r w:rsidRPr="00A45E22">
        <w:tab/>
        <w:t>(a)</w:t>
      </w:r>
      <w:r w:rsidRPr="00A45E22">
        <w:tab/>
        <w:t>an explanation of why material would</w:t>
      </w:r>
      <w:r w:rsidR="00EB55A8" w:rsidRPr="00A45E22">
        <w:t xml:space="preserve"> have been treated in an anaerobic pond</w:t>
      </w:r>
      <w:r w:rsidR="006F7977" w:rsidRPr="00A45E22">
        <w:t>; and</w:t>
      </w:r>
    </w:p>
    <w:p w14:paraId="400F7DF7" w14:textId="77777777" w:rsidR="009725BF" w:rsidRPr="00A45E22" w:rsidRDefault="006F7977" w:rsidP="009725BF">
      <w:pPr>
        <w:pStyle w:val="tPara"/>
      </w:pPr>
      <w:r w:rsidRPr="00A45E22">
        <w:tab/>
        <w:t>(b)</w:t>
      </w:r>
      <w:r w:rsidRPr="00A45E22">
        <w:tab/>
        <w:t>an explanation of</w:t>
      </w:r>
      <w:r w:rsidR="00EB55A8" w:rsidRPr="00A45E22">
        <w:t xml:space="preserve"> why </w:t>
      </w:r>
      <w:r w:rsidR="00F21A37" w:rsidRPr="00A45E22">
        <w:t>paragraph 1</w:t>
      </w:r>
      <w:r w:rsidR="00B87953" w:rsidRPr="00A45E22">
        <w:t>5</w:t>
      </w:r>
      <w:r w:rsidR="00F21A37" w:rsidRPr="00A45E22">
        <w:t>(2)(a) of the Determination</w:t>
      </w:r>
      <w:r w:rsidR="00977670" w:rsidRPr="00A45E22">
        <w:t xml:space="preserve"> does not apply</w:t>
      </w:r>
      <w:r w:rsidR="00F21A37" w:rsidRPr="00A45E22">
        <w:t>; and</w:t>
      </w:r>
    </w:p>
    <w:p w14:paraId="400F7DF8" w14:textId="77777777" w:rsidR="00F21A37" w:rsidRPr="00A45E22" w:rsidRDefault="006F7977" w:rsidP="00F21A37">
      <w:pPr>
        <w:pStyle w:val="tPara"/>
      </w:pPr>
      <w:r w:rsidRPr="00A45E22">
        <w:tab/>
        <w:t>(c</w:t>
      </w:r>
      <w:r w:rsidR="00F21A37" w:rsidRPr="00A45E22">
        <w:t>)</w:t>
      </w:r>
      <w:r w:rsidR="00F21A37" w:rsidRPr="00A45E22">
        <w:tab/>
        <w:t>a signed statement from the owner of the facility that produced the material:</w:t>
      </w:r>
    </w:p>
    <w:p w14:paraId="400F7DF9" w14:textId="77777777" w:rsidR="00F21A37" w:rsidRPr="00A45E22" w:rsidRDefault="00F21A37" w:rsidP="00F21A37">
      <w:pPr>
        <w:pStyle w:val="tSubpara"/>
      </w:pPr>
      <w:r w:rsidRPr="00A45E22">
        <w:tab/>
        <w:t>(i)</w:t>
      </w:r>
      <w:r w:rsidRPr="00A45E22">
        <w:tab/>
        <w:t>verifying that without the project the material would have been treated in an anaerobic pond; and</w:t>
      </w:r>
    </w:p>
    <w:p w14:paraId="400F7DFA" w14:textId="77777777" w:rsidR="00F21A37" w:rsidRPr="00A45E22" w:rsidRDefault="00F21A37" w:rsidP="00F21A37">
      <w:pPr>
        <w:pStyle w:val="tSubpara"/>
      </w:pPr>
      <w:r w:rsidRPr="00A45E22">
        <w:tab/>
        <w:t>(ii)</w:t>
      </w:r>
      <w:r w:rsidRPr="00A45E22">
        <w:tab/>
        <w:t>providing the details and location of the existing or proposed pond which would have treated the material.</w:t>
      </w:r>
    </w:p>
    <w:p w14:paraId="400F7DFB" w14:textId="77777777" w:rsidR="00F21A37" w:rsidRPr="00A45E22" w:rsidRDefault="00F21A37" w:rsidP="009725BF">
      <w:pPr>
        <w:pStyle w:val="tPara"/>
      </w:pPr>
    </w:p>
    <w:p w14:paraId="400F7DFC" w14:textId="77777777" w:rsidR="00F21A37" w:rsidRPr="00A45E22" w:rsidRDefault="00F21A37" w:rsidP="009725BF">
      <w:pPr>
        <w:pStyle w:val="tPara"/>
      </w:pPr>
    </w:p>
    <w:p w14:paraId="400F7DFD" w14:textId="77777777" w:rsidR="00453CC2" w:rsidRPr="00A45E22" w:rsidRDefault="00453CC2" w:rsidP="00453CC2">
      <w:pPr>
        <w:pStyle w:val="h2Part"/>
      </w:pPr>
      <w:bookmarkStart w:id="24" w:name="_Toc17792702"/>
      <w:r w:rsidRPr="00A45E22">
        <w:lastRenderedPageBreak/>
        <w:t>Part 3—Matters referred</w:t>
      </w:r>
      <w:r w:rsidR="00EE74D9" w:rsidRPr="00A45E22">
        <w:t xml:space="preserve"> to</w:t>
      </w:r>
      <w:r w:rsidRPr="00A45E22">
        <w:t xml:space="preserve"> in Part 4 in the Determination – Net abatement amount</w:t>
      </w:r>
      <w:bookmarkEnd w:id="24"/>
    </w:p>
    <w:p w14:paraId="400F7DFE" w14:textId="77777777" w:rsidR="00E15BFF" w:rsidRPr="00A45E22" w:rsidRDefault="00476598" w:rsidP="00B77CE9">
      <w:pPr>
        <w:pStyle w:val="h5Section"/>
        <w:rPr>
          <w:u w:val="single"/>
        </w:rPr>
      </w:pPr>
      <w:bookmarkStart w:id="25" w:name="_Toc498293979"/>
      <w:bookmarkStart w:id="26" w:name="_Toc17792703"/>
      <w:r w:rsidRPr="00A45E22">
        <w:rPr>
          <w:u w:val="single"/>
        </w:rPr>
        <w:t>11</w:t>
      </w:r>
      <w:r w:rsidR="009832C5" w:rsidRPr="00A45E22">
        <w:rPr>
          <w:u w:val="single"/>
        </w:rPr>
        <w:tab/>
      </w:r>
      <w:r w:rsidR="00E15BFF" w:rsidRPr="00A45E22">
        <w:rPr>
          <w:u w:val="single"/>
        </w:rPr>
        <w:t xml:space="preserve">Sections </w:t>
      </w:r>
      <w:r w:rsidR="002A7439" w:rsidRPr="00A45E22">
        <w:rPr>
          <w:u w:val="single"/>
        </w:rPr>
        <w:t>1</w:t>
      </w:r>
      <w:r w:rsidR="00B87953" w:rsidRPr="00A45E22">
        <w:rPr>
          <w:u w:val="single"/>
        </w:rPr>
        <w:t>6</w:t>
      </w:r>
      <w:r w:rsidR="00A00753" w:rsidRPr="00A45E22">
        <w:rPr>
          <w:u w:val="single"/>
        </w:rPr>
        <w:t xml:space="preserve">, </w:t>
      </w:r>
      <w:r w:rsidR="002A7439" w:rsidRPr="00A45E22">
        <w:rPr>
          <w:u w:val="single"/>
        </w:rPr>
        <w:t>2</w:t>
      </w:r>
      <w:r w:rsidR="00B87953" w:rsidRPr="00A45E22">
        <w:rPr>
          <w:u w:val="single"/>
        </w:rPr>
        <w:t>5</w:t>
      </w:r>
      <w:r w:rsidR="00A00753" w:rsidRPr="00A45E22">
        <w:rPr>
          <w:u w:val="single"/>
        </w:rPr>
        <w:t xml:space="preserve"> </w:t>
      </w:r>
      <w:r w:rsidR="00101B4D" w:rsidRPr="00A45E22">
        <w:rPr>
          <w:u w:val="single"/>
        </w:rPr>
        <w:t xml:space="preserve">and </w:t>
      </w:r>
      <w:r w:rsidR="002A7439" w:rsidRPr="00A45E22">
        <w:rPr>
          <w:u w:val="single"/>
        </w:rPr>
        <w:t>2</w:t>
      </w:r>
      <w:r w:rsidR="00B87953" w:rsidRPr="00A45E22">
        <w:rPr>
          <w:u w:val="single"/>
        </w:rPr>
        <w:t>7</w:t>
      </w:r>
      <w:r w:rsidR="00E15BFF" w:rsidRPr="00A45E22">
        <w:rPr>
          <w:u w:val="single"/>
        </w:rPr>
        <w:t>—</w:t>
      </w:r>
      <w:r w:rsidR="008D63AF" w:rsidRPr="00A45E22">
        <w:rPr>
          <w:u w:val="single"/>
        </w:rPr>
        <w:t>M</w:t>
      </w:r>
      <w:r w:rsidR="00916EF1" w:rsidRPr="00A45E22">
        <w:rPr>
          <w:u w:val="single"/>
        </w:rPr>
        <w:t>easurement</w:t>
      </w:r>
      <w:r w:rsidR="00E15BFF" w:rsidRPr="00A45E22">
        <w:rPr>
          <w:u w:val="single"/>
        </w:rPr>
        <w:t xml:space="preserve"> of methane-producing capacity</w:t>
      </w:r>
      <w:bookmarkEnd w:id="25"/>
      <w:bookmarkEnd w:id="26"/>
    </w:p>
    <w:p w14:paraId="400F7DFF" w14:textId="77777777" w:rsidR="003D4C45" w:rsidRPr="00A45E22" w:rsidRDefault="003D4C45" w:rsidP="00B77CE9">
      <w:pPr>
        <w:pStyle w:val="ntoHeading"/>
      </w:pPr>
      <w:r w:rsidRPr="00A45E22">
        <w:t>Note:</w:t>
      </w:r>
      <w:r w:rsidRPr="00A45E22">
        <w:tab/>
      </w:r>
      <w:r w:rsidR="00781A3D" w:rsidRPr="00A45E22">
        <w:t xml:space="preserve">This section refers to the measurement of the methane-producing capacity. </w:t>
      </w:r>
      <w:r w:rsidRPr="00A45E22">
        <w:t xml:space="preserve">For the default methane-producing capacity of a material </w:t>
      </w:r>
      <w:r w:rsidRPr="00A45E22">
        <w:rPr>
          <w:i/>
        </w:rPr>
        <w:t>w</w:t>
      </w:r>
      <w:r w:rsidR="00A00753" w:rsidRPr="00A45E22">
        <w:rPr>
          <w:i/>
        </w:rPr>
        <w:t xml:space="preserve"> </w:t>
      </w:r>
      <w:r w:rsidR="00A00753" w:rsidRPr="00A45E22">
        <w:t xml:space="preserve">for section </w:t>
      </w:r>
      <w:r w:rsidR="002A7439" w:rsidRPr="00A45E22">
        <w:t>2</w:t>
      </w:r>
      <w:r w:rsidR="00B87953" w:rsidRPr="00A45E22">
        <w:t>7</w:t>
      </w:r>
      <w:r w:rsidR="00A00753" w:rsidRPr="00A45E22">
        <w:t xml:space="preserve"> of the Determination</w:t>
      </w:r>
      <w:r w:rsidRPr="00A45E22">
        <w:t xml:space="preserve">, see section </w:t>
      </w:r>
      <w:r w:rsidR="002A7439" w:rsidRPr="00A45E22">
        <w:t>4</w:t>
      </w:r>
      <w:r w:rsidRPr="00A45E22">
        <w:t xml:space="preserve"> and </w:t>
      </w:r>
      <w:r w:rsidR="002A7439" w:rsidRPr="00A45E22">
        <w:t>Schedule 1</w:t>
      </w:r>
      <w:r w:rsidRPr="00A45E22">
        <w:t>.</w:t>
      </w:r>
      <w:r w:rsidR="00781A3D" w:rsidRPr="00A45E22">
        <w:t xml:space="preserve"> </w:t>
      </w:r>
    </w:p>
    <w:p w14:paraId="400F7E00" w14:textId="77777777" w:rsidR="00A00753" w:rsidRPr="00A45E22" w:rsidRDefault="00A00753" w:rsidP="00B77CE9">
      <w:pPr>
        <w:pStyle w:val="tMain"/>
      </w:pPr>
      <w:r w:rsidRPr="00A45E22">
        <w:tab/>
      </w:r>
      <w:r w:rsidR="00E741AF" w:rsidRPr="00A45E22">
        <w:t>(1)</w:t>
      </w:r>
      <w:r w:rsidRPr="00A45E22">
        <w:tab/>
      </w:r>
      <w:r w:rsidR="00E15BFF" w:rsidRPr="00A45E22">
        <w:t xml:space="preserve">For sections </w:t>
      </w:r>
      <w:r w:rsidR="002A7439" w:rsidRPr="00A45E22">
        <w:t>1</w:t>
      </w:r>
      <w:r w:rsidR="006A0D27" w:rsidRPr="00A45E22">
        <w:t>6</w:t>
      </w:r>
      <w:r w:rsidRPr="00A45E22">
        <w:t xml:space="preserve"> and </w:t>
      </w:r>
      <w:r w:rsidR="002A7439" w:rsidRPr="00A45E22">
        <w:t>2</w:t>
      </w:r>
      <w:r w:rsidR="00B87953" w:rsidRPr="00A45E22">
        <w:t>7</w:t>
      </w:r>
      <w:r w:rsidRPr="00A45E22">
        <w:t xml:space="preserve"> </w:t>
      </w:r>
      <w:r w:rsidR="00E15BFF" w:rsidRPr="00A45E22">
        <w:t>of</w:t>
      </w:r>
      <w:r w:rsidR="00916EF1" w:rsidRPr="00A45E22">
        <w:t xml:space="preserve"> the Determination, the methane-</w:t>
      </w:r>
      <w:r w:rsidR="00E15BFF" w:rsidRPr="00A45E22">
        <w:t xml:space="preserve">producing capacity of material </w:t>
      </w:r>
      <w:r w:rsidRPr="00A45E22">
        <w:t xml:space="preserve">of type </w:t>
      </w:r>
      <w:r w:rsidR="00B86D6A" w:rsidRPr="00A45E22">
        <w:rPr>
          <w:i/>
        </w:rPr>
        <w:t>w</w:t>
      </w:r>
      <w:r w:rsidR="00E15BFF" w:rsidRPr="00A45E22">
        <w:rPr>
          <w:i/>
        </w:rPr>
        <w:t xml:space="preserve"> </w:t>
      </w:r>
      <w:r w:rsidRPr="00A45E22">
        <w:t>must be assessed before treatment of the material has commenced.</w:t>
      </w:r>
    </w:p>
    <w:p w14:paraId="400F7E01" w14:textId="77777777" w:rsidR="00EA4492" w:rsidRPr="00A45E22" w:rsidRDefault="00A00753" w:rsidP="00B77CE9">
      <w:pPr>
        <w:pStyle w:val="tMain"/>
      </w:pPr>
      <w:r w:rsidRPr="00A45E22">
        <w:tab/>
      </w:r>
      <w:r w:rsidR="00E741AF" w:rsidRPr="00A45E22">
        <w:t>(2)</w:t>
      </w:r>
      <w:r w:rsidRPr="00A45E22">
        <w:tab/>
        <w:t xml:space="preserve">For section </w:t>
      </w:r>
      <w:r w:rsidR="002A7439" w:rsidRPr="00A45E22">
        <w:t>2</w:t>
      </w:r>
      <w:r w:rsidR="00B87953" w:rsidRPr="00A45E22">
        <w:t>5</w:t>
      </w:r>
      <w:r w:rsidRPr="00A45E22">
        <w:t xml:space="preserve"> of the Determination, the methane-producing capacity of material of type </w:t>
      </w:r>
      <w:r w:rsidRPr="00A45E22">
        <w:rPr>
          <w:i/>
        </w:rPr>
        <w:t xml:space="preserve">w </w:t>
      </w:r>
      <w:r w:rsidRPr="00A45E22">
        <w:t xml:space="preserve">must be </w:t>
      </w:r>
      <w:r w:rsidR="00B17887" w:rsidRPr="00A45E22">
        <w:t xml:space="preserve">measured </w:t>
      </w:r>
      <w:r w:rsidR="00DD5950" w:rsidRPr="00A45E22">
        <w:t>immediately</w:t>
      </w:r>
      <w:r w:rsidR="00B17887" w:rsidRPr="00A45E22">
        <w:t xml:space="preserve"> </w:t>
      </w:r>
      <w:r w:rsidR="00431D08" w:rsidRPr="00A45E22">
        <w:t>after the material has been diverted.</w:t>
      </w:r>
    </w:p>
    <w:p w14:paraId="400F7E02" w14:textId="77777777" w:rsidR="003D4C45" w:rsidRPr="00A45E22" w:rsidRDefault="00431D08" w:rsidP="00B77CE9">
      <w:pPr>
        <w:pStyle w:val="tMain"/>
      </w:pPr>
      <w:r w:rsidRPr="00A45E22">
        <w:tab/>
      </w:r>
      <w:r w:rsidR="00E741AF" w:rsidRPr="00A45E22">
        <w:t>(3)</w:t>
      </w:r>
      <w:r w:rsidRPr="00A45E22">
        <w:tab/>
      </w:r>
      <w:r w:rsidR="00951261" w:rsidRPr="00A45E22">
        <w:t>Subject to subsection (</w:t>
      </w:r>
      <w:r w:rsidR="00472FC0" w:rsidRPr="00A45E22">
        <w:t>5), all me</w:t>
      </w:r>
      <w:r w:rsidR="00C93EA1" w:rsidRPr="00A45E22">
        <w:t>a</w:t>
      </w:r>
      <w:r w:rsidR="00472FC0" w:rsidRPr="00A45E22">
        <w:t>surements of the</w:t>
      </w:r>
      <w:r w:rsidRPr="00A45E22">
        <w:t xml:space="preserve"> methane-producing capacity of the material </w:t>
      </w:r>
      <w:r w:rsidR="003D4C45" w:rsidRPr="00A45E22">
        <w:t>must be determined</w:t>
      </w:r>
      <w:r w:rsidR="00A00753" w:rsidRPr="00A45E22">
        <w:t xml:space="preserve"> </w:t>
      </w:r>
      <w:r w:rsidR="003D4C45" w:rsidRPr="00A45E22">
        <w:t>at least annually by:</w:t>
      </w:r>
    </w:p>
    <w:p w14:paraId="400F7E03" w14:textId="77777777" w:rsidR="00E15BFF" w:rsidRPr="00A45E22" w:rsidRDefault="00E15BFF" w:rsidP="00E15BFF">
      <w:pPr>
        <w:pStyle w:val="tPara"/>
      </w:pPr>
      <w:r w:rsidRPr="00A45E22">
        <w:tab/>
      </w:r>
      <w:r w:rsidR="00E741AF" w:rsidRPr="00A45E22">
        <w:t>(a)</w:t>
      </w:r>
      <w:r w:rsidRPr="00A45E22">
        <w:tab/>
        <w:t>collecting</w:t>
      </w:r>
      <w:r w:rsidR="00F918E0" w:rsidRPr="00A45E22">
        <w:t>, transporting and analysing</w:t>
      </w:r>
      <w:r w:rsidRPr="00A45E22">
        <w:t xml:space="preserve"> samples of the waste type on at least three separate </w:t>
      </w:r>
      <w:r w:rsidR="00506962" w:rsidRPr="00A45E22">
        <w:t>occasions in accordance with</w:t>
      </w:r>
      <w:r w:rsidRPr="00A45E22">
        <w:t>:</w:t>
      </w:r>
    </w:p>
    <w:p w14:paraId="400F7E04" w14:textId="77777777" w:rsidR="00E15BFF" w:rsidRPr="00A45E22" w:rsidRDefault="00E15BFF" w:rsidP="00E15BFF">
      <w:pPr>
        <w:pStyle w:val="tSubpara"/>
      </w:pPr>
      <w:r w:rsidRPr="00A45E22">
        <w:tab/>
      </w:r>
      <w:r w:rsidR="00E741AF" w:rsidRPr="00A45E22">
        <w:t>(i)</w:t>
      </w:r>
      <w:r w:rsidRPr="00A45E22">
        <w:tab/>
      </w:r>
      <w:r w:rsidR="00506962" w:rsidRPr="00A45E22">
        <w:t xml:space="preserve">the approach outlined by Christof Holliger and others in “Towards a standardization of biomethane potential tests” in </w:t>
      </w:r>
      <w:r w:rsidR="00506962" w:rsidRPr="00A45E22">
        <w:rPr>
          <w:i/>
        </w:rPr>
        <w:t xml:space="preserve">Water Science and Technology </w:t>
      </w:r>
      <w:r w:rsidR="00506962" w:rsidRPr="00A45E22">
        <w:t>(2016)</w:t>
      </w:r>
      <w:r w:rsidRPr="00A45E22">
        <w:t>; or</w:t>
      </w:r>
    </w:p>
    <w:p w14:paraId="400F7E05" w14:textId="77777777" w:rsidR="00506962" w:rsidRPr="00A45E22" w:rsidRDefault="00506962" w:rsidP="00506962">
      <w:pPr>
        <w:pStyle w:val="nMain"/>
      </w:pPr>
      <w:r w:rsidRPr="00A45E22">
        <w:tab/>
        <w:t xml:space="preserve">Note: In 2019, this could be accessed at: </w:t>
      </w:r>
      <w:hyperlink r:id="rId11" w:history="1">
        <w:r w:rsidRPr="00A45E22">
          <w:t>https://repositorium.sdum.uminho.pt/bitstream/1822/43883/1/document_44173_1.pdf</w:t>
        </w:r>
      </w:hyperlink>
      <w:r w:rsidRPr="00A45E22">
        <w:t xml:space="preserve"> </w:t>
      </w:r>
    </w:p>
    <w:p w14:paraId="400F7E06" w14:textId="77777777" w:rsidR="00E15BFF" w:rsidRPr="00A45E22" w:rsidRDefault="00E15BFF" w:rsidP="00E15BFF">
      <w:pPr>
        <w:pStyle w:val="tSubpara"/>
      </w:pPr>
      <w:r w:rsidRPr="00A45E22">
        <w:tab/>
      </w:r>
      <w:r w:rsidR="00E741AF" w:rsidRPr="00A45E22">
        <w:t>(ii)</w:t>
      </w:r>
      <w:r w:rsidRPr="00A45E22">
        <w:tab/>
        <w:t>an equivalent Australian or international standard; and</w:t>
      </w:r>
    </w:p>
    <w:p w14:paraId="400F7E07" w14:textId="77777777" w:rsidR="00E15BFF" w:rsidRPr="00A45E22" w:rsidRDefault="00E15BFF" w:rsidP="00E15BFF">
      <w:pPr>
        <w:pStyle w:val="tPara"/>
      </w:pPr>
      <w:r w:rsidRPr="00A45E22">
        <w:tab/>
      </w:r>
      <w:r w:rsidR="00E741AF" w:rsidRPr="00A45E22">
        <w:t>(b)</w:t>
      </w:r>
      <w:r w:rsidRPr="00A45E22">
        <w:tab/>
        <w:t>causing</w:t>
      </w:r>
      <w:r w:rsidR="005E09EE" w:rsidRPr="00A45E22">
        <w:t xml:space="preserve"> each of</w:t>
      </w:r>
      <w:r w:rsidRPr="00A45E22">
        <w:t xml:space="preserve"> those samples to be:</w:t>
      </w:r>
    </w:p>
    <w:p w14:paraId="400F7E08" w14:textId="77777777" w:rsidR="00E15BFF" w:rsidRPr="00A45E22" w:rsidRDefault="00E15BFF" w:rsidP="00E15BFF">
      <w:pPr>
        <w:pStyle w:val="tSubpara"/>
      </w:pPr>
      <w:r w:rsidRPr="00A45E22">
        <w:tab/>
      </w:r>
      <w:r w:rsidR="00E741AF" w:rsidRPr="00A45E22">
        <w:t>(i)</w:t>
      </w:r>
      <w:r w:rsidRPr="00A45E22">
        <w:tab/>
        <w:t>kept cold in a sealed container by storing and shipping on ice (but not frozen) or in a refrigerator until analysed; and</w:t>
      </w:r>
    </w:p>
    <w:p w14:paraId="400F7E09" w14:textId="77777777" w:rsidR="00E15BFF" w:rsidRPr="00A45E22" w:rsidRDefault="00E15BFF" w:rsidP="00E15BFF">
      <w:pPr>
        <w:pStyle w:val="tSubpara"/>
      </w:pPr>
      <w:r w:rsidRPr="00A45E22">
        <w:tab/>
      </w:r>
      <w:r w:rsidR="00E741AF" w:rsidRPr="00A45E22">
        <w:t>(ii)</w:t>
      </w:r>
      <w:r w:rsidRPr="00A45E22">
        <w:tab/>
        <w:t>analysed in a laboratory in triplicate; and</w:t>
      </w:r>
    </w:p>
    <w:p w14:paraId="400F7E0A" w14:textId="77777777" w:rsidR="00E15BFF" w:rsidRPr="00A45E22" w:rsidRDefault="00E15BFF" w:rsidP="00E15BFF">
      <w:pPr>
        <w:pStyle w:val="tSubpara"/>
      </w:pPr>
      <w:r w:rsidRPr="00A45E22">
        <w:tab/>
      </w:r>
      <w:r w:rsidR="00E741AF" w:rsidRPr="00A45E22">
        <w:t>(iii)</w:t>
      </w:r>
      <w:r w:rsidRPr="00A45E22">
        <w:tab/>
        <w:t>subtracting the background methane production of any inoculum that was used in the test.</w:t>
      </w:r>
    </w:p>
    <w:p w14:paraId="400F7E0B" w14:textId="77777777" w:rsidR="00E15BFF" w:rsidRPr="00A45E22" w:rsidRDefault="00E15BFF" w:rsidP="00E15BFF">
      <w:pPr>
        <w:pStyle w:val="tMain"/>
      </w:pPr>
      <w:r w:rsidRPr="00A45E22">
        <w:tab/>
      </w:r>
      <w:r w:rsidR="00E741AF" w:rsidRPr="00A45E22">
        <w:t>(4)</w:t>
      </w:r>
      <w:r w:rsidR="007068D8" w:rsidRPr="00A45E22">
        <w:tab/>
        <w:t xml:space="preserve">Methane-producing capacity </w:t>
      </w:r>
      <w:r w:rsidRPr="00A45E22">
        <w:t xml:space="preserve">must be measured in a laboratory throughout the test, and the measurement data is to be fitted with a suitable and statistically significant kinetic model to estimate the maximum achievable </w:t>
      </w:r>
      <w:r w:rsidR="008F39D2" w:rsidRPr="00A45E22">
        <w:t>methane-producing capac</w:t>
      </w:r>
      <w:r w:rsidR="005D246F" w:rsidRPr="00A45E22">
        <w:t>ity</w:t>
      </w:r>
      <w:r w:rsidRPr="00A45E22">
        <w:t xml:space="preserve"> to be reported in units of cubic </w:t>
      </w:r>
      <w:r w:rsidR="000A1B5D" w:rsidRPr="00A45E22">
        <w:t>metre</w:t>
      </w:r>
      <w:r w:rsidRPr="00A45E22">
        <w:t>s per tonne of volatile solids</w:t>
      </w:r>
      <w:r w:rsidR="007068D8" w:rsidRPr="00A45E22">
        <w:t xml:space="preserve"> added</w:t>
      </w:r>
      <w:r w:rsidRPr="00A45E22">
        <w:t>.</w:t>
      </w:r>
    </w:p>
    <w:p w14:paraId="400F7E0C" w14:textId="77777777" w:rsidR="008B4B68" w:rsidRPr="00A45E22" w:rsidRDefault="00D40523" w:rsidP="008B4B68">
      <w:pPr>
        <w:pStyle w:val="tMain"/>
      </w:pPr>
      <w:r w:rsidRPr="00A45E22">
        <w:tab/>
        <w:t>(5)</w:t>
      </w:r>
      <w:r w:rsidRPr="00A45E22">
        <w:tab/>
        <w:t>If the material of</w:t>
      </w:r>
      <w:r w:rsidR="00951261" w:rsidRPr="00A45E22">
        <w:t xml:space="preserve"> a listed type is diverted by an emissions avoidance treatment method immediately after entering the facility, the project proponent m</w:t>
      </w:r>
      <w:r w:rsidR="0089471E" w:rsidRPr="00A45E22">
        <w:t>ay</w:t>
      </w:r>
      <w:r w:rsidR="00951261" w:rsidRPr="00A45E22">
        <w:t xml:space="preserve"> choose to use the default methane-producing capacity for that type specified in Schedule 1</w:t>
      </w:r>
      <w:r w:rsidR="00472FC0" w:rsidRPr="00A45E22">
        <w:t xml:space="preserve"> for the relevant equation</w:t>
      </w:r>
      <w:r w:rsidR="00951261" w:rsidRPr="00A45E22">
        <w:t>.</w:t>
      </w:r>
    </w:p>
    <w:p w14:paraId="400F7E0D" w14:textId="77777777" w:rsidR="00757902" w:rsidRPr="00A45E22" w:rsidRDefault="009832C5" w:rsidP="00757902">
      <w:pPr>
        <w:pStyle w:val="h5Section"/>
        <w:rPr>
          <w:u w:val="single"/>
        </w:rPr>
      </w:pPr>
      <w:bookmarkStart w:id="27" w:name="_Toc17792704"/>
      <w:r w:rsidRPr="00A45E22">
        <w:rPr>
          <w:u w:val="single"/>
        </w:rPr>
        <w:t>12</w:t>
      </w:r>
      <w:r w:rsidRPr="00A45E22">
        <w:rPr>
          <w:u w:val="single"/>
        </w:rPr>
        <w:tab/>
      </w:r>
      <w:r w:rsidR="00757902" w:rsidRPr="00A45E22">
        <w:rPr>
          <w:u w:val="single"/>
        </w:rPr>
        <w:t>Section 2</w:t>
      </w:r>
      <w:r w:rsidR="008E71C2" w:rsidRPr="00A45E22">
        <w:rPr>
          <w:u w:val="single"/>
        </w:rPr>
        <w:t>4</w:t>
      </w:r>
      <w:r w:rsidR="00607641" w:rsidRPr="00A45E22">
        <w:rPr>
          <w:u w:val="single"/>
        </w:rPr>
        <w:t>—</w:t>
      </w:r>
      <w:r w:rsidR="00757902" w:rsidRPr="00A45E22">
        <w:rPr>
          <w:u w:val="single"/>
        </w:rPr>
        <w:t>Measuring the quantity of biog</w:t>
      </w:r>
      <w:r w:rsidR="002D2D18" w:rsidRPr="00A45E22">
        <w:rPr>
          <w:u w:val="single"/>
        </w:rPr>
        <w:t xml:space="preserve">as sent to a combustion device, </w:t>
      </w:r>
      <w:r w:rsidR="00757902" w:rsidRPr="00A45E22">
        <w:rPr>
          <w:i/>
          <w:u w:val="single"/>
        </w:rPr>
        <w:t>Q</w:t>
      </w:r>
      <w:r w:rsidR="00757902" w:rsidRPr="00A45E22">
        <w:rPr>
          <w:i/>
          <w:u w:val="single"/>
          <w:vertAlign w:val="subscript"/>
        </w:rPr>
        <w:t>biogas, i</w:t>
      </w:r>
      <w:bookmarkEnd w:id="27"/>
    </w:p>
    <w:p w14:paraId="400F7E0E" w14:textId="77777777" w:rsidR="00757902" w:rsidRPr="00A45E22" w:rsidRDefault="00757902" w:rsidP="00757902">
      <w:pPr>
        <w:pStyle w:val="tMain"/>
      </w:pPr>
      <w:r w:rsidRPr="00A45E22">
        <w:tab/>
        <w:t>(1)</w:t>
      </w:r>
      <w:r w:rsidRPr="00A45E22">
        <w:tab/>
      </w:r>
      <w:r w:rsidR="0010104F" w:rsidRPr="00A45E22">
        <w:t>T</w:t>
      </w:r>
      <w:r w:rsidR="002C062E" w:rsidRPr="00A45E22">
        <w:t>he total volume of biogas sent to combustion device</w:t>
      </w:r>
      <w:r w:rsidR="002C062E" w:rsidRPr="00A45E22">
        <w:rPr>
          <w:i/>
        </w:rPr>
        <w:t xml:space="preserve"> i</w:t>
      </w:r>
      <w:r w:rsidR="002C062E" w:rsidRPr="00A45E22">
        <w:t xml:space="preserve"> during a reporting period</w:t>
      </w:r>
      <w:r w:rsidR="0010104F" w:rsidRPr="00A45E22">
        <w:t xml:space="preserve"> (Q</w:t>
      </w:r>
      <w:r w:rsidR="0010104F" w:rsidRPr="00A45E22">
        <w:rPr>
          <w:vertAlign w:val="subscript"/>
        </w:rPr>
        <w:t>biogas, i </w:t>
      </w:r>
      <w:r w:rsidR="002C062E" w:rsidRPr="00A45E22">
        <w:t>) m</w:t>
      </w:r>
      <w:r w:rsidRPr="00A45E22">
        <w:t>ust be measured in accordance with the following requirements:</w:t>
      </w:r>
    </w:p>
    <w:p w14:paraId="400F7E0F" w14:textId="77777777" w:rsidR="00757902" w:rsidRPr="00A45E22" w:rsidRDefault="002C062E" w:rsidP="00757902">
      <w:pPr>
        <w:pStyle w:val="tPara"/>
      </w:pPr>
      <w:r w:rsidRPr="00A45E22">
        <w:tab/>
        <w:t>(a)</w:t>
      </w:r>
      <w:r w:rsidRPr="00A45E22">
        <w:tab/>
        <w:t>the b</w:t>
      </w:r>
      <w:r w:rsidR="00757902" w:rsidRPr="00A45E22">
        <w:t>iogas flow must be:</w:t>
      </w:r>
    </w:p>
    <w:p w14:paraId="400F7E10" w14:textId="77777777" w:rsidR="00757902" w:rsidRPr="00A45E22" w:rsidRDefault="00757902" w:rsidP="00757902">
      <w:pPr>
        <w:pStyle w:val="tSubpara"/>
      </w:pPr>
      <w:r w:rsidRPr="00A45E22">
        <w:tab/>
        <w:t>(i)</w:t>
      </w:r>
      <w:r w:rsidRPr="00A45E22">
        <w:tab/>
        <w:t>measured as close to the delivery location of the gaseous fuel to the combustion device as is safely possible;</w:t>
      </w:r>
    </w:p>
    <w:p w14:paraId="400F7E11" w14:textId="77777777" w:rsidR="00757902" w:rsidRPr="00A45E22" w:rsidRDefault="00757902" w:rsidP="00757902">
      <w:pPr>
        <w:pStyle w:val="tSubpara"/>
      </w:pPr>
      <w:r w:rsidRPr="00A45E22">
        <w:tab/>
        <w:t>(ii)</w:t>
      </w:r>
      <w:r w:rsidRPr="00A45E22">
        <w:tab/>
        <w:t>measured using a continuous monitoring system; and</w:t>
      </w:r>
    </w:p>
    <w:p w14:paraId="400F7E12" w14:textId="77777777" w:rsidR="00757902" w:rsidRPr="00A45E22" w:rsidRDefault="00757902" w:rsidP="00757902">
      <w:pPr>
        <w:pStyle w:val="tSubpara"/>
      </w:pPr>
      <w:r w:rsidRPr="00A45E22">
        <w:tab/>
        <w:t>(iii)</w:t>
      </w:r>
      <w:r w:rsidRPr="00A45E22">
        <w:tab/>
        <w:t xml:space="preserve">recorded in cubic </w:t>
      </w:r>
      <w:r w:rsidR="000A1B5D" w:rsidRPr="00A45E22">
        <w:t>metre</w:t>
      </w:r>
      <w:r w:rsidRPr="00A45E22">
        <w:t>s (m</w:t>
      </w:r>
      <w:r w:rsidRPr="00A45E22">
        <w:rPr>
          <w:vertAlign w:val="superscript"/>
        </w:rPr>
        <w:t>3</w:t>
      </w:r>
      <w:r w:rsidRPr="00A45E22">
        <w:t>).</w:t>
      </w:r>
    </w:p>
    <w:p w14:paraId="400F7E13" w14:textId="77777777" w:rsidR="00757902" w:rsidRPr="00A45E22" w:rsidRDefault="00757902" w:rsidP="00757902">
      <w:pPr>
        <w:pStyle w:val="tMain"/>
      </w:pPr>
      <w:r w:rsidRPr="00A45E22">
        <w:tab/>
        <w:t>(2)</w:t>
      </w:r>
      <w:r w:rsidRPr="00A45E22">
        <w:tab/>
        <w:t>Biogas flow must be measured using equipment that:</w:t>
      </w:r>
    </w:p>
    <w:p w14:paraId="400F7E14" w14:textId="77777777" w:rsidR="00757902" w:rsidRPr="00A45E22" w:rsidRDefault="00757902" w:rsidP="00757902">
      <w:pPr>
        <w:pStyle w:val="tPara"/>
      </w:pPr>
      <w:r w:rsidRPr="00A45E22">
        <w:lastRenderedPageBreak/>
        <w:tab/>
        <w:t>(a)</w:t>
      </w:r>
      <w:r w:rsidRPr="00A45E22">
        <w:tab/>
        <w:t>is rated for use with raw biogas which may contain corrosive ingredients such as hydrogen sulphide, entrained aerosols and fine particulate matter;</w:t>
      </w:r>
    </w:p>
    <w:p w14:paraId="400F7E15" w14:textId="77777777" w:rsidR="00757902" w:rsidRPr="00A45E22" w:rsidRDefault="00757902" w:rsidP="00757902">
      <w:pPr>
        <w:pStyle w:val="tPara"/>
      </w:pPr>
      <w:r w:rsidRPr="00A45E22">
        <w:tab/>
        <w:t>(b)</w:t>
      </w:r>
      <w:r w:rsidRPr="00A45E22">
        <w:tab/>
        <w:t>is rated for use at the expected flow rates and pressures</w:t>
      </w:r>
      <w:r w:rsidR="002C062E" w:rsidRPr="00A45E22">
        <w:t xml:space="preserve"> for the combustion devices being used</w:t>
      </w:r>
      <w:r w:rsidRPr="00A45E22">
        <w:t>;</w:t>
      </w:r>
    </w:p>
    <w:p w14:paraId="400F7E16" w14:textId="77777777" w:rsidR="00757902" w:rsidRPr="00A45E22" w:rsidRDefault="00757902" w:rsidP="00757902">
      <w:pPr>
        <w:pStyle w:val="tPara"/>
      </w:pPr>
      <w:r w:rsidRPr="00A45E22">
        <w:tab/>
        <w:t>(c)</w:t>
      </w:r>
      <w:r w:rsidRPr="00A45E22">
        <w:tab/>
        <w:t>is designed for use in the anticipated operating temperature range; and</w:t>
      </w:r>
    </w:p>
    <w:p w14:paraId="400F7E17" w14:textId="77777777" w:rsidR="00757902" w:rsidRPr="00A45E22" w:rsidRDefault="00757902" w:rsidP="00757902">
      <w:pPr>
        <w:pStyle w:val="tPara"/>
      </w:pPr>
      <w:r w:rsidRPr="00A45E22">
        <w:tab/>
        <w:t>(d)</w:t>
      </w:r>
      <w:r w:rsidRPr="00A45E22">
        <w:tab/>
        <w:t>is accurate to +/</w:t>
      </w:r>
      <w:r w:rsidRPr="00A45E22">
        <w:noBreakHyphen/>
        <w:t xml:space="preserve"> 5% for flow measurement.</w:t>
      </w:r>
    </w:p>
    <w:p w14:paraId="400F7E18" w14:textId="77777777" w:rsidR="00C15E72" w:rsidRPr="00A45E22" w:rsidRDefault="00757902" w:rsidP="00C15E72">
      <w:pPr>
        <w:pStyle w:val="tMain"/>
      </w:pPr>
      <w:r w:rsidRPr="00A45E22">
        <w:tab/>
        <w:t>(3)</w:t>
      </w:r>
      <w:r w:rsidRPr="00A45E22">
        <w:tab/>
        <w:t xml:space="preserve">Gas flow must be continuously recorded and integrated using an integration device that is isolated from the flow computer in such a way that if the computer fails, the integration device will retain the previously stored data that was on the computer immediately before the failure. </w:t>
      </w:r>
    </w:p>
    <w:p w14:paraId="400F7E19" w14:textId="77777777" w:rsidR="00C15E72" w:rsidRPr="00A45E22" w:rsidRDefault="00C15E72" w:rsidP="00C15E72">
      <w:pPr>
        <w:pStyle w:val="nMain"/>
        <w:ind w:left="1276"/>
      </w:pPr>
      <w:r w:rsidRPr="00A45E22">
        <w:tab/>
        <w:t xml:space="preserve">Note: Section 42 of the Determination includes a process for making a conservative estimate of gas flow if equipment has failed for a period. </w:t>
      </w:r>
      <w:r w:rsidR="0048502F" w:rsidRPr="00A45E22">
        <w:t>This process would need to take account of any potential seasonal variation in gas flow.</w:t>
      </w:r>
    </w:p>
    <w:p w14:paraId="400F7E1A" w14:textId="77777777" w:rsidR="00D13038" w:rsidRPr="00A45E22" w:rsidRDefault="00757902" w:rsidP="00F3717D">
      <w:pPr>
        <w:pStyle w:val="tMain"/>
      </w:pPr>
      <w:r w:rsidRPr="00A45E22">
        <w:tab/>
        <w:t>(4)</w:t>
      </w:r>
      <w:r w:rsidRPr="00A45E22">
        <w:tab/>
        <w:t xml:space="preserve">All measurements must comply with the </w:t>
      </w:r>
      <w:r w:rsidRPr="00A45E22">
        <w:rPr>
          <w:i/>
        </w:rPr>
        <w:t>National Measurement Act 1960</w:t>
      </w:r>
      <w:r w:rsidRPr="00A45E22">
        <w:t>.</w:t>
      </w:r>
    </w:p>
    <w:p w14:paraId="400F7E1B" w14:textId="77777777" w:rsidR="00757902" w:rsidRPr="00A45E22" w:rsidRDefault="00F17CDC" w:rsidP="00757902">
      <w:pPr>
        <w:pStyle w:val="h5Section"/>
        <w:rPr>
          <w:u w:val="single"/>
        </w:rPr>
      </w:pPr>
      <w:bookmarkStart w:id="28" w:name="_Toc467775580"/>
      <w:bookmarkStart w:id="29" w:name="_Toc467774865"/>
      <w:bookmarkStart w:id="30" w:name="_Toc346883308"/>
      <w:bookmarkStart w:id="31" w:name="_Toc498293993"/>
      <w:bookmarkStart w:id="32" w:name="_Toc17792705"/>
      <w:r w:rsidRPr="00A45E22">
        <w:rPr>
          <w:u w:val="single"/>
        </w:rPr>
        <w:t>13</w:t>
      </w:r>
      <w:r w:rsidR="009832C5" w:rsidRPr="00A45E22">
        <w:rPr>
          <w:u w:val="single"/>
        </w:rPr>
        <w:tab/>
      </w:r>
      <w:r w:rsidR="00757902" w:rsidRPr="00A45E22">
        <w:rPr>
          <w:u w:val="single"/>
        </w:rPr>
        <w:t>Section 2</w:t>
      </w:r>
      <w:r w:rsidR="008E71C2" w:rsidRPr="00A45E22">
        <w:rPr>
          <w:u w:val="single"/>
        </w:rPr>
        <w:t>4</w:t>
      </w:r>
      <w:r w:rsidR="00607641" w:rsidRPr="00A45E22">
        <w:rPr>
          <w:u w:val="single"/>
        </w:rPr>
        <w:t>—</w:t>
      </w:r>
      <w:r w:rsidR="00757902" w:rsidRPr="00A45E22">
        <w:rPr>
          <w:u w:val="single"/>
        </w:rPr>
        <w:t>Measuring the p</w:t>
      </w:r>
      <w:r w:rsidR="002E720E" w:rsidRPr="00A45E22">
        <w:rPr>
          <w:u w:val="single"/>
        </w:rPr>
        <w:t>roportion</w:t>
      </w:r>
      <w:r w:rsidR="002D2D18" w:rsidRPr="00A45E22">
        <w:rPr>
          <w:u w:val="single"/>
        </w:rPr>
        <w:t xml:space="preserve"> of methane in biogas, </w:t>
      </w:r>
      <w:r w:rsidR="00757902" w:rsidRPr="00A45E22">
        <w:rPr>
          <w:i/>
          <w:u w:val="single"/>
        </w:rPr>
        <w:t>W</w:t>
      </w:r>
      <w:r w:rsidR="00757902" w:rsidRPr="00A45E22">
        <w:rPr>
          <w:i/>
          <w:u w:val="single"/>
          <w:vertAlign w:val="subscript"/>
        </w:rPr>
        <w:t>BG, CH4</w:t>
      </w:r>
      <w:bookmarkEnd w:id="28"/>
      <w:bookmarkEnd w:id="29"/>
      <w:bookmarkEnd w:id="30"/>
      <w:bookmarkEnd w:id="31"/>
      <w:bookmarkEnd w:id="32"/>
    </w:p>
    <w:p w14:paraId="400F7E1C" w14:textId="77777777" w:rsidR="000F2398" w:rsidRPr="00A45E22" w:rsidRDefault="00757902" w:rsidP="000F2398">
      <w:pPr>
        <w:pStyle w:val="tMain"/>
      </w:pPr>
      <w:r w:rsidRPr="00A45E22">
        <w:tab/>
      </w:r>
      <w:r w:rsidR="000F2398" w:rsidRPr="00A45E22">
        <w:t>(1)</w:t>
      </w:r>
      <w:r w:rsidR="000F2398" w:rsidRPr="00A45E22">
        <w:tab/>
        <w:t>The proportion of methane in biogas (</w:t>
      </w:r>
      <m:oMath>
        <m:sSub>
          <m:sSubPr>
            <m:ctrlPr>
              <w:rPr>
                <w:rFonts w:ascii="Cambria Math" w:hAnsi="Cambria Math"/>
              </w:rPr>
            </m:ctrlPr>
          </m:sSubPr>
          <m:e>
            <m:r>
              <m:rPr>
                <m:sty m:val="p"/>
              </m:rPr>
              <w:rPr>
                <w:rFonts w:ascii="Cambria Math" w:hAnsi="Cambria Math"/>
              </w:rPr>
              <m:t>W</m:t>
            </m:r>
          </m:e>
          <m:sub>
            <m:sSub>
              <m:sSubPr>
                <m:ctrlPr>
                  <w:rPr>
                    <w:rFonts w:ascii="Cambria Math" w:hAnsi="Cambria Math"/>
                  </w:rPr>
                </m:ctrlPr>
              </m:sSubPr>
              <m:e>
                <m:r>
                  <m:rPr>
                    <m:sty m:val="p"/>
                  </m:rPr>
                  <w:rPr>
                    <w:rFonts w:ascii="Cambria Math" w:hAnsi="Cambria Math"/>
                  </w:rPr>
                  <m:t>BG,CH</m:t>
                </m:r>
              </m:e>
              <m:sub>
                <m:r>
                  <m:rPr>
                    <m:sty m:val="p"/>
                  </m:rPr>
                  <w:rPr>
                    <w:rFonts w:ascii="Cambria Math" w:hAnsi="Cambria Math"/>
                  </w:rPr>
                  <m:t>4</m:t>
                </m:r>
              </m:sub>
            </m:sSub>
          </m:sub>
        </m:sSub>
      </m:oMath>
      <w:r w:rsidR="000F2398" w:rsidRPr="00A45E22">
        <w:t xml:space="preserve">) must be: </w:t>
      </w:r>
    </w:p>
    <w:p w14:paraId="400F7E1D" w14:textId="77777777" w:rsidR="000F2398" w:rsidRPr="00A45E22" w:rsidRDefault="000F2398" w:rsidP="000F2398">
      <w:pPr>
        <w:pStyle w:val="tPara"/>
      </w:pPr>
      <w:r w:rsidRPr="00A45E22">
        <w:tab/>
        <w:t>(a)</w:t>
      </w:r>
      <w:r w:rsidRPr="00A45E22">
        <w:tab/>
        <w:t>a default value calculated under subsection (2); or</w:t>
      </w:r>
    </w:p>
    <w:p w14:paraId="400F7E1E" w14:textId="77777777" w:rsidR="000F2398" w:rsidRPr="00A45E22" w:rsidRDefault="000F2398" w:rsidP="000F2398">
      <w:pPr>
        <w:pStyle w:val="tPara"/>
      </w:pPr>
      <w:r w:rsidRPr="00A45E22">
        <w:tab/>
        <w:t>(b)</w:t>
      </w:r>
      <w:r w:rsidRPr="00A45E22">
        <w:tab/>
        <w:t>measured under subsection (3).</w:t>
      </w:r>
    </w:p>
    <w:p w14:paraId="400F7E1F" w14:textId="77777777" w:rsidR="000F2398" w:rsidRPr="00A45E22" w:rsidRDefault="006F7977" w:rsidP="000F2398">
      <w:pPr>
        <w:pStyle w:val="tMain"/>
      </w:pPr>
      <w:r w:rsidRPr="00A45E22">
        <w:tab/>
        <w:t>(2</w:t>
      </w:r>
      <w:r w:rsidR="000F2398" w:rsidRPr="00A45E22">
        <w:t>)</w:t>
      </w:r>
      <w:r w:rsidR="000F2398" w:rsidRPr="00A45E22">
        <w:tab/>
        <w:t>The default values for proportion of methane in biogas (</w:t>
      </w:r>
      <m:oMath>
        <m:sSub>
          <m:sSubPr>
            <m:ctrlPr>
              <w:rPr>
                <w:rFonts w:ascii="Cambria Math" w:hAnsi="Cambria Math"/>
              </w:rPr>
            </m:ctrlPr>
          </m:sSubPr>
          <m:e>
            <m:r>
              <m:rPr>
                <m:sty m:val="p"/>
              </m:rPr>
              <w:rPr>
                <w:rFonts w:ascii="Cambria Math" w:hAnsi="Cambria Math"/>
              </w:rPr>
              <m:t>W</m:t>
            </m:r>
          </m:e>
          <m:sub>
            <m:sSub>
              <m:sSubPr>
                <m:ctrlPr>
                  <w:rPr>
                    <w:rFonts w:ascii="Cambria Math" w:hAnsi="Cambria Math"/>
                  </w:rPr>
                </m:ctrlPr>
              </m:sSubPr>
              <m:e>
                <m:r>
                  <m:rPr>
                    <m:sty m:val="p"/>
                  </m:rPr>
                  <w:rPr>
                    <w:rFonts w:ascii="Cambria Math" w:hAnsi="Cambria Math"/>
                  </w:rPr>
                  <m:t>BG,CH</m:t>
                </m:r>
              </m:e>
              <m:sub>
                <m:r>
                  <m:rPr>
                    <m:sty m:val="p"/>
                  </m:rPr>
                  <w:rPr>
                    <w:rFonts w:ascii="Cambria Math" w:hAnsi="Cambria Math"/>
                  </w:rPr>
                  <m:t>4</m:t>
                </m:r>
              </m:sub>
            </m:sSub>
          </m:sub>
        </m:sSub>
      </m:oMath>
      <w:r w:rsidR="000F2398" w:rsidRPr="00A45E22">
        <w:t xml:space="preserve">) are: </w:t>
      </w:r>
    </w:p>
    <w:p w14:paraId="400F7E20" w14:textId="77777777" w:rsidR="000F2398" w:rsidRPr="00A45E22" w:rsidRDefault="000F2398" w:rsidP="000F2398">
      <w:pPr>
        <w:pStyle w:val="tPara"/>
      </w:pPr>
      <w:r w:rsidRPr="00A45E22">
        <w:tab/>
        <w:t>(a)</w:t>
      </w:r>
      <w:r w:rsidRPr="00A45E22">
        <w:tab/>
        <w:t xml:space="preserve">if over 95% of the biogas is </w:t>
      </w:r>
      <w:r w:rsidR="007F0CF8" w:rsidRPr="00A45E22">
        <w:t xml:space="preserve">likely to have been produced from </w:t>
      </w:r>
      <w:r w:rsidRPr="00A45E22">
        <w:t>piggery</w:t>
      </w:r>
      <w:r w:rsidR="007F0CF8" w:rsidRPr="00A45E22">
        <w:t xml:space="preserve"> effluent</w:t>
      </w:r>
      <w:r w:rsidRPr="00A45E22">
        <w:t>—70%</w:t>
      </w:r>
      <w:r w:rsidR="00F34192" w:rsidRPr="00A45E22">
        <w:t>;</w:t>
      </w:r>
      <w:r w:rsidRPr="00A45E22">
        <w:t xml:space="preserve"> or</w:t>
      </w:r>
    </w:p>
    <w:p w14:paraId="400F7E21" w14:textId="77777777" w:rsidR="000F2398" w:rsidRPr="00A45E22" w:rsidRDefault="000F2398" w:rsidP="000F2398">
      <w:pPr>
        <w:pStyle w:val="tPara"/>
      </w:pPr>
      <w:r w:rsidRPr="00A45E22">
        <w:tab/>
        <w:t>(b)</w:t>
      </w:r>
      <w:r w:rsidRPr="00A45E22">
        <w:tab/>
      </w:r>
      <w:r w:rsidR="00F34192" w:rsidRPr="00A45E22">
        <w:t xml:space="preserve">if over 95% of the </w:t>
      </w:r>
      <w:r w:rsidR="007F0CF8" w:rsidRPr="00A45E22">
        <w:t xml:space="preserve">biogas is likely to have been produced from </w:t>
      </w:r>
      <w:r w:rsidR="00F34192" w:rsidRPr="00A45E22">
        <w:t>dairy</w:t>
      </w:r>
      <w:r w:rsidR="007F0CF8" w:rsidRPr="00A45E22">
        <w:t xml:space="preserve"> effluent</w:t>
      </w:r>
      <w:r w:rsidR="00F34192" w:rsidRPr="00A45E22">
        <w:t>—60%; or</w:t>
      </w:r>
    </w:p>
    <w:p w14:paraId="400F7E22" w14:textId="77777777" w:rsidR="000F2398" w:rsidRPr="00A45E22" w:rsidRDefault="00F34192" w:rsidP="00F34192">
      <w:pPr>
        <w:pStyle w:val="tPara"/>
      </w:pPr>
      <w:r w:rsidRPr="00A45E22">
        <w:tab/>
        <w:t>(c)</w:t>
      </w:r>
      <w:r w:rsidRPr="00A45E22">
        <w:tab/>
        <w:t>otherwise—50%.</w:t>
      </w:r>
    </w:p>
    <w:p w14:paraId="400F7E23" w14:textId="77777777" w:rsidR="00757902" w:rsidRPr="00A45E22" w:rsidRDefault="000F2398" w:rsidP="00757902">
      <w:pPr>
        <w:pStyle w:val="tMain"/>
      </w:pPr>
      <w:r w:rsidRPr="00A45E22">
        <w:tab/>
        <w:t>(3</w:t>
      </w:r>
      <w:r w:rsidR="00757902" w:rsidRPr="00A45E22">
        <w:t>)</w:t>
      </w:r>
      <w:r w:rsidR="00757902" w:rsidRPr="00A45E22">
        <w:tab/>
        <w:t>When the p</w:t>
      </w:r>
      <w:r w:rsidR="002E720E" w:rsidRPr="00A45E22">
        <w:t>roportion</w:t>
      </w:r>
      <w:r w:rsidR="00757902" w:rsidRPr="00A45E22">
        <w:t xml:space="preserve"> of methane in biogas (</w:t>
      </w:r>
      <m:oMath>
        <m:sSub>
          <m:sSubPr>
            <m:ctrlPr>
              <w:rPr>
                <w:rFonts w:ascii="Cambria Math" w:hAnsi="Cambria Math"/>
              </w:rPr>
            </m:ctrlPr>
          </m:sSubPr>
          <m:e>
            <m:r>
              <m:rPr>
                <m:sty m:val="p"/>
              </m:rPr>
              <w:rPr>
                <w:rFonts w:ascii="Cambria Math" w:hAnsi="Cambria Math"/>
              </w:rPr>
              <m:t>W</m:t>
            </m:r>
          </m:e>
          <m:sub>
            <m:sSub>
              <m:sSubPr>
                <m:ctrlPr>
                  <w:rPr>
                    <w:rFonts w:ascii="Cambria Math" w:hAnsi="Cambria Math"/>
                  </w:rPr>
                </m:ctrlPr>
              </m:sSubPr>
              <m:e>
                <m:r>
                  <m:rPr>
                    <m:sty m:val="p"/>
                  </m:rPr>
                  <w:rPr>
                    <w:rFonts w:ascii="Cambria Math" w:hAnsi="Cambria Math"/>
                  </w:rPr>
                  <m:t>BG,CH</m:t>
                </m:r>
              </m:e>
              <m:sub>
                <m:r>
                  <m:rPr>
                    <m:sty m:val="p"/>
                  </m:rPr>
                  <w:rPr>
                    <w:rFonts w:ascii="Cambria Math" w:hAnsi="Cambria Math"/>
                  </w:rPr>
                  <m:t>4</m:t>
                </m:r>
              </m:sub>
            </m:sSub>
          </m:sub>
        </m:sSub>
      </m:oMath>
      <w:r w:rsidR="00757902" w:rsidRPr="00A45E22">
        <w:t>) must be measured, it is to be measured using either:</w:t>
      </w:r>
    </w:p>
    <w:p w14:paraId="400F7E24" w14:textId="77777777" w:rsidR="00757902" w:rsidRPr="00A45E22" w:rsidRDefault="00757902" w:rsidP="00757902">
      <w:pPr>
        <w:pStyle w:val="tPara"/>
      </w:pPr>
      <w:r w:rsidRPr="00A45E22">
        <w:tab/>
        <w:t>(a)</w:t>
      </w:r>
      <w:r w:rsidRPr="00A45E22">
        <w:tab/>
        <w:t xml:space="preserve">an inline gas analyser; or </w:t>
      </w:r>
    </w:p>
    <w:p w14:paraId="400F7E25" w14:textId="77777777" w:rsidR="00757902" w:rsidRPr="00A45E22" w:rsidRDefault="00757902" w:rsidP="00757902">
      <w:pPr>
        <w:pStyle w:val="tPara"/>
      </w:pPr>
      <w:r w:rsidRPr="00A45E22">
        <w:tab/>
        <w:t>(b)</w:t>
      </w:r>
      <w:r w:rsidRPr="00A45E22">
        <w:tab/>
        <w:t>analysis, taken from samples,</w:t>
      </w:r>
      <w:r w:rsidR="0078437E" w:rsidRPr="00A45E22">
        <w:t xml:space="preserve"> and</w:t>
      </w:r>
      <w:r w:rsidRPr="00A45E22">
        <w:t xml:space="preserve"> performed at an accredited laboratory. </w:t>
      </w:r>
    </w:p>
    <w:p w14:paraId="400F7E26" w14:textId="77777777" w:rsidR="00757902" w:rsidRPr="00A45E22" w:rsidRDefault="000F2398" w:rsidP="00757902">
      <w:pPr>
        <w:pStyle w:val="tMain"/>
      </w:pPr>
      <w:r w:rsidRPr="00A45E22">
        <w:tab/>
        <w:t>(4)</w:t>
      </w:r>
      <w:r w:rsidRPr="00A45E22">
        <w:tab/>
        <w:t>Where subsection (3</w:t>
      </w:r>
      <w:r w:rsidR="00757902" w:rsidRPr="00A45E22">
        <w:t>)(b) applies, the following requirements apply:</w:t>
      </w:r>
    </w:p>
    <w:p w14:paraId="400F7E27" w14:textId="77777777" w:rsidR="00757902" w:rsidRPr="00A45E22" w:rsidRDefault="00757902" w:rsidP="00757902">
      <w:pPr>
        <w:pStyle w:val="tPara"/>
      </w:pPr>
      <w:r w:rsidRPr="00A45E22">
        <w:tab/>
        <w:t>(a)</w:t>
      </w:r>
      <w:r w:rsidRPr="00A45E22">
        <w:tab/>
        <w:t>biogas composition samples must be taken as close to the delivery location of the gaseous fuel as is safely possible;</w:t>
      </w:r>
    </w:p>
    <w:p w14:paraId="400F7E28" w14:textId="77777777" w:rsidR="00757902" w:rsidRPr="00A45E22" w:rsidRDefault="00757902" w:rsidP="00757902">
      <w:pPr>
        <w:pStyle w:val="tPara"/>
      </w:pPr>
      <w:r w:rsidRPr="00A45E22">
        <w:tab/>
        <w:t>(b)</w:t>
      </w:r>
      <w:r w:rsidRPr="00A45E22">
        <w:tab/>
        <w:t xml:space="preserve">biogas composition samples must be taken </w:t>
      </w:r>
      <w:r w:rsidR="00194C3A" w:rsidRPr="00A45E22">
        <w:t>at least monthly</w:t>
      </w:r>
      <w:r w:rsidRPr="00A45E22">
        <w:t>;</w:t>
      </w:r>
    </w:p>
    <w:p w14:paraId="400F7E29" w14:textId="77777777" w:rsidR="00757902" w:rsidRPr="00A45E22" w:rsidRDefault="00757902" w:rsidP="00757902">
      <w:pPr>
        <w:pStyle w:val="tPara"/>
      </w:pPr>
      <w:r w:rsidRPr="00A45E22">
        <w:tab/>
        <w:t>(c)</w:t>
      </w:r>
      <w:r w:rsidRPr="00A45E22">
        <w:tab/>
        <w:t>biogas composition analysis must be based on triplicate samples collected in accordance with subparagraph</w:t>
      </w:r>
      <w:r w:rsidR="00F55F51" w:rsidRPr="00A45E22">
        <w:t>s (a) and</w:t>
      </w:r>
      <w:r w:rsidRPr="00A45E22">
        <w:t xml:space="preserve"> (b); </w:t>
      </w:r>
    </w:p>
    <w:p w14:paraId="400F7E2A" w14:textId="77777777" w:rsidR="00757902" w:rsidRPr="00A45E22" w:rsidRDefault="00757902" w:rsidP="00757902">
      <w:pPr>
        <w:pStyle w:val="tPara"/>
      </w:pPr>
      <w:r w:rsidRPr="00A45E22">
        <w:tab/>
        <w:t>(d)</w:t>
      </w:r>
      <w:r w:rsidRPr="00A45E22">
        <w:tab/>
        <w:t xml:space="preserve">the sampling train must be gastight; </w:t>
      </w:r>
    </w:p>
    <w:p w14:paraId="400F7E2B" w14:textId="77777777" w:rsidR="00757902" w:rsidRPr="00A45E22" w:rsidRDefault="000F2398" w:rsidP="00757902">
      <w:pPr>
        <w:pStyle w:val="tMain"/>
      </w:pPr>
      <w:r w:rsidRPr="00A45E22">
        <w:tab/>
        <w:t>(5</w:t>
      </w:r>
      <w:r w:rsidR="00757902" w:rsidRPr="00A45E22">
        <w:t>)</w:t>
      </w:r>
      <w:r w:rsidR="00757902" w:rsidRPr="00A45E22">
        <w:tab/>
      </w:r>
      <w:r w:rsidR="00194C3A" w:rsidRPr="00A45E22">
        <w:t xml:space="preserve">The </w:t>
      </w:r>
      <w:r w:rsidR="00757902" w:rsidRPr="00A45E22">
        <w:t>biogas composition must be a</w:t>
      </w:r>
      <w:r w:rsidR="00194C3A" w:rsidRPr="00A45E22">
        <w:t>ccurate to +/</w:t>
      </w:r>
      <w:r w:rsidR="00194C3A" w:rsidRPr="00A45E22">
        <w:noBreakHyphen/>
        <w:t xml:space="preserve"> 3% absolute.</w:t>
      </w:r>
    </w:p>
    <w:p w14:paraId="400F7E2C" w14:textId="77777777" w:rsidR="002E720E" w:rsidRPr="00A45E22" w:rsidRDefault="000F2398" w:rsidP="00757902">
      <w:pPr>
        <w:pStyle w:val="tMain"/>
      </w:pPr>
      <w:r w:rsidRPr="00A45E22">
        <w:tab/>
        <w:t>(6</w:t>
      </w:r>
      <w:r w:rsidR="00194C3A" w:rsidRPr="00A45E22">
        <w:t>)</w:t>
      </w:r>
      <w:r w:rsidR="00194C3A" w:rsidRPr="00A45E22">
        <w:tab/>
        <w:t>A</w:t>
      </w:r>
      <w:r w:rsidR="00757902" w:rsidRPr="00A45E22">
        <w:t>ll measurements must be taken in accordance with the instrument manufacturer’s instructions and the relevant Australian and New Zealand standards.</w:t>
      </w:r>
    </w:p>
    <w:p w14:paraId="400F7E2D" w14:textId="77777777" w:rsidR="003D2D98" w:rsidRPr="00A45E22" w:rsidRDefault="009832C5" w:rsidP="003D2D98">
      <w:pPr>
        <w:pStyle w:val="h5Section"/>
        <w:rPr>
          <w:u w:val="single"/>
        </w:rPr>
      </w:pPr>
      <w:bookmarkStart w:id="33" w:name="_Toc17792706"/>
      <w:r w:rsidRPr="00A45E22">
        <w:rPr>
          <w:u w:val="single"/>
        </w:rPr>
        <w:t>14</w:t>
      </w:r>
      <w:r w:rsidRPr="00A45E22">
        <w:rPr>
          <w:u w:val="single"/>
        </w:rPr>
        <w:tab/>
      </w:r>
      <w:r w:rsidR="003D2D98" w:rsidRPr="00A45E22">
        <w:rPr>
          <w:u w:val="single"/>
        </w:rPr>
        <w:t>Section 2</w:t>
      </w:r>
      <w:r w:rsidR="008E71C2" w:rsidRPr="00A45E22">
        <w:rPr>
          <w:u w:val="single"/>
        </w:rPr>
        <w:t>4</w:t>
      </w:r>
      <w:r w:rsidR="00607641" w:rsidRPr="00A45E22">
        <w:rPr>
          <w:u w:val="single"/>
        </w:rPr>
        <w:t>—</w:t>
      </w:r>
      <w:r w:rsidR="003D2D98" w:rsidRPr="00A45E22">
        <w:rPr>
          <w:u w:val="single"/>
        </w:rPr>
        <w:t xml:space="preserve">Measuring the methane destruction efficiency of </w:t>
      </w:r>
      <w:r w:rsidR="00607641" w:rsidRPr="00A45E22">
        <w:rPr>
          <w:u w:val="single"/>
        </w:rPr>
        <w:t>a combustion device</w:t>
      </w:r>
      <w:r w:rsidR="002D2D18" w:rsidRPr="00A45E22">
        <w:rPr>
          <w:u w:val="single"/>
        </w:rPr>
        <w:t>,</w:t>
      </w:r>
      <w:r w:rsidR="00607641" w:rsidRPr="00A45E22">
        <w:rPr>
          <w:u w:val="single"/>
        </w:rPr>
        <w:t xml:space="preserve"> </w:t>
      </w:r>
      <w:r w:rsidR="003D2D98" w:rsidRPr="00A45E22">
        <w:rPr>
          <w:i/>
          <w:u w:val="single"/>
        </w:rPr>
        <w:t>DE</w:t>
      </w:r>
      <w:r w:rsidR="003D2D98" w:rsidRPr="00A45E22">
        <w:rPr>
          <w:i/>
          <w:u w:val="single"/>
          <w:vertAlign w:val="subscript"/>
        </w:rPr>
        <w:t>i</w:t>
      </w:r>
      <w:bookmarkEnd w:id="33"/>
      <w:r w:rsidR="003D2D98" w:rsidRPr="00A45E22">
        <w:rPr>
          <w:u w:val="single"/>
        </w:rPr>
        <w:t xml:space="preserve"> </w:t>
      </w:r>
    </w:p>
    <w:p w14:paraId="400F7E2E" w14:textId="77777777" w:rsidR="0087574E" w:rsidRPr="00A45E22" w:rsidRDefault="0087574E" w:rsidP="0087574E">
      <w:pPr>
        <w:pStyle w:val="tMain"/>
        <w:tabs>
          <w:tab w:val="clear" w:pos="1021"/>
          <w:tab w:val="left" w:pos="709"/>
        </w:tabs>
        <w:ind w:firstLine="0"/>
      </w:pPr>
      <w:r w:rsidRPr="00A45E22">
        <w:t>For section 2</w:t>
      </w:r>
      <w:r w:rsidR="008E71C2" w:rsidRPr="00A45E22">
        <w:t>4</w:t>
      </w:r>
      <w:r w:rsidRPr="00A45E22">
        <w:t xml:space="preserve"> of the Determination, the methane destruction efficiency of methane in biogas (</w:t>
      </w:r>
      <w:r w:rsidRPr="00A45E22">
        <w:rPr>
          <w:b/>
          <w:i/>
        </w:rPr>
        <w:t>DE</w:t>
      </w:r>
      <w:r w:rsidRPr="00A45E22">
        <w:rPr>
          <w:b/>
          <w:i/>
          <w:vertAlign w:val="subscript"/>
        </w:rPr>
        <w:t>i</w:t>
      </w:r>
      <w:r w:rsidRPr="00A45E22">
        <w:t xml:space="preserve">) is determined, as a fraction, </w:t>
      </w:r>
      <w:r w:rsidR="00607641" w:rsidRPr="00A45E22">
        <w:t>using a default or measured approach in the following table</w:t>
      </w:r>
      <w:r w:rsidRPr="00A45E22">
        <w:t>:</w:t>
      </w:r>
    </w:p>
    <w:p w14:paraId="400F7E2F" w14:textId="77777777" w:rsidR="00415AB8" w:rsidRPr="00A45E22" w:rsidRDefault="00415AB8" w:rsidP="0087574E">
      <w:pPr>
        <w:pStyle w:val="tMain"/>
        <w:tabs>
          <w:tab w:val="clear" w:pos="1021"/>
          <w:tab w:val="left" w:pos="709"/>
        </w:tabs>
        <w:ind w:firstLine="0"/>
      </w:pPr>
    </w:p>
    <w:tbl>
      <w:tblPr>
        <w:tblStyle w:val="TableGrid"/>
        <w:tblW w:w="5000" w:type="pct"/>
        <w:tblLook w:val="04A0" w:firstRow="1" w:lastRow="0" w:firstColumn="1" w:lastColumn="0" w:noHBand="0" w:noVBand="1"/>
      </w:tblPr>
      <w:tblGrid>
        <w:gridCol w:w="1940"/>
        <w:gridCol w:w="2433"/>
        <w:gridCol w:w="4643"/>
      </w:tblGrid>
      <w:tr w:rsidR="00740DE0" w:rsidRPr="00A45E22" w14:paraId="400F7E33" w14:textId="77777777" w:rsidTr="00415AB8">
        <w:tc>
          <w:tcPr>
            <w:tcW w:w="1076" w:type="pct"/>
          </w:tcPr>
          <w:p w14:paraId="400F7E30" w14:textId="77777777" w:rsidR="00415AB8" w:rsidRPr="00A45E22" w:rsidRDefault="00415AB8" w:rsidP="005B7A0A">
            <w:pPr>
              <w:jc w:val="center"/>
              <w:rPr>
                <w:b/>
                <w:szCs w:val="22"/>
              </w:rPr>
            </w:pPr>
          </w:p>
        </w:tc>
        <w:tc>
          <w:tcPr>
            <w:tcW w:w="1349" w:type="pct"/>
          </w:tcPr>
          <w:p w14:paraId="400F7E31" w14:textId="77777777" w:rsidR="00415AB8" w:rsidRPr="00A45E22" w:rsidRDefault="00415AB8" w:rsidP="005B7A0A">
            <w:pPr>
              <w:pStyle w:val="tMain"/>
              <w:ind w:left="0" w:firstLine="0"/>
              <w:jc w:val="center"/>
              <w:rPr>
                <w:b/>
                <w:szCs w:val="22"/>
              </w:rPr>
            </w:pPr>
            <w:r w:rsidRPr="00A45E22">
              <w:rPr>
                <w:b/>
                <w:szCs w:val="22"/>
              </w:rPr>
              <w:t>Default</w:t>
            </w:r>
          </w:p>
        </w:tc>
        <w:tc>
          <w:tcPr>
            <w:tcW w:w="2575" w:type="pct"/>
          </w:tcPr>
          <w:p w14:paraId="400F7E32" w14:textId="77777777" w:rsidR="00415AB8" w:rsidRPr="00A45E22" w:rsidRDefault="00415AB8" w:rsidP="005B7A0A">
            <w:pPr>
              <w:pStyle w:val="tMain"/>
              <w:ind w:left="0" w:firstLine="0"/>
              <w:jc w:val="center"/>
              <w:rPr>
                <w:b/>
                <w:szCs w:val="22"/>
              </w:rPr>
            </w:pPr>
            <w:r w:rsidRPr="00A45E22">
              <w:rPr>
                <w:b/>
                <w:szCs w:val="22"/>
              </w:rPr>
              <w:t>Measured</w:t>
            </w:r>
          </w:p>
        </w:tc>
      </w:tr>
      <w:tr w:rsidR="00740DE0" w:rsidRPr="00A45E22" w14:paraId="400F7E37" w14:textId="77777777" w:rsidTr="00415AB8">
        <w:tc>
          <w:tcPr>
            <w:tcW w:w="1076" w:type="pct"/>
          </w:tcPr>
          <w:p w14:paraId="400F7E34" w14:textId="77777777" w:rsidR="00415AB8" w:rsidRPr="00A45E22" w:rsidRDefault="00415AB8" w:rsidP="005B7A0A">
            <w:pPr>
              <w:rPr>
                <w:szCs w:val="22"/>
              </w:rPr>
            </w:pPr>
            <w:r w:rsidRPr="00A45E22">
              <w:rPr>
                <w:szCs w:val="22"/>
              </w:rPr>
              <w:t>Open flares</w:t>
            </w:r>
          </w:p>
        </w:tc>
        <w:tc>
          <w:tcPr>
            <w:tcW w:w="1349" w:type="pct"/>
          </w:tcPr>
          <w:p w14:paraId="400F7E35" w14:textId="77777777" w:rsidR="00415AB8" w:rsidRPr="00A45E22" w:rsidRDefault="00415AB8" w:rsidP="005B7A0A">
            <w:pPr>
              <w:pStyle w:val="tMain"/>
              <w:ind w:left="0" w:firstLine="0"/>
              <w:rPr>
                <w:szCs w:val="22"/>
              </w:rPr>
            </w:pPr>
            <w:r w:rsidRPr="00A45E22">
              <w:rPr>
                <w:szCs w:val="22"/>
              </w:rPr>
              <w:t>98% (factor of 0.98)</w:t>
            </w:r>
          </w:p>
        </w:tc>
        <w:tc>
          <w:tcPr>
            <w:tcW w:w="2575" w:type="pct"/>
          </w:tcPr>
          <w:p w14:paraId="400F7E36" w14:textId="77777777" w:rsidR="00415AB8" w:rsidRPr="00A45E22" w:rsidRDefault="008408EA" w:rsidP="005B7A0A">
            <w:pPr>
              <w:pStyle w:val="tMain"/>
              <w:ind w:left="0" w:firstLine="0"/>
              <w:rPr>
                <w:szCs w:val="22"/>
              </w:rPr>
            </w:pPr>
            <w:r w:rsidRPr="00A45E22">
              <w:rPr>
                <w:szCs w:val="22"/>
              </w:rPr>
              <w:t>N/A</w:t>
            </w:r>
          </w:p>
        </w:tc>
      </w:tr>
      <w:tr w:rsidR="00740DE0" w:rsidRPr="00A45E22" w14:paraId="400F7E3B" w14:textId="77777777" w:rsidTr="00415AB8">
        <w:tc>
          <w:tcPr>
            <w:tcW w:w="1076" w:type="pct"/>
          </w:tcPr>
          <w:p w14:paraId="400F7E38" w14:textId="77777777" w:rsidR="00415AB8" w:rsidRPr="00A45E22" w:rsidRDefault="00415AB8" w:rsidP="005B7A0A">
            <w:pPr>
              <w:pStyle w:val="tMain"/>
              <w:ind w:left="0" w:firstLine="0"/>
              <w:rPr>
                <w:szCs w:val="22"/>
              </w:rPr>
            </w:pPr>
            <w:r w:rsidRPr="00A45E22">
              <w:rPr>
                <w:szCs w:val="22"/>
              </w:rPr>
              <w:t>Enclosed flares</w:t>
            </w:r>
          </w:p>
        </w:tc>
        <w:tc>
          <w:tcPr>
            <w:tcW w:w="1349" w:type="pct"/>
          </w:tcPr>
          <w:p w14:paraId="400F7E39" w14:textId="77777777" w:rsidR="00415AB8" w:rsidRPr="00A45E22" w:rsidRDefault="00415AB8" w:rsidP="005B7A0A">
            <w:pPr>
              <w:pStyle w:val="tMain"/>
              <w:ind w:left="0" w:firstLine="0"/>
              <w:rPr>
                <w:szCs w:val="22"/>
              </w:rPr>
            </w:pPr>
            <w:r w:rsidRPr="00A45E22">
              <w:rPr>
                <w:szCs w:val="22"/>
              </w:rPr>
              <w:t>98% (factor of 0.98)</w:t>
            </w:r>
          </w:p>
        </w:tc>
        <w:tc>
          <w:tcPr>
            <w:tcW w:w="2575" w:type="pct"/>
          </w:tcPr>
          <w:p w14:paraId="400F7E3A" w14:textId="77777777" w:rsidR="00415AB8" w:rsidRPr="00A45E22" w:rsidRDefault="00415AB8" w:rsidP="005B7A0A">
            <w:pPr>
              <w:pStyle w:val="tMain"/>
              <w:ind w:left="0" w:firstLine="0"/>
              <w:rPr>
                <w:szCs w:val="22"/>
              </w:rPr>
            </w:pPr>
            <w:r w:rsidRPr="00A45E22">
              <w:rPr>
                <w:szCs w:val="22"/>
              </w:rPr>
              <w:t>Duplicate comp</w:t>
            </w:r>
            <w:r w:rsidR="00F55F51" w:rsidRPr="00A45E22">
              <w:rPr>
                <w:szCs w:val="22"/>
              </w:rPr>
              <w:t>liance testing, measured every</w:t>
            </w:r>
            <w:r w:rsidRPr="00A45E22">
              <w:rPr>
                <w:szCs w:val="22"/>
              </w:rPr>
              <w:t xml:space="preserve"> 6 months, by a NATA accredited emission stack testing company, using a method based on US EPA Method 18 or US EPA Method 3C.</w:t>
            </w:r>
          </w:p>
        </w:tc>
      </w:tr>
      <w:tr w:rsidR="00740DE0" w:rsidRPr="00A45E22" w14:paraId="400F7E41" w14:textId="77777777" w:rsidTr="00415AB8">
        <w:tc>
          <w:tcPr>
            <w:tcW w:w="1076" w:type="pct"/>
          </w:tcPr>
          <w:p w14:paraId="400F7E3C" w14:textId="77777777" w:rsidR="00415AB8" w:rsidRPr="00A45E22" w:rsidRDefault="00415AB8" w:rsidP="005B7A0A">
            <w:pPr>
              <w:pStyle w:val="tMain"/>
              <w:ind w:left="0" w:firstLine="0"/>
              <w:rPr>
                <w:szCs w:val="22"/>
              </w:rPr>
            </w:pPr>
            <w:r w:rsidRPr="00A45E22">
              <w:rPr>
                <w:szCs w:val="22"/>
              </w:rPr>
              <w:t>Internal combustion engine</w:t>
            </w:r>
          </w:p>
        </w:tc>
        <w:tc>
          <w:tcPr>
            <w:tcW w:w="1349" w:type="pct"/>
          </w:tcPr>
          <w:p w14:paraId="400F7E3D" w14:textId="77777777" w:rsidR="00415AB8" w:rsidRPr="00A45E22" w:rsidRDefault="00415AB8" w:rsidP="005B7A0A">
            <w:pPr>
              <w:pStyle w:val="tMain"/>
              <w:ind w:left="0" w:firstLine="0"/>
              <w:rPr>
                <w:szCs w:val="22"/>
              </w:rPr>
            </w:pPr>
            <w:r w:rsidRPr="00A45E22">
              <w:rPr>
                <w:szCs w:val="22"/>
              </w:rPr>
              <w:t>98% (factor of 0.98)</w:t>
            </w:r>
          </w:p>
        </w:tc>
        <w:tc>
          <w:tcPr>
            <w:tcW w:w="2575" w:type="pct"/>
          </w:tcPr>
          <w:p w14:paraId="400F7E3E" w14:textId="77777777" w:rsidR="00415AB8" w:rsidRPr="00A45E22" w:rsidRDefault="00415AB8" w:rsidP="005B7A0A">
            <w:pPr>
              <w:rPr>
                <w:szCs w:val="22"/>
              </w:rPr>
            </w:pPr>
            <w:r w:rsidRPr="00A45E22">
              <w:rPr>
                <w:szCs w:val="22"/>
              </w:rPr>
              <w:t xml:space="preserve">Duplicate compliance testing, measured every 6 months, by a NATA accredited emission stack testing company, using a method based on US EPA Method 18 or US EPA Method 3C; </w:t>
            </w:r>
          </w:p>
          <w:p w14:paraId="400F7E3F" w14:textId="77777777" w:rsidR="00415AB8" w:rsidRPr="00A45E22" w:rsidRDefault="00415AB8" w:rsidP="005B7A0A">
            <w:pPr>
              <w:rPr>
                <w:szCs w:val="22"/>
              </w:rPr>
            </w:pPr>
            <w:r w:rsidRPr="00A45E22">
              <w:rPr>
                <w:szCs w:val="22"/>
              </w:rPr>
              <w:t xml:space="preserve"> </w:t>
            </w:r>
          </w:p>
          <w:p w14:paraId="400F7E40" w14:textId="77777777" w:rsidR="00415AB8" w:rsidRPr="00A45E22" w:rsidRDefault="00740804" w:rsidP="00F55F51">
            <w:pPr>
              <w:rPr>
                <w:szCs w:val="22"/>
              </w:rPr>
            </w:pPr>
            <w:r w:rsidRPr="00A45E22">
              <w:rPr>
                <w:szCs w:val="22"/>
              </w:rPr>
              <w:t>It is n</w:t>
            </w:r>
            <w:r w:rsidR="00415AB8" w:rsidRPr="00A45E22">
              <w:rPr>
                <w:szCs w:val="22"/>
              </w:rPr>
              <w:t>ot measured if amount of methane combusted is calculated from amount of electricity (MWh) produ</w:t>
            </w:r>
            <w:r w:rsidR="0010104F" w:rsidRPr="00A45E22">
              <w:rPr>
                <w:szCs w:val="22"/>
              </w:rPr>
              <w:t>ced in accordance with sub</w:t>
            </w:r>
            <w:r w:rsidR="00415AB8" w:rsidRPr="00A45E22">
              <w:rPr>
                <w:szCs w:val="22"/>
              </w:rPr>
              <w:t>section 22(3)</w:t>
            </w:r>
            <w:r w:rsidR="00640740" w:rsidRPr="00A45E22">
              <w:rPr>
                <w:szCs w:val="22"/>
              </w:rPr>
              <w:t xml:space="preserve"> of the Determination</w:t>
            </w:r>
            <w:r w:rsidR="00415AB8" w:rsidRPr="00A45E22">
              <w:rPr>
                <w:szCs w:val="22"/>
              </w:rPr>
              <w:t>.</w:t>
            </w:r>
          </w:p>
        </w:tc>
      </w:tr>
      <w:tr w:rsidR="00F55F51" w:rsidRPr="00A45E22" w14:paraId="400F7E46" w14:textId="77777777" w:rsidTr="00415AB8">
        <w:tc>
          <w:tcPr>
            <w:tcW w:w="1076" w:type="pct"/>
          </w:tcPr>
          <w:p w14:paraId="400F7E42" w14:textId="77777777" w:rsidR="00415AB8" w:rsidRPr="00A45E22" w:rsidRDefault="00415AB8" w:rsidP="005B7A0A">
            <w:pPr>
              <w:pStyle w:val="tMain"/>
              <w:ind w:left="0" w:firstLine="0"/>
              <w:rPr>
                <w:szCs w:val="22"/>
              </w:rPr>
            </w:pPr>
            <w:r w:rsidRPr="00A45E22">
              <w:rPr>
                <w:szCs w:val="22"/>
              </w:rPr>
              <w:t>Gas boiler</w:t>
            </w:r>
          </w:p>
        </w:tc>
        <w:tc>
          <w:tcPr>
            <w:tcW w:w="1349" w:type="pct"/>
          </w:tcPr>
          <w:p w14:paraId="400F7E43" w14:textId="77777777" w:rsidR="00415AB8" w:rsidRPr="00A45E22" w:rsidRDefault="00415AB8" w:rsidP="005B7A0A">
            <w:pPr>
              <w:pStyle w:val="tMain"/>
              <w:ind w:left="0" w:firstLine="0"/>
              <w:rPr>
                <w:szCs w:val="22"/>
              </w:rPr>
            </w:pPr>
            <w:r w:rsidRPr="00A45E22">
              <w:rPr>
                <w:szCs w:val="22"/>
              </w:rPr>
              <w:t>98% (factor of 0.98)</w:t>
            </w:r>
          </w:p>
        </w:tc>
        <w:tc>
          <w:tcPr>
            <w:tcW w:w="2575" w:type="pct"/>
          </w:tcPr>
          <w:p w14:paraId="400F7E44" w14:textId="77777777" w:rsidR="00415AB8" w:rsidRPr="00A45E22" w:rsidRDefault="00415AB8" w:rsidP="005B7A0A">
            <w:pPr>
              <w:pStyle w:val="Tabletext"/>
              <w:spacing w:before="0" w:line="276" w:lineRule="auto"/>
              <w:rPr>
                <w:sz w:val="22"/>
                <w:szCs w:val="22"/>
              </w:rPr>
            </w:pPr>
            <w:r w:rsidRPr="00A45E22">
              <w:rPr>
                <w:sz w:val="22"/>
                <w:szCs w:val="22"/>
              </w:rPr>
              <w:t>Measured every 6 months if using measured efficiency by an appropriate testing company.</w:t>
            </w:r>
          </w:p>
          <w:p w14:paraId="400F7E45" w14:textId="77777777" w:rsidR="00415AB8" w:rsidRPr="00A45E22" w:rsidRDefault="00415AB8" w:rsidP="005B7A0A">
            <w:pPr>
              <w:pStyle w:val="tMain"/>
              <w:ind w:left="0" w:firstLine="0"/>
              <w:rPr>
                <w:szCs w:val="22"/>
              </w:rPr>
            </w:pPr>
            <w:r w:rsidRPr="00A45E22">
              <w:rPr>
                <w:szCs w:val="22"/>
              </w:rPr>
              <w:t xml:space="preserve">Section </w:t>
            </w:r>
            <w:r w:rsidR="00607641" w:rsidRPr="00A45E22">
              <w:rPr>
                <w:szCs w:val="22"/>
              </w:rPr>
              <w:t>7</w:t>
            </w:r>
            <w:r w:rsidRPr="00A45E22">
              <w:rPr>
                <w:szCs w:val="22"/>
              </w:rPr>
              <w:t xml:space="preserve"> also applies</w:t>
            </w:r>
            <w:r w:rsidR="00607641" w:rsidRPr="00A45E22">
              <w:rPr>
                <w:szCs w:val="22"/>
              </w:rPr>
              <w:t xml:space="preserve"> as if the boiler were a flare</w:t>
            </w:r>
            <w:r w:rsidRPr="00A45E22">
              <w:rPr>
                <w:szCs w:val="22"/>
              </w:rPr>
              <w:t>.</w:t>
            </w:r>
          </w:p>
        </w:tc>
      </w:tr>
    </w:tbl>
    <w:p w14:paraId="400F7E47" w14:textId="77777777" w:rsidR="00DE65C1" w:rsidRPr="00A45E22" w:rsidRDefault="00DE65C1" w:rsidP="00691F73">
      <w:pPr>
        <w:pStyle w:val="tMain"/>
        <w:ind w:left="0" w:firstLine="0"/>
      </w:pPr>
    </w:p>
    <w:p w14:paraId="400F7E48" w14:textId="77777777" w:rsidR="009C750F" w:rsidRPr="00A45E22" w:rsidRDefault="009C750F" w:rsidP="009C750F">
      <w:pPr>
        <w:pStyle w:val="h5Section"/>
        <w:rPr>
          <w:szCs w:val="24"/>
          <w:u w:val="single"/>
        </w:rPr>
      </w:pPr>
      <w:r w:rsidRPr="00A45E22">
        <w:rPr>
          <w:szCs w:val="24"/>
          <w:u w:val="single"/>
        </w:rPr>
        <w:t xml:space="preserve"> </w:t>
      </w:r>
      <w:bookmarkStart w:id="34" w:name="_Toc17792707"/>
      <w:r w:rsidR="009832C5" w:rsidRPr="00A45E22">
        <w:rPr>
          <w:szCs w:val="24"/>
          <w:u w:val="single"/>
        </w:rPr>
        <w:t>15</w:t>
      </w:r>
      <w:r w:rsidR="009832C5" w:rsidRPr="00A45E22">
        <w:rPr>
          <w:szCs w:val="24"/>
          <w:u w:val="single"/>
        </w:rPr>
        <w:tab/>
      </w:r>
      <w:r w:rsidRPr="00A45E22">
        <w:rPr>
          <w:szCs w:val="24"/>
          <w:u w:val="single"/>
        </w:rPr>
        <w:t>Section 2</w:t>
      </w:r>
      <w:r w:rsidR="008E71C2" w:rsidRPr="00A45E22">
        <w:rPr>
          <w:szCs w:val="24"/>
          <w:u w:val="single"/>
        </w:rPr>
        <w:t>4</w:t>
      </w:r>
      <w:r w:rsidR="00607641" w:rsidRPr="00A45E22">
        <w:rPr>
          <w:u w:val="single"/>
        </w:rPr>
        <w:t>—</w:t>
      </w:r>
      <w:r w:rsidRPr="00A45E22">
        <w:rPr>
          <w:szCs w:val="24"/>
          <w:u w:val="single"/>
        </w:rPr>
        <w:t>Measuring the total amount of electricity produced by combustion device</w:t>
      </w:r>
      <w:r w:rsidR="002D2D18" w:rsidRPr="00A45E22">
        <w:rPr>
          <w:szCs w:val="24"/>
          <w:u w:val="single"/>
        </w:rPr>
        <w:t xml:space="preserve">. </w:t>
      </w:r>
      <w:r w:rsidRPr="00A45E22">
        <w:rPr>
          <w:i/>
          <w:szCs w:val="24"/>
          <w:u w:val="single"/>
        </w:rPr>
        <w:t>Q</w:t>
      </w:r>
      <w:r w:rsidRPr="00A45E22">
        <w:rPr>
          <w:i/>
          <w:szCs w:val="24"/>
          <w:u w:val="single"/>
          <w:vertAlign w:val="subscript"/>
        </w:rPr>
        <w:t>EG, i</w:t>
      </w:r>
      <w:bookmarkEnd w:id="34"/>
      <w:r w:rsidRPr="00A45E22">
        <w:rPr>
          <w:szCs w:val="24"/>
          <w:u w:val="single"/>
        </w:rPr>
        <w:t xml:space="preserve"> </w:t>
      </w:r>
    </w:p>
    <w:p w14:paraId="400F7E49" w14:textId="77777777" w:rsidR="002C35AF" w:rsidRPr="00A45E22" w:rsidRDefault="006E257E" w:rsidP="006E257E">
      <w:pPr>
        <w:pStyle w:val="tMain"/>
        <w:ind w:left="851" w:firstLine="0"/>
        <w:rPr>
          <w:sz w:val="24"/>
          <w:szCs w:val="24"/>
        </w:rPr>
      </w:pPr>
      <w:r w:rsidRPr="00A45E22">
        <w:t>For section 2</w:t>
      </w:r>
      <w:r w:rsidR="008E71C2" w:rsidRPr="00A45E22">
        <w:t>4</w:t>
      </w:r>
      <w:r w:rsidRPr="00A45E22">
        <w:t xml:space="preserve"> of the</w:t>
      </w:r>
      <w:r w:rsidRPr="009229C7">
        <w:rPr>
          <w:szCs w:val="22"/>
        </w:rPr>
        <w:t xml:space="preserve"> Determination, the total amount of electricity produced by combustion device </w:t>
      </w:r>
      <w:r w:rsidRPr="00A45E22">
        <w:rPr>
          <w:sz w:val="24"/>
          <w:szCs w:val="24"/>
        </w:rPr>
        <w:t>(</w:t>
      </w:r>
      <w:r w:rsidRPr="00A45E22">
        <w:rPr>
          <w:i/>
          <w:sz w:val="24"/>
          <w:szCs w:val="24"/>
        </w:rPr>
        <w:t>Q</w:t>
      </w:r>
      <w:r w:rsidRPr="00A45E22">
        <w:rPr>
          <w:i/>
          <w:sz w:val="24"/>
          <w:szCs w:val="24"/>
          <w:vertAlign w:val="subscript"/>
        </w:rPr>
        <w:t>EG, i</w:t>
      </w:r>
      <w:r w:rsidRPr="00A45E22">
        <w:rPr>
          <w:sz w:val="24"/>
          <w:szCs w:val="24"/>
        </w:rPr>
        <w:t xml:space="preserve">), </w:t>
      </w:r>
      <w:r w:rsidRPr="009229C7">
        <w:rPr>
          <w:szCs w:val="22"/>
        </w:rPr>
        <w:t xml:space="preserve">in megawatt hours, </w:t>
      </w:r>
      <w:r w:rsidR="002C35AF" w:rsidRPr="009229C7">
        <w:rPr>
          <w:szCs w:val="22"/>
        </w:rPr>
        <w:t>over the reporting period that is:</w:t>
      </w:r>
    </w:p>
    <w:p w14:paraId="400F7E4A" w14:textId="77777777" w:rsidR="002C35AF" w:rsidRPr="00A45E22" w:rsidRDefault="002C35AF" w:rsidP="002C35AF">
      <w:pPr>
        <w:pStyle w:val="tPara"/>
      </w:pPr>
      <w:r w:rsidRPr="00A45E22">
        <w:tab/>
        <w:t>(a)</w:t>
      </w:r>
      <w:r w:rsidRPr="00A45E22">
        <w:tab/>
      </w:r>
      <w:r w:rsidR="006E257E" w:rsidRPr="00A45E22">
        <w:t>estimated consistent</w:t>
      </w:r>
      <w:r w:rsidRPr="00A45E22">
        <w:t>ly</w:t>
      </w:r>
      <w:r w:rsidR="006E257E" w:rsidRPr="00A45E22">
        <w:t xml:space="preserve"> with Part 6.1 of the NGER (Measurement) Determination</w:t>
      </w:r>
      <w:r w:rsidRPr="00A45E22">
        <w:t>; or</w:t>
      </w:r>
    </w:p>
    <w:p w14:paraId="400F7E4B" w14:textId="77777777" w:rsidR="006E257E" w:rsidRPr="00A45E22" w:rsidRDefault="002C35AF" w:rsidP="002C35AF">
      <w:pPr>
        <w:pStyle w:val="tPara"/>
        <w:rPr>
          <w:szCs w:val="22"/>
        </w:rPr>
      </w:pPr>
      <w:r w:rsidRPr="00A45E22">
        <w:tab/>
        <w:t>(b)</w:t>
      </w:r>
      <w:r w:rsidRPr="00A45E22">
        <w:tab/>
      </w:r>
      <w:r w:rsidRPr="00A45E22">
        <w:rPr>
          <w:szCs w:val="22"/>
        </w:rPr>
        <w:t>estimated</w:t>
      </w:r>
      <w:r w:rsidR="006E257E" w:rsidRPr="00A45E22">
        <w:rPr>
          <w:szCs w:val="22"/>
        </w:rPr>
        <w:t xml:space="preserve"> by measuring only the electricity produced from the combustion of biogas</w:t>
      </w:r>
      <w:r w:rsidR="00607641" w:rsidRPr="00A45E22">
        <w:rPr>
          <w:szCs w:val="22"/>
        </w:rPr>
        <w:t xml:space="preserve"> produced by the project</w:t>
      </w:r>
      <w:r w:rsidR="006E257E" w:rsidRPr="00A45E22">
        <w:rPr>
          <w:szCs w:val="22"/>
        </w:rPr>
        <w:t xml:space="preserve"> (not from the combustion of other fuel types)</w:t>
      </w:r>
      <w:r w:rsidR="00103778" w:rsidRPr="00A45E22">
        <w:rPr>
          <w:szCs w:val="22"/>
        </w:rPr>
        <w:t>.</w:t>
      </w:r>
    </w:p>
    <w:p w14:paraId="400F7E4C" w14:textId="77777777" w:rsidR="00A40F70" w:rsidRPr="00A45E22" w:rsidRDefault="00A40F70" w:rsidP="00A40F70">
      <w:pPr>
        <w:pStyle w:val="h5Section"/>
        <w:rPr>
          <w:szCs w:val="24"/>
          <w:u w:val="single"/>
        </w:rPr>
      </w:pPr>
      <w:bookmarkStart w:id="35" w:name="_Toc17792708"/>
      <w:r w:rsidRPr="00A45E22">
        <w:rPr>
          <w:szCs w:val="24"/>
          <w:u w:val="single"/>
        </w:rPr>
        <w:t>16</w:t>
      </w:r>
      <w:r w:rsidRPr="00A45E22">
        <w:rPr>
          <w:szCs w:val="24"/>
          <w:u w:val="single"/>
        </w:rPr>
        <w:tab/>
        <w:t xml:space="preserve">Section 24—Measuring the electrical efficiency of the combustion device, </w:t>
      </w:r>
      <w:r w:rsidRPr="00A45E22">
        <w:rPr>
          <w:i/>
          <w:szCs w:val="24"/>
          <w:u w:val="single"/>
        </w:rPr>
        <w:t>Effi</w:t>
      </w:r>
      <w:bookmarkEnd w:id="35"/>
    </w:p>
    <w:p w14:paraId="400F7E4D" w14:textId="77777777" w:rsidR="00A40F70" w:rsidRPr="00A45E22" w:rsidRDefault="00A40F70" w:rsidP="00A40F70">
      <w:pPr>
        <w:pStyle w:val="tMain"/>
        <w:ind w:left="851" w:firstLine="0"/>
      </w:pPr>
      <w:r w:rsidRPr="00A45E22">
        <w:t>For section 24 of the Determination, the electrical efficiency of the combustion device, (</w:t>
      </w:r>
      <w:r w:rsidRPr="00A45E22">
        <w:rPr>
          <w:i/>
        </w:rPr>
        <w:t>Eff</w:t>
      </w:r>
      <w:r w:rsidRPr="00A45E22">
        <w:rPr>
          <w:i/>
          <w:vertAlign w:val="subscript"/>
        </w:rPr>
        <w:t>i</w:t>
      </w:r>
      <w:r w:rsidRPr="00A45E22">
        <w:rPr>
          <w:i/>
        </w:rPr>
        <w:t>,</w:t>
      </w:r>
      <w:r w:rsidRPr="00A45E22">
        <w:t>)</w:t>
      </w:r>
      <w:r w:rsidRPr="00A45E22">
        <w:rPr>
          <w:i/>
        </w:rPr>
        <w:t xml:space="preserve"> </w:t>
      </w:r>
      <w:r w:rsidRPr="00A45E22">
        <w:t xml:space="preserve">must be: </w:t>
      </w:r>
    </w:p>
    <w:p w14:paraId="400F7E4E" w14:textId="77777777" w:rsidR="00A40F70" w:rsidRPr="00A45E22" w:rsidRDefault="00A40F70" w:rsidP="00A40F70">
      <w:pPr>
        <w:pStyle w:val="tPara"/>
      </w:pPr>
      <w:r w:rsidRPr="00A45E22">
        <w:tab/>
        <w:t>(a)</w:t>
      </w:r>
      <w:r w:rsidRPr="00A45E22">
        <w:tab/>
        <w:t xml:space="preserve">measured as a fraction, in accordance with the manufacturer’s specification in the technical manual for the equipment; or </w:t>
      </w:r>
    </w:p>
    <w:p w14:paraId="400F7E4F" w14:textId="77777777" w:rsidR="00A40F70" w:rsidRPr="00A45E22" w:rsidRDefault="00A40F70" w:rsidP="00A40F70">
      <w:pPr>
        <w:pStyle w:val="tPara"/>
      </w:pPr>
      <w:r w:rsidRPr="00A45E22">
        <w:tab/>
        <w:t>(b)</w:t>
      </w:r>
      <w:r w:rsidRPr="00A45E22">
        <w:tab/>
        <w:t>the default value set out in subsection 2.38(2) of the NGER (Measurement) Determination.</w:t>
      </w:r>
    </w:p>
    <w:p w14:paraId="400F7E50" w14:textId="77777777" w:rsidR="008B4B68" w:rsidRPr="00A45E22" w:rsidRDefault="00E01687" w:rsidP="00552351">
      <w:pPr>
        <w:pStyle w:val="h5Section"/>
        <w:rPr>
          <w:szCs w:val="24"/>
          <w:u w:val="single"/>
          <w:vertAlign w:val="subscript"/>
        </w:rPr>
      </w:pPr>
      <w:bookmarkStart w:id="36" w:name="_Toc17792709"/>
      <w:r w:rsidRPr="00A45E22">
        <w:rPr>
          <w:szCs w:val="24"/>
          <w:u w:val="single"/>
        </w:rPr>
        <w:t>17</w:t>
      </w:r>
      <w:r w:rsidR="009832C5" w:rsidRPr="00A45E22">
        <w:rPr>
          <w:szCs w:val="24"/>
          <w:u w:val="single"/>
        </w:rPr>
        <w:tab/>
      </w:r>
      <w:r w:rsidR="009C750F" w:rsidRPr="00A45E22">
        <w:rPr>
          <w:szCs w:val="24"/>
          <w:u w:val="single"/>
        </w:rPr>
        <w:t>Section 2</w:t>
      </w:r>
      <w:r w:rsidR="00A40F70" w:rsidRPr="00A45E22">
        <w:rPr>
          <w:szCs w:val="24"/>
          <w:u w:val="single"/>
        </w:rPr>
        <w:t>5</w:t>
      </w:r>
      <w:r w:rsidR="00607641" w:rsidRPr="00A45E22">
        <w:rPr>
          <w:szCs w:val="24"/>
          <w:u w:val="single"/>
        </w:rPr>
        <w:t>—</w:t>
      </w:r>
      <w:r w:rsidR="001C5A92" w:rsidRPr="00A45E22">
        <w:rPr>
          <w:szCs w:val="24"/>
          <w:u w:val="single"/>
        </w:rPr>
        <w:t>Methane Conversion Factor</w:t>
      </w:r>
      <w:r w:rsidR="002D2D18" w:rsidRPr="00A45E22">
        <w:rPr>
          <w:szCs w:val="24"/>
          <w:u w:val="single"/>
        </w:rPr>
        <w:t xml:space="preserve">, </w:t>
      </w:r>
      <w:r w:rsidR="001C5A92" w:rsidRPr="00A45E22">
        <w:rPr>
          <w:i/>
          <w:szCs w:val="24"/>
          <w:u w:val="single"/>
        </w:rPr>
        <w:t>MCF</w:t>
      </w:r>
      <w:r w:rsidR="001C5A92" w:rsidRPr="00A45E22">
        <w:rPr>
          <w:i/>
          <w:szCs w:val="24"/>
          <w:u w:val="single"/>
          <w:vertAlign w:val="subscript"/>
        </w:rPr>
        <w:t>n</w:t>
      </w:r>
      <w:bookmarkEnd w:id="36"/>
    </w:p>
    <w:p w14:paraId="400F7E51" w14:textId="77777777" w:rsidR="002C35AF" w:rsidRPr="00A45E22" w:rsidRDefault="00D6255E" w:rsidP="00D6255E">
      <w:pPr>
        <w:pStyle w:val="tMain"/>
        <w:ind w:left="851" w:firstLine="0"/>
      </w:pPr>
      <w:r w:rsidRPr="00A45E22">
        <w:t>For section 2</w:t>
      </w:r>
      <w:r w:rsidR="001C5A92" w:rsidRPr="00A45E22">
        <w:t>5</w:t>
      </w:r>
      <w:r w:rsidRPr="00A45E22">
        <w:t xml:space="preserve"> of the Determination, the </w:t>
      </w:r>
      <w:r w:rsidR="001C5A92" w:rsidRPr="00A45E22">
        <w:t>methane conversion factor for the source material from a region in the National Inventory Report (</w:t>
      </w:r>
      <w:r w:rsidR="001C5A92" w:rsidRPr="00A45E22">
        <w:rPr>
          <w:i/>
        </w:rPr>
        <w:t>MCF</w:t>
      </w:r>
      <w:r w:rsidR="001C5A92" w:rsidRPr="00A45E22">
        <w:rPr>
          <w:i/>
          <w:vertAlign w:val="subscript"/>
        </w:rPr>
        <w:t>n</w:t>
      </w:r>
      <w:r w:rsidR="001C5A92" w:rsidRPr="00A45E22">
        <w:t>) must</w:t>
      </w:r>
      <w:r w:rsidR="002C35AF" w:rsidRPr="00A45E22">
        <w:t>:</w:t>
      </w:r>
      <w:r w:rsidR="00AB0809" w:rsidRPr="00A45E22">
        <w:t xml:space="preserve"> </w:t>
      </w:r>
    </w:p>
    <w:p w14:paraId="400F7E52" w14:textId="77777777" w:rsidR="002C35AF" w:rsidRPr="00A45E22" w:rsidRDefault="002C35AF" w:rsidP="002C35AF">
      <w:pPr>
        <w:pStyle w:val="tPara"/>
      </w:pPr>
      <w:r w:rsidRPr="00A45E22">
        <w:tab/>
        <w:t>(a)</w:t>
      </w:r>
      <w:r w:rsidRPr="00A45E22">
        <w:tab/>
      </w:r>
      <w:r w:rsidR="001C5A92" w:rsidRPr="00A45E22">
        <w:t>reflect the State or Territory where the material was sourced from; and</w:t>
      </w:r>
      <w:r w:rsidRPr="00A45E22">
        <w:t xml:space="preserve"> </w:t>
      </w:r>
    </w:p>
    <w:p w14:paraId="400F7E53" w14:textId="77777777" w:rsidR="001C5A92" w:rsidRPr="00A45E22" w:rsidRDefault="002C35AF" w:rsidP="002C35AF">
      <w:pPr>
        <w:pStyle w:val="tPara"/>
      </w:pPr>
      <w:r w:rsidRPr="00A45E22">
        <w:tab/>
        <w:t>(b)</w:t>
      </w:r>
      <w:r w:rsidRPr="00A45E22">
        <w:tab/>
      </w:r>
      <w:r w:rsidR="001C5A92" w:rsidRPr="00A45E22">
        <w:t>if the source was a dairy—use the factor applicable to ‘</w:t>
      </w:r>
      <w:r w:rsidR="003622E7" w:rsidRPr="00A45E22">
        <w:t>Anaerobic lagoon’</w:t>
      </w:r>
      <w:r w:rsidR="001C5A92" w:rsidRPr="00A45E22">
        <w:t>; and</w:t>
      </w:r>
    </w:p>
    <w:p w14:paraId="400F7E54" w14:textId="77777777" w:rsidR="00D6255E" w:rsidRPr="00A45E22" w:rsidRDefault="001C5A92" w:rsidP="003622E7">
      <w:pPr>
        <w:pStyle w:val="tPara"/>
      </w:pPr>
      <w:r w:rsidRPr="00A45E22">
        <w:tab/>
        <w:t>(c)</w:t>
      </w:r>
      <w:r w:rsidRPr="00A45E22">
        <w:tab/>
        <w:t>if the source was a piggery—use the factor applicable to ‘</w:t>
      </w:r>
      <w:r w:rsidR="003622E7" w:rsidRPr="00A45E22">
        <w:t>Effluent pond (Uncovered anaerobic lagoon)’.</w:t>
      </w:r>
    </w:p>
    <w:p w14:paraId="400F7E55" w14:textId="77777777" w:rsidR="003622E7" w:rsidRPr="00A45E22" w:rsidRDefault="003622E7" w:rsidP="003622E7">
      <w:pPr>
        <w:pStyle w:val="tPara"/>
      </w:pPr>
      <w:r w:rsidRPr="00A45E22">
        <w:tab/>
        <w:t>(d)</w:t>
      </w:r>
      <w:r w:rsidRPr="00A45E22">
        <w:tab/>
        <w:t>if the source was from feedlot cattle—use the factor applicable to ‘Uncovered anaerobic lagoon (Effluent pond)’;</w:t>
      </w:r>
      <w:r w:rsidR="004007FD" w:rsidRPr="00A45E22">
        <w:t xml:space="preserve"> and</w:t>
      </w:r>
    </w:p>
    <w:p w14:paraId="400F7E56" w14:textId="77777777" w:rsidR="003622E7" w:rsidRPr="00A45E22" w:rsidRDefault="003622E7" w:rsidP="003622E7">
      <w:pPr>
        <w:pStyle w:val="tPara"/>
      </w:pPr>
      <w:r w:rsidRPr="00A45E22">
        <w:lastRenderedPageBreak/>
        <w:tab/>
        <w:t>(e)</w:t>
      </w:r>
      <w:r w:rsidRPr="00A45E22">
        <w:tab/>
        <w:t>if the the source was another source for which the National Inventory Report provides an equivalent factor—that factor;</w:t>
      </w:r>
      <w:r w:rsidR="004007FD" w:rsidRPr="00A45E22">
        <w:t xml:space="preserve"> and</w:t>
      </w:r>
    </w:p>
    <w:p w14:paraId="400F7E57" w14:textId="77777777" w:rsidR="001C5A92" w:rsidRPr="00A45E22" w:rsidRDefault="003622E7" w:rsidP="00E01687">
      <w:pPr>
        <w:pStyle w:val="tPara"/>
      </w:pPr>
      <w:r w:rsidRPr="00A45E22">
        <w:tab/>
        <w:t>(f)</w:t>
      </w:r>
      <w:r w:rsidRPr="00A45E22">
        <w:tab/>
        <w:t>if paragraph (b) of the definition of the MCF</w:t>
      </w:r>
      <w:r w:rsidRPr="00A45E22">
        <w:rPr>
          <w:vertAlign w:val="subscript"/>
        </w:rPr>
        <w:t>n</w:t>
      </w:r>
      <w:r w:rsidRPr="00A45E22">
        <w:t xml:space="preserve"> applies (there is no factor in the National Inventory Report)—the factor of 0.65 is the default.</w:t>
      </w:r>
    </w:p>
    <w:p w14:paraId="400F7E58" w14:textId="77777777" w:rsidR="006D24A2" w:rsidRPr="00A45E22" w:rsidRDefault="00E01687" w:rsidP="00831507">
      <w:pPr>
        <w:pStyle w:val="h5Section"/>
        <w:rPr>
          <w:u w:val="single"/>
        </w:rPr>
      </w:pPr>
      <w:bookmarkStart w:id="37" w:name="_Toc498293989"/>
      <w:bookmarkStart w:id="38" w:name="_Toc17792710"/>
      <w:r w:rsidRPr="00A45E22">
        <w:rPr>
          <w:u w:val="single"/>
        </w:rPr>
        <w:t>18</w:t>
      </w:r>
      <w:r w:rsidR="009832C5" w:rsidRPr="00A45E22">
        <w:rPr>
          <w:u w:val="single"/>
        </w:rPr>
        <w:tab/>
      </w:r>
      <w:r w:rsidR="000E7CF7" w:rsidRPr="00A45E22">
        <w:rPr>
          <w:u w:val="single"/>
        </w:rPr>
        <w:t xml:space="preserve">Determining </w:t>
      </w:r>
      <w:r w:rsidR="00665FC6" w:rsidRPr="00A45E22">
        <w:rPr>
          <w:u w:val="single"/>
        </w:rPr>
        <w:t xml:space="preserve">the </w:t>
      </w:r>
      <w:r w:rsidR="000E7CF7" w:rsidRPr="00A45E22">
        <w:rPr>
          <w:u w:val="single"/>
        </w:rPr>
        <w:t xml:space="preserve">amount of volatile solids in material type </w:t>
      </w:r>
      <w:r w:rsidR="000E7CF7" w:rsidRPr="00A45E22">
        <w:rPr>
          <w:i/>
          <w:u w:val="single"/>
        </w:rPr>
        <w:t>w</w:t>
      </w:r>
      <w:bookmarkEnd w:id="37"/>
      <w:bookmarkEnd w:id="38"/>
      <w:r w:rsidR="000E7CF7" w:rsidRPr="00A45E22">
        <w:rPr>
          <w:u w:val="single"/>
        </w:rPr>
        <w:t xml:space="preserve"> </w:t>
      </w:r>
    </w:p>
    <w:p w14:paraId="400F7E59" w14:textId="77777777" w:rsidR="000E7CF7" w:rsidRPr="00A45E22" w:rsidRDefault="000E7CF7" w:rsidP="00053904">
      <w:pPr>
        <w:pStyle w:val="h6Subsec"/>
        <w:ind w:left="425"/>
      </w:pPr>
      <w:r w:rsidRPr="00A45E22">
        <w:rPr>
          <w:b/>
          <w:i w:val="0"/>
          <w:sz w:val="24"/>
          <w:szCs w:val="24"/>
        </w:rPr>
        <w:t>Sections 2</w:t>
      </w:r>
      <w:r w:rsidR="008E71C2" w:rsidRPr="00A45E22">
        <w:rPr>
          <w:b/>
          <w:i w:val="0"/>
          <w:sz w:val="24"/>
          <w:szCs w:val="24"/>
        </w:rPr>
        <w:t>5</w:t>
      </w:r>
      <w:r w:rsidRPr="00A45E22">
        <w:rPr>
          <w:b/>
          <w:i w:val="0"/>
          <w:sz w:val="24"/>
          <w:szCs w:val="24"/>
        </w:rPr>
        <w:t xml:space="preserve"> and 3</w:t>
      </w:r>
      <w:r w:rsidR="008E71C2" w:rsidRPr="00A45E22">
        <w:rPr>
          <w:b/>
          <w:i w:val="0"/>
          <w:sz w:val="24"/>
          <w:szCs w:val="24"/>
        </w:rPr>
        <w:t>2</w:t>
      </w:r>
      <w:r w:rsidR="00607641" w:rsidRPr="00A45E22">
        <w:t>—</w:t>
      </w:r>
      <w:r w:rsidRPr="00A45E22">
        <w:t xml:space="preserve">Material diverted in project facility during the reporting period </w:t>
      </w:r>
      <w:r w:rsidRPr="00053904">
        <w:rPr>
          <w:i w:val="0"/>
        </w:rPr>
        <w:t>(VS</w:t>
      </w:r>
      <w:r w:rsidRPr="00053904">
        <w:rPr>
          <w:i w:val="0"/>
          <w:vertAlign w:val="subscript"/>
        </w:rPr>
        <w:t>Div, w, n</w:t>
      </w:r>
      <w:r w:rsidRPr="00053904">
        <w:rPr>
          <w:i w:val="0"/>
        </w:rPr>
        <w:t>)</w:t>
      </w:r>
    </w:p>
    <w:p w14:paraId="400F7E5A" w14:textId="77777777" w:rsidR="007D4D58" w:rsidRPr="00A45E22" w:rsidRDefault="000E7CF7" w:rsidP="007D4D58">
      <w:pPr>
        <w:pStyle w:val="tMain"/>
      </w:pPr>
      <w:r w:rsidRPr="00A45E22">
        <w:tab/>
        <w:t>(1)</w:t>
      </w:r>
      <w:r w:rsidRPr="00A45E22">
        <w:tab/>
        <w:t xml:space="preserve">The total amount of volatile solids in material of type </w:t>
      </w:r>
      <w:r w:rsidRPr="00A45E22">
        <w:rPr>
          <w:i/>
        </w:rPr>
        <w:t>w</w:t>
      </w:r>
      <w:r w:rsidRPr="00A45E22">
        <w:t xml:space="preserve"> that is diverted in the project facility during the reporting period, </w:t>
      </w:r>
      <w:r w:rsidR="007D4D58" w:rsidRPr="00A45E22">
        <w:rPr>
          <w:szCs w:val="22"/>
        </w:rPr>
        <w:t xml:space="preserve">and treated using treatment method </w:t>
      </w:r>
      <w:r w:rsidR="007D4D58" w:rsidRPr="00A45E22">
        <w:rPr>
          <w:i/>
          <w:szCs w:val="22"/>
        </w:rPr>
        <w:t>n</w:t>
      </w:r>
      <w:r w:rsidR="007D4D58" w:rsidRPr="00A45E22">
        <w:rPr>
          <w:szCs w:val="22"/>
        </w:rPr>
        <w:t xml:space="preserve">. It is </w:t>
      </w:r>
      <w:r w:rsidR="000F48F7" w:rsidRPr="00A45E22">
        <w:rPr>
          <w:szCs w:val="22"/>
        </w:rPr>
        <w:t xml:space="preserve">measured </w:t>
      </w:r>
      <w:r w:rsidRPr="00A45E22">
        <w:t>in tonnes of volatile solids</w:t>
      </w:r>
      <w:r w:rsidR="007D4D58" w:rsidRPr="00A45E22">
        <w:t>.</w:t>
      </w:r>
      <w:r w:rsidRPr="00A45E22">
        <w:t xml:space="preserve"> </w:t>
      </w:r>
      <w:r w:rsidRPr="00A45E22">
        <w:rPr>
          <w:b/>
          <w:i/>
        </w:rPr>
        <w:t>VS</w:t>
      </w:r>
      <w:r w:rsidRPr="00A45E22">
        <w:rPr>
          <w:b/>
          <w:i/>
          <w:vertAlign w:val="subscript"/>
        </w:rPr>
        <w:t>Div, w, </w:t>
      </w:r>
      <w:r w:rsidRPr="00A45E22">
        <w:t>is worked out using the formula:</w:t>
      </w:r>
    </w:p>
    <w:p w14:paraId="400F7E5B" w14:textId="77777777" w:rsidR="007D4D58" w:rsidRPr="00A45E22" w:rsidRDefault="007D4D58" w:rsidP="000E7CF7">
      <w:pPr>
        <w:pStyle w:val="tPara"/>
        <w:spacing w:before="120" w:after="120" w:line="276" w:lineRule="auto"/>
        <w:ind w:hanging="510"/>
      </w:pPr>
    </w:p>
    <w:tbl>
      <w:tblPr>
        <w:tblStyle w:val="TableGrid"/>
        <w:tblW w:w="0" w:type="auto"/>
        <w:tblInd w:w="-5" w:type="dxa"/>
        <w:tblLook w:val="04A0" w:firstRow="1" w:lastRow="0" w:firstColumn="1" w:lastColumn="0" w:noHBand="0" w:noVBand="1"/>
      </w:tblPr>
      <w:tblGrid>
        <w:gridCol w:w="6663"/>
        <w:gridCol w:w="1645"/>
      </w:tblGrid>
      <w:tr w:rsidR="00740DE0" w:rsidRPr="00A45E22" w14:paraId="400F7E61" w14:textId="77777777" w:rsidTr="00A94046">
        <w:tc>
          <w:tcPr>
            <w:tcW w:w="6663" w:type="dxa"/>
            <w:tcBorders>
              <w:top w:val="single" w:sz="4" w:space="0" w:color="auto"/>
              <w:left w:val="single" w:sz="4" w:space="0" w:color="auto"/>
              <w:bottom w:val="single" w:sz="4" w:space="0" w:color="auto"/>
              <w:right w:val="single" w:sz="4" w:space="0" w:color="auto"/>
            </w:tcBorders>
          </w:tcPr>
          <w:p w14:paraId="400F7E5C" w14:textId="77777777" w:rsidR="000E7CF7" w:rsidRPr="00A45E22" w:rsidRDefault="000E7CF7" w:rsidP="00A94046">
            <w:pPr>
              <w:jc w:val="center"/>
            </w:pPr>
          </w:p>
          <w:p w14:paraId="400F7E5D" w14:textId="77777777" w:rsidR="000E7CF7" w:rsidRPr="00A45E22" w:rsidRDefault="000E7CF7" w:rsidP="003D5B8E">
            <w:pPr>
              <w:jc w:val="center"/>
            </w:pPr>
            <w:r w:rsidRPr="00A45E22">
              <w:t>VS</w:t>
            </w:r>
            <w:r w:rsidRPr="00A45E22">
              <w:rPr>
                <w:vertAlign w:val="subscript"/>
              </w:rPr>
              <w:t>Div, w, n</w:t>
            </w:r>
            <w:r w:rsidRPr="00A45E22">
              <w:t xml:space="preserve"> = C</w:t>
            </w:r>
            <w:r w:rsidRPr="00A45E22">
              <w:rPr>
                <w:vertAlign w:val="subscript"/>
              </w:rPr>
              <w:t>VS,Div, w, n </w:t>
            </w:r>
            <w:r w:rsidRPr="00A45E22">
              <w:t xml:space="preserve"> </w:t>
            </w:r>
            <w:r w:rsidR="003D5B8E" w:rsidRPr="00A45E22">
              <w:t>×</w:t>
            </w:r>
            <w:r w:rsidRPr="00A45E22">
              <w:t xml:space="preserve"> Q</w:t>
            </w:r>
            <w:r w:rsidRPr="00A45E22">
              <w:rPr>
                <w:vertAlign w:val="subscript"/>
              </w:rPr>
              <w:t>Div, w, n</w:t>
            </w:r>
          </w:p>
        </w:tc>
        <w:tc>
          <w:tcPr>
            <w:tcW w:w="1645" w:type="dxa"/>
            <w:tcBorders>
              <w:top w:val="single" w:sz="4" w:space="0" w:color="auto"/>
              <w:left w:val="single" w:sz="4" w:space="0" w:color="auto"/>
              <w:bottom w:val="single" w:sz="4" w:space="0" w:color="auto"/>
              <w:right w:val="single" w:sz="4" w:space="0" w:color="auto"/>
            </w:tcBorders>
            <w:vAlign w:val="center"/>
          </w:tcPr>
          <w:p w14:paraId="400F7E5E" w14:textId="77777777" w:rsidR="000E7CF7" w:rsidRPr="00A45E22" w:rsidRDefault="000E7CF7" w:rsidP="00A94046"/>
          <w:p w14:paraId="400F7E5F" w14:textId="77777777" w:rsidR="000E7CF7" w:rsidRPr="00A45E22" w:rsidRDefault="000E7CF7" w:rsidP="00A94046">
            <w:pPr>
              <w:jc w:val="center"/>
            </w:pPr>
            <w:r w:rsidRPr="00A45E22">
              <w:t>Equation S1</w:t>
            </w:r>
          </w:p>
          <w:p w14:paraId="400F7E60" w14:textId="77777777" w:rsidR="000E7CF7" w:rsidRPr="00A45E22" w:rsidRDefault="000E7CF7" w:rsidP="00A94046"/>
        </w:tc>
      </w:tr>
    </w:tbl>
    <w:p w14:paraId="400F7E62" w14:textId="77777777" w:rsidR="000E7CF7" w:rsidRPr="00A45E22" w:rsidRDefault="000E7CF7" w:rsidP="000E7CF7">
      <w:pPr>
        <w:pStyle w:val="tPara"/>
        <w:spacing w:before="120" w:after="120" w:line="276" w:lineRule="auto"/>
        <w:ind w:hanging="510"/>
      </w:pPr>
    </w:p>
    <w:p w14:paraId="400F7E63" w14:textId="77777777" w:rsidR="000E7CF7" w:rsidRPr="00A45E22" w:rsidRDefault="000E7CF7" w:rsidP="000E7CF7">
      <w:pPr>
        <w:pStyle w:val="tMain"/>
      </w:pPr>
      <w:r w:rsidRPr="00A45E22">
        <w:tab/>
      </w:r>
      <w:r w:rsidRPr="00A45E22">
        <w:tab/>
        <w:t xml:space="preserve">where: </w:t>
      </w:r>
    </w:p>
    <w:p w14:paraId="400F7E64" w14:textId="48774E29" w:rsidR="00BD07DF" w:rsidRPr="00A45E22" w:rsidRDefault="000E7CF7" w:rsidP="00BD07DF">
      <w:pPr>
        <w:pStyle w:val="tDefn"/>
        <w:spacing w:line="276" w:lineRule="auto"/>
        <w:rPr>
          <w:szCs w:val="22"/>
        </w:rPr>
      </w:pPr>
      <w:r w:rsidRPr="00A45E22">
        <w:rPr>
          <w:b/>
          <w:i/>
          <w:szCs w:val="22"/>
        </w:rPr>
        <w:t>C</w:t>
      </w:r>
      <w:r w:rsidRPr="00A45E22">
        <w:rPr>
          <w:b/>
          <w:i/>
          <w:szCs w:val="22"/>
          <w:vertAlign w:val="subscript"/>
        </w:rPr>
        <w:t>VS,Div, w, n </w:t>
      </w:r>
      <w:r w:rsidRPr="00A45E22">
        <w:rPr>
          <w:szCs w:val="22"/>
        </w:rPr>
        <w:t xml:space="preserve">is the </w:t>
      </w:r>
      <w:r w:rsidR="00BD07DF" w:rsidRPr="00A45E22">
        <w:rPr>
          <w:szCs w:val="22"/>
        </w:rPr>
        <w:t>volatile solids concentration in</w:t>
      </w:r>
      <w:r w:rsidRPr="00A45E22">
        <w:rPr>
          <w:szCs w:val="22"/>
        </w:rPr>
        <w:t xml:space="preserve"> material of </w:t>
      </w:r>
      <w:r w:rsidRPr="00A45E22">
        <w:t>type</w:t>
      </w:r>
      <w:r w:rsidRPr="00A45E22">
        <w:rPr>
          <w:szCs w:val="22"/>
        </w:rPr>
        <w:t xml:space="preserve"> </w:t>
      </w:r>
      <w:r w:rsidRPr="00A45E22">
        <w:rPr>
          <w:i/>
          <w:szCs w:val="22"/>
        </w:rPr>
        <w:t>w</w:t>
      </w:r>
      <w:r w:rsidRPr="00A45E22">
        <w:rPr>
          <w:szCs w:val="22"/>
        </w:rPr>
        <w:t xml:space="preserve"> that is diverted in the project facility </w:t>
      </w:r>
      <w:r w:rsidR="00BD07DF" w:rsidRPr="00A45E22">
        <w:t xml:space="preserve">under treatment method </w:t>
      </w:r>
      <w:r w:rsidR="00BD07DF" w:rsidRPr="00A45E22">
        <w:rPr>
          <w:i/>
        </w:rPr>
        <w:t>n</w:t>
      </w:r>
      <w:r w:rsidR="00BD07DF" w:rsidRPr="00A45E22">
        <w:rPr>
          <w:szCs w:val="22"/>
        </w:rPr>
        <w:t xml:space="preserve"> </w:t>
      </w:r>
      <w:r w:rsidRPr="00A45E22">
        <w:rPr>
          <w:szCs w:val="22"/>
        </w:rPr>
        <w:t>during the reporting period</w:t>
      </w:r>
      <w:r w:rsidR="00DE576D" w:rsidRPr="00A45E22">
        <w:rPr>
          <w:szCs w:val="22"/>
        </w:rPr>
        <w:t xml:space="preserve">, as </w:t>
      </w:r>
      <w:r w:rsidR="009627EA" w:rsidRPr="00A45E22">
        <w:rPr>
          <w:szCs w:val="22"/>
        </w:rPr>
        <w:t>a proportion</w:t>
      </w:r>
      <w:r w:rsidR="00BD07DF" w:rsidRPr="00A45E22">
        <w:rPr>
          <w:szCs w:val="22"/>
        </w:rPr>
        <w:t xml:space="preserve">. This </w:t>
      </w:r>
      <w:r w:rsidR="00DE576D" w:rsidRPr="00A45E22">
        <w:rPr>
          <w:szCs w:val="22"/>
        </w:rPr>
        <w:t>is based on the concentration of volatile solids in the whole sample analysed by the laboratory, including the moisture contained in the material</w:t>
      </w:r>
      <w:r w:rsidR="00451599" w:rsidRPr="00A45E22">
        <w:rPr>
          <w:szCs w:val="22"/>
        </w:rPr>
        <w:t>. This</w:t>
      </w:r>
      <w:r w:rsidR="00BD07DF" w:rsidRPr="00A45E22">
        <w:rPr>
          <w:szCs w:val="22"/>
        </w:rPr>
        <w:t xml:space="preserve"> value is measured at a frequency and timing that gives representative monthly measurements</w:t>
      </w:r>
      <w:r w:rsidR="009229C7">
        <w:rPr>
          <w:szCs w:val="22"/>
        </w:rPr>
        <w:t>.</w:t>
      </w:r>
    </w:p>
    <w:p w14:paraId="400F7E65" w14:textId="77777777" w:rsidR="000E7CF7" w:rsidRPr="00A45E22" w:rsidRDefault="000E7CF7" w:rsidP="000E7CF7">
      <w:pPr>
        <w:pStyle w:val="tDefn"/>
        <w:spacing w:line="276" w:lineRule="auto"/>
        <w:rPr>
          <w:szCs w:val="22"/>
        </w:rPr>
      </w:pPr>
      <w:r w:rsidRPr="00A45E22">
        <w:rPr>
          <w:b/>
          <w:i/>
          <w:szCs w:val="22"/>
        </w:rPr>
        <w:t>Q</w:t>
      </w:r>
      <w:r w:rsidRPr="00A45E22">
        <w:rPr>
          <w:b/>
          <w:i/>
          <w:szCs w:val="22"/>
          <w:vertAlign w:val="subscript"/>
        </w:rPr>
        <w:t>Div, w, n</w:t>
      </w:r>
      <w:r w:rsidRPr="00A45E22">
        <w:rPr>
          <w:szCs w:val="22"/>
        </w:rPr>
        <w:t xml:space="preserve"> is the total amount of material of type </w:t>
      </w:r>
      <w:r w:rsidRPr="00A45E22">
        <w:rPr>
          <w:i/>
          <w:szCs w:val="22"/>
        </w:rPr>
        <w:t>w</w:t>
      </w:r>
      <w:r w:rsidRPr="00A45E22">
        <w:rPr>
          <w:szCs w:val="22"/>
        </w:rPr>
        <w:t xml:space="preserve"> that is diverted in the project facility under treatment method </w:t>
      </w:r>
      <w:r w:rsidRPr="00A45E22">
        <w:rPr>
          <w:i/>
          <w:szCs w:val="22"/>
        </w:rPr>
        <w:t>n</w:t>
      </w:r>
      <w:r w:rsidRPr="00A45E22">
        <w:rPr>
          <w:szCs w:val="22"/>
        </w:rPr>
        <w:t xml:space="preserve"> during the reporting period, in tonnes, determined in accordance with this section.</w:t>
      </w:r>
    </w:p>
    <w:p w14:paraId="400F7E66" w14:textId="77777777" w:rsidR="000E7CF7" w:rsidRPr="00A45E22" w:rsidRDefault="000E7CF7" w:rsidP="00CA17C2">
      <w:pPr>
        <w:pStyle w:val="h6Subsec"/>
        <w:ind w:left="850"/>
        <w:rPr>
          <w:i w:val="0"/>
          <w:sz w:val="24"/>
          <w:szCs w:val="24"/>
        </w:rPr>
      </w:pPr>
      <w:r w:rsidRPr="00A45E22">
        <w:rPr>
          <w:b/>
          <w:i w:val="0"/>
          <w:sz w:val="24"/>
          <w:szCs w:val="24"/>
        </w:rPr>
        <w:t>Section 2</w:t>
      </w:r>
      <w:r w:rsidR="008E71C2" w:rsidRPr="00A45E22">
        <w:rPr>
          <w:b/>
          <w:i w:val="0"/>
          <w:sz w:val="24"/>
          <w:szCs w:val="24"/>
        </w:rPr>
        <w:t>6</w:t>
      </w:r>
      <w:r w:rsidR="00607641" w:rsidRPr="00A45E22">
        <w:t>—</w:t>
      </w:r>
      <w:r w:rsidRPr="00A45E22">
        <w:rPr>
          <w:sz w:val="24"/>
          <w:szCs w:val="24"/>
        </w:rPr>
        <w:t>Determining amount of volatile solids in ineligible material</w:t>
      </w:r>
      <w:r w:rsidRPr="00A45E22">
        <w:rPr>
          <w:i w:val="0"/>
          <w:sz w:val="24"/>
          <w:szCs w:val="24"/>
        </w:rPr>
        <w:t xml:space="preserve"> type w (VS</w:t>
      </w:r>
      <w:r w:rsidRPr="00A45E22">
        <w:rPr>
          <w:i w:val="0"/>
          <w:sz w:val="24"/>
          <w:szCs w:val="24"/>
          <w:vertAlign w:val="subscript"/>
        </w:rPr>
        <w:t>Inel, w</w:t>
      </w:r>
      <w:r w:rsidRPr="00A45E22">
        <w:rPr>
          <w:i w:val="0"/>
          <w:sz w:val="24"/>
          <w:szCs w:val="24"/>
        </w:rPr>
        <w:t>)</w:t>
      </w:r>
    </w:p>
    <w:p w14:paraId="400F7E67" w14:textId="77777777" w:rsidR="0038232B" w:rsidRPr="00A45E22" w:rsidRDefault="000E7CF7" w:rsidP="000E7CF7">
      <w:pPr>
        <w:pStyle w:val="tMain"/>
      </w:pPr>
      <w:r w:rsidRPr="00A45E22">
        <w:tab/>
        <w:t>(2)</w:t>
      </w:r>
      <w:r w:rsidRPr="00A45E22">
        <w:tab/>
        <w:t xml:space="preserve">The total amount of volatile solids in ineligible material of type </w:t>
      </w:r>
      <w:r w:rsidRPr="00A45E22">
        <w:rPr>
          <w:i/>
        </w:rPr>
        <w:t>w</w:t>
      </w:r>
      <w:r w:rsidRPr="00A45E22">
        <w:t xml:space="preserve"> that enters the project facility during the reporting period, in tonnes of volatile solids, </w:t>
      </w:r>
      <w:r w:rsidRPr="00A45E22">
        <w:rPr>
          <w:b/>
          <w:i/>
        </w:rPr>
        <w:t>VS</w:t>
      </w:r>
      <w:r w:rsidRPr="00A45E22">
        <w:rPr>
          <w:b/>
          <w:i/>
          <w:vertAlign w:val="subscript"/>
        </w:rPr>
        <w:t>Inel, w, </w:t>
      </w:r>
      <w:r w:rsidRPr="00A45E22">
        <w:t>is worked out using the formula:</w:t>
      </w:r>
    </w:p>
    <w:p w14:paraId="400F7E68" w14:textId="77777777" w:rsidR="000E7CF7" w:rsidRPr="00A45E22" w:rsidRDefault="000E7CF7" w:rsidP="000E7CF7">
      <w:pPr>
        <w:pStyle w:val="tPara"/>
        <w:spacing w:before="120" w:after="120" w:line="276" w:lineRule="auto"/>
        <w:ind w:hanging="510"/>
      </w:pPr>
    </w:p>
    <w:tbl>
      <w:tblPr>
        <w:tblStyle w:val="TableGrid"/>
        <w:tblW w:w="0" w:type="auto"/>
        <w:tblInd w:w="-5" w:type="dxa"/>
        <w:tblLook w:val="04A0" w:firstRow="1" w:lastRow="0" w:firstColumn="1" w:lastColumn="0" w:noHBand="0" w:noVBand="1"/>
      </w:tblPr>
      <w:tblGrid>
        <w:gridCol w:w="6663"/>
        <w:gridCol w:w="1645"/>
      </w:tblGrid>
      <w:tr w:rsidR="00740DE0" w:rsidRPr="00A45E22" w14:paraId="400F7E6E" w14:textId="77777777" w:rsidTr="00A94046">
        <w:tc>
          <w:tcPr>
            <w:tcW w:w="6663" w:type="dxa"/>
            <w:tcBorders>
              <w:top w:val="single" w:sz="4" w:space="0" w:color="auto"/>
              <w:left w:val="single" w:sz="4" w:space="0" w:color="auto"/>
              <w:bottom w:val="single" w:sz="4" w:space="0" w:color="auto"/>
              <w:right w:val="single" w:sz="4" w:space="0" w:color="auto"/>
            </w:tcBorders>
          </w:tcPr>
          <w:p w14:paraId="400F7E69" w14:textId="77777777" w:rsidR="000E7CF7" w:rsidRPr="00A45E22" w:rsidRDefault="000E7CF7" w:rsidP="00A94046">
            <w:pPr>
              <w:jc w:val="center"/>
            </w:pPr>
          </w:p>
          <w:p w14:paraId="400F7E6A" w14:textId="77777777" w:rsidR="000E7CF7" w:rsidRPr="00A45E22" w:rsidRDefault="000E7CF7" w:rsidP="003D5B8E">
            <w:pPr>
              <w:jc w:val="center"/>
            </w:pPr>
            <w:r w:rsidRPr="00A45E22">
              <w:t>VS</w:t>
            </w:r>
            <w:r w:rsidRPr="00A45E22">
              <w:rPr>
                <w:vertAlign w:val="subscript"/>
              </w:rPr>
              <w:t>Inel, </w:t>
            </w:r>
            <w:r w:rsidR="007068D8" w:rsidRPr="00A45E22">
              <w:rPr>
                <w:vertAlign w:val="subscript"/>
              </w:rPr>
              <w:t>w</w:t>
            </w:r>
            <w:r w:rsidRPr="00A45E22">
              <w:t xml:space="preserve"> = C</w:t>
            </w:r>
            <w:r w:rsidRPr="00A45E22">
              <w:rPr>
                <w:vertAlign w:val="subscript"/>
              </w:rPr>
              <w:t>VS, Inel, w </w:t>
            </w:r>
            <w:r w:rsidRPr="00A45E22">
              <w:t xml:space="preserve"> </w:t>
            </w:r>
            <w:r w:rsidR="003D5B8E" w:rsidRPr="00A45E22">
              <w:t>×</w:t>
            </w:r>
            <w:r w:rsidRPr="00A45E22">
              <w:t xml:space="preserve"> Q</w:t>
            </w:r>
            <w:r w:rsidRPr="00A45E22">
              <w:rPr>
                <w:vertAlign w:val="subscript"/>
              </w:rPr>
              <w:t>Inel, w</w:t>
            </w:r>
          </w:p>
        </w:tc>
        <w:tc>
          <w:tcPr>
            <w:tcW w:w="1645" w:type="dxa"/>
            <w:tcBorders>
              <w:top w:val="single" w:sz="4" w:space="0" w:color="auto"/>
              <w:left w:val="single" w:sz="4" w:space="0" w:color="auto"/>
              <w:bottom w:val="single" w:sz="4" w:space="0" w:color="auto"/>
              <w:right w:val="single" w:sz="4" w:space="0" w:color="auto"/>
            </w:tcBorders>
            <w:vAlign w:val="center"/>
          </w:tcPr>
          <w:p w14:paraId="400F7E6B" w14:textId="77777777" w:rsidR="000E7CF7" w:rsidRPr="00A45E22" w:rsidRDefault="000E7CF7" w:rsidP="00A94046"/>
          <w:p w14:paraId="400F7E6C" w14:textId="77777777" w:rsidR="000E7CF7" w:rsidRPr="00A45E22" w:rsidRDefault="000E7CF7" w:rsidP="00A94046">
            <w:pPr>
              <w:jc w:val="center"/>
            </w:pPr>
            <w:r w:rsidRPr="00A45E22">
              <w:t>Equation S2</w:t>
            </w:r>
          </w:p>
          <w:p w14:paraId="400F7E6D" w14:textId="77777777" w:rsidR="000E7CF7" w:rsidRPr="00A45E22" w:rsidRDefault="000E7CF7" w:rsidP="00A94046"/>
        </w:tc>
      </w:tr>
    </w:tbl>
    <w:p w14:paraId="400F7E6F" w14:textId="77777777" w:rsidR="000E7CF7" w:rsidRPr="00A45E22" w:rsidRDefault="000E7CF7" w:rsidP="000E7CF7">
      <w:pPr>
        <w:pStyle w:val="tPara"/>
        <w:spacing w:before="120" w:after="120" w:line="276" w:lineRule="auto"/>
        <w:ind w:hanging="510"/>
      </w:pPr>
    </w:p>
    <w:p w14:paraId="400F7E70" w14:textId="77777777" w:rsidR="000E7CF7" w:rsidRPr="00A45E22" w:rsidRDefault="000E7CF7" w:rsidP="000E7CF7">
      <w:pPr>
        <w:pStyle w:val="tMain"/>
      </w:pPr>
      <w:r w:rsidRPr="00A45E22">
        <w:tab/>
      </w:r>
      <w:r w:rsidRPr="00A45E22">
        <w:tab/>
        <w:t xml:space="preserve">where: </w:t>
      </w:r>
    </w:p>
    <w:p w14:paraId="400F7E71" w14:textId="3E000B2B" w:rsidR="00B6690F" w:rsidRPr="00A45E22" w:rsidRDefault="000E7CF7" w:rsidP="00B6690F">
      <w:pPr>
        <w:pStyle w:val="tDefn"/>
        <w:spacing w:line="276" w:lineRule="auto"/>
      </w:pPr>
      <w:r w:rsidRPr="00A45E22">
        <w:rPr>
          <w:b/>
          <w:i/>
          <w:szCs w:val="22"/>
        </w:rPr>
        <w:t>C</w:t>
      </w:r>
      <w:r w:rsidRPr="00A45E22">
        <w:rPr>
          <w:b/>
          <w:i/>
          <w:szCs w:val="22"/>
          <w:vertAlign w:val="subscript"/>
        </w:rPr>
        <w:t>VS, Inel, w </w:t>
      </w:r>
      <w:r w:rsidRPr="00A45E22">
        <w:rPr>
          <w:szCs w:val="22"/>
        </w:rPr>
        <w:t xml:space="preserve">is the volatile solids concentration of ineligible material of </w:t>
      </w:r>
      <w:r w:rsidRPr="00A45E22">
        <w:t>type</w:t>
      </w:r>
      <w:r w:rsidRPr="00A45E22">
        <w:rPr>
          <w:szCs w:val="22"/>
        </w:rPr>
        <w:t xml:space="preserve"> </w:t>
      </w:r>
      <w:r w:rsidRPr="00A45E22">
        <w:rPr>
          <w:i/>
          <w:szCs w:val="22"/>
        </w:rPr>
        <w:t>w</w:t>
      </w:r>
      <w:r w:rsidRPr="00A45E22">
        <w:rPr>
          <w:szCs w:val="22"/>
        </w:rPr>
        <w:t xml:space="preserve"> that enters the project facility during the reporting period</w:t>
      </w:r>
      <w:r w:rsidR="00DE576D" w:rsidRPr="00A45E22">
        <w:rPr>
          <w:szCs w:val="22"/>
        </w:rPr>
        <w:t xml:space="preserve">, as a </w:t>
      </w:r>
      <w:r w:rsidR="009627EA" w:rsidRPr="00A45E22">
        <w:rPr>
          <w:szCs w:val="22"/>
        </w:rPr>
        <w:t>proportion</w:t>
      </w:r>
      <w:r w:rsidR="00DE576D" w:rsidRPr="00A45E22">
        <w:rPr>
          <w:szCs w:val="22"/>
        </w:rPr>
        <w:t>. This is based on the concentration of volatile solids in the whole sample analysed by the laboratory, including the moisture contained in the material</w:t>
      </w:r>
      <w:r w:rsidRPr="00A45E22">
        <w:t>.</w:t>
      </w:r>
      <w:r w:rsidR="00AF6F0C" w:rsidRPr="00A45E22">
        <w:t xml:space="preserve"> </w:t>
      </w:r>
      <w:r w:rsidR="00AF6F0C" w:rsidRPr="00A45E22">
        <w:rPr>
          <w:szCs w:val="22"/>
        </w:rPr>
        <w:t>This value is measured at a frequency and timing that gives representative monthly measurements</w:t>
      </w:r>
      <w:r w:rsidR="009229C7">
        <w:rPr>
          <w:szCs w:val="22"/>
        </w:rPr>
        <w:t>.</w:t>
      </w:r>
    </w:p>
    <w:p w14:paraId="400F7E72" w14:textId="77777777" w:rsidR="00566B44" w:rsidRPr="00A45E22" w:rsidRDefault="000E7CF7" w:rsidP="000E7CF7">
      <w:pPr>
        <w:pStyle w:val="tDefn"/>
        <w:spacing w:line="276" w:lineRule="auto"/>
      </w:pPr>
      <w:r w:rsidRPr="00A45E22">
        <w:rPr>
          <w:b/>
          <w:i/>
        </w:rPr>
        <w:lastRenderedPageBreak/>
        <w:t>Q</w:t>
      </w:r>
      <w:r w:rsidRPr="00A45E22">
        <w:rPr>
          <w:b/>
          <w:i/>
          <w:vertAlign w:val="subscript"/>
        </w:rPr>
        <w:t>Inel, w</w:t>
      </w:r>
      <w:r w:rsidRPr="00A45E22">
        <w:rPr>
          <w:szCs w:val="22"/>
        </w:rPr>
        <w:t xml:space="preserve"> is the total amount of ineligible material of type </w:t>
      </w:r>
      <w:r w:rsidRPr="00A45E22">
        <w:rPr>
          <w:i/>
          <w:szCs w:val="22"/>
        </w:rPr>
        <w:t>w</w:t>
      </w:r>
      <w:r w:rsidRPr="00A45E22">
        <w:rPr>
          <w:szCs w:val="22"/>
        </w:rPr>
        <w:t xml:space="preserve"> that enters the project facility during the reporting period, in tonnes</w:t>
      </w:r>
      <w:r w:rsidRPr="00A45E22">
        <w:t>, determined in accordance with this section.</w:t>
      </w:r>
    </w:p>
    <w:p w14:paraId="400F7E73" w14:textId="77777777" w:rsidR="000E7CF7" w:rsidRPr="00A45E22" w:rsidRDefault="000E7CF7" w:rsidP="00A701E1">
      <w:pPr>
        <w:pStyle w:val="h6Subsec"/>
        <w:ind w:left="0" w:firstLine="425"/>
      </w:pPr>
      <w:r w:rsidRPr="00A45E22">
        <w:rPr>
          <w:b/>
          <w:i w:val="0"/>
          <w:sz w:val="24"/>
          <w:szCs w:val="24"/>
        </w:rPr>
        <w:t>Sections 2</w:t>
      </w:r>
      <w:r w:rsidR="008E71C2" w:rsidRPr="00A45E22">
        <w:rPr>
          <w:b/>
          <w:i w:val="0"/>
          <w:sz w:val="24"/>
          <w:szCs w:val="24"/>
        </w:rPr>
        <w:t>5</w:t>
      </w:r>
      <w:r w:rsidRPr="00A45E22">
        <w:rPr>
          <w:b/>
          <w:i w:val="0"/>
          <w:sz w:val="24"/>
          <w:szCs w:val="24"/>
        </w:rPr>
        <w:t>, 2</w:t>
      </w:r>
      <w:r w:rsidR="008E71C2" w:rsidRPr="00A45E22">
        <w:rPr>
          <w:b/>
          <w:i w:val="0"/>
          <w:sz w:val="24"/>
          <w:szCs w:val="24"/>
        </w:rPr>
        <w:t>6</w:t>
      </w:r>
      <w:r w:rsidRPr="00A45E22">
        <w:rPr>
          <w:b/>
          <w:i w:val="0"/>
          <w:sz w:val="24"/>
          <w:szCs w:val="24"/>
        </w:rPr>
        <w:t xml:space="preserve"> and 3</w:t>
      </w:r>
      <w:r w:rsidR="008E71C2" w:rsidRPr="00A45E22">
        <w:rPr>
          <w:b/>
          <w:i w:val="0"/>
          <w:sz w:val="24"/>
          <w:szCs w:val="24"/>
        </w:rPr>
        <w:t>2</w:t>
      </w:r>
      <w:r w:rsidR="00607641" w:rsidRPr="00A45E22">
        <w:t>—</w:t>
      </w:r>
      <w:r w:rsidRPr="00A45E22">
        <w:t>Determining amount of material of type w</w:t>
      </w:r>
    </w:p>
    <w:p w14:paraId="400F7E74" w14:textId="77777777" w:rsidR="000E7CF7" w:rsidRPr="00A45E22" w:rsidRDefault="000E7CF7" w:rsidP="000E7CF7">
      <w:pPr>
        <w:pStyle w:val="tMain"/>
        <w:rPr>
          <w:szCs w:val="22"/>
        </w:rPr>
      </w:pPr>
      <w:r w:rsidRPr="00A45E22">
        <w:tab/>
        <w:t>(3)</w:t>
      </w:r>
      <w:r w:rsidRPr="00A45E22">
        <w:tab/>
        <w:t>The parameters Q</w:t>
      </w:r>
      <w:r w:rsidRPr="00A45E22">
        <w:rPr>
          <w:vertAlign w:val="subscript"/>
        </w:rPr>
        <w:t>Div, w, n  </w:t>
      </w:r>
      <w:r w:rsidRPr="00A45E22">
        <w:t>and Q</w:t>
      </w:r>
      <w:r w:rsidRPr="00A45E22">
        <w:rPr>
          <w:vertAlign w:val="subscript"/>
        </w:rPr>
        <w:t>Inel, w</w:t>
      </w:r>
      <w:r w:rsidRPr="00A45E22">
        <w:rPr>
          <w:szCs w:val="22"/>
        </w:rPr>
        <w:t xml:space="preserve"> must be determined by:</w:t>
      </w:r>
    </w:p>
    <w:p w14:paraId="400F7E75" w14:textId="77777777" w:rsidR="000E7CF7" w:rsidRPr="00A45E22" w:rsidRDefault="000E7CF7" w:rsidP="000E7CF7">
      <w:pPr>
        <w:pStyle w:val="tPara"/>
      </w:pPr>
      <w:r w:rsidRPr="00A45E22">
        <w:tab/>
        <w:t>(a)</w:t>
      </w:r>
      <w:r w:rsidRPr="00A45E22">
        <w:tab/>
        <w:t>determining either the weight of each batch</w:t>
      </w:r>
      <w:r w:rsidR="00AF6F0C" w:rsidRPr="00A45E22">
        <w:t xml:space="preserve"> (truck, trailer, wagon load or other carrying device)</w:t>
      </w:r>
      <w:r w:rsidRPr="00A45E22">
        <w:t xml:space="preserve"> of relevant material, or the volume of each batch; and </w:t>
      </w:r>
    </w:p>
    <w:p w14:paraId="400F7E76" w14:textId="77777777" w:rsidR="000E7CF7" w:rsidRPr="00A45E22" w:rsidRDefault="000E7CF7" w:rsidP="000E7CF7">
      <w:pPr>
        <w:pStyle w:val="tPara"/>
      </w:pPr>
      <w:r w:rsidRPr="00A45E22">
        <w:tab/>
        <w:t>(b)</w:t>
      </w:r>
      <w:r w:rsidR="00614EB9" w:rsidRPr="00A45E22">
        <w:tab/>
        <w:t>summing the weights or volumes; and</w:t>
      </w:r>
    </w:p>
    <w:p w14:paraId="400F7E77" w14:textId="4501CC8B" w:rsidR="00614EB9" w:rsidRPr="00A45E22" w:rsidRDefault="00614EB9" w:rsidP="000E7CF7">
      <w:pPr>
        <w:pStyle w:val="tPara"/>
      </w:pPr>
      <w:r w:rsidRPr="00A45E22">
        <w:tab/>
        <w:t>(c)</w:t>
      </w:r>
      <w:r w:rsidRPr="00A45E22">
        <w:tab/>
        <w:t xml:space="preserve">if volume is used—converted to tonnes </w:t>
      </w:r>
      <w:r w:rsidR="00EB616C" w:rsidRPr="00A45E22">
        <w:t>based on cali</w:t>
      </w:r>
      <w:r w:rsidR="005E3D2C" w:rsidRPr="00A45E22">
        <w:t>brations consistent</w:t>
      </w:r>
      <w:r w:rsidRPr="00A45E22">
        <w:t xml:space="preserve"> with subsection (</w:t>
      </w:r>
      <w:r w:rsidR="00623355" w:rsidRPr="00A45E22">
        <w:t>5</w:t>
      </w:r>
      <w:r w:rsidRPr="00A45E22">
        <w:t>)</w:t>
      </w:r>
      <w:r w:rsidR="009229C7">
        <w:t>.</w:t>
      </w:r>
    </w:p>
    <w:p w14:paraId="400F7E78" w14:textId="77777777" w:rsidR="000E7CF7" w:rsidRPr="00A45E22" w:rsidRDefault="000E7CF7" w:rsidP="000E7CF7">
      <w:pPr>
        <w:pStyle w:val="tMain"/>
      </w:pPr>
      <w:r w:rsidRPr="00A45E22">
        <w:tab/>
        <w:t>(4)</w:t>
      </w:r>
      <w:r w:rsidRPr="00A45E22">
        <w:tab/>
        <w:t>The weight or volume of each batch must be:</w:t>
      </w:r>
    </w:p>
    <w:p w14:paraId="400F7E79" w14:textId="77777777" w:rsidR="000E7CF7" w:rsidRPr="00A45E22" w:rsidRDefault="000E7CF7" w:rsidP="000E7CF7">
      <w:pPr>
        <w:pStyle w:val="tPara"/>
      </w:pPr>
      <w:r w:rsidRPr="00A45E22">
        <w:tab/>
        <w:t>(a)</w:t>
      </w:r>
      <w:r w:rsidRPr="00A45E22">
        <w:tab/>
        <w:t xml:space="preserve">measured in a way appropriate to the material; or </w:t>
      </w:r>
    </w:p>
    <w:p w14:paraId="400F7E7A" w14:textId="77777777" w:rsidR="000E7CF7" w:rsidRPr="00A45E22" w:rsidRDefault="000E7CF7" w:rsidP="000E7CF7">
      <w:pPr>
        <w:pStyle w:val="tPara"/>
      </w:pPr>
      <w:r w:rsidRPr="00A45E22">
        <w:tab/>
        <w:t>(b)</w:t>
      </w:r>
      <w:r w:rsidRPr="00A45E22">
        <w:tab/>
        <w:t>for material entering project facility—as evidenced by invoices or other records.</w:t>
      </w:r>
    </w:p>
    <w:p w14:paraId="400F7E7B" w14:textId="77777777" w:rsidR="00790A84" w:rsidRPr="00A45E22" w:rsidRDefault="00790A84" w:rsidP="00790A84">
      <w:pPr>
        <w:pStyle w:val="tMain"/>
      </w:pPr>
      <w:r w:rsidRPr="00A45E22">
        <w:tab/>
      </w:r>
      <w:r w:rsidR="00623355" w:rsidRPr="00A45E22">
        <w:t>(5</w:t>
      </w:r>
      <w:r w:rsidRPr="00A45E22">
        <w:t>)</w:t>
      </w:r>
      <w:r w:rsidRPr="00A45E22">
        <w:tab/>
        <w:t>If the volume of each batch is used:</w:t>
      </w:r>
    </w:p>
    <w:p w14:paraId="400F7E7C" w14:textId="77777777" w:rsidR="00790A84" w:rsidRPr="00A45E22" w:rsidRDefault="00EB616C" w:rsidP="00790A84">
      <w:pPr>
        <w:pStyle w:val="tPara"/>
      </w:pPr>
      <w:r w:rsidRPr="00A45E22">
        <w:tab/>
        <w:t>(a)</w:t>
      </w:r>
      <w:r w:rsidRPr="00A45E22">
        <w:tab/>
        <w:t>the volumes need to be cali</w:t>
      </w:r>
      <w:r w:rsidR="00790A84" w:rsidRPr="00A45E22">
        <w:t xml:space="preserve">brated with mass measurements for at least the first 6 months and at least once every 2 years after that; </w:t>
      </w:r>
    </w:p>
    <w:p w14:paraId="400F7E7D" w14:textId="77777777" w:rsidR="00790A84" w:rsidRPr="00A45E22" w:rsidRDefault="00790A84" w:rsidP="00790A84">
      <w:pPr>
        <w:pStyle w:val="tPara"/>
      </w:pPr>
      <w:r w:rsidRPr="00A45E22">
        <w:tab/>
        <w:t>(b)</w:t>
      </w:r>
      <w:r w:rsidRPr="00A45E22">
        <w:tab/>
        <w:t>monthly records need to be kept of the estimated mass of material diverted; and</w:t>
      </w:r>
    </w:p>
    <w:p w14:paraId="400F7E7E" w14:textId="77777777" w:rsidR="00790A84" w:rsidRPr="00A45E22" w:rsidRDefault="00790A84" w:rsidP="00790A84">
      <w:pPr>
        <w:pStyle w:val="tPara"/>
      </w:pPr>
      <w:r w:rsidRPr="00A45E22">
        <w:tab/>
        <w:t>(c)</w:t>
      </w:r>
      <w:r w:rsidRPr="00A45E22">
        <w:tab/>
        <w:t xml:space="preserve">if the estimated mass of material diverted exceeds the </w:t>
      </w:r>
      <w:r w:rsidR="005E3D2C" w:rsidRPr="00A45E22">
        <w:t>current</w:t>
      </w:r>
      <w:r w:rsidRPr="00A45E22">
        <w:t xml:space="preserve"> calibration by more than 10%, the volumes need to be recalibrated by mass measurements for at least another 6 months.</w:t>
      </w:r>
    </w:p>
    <w:p w14:paraId="400F7E7F" w14:textId="77777777" w:rsidR="000E7CF7" w:rsidRPr="00A45E22" w:rsidRDefault="000E7CF7" w:rsidP="00A701E1">
      <w:pPr>
        <w:pStyle w:val="h6Subsec"/>
        <w:ind w:left="0" w:firstLine="425"/>
      </w:pPr>
      <w:r w:rsidRPr="00A45E22">
        <w:rPr>
          <w:b/>
          <w:i w:val="0"/>
          <w:sz w:val="24"/>
          <w:szCs w:val="24"/>
        </w:rPr>
        <w:t>Sections 2</w:t>
      </w:r>
      <w:r w:rsidR="008E71C2" w:rsidRPr="00A45E22">
        <w:rPr>
          <w:b/>
          <w:i w:val="0"/>
          <w:sz w:val="24"/>
          <w:szCs w:val="24"/>
        </w:rPr>
        <w:t>5</w:t>
      </w:r>
      <w:r w:rsidRPr="00A45E22">
        <w:rPr>
          <w:b/>
          <w:i w:val="0"/>
          <w:sz w:val="24"/>
          <w:szCs w:val="24"/>
        </w:rPr>
        <w:t>, 2</w:t>
      </w:r>
      <w:r w:rsidR="008E71C2" w:rsidRPr="00A45E22">
        <w:rPr>
          <w:b/>
          <w:i w:val="0"/>
          <w:sz w:val="24"/>
          <w:szCs w:val="24"/>
        </w:rPr>
        <w:t>6</w:t>
      </w:r>
      <w:r w:rsidRPr="00A45E22">
        <w:rPr>
          <w:b/>
          <w:i w:val="0"/>
          <w:sz w:val="24"/>
          <w:szCs w:val="24"/>
        </w:rPr>
        <w:t xml:space="preserve"> and 3</w:t>
      </w:r>
      <w:r w:rsidR="008E71C2" w:rsidRPr="00A45E22">
        <w:rPr>
          <w:b/>
          <w:i w:val="0"/>
          <w:sz w:val="24"/>
          <w:szCs w:val="24"/>
        </w:rPr>
        <w:t>2</w:t>
      </w:r>
      <w:r w:rsidR="00607641" w:rsidRPr="00A45E22">
        <w:t>—</w:t>
      </w:r>
      <w:r w:rsidRPr="00A45E22">
        <w:t>Determining volatile solids concentration</w:t>
      </w:r>
    </w:p>
    <w:p w14:paraId="400F7E80" w14:textId="77777777" w:rsidR="000E7CF7" w:rsidRPr="00A45E22" w:rsidRDefault="00623355" w:rsidP="000E7CF7">
      <w:pPr>
        <w:pStyle w:val="tMain"/>
      </w:pPr>
      <w:r w:rsidRPr="00A45E22">
        <w:tab/>
        <w:t>(6</w:t>
      </w:r>
      <w:r w:rsidR="000E7CF7" w:rsidRPr="00A45E22">
        <w:t>)</w:t>
      </w:r>
      <w:r w:rsidR="000E7CF7" w:rsidRPr="00A45E22">
        <w:tab/>
        <w:t xml:space="preserve">The parameters </w:t>
      </w:r>
      <w:r w:rsidR="000E7CF7" w:rsidRPr="00A45E22">
        <w:rPr>
          <w:szCs w:val="22"/>
        </w:rPr>
        <w:t>C</w:t>
      </w:r>
      <w:r w:rsidR="000E7CF7" w:rsidRPr="00A45E22">
        <w:rPr>
          <w:szCs w:val="22"/>
          <w:vertAlign w:val="subscript"/>
        </w:rPr>
        <w:t>VS,Div, w, n</w:t>
      </w:r>
      <w:r w:rsidR="000E7CF7" w:rsidRPr="00A45E22">
        <w:t xml:space="preserve"> and </w:t>
      </w:r>
      <w:r w:rsidR="000E7CF7" w:rsidRPr="00A45E22">
        <w:rPr>
          <w:szCs w:val="22"/>
        </w:rPr>
        <w:t>C</w:t>
      </w:r>
      <w:r w:rsidR="000E7CF7" w:rsidRPr="00A45E22">
        <w:rPr>
          <w:szCs w:val="22"/>
          <w:vertAlign w:val="subscript"/>
        </w:rPr>
        <w:t>VS, Inel, w</w:t>
      </w:r>
      <w:r w:rsidR="000E7CF7" w:rsidRPr="00A45E22">
        <w:t xml:space="preserve"> must be determined by:</w:t>
      </w:r>
    </w:p>
    <w:p w14:paraId="400F7E81" w14:textId="77777777" w:rsidR="006B3E8E" w:rsidRPr="00A45E22" w:rsidRDefault="000E7CF7" w:rsidP="000E7CF7">
      <w:pPr>
        <w:pStyle w:val="tPara"/>
      </w:pPr>
      <w:r w:rsidRPr="00A45E22">
        <w:tab/>
        <w:t>(a)</w:t>
      </w:r>
      <w:r w:rsidRPr="00A45E22">
        <w:tab/>
        <w:t xml:space="preserve">collecting </w:t>
      </w:r>
      <w:r w:rsidR="004F1D57" w:rsidRPr="00A45E22">
        <w:t xml:space="preserve">representative </w:t>
      </w:r>
      <w:r w:rsidRPr="00A45E22">
        <w:t>composite samples of the rele</w:t>
      </w:r>
      <w:r w:rsidR="006B3E8E" w:rsidRPr="00A45E22">
        <w:t>vant material</w:t>
      </w:r>
      <w:r w:rsidRPr="00A45E22">
        <w:t>, including</w:t>
      </w:r>
      <w:r w:rsidR="006B3E8E" w:rsidRPr="00A45E22">
        <w:t>:</w:t>
      </w:r>
      <w:r w:rsidRPr="00A45E22">
        <w:t xml:space="preserve"> </w:t>
      </w:r>
    </w:p>
    <w:p w14:paraId="400F7E82" w14:textId="77777777" w:rsidR="000E7CF7" w:rsidRPr="00A45E22" w:rsidRDefault="006B3E8E" w:rsidP="006B3E8E">
      <w:pPr>
        <w:pStyle w:val="tSubpara"/>
      </w:pPr>
      <w:r w:rsidRPr="00A45E22">
        <w:tab/>
        <w:t>(i)</w:t>
      </w:r>
      <w:r w:rsidRPr="00A45E22">
        <w:tab/>
        <w:t>at least once</w:t>
      </w:r>
      <w:r w:rsidR="000E7CF7" w:rsidRPr="00A45E22">
        <w:t xml:space="preserve"> </w:t>
      </w:r>
      <w:r w:rsidRPr="00A45E22">
        <w:t>each month for the first 6 months</w:t>
      </w:r>
      <w:r w:rsidR="000E7CF7" w:rsidRPr="00A45E22">
        <w:t>; and</w:t>
      </w:r>
    </w:p>
    <w:p w14:paraId="400F7E83" w14:textId="77777777" w:rsidR="006B3E8E" w:rsidRPr="00A45E22" w:rsidRDefault="006B3E8E" w:rsidP="006B3E8E">
      <w:pPr>
        <w:pStyle w:val="tSubpara"/>
      </w:pPr>
      <w:r w:rsidRPr="00A45E22">
        <w:tab/>
      </w:r>
      <w:r w:rsidR="00E37453" w:rsidRPr="00A45E22">
        <w:t>(ii)</w:t>
      </w:r>
      <w:r w:rsidR="00E37453" w:rsidRPr="00A45E22">
        <w:tab/>
        <w:t>if all measurements</w:t>
      </w:r>
      <w:r w:rsidRPr="00A45E22">
        <w:t xml:space="preserve"> </w:t>
      </w:r>
      <w:r w:rsidR="00E37453" w:rsidRPr="00A45E22">
        <w:t xml:space="preserve">over the most recent 6 month period </w:t>
      </w:r>
      <w:r w:rsidRPr="00A45E22">
        <w:t>do not deviate by more than 10%—at  least once every 3 months; and</w:t>
      </w:r>
    </w:p>
    <w:p w14:paraId="400F7E84" w14:textId="77777777" w:rsidR="006B3E8E" w:rsidRPr="00A45E22" w:rsidRDefault="006B3E8E" w:rsidP="006B3E8E">
      <w:pPr>
        <w:pStyle w:val="tSubpara"/>
      </w:pPr>
      <w:r w:rsidRPr="00A45E22">
        <w:tab/>
        <w:t>(iii)</w:t>
      </w:r>
      <w:r w:rsidRPr="00A45E22">
        <w:tab/>
        <w:t xml:space="preserve">if subparagraph (ii) does not apply—at </w:t>
      </w:r>
      <w:r w:rsidR="003E012B" w:rsidRPr="00A45E22">
        <w:t>least once each month; and</w:t>
      </w:r>
    </w:p>
    <w:p w14:paraId="400F7E85" w14:textId="77777777" w:rsidR="000E7CF7" w:rsidRPr="00A45E22" w:rsidRDefault="000E7CF7" w:rsidP="000E7CF7">
      <w:pPr>
        <w:pStyle w:val="tPara"/>
      </w:pPr>
      <w:r w:rsidRPr="00A45E22">
        <w:tab/>
        <w:t>(b)</w:t>
      </w:r>
      <w:r w:rsidRPr="00A45E22">
        <w:tab/>
        <w:t>causing any samples to be analysed for volatile solids to be:</w:t>
      </w:r>
    </w:p>
    <w:p w14:paraId="400F7E86" w14:textId="77777777" w:rsidR="000E7CF7" w:rsidRPr="00A45E22" w:rsidRDefault="000E7CF7" w:rsidP="000E7CF7">
      <w:pPr>
        <w:pStyle w:val="tSubpara"/>
      </w:pPr>
      <w:r w:rsidRPr="00A45E22">
        <w:tab/>
        <w:t>(i)</w:t>
      </w:r>
      <w:r w:rsidRPr="00A45E22">
        <w:tab/>
        <w:t>immediately stored in a sealed container and transported on ice (but not frozen) or a refrigerator until analysed; and</w:t>
      </w:r>
    </w:p>
    <w:p w14:paraId="400F7E87" w14:textId="77777777" w:rsidR="000E7CF7" w:rsidRPr="00A45E22" w:rsidRDefault="000E7CF7" w:rsidP="003E012B">
      <w:pPr>
        <w:pStyle w:val="tSubpara"/>
      </w:pPr>
      <w:r w:rsidRPr="00A45E22">
        <w:tab/>
        <w:t>(ii)</w:t>
      </w:r>
      <w:r w:rsidRPr="00A45E22">
        <w:tab/>
        <w:t>analysed in</w:t>
      </w:r>
      <w:r w:rsidR="003E012B" w:rsidRPr="00A45E22">
        <w:t xml:space="preserve"> a laboratory in triplicate; and</w:t>
      </w:r>
    </w:p>
    <w:p w14:paraId="400F7E88" w14:textId="77777777" w:rsidR="000E7CF7" w:rsidRPr="00A45E22" w:rsidRDefault="000E7CF7" w:rsidP="000E7CF7">
      <w:pPr>
        <w:pStyle w:val="tPara"/>
      </w:pPr>
      <w:r w:rsidRPr="00A45E22">
        <w:tab/>
        <w:t>(c)</w:t>
      </w:r>
      <w:r w:rsidRPr="00A45E22">
        <w:tab/>
        <w:t xml:space="preserve">collecting sufficient sub-samples of the material to get a representative </w:t>
      </w:r>
      <w:r w:rsidR="00AF6F0C" w:rsidRPr="00A45E22">
        <w:t xml:space="preserve">composite sample for </w:t>
      </w:r>
      <w:r w:rsidRPr="00A45E22">
        <w:t>analysis of the diverted material in accordance with:</w:t>
      </w:r>
    </w:p>
    <w:p w14:paraId="400F7E89" w14:textId="77777777" w:rsidR="000E7CF7" w:rsidRPr="00A45E22" w:rsidRDefault="000E7CF7" w:rsidP="000E7CF7">
      <w:pPr>
        <w:pStyle w:val="tSubpara"/>
      </w:pPr>
      <w:r w:rsidRPr="00A45E22">
        <w:tab/>
      </w:r>
      <w:r w:rsidRPr="00A45E22">
        <w:fldChar w:fldCharType="begin"/>
      </w:r>
      <w:r w:rsidRPr="00A45E22">
        <w:instrText xml:space="preserve">  LISTNUM "main numbering" \l 8 \* MERGEFORMAT </w:instrText>
      </w:r>
      <w:r w:rsidRPr="00A45E22">
        <w:fldChar w:fldCharType="end">
          <w:numberingChange w:id="39" w:author="Author" w:original="(i)"/>
        </w:fldChar>
      </w:r>
      <w:r w:rsidRPr="00A45E22">
        <w:tab/>
        <w:t xml:space="preserve">the </w:t>
      </w:r>
      <w:r w:rsidRPr="00A45E22">
        <w:rPr>
          <w:i/>
        </w:rPr>
        <w:t>National Environmental Pig Guidelines</w:t>
      </w:r>
      <w:r w:rsidRPr="00A45E22">
        <w:t xml:space="preserve"> published by Australian Pork Limited; or</w:t>
      </w:r>
    </w:p>
    <w:p w14:paraId="400F7E8A" w14:textId="77777777" w:rsidR="003D5B8E" w:rsidRPr="00A45E22" w:rsidRDefault="000E7CF7" w:rsidP="007B6A51">
      <w:pPr>
        <w:pStyle w:val="tSubpara"/>
      </w:pPr>
      <w:r w:rsidRPr="00A45E22">
        <w:tab/>
      </w:r>
      <w:r w:rsidRPr="00A45E22">
        <w:fldChar w:fldCharType="begin"/>
      </w:r>
      <w:r w:rsidRPr="00A45E22">
        <w:instrText xml:space="preserve">  LISTNUM "main numbering" \l 8 \* MERGEFORMAT </w:instrText>
      </w:r>
      <w:r w:rsidRPr="00A45E22">
        <w:fldChar w:fldCharType="end">
          <w:numberingChange w:id="40" w:author="Author" w:original="(ii)"/>
        </w:fldChar>
      </w:r>
      <w:r w:rsidRPr="00A45E22">
        <w:tab/>
        <w:t xml:space="preserve">the </w:t>
      </w:r>
      <w:r w:rsidR="003D5B8E" w:rsidRPr="00A45E22">
        <w:rPr>
          <w:i/>
        </w:rPr>
        <w:t>Sampling manual for environmental monitoring by intensive livestock industries</w:t>
      </w:r>
      <w:r w:rsidR="007B6A51" w:rsidRPr="00A45E22">
        <w:t xml:space="preserve"> written</w:t>
      </w:r>
      <w:r w:rsidRPr="00A45E22">
        <w:t xml:space="preserve"> by</w:t>
      </w:r>
      <w:r w:rsidR="007B6A51" w:rsidRPr="00A45E22">
        <w:t xml:space="preserve"> Mathew</w:t>
      </w:r>
      <w:r w:rsidRPr="00A45E22">
        <w:t xml:space="preserve"> </w:t>
      </w:r>
      <w:r w:rsidR="007B6A51" w:rsidRPr="00A45E22">
        <w:t>Redding in 2003 and published by the Queensland Government</w:t>
      </w:r>
      <w:r w:rsidR="003E012B" w:rsidRPr="00A45E22">
        <w:t>; and</w:t>
      </w:r>
    </w:p>
    <w:p w14:paraId="400F7E8B" w14:textId="77777777" w:rsidR="000B6402" w:rsidRPr="00A45E22" w:rsidRDefault="000B6402" w:rsidP="000B6402">
      <w:pPr>
        <w:pStyle w:val="tPara"/>
      </w:pPr>
      <w:bookmarkStart w:id="41" w:name="_Toc498293982"/>
      <w:r w:rsidRPr="00A45E22">
        <w:tab/>
        <w:t>(d)</w:t>
      </w:r>
      <w:r w:rsidRPr="00A45E22">
        <w:tab/>
        <w:t>analysing those samples in accordance:</w:t>
      </w:r>
    </w:p>
    <w:p w14:paraId="400F7E8C" w14:textId="77777777" w:rsidR="000B6402" w:rsidRPr="00A45E22" w:rsidRDefault="000B6402" w:rsidP="000B6402">
      <w:pPr>
        <w:pStyle w:val="tSubpara"/>
      </w:pPr>
      <w:r w:rsidRPr="00A45E22">
        <w:tab/>
        <w:t xml:space="preserve"> (i)</w:t>
      </w:r>
      <w:r w:rsidRPr="00A45E22">
        <w:tab/>
        <w:t xml:space="preserve">the relevant method in the most recent </w:t>
      </w:r>
      <w:r w:rsidRPr="00A45E22">
        <w:rPr>
          <w:i/>
        </w:rPr>
        <w:t xml:space="preserve">Standard Methods for the Examination of Water and Wastewater </w:t>
      </w:r>
      <w:r w:rsidRPr="00A45E22">
        <w:t>published by the America</w:t>
      </w:r>
      <w:r w:rsidR="007068D8" w:rsidRPr="00A45E22">
        <w:t>n Public Health Association; or</w:t>
      </w:r>
    </w:p>
    <w:p w14:paraId="400F7E8D" w14:textId="77777777" w:rsidR="000B6402" w:rsidRPr="00A45E22" w:rsidRDefault="000B6402" w:rsidP="000B6402">
      <w:pPr>
        <w:pStyle w:val="nMain"/>
        <w:ind w:hanging="710"/>
      </w:pPr>
      <w:r w:rsidRPr="00A45E22">
        <w:t>Note:       In 2019, the relevant method was at 2540E at https://www.standardmethods.org/.</w:t>
      </w:r>
    </w:p>
    <w:p w14:paraId="400F7E8E" w14:textId="77777777" w:rsidR="000B6402" w:rsidRPr="00A45E22" w:rsidRDefault="000B6402" w:rsidP="000B6402">
      <w:pPr>
        <w:pStyle w:val="tSubpara"/>
      </w:pPr>
      <w:r w:rsidRPr="00A45E22">
        <w:tab/>
        <w:t>(ii)</w:t>
      </w:r>
      <w:r w:rsidRPr="00A45E22">
        <w:tab/>
        <w:t>an equivalent Australian standard.</w:t>
      </w:r>
    </w:p>
    <w:p w14:paraId="400F7E8F" w14:textId="77777777" w:rsidR="00235E5E" w:rsidRPr="00A45E22" w:rsidRDefault="00E01687" w:rsidP="00235E5E">
      <w:pPr>
        <w:pStyle w:val="h5Section"/>
        <w:rPr>
          <w:i/>
          <w:u w:val="single"/>
          <w:vertAlign w:val="subscript"/>
        </w:rPr>
      </w:pPr>
      <w:bookmarkStart w:id="42" w:name="_Toc17792711"/>
      <w:r w:rsidRPr="00A45E22">
        <w:rPr>
          <w:u w:val="single"/>
        </w:rPr>
        <w:lastRenderedPageBreak/>
        <w:t>19</w:t>
      </w:r>
      <w:r w:rsidR="009832C5" w:rsidRPr="00A45E22">
        <w:rPr>
          <w:u w:val="single"/>
        </w:rPr>
        <w:tab/>
      </w:r>
      <w:r w:rsidR="00235E5E" w:rsidRPr="00A45E22">
        <w:rPr>
          <w:u w:val="single"/>
        </w:rPr>
        <w:t xml:space="preserve">Section </w:t>
      </w:r>
      <w:r w:rsidR="008E71C2" w:rsidRPr="00A45E22">
        <w:rPr>
          <w:u w:val="single"/>
        </w:rPr>
        <w:t>30</w:t>
      </w:r>
      <w:r w:rsidR="00235E5E" w:rsidRPr="00A45E22">
        <w:rPr>
          <w:u w:val="single"/>
        </w:rPr>
        <w:t xml:space="preserve">—fuel use attributable to operation of project facility, </w:t>
      </w:r>
      <w:r w:rsidR="00235E5E" w:rsidRPr="00A45E22">
        <w:rPr>
          <w:i/>
          <w:u w:val="single"/>
        </w:rPr>
        <w:t>Q</w:t>
      </w:r>
      <w:r w:rsidR="00235E5E" w:rsidRPr="00A45E22">
        <w:rPr>
          <w:i/>
          <w:u w:val="single"/>
          <w:vertAlign w:val="subscript"/>
        </w:rPr>
        <w:t>F, </w:t>
      </w:r>
      <w:r w:rsidR="00DD2C38" w:rsidRPr="00A45E22">
        <w:rPr>
          <w:i/>
          <w:u w:val="single"/>
          <w:vertAlign w:val="subscript"/>
        </w:rPr>
        <w:t>i</w:t>
      </w:r>
      <w:bookmarkEnd w:id="41"/>
      <w:bookmarkEnd w:id="42"/>
    </w:p>
    <w:p w14:paraId="400F7E90" w14:textId="77777777" w:rsidR="00DD2C38" w:rsidRPr="00A45E22" w:rsidRDefault="00235E5E" w:rsidP="00512637">
      <w:pPr>
        <w:pStyle w:val="tMain"/>
      </w:pPr>
      <w:r w:rsidRPr="00A45E22">
        <w:tab/>
      </w:r>
      <w:r w:rsidRPr="00A45E22">
        <w:tab/>
        <w:t xml:space="preserve">For section </w:t>
      </w:r>
      <w:r w:rsidR="008E71C2" w:rsidRPr="00A45E22">
        <w:t>30</w:t>
      </w:r>
      <w:r w:rsidRPr="00A45E22">
        <w:t xml:space="preserve"> of the Determination, </w:t>
      </w:r>
      <w:r w:rsidRPr="00A45E22">
        <w:rPr>
          <w:b/>
          <w:i/>
        </w:rPr>
        <w:t>Q</w:t>
      </w:r>
      <w:r w:rsidRPr="00A45E22">
        <w:rPr>
          <w:b/>
          <w:i/>
          <w:vertAlign w:val="subscript"/>
        </w:rPr>
        <w:t>F, </w:t>
      </w:r>
      <w:r w:rsidR="00DD2C38" w:rsidRPr="00A45E22">
        <w:rPr>
          <w:b/>
          <w:i/>
          <w:vertAlign w:val="subscript"/>
        </w:rPr>
        <w:t>i</w:t>
      </w:r>
      <w:r w:rsidRPr="00A45E22">
        <w:t xml:space="preserve">, </w:t>
      </w:r>
      <w:r w:rsidR="00723ACA" w:rsidRPr="00A45E22">
        <w:t xml:space="preserve">is </w:t>
      </w:r>
      <w:r w:rsidR="00DD2C38" w:rsidRPr="00A45E22">
        <w:t xml:space="preserve">the amount of fuel type </w:t>
      </w:r>
      <w:r w:rsidR="00DD2C38" w:rsidRPr="00A45E22">
        <w:rPr>
          <w:i/>
        </w:rPr>
        <w:t>i</w:t>
      </w:r>
      <w:r w:rsidR="00DD2C38" w:rsidRPr="00A45E22">
        <w:t xml:space="preserve"> that is specifically attributable to the operation of the project facility during the reporting period, in tonnes, kilolitres, cubic </w:t>
      </w:r>
      <w:r w:rsidR="000A1B5D" w:rsidRPr="00A45E22">
        <w:t>metre</w:t>
      </w:r>
      <w:r w:rsidR="00DD2C38" w:rsidRPr="00A45E22">
        <w:t xml:space="preserve">s, or gigajoules </w:t>
      </w:r>
      <w:r w:rsidRPr="00A45E22">
        <w:t>is</w:t>
      </w:r>
      <w:r w:rsidR="00DD2C38" w:rsidRPr="00A45E22">
        <w:t>:</w:t>
      </w:r>
    </w:p>
    <w:p w14:paraId="400F7E91" w14:textId="77777777" w:rsidR="00DD2C38" w:rsidRPr="00A45E22" w:rsidRDefault="00DD2C38" w:rsidP="00512637">
      <w:pPr>
        <w:pStyle w:val="tPara"/>
      </w:pPr>
      <w:r w:rsidRPr="00A45E22">
        <w:tab/>
      </w:r>
      <w:r w:rsidR="00E741AF" w:rsidRPr="00A45E22">
        <w:t>(a)</w:t>
      </w:r>
      <w:r w:rsidRPr="00A45E22">
        <w:tab/>
        <w:t xml:space="preserve">the </w:t>
      </w:r>
      <w:r w:rsidR="005D4F4E" w:rsidRPr="00A45E22">
        <w:t xml:space="preserve">best estimate of the </w:t>
      </w:r>
      <w:r w:rsidRPr="00A45E22">
        <w:t xml:space="preserve">amount of fuel type </w:t>
      </w:r>
      <w:r w:rsidRPr="00A45E22">
        <w:rPr>
          <w:i/>
        </w:rPr>
        <w:t>i</w:t>
      </w:r>
      <w:r w:rsidRPr="00A45E22">
        <w:t xml:space="preserve"> used in the operation of the project facility during the reporting period and attributable to the current operation of the project; less</w:t>
      </w:r>
    </w:p>
    <w:p w14:paraId="400F7E92" w14:textId="77777777" w:rsidR="00DD2C38" w:rsidRPr="00A45E22" w:rsidRDefault="00DD2C38" w:rsidP="00512637">
      <w:pPr>
        <w:pStyle w:val="tPara"/>
      </w:pPr>
      <w:r w:rsidRPr="00A45E22">
        <w:tab/>
      </w:r>
      <w:r w:rsidR="00E741AF" w:rsidRPr="00A45E22">
        <w:t>(b)</w:t>
      </w:r>
      <w:r w:rsidRPr="00A45E22">
        <w:tab/>
      </w:r>
      <w:r w:rsidR="0089471E" w:rsidRPr="00A45E22">
        <w:t>an estimate of</w:t>
      </w:r>
      <w:r w:rsidRPr="00A45E22">
        <w:t xml:space="preserve"> use </w:t>
      </w:r>
      <w:r w:rsidR="0089471E" w:rsidRPr="00A45E22">
        <w:t xml:space="preserve">of type </w:t>
      </w:r>
      <w:r w:rsidR="0089471E" w:rsidRPr="00A45E22">
        <w:rPr>
          <w:i/>
        </w:rPr>
        <w:t xml:space="preserve">i </w:t>
      </w:r>
      <w:r w:rsidR="0089471E" w:rsidRPr="00A45E22">
        <w:t xml:space="preserve">used in the operation of the project facility </w:t>
      </w:r>
      <w:r w:rsidR="0002637D" w:rsidRPr="00A45E22">
        <w:t>that would have occurred without the project during the reporting period, based on average fuel used before the project was implemented;</w:t>
      </w:r>
      <w:r w:rsidRPr="00A45E22">
        <w:t xml:space="preserve"> </w:t>
      </w:r>
    </w:p>
    <w:p w14:paraId="400F7E93" w14:textId="77777777" w:rsidR="00951261" w:rsidRPr="00A45E22" w:rsidRDefault="00735BE9" w:rsidP="00951261">
      <w:pPr>
        <w:pStyle w:val="tMain"/>
      </w:pPr>
      <w:r w:rsidRPr="00A45E22">
        <w:tab/>
      </w:r>
      <w:r w:rsidRPr="00A45E22">
        <w:tab/>
        <w:t>that</w:t>
      </w:r>
      <w:r w:rsidR="00951261" w:rsidRPr="00A45E22">
        <w:t>:</w:t>
      </w:r>
    </w:p>
    <w:p w14:paraId="400F7E94" w14:textId="77777777" w:rsidR="00DD2C38" w:rsidRPr="00A45E22" w:rsidRDefault="00DD2C38" w:rsidP="00DD2C38">
      <w:pPr>
        <w:pStyle w:val="tPara"/>
      </w:pPr>
      <w:r w:rsidRPr="00A45E22">
        <w:tab/>
      </w:r>
      <w:r w:rsidR="00E741AF" w:rsidRPr="00A45E22">
        <w:t>(c)</w:t>
      </w:r>
      <w:r w:rsidRPr="00A45E22">
        <w:tab/>
      </w:r>
      <w:r w:rsidR="00735BE9" w:rsidRPr="00A45E22">
        <w:t xml:space="preserve">is </w:t>
      </w:r>
      <w:r w:rsidRPr="00A45E22">
        <w:t>estimated in accordance with Division 2.2.5, 2.3.6 or 2.4.6 of the NGER (Measurement) Determination (as a</w:t>
      </w:r>
      <w:r w:rsidR="0002637D" w:rsidRPr="00A45E22">
        <w:t>ppropriate to the fuel type); and</w:t>
      </w:r>
      <w:r w:rsidRPr="00A45E22">
        <w:t xml:space="preserve"> </w:t>
      </w:r>
    </w:p>
    <w:p w14:paraId="400F7E95" w14:textId="77777777" w:rsidR="007C7AB5" w:rsidRPr="00A45E22" w:rsidRDefault="00DD2C38" w:rsidP="00512637">
      <w:pPr>
        <w:pStyle w:val="tPara"/>
      </w:pPr>
      <w:r w:rsidRPr="00A45E22">
        <w:tab/>
      </w:r>
      <w:r w:rsidR="00E741AF" w:rsidRPr="00A45E22">
        <w:t>(d)</w:t>
      </w:r>
      <w:r w:rsidRPr="00A45E22">
        <w:tab/>
      </w:r>
      <w:r w:rsidR="00735BE9" w:rsidRPr="00A45E22">
        <w:t xml:space="preserve">is </w:t>
      </w:r>
      <w:r w:rsidRPr="00A45E22">
        <w:t>evidenced by invoices, contractual arrangemen</w:t>
      </w:r>
      <w:r w:rsidR="005D4F4E" w:rsidRPr="00A45E22">
        <w:t>ts or industry metering records; and</w:t>
      </w:r>
    </w:p>
    <w:p w14:paraId="400F7E96" w14:textId="77777777" w:rsidR="005D4F4E" w:rsidRPr="00A45E22" w:rsidRDefault="005D4F4E" w:rsidP="00512637">
      <w:pPr>
        <w:pStyle w:val="tPara"/>
      </w:pPr>
      <w:r w:rsidRPr="00A45E22">
        <w:tab/>
        <w:t>(e)</w:t>
      </w:r>
      <w:r w:rsidRPr="00A45E22">
        <w:tab/>
      </w:r>
      <w:r w:rsidR="00CA4812" w:rsidRPr="00A45E22">
        <w:t>uses a representative historical period, generally of at least 1 year, to estimate the average of fuel use before the project was implemented under paragraph (b); and</w:t>
      </w:r>
    </w:p>
    <w:p w14:paraId="400F7E97" w14:textId="77777777" w:rsidR="00CA4812" w:rsidRPr="00A45E22" w:rsidRDefault="00CA4812" w:rsidP="00512637">
      <w:pPr>
        <w:pStyle w:val="tPara"/>
      </w:pPr>
      <w:r w:rsidRPr="00A45E22">
        <w:tab/>
        <w:t>(f)</w:t>
      </w:r>
      <w:r w:rsidRPr="00A45E22">
        <w:tab/>
        <w:t>fairly attributes fuel use between the project facility and uses of the fuel outside of the project facility included in any relevant invoice, contractual arrangements or industry metering records.</w:t>
      </w:r>
    </w:p>
    <w:p w14:paraId="400F7E98" w14:textId="77777777" w:rsidR="006C4E76" w:rsidRPr="00A45E22" w:rsidRDefault="00E01687" w:rsidP="003E012B">
      <w:pPr>
        <w:pStyle w:val="h5Section"/>
        <w:rPr>
          <w:b w:val="0"/>
          <w:i/>
          <w:szCs w:val="24"/>
          <w:u w:val="single"/>
          <w:vertAlign w:val="subscript"/>
        </w:rPr>
      </w:pPr>
      <w:bookmarkStart w:id="43" w:name="_Toc17792712"/>
      <w:r w:rsidRPr="00A45E22">
        <w:rPr>
          <w:szCs w:val="24"/>
          <w:u w:val="single"/>
        </w:rPr>
        <w:t>20</w:t>
      </w:r>
      <w:r w:rsidR="003E012B" w:rsidRPr="00A45E22">
        <w:rPr>
          <w:b w:val="0"/>
          <w:szCs w:val="24"/>
          <w:u w:val="single"/>
        </w:rPr>
        <w:tab/>
      </w:r>
      <w:r w:rsidR="006C4E76" w:rsidRPr="00A45E22">
        <w:rPr>
          <w:szCs w:val="24"/>
          <w:u w:val="single"/>
        </w:rPr>
        <w:t xml:space="preserve">Section </w:t>
      </w:r>
      <w:r w:rsidR="008E71C2" w:rsidRPr="00A45E22">
        <w:rPr>
          <w:szCs w:val="24"/>
          <w:u w:val="single"/>
        </w:rPr>
        <w:t>31</w:t>
      </w:r>
      <w:r w:rsidR="00607641" w:rsidRPr="00A45E22">
        <w:rPr>
          <w:u w:val="single"/>
        </w:rPr>
        <w:t>—</w:t>
      </w:r>
      <w:r w:rsidR="006C4E76" w:rsidRPr="00A45E22">
        <w:rPr>
          <w:szCs w:val="24"/>
          <w:u w:val="single"/>
        </w:rPr>
        <w:t xml:space="preserve">the amount of purchased electricity that is specifically attributable to the operation of the project facility, </w:t>
      </w:r>
      <w:r w:rsidR="006C4E76" w:rsidRPr="00A45E22">
        <w:rPr>
          <w:i/>
          <w:szCs w:val="24"/>
          <w:u w:val="single"/>
        </w:rPr>
        <w:t>Q</w:t>
      </w:r>
      <w:r w:rsidR="006C4E76" w:rsidRPr="00A45E22">
        <w:rPr>
          <w:i/>
          <w:szCs w:val="24"/>
          <w:u w:val="single"/>
          <w:vertAlign w:val="subscript"/>
        </w:rPr>
        <w:t>PE</w:t>
      </w:r>
      <w:bookmarkEnd w:id="43"/>
    </w:p>
    <w:p w14:paraId="400F7E99" w14:textId="77777777" w:rsidR="00555C8B" w:rsidRPr="00A45E22" w:rsidRDefault="006A0982" w:rsidP="006A0982">
      <w:pPr>
        <w:pStyle w:val="tMain"/>
      </w:pPr>
      <w:bookmarkStart w:id="44" w:name="_Toc498293984"/>
      <w:r w:rsidRPr="00A45E22">
        <w:tab/>
      </w:r>
      <w:r w:rsidR="00690536" w:rsidRPr="00A45E22">
        <w:t>(1)</w:t>
      </w:r>
      <w:r w:rsidRPr="00A45E22">
        <w:tab/>
      </w:r>
      <w:r w:rsidR="00FB10FB" w:rsidRPr="00A45E22">
        <w:t xml:space="preserve">For section </w:t>
      </w:r>
      <w:r w:rsidR="008E71C2" w:rsidRPr="00A45E22">
        <w:t>31</w:t>
      </w:r>
      <w:r w:rsidR="00FB10FB" w:rsidRPr="00A45E22">
        <w:t xml:space="preserve"> of the Determination, the </w:t>
      </w:r>
      <w:r w:rsidR="00FB10FB" w:rsidRPr="00A45E22">
        <w:rPr>
          <w:sz w:val="24"/>
          <w:szCs w:val="24"/>
        </w:rPr>
        <w:t xml:space="preserve">amount of purchased electricity that is specifically attributable to the </w:t>
      </w:r>
      <w:r w:rsidR="00FB10FB" w:rsidRPr="00A45E22">
        <w:rPr>
          <w:szCs w:val="22"/>
        </w:rPr>
        <w:t>operation</w:t>
      </w:r>
      <w:r w:rsidR="00FB10FB" w:rsidRPr="00A45E22">
        <w:rPr>
          <w:sz w:val="24"/>
          <w:szCs w:val="24"/>
        </w:rPr>
        <w:t xml:space="preserve"> of the project facility, </w:t>
      </w:r>
      <w:r w:rsidR="00FB10FB" w:rsidRPr="00A45E22">
        <w:rPr>
          <w:i/>
          <w:sz w:val="24"/>
          <w:szCs w:val="24"/>
        </w:rPr>
        <w:t>Q</w:t>
      </w:r>
      <w:r w:rsidR="00FB10FB" w:rsidRPr="00A45E22">
        <w:rPr>
          <w:i/>
          <w:sz w:val="24"/>
          <w:szCs w:val="24"/>
          <w:vertAlign w:val="subscript"/>
        </w:rPr>
        <w:t>PE</w:t>
      </w:r>
      <w:r w:rsidR="00FB10FB" w:rsidRPr="00A45E22">
        <w:rPr>
          <w:sz w:val="24"/>
          <w:szCs w:val="24"/>
          <w:vertAlign w:val="subscript"/>
        </w:rPr>
        <w:t xml:space="preserve"> </w:t>
      </w:r>
      <w:r w:rsidR="00555C8B" w:rsidRPr="00A45E22">
        <w:t>during the reporting period:</w:t>
      </w:r>
      <w:r w:rsidR="00FB10FB" w:rsidRPr="00A45E22">
        <w:t xml:space="preserve"> </w:t>
      </w:r>
    </w:p>
    <w:p w14:paraId="400F7E9A" w14:textId="77777777" w:rsidR="00690536" w:rsidRPr="00A45E22" w:rsidRDefault="00555C8B" w:rsidP="00555C8B">
      <w:pPr>
        <w:pStyle w:val="tPara"/>
      </w:pPr>
      <w:r w:rsidRPr="00A45E22">
        <w:tab/>
        <w:t>(a)</w:t>
      </w:r>
      <w:r w:rsidRPr="00A45E22">
        <w:tab/>
        <w:t xml:space="preserve">is </w:t>
      </w:r>
      <w:r w:rsidR="00690536" w:rsidRPr="00A45E22">
        <w:t>the best estimate of</w:t>
      </w:r>
      <w:r w:rsidR="00FB10FB" w:rsidRPr="00A45E22">
        <w:t xml:space="preserve"> amount of purchased electricity used for the project based on evidence from invoices, contractual arrangement</w:t>
      </w:r>
      <w:r w:rsidRPr="00A45E22">
        <w:t>s or industry metering records; and</w:t>
      </w:r>
    </w:p>
    <w:p w14:paraId="400F7E9B" w14:textId="77777777" w:rsidR="00555C8B" w:rsidRPr="00A45E22" w:rsidRDefault="00555C8B" w:rsidP="00555C8B">
      <w:pPr>
        <w:pStyle w:val="tPara"/>
      </w:pPr>
      <w:r w:rsidRPr="00A45E22">
        <w:tab/>
        <w:t>(b)</w:t>
      </w:r>
      <w:r w:rsidRPr="00A45E22">
        <w:tab/>
        <w:t>must fairly attribute electricity use between the project facility and uses of the electricity outside of the project facility included in any relevant invoice, contractual arrangements or industry metering records.</w:t>
      </w:r>
    </w:p>
    <w:p w14:paraId="400F7E9C" w14:textId="77777777" w:rsidR="00FB10FB" w:rsidRPr="00A45E22" w:rsidRDefault="00690536" w:rsidP="006A0982">
      <w:pPr>
        <w:pStyle w:val="tMain"/>
        <w:rPr>
          <w:szCs w:val="22"/>
        </w:rPr>
      </w:pPr>
      <w:r w:rsidRPr="00A45E22">
        <w:rPr>
          <w:szCs w:val="22"/>
        </w:rPr>
        <w:tab/>
        <w:t>(2)</w:t>
      </w:r>
      <w:r w:rsidRPr="00A45E22">
        <w:rPr>
          <w:szCs w:val="22"/>
        </w:rPr>
        <w:tab/>
      </w:r>
      <w:r w:rsidR="00FB10FB" w:rsidRPr="00A45E22">
        <w:rPr>
          <w:szCs w:val="22"/>
        </w:rPr>
        <w:t>If Q</w:t>
      </w:r>
      <w:r w:rsidR="00FB10FB" w:rsidRPr="00A45E22">
        <w:rPr>
          <w:szCs w:val="22"/>
          <w:vertAlign w:val="subscript"/>
        </w:rPr>
        <w:t>PE</w:t>
      </w:r>
      <w:r w:rsidR="00FB10FB" w:rsidRPr="00A45E22">
        <w:rPr>
          <w:szCs w:val="22"/>
        </w:rPr>
        <w:t xml:space="preserve"> is measured in gigajoules, the amount of kilowatt hours must be calculated by dividing the amount of gigajoules by the conversion factor of 0.0036.</w:t>
      </w:r>
    </w:p>
    <w:p w14:paraId="400F7E9D" w14:textId="77777777" w:rsidR="00E15BFF" w:rsidRPr="00A45E22" w:rsidRDefault="002E7677" w:rsidP="00FB10FB">
      <w:pPr>
        <w:pStyle w:val="h5Section"/>
        <w:rPr>
          <w:u w:val="single"/>
        </w:rPr>
      </w:pPr>
      <w:bookmarkStart w:id="45" w:name="_Toc17792713"/>
      <w:r w:rsidRPr="00A45E22">
        <w:rPr>
          <w:u w:val="single"/>
        </w:rPr>
        <w:t>2</w:t>
      </w:r>
      <w:r w:rsidR="00E01687" w:rsidRPr="00A45E22">
        <w:rPr>
          <w:u w:val="single"/>
        </w:rPr>
        <w:t>1</w:t>
      </w:r>
      <w:r w:rsidR="009832C5" w:rsidRPr="00A45E22">
        <w:rPr>
          <w:u w:val="single"/>
        </w:rPr>
        <w:tab/>
      </w:r>
      <w:r w:rsidR="00E15BFF" w:rsidRPr="00A45E22">
        <w:rPr>
          <w:u w:val="single"/>
        </w:rPr>
        <w:t xml:space="preserve">Section </w:t>
      </w:r>
      <w:r w:rsidR="002A7439" w:rsidRPr="00A45E22">
        <w:rPr>
          <w:u w:val="single"/>
        </w:rPr>
        <w:t>3</w:t>
      </w:r>
      <w:r w:rsidR="008E71C2" w:rsidRPr="00A45E22">
        <w:rPr>
          <w:u w:val="single"/>
        </w:rPr>
        <w:t>2</w:t>
      </w:r>
      <w:r w:rsidR="00E15BFF" w:rsidRPr="00A45E22">
        <w:rPr>
          <w:u w:val="single"/>
        </w:rPr>
        <w:t>—</w:t>
      </w:r>
      <w:r w:rsidR="008C55F8" w:rsidRPr="00A45E22">
        <w:rPr>
          <w:u w:val="single"/>
        </w:rPr>
        <w:t xml:space="preserve">post-diversion methane conversion factor, </w:t>
      </w:r>
      <w:r w:rsidR="00E15BFF" w:rsidRPr="00A45E22">
        <w:rPr>
          <w:u w:val="single"/>
        </w:rPr>
        <w:t>MCF</w:t>
      </w:r>
      <w:r w:rsidR="00E15BFF" w:rsidRPr="00A45E22">
        <w:rPr>
          <w:u w:val="single"/>
          <w:vertAlign w:val="subscript"/>
        </w:rPr>
        <w:t>Post</w:t>
      </w:r>
      <w:r w:rsidR="00B86D6A" w:rsidRPr="00A45E22">
        <w:rPr>
          <w:u w:val="single"/>
          <w:vertAlign w:val="subscript"/>
        </w:rPr>
        <w:t>,</w:t>
      </w:r>
      <w:r w:rsidR="004A4A68" w:rsidRPr="00A45E22">
        <w:rPr>
          <w:u w:val="single"/>
          <w:vertAlign w:val="subscript"/>
        </w:rPr>
        <w:t> </w:t>
      </w:r>
      <w:r w:rsidR="00E15BFF" w:rsidRPr="00A45E22">
        <w:rPr>
          <w:u w:val="single"/>
          <w:vertAlign w:val="subscript"/>
        </w:rPr>
        <w:t>n</w:t>
      </w:r>
      <w:bookmarkEnd w:id="44"/>
      <w:bookmarkEnd w:id="45"/>
      <w:r w:rsidR="00E15BFF" w:rsidRPr="00A45E22">
        <w:rPr>
          <w:u w:val="single"/>
        </w:rPr>
        <w:t xml:space="preserve"> </w:t>
      </w:r>
    </w:p>
    <w:p w14:paraId="400F7E9E" w14:textId="77777777" w:rsidR="00C440C5" w:rsidRPr="00A45E22" w:rsidRDefault="00E15BFF" w:rsidP="00E15BFF">
      <w:pPr>
        <w:pStyle w:val="tMain"/>
      </w:pPr>
      <w:r w:rsidRPr="00A45E22">
        <w:tab/>
      </w:r>
      <w:r w:rsidRPr="00A45E22">
        <w:tab/>
        <w:t xml:space="preserve">For </w:t>
      </w:r>
      <w:r w:rsidR="0071180B" w:rsidRPr="00A45E22">
        <w:t xml:space="preserve">section </w:t>
      </w:r>
      <w:r w:rsidR="002A7439" w:rsidRPr="00A45E22">
        <w:t>3</w:t>
      </w:r>
      <w:r w:rsidR="008E71C2" w:rsidRPr="00A45E22">
        <w:t>2</w:t>
      </w:r>
      <w:r w:rsidR="0071180B" w:rsidRPr="00A45E22">
        <w:t xml:space="preserve"> </w:t>
      </w:r>
      <w:r w:rsidRPr="00A45E22">
        <w:t>of the Determination, MCF</w:t>
      </w:r>
      <w:r w:rsidRPr="00A45E22">
        <w:rPr>
          <w:vertAlign w:val="subscript"/>
        </w:rPr>
        <w:t>Post</w:t>
      </w:r>
      <w:r w:rsidR="00B86D6A" w:rsidRPr="00A45E22">
        <w:rPr>
          <w:vertAlign w:val="subscript"/>
        </w:rPr>
        <w:t>,</w:t>
      </w:r>
      <w:r w:rsidR="004A4A68" w:rsidRPr="00A45E22">
        <w:rPr>
          <w:vertAlign w:val="subscript"/>
        </w:rPr>
        <w:t> </w:t>
      </w:r>
      <w:r w:rsidRPr="00A45E22">
        <w:rPr>
          <w:vertAlign w:val="subscript"/>
        </w:rPr>
        <w:t>n</w:t>
      </w:r>
      <w:r w:rsidRPr="00A45E22">
        <w:t>, the post-diversion methane conversion factor for each type of material and each treatment method is</w:t>
      </w:r>
      <w:r w:rsidR="00C440C5" w:rsidRPr="00A45E22">
        <w:t>:</w:t>
      </w:r>
    </w:p>
    <w:p w14:paraId="400F7E9F" w14:textId="77777777" w:rsidR="00C440C5" w:rsidRPr="00A45E22" w:rsidRDefault="00C440C5" w:rsidP="00C440C5">
      <w:pPr>
        <w:pStyle w:val="tPara"/>
      </w:pPr>
      <w:r w:rsidRPr="00A45E22">
        <w:tab/>
        <w:t>(a)</w:t>
      </w:r>
      <w:r w:rsidRPr="00A45E22">
        <w:tab/>
        <w:t>if composting is used—0.02; and</w:t>
      </w:r>
    </w:p>
    <w:p w14:paraId="400F7EA0" w14:textId="77777777" w:rsidR="00C440C5" w:rsidRPr="00A45E22" w:rsidRDefault="00C440C5" w:rsidP="00C440C5">
      <w:pPr>
        <w:pStyle w:val="tPara"/>
      </w:pPr>
      <w:r w:rsidRPr="00A45E22">
        <w:tab/>
        <w:t>(b)</w:t>
      </w:r>
      <w:r w:rsidRPr="00A45E22">
        <w:tab/>
        <w:t>if stockpiling is used—0.02.</w:t>
      </w:r>
    </w:p>
    <w:p w14:paraId="400F7EA1" w14:textId="77777777" w:rsidR="00546189" w:rsidRPr="00A45E22" w:rsidRDefault="002E7677" w:rsidP="007402BA">
      <w:pPr>
        <w:pStyle w:val="h5Section"/>
        <w:rPr>
          <w:u w:val="single"/>
        </w:rPr>
      </w:pPr>
      <w:bookmarkStart w:id="46" w:name="_Toc17792714"/>
      <w:r w:rsidRPr="00A45E22">
        <w:rPr>
          <w:u w:val="single"/>
        </w:rPr>
        <w:t>2</w:t>
      </w:r>
      <w:r w:rsidR="00E01687" w:rsidRPr="00A45E22">
        <w:rPr>
          <w:u w:val="single"/>
        </w:rPr>
        <w:t>2</w:t>
      </w:r>
      <w:r w:rsidR="009832C5" w:rsidRPr="00A45E22">
        <w:rPr>
          <w:u w:val="single"/>
        </w:rPr>
        <w:tab/>
      </w:r>
      <w:r w:rsidR="00607641" w:rsidRPr="00A45E22">
        <w:rPr>
          <w:u w:val="single"/>
        </w:rPr>
        <w:t>Section 3</w:t>
      </w:r>
      <w:r w:rsidRPr="00A45E22">
        <w:rPr>
          <w:u w:val="single"/>
        </w:rPr>
        <w:t>2</w:t>
      </w:r>
      <w:r w:rsidR="00607641" w:rsidRPr="00A45E22">
        <w:rPr>
          <w:u w:val="single"/>
        </w:rPr>
        <w:t>—</w:t>
      </w:r>
      <w:r w:rsidR="00546189" w:rsidRPr="00A45E22">
        <w:rPr>
          <w:u w:val="single"/>
        </w:rPr>
        <w:t xml:space="preserve">the methane-producing capacity for the volatile </w:t>
      </w:r>
      <w:r w:rsidR="00451599" w:rsidRPr="00A45E22">
        <w:rPr>
          <w:u w:val="single"/>
        </w:rPr>
        <w:t>solids,</w:t>
      </w:r>
      <w:r w:rsidR="00546189" w:rsidRPr="00A45E22">
        <w:rPr>
          <w:u w:val="single"/>
        </w:rPr>
        <w:t xml:space="preserve"> </w:t>
      </w:r>
      <w:r w:rsidR="00546189" w:rsidRPr="00A45E22">
        <w:rPr>
          <w:i/>
          <w:u w:val="single"/>
        </w:rPr>
        <w:t>B</w:t>
      </w:r>
      <w:r w:rsidR="00546189" w:rsidRPr="00A45E22">
        <w:rPr>
          <w:i/>
          <w:u w:val="single"/>
          <w:vertAlign w:val="subscript"/>
        </w:rPr>
        <w:t>0,Div</w:t>
      </w:r>
      <w:r w:rsidR="00546189" w:rsidRPr="00A45E22">
        <w:rPr>
          <w:u w:val="single"/>
          <w:vertAlign w:val="subscript"/>
        </w:rPr>
        <w:t>, w</w:t>
      </w:r>
      <w:bookmarkEnd w:id="46"/>
      <w:r w:rsidR="00546189" w:rsidRPr="00A45E22">
        <w:rPr>
          <w:u w:val="single"/>
        </w:rPr>
        <w:t xml:space="preserve"> </w:t>
      </w:r>
    </w:p>
    <w:p w14:paraId="400F7EA2" w14:textId="77777777" w:rsidR="00D54904" w:rsidRPr="00A45E22" w:rsidRDefault="006D24A2" w:rsidP="001E1D4A">
      <w:pPr>
        <w:pStyle w:val="tMain"/>
      </w:pPr>
      <w:r w:rsidRPr="00A45E22">
        <w:rPr>
          <w:i/>
        </w:rPr>
        <w:tab/>
      </w:r>
      <w:r w:rsidRPr="00A45E22">
        <w:tab/>
      </w:r>
      <w:r w:rsidR="004A08B7" w:rsidRPr="00A45E22">
        <w:t>For section 3</w:t>
      </w:r>
      <w:r w:rsidR="002E7677" w:rsidRPr="00A45E22">
        <w:t>2</w:t>
      </w:r>
      <w:r w:rsidR="004A08B7" w:rsidRPr="00A45E22">
        <w:t xml:space="preserve"> of the determination, </w:t>
      </w:r>
      <w:r w:rsidR="004A08B7" w:rsidRPr="00A45E22">
        <w:rPr>
          <w:i/>
        </w:rPr>
        <w:t>B</w:t>
      </w:r>
      <w:r w:rsidR="004A08B7" w:rsidRPr="00A45E22">
        <w:rPr>
          <w:i/>
          <w:vertAlign w:val="subscript"/>
        </w:rPr>
        <w:t>0,Div</w:t>
      </w:r>
      <w:r w:rsidR="00472FC0" w:rsidRPr="00A45E22">
        <w:rPr>
          <w:i/>
          <w:vertAlign w:val="subscript"/>
        </w:rPr>
        <w:t>,w</w:t>
      </w:r>
      <w:r w:rsidR="004A08B7" w:rsidRPr="00A45E22">
        <w:t xml:space="preserve"> is the methane-producing capacity for the volatile solids of material, in cubic </w:t>
      </w:r>
      <w:r w:rsidR="000A1B5D" w:rsidRPr="00A45E22">
        <w:t>metre</w:t>
      </w:r>
      <w:r w:rsidR="004A08B7" w:rsidRPr="00A45E22">
        <w:t>s of methane per tonne of volatile solids is determined:</w:t>
      </w:r>
    </w:p>
    <w:p w14:paraId="400F7EA3" w14:textId="77777777" w:rsidR="004A08B7" w:rsidRPr="00A45E22" w:rsidRDefault="004A08B7" w:rsidP="004A08B7">
      <w:pPr>
        <w:pStyle w:val="tPara"/>
      </w:pPr>
      <w:r w:rsidRPr="00A45E22">
        <w:tab/>
        <w:t>(a)</w:t>
      </w:r>
      <w:r w:rsidRPr="00A45E22">
        <w:tab/>
        <w:t>in accordance with subsection 3</w:t>
      </w:r>
      <w:r w:rsidR="002E7677" w:rsidRPr="00A45E22">
        <w:t>2</w:t>
      </w:r>
      <w:r w:rsidRPr="00A45E22">
        <w:t>(3) of the Determination</w:t>
      </w:r>
      <w:r w:rsidR="002D2D18" w:rsidRPr="00A45E22">
        <w:t xml:space="preserve"> and the relevant column of Schedule 1</w:t>
      </w:r>
      <w:r w:rsidRPr="00A45E22">
        <w:t>: and</w:t>
      </w:r>
    </w:p>
    <w:p w14:paraId="400F7EA4" w14:textId="77777777" w:rsidR="004A08B7" w:rsidRPr="00A45E22" w:rsidRDefault="004A08B7" w:rsidP="004A08B7">
      <w:pPr>
        <w:pStyle w:val="tPara"/>
      </w:pPr>
      <w:r w:rsidRPr="00A45E22">
        <w:lastRenderedPageBreak/>
        <w:tab/>
        <w:t>(b)</w:t>
      </w:r>
      <w:r w:rsidRPr="00A45E22">
        <w:tab/>
        <w:t>if they are to be measured—determined consistently with the requirements in section 11.</w:t>
      </w:r>
    </w:p>
    <w:p w14:paraId="400F7EA5" w14:textId="77777777" w:rsidR="00E15BFF" w:rsidRPr="00A45E22" w:rsidRDefault="00E01687" w:rsidP="00E15BFF">
      <w:pPr>
        <w:pStyle w:val="h5Section"/>
        <w:rPr>
          <w:u w:val="single"/>
        </w:rPr>
      </w:pPr>
      <w:bookmarkStart w:id="47" w:name="_Toc498293985"/>
      <w:bookmarkStart w:id="48" w:name="_Toc17792715"/>
      <w:r w:rsidRPr="00A45E22">
        <w:rPr>
          <w:u w:val="single"/>
        </w:rPr>
        <w:t>23</w:t>
      </w:r>
      <w:r w:rsidR="00C449A4" w:rsidRPr="00A45E22">
        <w:rPr>
          <w:u w:val="single"/>
        </w:rPr>
        <w:tab/>
      </w:r>
      <w:r w:rsidR="00E15BFF" w:rsidRPr="00A45E22">
        <w:rPr>
          <w:u w:val="single"/>
        </w:rPr>
        <w:t xml:space="preserve">Section </w:t>
      </w:r>
      <w:r w:rsidR="002A7439" w:rsidRPr="00A45E22">
        <w:rPr>
          <w:u w:val="single"/>
        </w:rPr>
        <w:t>3</w:t>
      </w:r>
      <w:r w:rsidR="002E7677" w:rsidRPr="00A45E22">
        <w:rPr>
          <w:u w:val="single"/>
        </w:rPr>
        <w:t>2</w:t>
      </w:r>
      <w:r w:rsidR="00E15BFF" w:rsidRPr="00A45E22">
        <w:rPr>
          <w:u w:val="single"/>
        </w:rPr>
        <w:t>—</w:t>
      </w:r>
      <w:r w:rsidR="008C55F8" w:rsidRPr="00A45E22">
        <w:rPr>
          <w:u w:val="single"/>
        </w:rPr>
        <w:t xml:space="preserve">nitrous oxide conversion factor,  </w:t>
      </w:r>
      <w:r w:rsidR="008C55F8" w:rsidRPr="00A45E22">
        <w:rPr>
          <w:i/>
          <w:u w:val="single"/>
        </w:rPr>
        <w:t>N</w:t>
      </w:r>
      <w:r w:rsidR="008C55F8" w:rsidRPr="00A45E22">
        <w:rPr>
          <w:i/>
          <w:u w:val="single"/>
          <w:vertAlign w:val="subscript"/>
        </w:rPr>
        <w:t>2</w:t>
      </w:r>
      <w:r w:rsidR="008C55F8" w:rsidRPr="00A45E22">
        <w:rPr>
          <w:i/>
          <w:u w:val="single"/>
        </w:rPr>
        <w:t>O-N</w:t>
      </w:r>
      <w:r w:rsidR="008C55F8" w:rsidRPr="00A45E22">
        <w:rPr>
          <w:i/>
          <w:u w:val="single"/>
          <w:vertAlign w:val="subscript"/>
        </w:rPr>
        <w:t>CF</w:t>
      </w:r>
      <w:bookmarkEnd w:id="47"/>
      <w:bookmarkEnd w:id="48"/>
    </w:p>
    <w:p w14:paraId="400F7EA6" w14:textId="77777777" w:rsidR="00E15BFF" w:rsidRPr="00A45E22" w:rsidRDefault="00E15BFF" w:rsidP="00D54904">
      <w:pPr>
        <w:pStyle w:val="tMain"/>
      </w:pPr>
      <w:r w:rsidRPr="00A45E22">
        <w:tab/>
      </w:r>
      <w:r w:rsidRPr="00A45E22">
        <w:tab/>
      </w:r>
      <w:r w:rsidR="0071180B" w:rsidRPr="00A45E22">
        <w:t xml:space="preserve">For section </w:t>
      </w:r>
      <w:r w:rsidR="002A7439" w:rsidRPr="00A45E22">
        <w:t>3</w:t>
      </w:r>
      <w:r w:rsidR="002E7677" w:rsidRPr="00A45E22">
        <w:t>2</w:t>
      </w:r>
      <w:r w:rsidR="0071180B" w:rsidRPr="00A45E22">
        <w:t xml:space="preserve"> </w:t>
      </w:r>
      <w:r w:rsidRPr="00A45E22">
        <w:t>of the Determination, N</w:t>
      </w:r>
      <w:r w:rsidRPr="00A45E22">
        <w:rPr>
          <w:vertAlign w:val="subscript"/>
        </w:rPr>
        <w:t>2</w:t>
      </w:r>
      <w:r w:rsidRPr="00A45E22">
        <w:t>O-N</w:t>
      </w:r>
      <w:r w:rsidR="00BD634C" w:rsidRPr="00A45E22">
        <w:rPr>
          <w:vertAlign w:val="subscript"/>
        </w:rPr>
        <w:t>CF</w:t>
      </w:r>
      <w:r w:rsidRPr="00A45E22">
        <w:t>, the factor that converts tonnes of N</w:t>
      </w:r>
      <w:r w:rsidRPr="00A45E22">
        <w:rPr>
          <w:vertAlign w:val="subscript"/>
        </w:rPr>
        <w:t>2</w:t>
      </w:r>
      <w:r w:rsidRPr="00A45E22">
        <w:t>O</w:t>
      </w:r>
      <w:r w:rsidR="004E70C6" w:rsidRPr="00A45E22">
        <w:t>-N</w:t>
      </w:r>
      <w:r w:rsidR="00851BB7" w:rsidRPr="00A45E22">
        <w:t xml:space="preserve"> </w:t>
      </w:r>
      <w:r w:rsidR="00750BD2" w:rsidRPr="00A45E22">
        <w:t xml:space="preserve">(the nitrogen component of nitrous oxide) into </w:t>
      </w:r>
      <w:r w:rsidR="00851BB7" w:rsidRPr="00A45E22">
        <w:t>t</w:t>
      </w:r>
      <w:r w:rsidRPr="00A45E22">
        <w:t>onnes CO</w:t>
      </w:r>
      <w:r w:rsidRPr="00A45E22">
        <w:rPr>
          <w:vertAlign w:val="subscript"/>
        </w:rPr>
        <w:t>2</w:t>
      </w:r>
      <w:r w:rsidRPr="00A45E22">
        <w:noBreakHyphen/>
        <w:t xml:space="preserve">e at standard conditions is </w:t>
      </w:r>
      <w:r w:rsidR="00E65A03" w:rsidRPr="00A45E22">
        <w:t>44/28 multiplied by the global warming potential of nitrous oxide in the NGER Regulations</w:t>
      </w:r>
      <w:r w:rsidRPr="00A45E22">
        <w:t>.</w:t>
      </w:r>
    </w:p>
    <w:p w14:paraId="400F7EA7" w14:textId="612CB29A" w:rsidR="00E15BFF" w:rsidRPr="00A45E22" w:rsidRDefault="00E01687" w:rsidP="00E15BFF">
      <w:pPr>
        <w:pStyle w:val="h5Section"/>
        <w:rPr>
          <w:u w:val="single"/>
        </w:rPr>
      </w:pPr>
      <w:bookmarkStart w:id="49" w:name="_Toc498293986"/>
      <w:bookmarkStart w:id="50" w:name="_Toc17792716"/>
      <w:r w:rsidRPr="00A45E22">
        <w:rPr>
          <w:u w:val="single"/>
        </w:rPr>
        <w:t>24</w:t>
      </w:r>
      <w:r w:rsidR="00C449A4" w:rsidRPr="00A45E22">
        <w:rPr>
          <w:u w:val="single"/>
        </w:rPr>
        <w:tab/>
      </w:r>
      <w:r w:rsidR="00A57B48" w:rsidRPr="00A45E22">
        <w:rPr>
          <w:u w:val="single"/>
        </w:rPr>
        <w:t xml:space="preserve">Section </w:t>
      </w:r>
      <w:r w:rsidR="009229C7">
        <w:rPr>
          <w:u w:val="single"/>
        </w:rPr>
        <w:t>32</w:t>
      </w:r>
      <w:r w:rsidR="00E15BFF" w:rsidRPr="00A45E22">
        <w:rPr>
          <w:u w:val="single"/>
        </w:rPr>
        <w:t>—</w:t>
      </w:r>
      <w:r w:rsidR="008C55F8" w:rsidRPr="00A45E22">
        <w:rPr>
          <w:u w:val="single"/>
        </w:rPr>
        <w:t xml:space="preserve">nitrous oxide emission factor, </w:t>
      </w:r>
      <w:bookmarkEnd w:id="49"/>
      <w:bookmarkEnd w:id="50"/>
      <w:r w:rsidR="00FF6394" w:rsidRPr="00FF6394">
        <w:rPr>
          <w:i/>
          <w:u w:val="single"/>
        </w:rPr>
        <w:t>INOEF</w:t>
      </w:r>
      <w:r w:rsidR="00FF6394" w:rsidRPr="00FF6394">
        <w:rPr>
          <w:i/>
          <w:u w:val="single"/>
          <w:vertAlign w:val="subscript"/>
        </w:rPr>
        <w:t>Post, n</w:t>
      </w:r>
    </w:p>
    <w:p w14:paraId="400F7EA8" w14:textId="0232F9AA" w:rsidR="001B3D5B" w:rsidRPr="00A45E22" w:rsidRDefault="00E15BFF" w:rsidP="001B3D5B">
      <w:pPr>
        <w:pStyle w:val="tMain"/>
      </w:pPr>
      <w:r w:rsidRPr="00A45E22">
        <w:tab/>
      </w:r>
      <w:r w:rsidRPr="00A45E22">
        <w:tab/>
      </w:r>
      <w:r w:rsidR="0071180B" w:rsidRPr="00A45E22">
        <w:t xml:space="preserve">For section </w:t>
      </w:r>
      <w:r w:rsidR="002A7439" w:rsidRPr="00A45E22">
        <w:t>3</w:t>
      </w:r>
      <w:r w:rsidR="002E7677" w:rsidRPr="00A45E22">
        <w:t>2</w:t>
      </w:r>
      <w:r w:rsidR="0071180B" w:rsidRPr="00A45E22">
        <w:t xml:space="preserve"> </w:t>
      </w:r>
      <w:r w:rsidRPr="00A45E22">
        <w:t>of the Determination, INOEF</w:t>
      </w:r>
      <w:r w:rsidR="00FF6394" w:rsidRPr="00FF6394">
        <w:rPr>
          <w:vertAlign w:val="subscript"/>
        </w:rPr>
        <w:t>Post, n</w:t>
      </w:r>
      <w:r w:rsidRPr="00A45E22">
        <w:t xml:space="preserve">, the post-diversion integrated nitrous oxide emission factor for each </w:t>
      </w:r>
      <w:r w:rsidR="00DE5B11" w:rsidRPr="00A45E22">
        <w:t xml:space="preserve">post-diversion </w:t>
      </w:r>
      <w:r w:rsidRPr="00A45E22">
        <w:t>treatment method is</w:t>
      </w:r>
      <w:r w:rsidR="001B3D5B" w:rsidRPr="00A45E22">
        <w:t xml:space="preserve"> 0.00791.</w:t>
      </w:r>
    </w:p>
    <w:p w14:paraId="400F7EA9" w14:textId="77777777" w:rsidR="005519A3" w:rsidRPr="00A45E22" w:rsidRDefault="00E01687" w:rsidP="005519A3">
      <w:pPr>
        <w:pStyle w:val="h5Section"/>
        <w:rPr>
          <w:u w:val="single"/>
        </w:rPr>
      </w:pPr>
      <w:bookmarkStart w:id="51" w:name="_Toc17792717"/>
      <w:r w:rsidRPr="00A45E22">
        <w:rPr>
          <w:u w:val="single"/>
        </w:rPr>
        <w:t>25</w:t>
      </w:r>
      <w:r w:rsidR="00C449A4" w:rsidRPr="00A45E22">
        <w:rPr>
          <w:u w:val="single"/>
        </w:rPr>
        <w:tab/>
      </w:r>
      <w:r w:rsidR="005519A3" w:rsidRPr="00A45E22">
        <w:rPr>
          <w:u w:val="single"/>
        </w:rPr>
        <w:t>Section 3</w:t>
      </w:r>
      <w:r w:rsidR="002E7677" w:rsidRPr="00A45E22">
        <w:rPr>
          <w:u w:val="single"/>
        </w:rPr>
        <w:t>2</w:t>
      </w:r>
      <w:r w:rsidR="00607641" w:rsidRPr="00A45E22">
        <w:rPr>
          <w:u w:val="single"/>
        </w:rPr>
        <w:t>—</w:t>
      </w:r>
      <w:r w:rsidR="004A08B7" w:rsidRPr="00A45E22">
        <w:rPr>
          <w:u w:val="single"/>
        </w:rPr>
        <w:t xml:space="preserve">the </w:t>
      </w:r>
      <w:r w:rsidR="005519A3" w:rsidRPr="00A45E22">
        <w:rPr>
          <w:u w:val="single"/>
        </w:rPr>
        <w:t xml:space="preserve">amount of nitrogen in material type </w:t>
      </w:r>
      <w:r w:rsidR="005519A3" w:rsidRPr="00A45E22">
        <w:rPr>
          <w:i/>
          <w:u w:val="single"/>
        </w:rPr>
        <w:t>w</w:t>
      </w:r>
      <w:r w:rsidR="004A08B7" w:rsidRPr="00A45E22">
        <w:rPr>
          <w:i/>
          <w:u w:val="single"/>
        </w:rPr>
        <w:t>, N</w:t>
      </w:r>
      <w:r w:rsidR="004A08B7" w:rsidRPr="00A45E22">
        <w:rPr>
          <w:rFonts w:eastAsia="Calibri"/>
          <w:i/>
          <w:u w:val="single"/>
          <w:vertAlign w:val="subscript"/>
        </w:rPr>
        <w:t>Div, w, n</w:t>
      </w:r>
      <w:bookmarkEnd w:id="51"/>
      <w:r w:rsidR="005519A3" w:rsidRPr="00A45E22">
        <w:rPr>
          <w:u w:val="single"/>
        </w:rPr>
        <w:t xml:space="preserve"> </w:t>
      </w:r>
    </w:p>
    <w:p w14:paraId="400F7EAA" w14:textId="77777777" w:rsidR="005519A3" w:rsidRPr="00A45E22" w:rsidRDefault="005519A3" w:rsidP="005519A3">
      <w:pPr>
        <w:pStyle w:val="h6Subsec"/>
      </w:pPr>
      <w:r w:rsidRPr="00A45E22">
        <w:t>Amount of material diverted in project facility during the reporting period (N</w:t>
      </w:r>
      <w:r w:rsidRPr="00A45E22">
        <w:rPr>
          <w:vertAlign w:val="subscript"/>
        </w:rPr>
        <w:t>Div, w, n</w:t>
      </w:r>
      <w:r w:rsidRPr="00A45E22">
        <w:t>)</w:t>
      </w:r>
    </w:p>
    <w:p w14:paraId="400F7EAB" w14:textId="77777777" w:rsidR="00B662AF" w:rsidRPr="00A45E22" w:rsidRDefault="005519A3" w:rsidP="005519A3">
      <w:pPr>
        <w:pStyle w:val="tMain"/>
      </w:pPr>
      <w:r w:rsidRPr="00A45E22">
        <w:tab/>
        <w:t>(1)</w:t>
      </w:r>
      <w:r w:rsidRPr="00A45E22">
        <w:tab/>
        <w:t xml:space="preserve">The total amount of nitrogen in material of type </w:t>
      </w:r>
      <w:r w:rsidRPr="00A45E22">
        <w:rPr>
          <w:i/>
        </w:rPr>
        <w:t>w</w:t>
      </w:r>
      <w:r w:rsidRPr="00A45E22">
        <w:t xml:space="preserve"> that is diverted in the project facility during the reporting period, </w:t>
      </w:r>
      <w:r w:rsidR="00B662AF" w:rsidRPr="00A45E22">
        <w:rPr>
          <w:szCs w:val="22"/>
        </w:rPr>
        <w:t xml:space="preserve">and treated using treatment method </w:t>
      </w:r>
      <w:r w:rsidR="00B662AF" w:rsidRPr="00A45E22">
        <w:rPr>
          <w:i/>
          <w:szCs w:val="22"/>
        </w:rPr>
        <w:t>n</w:t>
      </w:r>
      <w:r w:rsidR="00B662AF" w:rsidRPr="00A45E22">
        <w:rPr>
          <w:szCs w:val="22"/>
        </w:rPr>
        <w:t>. It is measured in</w:t>
      </w:r>
      <w:r w:rsidRPr="00A45E22">
        <w:t xml:space="preserve"> tonnes of nitrogen</w:t>
      </w:r>
      <w:r w:rsidR="00B662AF" w:rsidRPr="00A45E22">
        <w:t>.</w:t>
      </w:r>
      <w:r w:rsidRPr="00A45E22">
        <w:t xml:space="preserve"> N</w:t>
      </w:r>
      <w:r w:rsidRPr="00A45E22">
        <w:rPr>
          <w:b/>
          <w:i/>
          <w:vertAlign w:val="subscript"/>
        </w:rPr>
        <w:t>Div, w,</w:t>
      </w:r>
      <w:r w:rsidR="00C01A76" w:rsidRPr="00A45E22">
        <w:rPr>
          <w:b/>
          <w:i/>
          <w:vertAlign w:val="subscript"/>
        </w:rPr>
        <w:t>n</w:t>
      </w:r>
      <w:r w:rsidRPr="00A45E22">
        <w:rPr>
          <w:b/>
          <w:i/>
          <w:vertAlign w:val="subscript"/>
        </w:rPr>
        <w:t> </w:t>
      </w:r>
      <w:r w:rsidRPr="00A45E22">
        <w:t>is worked out using the formula:</w:t>
      </w:r>
    </w:p>
    <w:p w14:paraId="400F7EAC" w14:textId="77777777" w:rsidR="005519A3" w:rsidRPr="00A45E22" w:rsidRDefault="005519A3" w:rsidP="005519A3">
      <w:pPr>
        <w:pStyle w:val="tPara"/>
        <w:spacing w:before="120" w:after="120" w:line="276" w:lineRule="auto"/>
        <w:ind w:hanging="510"/>
      </w:pPr>
    </w:p>
    <w:tbl>
      <w:tblPr>
        <w:tblStyle w:val="TableGrid"/>
        <w:tblW w:w="0" w:type="auto"/>
        <w:tblInd w:w="-5" w:type="dxa"/>
        <w:tblLook w:val="04A0" w:firstRow="1" w:lastRow="0" w:firstColumn="1" w:lastColumn="0" w:noHBand="0" w:noVBand="1"/>
      </w:tblPr>
      <w:tblGrid>
        <w:gridCol w:w="6663"/>
        <w:gridCol w:w="1645"/>
      </w:tblGrid>
      <w:tr w:rsidR="00740DE0" w:rsidRPr="00A45E22" w14:paraId="400F7EB2" w14:textId="77777777" w:rsidTr="005B7A0A">
        <w:tc>
          <w:tcPr>
            <w:tcW w:w="6663" w:type="dxa"/>
            <w:tcBorders>
              <w:top w:val="single" w:sz="4" w:space="0" w:color="auto"/>
              <w:left w:val="single" w:sz="4" w:space="0" w:color="auto"/>
              <w:bottom w:val="single" w:sz="4" w:space="0" w:color="auto"/>
              <w:right w:val="single" w:sz="4" w:space="0" w:color="auto"/>
            </w:tcBorders>
          </w:tcPr>
          <w:p w14:paraId="400F7EAD" w14:textId="77777777" w:rsidR="005519A3" w:rsidRPr="00A45E22" w:rsidRDefault="005519A3" w:rsidP="005B7A0A">
            <w:pPr>
              <w:jc w:val="center"/>
            </w:pPr>
          </w:p>
          <w:p w14:paraId="400F7EAE" w14:textId="77777777" w:rsidR="005519A3" w:rsidRPr="00A45E22" w:rsidRDefault="005519A3" w:rsidP="00D54904">
            <w:pPr>
              <w:jc w:val="center"/>
            </w:pPr>
            <w:r w:rsidRPr="00A45E22">
              <w:t>N</w:t>
            </w:r>
            <w:r w:rsidRPr="00A45E22">
              <w:rPr>
                <w:vertAlign w:val="subscript"/>
              </w:rPr>
              <w:t>Div, w, n</w:t>
            </w:r>
            <w:r w:rsidRPr="00A45E22">
              <w:t xml:space="preserve"> = C</w:t>
            </w:r>
            <w:r w:rsidRPr="00A45E22">
              <w:rPr>
                <w:vertAlign w:val="subscript"/>
              </w:rPr>
              <w:t>N,Div, w, n </w:t>
            </w:r>
            <w:r w:rsidRPr="00A45E22">
              <w:t xml:space="preserve"> </w:t>
            </w:r>
            <w:r w:rsidR="00D54904" w:rsidRPr="00A45E22">
              <w:t>×</w:t>
            </w:r>
            <w:r w:rsidRPr="00A45E22">
              <w:t xml:space="preserve"> Q</w:t>
            </w:r>
            <w:r w:rsidRPr="00A45E22">
              <w:rPr>
                <w:vertAlign w:val="subscript"/>
              </w:rPr>
              <w:t>Div, w, n</w:t>
            </w:r>
          </w:p>
        </w:tc>
        <w:tc>
          <w:tcPr>
            <w:tcW w:w="1645" w:type="dxa"/>
            <w:tcBorders>
              <w:top w:val="single" w:sz="4" w:space="0" w:color="auto"/>
              <w:left w:val="single" w:sz="4" w:space="0" w:color="auto"/>
              <w:bottom w:val="single" w:sz="4" w:space="0" w:color="auto"/>
              <w:right w:val="single" w:sz="4" w:space="0" w:color="auto"/>
            </w:tcBorders>
            <w:vAlign w:val="center"/>
          </w:tcPr>
          <w:p w14:paraId="400F7EAF" w14:textId="77777777" w:rsidR="005519A3" w:rsidRPr="00A45E22" w:rsidRDefault="005519A3" w:rsidP="005B7A0A"/>
          <w:p w14:paraId="400F7EB0" w14:textId="77777777" w:rsidR="005519A3" w:rsidRPr="00A45E22" w:rsidRDefault="002D2D18" w:rsidP="005B7A0A">
            <w:pPr>
              <w:jc w:val="center"/>
            </w:pPr>
            <w:r w:rsidRPr="00A45E22">
              <w:t>Equation S3</w:t>
            </w:r>
          </w:p>
          <w:p w14:paraId="400F7EB1" w14:textId="77777777" w:rsidR="005519A3" w:rsidRPr="00A45E22" w:rsidRDefault="005519A3" w:rsidP="005B7A0A"/>
        </w:tc>
      </w:tr>
    </w:tbl>
    <w:p w14:paraId="400F7EB3" w14:textId="77777777" w:rsidR="005519A3" w:rsidRPr="00A45E22" w:rsidRDefault="005519A3" w:rsidP="005519A3">
      <w:pPr>
        <w:pStyle w:val="tPara"/>
        <w:spacing w:before="120" w:after="120" w:line="276" w:lineRule="auto"/>
        <w:ind w:hanging="510"/>
      </w:pPr>
    </w:p>
    <w:p w14:paraId="400F7EB4" w14:textId="77777777" w:rsidR="005519A3" w:rsidRPr="00A45E22" w:rsidRDefault="005519A3" w:rsidP="005519A3">
      <w:pPr>
        <w:pStyle w:val="tMain"/>
      </w:pPr>
      <w:r w:rsidRPr="00A45E22">
        <w:tab/>
      </w:r>
      <w:r w:rsidRPr="00A45E22">
        <w:tab/>
        <w:t xml:space="preserve">where: </w:t>
      </w:r>
    </w:p>
    <w:p w14:paraId="400F7EB5" w14:textId="77777777" w:rsidR="005519A3" w:rsidRPr="00A45E22" w:rsidRDefault="005519A3" w:rsidP="005519A3">
      <w:pPr>
        <w:pStyle w:val="tDefn"/>
        <w:spacing w:line="276" w:lineRule="auto"/>
      </w:pPr>
      <w:r w:rsidRPr="00A45E22">
        <w:rPr>
          <w:b/>
          <w:i/>
          <w:szCs w:val="22"/>
        </w:rPr>
        <w:t>C</w:t>
      </w:r>
      <w:r w:rsidRPr="00A45E22">
        <w:rPr>
          <w:b/>
          <w:i/>
          <w:szCs w:val="22"/>
          <w:vertAlign w:val="subscript"/>
        </w:rPr>
        <w:t>N,Div, w, n </w:t>
      </w:r>
      <w:r w:rsidRPr="00A45E22">
        <w:rPr>
          <w:szCs w:val="22"/>
        </w:rPr>
        <w:t xml:space="preserve">is the nitrogen concentration of material of </w:t>
      </w:r>
      <w:r w:rsidRPr="00A45E22">
        <w:t>type</w:t>
      </w:r>
      <w:r w:rsidRPr="00A45E22">
        <w:rPr>
          <w:szCs w:val="22"/>
        </w:rPr>
        <w:t xml:space="preserve"> </w:t>
      </w:r>
      <w:r w:rsidRPr="00A45E22">
        <w:rPr>
          <w:i/>
          <w:szCs w:val="22"/>
        </w:rPr>
        <w:t>w</w:t>
      </w:r>
      <w:r w:rsidRPr="00A45E22">
        <w:rPr>
          <w:szCs w:val="22"/>
        </w:rPr>
        <w:t xml:space="preserve"> that is diverted in the project facility during the reporting period under treatment method </w:t>
      </w:r>
      <w:r w:rsidRPr="00A45E22">
        <w:rPr>
          <w:i/>
          <w:szCs w:val="22"/>
        </w:rPr>
        <w:t>n</w:t>
      </w:r>
      <w:r w:rsidRPr="00A45E22">
        <w:rPr>
          <w:szCs w:val="22"/>
        </w:rPr>
        <w:t>,</w:t>
      </w:r>
      <w:r w:rsidR="00DE576D" w:rsidRPr="00A45E22">
        <w:rPr>
          <w:szCs w:val="22"/>
        </w:rPr>
        <w:t xml:space="preserve"> as a </w:t>
      </w:r>
      <w:r w:rsidR="009627EA" w:rsidRPr="00A45E22">
        <w:rPr>
          <w:szCs w:val="22"/>
        </w:rPr>
        <w:t>proportion</w:t>
      </w:r>
      <w:r w:rsidR="00DE576D" w:rsidRPr="00A45E22">
        <w:rPr>
          <w:szCs w:val="22"/>
        </w:rPr>
        <w:t>. This is based on the concentration of nitrogen in the whole sample analysed by the laboratory, including the moisture contained in the material. This value is measured at a frequency and timing that gives representative monthly measurements</w:t>
      </w:r>
      <w:r w:rsidR="006F7977" w:rsidRPr="00A45E22">
        <w:rPr>
          <w:szCs w:val="22"/>
        </w:rPr>
        <w:t>.</w:t>
      </w:r>
    </w:p>
    <w:p w14:paraId="400F7EB6" w14:textId="77777777" w:rsidR="005519A3" w:rsidRPr="00A45E22" w:rsidRDefault="005519A3" w:rsidP="00CE0ACE">
      <w:pPr>
        <w:pStyle w:val="tDefn"/>
        <w:spacing w:line="276" w:lineRule="auto"/>
      </w:pPr>
      <w:r w:rsidRPr="00A45E22">
        <w:rPr>
          <w:b/>
          <w:i/>
        </w:rPr>
        <w:t>Q</w:t>
      </w:r>
      <w:r w:rsidRPr="00A45E22">
        <w:rPr>
          <w:b/>
          <w:i/>
          <w:vertAlign w:val="subscript"/>
        </w:rPr>
        <w:t>Div, w, n</w:t>
      </w:r>
      <w:r w:rsidRPr="00A45E22">
        <w:rPr>
          <w:szCs w:val="22"/>
        </w:rPr>
        <w:t xml:space="preserve"> is the total amount of material of type </w:t>
      </w:r>
      <w:r w:rsidRPr="00A45E22">
        <w:rPr>
          <w:i/>
          <w:szCs w:val="22"/>
        </w:rPr>
        <w:t>w</w:t>
      </w:r>
      <w:r w:rsidRPr="00A45E22">
        <w:rPr>
          <w:szCs w:val="22"/>
        </w:rPr>
        <w:t xml:space="preserve"> that is diverted in the project facility under treatment method </w:t>
      </w:r>
      <w:r w:rsidRPr="00A45E22">
        <w:rPr>
          <w:i/>
          <w:szCs w:val="22"/>
        </w:rPr>
        <w:t>n</w:t>
      </w:r>
      <w:r w:rsidRPr="00A45E22">
        <w:rPr>
          <w:szCs w:val="22"/>
        </w:rPr>
        <w:t xml:space="preserve"> during the reporting period, in tonnes</w:t>
      </w:r>
      <w:r w:rsidRPr="00A45E22">
        <w:t>, determined i</w:t>
      </w:r>
      <w:r w:rsidR="002E349C" w:rsidRPr="00A45E22">
        <w:t>n accordance with</w:t>
      </w:r>
      <w:r w:rsidRPr="00A45E22">
        <w:t xml:space="preserve"> </w:t>
      </w:r>
      <w:r w:rsidR="007068D8" w:rsidRPr="00A45E22">
        <w:t>sub</w:t>
      </w:r>
      <w:r w:rsidRPr="00A45E22">
        <w:t>section</w:t>
      </w:r>
      <w:r w:rsidR="002E349C" w:rsidRPr="00A45E22">
        <w:t xml:space="preserve"> </w:t>
      </w:r>
      <w:r w:rsidR="007068D8" w:rsidRPr="00A45E22">
        <w:t>1</w:t>
      </w:r>
      <w:r w:rsidR="00576DD4" w:rsidRPr="00A45E22">
        <w:t>8</w:t>
      </w:r>
      <w:r w:rsidR="007068D8" w:rsidRPr="00A45E22">
        <w:t>(3)</w:t>
      </w:r>
      <w:r w:rsidRPr="00A45E22">
        <w:t>.</w:t>
      </w:r>
    </w:p>
    <w:p w14:paraId="400F7EB7" w14:textId="77777777" w:rsidR="005519A3" w:rsidRPr="00A45E22" w:rsidRDefault="005519A3" w:rsidP="005519A3">
      <w:pPr>
        <w:pStyle w:val="h6Subsec"/>
      </w:pPr>
      <w:r w:rsidRPr="00A45E22">
        <w:t>Determining nitrogen concentration</w:t>
      </w:r>
    </w:p>
    <w:p w14:paraId="400F7EB8" w14:textId="77777777" w:rsidR="005519A3" w:rsidRPr="00A45E22" w:rsidRDefault="002E349C" w:rsidP="005519A3">
      <w:pPr>
        <w:pStyle w:val="tMain"/>
      </w:pPr>
      <w:r w:rsidRPr="00A45E22">
        <w:tab/>
        <w:t>(2</w:t>
      </w:r>
      <w:r w:rsidR="005519A3" w:rsidRPr="00A45E22">
        <w:t>)</w:t>
      </w:r>
      <w:r w:rsidR="005519A3" w:rsidRPr="00A45E22">
        <w:tab/>
        <w:t xml:space="preserve">The parameter </w:t>
      </w:r>
      <w:r w:rsidR="005519A3" w:rsidRPr="00A45E22">
        <w:rPr>
          <w:szCs w:val="22"/>
        </w:rPr>
        <w:t>C</w:t>
      </w:r>
      <w:r w:rsidR="005519A3" w:rsidRPr="00A45E22">
        <w:rPr>
          <w:szCs w:val="22"/>
          <w:vertAlign w:val="subscript"/>
        </w:rPr>
        <w:t>N,Div, w, n</w:t>
      </w:r>
      <w:r w:rsidR="005519A3" w:rsidRPr="00A45E22">
        <w:t xml:space="preserve"> must be determined by:</w:t>
      </w:r>
    </w:p>
    <w:p w14:paraId="400F7EB9" w14:textId="77777777" w:rsidR="00623355" w:rsidRPr="00A45E22" w:rsidRDefault="005519A3" w:rsidP="00623355">
      <w:pPr>
        <w:pStyle w:val="tPara"/>
      </w:pPr>
      <w:r w:rsidRPr="00A45E22">
        <w:tab/>
        <w:t>(a)</w:t>
      </w:r>
      <w:r w:rsidRPr="00A45E22">
        <w:tab/>
        <w:t xml:space="preserve">collecting </w:t>
      </w:r>
      <w:r w:rsidR="004F1D57" w:rsidRPr="00A45E22">
        <w:t xml:space="preserve">representative </w:t>
      </w:r>
      <w:r w:rsidRPr="00A45E22">
        <w:t xml:space="preserve">composite samples of the relevant material, </w:t>
      </w:r>
      <w:r w:rsidR="00623355" w:rsidRPr="00A45E22">
        <w:t xml:space="preserve">including: </w:t>
      </w:r>
    </w:p>
    <w:p w14:paraId="400F7EBA" w14:textId="77777777" w:rsidR="00623355" w:rsidRPr="00A45E22" w:rsidRDefault="00623355" w:rsidP="00623355">
      <w:pPr>
        <w:pStyle w:val="tSubpara"/>
      </w:pPr>
      <w:r w:rsidRPr="00A45E22">
        <w:tab/>
        <w:t>(i)</w:t>
      </w:r>
      <w:r w:rsidRPr="00A45E22">
        <w:tab/>
        <w:t>at least once each month for the first 6 months; and</w:t>
      </w:r>
    </w:p>
    <w:p w14:paraId="400F7EBB" w14:textId="77777777" w:rsidR="00623355" w:rsidRPr="00A45E22" w:rsidRDefault="00623355" w:rsidP="00623355">
      <w:pPr>
        <w:pStyle w:val="tSubpara"/>
      </w:pPr>
      <w:r w:rsidRPr="00A45E22">
        <w:tab/>
        <w:t>(ii)</w:t>
      </w:r>
      <w:r w:rsidRPr="00A45E22">
        <w:tab/>
        <w:t>if all measurements over the most recent 6 month period do not deviate by more than 10%—at  least once every 3 months; and</w:t>
      </w:r>
    </w:p>
    <w:p w14:paraId="400F7EBC" w14:textId="77777777" w:rsidR="005519A3" w:rsidRPr="00A45E22" w:rsidRDefault="00623355" w:rsidP="00623355">
      <w:pPr>
        <w:pStyle w:val="tSubpara"/>
      </w:pPr>
      <w:r w:rsidRPr="00A45E22">
        <w:tab/>
        <w:t>(iii)</w:t>
      </w:r>
      <w:r w:rsidRPr="00A45E22">
        <w:tab/>
        <w:t>if subparagraph (ii) does not apply—at least once each month; and</w:t>
      </w:r>
    </w:p>
    <w:p w14:paraId="400F7EBD" w14:textId="77777777" w:rsidR="005519A3" w:rsidRPr="00A45E22" w:rsidRDefault="005519A3" w:rsidP="005519A3">
      <w:pPr>
        <w:pStyle w:val="tPara"/>
      </w:pPr>
      <w:r w:rsidRPr="00A45E22">
        <w:tab/>
        <w:t>(b)</w:t>
      </w:r>
      <w:r w:rsidRPr="00A45E22">
        <w:tab/>
        <w:t>causing any samples to be analysed for Total Nitrogen or Total Kjeldahl Nitrogen solids to be:</w:t>
      </w:r>
    </w:p>
    <w:p w14:paraId="400F7EBE" w14:textId="77777777" w:rsidR="005519A3" w:rsidRPr="00A45E22" w:rsidRDefault="005519A3" w:rsidP="005519A3">
      <w:pPr>
        <w:pStyle w:val="tSubpara"/>
      </w:pPr>
      <w:r w:rsidRPr="00A45E22">
        <w:tab/>
        <w:t>(i)</w:t>
      </w:r>
      <w:r w:rsidRPr="00A45E22">
        <w:tab/>
        <w:t>immediately stored in a sealed container and transported on ice (but not frozen) or a refrigerator until analysed; and</w:t>
      </w:r>
    </w:p>
    <w:p w14:paraId="400F7EBF" w14:textId="77777777" w:rsidR="005519A3" w:rsidRPr="00A45E22" w:rsidRDefault="005519A3" w:rsidP="005519A3">
      <w:pPr>
        <w:pStyle w:val="tSubpara"/>
      </w:pPr>
      <w:r w:rsidRPr="00A45E22">
        <w:lastRenderedPageBreak/>
        <w:tab/>
        <w:t>(ii)</w:t>
      </w:r>
      <w:r w:rsidRPr="00A45E22">
        <w:tab/>
        <w:t>analysed in a laboratory in triplicate; and</w:t>
      </w:r>
    </w:p>
    <w:p w14:paraId="400F7EC0" w14:textId="77777777" w:rsidR="005519A3" w:rsidRPr="00A45E22" w:rsidRDefault="005519A3" w:rsidP="005519A3">
      <w:pPr>
        <w:pStyle w:val="tSubpara"/>
      </w:pPr>
      <w:r w:rsidRPr="00A45E22">
        <w:tab/>
        <w:t>(iii)</w:t>
      </w:r>
      <w:r w:rsidRPr="00A45E22">
        <w:tab/>
        <w:t>subtracting the background nitrogen used in the test; and</w:t>
      </w:r>
    </w:p>
    <w:p w14:paraId="400F7EC1" w14:textId="77777777" w:rsidR="005519A3" w:rsidRPr="00A45E22" w:rsidRDefault="005519A3" w:rsidP="005519A3">
      <w:pPr>
        <w:pStyle w:val="tPara"/>
      </w:pPr>
      <w:r w:rsidRPr="00A45E22">
        <w:tab/>
        <w:t>(c)</w:t>
      </w:r>
      <w:r w:rsidRPr="00A45E22">
        <w:tab/>
        <w:t>collecting sufficient sub-samples of the material to get a representative analysis of the diverted material in accordance with:</w:t>
      </w:r>
    </w:p>
    <w:p w14:paraId="400F7EC2" w14:textId="77777777" w:rsidR="005519A3" w:rsidRPr="00A45E22" w:rsidRDefault="005519A3" w:rsidP="005519A3">
      <w:pPr>
        <w:pStyle w:val="tSubpara"/>
      </w:pPr>
      <w:r w:rsidRPr="00A45E22">
        <w:tab/>
      </w:r>
      <w:r w:rsidR="007B6A51" w:rsidRPr="00A45E22">
        <w:fldChar w:fldCharType="begin"/>
      </w:r>
      <w:r w:rsidR="007B6A51" w:rsidRPr="00A45E22">
        <w:instrText xml:space="preserve"> LISTNUM  "main numbering" \l 8 \s 1 </w:instrText>
      </w:r>
      <w:r w:rsidR="007B6A51" w:rsidRPr="00A45E22">
        <w:fldChar w:fldCharType="end">
          <w:numberingChange w:id="52" w:author="Author" w:original="(i)"/>
        </w:fldChar>
      </w:r>
      <w:r w:rsidRPr="00A45E22">
        <w:tab/>
        <w:t xml:space="preserve">the </w:t>
      </w:r>
      <w:r w:rsidRPr="00A45E22">
        <w:rPr>
          <w:i/>
        </w:rPr>
        <w:t>National Environmental Pig Guidelines</w:t>
      </w:r>
      <w:r w:rsidRPr="00A45E22">
        <w:t xml:space="preserve"> published by Australian Pork Limited; or</w:t>
      </w:r>
    </w:p>
    <w:p w14:paraId="400F7EC3" w14:textId="77777777" w:rsidR="005519A3" w:rsidRPr="00A45E22" w:rsidRDefault="005519A3" w:rsidP="005519A3">
      <w:pPr>
        <w:pStyle w:val="tSubpara"/>
      </w:pPr>
      <w:r w:rsidRPr="00A45E22">
        <w:tab/>
      </w:r>
      <w:r w:rsidRPr="00A45E22">
        <w:fldChar w:fldCharType="begin"/>
      </w:r>
      <w:r w:rsidRPr="00A45E22">
        <w:instrText xml:space="preserve">  LISTNUM "main numbering" \l 8 \* MERGEFORMAT </w:instrText>
      </w:r>
      <w:r w:rsidRPr="00A45E22">
        <w:fldChar w:fldCharType="end">
          <w:numberingChange w:id="53" w:author="Author" w:original="(ii)"/>
        </w:fldChar>
      </w:r>
      <w:r w:rsidRPr="00A45E22">
        <w:tab/>
      </w:r>
      <w:r w:rsidR="007B6A51" w:rsidRPr="00A45E22">
        <w:t xml:space="preserve">the </w:t>
      </w:r>
      <w:r w:rsidR="007B6A51" w:rsidRPr="00A45E22">
        <w:rPr>
          <w:i/>
        </w:rPr>
        <w:t>Sampling manual for environmental monitoring by intensive livestock industries</w:t>
      </w:r>
      <w:r w:rsidR="007B6A51" w:rsidRPr="00A45E22">
        <w:t xml:space="preserve"> written by Mathew Redding in 2003 and published by the Queensland Government.</w:t>
      </w:r>
      <w:r w:rsidRPr="00A45E22">
        <w:t>,</w:t>
      </w:r>
    </w:p>
    <w:p w14:paraId="400F7EC4" w14:textId="77777777" w:rsidR="00740804" w:rsidRPr="00A45E22" w:rsidRDefault="00740804" w:rsidP="00740804">
      <w:pPr>
        <w:pStyle w:val="tPara"/>
      </w:pPr>
      <w:r w:rsidRPr="00A45E22">
        <w:tab/>
        <w:t>(d)</w:t>
      </w:r>
      <w:r w:rsidRPr="00A45E22">
        <w:tab/>
        <w:t>analysing those samples in accordance:</w:t>
      </w:r>
    </w:p>
    <w:p w14:paraId="400F7EC5" w14:textId="77777777" w:rsidR="00740804" w:rsidRPr="00A45E22" w:rsidRDefault="00740804" w:rsidP="00740804">
      <w:pPr>
        <w:pStyle w:val="tSubpara"/>
      </w:pPr>
      <w:r w:rsidRPr="00A45E22">
        <w:tab/>
        <w:t xml:space="preserve"> (i)</w:t>
      </w:r>
      <w:r w:rsidRPr="00A45E22">
        <w:tab/>
        <w:t xml:space="preserve">the relevant method in the most recent </w:t>
      </w:r>
      <w:r w:rsidRPr="00A45E22">
        <w:rPr>
          <w:i/>
        </w:rPr>
        <w:t xml:space="preserve">Standard Methods for the Examination of Water and Wastewater </w:t>
      </w:r>
      <w:r w:rsidRPr="00A45E22">
        <w:t>published by the America</w:t>
      </w:r>
      <w:r w:rsidR="00C15E72" w:rsidRPr="00A45E22">
        <w:t>n Public Health Association; or</w:t>
      </w:r>
    </w:p>
    <w:p w14:paraId="400F7EC6" w14:textId="77777777" w:rsidR="00740804" w:rsidRPr="00A45E22" w:rsidRDefault="00740804" w:rsidP="00740804">
      <w:pPr>
        <w:pStyle w:val="nMain"/>
        <w:ind w:hanging="710"/>
      </w:pPr>
      <w:r w:rsidRPr="00A45E22">
        <w:t>Note:       In 2019, the relevant method was at 2540E at https://www.standardmethods.org/.</w:t>
      </w:r>
    </w:p>
    <w:p w14:paraId="400F7EC7" w14:textId="77777777" w:rsidR="00740804" w:rsidRPr="00A45E22" w:rsidRDefault="00740804" w:rsidP="00740804">
      <w:pPr>
        <w:pStyle w:val="tSubpara"/>
      </w:pPr>
      <w:r w:rsidRPr="00A45E22">
        <w:tab/>
        <w:t>(ii)</w:t>
      </w:r>
      <w:r w:rsidRPr="00A45E22">
        <w:tab/>
        <w:t>an equivalent Australian standard.</w:t>
      </w:r>
    </w:p>
    <w:p w14:paraId="400F7EC8" w14:textId="1DBDC134" w:rsidR="005519A3" w:rsidRPr="00A45E22" w:rsidRDefault="005519A3" w:rsidP="005519A3">
      <w:pPr>
        <w:pStyle w:val="tPara"/>
      </w:pPr>
      <w:r w:rsidRPr="00A45E22">
        <w:tab/>
        <w:t>(e)</w:t>
      </w:r>
      <w:r w:rsidRPr="00A45E22">
        <w:tab/>
        <w:t>calculatin</w:t>
      </w:r>
      <w:r w:rsidR="009229C7">
        <w:t>g the concentration of nitrogen,</w:t>
      </w:r>
      <w:r w:rsidRPr="00A45E22">
        <w:t xml:space="preserve"> </w:t>
      </w:r>
      <w:r w:rsidRPr="00A45E22">
        <w:rPr>
          <w:szCs w:val="22"/>
        </w:rPr>
        <w:t>in tonnes of nitrogen per tonne of material analysed</w:t>
      </w:r>
      <w:r w:rsidR="00623355" w:rsidRPr="00A45E22">
        <w:rPr>
          <w:szCs w:val="22"/>
        </w:rPr>
        <w:t>.</w:t>
      </w:r>
    </w:p>
    <w:p w14:paraId="400F7EC9" w14:textId="77777777" w:rsidR="00FB0289" w:rsidRPr="00A45E22" w:rsidRDefault="00FB0289" w:rsidP="00FB0289">
      <w:pPr>
        <w:pStyle w:val="h2Part"/>
      </w:pPr>
      <w:bookmarkStart w:id="54" w:name="_Toc17792718"/>
      <w:r w:rsidRPr="00A45E22">
        <w:lastRenderedPageBreak/>
        <w:t>Part 4—</w:t>
      </w:r>
      <w:r w:rsidR="00C64445" w:rsidRPr="00A45E22">
        <w:t>Recordkeeping</w:t>
      </w:r>
      <w:bookmarkEnd w:id="54"/>
    </w:p>
    <w:p w14:paraId="400F7ECA" w14:textId="77777777" w:rsidR="00FC3CDB" w:rsidRPr="00A45E22" w:rsidRDefault="00E01687" w:rsidP="00FF5C88">
      <w:pPr>
        <w:pStyle w:val="h5Section"/>
        <w:rPr>
          <w:u w:val="single"/>
        </w:rPr>
      </w:pPr>
      <w:bookmarkStart w:id="55" w:name="_Toc17792719"/>
      <w:bookmarkStart w:id="56" w:name="_Toc498294003"/>
      <w:r w:rsidRPr="00A45E22">
        <w:rPr>
          <w:u w:val="single"/>
        </w:rPr>
        <w:t>26</w:t>
      </w:r>
      <w:r w:rsidR="00FC3CDB" w:rsidRPr="00A45E22">
        <w:rPr>
          <w:u w:val="single"/>
        </w:rPr>
        <w:tab/>
        <w:t>Sections 3</w:t>
      </w:r>
      <w:r w:rsidR="002E7677" w:rsidRPr="00A45E22">
        <w:rPr>
          <w:u w:val="single"/>
        </w:rPr>
        <w:t>8</w:t>
      </w:r>
      <w:r w:rsidR="00FC3CDB" w:rsidRPr="00A45E22">
        <w:rPr>
          <w:u w:val="single"/>
        </w:rPr>
        <w:t xml:space="preserve"> and 3</w:t>
      </w:r>
      <w:r w:rsidR="002E7677" w:rsidRPr="00A45E22">
        <w:rPr>
          <w:u w:val="single"/>
        </w:rPr>
        <w:t>9</w:t>
      </w:r>
      <w:r w:rsidR="00FC3CDB" w:rsidRPr="00A45E22">
        <w:rPr>
          <w:u w:val="single"/>
        </w:rPr>
        <w:t>—Record-keeping requirements</w:t>
      </w:r>
      <w:bookmarkEnd w:id="55"/>
    </w:p>
    <w:bookmarkEnd w:id="56"/>
    <w:p w14:paraId="400F7ECB" w14:textId="77777777" w:rsidR="00FF5C88" w:rsidRPr="00A45E22" w:rsidRDefault="00FF5C88" w:rsidP="00FF5C88">
      <w:pPr>
        <w:pStyle w:val="tMain"/>
      </w:pPr>
      <w:r w:rsidRPr="00A45E22">
        <w:tab/>
      </w:r>
      <w:r w:rsidRPr="00A45E22">
        <w:tab/>
        <w:t>The following information is specified in relation to direct and indirect measurement:</w:t>
      </w:r>
    </w:p>
    <w:p w14:paraId="400F7ECC" w14:textId="77777777" w:rsidR="00FF5C88" w:rsidRPr="00A45E22" w:rsidRDefault="00FF5C88" w:rsidP="00FF5C88">
      <w:pPr>
        <w:pStyle w:val="tPara"/>
      </w:pPr>
      <w:r w:rsidRPr="00A45E22">
        <w:tab/>
        <w:t>(a)</w:t>
      </w:r>
      <w:r w:rsidRPr="00A45E22">
        <w:tab/>
        <w:t>records of any raw data and site observations relating to the animal effluent project;</w:t>
      </w:r>
    </w:p>
    <w:p w14:paraId="400F7ECD" w14:textId="77777777" w:rsidR="00FF5C88" w:rsidRPr="00A45E22" w:rsidRDefault="00FF5C88" w:rsidP="00FF5C88">
      <w:pPr>
        <w:pStyle w:val="tPara"/>
      </w:pPr>
      <w:r w:rsidRPr="00A45E22">
        <w:tab/>
        <w:t>(b)</w:t>
      </w:r>
      <w:r w:rsidRPr="00A45E22">
        <w:tab/>
        <w:t>all values and intermediate calculations in the calculation of the net abatement amount;</w:t>
      </w:r>
    </w:p>
    <w:p w14:paraId="400F7ECE" w14:textId="77777777" w:rsidR="00FF5C88" w:rsidRPr="00A45E22" w:rsidRDefault="00FF5C88" w:rsidP="00FF5C88">
      <w:pPr>
        <w:pStyle w:val="tPara"/>
      </w:pPr>
      <w:r w:rsidRPr="00A45E22">
        <w:tab/>
        <w:t>(c)</w:t>
      </w:r>
      <w:r w:rsidRPr="00A45E22">
        <w:tab/>
        <w:t>monitoring</w:t>
      </w:r>
      <w:r w:rsidR="0057631F" w:rsidRPr="00A45E22">
        <w:t xml:space="preserve"> data, including data to</w:t>
      </w:r>
      <w:r w:rsidRPr="00A45E22">
        <w:t xml:space="preserve"> evidence animal effluent project performance to show that any ineligible material had no significant adverse effect on the operation and performance of the treatment system;</w:t>
      </w:r>
    </w:p>
    <w:p w14:paraId="400F7ECF" w14:textId="77777777" w:rsidR="00FF5C88" w:rsidRPr="00A45E22" w:rsidRDefault="00FF5C88" w:rsidP="00FF5C88">
      <w:pPr>
        <w:pStyle w:val="tPara"/>
      </w:pPr>
      <w:r w:rsidRPr="00A45E22">
        <w:tab/>
        <w:t>(d)</w:t>
      </w:r>
      <w:r w:rsidRPr="00A45E22">
        <w:tab/>
        <w:t>electronic recording of values of logged primary parameters for each measurement interval, for each measurement, including the following:</w:t>
      </w:r>
    </w:p>
    <w:p w14:paraId="400F7ED0" w14:textId="77777777" w:rsidR="00FF5C88" w:rsidRPr="00A45E22" w:rsidRDefault="00FF5C88" w:rsidP="00FF5C88">
      <w:pPr>
        <w:pStyle w:val="tSubpara"/>
      </w:pPr>
      <w:r w:rsidRPr="00A45E22">
        <w:tab/>
        <w:t>(i)</w:t>
      </w:r>
      <w:r w:rsidRPr="00A45E22">
        <w:tab/>
        <w:t xml:space="preserve">biogas flow data for each flow meter; </w:t>
      </w:r>
    </w:p>
    <w:p w14:paraId="400F7ED1" w14:textId="77777777" w:rsidR="00FF5C88" w:rsidRPr="00A45E22" w:rsidRDefault="00FF5C88" w:rsidP="00FF5C88">
      <w:pPr>
        <w:pStyle w:val="tSubpara"/>
      </w:pPr>
      <w:r w:rsidRPr="00A45E22">
        <w:tab/>
        <w:t>(ii)</w:t>
      </w:r>
      <w:r w:rsidRPr="00A45E22">
        <w:tab/>
        <w:t>methane content of gas (% by volume) for each measurement  including date, time and location of measurement, notes of non</w:t>
      </w:r>
      <w:r w:rsidRPr="00A45E22">
        <w:noBreakHyphen/>
        <w:t>compliance to performance specifications, remedial actions taken to correct instrument;</w:t>
      </w:r>
    </w:p>
    <w:p w14:paraId="400F7ED2" w14:textId="77777777" w:rsidR="00FF5C88" w:rsidRPr="00A45E22" w:rsidRDefault="00110391" w:rsidP="00110391">
      <w:pPr>
        <w:pStyle w:val="tPara"/>
      </w:pPr>
      <w:r w:rsidRPr="00A45E22">
        <w:tab/>
        <w:t>(e</w:t>
      </w:r>
      <w:r w:rsidR="00FF5C88" w:rsidRPr="00A45E22">
        <w:t>)</w:t>
      </w:r>
      <w:r w:rsidR="00FF5C88" w:rsidRPr="00A45E22">
        <w:tab/>
        <w:t>auditable evidence of fuel use;</w:t>
      </w:r>
    </w:p>
    <w:p w14:paraId="400F7ED3" w14:textId="77777777" w:rsidR="00FF5C88" w:rsidRPr="00A45E22" w:rsidRDefault="00110391" w:rsidP="00110391">
      <w:pPr>
        <w:pStyle w:val="tPara"/>
      </w:pPr>
      <w:r w:rsidRPr="00A45E22">
        <w:tab/>
        <w:t>(f</w:t>
      </w:r>
      <w:r w:rsidR="00FF5C88" w:rsidRPr="00A45E22">
        <w:t>)</w:t>
      </w:r>
      <w:r w:rsidR="00FF5C88" w:rsidRPr="00A45E22">
        <w:tab/>
        <w:t>auditable evidence of purchased electricity use;</w:t>
      </w:r>
    </w:p>
    <w:p w14:paraId="400F7ED4" w14:textId="77777777" w:rsidR="00FF5C88" w:rsidRPr="00A45E22" w:rsidRDefault="00110391" w:rsidP="00110391">
      <w:pPr>
        <w:pStyle w:val="tPara"/>
      </w:pPr>
      <w:r w:rsidRPr="00A45E22">
        <w:tab/>
        <w:t>(g</w:t>
      </w:r>
      <w:r w:rsidR="00FF5C88" w:rsidRPr="00A45E22">
        <w:t>)</w:t>
      </w:r>
      <w:r w:rsidR="00FF5C88" w:rsidRPr="00A45E22">
        <w:tab/>
        <w:t>auditable evidence of electricity use;</w:t>
      </w:r>
    </w:p>
    <w:p w14:paraId="400F7ED5" w14:textId="77777777" w:rsidR="00FF5C88" w:rsidRPr="00A45E22" w:rsidRDefault="00110391" w:rsidP="00110391">
      <w:pPr>
        <w:pStyle w:val="tPara"/>
      </w:pPr>
      <w:r w:rsidRPr="00A45E22">
        <w:tab/>
        <w:t>(h</w:t>
      </w:r>
      <w:r w:rsidR="00FF5C88" w:rsidRPr="00A45E22">
        <w:t>)</w:t>
      </w:r>
      <w:r w:rsidR="00FF5C88" w:rsidRPr="00A45E22">
        <w:tab/>
        <w:t>auditable evidence of the amount of electricity produced by each internal combustion engine generator used in the project;</w:t>
      </w:r>
    </w:p>
    <w:p w14:paraId="400F7ED6" w14:textId="77777777" w:rsidR="00FF5C88" w:rsidRPr="00A45E22" w:rsidRDefault="00110391" w:rsidP="00110391">
      <w:pPr>
        <w:pStyle w:val="tPara"/>
      </w:pPr>
      <w:r w:rsidRPr="00A45E22">
        <w:tab/>
        <w:t>(i)</w:t>
      </w:r>
      <w:r w:rsidRPr="00A45E22">
        <w:tab/>
      </w:r>
      <w:r w:rsidR="00FF5C88" w:rsidRPr="00A45E22">
        <w:t>auditable evidence of quantities of any ineligible material used (see paragraph</w:t>
      </w:r>
      <w:r w:rsidR="0057631F" w:rsidRPr="00A45E22">
        <w:t xml:space="preserve"> 1</w:t>
      </w:r>
      <w:r w:rsidR="002E7677" w:rsidRPr="00A45E22">
        <w:t>6</w:t>
      </w:r>
      <w:r w:rsidR="0057631F" w:rsidRPr="00A45E22">
        <w:t xml:space="preserve">(2)(c) of the Determination); </w:t>
      </w:r>
    </w:p>
    <w:p w14:paraId="400F7ED7" w14:textId="77777777" w:rsidR="0057631F" w:rsidRPr="00A45E22" w:rsidRDefault="0057631F" w:rsidP="00110391">
      <w:pPr>
        <w:pStyle w:val="tPara"/>
      </w:pPr>
      <w:r w:rsidRPr="00A45E22">
        <w:tab/>
        <w:t>(j)</w:t>
      </w:r>
      <w:r w:rsidRPr="00A45E22">
        <w:tab/>
        <w:t>auditable calibration data relevant to the project and the calculation of the net abatement amount;</w:t>
      </w:r>
    </w:p>
    <w:p w14:paraId="400F7ED8" w14:textId="77777777" w:rsidR="00F918E0" w:rsidRPr="00A45E22" w:rsidRDefault="0057631F" w:rsidP="00110391">
      <w:pPr>
        <w:pStyle w:val="tPara"/>
      </w:pPr>
      <w:r w:rsidRPr="00A45E22">
        <w:tab/>
        <w:t>(k)</w:t>
      </w:r>
      <w:r w:rsidRPr="00A45E22">
        <w:tab/>
        <w:t>audi</w:t>
      </w:r>
      <w:r w:rsidR="006F7977" w:rsidRPr="00A45E22">
        <w:t>ta</w:t>
      </w:r>
      <w:r w:rsidRPr="00A45E22">
        <w:t>ble evidence of any measurements taken in accordance with the Determination or this Supplement, including</w:t>
      </w:r>
      <w:r w:rsidR="00F918E0" w:rsidRPr="00A45E22">
        <w:t>:</w:t>
      </w:r>
      <w:r w:rsidRPr="00A45E22">
        <w:t xml:space="preserve"> </w:t>
      </w:r>
    </w:p>
    <w:p w14:paraId="400F7ED9" w14:textId="77777777" w:rsidR="0057631F" w:rsidRPr="00A45E22" w:rsidRDefault="00F918E0" w:rsidP="00F918E0">
      <w:pPr>
        <w:pStyle w:val="tSubpara"/>
      </w:pPr>
      <w:r w:rsidRPr="00A45E22">
        <w:tab/>
        <w:t>(i)</w:t>
      </w:r>
      <w:r w:rsidRPr="00A45E22">
        <w:tab/>
      </w:r>
      <w:r w:rsidR="0057631F" w:rsidRPr="00A45E22">
        <w:t>the location and contract details of any laboratory use</w:t>
      </w:r>
      <w:r w:rsidR="00831507" w:rsidRPr="00A45E22">
        <w:t xml:space="preserve">d to undertake the measurements; </w:t>
      </w:r>
      <w:r w:rsidRPr="00A45E22">
        <w:t>and</w:t>
      </w:r>
    </w:p>
    <w:p w14:paraId="400F7EDA" w14:textId="77777777" w:rsidR="00F918E0" w:rsidRPr="00A45E22" w:rsidRDefault="00F918E0" w:rsidP="00F918E0">
      <w:pPr>
        <w:pStyle w:val="tSubpara"/>
      </w:pPr>
      <w:r w:rsidRPr="00A45E22">
        <w:tab/>
        <w:t>(ii)</w:t>
      </w:r>
      <w:r w:rsidRPr="00A45E22">
        <w:tab/>
      </w:r>
      <w:r w:rsidR="00B114F6" w:rsidRPr="00A45E22">
        <w:t xml:space="preserve">the credentials of those conducting any tests or verifying </w:t>
      </w:r>
      <w:r w:rsidR="00D40523" w:rsidRPr="00A45E22">
        <w:t>the accuracy of any equipment</w:t>
      </w:r>
      <w:r w:rsidR="00B114F6" w:rsidRPr="00A45E22">
        <w:t xml:space="preserve"> used in those tests.</w:t>
      </w:r>
    </w:p>
    <w:p w14:paraId="400F7EDB" w14:textId="77777777" w:rsidR="00831507" w:rsidRPr="00A45E22" w:rsidRDefault="00831507" w:rsidP="00110391">
      <w:pPr>
        <w:pStyle w:val="tPara"/>
      </w:pPr>
      <w:r w:rsidRPr="00A45E22">
        <w:tab/>
        <w:t>(l)</w:t>
      </w:r>
      <w:r w:rsidRPr="00A45E22">
        <w:tab/>
        <w:t>auditable evidence that the post-diversion treatment complies with the requirements of section 9.</w:t>
      </w:r>
    </w:p>
    <w:p w14:paraId="400F7EDC" w14:textId="77777777" w:rsidR="00F26031" w:rsidRPr="00A45E22" w:rsidRDefault="00E01687" w:rsidP="00F26031">
      <w:pPr>
        <w:pStyle w:val="h5Section"/>
        <w:rPr>
          <w:u w:val="single"/>
        </w:rPr>
      </w:pPr>
      <w:bookmarkStart w:id="57" w:name="_Toc17792720"/>
      <w:r w:rsidRPr="00A45E22">
        <w:rPr>
          <w:u w:val="single"/>
        </w:rPr>
        <w:t>27</w:t>
      </w:r>
      <w:r w:rsidR="00F26031" w:rsidRPr="00A45E22">
        <w:rPr>
          <w:u w:val="single"/>
        </w:rPr>
        <w:tab/>
        <w:t>Section 3</w:t>
      </w:r>
      <w:r w:rsidR="002E7677" w:rsidRPr="00A45E22">
        <w:rPr>
          <w:u w:val="single"/>
        </w:rPr>
        <w:t>9</w:t>
      </w:r>
      <w:r w:rsidR="00607641" w:rsidRPr="00A45E22">
        <w:rPr>
          <w:u w:val="single"/>
        </w:rPr>
        <w:t>—</w:t>
      </w:r>
      <w:r w:rsidR="00F26031" w:rsidRPr="00A45E22">
        <w:rPr>
          <w:u w:val="single"/>
        </w:rPr>
        <w:t>Biogas composition for methane destruction projects</w:t>
      </w:r>
      <w:bookmarkEnd w:id="57"/>
    </w:p>
    <w:p w14:paraId="400F7EDD" w14:textId="77777777" w:rsidR="00F26031" w:rsidRPr="00A45E22" w:rsidRDefault="00F26031" w:rsidP="00F26031">
      <w:pPr>
        <w:pStyle w:val="tMain"/>
      </w:pPr>
      <w:r w:rsidRPr="00A45E22">
        <w:tab/>
      </w:r>
      <w:r w:rsidRPr="00A45E22">
        <w:tab/>
        <w:t>The following information is specified in relation to site determination of biogas composition:</w:t>
      </w:r>
    </w:p>
    <w:p w14:paraId="400F7EDE" w14:textId="77777777" w:rsidR="00F26031" w:rsidRPr="00A45E22" w:rsidRDefault="00F26031" w:rsidP="00F26031">
      <w:pPr>
        <w:pStyle w:val="tPara"/>
      </w:pPr>
      <w:r w:rsidRPr="00A45E22">
        <w:tab/>
        <w:t>(a)</w:t>
      </w:r>
      <w:r w:rsidRPr="00A45E22">
        <w:tab/>
        <w:t>biogas analyser information if used, including the model, serial number and calibration procedures for the instrument; and</w:t>
      </w:r>
    </w:p>
    <w:p w14:paraId="400F7EDF" w14:textId="77777777" w:rsidR="00F26031" w:rsidRPr="00A45E22" w:rsidRDefault="00F26031" w:rsidP="00110391">
      <w:pPr>
        <w:pStyle w:val="tPara"/>
      </w:pPr>
      <w:r w:rsidRPr="00A45E22">
        <w:tab/>
        <w:t>(b)</w:t>
      </w:r>
      <w:r w:rsidRPr="00A45E22">
        <w:tab/>
        <w:t>biogas analyser calibrati</w:t>
      </w:r>
      <w:r w:rsidR="00110391" w:rsidRPr="00A45E22">
        <w:t>on data for each gas analyser.</w:t>
      </w:r>
    </w:p>
    <w:p w14:paraId="400F7EE0" w14:textId="77777777" w:rsidR="002B707B" w:rsidRPr="00A45E22" w:rsidRDefault="00E01687" w:rsidP="002B707B">
      <w:pPr>
        <w:pStyle w:val="h5Section"/>
        <w:rPr>
          <w:u w:val="single"/>
        </w:rPr>
      </w:pPr>
      <w:bookmarkStart w:id="58" w:name="_Toc498294001"/>
      <w:bookmarkStart w:id="59" w:name="_Toc17792721"/>
      <w:r w:rsidRPr="00A45E22">
        <w:rPr>
          <w:u w:val="single"/>
        </w:rPr>
        <w:t>28</w:t>
      </w:r>
      <w:r w:rsidR="005B51A5" w:rsidRPr="00A45E22">
        <w:rPr>
          <w:u w:val="single"/>
        </w:rPr>
        <w:tab/>
      </w:r>
      <w:r w:rsidR="00701C4F" w:rsidRPr="00A45E22">
        <w:rPr>
          <w:u w:val="single"/>
        </w:rPr>
        <w:t xml:space="preserve">Section </w:t>
      </w:r>
      <w:r w:rsidR="002E7677" w:rsidRPr="00A45E22">
        <w:rPr>
          <w:u w:val="single"/>
        </w:rPr>
        <w:t>41</w:t>
      </w:r>
      <w:r w:rsidR="00607641" w:rsidRPr="00A45E22">
        <w:rPr>
          <w:u w:val="single"/>
        </w:rPr>
        <w:t>—</w:t>
      </w:r>
      <w:r w:rsidR="002B707B" w:rsidRPr="00A45E22">
        <w:rPr>
          <w:u w:val="single"/>
        </w:rPr>
        <w:t>Monitoring equipment</w:t>
      </w:r>
      <w:bookmarkEnd w:id="58"/>
      <w:bookmarkEnd w:id="59"/>
    </w:p>
    <w:p w14:paraId="400F7EE1" w14:textId="77777777" w:rsidR="002B707B" w:rsidRPr="00A45E22" w:rsidRDefault="002B707B" w:rsidP="002B707B">
      <w:pPr>
        <w:pStyle w:val="tMain"/>
      </w:pPr>
      <w:r w:rsidRPr="00A45E22">
        <w:tab/>
      </w:r>
      <w:r w:rsidRPr="00A45E22">
        <w:tab/>
        <w:t>The details of each instrument of the following kinds are specified, including the model, serial number for each instrument, and calibration procedures where relevant:</w:t>
      </w:r>
    </w:p>
    <w:p w14:paraId="400F7EE2" w14:textId="77777777" w:rsidR="002B707B" w:rsidRPr="00A45E22" w:rsidRDefault="002B707B" w:rsidP="002B707B">
      <w:pPr>
        <w:pStyle w:val="tPara"/>
      </w:pPr>
      <w:r w:rsidRPr="00A45E22">
        <w:tab/>
        <w:t>(a)</w:t>
      </w:r>
      <w:r w:rsidRPr="00A45E22">
        <w:tab/>
        <w:t>biogas flow meters;</w:t>
      </w:r>
    </w:p>
    <w:p w14:paraId="400F7EE3" w14:textId="77777777" w:rsidR="002B707B" w:rsidRPr="00A45E22" w:rsidRDefault="002B707B" w:rsidP="002B707B">
      <w:pPr>
        <w:pStyle w:val="tPara"/>
      </w:pPr>
      <w:r w:rsidRPr="00A45E22">
        <w:tab/>
        <w:t>(b)</w:t>
      </w:r>
      <w:r w:rsidRPr="00A45E22">
        <w:tab/>
        <w:t>electricity meters;</w:t>
      </w:r>
    </w:p>
    <w:p w14:paraId="400F7EE4" w14:textId="77777777" w:rsidR="002B707B" w:rsidRPr="00A45E22" w:rsidRDefault="002B707B" w:rsidP="002B707B">
      <w:pPr>
        <w:pStyle w:val="tPara"/>
      </w:pPr>
      <w:r w:rsidRPr="00A45E22">
        <w:tab/>
        <w:t>(c)</w:t>
      </w:r>
      <w:r w:rsidRPr="00A45E22">
        <w:tab/>
        <w:t>devices for measuring diverted material;</w:t>
      </w:r>
    </w:p>
    <w:p w14:paraId="400F7EE6" w14:textId="7156451A" w:rsidR="00C64445" w:rsidRPr="00A45E22" w:rsidRDefault="002B707B" w:rsidP="00FB2F72">
      <w:pPr>
        <w:pStyle w:val="tPara"/>
      </w:pPr>
      <w:r w:rsidRPr="00A45E22">
        <w:tab/>
        <w:t>(d)</w:t>
      </w:r>
      <w:r w:rsidRPr="00A45E22">
        <w:tab/>
        <w:t>devices for measuring volatile solids and nit</w:t>
      </w:r>
      <w:r w:rsidR="00053904">
        <w:t>rogen in material.</w:t>
      </w:r>
      <w:r w:rsidR="00053904" w:rsidRPr="00A45E22">
        <w:t xml:space="preserve"> </w:t>
      </w:r>
    </w:p>
    <w:p w14:paraId="400F7EE8" w14:textId="77777777" w:rsidR="00C64445" w:rsidRPr="00A45E22" w:rsidRDefault="00C64445" w:rsidP="00053904">
      <w:pPr>
        <w:pStyle w:val="h2Part"/>
        <w:ind w:left="0" w:firstLine="0"/>
      </w:pPr>
      <w:bookmarkStart w:id="60" w:name="_Toc17792722"/>
      <w:r w:rsidRPr="00A45E22">
        <w:lastRenderedPageBreak/>
        <w:t>Part 5—Monitoring</w:t>
      </w:r>
      <w:bookmarkEnd w:id="60"/>
    </w:p>
    <w:p w14:paraId="400F7EE9" w14:textId="77777777" w:rsidR="00C64445" w:rsidRPr="00A45E22" w:rsidRDefault="00E01687" w:rsidP="00C64445">
      <w:pPr>
        <w:pStyle w:val="h5Section"/>
        <w:rPr>
          <w:u w:val="single"/>
        </w:rPr>
      </w:pPr>
      <w:bookmarkStart w:id="61" w:name="_Toc17792723"/>
      <w:r w:rsidRPr="00A45E22">
        <w:rPr>
          <w:u w:val="single"/>
        </w:rPr>
        <w:t>29</w:t>
      </w:r>
      <w:r w:rsidR="00C64445" w:rsidRPr="00A45E22">
        <w:rPr>
          <w:u w:val="single"/>
        </w:rPr>
        <w:tab/>
        <w:t xml:space="preserve">Section </w:t>
      </w:r>
      <w:r w:rsidR="002E7677" w:rsidRPr="00A45E22">
        <w:rPr>
          <w:u w:val="single"/>
        </w:rPr>
        <w:t>41</w:t>
      </w:r>
      <w:r w:rsidR="00C64445" w:rsidRPr="00A45E22">
        <w:rPr>
          <w:u w:val="single"/>
        </w:rPr>
        <w:t>—</w:t>
      </w:r>
      <w:r w:rsidR="002E7677" w:rsidRPr="00A45E22">
        <w:rPr>
          <w:u w:val="single"/>
        </w:rPr>
        <w:t>Monitoring</w:t>
      </w:r>
      <w:r w:rsidR="00C64445" w:rsidRPr="00A45E22">
        <w:rPr>
          <w:u w:val="single"/>
        </w:rPr>
        <w:t xml:space="preserve"> requirements</w:t>
      </w:r>
      <w:bookmarkEnd w:id="61"/>
    </w:p>
    <w:p w14:paraId="400F7EEA" w14:textId="77777777" w:rsidR="00C64445" w:rsidRPr="00A45E22" w:rsidRDefault="00C64445" w:rsidP="00EF4E24">
      <w:pPr>
        <w:pStyle w:val="tMain"/>
      </w:pPr>
      <w:r w:rsidRPr="00A45E22">
        <w:tab/>
      </w:r>
      <w:r w:rsidRPr="00A45E22">
        <w:tab/>
        <w:t xml:space="preserve">For section </w:t>
      </w:r>
      <w:r w:rsidR="002E7677" w:rsidRPr="00A45E22">
        <w:t xml:space="preserve">41 </w:t>
      </w:r>
      <w:r w:rsidRPr="00A45E22">
        <w:t>of the Determination, the Part specifies requirements relevant to the monitoring obligations in that section.</w:t>
      </w:r>
    </w:p>
    <w:p w14:paraId="400F7EEB" w14:textId="77777777" w:rsidR="00C918D7" w:rsidRPr="00A45E22" w:rsidRDefault="00E01687" w:rsidP="001E1D4A">
      <w:pPr>
        <w:pStyle w:val="h5Section"/>
        <w:rPr>
          <w:u w:val="single"/>
        </w:rPr>
      </w:pPr>
      <w:bookmarkStart w:id="62" w:name="_Toc467775581"/>
      <w:bookmarkStart w:id="63" w:name="_Toc467774866"/>
      <w:bookmarkStart w:id="64" w:name="_Toc346883309"/>
      <w:bookmarkStart w:id="65" w:name="_Toc498293994"/>
      <w:bookmarkStart w:id="66" w:name="_Toc17792724"/>
      <w:r w:rsidRPr="00A45E22">
        <w:rPr>
          <w:u w:val="single"/>
        </w:rPr>
        <w:t>30</w:t>
      </w:r>
      <w:r w:rsidR="005B51A5" w:rsidRPr="00A45E22">
        <w:rPr>
          <w:u w:val="single"/>
        </w:rPr>
        <w:tab/>
      </w:r>
      <w:r w:rsidR="00C918D7" w:rsidRPr="00A45E22">
        <w:rPr>
          <w:u w:val="single"/>
        </w:rPr>
        <w:t>Biogas measurement error margins</w:t>
      </w:r>
      <w:bookmarkEnd w:id="62"/>
      <w:bookmarkEnd w:id="63"/>
      <w:bookmarkEnd w:id="64"/>
      <w:bookmarkEnd w:id="65"/>
      <w:bookmarkEnd w:id="66"/>
    </w:p>
    <w:p w14:paraId="400F7EEC" w14:textId="77777777" w:rsidR="00C918D7" w:rsidRPr="00A45E22" w:rsidRDefault="00C918D7" w:rsidP="00C918D7">
      <w:pPr>
        <w:pStyle w:val="tMain"/>
      </w:pPr>
      <w:r w:rsidRPr="00A45E22">
        <w:tab/>
      </w:r>
      <w:r w:rsidRPr="00A45E22">
        <w:tab/>
        <w:t xml:space="preserve">The measurement of biogas pressures must be carried out using equipment that complies with the following accuracy and transmitter requirements: </w:t>
      </w:r>
    </w:p>
    <w:p w14:paraId="400F7EED" w14:textId="77777777" w:rsidR="00C918D7" w:rsidRPr="00A45E22" w:rsidRDefault="004E5A7A" w:rsidP="00C918D7">
      <w:pPr>
        <w:pStyle w:val="tPara"/>
      </w:pPr>
      <w:r w:rsidRPr="00A45E22">
        <w:tab/>
        <w:t>(a)</w:t>
      </w:r>
      <w:r w:rsidRPr="00A45E22">
        <w:tab/>
        <w:t>pressure &lt;±0.</w:t>
      </w:r>
      <w:r w:rsidR="00C918D7" w:rsidRPr="00A45E22">
        <w:t>5%; and</w:t>
      </w:r>
    </w:p>
    <w:p w14:paraId="400F7EEE" w14:textId="77777777" w:rsidR="00C918D7" w:rsidRPr="00A45E22" w:rsidRDefault="00C918D7" w:rsidP="00FB2F72">
      <w:pPr>
        <w:pStyle w:val="tPara"/>
      </w:pPr>
      <w:r w:rsidRPr="00A45E22">
        <w:tab/>
        <w:t>(b)</w:t>
      </w:r>
      <w:r w:rsidRPr="00A45E22">
        <w:tab/>
        <w:t>differential pressure &lt;</w:t>
      </w:r>
      <w:r w:rsidR="004E5A7A" w:rsidRPr="00A45E22">
        <w:t>±0.</w:t>
      </w:r>
      <w:r w:rsidRPr="00A45E22">
        <w:t>5%.</w:t>
      </w:r>
    </w:p>
    <w:p w14:paraId="400F7EEF" w14:textId="77777777" w:rsidR="002321CF" w:rsidRPr="00A45E22" w:rsidRDefault="00E741AF" w:rsidP="007B4D29">
      <w:pPr>
        <w:pStyle w:val="h1Chap"/>
      </w:pPr>
      <w:bookmarkStart w:id="67" w:name="_Toc467774878"/>
      <w:bookmarkStart w:id="68" w:name="_Toc467775593"/>
      <w:bookmarkStart w:id="69" w:name="_Toc498294004"/>
      <w:bookmarkStart w:id="70" w:name="_Toc17792725"/>
      <w:r w:rsidRPr="00A45E22">
        <w:lastRenderedPageBreak/>
        <w:t>Schedule 1</w:t>
      </w:r>
      <w:r w:rsidR="00E15BFF" w:rsidRPr="00A45E22">
        <w:t>—</w:t>
      </w:r>
      <w:r w:rsidR="00E15BFF" w:rsidRPr="00A45E22">
        <w:rPr>
          <w:rStyle w:val="CharChapText"/>
        </w:rPr>
        <w:t>Default methane</w:t>
      </w:r>
      <w:r w:rsidR="00E15BFF" w:rsidRPr="00A45E22">
        <w:rPr>
          <w:rStyle w:val="CharChapText"/>
        </w:rPr>
        <w:noBreakHyphen/>
        <w:t xml:space="preserve">producing capacities for types of </w:t>
      </w:r>
      <w:bookmarkEnd w:id="67"/>
      <w:bookmarkEnd w:id="68"/>
      <w:r w:rsidR="00E15BFF" w:rsidRPr="00A45E22">
        <w:rPr>
          <w:rStyle w:val="CharChapText"/>
        </w:rPr>
        <w:t>material</w:t>
      </w:r>
      <w:bookmarkEnd w:id="69"/>
      <w:bookmarkEnd w:id="70"/>
    </w:p>
    <w:p w14:paraId="400F7EF0" w14:textId="77777777" w:rsidR="00E15BFF" w:rsidRPr="00A45E22" w:rsidRDefault="00E15BFF" w:rsidP="00E15BFF">
      <w:pPr>
        <w:pStyle w:val="ntoHeading"/>
        <w:spacing w:line="276" w:lineRule="auto"/>
      </w:pPr>
      <w:bookmarkStart w:id="71" w:name="f_Check_Lines_above"/>
      <w:bookmarkEnd w:id="71"/>
      <w:r w:rsidRPr="00A45E22">
        <w:t>Note:</w:t>
      </w:r>
      <w:r w:rsidRPr="00A45E22">
        <w:tab/>
        <w:t xml:space="preserve">See section </w:t>
      </w:r>
      <w:r w:rsidR="00E30506" w:rsidRPr="00A45E22">
        <w:t>4</w:t>
      </w:r>
      <w:r w:rsidR="00E57D45" w:rsidRPr="00A45E22">
        <w:t xml:space="preserve"> </w:t>
      </w:r>
      <w:r w:rsidR="00BA7E34" w:rsidRPr="00A45E22">
        <w:t>of this Supplement, and the</w:t>
      </w:r>
      <w:r w:rsidR="00E57D45" w:rsidRPr="00A45E22">
        <w:t xml:space="preserve"> definition of </w:t>
      </w:r>
      <w:r w:rsidR="00E57D45" w:rsidRPr="00A45E22">
        <w:rPr>
          <w:b/>
          <w:i/>
        </w:rPr>
        <w:t>default capacity</w:t>
      </w:r>
      <w:r w:rsidR="00E57D45" w:rsidRPr="00A45E22">
        <w:t xml:space="preserve"> in section </w:t>
      </w:r>
      <w:r w:rsidR="002A7439" w:rsidRPr="00A45E22">
        <w:t>5</w:t>
      </w:r>
      <w:r w:rsidR="00E57D45" w:rsidRPr="00A45E22">
        <w:t xml:space="preserve"> of the Determination.</w:t>
      </w:r>
    </w:p>
    <w:p w14:paraId="400F7EF1" w14:textId="77777777" w:rsidR="00E15BFF" w:rsidRPr="00A45E22" w:rsidRDefault="00E57D45" w:rsidP="00E57D45">
      <w:pPr>
        <w:pStyle w:val="tMain"/>
      </w:pPr>
      <w:bookmarkStart w:id="72" w:name="f_Check_Lines_below"/>
      <w:bookmarkEnd w:id="72"/>
      <w:r w:rsidRPr="00A45E22">
        <w:tab/>
      </w:r>
      <w:r w:rsidRPr="00A45E22">
        <w:tab/>
      </w:r>
      <w:r w:rsidR="00E15BFF" w:rsidRPr="00A45E22">
        <w:t xml:space="preserve">The </w:t>
      </w:r>
      <w:r w:rsidR="00E15BFF" w:rsidRPr="00A45E22">
        <w:rPr>
          <w:b/>
          <w:i/>
        </w:rPr>
        <w:t xml:space="preserve">default </w:t>
      </w:r>
      <w:r w:rsidRPr="00A45E22">
        <w:rPr>
          <w:b/>
          <w:i/>
        </w:rPr>
        <w:t>capacity</w:t>
      </w:r>
      <w:r w:rsidR="00E15BFF" w:rsidRPr="00A45E22">
        <w:rPr>
          <w:b/>
          <w:i/>
        </w:rPr>
        <w:t xml:space="preserve"> </w:t>
      </w:r>
      <w:r w:rsidR="00E15BFF" w:rsidRPr="00A45E22">
        <w:t>for the methane</w:t>
      </w:r>
      <w:r w:rsidR="00E15BFF" w:rsidRPr="00A45E22">
        <w:noBreakHyphen/>
        <w:t xml:space="preserve">producing capacity </w:t>
      </w:r>
      <w:r w:rsidRPr="00A45E22">
        <w:t>of</w:t>
      </w:r>
      <w:r w:rsidR="00E15BFF" w:rsidRPr="00A45E22">
        <w:t xml:space="preserve"> the volatile solids deriving from </w:t>
      </w:r>
      <w:r w:rsidR="00F54E2E" w:rsidRPr="00A45E22">
        <w:t xml:space="preserve">a </w:t>
      </w:r>
      <w:r w:rsidR="00E15BFF" w:rsidRPr="00A45E22">
        <w:t>type of material</w:t>
      </w:r>
      <w:r w:rsidRPr="00A45E22">
        <w:t xml:space="preserve"> listed in the table below is as specified in the table</w:t>
      </w:r>
      <w:r w:rsidR="000B6402" w:rsidRPr="00A45E22">
        <w:t xml:space="preserve"> for the relevant equation that the capacity is used</w:t>
      </w:r>
      <w:r w:rsidRPr="00A45E22">
        <w:t>:</w:t>
      </w:r>
    </w:p>
    <w:p w14:paraId="400F7EF2" w14:textId="77777777" w:rsidR="00D7238F" w:rsidRPr="00A45E22" w:rsidRDefault="00D7238F" w:rsidP="00E57D45">
      <w:pPr>
        <w:pStyle w:val="tMain"/>
      </w:pPr>
    </w:p>
    <w:tbl>
      <w:tblPr>
        <w:tblW w:w="8397" w:type="dxa"/>
        <w:tblInd w:w="1242"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601"/>
        <w:gridCol w:w="142"/>
        <w:gridCol w:w="3118"/>
        <w:gridCol w:w="2552"/>
        <w:gridCol w:w="1984"/>
      </w:tblGrid>
      <w:tr w:rsidR="00740DE0" w:rsidRPr="00A45E22" w14:paraId="400F7EF5" w14:textId="77777777" w:rsidTr="009627EA">
        <w:trPr>
          <w:tblHeader/>
        </w:trPr>
        <w:tc>
          <w:tcPr>
            <w:tcW w:w="6413" w:type="dxa"/>
            <w:gridSpan w:val="4"/>
            <w:tcBorders>
              <w:top w:val="single" w:sz="12" w:space="0" w:color="auto"/>
              <w:left w:val="nil"/>
              <w:bottom w:val="single" w:sz="6" w:space="0" w:color="auto"/>
              <w:right w:val="nil"/>
            </w:tcBorders>
            <w:hideMark/>
          </w:tcPr>
          <w:p w14:paraId="400F7EF3" w14:textId="77777777" w:rsidR="000B6402" w:rsidRPr="00A45E22" w:rsidRDefault="000B6402">
            <w:pPr>
              <w:pStyle w:val="TableHeading"/>
              <w:spacing w:line="276" w:lineRule="auto"/>
            </w:pPr>
            <w:r w:rsidRPr="00A45E22">
              <w:t>Default methane</w:t>
            </w:r>
            <w:r w:rsidRPr="00A45E22">
              <w:noBreakHyphen/>
              <w:t>producing capacities for different types of material</w:t>
            </w:r>
          </w:p>
        </w:tc>
        <w:tc>
          <w:tcPr>
            <w:tcW w:w="1984" w:type="dxa"/>
            <w:tcBorders>
              <w:top w:val="single" w:sz="12" w:space="0" w:color="auto"/>
              <w:left w:val="nil"/>
              <w:bottom w:val="single" w:sz="6" w:space="0" w:color="auto"/>
              <w:right w:val="nil"/>
            </w:tcBorders>
          </w:tcPr>
          <w:p w14:paraId="400F7EF4" w14:textId="77777777" w:rsidR="000B6402" w:rsidRPr="00A45E22" w:rsidRDefault="000B6402">
            <w:pPr>
              <w:pStyle w:val="TableHeading"/>
              <w:spacing w:line="276" w:lineRule="auto"/>
            </w:pPr>
          </w:p>
        </w:tc>
      </w:tr>
      <w:tr w:rsidR="00740DE0" w:rsidRPr="00A45E22" w14:paraId="400F7EFC" w14:textId="77777777" w:rsidTr="009627EA">
        <w:trPr>
          <w:tblHeader/>
        </w:trPr>
        <w:tc>
          <w:tcPr>
            <w:tcW w:w="743" w:type="dxa"/>
            <w:gridSpan w:val="2"/>
            <w:tcBorders>
              <w:top w:val="single" w:sz="6" w:space="0" w:color="auto"/>
              <w:left w:val="nil"/>
              <w:bottom w:val="single" w:sz="12" w:space="0" w:color="auto"/>
              <w:right w:val="nil"/>
            </w:tcBorders>
            <w:hideMark/>
          </w:tcPr>
          <w:p w14:paraId="400F7EF6" w14:textId="77777777" w:rsidR="000B6402" w:rsidRPr="00A45E22" w:rsidRDefault="000B6402">
            <w:pPr>
              <w:pStyle w:val="TableHeading"/>
              <w:spacing w:line="276" w:lineRule="auto"/>
            </w:pPr>
            <w:r w:rsidRPr="00A45E22">
              <w:t>Item</w:t>
            </w:r>
          </w:p>
        </w:tc>
        <w:tc>
          <w:tcPr>
            <w:tcW w:w="3118" w:type="dxa"/>
            <w:tcBorders>
              <w:top w:val="single" w:sz="6" w:space="0" w:color="auto"/>
              <w:left w:val="nil"/>
              <w:bottom w:val="single" w:sz="12" w:space="0" w:color="auto"/>
              <w:right w:val="nil"/>
            </w:tcBorders>
            <w:hideMark/>
          </w:tcPr>
          <w:p w14:paraId="400F7EF7" w14:textId="77777777" w:rsidR="000B6402" w:rsidRPr="00A45E22" w:rsidRDefault="000B6402">
            <w:pPr>
              <w:pStyle w:val="TableHeading"/>
              <w:spacing w:line="276" w:lineRule="auto"/>
            </w:pPr>
            <w:r w:rsidRPr="00A45E22">
              <w:t>Type of material (w)</w:t>
            </w:r>
          </w:p>
        </w:tc>
        <w:tc>
          <w:tcPr>
            <w:tcW w:w="2552" w:type="dxa"/>
            <w:tcBorders>
              <w:top w:val="single" w:sz="6" w:space="0" w:color="auto"/>
              <w:left w:val="nil"/>
              <w:bottom w:val="single" w:sz="12" w:space="0" w:color="auto"/>
              <w:right w:val="nil"/>
            </w:tcBorders>
            <w:hideMark/>
          </w:tcPr>
          <w:p w14:paraId="400F7EF8" w14:textId="77777777" w:rsidR="000B6402" w:rsidRPr="00A45E22" w:rsidRDefault="009627EA" w:rsidP="005D168D">
            <w:pPr>
              <w:pStyle w:val="TableHeading"/>
              <w:spacing w:line="276" w:lineRule="auto"/>
              <w:jc w:val="right"/>
              <w:rPr>
                <w:b w:val="0"/>
              </w:rPr>
            </w:pPr>
            <w:r w:rsidRPr="00A45E22">
              <w:t>Equations 7 and 12 d</w:t>
            </w:r>
            <w:r w:rsidR="000B6402" w:rsidRPr="00A45E22">
              <w:t>efault methane-producing capacity (B</w:t>
            </w:r>
            <w:r w:rsidR="000B6402" w:rsidRPr="00A45E22">
              <w:rPr>
                <w:vertAlign w:val="subscript"/>
              </w:rPr>
              <w:t>0,</w:t>
            </w:r>
            <w:r w:rsidRPr="00A45E22">
              <w:rPr>
                <w:vertAlign w:val="subscript"/>
              </w:rPr>
              <w:t xml:space="preserve"> Div</w:t>
            </w:r>
            <w:r w:rsidR="000B6402" w:rsidRPr="00A45E22">
              <w:rPr>
                <w:vertAlign w:val="subscript"/>
              </w:rPr>
              <w:t> w</w:t>
            </w:r>
            <w:r w:rsidR="000B6402" w:rsidRPr="00A45E22">
              <w:t xml:space="preserve">) </w:t>
            </w:r>
            <w:r w:rsidR="000B6402" w:rsidRPr="00A45E22">
              <w:br/>
            </w:r>
            <w:r w:rsidR="000B6402" w:rsidRPr="00A45E22">
              <w:rPr>
                <w:b w:val="0"/>
              </w:rPr>
              <w:t xml:space="preserve">cubic </w:t>
            </w:r>
            <w:r w:rsidR="000A1B5D" w:rsidRPr="00A45E22">
              <w:rPr>
                <w:b w:val="0"/>
              </w:rPr>
              <w:t>metre</w:t>
            </w:r>
            <w:r w:rsidR="000B6402" w:rsidRPr="00A45E22">
              <w:rPr>
                <w:b w:val="0"/>
              </w:rPr>
              <w:t>s of methane</w:t>
            </w:r>
            <w:r w:rsidR="000B6402" w:rsidRPr="00A45E22">
              <w:rPr>
                <w:b w:val="0"/>
              </w:rPr>
              <w:br/>
              <w:t>per tonne of volatile solids (m</w:t>
            </w:r>
            <w:r w:rsidR="000B6402" w:rsidRPr="00A45E22">
              <w:rPr>
                <w:b w:val="0"/>
                <w:vertAlign w:val="superscript"/>
              </w:rPr>
              <w:t>3</w:t>
            </w:r>
            <w:r w:rsidR="000B6402" w:rsidRPr="00A45E22">
              <w:rPr>
                <w:b w:val="0"/>
              </w:rPr>
              <w:t> CH</w:t>
            </w:r>
            <w:r w:rsidR="000B6402" w:rsidRPr="00A45E22">
              <w:rPr>
                <w:b w:val="0"/>
                <w:vertAlign w:val="subscript"/>
              </w:rPr>
              <w:t>4</w:t>
            </w:r>
            <w:r w:rsidR="000B6402" w:rsidRPr="00A45E22">
              <w:rPr>
                <w:b w:val="0"/>
              </w:rPr>
              <w:t>/tonne</w:t>
            </w:r>
            <w:r w:rsidR="000B6402" w:rsidRPr="00A45E22">
              <w:rPr>
                <w:b w:val="0"/>
                <w:lang w:val="en-GB"/>
              </w:rPr>
              <w:t> </w:t>
            </w:r>
            <w:r w:rsidR="000B6402" w:rsidRPr="00A45E22">
              <w:rPr>
                <w:b w:val="0"/>
              </w:rPr>
              <w:t>VS)</w:t>
            </w:r>
          </w:p>
          <w:p w14:paraId="400F7EF9" w14:textId="77777777" w:rsidR="000B6402" w:rsidRPr="00A45E22" w:rsidRDefault="000B6402" w:rsidP="005D168D">
            <w:pPr>
              <w:pStyle w:val="TableHeading"/>
              <w:spacing w:line="276" w:lineRule="auto"/>
              <w:jc w:val="right"/>
              <w:rPr>
                <w:i/>
              </w:rPr>
            </w:pPr>
            <w:r w:rsidRPr="00A45E22">
              <w:rPr>
                <w:b w:val="0"/>
                <w:i/>
              </w:rPr>
              <w:t xml:space="preserve">(eligible material) </w:t>
            </w:r>
          </w:p>
        </w:tc>
        <w:tc>
          <w:tcPr>
            <w:tcW w:w="1984" w:type="dxa"/>
            <w:tcBorders>
              <w:top w:val="single" w:sz="6" w:space="0" w:color="auto"/>
              <w:left w:val="nil"/>
              <w:bottom w:val="single" w:sz="12" w:space="0" w:color="auto"/>
              <w:right w:val="nil"/>
            </w:tcBorders>
          </w:tcPr>
          <w:p w14:paraId="400F7EFA" w14:textId="77777777" w:rsidR="000B6402" w:rsidRPr="00A45E22" w:rsidRDefault="000B6402" w:rsidP="005D168D">
            <w:pPr>
              <w:pStyle w:val="TableHeading"/>
              <w:spacing w:line="276" w:lineRule="auto"/>
              <w:jc w:val="right"/>
              <w:rPr>
                <w:b w:val="0"/>
              </w:rPr>
            </w:pPr>
            <w:r w:rsidRPr="00A45E22">
              <w:t xml:space="preserve">Equations 8 </w:t>
            </w:r>
            <w:r w:rsidR="009627EA" w:rsidRPr="00A45E22">
              <w:t>d</w:t>
            </w:r>
            <w:r w:rsidRPr="00A45E22">
              <w:t>efault methane-producing capacity (B</w:t>
            </w:r>
            <w:r w:rsidRPr="00A45E22">
              <w:rPr>
                <w:vertAlign w:val="subscript"/>
              </w:rPr>
              <w:t>0, w</w:t>
            </w:r>
            <w:r w:rsidRPr="00A45E22">
              <w:t xml:space="preserve">) </w:t>
            </w:r>
            <w:r w:rsidRPr="00A45E22">
              <w:br/>
            </w:r>
            <w:r w:rsidRPr="00A45E22">
              <w:rPr>
                <w:b w:val="0"/>
              </w:rPr>
              <w:t xml:space="preserve">cubic </w:t>
            </w:r>
            <w:r w:rsidR="000A1B5D" w:rsidRPr="00A45E22">
              <w:rPr>
                <w:b w:val="0"/>
              </w:rPr>
              <w:t>metre</w:t>
            </w:r>
            <w:r w:rsidRPr="00A45E22">
              <w:rPr>
                <w:b w:val="0"/>
              </w:rPr>
              <w:t>s of methane</w:t>
            </w:r>
            <w:r w:rsidRPr="00A45E22">
              <w:rPr>
                <w:b w:val="0"/>
              </w:rPr>
              <w:br/>
              <w:t>per tonne of volatile solids (m</w:t>
            </w:r>
            <w:r w:rsidRPr="00A45E22">
              <w:rPr>
                <w:b w:val="0"/>
                <w:vertAlign w:val="superscript"/>
              </w:rPr>
              <w:t>3</w:t>
            </w:r>
            <w:r w:rsidRPr="00A45E22">
              <w:rPr>
                <w:b w:val="0"/>
              </w:rPr>
              <w:t> CH</w:t>
            </w:r>
            <w:r w:rsidRPr="00A45E22">
              <w:rPr>
                <w:b w:val="0"/>
                <w:vertAlign w:val="subscript"/>
              </w:rPr>
              <w:t>4</w:t>
            </w:r>
            <w:r w:rsidRPr="00A45E22">
              <w:rPr>
                <w:b w:val="0"/>
              </w:rPr>
              <w:t>/tonne</w:t>
            </w:r>
            <w:r w:rsidRPr="00A45E22">
              <w:rPr>
                <w:b w:val="0"/>
                <w:lang w:val="en-GB"/>
              </w:rPr>
              <w:t> </w:t>
            </w:r>
            <w:r w:rsidRPr="00A45E22">
              <w:rPr>
                <w:b w:val="0"/>
              </w:rPr>
              <w:t>VS)</w:t>
            </w:r>
          </w:p>
          <w:p w14:paraId="400F7EFB" w14:textId="77777777" w:rsidR="000B6402" w:rsidRPr="00A45E22" w:rsidRDefault="000B6402" w:rsidP="000B6402">
            <w:pPr>
              <w:pStyle w:val="Tabletext"/>
              <w:rPr>
                <w:i/>
              </w:rPr>
            </w:pPr>
            <w:r w:rsidRPr="00A45E22">
              <w:rPr>
                <w:i/>
              </w:rPr>
              <w:t>(ineligible material)</w:t>
            </w:r>
          </w:p>
        </w:tc>
      </w:tr>
      <w:tr w:rsidR="00740DE0" w:rsidRPr="00A45E22" w14:paraId="400F7F01" w14:textId="77777777" w:rsidTr="009627EA">
        <w:tc>
          <w:tcPr>
            <w:tcW w:w="601" w:type="dxa"/>
            <w:tcBorders>
              <w:top w:val="single" w:sz="4" w:space="0" w:color="auto"/>
              <w:left w:val="nil"/>
              <w:bottom w:val="single" w:sz="4" w:space="0" w:color="auto"/>
              <w:right w:val="nil"/>
            </w:tcBorders>
            <w:vAlign w:val="center"/>
          </w:tcPr>
          <w:p w14:paraId="400F7EFD" w14:textId="77777777" w:rsidR="0018781A" w:rsidRPr="00A45E22" w:rsidRDefault="0018781A" w:rsidP="0018781A">
            <w:pPr>
              <w:spacing w:line="240" w:lineRule="auto"/>
              <w:jc w:val="right"/>
              <w:rPr>
                <w:rFonts w:eastAsia="Times New Roman"/>
                <w:sz w:val="20"/>
                <w:lang w:eastAsia="en-AU"/>
              </w:rPr>
            </w:pPr>
            <w:r w:rsidRPr="00A45E22">
              <w:rPr>
                <w:noProof/>
                <w:sz w:val="20"/>
              </w:rPr>
              <w:t>1</w:t>
            </w:r>
          </w:p>
        </w:tc>
        <w:tc>
          <w:tcPr>
            <w:tcW w:w="3260" w:type="dxa"/>
            <w:gridSpan w:val="2"/>
            <w:tcBorders>
              <w:top w:val="single" w:sz="4" w:space="0" w:color="auto"/>
              <w:left w:val="nil"/>
              <w:bottom w:val="single" w:sz="4" w:space="0" w:color="auto"/>
              <w:right w:val="nil"/>
            </w:tcBorders>
            <w:vAlign w:val="center"/>
          </w:tcPr>
          <w:p w14:paraId="400F7EFE" w14:textId="77777777" w:rsidR="0018781A" w:rsidRPr="00A45E22" w:rsidRDefault="0018781A" w:rsidP="0018781A">
            <w:pPr>
              <w:spacing w:line="240" w:lineRule="auto"/>
              <w:rPr>
                <w:rFonts w:eastAsia="Times New Roman"/>
                <w:sz w:val="20"/>
                <w:lang w:eastAsia="en-AU"/>
              </w:rPr>
            </w:pPr>
            <w:r w:rsidRPr="00A45E22">
              <w:rPr>
                <w:sz w:val="20"/>
              </w:rPr>
              <w:t>Piggery effluent, including separated solids</w:t>
            </w:r>
          </w:p>
        </w:tc>
        <w:tc>
          <w:tcPr>
            <w:tcW w:w="2552" w:type="dxa"/>
            <w:tcBorders>
              <w:top w:val="single" w:sz="4" w:space="0" w:color="auto"/>
              <w:left w:val="nil"/>
              <w:bottom w:val="single" w:sz="4" w:space="0" w:color="auto"/>
              <w:right w:val="nil"/>
            </w:tcBorders>
            <w:vAlign w:val="center"/>
          </w:tcPr>
          <w:p w14:paraId="400F7EFF" w14:textId="77777777" w:rsidR="0018781A" w:rsidRPr="00A45E22" w:rsidRDefault="0018781A" w:rsidP="0018781A">
            <w:pPr>
              <w:spacing w:line="240" w:lineRule="auto"/>
              <w:jc w:val="right"/>
              <w:rPr>
                <w:rFonts w:eastAsia="Times New Roman"/>
                <w:sz w:val="20"/>
                <w:lang w:eastAsia="en-AU"/>
              </w:rPr>
            </w:pPr>
            <w:r w:rsidRPr="00A45E22">
              <w:rPr>
                <w:sz w:val="20"/>
              </w:rPr>
              <w:t>270</w:t>
            </w:r>
          </w:p>
        </w:tc>
        <w:tc>
          <w:tcPr>
            <w:tcW w:w="1984" w:type="dxa"/>
            <w:tcBorders>
              <w:top w:val="single" w:sz="4" w:space="0" w:color="auto"/>
              <w:left w:val="nil"/>
              <w:bottom w:val="single" w:sz="4" w:space="0" w:color="auto"/>
              <w:right w:val="nil"/>
            </w:tcBorders>
            <w:vAlign w:val="center"/>
          </w:tcPr>
          <w:p w14:paraId="400F7F00" w14:textId="77777777" w:rsidR="0018781A" w:rsidRPr="00A45E22" w:rsidRDefault="0018781A" w:rsidP="0018781A">
            <w:pPr>
              <w:spacing w:line="240" w:lineRule="auto"/>
              <w:jc w:val="right"/>
              <w:rPr>
                <w:rFonts w:eastAsia="Times New Roman"/>
                <w:sz w:val="20"/>
                <w:lang w:eastAsia="en-AU"/>
              </w:rPr>
            </w:pPr>
            <w:r w:rsidRPr="00A45E22">
              <w:rPr>
                <w:sz w:val="20"/>
              </w:rPr>
              <w:t>450</w:t>
            </w:r>
          </w:p>
        </w:tc>
      </w:tr>
      <w:tr w:rsidR="00740DE0" w:rsidRPr="00A45E22" w14:paraId="400F7F06" w14:textId="77777777" w:rsidTr="009627EA">
        <w:tc>
          <w:tcPr>
            <w:tcW w:w="601" w:type="dxa"/>
            <w:tcBorders>
              <w:top w:val="single" w:sz="4" w:space="0" w:color="auto"/>
              <w:left w:val="nil"/>
              <w:bottom w:val="single" w:sz="4" w:space="0" w:color="auto"/>
              <w:right w:val="nil"/>
            </w:tcBorders>
            <w:vAlign w:val="center"/>
          </w:tcPr>
          <w:p w14:paraId="400F7F02" w14:textId="77777777" w:rsidR="0018781A" w:rsidRPr="00A45E22" w:rsidRDefault="0018781A" w:rsidP="0018781A">
            <w:pPr>
              <w:jc w:val="right"/>
              <w:rPr>
                <w:sz w:val="20"/>
              </w:rPr>
            </w:pPr>
            <w:r w:rsidRPr="00A45E22">
              <w:rPr>
                <w:noProof/>
                <w:sz w:val="20"/>
              </w:rPr>
              <w:t>2</w:t>
            </w:r>
          </w:p>
        </w:tc>
        <w:tc>
          <w:tcPr>
            <w:tcW w:w="3260" w:type="dxa"/>
            <w:gridSpan w:val="2"/>
            <w:tcBorders>
              <w:top w:val="single" w:sz="4" w:space="0" w:color="auto"/>
              <w:left w:val="nil"/>
              <w:bottom w:val="single" w:sz="4" w:space="0" w:color="auto"/>
              <w:right w:val="nil"/>
            </w:tcBorders>
            <w:vAlign w:val="center"/>
          </w:tcPr>
          <w:p w14:paraId="400F7F03" w14:textId="77777777" w:rsidR="0018781A" w:rsidRPr="00A45E22" w:rsidRDefault="0018781A" w:rsidP="0018781A">
            <w:pPr>
              <w:rPr>
                <w:sz w:val="20"/>
              </w:rPr>
            </w:pPr>
            <w:r w:rsidRPr="00A45E22">
              <w:rPr>
                <w:sz w:val="20"/>
              </w:rPr>
              <w:t>Dairy cow effluent, including separated solids</w:t>
            </w:r>
          </w:p>
        </w:tc>
        <w:tc>
          <w:tcPr>
            <w:tcW w:w="2552" w:type="dxa"/>
            <w:tcBorders>
              <w:top w:val="single" w:sz="4" w:space="0" w:color="auto"/>
              <w:left w:val="nil"/>
              <w:bottom w:val="single" w:sz="4" w:space="0" w:color="auto"/>
              <w:right w:val="nil"/>
            </w:tcBorders>
            <w:vAlign w:val="center"/>
          </w:tcPr>
          <w:p w14:paraId="400F7F04" w14:textId="77777777" w:rsidR="0018781A" w:rsidRPr="00A45E22" w:rsidRDefault="0018781A" w:rsidP="0018781A">
            <w:pPr>
              <w:jc w:val="right"/>
              <w:rPr>
                <w:sz w:val="20"/>
              </w:rPr>
            </w:pPr>
            <w:r w:rsidRPr="00A45E22">
              <w:rPr>
                <w:sz w:val="20"/>
              </w:rPr>
              <w:t>145</w:t>
            </w:r>
          </w:p>
        </w:tc>
        <w:tc>
          <w:tcPr>
            <w:tcW w:w="1984" w:type="dxa"/>
            <w:tcBorders>
              <w:top w:val="single" w:sz="4" w:space="0" w:color="auto"/>
              <w:left w:val="nil"/>
              <w:bottom w:val="single" w:sz="4" w:space="0" w:color="auto"/>
              <w:right w:val="nil"/>
            </w:tcBorders>
            <w:vAlign w:val="center"/>
          </w:tcPr>
          <w:p w14:paraId="400F7F05" w14:textId="77777777" w:rsidR="0018781A" w:rsidRPr="00A45E22" w:rsidRDefault="0018781A" w:rsidP="0018781A">
            <w:pPr>
              <w:jc w:val="right"/>
              <w:rPr>
                <w:sz w:val="20"/>
              </w:rPr>
            </w:pPr>
            <w:r w:rsidRPr="00A45E22">
              <w:rPr>
                <w:sz w:val="20"/>
              </w:rPr>
              <w:t>250</w:t>
            </w:r>
          </w:p>
        </w:tc>
      </w:tr>
      <w:tr w:rsidR="00740DE0" w:rsidRPr="00A45E22" w14:paraId="400F7F0B" w14:textId="77777777" w:rsidTr="009627EA">
        <w:tc>
          <w:tcPr>
            <w:tcW w:w="601" w:type="dxa"/>
            <w:tcBorders>
              <w:top w:val="single" w:sz="4" w:space="0" w:color="auto"/>
              <w:left w:val="nil"/>
              <w:bottom w:val="single" w:sz="4" w:space="0" w:color="auto"/>
              <w:right w:val="nil"/>
            </w:tcBorders>
            <w:vAlign w:val="center"/>
          </w:tcPr>
          <w:p w14:paraId="400F7F07" w14:textId="77777777" w:rsidR="0018781A" w:rsidRPr="00A45E22" w:rsidRDefault="0018781A" w:rsidP="0018781A">
            <w:pPr>
              <w:jc w:val="right"/>
              <w:rPr>
                <w:sz w:val="20"/>
              </w:rPr>
            </w:pPr>
            <w:r w:rsidRPr="00A45E22">
              <w:rPr>
                <w:noProof/>
                <w:sz w:val="20"/>
              </w:rPr>
              <w:t>3</w:t>
            </w:r>
          </w:p>
        </w:tc>
        <w:tc>
          <w:tcPr>
            <w:tcW w:w="3260" w:type="dxa"/>
            <w:gridSpan w:val="2"/>
            <w:tcBorders>
              <w:top w:val="single" w:sz="4" w:space="0" w:color="auto"/>
              <w:left w:val="nil"/>
              <w:bottom w:val="single" w:sz="4" w:space="0" w:color="auto"/>
              <w:right w:val="nil"/>
            </w:tcBorders>
            <w:vAlign w:val="center"/>
          </w:tcPr>
          <w:p w14:paraId="400F7F08" w14:textId="77777777" w:rsidR="0018781A" w:rsidRPr="00A45E22" w:rsidRDefault="0018781A" w:rsidP="0018781A">
            <w:pPr>
              <w:rPr>
                <w:sz w:val="20"/>
              </w:rPr>
            </w:pPr>
            <w:r w:rsidRPr="00A45E22">
              <w:rPr>
                <w:sz w:val="20"/>
              </w:rPr>
              <w:t>Feeder cattle effluent</w:t>
            </w:r>
          </w:p>
        </w:tc>
        <w:tc>
          <w:tcPr>
            <w:tcW w:w="2552" w:type="dxa"/>
            <w:tcBorders>
              <w:top w:val="single" w:sz="4" w:space="0" w:color="auto"/>
              <w:left w:val="nil"/>
              <w:bottom w:val="single" w:sz="4" w:space="0" w:color="auto"/>
              <w:right w:val="nil"/>
            </w:tcBorders>
            <w:vAlign w:val="center"/>
          </w:tcPr>
          <w:p w14:paraId="400F7F09" w14:textId="77777777" w:rsidR="0018781A" w:rsidRPr="00A45E22" w:rsidRDefault="0018781A" w:rsidP="0018781A">
            <w:pPr>
              <w:jc w:val="right"/>
              <w:rPr>
                <w:sz w:val="20"/>
              </w:rPr>
            </w:pPr>
            <w:r w:rsidRPr="00A45E22">
              <w:rPr>
                <w:sz w:val="20"/>
              </w:rPr>
              <w:t>130</w:t>
            </w:r>
          </w:p>
        </w:tc>
        <w:tc>
          <w:tcPr>
            <w:tcW w:w="1984" w:type="dxa"/>
            <w:tcBorders>
              <w:top w:val="single" w:sz="4" w:space="0" w:color="auto"/>
              <w:left w:val="nil"/>
              <w:bottom w:val="single" w:sz="4" w:space="0" w:color="auto"/>
              <w:right w:val="nil"/>
            </w:tcBorders>
            <w:vAlign w:val="center"/>
          </w:tcPr>
          <w:p w14:paraId="400F7F0A" w14:textId="77777777" w:rsidR="0018781A" w:rsidRPr="00A45E22" w:rsidRDefault="0018781A" w:rsidP="0018781A">
            <w:pPr>
              <w:jc w:val="right"/>
              <w:rPr>
                <w:sz w:val="20"/>
              </w:rPr>
            </w:pPr>
            <w:r w:rsidRPr="00A45E22">
              <w:rPr>
                <w:sz w:val="20"/>
              </w:rPr>
              <w:t>220</w:t>
            </w:r>
          </w:p>
        </w:tc>
      </w:tr>
      <w:tr w:rsidR="00740DE0" w:rsidRPr="00A45E22" w14:paraId="400F7F10" w14:textId="77777777" w:rsidTr="009627EA">
        <w:tc>
          <w:tcPr>
            <w:tcW w:w="601" w:type="dxa"/>
            <w:tcBorders>
              <w:top w:val="single" w:sz="4" w:space="0" w:color="auto"/>
              <w:left w:val="nil"/>
              <w:bottom w:val="single" w:sz="4" w:space="0" w:color="auto"/>
              <w:right w:val="nil"/>
            </w:tcBorders>
            <w:vAlign w:val="center"/>
          </w:tcPr>
          <w:p w14:paraId="400F7F0C" w14:textId="77777777" w:rsidR="0018781A" w:rsidRPr="00A45E22" w:rsidRDefault="0018781A" w:rsidP="0018781A">
            <w:pPr>
              <w:jc w:val="right"/>
              <w:rPr>
                <w:sz w:val="20"/>
              </w:rPr>
            </w:pPr>
            <w:r w:rsidRPr="00A45E22">
              <w:rPr>
                <w:noProof/>
                <w:sz w:val="20"/>
              </w:rPr>
              <w:t>4</w:t>
            </w:r>
          </w:p>
        </w:tc>
        <w:tc>
          <w:tcPr>
            <w:tcW w:w="3260" w:type="dxa"/>
            <w:gridSpan w:val="2"/>
            <w:tcBorders>
              <w:top w:val="single" w:sz="4" w:space="0" w:color="auto"/>
              <w:left w:val="nil"/>
              <w:bottom w:val="single" w:sz="4" w:space="0" w:color="auto"/>
              <w:right w:val="nil"/>
            </w:tcBorders>
            <w:vAlign w:val="center"/>
          </w:tcPr>
          <w:p w14:paraId="400F7F0D" w14:textId="77777777" w:rsidR="0018781A" w:rsidRPr="00A45E22" w:rsidRDefault="0018781A" w:rsidP="0018781A">
            <w:pPr>
              <w:rPr>
                <w:sz w:val="20"/>
              </w:rPr>
            </w:pPr>
            <w:r w:rsidRPr="00A45E22">
              <w:rPr>
                <w:sz w:val="20"/>
              </w:rPr>
              <w:t>Poultry manure, including litter</w:t>
            </w:r>
          </w:p>
        </w:tc>
        <w:tc>
          <w:tcPr>
            <w:tcW w:w="2552" w:type="dxa"/>
            <w:tcBorders>
              <w:top w:val="single" w:sz="4" w:space="0" w:color="auto"/>
              <w:left w:val="nil"/>
              <w:bottom w:val="single" w:sz="4" w:space="0" w:color="auto"/>
              <w:right w:val="nil"/>
            </w:tcBorders>
            <w:vAlign w:val="center"/>
          </w:tcPr>
          <w:p w14:paraId="400F7F0E" w14:textId="77777777" w:rsidR="0018781A" w:rsidRPr="00A45E22" w:rsidRDefault="0018781A" w:rsidP="0018781A">
            <w:pPr>
              <w:jc w:val="right"/>
              <w:rPr>
                <w:sz w:val="20"/>
              </w:rPr>
            </w:pPr>
            <w:r w:rsidRPr="00A45E22">
              <w:rPr>
                <w:sz w:val="20"/>
              </w:rPr>
              <w:t>200</w:t>
            </w:r>
          </w:p>
        </w:tc>
        <w:tc>
          <w:tcPr>
            <w:tcW w:w="1984" w:type="dxa"/>
            <w:tcBorders>
              <w:top w:val="single" w:sz="4" w:space="0" w:color="auto"/>
              <w:left w:val="nil"/>
              <w:bottom w:val="single" w:sz="4" w:space="0" w:color="auto"/>
              <w:right w:val="nil"/>
            </w:tcBorders>
            <w:vAlign w:val="center"/>
          </w:tcPr>
          <w:p w14:paraId="400F7F0F" w14:textId="77777777" w:rsidR="0018781A" w:rsidRPr="00A45E22" w:rsidRDefault="0018781A" w:rsidP="0018781A">
            <w:pPr>
              <w:jc w:val="right"/>
              <w:rPr>
                <w:sz w:val="20"/>
              </w:rPr>
            </w:pPr>
            <w:r w:rsidRPr="00A45E22">
              <w:rPr>
                <w:sz w:val="20"/>
              </w:rPr>
              <w:t>330</w:t>
            </w:r>
          </w:p>
        </w:tc>
      </w:tr>
      <w:tr w:rsidR="00740DE0" w:rsidRPr="00A45E22" w14:paraId="400F7F15" w14:textId="77777777" w:rsidTr="0018781A">
        <w:tc>
          <w:tcPr>
            <w:tcW w:w="601" w:type="dxa"/>
            <w:tcBorders>
              <w:top w:val="single" w:sz="4" w:space="0" w:color="auto"/>
              <w:left w:val="nil"/>
              <w:bottom w:val="single" w:sz="4" w:space="0" w:color="auto"/>
              <w:right w:val="nil"/>
            </w:tcBorders>
            <w:vAlign w:val="center"/>
          </w:tcPr>
          <w:p w14:paraId="400F7F11" w14:textId="77777777" w:rsidR="0018781A" w:rsidRPr="00A45E22" w:rsidRDefault="0018781A" w:rsidP="0018781A">
            <w:pPr>
              <w:jc w:val="right"/>
              <w:rPr>
                <w:sz w:val="20"/>
              </w:rPr>
            </w:pPr>
            <w:r w:rsidRPr="00A45E22">
              <w:rPr>
                <w:noProof/>
                <w:sz w:val="20"/>
              </w:rPr>
              <w:t>5</w:t>
            </w:r>
          </w:p>
        </w:tc>
        <w:tc>
          <w:tcPr>
            <w:tcW w:w="3260" w:type="dxa"/>
            <w:gridSpan w:val="2"/>
            <w:tcBorders>
              <w:top w:val="single" w:sz="4" w:space="0" w:color="auto"/>
              <w:left w:val="nil"/>
              <w:bottom w:val="single" w:sz="4" w:space="0" w:color="auto"/>
              <w:right w:val="nil"/>
            </w:tcBorders>
            <w:vAlign w:val="center"/>
          </w:tcPr>
          <w:p w14:paraId="400F7F12" w14:textId="77777777" w:rsidR="0018781A" w:rsidRPr="00A45E22" w:rsidRDefault="0018781A" w:rsidP="0018781A">
            <w:pPr>
              <w:rPr>
                <w:sz w:val="20"/>
              </w:rPr>
            </w:pPr>
            <w:r w:rsidRPr="00A45E22">
              <w:rPr>
                <w:sz w:val="20"/>
              </w:rPr>
              <w:t>Horse dung</w:t>
            </w:r>
          </w:p>
        </w:tc>
        <w:tc>
          <w:tcPr>
            <w:tcW w:w="2552" w:type="dxa"/>
            <w:tcBorders>
              <w:top w:val="single" w:sz="4" w:space="0" w:color="auto"/>
              <w:left w:val="nil"/>
              <w:bottom w:val="single" w:sz="4" w:space="0" w:color="auto"/>
              <w:right w:val="nil"/>
            </w:tcBorders>
            <w:vAlign w:val="center"/>
          </w:tcPr>
          <w:p w14:paraId="400F7F13" w14:textId="77777777" w:rsidR="0018781A" w:rsidRPr="00A45E22" w:rsidRDefault="0018781A" w:rsidP="0018781A">
            <w:pPr>
              <w:jc w:val="right"/>
              <w:rPr>
                <w:sz w:val="20"/>
              </w:rPr>
            </w:pPr>
            <w:r w:rsidRPr="00A45E22">
              <w:rPr>
                <w:sz w:val="20"/>
              </w:rPr>
              <w:t>150</w:t>
            </w:r>
          </w:p>
        </w:tc>
        <w:tc>
          <w:tcPr>
            <w:tcW w:w="1984" w:type="dxa"/>
            <w:tcBorders>
              <w:top w:val="single" w:sz="4" w:space="0" w:color="auto"/>
              <w:left w:val="nil"/>
              <w:bottom w:val="single" w:sz="4" w:space="0" w:color="auto"/>
              <w:right w:val="nil"/>
            </w:tcBorders>
            <w:vAlign w:val="center"/>
          </w:tcPr>
          <w:p w14:paraId="400F7F14" w14:textId="77777777" w:rsidR="0018781A" w:rsidRPr="00A45E22" w:rsidRDefault="0018781A" w:rsidP="0018781A">
            <w:pPr>
              <w:jc w:val="right"/>
              <w:rPr>
                <w:sz w:val="20"/>
              </w:rPr>
            </w:pPr>
            <w:r w:rsidRPr="00A45E22">
              <w:rPr>
                <w:sz w:val="20"/>
              </w:rPr>
              <w:t>190</w:t>
            </w:r>
          </w:p>
        </w:tc>
      </w:tr>
      <w:tr w:rsidR="00740DE0" w:rsidRPr="00A45E22" w14:paraId="400F7F1A" w14:textId="77777777" w:rsidTr="0018781A">
        <w:tc>
          <w:tcPr>
            <w:tcW w:w="601" w:type="dxa"/>
            <w:tcBorders>
              <w:top w:val="single" w:sz="4" w:space="0" w:color="auto"/>
              <w:left w:val="nil"/>
              <w:bottom w:val="single" w:sz="12" w:space="0" w:color="auto"/>
              <w:right w:val="nil"/>
            </w:tcBorders>
            <w:vAlign w:val="center"/>
          </w:tcPr>
          <w:p w14:paraId="400F7F16" w14:textId="77777777" w:rsidR="0018781A" w:rsidRPr="00A45E22" w:rsidRDefault="0018781A" w:rsidP="0018781A">
            <w:pPr>
              <w:jc w:val="right"/>
              <w:rPr>
                <w:sz w:val="20"/>
              </w:rPr>
            </w:pPr>
            <w:r w:rsidRPr="00A45E22">
              <w:rPr>
                <w:noProof/>
                <w:sz w:val="20"/>
              </w:rPr>
              <w:t>6</w:t>
            </w:r>
          </w:p>
        </w:tc>
        <w:tc>
          <w:tcPr>
            <w:tcW w:w="3260" w:type="dxa"/>
            <w:gridSpan w:val="2"/>
            <w:tcBorders>
              <w:top w:val="single" w:sz="4" w:space="0" w:color="auto"/>
              <w:left w:val="nil"/>
              <w:bottom w:val="single" w:sz="12" w:space="0" w:color="auto"/>
              <w:right w:val="nil"/>
            </w:tcBorders>
            <w:vAlign w:val="center"/>
          </w:tcPr>
          <w:p w14:paraId="400F7F17" w14:textId="77777777" w:rsidR="0018781A" w:rsidRPr="00A45E22" w:rsidRDefault="0018781A" w:rsidP="0018781A">
            <w:pPr>
              <w:rPr>
                <w:sz w:val="20"/>
              </w:rPr>
            </w:pPr>
            <w:r w:rsidRPr="00A45E22">
              <w:rPr>
                <w:sz w:val="20"/>
              </w:rPr>
              <w:t>Sheep manure</w:t>
            </w:r>
          </w:p>
        </w:tc>
        <w:tc>
          <w:tcPr>
            <w:tcW w:w="2552" w:type="dxa"/>
            <w:tcBorders>
              <w:top w:val="single" w:sz="4" w:space="0" w:color="auto"/>
              <w:left w:val="nil"/>
              <w:bottom w:val="single" w:sz="12" w:space="0" w:color="auto"/>
              <w:right w:val="nil"/>
            </w:tcBorders>
            <w:vAlign w:val="center"/>
          </w:tcPr>
          <w:p w14:paraId="400F7F18" w14:textId="77777777" w:rsidR="0018781A" w:rsidRPr="00A45E22" w:rsidRDefault="0018781A" w:rsidP="0018781A">
            <w:pPr>
              <w:jc w:val="right"/>
              <w:rPr>
                <w:sz w:val="20"/>
              </w:rPr>
            </w:pPr>
            <w:r w:rsidRPr="00A45E22">
              <w:rPr>
                <w:sz w:val="20"/>
              </w:rPr>
              <w:t>150</w:t>
            </w:r>
          </w:p>
        </w:tc>
        <w:tc>
          <w:tcPr>
            <w:tcW w:w="1984" w:type="dxa"/>
            <w:tcBorders>
              <w:top w:val="single" w:sz="4" w:space="0" w:color="auto"/>
              <w:left w:val="nil"/>
              <w:bottom w:val="single" w:sz="12" w:space="0" w:color="auto"/>
              <w:right w:val="nil"/>
            </w:tcBorders>
            <w:vAlign w:val="center"/>
          </w:tcPr>
          <w:p w14:paraId="400F7F19" w14:textId="77777777" w:rsidR="0018781A" w:rsidRPr="00A45E22" w:rsidRDefault="0018781A" w:rsidP="0018781A">
            <w:pPr>
              <w:jc w:val="right"/>
              <w:rPr>
                <w:sz w:val="20"/>
              </w:rPr>
            </w:pPr>
            <w:r w:rsidRPr="00A45E22">
              <w:rPr>
                <w:sz w:val="20"/>
              </w:rPr>
              <w:t>250</w:t>
            </w:r>
          </w:p>
        </w:tc>
      </w:tr>
      <w:tr w:rsidR="00740DE0" w:rsidRPr="00A45E22" w14:paraId="400F7F1F" w14:textId="77777777" w:rsidTr="0018781A">
        <w:tc>
          <w:tcPr>
            <w:tcW w:w="601" w:type="dxa"/>
            <w:tcBorders>
              <w:top w:val="single" w:sz="12" w:space="0" w:color="auto"/>
              <w:left w:val="nil"/>
              <w:bottom w:val="single" w:sz="4" w:space="0" w:color="auto"/>
              <w:right w:val="nil"/>
            </w:tcBorders>
            <w:vAlign w:val="center"/>
          </w:tcPr>
          <w:p w14:paraId="400F7F1B" w14:textId="77777777" w:rsidR="0018781A" w:rsidRPr="00A45E22" w:rsidRDefault="0018781A" w:rsidP="0018781A">
            <w:pPr>
              <w:jc w:val="right"/>
              <w:rPr>
                <w:noProof/>
                <w:sz w:val="20"/>
              </w:rPr>
            </w:pPr>
            <w:r w:rsidRPr="00A45E22">
              <w:rPr>
                <w:noProof/>
                <w:sz w:val="20"/>
              </w:rPr>
              <w:t>7</w:t>
            </w:r>
          </w:p>
        </w:tc>
        <w:tc>
          <w:tcPr>
            <w:tcW w:w="3260" w:type="dxa"/>
            <w:gridSpan w:val="2"/>
            <w:tcBorders>
              <w:top w:val="single" w:sz="12" w:space="0" w:color="auto"/>
              <w:left w:val="nil"/>
              <w:bottom w:val="single" w:sz="4" w:space="0" w:color="auto"/>
              <w:right w:val="nil"/>
            </w:tcBorders>
            <w:vAlign w:val="center"/>
          </w:tcPr>
          <w:p w14:paraId="400F7F1C" w14:textId="77777777" w:rsidR="0018781A" w:rsidRPr="00A45E22" w:rsidRDefault="0018781A" w:rsidP="0018781A">
            <w:pPr>
              <w:rPr>
                <w:sz w:val="20"/>
              </w:rPr>
            </w:pPr>
            <w:r w:rsidRPr="00A45E22">
              <w:rPr>
                <w:sz w:val="20"/>
              </w:rPr>
              <w:t>Abattoir waste</w:t>
            </w:r>
          </w:p>
        </w:tc>
        <w:tc>
          <w:tcPr>
            <w:tcW w:w="2552" w:type="dxa"/>
            <w:tcBorders>
              <w:top w:val="single" w:sz="12" w:space="0" w:color="auto"/>
              <w:left w:val="nil"/>
              <w:bottom w:val="single" w:sz="4" w:space="0" w:color="auto"/>
              <w:right w:val="nil"/>
            </w:tcBorders>
            <w:vAlign w:val="center"/>
          </w:tcPr>
          <w:p w14:paraId="400F7F1D" w14:textId="77777777" w:rsidR="0018781A" w:rsidRPr="00A45E22" w:rsidRDefault="0018781A" w:rsidP="0018781A">
            <w:pPr>
              <w:jc w:val="right"/>
              <w:rPr>
                <w:sz w:val="20"/>
              </w:rPr>
            </w:pPr>
            <w:r w:rsidRPr="00A45E22">
              <w:rPr>
                <w:sz w:val="20"/>
              </w:rPr>
              <w:t>340</w:t>
            </w:r>
          </w:p>
        </w:tc>
        <w:tc>
          <w:tcPr>
            <w:tcW w:w="1984" w:type="dxa"/>
            <w:tcBorders>
              <w:top w:val="single" w:sz="12" w:space="0" w:color="auto"/>
              <w:left w:val="nil"/>
              <w:bottom w:val="single" w:sz="4" w:space="0" w:color="auto"/>
              <w:right w:val="nil"/>
            </w:tcBorders>
            <w:vAlign w:val="center"/>
          </w:tcPr>
          <w:p w14:paraId="400F7F1E" w14:textId="77777777" w:rsidR="0018781A" w:rsidRPr="00A45E22" w:rsidRDefault="0018781A" w:rsidP="0018781A">
            <w:pPr>
              <w:jc w:val="right"/>
              <w:rPr>
                <w:sz w:val="20"/>
              </w:rPr>
            </w:pPr>
            <w:r w:rsidRPr="00A45E22">
              <w:rPr>
                <w:sz w:val="20"/>
              </w:rPr>
              <w:t>980</w:t>
            </w:r>
          </w:p>
        </w:tc>
      </w:tr>
      <w:tr w:rsidR="00740DE0" w:rsidRPr="00A45E22" w14:paraId="400F7F24" w14:textId="77777777" w:rsidTr="0018781A">
        <w:tc>
          <w:tcPr>
            <w:tcW w:w="601" w:type="dxa"/>
            <w:tcBorders>
              <w:top w:val="single" w:sz="4" w:space="0" w:color="auto"/>
              <w:left w:val="nil"/>
              <w:bottom w:val="single" w:sz="4" w:space="0" w:color="auto"/>
              <w:right w:val="nil"/>
            </w:tcBorders>
            <w:vAlign w:val="center"/>
          </w:tcPr>
          <w:p w14:paraId="400F7F20" w14:textId="77777777" w:rsidR="0018781A" w:rsidRPr="00A45E22" w:rsidRDefault="0018781A" w:rsidP="0018781A">
            <w:pPr>
              <w:jc w:val="right"/>
              <w:rPr>
                <w:sz w:val="20"/>
              </w:rPr>
            </w:pPr>
            <w:r w:rsidRPr="00A45E22">
              <w:rPr>
                <w:noProof/>
                <w:sz w:val="20"/>
              </w:rPr>
              <w:t>8</w:t>
            </w:r>
          </w:p>
        </w:tc>
        <w:tc>
          <w:tcPr>
            <w:tcW w:w="3260" w:type="dxa"/>
            <w:gridSpan w:val="2"/>
            <w:tcBorders>
              <w:top w:val="single" w:sz="4" w:space="0" w:color="auto"/>
              <w:left w:val="nil"/>
              <w:bottom w:val="single" w:sz="4" w:space="0" w:color="auto"/>
              <w:right w:val="nil"/>
            </w:tcBorders>
            <w:vAlign w:val="center"/>
          </w:tcPr>
          <w:p w14:paraId="400F7F21" w14:textId="77777777" w:rsidR="0018781A" w:rsidRPr="00A45E22" w:rsidRDefault="0018781A" w:rsidP="0018781A">
            <w:pPr>
              <w:rPr>
                <w:sz w:val="20"/>
              </w:rPr>
            </w:pPr>
            <w:r w:rsidRPr="00A45E22">
              <w:rPr>
                <w:sz w:val="20"/>
              </w:rPr>
              <w:t>Abattoir paunch</w:t>
            </w:r>
          </w:p>
        </w:tc>
        <w:tc>
          <w:tcPr>
            <w:tcW w:w="2552" w:type="dxa"/>
            <w:tcBorders>
              <w:top w:val="single" w:sz="4" w:space="0" w:color="auto"/>
              <w:left w:val="nil"/>
              <w:bottom w:val="single" w:sz="4" w:space="0" w:color="auto"/>
              <w:right w:val="nil"/>
            </w:tcBorders>
            <w:vAlign w:val="center"/>
          </w:tcPr>
          <w:p w14:paraId="400F7F22" w14:textId="77777777" w:rsidR="0018781A" w:rsidRPr="00A45E22" w:rsidRDefault="0018781A" w:rsidP="0018781A">
            <w:pPr>
              <w:jc w:val="right"/>
              <w:rPr>
                <w:sz w:val="20"/>
              </w:rPr>
            </w:pPr>
            <w:r w:rsidRPr="00A45E22">
              <w:rPr>
                <w:sz w:val="20"/>
              </w:rPr>
              <w:t>180</w:t>
            </w:r>
          </w:p>
        </w:tc>
        <w:tc>
          <w:tcPr>
            <w:tcW w:w="1984" w:type="dxa"/>
            <w:tcBorders>
              <w:top w:val="single" w:sz="4" w:space="0" w:color="auto"/>
              <w:left w:val="nil"/>
              <w:bottom w:val="single" w:sz="4" w:space="0" w:color="auto"/>
              <w:right w:val="nil"/>
            </w:tcBorders>
            <w:vAlign w:val="center"/>
          </w:tcPr>
          <w:p w14:paraId="400F7F23" w14:textId="77777777" w:rsidR="0018781A" w:rsidRPr="00A45E22" w:rsidRDefault="0018781A" w:rsidP="0018781A">
            <w:pPr>
              <w:jc w:val="right"/>
              <w:rPr>
                <w:sz w:val="20"/>
              </w:rPr>
            </w:pPr>
            <w:r w:rsidRPr="00A45E22">
              <w:rPr>
                <w:sz w:val="20"/>
              </w:rPr>
              <w:t>470</w:t>
            </w:r>
          </w:p>
        </w:tc>
      </w:tr>
      <w:tr w:rsidR="00740DE0" w:rsidRPr="00A45E22" w14:paraId="400F7F29" w14:textId="77777777" w:rsidTr="0018781A">
        <w:tc>
          <w:tcPr>
            <w:tcW w:w="601" w:type="dxa"/>
            <w:tcBorders>
              <w:top w:val="single" w:sz="4" w:space="0" w:color="auto"/>
              <w:left w:val="nil"/>
              <w:bottom w:val="single" w:sz="12" w:space="0" w:color="auto"/>
              <w:right w:val="nil"/>
            </w:tcBorders>
            <w:vAlign w:val="center"/>
          </w:tcPr>
          <w:p w14:paraId="400F7F25" w14:textId="77777777" w:rsidR="0018781A" w:rsidRPr="00A45E22" w:rsidRDefault="0018781A" w:rsidP="0018781A">
            <w:pPr>
              <w:jc w:val="right"/>
              <w:rPr>
                <w:noProof/>
                <w:sz w:val="20"/>
              </w:rPr>
            </w:pPr>
            <w:r w:rsidRPr="00A45E22">
              <w:rPr>
                <w:noProof/>
                <w:sz w:val="20"/>
              </w:rPr>
              <w:t>9</w:t>
            </w:r>
          </w:p>
        </w:tc>
        <w:tc>
          <w:tcPr>
            <w:tcW w:w="3260" w:type="dxa"/>
            <w:gridSpan w:val="2"/>
            <w:tcBorders>
              <w:top w:val="single" w:sz="4" w:space="0" w:color="auto"/>
              <w:left w:val="nil"/>
              <w:bottom w:val="single" w:sz="12" w:space="0" w:color="auto"/>
              <w:right w:val="nil"/>
            </w:tcBorders>
            <w:vAlign w:val="center"/>
          </w:tcPr>
          <w:p w14:paraId="400F7F26" w14:textId="77777777" w:rsidR="0018781A" w:rsidRPr="00A45E22" w:rsidRDefault="0018781A" w:rsidP="0018781A">
            <w:pPr>
              <w:rPr>
                <w:sz w:val="20"/>
              </w:rPr>
            </w:pPr>
            <w:r w:rsidRPr="00A45E22">
              <w:rPr>
                <w:sz w:val="20"/>
              </w:rPr>
              <w:t>Blood (abattoir)</w:t>
            </w:r>
          </w:p>
        </w:tc>
        <w:tc>
          <w:tcPr>
            <w:tcW w:w="2552" w:type="dxa"/>
            <w:tcBorders>
              <w:top w:val="single" w:sz="4" w:space="0" w:color="auto"/>
              <w:left w:val="nil"/>
              <w:bottom w:val="single" w:sz="12" w:space="0" w:color="auto"/>
              <w:right w:val="nil"/>
            </w:tcBorders>
            <w:vAlign w:val="center"/>
          </w:tcPr>
          <w:p w14:paraId="400F7F27" w14:textId="77777777" w:rsidR="0018781A" w:rsidRPr="00A45E22" w:rsidRDefault="0018781A" w:rsidP="0018781A">
            <w:pPr>
              <w:jc w:val="right"/>
              <w:rPr>
                <w:sz w:val="20"/>
              </w:rPr>
            </w:pPr>
            <w:r w:rsidRPr="00A45E22">
              <w:rPr>
                <w:sz w:val="20"/>
              </w:rPr>
              <w:t>400</w:t>
            </w:r>
          </w:p>
        </w:tc>
        <w:tc>
          <w:tcPr>
            <w:tcW w:w="1984" w:type="dxa"/>
            <w:tcBorders>
              <w:top w:val="single" w:sz="4" w:space="0" w:color="auto"/>
              <w:left w:val="nil"/>
              <w:bottom w:val="single" w:sz="12" w:space="0" w:color="auto"/>
              <w:right w:val="nil"/>
            </w:tcBorders>
            <w:vAlign w:val="center"/>
          </w:tcPr>
          <w:p w14:paraId="400F7F28" w14:textId="77777777" w:rsidR="0018781A" w:rsidRPr="00A45E22" w:rsidRDefault="0018781A" w:rsidP="0018781A">
            <w:pPr>
              <w:jc w:val="right"/>
              <w:rPr>
                <w:sz w:val="20"/>
              </w:rPr>
            </w:pPr>
            <w:r w:rsidRPr="00A45E22">
              <w:rPr>
                <w:sz w:val="20"/>
              </w:rPr>
              <w:t>490</w:t>
            </w:r>
          </w:p>
        </w:tc>
      </w:tr>
      <w:tr w:rsidR="00740DE0" w:rsidRPr="00A45E22" w14:paraId="400F7F2E" w14:textId="77777777" w:rsidTr="0018781A">
        <w:tc>
          <w:tcPr>
            <w:tcW w:w="601" w:type="dxa"/>
            <w:tcBorders>
              <w:top w:val="single" w:sz="12" w:space="0" w:color="auto"/>
              <w:left w:val="nil"/>
              <w:bottom w:val="single" w:sz="4" w:space="0" w:color="auto"/>
              <w:right w:val="nil"/>
            </w:tcBorders>
            <w:vAlign w:val="center"/>
          </w:tcPr>
          <w:p w14:paraId="400F7F2A" w14:textId="77777777" w:rsidR="0018781A" w:rsidRPr="00A45E22" w:rsidRDefault="0018781A" w:rsidP="0018781A">
            <w:pPr>
              <w:jc w:val="right"/>
              <w:rPr>
                <w:sz w:val="20"/>
              </w:rPr>
            </w:pPr>
            <w:r w:rsidRPr="00A45E22">
              <w:rPr>
                <w:noProof/>
                <w:sz w:val="20"/>
              </w:rPr>
              <w:t>10</w:t>
            </w:r>
          </w:p>
        </w:tc>
        <w:tc>
          <w:tcPr>
            <w:tcW w:w="3260" w:type="dxa"/>
            <w:gridSpan w:val="2"/>
            <w:tcBorders>
              <w:top w:val="single" w:sz="12" w:space="0" w:color="auto"/>
              <w:left w:val="nil"/>
              <w:bottom w:val="single" w:sz="4" w:space="0" w:color="auto"/>
              <w:right w:val="nil"/>
            </w:tcBorders>
            <w:vAlign w:val="center"/>
          </w:tcPr>
          <w:p w14:paraId="400F7F2B" w14:textId="77777777" w:rsidR="0018781A" w:rsidRPr="00A45E22" w:rsidRDefault="0018781A" w:rsidP="0018781A">
            <w:pPr>
              <w:rPr>
                <w:sz w:val="20"/>
              </w:rPr>
            </w:pPr>
            <w:r w:rsidRPr="00A45E22">
              <w:rPr>
                <w:sz w:val="20"/>
              </w:rPr>
              <w:t>Sewage sludge</w:t>
            </w:r>
          </w:p>
        </w:tc>
        <w:tc>
          <w:tcPr>
            <w:tcW w:w="2552" w:type="dxa"/>
            <w:tcBorders>
              <w:top w:val="single" w:sz="12" w:space="0" w:color="auto"/>
              <w:left w:val="nil"/>
              <w:bottom w:val="single" w:sz="4" w:space="0" w:color="auto"/>
              <w:right w:val="nil"/>
            </w:tcBorders>
            <w:vAlign w:val="center"/>
          </w:tcPr>
          <w:p w14:paraId="400F7F2C" w14:textId="77777777" w:rsidR="0018781A" w:rsidRPr="00A45E22" w:rsidRDefault="0018781A" w:rsidP="0018781A">
            <w:pPr>
              <w:jc w:val="right"/>
              <w:rPr>
                <w:sz w:val="20"/>
              </w:rPr>
            </w:pPr>
            <w:r w:rsidRPr="00A45E22">
              <w:rPr>
                <w:sz w:val="20"/>
              </w:rPr>
              <w:t>270</w:t>
            </w:r>
          </w:p>
        </w:tc>
        <w:tc>
          <w:tcPr>
            <w:tcW w:w="1984" w:type="dxa"/>
            <w:tcBorders>
              <w:top w:val="single" w:sz="12" w:space="0" w:color="auto"/>
              <w:left w:val="nil"/>
              <w:bottom w:val="single" w:sz="4" w:space="0" w:color="auto"/>
              <w:right w:val="nil"/>
            </w:tcBorders>
            <w:vAlign w:val="center"/>
          </w:tcPr>
          <w:p w14:paraId="400F7F2D" w14:textId="77777777" w:rsidR="0018781A" w:rsidRPr="00A45E22" w:rsidRDefault="0018781A" w:rsidP="0018781A">
            <w:pPr>
              <w:jc w:val="right"/>
              <w:rPr>
                <w:sz w:val="20"/>
              </w:rPr>
            </w:pPr>
            <w:r w:rsidRPr="00A45E22">
              <w:rPr>
                <w:sz w:val="20"/>
              </w:rPr>
              <w:t>460</w:t>
            </w:r>
          </w:p>
        </w:tc>
      </w:tr>
      <w:tr w:rsidR="00740DE0" w:rsidRPr="00A45E22" w14:paraId="400F7F33" w14:textId="77777777" w:rsidTr="009627EA">
        <w:tc>
          <w:tcPr>
            <w:tcW w:w="601" w:type="dxa"/>
            <w:tcBorders>
              <w:top w:val="single" w:sz="4" w:space="0" w:color="auto"/>
              <w:left w:val="nil"/>
              <w:bottom w:val="single" w:sz="4" w:space="0" w:color="auto"/>
              <w:right w:val="nil"/>
            </w:tcBorders>
            <w:vAlign w:val="center"/>
          </w:tcPr>
          <w:p w14:paraId="400F7F2F" w14:textId="77777777" w:rsidR="0018781A" w:rsidRPr="00A45E22" w:rsidRDefault="0018781A" w:rsidP="0018781A">
            <w:pPr>
              <w:jc w:val="right"/>
              <w:rPr>
                <w:noProof/>
                <w:sz w:val="20"/>
              </w:rPr>
            </w:pPr>
            <w:r w:rsidRPr="00A45E22">
              <w:rPr>
                <w:noProof/>
                <w:sz w:val="20"/>
              </w:rPr>
              <w:t>11</w:t>
            </w:r>
          </w:p>
        </w:tc>
        <w:tc>
          <w:tcPr>
            <w:tcW w:w="3260" w:type="dxa"/>
            <w:gridSpan w:val="2"/>
            <w:tcBorders>
              <w:top w:val="single" w:sz="4" w:space="0" w:color="auto"/>
              <w:left w:val="nil"/>
              <w:bottom w:val="single" w:sz="4" w:space="0" w:color="auto"/>
              <w:right w:val="nil"/>
            </w:tcBorders>
            <w:vAlign w:val="center"/>
          </w:tcPr>
          <w:p w14:paraId="400F7F30" w14:textId="77777777" w:rsidR="0018781A" w:rsidRPr="00A45E22" w:rsidRDefault="0018781A" w:rsidP="0018781A">
            <w:pPr>
              <w:rPr>
                <w:sz w:val="20"/>
              </w:rPr>
            </w:pPr>
            <w:r w:rsidRPr="00A45E22">
              <w:rPr>
                <w:sz w:val="20"/>
              </w:rPr>
              <w:t>Grease trap waste</w:t>
            </w:r>
          </w:p>
        </w:tc>
        <w:tc>
          <w:tcPr>
            <w:tcW w:w="2552" w:type="dxa"/>
            <w:tcBorders>
              <w:top w:val="single" w:sz="4" w:space="0" w:color="auto"/>
              <w:left w:val="nil"/>
              <w:bottom w:val="single" w:sz="4" w:space="0" w:color="auto"/>
              <w:right w:val="nil"/>
            </w:tcBorders>
            <w:vAlign w:val="center"/>
          </w:tcPr>
          <w:p w14:paraId="400F7F31" w14:textId="77777777" w:rsidR="0018781A" w:rsidRPr="00A45E22" w:rsidRDefault="0018781A" w:rsidP="0018781A">
            <w:pPr>
              <w:jc w:val="right"/>
              <w:rPr>
                <w:sz w:val="20"/>
              </w:rPr>
            </w:pPr>
            <w:r w:rsidRPr="00A45E22">
              <w:rPr>
                <w:sz w:val="20"/>
              </w:rPr>
              <w:t>550</w:t>
            </w:r>
          </w:p>
        </w:tc>
        <w:tc>
          <w:tcPr>
            <w:tcW w:w="1984" w:type="dxa"/>
            <w:tcBorders>
              <w:top w:val="single" w:sz="4" w:space="0" w:color="auto"/>
              <w:left w:val="nil"/>
              <w:bottom w:val="single" w:sz="4" w:space="0" w:color="auto"/>
              <w:right w:val="nil"/>
            </w:tcBorders>
            <w:vAlign w:val="center"/>
          </w:tcPr>
          <w:p w14:paraId="400F7F32" w14:textId="77777777" w:rsidR="0018781A" w:rsidRPr="00A45E22" w:rsidRDefault="0018781A" w:rsidP="0018781A">
            <w:pPr>
              <w:jc w:val="right"/>
              <w:rPr>
                <w:sz w:val="20"/>
              </w:rPr>
            </w:pPr>
            <w:r w:rsidRPr="00A45E22">
              <w:rPr>
                <w:sz w:val="20"/>
              </w:rPr>
              <w:t>970</w:t>
            </w:r>
          </w:p>
        </w:tc>
      </w:tr>
      <w:tr w:rsidR="00740DE0" w:rsidRPr="00A45E22" w14:paraId="400F7F38" w14:textId="77777777" w:rsidTr="0018781A">
        <w:tc>
          <w:tcPr>
            <w:tcW w:w="601" w:type="dxa"/>
            <w:tcBorders>
              <w:top w:val="single" w:sz="4" w:space="0" w:color="auto"/>
              <w:left w:val="nil"/>
              <w:bottom w:val="single" w:sz="4" w:space="0" w:color="auto"/>
              <w:right w:val="nil"/>
            </w:tcBorders>
            <w:vAlign w:val="center"/>
          </w:tcPr>
          <w:p w14:paraId="400F7F34" w14:textId="77777777" w:rsidR="0018781A" w:rsidRPr="00A45E22" w:rsidRDefault="0018781A" w:rsidP="0018781A">
            <w:pPr>
              <w:jc w:val="right"/>
              <w:rPr>
                <w:sz w:val="20"/>
              </w:rPr>
            </w:pPr>
            <w:r w:rsidRPr="00A45E22">
              <w:rPr>
                <w:noProof/>
                <w:sz w:val="20"/>
              </w:rPr>
              <w:t>12</w:t>
            </w:r>
          </w:p>
        </w:tc>
        <w:tc>
          <w:tcPr>
            <w:tcW w:w="3260" w:type="dxa"/>
            <w:gridSpan w:val="2"/>
            <w:tcBorders>
              <w:top w:val="single" w:sz="4" w:space="0" w:color="auto"/>
              <w:left w:val="nil"/>
              <w:bottom w:val="single" w:sz="4" w:space="0" w:color="auto"/>
              <w:right w:val="nil"/>
            </w:tcBorders>
            <w:vAlign w:val="center"/>
          </w:tcPr>
          <w:p w14:paraId="400F7F35" w14:textId="77777777" w:rsidR="0018781A" w:rsidRPr="00A45E22" w:rsidRDefault="0018781A" w:rsidP="0018781A">
            <w:pPr>
              <w:rPr>
                <w:sz w:val="20"/>
              </w:rPr>
            </w:pPr>
            <w:r w:rsidRPr="00A45E22">
              <w:rPr>
                <w:sz w:val="20"/>
              </w:rPr>
              <w:t>Sugar mill press mud</w:t>
            </w:r>
          </w:p>
        </w:tc>
        <w:tc>
          <w:tcPr>
            <w:tcW w:w="2552" w:type="dxa"/>
            <w:tcBorders>
              <w:top w:val="single" w:sz="4" w:space="0" w:color="auto"/>
              <w:left w:val="nil"/>
              <w:bottom w:val="single" w:sz="4" w:space="0" w:color="auto"/>
              <w:right w:val="nil"/>
            </w:tcBorders>
            <w:vAlign w:val="center"/>
          </w:tcPr>
          <w:p w14:paraId="400F7F36" w14:textId="77777777" w:rsidR="0018781A" w:rsidRPr="00A45E22" w:rsidRDefault="0018781A" w:rsidP="0018781A">
            <w:pPr>
              <w:jc w:val="right"/>
              <w:rPr>
                <w:sz w:val="20"/>
              </w:rPr>
            </w:pPr>
            <w:r w:rsidRPr="00A45E22">
              <w:rPr>
                <w:sz w:val="20"/>
              </w:rPr>
              <w:t>180</w:t>
            </w:r>
          </w:p>
        </w:tc>
        <w:tc>
          <w:tcPr>
            <w:tcW w:w="1984" w:type="dxa"/>
            <w:tcBorders>
              <w:top w:val="single" w:sz="4" w:space="0" w:color="auto"/>
              <w:left w:val="nil"/>
              <w:bottom w:val="single" w:sz="4" w:space="0" w:color="auto"/>
              <w:right w:val="nil"/>
            </w:tcBorders>
            <w:vAlign w:val="center"/>
          </w:tcPr>
          <w:p w14:paraId="400F7F37" w14:textId="77777777" w:rsidR="0018781A" w:rsidRPr="00A45E22" w:rsidRDefault="0018781A" w:rsidP="0018781A">
            <w:pPr>
              <w:jc w:val="right"/>
              <w:rPr>
                <w:sz w:val="20"/>
              </w:rPr>
            </w:pPr>
            <w:r w:rsidRPr="00A45E22">
              <w:rPr>
                <w:sz w:val="20"/>
              </w:rPr>
              <w:t>280</w:t>
            </w:r>
          </w:p>
        </w:tc>
      </w:tr>
      <w:tr w:rsidR="00740DE0" w:rsidRPr="00A45E22" w14:paraId="400F7F3D" w14:textId="77777777" w:rsidTr="0018781A">
        <w:tc>
          <w:tcPr>
            <w:tcW w:w="601" w:type="dxa"/>
            <w:tcBorders>
              <w:top w:val="single" w:sz="4" w:space="0" w:color="auto"/>
              <w:left w:val="nil"/>
              <w:bottom w:val="single" w:sz="12" w:space="0" w:color="auto"/>
              <w:right w:val="nil"/>
            </w:tcBorders>
            <w:vAlign w:val="center"/>
          </w:tcPr>
          <w:p w14:paraId="400F7F39" w14:textId="77777777" w:rsidR="0018781A" w:rsidRPr="00A45E22" w:rsidRDefault="0018781A" w:rsidP="0018781A">
            <w:pPr>
              <w:jc w:val="right"/>
              <w:rPr>
                <w:sz w:val="20"/>
              </w:rPr>
            </w:pPr>
            <w:r w:rsidRPr="00A45E22">
              <w:rPr>
                <w:noProof/>
                <w:sz w:val="20"/>
              </w:rPr>
              <w:t>13</w:t>
            </w:r>
          </w:p>
        </w:tc>
        <w:tc>
          <w:tcPr>
            <w:tcW w:w="3260" w:type="dxa"/>
            <w:gridSpan w:val="2"/>
            <w:tcBorders>
              <w:top w:val="single" w:sz="4" w:space="0" w:color="auto"/>
              <w:left w:val="nil"/>
              <w:bottom w:val="single" w:sz="12" w:space="0" w:color="auto"/>
              <w:right w:val="nil"/>
            </w:tcBorders>
            <w:vAlign w:val="center"/>
          </w:tcPr>
          <w:p w14:paraId="400F7F3A" w14:textId="77777777" w:rsidR="0018781A" w:rsidRPr="00A45E22" w:rsidRDefault="0018781A" w:rsidP="0018781A">
            <w:pPr>
              <w:rPr>
                <w:sz w:val="20"/>
              </w:rPr>
            </w:pPr>
            <w:r w:rsidRPr="00A45E22">
              <w:rPr>
                <w:sz w:val="20"/>
              </w:rPr>
              <w:t>Glycerol</w:t>
            </w:r>
          </w:p>
        </w:tc>
        <w:tc>
          <w:tcPr>
            <w:tcW w:w="2552" w:type="dxa"/>
            <w:tcBorders>
              <w:top w:val="single" w:sz="4" w:space="0" w:color="auto"/>
              <w:left w:val="nil"/>
              <w:bottom w:val="single" w:sz="12" w:space="0" w:color="auto"/>
              <w:right w:val="nil"/>
            </w:tcBorders>
            <w:vAlign w:val="center"/>
          </w:tcPr>
          <w:p w14:paraId="400F7F3B" w14:textId="77777777" w:rsidR="0018781A" w:rsidRPr="00A45E22" w:rsidRDefault="0018781A" w:rsidP="0018781A">
            <w:pPr>
              <w:jc w:val="right"/>
              <w:rPr>
                <w:sz w:val="20"/>
              </w:rPr>
            </w:pPr>
            <w:r w:rsidRPr="00A45E22">
              <w:rPr>
                <w:sz w:val="20"/>
              </w:rPr>
              <w:t>370</w:t>
            </w:r>
          </w:p>
        </w:tc>
        <w:tc>
          <w:tcPr>
            <w:tcW w:w="1984" w:type="dxa"/>
            <w:tcBorders>
              <w:top w:val="single" w:sz="4" w:space="0" w:color="auto"/>
              <w:left w:val="nil"/>
              <w:bottom w:val="single" w:sz="12" w:space="0" w:color="auto"/>
              <w:right w:val="nil"/>
            </w:tcBorders>
            <w:vAlign w:val="center"/>
          </w:tcPr>
          <w:p w14:paraId="400F7F3C" w14:textId="77777777" w:rsidR="0018781A" w:rsidRPr="00A45E22" w:rsidRDefault="0018781A" w:rsidP="0018781A">
            <w:pPr>
              <w:jc w:val="right"/>
              <w:rPr>
                <w:sz w:val="20"/>
              </w:rPr>
            </w:pPr>
            <w:r w:rsidRPr="00A45E22">
              <w:rPr>
                <w:sz w:val="20"/>
              </w:rPr>
              <w:t>720</w:t>
            </w:r>
          </w:p>
        </w:tc>
      </w:tr>
      <w:tr w:rsidR="00740DE0" w:rsidRPr="00A45E22" w14:paraId="400F7F42" w14:textId="77777777" w:rsidTr="0018781A">
        <w:tc>
          <w:tcPr>
            <w:tcW w:w="601" w:type="dxa"/>
            <w:tcBorders>
              <w:top w:val="single" w:sz="12" w:space="0" w:color="auto"/>
              <w:left w:val="nil"/>
              <w:bottom w:val="single" w:sz="4" w:space="0" w:color="auto"/>
              <w:right w:val="nil"/>
            </w:tcBorders>
            <w:vAlign w:val="center"/>
          </w:tcPr>
          <w:p w14:paraId="400F7F3E" w14:textId="77777777" w:rsidR="0018781A" w:rsidRPr="00A45E22" w:rsidRDefault="0018781A" w:rsidP="0018781A">
            <w:pPr>
              <w:jc w:val="right"/>
              <w:rPr>
                <w:sz w:val="20"/>
              </w:rPr>
            </w:pPr>
            <w:r w:rsidRPr="00A45E22">
              <w:rPr>
                <w:noProof/>
                <w:sz w:val="20"/>
              </w:rPr>
              <w:t>14</w:t>
            </w:r>
          </w:p>
        </w:tc>
        <w:tc>
          <w:tcPr>
            <w:tcW w:w="3260" w:type="dxa"/>
            <w:gridSpan w:val="2"/>
            <w:tcBorders>
              <w:top w:val="single" w:sz="12" w:space="0" w:color="auto"/>
              <w:left w:val="nil"/>
              <w:bottom w:val="single" w:sz="4" w:space="0" w:color="auto"/>
              <w:right w:val="nil"/>
            </w:tcBorders>
            <w:vAlign w:val="center"/>
          </w:tcPr>
          <w:p w14:paraId="400F7F3F" w14:textId="77777777" w:rsidR="0018781A" w:rsidRPr="00A45E22" w:rsidRDefault="0018781A" w:rsidP="0018781A">
            <w:pPr>
              <w:rPr>
                <w:sz w:val="20"/>
              </w:rPr>
            </w:pPr>
            <w:r w:rsidRPr="00A45E22">
              <w:rPr>
                <w:sz w:val="20"/>
              </w:rPr>
              <w:t>Food waste</w:t>
            </w:r>
          </w:p>
        </w:tc>
        <w:tc>
          <w:tcPr>
            <w:tcW w:w="2552" w:type="dxa"/>
            <w:tcBorders>
              <w:top w:val="single" w:sz="12" w:space="0" w:color="auto"/>
              <w:left w:val="nil"/>
              <w:bottom w:val="single" w:sz="4" w:space="0" w:color="auto"/>
              <w:right w:val="nil"/>
            </w:tcBorders>
            <w:vAlign w:val="center"/>
          </w:tcPr>
          <w:p w14:paraId="400F7F40" w14:textId="77777777" w:rsidR="0018781A" w:rsidRPr="00A45E22" w:rsidRDefault="0018781A" w:rsidP="0018781A">
            <w:pPr>
              <w:jc w:val="right"/>
              <w:rPr>
                <w:sz w:val="20"/>
              </w:rPr>
            </w:pPr>
            <w:r w:rsidRPr="00A45E22">
              <w:rPr>
                <w:sz w:val="20"/>
              </w:rPr>
              <w:t>290</w:t>
            </w:r>
          </w:p>
        </w:tc>
        <w:tc>
          <w:tcPr>
            <w:tcW w:w="1984" w:type="dxa"/>
            <w:tcBorders>
              <w:top w:val="single" w:sz="12" w:space="0" w:color="auto"/>
              <w:left w:val="nil"/>
              <w:bottom w:val="single" w:sz="4" w:space="0" w:color="auto"/>
              <w:right w:val="nil"/>
            </w:tcBorders>
            <w:vAlign w:val="center"/>
          </w:tcPr>
          <w:p w14:paraId="400F7F41" w14:textId="77777777" w:rsidR="0018781A" w:rsidRPr="00A45E22" w:rsidRDefault="0018781A" w:rsidP="0018781A">
            <w:pPr>
              <w:jc w:val="right"/>
              <w:rPr>
                <w:sz w:val="20"/>
              </w:rPr>
            </w:pPr>
            <w:r w:rsidRPr="00A45E22">
              <w:rPr>
                <w:sz w:val="20"/>
              </w:rPr>
              <w:t>700</w:t>
            </w:r>
          </w:p>
        </w:tc>
      </w:tr>
      <w:tr w:rsidR="00740DE0" w:rsidRPr="00A45E22" w14:paraId="400F7F47" w14:textId="77777777" w:rsidTr="009627EA">
        <w:tc>
          <w:tcPr>
            <w:tcW w:w="601" w:type="dxa"/>
            <w:tcBorders>
              <w:top w:val="single" w:sz="4" w:space="0" w:color="auto"/>
              <w:left w:val="nil"/>
              <w:bottom w:val="single" w:sz="4" w:space="0" w:color="auto"/>
              <w:right w:val="nil"/>
            </w:tcBorders>
            <w:vAlign w:val="center"/>
          </w:tcPr>
          <w:p w14:paraId="400F7F43" w14:textId="77777777" w:rsidR="0018781A" w:rsidRPr="00A45E22" w:rsidRDefault="0018781A" w:rsidP="0018781A">
            <w:pPr>
              <w:jc w:val="right"/>
              <w:rPr>
                <w:sz w:val="20"/>
              </w:rPr>
            </w:pPr>
            <w:r w:rsidRPr="00A45E22">
              <w:rPr>
                <w:noProof/>
                <w:sz w:val="20"/>
              </w:rPr>
              <w:t>15</w:t>
            </w:r>
          </w:p>
        </w:tc>
        <w:tc>
          <w:tcPr>
            <w:tcW w:w="3260" w:type="dxa"/>
            <w:gridSpan w:val="2"/>
            <w:tcBorders>
              <w:top w:val="single" w:sz="4" w:space="0" w:color="auto"/>
              <w:left w:val="nil"/>
              <w:bottom w:val="single" w:sz="4" w:space="0" w:color="auto"/>
              <w:right w:val="nil"/>
            </w:tcBorders>
            <w:vAlign w:val="center"/>
          </w:tcPr>
          <w:p w14:paraId="400F7F44" w14:textId="77777777" w:rsidR="0018781A" w:rsidRPr="00A45E22" w:rsidRDefault="0018781A" w:rsidP="0018781A">
            <w:pPr>
              <w:rPr>
                <w:sz w:val="20"/>
              </w:rPr>
            </w:pPr>
            <w:r w:rsidRPr="00A45E22">
              <w:rPr>
                <w:sz w:val="20"/>
              </w:rPr>
              <w:t>Bakery waste</w:t>
            </w:r>
          </w:p>
        </w:tc>
        <w:tc>
          <w:tcPr>
            <w:tcW w:w="2552" w:type="dxa"/>
            <w:tcBorders>
              <w:top w:val="single" w:sz="4" w:space="0" w:color="auto"/>
              <w:left w:val="nil"/>
              <w:bottom w:val="single" w:sz="4" w:space="0" w:color="auto"/>
              <w:right w:val="nil"/>
            </w:tcBorders>
            <w:vAlign w:val="center"/>
          </w:tcPr>
          <w:p w14:paraId="400F7F45" w14:textId="77777777" w:rsidR="0018781A" w:rsidRPr="00A45E22" w:rsidRDefault="0018781A" w:rsidP="0018781A">
            <w:pPr>
              <w:jc w:val="right"/>
              <w:rPr>
                <w:sz w:val="20"/>
              </w:rPr>
            </w:pPr>
            <w:r w:rsidRPr="00A45E22">
              <w:rPr>
                <w:sz w:val="20"/>
              </w:rPr>
              <w:t>360</w:t>
            </w:r>
          </w:p>
        </w:tc>
        <w:tc>
          <w:tcPr>
            <w:tcW w:w="1984" w:type="dxa"/>
            <w:tcBorders>
              <w:top w:val="single" w:sz="4" w:space="0" w:color="auto"/>
              <w:left w:val="nil"/>
              <w:bottom w:val="single" w:sz="4" w:space="0" w:color="auto"/>
              <w:right w:val="nil"/>
            </w:tcBorders>
            <w:vAlign w:val="center"/>
          </w:tcPr>
          <w:p w14:paraId="400F7F46" w14:textId="77777777" w:rsidR="0018781A" w:rsidRPr="00A45E22" w:rsidRDefault="0018781A" w:rsidP="0018781A">
            <w:pPr>
              <w:jc w:val="right"/>
              <w:rPr>
                <w:sz w:val="20"/>
              </w:rPr>
            </w:pPr>
            <w:r w:rsidRPr="00A45E22">
              <w:rPr>
                <w:sz w:val="20"/>
              </w:rPr>
              <w:t>730</w:t>
            </w:r>
          </w:p>
        </w:tc>
      </w:tr>
      <w:tr w:rsidR="00740DE0" w:rsidRPr="00A45E22" w14:paraId="400F7F4C" w14:textId="77777777" w:rsidTr="0018781A">
        <w:tc>
          <w:tcPr>
            <w:tcW w:w="601" w:type="dxa"/>
            <w:tcBorders>
              <w:top w:val="single" w:sz="4" w:space="0" w:color="auto"/>
              <w:left w:val="nil"/>
              <w:bottom w:val="single" w:sz="4" w:space="0" w:color="auto"/>
              <w:right w:val="nil"/>
            </w:tcBorders>
            <w:vAlign w:val="center"/>
          </w:tcPr>
          <w:p w14:paraId="400F7F48" w14:textId="77777777" w:rsidR="0018781A" w:rsidRPr="00A45E22" w:rsidRDefault="0018781A" w:rsidP="0018781A">
            <w:pPr>
              <w:jc w:val="right"/>
              <w:rPr>
                <w:sz w:val="20"/>
              </w:rPr>
            </w:pPr>
            <w:r w:rsidRPr="00A45E22">
              <w:rPr>
                <w:noProof/>
                <w:sz w:val="20"/>
              </w:rPr>
              <w:t>16</w:t>
            </w:r>
          </w:p>
        </w:tc>
        <w:tc>
          <w:tcPr>
            <w:tcW w:w="3260" w:type="dxa"/>
            <w:gridSpan w:val="2"/>
            <w:tcBorders>
              <w:top w:val="single" w:sz="4" w:space="0" w:color="auto"/>
              <w:left w:val="nil"/>
              <w:bottom w:val="single" w:sz="4" w:space="0" w:color="auto"/>
              <w:right w:val="nil"/>
            </w:tcBorders>
            <w:vAlign w:val="center"/>
          </w:tcPr>
          <w:p w14:paraId="400F7F49" w14:textId="77777777" w:rsidR="0018781A" w:rsidRPr="00A45E22" w:rsidRDefault="0018781A" w:rsidP="0018781A">
            <w:pPr>
              <w:rPr>
                <w:sz w:val="20"/>
              </w:rPr>
            </w:pPr>
            <w:r w:rsidRPr="00A45E22">
              <w:rPr>
                <w:sz w:val="20"/>
              </w:rPr>
              <w:t>Cheese waste</w:t>
            </w:r>
          </w:p>
        </w:tc>
        <w:tc>
          <w:tcPr>
            <w:tcW w:w="2552" w:type="dxa"/>
            <w:tcBorders>
              <w:top w:val="single" w:sz="4" w:space="0" w:color="auto"/>
              <w:left w:val="nil"/>
              <w:bottom w:val="single" w:sz="4" w:space="0" w:color="auto"/>
              <w:right w:val="nil"/>
            </w:tcBorders>
            <w:vAlign w:val="center"/>
          </w:tcPr>
          <w:p w14:paraId="400F7F4A" w14:textId="77777777" w:rsidR="0018781A" w:rsidRPr="00A45E22" w:rsidRDefault="0018781A" w:rsidP="0018781A">
            <w:pPr>
              <w:jc w:val="right"/>
              <w:rPr>
                <w:sz w:val="20"/>
              </w:rPr>
            </w:pPr>
            <w:r w:rsidRPr="00A45E22">
              <w:rPr>
                <w:sz w:val="20"/>
              </w:rPr>
              <w:t>350</w:t>
            </w:r>
          </w:p>
        </w:tc>
        <w:tc>
          <w:tcPr>
            <w:tcW w:w="1984" w:type="dxa"/>
            <w:tcBorders>
              <w:top w:val="single" w:sz="4" w:space="0" w:color="auto"/>
              <w:left w:val="nil"/>
              <w:bottom w:val="single" w:sz="4" w:space="0" w:color="auto"/>
              <w:right w:val="nil"/>
            </w:tcBorders>
            <w:vAlign w:val="center"/>
          </w:tcPr>
          <w:p w14:paraId="400F7F4B" w14:textId="77777777" w:rsidR="0018781A" w:rsidRPr="00A45E22" w:rsidRDefault="0018781A" w:rsidP="0018781A">
            <w:pPr>
              <w:jc w:val="right"/>
              <w:rPr>
                <w:sz w:val="20"/>
              </w:rPr>
            </w:pPr>
            <w:r w:rsidRPr="00A45E22">
              <w:rPr>
                <w:sz w:val="20"/>
              </w:rPr>
              <w:t>730</w:t>
            </w:r>
          </w:p>
        </w:tc>
      </w:tr>
      <w:tr w:rsidR="00740DE0" w:rsidRPr="00A45E22" w14:paraId="400F7F51" w14:textId="77777777" w:rsidTr="0018781A">
        <w:tc>
          <w:tcPr>
            <w:tcW w:w="601" w:type="dxa"/>
            <w:tcBorders>
              <w:top w:val="single" w:sz="4" w:space="0" w:color="auto"/>
              <w:left w:val="nil"/>
              <w:bottom w:val="single" w:sz="12" w:space="0" w:color="auto"/>
              <w:right w:val="nil"/>
            </w:tcBorders>
            <w:vAlign w:val="center"/>
          </w:tcPr>
          <w:p w14:paraId="400F7F4D" w14:textId="77777777" w:rsidR="0018781A" w:rsidRPr="00A45E22" w:rsidRDefault="0018781A" w:rsidP="0018781A">
            <w:pPr>
              <w:jc w:val="right"/>
              <w:rPr>
                <w:sz w:val="20"/>
              </w:rPr>
            </w:pPr>
            <w:r w:rsidRPr="00A45E22">
              <w:rPr>
                <w:noProof/>
                <w:sz w:val="20"/>
              </w:rPr>
              <w:t>17</w:t>
            </w:r>
          </w:p>
        </w:tc>
        <w:tc>
          <w:tcPr>
            <w:tcW w:w="3260" w:type="dxa"/>
            <w:gridSpan w:val="2"/>
            <w:tcBorders>
              <w:top w:val="single" w:sz="4" w:space="0" w:color="auto"/>
              <w:left w:val="nil"/>
              <w:bottom w:val="single" w:sz="12" w:space="0" w:color="auto"/>
              <w:right w:val="nil"/>
            </w:tcBorders>
            <w:vAlign w:val="center"/>
          </w:tcPr>
          <w:p w14:paraId="400F7F4E" w14:textId="77777777" w:rsidR="0018781A" w:rsidRPr="00A45E22" w:rsidRDefault="0018781A" w:rsidP="0018781A">
            <w:pPr>
              <w:rPr>
                <w:sz w:val="20"/>
              </w:rPr>
            </w:pPr>
            <w:r w:rsidRPr="00A45E22">
              <w:rPr>
                <w:sz w:val="20"/>
              </w:rPr>
              <w:t>Spent grains fresh (e.g. brewery, distillers)</w:t>
            </w:r>
          </w:p>
        </w:tc>
        <w:tc>
          <w:tcPr>
            <w:tcW w:w="2552" w:type="dxa"/>
            <w:tcBorders>
              <w:top w:val="single" w:sz="4" w:space="0" w:color="auto"/>
              <w:left w:val="nil"/>
              <w:bottom w:val="single" w:sz="12" w:space="0" w:color="auto"/>
              <w:right w:val="nil"/>
            </w:tcBorders>
            <w:vAlign w:val="center"/>
          </w:tcPr>
          <w:p w14:paraId="400F7F4F" w14:textId="77777777" w:rsidR="0018781A" w:rsidRPr="00A45E22" w:rsidRDefault="0018781A" w:rsidP="0018781A">
            <w:pPr>
              <w:jc w:val="right"/>
              <w:rPr>
                <w:sz w:val="20"/>
              </w:rPr>
            </w:pPr>
            <w:r w:rsidRPr="00A45E22">
              <w:rPr>
                <w:sz w:val="20"/>
              </w:rPr>
              <w:t>240</w:t>
            </w:r>
          </w:p>
        </w:tc>
        <w:tc>
          <w:tcPr>
            <w:tcW w:w="1984" w:type="dxa"/>
            <w:tcBorders>
              <w:top w:val="single" w:sz="4" w:space="0" w:color="auto"/>
              <w:left w:val="nil"/>
              <w:bottom w:val="single" w:sz="12" w:space="0" w:color="auto"/>
              <w:right w:val="nil"/>
            </w:tcBorders>
            <w:vAlign w:val="center"/>
          </w:tcPr>
          <w:p w14:paraId="400F7F50" w14:textId="77777777" w:rsidR="0018781A" w:rsidRPr="00A45E22" w:rsidRDefault="0018781A" w:rsidP="0018781A">
            <w:pPr>
              <w:jc w:val="right"/>
              <w:rPr>
                <w:sz w:val="20"/>
              </w:rPr>
            </w:pPr>
            <w:r w:rsidRPr="00A45E22">
              <w:rPr>
                <w:sz w:val="20"/>
              </w:rPr>
              <w:t>330</w:t>
            </w:r>
          </w:p>
        </w:tc>
      </w:tr>
      <w:tr w:rsidR="00740DE0" w:rsidRPr="00A45E22" w14:paraId="400F7F56" w14:textId="77777777" w:rsidTr="0018781A">
        <w:tc>
          <w:tcPr>
            <w:tcW w:w="601" w:type="dxa"/>
            <w:tcBorders>
              <w:top w:val="single" w:sz="12" w:space="0" w:color="auto"/>
              <w:left w:val="nil"/>
              <w:bottom w:val="single" w:sz="4" w:space="0" w:color="auto"/>
              <w:right w:val="nil"/>
            </w:tcBorders>
            <w:vAlign w:val="center"/>
          </w:tcPr>
          <w:p w14:paraId="400F7F52" w14:textId="77777777" w:rsidR="0018781A" w:rsidRPr="00A45E22" w:rsidRDefault="0018781A" w:rsidP="0018781A">
            <w:pPr>
              <w:jc w:val="right"/>
              <w:rPr>
                <w:sz w:val="20"/>
              </w:rPr>
            </w:pPr>
            <w:r w:rsidRPr="00A45E22">
              <w:rPr>
                <w:noProof/>
                <w:sz w:val="20"/>
              </w:rPr>
              <w:t>18</w:t>
            </w:r>
          </w:p>
        </w:tc>
        <w:tc>
          <w:tcPr>
            <w:tcW w:w="3260" w:type="dxa"/>
            <w:gridSpan w:val="2"/>
            <w:tcBorders>
              <w:top w:val="single" w:sz="12" w:space="0" w:color="auto"/>
              <w:left w:val="nil"/>
              <w:bottom w:val="single" w:sz="4" w:space="0" w:color="auto"/>
              <w:right w:val="nil"/>
            </w:tcBorders>
            <w:vAlign w:val="center"/>
          </w:tcPr>
          <w:p w14:paraId="400F7F53" w14:textId="77777777" w:rsidR="0018781A" w:rsidRPr="00A45E22" w:rsidRDefault="0018781A" w:rsidP="0018781A">
            <w:pPr>
              <w:rPr>
                <w:sz w:val="20"/>
              </w:rPr>
            </w:pPr>
            <w:r w:rsidRPr="00A45E22">
              <w:rPr>
                <w:sz w:val="20"/>
              </w:rPr>
              <w:t>Apples</w:t>
            </w:r>
          </w:p>
        </w:tc>
        <w:tc>
          <w:tcPr>
            <w:tcW w:w="2552" w:type="dxa"/>
            <w:tcBorders>
              <w:top w:val="single" w:sz="12" w:space="0" w:color="auto"/>
              <w:left w:val="nil"/>
              <w:bottom w:val="single" w:sz="4" w:space="0" w:color="auto"/>
              <w:right w:val="nil"/>
            </w:tcBorders>
            <w:vAlign w:val="center"/>
          </w:tcPr>
          <w:p w14:paraId="400F7F54" w14:textId="77777777" w:rsidR="0018781A" w:rsidRPr="00A45E22" w:rsidRDefault="0018781A" w:rsidP="0018781A">
            <w:pPr>
              <w:jc w:val="right"/>
              <w:rPr>
                <w:sz w:val="20"/>
              </w:rPr>
            </w:pPr>
            <w:r w:rsidRPr="00A45E22">
              <w:rPr>
                <w:sz w:val="20"/>
              </w:rPr>
              <w:t>281</w:t>
            </w:r>
          </w:p>
        </w:tc>
        <w:tc>
          <w:tcPr>
            <w:tcW w:w="1984" w:type="dxa"/>
            <w:tcBorders>
              <w:top w:val="single" w:sz="12" w:space="0" w:color="auto"/>
              <w:left w:val="nil"/>
              <w:bottom w:val="single" w:sz="4" w:space="0" w:color="auto"/>
              <w:right w:val="nil"/>
            </w:tcBorders>
            <w:vAlign w:val="center"/>
          </w:tcPr>
          <w:p w14:paraId="400F7F55" w14:textId="77777777" w:rsidR="0018781A" w:rsidRPr="00A45E22" w:rsidRDefault="0018781A" w:rsidP="0018781A">
            <w:pPr>
              <w:jc w:val="right"/>
              <w:rPr>
                <w:sz w:val="20"/>
              </w:rPr>
            </w:pPr>
            <w:r w:rsidRPr="00A45E22">
              <w:rPr>
                <w:sz w:val="20"/>
              </w:rPr>
              <w:t>440</w:t>
            </w:r>
          </w:p>
        </w:tc>
      </w:tr>
      <w:tr w:rsidR="00740DE0" w:rsidRPr="00A45E22" w14:paraId="400F7F5B" w14:textId="77777777" w:rsidTr="009627EA">
        <w:tc>
          <w:tcPr>
            <w:tcW w:w="601" w:type="dxa"/>
            <w:tcBorders>
              <w:top w:val="single" w:sz="4" w:space="0" w:color="auto"/>
              <w:left w:val="nil"/>
              <w:bottom w:val="single" w:sz="4" w:space="0" w:color="auto"/>
              <w:right w:val="nil"/>
            </w:tcBorders>
            <w:vAlign w:val="center"/>
          </w:tcPr>
          <w:p w14:paraId="400F7F57" w14:textId="77777777" w:rsidR="0018781A" w:rsidRPr="00A45E22" w:rsidRDefault="0018781A" w:rsidP="0018781A">
            <w:pPr>
              <w:jc w:val="right"/>
              <w:rPr>
                <w:noProof/>
                <w:sz w:val="20"/>
              </w:rPr>
            </w:pPr>
            <w:r w:rsidRPr="00A45E22">
              <w:rPr>
                <w:noProof/>
                <w:sz w:val="20"/>
              </w:rPr>
              <w:t>19</w:t>
            </w:r>
          </w:p>
        </w:tc>
        <w:tc>
          <w:tcPr>
            <w:tcW w:w="3260" w:type="dxa"/>
            <w:gridSpan w:val="2"/>
            <w:tcBorders>
              <w:top w:val="single" w:sz="4" w:space="0" w:color="auto"/>
              <w:left w:val="nil"/>
              <w:bottom w:val="single" w:sz="4" w:space="0" w:color="auto"/>
              <w:right w:val="nil"/>
            </w:tcBorders>
            <w:vAlign w:val="center"/>
          </w:tcPr>
          <w:p w14:paraId="400F7F58" w14:textId="77777777" w:rsidR="0018781A" w:rsidRPr="00A45E22" w:rsidRDefault="0018781A" w:rsidP="0018781A">
            <w:pPr>
              <w:rPr>
                <w:sz w:val="20"/>
              </w:rPr>
            </w:pPr>
            <w:r w:rsidRPr="00A45E22">
              <w:rPr>
                <w:sz w:val="20"/>
              </w:rPr>
              <w:t>Bananas</w:t>
            </w:r>
          </w:p>
        </w:tc>
        <w:tc>
          <w:tcPr>
            <w:tcW w:w="2552" w:type="dxa"/>
            <w:tcBorders>
              <w:top w:val="single" w:sz="4" w:space="0" w:color="auto"/>
              <w:left w:val="nil"/>
              <w:bottom w:val="single" w:sz="4" w:space="0" w:color="auto"/>
              <w:right w:val="nil"/>
            </w:tcBorders>
            <w:vAlign w:val="center"/>
          </w:tcPr>
          <w:p w14:paraId="400F7F59" w14:textId="77777777" w:rsidR="0018781A" w:rsidRPr="00A45E22" w:rsidRDefault="0018781A" w:rsidP="0018781A">
            <w:pPr>
              <w:jc w:val="right"/>
              <w:rPr>
                <w:sz w:val="20"/>
              </w:rPr>
            </w:pPr>
            <w:r w:rsidRPr="00A45E22">
              <w:rPr>
                <w:sz w:val="20"/>
              </w:rPr>
              <w:t>270</w:t>
            </w:r>
          </w:p>
        </w:tc>
        <w:tc>
          <w:tcPr>
            <w:tcW w:w="1984" w:type="dxa"/>
            <w:tcBorders>
              <w:top w:val="single" w:sz="4" w:space="0" w:color="auto"/>
              <w:left w:val="nil"/>
              <w:bottom w:val="single" w:sz="4" w:space="0" w:color="auto"/>
              <w:right w:val="nil"/>
            </w:tcBorders>
            <w:vAlign w:val="center"/>
          </w:tcPr>
          <w:p w14:paraId="400F7F5A" w14:textId="77777777" w:rsidR="0018781A" w:rsidRPr="00A45E22" w:rsidRDefault="0018781A" w:rsidP="0018781A">
            <w:pPr>
              <w:jc w:val="right"/>
              <w:rPr>
                <w:sz w:val="20"/>
              </w:rPr>
            </w:pPr>
            <w:r w:rsidRPr="00A45E22">
              <w:rPr>
                <w:sz w:val="20"/>
              </w:rPr>
              <w:t>410</w:t>
            </w:r>
          </w:p>
        </w:tc>
      </w:tr>
      <w:tr w:rsidR="00740DE0" w:rsidRPr="00A45E22" w14:paraId="400F7F60" w14:textId="77777777" w:rsidTr="009627EA">
        <w:tc>
          <w:tcPr>
            <w:tcW w:w="601" w:type="dxa"/>
            <w:tcBorders>
              <w:top w:val="single" w:sz="4" w:space="0" w:color="auto"/>
              <w:left w:val="nil"/>
              <w:bottom w:val="single" w:sz="4" w:space="0" w:color="auto"/>
              <w:right w:val="nil"/>
            </w:tcBorders>
            <w:vAlign w:val="center"/>
          </w:tcPr>
          <w:p w14:paraId="400F7F5C" w14:textId="77777777" w:rsidR="0018781A" w:rsidRPr="00A45E22" w:rsidRDefault="0018781A" w:rsidP="0018781A">
            <w:pPr>
              <w:jc w:val="right"/>
              <w:rPr>
                <w:noProof/>
                <w:sz w:val="20"/>
              </w:rPr>
            </w:pPr>
            <w:r w:rsidRPr="00A45E22">
              <w:rPr>
                <w:noProof/>
                <w:sz w:val="20"/>
              </w:rPr>
              <w:t>20</w:t>
            </w:r>
          </w:p>
        </w:tc>
        <w:tc>
          <w:tcPr>
            <w:tcW w:w="3260" w:type="dxa"/>
            <w:gridSpan w:val="2"/>
            <w:tcBorders>
              <w:top w:val="single" w:sz="4" w:space="0" w:color="auto"/>
              <w:left w:val="nil"/>
              <w:bottom w:val="single" w:sz="4" w:space="0" w:color="auto"/>
              <w:right w:val="nil"/>
            </w:tcBorders>
            <w:vAlign w:val="center"/>
          </w:tcPr>
          <w:p w14:paraId="400F7F5D" w14:textId="77777777" w:rsidR="0018781A" w:rsidRPr="00A45E22" w:rsidRDefault="0018781A" w:rsidP="0018781A">
            <w:pPr>
              <w:rPr>
                <w:sz w:val="20"/>
              </w:rPr>
            </w:pPr>
            <w:r w:rsidRPr="00A45E22">
              <w:rPr>
                <w:sz w:val="20"/>
              </w:rPr>
              <w:t>Cabbage</w:t>
            </w:r>
          </w:p>
        </w:tc>
        <w:tc>
          <w:tcPr>
            <w:tcW w:w="2552" w:type="dxa"/>
            <w:tcBorders>
              <w:top w:val="single" w:sz="4" w:space="0" w:color="auto"/>
              <w:left w:val="nil"/>
              <w:bottom w:val="single" w:sz="4" w:space="0" w:color="auto"/>
              <w:right w:val="nil"/>
            </w:tcBorders>
            <w:vAlign w:val="center"/>
          </w:tcPr>
          <w:p w14:paraId="400F7F5E" w14:textId="77777777" w:rsidR="0018781A" w:rsidRPr="00A45E22" w:rsidRDefault="0018781A" w:rsidP="0018781A">
            <w:pPr>
              <w:jc w:val="right"/>
              <w:rPr>
                <w:sz w:val="20"/>
              </w:rPr>
            </w:pPr>
            <w:r w:rsidRPr="00A45E22">
              <w:rPr>
                <w:sz w:val="20"/>
              </w:rPr>
              <w:t>290</w:t>
            </w:r>
          </w:p>
        </w:tc>
        <w:tc>
          <w:tcPr>
            <w:tcW w:w="1984" w:type="dxa"/>
            <w:tcBorders>
              <w:top w:val="single" w:sz="4" w:space="0" w:color="auto"/>
              <w:left w:val="nil"/>
              <w:bottom w:val="single" w:sz="4" w:space="0" w:color="auto"/>
              <w:right w:val="nil"/>
            </w:tcBorders>
            <w:vAlign w:val="center"/>
          </w:tcPr>
          <w:p w14:paraId="400F7F5F" w14:textId="77777777" w:rsidR="0018781A" w:rsidRPr="00A45E22" w:rsidRDefault="0018781A" w:rsidP="0018781A">
            <w:pPr>
              <w:jc w:val="right"/>
              <w:rPr>
                <w:sz w:val="20"/>
              </w:rPr>
            </w:pPr>
            <w:r w:rsidRPr="00A45E22">
              <w:rPr>
                <w:sz w:val="20"/>
              </w:rPr>
              <w:t>380</w:t>
            </w:r>
          </w:p>
        </w:tc>
      </w:tr>
      <w:tr w:rsidR="00740DE0" w:rsidRPr="00A45E22" w14:paraId="400F7F65" w14:textId="77777777" w:rsidTr="009627EA">
        <w:tc>
          <w:tcPr>
            <w:tcW w:w="601" w:type="dxa"/>
            <w:tcBorders>
              <w:top w:val="single" w:sz="4" w:space="0" w:color="auto"/>
              <w:left w:val="nil"/>
              <w:bottom w:val="single" w:sz="4" w:space="0" w:color="auto"/>
              <w:right w:val="nil"/>
            </w:tcBorders>
            <w:vAlign w:val="center"/>
          </w:tcPr>
          <w:p w14:paraId="400F7F61" w14:textId="77777777" w:rsidR="0018781A" w:rsidRPr="00A45E22" w:rsidRDefault="0018781A" w:rsidP="0018781A">
            <w:pPr>
              <w:jc w:val="right"/>
              <w:rPr>
                <w:sz w:val="20"/>
              </w:rPr>
            </w:pPr>
            <w:r w:rsidRPr="00A45E22">
              <w:rPr>
                <w:noProof/>
                <w:sz w:val="20"/>
              </w:rPr>
              <w:t>21</w:t>
            </w:r>
          </w:p>
        </w:tc>
        <w:tc>
          <w:tcPr>
            <w:tcW w:w="3260" w:type="dxa"/>
            <w:gridSpan w:val="2"/>
            <w:tcBorders>
              <w:top w:val="single" w:sz="4" w:space="0" w:color="auto"/>
              <w:left w:val="nil"/>
              <w:bottom w:val="single" w:sz="4" w:space="0" w:color="auto"/>
              <w:right w:val="nil"/>
            </w:tcBorders>
            <w:vAlign w:val="center"/>
          </w:tcPr>
          <w:p w14:paraId="400F7F62" w14:textId="77777777" w:rsidR="0018781A" w:rsidRPr="00A45E22" w:rsidRDefault="0018781A" w:rsidP="0018781A">
            <w:pPr>
              <w:rPr>
                <w:sz w:val="20"/>
              </w:rPr>
            </w:pPr>
            <w:r w:rsidRPr="00A45E22">
              <w:rPr>
                <w:sz w:val="20"/>
              </w:rPr>
              <w:t>Carrot</w:t>
            </w:r>
          </w:p>
        </w:tc>
        <w:tc>
          <w:tcPr>
            <w:tcW w:w="2552" w:type="dxa"/>
            <w:tcBorders>
              <w:top w:val="single" w:sz="4" w:space="0" w:color="auto"/>
              <w:left w:val="nil"/>
              <w:bottom w:val="single" w:sz="4" w:space="0" w:color="auto"/>
              <w:right w:val="nil"/>
            </w:tcBorders>
            <w:vAlign w:val="center"/>
          </w:tcPr>
          <w:p w14:paraId="400F7F63" w14:textId="77777777" w:rsidR="0018781A" w:rsidRPr="00A45E22" w:rsidRDefault="0018781A" w:rsidP="0018781A">
            <w:pPr>
              <w:jc w:val="right"/>
              <w:rPr>
                <w:sz w:val="20"/>
              </w:rPr>
            </w:pPr>
            <w:r w:rsidRPr="00A45E22">
              <w:rPr>
                <w:sz w:val="20"/>
              </w:rPr>
              <w:t>240</w:t>
            </w:r>
          </w:p>
        </w:tc>
        <w:tc>
          <w:tcPr>
            <w:tcW w:w="1984" w:type="dxa"/>
            <w:tcBorders>
              <w:top w:val="single" w:sz="4" w:space="0" w:color="auto"/>
              <w:left w:val="nil"/>
              <w:bottom w:val="single" w:sz="4" w:space="0" w:color="auto"/>
              <w:right w:val="nil"/>
            </w:tcBorders>
            <w:vAlign w:val="center"/>
          </w:tcPr>
          <w:p w14:paraId="400F7F64" w14:textId="77777777" w:rsidR="0018781A" w:rsidRPr="00A45E22" w:rsidRDefault="0018781A" w:rsidP="0018781A">
            <w:pPr>
              <w:jc w:val="right"/>
              <w:rPr>
                <w:sz w:val="20"/>
              </w:rPr>
            </w:pPr>
            <w:r w:rsidRPr="00A45E22">
              <w:rPr>
                <w:sz w:val="20"/>
              </w:rPr>
              <w:t>420</w:t>
            </w:r>
          </w:p>
        </w:tc>
      </w:tr>
      <w:tr w:rsidR="00740DE0" w:rsidRPr="00A45E22" w14:paraId="400F7F6A" w14:textId="77777777" w:rsidTr="009627EA">
        <w:tc>
          <w:tcPr>
            <w:tcW w:w="601" w:type="dxa"/>
            <w:tcBorders>
              <w:top w:val="single" w:sz="4" w:space="0" w:color="auto"/>
              <w:left w:val="nil"/>
              <w:bottom w:val="single" w:sz="4" w:space="0" w:color="auto"/>
              <w:right w:val="nil"/>
            </w:tcBorders>
            <w:vAlign w:val="center"/>
          </w:tcPr>
          <w:p w14:paraId="400F7F66" w14:textId="77777777" w:rsidR="0018781A" w:rsidRPr="00A45E22" w:rsidRDefault="0018781A" w:rsidP="0018781A">
            <w:pPr>
              <w:jc w:val="right"/>
              <w:rPr>
                <w:noProof/>
                <w:sz w:val="20"/>
              </w:rPr>
            </w:pPr>
            <w:r w:rsidRPr="00A45E22">
              <w:rPr>
                <w:noProof/>
                <w:sz w:val="20"/>
              </w:rPr>
              <w:t>22</w:t>
            </w:r>
          </w:p>
        </w:tc>
        <w:tc>
          <w:tcPr>
            <w:tcW w:w="3260" w:type="dxa"/>
            <w:gridSpan w:val="2"/>
            <w:tcBorders>
              <w:top w:val="single" w:sz="4" w:space="0" w:color="auto"/>
              <w:left w:val="nil"/>
              <w:bottom w:val="single" w:sz="4" w:space="0" w:color="auto"/>
              <w:right w:val="nil"/>
            </w:tcBorders>
            <w:vAlign w:val="center"/>
          </w:tcPr>
          <w:p w14:paraId="400F7F67" w14:textId="77777777" w:rsidR="0018781A" w:rsidRPr="00A45E22" w:rsidRDefault="0018781A" w:rsidP="0018781A">
            <w:pPr>
              <w:rPr>
                <w:sz w:val="20"/>
              </w:rPr>
            </w:pPr>
            <w:r w:rsidRPr="00A45E22">
              <w:rPr>
                <w:sz w:val="20"/>
              </w:rPr>
              <w:t>Cauliflower</w:t>
            </w:r>
          </w:p>
        </w:tc>
        <w:tc>
          <w:tcPr>
            <w:tcW w:w="2552" w:type="dxa"/>
            <w:tcBorders>
              <w:top w:val="single" w:sz="4" w:space="0" w:color="auto"/>
              <w:left w:val="nil"/>
              <w:bottom w:val="single" w:sz="4" w:space="0" w:color="auto"/>
              <w:right w:val="nil"/>
            </w:tcBorders>
            <w:vAlign w:val="center"/>
          </w:tcPr>
          <w:p w14:paraId="400F7F68" w14:textId="77777777" w:rsidR="0018781A" w:rsidRPr="00A45E22" w:rsidRDefault="0018781A" w:rsidP="0018781A">
            <w:pPr>
              <w:jc w:val="right"/>
              <w:rPr>
                <w:sz w:val="20"/>
              </w:rPr>
            </w:pPr>
            <w:r w:rsidRPr="00A45E22">
              <w:rPr>
                <w:sz w:val="20"/>
              </w:rPr>
              <w:t>190</w:t>
            </w:r>
          </w:p>
        </w:tc>
        <w:tc>
          <w:tcPr>
            <w:tcW w:w="1984" w:type="dxa"/>
            <w:tcBorders>
              <w:top w:val="single" w:sz="4" w:space="0" w:color="auto"/>
              <w:left w:val="nil"/>
              <w:bottom w:val="single" w:sz="4" w:space="0" w:color="auto"/>
              <w:right w:val="nil"/>
            </w:tcBorders>
            <w:vAlign w:val="center"/>
          </w:tcPr>
          <w:p w14:paraId="400F7F69" w14:textId="77777777" w:rsidR="0018781A" w:rsidRPr="00A45E22" w:rsidRDefault="0018781A" w:rsidP="0018781A">
            <w:pPr>
              <w:jc w:val="right"/>
              <w:rPr>
                <w:sz w:val="20"/>
              </w:rPr>
            </w:pPr>
            <w:r w:rsidRPr="00A45E22">
              <w:rPr>
                <w:sz w:val="20"/>
              </w:rPr>
              <w:t>420</w:t>
            </w:r>
          </w:p>
        </w:tc>
      </w:tr>
      <w:tr w:rsidR="00740DE0" w:rsidRPr="00A45E22" w14:paraId="400F7F6F" w14:textId="77777777" w:rsidTr="0018781A">
        <w:tc>
          <w:tcPr>
            <w:tcW w:w="601" w:type="dxa"/>
            <w:tcBorders>
              <w:top w:val="single" w:sz="4" w:space="0" w:color="auto"/>
              <w:left w:val="nil"/>
              <w:bottom w:val="single" w:sz="4" w:space="0" w:color="auto"/>
              <w:right w:val="nil"/>
            </w:tcBorders>
            <w:vAlign w:val="center"/>
          </w:tcPr>
          <w:p w14:paraId="400F7F6B" w14:textId="77777777" w:rsidR="0018781A" w:rsidRPr="00A45E22" w:rsidRDefault="0018781A" w:rsidP="0018781A">
            <w:pPr>
              <w:jc w:val="right"/>
              <w:rPr>
                <w:noProof/>
                <w:sz w:val="20"/>
              </w:rPr>
            </w:pPr>
            <w:r w:rsidRPr="00A45E22">
              <w:rPr>
                <w:noProof/>
                <w:sz w:val="20"/>
              </w:rPr>
              <w:t>23</w:t>
            </w:r>
          </w:p>
        </w:tc>
        <w:tc>
          <w:tcPr>
            <w:tcW w:w="3260" w:type="dxa"/>
            <w:gridSpan w:val="2"/>
            <w:tcBorders>
              <w:top w:val="single" w:sz="4" w:space="0" w:color="auto"/>
              <w:left w:val="nil"/>
              <w:bottom w:val="single" w:sz="4" w:space="0" w:color="auto"/>
              <w:right w:val="nil"/>
            </w:tcBorders>
            <w:vAlign w:val="center"/>
          </w:tcPr>
          <w:p w14:paraId="400F7F6C" w14:textId="77777777" w:rsidR="0018781A" w:rsidRPr="00A45E22" w:rsidRDefault="0018781A" w:rsidP="0018781A">
            <w:pPr>
              <w:rPr>
                <w:sz w:val="20"/>
              </w:rPr>
            </w:pPr>
            <w:r w:rsidRPr="00A45E22">
              <w:rPr>
                <w:sz w:val="20"/>
              </w:rPr>
              <w:t>Citrus, including waste</w:t>
            </w:r>
          </w:p>
        </w:tc>
        <w:tc>
          <w:tcPr>
            <w:tcW w:w="2552" w:type="dxa"/>
            <w:tcBorders>
              <w:top w:val="single" w:sz="4" w:space="0" w:color="auto"/>
              <w:left w:val="nil"/>
              <w:bottom w:val="single" w:sz="4" w:space="0" w:color="auto"/>
              <w:right w:val="nil"/>
            </w:tcBorders>
            <w:vAlign w:val="center"/>
          </w:tcPr>
          <w:p w14:paraId="400F7F6D" w14:textId="77777777" w:rsidR="0018781A" w:rsidRPr="00A45E22" w:rsidRDefault="0018781A" w:rsidP="0018781A">
            <w:pPr>
              <w:jc w:val="right"/>
              <w:rPr>
                <w:sz w:val="20"/>
              </w:rPr>
            </w:pPr>
            <w:r w:rsidRPr="00A45E22">
              <w:rPr>
                <w:sz w:val="20"/>
              </w:rPr>
              <w:t>300</w:t>
            </w:r>
          </w:p>
        </w:tc>
        <w:tc>
          <w:tcPr>
            <w:tcW w:w="1984" w:type="dxa"/>
            <w:tcBorders>
              <w:top w:val="single" w:sz="4" w:space="0" w:color="auto"/>
              <w:left w:val="nil"/>
              <w:bottom w:val="single" w:sz="4" w:space="0" w:color="auto"/>
              <w:right w:val="nil"/>
            </w:tcBorders>
            <w:vAlign w:val="center"/>
          </w:tcPr>
          <w:p w14:paraId="400F7F6E" w14:textId="77777777" w:rsidR="0018781A" w:rsidRPr="00A45E22" w:rsidRDefault="0018781A" w:rsidP="0018781A">
            <w:pPr>
              <w:jc w:val="right"/>
              <w:rPr>
                <w:sz w:val="20"/>
              </w:rPr>
            </w:pPr>
            <w:r w:rsidRPr="00A45E22">
              <w:rPr>
                <w:sz w:val="20"/>
              </w:rPr>
              <w:t>730</w:t>
            </w:r>
          </w:p>
        </w:tc>
      </w:tr>
      <w:tr w:rsidR="00740DE0" w:rsidRPr="00A45E22" w14:paraId="400F7F74" w14:textId="77777777" w:rsidTr="0018781A">
        <w:tc>
          <w:tcPr>
            <w:tcW w:w="601" w:type="dxa"/>
            <w:tcBorders>
              <w:top w:val="single" w:sz="4" w:space="0" w:color="auto"/>
              <w:left w:val="nil"/>
              <w:bottom w:val="single" w:sz="12" w:space="0" w:color="auto"/>
              <w:right w:val="nil"/>
            </w:tcBorders>
            <w:vAlign w:val="center"/>
          </w:tcPr>
          <w:p w14:paraId="400F7F70" w14:textId="77777777" w:rsidR="0018781A" w:rsidRPr="00A45E22" w:rsidRDefault="0018781A" w:rsidP="0018781A">
            <w:pPr>
              <w:jc w:val="right"/>
              <w:rPr>
                <w:noProof/>
                <w:sz w:val="20"/>
              </w:rPr>
            </w:pPr>
            <w:r w:rsidRPr="00A45E22">
              <w:rPr>
                <w:noProof/>
                <w:sz w:val="20"/>
              </w:rPr>
              <w:t>24</w:t>
            </w:r>
          </w:p>
        </w:tc>
        <w:tc>
          <w:tcPr>
            <w:tcW w:w="3260" w:type="dxa"/>
            <w:gridSpan w:val="2"/>
            <w:tcBorders>
              <w:top w:val="single" w:sz="4" w:space="0" w:color="auto"/>
              <w:left w:val="nil"/>
              <w:bottom w:val="single" w:sz="12" w:space="0" w:color="auto"/>
              <w:right w:val="nil"/>
            </w:tcBorders>
            <w:vAlign w:val="center"/>
          </w:tcPr>
          <w:p w14:paraId="400F7F71" w14:textId="77777777" w:rsidR="0018781A" w:rsidRPr="00A45E22" w:rsidDel="00DA5E1C" w:rsidRDefault="0018781A" w:rsidP="0018781A">
            <w:pPr>
              <w:rPr>
                <w:sz w:val="20"/>
              </w:rPr>
            </w:pPr>
            <w:r w:rsidRPr="00A45E22">
              <w:rPr>
                <w:sz w:val="20"/>
              </w:rPr>
              <w:t>Vegetable oil</w:t>
            </w:r>
          </w:p>
        </w:tc>
        <w:tc>
          <w:tcPr>
            <w:tcW w:w="2552" w:type="dxa"/>
            <w:tcBorders>
              <w:top w:val="single" w:sz="4" w:space="0" w:color="auto"/>
              <w:left w:val="nil"/>
              <w:bottom w:val="single" w:sz="12" w:space="0" w:color="auto"/>
              <w:right w:val="nil"/>
            </w:tcBorders>
            <w:vAlign w:val="center"/>
          </w:tcPr>
          <w:p w14:paraId="400F7F72" w14:textId="77777777" w:rsidR="0018781A" w:rsidRPr="00A45E22" w:rsidRDefault="0018781A" w:rsidP="0018781A">
            <w:pPr>
              <w:jc w:val="right"/>
              <w:rPr>
                <w:sz w:val="20"/>
              </w:rPr>
            </w:pPr>
            <w:r w:rsidRPr="00A45E22">
              <w:rPr>
                <w:sz w:val="20"/>
              </w:rPr>
              <w:t>420</w:t>
            </w:r>
          </w:p>
        </w:tc>
        <w:tc>
          <w:tcPr>
            <w:tcW w:w="1984" w:type="dxa"/>
            <w:tcBorders>
              <w:top w:val="single" w:sz="4" w:space="0" w:color="auto"/>
              <w:left w:val="nil"/>
              <w:bottom w:val="single" w:sz="12" w:space="0" w:color="auto"/>
              <w:right w:val="nil"/>
            </w:tcBorders>
            <w:vAlign w:val="center"/>
          </w:tcPr>
          <w:p w14:paraId="400F7F73" w14:textId="77777777" w:rsidR="0018781A" w:rsidRPr="00A45E22" w:rsidRDefault="0018781A" w:rsidP="0018781A">
            <w:pPr>
              <w:jc w:val="right"/>
              <w:rPr>
                <w:sz w:val="20"/>
              </w:rPr>
            </w:pPr>
            <w:r w:rsidRPr="00A45E22">
              <w:rPr>
                <w:sz w:val="20"/>
              </w:rPr>
              <w:t>940</w:t>
            </w:r>
          </w:p>
        </w:tc>
      </w:tr>
      <w:tr w:rsidR="00740DE0" w:rsidRPr="00A45E22" w14:paraId="400F7F79" w14:textId="77777777" w:rsidTr="0018781A">
        <w:tc>
          <w:tcPr>
            <w:tcW w:w="601" w:type="dxa"/>
            <w:tcBorders>
              <w:top w:val="single" w:sz="12" w:space="0" w:color="auto"/>
              <w:left w:val="nil"/>
              <w:bottom w:val="single" w:sz="4" w:space="0" w:color="auto"/>
              <w:right w:val="nil"/>
            </w:tcBorders>
            <w:vAlign w:val="center"/>
          </w:tcPr>
          <w:p w14:paraId="400F7F75" w14:textId="77777777" w:rsidR="0018781A" w:rsidRPr="00A45E22" w:rsidRDefault="0018781A" w:rsidP="0018781A">
            <w:pPr>
              <w:jc w:val="right"/>
              <w:rPr>
                <w:noProof/>
                <w:sz w:val="20"/>
              </w:rPr>
            </w:pPr>
            <w:r w:rsidRPr="00A45E22">
              <w:rPr>
                <w:noProof/>
                <w:sz w:val="20"/>
              </w:rPr>
              <w:t>25</w:t>
            </w:r>
          </w:p>
        </w:tc>
        <w:tc>
          <w:tcPr>
            <w:tcW w:w="3260" w:type="dxa"/>
            <w:gridSpan w:val="2"/>
            <w:tcBorders>
              <w:top w:val="single" w:sz="12" w:space="0" w:color="auto"/>
              <w:left w:val="nil"/>
              <w:bottom w:val="single" w:sz="4" w:space="0" w:color="auto"/>
              <w:right w:val="nil"/>
            </w:tcBorders>
            <w:vAlign w:val="center"/>
          </w:tcPr>
          <w:p w14:paraId="400F7F76" w14:textId="77777777" w:rsidR="0018781A" w:rsidRPr="00A45E22" w:rsidRDefault="0018781A" w:rsidP="0018781A">
            <w:pPr>
              <w:rPr>
                <w:sz w:val="20"/>
              </w:rPr>
            </w:pPr>
            <w:r w:rsidRPr="00A45E22">
              <w:rPr>
                <w:sz w:val="20"/>
              </w:rPr>
              <w:t>Sugarcane</w:t>
            </w:r>
          </w:p>
        </w:tc>
        <w:tc>
          <w:tcPr>
            <w:tcW w:w="2552" w:type="dxa"/>
            <w:tcBorders>
              <w:top w:val="single" w:sz="12" w:space="0" w:color="auto"/>
              <w:left w:val="nil"/>
              <w:bottom w:val="single" w:sz="4" w:space="0" w:color="auto"/>
              <w:right w:val="nil"/>
            </w:tcBorders>
            <w:vAlign w:val="center"/>
          </w:tcPr>
          <w:p w14:paraId="400F7F77" w14:textId="77777777" w:rsidR="0018781A" w:rsidRPr="00A45E22" w:rsidRDefault="0018781A" w:rsidP="0018781A">
            <w:pPr>
              <w:jc w:val="right"/>
              <w:rPr>
                <w:sz w:val="20"/>
              </w:rPr>
            </w:pPr>
            <w:r w:rsidRPr="00A45E22">
              <w:rPr>
                <w:sz w:val="20"/>
              </w:rPr>
              <w:t>230</w:t>
            </w:r>
          </w:p>
        </w:tc>
        <w:tc>
          <w:tcPr>
            <w:tcW w:w="1984" w:type="dxa"/>
            <w:tcBorders>
              <w:top w:val="single" w:sz="12" w:space="0" w:color="auto"/>
              <w:left w:val="nil"/>
              <w:bottom w:val="single" w:sz="4" w:space="0" w:color="auto"/>
              <w:right w:val="nil"/>
            </w:tcBorders>
            <w:vAlign w:val="center"/>
          </w:tcPr>
          <w:p w14:paraId="400F7F78" w14:textId="77777777" w:rsidR="0018781A" w:rsidRPr="00A45E22" w:rsidRDefault="0018781A" w:rsidP="0018781A">
            <w:pPr>
              <w:jc w:val="right"/>
              <w:rPr>
                <w:sz w:val="20"/>
              </w:rPr>
            </w:pPr>
            <w:r w:rsidRPr="00A45E22">
              <w:rPr>
                <w:sz w:val="20"/>
              </w:rPr>
              <w:t>300</w:t>
            </w:r>
          </w:p>
        </w:tc>
      </w:tr>
      <w:tr w:rsidR="00740DE0" w:rsidRPr="00A45E22" w14:paraId="400F7F7E" w14:textId="77777777" w:rsidTr="009627EA">
        <w:tc>
          <w:tcPr>
            <w:tcW w:w="601" w:type="dxa"/>
            <w:tcBorders>
              <w:top w:val="single" w:sz="4" w:space="0" w:color="auto"/>
              <w:left w:val="nil"/>
              <w:bottom w:val="single" w:sz="4" w:space="0" w:color="auto"/>
              <w:right w:val="nil"/>
            </w:tcBorders>
            <w:vAlign w:val="center"/>
          </w:tcPr>
          <w:p w14:paraId="400F7F7A" w14:textId="77777777" w:rsidR="0018781A" w:rsidRPr="00A45E22" w:rsidRDefault="0018781A" w:rsidP="0018781A">
            <w:pPr>
              <w:jc w:val="right"/>
              <w:rPr>
                <w:noProof/>
                <w:sz w:val="20"/>
              </w:rPr>
            </w:pPr>
            <w:r w:rsidRPr="00A45E22">
              <w:rPr>
                <w:noProof/>
                <w:sz w:val="20"/>
              </w:rPr>
              <w:t>26</w:t>
            </w:r>
          </w:p>
        </w:tc>
        <w:tc>
          <w:tcPr>
            <w:tcW w:w="3260" w:type="dxa"/>
            <w:gridSpan w:val="2"/>
            <w:tcBorders>
              <w:top w:val="single" w:sz="4" w:space="0" w:color="auto"/>
              <w:left w:val="nil"/>
              <w:bottom w:val="single" w:sz="4" w:space="0" w:color="auto"/>
              <w:right w:val="nil"/>
            </w:tcBorders>
            <w:vAlign w:val="center"/>
          </w:tcPr>
          <w:p w14:paraId="400F7F7B" w14:textId="77777777" w:rsidR="0018781A" w:rsidRPr="00A45E22" w:rsidRDefault="0018781A" w:rsidP="0018781A">
            <w:pPr>
              <w:rPr>
                <w:sz w:val="20"/>
              </w:rPr>
            </w:pPr>
            <w:r w:rsidRPr="00A45E22">
              <w:rPr>
                <w:sz w:val="20"/>
              </w:rPr>
              <w:t>Lucerne</w:t>
            </w:r>
          </w:p>
        </w:tc>
        <w:tc>
          <w:tcPr>
            <w:tcW w:w="2552" w:type="dxa"/>
            <w:tcBorders>
              <w:top w:val="single" w:sz="4" w:space="0" w:color="auto"/>
              <w:left w:val="nil"/>
              <w:bottom w:val="single" w:sz="4" w:space="0" w:color="auto"/>
              <w:right w:val="nil"/>
            </w:tcBorders>
            <w:vAlign w:val="center"/>
          </w:tcPr>
          <w:p w14:paraId="400F7F7C" w14:textId="77777777" w:rsidR="0018781A" w:rsidRPr="00A45E22" w:rsidRDefault="0018781A" w:rsidP="0018781A">
            <w:pPr>
              <w:jc w:val="right"/>
              <w:rPr>
                <w:sz w:val="20"/>
              </w:rPr>
            </w:pPr>
            <w:r w:rsidRPr="00A45E22">
              <w:rPr>
                <w:sz w:val="20"/>
              </w:rPr>
              <w:t>230</w:t>
            </w:r>
          </w:p>
        </w:tc>
        <w:tc>
          <w:tcPr>
            <w:tcW w:w="1984" w:type="dxa"/>
            <w:tcBorders>
              <w:top w:val="single" w:sz="4" w:space="0" w:color="auto"/>
              <w:left w:val="nil"/>
              <w:bottom w:val="single" w:sz="4" w:space="0" w:color="auto"/>
              <w:right w:val="nil"/>
            </w:tcBorders>
            <w:vAlign w:val="center"/>
          </w:tcPr>
          <w:p w14:paraId="400F7F7D" w14:textId="77777777" w:rsidR="0018781A" w:rsidRPr="00A45E22" w:rsidRDefault="0018781A" w:rsidP="0018781A">
            <w:pPr>
              <w:jc w:val="right"/>
              <w:rPr>
                <w:sz w:val="20"/>
              </w:rPr>
            </w:pPr>
            <w:r w:rsidRPr="00A45E22">
              <w:rPr>
                <w:sz w:val="20"/>
              </w:rPr>
              <w:t>500</w:t>
            </w:r>
          </w:p>
        </w:tc>
      </w:tr>
      <w:tr w:rsidR="00740DE0" w:rsidRPr="00A45E22" w14:paraId="400F7F83" w14:textId="77777777" w:rsidTr="0018781A">
        <w:tc>
          <w:tcPr>
            <w:tcW w:w="601" w:type="dxa"/>
            <w:tcBorders>
              <w:top w:val="single" w:sz="4" w:space="0" w:color="auto"/>
              <w:left w:val="nil"/>
              <w:bottom w:val="single" w:sz="4" w:space="0" w:color="auto"/>
              <w:right w:val="nil"/>
            </w:tcBorders>
            <w:vAlign w:val="center"/>
          </w:tcPr>
          <w:p w14:paraId="400F7F7F" w14:textId="77777777" w:rsidR="0018781A" w:rsidRPr="00A45E22" w:rsidRDefault="0018781A" w:rsidP="0018781A">
            <w:pPr>
              <w:jc w:val="right"/>
              <w:rPr>
                <w:noProof/>
                <w:sz w:val="20"/>
              </w:rPr>
            </w:pPr>
            <w:r w:rsidRPr="00A45E22">
              <w:rPr>
                <w:noProof/>
                <w:sz w:val="20"/>
              </w:rPr>
              <w:t>27</w:t>
            </w:r>
          </w:p>
        </w:tc>
        <w:tc>
          <w:tcPr>
            <w:tcW w:w="3260" w:type="dxa"/>
            <w:gridSpan w:val="2"/>
            <w:tcBorders>
              <w:top w:val="single" w:sz="4" w:space="0" w:color="auto"/>
              <w:left w:val="nil"/>
              <w:bottom w:val="single" w:sz="4" w:space="0" w:color="auto"/>
              <w:right w:val="nil"/>
            </w:tcBorders>
            <w:vAlign w:val="center"/>
          </w:tcPr>
          <w:p w14:paraId="400F7F80" w14:textId="77777777" w:rsidR="0018781A" w:rsidRPr="00A45E22" w:rsidRDefault="0018781A" w:rsidP="0018781A">
            <w:pPr>
              <w:rPr>
                <w:sz w:val="20"/>
              </w:rPr>
            </w:pPr>
            <w:r w:rsidRPr="00A45E22">
              <w:rPr>
                <w:sz w:val="20"/>
              </w:rPr>
              <w:t>Clover</w:t>
            </w:r>
          </w:p>
        </w:tc>
        <w:tc>
          <w:tcPr>
            <w:tcW w:w="2552" w:type="dxa"/>
            <w:tcBorders>
              <w:top w:val="single" w:sz="4" w:space="0" w:color="auto"/>
              <w:left w:val="nil"/>
              <w:bottom w:val="single" w:sz="4" w:space="0" w:color="auto"/>
              <w:right w:val="nil"/>
            </w:tcBorders>
            <w:vAlign w:val="center"/>
          </w:tcPr>
          <w:p w14:paraId="400F7F81" w14:textId="77777777" w:rsidR="0018781A" w:rsidRPr="00A45E22" w:rsidRDefault="0018781A" w:rsidP="0018781A">
            <w:pPr>
              <w:jc w:val="right"/>
              <w:rPr>
                <w:sz w:val="20"/>
              </w:rPr>
            </w:pPr>
            <w:r w:rsidRPr="00A45E22">
              <w:rPr>
                <w:sz w:val="20"/>
              </w:rPr>
              <w:t>280</w:t>
            </w:r>
          </w:p>
        </w:tc>
        <w:tc>
          <w:tcPr>
            <w:tcW w:w="1984" w:type="dxa"/>
            <w:tcBorders>
              <w:top w:val="single" w:sz="4" w:space="0" w:color="auto"/>
              <w:left w:val="nil"/>
              <w:bottom w:val="single" w:sz="4" w:space="0" w:color="auto"/>
              <w:right w:val="nil"/>
            </w:tcBorders>
            <w:vAlign w:val="center"/>
          </w:tcPr>
          <w:p w14:paraId="400F7F82" w14:textId="77777777" w:rsidR="0018781A" w:rsidRPr="00A45E22" w:rsidRDefault="0018781A" w:rsidP="0018781A">
            <w:pPr>
              <w:jc w:val="right"/>
              <w:rPr>
                <w:sz w:val="20"/>
              </w:rPr>
            </w:pPr>
            <w:r w:rsidRPr="00A45E22">
              <w:rPr>
                <w:sz w:val="20"/>
              </w:rPr>
              <w:t>560</w:t>
            </w:r>
          </w:p>
        </w:tc>
      </w:tr>
      <w:tr w:rsidR="00740DE0" w:rsidRPr="00A45E22" w14:paraId="400F7F88" w14:textId="77777777" w:rsidTr="0018781A">
        <w:tc>
          <w:tcPr>
            <w:tcW w:w="601" w:type="dxa"/>
            <w:tcBorders>
              <w:top w:val="single" w:sz="4" w:space="0" w:color="auto"/>
              <w:left w:val="nil"/>
              <w:bottom w:val="single" w:sz="12" w:space="0" w:color="auto"/>
              <w:right w:val="nil"/>
            </w:tcBorders>
            <w:vAlign w:val="center"/>
          </w:tcPr>
          <w:p w14:paraId="400F7F84" w14:textId="77777777" w:rsidR="0018781A" w:rsidRPr="00A45E22" w:rsidRDefault="0018781A" w:rsidP="0018781A">
            <w:pPr>
              <w:jc w:val="right"/>
              <w:rPr>
                <w:noProof/>
                <w:sz w:val="20"/>
              </w:rPr>
            </w:pPr>
            <w:r w:rsidRPr="00A45E22">
              <w:rPr>
                <w:noProof/>
                <w:sz w:val="20"/>
              </w:rPr>
              <w:t>28</w:t>
            </w:r>
          </w:p>
        </w:tc>
        <w:tc>
          <w:tcPr>
            <w:tcW w:w="3260" w:type="dxa"/>
            <w:gridSpan w:val="2"/>
            <w:tcBorders>
              <w:top w:val="single" w:sz="4" w:space="0" w:color="auto"/>
              <w:left w:val="nil"/>
              <w:bottom w:val="single" w:sz="12" w:space="0" w:color="auto"/>
              <w:right w:val="nil"/>
            </w:tcBorders>
            <w:vAlign w:val="center"/>
          </w:tcPr>
          <w:p w14:paraId="400F7F85" w14:textId="77777777" w:rsidR="0018781A" w:rsidRPr="00A45E22" w:rsidRDefault="0018781A" w:rsidP="0018781A">
            <w:pPr>
              <w:rPr>
                <w:sz w:val="20"/>
              </w:rPr>
            </w:pPr>
            <w:r w:rsidRPr="00A45E22">
              <w:rPr>
                <w:sz w:val="20"/>
              </w:rPr>
              <w:t>Ryegrass</w:t>
            </w:r>
          </w:p>
        </w:tc>
        <w:tc>
          <w:tcPr>
            <w:tcW w:w="2552" w:type="dxa"/>
            <w:tcBorders>
              <w:top w:val="single" w:sz="4" w:space="0" w:color="auto"/>
              <w:left w:val="nil"/>
              <w:bottom w:val="single" w:sz="12" w:space="0" w:color="auto"/>
              <w:right w:val="nil"/>
            </w:tcBorders>
            <w:vAlign w:val="center"/>
          </w:tcPr>
          <w:p w14:paraId="400F7F86" w14:textId="77777777" w:rsidR="0018781A" w:rsidRPr="00A45E22" w:rsidRDefault="0018781A" w:rsidP="0018781A">
            <w:pPr>
              <w:jc w:val="right"/>
              <w:rPr>
                <w:sz w:val="20"/>
              </w:rPr>
            </w:pPr>
            <w:r w:rsidRPr="00A45E22">
              <w:rPr>
                <w:sz w:val="20"/>
              </w:rPr>
              <w:t>390</w:t>
            </w:r>
          </w:p>
        </w:tc>
        <w:tc>
          <w:tcPr>
            <w:tcW w:w="1984" w:type="dxa"/>
            <w:tcBorders>
              <w:top w:val="single" w:sz="4" w:space="0" w:color="auto"/>
              <w:left w:val="nil"/>
              <w:bottom w:val="single" w:sz="12" w:space="0" w:color="auto"/>
              <w:right w:val="nil"/>
            </w:tcBorders>
            <w:vAlign w:val="center"/>
          </w:tcPr>
          <w:p w14:paraId="400F7F87" w14:textId="77777777" w:rsidR="0018781A" w:rsidRPr="00A45E22" w:rsidRDefault="0018781A" w:rsidP="0018781A">
            <w:pPr>
              <w:jc w:val="right"/>
              <w:rPr>
                <w:sz w:val="20"/>
              </w:rPr>
            </w:pPr>
            <w:r w:rsidRPr="00A45E22">
              <w:rPr>
                <w:sz w:val="20"/>
              </w:rPr>
              <w:t>510</w:t>
            </w:r>
          </w:p>
        </w:tc>
      </w:tr>
      <w:tr w:rsidR="00740DE0" w:rsidRPr="00A45E22" w14:paraId="400F7F8D" w14:textId="77777777" w:rsidTr="0018781A">
        <w:tc>
          <w:tcPr>
            <w:tcW w:w="601" w:type="dxa"/>
            <w:tcBorders>
              <w:top w:val="single" w:sz="12" w:space="0" w:color="auto"/>
              <w:left w:val="nil"/>
              <w:bottom w:val="single" w:sz="4" w:space="0" w:color="auto"/>
              <w:right w:val="nil"/>
            </w:tcBorders>
            <w:vAlign w:val="center"/>
          </w:tcPr>
          <w:p w14:paraId="400F7F89" w14:textId="77777777" w:rsidR="0018781A" w:rsidRPr="00A45E22" w:rsidRDefault="0018781A" w:rsidP="0018781A">
            <w:pPr>
              <w:jc w:val="right"/>
              <w:rPr>
                <w:noProof/>
                <w:sz w:val="20"/>
              </w:rPr>
            </w:pPr>
            <w:r w:rsidRPr="00A45E22">
              <w:rPr>
                <w:noProof/>
                <w:sz w:val="20"/>
              </w:rPr>
              <w:lastRenderedPageBreak/>
              <w:t>29</w:t>
            </w:r>
          </w:p>
        </w:tc>
        <w:tc>
          <w:tcPr>
            <w:tcW w:w="3260" w:type="dxa"/>
            <w:gridSpan w:val="2"/>
            <w:tcBorders>
              <w:top w:val="single" w:sz="12" w:space="0" w:color="auto"/>
              <w:left w:val="nil"/>
              <w:bottom w:val="single" w:sz="4" w:space="0" w:color="auto"/>
              <w:right w:val="nil"/>
            </w:tcBorders>
            <w:vAlign w:val="center"/>
          </w:tcPr>
          <w:p w14:paraId="400F7F8A" w14:textId="77777777" w:rsidR="0018781A" w:rsidRPr="00A45E22" w:rsidRDefault="0018781A" w:rsidP="0018781A">
            <w:pPr>
              <w:rPr>
                <w:sz w:val="20"/>
              </w:rPr>
            </w:pPr>
            <w:r w:rsidRPr="00A45E22">
              <w:rPr>
                <w:sz w:val="20"/>
              </w:rPr>
              <w:t>Macroalgae (saltwater)</w:t>
            </w:r>
          </w:p>
        </w:tc>
        <w:tc>
          <w:tcPr>
            <w:tcW w:w="2552" w:type="dxa"/>
            <w:tcBorders>
              <w:top w:val="single" w:sz="12" w:space="0" w:color="auto"/>
              <w:left w:val="nil"/>
              <w:bottom w:val="single" w:sz="4" w:space="0" w:color="auto"/>
              <w:right w:val="nil"/>
            </w:tcBorders>
            <w:vAlign w:val="center"/>
          </w:tcPr>
          <w:p w14:paraId="400F7F8B" w14:textId="77777777" w:rsidR="0018781A" w:rsidRPr="00A45E22" w:rsidRDefault="0018781A" w:rsidP="0018781A">
            <w:pPr>
              <w:jc w:val="right"/>
              <w:rPr>
                <w:sz w:val="20"/>
              </w:rPr>
            </w:pPr>
            <w:r w:rsidRPr="00A45E22">
              <w:rPr>
                <w:sz w:val="20"/>
              </w:rPr>
              <w:t>100</w:t>
            </w:r>
          </w:p>
        </w:tc>
        <w:tc>
          <w:tcPr>
            <w:tcW w:w="1984" w:type="dxa"/>
            <w:tcBorders>
              <w:top w:val="single" w:sz="12" w:space="0" w:color="auto"/>
              <w:left w:val="nil"/>
              <w:bottom w:val="single" w:sz="4" w:space="0" w:color="auto"/>
              <w:right w:val="nil"/>
            </w:tcBorders>
            <w:vAlign w:val="center"/>
          </w:tcPr>
          <w:p w14:paraId="400F7F8C" w14:textId="77777777" w:rsidR="0018781A" w:rsidRPr="00A45E22" w:rsidRDefault="0018781A" w:rsidP="0018781A">
            <w:pPr>
              <w:jc w:val="right"/>
              <w:rPr>
                <w:sz w:val="20"/>
              </w:rPr>
            </w:pPr>
            <w:r w:rsidRPr="00A45E22">
              <w:rPr>
                <w:sz w:val="20"/>
              </w:rPr>
              <w:t>560</w:t>
            </w:r>
          </w:p>
        </w:tc>
      </w:tr>
      <w:tr w:rsidR="00740DE0" w:rsidRPr="00A45E22" w14:paraId="400F7F92" w14:textId="77777777" w:rsidTr="0018781A">
        <w:tc>
          <w:tcPr>
            <w:tcW w:w="601" w:type="dxa"/>
            <w:tcBorders>
              <w:top w:val="single" w:sz="4" w:space="0" w:color="auto"/>
              <w:left w:val="nil"/>
              <w:bottom w:val="single" w:sz="4" w:space="0" w:color="auto"/>
              <w:right w:val="nil"/>
            </w:tcBorders>
            <w:vAlign w:val="center"/>
          </w:tcPr>
          <w:p w14:paraId="400F7F8E" w14:textId="77777777" w:rsidR="0018781A" w:rsidRPr="00A45E22" w:rsidRDefault="0018781A" w:rsidP="0018781A">
            <w:pPr>
              <w:jc w:val="right"/>
              <w:rPr>
                <w:noProof/>
                <w:sz w:val="20"/>
              </w:rPr>
            </w:pPr>
            <w:r w:rsidRPr="00A45E22">
              <w:rPr>
                <w:noProof/>
                <w:sz w:val="20"/>
              </w:rPr>
              <w:t>30</w:t>
            </w:r>
          </w:p>
        </w:tc>
        <w:tc>
          <w:tcPr>
            <w:tcW w:w="3260" w:type="dxa"/>
            <w:gridSpan w:val="2"/>
            <w:tcBorders>
              <w:top w:val="single" w:sz="4" w:space="0" w:color="auto"/>
              <w:left w:val="nil"/>
              <w:bottom w:val="single" w:sz="4" w:space="0" w:color="auto"/>
              <w:right w:val="nil"/>
            </w:tcBorders>
            <w:vAlign w:val="center"/>
          </w:tcPr>
          <w:p w14:paraId="400F7F8F" w14:textId="77777777" w:rsidR="0018781A" w:rsidRPr="00A45E22" w:rsidRDefault="0018781A" w:rsidP="0018781A">
            <w:pPr>
              <w:rPr>
                <w:sz w:val="20"/>
              </w:rPr>
            </w:pPr>
            <w:r w:rsidRPr="00A45E22">
              <w:rPr>
                <w:sz w:val="20"/>
              </w:rPr>
              <w:t>Macroalgae (freshwater)</w:t>
            </w:r>
          </w:p>
        </w:tc>
        <w:tc>
          <w:tcPr>
            <w:tcW w:w="2552" w:type="dxa"/>
            <w:tcBorders>
              <w:top w:val="single" w:sz="4" w:space="0" w:color="auto"/>
              <w:left w:val="nil"/>
              <w:bottom w:val="single" w:sz="4" w:space="0" w:color="auto"/>
              <w:right w:val="nil"/>
            </w:tcBorders>
            <w:vAlign w:val="center"/>
          </w:tcPr>
          <w:p w14:paraId="400F7F90" w14:textId="77777777" w:rsidR="0018781A" w:rsidRPr="00A45E22" w:rsidRDefault="0018781A" w:rsidP="0018781A">
            <w:pPr>
              <w:jc w:val="right"/>
              <w:rPr>
                <w:sz w:val="20"/>
              </w:rPr>
            </w:pPr>
            <w:r w:rsidRPr="00A45E22">
              <w:rPr>
                <w:sz w:val="20"/>
              </w:rPr>
              <w:t>100</w:t>
            </w:r>
          </w:p>
        </w:tc>
        <w:tc>
          <w:tcPr>
            <w:tcW w:w="1984" w:type="dxa"/>
            <w:tcBorders>
              <w:top w:val="single" w:sz="4" w:space="0" w:color="auto"/>
              <w:left w:val="nil"/>
              <w:bottom w:val="single" w:sz="4" w:space="0" w:color="auto"/>
              <w:right w:val="nil"/>
            </w:tcBorders>
            <w:vAlign w:val="center"/>
          </w:tcPr>
          <w:p w14:paraId="400F7F91" w14:textId="77777777" w:rsidR="0018781A" w:rsidRPr="00A45E22" w:rsidRDefault="0018781A" w:rsidP="0018781A">
            <w:pPr>
              <w:jc w:val="right"/>
              <w:rPr>
                <w:sz w:val="20"/>
              </w:rPr>
            </w:pPr>
            <w:r w:rsidRPr="00A45E22">
              <w:rPr>
                <w:sz w:val="20"/>
              </w:rPr>
              <w:t>230</w:t>
            </w:r>
          </w:p>
        </w:tc>
      </w:tr>
      <w:tr w:rsidR="00740DE0" w:rsidRPr="00A45E22" w14:paraId="400F7F97" w14:textId="77777777" w:rsidTr="0018781A">
        <w:tc>
          <w:tcPr>
            <w:tcW w:w="601" w:type="dxa"/>
            <w:tcBorders>
              <w:top w:val="single" w:sz="4" w:space="0" w:color="auto"/>
              <w:left w:val="nil"/>
              <w:bottom w:val="single" w:sz="12" w:space="0" w:color="auto"/>
              <w:right w:val="nil"/>
            </w:tcBorders>
            <w:vAlign w:val="center"/>
          </w:tcPr>
          <w:p w14:paraId="400F7F93" w14:textId="77777777" w:rsidR="0018781A" w:rsidRPr="00A45E22" w:rsidRDefault="0018781A" w:rsidP="0018781A">
            <w:pPr>
              <w:jc w:val="right"/>
              <w:rPr>
                <w:sz w:val="20"/>
              </w:rPr>
            </w:pPr>
            <w:r w:rsidRPr="00A45E22">
              <w:rPr>
                <w:noProof/>
                <w:sz w:val="20"/>
              </w:rPr>
              <w:t>31</w:t>
            </w:r>
          </w:p>
        </w:tc>
        <w:tc>
          <w:tcPr>
            <w:tcW w:w="3260" w:type="dxa"/>
            <w:gridSpan w:val="2"/>
            <w:tcBorders>
              <w:top w:val="single" w:sz="4" w:space="0" w:color="auto"/>
              <w:left w:val="nil"/>
              <w:bottom w:val="single" w:sz="12" w:space="0" w:color="auto"/>
              <w:right w:val="nil"/>
            </w:tcBorders>
            <w:vAlign w:val="center"/>
          </w:tcPr>
          <w:p w14:paraId="400F7F94" w14:textId="77777777" w:rsidR="0018781A" w:rsidRPr="00A45E22" w:rsidRDefault="0018781A" w:rsidP="0018781A">
            <w:pPr>
              <w:rPr>
                <w:sz w:val="20"/>
              </w:rPr>
            </w:pPr>
            <w:r w:rsidRPr="00A45E22">
              <w:rPr>
                <w:sz w:val="20"/>
              </w:rPr>
              <w:t>Microalgae (freshwater)</w:t>
            </w:r>
          </w:p>
        </w:tc>
        <w:tc>
          <w:tcPr>
            <w:tcW w:w="2552" w:type="dxa"/>
            <w:tcBorders>
              <w:top w:val="single" w:sz="4" w:space="0" w:color="auto"/>
              <w:left w:val="nil"/>
              <w:bottom w:val="single" w:sz="12" w:space="0" w:color="auto"/>
              <w:right w:val="nil"/>
            </w:tcBorders>
            <w:vAlign w:val="center"/>
          </w:tcPr>
          <w:p w14:paraId="400F7F95" w14:textId="77777777" w:rsidR="0018781A" w:rsidRPr="00A45E22" w:rsidRDefault="0018781A" w:rsidP="0018781A">
            <w:pPr>
              <w:jc w:val="right"/>
              <w:rPr>
                <w:sz w:val="20"/>
              </w:rPr>
            </w:pPr>
            <w:r w:rsidRPr="00A45E22">
              <w:rPr>
                <w:sz w:val="20"/>
              </w:rPr>
              <w:t>180</w:t>
            </w:r>
          </w:p>
        </w:tc>
        <w:tc>
          <w:tcPr>
            <w:tcW w:w="1984" w:type="dxa"/>
            <w:tcBorders>
              <w:top w:val="single" w:sz="4" w:space="0" w:color="auto"/>
              <w:left w:val="nil"/>
              <w:bottom w:val="single" w:sz="12" w:space="0" w:color="auto"/>
              <w:right w:val="nil"/>
            </w:tcBorders>
            <w:vAlign w:val="center"/>
          </w:tcPr>
          <w:p w14:paraId="400F7F96" w14:textId="77777777" w:rsidR="0018781A" w:rsidRPr="00A45E22" w:rsidRDefault="0018781A" w:rsidP="0018781A">
            <w:pPr>
              <w:jc w:val="right"/>
              <w:rPr>
                <w:sz w:val="20"/>
              </w:rPr>
            </w:pPr>
            <w:r w:rsidRPr="00A45E22">
              <w:rPr>
                <w:sz w:val="20"/>
              </w:rPr>
              <w:t>420</w:t>
            </w:r>
          </w:p>
        </w:tc>
      </w:tr>
      <w:tr w:rsidR="00740DE0" w:rsidRPr="00A45E22" w14:paraId="400F7F9C" w14:textId="77777777" w:rsidTr="0018781A">
        <w:tc>
          <w:tcPr>
            <w:tcW w:w="601" w:type="dxa"/>
            <w:tcBorders>
              <w:top w:val="single" w:sz="12" w:space="0" w:color="auto"/>
              <w:left w:val="nil"/>
              <w:bottom w:val="single" w:sz="4" w:space="0" w:color="auto"/>
              <w:right w:val="nil"/>
            </w:tcBorders>
            <w:vAlign w:val="center"/>
          </w:tcPr>
          <w:p w14:paraId="400F7F98" w14:textId="77777777" w:rsidR="0018781A" w:rsidRPr="00A45E22" w:rsidRDefault="0018781A" w:rsidP="0018781A">
            <w:pPr>
              <w:jc w:val="right"/>
              <w:rPr>
                <w:noProof/>
                <w:sz w:val="20"/>
              </w:rPr>
            </w:pPr>
            <w:r w:rsidRPr="00A45E22">
              <w:rPr>
                <w:noProof/>
                <w:sz w:val="20"/>
              </w:rPr>
              <w:t>32</w:t>
            </w:r>
          </w:p>
        </w:tc>
        <w:tc>
          <w:tcPr>
            <w:tcW w:w="3260" w:type="dxa"/>
            <w:gridSpan w:val="2"/>
            <w:tcBorders>
              <w:top w:val="single" w:sz="12" w:space="0" w:color="auto"/>
              <w:left w:val="nil"/>
              <w:bottom w:val="single" w:sz="4" w:space="0" w:color="auto"/>
              <w:right w:val="nil"/>
            </w:tcBorders>
            <w:vAlign w:val="center"/>
          </w:tcPr>
          <w:p w14:paraId="400F7F99" w14:textId="77777777" w:rsidR="0018781A" w:rsidRPr="00A45E22" w:rsidRDefault="0018781A" w:rsidP="0018781A">
            <w:pPr>
              <w:rPr>
                <w:sz w:val="20"/>
              </w:rPr>
            </w:pPr>
            <w:r w:rsidRPr="00A45E22">
              <w:rPr>
                <w:sz w:val="20"/>
              </w:rPr>
              <w:t>Grass hay &amp; silage</w:t>
            </w:r>
          </w:p>
        </w:tc>
        <w:tc>
          <w:tcPr>
            <w:tcW w:w="2552" w:type="dxa"/>
            <w:tcBorders>
              <w:top w:val="single" w:sz="12" w:space="0" w:color="auto"/>
              <w:left w:val="nil"/>
              <w:bottom w:val="single" w:sz="4" w:space="0" w:color="auto"/>
              <w:right w:val="nil"/>
            </w:tcBorders>
            <w:vAlign w:val="center"/>
          </w:tcPr>
          <w:p w14:paraId="400F7F9A" w14:textId="77777777" w:rsidR="0018781A" w:rsidRPr="00A45E22" w:rsidRDefault="0018781A" w:rsidP="0018781A">
            <w:pPr>
              <w:jc w:val="right"/>
              <w:rPr>
                <w:sz w:val="20"/>
              </w:rPr>
            </w:pPr>
            <w:r w:rsidRPr="00A45E22">
              <w:rPr>
                <w:sz w:val="20"/>
              </w:rPr>
              <w:t>100</w:t>
            </w:r>
          </w:p>
        </w:tc>
        <w:tc>
          <w:tcPr>
            <w:tcW w:w="1984" w:type="dxa"/>
            <w:tcBorders>
              <w:top w:val="single" w:sz="12" w:space="0" w:color="auto"/>
              <w:left w:val="nil"/>
              <w:bottom w:val="single" w:sz="4" w:space="0" w:color="auto"/>
              <w:right w:val="nil"/>
            </w:tcBorders>
            <w:vAlign w:val="center"/>
          </w:tcPr>
          <w:p w14:paraId="400F7F9B" w14:textId="77777777" w:rsidR="0018781A" w:rsidRPr="00A45E22" w:rsidRDefault="0018781A" w:rsidP="0018781A">
            <w:pPr>
              <w:jc w:val="right"/>
              <w:rPr>
                <w:sz w:val="20"/>
              </w:rPr>
            </w:pPr>
            <w:r w:rsidRPr="00A45E22">
              <w:rPr>
                <w:sz w:val="20"/>
              </w:rPr>
              <w:t>390</w:t>
            </w:r>
          </w:p>
        </w:tc>
      </w:tr>
      <w:tr w:rsidR="00740DE0" w:rsidRPr="00A45E22" w14:paraId="400F7FA1" w14:textId="77777777" w:rsidTr="009627EA">
        <w:tc>
          <w:tcPr>
            <w:tcW w:w="601" w:type="dxa"/>
            <w:tcBorders>
              <w:top w:val="single" w:sz="4" w:space="0" w:color="auto"/>
              <w:left w:val="nil"/>
              <w:bottom w:val="single" w:sz="4" w:space="0" w:color="auto"/>
              <w:right w:val="nil"/>
            </w:tcBorders>
            <w:vAlign w:val="center"/>
          </w:tcPr>
          <w:p w14:paraId="400F7F9D" w14:textId="77777777" w:rsidR="0018781A" w:rsidRPr="00A45E22" w:rsidRDefault="0018781A" w:rsidP="0018781A">
            <w:pPr>
              <w:jc w:val="right"/>
              <w:rPr>
                <w:noProof/>
                <w:sz w:val="20"/>
              </w:rPr>
            </w:pPr>
            <w:r w:rsidRPr="00A45E22">
              <w:rPr>
                <w:noProof/>
                <w:sz w:val="20"/>
              </w:rPr>
              <w:t>33</w:t>
            </w:r>
          </w:p>
        </w:tc>
        <w:tc>
          <w:tcPr>
            <w:tcW w:w="3260" w:type="dxa"/>
            <w:gridSpan w:val="2"/>
            <w:tcBorders>
              <w:top w:val="single" w:sz="4" w:space="0" w:color="auto"/>
              <w:left w:val="nil"/>
              <w:bottom w:val="single" w:sz="4" w:space="0" w:color="auto"/>
              <w:right w:val="nil"/>
            </w:tcBorders>
            <w:vAlign w:val="center"/>
          </w:tcPr>
          <w:p w14:paraId="400F7F9E" w14:textId="77777777" w:rsidR="0018781A" w:rsidRPr="00A45E22" w:rsidRDefault="0018781A" w:rsidP="0018781A">
            <w:pPr>
              <w:rPr>
                <w:sz w:val="20"/>
              </w:rPr>
            </w:pPr>
            <w:r w:rsidRPr="00A45E22">
              <w:rPr>
                <w:sz w:val="20"/>
              </w:rPr>
              <w:t>Rye, barley and corn silage</w:t>
            </w:r>
          </w:p>
        </w:tc>
        <w:tc>
          <w:tcPr>
            <w:tcW w:w="2552" w:type="dxa"/>
            <w:tcBorders>
              <w:top w:val="single" w:sz="4" w:space="0" w:color="auto"/>
              <w:left w:val="nil"/>
              <w:bottom w:val="single" w:sz="4" w:space="0" w:color="auto"/>
              <w:right w:val="nil"/>
            </w:tcBorders>
            <w:vAlign w:val="center"/>
          </w:tcPr>
          <w:p w14:paraId="400F7F9F" w14:textId="77777777" w:rsidR="0018781A" w:rsidRPr="00A45E22" w:rsidRDefault="0018781A" w:rsidP="0018781A">
            <w:pPr>
              <w:jc w:val="right"/>
              <w:rPr>
                <w:sz w:val="20"/>
              </w:rPr>
            </w:pPr>
            <w:r w:rsidRPr="00A45E22">
              <w:rPr>
                <w:sz w:val="20"/>
              </w:rPr>
              <w:t>280</w:t>
            </w:r>
          </w:p>
        </w:tc>
        <w:tc>
          <w:tcPr>
            <w:tcW w:w="1984" w:type="dxa"/>
            <w:tcBorders>
              <w:top w:val="single" w:sz="4" w:space="0" w:color="auto"/>
              <w:left w:val="nil"/>
              <w:bottom w:val="single" w:sz="4" w:space="0" w:color="auto"/>
              <w:right w:val="nil"/>
            </w:tcBorders>
            <w:vAlign w:val="center"/>
          </w:tcPr>
          <w:p w14:paraId="400F7FA0" w14:textId="77777777" w:rsidR="0018781A" w:rsidRPr="00A45E22" w:rsidRDefault="0018781A" w:rsidP="0018781A">
            <w:pPr>
              <w:jc w:val="right"/>
              <w:rPr>
                <w:sz w:val="20"/>
              </w:rPr>
            </w:pPr>
            <w:r w:rsidRPr="00A45E22">
              <w:rPr>
                <w:sz w:val="20"/>
              </w:rPr>
              <w:t>600</w:t>
            </w:r>
          </w:p>
        </w:tc>
      </w:tr>
      <w:tr w:rsidR="00740DE0" w:rsidRPr="00A45E22" w14:paraId="400F7FA6" w14:textId="77777777" w:rsidTr="009627EA">
        <w:tc>
          <w:tcPr>
            <w:tcW w:w="601" w:type="dxa"/>
            <w:tcBorders>
              <w:top w:val="single" w:sz="4" w:space="0" w:color="auto"/>
              <w:left w:val="nil"/>
              <w:bottom w:val="single" w:sz="4" w:space="0" w:color="auto"/>
              <w:right w:val="nil"/>
            </w:tcBorders>
            <w:vAlign w:val="center"/>
          </w:tcPr>
          <w:p w14:paraId="400F7FA2" w14:textId="77777777" w:rsidR="0018781A" w:rsidRPr="00A45E22" w:rsidRDefault="0018781A" w:rsidP="0018781A">
            <w:pPr>
              <w:jc w:val="right"/>
              <w:rPr>
                <w:noProof/>
                <w:sz w:val="20"/>
              </w:rPr>
            </w:pPr>
            <w:r w:rsidRPr="00A45E22">
              <w:rPr>
                <w:noProof/>
                <w:sz w:val="20"/>
              </w:rPr>
              <w:t>34</w:t>
            </w:r>
          </w:p>
        </w:tc>
        <w:tc>
          <w:tcPr>
            <w:tcW w:w="3260" w:type="dxa"/>
            <w:gridSpan w:val="2"/>
            <w:tcBorders>
              <w:top w:val="single" w:sz="4" w:space="0" w:color="auto"/>
              <w:left w:val="nil"/>
              <w:bottom w:val="single" w:sz="4" w:space="0" w:color="auto"/>
              <w:right w:val="nil"/>
            </w:tcBorders>
            <w:vAlign w:val="center"/>
          </w:tcPr>
          <w:p w14:paraId="400F7FA3" w14:textId="77777777" w:rsidR="0018781A" w:rsidRPr="00A45E22" w:rsidRDefault="0018781A" w:rsidP="0018781A">
            <w:pPr>
              <w:rPr>
                <w:sz w:val="20"/>
              </w:rPr>
            </w:pPr>
            <w:r w:rsidRPr="00A45E22">
              <w:rPr>
                <w:sz w:val="20"/>
              </w:rPr>
              <w:t>Forage sorghum silage</w:t>
            </w:r>
          </w:p>
        </w:tc>
        <w:tc>
          <w:tcPr>
            <w:tcW w:w="2552" w:type="dxa"/>
            <w:tcBorders>
              <w:top w:val="single" w:sz="4" w:space="0" w:color="auto"/>
              <w:left w:val="nil"/>
              <w:bottom w:val="single" w:sz="4" w:space="0" w:color="auto"/>
              <w:right w:val="nil"/>
            </w:tcBorders>
            <w:vAlign w:val="center"/>
          </w:tcPr>
          <w:p w14:paraId="400F7FA4" w14:textId="77777777" w:rsidR="0018781A" w:rsidRPr="00A45E22" w:rsidRDefault="0018781A" w:rsidP="0018781A">
            <w:pPr>
              <w:jc w:val="right"/>
              <w:rPr>
                <w:sz w:val="20"/>
              </w:rPr>
            </w:pPr>
            <w:r w:rsidRPr="00A45E22">
              <w:rPr>
                <w:sz w:val="20"/>
              </w:rPr>
              <w:t>260</w:t>
            </w:r>
          </w:p>
        </w:tc>
        <w:tc>
          <w:tcPr>
            <w:tcW w:w="1984" w:type="dxa"/>
            <w:tcBorders>
              <w:top w:val="single" w:sz="4" w:space="0" w:color="auto"/>
              <w:left w:val="nil"/>
              <w:bottom w:val="single" w:sz="4" w:space="0" w:color="auto"/>
              <w:right w:val="nil"/>
            </w:tcBorders>
            <w:vAlign w:val="center"/>
          </w:tcPr>
          <w:p w14:paraId="400F7FA5" w14:textId="77777777" w:rsidR="0018781A" w:rsidRPr="00A45E22" w:rsidRDefault="0018781A" w:rsidP="0018781A">
            <w:pPr>
              <w:jc w:val="right"/>
              <w:rPr>
                <w:sz w:val="20"/>
              </w:rPr>
            </w:pPr>
            <w:r w:rsidRPr="00A45E22">
              <w:rPr>
                <w:sz w:val="20"/>
              </w:rPr>
              <w:t>420</w:t>
            </w:r>
          </w:p>
        </w:tc>
      </w:tr>
      <w:tr w:rsidR="00740DE0" w:rsidRPr="00A45E22" w14:paraId="400F7FAB" w14:textId="77777777" w:rsidTr="009627EA">
        <w:tc>
          <w:tcPr>
            <w:tcW w:w="601" w:type="dxa"/>
            <w:tcBorders>
              <w:top w:val="single" w:sz="4" w:space="0" w:color="auto"/>
              <w:left w:val="nil"/>
              <w:bottom w:val="single" w:sz="4" w:space="0" w:color="auto"/>
              <w:right w:val="nil"/>
            </w:tcBorders>
            <w:vAlign w:val="center"/>
          </w:tcPr>
          <w:p w14:paraId="400F7FA7" w14:textId="77777777" w:rsidR="0018781A" w:rsidRPr="00A45E22" w:rsidRDefault="0018781A" w:rsidP="0018781A">
            <w:pPr>
              <w:jc w:val="right"/>
              <w:rPr>
                <w:noProof/>
                <w:sz w:val="20"/>
              </w:rPr>
            </w:pPr>
            <w:r w:rsidRPr="00A45E22">
              <w:rPr>
                <w:noProof/>
                <w:sz w:val="20"/>
              </w:rPr>
              <w:t>35</w:t>
            </w:r>
          </w:p>
        </w:tc>
        <w:tc>
          <w:tcPr>
            <w:tcW w:w="3260" w:type="dxa"/>
            <w:gridSpan w:val="2"/>
            <w:tcBorders>
              <w:top w:val="single" w:sz="4" w:space="0" w:color="auto"/>
              <w:left w:val="nil"/>
              <w:bottom w:val="single" w:sz="4" w:space="0" w:color="auto"/>
              <w:right w:val="nil"/>
            </w:tcBorders>
            <w:vAlign w:val="center"/>
          </w:tcPr>
          <w:p w14:paraId="400F7FA8" w14:textId="77777777" w:rsidR="0018781A" w:rsidRPr="00A45E22" w:rsidRDefault="0018781A" w:rsidP="0018781A">
            <w:pPr>
              <w:rPr>
                <w:sz w:val="20"/>
              </w:rPr>
            </w:pPr>
            <w:r w:rsidRPr="00A45E22">
              <w:rPr>
                <w:sz w:val="20"/>
              </w:rPr>
              <w:t>Triticale silage</w:t>
            </w:r>
          </w:p>
        </w:tc>
        <w:tc>
          <w:tcPr>
            <w:tcW w:w="2552" w:type="dxa"/>
            <w:tcBorders>
              <w:top w:val="single" w:sz="4" w:space="0" w:color="auto"/>
              <w:left w:val="nil"/>
              <w:bottom w:val="single" w:sz="4" w:space="0" w:color="auto"/>
              <w:right w:val="nil"/>
            </w:tcBorders>
            <w:vAlign w:val="center"/>
          </w:tcPr>
          <w:p w14:paraId="400F7FA9" w14:textId="77777777" w:rsidR="0018781A" w:rsidRPr="00A45E22" w:rsidRDefault="0018781A" w:rsidP="0018781A">
            <w:pPr>
              <w:jc w:val="right"/>
              <w:rPr>
                <w:sz w:val="20"/>
              </w:rPr>
            </w:pPr>
            <w:r w:rsidRPr="00A45E22">
              <w:rPr>
                <w:sz w:val="20"/>
              </w:rPr>
              <w:t>250</w:t>
            </w:r>
          </w:p>
        </w:tc>
        <w:tc>
          <w:tcPr>
            <w:tcW w:w="1984" w:type="dxa"/>
            <w:tcBorders>
              <w:top w:val="single" w:sz="4" w:space="0" w:color="auto"/>
              <w:left w:val="nil"/>
              <w:bottom w:val="single" w:sz="4" w:space="0" w:color="auto"/>
              <w:right w:val="nil"/>
            </w:tcBorders>
            <w:vAlign w:val="center"/>
          </w:tcPr>
          <w:p w14:paraId="400F7FAA" w14:textId="77777777" w:rsidR="0018781A" w:rsidRPr="00A45E22" w:rsidRDefault="0018781A" w:rsidP="0018781A">
            <w:pPr>
              <w:jc w:val="right"/>
              <w:rPr>
                <w:sz w:val="20"/>
              </w:rPr>
            </w:pPr>
            <w:r w:rsidRPr="00A45E22">
              <w:rPr>
                <w:sz w:val="20"/>
              </w:rPr>
              <w:t>610</w:t>
            </w:r>
          </w:p>
        </w:tc>
      </w:tr>
      <w:tr w:rsidR="00740DE0" w:rsidRPr="00A45E22" w14:paraId="400F7FB0" w14:textId="77777777" w:rsidTr="009627EA">
        <w:tc>
          <w:tcPr>
            <w:tcW w:w="601" w:type="dxa"/>
            <w:tcBorders>
              <w:top w:val="single" w:sz="4" w:space="0" w:color="auto"/>
              <w:left w:val="nil"/>
              <w:bottom w:val="single" w:sz="4" w:space="0" w:color="auto"/>
              <w:right w:val="nil"/>
            </w:tcBorders>
            <w:vAlign w:val="center"/>
          </w:tcPr>
          <w:p w14:paraId="400F7FAC" w14:textId="77777777" w:rsidR="0018781A" w:rsidRPr="00A45E22" w:rsidRDefault="0018781A" w:rsidP="0018781A">
            <w:pPr>
              <w:jc w:val="right"/>
              <w:rPr>
                <w:noProof/>
                <w:sz w:val="20"/>
              </w:rPr>
            </w:pPr>
            <w:r w:rsidRPr="00A45E22">
              <w:rPr>
                <w:noProof/>
                <w:sz w:val="20"/>
              </w:rPr>
              <w:t>36</w:t>
            </w:r>
          </w:p>
        </w:tc>
        <w:tc>
          <w:tcPr>
            <w:tcW w:w="3260" w:type="dxa"/>
            <w:gridSpan w:val="2"/>
            <w:tcBorders>
              <w:top w:val="single" w:sz="4" w:space="0" w:color="auto"/>
              <w:left w:val="nil"/>
              <w:bottom w:val="single" w:sz="4" w:space="0" w:color="auto"/>
              <w:right w:val="nil"/>
            </w:tcBorders>
            <w:vAlign w:val="center"/>
          </w:tcPr>
          <w:p w14:paraId="400F7FAD" w14:textId="77777777" w:rsidR="0018781A" w:rsidRPr="00A45E22" w:rsidRDefault="0018781A" w:rsidP="0018781A">
            <w:pPr>
              <w:rPr>
                <w:sz w:val="20"/>
              </w:rPr>
            </w:pPr>
            <w:r w:rsidRPr="00A45E22">
              <w:rPr>
                <w:sz w:val="20"/>
              </w:rPr>
              <w:t>Barley straw</w:t>
            </w:r>
          </w:p>
        </w:tc>
        <w:tc>
          <w:tcPr>
            <w:tcW w:w="2552" w:type="dxa"/>
            <w:tcBorders>
              <w:top w:val="single" w:sz="4" w:space="0" w:color="auto"/>
              <w:left w:val="nil"/>
              <w:bottom w:val="single" w:sz="4" w:space="0" w:color="auto"/>
              <w:right w:val="nil"/>
            </w:tcBorders>
            <w:vAlign w:val="center"/>
          </w:tcPr>
          <w:p w14:paraId="400F7FAE" w14:textId="77777777" w:rsidR="0018781A" w:rsidRPr="00A45E22" w:rsidRDefault="0018781A" w:rsidP="0018781A">
            <w:pPr>
              <w:jc w:val="right"/>
              <w:rPr>
                <w:sz w:val="20"/>
              </w:rPr>
            </w:pPr>
            <w:r w:rsidRPr="00A45E22">
              <w:rPr>
                <w:sz w:val="20"/>
              </w:rPr>
              <w:t>230</w:t>
            </w:r>
          </w:p>
        </w:tc>
        <w:tc>
          <w:tcPr>
            <w:tcW w:w="1984" w:type="dxa"/>
            <w:tcBorders>
              <w:top w:val="single" w:sz="4" w:space="0" w:color="auto"/>
              <w:left w:val="nil"/>
              <w:bottom w:val="single" w:sz="4" w:space="0" w:color="auto"/>
              <w:right w:val="nil"/>
            </w:tcBorders>
            <w:vAlign w:val="center"/>
          </w:tcPr>
          <w:p w14:paraId="400F7FAF" w14:textId="77777777" w:rsidR="0018781A" w:rsidRPr="00A45E22" w:rsidRDefault="0018781A" w:rsidP="0018781A">
            <w:pPr>
              <w:jc w:val="right"/>
              <w:rPr>
                <w:sz w:val="20"/>
              </w:rPr>
            </w:pPr>
            <w:r w:rsidRPr="00A45E22">
              <w:rPr>
                <w:sz w:val="20"/>
              </w:rPr>
              <w:t>320</w:t>
            </w:r>
          </w:p>
        </w:tc>
      </w:tr>
      <w:tr w:rsidR="00740DE0" w:rsidRPr="00A45E22" w14:paraId="400F7FB5" w14:textId="77777777" w:rsidTr="0018781A">
        <w:tc>
          <w:tcPr>
            <w:tcW w:w="601" w:type="dxa"/>
            <w:tcBorders>
              <w:top w:val="single" w:sz="4" w:space="0" w:color="auto"/>
              <w:left w:val="nil"/>
              <w:bottom w:val="single" w:sz="4" w:space="0" w:color="auto"/>
              <w:right w:val="nil"/>
            </w:tcBorders>
            <w:vAlign w:val="center"/>
          </w:tcPr>
          <w:p w14:paraId="400F7FB1" w14:textId="77777777" w:rsidR="0018781A" w:rsidRPr="00A45E22" w:rsidRDefault="0018781A" w:rsidP="0018781A">
            <w:pPr>
              <w:jc w:val="right"/>
              <w:rPr>
                <w:noProof/>
                <w:sz w:val="20"/>
              </w:rPr>
            </w:pPr>
            <w:r w:rsidRPr="00A45E22">
              <w:rPr>
                <w:noProof/>
                <w:sz w:val="20"/>
              </w:rPr>
              <w:t>37</w:t>
            </w:r>
          </w:p>
        </w:tc>
        <w:tc>
          <w:tcPr>
            <w:tcW w:w="3260" w:type="dxa"/>
            <w:gridSpan w:val="2"/>
            <w:tcBorders>
              <w:top w:val="single" w:sz="4" w:space="0" w:color="auto"/>
              <w:left w:val="nil"/>
              <w:bottom w:val="single" w:sz="4" w:space="0" w:color="auto"/>
              <w:right w:val="nil"/>
            </w:tcBorders>
            <w:vAlign w:val="center"/>
          </w:tcPr>
          <w:p w14:paraId="400F7FB2" w14:textId="77777777" w:rsidR="0018781A" w:rsidRPr="00A45E22" w:rsidRDefault="0018781A" w:rsidP="0018781A">
            <w:pPr>
              <w:rPr>
                <w:sz w:val="20"/>
              </w:rPr>
            </w:pPr>
            <w:r w:rsidRPr="00A45E22">
              <w:rPr>
                <w:sz w:val="20"/>
              </w:rPr>
              <w:t>Oats straw</w:t>
            </w:r>
          </w:p>
        </w:tc>
        <w:tc>
          <w:tcPr>
            <w:tcW w:w="2552" w:type="dxa"/>
            <w:tcBorders>
              <w:top w:val="single" w:sz="4" w:space="0" w:color="auto"/>
              <w:left w:val="nil"/>
              <w:bottom w:val="single" w:sz="4" w:space="0" w:color="auto"/>
              <w:right w:val="nil"/>
            </w:tcBorders>
            <w:vAlign w:val="center"/>
          </w:tcPr>
          <w:p w14:paraId="400F7FB3" w14:textId="77777777" w:rsidR="0018781A" w:rsidRPr="00A45E22" w:rsidRDefault="0018781A" w:rsidP="0018781A">
            <w:pPr>
              <w:jc w:val="right"/>
              <w:rPr>
                <w:sz w:val="20"/>
              </w:rPr>
            </w:pPr>
            <w:r w:rsidRPr="00A45E22">
              <w:rPr>
                <w:sz w:val="20"/>
              </w:rPr>
              <w:t>70</w:t>
            </w:r>
          </w:p>
        </w:tc>
        <w:tc>
          <w:tcPr>
            <w:tcW w:w="1984" w:type="dxa"/>
            <w:tcBorders>
              <w:top w:val="single" w:sz="4" w:space="0" w:color="auto"/>
              <w:left w:val="nil"/>
              <w:bottom w:val="single" w:sz="4" w:space="0" w:color="auto"/>
              <w:right w:val="nil"/>
            </w:tcBorders>
            <w:vAlign w:val="center"/>
          </w:tcPr>
          <w:p w14:paraId="400F7FB4" w14:textId="77777777" w:rsidR="0018781A" w:rsidRPr="00A45E22" w:rsidRDefault="0018781A" w:rsidP="0018781A">
            <w:pPr>
              <w:jc w:val="right"/>
              <w:rPr>
                <w:sz w:val="20"/>
              </w:rPr>
            </w:pPr>
            <w:r w:rsidRPr="00A45E22">
              <w:rPr>
                <w:sz w:val="20"/>
              </w:rPr>
              <w:t>320</w:t>
            </w:r>
          </w:p>
        </w:tc>
      </w:tr>
      <w:tr w:rsidR="00740DE0" w:rsidRPr="00A45E22" w14:paraId="400F7FBA" w14:textId="77777777" w:rsidTr="0018781A">
        <w:tc>
          <w:tcPr>
            <w:tcW w:w="601" w:type="dxa"/>
            <w:tcBorders>
              <w:top w:val="single" w:sz="4" w:space="0" w:color="auto"/>
              <w:left w:val="nil"/>
              <w:bottom w:val="single" w:sz="12" w:space="0" w:color="auto"/>
              <w:right w:val="nil"/>
            </w:tcBorders>
            <w:vAlign w:val="center"/>
          </w:tcPr>
          <w:p w14:paraId="400F7FB6" w14:textId="77777777" w:rsidR="0018781A" w:rsidRPr="00A45E22" w:rsidRDefault="0018781A" w:rsidP="0018781A">
            <w:pPr>
              <w:jc w:val="right"/>
              <w:rPr>
                <w:noProof/>
                <w:sz w:val="20"/>
              </w:rPr>
            </w:pPr>
            <w:r w:rsidRPr="00A45E22">
              <w:rPr>
                <w:noProof/>
                <w:sz w:val="20"/>
              </w:rPr>
              <w:t>38</w:t>
            </w:r>
          </w:p>
        </w:tc>
        <w:tc>
          <w:tcPr>
            <w:tcW w:w="3260" w:type="dxa"/>
            <w:gridSpan w:val="2"/>
            <w:tcBorders>
              <w:top w:val="single" w:sz="4" w:space="0" w:color="auto"/>
              <w:left w:val="nil"/>
              <w:bottom w:val="single" w:sz="12" w:space="0" w:color="auto"/>
              <w:right w:val="nil"/>
            </w:tcBorders>
            <w:vAlign w:val="center"/>
          </w:tcPr>
          <w:p w14:paraId="400F7FB7" w14:textId="77777777" w:rsidR="0018781A" w:rsidRPr="00A45E22" w:rsidRDefault="0018781A" w:rsidP="0018781A">
            <w:pPr>
              <w:rPr>
                <w:sz w:val="20"/>
              </w:rPr>
            </w:pPr>
            <w:r w:rsidRPr="00A45E22">
              <w:rPr>
                <w:sz w:val="20"/>
              </w:rPr>
              <w:t>Wheat straw</w:t>
            </w:r>
          </w:p>
        </w:tc>
        <w:tc>
          <w:tcPr>
            <w:tcW w:w="2552" w:type="dxa"/>
            <w:tcBorders>
              <w:top w:val="single" w:sz="4" w:space="0" w:color="auto"/>
              <w:left w:val="nil"/>
              <w:bottom w:val="single" w:sz="12" w:space="0" w:color="auto"/>
              <w:right w:val="nil"/>
            </w:tcBorders>
            <w:vAlign w:val="center"/>
          </w:tcPr>
          <w:p w14:paraId="400F7FB8" w14:textId="77777777" w:rsidR="0018781A" w:rsidRPr="00A45E22" w:rsidRDefault="0018781A" w:rsidP="0018781A">
            <w:pPr>
              <w:jc w:val="right"/>
              <w:rPr>
                <w:sz w:val="20"/>
              </w:rPr>
            </w:pPr>
            <w:r w:rsidRPr="00A45E22">
              <w:rPr>
                <w:sz w:val="20"/>
              </w:rPr>
              <w:t>160</w:t>
            </w:r>
          </w:p>
        </w:tc>
        <w:tc>
          <w:tcPr>
            <w:tcW w:w="1984" w:type="dxa"/>
            <w:tcBorders>
              <w:top w:val="single" w:sz="4" w:space="0" w:color="auto"/>
              <w:left w:val="nil"/>
              <w:bottom w:val="single" w:sz="12" w:space="0" w:color="auto"/>
              <w:right w:val="nil"/>
            </w:tcBorders>
            <w:vAlign w:val="center"/>
          </w:tcPr>
          <w:p w14:paraId="400F7FB9" w14:textId="77777777" w:rsidR="0018781A" w:rsidRPr="00A45E22" w:rsidRDefault="0018781A" w:rsidP="0018781A">
            <w:pPr>
              <w:jc w:val="right"/>
              <w:rPr>
                <w:sz w:val="20"/>
              </w:rPr>
            </w:pPr>
            <w:r w:rsidRPr="00A45E22">
              <w:rPr>
                <w:sz w:val="20"/>
              </w:rPr>
              <w:t>300</w:t>
            </w:r>
          </w:p>
        </w:tc>
      </w:tr>
      <w:tr w:rsidR="00740DE0" w:rsidRPr="00A45E22" w14:paraId="400F7FBF" w14:textId="77777777" w:rsidTr="0018781A">
        <w:tc>
          <w:tcPr>
            <w:tcW w:w="601" w:type="dxa"/>
            <w:tcBorders>
              <w:top w:val="single" w:sz="12" w:space="0" w:color="auto"/>
              <w:left w:val="nil"/>
              <w:bottom w:val="single" w:sz="4" w:space="0" w:color="auto"/>
              <w:right w:val="nil"/>
            </w:tcBorders>
            <w:vAlign w:val="center"/>
          </w:tcPr>
          <w:p w14:paraId="400F7FBB" w14:textId="77777777" w:rsidR="0018781A" w:rsidRPr="00A45E22" w:rsidRDefault="0018781A" w:rsidP="0018781A">
            <w:pPr>
              <w:jc w:val="right"/>
              <w:rPr>
                <w:noProof/>
                <w:sz w:val="20"/>
              </w:rPr>
            </w:pPr>
            <w:r w:rsidRPr="00A45E22">
              <w:rPr>
                <w:noProof/>
                <w:sz w:val="20"/>
              </w:rPr>
              <w:t>39</w:t>
            </w:r>
          </w:p>
        </w:tc>
        <w:tc>
          <w:tcPr>
            <w:tcW w:w="3260" w:type="dxa"/>
            <w:gridSpan w:val="2"/>
            <w:tcBorders>
              <w:top w:val="single" w:sz="12" w:space="0" w:color="auto"/>
              <w:left w:val="nil"/>
              <w:bottom w:val="single" w:sz="4" w:space="0" w:color="auto"/>
              <w:right w:val="nil"/>
            </w:tcBorders>
            <w:vAlign w:val="center"/>
          </w:tcPr>
          <w:p w14:paraId="400F7FBC" w14:textId="77777777" w:rsidR="0018781A" w:rsidRPr="00A45E22" w:rsidRDefault="0018781A" w:rsidP="0018781A">
            <w:pPr>
              <w:rPr>
                <w:sz w:val="20"/>
              </w:rPr>
            </w:pPr>
            <w:r w:rsidRPr="00A45E22">
              <w:rPr>
                <w:sz w:val="20"/>
              </w:rPr>
              <w:t>Cereal grains (barley, wheat, oats)</w:t>
            </w:r>
          </w:p>
        </w:tc>
        <w:tc>
          <w:tcPr>
            <w:tcW w:w="2552" w:type="dxa"/>
            <w:tcBorders>
              <w:top w:val="single" w:sz="12" w:space="0" w:color="auto"/>
              <w:left w:val="nil"/>
              <w:bottom w:val="single" w:sz="4" w:space="0" w:color="auto"/>
              <w:right w:val="nil"/>
            </w:tcBorders>
            <w:vAlign w:val="center"/>
          </w:tcPr>
          <w:p w14:paraId="400F7FBD" w14:textId="77777777" w:rsidR="0018781A" w:rsidRPr="00A45E22" w:rsidRDefault="0018781A" w:rsidP="0018781A">
            <w:pPr>
              <w:jc w:val="right"/>
              <w:rPr>
                <w:sz w:val="20"/>
              </w:rPr>
            </w:pPr>
            <w:r w:rsidRPr="00A45E22">
              <w:rPr>
                <w:sz w:val="20"/>
              </w:rPr>
              <w:t>310</w:t>
            </w:r>
          </w:p>
        </w:tc>
        <w:tc>
          <w:tcPr>
            <w:tcW w:w="1984" w:type="dxa"/>
            <w:tcBorders>
              <w:top w:val="single" w:sz="12" w:space="0" w:color="auto"/>
              <w:left w:val="nil"/>
              <w:bottom w:val="single" w:sz="4" w:space="0" w:color="auto"/>
              <w:right w:val="nil"/>
            </w:tcBorders>
            <w:vAlign w:val="center"/>
          </w:tcPr>
          <w:p w14:paraId="400F7FBE" w14:textId="77777777" w:rsidR="0018781A" w:rsidRPr="00A45E22" w:rsidRDefault="0018781A" w:rsidP="0018781A">
            <w:pPr>
              <w:jc w:val="right"/>
              <w:rPr>
                <w:sz w:val="20"/>
              </w:rPr>
            </w:pPr>
            <w:r w:rsidRPr="00A45E22">
              <w:rPr>
                <w:sz w:val="20"/>
              </w:rPr>
              <w:t>690</w:t>
            </w:r>
          </w:p>
        </w:tc>
      </w:tr>
      <w:tr w:rsidR="00740DE0" w:rsidRPr="00A45E22" w14:paraId="400F7FC4" w14:textId="77777777" w:rsidTr="009627EA">
        <w:tc>
          <w:tcPr>
            <w:tcW w:w="601" w:type="dxa"/>
            <w:tcBorders>
              <w:top w:val="single" w:sz="4" w:space="0" w:color="auto"/>
              <w:left w:val="nil"/>
              <w:bottom w:val="single" w:sz="4" w:space="0" w:color="auto"/>
              <w:right w:val="nil"/>
            </w:tcBorders>
            <w:vAlign w:val="center"/>
          </w:tcPr>
          <w:p w14:paraId="400F7FC0" w14:textId="77777777" w:rsidR="0018781A" w:rsidRPr="00A45E22" w:rsidRDefault="0018781A" w:rsidP="0018781A">
            <w:pPr>
              <w:jc w:val="right"/>
              <w:rPr>
                <w:noProof/>
                <w:sz w:val="20"/>
              </w:rPr>
            </w:pPr>
            <w:r w:rsidRPr="00A45E22">
              <w:rPr>
                <w:noProof/>
                <w:sz w:val="20"/>
              </w:rPr>
              <w:t>40</w:t>
            </w:r>
          </w:p>
        </w:tc>
        <w:tc>
          <w:tcPr>
            <w:tcW w:w="3260" w:type="dxa"/>
            <w:gridSpan w:val="2"/>
            <w:tcBorders>
              <w:top w:val="single" w:sz="4" w:space="0" w:color="auto"/>
              <w:left w:val="nil"/>
              <w:bottom w:val="single" w:sz="4" w:space="0" w:color="auto"/>
              <w:right w:val="nil"/>
            </w:tcBorders>
            <w:vAlign w:val="center"/>
          </w:tcPr>
          <w:p w14:paraId="400F7FC1" w14:textId="77777777" w:rsidR="0018781A" w:rsidRPr="00A45E22" w:rsidRDefault="0018781A" w:rsidP="0018781A">
            <w:pPr>
              <w:rPr>
                <w:sz w:val="20"/>
              </w:rPr>
            </w:pPr>
            <w:r w:rsidRPr="00A45E22">
              <w:rPr>
                <w:sz w:val="20"/>
              </w:rPr>
              <w:t>Corn grain</w:t>
            </w:r>
          </w:p>
        </w:tc>
        <w:tc>
          <w:tcPr>
            <w:tcW w:w="2552" w:type="dxa"/>
            <w:tcBorders>
              <w:top w:val="single" w:sz="4" w:space="0" w:color="auto"/>
              <w:left w:val="nil"/>
              <w:bottom w:val="single" w:sz="4" w:space="0" w:color="auto"/>
              <w:right w:val="nil"/>
            </w:tcBorders>
            <w:vAlign w:val="center"/>
          </w:tcPr>
          <w:p w14:paraId="400F7FC2" w14:textId="77777777" w:rsidR="0018781A" w:rsidRPr="00A45E22" w:rsidRDefault="0018781A" w:rsidP="0018781A">
            <w:pPr>
              <w:jc w:val="right"/>
              <w:rPr>
                <w:sz w:val="20"/>
              </w:rPr>
            </w:pPr>
            <w:r w:rsidRPr="00A45E22">
              <w:rPr>
                <w:sz w:val="20"/>
              </w:rPr>
              <w:t>440</w:t>
            </w:r>
          </w:p>
        </w:tc>
        <w:tc>
          <w:tcPr>
            <w:tcW w:w="1984" w:type="dxa"/>
            <w:tcBorders>
              <w:top w:val="single" w:sz="4" w:space="0" w:color="auto"/>
              <w:left w:val="nil"/>
              <w:bottom w:val="single" w:sz="4" w:space="0" w:color="auto"/>
              <w:right w:val="nil"/>
            </w:tcBorders>
            <w:vAlign w:val="center"/>
          </w:tcPr>
          <w:p w14:paraId="400F7FC3" w14:textId="77777777" w:rsidR="0018781A" w:rsidRPr="00A45E22" w:rsidRDefault="0018781A" w:rsidP="0018781A">
            <w:pPr>
              <w:jc w:val="right"/>
              <w:rPr>
                <w:sz w:val="20"/>
              </w:rPr>
            </w:pPr>
            <w:r w:rsidRPr="00A45E22">
              <w:rPr>
                <w:sz w:val="20"/>
              </w:rPr>
              <w:t>470</w:t>
            </w:r>
          </w:p>
        </w:tc>
      </w:tr>
      <w:tr w:rsidR="00740DE0" w:rsidRPr="00A45E22" w14:paraId="400F7FC9" w14:textId="77777777" w:rsidTr="0018781A">
        <w:tc>
          <w:tcPr>
            <w:tcW w:w="601" w:type="dxa"/>
            <w:tcBorders>
              <w:top w:val="single" w:sz="4" w:space="0" w:color="auto"/>
              <w:left w:val="nil"/>
              <w:bottom w:val="single" w:sz="4" w:space="0" w:color="auto"/>
              <w:right w:val="nil"/>
            </w:tcBorders>
            <w:vAlign w:val="center"/>
          </w:tcPr>
          <w:p w14:paraId="400F7FC5" w14:textId="77777777" w:rsidR="0018781A" w:rsidRPr="00A45E22" w:rsidRDefault="0018781A" w:rsidP="0018781A">
            <w:pPr>
              <w:jc w:val="right"/>
              <w:rPr>
                <w:noProof/>
                <w:sz w:val="20"/>
              </w:rPr>
            </w:pPr>
            <w:r w:rsidRPr="00A45E22">
              <w:rPr>
                <w:noProof/>
                <w:sz w:val="20"/>
              </w:rPr>
              <w:t>41</w:t>
            </w:r>
          </w:p>
        </w:tc>
        <w:tc>
          <w:tcPr>
            <w:tcW w:w="3260" w:type="dxa"/>
            <w:gridSpan w:val="2"/>
            <w:tcBorders>
              <w:top w:val="single" w:sz="4" w:space="0" w:color="auto"/>
              <w:left w:val="nil"/>
              <w:bottom w:val="single" w:sz="4" w:space="0" w:color="auto"/>
              <w:right w:val="nil"/>
            </w:tcBorders>
            <w:vAlign w:val="center"/>
          </w:tcPr>
          <w:p w14:paraId="400F7FC6" w14:textId="77777777" w:rsidR="0018781A" w:rsidRPr="00A45E22" w:rsidRDefault="0018781A" w:rsidP="0018781A">
            <w:pPr>
              <w:rPr>
                <w:sz w:val="20"/>
              </w:rPr>
            </w:pPr>
            <w:r w:rsidRPr="00A45E22">
              <w:rPr>
                <w:sz w:val="20"/>
              </w:rPr>
              <w:t>Lupin grain</w:t>
            </w:r>
          </w:p>
        </w:tc>
        <w:tc>
          <w:tcPr>
            <w:tcW w:w="2552" w:type="dxa"/>
            <w:tcBorders>
              <w:top w:val="single" w:sz="4" w:space="0" w:color="auto"/>
              <w:left w:val="nil"/>
              <w:bottom w:val="single" w:sz="4" w:space="0" w:color="auto"/>
              <w:right w:val="nil"/>
            </w:tcBorders>
            <w:vAlign w:val="center"/>
          </w:tcPr>
          <w:p w14:paraId="400F7FC7" w14:textId="77777777" w:rsidR="0018781A" w:rsidRPr="00A45E22" w:rsidRDefault="0018781A" w:rsidP="0018781A">
            <w:pPr>
              <w:jc w:val="right"/>
              <w:rPr>
                <w:sz w:val="20"/>
              </w:rPr>
            </w:pPr>
            <w:r w:rsidRPr="00A45E22">
              <w:rPr>
                <w:sz w:val="20"/>
              </w:rPr>
              <w:t>310</w:t>
            </w:r>
          </w:p>
        </w:tc>
        <w:tc>
          <w:tcPr>
            <w:tcW w:w="1984" w:type="dxa"/>
            <w:tcBorders>
              <w:top w:val="single" w:sz="4" w:space="0" w:color="auto"/>
              <w:left w:val="nil"/>
              <w:bottom w:val="single" w:sz="4" w:space="0" w:color="auto"/>
              <w:right w:val="nil"/>
            </w:tcBorders>
            <w:vAlign w:val="center"/>
          </w:tcPr>
          <w:p w14:paraId="400F7FC8" w14:textId="77777777" w:rsidR="0018781A" w:rsidRPr="00A45E22" w:rsidRDefault="0018781A" w:rsidP="0018781A">
            <w:pPr>
              <w:jc w:val="right"/>
              <w:rPr>
                <w:sz w:val="20"/>
              </w:rPr>
            </w:pPr>
            <w:r w:rsidRPr="00A45E22">
              <w:rPr>
                <w:sz w:val="20"/>
              </w:rPr>
              <w:t>360</w:t>
            </w:r>
          </w:p>
        </w:tc>
      </w:tr>
      <w:tr w:rsidR="0018781A" w:rsidRPr="00A45E22" w14:paraId="400F7FCE" w14:textId="77777777" w:rsidTr="0018781A">
        <w:tc>
          <w:tcPr>
            <w:tcW w:w="601" w:type="dxa"/>
            <w:tcBorders>
              <w:top w:val="single" w:sz="4" w:space="0" w:color="auto"/>
              <w:left w:val="nil"/>
              <w:bottom w:val="single" w:sz="12" w:space="0" w:color="auto"/>
              <w:right w:val="nil"/>
            </w:tcBorders>
            <w:vAlign w:val="center"/>
          </w:tcPr>
          <w:p w14:paraId="400F7FCA" w14:textId="77777777" w:rsidR="0018781A" w:rsidRPr="00A45E22" w:rsidRDefault="0018781A" w:rsidP="0018781A">
            <w:pPr>
              <w:jc w:val="right"/>
              <w:rPr>
                <w:noProof/>
                <w:sz w:val="20"/>
              </w:rPr>
            </w:pPr>
            <w:r w:rsidRPr="00A45E22">
              <w:rPr>
                <w:noProof/>
                <w:sz w:val="20"/>
              </w:rPr>
              <w:t>42</w:t>
            </w:r>
          </w:p>
        </w:tc>
        <w:tc>
          <w:tcPr>
            <w:tcW w:w="3260" w:type="dxa"/>
            <w:gridSpan w:val="2"/>
            <w:tcBorders>
              <w:top w:val="single" w:sz="4" w:space="0" w:color="auto"/>
              <w:left w:val="nil"/>
              <w:bottom w:val="single" w:sz="12" w:space="0" w:color="auto"/>
              <w:right w:val="nil"/>
            </w:tcBorders>
            <w:vAlign w:val="center"/>
          </w:tcPr>
          <w:p w14:paraId="400F7FCB" w14:textId="77777777" w:rsidR="0018781A" w:rsidRPr="00A45E22" w:rsidRDefault="0018781A" w:rsidP="0018781A">
            <w:pPr>
              <w:rPr>
                <w:sz w:val="20"/>
              </w:rPr>
            </w:pPr>
            <w:r w:rsidRPr="00A45E22">
              <w:rPr>
                <w:sz w:val="20"/>
              </w:rPr>
              <w:t>Sorghum grain</w:t>
            </w:r>
          </w:p>
        </w:tc>
        <w:tc>
          <w:tcPr>
            <w:tcW w:w="2552" w:type="dxa"/>
            <w:tcBorders>
              <w:top w:val="single" w:sz="4" w:space="0" w:color="auto"/>
              <w:left w:val="nil"/>
              <w:bottom w:val="single" w:sz="12" w:space="0" w:color="auto"/>
              <w:right w:val="nil"/>
            </w:tcBorders>
            <w:vAlign w:val="center"/>
          </w:tcPr>
          <w:p w14:paraId="400F7FCC" w14:textId="77777777" w:rsidR="0018781A" w:rsidRPr="00A45E22" w:rsidRDefault="0018781A" w:rsidP="0018781A">
            <w:pPr>
              <w:jc w:val="right"/>
              <w:rPr>
                <w:sz w:val="20"/>
              </w:rPr>
            </w:pPr>
            <w:r w:rsidRPr="00A45E22">
              <w:rPr>
                <w:sz w:val="20"/>
              </w:rPr>
              <w:t>360</w:t>
            </w:r>
          </w:p>
        </w:tc>
        <w:tc>
          <w:tcPr>
            <w:tcW w:w="1984" w:type="dxa"/>
            <w:tcBorders>
              <w:top w:val="single" w:sz="4" w:space="0" w:color="auto"/>
              <w:left w:val="nil"/>
              <w:bottom w:val="single" w:sz="12" w:space="0" w:color="auto"/>
              <w:right w:val="nil"/>
            </w:tcBorders>
            <w:vAlign w:val="center"/>
          </w:tcPr>
          <w:p w14:paraId="400F7FCD" w14:textId="77777777" w:rsidR="0018781A" w:rsidRPr="00A45E22" w:rsidRDefault="0018781A" w:rsidP="0018781A">
            <w:pPr>
              <w:jc w:val="right"/>
              <w:rPr>
                <w:sz w:val="20"/>
              </w:rPr>
            </w:pPr>
            <w:r w:rsidRPr="00A45E22">
              <w:rPr>
                <w:sz w:val="20"/>
              </w:rPr>
              <w:t>370</w:t>
            </w:r>
          </w:p>
        </w:tc>
      </w:tr>
    </w:tbl>
    <w:p w14:paraId="400F7FCF" w14:textId="77777777" w:rsidR="00E15BFF" w:rsidRPr="00A45E22" w:rsidRDefault="00E15BFF" w:rsidP="00E15BFF">
      <w:pPr>
        <w:rPr>
          <w:rStyle w:val="CharChapNo"/>
        </w:rPr>
      </w:pPr>
    </w:p>
    <w:p w14:paraId="400F7FD0" w14:textId="77777777" w:rsidR="00E15BFF" w:rsidRPr="00A45E22" w:rsidRDefault="00E15BFF" w:rsidP="00E15BFF">
      <w:pPr>
        <w:rPr>
          <w:rStyle w:val="CharChapNo"/>
        </w:rPr>
      </w:pPr>
    </w:p>
    <w:p w14:paraId="400F7FD1" w14:textId="77777777" w:rsidR="00E15BFF" w:rsidRPr="00A45E22" w:rsidRDefault="00E15BFF" w:rsidP="00E15BFF">
      <w:pPr>
        <w:rPr>
          <w:rStyle w:val="CharChapNo"/>
        </w:rPr>
      </w:pPr>
    </w:p>
    <w:p w14:paraId="400F7FD2" w14:textId="77777777" w:rsidR="00E15BFF" w:rsidRPr="00A45E22" w:rsidRDefault="00E741AF" w:rsidP="00E15BFF">
      <w:pPr>
        <w:pStyle w:val="h1Chap"/>
        <w:rPr>
          <w:lang w:val="en-GB"/>
        </w:rPr>
      </w:pPr>
      <w:bookmarkStart w:id="73" w:name="_Toc498294005"/>
      <w:bookmarkStart w:id="74" w:name="_Toc17792726"/>
      <w:r w:rsidRPr="00A45E22">
        <w:rPr>
          <w:rStyle w:val="CharChapNo"/>
        </w:rPr>
        <w:lastRenderedPageBreak/>
        <w:t>Schedule 2</w:t>
      </w:r>
      <w:r w:rsidR="00E15BFF" w:rsidRPr="00A45E22">
        <w:t>—</w:t>
      </w:r>
      <w:r w:rsidR="00E15BFF" w:rsidRPr="00A45E22">
        <w:rPr>
          <w:lang w:val="en-GB"/>
        </w:rPr>
        <w:t>Treatment method—Solids Separation</w:t>
      </w:r>
      <w:bookmarkEnd w:id="73"/>
      <w:bookmarkEnd w:id="74"/>
    </w:p>
    <w:p w14:paraId="400F7FD3" w14:textId="77777777" w:rsidR="00C637C9" w:rsidRPr="00A45E22" w:rsidRDefault="00C637C9" w:rsidP="00C637C9">
      <w:pPr>
        <w:pStyle w:val="ntoHeading"/>
        <w:spacing w:line="276" w:lineRule="auto"/>
      </w:pPr>
      <w:r w:rsidRPr="00A45E22">
        <w:t>Note:</w:t>
      </w:r>
      <w:r w:rsidRPr="00A45E22">
        <w:tab/>
        <w:t xml:space="preserve">See section </w:t>
      </w:r>
      <w:r w:rsidR="00074BF3" w:rsidRPr="00A45E22">
        <w:t>8</w:t>
      </w:r>
      <w:r w:rsidRPr="00A45E22">
        <w:t xml:space="preserve"> of this Supplement.</w:t>
      </w:r>
    </w:p>
    <w:p w14:paraId="400F7FD4" w14:textId="77777777" w:rsidR="00E01687" w:rsidRPr="00A45E22" w:rsidRDefault="00E01687" w:rsidP="00B77CE9">
      <w:pPr>
        <w:pStyle w:val="tSubpara"/>
        <w:spacing w:before="180"/>
        <w:ind w:left="0" w:firstLine="0"/>
        <w:rPr>
          <w:rFonts w:eastAsiaTheme="minorEastAsia"/>
          <w:b/>
          <w:sz w:val="24"/>
          <w:szCs w:val="24"/>
        </w:rPr>
      </w:pPr>
      <w:r w:rsidRPr="00A45E22">
        <w:rPr>
          <w:rFonts w:eastAsiaTheme="minorEastAsia"/>
          <w:b/>
          <w:sz w:val="24"/>
          <w:szCs w:val="24"/>
        </w:rPr>
        <w:t>Background</w:t>
      </w:r>
    </w:p>
    <w:p w14:paraId="400F7FD5" w14:textId="702F8EFC" w:rsidR="001B33EC" w:rsidRPr="00A45E22" w:rsidRDefault="000A1B5D" w:rsidP="00B77CE9">
      <w:pPr>
        <w:pStyle w:val="tSubpara"/>
        <w:spacing w:before="180"/>
        <w:ind w:left="0" w:firstLine="0"/>
      </w:pPr>
      <w:r w:rsidRPr="00A45E22">
        <w:rPr>
          <w:rFonts w:eastAsiaTheme="minorEastAsia"/>
          <w:sz w:val="24"/>
          <w:szCs w:val="24"/>
        </w:rPr>
        <w:t>P</w:t>
      </w:r>
      <w:r w:rsidR="007068D8" w:rsidRPr="00A45E22">
        <w:rPr>
          <w:rFonts w:eastAsiaTheme="minorEastAsia"/>
          <w:sz w:val="24"/>
          <w:szCs w:val="24"/>
        </w:rPr>
        <w:t>rojects that use s</w:t>
      </w:r>
      <w:r w:rsidR="001B33EC" w:rsidRPr="00A45E22">
        <w:rPr>
          <w:rFonts w:eastAsiaTheme="minorEastAsia"/>
          <w:sz w:val="24"/>
          <w:szCs w:val="24"/>
        </w:rPr>
        <w:t>olid</w:t>
      </w:r>
      <w:r w:rsidR="001E2015" w:rsidRPr="00A45E22">
        <w:rPr>
          <w:rFonts w:eastAsiaTheme="minorEastAsia"/>
          <w:sz w:val="24"/>
          <w:szCs w:val="24"/>
        </w:rPr>
        <w:t>s</w:t>
      </w:r>
      <w:r w:rsidR="001B33EC" w:rsidRPr="00A45E22">
        <w:rPr>
          <w:rFonts w:eastAsiaTheme="minorEastAsia"/>
          <w:sz w:val="24"/>
          <w:szCs w:val="24"/>
        </w:rPr>
        <w:t xml:space="preserve"> separation devices manage the diverted solids</w:t>
      </w:r>
      <w:r w:rsidR="001B33EC" w:rsidRPr="00A45E22">
        <w:rPr>
          <w:sz w:val="24"/>
          <w:szCs w:val="24"/>
        </w:rPr>
        <w:t xml:space="preserve"> aerobically to avoid further methane production. </w:t>
      </w:r>
      <w:r w:rsidR="001B33EC" w:rsidRPr="00A45E22">
        <w:rPr>
          <w:rFonts w:eastAsiaTheme="minorEastAsia"/>
          <w:sz w:val="24"/>
          <w:szCs w:val="24"/>
        </w:rPr>
        <w:t>Solids separ</w:t>
      </w:r>
      <w:r w:rsidR="009229C7">
        <w:rPr>
          <w:rFonts w:eastAsiaTheme="minorEastAsia"/>
          <w:sz w:val="24"/>
          <w:szCs w:val="24"/>
        </w:rPr>
        <w:t>ation devices operate to remove</w:t>
      </w:r>
      <w:r w:rsidR="001B33EC" w:rsidRPr="00A45E22">
        <w:rPr>
          <w:rFonts w:eastAsiaTheme="minorEastAsia"/>
          <w:sz w:val="24"/>
          <w:szCs w:val="24"/>
        </w:rPr>
        <w:t xml:space="preserve"> volatile solids and nitrogen contained in organic effluent. </w:t>
      </w:r>
    </w:p>
    <w:p w14:paraId="400F7FD6" w14:textId="77777777" w:rsidR="005619A8" w:rsidRPr="00A45E22" w:rsidRDefault="007A75FC" w:rsidP="00B77CE9">
      <w:pPr>
        <w:spacing w:before="180" w:line="240" w:lineRule="auto"/>
        <w:rPr>
          <w:sz w:val="24"/>
          <w:szCs w:val="24"/>
        </w:rPr>
      </w:pPr>
      <w:r w:rsidRPr="00A45E22">
        <w:rPr>
          <w:sz w:val="24"/>
          <w:szCs w:val="24"/>
        </w:rPr>
        <w:t xml:space="preserve">One or more solids separation devices may be used in projects to divert volatile solids. </w:t>
      </w:r>
      <w:r w:rsidR="001F55E5" w:rsidRPr="00A45E22">
        <w:rPr>
          <w:sz w:val="24"/>
          <w:szCs w:val="24"/>
        </w:rPr>
        <w:t>Facilities using solids separation devices are emission</w:t>
      </w:r>
      <w:r w:rsidR="00DC37CA" w:rsidRPr="00A45E22">
        <w:rPr>
          <w:sz w:val="24"/>
          <w:szCs w:val="24"/>
        </w:rPr>
        <w:t>s</w:t>
      </w:r>
      <w:r w:rsidR="001F55E5" w:rsidRPr="00A45E22">
        <w:rPr>
          <w:sz w:val="24"/>
          <w:szCs w:val="24"/>
        </w:rPr>
        <w:t xml:space="preserve"> avoidance facilities. Projects can include a combination of s</w:t>
      </w:r>
      <w:r w:rsidRPr="00A45E22">
        <w:rPr>
          <w:sz w:val="24"/>
          <w:szCs w:val="24"/>
        </w:rPr>
        <w:t>olids separation</w:t>
      </w:r>
      <w:r w:rsidR="00DC37CA" w:rsidRPr="00A45E22">
        <w:rPr>
          <w:sz w:val="24"/>
          <w:szCs w:val="24"/>
        </w:rPr>
        <w:t xml:space="preserve"> devices (emissions avoidance)</w:t>
      </w:r>
      <w:r w:rsidRPr="00A45E22">
        <w:rPr>
          <w:sz w:val="24"/>
          <w:szCs w:val="24"/>
        </w:rPr>
        <w:t xml:space="preserve"> with methane capture and combustion </w:t>
      </w:r>
      <w:r w:rsidR="00DC37CA" w:rsidRPr="00A45E22">
        <w:rPr>
          <w:sz w:val="24"/>
          <w:szCs w:val="24"/>
        </w:rPr>
        <w:t>fa</w:t>
      </w:r>
      <w:r w:rsidR="00D46E35" w:rsidRPr="00A45E22">
        <w:rPr>
          <w:sz w:val="24"/>
          <w:szCs w:val="24"/>
        </w:rPr>
        <w:t>cilities (emissions destruction).</w:t>
      </w:r>
      <w:r w:rsidRPr="00A45E22">
        <w:rPr>
          <w:sz w:val="24"/>
          <w:szCs w:val="24"/>
        </w:rPr>
        <w:t xml:space="preserve"> </w:t>
      </w:r>
    </w:p>
    <w:p w14:paraId="400F7FD7" w14:textId="77777777" w:rsidR="007A75FC" w:rsidRPr="00A45E22" w:rsidRDefault="007A75FC" w:rsidP="00B77CE9">
      <w:pPr>
        <w:spacing w:before="180" w:line="240" w:lineRule="auto"/>
        <w:rPr>
          <w:sz w:val="24"/>
          <w:szCs w:val="24"/>
        </w:rPr>
      </w:pPr>
      <w:r w:rsidRPr="00A45E22">
        <w:rPr>
          <w:sz w:val="24"/>
          <w:szCs w:val="24"/>
        </w:rPr>
        <w:t>Project facilities treating organic effluent by diversion</w:t>
      </w:r>
      <w:r w:rsidR="005619A8" w:rsidRPr="00A45E22">
        <w:rPr>
          <w:sz w:val="24"/>
          <w:szCs w:val="24"/>
        </w:rPr>
        <w:t xml:space="preserve"> using solid</w:t>
      </w:r>
      <w:r w:rsidR="001E2015" w:rsidRPr="00A45E22">
        <w:rPr>
          <w:sz w:val="24"/>
          <w:szCs w:val="24"/>
        </w:rPr>
        <w:t>s</w:t>
      </w:r>
      <w:r w:rsidR="005619A8" w:rsidRPr="00A45E22">
        <w:rPr>
          <w:sz w:val="24"/>
          <w:szCs w:val="24"/>
        </w:rPr>
        <w:t xml:space="preserve"> separation devices</w:t>
      </w:r>
      <w:r w:rsidRPr="00A45E22">
        <w:rPr>
          <w:sz w:val="24"/>
          <w:szCs w:val="24"/>
        </w:rPr>
        <w:t xml:space="preserve"> for emissions avoidance are</w:t>
      </w:r>
      <w:r w:rsidR="005619A8" w:rsidRPr="00A45E22">
        <w:rPr>
          <w:sz w:val="24"/>
          <w:szCs w:val="24"/>
        </w:rPr>
        <w:t xml:space="preserve"> not permitted </w:t>
      </w:r>
      <w:r w:rsidRPr="00A45E22">
        <w:rPr>
          <w:sz w:val="24"/>
          <w:szCs w:val="24"/>
        </w:rPr>
        <w:t xml:space="preserve">to </w:t>
      </w:r>
      <w:r w:rsidR="005619A8" w:rsidRPr="00A45E22">
        <w:rPr>
          <w:sz w:val="24"/>
          <w:szCs w:val="24"/>
        </w:rPr>
        <w:t>include</w:t>
      </w:r>
      <w:r w:rsidRPr="00A45E22">
        <w:rPr>
          <w:sz w:val="24"/>
          <w:szCs w:val="24"/>
        </w:rPr>
        <w:t xml:space="preserve"> ineligible material </w:t>
      </w:r>
      <w:r w:rsidR="005619A8" w:rsidRPr="00A45E22">
        <w:rPr>
          <w:sz w:val="24"/>
          <w:szCs w:val="24"/>
        </w:rPr>
        <w:t>in the effluent stream – consistent with section 1</w:t>
      </w:r>
      <w:r w:rsidR="002E7677" w:rsidRPr="00A45E22">
        <w:rPr>
          <w:sz w:val="24"/>
          <w:szCs w:val="24"/>
        </w:rPr>
        <w:t>6</w:t>
      </w:r>
      <w:r w:rsidR="005619A8" w:rsidRPr="00A45E22">
        <w:rPr>
          <w:sz w:val="24"/>
          <w:szCs w:val="24"/>
        </w:rPr>
        <w:t xml:space="preserve"> of the determination</w:t>
      </w:r>
      <w:r w:rsidRPr="00A45E22">
        <w:rPr>
          <w:sz w:val="24"/>
          <w:szCs w:val="24"/>
        </w:rPr>
        <w:t>.</w:t>
      </w:r>
    </w:p>
    <w:p w14:paraId="400F7FD8" w14:textId="77777777" w:rsidR="00E01687" w:rsidRPr="00A45E22" w:rsidRDefault="00E01687" w:rsidP="00B77CE9">
      <w:pPr>
        <w:spacing w:before="180" w:line="240" w:lineRule="auto"/>
        <w:rPr>
          <w:b/>
          <w:sz w:val="24"/>
          <w:szCs w:val="24"/>
        </w:rPr>
      </w:pPr>
      <w:r w:rsidRPr="00A45E22">
        <w:rPr>
          <w:b/>
          <w:sz w:val="24"/>
          <w:szCs w:val="24"/>
        </w:rPr>
        <w:t>Requirements</w:t>
      </w:r>
    </w:p>
    <w:p w14:paraId="400F7FD9" w14:textId="77777777" w:rsidR="00861623" w:rsidRPr="00A45E22" w:rsidRDefault="00E01687" w:rsidP="00B77CE9">
      <w:pPr>
        <w:spacing w:before="180" w:line="240" w:lineRule="auto"/>
        <w:rPr>
          <w:sz w:val="24"/>
          <w:szCs w:val="24"/>
        </w:rPr>
      </w:pPr>
      <w:r w:rsidRPr="00A45E22">
        <w:rPr>
          <w:sz w:val="24"/>
          <w:szCs w:val="24"/>
        </w:rPr>
        <w:t>Projects must use one of the various methods</w:t>
      </w:r>
      <w:r w:rsidR="007A75FC" w:rsidRPr="00A45E22">
        <w:rPr>
          <w:sz w:val="24"/>
          <w:szCs w:val="24"/>
        </w:rPr>
        <w:t xml:space="preserve"> for separating solids from organic effluent that generally rely on a gravitational process and/or a mechanical device. </w:t>
      </w:r>
      <w:r w:rsidR="00861623" w:rsidRPr="00A45E22">
        <w:rPr>
          <w:sz w:val="24"/>
          <w:szCs w:val="24"/>
        </w:rPr>
        <w:t>These methods can be grouped according to their basic removal mechanism:</w:t>
      </w:r>
    </w:p>
    <w:p w14:paraId="400F7FDA" w14:textId="77777777" w:rsidR="00861623" w:rsidRPr="00A45E22" w:rsidRDefault="00861623" w:rsidP="00B77CE9">
      <w:pPr>
        <w:pStyle w:val="ListParagraph"/>
        <w:numPr>
          <w:ilvl w:val="0"/>
          <w:numId w:val="23"/>
        </w:numPr>
        <w:spacing w:before="180" w:line="240" w:lineRule="auto"/>
        <w:rPr>
          <w:sz w:val="24"/>
          <w:szCs w:val="24"/>
        </w:rPr>
      </w:pPr>
      <w:r w:rsidRPr="00A45E22">
        <w:rPr>
          <w:sz w:val="24"/>
          <w:szCs w:val="24"/>
        </w:rPr>
        <w:t>Gravitational settling</w:t>
      </w:r>
    </w:p>
    <w:p w14:paraId="400F7FDB" w14:textId="77777777" w:rsidR="00861623" w:rsidRPr="00A45E22" w:rsidRDefault="00861623" w:rsidP="00B77CE9">
      <w:pPr>
        <w:pStyle w:val="ListParagraph"/>
        <w:numPr>
          <w:ilvl w:val="0"/>
          <w:numId w:val="23"/>
        </w:numPr>
        <w:spacing w:before="180" w:line="240" w:lineRule="auto"/>
        <w:rPr>
          <w:sz w:val="24"/>
          <w:szCs w:val="24"/>
        </w:rPr>
      </w:pPr>
      <w:r w:rsidRPr="00A45E22">
        <w:rPr>
          <w:sz w:val="24"/>
          <w:szCs w:val="24"/>
        </w:rPr>
        <w:t>Perforated screens and presses</w:t>
      </w:r>
    </w:p>
    <w:p w14:paraId="400F7FDC" w14:textId="77777777" w:rsidR="00861623" w:rsidRPr="00A45E22" w:rsidRDefault="00861623" w:rsidP="00B77CE9">
      <w:pPr>
        <w:pStyle w:val="ListParagraph"/>
        <w:numPr>
          <w:ilvl w:val="0"/>
          <w:numId w:val="23"/>
        </w:numPr>
        <w:spacing w:before="180" w:line="240" w:lineRule="auto"/>
        <w:rPr>
          <w:sz w:val="24"/>
          <w:szCs w:val="24"/>
        </w:rPr>
      </w:pPr>
      <w:r w:rsidRPr="00A45E22">
        <w:rPr>
          <w:sz w:val="24"/>
          <w:szCs w:val="24"/>
        </w:rPr>
        <w:t>Centrifugal separation</w:t>
      </w:r>
    </w:p>
    <w:p w14:paraId="400F7FDD" w14:textId="77777777" w:rsidR="00861623" w:rsidRPr="00A45E22" w:rsidRDefault="00861623" w:rsidP="00B77CE9">
      <w:pPr>
        <w:pStyle w:val="ListParagraph"/>
        <w:numPr>
          <w:ilvl w:val="0"/>
          <w:numId w:val="23"/>
        </w:numPr>
        <w:spacing w:before="180" w:line="240" w:lineRule="auto"/>
        <w:rPr>
          <w:sz w:val="24"/>
          <w:szCs w:val="24"/>
        </w:rPr>
      </w:pPr>
      <w:r w:rsidRPr="00A45E22">
        <w:rPr>
          <w:sz w:val="24"/>
          <w:szCs w:val="24"/>
        </w:rPr>
        <w:t xml:space="preserve">Dissolved Air Flotation </w:t>
      </w:r>
    </w:p>
    <w:p w14:paraId="400F7FDE" w14:textId="77777777" w:rsidR="00861623" w:rsidRPr="00A45E22" w:rsidRDefault="00861623" w:rsidP="00B77CE9">
      <w:pPr>
        <w:pStyle w:val="ListParagraph"/>
        <w:numPr>
          <w:ilvl w:val="0"/>
          <w:numId w:val="23"/>
        </w:numPr>
        <w:spacing w:before="180" w:line="240" w:lineRule="auto"/>
        <w:rPr>
          <w:sz w:val="24"/>
          <w:szCs w:val="24"/>
        </w:rPr>
      </w:pPr>
      <w:r w:rsidRPr="00A45E22">
        <w:rPr>
          <w:sz w:val="24"/>
          <w:szCs w:val="24"/>
        </w:rPr>
        <w:t xml:space="preserve">Chemical flocculation </w:t>
      </w:r>
    </w:p>
    <w:p w14:paraId="400F7FDF" w14:textId="77777777" w:rsidR="00861623" w:rsidRPr="00A45E22" w:rsidRDefault="00861623" w:rsidP="00B77CE9">
      <w:pPr>
        <w:pStyle w:val="ListParagraph"/>
        <w:numPr>
          <w:ilvl w:val="0"/>
          <w:numId w:val="23"/>
        </w:numPr>
        <w:spacing w:before="180" w:line="240" w:lineRule="auto"/>
        <w:rPr>
          <w:sz w:val="24"/>
          <w:szCs w:val="24"/>
        </w:rPr>
      </w:pPr>
      <w:r w:rsidRPr="00A45E22">
        <w:rPr>
          <w:sz w:val="24"/>
          <w:szCs w:val="24"/>
        </w:rPr>
        <w:t xml:space="preserve">Combined systems </w:t>
      </w:r>
    </w:p>
    <w:p w14:paraId="400F7FE0" w14:textId="77777777" w:rsidR="002F1535" w:rsidRPr="00A45E22" w:rsidRDefault="00C637C9" w:rsidP="00C637C9">
      <w:pPr>
        <w:pStyle w:val="nMain"/>
        <w:spacing w:line="276" w:lineRule="auto"/>
      </w:pPr>
      <w:r w:rsidRPr="00A45E22">
        <w:t>Note:</w:t>
      </w:r>
      <w:r w:rsidR="00E01687" w:rsidRPr="00A45E22">
        <w:t xml:space="preserve"> </w:t>
      </w:r>
      <w:r w:rsidRPr="00A45E22">
        <w:tab/>
        <w:t>T</w:t>
      </w:r>
      <w:r w:rsidR="002F1535" w:rsidRPr="00A45E22">
        <w:t>he efficiency of each system depends on the flow rate of the animal effluent, its solids concentration, the shape and size distribution of the particles, and their chemical nature.</w:t>
      </w:r>
    </w:p>
    <w:p w14:paraId="400F7FE1" w14:textId="77777777" w:rsidR="007A75FC" w:rsidRPr="00A45E22" w:rsidRDefault="009F6A8E" w:rsidP="00B77CE9">
      <w:pPr>
        <w:spacing w:before="180" w:line="240" w:lineRule="auto"/>
        <w:rPr>
          <w:sz w:val="24"/>
          <w:szCs w:val="24"/>
        </w:rPr>
      </w:pPr>
      <w:r w:rsidRPr="00A45E22">
        <w:rPr>
          <w:sz w:val="24"/>
          <w:szCs w:val="24"/>
        </w:rPr>
        <w:t xml:space="preserve">Project proponents must use the solids separation devices in a manner consistent with the manufacturer’s requirements and any other regulations. </w:t>
      </w:r>
    </w:p>
    <w:p w14:paraId="400F7FE2" w14:textId="77777777" w:rsidR="007A75FC" w:rsidRPr="00A45E22" w:rsidRDefault="00C637C9" w:rsidP="001139D0">
      <w:pPr>
        <w:pStyle w:val="nMain"/>
        <w:spacing w:line="276" w:lineRule="auto"/>
      </w:pPr>
      <w:r w:rsidRPr="00A45E22">
        <w:t xml:space="preserve">Note: </w:t>
      </w:r>
      <w:r w:rsidRPr="00A45E22">
        <w:tab/>
      </w:r>
      <w:r w:rsidR="007A75FC" w:rsidRPr="00A45E22">
        <w:t>The type of solids removal device and the manufacturer</w:t>
      </w:r>
      <w:r w:rsidR="00BC208E" w:rsidRPr="00A45E22">
        <w:t>’</w:t>
      </w:r>
      <w:r w:rsidR="007A75FC" w:rsidRPr="00A45E22">
        <w:t xml:space="preserve">s specifications </w:t>
      </w:r>
      <w:r w:rsidR="00BC208E" w:rsidRPr="00A45E22">
        <w:t>must be reported</w:t>
      </w:r>
      <w:r w:rsidR="00C907C2" w:rsidRPr="00A45E22">
        <w:t xml:space="preserve"> on in accordance with </w:t>
      </w:r>
      <w:r w:rsidR="004F1D57" w:rsidRPr="00A45E22">
        <w:t xml:space="preserve">paragraph </w:t>
      </w:r>
      <w:r w:rsidR="00C907C2" w:rsidRPr="00A45E22">
        <w:t>3</w:t>
      </w:r>
      <w:r w:rsidR="002E7677" w:rsidRPr="00A45E22">
        <w:t>4</w:t>
      </w:r>
      <w:r w:rsidR="00C907C2" w:rsidRPr="00A45E22">
        <w:t>(3)(b) of the Determination.</w:t>
      </w:r>
      <w:r w:rsidR="00B404D8" w:rsidRPr="00A45E22">
        <w:t xml:space="preserve"> </w:t>
      </w:r>
      <w:r w:rsidR="00BC208E" w:rsidRPr="00A45E22">
        <w:t xml:space="preserve">The determination requires that records be kept that demonstrate the device is maintained and operated in accordance with the manufacturer’s </w:t>
      </w:r>
      <w:r w:rsidR="008405FF" w:rsidRPr="00A45E22">
        <w:t>requirements</w:t>
      </w:r>
      <w:r w:rsidR="00BC208E" w:rsidRPr="00A45E22">
        <w:t xml:space="preserve"> throughout the duration of the project</w:t>
      </w:r>
      <w:r w:rsidR="00B404D8" w:rsidRPr="00A45E22">
        <w:t xml:space="preserve"> (section 3</w:t>
      </w:r>
      <w:r w:rsidR="002E7677" w:rsidRPr="00A45E22">
        <w:t>9</w:t>
      </w:r>
      <w:r w:rsidR="00B404D8" w:rsidRPr="00A45E22">
        <w:t xml:space="preserve"> of the Determination)</w:t>
      </w:r>
      <w:r w:rsidR="00BC208E" w:rsidRPr="00A45E22">
        <w:t xml:space="preserve">.  </w:t>
      </w:r>
    </w:p>
    <w:p w14:paraId="400F7FE3" w14:textId="77777777" w:rsidR="00E52C94" w:rsidRPr="00A45E22" w:rsidRDefault="00E52C94" w:rsidP="00E52C94">
      <w:pPr>
        <w:pStyle w:val="h1Chap"/>
      </w:pPr>
      <w:bookmarkStart w:id="75" w:name="_Toc17792727"/>
      <w:r w:rsidRPr="00A45E22">
        <w:lastRenderedPageBreak/>
        <w:t>Schedule 3—</w:t>
      </w:r>
      <w:r w:rsidRPr="00A45E22">
        <w:rPr>
          <w:rStyle w:val="CharChapText"/>
        </w:rPr>
        <w:t>Process for updating the Supplement</w:t>
      </w:r>
      <w:bookmarkEnd w:id="75"/>
    </w:p>
    <w:p w14:paraId="400F7FE4" w14:textId="77777777" w:rsidR="00E52C94" w:rsidRPr="00A45E22" w:rsidRDefault="00E52C94" w:rsidP="00E52C94">
      <w:pPr>
        <w:pStyle w:val="ntoHeading"/>
        <w:spacing w:line="276" w:lineRule="auto"/>
      </w:pPr>
      <w:r w:rsidRPr="00A45E22">
        <w:t>Note:</w:t>
      </w:r>
      <w:r w:rsidRPr="00A45E22">
        <w:tab/>
        <w:t>See section 2 of this Supplement.</w:t>
      </w:r>
    </w:p>
    <w:p w14:paraId="400F7FE5" w14:textId="77777777" w:rsidR="00E52C94" w:rsidRPr="00A45E22" w:rsidRDefault="00E52C94" w:rsidP="00E52C94">
      <w:pPr>
        <w:spacing w:before="180" w:line="240" w:lineRule="auto"/>
        <w:rPr>
          <w:sz w:val="24"/>
          <w:szCs w:val="24"/>
        </w:rPr>
      </w:pPr>
      <w:r w:rsidRPr="00A45E22">
        <w:rPr>
          <w:sz w:val="24"/>
          <w:szCs w:val="24"/>
        </w:rPr>
        <w:t xml:space="preserve">Subsection 106(8) of the </w:t>
      </w:r>
      <w:r w:rsidRPr="00A45E22">
        <w:rPr>
          <w:i/>
          <w:sz w:val="24"/>
          <w:szCs w:val="24"/>
        </w:rPr>
        <w:t>Carbon Credits (Carbon Farming Initiative) Act 2011</w:t>
      </w:r>
      <w:r w:rsidRPr="00A45E22">
        <w:rPr>
          <w:sz w:val="24"/>
          <w:szCs w:val="24"/>
        </w:rPr>
        <w:t xml:space="preserve"> (the Act) allows for Emissions Reduction Fund methods to reference factors or parameters that are contained in subsidiary material that is external to the methodology determination. </w:t>
      </w:r>
    </w:p>
    <w:p w14:paraId="400F7FE6" w14:textId="77777777" w:rsidR="00E52C94" w:rsidRPr="00A45E22" w:rsidRDefault="00E52C94" w:rsidP="00E52C94">
      <w:pPr>
        <w:spacing w:before="180" w:line="240" w:lineRule="auto"/>
        <w:rPr>
          <w:sz w:val="24"/>
          <w:szCs w:val="24"/>
        </w:rPr>
      </w:pPr>
      <w:r w:rsidRPr="00A45E22">
        <w:rPr>
          <w:sz w:val="24"/>
          <w:szCs w:val="24"/>
        </w:rPr>
        <w:t>Factors in subsidiary material can be updated to ensure that methods continue to operate and calculate abatement as intended and continue to meet the offsets integrity standards in the Act. This method provision ensures that abatement estimates remain aligned into the future with Australia’s international greenhouse gas reporting.</w:t>
      </w:r>
    </w:p>
    <w:p w14:paraId="400F7FE7" w14:textId="77777777" w:rsidR="00E52C94" w:rsidRPr="00A45E22" w:rsidRDefault="00E52C94" w:rsidP="00E52C94">
      <w:pPr>
        <w:spacing w:before="180" w:line="240" w:lineRule="auto"/>
        <w:rPr>
          <w:sz w:val="24"/>
          <w:szCs w:val="24"/>
        </w:rPr>
      </w:pPr>
      <w:r w:rsidRPr="00A45E22">
        <w:rPr>
          <w:sz w:val="24"/>
          <w:szCs w:val="24"/>
        </w:rPr>
        <w:t>Section 6 of the Determination requires that the version of the Supplement that is in force at the end of the reporting period must be used for all calculations for the whole reporting period.</w:t>
      </w:r>
    </w:p>
    <w:p w14:paraId="400F7FE8" w14:textId="77777777" w:rsidR="00E52C94" w:rsidRPr="00A45E22" w:rsidRDefault="00E52C94" w:rsidP="00E52C94">
      <w:pPr>
        <w:spacing w:before="180" w:line="240" w:lineRule="auto"/>
        <w:rPr>
          <w:sz w:val="24"/>
          <w:szCs w:val="24"/>
        </w:rPr>
      </w:pPr>
      <w:r w:rsidRPr="00A45E22">
        <w:rPr>
          <w:sz w:val="24"/>
          <w:szCs w:val="24"/>
        </w:rPr>
        <w:t xml:space="preserve">Prior to a decision to make any updates to </w:t>
      </w:r>
      <w:r w:rsidRPr="00A45E22" w:rsidDel="002236B0">
        <w:rPr>
          <w:sz w:val="24"/>
          <w:szCs w:val="24"/>
        </w:rPr>
        <w:t xml:space="preserve">the </w:t>
      </w:r>
      <w:r w:rsidRPr="00A45E22">
        <w:rPr>
          <w:sz w:val="24"/>
          <w:szCs w:val="24"/>
        </w:rPr>
        <w:t>Supplement to the Determination, the Department will consider all of the following:</w:t>
      </w:r>
    </w:p>
    <w:p w14:paraId="400F7FE9" w14:textId="77777777" w:rsidR="00E52C94" w:rsidRPr="00A45E22" w:rsidRDefault="00E52C94" w:rsidP="00E52C94">
      <w:pPr>
        <w:pStyle w:val="ListNumber2"/>
        <w:numPr>
          <w:ilvl w:val="1"/>
          <w:numId w:val="26"/>
        </w:numPr>
        <w:spacing w:after="120" w:line="240" w:lineRule="auto"/>
        <w:contextualSpacing w:val="0"/>
        <w:rPr>
          <w:rFonts w:eastAsia="Cambria"/>
          <w:sz w:val="24"/>
          <w:szCs w:val="24"/>
        </w:rPr>
      </w:pPr>
      <w:r w:rsidRPr="00A45E22">
        <w:rPr>
          <w:rFonts w:eastAsia="Cambria"/>
          <w:sz w:val="24"/>
          <w:szCs w:val="24"/>
        </w:rPr>
        <w:t>The robustness of the science and weight of supporting evidence for the change;</w:t>
      </w:r>
    </w:p>
    <w:p w14:paraId="400F7FEA" w14:textId="77777777" w:rsidR="00E52C94" w:rsidRPr="00A45E22" w:rsidRDefault="00E52C94" w:rsidP="00E52C94">
      <w:pPr>
        <w:pStyle w:val="ListNumber2"/>
        <w:numPr>
          <w:ilvl w:val="1"/>
          <w:numId w:val="26"/>
        </w:numPr>
        <w:spacing w:after="120" w:line="240" w:lineRule="auto"/>
        <w:contextualSpacing w:val="0"/>
        <w:rPr>
          <w:rFonts w:eastAsia="Cambria"/>
          <w:sz w:val="24"/>
          <w:szCs w:val="24"/>
        </w:rPr>
      </w:pPr>
      <w:r w:rsidRPr="00A45E22">
        <w:rPr>
          <w:rFonts w:eastAsia="Cambria"/>
          <w:sz w:val="24"/>
          <w:szCs w:val="24"/>
        </w:rPr>
        <w:t xml:space="preserve">The impact (if any) of changing or not changing the material on the compliance of the method with the offsets integrity standards; </w:t>
      </w:r>
    </w:p>
    <w:p w14:paraId="400F7FEB" w14:textId="77777777" w:rsidR="00E52C94" w:rsidRPr="00A45E22" w:rsidRDefault="00E52C94" w:rsidP="00E52C94">
      <w:pPr>
        <w:pStyle w:val="ListNumber2"/>
        <w:numPr>
          <w:ilvl w:val="1"/>
          <w:numId w:val="26"/>
        </w:numPr>
        <w:spacing w:after="120" w:line="240" w:lineRule="auto"/>
        <w:contextualSpacing w:val="0"/>
        <w:rPr>
          <w:rFonts w:eastAsia="Cambria"/>
          <w:sz w:val="24"/>
          <w:szCs w:val="24"/>
        </w:rPr>
      </w:pPr>
      <w:r w:rsidRPr="00A45E22">
        <w:rPr>
          <w:rFonts w:eastAsia="Cambria"/>
          <w:sz w:val="24"/>
          <w:szCs w:val="24"/>
        </w:rPr>
        <w:t>Responses from consult</w:t>
      </w:r>
      <w:r w:rsidR="00CA1C6E" w:rsidRPr="00A45E22">
        <w:rPr>
          <w:rFonts w:eastAsia="Cambria"/>
          <w:sz w:val="24"/>
          <w:szCs w:val="24"/>
        </w:rPr>
        <w:t>ation following a review period</w:t>
      </w:r>
      <w:r w:rsidRPr="00A45E22">
        <w:rPr>
          <w:rFonts w:eastAsia="Cambria"/>
          <w:sz w:val="24"/>
          <w:szCs w:val="24"/>
        </w:rPr>
        <w:t xml:space="preserve"> for the proposed change;</w:t>
      </w:r>
    </w:p>
    <w:p w14:paraId="400F7FEC" w14:textId="77777777" w:rsidR="00E52C94" w:rsidRPr="00A45E22" w:rsidRDefault="00E52C94" w:rsidP="00E52C94">
      <w:pPr>
        <w:pStyle w:val="ListNumber2"/>
        <w:numPr>
          <w:ilvl w:val="1"/>
          <w:numId w:val="26"/>
        </w:numPr>
        <w:spacing w:after="120" w:line="240" w:lineRule="auto"/>
        <w:contextualSpacing w:val="0"/>
        <w:rPr>
          <w:rFonts w:eastAsia="Cambria"/>
          <w:sz w:val="24"/>
          <w:szCs w:val="24"/>
        </w:rPr>
      </w:pPr>
      <w:r w:rsidRPr="00A45E22">
        <w:rPr>
          <w:rFonts w:eastAsia="Cambria"/>
          <w:sz w:val="24"/>
          <w:szCs w:val="24"/>
        </w:rPr>
        <w:t>The potential impact on abatement estimates and regulatory burden for projects and overall scheme integrity should the update be made;</w:t>
      </w:r>
    </w:p>
    <w:p w14:paraId="400F7FED" w14:textId="77777777" w:rsidR="00E52C94" w:rsidRPr="00A45E22" w:rsidRDefault="00E52C94" w:rsidP="00E52C94">
      <w:pPr>
        <w:pStyle w:val="CERbullets"/>
        <w:numPr>
          <w:ilvl w:val="1"/>
          <w:numId w:val="26"/>
        </w:numPr>
        <w:spacing w:before="0"/>
        <w:rPr>
          <w:rFonts w:ascii="Times New Roman" w:hAnsi="Times New Roman" w:cs="Times New Roman"/>
          <w:sz w:val="24"/>
        </w:rPr>
      </w:pPr>
      <w:r w:rsidRPr="00A45E22">
        <w:rPr>
          <w:rFonts w:ascii="Times New Roman" w:hAnsi="Times New Roman" w:cs="Times New Roman"/>
          <w:sz w:val="24"/>
        </w:rPr>
        <w:t>An independent technical review of the proposed update, if appropriate;</w:t>
      </w:r>
    </w:p>
    <w:p w14:paraId="400F7FEE" w14:textId="77777777" w:rsidR="00E52C94" w:rsidRPr="00A45E22" w:rsidRDefault="00E52C94" w:rsidP="00E52C94">
      <w:pPr>
        <w:pStyle w:val="CERbullets"/>
        <w:numPr>
          <w:ilvl w:val="1"/>
          <w:numId w:val="26"/>
        </w:numPr>
        <w:spacing w:before="0"/>
        <w:rPr>
          <w:rFonts w:ascii="Times New Roman" w:hAnsi="Times New Roman" w:cs="Times New Roman"/>
          <w:sz w:val="24"/>
        </w:rPr>
      </w:pPr>
      <w:r w:rsidRPr="00A45E22">
        <w:rPr>
          <w:rFonts w:ascii="Times New Roman" w:hAnsi="Times New Roman" w:cs="Times New Roman"/>
          <w:sz w:val="24"/>
        </w:rPr>
        <w:t>Any views on the update expressed by the Clean Energy Regulator;</w:t>
      </w:r>
    </w:p>
    <w:p w14:paraId="400F7FEF" w14:textId="77777777" w:rsidR="00E52C94" w:rsidRPr="00A45E22" w:rsidRDefault="00E52C94" w:rsidP="00E52C94">
      <w:pPr>
        <w:pStyle w:val="CERbullets"/>
        <w:numPr>
          <w:ilvl w:val="1"/>
          <w:numId w:val="26"/>
        </w:numPr>
        <w:spacing w:before="0"/>
        <w:rPr>
          <w:rFonts w:ascii="Times New Roman" w:hAnsi="Times New Roman" w:cs="Times New Roman"/>
          <w:sz w:val="24"/>
        </w:rPr>
      </w:pPr>
      <w:r w:rsidRPr="00A45E22">
        <w:rPr>
          <w:rFonts w:ascii="Times New Roman" w:hAnsi="Times New Roman" w:cs="Times New Roman"/>
          <w:sz w:val="24"/>
        </w:rPr>
        <w:t>The ability of the National Inventory to accommodate the proposed change.</w:t>
      </w:r>
    </w:p>
    <w:p w14:paraId="400F7FF0" w14:textId="77777777" w:rsidR="00E52C94" w:rsidRPr="00A45E22" w:rsidRDefault="00E52C94" w:rsidP="00E52C94">
      <w:pPr>
        <w:spacing w:before="180" w:line="240" w:lineRule="auto"/>
        <w:rPr>
          <w:sz w:val="24"/>
          <w:szCs w:val="24"/>
        </w:rPr>
      </w:pPr>
      <w:r w:rsidRPr="00A45E22">
        <w:rPr>
          <w:sz w:val="24"/>
          <w:szCs w:val="24"/>
        </w:rPr>
        <w:t xml:space="preserve">As part of the Emissions Reduction Assurance Committee’s regular method reviews, consideration will be given to any proposed updates to the Supplement assessed by the Department as appropriate and provided to the Committee for advice. Any advice from the Emissions Reduction Assurance Committee will be published on the Department’s website. </w:t>
      </w:r>
      <w:r w:rsidR="00CA1C6E" w:rsidRPr="00A45E22">
        <w:rPr>
          <w:sz w:val="24"/>
          <w:szCs w:val="24"/>
        </w:rPr>
        <w:t>These r</w:t>
      </w:r>
      <w:r w:rsidRPr="00A45E22">
        <w:rPr>
          <w:sz w:val="24"/>
          <w:szCs w:val="24"/>
        </w:rPr>
        <w:t>eviews are generally conducted every 4 years.</w:t>
      </w:r>
    </w:p>
    <w:p w14:paraId="400F7FF1" w14:textId="77777777" w:rsidR="00E52C94" w:rsidRPr="00A45E22" w:rsidRDefault="00E52C94" w:rsidP="00E52C94">
      <w:pPr>
        <w:spacing w:before="180" w:line="240" w:lineRule="auto"/>
        <w:rPr>
          <w:sz w:val="24"/>
          <w:szCs w:val="24"/>
        </w:rPr>
      </w:pPr>
      <w:r w:rsidRPr="00A45E22">
        <w:rPr>
          <w:sz w:val="24"/>
          <w:szCs w:val="24"/>
        </w:rPr>
        <w:t>Updates would only be progressed outside of the review process if:</w:t>
      </w:r>
    </w:p>
    <w:p w14:paraId="400F7FF2" w14:textId="77777777" w:rsidR="00E52C94" w:rsidRPr="00A45E22" w:rsidRDefault="00E52C94" w:rsidP="00E52C94">
      <w:pPr>
        <w:pStyle w:val="CERbullets"/>
        <w:numPr>
          <w:ilvl w:val="1"/>
          <w:numId w:val="26"/>
        </w:numPr>
        <w:spacing w:before="0"/>
        <w:rPr>
          <w:rFonts w:ascii="Times New Roman" w:hAnsi="Times New Roman" w:cs="Times New Roman"/>
          <w:sz w:val="24"/>
        </w:rPr>
      </w:pPr>
      <w:r w:rsidRPr="00A45E22">
        <w:rPr>
          <w:rFonts w:ascii="Times New Roman" w:hAnsi="Times New Roman" w:cs="Times New Roman"/>
          <w:sz w:val="24"/>
        </w:rPr>
        <w:t>they are of a minor nature (such as corrections to errors without significant regulatory impact); or</w:t>
      </w:r>
    </w:p>
    <w:p w14:paraId="400F7FF3" w14:textId="77777777" w:rsidR="00E52C94" w:rsidRPr="00A45E22" w:rsidRDefault="00E52C94" w:rsidP="00E52C94">
      <w:pPr>
        <w:pStyle w:val="CERbullets"/>
        <w:numPr>
          <w:ilvl w:val="1"/>
          <w:numId w:val="26"/>
        </w:numPr>
        <w:spacing w:before="0"/>
        <w:rPr>
          <w:rFonts w:ascii="Times New Roman" w:hAnsi="Times New Roman" w:cs="Times New Roman"/>
          <w:sz w:val="24"/>
        </w:rPr>
      </w:pPr>
      <w:r w:rsidRPr="00A45E22">
        <w:rPr>
          <w:rFonts w:ascii="Times New Roman" w:hAnsi="Times New Roman" w:cs="Times New Roman"/>
          <w:sz w:val="24"/>
        </w:rPr>
        <w:t>they are needed to address material issues for the integrity of the method such that it would be inappropriate to wait until the next review.</w:t>
      </w:r>
    </w:p>
    <w:p w14:paraId="400F7FF4" w14:textId="77777777" w:rsidR="00FE061D" w:rsidRPr="00A45E22" w:rsidRDefault="00FE061D" w:rsidP="00552351">
      <w:pPr>
        <w:spacing w:before="180" w:line="240" w:lineRule="auto"/>
        <w:rPr>
          <w:sz w:val="24"/>
        </w:rPr>
      </w:pPr>
      <w:r w:rsidRPr="00A45E22">
        <w:rPr>
          <w:sz w:val="24"/>
        </w:rPr>
        <w:t>Separate advice from the Emissions Reduction Assurance Committee would be sought on any material updates progressed outside of the review process.</w:t>
      </w:r>
    </w:p>
    <w:p w14:paraId="400F7FF5" w14:textId="77777777" w:rsidR="00E52C94" w:rsidRPr="00A45E22" w:rsidRDefault="00E52C94" w:rsidP="00E52C94">
      <w:pPr>
        <w:pStyle w:val="tMain"/>
      </w:pPr>
    </w:p>
    <w:p w14:paraId="400F7FF6" w14:textId="77777777" w:rsidR="007A75FC" w:rsidRPr="00A45E22" w:rsidRDefault="007A75FC" w:rsidP="007A75FC">
      <w:pPr>
        <w:pStyle w:val="tSubpara"/>
      </w:pPr>
    </w:p>
    <w:sectPr w:rsidR="007A75FC" w:rsidRPr="00A45E22" w:rsidSect="00B1356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0F7FFD" w14:textId="77777777" w:rsidR="00A97CA4" w:rsidRDefault="00A97CA4">
      <w:r>
        <w:separator/>
      </w:r>
    </w:p>
  </w:endnote>
  <w:endnote w:type="continuationSeparator" w:id="0">
    <w:p w14:paraId="400F7FFE" w14:textId="77777777" w:rsidR="00A97CA4" w:rsidRDefault="00A97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panose1 w:val="00000000000000000000"/>
    <w:charset w:val="00"/>
    <w:family w:val="roman"/>
    <w:notTrueType/>
    <w:pitch w:val="default"/>
  </w:font>
  <w:font w:name="Segoe UI Web (West European)">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F8001" w14:textId="77777777" w:rsidR="00A97CA4" w:rsidRDefault="00A97CA4">
    <w:pPr>
      <w:pStyle w:val="Footer"/>
    </w:pPr>
  </w:p>
  <w:p w14:paraId="400F8002" w14:textId="77777777" w:rsidR="00A97CA4" w:rsidRDefault="00A97CA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57939"/>
      <w:docPartObj>
        <w:docPartGallery w:val="Page Numbers (Bottom of Page)"/>
        <w:docPartUnique/>
      </w:docPartObj>
    </w:sdtPr>
    <w:sdtEndPr/>
    <w:sdtContent>
      <w:p w14:paraId="400F8003" w14:textId="77777777" w:rsidR="00A97CA4" w:rsidRDefault="00A97CA4" w:rsidP="009818F6">
        <w:pPr>
          <w:pStyle w:val="Footer"/>
          <w:pBdr>
            <w:top w:val="single" w:sz="4" w:space="1" w:color="auto"/>
          </w:pBdr>
          <w:jc w:val="right"/>
        </w:pPr>
        <w:r>
          <w:fldChar w:fldCharType="begin"/>
        </w:r>
        <w:r>
          <w:instrText xml:space="preserve"> PAGE   \* MERGEFORMAT </w:instrText>
        </w:r>
        <w:r>
          <w:fldChar w:fldCharType="separate"/>
        </w:r>
        <w:r w:rsidR="005F530C">
          <w:rPr>
            <w:noProof/>
          </w:rPr>
          <w:t>2</w:t>
        </w:r>
        <w:r>
          <w:rPr>
            <w:noProof/>
          </w:rPr>
          <w:fldChar w:fldCharType="end"/>
        </w:r>
      </w:p>
    </w:sdtContent>
  </w:sdt>
  <w:p w14:paraId="400F8004" w14:textId="77777777" w:rsidR="00A97CA4" w:rsidRDefault="00A97CA4" w:rsidP="009818F6">
    <w:pPr>
      <w:pStyle w:val="Header"/>
    </w:pPr>
  </w:p>
  <w:p w14:paraId="400F8005" w14:textId="77777777" w:rsidR="00A97CA4" w:rsidRDefault="00A97CA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4E703" w14:textId="77777777" w:rsidR="005F530C" w:rsidRDefault="005F53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0F7FFB" w14:textId="77777777" w:rsidR="00A97CA4" w:rsidRDefault="00A97CA4">
      <w:r>
        <w:separator/>
      </w:r>
    </w:p>
  </w:footnote>
  <w:footnote w:type="continuationSeparator" w:id="0">
    <w:p w14:paraId="400F7FFC" w14:textId="77777777" w:rsidR="00A97CA4" w:rsidRDefault="00A97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F7FFF" w14:textId="77777777" w:rsidR="00A97CA4" w:rsidRDefault="00A97CA4">
    <w:pPr>
      <w:pStyle w:val="Header"/>
    </w:pPr>
  </w:p>
  <w:p w14:paraId="400F8000" w14:textId="77777777" w:rsidR="00A97CA4" w:rsidRDefault="00A97CA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E54F9" w14:textId="77777777" w:rsidR="005F530C" w:rsidRDefault="005F53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FF43E" w14:textId="77777777" w:rsidR="005F530C" w:rsidRDefault="005F53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multilevel"/>
    <w:tmpl w:val="D54070FE"/>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3"/>
      <w:lvlJc w:val="left"/>
      <w:pPr>
        <w:ind w:left="0" w:firstLine="0"/>
      </w:pPr>
    </w:lvl>
    <w:lvl w:ilvl="3">
      <w:start w:val="1"/>
      <w:numFmt w:val="decimal"/>
      <w:lvlText w:val="Subdivision %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15:restartNumberingAfterBreak="0">
    <w:nsid w:val="FFFFFF7E"/>
    <w:multiLevelType w:val="multilevel"/>
    <w:tmpl w:val="09B4AFE6"/>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06A818BB"/>
    <w:multiLevelType w:val="hybridMultilevel"/>
    <w:tmpl w:val="6CF453CE"/>
    <w:lvl w:ilvl="0" w:tplc="427869E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C8C038C"/>
    <w:multiLevelType w:val="hybridMultilevel"/>
    <w:tmpl w:val="823CD44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790CF3"/>
    <w:multiLevelType w:val="hybridMultilevel"/>
    <w:tmpl w:val="E53E15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1B17281"/>
    <w:multiLevelType w:val="multilevel"/>
    <w:tmpl w:val="3796E964"/>
    <w:lvl w:ilvl="0">
      <w:start w:val="1"/>
      <w:numFmt w:val="bullet"/>
      <w:pStyle w:val="Bullet"/>
      <w:lvlText w:val="•"/>
      <w:lvlJc w:val="left"/>
      <w:pPr>
        <w:tabs>
          <w:tab w:val="num" w:pos="520"/>
        </w:tabs>
        <w:ind w:left="520" w:hanging="520"/>
      </w:pPr>
      <w:rPr>
        <w:rFonts w:ascii="Times New Roman" w:hAnsi="Times New Roman"/>
      </w:rPr>
    </w:lvl>
    <w:lvl w:ilvl="1">
      <w:start w:val="1"/>
      <w:numFmt w:val="bullet"/>
      <w:pStyle w:val="Dash"/>
      <w:lvlText w:val="–"/>
      <w:lvlJc w:val="left"/>
      <w:pPr>
        <w:tabs>
          <w:tab w:val="num" w:pos="1040"/>
        </w:tabs>
        <w:ind w:left="1040" w:hanging="520"/>
      </w:pPr>
      <w:rPr>
        <w:rFonts w:ascii="Times New Roman" w:hAnsi="Times New Roman"/>
      </w:rPr>
    </w:lvl>
    <w:lvl w:ilvl="2">
      <w:start w:val="1"/>
      <w:numFmt w:val="bullet"/>
      <w:pStyle w:val="DoubleDot"/>
      <w:lvlText w:val=":"/>
      <w:lvlJc w:val="left"/>
      <w:pPr>
        <w:tabs>
          <w:tab w:val="num" w:pos="1560"/>
        </w:tabs>
        <w:ind w:left="1560" w:hanging="520"/>
      </w:pPr>
      <w:rPr>
        <w:rFonts w:ascii="Times New Roman" w:hAnsi="Times New Roman"/>
      </w:rPr>
    </w:lvl>
    <w:lvl w:ilvl="3">
      <w:start w:val="1"/>
      <w:numFmt w:val="decimal"/>
      <w:lvlText w:val="(%4)"/>
      <w:lvlJc w:val="left"/>
      <w:pPr>
        <w:ind w:left="2160" w:hanging="360"/>
      </w:pPr>
      <w:rPr>
        <w:rFonts w:cs="Times New Roman"/>
      </w:rPr>
    </w:lvl>
    <w:lvl w:ilvl="4">
      <w:start w:val="1"/>
      <w:numFmt w:val="lowerLetter"/>
      <w:lvlText w:val="(%5)"/>
      <w:lvlJc w:val="left"/>
      <w:pPr>
        <w:ind w:left="2520" w:hanging="360"/>
      </w:pPr>
      <w:rPr>
        <w:rFonts w:cs="Times New Roman"/>
      </w:rPr>
    </w:lvl>
    <w:lvl w:ilvl="5">
      <w:start w:val="1"/>
      <w:numFmt w:val="lowerRoman"/>
      <w:lvlText w:val="(%6)"/>
      <w:lvlJc w:val="left"/>
      <w:pPr>
        <w:ind w:left="2880" w:hanging="360"/>
      </w:pPr>
      <w:rPr>
        <w:rFonts w:cs="Times New Roman"/>
      </w:rPr>
    </w:lvl>
    <w:lvl w:ilvl="6">
      <w:start w:val="1"/>
      <w:numFmt w:val="decimal"/>
      <w:lvlText w:val="%7."/>
      <w:lvlJc w:val="left"/>
      <w:pPr>
        <w:ind w:left="3240" w:hanging="360"/>
      </w:pPr>
      <w:rPr>
        <w:rFonts w:cs="Times New Roman"/>
      </w:rPr>
    </w:lvl>
    <w:lvl w:ilvl="7">
      <w:start w:val="1"/>
      <w:numFmt w:val="lowerLetter"/>
      <w:lvlText w:val="%8."/>
      <w:lvlJc w:val="left"/>
      <w:pPr>
        <w:ind w:left="3600" w:hanging="360"/>
      </w:pPr>
      <w:rPr>
        <w:rFonts w:cs="Times New Roman"/>
      </w:rPr>
    </w:lvl>
    <w:lvl w:ilvl="8">
      <w:start w:val="1"/>
      <w:numFmt w:val="lowerRoman"/>
      <w:lvlText w:val="%9."/>
      <w:lvlJc w:val="left"/>
      <w:pPr>
        <w:ind w:left="3960" w:hanging="360"/>
      </w:pPr>
      <w:rPr>
        <w:rFonts w:cs="Times New Roman"/>
      </w:rPr>
    </w:lvl>
  </w:abstractNum>
  <w:abstractNum w:abstractNumId="6" w15:restartNumberingAfterBreak="0">
    <w:nsid w:val="13125BD1"/>
    <w:multiLevelType w:val="multilevel"/>
    <w:tmpl w:val="384E8C9C"/>
    <w:styleLink w:val="CABNETList"/>
    <w:lvl w:ilvl="0">
      <w:start w:val="1"/>
      <w:numFmt w:val="decimal"/>
      <w:lvlText w:val="%1."/>
      <w:lvlJc w:val="left"/>
      <w:pPr>
        <w:tabs>
          <w:tab w:val="num" w:pos="567"/>
        </w:tabs>
      </w:pPr>
      <w:rPr>
        <w:rFonts w:ascii="Verdana" w:hAnsi="Verdana" w:cs="Times New Roman"/>
        <w:sz w:val="24"/>
        <w:szCs w:val="24"/>
      </w:rPr>
    </w:lvl>
    <w:lvl w:ilvl="1">
      <w:start w:val="1"/>
      <w:numFmt w:val="lowerLetter"/>
      <w:lvlText w:val="(%2)"/>
      <w:lvlJc w:val="left"/>
      <w:pPr>
        <w:tabs>
          <w:tab w:val="num" w:pos="567"/>
        </w:tabs>
        <w:ind w:left="1134" w:hanging="567"/>
      </w:pPr>
      <w:rPr>
        <w:rFonts w:ascii="Verdana" w:hAnsi="Verdana" w:cs="Times New Roman" w:hint="default"/>
        <w:b w:val="0"/>
        <w:i w:val="0"/>
        <w:color w:val="auto"/>
        <w:sz w:val="24"/>
        <w:szCs w:val="24"/>
      </w:rPr>
    </w:lvl>
    <w:lvl w:ilvl="2">
      <w:start w:val="1"/>
      <w:numFmt w:val="lowerRoman"/>
      <w:lvlText w:val="(%3)"/>
      <w:lvlJc w:val="left"/>
      <w:pPr>
        <w:tabs>
          <w:tab w:val="num" w:pos="567"/>
        </w:tabs>
        <w:ind w:left="1701" w:hanging="567"/>
      </w:pPr>
      <w:rPr>
        <w:rFonts w:ascii="Verdana" w:hAnsi="Verdana" w:cs="Times New Roman" w:hint="default"/>
        <w:b w:val="0"/>
        <w:i w:val="0"/>
        <w:color w:val="auto"/>
        <w:sz w:val="24"/>
        <w:szCs w:val="24"/>
      </w:rPr>
    </w:lvl>
    <w:lvl w:ilvl="3">
      <w:start w:val="1"/>
      <w:numFmt w:val="upperLetter"/>
      <w:lvlText w:val="(%4)"/>
      <w:lvlJc w:val="left"/>
      <w:pPr>
        <w:tabs>
          <w:tab w:val="num" w:pos="567"/>
        </w:tabs>
        <w:ind w:left="2268" w:hanging="567"/>
      </w:pPr>
      <w:rPr>
        <w:rFonts w:ascii="Verdana" w:hAnsi="Verdana" w:cs="Times New Roman" w:hint="default"/>
        <w:b w:val="0"/>
        <w:i w:val="0"/>
        <w:color w:val="auto"/>
        <w:sz w:val="24"/>
        <w:szCs w:val="24"/>
      </w:rPr>
    </w:lvl>
    <w:lvl w:ilvl="4">
      <w:start w:val="1"/>
      <w:numFmt w:val="decimal"/>
      <w:lvlText w:val="(%5)"/>
      <w:lvlJc w:val="left"/>
      <w:pPr>
        <w:tabs>
          <w:tab w:val="num" w:pos="567"/>
        </w:tabs>
        <w:ind w:left="2835" w:hanging="567"/>
      </w:pPr>
      <w:rPr>
        <w:rFonts w:ascii="Verdana" w:hAnsi="Verdana" w:cs="Times New Roman" w:hint="default"/>
        <w:b w:val="0"/>
        <w:i w:val="0"/>
        <w:color w:val="auto"/>
        <w:sz w:val="24"/>
        <w:szCs w:val="24"/>
      </w:rPr>
    </w:lvl>
    <w:lvl w:ilvl="5">
      <w:start w:val="1"/>
      <w:numFmt w:val="none"/>
      <w:lvlText w:val="."/>
      <w:lvlJc w:val="left"/>
      <w:pPr>
        <w:tabs>
          <w:tab w:val="num" w:pos="567"/>
        </w:tabs>
        <w:ind w:left="3402" w:hanging="567"/>
      </w:pPr>
      <w:rPr>
        <w:rFonts w:ascii="Verdana" w:hAnsi="Verdana" w:cs="Times New Roman" w:hint="default"/>
        <w:b w:val="0"/>
        <w:i w:val="0"/>
        <w:color w:val="auto"/>
        <w:sz w:val="24"/>
        <w:szCs w:val="24"/>
      </w:rPr>
    </w:lvl>
    <w:lvl w:ilvl="6">
      <w:start w:val="1"/>
      <w:numFmt w:val="none"/>
      <w:lvlText w:val="%7."/>
      <w:lvlJc w:val="left"/>
      <w:pPr>
        <w:tabs>
          <w:tab w:val="num" w:pos="567"/>
        </w:tabs>
        <w:ind w:left="3969" w:hanging="567"/>
      </w:pPr>
      <w:rPr>
        <w:rFonts w:ascii="Verdana" w:hAnsi="Verdana" w:cs="Times New Roman" w:hint="default"/>
        <w:b w:val="0"/>
        <w:i w:val="0"/>
        <w:color w:val="auto"/>
        <w:sz w:val="24"/>
        <w:szCs w:val="24"/>
      </w:rPr>
    </w:lvl>
    <w:lvl w:ilvl="7">
      <w:start w:val="1"/>
      <w:numFmt w:val="none"/>
      <w:lvlText w:val="%8."/>
      <w:lvlJc w:val="left"/>
      <w:pPr>
        <w:tabs>
          <w:tab w:val="num" w:pos="567"/>
        </w:tabs>
        <w:ind w:left="4536" w:hanging="567"/>
      </w:pPr>
      <w:rPr>
        <w:rFonts w:ascii="Verdana" w:hAnsi="Verdana" w:cs="Times New Roman" w:hint="default"/>
        <w:b w:val="0"/>
        <w:i w:val="0"/>
        <w:color w:val="auto"/>
        <w:sz w:val="24"/>
        <w:szCs w:val="24"/>
      </w:rPr>
    </w:lvl>
    <w:lvl w:ilvl="8">
      <w:start w:val="1"/>
      <w:numFmt w:val="none"/>
      <w:lvlText w:val="%9."/>
      <w:lvlJc w:val="left"/>
      <w:pPr>
        <w:tabs>
          <w:tab w:val="num" w:pos="567"/>
        </w:tabs>
        <w:ind w:left="5103" w:hanging="567"/>
      </w:pPr>
      <w:rPr>
        <w:rFonts w:ascii="Verdana" w:hAnsi="Verdana" w:cs="Times New Roman" w:hint="default"/>
        <w:b w:val="0"/>
        <w:i w:val="0"/>
        <w:color w:val="auto"/>
        <w:sz w:val="24"/>
        <w:szCs w:val="24"/>
      </w:rPr>
    </w:lvl>
  </w:abstractNum>
  <w:abstractNum w:abstractNumId="7" w15:restartNumberingAfterBreak="0">
    <w:nsid w:val="160E5660"/>
    <w:multiLevelType w:val="multilevel"/>
    <w:tmpl w:val="91363FF2"/>
    <w:lvl w:ilvl="0">
      <w:start w:val="1"/>
      <w:numFmt w:val="decimal"/>
      <w:pStyle w:val="OutlineNumbered1"/>
      <w:lvlText w:val="%1."/>
      <w:lvlJc w:val="left"/>
      <w:pPr>
        <w:tabs>
          <w:tab w:val="num" w:pos="1240"/>
        </w:tabs>
        <w:ind w:left="1240" w:hanging="520"/>
      </w:pPr>
      <w:rPr>
        <w:rFonts w:cs="Times New Roman" w:hint="default"/>
      </w:rPr>
    </w:lvl>
    <w:lvl w:ilvl="1">
      <w:start w:val="1"/>
      <w:numFmt w:val="decimal"/>
      <w:pStyle w:val="OutlineNumbered2"/>
      <w:lvlText w:val="%1.%2."/>
      <w:lvlJc w:val="left"/>
      <w:pPr>
        <w:tabs>
          <w:tab w:val="num" w:pos="1760"/>
        </w:tabs>
        <w:ind w:left="1760" w:hanging="520"/>
      </w:pPr>
      <w:rPr>
        <w:rFonts w:cs="Times New Roman" w:hint="default"/>
      </w:rPr>
    </w:lvl>
    <w:lvl w:ilvl="2">
      <w:start w:val="1"/>
      <w:numFmt w:val="decimal"/>
      <w:pStyle w:val="OutlineNumbered3"/>
      <w:lvlText w:val="%1.%2.%3."/>
      <w:lvlJc w:val="left"/>
      <w:pPr>
        <w:tabs>
          <w:tab w:val="num" w:pos="2280"/>
        </w:tabs>
        <w:ind w:left="2280" w:hanging="520"/>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8" w15:restartNumberingAfterBreak="0">
    <w:nsid w:val="19E22889"/>
    <w:multiLevelType w:val="hybridMultilevel"/>
    <w:tmpl w:val="FE9A09F2"/>
    <w:lvl w:ilvl="0" w:tplc="81E6E71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1BE303DB"/>
    <w:multiLevelType w:val="hybridMultilevel"/>
    <w:tmpl w:val="0ED42A60"/>
    <w:lvl w:ilvl="0" w:tplc="0C090001">
      <w:start w:val="1"/>
      <w:numFmt w:val="bullet"/>
      <w:lvlText w:val=""/>
      <w:lvlJc w:val="left"/>
      <w:pPr>
        <w:ind w:left="2468" w:hanging="360"/>
      </w:pPr>
      <w:rPr>
        <w:rFonts w:ascii="Symbol" w:hAnsi="Symbol" w:hint="default"/>
      </w:rPr>
    </w:lvl>
    <w:lvl w:ilvl="1" w:tplc="0C090003" w:tentative="1">
      <w:start w:val="1"/>
      <w:numFmt w:val="bullet"/>
      <w:lvlText w:val="o"/>
      <w:lvlJc w:val="left"/>
      <w:pPr>
        <w:ind w:left="3188" w:hanging="360"/>
      </w:pPr>
      <w:rPr>
        <w:rFonts w:ascii="Courier New" w:hAnsi="Courier New" w:cs="Courier New" w:hint="default"/>
      </w:rPr>
    </w:lvl>
    <w:lvl w:ilvl="2" w:tplc="0C090005" w:tentative="1">
      <w:start w:val="1"/>
      <w:numFmt w:val="bullet"/>
      <w:lvlText w:val=""/>
      <w:lvlJc w:val="left"/>
      <w:pPr>
        <w:ind w:left="3908" w:hanging="360"/>
      </w:pPr>
      <w:rPr>
        <w:rFonts w:ascii="Wingdings" w:hAnsi="Wingdings" w:hint="default"/>
      </w:rPr>
    </w:lvl>
    <w:lvl w:ilvl="3" w:tplc="0C090001" w:tentative="1">
      <w:start w:val="1"/>
      <w:numFmt w:val="bullet"/>
      <w:lvlText w:val=""/>
      <w:lvlJc w:val="left"/>
      <w:pPr>
        <w:ind w:left="4628" w:hanging="360"/>
      </w:pPr>
      <w:rPr>
        <w:rFonts w:ascii="Symbol" w:hAnsi="Symbol" w:hint="default"/>
      </w:rPr>
    </w:lvl>
    <w:lvl w:ilvl="4" w:tplc="0C090003" w:tentative="1">
      <w:start w:val="1"/>
      <w:numFmt w:val="bullet"/>
      <w:lvlText w:val="o"/>
      <w:lvlJc w:val="left"/>
      <w:pPr>
        <w:ind w:left="5348" w:hanging="360"/>
      </w:pPr>
      <w:rPr>
        <w:rFonts w:ascii="Courier New" w:hAnsi="Courier New" w:cs="Courier New" w:hint="default"/>
      </w:rPr>
    </w:lvl>
    <w:lvl w:ilvl="5" w:tplc="0C090005" w:tentative="1">
      <w:start w:val="1"/>
      <w:numFmt w:val="bullet"/>
      <w:lvlText w:val=""/>
      <w:lvlJc w:val="left"/>
      <w:pPr>
        <w:ind w:left="6068" w:hanging="360"/>
      </w:pPr>
      <w:rPr>
        <w:rFonts w:ascii="Wingdings" w:hAnsi="Wingdings" w:hint="default"/>
      </w:rPr>
    </w:lvl>
    <w:lvl w:ilvl="6" w:tplc="0C090001" w:tentative="1">
      <w:start w:val="1"/>
      <w:numFmt w:val="bullet"/>
      <w:lvlText w:val=""/>
      <w:lvlJc w:val="left"/>
      <w:pPr>
        <w:ind w:left="6788" w:hanging="360"/>
      </w:pPr>
      <w:rPr>
        <w:rFonts w:ascii="Symbol" w:hAnsi="Symbol" w:hint="default"/>
      </w:rPr>
    </w:lvl>
    <w:lvl w:ilvl="7" w:tplc="0C090003" w:tentative="1">
      <w:start w:val="1"/>
      <w:numFmt w:val="bullet"/>
      <w:lvlText w:val="o"/>
      <w:lvlJc w:val="left"/>
      <w:pPr>
        <w:ind w:left="7508" w:hanging="360"/>
      </w:pPr>
      <w:rPr>
        <w:rFonts w:ascii="Courier New" w:hAnsi="Courier New" w:cs="Courier New" w:hint="default"/>
      </w:rPr>
    </w:lvl>
    <w:lvl w:ilvl="8" w:tplc="0C090005" w:tentative="1">
      <w:start w:val="1"/>
      <w:numFmt w:val="bullet"/>
      <w:lvlText w:val=""/>
      <w:lvlJc w:val="left"/>
      <w:pPr>
        <w:ind w:left="8228" w:hanging="360"/>
      </w:pPr>
      <w:rPr>
        <w:rFonts w:ascii="Wingdings" w:hAnsi="Wingdings" w:hint="default"/>
      </w:rPr>
    </w:lvl>
  </w:abstractNum>
  <w:abstractNum w:abstractNumId="10" w15:restartNumberingAfterBreak="0">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D375E05"/>
    <w:multiLevelType w:val="hybridMultilevel"/>
    <w:tmpl w:val="2E1EAD42"/>
    <w:lvl w:ilvl="0" w:tplc="2E1C336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3EC1450"/>
    <w:multiLevelType w:val="hybridMultilevel"/>
    <w:tmpl w:val="BAAA8DC2"/>
    <w:lvl w:ilvl="0" w:tplc="04C2FEBE">
      <w:start w:val="1"/>
      <w:numFmt w:val="decimal"/>
      <w:pStyle w:val="Heading1"/>
      <w:lvlText w:val="%1.0"/>
      <w:lvlJc w:val="left"/>
      <w:pPr>
        <w:ind w:left="644" w:hanging="360"/>
      </w:pPr>
      <w:rPr>
        <w:rFonts w:hint="default"/>
        <w:b/>
      </w:rPr>
    </w:lvl>
    <w:lvl w:ilvl="1" w:tplc="0C090019" w:tentative="1">
      <w:start w:val="1"/>
      <w:numFmt w:val="lowerLetter"/>
      <w:pStyle w:val="Heading2"/>
      <w:lvlText w:val="%2."/>
      <w:lvlJc w:val="left"/>
      <w:pPr>
        <w:ind w:left="1440" w:hanging="360"/>
      </w:pPr>
    </w:lvl>
    <w:lvl w:ilvl="2" w:tplc="0C09001B" w:tentative="1">
      <w:start w:val="1"/>
      <w:numFmt w:val="lowerRoman"/>
      <w:pStyle w:val="Heading3"/>
      <w:lvlText w:val="%3."/>
      <w:lvlJc w:val="right"/>
      <w:pPr>
        <w:ind w:left="2160" w:hanging="180"/>
      </w:pPr>
    </w:lvl>
    <w:lvl w:ilvl="3" w:tplc="0C09000F" w:tentative="1">
      <w:start w:val="1"/>
      <w:numFmt w:val="decimal"/>
      <w:pStyle w:val="Heading4"/>
      <w:lvlText w:val="%4."/>
      <w:lvlJc w:val="left"/>
      <w:pPr>
        <w:ind w:left="2880" w:hanging="360"/>
      </w:pPr>
    </w:lvl>
    <w:lvl w:ilvl="4" w:tplc="0C090019" w:tentative="1">
      <w:start w:val="1"/>
      <w:numFmt w:val="lowerLetter"/>
      <w:pStyle w:val="Heading5"/>
      <w:lvlText w:val="%5."/>
      <w:lvlJc w:val="left"/>
      <w:pPr>
        <w:ind w:left="3600" w:hanging="360"/>
      </w:pPr>
    </w:lvl>
    <w:lvl w:ilvl="5" w:tplc="0C09001B" w:tentative="1">
      <w:start w:val="1"/>
      <w:numFmt w:val="lowerRoman"/>
      <w:pStyle w:val="Heading6"/>
      <w:lvlText w:val="%6."/>
      <w:lvlJc w:val="right"/>
      <w:pPr>
        <w:ind w:left="4320" w:hanging="180"/>
      </w:pPr>
    </w:lvl>
    <w:lvl w:ilvl="6" w:tplc="0C09000F" w:tentative="1">
      <w:start w:val="1"/>
      <w:numFmt w:val="decimal"/>
      <w:pStyle w:val="Heading7"/>
      <w:lvlText w:val="%7."/>
      <w:lvlJc w:val="left"/>
      <w:pPr>
        <w:ind w:left="5040" w:hanging="360"/>
      </w:pPr>
    </w:lvl>
    <w:lvl w:ilvl="7" w:tplc="0C090019" w:tentative="1">
      <w:start w:val="1"/>
      <w:numFmt w:val="lowerLetter"/>
      <w:pStyle w:val="Heading8"/>
      <w:lvlText w:val="%8."/>
      <w:lvlJc w:val="left"/>
      <w:pPr>
        <w:ind w:left="5760" w:hanging="360"/>
      </w:pPr>
    </w:lvl>
    <w:lvl w:ilvl="8" w:tplc="0C09001B" w:tentative="1">
      <w:start w:val="1"/>
      <w:numFmt w:val="lowerRoman"/>
      <w:pStyle w:val="Heading9"/>
      <w:lvlText w:val="%9."/>
      <w:lvlJc w:val="right"/>
      <w:pPr>
        <w:ind w:left="6480" w:hanging="180"/>
      </w:pPr>
    </w:lvl>
  </w:abstractNum>
  <w:abstractNum w:abstractNumId="14"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81943DE"/>
    <w:multiLevelType w:val="hybridMultilevel"/>
    <w:tmpl w:val="800A9E1A"/>
    <w:lvl w:ilvl="0" w:tplc="475281E0">
      <w:start w:val="1"/>
      <w:numFmt w:val="lowerLetter"/>
      <w:lvlText w:val="(%1)"/>
      <w:lvlJc w:val="left"/>
      <w:pPr>
        <w:ind w:left="720" w:hanging="360"/>
      </w:pPr>
      <w:rPr>
        <w:rFonts w:hint="default"/>
      </w:rPr>
    </w:lvl>
    <w:lvl w:ilvl="1" w:tplc="97DC7EE4">
      <w:start w:val="1"/>
      <w:numFmt w:val="lowerRoman"/>
      <w:lvlText w:val="(%2)"/>
      <w:lvlJc w:val="right"/>
      <w:pPr>
        <w:ind w:left="1440" w:hanging="360"/>
      </w:pPr>
      <w:rPr>
        <w:rFonts w:hint="default"/>
        <w:b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17" w15:restartNumberingAfterBreak="0">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4BE6BEA"/>
    <w:multiLevelType w:val="hybridMultilevel"/>
    <w:tmpl w:val="280CDDD2"/>
    <w:lvl w:ilvl="0" w:tplc="AF1A0B6A">
      <w:numFmt w:val="bullet"/>
      <w:lvlText w:val=""/>
      <w:lvlJc w:val="left"/>
      <w:pPr>
        <w:ind w:left="360" w:hanging="360"/>
      </w:pPr>
      <w:rPr>
        <w:rFonts w:ascii="Symbol" w:eastAsia="Cambria" w:hAnsi="Symbol" w:cstheme="minorHAns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FF702AA"/>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1"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6"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ADB2FAD"/>
    <w:multiLevelType w:val="multilevel"/>
    <w:tmpl w:val="2A00A646"/>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9B56304"/>
    <w:multiLevelType w:val="hybridMultilevel"/>
    <w:tmpl w:val="9E9E9C38"/>
    <w:lvl w:ilvl="0" w:tplc="475281E0">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2" w15:restartNumberingAfterBreak="0">
    <w:nsid w:val="79DB23C0"/>
    <w:multiLevelType w:val="multilevel"/>
    <w:tmpl w:val="CE947A96"/>
    <w:lvl w:ilvl="0">
      <w:start w:val="1"/>
      <w:numFmt w:val="bullet"/>
      <w:pStyle w:val="CERbullets"/>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3"/>
  </w:num>
  <w:num w:numId="3">
    <w:abstractNumId w:val="15"/>
  </w:num>
  <w:num w:numId="4">
    <w:abstractNumId w:val="2"/>
  </w:num>
  <w:num w:numId="5">
    <w:abstractNumId w:val="5"/>
  </w:num>
  <w:num w:numId="6">
    <w:abstractNumId w:val="7"/>
  </w:num>
  <w:num w:numId="7">
    <w:abstractNumId w:val="6"/>
  </w:num>
  <w:num w:numId="8">
    <w:abstractNumId w:val="20"/>
  </w:num>
  <w:num w:numId="9">
    <w:abstractNumId w:val="10"/>
  </w:num>
  <w:num w:numId="10">
    <w:abstractNumId w:val="17"/>
  </w:num>
  <w:num w:numId="11">
    <w:abstractNumId w:val="11"/>
  </w:num>
  <w:num w:numId="12">
    <w:abstractNumId w:val="3"/>
  </w:num>
  <w:num w:numId="13">
    <w:abstractNumId w:val="1"/>
  </w:num>
  <w:num w:numId="14">
    <w:abstractNumId w:val="25"/>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4"/>
  </w:num>
  <w:num w:numId="24">
    <w:abstractNumId w:val="29"/>
  </w:num>
  <w:num w:numId="25">
    <w:abstractNumId w:val="32"/>
  </w:num>
  <w:num w:numId="26">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hideSpellingErrors/>
  <w:hideGrammaticalErrors/>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425"/>
  <w:drawingGridHorizontalSpacing w:val="110"/>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8EB"/>
    <w:rsid w:val="00001FB4"/>
    <w:rsid w:val="00002024"/>
    <w:rsid w:val="000039D7"/>
    <w:rsid w:val="00004121"/>
    <w:rsid w:val="00004FB3"/>
    <w:rsid w:val="00007740"/>
    <w:rsid w:val="000105AB"/>
    <w:rsid w:val="000108E2"/>
    <w:rsid w:val="00011869"/>
    <w:rsid w:val="00012088"/>
    <w:rsid w:val="000123C2"/>
    <w:rsid w:val="0001275A"/>
    <w:rsid w:val="00012B72"/>
    <w:rsid w:val="00014257"/>
    <w:rsid w:val="00014D0E"/>
    <w:rsid w:val="00014FF5"/>
    <w:rsid w:val="0002009F"/>
    <w:rsid w:val="00022CDF"/>
    <w:rsid w:val="00022F82"/>
    <w:rsid w:val="00023FCC"/>
    <w:rsid w:val="0002418C"/>
    <w:rsid w:val="000248C7"/>
    <w:rsid w:val="000258A0"/>
    <w:rsid w:val="00025981"/>
    <w:rsid w:val="0002637D"/>
    <w:rsid w:val="00026B67"/>
    <w:rsid w:val="00030D21"/>
    <w:rsid w:val="00030E6D"/>
    <w:rsid w:val="00031189"/>
    <w:rsid w:val="000320F2"/>
    <w:rsid w:val="0003313B"/>
    <w:rsid w:val="00034E2F"/>
    <w:rsid w:val="00035468"/>
    <w:rsid w:val="00036984"/>
    <w:rsid w:val="0003757F"/>
    <w:rsid w:val="0003764D"/>
    <w:rsid w:val="00041037"/>
    <w:rsid w:val="00041E62"/>
    <w:rsid w:val="00042988"/>
    <w:rsid w:val="000430ED"/>
    <w:rsid w:val="0004373B"/>
    <w:rsid w:val="0004479F"/>
    <w:rsid w:val="00044D8C"/>
    <w:rsid w:val="000453D0"/>
    <w:rsid w:val="00046216"/>
    <w:rsid w:val="00046BAA"/>
    <w:rsid w:val="00050664"/>
    <w:rsid w:val="00051826"/>
    <w:rsid w:val="00051EA8"/>
    <w:rsid w:val="00053904"/>
    <w:rsid w:val="0005423E"/>
    <w:rsid w:val="000554D9"/>
    <w:rsid w:val="00056020"/>
    <w:rsid w:val="00056BE6"/>
    <w:rsid w:val="00057DAD"/>
    <w:rsid w:val="00057F75"/>
    <w:rsid w:val="00060287"/>
    <w:rsid w:val="0006273A"/>
    <w:rsid w:val="00063C97"/>
    <w:rsid w:val="00064F51"/>
    <w:rsid w:val="000651DE"/>
    <w:rsid w:val="00066A91"/>
    <w:rsid w:val="00067075"/>
    <w:rsid w:val="00070286"/>
    <w:rsid w:val="00070A65"/>
    <w:rsid w:val="000731B2"/>
    <w:rsid w:val="000737C0"/>
    <w:rsid w:val="00074005"/>
    <w:rsid w:val="00074AB4"/>
    <w:rsid w:val="00074BF3"/>
    <w:rsid w:val="00080300"/>
    <w:rsid w:val="000813F8"/>
    <w:rsid w:val="00082BCD"/>
    <w:rsid w:val="000836F3"/>
    <w:rsid w:val="00084A07"/>
    <w:rsid w:val="00090D8B"/>
    <w:rsid w:val="00090EC6"/>
    <w:rsid w:val="0009429E"/>
    <w:rsid w:val="000962E3"/>
    <w:rsid w:val="000965FB"/>
    <w:rsid w:val="000967FA"/>
    <w:rsid w:val="00097203"/>
    <w:rsid w:val="000974E1"/>
    <w:rsid w:val="0009777C"/>
    <w:rsid w:val="000978C5"/>
    <w:rsid w:val="000A1B5D"/>
    <w:rsid w:val="000A208B"/>
    <w:rsid w:val="000A25C2"/>
    <w:rsid w:val="000A4314"/>
    <w:rsid w:val="000A4683"/>
    <w:rsid w:val="000A5BC9"/>
    <w:rsid w:val="000A71D4"/>
    <w:rsid w:val="000A7903"/>
    <w:rsid w:val="000A7FB7"/>
    <w:rsid w:val="000B00E4"/>
    <w:rsid w:val="000B042A"/>
    <w:rsid w:val="000B163B"/>
    <w:rsid w:val="000B177D"/>
    <w:rsid w:val="000B27D5"/>
    <w:rsid w:val="000B2B15"/>
    <w:rsid w:val="000B4BB1"/>
    <w:rsid w:val="000B4DA5"/>
    <w:rsid w:val="000B5DCB"/>
    <w:rsid w:val="000B6402"/>
    <w:rsid w:val="000C2287"/>
    <w:rsid w:val="000C2440"/>
    <w:rsid w:val="000C3AFB"/>
    <w:rsid w:val="000C5112"/>
    <w:rsid w:val="000C61CF"/>
    <w:rsid w:val="000C635B"/>
    <w:rsid w:val="000D0F4D"/>
    <w:rsid w:val="000D2D22"/>
    <w:rsid w:val="000D2FFA"/>
    <w:rsid w:val="000D30CF"/>
    <w:rsid w:val="000D3D50"/>
    <w:rsid w:val="000D40E2"/>
    <w:rsid w:val="000D5D4E"/>
    <w:rsid w:val="000D5F02"/>
    <w:rsid w:val="000D628D"/>
    <w:rsid w:val="000D639F"/>
    <w:rsid w:val="000D7205"/>
    <w:rsid w:val="000E2406"/>
    <w:rsid w:val="000E2AF3"/>
    <w:rsid w:val="000E2E9E"/>
    <w:rsid w:val="000E4D39"/>
    <w:rsid w:val="000E750C"/>
    <w:rsid w:val="000E7885"/>
    <w:rsid w:val="000E7CF7"/>
    <w:rsid w:val="000F0319"/>
    <w:rsid w:val="000F081D"/>
    <w:rsid w:val="000F2398"/>
    <w:rsid w:val="000F242A"/>
    <w:rsid w:val="000F2EBE"/>
    <w:rsid w:val="000F31F8"/>
    <w:rsid w:val="000F39FE"/>
    <w:rsid w:val="000F48F7"/>
    <w:rsid w:val="000F4E34"/>
    <w:rsid w:val="0010104F"/>
    <w:rsid w:val="0010153E"/>
    <w:rsid w:val="00101B4D"/>
    <w:rsid w:val="00102896"/>
    <w:rsid w:val="00103778"/>
    <w:rsid w:val="001055DC"/>
    <w:rsid w:val="001062A4"/>
    <w:rsid w:val="00106A5B"/>
    <w:rsid w:val="00106FC7"/>
    <w:rsid w:val="00107E81"/>
    <w:rsid w:val="00110391"/>
    <w:rsid w:val="001104D5"/>
    <w:rsid w:val="00111C8A"/>
    <w:rsid w:val="0011343D"/>
    <w:rsid w:val="001139D0"/>
    <w:rsid w:val="00114548"/>
    <w:rsid w:val="00115291"/>
    <w:rsid w:val="00117CEC"/>
    <w:rsid w:val="001206DD"/>
    <w:rsid w:val="00121A23"/>
    <w:rsid w:val="00123118"/>
    <w:rsid w:val="00123DCE"/>
    <w:rsid w:val="00124559"/>
    <w:rsid w:val="001245D0"/>
    <w:rsid w:val="00124A33"/>
    <w:rsid w:val="00126CCD"/>
    <w:rsid w:val="001300B0"/>
    <w:rsid w:val="00130BB0"/>
    <w:rsid w:val="0013569C"/>
    <w:rsid w:val="001369B9"/>
    <w:rsid w:val="00137A06"/>
    <w:rsid w:val="00140EBC"/>
    <w:rsid w:val="00142EC4"/>
    <w:rsid w:val="0014387D"/>
    <w:rsid w:val="00143CA1"/>
    <w:rsid w:val="001443B4"/>
    <w:rsid w:val="00144E82"/>
    <w:rsid w:val="001456FD"/>
    <w:rsid w:val="00145F38"/>
    <w:rsid w:val="001465BD"/>
    <w:rsid w:val="001476F6"/>
    <w:rsid w:val="0015126D"/>
    <w:rsid w:val="001532D6"/>
    <w:rsid w:val="0015361D"/>
    <w:rsid w:val="00154A15"/>
    <w:rsid w:val="00154AA1"/>
    <w:rsid w:val="00155C3D"/>
    <w:rsid w:val="001627DD"/>
    <w:rsid w:val="0016547E"/>
    <w:rsid w:val="00170675"/>
    <w:rsid w:val="001721D8"/>
    <w:rsid w:val="00172839"/>
    <w:rsid w:val="00172F0F"/>
    <w:rsid w:val="00174847"/>
    <w:rsid w:val="0017505D"/>
    <w:rsid w:val="001776B2"/>
    <w:rsid w:val="00177AB4"/>
    <w:rsid w:val="00182950"/>
    <w:rsid w:val="00182E3C"/>
    <w:rsid w:val="00182E6C"/>
    <w:rsid w:val="00183E35"/>
    <w:rsid w:val="00184268"/>
    <w:rsid w:val="00184B5E"/>
    <w:rsid w:val="00186944"/>
    <w:rsid w:val="0018781A"/>
    <w:rsid w:val="00190AB5"/>
    <w:rsid w:val="0019204B"/>
    <w:rsid w:val="00194039"/>
    <w:rsid w:val="00194C3A"/>
    <w:rsid w:val="00195069"/>
    <w:rsid w:val="00196DA5"/>
    <w:rsid w:val="0019787C"/>
    <w:rsid w:val="001979DC"/>
    <w:rsid w:val="001A15AC"/>
    <w:rsid w:val="001A1FBD"/>
    <w:rsid w:val="001A2962"/>
    <w:rsid w:val="001A552F"/>
    <w:rsid w:val="001A562A"/>
    <w:rsid w:val="001A5CB2"/>
    <w:rsid w:val="001A6C2A"/>
    <w:rsid w:val="001A757D"/>
    <w:rsid w:val="001B0571"/>
    <w:rsid w:val="001B0B41"/>
    <w:rsid w:val="001B2D72"/>
    <w:rsid w:val="001B33EC"/>
    <w:rsid w:val="001B3D5B"/>
    <w:rsid w:val="001B4173"/>
    <w:rsid w:val="001B4ECB"/>
    <w:rsid w:val="001B52AC"/>
    <w:rsid w:val="001B644D"/>
    <w:rsid w:val="001B6892"/>
    <w:rsid w:val="001B7250"/>
    <w:rsid w:val="001B7C15"/>
    <w:rsid w:val="001B7DFD"/>
    <w:rsid w:val="001C0768"/>
    <w:rsid w:val="001C0E7A"/>
    <w:rsid w:val="001C1A73"/>
    <w:rsid w:val="001C2575"/>
    <w:rsid w:val="001C3392"/>
    <w:rsid w:val="001C3788"/>
    <w:rsid w:val="001C436A"/>
    <w:rsid w:val="001C5A92"/>
    <w:rsid w:val="001C6AD2"/>
    <w:rsid w:val="001C766E"/>
    <w:rsid w:val="001D066C"/>
    <w:rsid w:val="001D07AE"/>
    <w:rsid w:val="001D07C5"/>
    <w:rsid w:val="001D0DCC"/>
    <w:rsid w:val="001D11F3"/>
    <w:rsid w:val="001D162E"/>
    <w:rsid w:val="001D1EA7"/>
    <w:rsid w:val="001D4907"/>
    <w:rsid w:val="001D5FE8"/>
    <w:rsid w:val="001D6689"/>
    <w:rsid w:val="001E0960"/>
    <w:rsid w:val="001E1B02"/>
    <w:rsid w:val="001E1C33"/>
    <w:rsid w:val="001E1D4A"/>
    <w:rsid w:val="001E2015"/>
    <w:rsid w:val="001E4824"/>
    <w:rsid w:val="001E647F"/>
    <w:rsid w:val="001F3358"/>
    <w:rsid w:val="001F373E"/>
    <w:rsid w:val="001F43D4"/>
    <w:rsid w:val="001F50EC"/>
    <w:rsid w:val="001F55E5"/>
    <w:rsid w:val="001F5AF2"/>
    <w:rsid w:val="001F6CF3"/>
    <w:rsid w:val="0020181E"/>
    <w:rsid w:val="00201A33"/>
    <w:rsid w:val="002052B0"/>
    <w:rsid w:val="0020692D"/>
    <w:rsid w:val="00207DFC"/>
    <w:rsid w:val="00210328"/>
    <w:rsid w:val="00210C28"/>
    <w:rsid w:val="0021145F"/>
    <w:rsid w:val="00212687"/>
    <w:rsid w:val="00213788"/>
    <w:rsid w:val="002146BA"/>
    <w:rsid w:val="002146DC"/>
    <w:rsid w:val="002150A6"/>
    <w:rsid w:val="00215DB8"/>
    <w:rsid w:val="0021764C"/>
    <w:rsid w:val="00217A90"/>
    <w:rsid w:val="00217C89"/>
    <w:rsid w:val="00220F1C"/>
    <w:rsid w:val="00221332"/>
    <w:rsid w:val="002221BC"/>
    <w:rsid w:val="00223A01"/>
    <w:rsid w:val="0022443E"/>
    <w:rsid w:val="00225A4A"/>
    <w:rsid w:val="00225AA4"/>
    <w:rsid w:val="00225D68"/>
    <w:rsid w:val="0022621E"/>
    <w:rsid w:val="002274CF"/>
    <w:rsid w:val="00230393"/>
    <w:rsid w:val="002308F9"/>
    <w:rsid w:val="002309B3"/>
    <w:rsid w:val="002321CF"/>
    <w:rsid w:val="00232329"/>
    <w:rsid w:val="00233BC0"/>
    <w:rsid w:val="00234173"/>
    <w:rsid w:val="00235E1E"/>
    <w:rsid w:val="00235E5E"/>
    <w:rsid w:val="00235F30"/>
    <w:rsid w:val="00236A3B"/>
    <w:rsid w:val="00240E9E"/>
    <w:rsid w:val="0024155A"/>
    <w:rsid w:val="00241798"/>
    <w:rsid w:val="00241BEE"/>
    <w:rsid w:val="002432A9"/>
    <w:rsid w:val="00243924"/>
    <w:rsid w:val="002456C9"/>
    <w:rsid w:val="00246A83"/>
    <w:rsid w:val="00246C4C"/>
    <w:rsid w:val="002472BC"/>
    <w:rsid w:val="0024758E"/>
    <w:rsid w:val="002512A3"/>
    <w:rsid w:val="00251B5E"/>
    <w:rsid w:val="00253772"/>
    <w:rsid w:val="00253E2A"/>
    <w:rsid w:val="00254817"/>
    <w:rsid w:val="00255070"/>
    <w:rsid w:val="0025747B"/>
    <w:rsid w:val="00257896"/>
    <w:rsid w:val="002610B9"/>
    <w:rsid w:val="002635CF"/>
    <w:rsid w:val="00265192"/>
    <w:rsid w:val="00265219"/>
    <w:rsid w:val="002656F3"/>
    <w:rsid w:val="00266DC8"/>
    <w:rsid w:val="00267697"/>
    <w:rsid w:val="00273AE3"/>
    <w:rsid w:val="00274A16"/>
    <w:rsid w:val="00274E2B"/>
    <w:rsid w:val="002768F3"/>
    <w:rsid w:val="00277A55"/>
    <w:rsid w:val="0028088F"/>
    <w:rsid w:val="00280B8E"/>
    <w:rsid w:val="002832F4"/>
    <w:rsid w:val="0028502C"/>
    <w:rsid w:val="002851BF"/>
    <w:rsid w:val="00285F3C"/>
    <w:rsid w:val="002860E8"/>
    <w:rsid w:val="0028731B"/>
    <w:rsid w:val="00287634"/>
    <w:rsid w:val="002879EC"/>
    <w:rsid w:val="0029213C"/>
    <w:rsid w:val="00293143"/>
    <w:rsid w:val="00293320"/>
    <w:rsid w:val="00293CEB"/>
    <w:rsid w:val="00294058"/>
    <w:rsid w:val="00294245"/>
    <w:rsid w:val="00294DE8"/>
    <w:rsid w:val="00297DB4"/>
    <w:rsid w:val="002A0596"/>
    <w:rsid w:val="002A0FD1"/>
    <w:rsid w:val="002A1300"/>
    <w:rsid w:val="002A159D"/>
    <w:rsid w:val="002A18C9"/>
    <w:rsid w:val="002A2D90"/>
    <w:rsid w:val="002A3283"/>
    <w:rsid w:val="002A5322"/>
    <w:rsid w:val="002A5C5B"/>
    <w:rsid w:val="002A61AD"/>
    <w:rsid w:val="002A64AD"/>
    <w:rsid w:val="002A6992"/>
    <w:rsid w:val="002A7439"/>
    <w:rsid w:val="002A7E6F"/>
    <w:rsid w:val="002A7F77"/>
    <w:rsid w:val="002B0035"/>
    <w:rsid w:val="002B0EAC"/>
    <w:rsid w:val="002B3521"/>
    <w:rsid w:val="002B44C7"/>
    <w:rsid w:val="002B4873"/>
    <w:rsid w:val="002B707B"/>
    <w:rsid w:val="002B7647"/>
    <w:rsid w:val="002C062E"/>
    <w:rsid w:val="002C3465"/>
    <w:rsid w:val="002C35AF"/>
    <w:rsid w:val="002C36B3"/>
    <w:rsid w:val="002C3C61"/>
    <w:rsid w:val="002C5641"/>
    <w:rsid w:val="002D2D18"/>
    <w:rsid w:val="002D401E"/>
    <w:rsid w:val="002D5468"/>
    <w:rsid w:val="002E1F57"/>
    <w:rsid w:val="002E2E64"/>
    <w:rsid w:val="002E349C"/>
    <w:rsid w:val="002E3588"/>
    <w:rsid w:val="002E39E0"/>
    <w:rsid w:val="002E53E7"/>
    <w:rsid w:val="002E720E"/>
    <w:rsid w:val="002E7677"/>
    <w:rsid w:val="002E7EE0"/>
    <w:rsid w:val="002F0C47"/>
    <w:rsid w:val="002F1535"/>
    <w:rsid w:val="002F242B"/>
    <w:rsid w:val="002F4A68"/>
    <w:rsid w:val="002F4DB0"/>
    <w:rsid w:val="002F5A39"/>
    <w:rsid w:val="002F664A"/>
    <w:rsid w:val="002F66D9"/>
    <w:rsid w:val="002F7EE9"/>
    <w:rsid w:val="00301367"/>
    <w:rsid w:val="00301C22"/>
    <w:rsid w:val="00302185"/>
    <w:rsid w:val="00303A25"/>
    <w:rsid w:val="00306EFA"/>
    <w:rsid w:val="0031117B"/>
    <w:rsid w:val="003127F8"/>
    <w:rsid w:val="0031375A"/>
    <w:rsid w:val="00314A68"/>
    <w:rsid w:val="003202CA"/>
    <w:rsid w:val="00321884"/>
    <w:rsid w:val="0032207D"/>
    <w:rsid w:val="003226BF"/>
    <w:rsid w:val="00322CCD"/>
    <w:rsid w:val="003247EB"/>
    <w:rsid w:val="003257CA"/>
    <w:rsid w:val="0032598E"/>
    <w:rsid w:val="00326CF0"/>
    <w:rsid w:val="00327822"/>
    <w:rsid w:val="00331757"/>
    <w:rsid w:val="0033258A"/>
    <w:rsid w:val="00332C68"/>
    <w:rsid w:val="00333A4F"/>
    <w:rsid w:val="00335540"/>
    <w:rsid w:val="00336529"/>
    <w:rsid w:val="0034049B"/>
    <w:rsid w:val="00340AA4"/>
    <w:rsid w:val="0034336B"/>
    <w:rsid w:val="00345D9B"/>
    <w:rsid w:val="00346692"/>
    <w:rsid w:val="0034704B"/>
    <w:rsid w:val="0034760F"/>
    <w:rsid w:val="00347647"/>
    <w:rsid w:val="00350078"/>
    <w:rsid w:val="0035186D"/>
    <w:rsid w:val="00352B83"/>
    <w:rsid w:val="00354E4F"/>
    <w:rsid w:val="003622E7"/>
    <w:rsid w:val="00362E4D"/>
    <w:rsid w:val="003646AC"/>
    <w:rsid w:val="00364922"/>
    <w:rsid w:val="00366712"/>
    <w:rsid w:val="00371E2D"/>
    <w:rsid w:val="00372190"/>
    <w:rsid w:val="003731EB"/>
    <w:rsid w:val="00375953"/>
    <w:rsid w:val="00376857"/>
    <w:rsid w:val="00377DAC"/>
    <w:rsid w:val="0038017F"/>
    <w:rsid w:val="00380FB2"/>
    <w:rsid w:val="00382276"/>
    <w:rsid w:val="0038232B"/>
    <w:rsid w:val="003827A7"/>
    <w:rsid w:val="0038551B"/>
    <w:rsid w:val="00385B78"/>
    <w:rsid w:val="00385C6F"/>
    <w:rsid w:val="0039016F"/>
    <w:rsid w:val="00390324"/>
    <w:rsid w:val="00390A97"/>
    <w:rsid w:val="00390B03"/>
    <w:rsid w:val="00390FC2"/>
    <w:rsid w:val="00391A3E"/>
    <w:rsid w:val="00392273"/>
    <w:rsid w:val="003939A2"/>
    <w:rsid w:val="003964F6"/>
    <w:rsid w:val="0039749E"/>
    <w:rsid w:val="003A080E"/>
    <w:rsid w:val="003A1700"/>
    <w:rsid w:val="003A34AE"/>
    <w:rsid w:val="003A4CFF"/>
    <w:rsid w:val="003A5067"/>
    <w:rsid w:val="003A6158"/>
    <w:rsid w:val="003A644D"/>
    <w:rsid w:val="003A72A8"/>
    <w:rsid w:val="003A79DB"/>
    <w:rsid w:val="003B0A21"/>
    <w:rsid w:val="003B114C"/>
    <w:rsid w:val="003B3DB9"/>
    <w:rsid w:val="003B40C9"/>
    <w:rsid w:val="003B4E23"/>
    <w:rsid w:val="003B7386"/>
    <w:rsid w:val="003B777A"/>
    <w:rsid w:val="003C1E61"/>
    <w:rsid w:val="003C32EE"/>
    <w:rsid w:val="003C3673"/>
    <w:rsid w:val="003C452F"/>
    <w:rsid w:val="003C6EBB"/>
    <w:rsid w:val="003D0B8D"/>
    <w:rsid w:val="003D0BAB"/>
    <w:rsid w:val="003D1FE2"/>
    <w:rsid w:val="003D257F"/>
    <w:rsid w:val="003D2D98"/>
    <w:rsid w:val="003D4C45"/>
    <w:rsid w:val="003D4D49"/>
    <w:rsid w:val="003D5B8E"/>
    <w:rsid w:val="003D69FC"/>
    <w:rsid w:val="003D6F36"/>
    <w:rsid w:val="003D7380"/>
    <w:rsid w:val="003D7C75"/>
    <w:rsid w:val="003E012B"/>
    <w:rsid w:val="003E0AF3"/>
    <w:rsid w:val="003E1038"/>
    <w:rsid w:val="003E1765"/>
    <w:rsid w:val="003E1874"/>
    <w:rsid w:val="003E1EE7"/>
    <w:rsid w:val="003E284A"/>
    <w:rsid w:val="003E2DCB"/>
    <w:rsid w:val="003E3108"/>
    <w:rsid w:val="003E352A"/>
    <w:rsid w:val="003E3571"/>
    <w:rsid w:val="003E4166"/>
    <w:rsid w:val="003E49CC"/>
    <w:rsid w:val="003E4E1A"/>
    <w:rsid w:val="003E4FAA"/>
    <w:rsid w:val="003E6433"/>
    <w:rsid w:val="003E6641"/>
    <w:rsid w:val="003E794C"/>
    <w:rsid w:val="003E7BF9"/>
    <w:rsid w:val="003F42C9"/>
    <w:rsid w:val="003F58A1"/>
    <w:rsid w:val="003F61C0"/>
    <w:rsid w:val="003F6D72"/>
    <w:rsid w:val="003F7EF1"/>
    <w:rsid w:val="0040064D"/>
    <w:rsid w:val="004007FD"/>
    <w:rsid w:val="0040186F"/>
    <w:rsid w:val="00402812"/>
    <w:rsid w:val="00402C6B"/>
    <w:rsid w:val="00403842"/>
    <w:rsid w:val="004040B2"/>
    <w:rsid w:val="00404E41"/>
    <w:rsid w:val="0040665C"/>
    <w:rsid w:val="00406C4A"/>
    <w:rsid w:val="004077A2"/>
    <w:rsid w:val="00407A73"/>
    <w:rsid w:val="004114FE"/>
    <w:rsid w:val="00411514"/>
    <w:rsid w:val="004119E8"/>
    <w:rsid w:val="00412EE5"/>
    <w:rsid w:val="00413AF7"/>
    <w:rsid w:val="00413CB1"/>
    <w:rsid w:val="00415075"/>
    <w:rsid w:val="00415337"/>
    <w:rsid w:val="00415AB8"/>
    <w:rsid w:val="00416635"/>
    <w:rsid w:val="00416A0C"/>
    <w:rsid w:val="0042017A"/>
    <w:rsid w:val="004209C2"/>
    <w:rsid w:val="004223F0"/>
    <w:rsid w:val="00423DA5"/>
    <w:rsid w:val="00424440"/>
    <w:rsid w:val="00424A03"/>
    <w:rsid w:val="004267A8"/>
    <w:rsid w:val="00430315"/>
    <w:rsid w:val="00430C4D"/>
    <w:rsid w:val="00430D5F"/>
    <w:rsid w:val="004313E7"/>
    <w:rsid w:val="00431A5D"/>
    <w:rsid w:val="00431D08"/>
    <w:rsid w:val="004327A6"/>
    <w:rsid w:val="00432DC0"/>
    <w:rsid w:val="00432E91"/>
    <w:rsid w:val="0043387B"/>
    <w:rsid w:val="00433AE2"/>
    <w:rsid w:val="004343EF"/>
    <w:rsid w:val="00435726"/>
    <w:rsid w:val="00435DA0"/>
    <w:rsid w:val="00436098"/>
    <w:rsid w:val="00436219"/>
    <w:rsid w:val="00436C5C"/>
    <w:rsid w:val="00440C90"/>
    <w:rsid w:val="00441379"/>
    <w:rsid w:val="00442227"/>
    <w:rsid w:val="004428F7"/>
    <w:rsid w:val="00442D45"/>
    <w:rsid w:val="00442FA3"/>
    <w:rsid w:val="00443AF7"/>
    <w:rsid w:val="00444507"/>
    <w:rsid w:val="00444584"/>
    <w:rsid w:val="0044614B"/>
    <w:rsid w:val="0044742B"/>
    <w:rsid w:val="004503EC"/>
    <w:rsid w:val="00451353"/>
    <w:rsid w:val="00451599"/>
    <w:rsid w:val="004526DC"/>
    <w:rsid w:val="00452C13"/>
    <w:rsid w:val="00452F8C"/>
    <w:rsid w:val="0045393E"/>
    <w:rsid w:val="00453CC2"/>
    <w:rsid w:val="00457C86"/>
    <w:rsid w:val="00461759"/>
    <w:rsid w:val="00463E97"/>
    <w:rsid w:val="004653C0"/>
    <w:rsid w:val="00465B16"/>
    <w:rsid w:val="00472FC0"/>
    <w:rsid w:val="004731B1"/>
    <w:rsid w:val="00473243"/>
    <w:rsid w:val="00475CF2"/>
    <w:rsid w:val="00476141"/>
    <w:rsid w:val="00476598"/>
    <w:rsid w:val="00476C74"/>
    <w:rsid w:val="00477541"/>
    <w:rsid w:val="00477BB5"/>
    <w:rsid w:val="004803D4"/>
    <w:rsid w:val="00480E79"/>
    <w:rsid w:val="0048177E"/>
    <w:rsid w:val="00481D88"/>
    <w:rsid w:val="0048308B"/>
    <w:rsid w:val="0048502F"/>
    <w:rsid w:val="0048658F"/>
    <w:rsid w:val="00486A4D"/>
    <w:rsid w:val="00487B34"/>
    <w:rsid w:val="00491433"/>
    <w:rsid w:val="00492449"/>
    <w:rsid w:val="004936DC"/>
    <w:rsid w:val="004938A3"/>
    <w:rsid w:val="00494271"/>
    <w:rsid w:val="004954E9"/>
    <w:rsid w:val="004971E4"/>
    <w:rsid w:val="004A08B7"/>
    <w:rsid w:val="004A37E5"/>
    <w:rsid w:val="004A38E4"/>
    <w:rsid w:val="004A3A29"/>
    <w:rsid w:val="004A4A68"/>
    <w:rsid w:val="004A5F72"/>
    <w:rsid w:val="004A6330"/>
    <w:rsid w:val="004A6AEE"/>
    <w:rsid w:val="004B4706"/>
    <w:rsid w:val="004B4EA7"/>
    <w:rsid w:val="004B5B4A"/>
    <w:rsid w:val="004B644E"/>
    <w:rsid w:val="004C1309"/>
    <w:rsid w:val="004C144E"/>
    <w:rsid w:val="004C1A87"/>
    <w:rsid w:val="004C28A7"/>
    <w:rsid w:val="004C5AFE"/>
    <w:rsid w:val="004C61C6"/>
    <w:rsid w:val="004C6902"/>
    <w:rsid w:val="004C7877"/>
    <w:rsid w:val="004D256F"/>
    <w:rsid w:val="004D54DA"/>
    <w:rsid w:val="004D5BE0"/>
    <w:rsid w:val="004E0C8F"/>
    <w:rsid w:val="004E1067"/>
    <w:rsid w:val="004E1118"/>
    <w:rsid w:val="004E1D5E"/>
    <w:rsid w:val="004E5A7A"/>
    <w:rsid w:val="004E70C6"/>
    <w:rsid w:val="004E724E"/>
    <w:rsid w:val="004E7760"/>
    <w:rsid w:val="004F0122"/>
    <w:rsid w:val="004F04CD"/>
    <w:rsid w:val="004F12BE"/>
    <w:rsid w:val="004F17F7"/>
    <w:rsid w:val="004F1D57"/>
    <w:rsid w:val="004F2A49"/>
    <w:rsid w:val="004F2FAE"/>
    <w:rsid w:val="004F33C9"/>
    <w:rsid w:val="004F434B"/>
    <w:rsid w:val="004F5362"/>
    <w:rsid w:val="004F70B9"/>
    <w:rsid w:val="004F7E91"/>
    <w:rsid w:val="00500012"/>
    <w:rsid w:val="005003C2"/>
    <w:rsid w:val="00502DD0"/>
    <w:rsid w:val="005059C5"/>
    <w:rsid w:val="00505B84"/>
    <w:rsid w:val="00505FCA"/>
    <w:rsid w:val="00506962"/>
    <w:rsid w:val="00507444"/>
    <w:rsid w:val="00507791"/>
    <w:rsid w:val="0050782D"/>
    <w:rsid w:val="00511EAF"/>
    <w:rsid w:val="00512637"/>
    <w:rsid w:val="005149EB"/>
    <w:rsid w:val="00515BAE"/>
    <w:rsid w:val="00516922"/>
    <w:rsid w:val="00516E09"/>
    <w:rsid w:val="00517E97"/>
    <w:rsid w:val="00520688"/>
    <w:rsid w:val="00521933"/>
    <w:rsid w:val="00524227"/>
    <w:rsid w:val="00524D40"/>
    <w:rsid w:val="00526582"/>
    <w:rsid w:val="005276E4"/>
    <w:rsid w:val="00531C0C"/>
    <w:rsid w:val="00532787"/>
    <w:rsid w:val="00532D74"/>
    <w:rsid w:val="005347BF"/>
    <w:rsid w:val="005352DD"/>
    <w:rsid w:val="005355AC"/>
    <w:rsid w:val="00536062"/>
    <w:rsid w:val="00536929"/>
    <w:rsid w:val="00537B4E"/>
    <w:rsid w:val="00537EB1"/>
    <w:rsid w:val="00540465"/>
    <w:rsid w:val="005459E7"/>
    <w:rsid w:val="00546189"/>
    <w:rsid w:val="00547E30"/>
    <w:rsid w:val="00550F9E"/>
    <w:rsid w:val="005515F6"/>
    <w:rsid w:val="005517EA"/>
    <w:rsid w:val="005519A3"/>
    <w:rsid w:val="00551F9D"/>
    <w:rsid w:val="00552351"/>
    <w:rsid w:val="0055370A"/>
    <w:rsid w:val="00554355"/>
    <w:rsid w:val="00554B06"/>
    <w:rsid w:val="005556A2"/>
    <w:rsid w:val="00555B57"/>
    <w:rsid w:val="00555C8B"/>
    <w:rsid w:val="00560111"/>
    <w:rsid w:val="005619A8"/>
    <w:rsid w:val="00562634"/>
    <w:rsid w:val="00562E0E"/>
    <w:rsid w:val="00566B44"/>
    <w:rsid w:val="00566CC5"/>
    <w:rsid w:val="005708CE"/>
    <w:rsid w:val="0057170A"/>
    <w:rsid w:val="00571ACA"/>
    <w:rsid w:val="00571E21"/>
    <w:rsid w:val="0057429A"/>
    <w:rsid w:val="00574D2B"/>
    <w:rsid w:val="00574FF4"/>
    <w:rsid w:val="0057631F"/>
    <w:rsid w:val="00576C1E"/>
    <w:rsid w:val="00576DD4"/>
    <w:rsid w:val="00580930"/>
    <w:rsid w:val="005825AB"/>
    <w:rsid w:val="00582C28"/>
    <w:rsid w:val="00583629"/>
    <w:rsid w:val="00584F3F"/>
    <w:rsid w:val="0058653A"/>
    <w:rsid w:val="00586C23"/>
    <w:rsid w:val="0058708F"/>
    <w:rsid w:val="00592607"/>
    <w:rsid w:val="00592BDE"/>
    <w:rsid w:val="00594537"/>
    <w:rsid w:val="00594F8D"/>
    <w:rsid w:val="00595849"/>
    <w:rsid w:val="00596B65"/>
    <w:rsid w:val="00597E9B"/>
    <w:rsid w:val="005A0240"/>
    <w:rsid w:val="005A0814"/>
    <w:rsid w:val="005A18F6"/>
    <w:rsid w:val="005A3500"/>
    <w:rsid w:val="005A54D9"/>
    <w:rsid w:val="005A6EA9"/>
    <w:rsid w:val="005B29AD"/>
    <w:rsid w:val="005B2E08"/>
    <w:rsid w:val="005B32DE"/>
    <w:rsid w:val="005B42FE"/>
    <w:rsid w:val="005B4F13"/>
    <w:rsid w:val="005B5048"/>
    <w:rsid w:val="005B51A5"/>
    <w:rsid w:val="005B52E3"/>
    <w:rsid w:val="005B5536"/>
    <w:rsid w:val="005B63B2"/>
    <w:rsid w:val="005B7033"/>
    <w:rsid w:val="005B7A0A"/>
    <w:rsid w:val="005C0426"/>
    <w:rsid w:val="005C1E80"/>
    <w:rsid w:val="005C2E67"/>
    <w:rsid w:val="005C4539"/>
    <w:rsid w:val="005C4674"/>
    <w:rsid w:val="005C5BC7"/>
    <w:rsid w:val="005D168D"/>
    <w:rsid w:val="005D1FCA"/>
    <w:rsid w:val="005D246F"/>
    <w:rsid w:val="005D3135"/>
    <w:rsid w:val="005D4CA5"/>
    <w:rsid w:val="005D4F4E"/>
    <w:rsid w:val="005D5153"/>
    <w:rsid w:val="005D7C25"/>
    <w:rsid w:val="005E017E"/>
    <w:rsid w:val="005E0910"/>
    <w:rsid w:val="005E09EE"/>
    <w:rsid w:val="005E0C10"/>
    <w:rsid w:val="005E127C"/>
    <w:rsid w:val="005E3B40"/>
    <w:rsid w:val="005E3D2C"/>
    <w:rsid w:val="005E4601"/>
    <w:rsid w:val="005E736A"/>
    <w:rsid w:val="005F1DF4"/>
    <w:rsid w:val="005F20E3"/>
    <w:rsid w:val="005F253E"/>
    <w:rsid w:val="005F27EF"/>
    <w:rsid w:val="005F4374"/>
    <w:rsid w:val="005F530C"/>
    <w:rsid w:val="005F60DB"/>
    <w:rsid w:val="005F70A0"/>
    <w:rsid w:val="006006CF"/>
    <w:rsid w:val="00601D2C"/>
    <w:rsid w:val="006021D2"/>
    <w:rsid w:val="00602E88"/>
    <w:rsid w:val="00604125"/>
    <w:rsid w:val="0060414F"/>
    <w:rsid w:val="0060500D"/>
    <w:rsid w:val="00605ADC"/>
    <w:rsid w:val="00606ADD"/>
    <w:rsid w:val="0060747F"/>
    <w:rsid w:val="00607641"/>
    <w:rsid w:val="00610DA3"/>
    <w:rsid w:val="006122E1"/>
    <w:rsid w:val="006147BE"/>
    <w:rsid w:val="00614EB9"/>
    <w:rsid w:val="006161F8"/>
    <w:rsid w:val="00616491"/>
    <w:rsid w:val="00616B57"/>
    <w:rsid w:val="00617055"/>
    <w:rsid w:val="006174D3"/>
    <w:rsid w:val="00622E99"/>
    <w:rsid w:val="00623355"/>
    <w:rsid w:val="00623FA5"/>
    <w:rsid w:val="0062440A"/>
    <w:rsid w:val="0062512C"/>
    <w:rsid w:val="006261E2"/>
    <w:rsid w:val="00626677"/>
    <w:rsid w:val="00631CE1"/>
    <w:rsid w:val="0063445A"/>
    <w:rsid w:val="006376CC"/>
    <w:rsid w:val="00640740"/>
    <w:rsid w:val="00641007"/>
    <w:rsid w:val="006423D5"/>
    <w:rsid w:val="0064251D"/>
    <w:rsid w:val="00642695"/>
    <w:rsid w:val="00642C1E"/>
    <w:rsid w:val="006433F8"/>
    <w:rsid w:val="006448E4"/>
    <w:rsid w:val="0064647A"/>
    <w:rsid w:val="0064667D"/>
    <w:rsid w:val="00646D73"/>
    <w:rsid w:val="0065130D"/>
    <w:rsid w:val="00652BBE"/>
    <w:rsid w:val="006537AF"/>
    <w:rsid w:val="0065413D"/>
    <w:rsid w:val="0065682C"/>
    <w:rsid w:val="00656AF7"/>
    <w:rsid w:val="006574AB"/>
    <w:rsid w:val="00657B47"/>
    <w:rsid w:val="00662342"/>
    <w:rsid w:val="00662B72"/>
    <w:rsid w:val="00662C1A"/>
    <w:rsid w:val="00663ADA"/>
    <w:rsid w:val="00663D28"/>
    <w:rsid w:val="00663E07"/>
    <w:rsid w:val="00665AEC"/>
    <w:rsid w:val="00665FC6"/>
    <w:rsid w:val="006669BC"/>
    <w:rsid w:val="00666AB2"/>
    <w:rsid w:val="0066733F"/>
    <w:rsid w:val="006679AE"/>
    <w:rsid w:val="006738A8"/>
    <w:rsid w:val="00675B3D"/>
    <w:rsid w:val="006775C7"/>
    <w:rsid w:val="0068239C"/>
    <w:rsid w:val="006829B7"/>
    <w:rsid w:val="0068442B"/>
    <w:rsid w:val="0068527A"/>
    <w:rsid w:val="00685DC9"/>
    <w:rsid w:val="00690536"/>
    <w:rsid w:val="00690AFC"/>
    <w:rsid w:val="00690CF9"/>
    <w:rsid w:val="00690F6C"/>
    <w:rsid w:val="00691F73"/>
    <w:rsid w:val="00692892"/>
    <w:rsid w:val="006948D4"/>
    <w:rsid w:val="00694E4F"/>
    <w:rsid w:val="006961BC"/>
    <w:rsid w:val="006A048D"/>
    <w:rsid w:val="006A0982"/>
    <w:rsid w:val="006A0D27"/>
    <w:rsid w:val="006A0E83"/>
    <w:rsid w:val="006A1924"/>
    <w:rsid w:val="006A26E1"/>
    <w:rsid w:val="006A37A5"/>
    <w:rsid w:val="006A44B5"/>
    <w:rsid w:val="006A45FF"/>
    <w:rsid w:val="006A5AF3"/>
    <w:rsid w:val="006A669A"/>
    <w:rsid w:val="006A695B"/>
    <w:rsid w:val="006B144D"/>
    <w:rsid w:val="006B17DB"/>
    <w:rsid w:val="006B196F"/>
    <w:rsid w:val="006B2863"/>
    <w:rsid w:val="006B3E8E"/>
    <w:rsid w:val="006B404D"/>
    <w:rsid w:val="006B48B0"/>
    <w:rsid w:val="006C030F"/>
    <w:rsid w:val="006C038D"/>
    <w:rsid w:val="006C1EA8"/>
    <w:rsid w:val="006C2838"/>
    <w:rsid w:val="006C2EC8"/>
    <w:rsid w:val="006C4A30"/>
    <w:rsid w:val="006C4E76"/>
    <w:rsid w:val="006C57F9"/>
    <w:rsid w:val="006C692B"/>
    <w:rsid w:val="006C7992"/>
    <w:rsid w:val="006C7EEA"/>
    <w:rsid w:val="006D0A68"/>
    <w:rsid w:val="006D24A2"/>
    <w:rsid w:val="006D315F"/>
    <w:rsid w:val="006D338E"/>
    <w:rsid w:val="006D38AE"/>
    <w:rsid w:val="006D52DE"/>
    <w:rsid w:val="006D55D3"/>
    <w:rsid w:val="006D6000"/>
    <w:rsid w:val="006D6865"/>
    <w:rsid w:val="006D7611"/>
    <w:rsid w:val="006E12A9"/>
    <w:rsid w:val="006E1FFD"/>
    <w:rsid w:val="006E2406"/>
    <w:rsid w:val="006E257E"/>
    <w:rsid w:val="006E3969"/>
    <w:rsid w:val="006E4A0B"/>
    <w:rsid w:val="006E6142"/>
    <w:rsid w:val="006F05FC"/>
    <w:rsid w:val="006F1605"/>
    <w:rsid w:val="006F166C"/>
    <w:rsid w:val="006F18AD"/>
    <w:rsid w:val="006F1BB4"/>
    <w:rsid w:val="006F335D"/>
    <w:rsid w:val="006F39FC"/>
    <w:rsid w:val="006F3F95"/>
    <w:rsid w:val="006F59B9"/>
    <w:rsid w:val="006F6CBF"/>
    <w:rsid w:val="006F7977"/>
    <w:rsid w:val="006F7EF6"/>
    <w:rsid w:val="00700043"/>
    <w:rsid w:val="00701C4F"/>
    <w:rsid w:val="00701FD7"/>
    <w:rsid w:val="00703022"/>
    <w:rsid w:val="00703232"/>
    <w:rsid w:val="007040C9"/>
    <w:rsid w:val="007042B4"/>
    <w:rsid w:val="00705717"/>
    <w:rsid w:val="007068D8"/>
    <w:rsid w:val="00707E77"/>
    <w:rsid w:val="0071180B"/>
    <w:rsid w:val="00711DAC"/>
    <w:rsid w:val="00720B6F"/>
    <w:rsid w:val="00720B8F"/>
    <w:rsid w:val="0072181B"/>
    <w:rsid w:val="00722E06"/>
    <w:rsid w:val="00723319"/>
    <w:rsid w:val="0072362F"/>
    <w:rsid w:val="00723ACA"/>
    <w:rsid w:val="0072459D"/>
    <w:rsid w:val="007249E6"/>
    <w:rsid w:val="00724B28"/>
    <w:rsid w:val="00724DCA"/>
    <w:rsid w:val="00725353"/>
    <w:rsid w:val="0072631B"/>
    <w:rsid w:val="0072656B"/>
    <w:rsid w:val="007275FE"/>
    <w:rsid w:val="00727FED"/>
    <w:rsid w:val="0073065D"/>
    <w:rsid w:val="00730DC0"/>
    <w:rsid w:val="007311B6"/>
    <w:rsid w:val="007330A3"/>
    <w:rsid w:val="007351F3"/>
    <w:rsid w:val="007357DE"/>
    <w:rsid w:val="00735BE9"/>
    <w:rsid w:val="00736F58"/>
    <w:rsid w:val="007402BA"/>
    <w:rsid w:val="00740804"/>
    <w:rsid w:val="00740DE0"/>
    <w:rsid w:val="00741738"/>
    <w:rsid w:val="00742900"/>
    <w:rsid w:val="00743CE5"/>
    <w:rsid w:val="00746DC8"/>
    <w:rsid w:val="00747AD3"/>
    <w:rsid w:val="00750BD2"/>
    <w:rsid w:val="007522E8"/>
    <w:rsid w:val="00752BAF"/>
    <w:rsid w:val="00754E6A"/>
    <w:rsid w:val="007551B7"/>
    <w:rsid w:val="007557A9"/>
    <w:rsid w:val="00757902"/>
    <w:rsid w:val="0075793F"/>
    <w:rsid w:val="00757BFF"/>
    <w:rsid w:val="007650AF"/>
    <w:rsid w:val="0076570F"/>
    <w:rsid w:val="00765A45"/>
    <w:rsid w:val="007661CD"/>
    <w:rsid w:val="00767A06"/>
    <w:rsid w:val="00767EFA"/>
    <w:rsid w:val="00767F90"/>
    <w:rsid w:val="007701BF"/>
    <w:rsid w:val="0077116C"/>
    <w:rsid w:val="0077308C"/>
    <w:rsid w:val="00774156"/>
    <w:rsid w:val="007745E0"/>
    <w:rsid w:val="00775093"/>
    <w:rsid w:val="00775C14"/>
    <w:rsid w:val="007760FD"/>
    <w:rsid w:val="0077791E"/>
    <w:rsid w:val="00777BB6"/>
    <w:rsid w:val="00781A3D"/>
    <w:rsid w:val="007841D4"/>
    <w:rsid w:val="0078437E"/>
    <w:rsid w:val="00784463"/>
    <w:rsid w:val="00785341"/>
    <w:rsid w:val="007856B2"/>
    <w:rsid w:val="007863B3"/>
    <w:rsid w:val="007909B3"/>
    <w:rsid w:val="00790A84"/>
    <w:rsid w:val="007934F1"/>
    <w:rsid w:val="007938EE"/>
    <w:rsid w:val="00793FD2"/>
    <w:rsid w:val="00796321"/>
    <w:rsid w:val="007963EC"/>
    <w:rsid w:val="00797355"/>
    <w:rsid w:val="007A15D9"/>
    <w:rsid w:val="007A20F3"/>
    <w:rsid w:val="007A2B63"/>
    <w:rsid w:val="007A337B"/>
    <w:rsid w:val="007A4987"/>
    <w:rsid w:val="007A4C5E"/>
    <w:rsid w:val="007A516C"/>
    <w:rsid w:val="007A5A4C"/>
    <w:rsid w:val="007A6A45"/>
    <w:rsid w:val="007A6FD4"/>
    <w:rsid w:val="007A75FC"/>
    <w:rsid w:val="007B0287"/>
    <w:rsid w:val="007B0407"/>
    <w:rsid w:val="007B0917"/>
    <w:rsid w:val="007B0CB7"/>
    <w:rsid w:val="007B1945"/>
    <w:rsid w:val="007B1C64"/>
    <w:rsid w:val="007B4D29"/>
    <w:rsid w:val="007B4F8C"/>
    <w:rsid w:val="007B5D87"/>
    <w:rsid w:val="007B6A51"/>
    <w:rsid w:val="007B6B65"/>
    <w:rsid w:val="007C0039"/>
    <w:rsid w:val="007C1B22"/>
    <w:rsid w:val="007C1C1D"/>
    <w:rsid w:val="007C31EF"/>
    <w:rsid w:val="007C4DEB"/>
    <w:rsid w:val="007C5D94"/>
    <w:rsid w:val="007C6401"/>
    <w:rsid w:val="007C6E3D"/>
    <w:rsid w:val="007C7AB5"/>
    <w:rsid w:val="007D1481"/>
    <w:rsid w:val="007D340A"/>
    <w:rsid w:val="007D4D58"/>
    <w:rsid w:val="007D61DF"/>
    <w:rsid w:val="007D6E07"/>
    <w:rsid w:val="007D7127"/>
    <w:rsid w:val="007D729A"/>
    <w:rsid w:val="007D798D"/>
    <w:rsid w:val="007E238A"/>
    <w:rsid w:val="007E6966"/>
    <w:rsid w:val="007E6B69"/>
    <w:rsid w:val="007E71C3"/>
    <w:rsid w:val="007E753F"/>
    <w:rsid w:val="007F096A"/>
    <w:rsid w:val="007F09C0"/>
    <w:rsid w:val="007F0CF8"/>
    <w:rsid w:val="007F11B3"/>
    <w:rsid w:val="007F34BA"/>
    <w:rsid w:val="007F434A"/>
    <w:rsid w:val="007F457C"/>
    <w:rsid w:val="007F4886"/>
    <w:rsid w:val="0080020C"/>
    <w:rsid w:val="00801D13"/>
    <w:rsid w:val="00802E5C"/>
    <w:rsid w:val="00803636"/>
    <w:rsid w:val="00804141"/>
    <w:rsid w:val="008048D7"/>
    <w:rsid w:val="00805150"/>
    <w:rsid w:val="0080541C"/>
    <w:rsid w:val="00806905"/>
    <w:rsid w:val="008077BA"/>
    <w:rsid w:val="0080792F"/>
    <w:rsid w:val="00810255"/>
    <w:rsid w:val="00810666"/>
    <w:rsid w:val="00810E0C"/>
    <w:rsid w:val="00811416"/>
    <w:rsid w:val="00812F65"/>
    <w:rsid w:val="008141F4"/>
    <w:rsid w:val="008143B3"/>
    <w:rsid w:val="008144DF"/>
    <w:rsid w:val="008145A8"/>
    <w:rsid w:val="0081483E"/>
    <w:rsid w:val="00814C8E"/>
    <w:rsid w:val="00814DB1"/>
    <w:rsid w:val="00816DFC"/>
    <w:rsid w:val="0081779B"/>
    <w:rsid w:val="008205BA"/>
    <w:rsid w:val="008206AE"/>
    <w:rsid w:val="00821008"/>
    <w:rsid w:val="00821543"/>
    <w:rsid w:val="0082171E"/>
    <w:rsid w:val="00822056"/>
    <w:rsid w:val="00823473"/>
    <w:rsid w:val="00824B62"/>
    <w:rsid w:val="0082642B"/>
    <w:rsid w:val="008270EE"/>
    <w:rsid w:val="00831507"/>
    <w:rsid w:val="00831BAE"/>
    <w:rsid w:val="0083235A"/>
    <w:rsid w:val="00832BF7"/>
    <w:rsid w:val="00834566"/>
    <w:rsid w:val="00836798"/>
    <w:rsid w:val="00836E93"/>
    <w:rsid w:val="008405FF"/>
    <w:rsid w:val="008408EA"/>
    <w:rsid w:val="00840B11"/>
    <w:rsid w:val="00841E49"/>
    <w:rsid w:val="00844942"/>
    <w:rsid w:val="008450C8"/>
    <w:rsid w:val="00846DF9"/>
    <w:rsid w:val="00850494"/>
    <w:rsid w:val="00851BB7"/>
    <w:rsid w:val="00851E2D"/>
    <w:rsid w:val="00852794"/>
    <w:rsid w:val="00852B3C"/>
    <w:rsid w:val="008532A2"/>
    <w:rsid w:val="00854E63"/>
    <w:rsid w:val="00854FCC"/>
    <w:rsid w:val="00855DE5"/>
    <w:rsid w:val="00855E7C"/>
    <w:rsid w:val="00856E2A"/>
    <w:rsid w:val="008572C8"/>
    <w:rsid w:val="008575CD"/>
    <w:rsid w:val="00857B4E"/>
    <w:rsid w:val="00860FB9"/>
    <w:rsid w:val="00861623"/>
    <w:rsid w:val="0086200A"/>
    <w:rsid w:val="00862F94"/>
    <w:rsid w:val="00863979"/>
    <w:rsid w:val="008646D6"/>
    <w:rsid w:val="00864F80"/>
    <w:rsid w:val="00865C40"/>
    <w:rsid w:val="00866271"/>
    <w:rsid w:val="008671B1"/>
    <w:rsid w:val="008678EB"/>
    <w:rsid w:val="00870824"/>
    <w:rsid w:val="0087093A"/>
    <w:rsid w:val="008729ED"/>
    <w:rsid w:val="00872A40"/>
    <w:rsid w:val="00873E84"/>
    <w:rsid w:val="0087574E"/>
    <w:rsid w:val="00876AE2"/>
    <w:rsid w:val="008805F3"/>
    <w:rsid w:val="00880AB9"/>
    <w:rsid w:val="00880E22"/>
    <w:rsid w:val="008858BF"/>
    <w:rsid w:val="00886D9E"/>
    <w:rsid w:val="00891D02"/>
    <w:rsid w:val="0089471E"/>
    <w:rsid w:val="00895A75"/>
    <w:rsid w:val="00897020"/>
    <w:rsid w:val="00897715"/>
    <w:rsid w:val="008A1585"/>
    <w:rsid w:val="008A17E3"/>
    <w:rsid w:val="008A28B4"/>
    <w:rsid w:val="008A4262"/>
    <w:rsid w:val="008A6BE6"/>
    <w:rsid w:val="008B051E"/>
    <w:rsid w:val="008B1DC8"/>
    <w:rsid w:val="008B23EF"/>
    <w:rsid w:val="008B2DEC"/>
    <w:rsid w:val="008B3176"/>
    <w:rsid w:val="008B3493"/>
    <w:rsid w:val="008B3541"/>
    <w:rsid w:val="008B3830"/>
    <w:rsid w:val="008B3BA5"/>
    <w:rsid w:val="008B4B62"/>
    <w:rsid w:val="008B4B68"/>
    <w:rsid w:val="008B5D95"/>
    <w:rsid w:val="008B6A48"/>
    <w:rsid w:val="008B7511"/>
    <w:rsid w:val="008C2BBD"/>
    <w:rsid w:val="008C55F8"/>
    <w:rsid w:val="008C5B4C"/>
    <w:rsid w:val="008C63B9"/>
    <w:rsid w:val="008C6840"/>
    <w:rsid w:val="008C6C78"/>
    <w:rsid w:val="008C7668"/>
    <w:rsid w:val="008D3B2B"/>
    <w:rsid w:val="008D3E59"/>
    <w:rsid w:val="008D4C00"/>
    <w:rsid w:val="008D5D99"/>
    <w:rsid w:val="008D63AF"/>
    <w:rsid w:val="008D6654"/>
    <w:rsid w:val="008D6A9D"/>
    <w:rsid w:val="008E0399"/>
    <w:rsid w:val="008E12C7"/>
    <w:rsid w:val="008E1C73"/>
    <w:rsid w:val="008E1F2D"/>
    <w:rsid w:val="008E24DA"/>
    <w:rsid w:val="008E3079"/>
    <w:rsid w:val="008E3197"/>
    <w:rsid w:val="008E38D7"/>
    <w:rsid w:val="008E71C2"/>
    <w:rsid w:val="008F0BF0"/>
    <w:rsid w:val="008F39D2"/>
    <w:rsid w:val="008F3A94"/>
    <w:rsid w:val="008F3CEE"/>
    <w:rsid w:val="008F4B33"/>
    <w:rsid w:val="008F58D2"/>
    <w:rsid w:val="00900072"/>
    <w:rsid w:val="00902A2B"/>
    <w:rsid w:val="00903370"/>
    <w:rsid w:val="009033A6"/>
    <w:rsid w:val="00904115"/>
    <w:rsid w:val="0090466A"/>
    <w:rsid w:val="00905441"/>
    <w:rsid w:val="009063EA"/>
    <w:rsid w:val="00906BA3"/>
    <w:rsid w:val="00910CDE"/>
    <w:rsid w:val="009121A5"/>
    <w:rsid w:val="00912F84"/>
    <w:rsid w:val="00913D7D"/>
    <w:rsid w:val="00915D39"/>
    <w:rsid w:val="0091668E"/>
    <w:rsid w:val="0091674D"/>
    <w:rsid w:val="00916EF1"/>
    <w:rsid w:val="00917469"/>
    <w:rsid w:val="00921208"/>
    <w:rsid w:val="009218BA"/>
    <w:rsid w:val="009229C7"/>
    <w:rsid w:val="0092356A"/>
    <w:rsid w:val="009249F0"/>
    <w:rsid w:val="009272B4"/>
    <w:rsid w:val="00931772"/>
    <w:rsid w:val="009317A2"/>
    <w:rsid w:val="0093199E"/>
    <w:rsid w:val="009319D5"/>
    <w:rsid w:val="00931E0E"/>
    <w:rsid w:val="00933869"/>
    <w:rsid w:val="0093459B"/>
    <w:rsid w:val="00934B7A"/>
    <w:rsid w:val="0093569B"/>
    <w:rsid w:val="009359F9"/>
    <w:rsid w:val="00936D0E"/>
    <w:rsid w:val="00937CE9"/>
    <w:rsid w:val="00940807"/>
    <w:rsid w:val="0094169A"/>
    <w:rsid w:val="00943C28"/>
    <w:rsid w:val="00945645"/>
    <w:rsid w:val="00946860"/>
    <w:rsid w:val="00951261"/>
    <w:rsid w:val="0095190F"/>
    <w:rsid w:val="00952109"/>
    <w:rsid w:val="00952505"/>
    <w:rsid w:val="0095384A"/>
    <w:rsid w:val="00953ABB"/>
    <w:rsid w:val="00953FD6"/>
    <w:rsid w:val="00954B75"/>
    <w:rsid w:val="00954E9E"/>
    <w:rsid w:val="009553B4"/>
    <w:rsid w:val="00956237"/>
    <w:rsid w:val="009627EA"/>
    <w:rsid w:val="00962887"/>
    <w:rsid w:val="00962A76"/>
    <w:rsid w:val="00963075"/>
    <w:rsid w:val="00963919"/>
    <w:rsid w:val="009646BA"/>
    <w:rsid w:val="00964948"/>
    <w:rsid w:val="00964F64"/>
    <w:rsid w:val="009663DC"/>
    <w:rsid w:val="009676EF"/>
    <w:rsid w:val="009679CE"/>
    <w:rsid w:val="00971039"/>
    <w:rsid w:val="009725BF"/>
    <w:rsid w:val="009730E7"/>
    <w:rsid w:val="00973E12"/>
    <w:rsid w:val="00974EE4"/>
    <w:rsid w:val="009768DD"/>
    <w:rsid w:val="00976B3C"/>
    <w:rsid w:val="0097758B"/>
    <w:rsid w:val="00977670"/>
    <w:rsid w:val="009778BB"/>
    <w:rsid w:val="009817E2"/>
    <w:rsid w:val="009818F6"/>
    <w:rsid w:val="00981B44"/>
    <w:rsid w:val="009820FD"/>
    <w:rsid w:val="0098213B"/>
    <w:rsid w:val="00982D68"/>
    <w:rsid w:val="00982DE5"/>
    <w:rsid w:val="009832C5"/>
    <w:rsid w:val="0098596B"/>
    <w:rsid w:val="009917F3"/>
    <w:rsid w:val="00991CFD"/>
    <w:rsid w:val="00993854"/>
    <w:rsid w:val="00996158"/>
    <w:rsid w:val="009A0F10"/>
    <w:rsid w:val="009A274B"/>
    <w:rsid w:val="009A40C7"/>
    <w:rsid w:val="009A79C8"/>
    <w:rsid w:val="009B0BA1"/>
    <w:rsid w:val="009B239F"/>
    <w:rsid w:val="009B36F4"/>
    <w:rsid w:val="009B4188"/>
    <w:rsid w:val="009B4BA3"/>
    <w:rsid w:val="009B7236"/>
    <w:rsid w:val="009C0B25"/>
    <w:rsid w:val="009C0FC1"/>
    <w:rsid w:val="009C2745"/>
    <w:rsid w:val="009C6F1A"/>
    <w:rsid w:val="009C750F"/>
    <w:rsid w:val="009C75DB"/>
    <w:rsid w:val="009D0428"/>
    <w:rsid w:val="009D0783"/>
    <w:rsid w:val="009D3A9B"/>
    <w:rsid w:val="009D6893"/>
    <w:rsid w:val="009D7DF2"/>
    <w:rsid w:val="009E012E"/>
    <w:rsid w:val="009E134D"/>
    <w:rsid w:val="009E1396"/>
    <w:rsid w:val="009E3FB9"/>
    <w:rsid w:val="009E5AE6"/>
    <w:rsid w:val="009E5AFF"/>
    <w:rsid w:val="009E5E96"/>
    <w:rsid w:val="009E5F58"/>
    <w:rsid w:val="009E7EF5"/>
    <w:rsid w:val="009F02DE"/>
    <w:rsid w:val="009F3640"/>
    <w:rsid w:val="009F37F4"/>
    <w:rsid w:val="009F3A92"/>
    <w:rsid w:val="009F4783"/>
    <w:rsid w:val="009F5F74"/>
    <w:rsid w:val="009F606A"/>
    <w:rsid w:val="009F6484"/>
    <w:rsid w:val="009F6A8E"/>
    <w:rsid w:val="009F6BF2"/>
    <w:rsid w:val="009F739A"/>
    <w:rsid w:val="009F75F7"/>
    <w:rsid w:val="00A00045"/>
    <w:rsid w:val="00A00753"/>
    <w:rsid w:val="00A00E90"/>
    <w:rsid w:val="00A0106D"/>
    <w:rsid w:val="00A0120A"/>
    <w:rsid w:val="00A032F3"/>
    <w:rsid w:val="00A03D2A"/>
    <w:rsid w:val="00A06D8F"/>
    <w:rsid w:val="00A1077C"/>
    <w:rsid w:val="00A11EA3"/>
    <w:rsid w:val="00A14C78"/>
    <w:rsid w:val="00A15F7E"/>
    <w:rsid w:val="00A170DC"/>
    <w:rsid w:val="00A20C49"/>
    <w:rsid w:val="00A22771"/>
    <w:rsid w:val="00A22C2F"/>
    <w:rsid w:val="00A237E1"/>
    <w:rsid w:val="00A2382C"/>
    <w:rsid w:val="00A23BC5"/>
    <w:rsid w:val="00A23DDD"/>
    <w:rsid w:val="00A24756"/>
    <w:rsid w:val="00A252CA"/>
    <w:rsid w:val="00A252F3"/>
    <w:rsid w:val="00A265A4"/>
    <w:rsid w:val="00A30570"/>
    <w:rsid w:val="00A31F01"/>
    <w:rsid w:val="00A31F54"/>
    <w:rsid w:val="00A3308C"/>
    <w:rsid w:val="00A35921"/>
    <w:rsid w:val="00A35EB1"/>
    <w:rsid w:val="00A362C4"/>
    <w:rsid w:val="00A3639A"/>
    <w:rsid w:val="00A36F8E"/>
    <w:rsid w:val="00A40F70"/>
    <w:rsid w:val="00A41D37"/>
    <w:rsid w:val="00A41F4C"/>
    <w:rsid w:val="00A42666"/>
    <w:rsid w:val="00A42F93"/>
    <w:rsid w:val="00A438E9"/>
    <w:rsid w:val="00A43BCB"/>
    <w:rsid w:val="00A44801"/>
    <w:rsid w:val="00A44A1F"/>
    <w:rsid w:val="00A44B88"/>
    <w:rsid w:val="00A44F49"/>
    <w:rsid w:val="00A45E22"/>
    <w:rsid w:val="00A46D59"/>
    <w:rsid w:val="00A50FC8"/>
    <w:rsid w:val="00A51F00"/>
    <w:rsid w:val="00A53EA2"/>
    <w:rsid w:val="00A55296"/>
    <w:rsid w:val="00A5643F"/>
    <w:rsid w:val="00A5656D"/>
    <w:rsid w:val="00A56B83"/>
    <w:rsid w:val="00A57B48"/>
    <w:rsid w:val="00A607E1"/>
    <w:rsid w:val="00A60A98"/>
    <w:rsid w:val="00A65251"/>
    <w:rsid w:val="00A65BD1"/>
    <w:rsid w:val="00A66511"/>
    <w:rsid w:val="00A67527"/>
    <w:rsid w:val="00A678BD"/>
    <w:rsid w:val="00A67FE0"/>
    <w:rsid w:val="00A701E1"/>
    <w:rsid w:val="00A74A50"/>
    <w:rsid w:val="00A7572D"/>
    <w:rsid w:val="00A7717D"/>
    <w:rsid w:val="00A777EF"/>
    <w:rsid w:val="00A77A5B"/>
    <w:rsid w:val="00A80659"/>
    <w:rsid w:val="00A81153"/>
    <w:rsid w:val="00A81445"/>
    <w:rsid w:val="00A81C2C"/>
    <w:rsid w:val="00A8237A"/>
    <w:rsid w:val="00A82489"/>
    <w:rsid w:val="00A82DA0"/>
    <w:rsid w:val="00A8320B"/>
    <w:rsid w:val="00A83A63"/>
    <w:rsid w:val="00A853AC"/>
    <w:rsid w:val="00A8563B"/>
    <w:rsid w:val="00A87458"/>
    <w:rsid w:val="00A874C1"/>
    <w:rsid w:val="00A87D09"/>
    <w:rsid w:val="00A93589"/>
    <w:rsid w:val="00A94046"/>
    <w:rsid w:val="00A94221"/>
    <w:rsid w:val="00A95CA0"/>
    <w:rsid w:val="00A97217"/>
    <w:rsid w:val="00A97CA4"/>
    <w:rsid w:val="00AA0953"/>
    <w:rsid w:val="00AA0FE4"/>
    <w:rsid w:val="00AA1056"/>
    <w:rsid w:val="00AA1B9A"/>
    <w:rsid w:val="00AA248B"/>
    <w:rsid w:val="00AA27E9"/>
    <w:rsid w:val="00AA35C6"/>
    <w:rsid w:val="00AA795C"/>
    <w:rsid w:val="00AB0809"/>
    <w:rsid w:val="00AB20E2"/>
    <w:rsid w:val="00AB24D7"/>
    <w:rsid w:val="00AB3A76"/>
    <w:rsid w:val="00AB55B1"/>
    <w:rsid w:val="00AB6123"/>
    <w:rsid w:val="00AB6D04"/>
    <w:rsid w:val="00AC2EF4"/>
    <w:rsid w:val="00AC33B0"/>
    <w:rsid w:val="00AC386C"/>
    <w:rsid w:val="00AC3E8D"/>
    <w:rsid w:val="00AC4663"/>
    <w:rsid w:val="00AC5CE2"/>
    <w:rsid w:val="00AC7A75"/>
    <w:rsid w:val="00AC7BFF"/>
    <w:rsid w:val="00AD012D"/>
    <w:rsid w:val="00AD2D6F"/>
    <w:rsid w:val="00AD3C93"/>
    <w:rsid w:val="00AD3CCB"/>
    <w:rsid w:val="00AD3E26"/>
    <w:rsid w:val="00AD69C3"/>
    <w:rsid w:val="00AD6B86"/>
    <w:rsid w:val="00AD722B"/>
    <w:rsid w:val="00AD7BE4"/>
    <w:rsid w:val="00AD7C65"/>
    <w:rsid w:val="00AE0494"/>
    <w:rsid w:val="00AE0499"/>
    <w:rsid w:val="00AE5361"/>
    <w:rsid w:val="00AF0943"/>
    <w:rsid w:val="00AF1F38"/>
    <w:rsid w:val="00AF1FE5"/>
    <w:rsid w:val="00AF2EE9"/>
    <w:rsid w:val="00AF61A3"/>
    <w:rsid w:val="00AF6F0C"/>
    <w:rsid w:val="00B0289B"/>
    <w:rsid w:val="00B035A6"/>
    <w:rsid w:val="00B035DD"/>
    <w:rsid w:val="00B03609"/>
    <w:rsid w:val="00B03B6C"/>
    <w:rsid w:val="00B03EC6"/>
    <w:rsid w:val="00B03F3C"/>
    <w:rsid w:val="00B041FA"/>
    <w:rsid w:val="00B0477A"/>
    <w:rsid w:val="00B066D4"/>
    <w:rsid w:val="00B07066"/>
    <w:rsid w:val="00B10AE9"/>
    <w:rsid w:val="00B11161"/>
    <w:rsid w:val="00B114F6"/>
    <w:rsid w:val="00B11DFD"/>
    <w:rsid w:val="00B1217F"/>
    <w:rsid w:val="00B12B69"/>
    <w:rsid w:val="00B131A2"/>
    <w:rsid w:val="00B13564"/>
    <w:rsid w:val="00B14C0F"/>
    <w:rsid w:val="00B17887"/>
    <w:rsid w:val="00B17A1E"/>
    <w:rsid w:val="00B206DC"/>
    <w:rsid w:val="00B20898"/>
    <w:rsid w:val="00B213B0"/>
    <w:rsid w:val="00B221E5"/>
    <w:rsid w:val="00B22A47"/>
    <w:rsid w:val="00B242D8"/>
    <w:rsid w:val="00B26513"/>
    <w:rsid w:val="00B31A3B"/>
    <w:rsid w:val="00B3318A"/>
    <w:rsid w:val="00B33647"/>
    <w:rsid w:val="00B34972"/>
    <w:rsid w:val="00B34AC7"/>
    <w:rsid w:val="00B34B31"/>
    <w:rsid w:val="00B34D17"/>
    <w:rsid w:val="00B3557F"/>
    <w:rsid w:val="00B3560A"/>
    <w:rsid w:val="00B3732B"/>
    <w:rsid w:val="00B3769C"/>
    <w:rsid w:val="00B404D8"/>
    <w:rsid w:val="00B409CB"/>
    <w:rsid w:val="00B427F4"/>
    <w:rsid w:val="00B429AE"/>
    <w:rsid w:val="00B42C28"/>
    <w:rsid w:val="00B435E8"/>
    <w:rsid w:val="00B44883"/>
    <w:rsid w:val="00B44BB8"/>
    <w:rsid w:val="00B45159"/>
    <w:rsid w:val="00B4554B"/>
    <w:rsid w:val="00B50554"/>
    <w:rsid w:val="00B50CA7"/>
    <w:rsid w:val="00B515EC"/>
    <w:rsid w:val="00B52136"/>
    <w:rsid w:val="00B52BD4"/>
    <w:rsid w:val="00B53EDC"/>
    <w:rsid w:val="00B57826"/>
    <w:rsid w:val="00B57BDA"/>
    <w:rsid w:val="00B61E16"/>
    <w:rsid w:val="00B63450"/>
    <w:rsid w:val="00B63CFC"/>
    <w:rsid w:val="00B65044"/>
    <w:rsid w:val="00B66073"/>
    <w:rsid w:val="00B662AF"/>
    <w:rsid w:val="00B6690F"/>
    <w:rsid w:val="00B67AB5"/>
    <w:rsid w:val="00B67F6B"/>
    <w:rsid w:val="00B67F74"/>
    <w:rsid w:val="00B704EE"/>
    <w:rsid w:val="00B74C48"/>
    <w:rsid w:val="00B75311"/>
    <w:rsid w:val="00B754F6"/>
    <w:rsid w:val="00B76988"/>
    <w:rsid w:val="00B77CE9"/>
    <w:rsid w:val="00B8087E"/>
    <w:rsid w:val="00B81F73"/>
    <w:rsid w:val="00B8240C"/>
    <w:rsid w:val="00B83263"/>
    <w:rsid w:val="00B83E51"/>
    <w:rsid w:val="00B83F89"/>
    <w:rsid w:val="00B85D6F"/>
    <w:rsid w:val="00B85F75"/>
    <w:rsid w:val="00B86D6A"/>
    <w:rsid w:val="00B87953"/>
    <w:rsid w:val="00B902C2"/>
    <w:rsid w:val="00B9128F"/>
    <w:rsid w:val="00B91D15"/>
    <w:rsid w:val="00B9319C"/>
    <w:rsid w:val="00B9396B"/>
    <w:rsid w:val="00B939ED"/>
    <w:rsid w:val="00B93ECF"/>
    <w:rsid w:val="00B93F25"/>
    <w:rsid w:val="00B949E1"/>
    <w:rsid w:val="00B95097"/>
    <w:rsid w:val="00B9548E"/>
    <w:rsid w:val="00B95F5A"/>
    <w:rsid w:val="00B9645B"/>
    <w:rsid w:val="00B9648D"/>
    <w:rsid w:val="00B97EC5"/>
    <w:rsid w:val="00BA0880"/>
    <w:rsid w:val="00BA2D88"/>
    <w:rsid w:val="00BA538F"/>
    <w:rsid w:val="00BA5703"/>
    <w:rsid w:val="00BA6835"/>
    <w:rsid w:val="00BA776A"/>
    <w:rsid w:val="00BA7A18"/>
    <w:rsid w:val="00BA7E34"/>
    <w:rsid w:val="00BB0081"/>
    <w:rsid w:val="00BB66BB"/>
    <w:rsid w:val="00BB6798"/>
    <w:rsid w:val="00BB6C06"/>
    <w:rsid w:val="00BB7284"/>
    <w:rsid w:val="00BB7E75"/>
    <w:rsid w:val="00BC08D8"/>
    <w:rsid w:val="00BC1CEF"/>
    <w:rsid w:val="00BC208E"/>
    <w:rsid w:val="00BC26D3"/>
    <w:rsid w:val="00BC3E8D"/>
    <w:rsid w:val="00BC488F"/>
    <w:rsid w:val="00BC5541"/>
    <w:rsid w:val="00BC5BAD"/>
    <w:rsid w:val="00BD028E"/>
    <w:rsid w:val="00BD07DF"/>
    <w:rsid w:val="00BD1DEF"/>
    <w:rsid w:val="00BD378C"/>
    <w:rsid w:val="00BD3EFC"/>
    <w:rsid w:val="00BD4771"/>
    <w:rsid w:val="00BD634C"/>
    <w:rsid w:val="00BE02FD"/>
    <w:rsid w:val="00BE2F59"/>
    <w:rsid w:val="00BE3622"/>
    <w:rsid w:val="00BE3866"/>
    <w:rsid w:val="00BE3AFC"/>
    <w:rsid w:val="00BE432F"/>
    <w:rsid w:val="00BE4B17"/>
    <w:rsid w:val="00BE4D1D"/>
    <w:rsid w:val="00BE5C95"/>
    <w:rsid w:val="00BE5ECB"/>
    <w:rsid w:val="00BF0173"/>
    <w:rsid w:val="00BF0B49"/>
    <w:rsid w:val="00BF267A"/>
    <w:rsid w:val="00BF3151"/>
    <w:rsid w:val="00BF35DB"/>
    <w:rsid w:val="00BF40B7"/>
    <w:rsid w:val="00BF44D4"/>
    <w:rsid w:val="00BF5A69"/>
    <w:rsid w:val="00C00161"/>
    <w:rsid w:val="00C015F9"/>
    <w:rsid w:val="00C01A76"/>
    <w:rsid w:val="00C0424F"/>
    <w:rsid w:val="00C0452A"/>
    <w:rsid w:val="00C065A2"/>
    <w:rsid w:val="00C10735"/>
    <w:rsid w:val="00C10D9D"/>
    <w:rsid w:val="00C11527"/>
    <w:rsid w:val="00C138BA"/>
    <w:rsid w:val="00C13D46"/>
    <w:rsid w:val="00C14856"/>
    <w:rsid w:val="00C15E51"/>
    <w:rsid w:val="00C15E72"/>
    <w:rsid w:val="00C21B95"/>
    <w:rsid w:val="00C24192"/>
    <w:rsid w:val="00C24200"/>
    <w:rsid w:val="00C24437"/>
    <w:rsid w:val="00C24F0A"/>
    <w:rsid w:val="00C25DDA"/>
    <w:rsid w:val="00C30B6A"/>
    <w:rsid w:val="00C32253"/>
    <w:rsid w:val="00C3317E"/>
    <w:rsid w:val="00C338C6"/>
    <w:rsid w:val="00C33B7F"/>
    <w:rsid w:val="00C354F5"/>
    <w:rsid w:val="00C404E1"/>
    <w:rsid w:val="00C41842"/>
    <w:rsid w:val="00C42BD4"/>
    <w:rsid w:val="00C4311A"/>
    <w:rsid w:val="00C440C5"/>
    <w:rsid w:val="00C448DB"/>
    <w:rsid w:val="00C449A4"/>
    <w:rsid w:val="00C45B4B"/>
    <w:rsid w:val="00C46149"/>
    <w:rsid w:val="00C469C3"/>
    <w:rsid w:val="00C4706E"/>
    <w:rsid w:val="00C4756B"/>
    <w:rsid w:val="00C51861"/>
    <w:rsid w:val="00C53AF7"/>
    <w:rsid w:val="00C54268"/>
    <w:rsid w:val="00C557D7"/>
    <w:rsid w:val="00C55AEA"/>
    <w:rsid w:val="00C565F3"/>
    <w:rsid w:val="00C56F77"/>
    <w:rsid w:val="00C57A13"/>
    <w:rsid w:val="00C637C9"/>
    <w:rsid w:val="00C64094"/>
    <w:rsid w:val="00C64445"/>
    <w:rsid w:val="00C650AF"/>
    <w:rsid w:val="00C65A78"/>
    <w:rsid w:val="00C70056"/>
    <w:rsid w:val="00C70485"/>
    <w:rsid w:val="00C70F97"/>
    <w:rsid w:val="00C72A6A"/>
    <w:rsid w:val="00C73974"/>
    <w:rsid w:val="00C746A5"/>
    <w:rsid w:val="00C74D68"/>
    <w:rsid w:val="00C75BDA"/>
    <w:rsid w:val="00C76115"/>
    <w:rsid w:val="00C805B7"/>
    <w:rsid w:val="00C823F0"/>
    <w:rsid w:val="00C83BE1"/>
    <w:rsid w:val="00C84119"/>
    <w:rsid w:val="00C857AB"/>
    <w:rsid w:val="00C86606"/>
    <w:rsid w:val="00C8677F"/>
    <w:rsid w:val="00C86872"/>
    <w:rsid w:val="00C87327"/>
    <w:rsid w:val="00C9061A"/>
    <w:rsid w:val="00C907C2"/>
    <w:rsid w:val="00C918D7"/>
    <w:rsid w:val="00C92FAD"/>
    <w:rsid w:val="00C93EA1"/>
    <w:rsid w:val="00C9544E"/>
    <w:rsid w:val="00C958CD"/>
    <w:rsid w:val="00CA0C3F"/>
    <w:rsid w:val="00CA17C2"/>
    <w:rsid w:val="00CA18FA"/>
    <w:rsid w:val="00CA1C6E"/>
    <w:rsid w:val="00CA1D5B"/>
    <w:rsid w:val="00CA1F79"/>
    <w:rsid w:val="00CA36FC"/>
    <w:rsid w:val="00CA38F1"/>
    <w:rsid w:val="00CA4812"/>
    <w:rsid w:val="00CA63C6"/>
    <w:rsid w:val="00CA6694"/>
    <w:rsid w:val="00CA7091"/>
    <w:rsid w:val="00CA72BF"/>
    <w:rsid w:val="00CB01A2"/>
    <w:rsid w:val="00CB0DAA"/>
    <w:rsid w:val="00CB1905"/>
    <w:rsid w:val="00CB27D4"/>
    <w:rsid w:val="00CB291F"/>
    <w:rsid w:val="00CB5128"/>
    <w:rsid w:val="00CB6879"/>
    <w:rsid w:val="00CB68D5"/>
    <w:rsid w:val="00CB6981"/>
    <w:rsid w:val="00CC0A47"/>
    <w:rsid w:val="00CC1713"/>
    <w:rsid w:val="00CC1C01"/>
    <w:rsid w:val="00CC1D0B"/>
    <w:rsid w:val="00CC4FB2"/>
    <w:rsid w:val="00CC525F"/>
    <w:rsid w:val="00CC570D"/>
    <w:rsid w:val="00CC66AF"/>
    <w:rsid w:val="00CC7A76"/>
    <w:rsid w:val="00CC7D50"/>
    <w:rsid w:val="00CD41FC"/>
    <w:rsid w:val="00CD52AD"/>
    <w:rsid w:val="00CD535C"/>
    <w:rsid w:val="00CD5447"/>
    <w:rsid w:val="00CD718B"/>
    <w:rsid w:val="00CD7982"/>
    <w:rsid w:val="00CE0ACE"/>
    <w:rsid w:val="00CE0E1B"/>
    <w:rsid w:val="00CE1E0B"/>
    <w:rsid w:val="00CE4770"/>
    <w:rsid w:val="00CE536A"/>
    <w:rsid w:val="00CE53C6"/>
    <w:rsid w:val="00CE772C"/>
    <w:rsid w:val="00CF0278"/>
    <w:rsid w:val="00CF0D0C"/>
    <w:rsid w:val="00CF1717"/>
    <w:rsid w:val="00CF72F8"/>
    <w:rsid w:val="00CF7762"/>
    <w:rsid w:val="00D002FC"/>
    <w:rsid w:val="00D037C8"/>
    <w:rsid w:val="00D038B7"/>
    <w:rsid w:val="00D059AC"/>
    <w:rsid w:val="00D069AC"/>
    <w:rsid w:val="00D07184"/>
    <w:rsid w:val="00D11105"/>
    <w:rsid w:val="00D11416"/>
    <w:rsid w:val="00D1186A"/>
    <w:rsid w:val="00D11A96"/>
    <w:rsid w:val="00D11FAF"/>
    <w:rsid w:val="00D13038"/>
    <w:rsid w:val="00D130AB"/>
    <w:rsid w:val="00D13BE7"/>
    <w:rsid w:val="00D14D2D"/>
    <w:rsid w:val="00D15268"/>
    <w:rsid w:val="00D15627"/>
    <w:rsid w:val="00D15C25"/>
    <w:rsid w:val="00D16341"/>
    <w:rsid w:val="00D16599"/>
    <w:rsid w:val="00D1660C"/>
    <w:rsid w:val="00D1740A"/>
    <w:rsid w:val="00D17C79"/>
    <w:rsid w:val="00D17E79"/>
    <w:rsid w:val="00D22A70"/>
    <w:rsid w:val="00D24753"/>
    <w:rsid w:val="00D26AD4"/>
    <w:rsid w:val="00D27AE6"/>
    <w:rsid w:val="00D315F2"/>
    <w:rsid w:val="00D31903"/>
    <w:rsid w:val="00D34349"/>
    <w:rsid w:val="00D36752"/>
    <w:rsid w:val="00D40054"/>
    <w:rsid w:val="00D4016F"/>
    <w:rsid w:val="00D40523"/>
    <w:rsid w:val="00D40637"/>
    <w:rsid w:val="00D44606"/>
    <w:rsid w:val="00D45207"/>
    <w:rsid w:val="00D4556E"/>
    <w:rsid w:val="00D45CD7"/>
    <w:rsid w:val="00D46E35"/>
    <w:rsid w:val="00D509B2"/>
    <w:rsid w:val="00D5111D"/>
    <w:rsid w:val="00D518B9"/>
    <w:rsid w:val="00D5358F"/>
    <w:rsid w:val="00D536A6"/>
    <w:rsid w:val="00D54904"/>
    <w:rsid w:val="00D55673"/>
    <w:rsid w:val="00D55A60"/>
    <w:rsid w:val="00D56053"/>
    <w:rsid w:val="00D613F8"/>
    <w:rsid w:val="00D62499"/>
    <w:rsid w:val="00D6255E"/>
    <w:rsid w:val="00D631EF"/>
    <w:rsid w:val="00D64000"/>
    <w:rsid w:val="00D65D78"/>
    <w:rsid w:val="00D67B29"/>
    <w:rsid w:val="00D71228"/>
    <w:rsid w:val="00D71798"/>
    <w:rsid w:val="00D7186D"/>
    <w:rsid w:val="00D71FF4"/>
    <w:rsid w:val="00D72330"/>
    <w:rsid w:val="00D7238F"/>
    <w:rsid w:val="00D74CD2"/>
    <w:rsid w:val="00D764C9"/>
    <w:rsid w:val="00D76B53"/>
    <w:rsid w:val="00D772AF"/>
    <w:rsid w:val="00D77B2A"/>
    <w:rsid w:val="00D80172"/>
    <w:rsid w:val="00D8137A"/>
    <w:rsid w:val="00D813C7"/>
    <w:rsid w:val="00D8289E"/>
    <w:rsid w:val="00D863EC"/>
    <w:rsid w:val="00D868F7"/>
    <w:rsid w:val="00D86973"/>
    <w:rsid w:val="00D87FA9"/>
    <w:rsid w:val="00D91AFB"/>
    <w:rsid w:val="00D95B92"/>
    <w:rsid w:val="00D95DE2"/>
    <w:rsid w:val="00D9615D"/>
    <w:rsid w:val="00D96305"/>
    <w:rsid w:val="00D969FB"/>
    <w:rsid w:val="00D97077"/>
    <w:rsid w:val="00D97B1D"/>
    <w:rsid w:val="00DA1056"/>
    <w:rsid w:val="00DA11FB"/>
    <w:rsid w:val="00DA1480"/>
    <w:rsid w:val="00DA5BB6"/>
    <w:rsid w:val="00DA741B"/>
    <w:rsid w:val="00DB00C9"/>
    <w:rsid w:val="00DB33AC"/>
    <w:rsid w:val="00DB3DF1"/>
    <w:rsid w:val="00DB4D7C"/>
    <w:rsid w:val="00DB4FDB"/>
    <w:rsid w:val="00DB51E8"/>
    <w:rsid w:val="00DB631F"/>
    <w:rsid w:val="00DB6A32"/>
    <w:rsid w:val="00DB7489"/>
    <w:rsid w:val="00DB74E1"/>
    <w:rsid w:val="00DB7FC6"/>
    <w:rsid w:val="00DC1DD3"/>
    <w:rsid w:val="00DC26AB"/>
    <w:rsid w:val="00DC37CA"/>
    <w:rsid w:val="00DC518B"/>
    <w:rsid w:val="00DC51B8"/>
    <w:rsid w:val="00DC5391"/>
    <w:rsid w:val="00DC53C4"/>
    <w:rsid w:val="00DC7F39"/>
    <w:rsid w:val="00DD03E6"/>
    <w:rsid w:val="00DD0911"/>
    <w:rsid w:val="00DD0916"/>
    <w:rsid w:val="00DD179D"/>
    <w:rsid w:val="00DD1855"/>
    <w:rsid w:val="00DD19B7"/>
    <w:rsid w:val="00DD2247"/>
    <w:rsid w:val="00DD2C38"/>
    <w:rsid w:val="00DD320E"/>
    <w:rsid w:val="00DD3A31"/>
    <w:rsid w:val="00DD409F"/>
    <w:rsid w:val="00DD4443"/>
    <w:rsid w:val="00DD5950"/>
    <w:rsid w:val="00DD6721"/>
    <w:rsid w:val="00DD7FCE"/>
    <w:rsid w:val="00DE0439"/>
    <w:rsid w:val="00DE0E83"/>
    <w:rsid w:val="00DE1642"/>
    <w:rsid w:val="00DE2861"/>
    <w:rsid w:val="00DE2A48"/>
    <w:rsid w:val="00DE398E"/>
    <w:rsid w:val="00DE3C54"/>
    <w:rsid w:val="00DE4D9D"/>
    <w:rsid w:val="00DE54F4"/>
    <w:rsid w:val="00DE576D"/>
    <w:rsid w:val="00DE5B11"/>
    <w:rsid w:val="00DE5EEF"/>
    <w:rsid w:val="00DE65C1"/>
    <w:rsid w:val="00DE6A1E"/>
    <w:rsid w:val="00DE6D67"/>
    <w:rsid w:val="00DE72AC"/>
    <w:rsid w:val="00DE7355"/>
    <w:rsid w:val="00DE781C"/>
    <w:rsid w:val="00DF0D9E"/>
    <w:rsid w:val="00DF1F68"/>
    <w:rsid w:val="00DF380F"/>
    <w:rsid w:val="00DF4B1F"/>
    <w:rsid w:val="00DF5C17"/>
    <w:rsid w:val="00DF6B41"/>
    <w:rsid w:val="00DF6D02"/>
    <w:rsid w:val="00E003EC"/>
    <w:rsid w:val="00E004A7"/>
    <w:rsid w:val="00E00E0D"/>
    <w:rsid w:val="00E015A9"/>
    <w:rsid w:val="00E01687"/>
    <w:rsid w:val="00E03555"/>
    <w:rsid w:val="00E05040"/>
    <w:rsid w:val="00E05CDC"/>
    <w:rsid w:val="00E062EC"/>
    <w:rsid w:val="00E071E3"/>
    <w:rsid w:val="00E1180C"/>
    <w:rsid w:val="00E11A67"/>
    <w:rsid w:val="00E126A8"/>
    <w:rsid w:val="00E1350C"/>
    <w:rsid w:val="00E15BFF"/>
    <w:rsid w:val="00E1642F"/>
    <w:rsid w:val="00E16C94"/>
    <w:rsid w:val="00E177CD"/>
    <w:rsid w:val="00E21569"/>
    <w:rsid w:val="00E21CEC"/>
    <w:rsid w:val="00E223E4"/>
    <w:rsid w:val="00E24EB7"/>
    <w:rsid w:val="00E2567C"/>
    <w:rsid w:val="00E260D6"/>
    <w:rsid w:val="00E2616F"/>
    <w:rsid w:val="00E2756B"/>
    <w:rsid w:val="00E3004D"/>
    <w:rsid w:val="00E3018C"/>
    <w:rsid w:val="00E30506"/>
    <w:rsid w:val="00E305EA"/>
    <w:rsid w:val="00E325D8"/>
    <w:rsid w:val="00E32F15"/>
    <w:rsid w:val="00E3381C"/>
    <w:rsid w:val="00E354C3"/>
    <w:rsid w:val="00E3615D"/>
    <w:rsid w:val="00E37453"/>
    <w:rsid w:val="00E37CF7"/>
    <w:rsid w:val="00E411EA"/>
    <w:rsid w:val="00E43FB9"/>
    <w:rsid w:val="00E456B7"/>
    <w:rsid w:val="00E47714"/>
    <w:rsid w:val="00E4776F"/>
    <w:rsid w:val="00E500A9"/>
    <w:rsid w:val="00E5180A"/>
    <w:rsid w:val="00E52C94"/>
    <w:rsid w:val="00E52F2D"/>
    <w:rsid w:val="00E534C4"/>
    <w:rsid w:val="00E57D45"/>
    <w:rsid w:val="00E61DB3"/>
    <w:rsid w:val="00E65A03"/>
    <w:rsid w:val="00E66C13"/>
    <w:rsid w:val="00E676FC"/>
    <w:rsid w:val="00E67D61"/>
    <w:rsid w:val="00E70D20"/>
    <w:rsid w:val="00E71606"/>
    <w:rsid w:val="00E721F7"/>
    <w:rsid w:val="00E73FD6"/>
    <w:rsid w:val="00E741AF"/>
    <w:rsid w:val="00E751CC"/>
    <w:rsid w:val="00E758EB"/>
    <w:rsid w:val="00E75C0C"/>
    <w:rsid w:val="00E76371"/>
    <w:rsid w:val="00E76487"/>
    <w:rsid w:val="00E77A18"/>
    <w:rsid w:val="00E813D9"/>
    <w:rsid w:val="00E81F4C"/>
    <w:rsid w:val="00E84D27"/>
    <w:rsid w:val="00E85790"/>
    <w:rsid w:val="00E86BC7"/>
    <w:rsid w:val="00E86D84"/>
    <w:rsid w:val="00E91055"/>
    <w:rsid w:val="00E919B1"/>
    <w:rsid w:val="00E91CA9"/>
    <w:rsid w:val="00E9263D"/>
    <w:rsid w:val="00E929A7"/>
    <w:rsid w:val="00E931ED"/>
    <w:rsid w:val="00E94314"/>
    <w:rsid w:val="00E95A42"/>
    <w:rsid w:val="00E95AD0"/>
    <w:rsid w:val="00E97799"/>
    <w:rsid w:val="00EA03E3"/>
    <w:rsid w:val="00EA10F5"/>
    <w:rsid w:val="00EA1C89"/>
    <w:rsid w:val="00EA2681"/>
    <w:rsid w:val="00EA4492"/>
    <w:rsid w:val="00EA49AF"/>
    <w:rsid w:val="00EA6067"/>
    <w:rsid w:val="00EA6998"/>
    <w:rsid w:val="00EA7CB1"/>
    <w:rsid w:val="00EB44A8"/>
    <w:rsid w:val="00EB46A7"/>
    <w:rsid w:val="00EB55A8"/>
    <w:rsid w:val="00EB580C"/>
    <w:rsid w:val="00EB5AC9"/>
    <w:rsid w:val="00EB616C"/>
    <w:rsid w:val="00EB6664"/>
    <w:rsid w:val="00EB67EB"/>
    <w:rsid w:val="00EB6D1B"/>
    <w:rsid w:val="00EC1DDF"/>
    <w:rsid w:val="00EC3426"/>
    <w:rsid w:val="00EC3B68"/>
    <w:rsid w:val="00EC4093"/>
    <w:rsid w:val="00EC45A1"/>
    <w:rsid w:val="00EC45DB"/>
    <w:rsid w:val="00EC4B44"/>
    <w:rsid w:val="00EC4E1C"/>
    <w:rsid w:val="00EC5B71"/>
    <w:rsid w:val="00EC62E6"/>
    <w:rsid w:val="00EC69E0"/>
    <w:rsid w:val="00ED045B"/>
    <w:rsid w:val="00ED04C3"/>
    <w:rsid w:val="00ED13FD"/>
    <w:rsid w:val="00ED1883"/>
    <w:rsid w:val="00ED2685"/>
    <w:rsid w:val="00ED3F58"/>
    <w:rsid w:val="00ED4793"/>
    <w:rsid w:val="00ED5C92"/>
    <w:rsid w:val="00ED5E56"/>
    <w:rsid w:val="00ED7A59"/>
    <w:rsid w:val="00ED7FF9"/>
    <w:rsid w:val="00EE0535"/>
    <w:rsid w:val="00EE08E4"/>
    <w:rsid w:val="00EE1425"/>
    <w:rsid w:val="00EE14A4"/>
    <w:rsid w:val="00EE21DA"/>
    <w:rsid w:val="00EE252D"/>
    <w:rsid w:val="00EE2A83"/>
    <w:rsid w:val="00EE37C9"/>
    <w:rsid w:val="00EE4B13"/>
    <w:rsid w:val="00EE55F8"/>
    <w:rsid w:val="00EE680B"/>
    <w:rsid w:val="00EE74D9"/>
    <w:rsid w:val="00EF158B"/>
    <w:rsid w:val="00EF2152"/>
    <w:rsid w:val="00EF2A67"/>
    <w:rsid w:val="00EF3D7C"/>
    <w:rsid w:val="00EF3ED7"/>
    <w:rsid w:val="00EF4E24"/>
    <w:rsid w:val="00EF577F"/>
    <w:rsid w:val="00EF7756"/>
    <w:rsid w:val="00F00132"/>
    <w:rsid w:val="00F00AF4"/>
    <w:rsid w:val="00F01417"/>
    <w:rsid w:val="00F01514"/>
    <w:rsid w:val="00F02887"/>
    <w:rsid w:val="00F02922"/>
    <w:rsid w:val="00F036E7"/>
    <w:rsid w:val="00F05AF8"/>
    <w:rsid w:val="00F06514"/>
    <w:rsid w:val="00F06AA4"/>
    <w:rsid w:val="00F071AA"/>
    <w:rsid w:val="00F07FCE"/>
    <w:rsid w:val="00F1019A"/>
    <w:rsid w:val="00F10AF5"/>
    <w:rsid w:val="00F11381"/>
    <w:rsid w:val="00F11AA5"/>
    <w:rsid w:val="00F14215"/>
    <w:rsid w:val="00F15CBA"/>
    <w:rsid w:val="00F16334"/>
    <w:rsid w:val="00F1652E"/>
    <w:rsid w:val="00F1761F"/>
    <w:rsid w:val="00F17CDC"/>
    <w:rsid w:val="00F2044A"/>
    <w:rsid w:val="00F204BB"/>
    <w:rsid w:val="00F20EC9"/>
    <w:rsid w:val="00F21A37"/>
    <w:rsid w:val="00F229F6"/>
    <w:rsid w:val="00F23209"/>
    <w:rsid w:val="00F24565"/>
    <w:rsid w:val="00F258D4"/>
    <w:rsid w:val="00F26031"/>
    <w:rsid w:val="00F2614A"/>
    <w:rsid w:val="00F27A4B"/>
    <w:rsid w:val="00F30493"/>
    <w:rsid w:val="00F31AB0"/>
    <w:rsid w:val="00F32661"/>
    <w:rsid w:val="00F34192"/>
    <w:rsid w:val="00F363D1"/>
    <w:rsid w:val="00F36BF5"/>
    <w:rsid w:val="00F36BF7"/>
    <w:rsid w:val="00F3717D"/>
    <w:rsid w:val="00F37356"/>
    <w:rsid w:val="00F37D20"/>
    <w:rsid w:val="00F4290C"/>
    <w:rsid w:val="00F4346B"/>
    <w:rsid w:val="00F4359C"/>
    <w:rsid w:val="00F44ACF"/>
    <w:rsid w:val="00F44F07"/>
    <w:rsid w:val="00F45522"/>
    <w:rsid w:val="00F461EB"/>
    <w:rsid w:val="00F4677D"/>
    <w:rsid w:val="00F47AAB"/>
    <w:rsid w:val="00F47C2B"/>
    <w:rsid w:val="00F53F72"/>
    <w:rsid w:val="00F54777"/>
    <w:rsid w:val="00F54E2E"/>
    <w:rsid w:val="00F55476"/>
    <w:rsid w:val="00F55F51"/>
    <w:rsid w:val="00F56B03"/>
    <w:rsid w:val="00F604AB"/>
    <w:rsid w:val="00F6273E"/>
    <w:rsid w:val="00F63F4C"/>
    <w:rsid w:val="00F641A3"/>
    <w:rsid w:val="00F65339"/>
    <w:rsid w:val="00F67704"/>
    <w:rsid w:val="00F70555"/>
    <w:rsid w:val="00F7166E"/>
    <w:rsid w:val="00F71689"/>
    <w:rsid w:val="00F71C56"/>
    <w:rsid w:val="00F72871"/>
    <w:rsid w:val="00F72BBC"/>
    <w:rsid w:val="00F74A75"/>
    <w:rsid w:val="00F75E3A"/>
    <w:rsid w:val="00F76C83"/>
    <w:rsid w:val="00F76D06"/>
    <w:rsid w:val="00F77D5E"/>
    <w:rsid w:val="00F81A21"/>
    <w:rsid w:val="00F8292D"/>
    <w:rsid w:val="00F82AEF"/>
    <w:rsid w:val="00F8464C"/>
    <w:rsid w:val="00F86895"/>
    <w:rsid w:val="00F86E27"/>
    <w:rsid w:val="00F874F7"/>
    <w:rsid w:val="00F87CFE"/>
    <w:rsid w:val="00F87E5A"/>
    <w:rsid w:val="00F9005A"/>
    <w:rsid w:val="00F910E3"/>
    <w:rsid w:val="00F91213"/>
    <w:rsid w:val="00F918E0"/>
    <w:rsid w:val="00F91E13"/>
    <w:rsid w:val="00F96A08"/>
    <w:rsid w:val="00F96BBE"/>
    <w:rsid w:val="00F9743A"/>
    <w:rsid w:val="00FA07AA"/>
    <w:rsid w:val="00FA1144"/>
    <w:rsid w:val="00FA3E41"/>
    <w:rsid w:val="00FA5232"/>
    <w:rsid w:val="00FA59B5"/>
    <w:rsid w:val="00FA5BB2"/>
    <w:rsid w:val="00FB0289"/>
    <w:rsid w:val="00FB0858"/>
    <w:rsid w:val="00FB10CC"/>
    <w:rsid w:val="00FB10FB"/>
    <w:rsid w:val="00FB1CA7"/>
    <w:rsid w:val="00FB2137"/>
    <w:rsid w:val="00FB254B"/>
    <w:rsid w:val="00FB2F72"/>
    <w:rsid w:val="00FB5AB0"/>
    <w:rsid w:val="00FC049B"/>
    <w:rsid w:val="00FC08C9"/>
    <w:rsid w:val="00FC10AD"/>
    <w:rsid w:val="00FC1679"/>
    <w:rsid w:val="00FC2581"/>
    <w:rsid w:val="00FC3534"/>
    <w:rsid w:val="00FC368E"/>
    <w:rsid w:val="00FC3843"/>
    <w:rsid w:val="00FC3CDB"/>
    <w:rsid w:val="00FC4912"/>
    <w:rsid w:val="00FC5F50"/>
    <w:rsid w:val="00FC6116"/>
    <w:rsid w:val="00FC7871"/>
    <w:rsid w:val="00FD0240"/>
    <w:rsid w:val="00FD075F"/>
    <w:rsid w:val="00FD1BA2"/>
    <w:rsid w:val="00FD2424"/>
    <w:rsid w:val="00FD279E"/>
    <w:rsid w:val="00FD2F76"/>
    <w:rsid w:val="00FD3A91"/>
    <w:rsid w:val="00FD3F90"/>
    <w:rsid w:val="00FD55E0"/>
    <w:rsid w:val="00FD5602"/>
    <w:rsid w:val="00FD60B6"/>
    <w:rsid w:val="00FD6428"/>
    <w:rsid w:val="00FD6533"/>
    <w:rsid w:val="00FD6C39"/>
    <w:rsid w:val="00FD6DEA"/>
    <w:rsid w:val="00FD7512"/>
    <w:rsid w:val="00FE005B"/>
    <w:rsid w:val="00FE061D"/>
    <w:rsid w:val="00FE1971"/>
    <w:rsid w:val="00FE522A"/>
    <w:rsid w:val="00FE5BFF"/>
    <w:rsid w:val="00FE63E0"/>
    <w:rsid w:val="00FE792C"/>
    <w:rsid w:val="00FF0F6F"/>
    <w:rsid w:val="00FF167D"/>
    <w:rsid w:val="00FF1EB0"/>
    <w:rsid w:val="00FF392E"/>
    <w:rsid w:val="00FF58FC"/>
    <w:rsid w:val="00FF5C88"/>
    <w:rsid w:val="00FF6394"/>
    <w:rsid w:val="00FF64F8"/>
    <w:rsid w:val="00FF672D"/>
    <w:rsid w:val="00FF6F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00F7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lsdException w:name="Subtle Reference" w:uiPriority="99"/>
    <w:lsdException w:name="Intense Reference" w:uiPriority="99"/>
    <w:lsdException w:name="Book Title" w:uiPriority="99"/>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67B29"/>
    <w:pPr>
      <w:spacing w:line="260" w:lineRule="atLeast"/>
    </w:pPr>
    <w:rPr>
      <w:rFonts w:eastAsia="Calibri"/>
      <w:sz w:val="22"/>
      <w:lang w:eastAsia="en-US"/>
    </w:rPr>
  </w:style>
  <w:style w:type="paragraph" w:styleId="Heading1">
    <w:name w:val="heading 1"/>
    <w:basedOn w:val="Normal"/>
    <w:next w:val="Normal"/>
    <w:link w:val="Heading1Char"/>
    <w:qFormat/>
    <w:rsid w:val="00F71C56"/>
    <w:pPr>
      <w:keepNext/>
      <w:keepLines/>
      <w:numPr>
        <w:numId w:val="2"/>
      </w:numPr>
      <w:spacing w:before="200" w:line="280" w:lineRule="atLeast"/>
      <w:outlineLvl w:val="0"/>
    </w:pPr>
    <w:rPr>
      <w:rFonts w:ascii="Arial" w:hAnsi="Arial" w:cs="Arial"/>
      <w:b/>
      <w:bCs/>
      <w:caps/>
      <w:kern w:val="32"/>
      <w:sz w:val="20"/>
      <w:szCs w:val="32"/>
    </w:rPr>
  </w:style>
  <w:style w:type="paragraph" w:styleId="Heading2">
    <w:name w:val="heading 2"/>
    <w:basedOn w:val="Normal"/>
    <w:next w:val="Normal"/>
    <w:link w:val="Heading2Char"/>
    <w:qFormat/>
    <w:rsid w:val="00F71C56"/>
    <w:pPr>
      <w:keepNext/>
      <w:keepLines/>
      <w:numPr>
        <w:ilvl w:val="1"/>
        <w:numId w:val="2"/>
      </w:numPr>
      <w:spacing w:before="200" w:line="280" w:lineRule="atLeast"/>
      <w:outlineLvl w:val="1"/>
    </w:pPr>
    <w:rPr>
      <w:rFonts w:ascii="Arial" w:hAnsi="Arial" w:cs="Arial"/>
      <w:b/>
      <w:bCs/>
      <w:iCs/>
      <w:szCs w:val="28"/>
    </w:rPr>
  </w:style>
  <w:style w:type="paragraph" w:styleId="Heading3">
    <w:name w:val="heading 3"/>
    <w:basedOn w:val="Normal"/>
    <w:next w:val="Normal"/>
    <w:link w:val="Heading3Char"/>
    <w:qFormat/>
    <w:rsid w:val="00F71C56"/>
    <w:pPr>
      <w:keepNext/>
      <w:keepLines/>
      <w:numPr>
        <w:ilvl w:val="2"/>
        <w:numId w:val="2"/>
      </w:numPr>
      <w:spacing w:before="200" w:line="280" w:lineRule="atLeast"/>
      <w:outlineLvl w:val="2"/>
    </w:pPr>
    <w:rPr>
      <w:rFonts w:ascii="Arial" w:hAnsi="Arial" w:cs="Arial"/>
      <w:b/>
      <w:bCs/>
      <w:i/>
      <w:sz w:val="20"/>
      <w:szCs w:val="26"/>
    </w:rPr>
  </w:style>
  <w:style w:type="paragraph" w:styleId="Heading4">
    <w:name w:val="heading 4"/>
    <w:basedOn w:val="Normal"/>
    <w:next w:val="Normal"/>
    <w:link w:val="Heading4Char"/>
    <w:qFormat/>
    <w:rsid w:val="00F71C56"/>
    <w:pPr>
      <w:keepNext/>
      <w:keepLines/>
      <w:numPr>
        <w:ilvl w:val="3"/>
        <w:numId w:val="2"/>
      </w:numPr>
      <w:spacing w:before="200" w:line="280" w:lineRule="atLeast"/>
      <w:outlineLvl w:val="3"/>
    </w:pPr>
    <w:rPr>
      <w:rFonts w:ascii="Arial" w:hAnsi="Arial" w:cs="Arial"/>
      <w:bCs/>
      <w:i/>
      <w:sz w:val="20"/>
      <w:szCs w:val="28"/>
    </w:rPr>
  </w:style>
  <w:style w:type="paragraph" w:styleId="Heading5">
    <w:name w:val="heading 5"/>
    <w:basedOn w:val="Normal"/>
    <w:next w:val="Normal"/>
    <w:link w:val="Heading5Char"/>
    <w:qFormat/>
    <w:rsid w:val="00F71C56"/>
    <w:pPr>
      <w:keepNext/>
      <w:keepLines/>
      <w:numPr>
        <w:ilvl w:val="4"/>
        <w:numId w:val="2"/>
      </w:numPr>
      <w:spacing w:before="200" w:line="280" w:lineRule="atLeast"/>
      <w:outlineLvl w:val="4"/>
    </w:pPr>
    <w:rPr>
      <w:rFonts w:ascii="Arial" w:hAnsi="Arial" w:cs="Arial"/>
      <w:b/>
      <w:bCs/>
      <w:iCs/>
      <w:sz w:val="18"/>
      <w:szCs w:val="26"/>
    </w:rPr>
  </w:style>
  <w:style w:type="paragraph" w:styleId="Heading6">
    <w:name w:val="heading 6"/>
    <w:basedOn w:val="Normal"/>
    <w:next w:val="Normal"/>
    <w:link w:val="Heading6Char"/>
    <w:unhideWhenUsed/>
    <w:qFormat/>
    <w:rsid w:val="008F3A94"/>
    <w:pPr>
      <w:numPr>
        <w:ilvl w:val="5"/>
        <w:numId w:val="2"/>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nhideWhenUsed/>
    <w:qFormat/>
    <w:rsid w:val="008F3A94"/>
    <w:pPr>
      <w:numPr>
        <w:ilvl w:val="6"/>
        <w:numId w:val="2"/>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nhideWhenUsed/>
    <w:qFormat/>
    <w:rsid w:val="008F3A94"/>
    <w:pPr>
      <w:numPr>
        <w:ilvl w:val="7"/>
        <w:numId w:val="2"/>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qFormat/>
    <w:rsid w:val="00F71C56"/>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44E"/>
    <w:rPr>
      <w:rFonts w:ascii="Arial" w:eastAsia="Calibri" w:hAnsi="Arial" w:cs="Arial"/>
      <w:b/>
      <w:bCs/>
      <w:caps/>
      <w:kern w:val="32"/>
      <w:szCs w:val="32"/>
      <w:lang w:eastAsia="en-US"/>
    </w:rPr>
  </w:style>
  <w:style w:type="character" w:customStyle="1" w:styleId="Heading2Char">
    <w:name w:val="Heading 2 Char"/>
    <w:basedOn w:val="DefaultParagraphFont"/>
    <w:link w:val="Heading2"/>
    <w:rsid w:val="004C144E"/>
    <w:rPr>
      <w:rFonts w:ascii="Arial" w:eastAsia="Calibri" w:hAnsi="Arial" w:cs="Arial"/>
      <w:b/>
      <w:bCs/>
      <w:iCs/>
      <w:sz w:val="22"/>
      <w:szCs w:val="28"/>
      <w:lang w:eastAsia="en-US"/>
    </w:rPr>
  </w:style>
  <w:style w:type="character" w:customStyle="1" w:styleId="Heading3Char">
    <w:name w:val="Heading 3 Char"/>
    <w:basedOn w:val="DefaultParagraphFont"/>
    <w:link w:val="Heading3"/>
    <w:rsid w:val="004C144E"/>
    <w:rPr>
      <w:rFonts w:ascii="Arial" w:eastAsia="Calibri" w:hAnsi="Arial" w:cs="Arial"/>
      <w:b/>
      <w:bCs/>
      <w:i/>
      <w:szCs w:val="26"/>
      <w:lang w:eastAsia="en-US"/>
    </w:rPr>
  </w:style>
  <w:style w:type="character" w:customStyle="1" w:styleId="Heading4Char">
    <w:name w:val="Heading 4 Char"/>
    <w:basedOn w:val="DefaultParagraphFont"/>
    <w:link w:val="Heading4"/>
    <w:rsid w:val="004C144E"/>
    <w:rPr>
      <w:rFonts w:ascii="Arial" w:eastAsia="Calibri" w:hAnsi="Arial" w:cs="Arial"/>
      <w:bCs/>
      <w:i/>
      <w:szCs w:val="28"/>
      <w:lang w:eastAsia="en-US"/>
    </w:rPr>
  </w:style>
  <w:style w:type="character" w:customStyle="1" w:styleId="Heading5Char">
    <w:name w:val="Heading 5 Char"/>
    <w:basedOn w:val="DefaultParagraphFont"/>
    <w:link w:val="Heading5"/>
    <w:rsid w:val="004C144E"/>
    <w:rPr>
      <w:rFonts w:ascii="Arial" w:eastAsia="Calibri" w:hAnsi="Arial" w:cs="Arial"/>
      <w:b/>
      <w:bCs/>
      <w:iCs/>
      <w:sz w:val="18"/>
      <w:szCs w:val="26"/>
      <w:lang w:eastAsia="en-US"/>
    </w:rPr>
  </w:style>
  <w:style w:type="character" w:customStyle="1" w:styleId="Heading6Char">
    <w:name w:val="Heading 6 Char"/>
    <w:basedOn w:val="DefaultParagraphFont"/>
    <w:link w:val="Heading6"/>
    <w:rsid w:val="008F3A94"/>
    <w:rPr>
      <w:rFonts w:asciiTheme="minorHAnsi" w:eastAsiaTheme="minorEastAsia" w:hAnsiTheme="minorHAnsi" w:cstheme="minorBidi"/>
      <w:b/>
      <w:bCs/>
      <w:sz w:val="22"/>
      <w:lang w:eastAsia="en-US"/>
    </w:rPr>
  </w:style>
  <w:style w:type="character" w:customStyle="1" w:styleId="Heading7Char">
    <w:name w:val="Heading 7 Char"/>
    <w:basedOn w:val="DefaultParagraphFont"/>
    <w:link w:val="Heading7"/>
    <w:rsid w:val="008F3A94"/>
    <w:rPr>
      <w:rFonts w:asciiTheme="minorHAnsi" w:eastAsiaTheme="minorEastAsia" w:hAnsiTheme="minorHAnsi" w:cstheme="minorBidi"/>
      <w:sz w:val="22"/>
      <w:lang w:eastAsia="en-US"/>
    </w:rPr>
  </w:style>
  <w:style w:type="character" w:customStyle="1" w:styleId="Heading8Char">
    <w:name w:val="Heading 8 Char"/>
    <w:basedOn w:val="DefaultParagraphFont"/>
    <w:link w:val="Heading8"/>
    <w:rsid w:val="008F3A94"/>
    <w:rPr>
      <w:rFonts w:asciiTheme="minorHAnsi" w:eastAsiaTheme="minorEastAsia" w:hAnsiTheme="minorHAnsi" w:cstheme="minorBidi"/>
      <w:i/>
      <w:iCs/>
      <w:sz w:val="22"/>
      <w:lang w:eastAsia="en-US"/>
    </w:rPr>
  </w:style>
  <w:style w:type="character" w:customStyle="1" w:styleId="Heading9Char">
    <w:name w:val="Heading 9 Char"/>
    <w:basedOn w:val="DefaultParagraphFont"/>
    <w:link w:val="Heading9"/>
    <w:rsid w:val="004C144E"/>
    <w:rPr>
      <w:rFonts w:ascii="Arial" w:eastAsia="Calibri" w:hAnsi="Arial" w:cs="Arial"/>
      <w:sz w:val="22"/>
      <w:szCs w:val="22"/>
      <w:lang w:eastAsia="en-US"/>
    </w:rPr>
  </w:style>
  <w:style w:type="paragraph" w:customStyle="1" w:styleId="baseheading">
    <w:name w:val="base_heading"/>
    <w:rsid w:val="00F71C56"/>
    <w:pPr>
      <w:keepNext/>
      <w:keepLines/>
      <w:spacing w:before="360"/>
      <w:ind w:left="2410" w:hanging="2410"/>
    </w:pPr>
    <w:rPr>
      <w:rFonts w:ascii="Arial" w:hAnsi="Arial" w:cs="Arial"/>
      <w:b/>
      <w:bCs/>
      <w:kern w:val="32"/>
      <w:sz w:val="24"/>
      <w:szCs w:val="32"/>
    </w:rPr>
  </w:style>
  <w:style w:type="character" w:styleId="EndnoteReference">
    <w:name w:val="endnote reference"/>
    <w:basedOn w:val="DefaultParagraphFont"/>
    <w:rsid w:val="00F71C56"/>
    <w:rPr>
      <w:rFonts w:ascii="Arial" w:hAnsi="Arial" w:cs="Arial"/>
      <w:b w:val="0"/>
      <w:i w:val="0"/>
      <w:sz w:val="22"/>
      <w:vertAlign w:val="superscript"/>
    </w:rPr>
  </w:style>
  <w:style w:type="paragraph" w:styleId="EndnoteText">
    <w:name w:val="endnote text"/>
    <w:basedOn w:val="Normal"/>
    <w:link w:val="EndnoteTextChar"/>
    <w:rsid w:val="00F71C56"/>
    <w:pPr>
      <w:tabs>
        <w:tab w:val="left" w:pos="425"/>
      </w:tabs>
      <w:spacing w:after="60"/>
      <w:ind w:left="425" w:hanging="425"/>
    </w:pPr>
    <w:rPr>
      <w:rFonts w:ascii="Arial" w:hAnsi="Arial" w:cs="Arial"/>
      <w:sz w:val="18"/>
    </w:rPr>
  </w:style>
  <w:style w:type="character" w:customStyle="1" w:styleId="EndnoteTextChar">
    <w:name w:val="Endnote Text Char"/>
    <w:basedOn w:val="DefaultParagraphFont"/>
    <w:link w:val="EndnoteText"/>
    <w:rsid w:val="00F71C56"/>
    <w:rPr>
      <w:rFonts w:ascii="Arial" w:hAnsi="Arial" w:cs="Arial"/>
      <w:sz w:val="18"/>
    </w:rPr>
  </w:style>
  <w:style w:type="paragraph" w:customStyle="1" w:styleId="ENotesHeading1">
    <w:name w:val="ENotesHeading 1"/>
    <w:aliases w:val="Enh1"/>
    <w:basedOn w:val="OPCParaBase"/>
    <w:next w:val="Normal"/>
    <w:rsid w:val="00D67B29"/>
    <w:pPr>
      <w:spacing w:before="120"/>
      <w:outlineLvl w:val="1"/>
    </w:pPr>
    <w:rPr>
      <w:b/>
      <w:sz w:val="28"/>
      <w:szCs w:val="28"/>
    </w:rPr>
  </w:style>
  <w:style w:type="paragraph" w:customStyle="1" w:styleId="ENotesHeading2">
    <w:name w:val="ENotesHeading 2"/>
    <w:aliases w:val="Enh2"/>
    <w:basedOn w:val="OPCParaBase"/>
    <w:next w:val="Normal"/>
    <w:rsid w:val="00D67B29"/>
    <w:pPr>
      <w:spacing w:before="120" w:after="120"/>
      <w:outlineLvl w:val="2"/>
    </w:pPr>
    <w:rPr>
      <w:b/>
      <w:sz w:val="24"/>
      <w:szCs w:val="28"/>
    </w:rPr>
  </w:style>
  <w:style w:type="paragraph" w:customStyle="1" w:styleId="ENoteTableHeading">
    <w:name w:val="ENoteTableHeading"/>
    <w:aliases w:val="enth"/>
    <w:basedOn w:val="OPCParaBase"/>
    <w:rsid w:val="00D67B29"/>
    <w:pPr>
      <w:keepNext/>
      <w:spacing w:before="60" w:line="240" w:lineRule="atLeast"/>
    </w:pPr>
    <w:rPr>
      <w:rFonts w:ascii="Arial" w:hAnsi="Arial"/>
      <w:b/>
      <w:sz w:val="16"/>
    </w:rPr>
  </w:style>
  <w:style w:type="paragraph" w:customStyle="1" w:styleId="ENoteTableText">
    <w:name w:val="ENoteTableText"/>
    <w:aliases w:val="entt"/>
    <w:basedOn w:val="OPCParaBase"/>
    <w:rsid w:val="00D67B29"/>
    <w:pPr>
      <w:spacing w:before="60" w:line="240" w:lineRule="atLeast"/>
    </w:pPr>
    <w:rPr>
      <w:sz w:val="16"/>
    </w:rPr>
  </w:style>
  <w:style w:type="paragraph" w:styleId="Footer">
    <w:name w:val="footer"/>
    <w:link w:val="FooterChar"/>
    <w:uiPriority w:val="99"/>
    <w:rsid w:val="00D67B29"/>
    <w:pPr>
      <w:tabs>
        <w:tab w:val="center" w:pos="4153"/>
        <w:tab w:val="right" w:pos="8306"/>
      </w:tabs>
    </w:pPr>
    <w:rPr>
      <w:sz w:val="22"/>
      <w:szCs w:val="24"/>
    </w:rPr>
  </w:style>
  <w:style w:type="character" w:customStyle="1" w:styleId="FooterChar">
    <w:name w:val="Footer Char"/>
    <w:basedOn w:val="DefaultParagraphFont"/>
    <w:link w:val="Footer"/>
    <w:uiPriority w:val="99"/>
    <w:rsid w:val="00F71C56"/>
    <w:rPr>
      <w:sz w:val="22"/>
      <w:szCs w:val="24"/>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character" w:styleId="FootnoteReference">
    <w:name w:val="footnote reference"/>
    <w:basedOn w:val="DefaultParagraphFont"/>
    <w:rsid w:val="00F71C56"/>
    <w:rPr>
      <w:rFonts w:ascii="Arial" w:hAnsi="Arial" w:cs="Arial"/>
      <w:b w:val="0"/>
      <w:i w:val="0"/>
      <w:sz w:val="22"/>
      <w:vertAlign w:val="superscript"/>
    </w:rPr>
  </w:style>
  <w:style w:type="paragraph" w:styleId="FootnoteText">
    <w:name w:val="footnote text"/>
    <w:basedOn w:val="Normal"/>
    <w:link w:val="FootnoteTextChar"/>
    <w:uiPriority w:val="99"/>
    <w:rsid w:val="00F71C56"/>
    <w:pPr>
      <w:tabs>
        <w:tab w:val="left" w:pos="425"/>
      </w:tabs>
      <w:spacing w:after="60"/>
      <w:ind w:left="425" w:right="567" w:hanging="425"/>
    </w:pPr>
    <w:rPr>
      <w:rFonts w:ascii="Arial" w:hAnsi="Arial" w:cs="Arial"/>
      <w:sz w:val="18"/>
    </w:rPr>
  </w:style>
  <w:style w:type="character" w:customStyle="1" w:styleId="FootnoteTextChar">
    <w:name w:val="Footnote Text Char"/>
    <w:basedOn w:val="DefaultParagraphFont"/>
    <w:link w:val="FootnoteText"/>
    <w:uiPriority w:val="99"/>
    <w:rsid w:val="00F71C56"/>
    <w:rPr>
      <w:rFonts w:ascii="Arial" w:hAnsi="Arial" w:cs="Arial"/>
      <w:sz w:val="18"/>
    </w:rPr>
  </w:style>
  <w:style w:type="paragraph" w:customStyle="1" w:styleId="h1Sch">
    <w:name w:val="h1_Sch"/>
    <w:basedOn w:val="baseheading"/>
    <w:next w:val="h2SchPart"/>
    <w:qFormat/>
    <w:rsid w:val="00115291"/>
    <w:pPr>
      <w:pageBreakBefore/>
      <w:spacing w:before="480"/>
      <w:outlineLvl w:val="0"/>
    </w:pPr>
    <w:rPr>
      <w:rFonts w:ascii="Times New Roman" w:hAnsi="Times New Roman"/>
      <w:sz w:val="36"/>
    </w:rPr>
  </w:style>
  <w:style w:type="paragraph" w:customStyle="1" w:styleId="h2SchPart">
    <w:name w:val="h2_Sch_Part"/>
    <w:basedOn w:val="baseheading"/>
    <w:next w:val="h3SchDiv"/>
    <w:rsid w:val="00E919B1"/>
    <w:pPr>
      <w:pageBreakBefore/>
    </w:pPr>
    <w:rPr>
      <w:sz w:val="36"/>
    </w:rPr>
  </w:style>
  <w:style w:type="paragraph" w:customStyle="1" w:styleId="h3SchDiv">
    <w:name w:val="h3_Sch_Div"/>
    <w:basedOn w:val="baseheading"/>
    <w:next w:val="Normal"/>
    <w:qFormat/>
    <w:rsid w:val="00F71C56"/>
    <w:rPr>
      <w:sz w:val="32"/>
    </w:rPr>
  </w:style>
  <w:style w:type="paragraph" w:customStyle="1" w:styleId="h2Endnote">
    <w:name w:val="h2_Endnote"/>
    <w:basedOn w:val="baseheading"/>
    <w:rsid w:val="00F71C56"/>
    <w:pPr>
      <w:outlineLvl w:val="1"/>
    </w:pPr>
    <w:rPr>
      <w:sz w:val="36"/>
    </w:rPr>
  </w:style>
  <w:style w:type="paragraph" w:customStyle="1" w:styleId="h4SchSubdiv">
    <w:name w:val="h4_Sch_Subdiv"/>
    <w:basedOn w:val="baseheading"/>
    <w:qFormat/>
    <w:rsid w:val="00F71C56"/>
    <w:pPr>
      <w:spacing w:before="200"/>
      <w:ind w:left="2693" w:hanging="2693"/>
    </w:pPr>
    <w:rPr>
      <w:sz w:val="28"/>
    </w:rPr>
  </w:style>
  <w:style w:type="paragraph" w:customStyle="1" w:styleId="h5Endnote">
    <w:name w:val="h5_Endnote"/>
    <w:basedOn w:val="baseheading"/>
    <w:rsid w:val="00F71C56"/>
    <w:pPr>
      <w:spacing w:after="60"/>
    </w:pPr>
  </w:style>
  <w:style w:type="paragraph" w:customStyle="1" w:styleId="h5SchItem">
    <w:name w:val="h5_Sch_Item"/>
    <w:basedOn w:val="baseheading"/>
    <w:next w:val="Normal"/>
    <w:qFormat/>
    <w:rsid w:val="00F71C56"/>
    <w:pPr>
      <w:spacing w:after="60"/>
      <w:ind w:left="964" w:hanging="964"/>
    </w:pPr>
  </w:style>
  <w:style w:type="paragraph" w:customStyle="1" w:styleId="h7Example">
    <w:name w:val="h7_Example"/>
    <w:basedOn w:val="baseheading"/>
    <w:next w:val="Normal"/>
    <w:qFormat/>
    <w:rsid w:val="00F71C56"/>
    <w:pPr>
      <w:spacing w:before="120"/>
      <w:ind w:left="964" w:hanging="964"/>
    </w:pPr>
    <w:rPr>
      <w:b w:val="0"/>
      <w:i/>
    </w:rPr>
  </w:style>
  <w:style w:type="paragraph" w:styleId="Header">
    <w:name w:val="header"/>
    <w:basedOn w:val="OPCParaBase"/>
    <w:link w:val="HeaderChar"/>
    <w:unhideWhenUsed/>
    <w:rsid w:val="006A45FF"/>
    <w:pPr>
      <w:keepNext/>
      <w:keepLines/>
      <w:tabs>
        <w:tab w:val="center" w:pos="4150"/>
        <w:tab w:val="right" w:pos="8307"/>
      </w:tabs>
      <w:spacing w:line="240" w:lineRule="auto"/>
      <w:ind w:left="1134" w:right="1134"/>
      <w:jc w:val="center"/>
    </w:pPr>
    <w:rPr>
      <w:i/>
    </w:rPr>
  </w:style>
  <w:style w:type="character" w:customStyle="1" w:styleId="HeaderChar">
    <w:name w:val="Header Char"/>
    <w:basedOn w:val="DefaultParagraphFont"/>
    <w:link w:val="Header"/>
    <w:rsid w:val="006A45FF"/>
    <w:rPr>
      <w:i/>
      <w:sz w:val="22"/>
    </w:rPr>
  </w:style>
  <w:style w:type="paragraph" w:customStyle="1" w:styleId="nDrafterComment">
    <w:name w:val="n_Drafter_Comment"/>
    <w:basedOn w:val="Normal"/>
    <w:qFormat/>
    <w:rsid w:val="00BE4D1D"/>
    <w:pPr>
      <w:spacing w:before="80"/>
    </w:pPr>
    <w:rPr>
      <w:rFonts w:ascii="Arial" w:hAnsi="Arial"/>
      <w:color w:val="7030A0"/>
    </w:rPr>
  </w:style>
  <w:style w:type="paragraph" w:customStyle="1" w:styleId="nEndnote">
    <w:name w:val="n_Endnote"/>
    <w:basedOn w:val="Normal"/>
    <w:rsid w:val="00F71C56"/>
    <w:pPr>
      <w:keepLines/>
      <w:spacing w:before="120" w:line="240" w:lineRule="exact"/>
      <w:ind w:left="567" w:hanging="567"/>
      <w:jc w:val="both"/>
    </w:pPr>
  </w:style>
  <w:style w:type="paragraph" w:customStyle="1" w:styleId="nSubpara">
    <w:name w:val="n_Subpara"/>
    <w:basedOn w:val="Normal"/>
    <w:qFormat/>
    <w:rsid w:val="007B1C64"/>
    <w:pPr>
      <w:tabs>
        <w:tab w:val="right" w:pos="2948"/>
      </w:tabs>
      <w:spacing w:after="100" w:line="220" w:lineRule="exact"/>
      <w:ind w:left="3119" w:hanging="3119"/>
    </w:pPr>
    <w:rPr>
      <w:sz w:val="18"/>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rsid w:val="00F71C56"/>
    <w:rPr>
      <w:rFonts w:ascii="Arial" w:hAnsi="Arial" w:cs="Arial"/>
      <w:b w:val="0"/>
      <w:i w:val="0"/>
      <w:sz w:val="16"/>
    </w:rPr>
  </w:style>
  <w:style w:type="paragraph" w:customStyle="1" w:styleId="ParagraphText">
    <w:name w:val="Paragraph_Text"/>
    <w:basedOn w:val="Normal"/>
    <w:uiPriority w:val="1"/>
    <w:rsid w:val="00F71C56"/>
    <w:rPr>
      <w:rFonts w:ascii="Arial" w:hAnsi="Arial" w:cs="Arial"/>
      <w:bCs/>
      <w:szCs w:val="26"/>
    </w:rPr>
  </w:style>
  <w:style w:type="character" w:styleId="PlaceholderText">
    <w:name w:val="Placeholder Text"/>
    <w:basedOn w:val="DefaultParagraphFont"/>
    <w:uiPriority w:val="99"/>
    <w:semiHidden/>
    <w:rsid w:val="00F71C56"/>
    <w:rPr>
      <w:color w:val="808080"/>
    </w:rPr>
  </w:style>
  <w:style w:type="paragraph" w:customStyle="1" w:styleId="PlainParagraph">
    <w:name w:val="Plain Paragraph"/>
    <w:basedOn w:val="NormalBase"/>
    <w:uiPriority w:val="1"/>
    <w:rsid w:val="00F71C56"/>
  </w:style>
  <w:style w:type="paragraph" w:customStyle="1" w:styleId="sbFirstSection">
    <w:name w:val="sb_First_Section"/>
    <w:basedOn w:val="Normal"/>
    <w:qFormat/>
    <w:rsid w:val="00F71C56"/>
    <w:pPr>
      <w:spacing w:line="160" w:lineRule="exact"/>
    </w:pPr>
    <w:rPr>
      <w:sz w:val="16"/>
    </w:rPr>
  </w:style>
  <w:style w:type="paragraph" w:customStyle="1" w:styleId="sbContents">
    <w:name w:val="sb_Contents"/>
    <w:basedOn w:val="sbFirstSection"/>
    <w:qFormat/>
    <w:rsid w:val="00F71C56"/>
  </w:style>
  <w:style w:type="paragraph" w:customStyle="1" w:styleId="sbMainSection">
    <w:name w:val="sb_Main_Section"/>
    <w:basedOn w:val="sbFirstSection"/>
    <w:qFormat/>
    <w:rsid w:val="00F71C56"/>
    <w:rPr>
      <w:b/>
      <w:bCs/>
      <w:kern w:val="32"/>
    </w:rPr>
  </w:style>
  <w:style w:type="paragraph" w:customStyle="1" w:styleId="sbSchedules">
    <w:name w:val="sb_Schedules"/>
    <w:basedOn w:val="sbFirstSection"/>
    <w:qFormat/>
    <w:rsid w:val="00F71C56"/>
  </w:style>
  <w:style w:type="paragraph" w:customStyle="1" w:styleId="Tabletext">
    <w:name w:val="Tabletext"/>
    <w:aliases w:val="tt"/>
    <w:basedOn w:val="OPCParaBase"/>
    <w:rsid w:val="00D67B29"/>
    <w:pPr>
      <w:spacing w:before="60" w:line="240" w:lineRule="atLeast"/>
    </w:pPr>
    <w:rPr>
      <w:sz w:val="20"/>
    </w:rPr>
  </w:style>
  <w:style w:type="paragraph" w:styleId="TOC1">
    <w:name w:val="toc 1"/>
    <w:basedOn w:val="OPCParaBase"/>
    <w:next w:val="Normal"/>
    <w:uiPriority w:val="39"/>
    <w:unhideWhenUsed/>
    <w:qFormat/>
    <w:rsid w:val="003E284A"/>
    <w:pPr>
      <w:keepNext/>
      <w:keepLines/>
      <w:tabs>
        <w:tab w:val="right" w:pos="8278"/>
      </w:tabs>
      <w:spacing w:before="120" w:line="240" w:lineRule="auto"/>
      <w:ind w:left="1474" w:right="1021" w:hanging="1474"/>
    </w:pPr>
    <w:rPr>
      <w:b/>
      <w:kern w:val="28"/>
      <w:sz w:val="28"/>
    </w:rPr>
  </w:style>
  <w:style w:type="paragraph" w:styleId="TOC2">
    <w:name w:val="toc 2"/>
    <w:basedOn w:val="OPCParaBase"/>
    <w:next w:val="Normal"/>
    <w:uiPriority w:val="39"/>
    <w:unhideWhenUsed/>
    <w:qFormat/>
    <w:rsid w:val="003E284A"/>
    <w:pPr>
      <w:keepNext/>
      <w:keepLines/>
      <w:tabs>
        <w:tab w:val="right" w:pos="8278"/>
      </w:tabs>
      <w:spacing w:before="120" w:line="240" w:lineRule="auto"/>
      <w:ind w:left="879" w:right="1021" w:hanging="879"/>
    </w:pPr>
    <w:rPr>
      <w:b/>
      <w:kern w:val="28"/>
      <w:sz w:val="24"/>
    </w:rPr>
  </w:style>
  <w:style w:type="paragraph" w:styleId="TOC3">
    <w:name w:val="toc 3"/>
    <w:basedOn w:val="OPCParaBase"/>
    <w:next w:val="Normal"/>
    <w:uiPriority w:val="39"/>
    <w:unhideWhenUsed/>
    <w:qFormat/>
    <w:rsid w:val="003E284A"/>
    <w:pPr>
      <w:keepNext/>
      <w:keepLines/>
      <w:tabs>
        <w:tab w:val="right" w:pos="8278"/>
      </w:tabs>
      <w:spacing w:before="80" w:line="240" w:lineRule="auto"/>
      <w:ind w:left="1604" w:right="1021" w:hanging="1179"/>
    </w:pPr>
    <w:rPr>
      <w:b/>
      <w:kern w:val="28"/>
    </w:rPr>
  </w:style>
  <w:style w:type="paragraph" w:styleId="TOC4">
    <w:name w:val="toc 4"/>
    <w:basedOn w:val="OPCParaBase"/>
    <w:next w:val="Normal"/>
    <w:uiPriority w:val="39"/>
    <w:unhideWhenUsed/>
    <w:rsid w:val="003E284A"/>
    <w:pPr>
      <w:keepLines/>
      <w:tabs>
        <w:tab w:val="right" w:pos="8278"/>
      </w:tabs>
      <w:spacing w:before="80" w:line="240" w:lineRule="auto"/>
      <w:ind w:left="2183" w:right="1021" w:hanging="1332"/>
    </w:pPr>
    <w:rPr>
      <w:b/>
      <w:kern w:val="28"/>
      <w:sz w:val="20"/>
    </w:rPr>
  </w:style>
  <w:style w:type="paragraph" w:styleId="TOC5">
    <w:name w:val="toc 5"/>
    <w:basedOn w:val="OPCParaBase"/>
    <w:next w:val="Normal"/>
    <w:uiPriority w:val="39"/>
    <w:unhideWhenUsed/>
    <w:qFormat/>
    <w:rsid w:val="003E284A"/>
    <w:pPr>
      <w:keepLines/>
      <w:tabs>
        <w:tab w:val="right" w:pos="8278"/>
      </w:tabs>
      <w:spacing w:before="40" w:line="240" w:lineRule="auto"/>
      <w:ind w:left="1985" w:right="1021" w:hanging="567"/>
    </w:pPr>
    <w:rPr>
      <w:kern w:val="28"/>
      <w:sz w:val="18"/>
    </w:rPr>
  </w:style>
  <w:style w:type="paragraph" w:styleId="TOC6">
    <w:name w:val="toc 6"/>
    <w:basedOn w:val="OPCParaBase"/>
    <w:next w:val="Normal"/>
    <w:unhideWhenUsed/>
    <w:rsid w:val="003E284A"/>
    <w:pPr>
      <w:keepLines/>
      <w:tabs>
        <w:tab w:val="right" w:pos="8278"/>
      </w:tabs>
      <w:spacing w:before="120" w:line="240" w:lineRule="auto"/>
      <w:ind w:left="1344" w:right="1021" w:hanging="1344"/>
    </w:pPr>
    <w:rPr>
      <w:b/>
      <w:kern w:val="28"/>
      <w:sz w:val="24"/>
    </w:rPr>
  </w:style>
  <w:style w:type="paragraph" w:styleId="TOC7">
    <w:name w:val="toc 7"/>
    <w:basedOn w:val="OPCParaBase"/>
    <w:next w:val="Normal"/>
    <w:unhideWhenUsed/>
    <w:rsid w:val="003E284A"/>
    <w:pPr>
      <w:keepLines/>
      <w:tabs>
        <w:tab w:val="right" w:pos="8278"/>
      </w:tabs>
      <w:spacing w:before="120" w:line="240" w:lineRule="auto"/>
      <w:ind w:left="1253" w:right="1021" w:hanging="828"/>
    </w:pPr>
    <w:rPr>
      <w:kern w:val="28"/>
      <w:sz w:val="24"/>
    </w:rPr>
  </w:style>
  <w:style w:type="paragraph" w:styleId="TOC8">
    <w:name w:val="toc 8"/>
    <w:basedOn w:val="OPCParaBase"/>
    <w:next w:val="Normal"/>
    <w:unhideWhenUsed/>
    <w:rsid w:val="003E284A"/>
    <w:pPr>
      <w:keepLines/>
      <w:tabs>
        <w:tab w:val="right" w:pos="8278"/>
      </w:tabs>
      <w:spacing w:before="80" w:line="240" w:lineRule="auto"/>
      <w:ind w:left="1900" w:right="1021" w:hanging="1049"/>
    </w:pPr>
    <w:rPr>
      <w:kern w:val="28"/>
      <w:sz w:val="20"/>
    </w:rPr>
  </w:style>
  <w:style w:type="paragraph" w:styleId="TOC9">
    <w:name w:val="toc 9"/>
    <w:basedOn w:val="OPCParaBase"/>
    <w:next w:val="Normal"/>
    <w:unhideWhenUsed/>
    <w:rsid w:val="003E284A"/>
    <w:pPr>
      <w:keepLines/>
      <w:tabs>
        <w:tab w:val="right" w:pos="8278"/>
      </w:tabs>
      <w:spacing w:before="80" w:line="240" w:lineRule="auto"/>
      <w:ind w:left="851" w:right="1021"/>
    </w:pPr>
    <w:rPr>
      <w:i/>
      <w:kern w:val="28"/>
      <w:sz w:val="20"/>
    </w:rPr>
  </w:style>
  <w:style w:type="paragraph" w:customStyle="1" w:styleId="ttAuthorisingAct">
    <w:name w:val="tt_Authorising_Act"/>
    <w:basedOn w:val="Normal"/>
    <w:rsid w:val="00F71C56"/>
    <w:pPr>
      <w:pBdr>
        <w:bottom w:val="single" w:sz="4" w:space="3" w:color="auto"/>
      </w:pBdr>
      <w:spacing w:before="480"/>
    </w:pPr>
    <w:rPr>
      <w:rFonts w:ascii="Arial" w:hAnsi="Arial" w:cs="Arial"/>
      <w:i/>
      <w:sz w:val="28"/>
      <w:szCs w:val="28"/>
      <w:lang w:val="en-US"/>
    </w:rPr>
  </w:style>
  <w:style w:type="paragraph" w:customStyle="1" w:styleId="h2ContentsIntro">
    <w:name w:val="h2_Contents_Intro"/>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ttCrest">
    <w:name w:val="tt_Crest"/>
    <w:basedOn w:val="Normal"/>
    <w:rsid w:val="006C4A30"/>
    <w:pPr>
      <w:spacing w:after="300" w:line="240" w:lineRule="atLeast"/>
    </w:pPr>
    <w:rPr>
      <w:rFonts w:ascii="Arial" w:hAnsi="Arial"/>
    </w:rPr>
  </w:style>
  <w:style w:type="paragraph" w:customStyle="1" w:styleId="ttDraftstrip">
    <w:name w:val="tt_Draft_strip"/>
    <w:basedOn w:val="Normal"/>
    <w:qFormat/>
    <w:rsid w:val="00B13564"/>
    <w:pPr>
      <w:shd w:val="clear" w:color="auto" w:fill="99CCFF"/>
      <w:tabs>
        <w:tab w:val="center" w:pos="4253"/>
        <w:tab w:val="right" w:pos="8505"/>
      </w:tabs>
      <w:spacing w:before="400" w:after="300"/>
    </w:pPr>
    <w:rPr>
      <w:rFonts w:ascii="Arial" w:hAnsi="Arial" w:cs="Arial"/>
      <w:b/>
      <w:sz w:val="32"/>
      <w:szCs w:val="32"/>
    </w:rPr>
  </w:style>
  <w:style w:type="paragraph" w:customStyle="1" w:styleId="ttFooter">
    <w:name w:val="tt_Footer"/>
    <w:basedOn w:val="Normal"/>
    <w:rsid w:val="00BE4D1D"/>
    <w:pPr>
      <w:tabs>
        <w:tab w:val="center" w:pos="4153"/>
        <w:tab w:val="right" w:pos="8363"/>
      </w:tabs>
      <w:spacing w:before="20" w:after="40"/>
      <w:jc w:val="center"/>
    </w:pPr>
    <w:rPr>
      <w:rFonts w:ascii="Arial" w:hAnsi="Arial"/>
      <w:i/>
      <w:sz w:val="18"/>
    </w:rPr>
  </w:style>
  <w:style w:type="paragraph" w:customStyle="1" w:styleId="ttFooterdraft">
    <w:name w:val="tt_Footer_draft"/>
    <w:basedOn w:val="Normal"/>
    <w:rsid w:val="00F71C56"/>
    <w:pPr>
      <w:tabs>
        <w:tab w:val="center" w:pos="4253"/>
        <w:tab w:val="right" w:pos="8505"/>
      </w:tabs>
      <w:spacing w:before="100"/>
      <w:jc w:val="both"/>
    </w:pPr>
    <w:rPr>
      <w:rFonts w:ascii="Arial" w:hAnsi="Arial"/>
      <w:b/>
      <w:sz w:val="40"/>
    </w:rPr>
  </w:style>
  <w:style w:type="paragraph" w:customStyle="1" w:styleId="ttHeader">
    <w:name w:val="tt_Header"/>
    <w:basedOn w:val="Normal"/>
    <w:link w:val="ttHeaderCharChar"/>
    <w:rsid w:val="00F71C56"/>
    <w:pPr>
      <w:pBdr>
        <w:bottom w:val="single" w:sz="4" w:space="1" w:color="auto"/>
      </w:pBdr>
      <w:tabs>
        <w:tab w:val="left" w:pos="1985"/>
      </w:tabs>
      <w:ind w:left="1985" w:hanging="1985"/>
    </w:pPr>
    <w:rPr>
      <w:rFonts w:ascii="Arial" w:hAnsi="Arial"/>
      <w:b/>
      <w:noProof/>
    </w:rPr>
  </w:style>
  <w:style w:type="character" w:customStyle="1" w:styleId="ttHeaderCharChar">
    <w:name w:val="tt_Header Char Char"/>
    <w:basedOn w:val="DefaultParagraphFont"/>
    <w:link w:val="ttHeader"/>
    <w:rsid w:val="00F71C56"/>
    <w:rPr>
      <w:rFonts w:ascii="Arial" w:hAnsi="Arial"/>
      <w:b/>
      <w:noProof/>
      <w:sz w:val="24"/>
      <w:szCs w:val="24"/>
    </w:rPr>
  </w:style>
  <w:style w:type="paragraph" w:customStyle="1" w:styleId="ttheaderDivref">
    <w:name w:val="tt_header_Div_ref"/>
    <w:basedOn w:val="ttHeader"/>
    <w:rsid w:val="00F71C56"/>
    <w:rPr>
      <w:sz w:val="20"/>
    </w:rPr>
  </w:style>
  <w:style w:type="paragraph" w:customStyle="1" w:styleId="ttheaderpage1">
    <w:name w:val="tt_header_page_1"/>
    <w:basedOn w:val="Normal"/>
    <w:rsid w:val="00F71C56"/>
    <w:pPr>
      <w:jc w:val="both"/>
    </w:pPr>
  </w:style>
  <w:style w:type="paragraph" w:customStyle="1" w:styleId="ttheaderPartref">
    <w:name w:val="tt_header_Part_ref"/>
    <w:basedOn w:val="ttHeader"/>
    <w:rsid w:val="00F71C56"/>
  </w:style>
  <w:style w:type="paragraph" w:customStyle="1" w:styleId="ttheaderSectionref">
    <w:name w:val="tt_header_Section_ref"/>
    <w:basedOn w:val="ttHeader"/>
    <w:link w:val="ttheaderSectionrefChar"/>
    <w:rsid w:val="00F71C56"/>
  </w:style>
  <w:style w:type="character" w:customStyle="1" w:styleId="ttheaderSectionrefChar">
    <w:name w:val="tt_header_Section_ref Char"/>
    <w:basedOn w:val="ttHeaderCharChar"/>
    <w:link w:val="ttheaderSectionref"/>
    <w:rsid w:val="00F71C56"/>
    <w:rPr>
      <w:rFonts w:ascii="Arial" w:hAnsi="Arial"/>
      <w:b/>
      <w:noProof/>
      <w:sz w:val="24"/>
      <w:szCs w:val="24"/>
    </w:rPr>
  </w:style>
  <w:style w:type="paragraph" w:customStyle="1" w:styleId="ttMakingWords">
    <w:name w:val="tt_Making_Words"/>
    <w:basedOn w:val="Normal"/>
    <w:qFormat/>
    <w:rsid w:val="00F71C56"/>
    <w:pPr>
      <w:spacing w:before="360"/>
      <w:jc w:val="both"/>
    </w:pPr>
  </w:style>
  <w:style w:type="paragraph" w:customStyle="1" w:styleId="ttParaMark">
    <w:name w:val="tt_Para_Mark"/>
    <w:basedOn w:val="Normal"/>
    <w:next w:val="sbFirstSection"/>
    <w:qFormat/>
    <w:rsid w:val="00F71C56"/>
    <w:rPr>
      <w:sz w:val="16"/>
    </w:rPr>
  </w:style>
  <w:style w:type="paragraph" w:customStyle="1" w:styleId="ttSigDate">
    <w:name w:val="tt_Sig_Date"/>
    <w:basedOn w:val="Normal"/>
    <w:qFormat/>
    <w:rsid w:val="00F71C56"/>
    <w:pPr>
      <w:tabs>
        <w:tab w:val="left" w:pos="2220"/>
      </w:tabs>
      <w:spacing w:before="300" w:after="1000" w:line="300" w:lineRule="atLeast"/>
    </w:pPr>
  </w:style>
  <w:style w:type="paragraph" w:customStyle="1" w:styleId="ttSigName">
    <w:name w:val="tt_Sig_Name"/>
    <w:basedOn w:val="Normal"/>
    <w:qFormat/>
    <w:rsid w:val="00F71C56"/>
    <w:pPr>
      <w:tabs>
        <w:tab w:val="left" w:pos="3969"/>
      </w:tabs>
      <w:spacing w:before="1000" w:after="120"/>
    </w:pPr>
  </w:style>
  <w:style w:type="paragraph" w:customStyle="1" w:styleId="ttSigPosition">
    <w:name w:val="tt_Sig_Position"/>
    <w:basedOn w:val="Normal"/>
    <w:link w:val="ttSigPositionChar"/>
    <w:rsid w:val="00F71C56"/>
    <w:pPr>
      <w:pBdr>
        <w:bottom w:val="single" w:sz="4" w:space="12" w:color="auto"/>
      </w:pBdr>
      <w:tabs>
        <w:tab w:val="left" w:pos="3119"/>
      </w:tabs>
      <w:spacing w:after="240" w:line="300" w:lineRule="atLeast"/>
    </w:pPr>
  </w:style>
  <w:style w:type="character" w:customStyle="1" w:styleId="ttSigPositionChar">
    <w:name w:val="tt_Sig_Position Char"/>
    <w:basedOn w:val="DefaultParagraphFont"/>
    <w:link w:val="ttSigPosition"/>
    <w:rsid w:val="00F71C56"/>
    <w:rPr>
      <w:sz w:val="24"/>
      <w:szCs w:val="24"/>
    </w:rPr>
  </w:style>
  <w:style w:type="paragraph" w:customStyle="1" w:styleId="ttTitleofInstrument">
    <w:name w:val="tt_Title_of_Instrument"/>
    <w:basedOn w:val="Normal"/>
    <w:rsid w:val="00F71C56"/>
    <w:pPr>
      <w:spacing w:before="200"/>
    </w:pPr>
    <w:rPr>
      <w:rFonts w:ascii="Arial" w:hAnsi="Arial"/>
      <w:b/>
      <w:sz w:val="32"/>
    </w:rPr>
  </w:style>
  <w:style w:type="paragraph" w:customStyle="1" w:styleId="ttExplainTemplate">
    <w:name w:val="tt_Explain_Template"/>
    <w:basedOn w:val="nDrafterComment"/>
    <w:qFormat/>
    <w:rsid w:val="00855DE5"/>
    <w:pPr>
      <w:tabs>
        <w:tab w:val="left" w:pos="737"/>
        <w:tab w:val="left" w:pos="1191"/>
        <w:tab w:val="left" w:pos="1644"/>
      </w:tabs>
    </w:pPr>
  </w:style>
  <w:style w:type="paragraph" w:styleId="BalloonText">
    <w:name w:val="Balloon Text"/>
    <w:basedOn w:val="Normal"/>
    <w:link w:val="BalloonTextChar"/>
    <w:unhideWhenUsed/>
    <w:rsid w:val="00D67B29"/>
    <w:pPr>
      <w:spacing w:line="240" w:lineRule="auto"/>
    </w:pPr>
    <w:rPr>
      <w:rFonts w:ascii="Tahoma" w:hAnsi="Tahoma"/>
      <w:sz w:val="16"/>
      <w:szCs w:val="16"/>
    </w:rPr>
  </w:style>
  <w:style w:type="character" w:customStyle="1" w:styleId="BalloonTextChar">
    <w:name w:val="Balloon Text Char"/>
    <w:basedOn w:val="DefaultParagraphFont"/>
    <w:link w:val="BalloonText"/>
    <w:rsid w:val="0083235A"/>
    <w:rPr>
      <w:rFonts w:ascii="Tahoma" w:eastAsia="Calibri" w:hAnsi="Tahoma"/>
      <w:sz w:val="16"/>
      <w:szCs w:val="16"/>
    </w:rPr>
  </w:style>
  <w:style w:type="paragraph" w:styleId="ListParagraph">
    <w:name w:val="List Paragraph"/>
    <w:basedOn w:val="Normal"/>
    <w:link w:val="ListParagraphChar"/>
    <w:uiPriority w:val="34"/>
    <w:qFormat/>
    <w:rsid w:val="00257896"/>
    <w:pPr>
      <w:ind w:left="720"/>
      <w:contextualSpacing/>
    </w:pPr>
  </w:style>
  <w:style w:type="paragraph" w:customStyle="1" w:styleId="ttContents">
    <w:name w:val="tt_Contents"/>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BoxText">
    <w:name w:val="BoxText"/>
    <w:aliases w:val="bt"/>
    <w:basedOn w:val="OPCParaBase"/>
    <w:qFormat/>
    <w:rsid w:val="00D67B2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TableHeading">
    <w:name w:val="TableHeading"/>
    <w:aliases w:val="th"/>
    <w:basedOn w:val="OPCParaBase"/>
    <w:next w:val="Tabletext"/>
    <w:rsid w:val="00D67B29"/>
    <w:pPr>
      <w:keepNext/>
      <w:spacing w:before="60" w:line="240" w:lineRule="atLeast"/>
    </w:pPr>
    <w:rPr>
      <w:b/>
      <w:sz w:val="20"/>
    </w:rPr>
  </w:style>
  <w:style w:type="paragraph" w:customStyle="1" w:styleId="bbaseheading">
    <w:name w:val="b_base_heading"/>
    <w:rsid w:val="003D7C75"/>
    <w:pPr>
      <w:keepNext/>
      <w:keepLines/>
      <w:spacing w:before="360"/>
      <w:ind w:left="2410" w:hanging="2410"/>
    </w:pPr>
    <w:rPr>
      <w:rFonts w:ascii="Arial" w:hAnsi="Arial" w:cs="Arial"/>
      <w:b/>
      <w:bCs/>
      <w:kern w:val="32"/>
      <w:sz w:val="24"/>
      <w:szCs w:val="32"/>
    </w:rPr>
  </w:style>
  <w:style w:type="paragraph" w:customStyle="1" w:styleId="bbasepara">
    <w:name w:val="b_base_para"/>
    <w:rsid w:val="003D7C75"/>
    <w:pPr>
      <w:keepLines/>
      <w:spacing w:after="80"/>
    </w:pPr>
    <w:rPr>
      <w:rFonts w:cs="Arial"/>
      <w:iCs/>
      <w:sz w:val="24"/>
      <w:szCs w:val="22"/>
    </w:rPr>
  </w:style>
  <w:style w:type="paragraph" w:customStyle="1" w:styleId="bbaseTOC">
    <w:name w:val="b_base_TOC"/>
    <w:rsid w:val="003D7C75"/>
    <w:pPr>
      <w:tabs>
        <w:tab w:val="right" w:pos="8278"/>
      </w:tabs>
      <w:ind w:left="2126" w:hanging="2126"/>
    </w:pPr>
    <w:rPr>
      <w:rFonts w:ascii="Arial" w:hAnsi="Arial" w:cs="Arial"/>
      <w:noProof/>
      <w:sz w:val="24"/>
      <w:szCs w:val="22"/>
    </w:rPr>
  </w:style>
  <w:style w:type="paragraph" w:customStyle="1" w:styleId="OPCParaBase">
    <w:name w:val="OPCParaBase"/>
    <w:qFormat/>
    <w:rsid w:val="00D67B29"/>
    <w:pPr>
      <w:spacing w:line="260" w:lineRule="atLeast"/>
    </w:pPr>
    <w:rPr>
      <w:sz w:val="22"/>
    </w:rPr>
  </w:style>
  <w:style w:type="paragraph" w:customStyle="1" w:styleId="h1Chap">
    <w:name w:val="h1_Chap"/>
    <w:aliases w:val="ActHead 1,c"/>
    <w:basedOn w:val="OPCParaBase"/>
    <w:next w:val="Normal"/>
    <w:qFormat/>
    <w:rsid w:val="00115291"/>
    <w:pPr>
      <w:keepNext/>
      <w:keepLines/>
      <w:pageBreakBefore/>
      <w:spacing w:line="240" w:lineRule="auto"/>
      <w:ind w:left="1134" w:hanging="1134"/>
      <w:outlineLvl w:val="0"/>
    </w:pPr>
    <w:rPr>
      <w:b/>
      <w:kern w:val="28"/>
      <w:sz w:val="36"/>
    </w:rPr>
  </w:style>
  <w:style w:type="paragraph" w:customStyle="1" w:styleId="h2Part">
    <w:name w:val="h2_Part"/>
    <w:aliases w:val="ActHead 2,p"/>
    <w:basedOn w:val="OPCParaBase"/>
    <w:next w:val="Normal"/>
    <w:qFormat/>
    <w:rsid w:val="00115291"/>
    <w:pPr>
      <w:keepNext/>
      <w:keepLines/>
      <w:pageBreakBefore/>
      <w:spacing w:before="280" w:line="240" w:lineRule="auto"/>
      <w:ind w:left="1134" w:hanging="1134"/>
      <w:outlineLvl w:val="1"/>
    </w:pPr>
    <w:rPr>
      <w:b/>
      <w:kern w:val="28"/>
      <w:sz w:val="32"/>
    </w:rPr>
  </w:style>
  <w:style w:type="paragraph" w:customStyle="1" w:styleId="h3Div">
    <w:name w:val="h3_Div"/>
    <w:aliases w:val="ActHead 3,d"/>
    <w:basedOn w:val="OPCParaBase"/>
    <w:next w:val="Normal"/>
    <w:qFormat/>
    <w:rsid w:val="00D67B29"/>
    <w:pPr>
      <w:keepNext/>
      <w:keepLines/>
      <w:spacing w:before="240" w:line="240" w:lineRule="auto"/>
      <w:ind w:left="1134" w:hanging="1134"/>
      <w:outlineLvl w:val="2"/>
    </w:pPr>
    <w:rPr>
      <w:b/>
      <w:kern w:val="28"/>
      <w:sz w:val="28"/>
    </w:rPr>
  </w:style>
  <w:style w:type="paragraph" w:customStyle="1" w:styleId="h4Subdiv">
    <w:name w:val="h4_Subdiv"/>
    <w:aliases w:val="ActHead 4,sd"/>
    <w:basedOn w:val="OPCParaBase"/>
    <w:next w:val="Normal"/>
    <w:qFormat/>
    <w:rsid w:val="00D67B29"/>
    <w:pPr>
      <w:keepNext/>
      <w:keepLines/>
      <w:spacing w:before="220" w:line="240" w:lineRule="auto"/>
      <w:ind w:left="1134" w:hanging="1134"/>
      <w:outlineLvl w:val="3"/>
    </w:pPr>
    <w:rPr>
      <w:b/>
      <w:kern w:val="28"/>
      <w:sz w:val="26"/>
    </w:rPr>
  </w:style>
  <w:style w:type="paragraph" w:customStyle="1" w:styleId="h5Section">
    <w:name w:val="h5_Section"/>
    <w:aliases w:val="ActHead 5,s"/>
    <w:basedOn w:val="OPCParaBase"/>
    <w:next w:val="Normal"/>
    <w:qFormat/>
    <w:rsid w:val="00D67B2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Normal"/>
    <w:qFormat/>
    <w:rsid w:val="00D67B2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Normal"/>
    <w:qFormat/>
    <w:rsid w:val="00D67B2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Normal"/>
    <w:qFormat/>
    <w:rsid w:val="00D67B2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Normal"/>
    <w:qFormat/>
    <w:rsid w:val="00D67B29"/>
    <w:pPr>
      <w:keepNext/>
      <w:keepLines/>
      <w:spacing w:before="280" w:line="240" w:lineRule="auto"/>
      <w:ind w:left="1134" w:hanging="1134"/>
      <w:outlineLvl w:val="8"/>
    </w:pPr>
    <w:rPr>
      <w:b/>
      <w:i/>
      <w:kern w:val="28"/>
      <w:sz w:val="28"/>
    </w:rPr>
  </w:style>
  <w:style w:type="paragraph" w:customStyle="1" w:styleId="ShortT">
    <w:name w:val="ShortT"/>
    <w:basedOn w:val="OPCParaBase"/>
    <w:next w:val="Normal"/>
    <w:uiPriority w:val="99"/>
    <w:qFormat/>
    <w:rsid w:val="00D67B29"/>
    <w:pPr>
      <w:spacing w:line="240" w:lineRule="auto"/>
    </w:pPr>
    <w:rPr>
      <w:b/>
      <w:sz w:val="40"/>
    </w:rPr>
  </w:style>
  <w:style w:type="paragraph" w:customStyle="1" w:styleId="Actno">
    <w:name w:val="Actno"/>
    <w:basedOn w:val="ShortT"/>
    <w:next w:val="Normal"/>
    <w:qFormat/>
    <w:rsid w:val="00D67B29"/>
  </w:style>
  <w:style w:type="paragraph" w:customStyle="1" w:styleId="Blocks">
    <w:name w:val="Blocks"/>
    <w:aliases w:val="bb"/>
    <w:basedOn w:val="OPCParaBase"/>
    <w:qFormat/>
    <w:rsid w:val="00D67B29"/>
    <w:pPr>
      <w:spacing w:line="240" w:lineRule="auto"/>
    </w:pPr>
    <w:rPr>
      <w:sz w:val="24"/>
    </w:rPr>
  </w:style>
  <w:style w:type="paragraph" w:customStyle="1" w:styleId="BoxHeadBold">
    <w:name w:val="BoxHeadBold"/>
    <w:aliases w:val="bhb"/>
    <w:basedOn w:val="BoxText"/>
    <w:next w:val="BoxText"/>
    <w:qFormat/>
    <w:rsid w:val="00D67B29"/>
    <w:rPr>
      <w:b/>
    </w:rPr>
  </w:style>
  <w:style w:type="paragraph" w:customStyle="1" w:styleId="BoxHeadItalic">
    <w:name w:val="BoxHeadItalic"/>
    <w:aliases w:val="bhi"/>
    <w:basedOn w:val="BoxText"/>
    <w:next w:val="Normal"/>
    <w:qFormat/>
    <w:rsid w:val="00D67B29"/>
    <w:rPr>
      <w:i/>
    </w:rPr>
  </w:style>
  <w:style w:type="paragraph" w:customStyle="1" w:styleId="BoxList">
    <w:name w:val="BoxList"/>
    <w:aliases w:val="bl"/>
    <w:basedOn w:val="BoxText"/>
    <w:qFormat/>
    <w:rsid w:val="00D67B29"/>
    <w:pPr>
      <w:ind w:left="1559" w:hanging="425"/>
    </w:pPr>
  </w:style>
  <w:style w:type="paragraph" w:customStyle="1" w:styleId="BoxNote">
    <w:name w:val="BoxNote"/>
    <w:aliases w:val="bn"/>
    <w:basedOn w:val="BoxText"/>
    <w:qFormat/>
    <w:rsid w:val="00D67B29"/>
    <w:pPr>
      <w:tabs>
        <w:tab w:val="left" w:pos="1985"/>
      </w:tabs>
      <w:spacing w:before="122" w:line="198" w:lineRule="exact"/>
      <w:ind w:left="2948" w:hanging="1814"/>
    </w:pPr>
    <w:rPr>
      <w:sz w:val="18"/>
    </w:rPr>
  </w:style>
  <w:style w:type="paragraph" w:customStyle="1" w:styleId="BoxPara">
    <w:name w:val="BoxPara"/>
    <w:aliases w:val="bp"/>
    <w:basedOn w:val="BoxText"/>
    <w:qFormat/>
    <w:rsid w:val="00D67B29"/>
    <w:pPr>
      <w:tabs>
        <w:tab w:val="right" w:pos="2268"/>
      </w:tabs>
      <w:ind w:left="2552" w:hanging="1418"/>
    </w:pPr>
  </w:style>
  <w:style w:type="paragraph" w:customStyle="1" w:styleId="BoxStep">
    <w:name w:val="BoxStep"/>
    <w:aliases w:val="bs"/>
    <w:basedOn w:val="BoxText"/>
    <w:qFormat/>
    <w:rsid w:val="00D67B29"/>
    <w:pPr>
      <w:ind w:left="1985" w:hanging="851"/>
    </w:pPr>
  </w:style>
  <w:style w:type="table" w:customStyle="1" w:styleId="CFlag">
    <w:name w:val="CFlag"/>
    <w:basedOn w:val="TableNormal"/>
    <w:uiPriority w:val="99"/>
    <w:rsid w:val="00D67B29"/>
    <w:tblPr/>
  </w:style>
  <w:style w:type="character" w:customStyle="1" w:styleId="OPCCharBase">
    <w:name w:val="OPCCharBase"/>
    <w:uiPriority w:val="1"/>
    <w:qFormat/>
    <w:rsid w:val="00D67B29"/>
  </w:style>
  <w:style w:type="character" w:customStyle="1" w:styleId="CharAmPartNo">
    <w:name w:val="CharAmPartNo"/>
    <w:basedOn w:val="OPCCharBase"/>
    <w:uiPriority w:val="1"/>
    <w:qFormat/>
    <w:rsid w:val="00D67B29"/>
  </w:style>
  <w:style w:type="character" w:customStyle="1" w:styleId="CharAmPartText">
    <w:name w:val="CharAmPartText"/>
    <w:basedOn w:val="OPCCharBase"/>
    <w:uiPriority w:val="1"/>
    <w:qFormat/>
    <w:rsid w:val="00D67B29"/>
  </w:style>
  <w:style w:type="character" w:customStyle="1" w:styleId="CharAmSchNo">
    <w:name w:val="CharAmSchNo"/>
    <w:basedOn w:val="OPCCharBase"/>
    <w:qFormat/>
    <w:rsid w:val="00D67B29"/>
  </w:style>
  <w:style w:type="character" w:customStyle="1" w:styleId="CharAmSchText">
    <w:name w:val="CharAmSchText"/>
    <w:basedOn w:val="OPCCharBase"/>
    <w:qFormat/>
    <w:rsid w:val="00D67B29"/>
  </w:style>
  <w:style w:type="character" w:customStyle="1" w:styleId="CharBoldItalic">
    <w:name w:val="CharBoldItalic"/>
    <w:uiPriority w:val="1"/>
    <w:qFormat/>
    <w:rsid w:val="00D67B29"/>
    <w:rPr>
      <w:b/>
      <w:i/>
    </w:rPr>
  </w:style>
  <w:style w:type="character" w:customStyle="1" w:styleId="CharChapNo">
    <w:name w:val="CharChapNo"/>
    <w:basedOn w:val="OPCCharBase"/>
    <w:qFormat/>
    <w:rsid w:val="00D67B29"/>
  </w:style>
  <w:style w:type="character" w:customStyle="1" w:styleId="CharChapText">
    <w:name w:val="CharChapText"/>
    <w:basedOn w:val="OPCCharBase"/>
    <w:qFormat/>
    <w:rsid w:val="00D67B29"/>
  </w:style>
  <w:style w:type="character" w:customStyle="1" w:styleId="CharDivNo">
    <w:name w:val="CharDivNo"/>
    <w:basedOn w:val="OPCCharBase"/>
    <w:qFormat/>
    <w:rsid w:val="00D67B29"/>
  </w:style>
  <w:style w:type="character" w:customStyle="1" w:styleId="CharDivText">
    <w:name w:val="CharDivText"/>
    <w:basedOn w:val="OPCCharBase"/>
    <w:qFormat/>
    <w:rsid w:val="00D67B29"/>
  </w:style>
  <w:style w:type="character" w:customStyle="1" w:styleId="CharItalic">
    <w:name w:val="CharItalic"/>
    <w:uiPriority w:val="1"/>
    <w:qFormat/>
    <w:rsid w:val="00D67B29"/>
    <w:rPr>
      <w:i/>
    </w:rPr>
  </w:style>
  <w:style w:type="character" w:customStyle="1" w:styleId="CharPartNo">
    <w:name w:val="CharPartNo"/>
    <w:basedOn w:val="OPCCharBase"/>
    <w:qFormat/>
    <w:rsid w:val="00D67B29"/>
  </w:style>
  <w:style w:type="character" w:customStyle="1" w:styleId="CharPartText">
    <w:name w:val="CharPartText"/>
    <w:basedOn w:val="OPCCharBase"/>
    <w:qFormat/>
    <w:rsid w:val="00D67B29"/>
  </w:style>
  <w:style w:type="character" w:customStyle="1" w:styleId="CharSectno">
    <w:name w:val="CharSectno"/>
    <w:basedOn w:val="OPCCharBase"/>
    <w:qFormat/>
    <w:rsid w:val="00D67B29"/>
  </w:style>
  <w:style w:type="character" w:customStyle="1" w:styleId="CharSubdNo">
    <w:name w:val="CharSubdNo"/>
    <w:basedOn w:val="OPCCharBase"/>
    <w:uiPriority w:val="1"/>
    <w:qFormat/>
    <w:rsid w:val="00D67B29"/>
  </w:style>
  <w:style w:type="character" w:customStyle="1" w:styleId="CharSubdText">
    <w:name w:val="CharSubdText"/>
    <w:basedOn w:val="OPCCharBase"/>
    <w:uiPriority w:val="1"/>
    <w:qFormat/>
    <w:rsid w:val="00D67B29"/>
  </w:style>
  <w:style w:type="character" w:customStyle="1" w:styleId="CharSubPartNoCASA">
    <w:name w:val="CharSubPartNo(CASA)"/>
    <w:basedOn w:val="OPCCharBase"/>
    <w:uiPriority w:val="1"/>
    <w:rsid w:val="00D67B29"/>
  </w:style>
  <w:style w:type="character" w:customStyle="1" w:styleId="CharSubPartTextCASA">
    <w:name w:val="CharSubPartText(CASA)"/>
    <w:basedOn w:val="OPCCharBase"/>
    <w:uiPriority w:val="1"/>
    <w:rsid w:val="00D67B29"/>
  </w:style>
  <w:style w:type="paragraph" w:customStyle="1" w:styleId="CompiledActNo">
    <w:name w:val="CompiledActNo"/>
    <w:basedOn w:val="OPCParaBase"/>
    <w:next w:val="Normal"/>
    <w:rsid w:val="00D67B29"/>
    <w:rPr>
      <w:b/>
      <w:sz w:val="24"/>
      <w:szCs w:val="24"/>
    </w:rPr>
  </w:style>
  <w:style w:type="paragraph" w:customStyle="1" w:styleId="CompiledMadeUnder">
    <w:name w:val="CompiledMadeUnder"/>
    <w:basedOn w:val="OPCParaBase"/>
    <w:next w:val="Normal"/>
    <w:rsid w:val="00D67B29"/>
    <w:rPr>
      <w:i/>
      <w:sz w:val="24"/>
      <w:szCs w:val="24"/>
    </w:rPr>
  </w:style>
  <w:style w:type="paragraph" w:customStyle="1" w:styleId="CTA-">
    <w:name w:val="CTA -"/>
    <w:basedOn w:val="OPCParaBase"/>
    <w:rsid w:val="00D67B29"/>
    <w:pPr>
      <w:spacing w:before="60" w:line="240" w:lineRule="atLeast"/>
      <w:ind w:left="85" w:hanging="85"/>
    </w:pPr>
    <w:rPr>
      <w:sz w:val="20"/>
    </w:rPr>
  </w:style>
  <w:style w:type="paragraph" w:customStyle="1" w:styleId="CTA--">
    <w:name w:val="CTA --"/>
    <w:basedOn w:val="OPCParaBase"/>
    <w:next w:val="Normal"/>
    <w:rsid w:val="00D67B29"/>
    <w:pPr>
      <w:spacing w:before="60" w:line="240" w:lineRule="atLeast"/>
      <w:ind w:left="142" w:hanging="142"/>
    </w:pPr>
    <w:rPr>
      <w:sz w:val="20"/>
    </w:rPr>
  </w:style>
  <w:style w:type="paragraph" w:customStyle="1" w:styleId="CTA---">
    <w:name w:val="CTA ---"/>
    <w:basedOn w:val="OPCParaBase"/>
    <w:next w:val="Normal"/>
    <w:rsid w:val="00D67B29"/>
    <w:pPr>
      <w:spacing w:before="60" w:line="240" w:lineRule="atLeast"/>
      <w:ind w:left="198" w:hanging="198"/>
    </w:pPr>
    <w:rPr>
      <w:sz w:val="20"/>
    </w:rPr>
  </w:style>
  <w:style w:type="paragraph" w:customStyle="1" w:styleId="CTA----">
    <w:name w:val="CTA ----"/>
    <w:basedOn w:val="OPCParaBase"/>
    <w:next w:val="Normal"/>
    <w:rsid w:val="00D67B29"/>
    <w:pPr>
      <w:spacing w:before="60" w:line="240" w:lineRule="atLeast"/>
      <w:ind w:left="255" w:hanging="255"/>
    </w:pPr>
    <w:rPr>
      <w:sz w:val="20"/>
    </w:rPr>
  </w:style>
  <w:style w:type="paragraph" w:customStyle="1" w:styleId="CTA1a">
    <w:name w:val="CTA 1(a)"/>
    <w:basedOn w:val="OPCParaBase"/>
    <w:rsid w:val="00D67B29"/>
    <w:pPr>
      <w:tabs>
        <w:tab w:val="right" w:pos="414"/>
      </w:tabs>
      <w:spacing w:before="40" w:line="240" w:lineRule="atLeast"/>
      <w:ind w:left="675" w:hanging="675"/>
    </w:pPr>
    <w:rPr>
      <w:sz w:val="20"/>
    </w:rPr>
  </w:style>
  <w:style w:type="paragraph" w:customStyle="1" w:styleId="CTA1ai">
    <w:name w:val="CTA 1(a)(i)"/>
    <w:basedOn w:val="OPCParaBase"/>
    <w:rsid w:val="00D67B29"/>
    <w:pPr>
      <w:tabs>
        <w:tab w:val="right" w:pos="1004"/>
      </w:tabs>
      <w:spacing w:before="40" w:line="240" w:lineRule="atLeast"/>
      <w:ind w:left="1253" w:hanging="1253"/>
    </w:pPr>
    <w:rPr>
      <w:sz w:val="20"/>
    </w:rPr>
  </w:style>
  <w:style w:type="paragraph" w:customStyle="1" w:styleId="CTA2a">
    <w:name w:val="CTA 2(a)"/>
    <w:basedOn w:val="OPCParaBase"/>
    <w:rsid w:val="00D67B29"/>
    <w:pPr>
      <w:tabs>
        <w:tab w:val="right" w:pos="482"/>
      </w:tabs>
      <w:spacing w:before="40" w:line="240" w:lineRule="atLeast"/>
      <w:ind w:left="748" w:hanging="748"/>
    </w:pPr>
    <w:rPr>
      <w:sz w:val="20"/>
    </w:rPr>
  </w:style>
  <w:style w:type="paragraph" w:customStyle="1" w:styleId="CTA2ai">
    <w:name w:val="CTA 2(a)(i)"/>
    <w:basedOn w:val="OPCParaBase"/>
    <w:rsid w:val="00D67B29"/>
    <w:pPr>
      <w:tabs>
        <w:tab w:val="right" w:pos="1089"/>
      </w:tabs>
      <w:spacing w:before="40" w:line="240" w:lineRule="atLeast"/>
      <w:ind w:left="1327" w:hanging="1327"/>
    </w:pPr>
    <w:rPr>
      <w:sz w:val="20"/>
    </w:rPr>
  </w:style>
  <w:style w:type="paragraph" w:customStyle="1" w:styleId="CTA3a">
    <w:name w:val="CTA 3(a)"/>
    <w:basedOn w:val="OPCParaBase"/>
    <w:rsid w:val="00D67B29"/>
    <w:pPr>
      <w:tabs>
        <w:tab w:val="right" w:pos="556"/>
      </w:tabs>
      <w:spacing w:before="40" w:line="240" w:lineRule="atLeast"/>
      <w:ind w:left="805" w:hanging="805"/>
    </w:pPr>
    <w:rPr>
      <w:sz w:val="20"/>
    </w:rPr>
  </w:style>
  <w:style w:type="paragraph" w:customStyle="1" w:styleId="CTA3ai">
    <w:name w:val="CTA 3(a)(i)"/>
    <w:basedOn w:val="OPCParaBase"/>
    <w:rsid w:val="00D67B29"/>
    <w:pPr>
      <w:tabs>
        <w:tab w:val="right" w:pos="1140"/>
      </w:tabs>
      <w:spacing w:before="40" w:line="240" w:lineRule="atLeast"/>
      <w:ind w:left="1361" w:hanging="1361"/>
    </w:pPr>
    <w:rPr>
      <w:sz w:val="20"/>
    </w:rPr>
  </w:style>
  <w:style w:type="paragraph" w:customStyle="1" w:styleId="CTA4a">
    <w:name w:val="CTA 4(a)"/>
    <w:basedOn w:val="OPCParaBase"/>
    <w:rsid w:val="00D67B29"/>
    <w:pPr>
      <w:tabs>
        <w:tab w:val="right" w:pos="624"/>
      </w:tabs>
      <w:spacing w:before="40" w:line="240" w:lineRule="atLeast"/>
      <w:ind w:left="873" w:hanging="873"/>
    </w:pPr>
    <w:rPr>
      <w:sz w:val="20"/>
    </w:rPr>
  </w:style>
  <w:style w:type="paragraph" w:customStyle="1" w:styleId="CTA4ai">
    <w:name w:val="CTA 4(a)(i)"/>
    <w:basedOn w:val="OPCParaBase"/>
    <w:rsid w:val="00D67B29"/>
    <w:pPr>
      <w:tabs>
        <w:tab w:val="right" w:pos="1213"/>
      </w:tabs>
      <w:spacing w:before="40" w:line="240" w:lineRule="atLeast"/>
      <w:ind w:left="1452" w:hanging="1452"/>
    </w:pPr>
    <w:rPr>
      <w:sz w:val="20"/>
    </w:rPr>
  </w:style>
  <w:style w:type="paragraph" w:customStyle="1" w:styleId="CTACAPS">
    <w:name w:val="CTA CAPS"/>
    <w:basedOn w:val="OPCParaBase"/>
    <w:rsid w:val="00D67B29"/>
    <w:pPr>
      <w:spacing w:before="60" w:line="240" w:lineRule="atLeast"/>
    </w:pPr>
    <w:rPr>
      <w:sz w:val="20"/>
    </w:rPr>
  </w:style>
  <w:style w:type="paragraph" w:customStyle="1" w:styleId="CTAright">
    <w:name w:val="CTA right"/>
    <w:basedOn w:val="OPCParaBase"/>
    <w:rsid w:val="00D67B29"/>
    <w:pPr>
      <w:spacing w:before="60" w:line="240" w:lineRule="auto"/>
      <w:jc w:val="right"/>
    </w:pPr>
    <w:rPr>
      <w:sz w:val="20"/>
    </w:rPr>
  </w:style>
  <w:style w:type="paragraph" w:customStyle="1" w:styleId="tDefn">
    <w:name w:val="t_Defn"/>
    <w:aliases w:val="Definition,dd"/>
    <w:basedOn w:val="OPCParaBase"/>
    <w:rsid w:val="00D67B29"/>
    <w:pPr>
      <w:spacing w:before="180" w:line="240" w:lineRule="auto"/>
      <w:ind w:left="1134"/>
    </w:pPr>
  </w:style>
  <w:style w:type="paragraph" w:customStyle="1" w:styleId="DivisionMigration">
    <w:name w:val="DivisionMigration"/>
    <w:aliases w:val="dm"/>
    <w:basedOn w:val="OPCParaBase"/>
    <w:next w:val="Normal"/>
    <w:rsid w:val="00D67B29"/>
    <w:pPr>
      <w:keepNext/>
      <w:keepLines/>
      <w:spacing w:before="240" w:line="240" w:lineRule="auto"/>
      <w:ind w:left="1134" w:hanging="1134"/>
    </w:pPr>
    <w:rPr>
      <w:b/>
      <w:sz w:val="28"/>
    </w:rPr>
  </w:style>
  <w:style w:type="paragraph" w:customStyle="1" w:styleId="EndNotespara">
    <w:name w:val="EndNotes(para)"/>
    <w:aliases w:val="eta"/>
    <w:basedOn w:val="OPCParaBase"/>
    <w:next w:val="Normal"/>
    <w:rsid w:val="00D67B2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67B2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67B2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67B29"/>
    <w:pPr>
      <w:tabs>
        <w:tab w:val="right" w:pos="1412"/>
      </w:tabs>
      <w:spacing w:before="60" w:line="240" w:lineRule="auto"/>
      <w:ind w:left="1525" w:hanging="1525"/>
    </w:pPr>
    <w:rPr>
      <w:sz w:val="20"/>
    </w:rPr>
  </w:style>
  <w:style w:type="paragraph" w:customStyle="1" w:styleId="ENotesHeading3">
    <w:name w:val="ENotesHeading 3"/>
    <w:aliases w:val="Enh3"/>
    <w:basedOn w:val="OPCParaBase"/>
    <w:next w:val="Normal"/>
    <w:rsid w:val="00D67B29"/>
    <w:pPr>
      <w:keepNext/>
      <w:spacing w:before="120" w:line="240" w:lineRule="auto"/>
      <w:outlineLvl w:val="4"/>
    </w:pPr>
    <w:rPr>
      <w:b/>
      <w:szCs w:val="24"/>
    </w:rPr>
  </w:style>
  <w:style w:type="paragraph" w:customStyle="1" w:styleId="ENotesText">
    <w:name w:val="ENotesText"/>
    <w:aliases w:val="Ent"/>
    <w:basedOn w:val="OPCParaBase"/>
    <w:next w:val="Normal"/>
    <w:rsid w:val="00D67B29"/>
    <w:pPr>
      <w:spacing w:before="120"/>
    </w:pPr>
  </w:style>
  <w:style w:type="paragraph" w:customStyle="1" w:styleId="ENoteTTi">
    <w:name w:val="ENoteTTi"/>
    <w:aliases w:val="entti"/>
    <w:basedOn w:val="OPCParaBase"/>
    <w:rsid w:val="00D67B29"/>
    <w:pPr>
      <w:keepNext/>
      <w:spacing w:before="60" w:line="240" w:lineRule="atLeast"/>
      <w:ind w:left="170"/>
    </w:pPr>
    <w:rPr>
      <w:sz w:val="16"/>
    </w:rPr>
  </w:style>
  <w:style w:type="paragraph" w:customStyle="1" w:styleId="ENoteTTIndentHeading">
    <w:name w:val="ENoteTTIndentHeading"/>
    <w:aliases w:val="enTTHi"/>
    <w:basedOn w:val="OPCParaBase"/>
    <w:rsid w:val="00D67B29"/>
    <w:pPr>
      <w:keepNext/>
      <w:spacing w:before="60" w:line="240" w:lineRule="atLeast"/>
      <w:ind w:left="170"/>
    </w:pPr>
    <w:rPr>
      <w:rFonts w:cs="Arial"/>
      <w:b/>
      <w:sz w:val="16"/>
      <w:szCs w:val="16"/>
    </w:rPr>
  </w:style>
  <w:style w:type="paragraph" w:customStyle="1" w:styleId="ENoteTTIndentHeadingSub">
    <w:name w:val="ENoteTTIndentHeadingSub"/>
    <w:aliases w:val="enTTHis"/>
    <w:basedOn w:val="OPCParaBase"/>
    <w:rsid w:val="00D67B29"/>
    <w:pPr>
      <w:keepNext/>
      <w:spacing w:before="60" w:line="240" w:lineRule="atLeast"/>
      <w:ind w:left="340"/>
    </w:pPr>
    <w:rPr>
      <w:b/>
      <w:sz w:val="16"/>
    </w:rPr>
  </w:style>
  <w:style w:type="paragraph" w:customStyle="1" w:styleId="ENoteTTiSub">
    <w:name w:val="ENoteTTiSub"/>
    <w:aliases w:val="enttis"/>
    <w:basedOn w:val="OPCParaBase"/>
    <w:rsid w:val="00D67B29"/>
    <w:pPr>
      <w:keepNext/>
      <w:spacing w:before="60" w:line="240" w:lineRule="atLeast"/>
      <w:ind w:left="340"/>
    </w:pPr>
    <w:rPr>
      <w:sz w:val="16"/>
    </w:rPr>
  </w:style>
  <w:style w:type="paragraph" w:customStyle="1" w:styleId="FileName">
    <w:name w:val="FileName"/>
    <w:basedOn w:val="Normal"/>
    <w:rsid w:val="00D67B29"/>
  </w:style>
  <w:style w:type="paragraph" w:customStyle="1" w:styleId="Formula">
    <w:name w:val="Formula"/>
    <w:basedOn w:val="OPCParaBase"/>
    <w:rsid w:val="00D67B29"/>
    <w:pPr>
      <w:spacing w:line="240" w:lineRule="auto"/>
      <w:ind w:left="1134"/>
    </w:pPr>
    <w:rPr>
      <w:sz w:val="20"/>
    </w:rPr>
  </w:style>
  <w:style w:type="paragraph" w:customStyle="1" w:styleId="FreeForm">
    <w:name w:val="FreeForm"/>
    <w:rsid w:val="00D67B29"/>
    <w:rPr>
      <w:rFonts w:ascii="Arial" w:eastAsia="Calibri" w:hAnsi="Arial"/>
      <w:sz w:val="22"/>
      <w:lang w:eastAsia="en-US"/>
    </w:rPr>
  </w:style>
  <w:style w:type="paragraph" w:customStyle="1" w:styleId="House">
    <w:name w:val="House"/>
    <w:basedOn w:val="OPCParaBase"/>
    <w:rsid w:val="00D67B29"/>
    <w:pPr>
      <w:spacing w:line="240" w:lineRule="auto"/>
    </w:pPr>
    <w:rPr>
      <w:sz w:val="28"/>
    </w:rPr>
  </w:style>
  <w:style w:type="character" w:styleId="Hyperlink">
    <w:name w:val="Hyperlink"/>
    <w:uiPriority w:val="99"/>
    <w:unhideWhenUsed/>
    <w:rsid w:val="00D67B29"/>
    <w:rPr>
      <w:color w:val="0000FF"/>
      <w:u w:val="single"/>
    </w:rPr>
  </w:style>
  <w:style w:type="paragraph" w:customStyle="1" w:styleId="InstNo">
    <w:name w:val="InstNo"/>
    <w:basedOn w:val="OPCParaBase"/>
    <w:next w:val="Normal"/>
    <w:rsid w:val="00D67B29"/>
    <w:rPr>
      <w:b/>
      <w:sz w:val="28"/>
      <w:szCs w:val="32"/>
    </w:rPr>
  </w:style>
  <w:style w:type="paragraph" w:customStyle="1" w:styleId="Item">
    <w:name w:val="Item"/>
    <w:aliases w:val="i"/>
    <w:basedOn w:val="OPCParaBase"/>
    <w:next w:val="Normal"/>
    <w:rsid w:val="00D67B29"/>
    <w:pPr>
      <w:keepLines/>
      <w:spacing w:before="80" w:line="240" w:lineRule="auto"/>
      <w:ind w:left="709"/>
    </w:pPr>
  </w:style>
  <w:style w:type="paragraph" w:customStyle="1" w:styleId="ItemHead">
    <w:name w:val="ItemHead"/>
    <w:aliases w:val="ih"/>
    <w:basedOn w:val="OPCParaBase"/>
    <w:next w:val="Item"/>
    <w:rsid w:val="00D67B29"/>
    <w:pPr>
      <w:keepNext/>
      <w:keepLines/>
      <w:spacing w:before="220" w:line="240" w:lineRule="auto"/>
      <w:ind w:left="709" w:hanging="709"/>
    </w:pPr>
    <w:rPr>
      <w:rFonts w:ascii="Arial" w:hAnsi="Arial"/>
      <w:b/>
      <w:kern w:val="28"/>
      <w:sz w:val="24"/>
    </w:rPr>
  </w:style>
  <w:style w:type="paragraph" w:customStyle="1" w:styleId="LegislationMadeUnder">
    <w:name w:val="LegislationMadeUnder"/>
    <w:basedOn w:val="OPCParaBase"/>
    <w:next w:val="Normal"/>
    <w:rsid w:val="00D67B29"/>
    <w:rPr>
      <w:i/>
      <w:sz w:val="32"/>
      <w:szCs w:val="32"/>
    </w:rPr>
  </w:style>
  <w:style w:type="character" w:styleId="LineNumber">
    <w:name w:val="line number"/>
    <w:unhideWhenUsed/>
    <w:rsid w:val="00D67B29"/>
    <w:rPr>
      <w:sz w:val="16"/>
    </w:rPr>
  </w:style>
  <w:style w:type="paragraph" w:customStyle="1" w:styleId="LongT">
    <w:name w:val="LongT"/>
    <w:basedOn w:val="OPCParaBase"/>
    <w:rsid w:val="00D67B29"/>
    <w:pPr>
      <w:spacing w:line="240" w:lineRule="auto"/>
    </w:pPr>
    <w:rPr>
      <w:b/>
      <w:sz w:val="32"/>
    </w:rPr>
  </w:style>
  <w:style w:type="paragraph" w:customStyle="1" w:styleId="MadeunderText">
    <w:name w:val="MadeunderText"/>
    <w:basedOn w:val="OPCParaBase"/>
    <w:next w:val="CompiledMadeUnder"/>
    <w:rsid w:val="00D67B29"/>
    <w:pPr>
      <w:spacing w:before="240"/>
    </w:pPr>
    <w:rPr>
      <w:sz w:val="24"/>
      <w:szCs w:val="24"/>
    </w:rPr>
  </w:style>
  <w:style w:type="paragraph" w:customStyle="1" w:styleId="notedraft">
    <w:name w:val="note(draft)"/>
    <w:aliases w:val="nd"/>
    <w:basedOn w:val="OPCParaBase"/>
    <w:rsid w:val="00D67B29"/>
    <w:pPr>
      <w:spacing w:before="240" w:line="240" w:lineRule="auto"/>
      <w:ind w:left="284" w:hanging="284"/>
    </w:pPr>
    <w:rPr>
      <w:i/>
      <w:sz w:val="24"/>
    </w:rPr>
  </w:style>
  <w:style w:type="paragraph" w:customStyle="1" w:styleId="ntoHeading">
    <w:name w:val="n_to_Heading"/>
    <w:aliases w:val="nm,note(margin)"/>
    <w:basedOn w:val="OPCParaBase"/>
    <w:rsid w:val="00F67704"/>
    <w:pPr>
      <w:tabs>
        <w:tab w:val="left" w:pos="709"/>
      </w:tabs>
      <w:spacing w:before="120" w:line="240" w:lineRule="auto"/>
      <w:ind w:left="709" w:hanging="709"/>
    </w:pPr>
    <w:rPr>
      <w:sz w:val="18"/>
    </w:rPr>
  </w:style>
  <w:style w:type="paragraph" w:customStyle="1" w:styleId="nPara">
    <w:name w:val="n_Para"/>
    <w:aliases w:val="na,note(para)"/>
    <w:basedOn w:val="OPCParaBase"/>
    <w:rsid w:val="00F67704"/>
    <w:pPr>
      <w:spacing w:before="40" w:line="240" w:lineRule="auto"/>
      <w:ind w:left="2268" w:hanging="567"/>
    </w:pPr>
    <w:rPr>
      <w:sz w:val="18"/>
    </w:rPr>
  </w:style>
  <w:style w:type="paragraph" w:customStyle="1" w:styleId="noteParlAmend">
    <w:name w:val="note(ParlAmend)"/>
    <w:aliases w:val="npp"/>
    <w:basedOn w:val="OPCParaBase"/>
    <w:next w:val="Normal"/>
    <w:rsid w:val="00D67B29"/>
    <w:pPr>
      <w:spacing w:line="240" w:lineRule="auto"/>
      <w:jc w:val="right"/>
    </w:pPr>
    <w:rPr>
      <w:rFonts w:ascii="Arial" w:hAnsi="Arial"/>
      <w:b/>
      <w:i/>
    </w:rPr>
  </w:style>
  <w:style w:type="paragraph" w:customStyle="1" w:styleId="nMain">
    <w:name w:val="n_Main"/>
    <w:aliases w:val="n,note(text)"/>
    <w:basedOn w:val="OPCParaBase"/>
    <w:rsid w:val="00F67704"/>
    <w:pPr>
      <w:spacing w:before="120" w:line="240" w:lineRule="auto"/>
      <w:ind w:left="1985" w:hanging="851"/>
    </w:pPr>
    <w:rPr>
      <w:sz w:val="18"/>
    </w:rPr>
  </w:style>
  <w:style w:type="paragraph" w:customStyle="1" w:styleId="NotesHeading1">
    <w:name w:val="NotesHeading 1"/>
    <w:basedOn w:val="OPCParaBase"/>
    <w:next w:val="Normal"/>
    <w:rsid w:val="00D67B29"/>
    <w:pPr>
      <w:outlineLvl w:val="0"/>
    </w:pPr>
    <w:rPr>
      <w:b/>
      <w:sz w:val="28"/>
      <w:szCs w:val="28"/>
    </w:rPr>
  </w:style>
  <w:style w:type="paragraph" w:customStyle="1" w:styleId="NotesHeading2">
    <w:name w:val="NotesHeading 2"/>
    <w:basedOn w:val="OPCParaBase"/>
    <w:next w:val="Normal"/>
    <w:rsid w:val="00D67B29"/>
    <w:rPr>
      <w:b/>
      <w:sz w:val="28"/>
      <w:szCs w:val="28"/>
    </w:rPr>
  </w:style>
  <w:style w:type="paragraph" w:customStyle="1" w:styleId="noteToPara">
    <w:name w:val="noteToPara"/>
    <w:aliases w:val="ntp"/>
    <w:basedOn w:val="OPCParaBase"/>
    <w:rsid w:val="00D67B29"/>
    <w:pPr>
      <w:spacing w:before="122" w:line="198" w:lineRule="exact"/>
      <w:ind w:left="2353" w:hanging="709"/>
    </w:pPr>
    <w:rPr>
      <w:sz w:val="18"/>
    </w:rPr>
  </w:style>
  <w:style w:type="paragraph" w:customStyle="1" w:styleId="NoteToSubpara">
    <w:name w:val="NoteToSubpara"/>
    <w:aliases w:val="nts"/>
    <w:basedOn w:val="OPCParaBase"/>
    <w:rsid w:val="00D67B29"/>
    <w:pPr>
      <w:spacing w:before="40" w:line="198" w:lineRule="exact"/>
      <w:ind w:left="2835" w:hanging="709"/>
    </w:pPr>
    <w:rPr>
      <w:sz w:val="18"/>
    </w:rPr>
  </w:style>
  <w:style w:type="paragraph" w:customStyle="1" w:styleId="Page1">
    <w:name w:val="Page1"/>
    <w:basedOn w:val="OPCParaBase"/>
    <w:rsid w:val="00D67B29"/>
    <w:pPr>
      <w:spacing w:before="5600" w:line="240" w:lineRule="auto"/>
    </w:pPr>
    <w:rPr>
      <w:b/>
      <w:sz w:val="32"/>
    </w:rPr>
  </w:style>
  <w:style w:type="paragraph" w:customStyle="1" w:styleId="PageBreak">
    <w:name w:val="PageBreak"/>
    <w:aliases w:val="pb"/>
    <w:basedOn w:val="OPCParaBase"/>
    <w:rsid w:val="00D67B29"/>
    <w:pPr>
      <w:spacing w:line="240" w:lineRule="auto"/>
    </w:pPr>
    <w:rPr>
      <w:sz w:val="20"/>
    </w:rPr>
  </w:style>
  <w:style w:type="paragraph" w:customStyle="1" w:styleId="tSubpara">
    <w:name w:val="t_Subpara"/>
    <w:aliases w:val="paragraph(sub),aa"/>
    <w:basedOn w:val="OPCParaBase"/>
    <w:qFormat/>
    <w:rsid w:val="00D67B29"/>
    <w:pPr>
      <w:tabs>
        <w:tab w:val="right" w:pos="1985"/>
      </w:tabs>
      <w:spacing w:before="40" w:line="240" w:lineRule="auto"/>
      <w:ind w:left="2098" w:hanging="2098"/>
    </w:pPr>
  </w:style>
  <w:style w:type="paragraph" w:customStyle="1" w:styleId="tSubsub">
    <w:name w:val="t_Subsub"/>
    <w:aliases w:val="paragraph(sub-sub),aaa"/>
    <w:basedOn w:val="OPCParaBase"/>
    <w:qFormat/>
    <w:rsid w:val="00D67B29"/>
    <w:pPr>
      <w:tabs>
        <w:tab w:val="right" w:pos="2722"/>
      </w:tabs>
      <w:spacing w:before="40" w:line="240" w:lineRule="auto"/>
      <w:ind w:left="2835" w:hanging="2835"/>
    </w:pPr>
  </w:style>
  <w:style w:type="paragraph" w:customStyle="1" w:styleId="Paragraphsub-sub-sub">
    <w:name w:val="Paragraph(sub-sub-sub)"/>
    <w:aliases w:val="aaaa"/>
    <w:basedOn w:val="OPCParaBase"/>
    <w:rsid w:val="00D67B29"/>
    <w:pPr>
      <w:tabs>
        <w:tab w:val="right" w:pos="3402"/>
      </w:tabs>
      <w:spacing w:before="40" w:line="240" w:lineRule="auto"/>
      <w:ind w:left="3402" w:hanging="3402"/>
    </w:pPr>
  </w:style>
  <w:style w:type="paragraph" w:customStyle="1" w:styleId="tPara">
    <w:name w:val="t_Para"/>
    <w:aliases w:val="paragraph,a"/>
    <w:basedOn w:val="OPCParaBase"/>
    <w:link w:val="paragraphChar"/>
    <w:qFormat/>
    <w:rsid w:val="00D67B29"/>
    <w:pPr>
      <w:tabs>
        <w:tab w:val="right" w:pos="1531"/>
      </w:tabs>
      <w:spacing w:before="40" w:line="240" w:lineRule="auto"/>
      <w:ind w:left="1644" w:hanging="1644"/>
    </w:pPr>
  </w:style>
  <w:style w:type="paragraph" w:customStyle="1" w:styleId="ParlAmend">
    <w:name w:val="ParlAmend"/>
    <w:aliases w:val="pp"/>
    <w:basedOn w:val="OPCParaBase"/>
    <w:rsid w:val="00D67B29"/>
    <w:pPr>
      <w:spacing w:before="240" w:line="240" w:lineRule="atLeast"/>
      <w:ind w:hanging="567"/>
    </w:pPr>
    <w:rPr>
      <w:sz w:val="24"/>
    </w:rPr>
  </w:style>
  <w:style w:type="paragraph" w:customStyle="1" w:styleId="Penalty">
    <w:name w:val="Penalty"/>
    <w:basedOn w:val="OPCParaBase"/>
    <w:rsid w:val="00D67B29"/>
    <w:pPr>
      <w:tabs>
        <w:tab w:val="left" w:pos="2977"/>
      </w:tabs>
      <w:spacing w:before="180" w:line="240" w:lineRule="auto"/>
      <w:ind w:left="1985" w:hanging="851"/>
    </w:pPr>
  </w:style>
  <w:style w:type="paragraph" w:customStyle="1" w:styleId="Portfolio">
    <w:name w:val="Portfolio"/>
    <w:basedOn w:val="OPCParaBase"/>
    <w:rsid w:val="00D67B29"/>
    <w:pPr>
      <w:spacing w:line="240" w:lineRule="auto"/>
    </w:pPr>
    <w:rPr>
      <w:i/>
      <w:sz w:val="20"/>
    </w:rPr>
  </w:style>
  <w:style w:type="paragraph" w:customStyle="1" w:styleId="Preamble">
    <w:name w:val="Preamble"/>
    <w:basedOn w:val="OPCParaBase"/>
    <w:next w:val="Normal"/>
    <w:rsid w:val="00D67B2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67B29"/>
    <w:pPr>
      <w:spacing w:line="240" w:lineRule="auto"/>
    </w:pPr>
    <w:rPr>
      <w:i/>
      <w:sz w:val="20"/>
    </w:rPr>
  </w:style>
  <w:style w:type="paragraph" w:customStyle="1" w:styleId="Session">
    <w:name w:val="Session"/>
    <w:basedOn w:val="OPCParaBase"/>
    <w:rsid w:val="00D67B29"/>
    <w:pPr>
      <w:spacing w:line="240" w:lineRule="auto"/>
    </w:pPr>
    <w:rPr>
      <w:sz w:val="28"/>
    </w:rPr>
  </w:style>
  <w:style w:type="paragraph" w:customStyle="1" w:styleId="SignCoverPageEnd">
    <w:name w:val="SignCoverPageEnd"/>
    <w:basedOn w:val="OPCParaBase"/>
    <w:next w:val="Normal"/>
    <w:rsid w:val="00D67B2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67B29"/>
    <w:pPr>
      <w:pBdr>
        <w:top w:val="single" w:sz="4" w:space="1" w:color="auto"/>
      </w:pBdr>
      <w:spacing w:before="360"/>
      <w:ind w:right="397"/>
      <w:jc w:val="both"/>
    </w:pPr>
  </w:style>
  <w:style w:type="paragraph" w:customStyle="1" w:styleId="SOText">
    <w:name w:val="SO Text"/>
    <w:aliases w:val="sot"/>
    <w:link w:val="SOTextChar"/>
    <w:rsid w:val="00D67B29"/>
    <w:pPr>
      <w:pBdr>
        <w:top w:val="single" w:sz="6" w:space="5" w:color="auto"/>
        <w:left w:val="single" w:sz="6" w:space="5" w:color="auto"/>
        <w:bottom w:val="single" w:sz="6" w:space="5" w:color="auto"/>
        <w:right w:val="single" w:sz="6" w:space="5" w:color="auto"/>
      </w:pBdr>
      <w:spacing w:before="240"/>
      <w:ind w:left="1134"/>
    </w:pPr>
    <w:rPr>
      <w:rFonts w:eastAsia="Calibri"/>
      <w:sz w:val="22"/>
    </w:rPr>
  </w:style>
  <w:style w:type="paragraph" w:customStyle="1" w:styleId="SOBullet">
    <w:name w:val="SO Bullet"/>
    <w:aliases w:val="sotb"/>
    <w:basedOn w:val="SOText"/>
    <w:link w:val="SOBulletChar"/>
    <w:qFormat/>
    <w:rsid w:val="00D67B29"/>
    <w:pPr>
      <w:ind w:left="1559" w:hanging="425"/>
    </w:pPr>
  </w:style>
  <w:style w:type="paragraph" w:customStyle="1" w:styleId="SOTextNote">
    <w:name w:val="SO TextNote"/>
    <w:aliases w:val="sont"/>
    <w:basedOn w:val="SOText"/>
    <w:qFormat/>
    <w:rsid w:val="00D67B29"/>
    <w:pPr>
      <w:spacing w:before="122" w:line="198" w:lineRule="exact"/>
      <w:ind w:left="1843" w:hanging="709"/>
    </w:pPr>
    <w:rPr>
      <w:sz w:val="18"/>
    </w:rPr>
  </w:style>
  <w:style w:type="paragraph" w:customStyle="1" w:styleId="SOBulletNote">
    <w:name w:val="SO BulletNote"/>
    <w:aliases w:val="sonb"/>
    <w:basedOn w:val="SOTextNote"/>
    <w:link w:val="SOBulletNoteChar"/>
    <w:qFormat/>
    <w:rsid w:val="00D67B29"/>
    <w:pPr>
      <w:tabs>
        <w:tab w:val="left" w:pos="1560"/>
      </w:tabs>
      <w:ind w:left="2268" w:hanging="1134"/>
    </w:pPr>
  </w:style>
  <w:style w:type="paragraph" w:customStyle="1" w:styleId="SOHeadBold">
    <w:name w:val="SO HeadBold"/>
    <w:aliases w:val="sohb"/>
    <w:basedOn w:val="SOText"/>
    <w:next w:val="SOText"/>
    <w:link w:val="SOHeadBoldChar"/>
    <w:qFormat/>
    <w:rsid w:val="00D67B29"/>
    <w:rPr>
      <w:b/>
    </w:rPr>
  </w:style>
  <w:style w:type="paragraph" w:customStyle="1" w:styleId="SOHeadItalic">
    <w:name w:val="SO HeadItalic"/>
    <w:aliases w:val="sohi"/>
    <w:basedOn w:val="SOText"/>
    <w:next w:val="SOText"/>
    <w:link w:val="SOHeadItalicChar"/>
    <w:qFormat/>
    <w:rsid w:val="00D67B29"/>
    <w:rPr>
      <w:i/>
    </w:rPr>
  </w:style>
  <w:style w:type="paragraph" w:customStyle="1" w:styleId="SOPara">
    <w:name w:val="SO Para"/>
    <w:aliases w:val="soa"/>
    <w:basedOn w:val="SOText"/>
    <w:link w:val="SOParaChar"/>
    <w:qFormat/>
    <w:rsid w:val="00D67B29"/>
    <w:pPr>
      <w:tabs>
        <w:tab w:val="right" w:pos="1786"/>
      </w:tabs>
      <w:spacing w:before="40"/>
      <w:ind w:left="2070" w:hanging="936"/>
    </w:pPr>
  </w:style>
  <w:style w:type="paragraph" w:customStyle="1" w:styleId="SOText2">
    <w:name w:val="SO Text2"/>
    <w:aliases w:val="sot2"/>
    <w:basedOn w:val="Normal"/>
    <w:next w:val="SOText"/>
    <w:link w:val="SOText2Char"/>
    <w:rsid w:val="00D67B29"/>
    <w:pPr>
      <w:pBdr>
        <w:top w:val="single" w:sz="6" w:space="5" w:color="auto"/>
        <w:left w:val="single" w:sz="6" w:space="5" w:color="auto"/>
        <w:bottom w:val="single" w:sz="6" w:space="5" w:color="auto"/>
        <w:right w:val="single" w:sz="6" w:space="5" w:color="auto"/>
      </w:pBdr>
      <w:spacing w:before="40" w:line="240" w:lineRule="auto"/>
      <w:ind w:left="1134"/>
    </w:pPr>
  </w:style>
  <w:style w:type="paragraph" w:customStyle="1" w:styleId="Sponsor">
    <w:name w:val="Sponsor"/>
    <w:basedOn w:val="OPCParaBase"/>
    <w:rsid w:val="00D67B29"/>
    <w:pPr>
      <w:spacing w:line="240" w:lineRule="auto"/>
    </w:pPr>
    <w:rPr>
      <w:i/>
    </w:rPr>
  </w:style>
  <w:style w:type="paragraph" w:customStyle="1" w:styleId="SubDivisionMigration">
    <w:name w:val="SubDivisionMigration"/>
    <w:aliases w:val="sdm"/>
    <w:basedOn w:val="OPCParaBase"/>
    <w:rsid w:val="00D67B29"/>
    <w:pPr>
      <w:keepNext/>
      <w:keepLines/>
      <w:spacing w:before="220" w:line="240" w:lineRule="auto"/>
      <w:ind w:left="1134" w:hanging="1134"/>
    </w:pPr>
    <w:rPr>
      <w:b/>
      <w:sz w:val="26"/>
    </w:rPr>
  </w:style>
  <w:style w:type="paragraph" w:customStyle="1" w:styleId="Subitem">
    <w:name w:val="Subitem"/>
    <w:aliases w:val="iss"/>
    <w:basedOn w:val="OPCParaBase"/>
    <w:rsid w:val="00D67B29"/>
    <w:pPr>
      <w:spacing w:before="180" w:line="240" w:lineRule="auto"/>
      <w:ind w:left="709" w:hanging="709"/>
    </w:pPr>
  </w:style>
  <w:style w:type="paragraph" w:customStyle="1" w:styleId="SubitemHead">
    <w:name w:val="SubitemHead"/>
    <w:aliases w:val="issh"/>
    <w:basedOn w:val="OPCParaBase"/>
    <w:rsid w:val="00D67B29"/>
    <w:pPr>
      <w:keepNext/>
      <w:keepLines/>
      <w:spacing w:before="220" w:line="240" w:lineRule="auto"/>
      <w:ind w:left="709"/>
    </w:pPr>
    <w:rPr>
      <w:rFonts w:ascii="Arial" w:hAnsi="Arial"/>
      <w:i/>
      <w:kern w:val="28"/>
    </w:rPr>
  </w:style>
  <w:style w:type="paragraph" w:customStyle="1" w:styleId="SubPartCASA">
    <w:name w:val="SubPart(CASA)"/>
    <w:aliases w:val="csp"/>
    <w:basedOn w:val="OPCParaBase"/>
    <w:next w:val="h3Div"/>
    <w:rsid w:val="00D67B29"/>
    <w:pPr>
      <w:keepNext/>
      <w:keepLines/>
      <w:spacing w:before="280"/>
      <w:ind w:left="1134" w:hanging="1134"/>
      <w:outlineLvl w:val="1"/>
    </w:pPr>
    <w:rPr>
      <w:b/>
      <w:kern w:val="28"/>
      <w:sz w:val="32"/>
    </w:rPr>
  </w:style>
  <w:style w:type="paragraph" w:customStyle="1" w:styleId="tMain">
    <w:name w:val="t_Main"/>
    <w:aliases w:val="subsection,ss"/>
    <w:basedOn w:val="OPCParaBase"/>
    <w:link w:val="subsectionChar"/>
    <w:qFormat/>
    <w:rsid w:val="00D67B29"/>
    <w:pPr>
      <w:tabs>
        <w:tab w:val="right" w:pos="1021"/>
      </w:tabs>
      <w:spacing w:before="180" w:line="240" w:lineRule="auto"/>
      <w:ind w:left="1134" w:hanging="1134"/>
    </w:pPr>
  </w:style>
  <w:style w:type="paragraph" w:customStyle="1" w:styleId="subsection2">
    <w:name w:val="subsection2"/>
    <w:aliases w:val="ss2"/>
    <w:basedOn w:val="OPCParaBase"/>
    <w:next w:val="tMain"/>
    <w:rsid w:val="00D67B29"/>
    <w:pPr>
      <w:spacing w:before="40" w:line="240" w:lineRule="auto"/>
      <w:ind w:left="1134"/>
    </w:pPr>
  </w:style>
  <w:style w:type="paragraph" w:customStyle="1" w:styleId="h6Subsec">
    <w:name w:val="h6_Subsec"/>
    <w:aliases w:val="SubsectionHead,ssh"/>
    <w:basedOn w:val="OPCParaBase"/>
    <w:next w:val="tMain"/>
    <w:qFormat/>
    <w:rsid w:val="00D67B29"/>
    <w:pPr>
      <w:keepNext/>
      <w:keepLines/>
      <w:spacing w:before="240" w:line="240" w:lineRule="auto"/>
      <w:ind w:left="1134"/>
    </w:pPr>
    <w:rPr>
      <w:i/>
    </w:rPr>
  </w:style>
  <w:style w:type="table" w:styleId="TableGrid">
    <w:name w:val="Table Grid"/>
    <w:basedOn w:val="TableNormal"/>
    <w:uiPriority w:val="59"/>
    <w:rsid w:val="00D67B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
    <w:name w:val="Table(a)"/>
    <w:aliases w:val="ta"/>
    <w:basedOn w:val="OPCParaBase"/>
    <w:rsid w:val="00D67B29"/>
    <w:pPr>
      <w:spacing w:before="60" w:line="240" w:lineRule="auto"/>
      <w:ind w:left="284" w:hanging="284"/>
    </w:pPr>
    <w:rPr>
      <w:sz w:val="20"/>
    </w:rPr>
  </w:style>
  <w:style w:type="paragraph" w:customStyle="1" w:styleId="TableAA">
    <w:name w:val="Table(AA)"/>
    <w:aliases w:val="taaa"/>
    <w:basedOn w:val="OPCParaBase"/>
    <w:rsid w:val="00D67B2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67B29"/>
    <w:pPr>
      <w:tabs>
        <w:tab w:val="left" w:pos="-6543"/>
        <w:tab w:val="left" w:pos="-6260"/>
        <w:tab w:val="right" w:pos="970"/>
      </w:tabs>
      <w:spacing w:line="240" w:lineRule="exact"/>
      <w:ind w:left="828" w:hanging="284"/>
    </w:pPr>
    <w:rPr>
      <w:sz w:val="20"/>
    </w:rPr>
  </w:style>
  <w:style w:type="paragraph" w:customStyle="1" w:styleId="TableTextEndNotes">
    <w:name w:val="TableTextEndNotes"/>
    <w:aliases w:val="Tten"/>
    <w:basedOn w:val="Normal"/>
    <w:rsid w:val="00D67B29"/>
    <w:pPr>
      <w:spacing w:before="60" w:line="240" w:lineRule="auto"/>
    </w:pPr>
    <w:rPr>
      <w:rFonts w:cs="Arial"/>
      <w:sz w:val="20"/>
      <w:szCs w:val="22"/>
    </w:rPr>
  </w:style>
  <w:style w:type="paragraph" w:customStyle="1" w:styleId="TLPBoxTextnote">
    <w:name w:val="TLPBoxText(note"/>
    <w:aliases w:val="right)"/>
    <w:basedOn w:val="OPCParaBase"/>
    <w:rsid w:val="00D67B2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C518B"/>
    <w:pPr>
      <w:spacing w:before="60" w:line="198" w:lineRule="exact"/>
    </w:pPr>
    <w:rPr>
      <w:sz w:val="18"/>
    </w:rPr>
  </w:style>
  <w:style w:type="paragraph" w:customStyle="1" w:styleId="TLPnoteright">
    <w:name w:val="TLPnote(right)"/>
    <w:aliases w:val="nr"/>
    <w:basedOn w:val="OPCParaBase"/>
    <w:rsid w:val="00D67B29"/>
    <w:pPr>
      <w:spacing w:before="122" w:line="198" w:lineRule="exact"/>
      <w:ind w:left="1985" w:hanging="851"/>
      <w:jc w:val="right"/>
    </w:pPr>
    <w:rPr>
      <w:sz w:val="18"/>
    </w:rPr>
  </w:style>
  <w:style w:type="paragraph" w:customStyle="1" w:styleId="TLPTableBullet">
    <w:name w:val="TLPTableBullet"/>
    <w:aliases w:val="ttb"/>
    <w:basedOn w:val="OPCParaBase"/>
    <w:rsid w:val="00D67B29"/>
    <w:pPr>
      <w:spacing w:line="240" w:lineRule="exact"/>
      <w:ind w:left="284" w:hanging="284"/>
    </w:pPr>
    <w:rPr>
      <w:sz w:val="20"/>
    </w:rPr>
  </w:style>
  <w:style w:type="paragraph" w:customStyle="1" w:styleId="TofSectsGroupHeading">
    <w:name w:val="TofSects(GroupHeading)"/>
    <w:basedOn w:val="OPCParaBase"/>
    <w:next w:val="Normal"/>
    <w:rsid w:val="00D67B29"/>
    <w:pPr>
      <w:keepLines/>
      <w:spacing w:before="240" w:after="120" w:line="240" w:lineRule="auto"/>
      <w:ind w:left="794"/>
    </w:pPr>
    <w:rPr>
      <w:b/>
      <w:kern w:val="28"/>
      <w:sz w:val="20"/>
    </w:rPr>
  </w:style>
  <w:style w:type="paragraph" w:customStyle="1" w:styleId="TofSectsHeading">
    <w:name w:val="TofSects(Heading)"/>
    <w:basedOn w:val="OPCParaBase"/>
    <w:rsid w:val="00D67B29"/>
    <w:pPr>
      <w:spacing w:before="240" w:after="120" w:line="240" w:lineRule="auto"/>
    </w:pPr>
    <w:rPr>
      <w:b/>
      <w:sz w:val="24"/>
    </w:rPr>
  </w:style>
  <w:style w:type="paragraph" w:customStyle="1" w:styleId="TofSectsSection">
    <w:name w:val="TofSects(Section)"/>
    <w:basedOn w:val="OPCParaBase"/>
    <w:rsid w:val="00D67B29"/>
    <w:pPr>
      <w:keepLines/>
      <w:spacing w:before="40" w:line="240" w:lineRule="auto"/>
      <w:ind w:left="1588" w:hanging="794"/>
    </w:pPr>
    <w:rPr>
      <w:kern w:val="28"/>
      <w:sz w:val="18"/>
    </w:rPr>
  </w:style>
  <w:style w:type="paragraph" w:customStyle="1" w:styleId="TofSectsSubdiv">
    <w:name w:val="TofSects(Subdiv)"/>
    <w:basedOn w:val="OPCParaBase"/>
    <w:rsid w:val="00D67B29"/>
    <w:pPr>
      <w:keepLines/>
      <w:spacing w:before="80" w:line="240" w:lineRule="auto"/>
      <w:ind w:left="1588" w:hanging="794"/>
    </w:pPr>
    <w:rPr>
      <w:kern w:val="28"/>
    </w:rPr>
  </w:style>
  <w:style w:type="paragraph" w:customStyle="1" w:styleId="WRStyle">
    <w:name w:val="WR Style"/>
    <w:aliases w:val="WR"/>
    <w:basedOn w:val="OPCParaBase"/>
    <w:rsid w:val="00D67B29"/>
    <w:pPr>
      <w:spacing w:before="240" w:line="240" w:lineRule="auto"/>
      <w:ind w:left="284" w:hanging="284"/>
    </w:pPr>
    <w:rPr>
      <w:b/>
      <w:i/>
      <w:kern w:val="28"/>
      <w:sz w:val="24"/>
    </w:rPr>
  </w:style>
  <w:style w:type="paragraph" w:styleId="Bibliography">
    <w:name w:val="Bibliography"/>
    <w:basedOn w:val="Normal"/>
    <w:next w:val="Normal"/>
    <w:uiPriority w:val="37"/>
    <w:semiHidden/>
    <w:unhideWhenUsed/>
    <w:rsid w:val="00DC518B"/>
  </w:style>
  <w:style w:type="paragraph" w:styleId="BlockText">
    <w:name w:val="Block Text"/>
    <w:basedOn w:val="Normal"/>
    <w:unhideWhenUsed/>
    <w:rsid w:val="00DC518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DC518B"/>
    <w:pPr>
      <w:spacing w:after="120"/>
    </w:pPr>
  </w:style>
  <w:style w:type="character" w:customStyle="1" w:styleId="BodyTextChar">
    <w:name w:val="Body Text Char"/>
    <w:basedOn w:val="DefaultParagraphFont"/>
    <w:link w:val="BodyText"/>
    <w:rsid w:val="00DC518B"/>
    <w:rPr>
      <w:rFonts w:eastAsia="Calibri"/>
      <w:sz w:val="22"/>
      <w:lang w:eastAsia="en-US"/>
    </w:rPr>
  </w:style>
  <w:style w:type="paragraph" w:styleId="BodyText2">
    <w:name w:val="Body Text 2"/>
    <w:basedOn w:val="Normal"/>
    <w:link w:val="BodyText2Char"/>
    <w:unhideWhenUsed/>
    <w:rsid w:val="00DC518B"/>
    <w:pPr>
      <w:spacing w:after="120" w:line="480" w:lineRule="auto"/>
    </w:pPr>
  </w:style>
  <w:style w:type="character" w:customStyle="1" w:styleId="BodyText2Char">
    <w:name w:val="Body Text 2 Char"/>
    <w:basedOn w:val="DefaultParagraphFont"/>
    <w:link w:val="BodyText2"/>
    <w:rsid w:val="00DC518B"/>
    <w:rPr>
      <w:rFonts w:eastAsia="Calibri"/>
      <w:sz w:val="22"/>
      <w:lang w:eastAsia="en-US"/>
    </w:rPr>
  </w:style>
  <w:style w:type="paragraph" w:styleId="BodyText3">
    <w:name w:val="Body Text 3"/>
    <w:basedOn w:val="Normal"/>
    <w:link w:val="BodyText3Char"/>
    <w:unhideWhenUsed/>
    <w:rsid w:val="00DC518B"/>
    <w:pPr>
      <w:spacing w:after="120"/>
    </w:pPr>
    <w:rPr>
      <w:sz w:val="16"/>
      <w:szCs w:val="16"/>
    </w:rPr>
  </w:style>
  <w:style w:type="character" w:customStyle="1" w:styleId="BodyText3Char">
    <w:name w:val="Body Text 3 Char"/>
    <w:basedOn w:val="DefaultParagraphFont"/>
    <w:link w:val="BodyText3"/>
    <w:rsid w:val="00DC518B"/>
    <w:rPr>
      <w:rFonts w:eastAsia="Calibri"/>
      <w:sz w:val="16"/>
      <w:szCs w:val="16"/>
      <w:lang w:eastAsia="en-US"/>
    </w:rPr>
  </w:style>
  <w:style w:type="paragraph" w:styleId="BodyTextFirstIndent">
    <w:name w:val="Body Text First Indent"/>
    <w:basedOn w:val="BodyText"/>
    <w:link w:val="BodyTextFirstIndentChar"/>
    <w:rsid w:val="00DC518B"/>
    <w:pPr>
      <w:spacing w:after="0"/>
      <w:ind w:firstLine="360"/>
    </w:pPr>
  </w:style>
  <w:style w:type="character" w:customStyle="1" w:styleId="BodyTextFirstIndentChar">
    <w:name w:val="Body Text First Indent Char"/>
    <w:basedOn w:val="BodyTextChar"/>
    <w:link w:val="BodyTextFirstIndent"/>
    <w:rsid w:val="00DC518B"/>
    <w:rPr>
      <w:rFonts w:eastAsia="Calibri"/>
      <w:sz w:val="22"/>
      <w:lang w:eastAsia="en-US"/>
    </w:rPr>
  </w:style>
  <w:style w:type="paragraph" w:styleId="BodyTextIndent">
    <w:name w:val="Body Text Indent"/>
    <w:basedOn w:val="Normal"/>
    <w:link w:val="BodyTextIndentChar"/>
    <w:unhideWhenUsed/>
    <w:rsid w:val="00DC518B"/>
    <w:pPr>
      <w:spacing w:after="120"/>
      <w:ind w:left="283"/>
    </w:pPr>
  </w:style>
  <w:style w:type="character" w:customStyle="1" w:styleId="BodyTextIndentChar">
    <w:name w:val="Body Text Indent Char"/>
    <w:basedOn w:val="DefaultParagraphFont"/>
    <w:link w:val="BodyTextIndent"/>
    <w:rsid w:val="00DC518B"/>
    <w:rPr>
      <w:rFonts w:eastAsia="Calibri"/>
      <w:sz w:val="22"/>
      <w:lang w:eastAsia="en-US"/>
    </w:rPr>
  </w:style>
  <w:style w:type="paragraph" w:styleId="BodyTextFirstIndent2">
    <w:name w:val="Body Text First Indent 2"/>
    <w:basedOn w:val="BodyTextIndent"/>
    <w:link w:val="BodyTextFirstIndent2Char"/>
    <w:unhideWhenUsed/>
    <w:rsid w:val="00DC518B"/>
    <w:pPr>
      <w:spacing w:after="0"/>
      <w:ind w:left="360" w:firstLine="360"/>
    </w:pPr>
  </w:style>
  <w:style w:type="character" w:customStyle="1" w:styleId="BodyTextFirstIndent2Char">
    <w:name w:val="Body Text First Indent 2 Char"/>
    <w:basedOn w:val="BodyTextIndentChar"/>
    <w:link w:val="BodyTextFirstIndent2"/>
    <w:rsid w:val="00DC518B"/>
    <w:rPr>
      <w:rFonts w:eastAsia="Calibri"/>
      <w:sz w:val="22"/>
      <w:lang w:eastAsia="en-US"/>
    </w:rPr>
  </w:style>
  <w:style w:type="paragraph" w:styleId="BodyTextIndent2">
    <w:name w:val="Body Text Indent 2"/>
    <w:basedOn w:val="Normal"/>
    <w:link w:val="BodyTextIndent2Char"/>
    <w:unhideWhenUsed/>
    <w:rsid w:val="00DC518B"/>
    <w:pPr>
      <w:spacing w:after="120" w:line="480" w:lineRule="auto"/>
      <w:ind w:left="283"/>
    </w:pPr>
  </w:style>
  <w:style w:type="character" w:customStyle="1" w:styleId="BodyTextIndent2Char">
    <w:name w:val="Body Text Indent 2 Char"/>
    <w:basedOn w:val="DefaultParagraphFont"/>
    <w:link w:val="BodyTextIndent2"/>
    <w:rsid w:val="00DC518B"/>
    <w:rPr>
      <w:rFonts w:eastAsia="Calibri"/>
      <w:sz w:val="22"/>
      <w:lang w:eastAsia="en-US"/>
    </w:rPr>
  </w:style>
  <w:style w:type="paragraph" w:styleId="BodyTextIndent3">
    <w:name w:val="Body Text Indent 3"/>
    <w:basedOn w:val="Normal"/>
    <w:link w:val="BodyTextIndent3Char"/>
    <w:unhideWhenUsed/>
    <w:rsid w:val="00DC518B"/>
    <w:pPr>
      <w:spacing w:after="120"/>
      <w:ind w:left="283"/>
    </w:pPr>
    <w:rPr>
      <w:sz w:val="16"/>
      <w:szCs w:val="16"/>
    </w:rPr>
  </w:style>
  <w:style w:type="character" w:customStyle="1" w:styleId="BodyTextIndent3Char">
    <w:name w:val="Body Text Indent 3 Char"/>
    <w:basedOn w:val="DefaultParagraphFont"/>
    <w:link w:val="BodyTextIndent3"/>
    <w:rsid w:val="00DC518B"/>
    <w:rPr>
      <w:rFonts w:eastAsia="Calibri"/>
      <w:sz w:val="16"/>
      <w:szCs w:val="16"/>
      <w:lang w:eastAsia="en-US"/>
    </w:rPr>
  </w:style>
  <w:style w:type="paragraph" w:styleId="Caption">
    <w:name w:val="caption"/>
    <w:basedOn w:val="Normal"/>
    <w:next w:val="Normal"/>
    <w:uiPriority w:val="35"/>
    <w:unhideWhenUsed/>
    <w:qFormat/>
    <w:rsid w:val="00DC518B"/>
    <w:pPr>
      <w:spacing w:after="200" w:line="240" w:lineRule="auto"/>
    </w:pPr>
    <w:rPr>
      <w:b/>
      <w:bCs/>
      <w:color w:val="4F81BD" w:themeColor="accent1"/>
      <w:sz w:val="18"/>
      <w:szCs w:val="18"/>
    </w:rPr>
  </w:style>
  <w:style w:type="paragraph" w:styleId="Closing">
    <w:name w:val="Closing"/>
    <w:basedOn w:val="Normal"/>
    <w:link w:val="ClosingChar"/>
    <w:unhideWhenUsed/>
    <w:rsid w:val="00DC518B"/>
    <w:pPr>
      <w:spacing w:line="240" w:lineRule="auto"/>
      <w:ind w:left="4252"/>
    </w:pPr>
  </w:style>
  <w:style w:type="character" w:customStyle="1" w:styleId="ClosingChar">
    <w:name w:val="Closing Char"/>
    <w:basedOn w:val="DefaultParagraphFont"/>
    <w:link w:val="Closing"/>
    <w:rsid w:val="00DC518B"/>
    <w:rPr>
      <w:rFonts w:eastAsia="Calibri"/>
      <w:sz w:val="22"/>
      <w:lang w:eastAsia="en-US"/>
    </w:rPr>
  </w:style>
  <w:style w:type="paragraph" w:styleId="CommentText">
    <w:name w:val="annotation text"/>
    <w:basedOn w:val="Normal"/>
    <w:link w:val="CommentTextChar"/>
    <w:uiPriority w:val="99"/>
    <w:unhideWhenUsed/>
    <w:rsid w:val="00DC518B"/>
    <w:pPr>
      <w:spacing w:line="240" w:lineRule="auto"/>
    </w:pPr>
    <w:rPr>
      <w:sz w:val="20"/>
    </w:rPr>
  </w:style>
  <w:style w:type="character" w:customStyle="1" w:styleId="CommentTextChar">
    <w:name w:val="Comment Text Char"/>
    <w:basedOn w:val="DefaultParagraphFont"/>
    <w:link w:val="CommentText"/>
    <w:uiPriority w:val="99"/>
    <w:rsid w:val="00DC518B"/>
    <w:rPr>
      <w:rFonts w:eastAsia="Calibri"/>
      <w:lang w:eastAsia="en-US"/>
    </w:rPr>
  </w:style>
  <w:style w:type="paragraph" w:styleId="CommentSubject">
    <w:name w:val="annotation subject"/>
    <w:basedOn w:val="CommentText"/>
    <w:next w:val="CommentText"/>
    <w:link w:val="CommentSubjectChar"/>
    <w:unhideWhenUsed/>
    <w:rsid w:val="00DC518B"/>
    <w:rPr>
      <w:b/>
      <w:bCs/>
    </w:rPr>
  </w:style>
  <w:style w:type="character" w:customStyle="1" w:styleId="CommentSubjectChar">
    <w:name w:val="Comment Subject Char"/>
    <w:basedOn w:val="CommentTextChar"/>
    <w:link w:val="CommentSubject"/>
    <w:rsid w:val="00DC518B"/>
    <w:rPr>
      <w:rFonts w:eastAsia="Calibri"/>
      <w:b/>
      <w:bCs/>
      <w:lang w:eastAsia="en-US"/>
    </w:rPr>
  </w:style>
  <w:style w:type="paragraph" w:styleId="Date">
    <w:name w:val="Date"/>
    <w:basedOn w:val="Normal"/>
    <w:next w:val="Normal"/>
    <w:link w:val="DateChar"/>
    <w:rsid w:val="00DC518B"/>
  </w:style>
  <w:style w:type="character" w:customStyle="1" w:styleId="DateChar">
    <w:name w:val="Date Char"/>
    <w:basedOn w:val="DefaultParagraphFont"/>
    <w:link w:val="Date"/>
    <w:rsid w:val="00DC518B"/>
    <w:rPr>
      <w:rFonts w:eastAsia="Calibri"/>
      <w:sz w:val="22"/>
      <w:lang w:eastAsia="en-US"/>
    </w:rPr>
  </w:style>
  <w:style w:type="paragraph" w:styleId="DocumentMap">
    <w:name w:val="Document Map"/>
    <w:basedOn w:val="Normal"/>
    <w:link w:val="DocumentMapChar"/>
    <w:unhideWhenUsed/>
    <w:rsid w:val="00DC518B"/>
    <w:pPr>
      <w:spacing w:line="240" w:lineRule="auto"/>
    </w:pPr>
    <w:rPr>
      <w:rFonts w:ascii="Tahoma" w:hAnsi="Tahoma" w:cs="Tahoma"/>
      <w:sz w:val="16"/>
      <w:szCs w:val="16"/>
    </w:rPr>
  </w:style>
  <w:style w:type="character" w:customStyle="1" w:styleId="DocumentMapChar">
    <w:name w:val="Document Map Char"/>
    <w:basedOn w:val="DefaultParagraphFont"/>
    <w:link w:val="DocumentMap"/>
    <w:rsid w:val="00DC518B"/>
    <w:rPr>
      <w:rFonts w:ascii="Tahoma" w:eastAsia="Calibri" w:hAnsi="Tahoma" w:cs="Tahoma"/>
      <w:sz w:val="16"/>
      <w:szCs w:val="16"/>
      <w:lang w:eastAsia="en-US"/>
    </w:rPr>
  </w:style>
  <w:style w:type="paragraph" w:styleId="E-mailSignature">
    <w:name w:val="E-mail Signature"/>
    <w:basedOn w:val="Normal"/>
    <w:link w:val="E-mailSignatureChar"/>
    <w:unhideWhenUsed/>
    <w:rsid w:val="00DC518B"/>
    <w:pPr>
      <w:spacing w:line="240" w:lineRule="auto"/>
    </w:pPr>
  </w:style>
  <w:style w:type="character" w:customStyle="1" w:styleId="E-mailSignatureChar">
    <w:name w:val="E-mail Signature Char"/>
    <w:basedOn w:val="DefaultParagraphFont"/>
    <w:link w:val="E-mailSignature"/>
    <w:rsid w:val="00DC518B"/>
    <w:rPr>
      <w:rFonts w:eastAsia="Calibri"/>
      <w:sz w:val="22"/>
      <w:lang w:eastAsia="en-US"/>
    </w:rPr>
  </w:style>
  <w:style w:type="paragraph" w:styleId="EnvelopeAddress">
    <w:name w:val="envelope address"/>
    <w:basedOn w:val="Normal"/>
    <w:unhideWhenUsed/>
    <w:rsid w:val="00DC518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nhideWhenUsed/>
    <w:rsid w:val="00DC518B"/>
    <w:pPr>
      <w:spacing w:line="240" w:lineRule="auto"/>
    </w:pPr>
    <w:rPr>
      <w:rFonts w:asciiTheme="majorHAnsi" w:eastAsiaTheme="majorEastAsia" w:hAnsiTheme="majorHAnsi" w:cstheme="majorBidi"/>
      <w:sz w:val="20"/>
    </w:rPr>
  </w:style>
  <w:style w:type="paragraph" w:styleId="HTMLAddress">
    <w:name w:val="HTML Address"/>
    <w:basedOn w:val="Normal"/>
    <w:link w:val="HTMLAddressChar"/>
    <w:unhideWhenUsed/>
    <w:rsid w:val="00DC518B"/>
    <w:pPr>
      <w:spacing w:line="240" w:lineRule="auto"/>
    </w:pPr>
    <w:rPr>
      <w:i/>
      <w:iCs/>
    </w:rPr>
  </w:style>
  <w:style w:type="character" w:customStyle="1" w:styleId="HTMLAddressChar">
    <w:name w:val="HTML Address Char"/>
    <w:basedOn w:val="DefaultParagraphFont"/>
    <w:link w:val="HTMLAddress"/>
    <w:rsid w:val="00DC518B"/>
    <w:rPr>
      <w:rFonts w:eastAsia="Calibri"/>
      <w:i/>
      <w:iCs/>
      <w:sz w:val="22"/>
      <w:lang w:eastAsia="en-US"/>
    </w:rPr>
  </w:style>
  <w:style w:type="paragraph" w:styleId="HTMLPreformatted">
    <w:name w:val="HTML Preformatted"/>
    <w:basedOn w:val="Normal"/>
    <w:link w:val="HTMLPreformattedChar"/>
    <w:unhideWhenUsed/>
    <w:rsid w:val="00DC518B"/>
    <w:pPr>
      <w:spacing w:line="240" w:lineRule="auto"/>
    </w:pPr>
    <w:rPr>
      <w:rFonts w:ascii="Consolas" w:hAnsi="Consolas"/>
      <w:sz w:val="20"/>
    </w:rPr>
  </w:style>
  <w:style w:type="character" w:customStyle="1" w:styleId="HTMLPreformattedChar">
    <w:name w:val="HTML Preformatted Char"/>
    <w:basedOn w:val="DefaultParagraphFont"/>
    <w:link w:val="HTMLPreformatted"/>
    <w:rsid w:val="00DC518B"/>
    <w:rPr>
      <w:rFonts w:ascii="Consolas" w:eastAsia="Calibri" w:hAnsi="Consolas"/>
      <w:lang w:eastAsia="en-US"/>
    </w:rPr>
  </w:style>
  <w:style w:type="paragraph" w:styleId="Index1">
    <w:name w:val="index 1"/>
    <w:basedOn w:val="Normal"/>
    <w:next w:val="Normal"/>
    <w:autoRedefine/>
    <w:unhideWhenUsed/>
    <w:rsid w:val="00DC518B"/>
    <w:pPr>
      <w:spacing w:line="240" w:lineRule="auto"/>
      <w:ind w:left="220" w:hanging="220"/>
    </w:pPr>
  </w:style>
  <w:style w:type="paragraph" w:styleId="Index2">
    <w:name w:val="index 2"/>
    <w:basedOn w:val="Normal"/>
    <w:next w:val="Normal"/>
    <w:autoRedefine/>
    <w:unhideWhenUsed/>
    <w:rsid w:val="00DC518B"/>
    <w:pPr>
      <w:spacing w:line="240" w:lineRule="auto"/>
      <w:ind w:left="440" w:hanging="220"/>
    </w:pPr>
  </w:style>
  <w:style w:type="paragraph" w:styleId="Index3">
    <w:name w:val="index 3"/>
    <w:basedOn w:val="Normal"/>
    <w:next w:val="Normal"/>
    <w:autoRedefine/>
    <w:unhideWhenUsed/>
    <w:rsid w:val="00DC518B"/>
    <w:pPr>
      <w:spacing w:line="240" w:lineRule="auto"/>
      <w:ind w:left="660" w:hanging="220"/>
    </w:pPr>
  </w:style>
  <w:style w:type="paragraph" w:styleId="Index4">
    <w:name w:val="index 4"/>
    <w:basedOn w:val="Normal"/>
    <w:next w:val="Normal"/>
    <w:autoRedefine/>
    <w:unhideWhenUsed/>
    <w:rsid w:val="00DC518B"/>
    <w:pPr>
      <w:spacing w:line="240" w:lineRule="auto"/>
      <w:ind w:left="880" w:hanging="220"/>
    </w:pPr>
  </w:style>
  <w:style w:type="paragraph" w:styleId="Index5">
    <w:name w:val="index 5"/>
    <w:basedOn w:val="Normal"/>
    <w:next w:val="Normal"/>
    <w:autoRedefine/>
    <w:unhideWhenUsed/>
    <w:rsid w:val="00DC518B"/>
    <w:pPr>
      <w:spacing w:line="240" w:lineRule="auto"/>
      <w:ind w:left="1100" w:hanging="220"/>
    </w:pPr>
  </w:style>
  <w:style w:type="paragraph" w:styleId="Index6">
    <w:name w:val="index 6"/>
    <w:basedOn w:val="Normal"/>
    <w:next w:val="Normal"/>
    <w:autoRedefine/>
    <w:unhideWhenUsed/>
    <w:rsid w:val="00DC518B"/>
    <w:pPr>
      <w:spacing w:line="240" w:lineRule="auto"/>
      <w:ind w:left="1320" w:hanging="220"/>
    </w:pPr>
  </w:style>
  <w:style w:type="paragraph" w:styleId="Index7">
    <w:name w:val="index 7"/>
    <w:basedOn w:val="Normal"/>
    <w:next w:val="Normal"/>
    <w:autoRedefine/>
    <w:unhideWhenUsed/>
    <w:rsid w:val="00DC518B"/>
    <w:pPr>
      <w:spacing w:line="240" w:lineRule="auto"/>
      <w:ind w:left="1540" w:hanging="220"/>
    </w:pPr>
  </w:style>
  <w:style w:type="paragraph" w:styleId="Index8">
    <w:name w:val="index 8"/>
    <w:basedOn w:val="Normal"/>
    <w:next w:val="Normal"/>
    <w:autoRedefine/>
    <w:unhideWhenUsed/>
    <w:rsid w:val="00DC518B"/>
    <w:pPr>
      <w:spacing w:line="240" w:lineRule="auto"/>
      <w:ind w:left="1760" w:hanging="220"/>
    </w:pPr>
  </w:style>
  <w:style w:type="paragraph" w:styleId="Index9">
    <w:name w:val="index 9"/>
    <w:basedOn w:val="Normal"/>
    <w:next w:val="Normal"/>
    <w:autoRedefine/>
    <w:unhideWhenUsed/>
    <w:rsid w:val="00DC518B"/>
    <w:pPr>
      <w:spacing w:line="240" w:lineRule="auto"/>
      <w:ind w:left="1980" w:hanging="220"/>
    </w:pPr>
  </w:style>
  <w:style w:type="paragraph" w:styleId="IndexHeading">
    <w:name w:val="index heading"/>
    <w:basedOn w:val="Normal"/>
    <w:next w:val="Index1"/>
    <w:unhideWhenUsed/>
    <w:rsid w:val="00DC518B"/>
    <w:rPr>
      <w:rFonts w:asciiTheme="majorHAnsi" w:eastAsiaTheme="majorEastAsia" w:hAnsiTheme="majorHAnsi" w:cstheme="majorBidi"/>
      <w:b/>
      <w:bCs/>
    </w:rPr>
  </w:style>
  <w:style w:type="paragraph" w:styleId="IntenseQuote">
    <w:name w:val="Intense Quote"/>
    <w:basedOn w:val="Normal"/>
    <w:next w:val="Normal"/>
    <w:link w:val="IntenseQuoteChar"/>
    <w:uiPriority w:val="99"/>
    <w:qFormat/>
    <w:rsid w:val="00DC518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rsid w:val="00DC518B"/>
    <w:rPr>
      <w:rFonts w:eastAsia="Calibri"/>
      <w:b/>
      <w:bCs/>
      <w:i/>
      <w:iCs/>
      <w:color w:val="4F81BD" w:themeColor="accent1"/>
      <w:sz w:val="22"/>
      <w:lang w:eastAsia="en-US"/>
    </w:rPr>
  </w:style>
  <w:style w:type="paragraph" w:styleId="List">
    <w:name w:val="List"/>
    <w:basedOn w:val="Normal"/>
    <w:unhideWhenUsed/>
    <w:rsid w:val="00DC518B"/>
    <w:pPr>
      <w:ind w:left="283" w:hanging="283"/>
      <w:contextualSpacing/>
    </w:pPr>
  </w:style>
  <w:style w:type="paragraph" w:styleId="List2">
    <w:name w:val="List 2"/>
    <w:basedOn w:val="Normal"/>
    <w:unhideWhenUsed/>
    <w:rsid w:val="00DC518B"/>
    <w:pPr>
      <w:ind w:left="566" w:hanging="283"/>
      <w:contextualSpacing/>
    </w:pPr>
  </w:style>
  <w:style w:type="paragraph" w:styleId="List3">
    <w:name w:val="List 3"/>
    <w:basedOn w:val="Normal"/>
    <w:unhideWhenUsed/>
    <w:rsid w:val="00DC518B"/>
    <w:pPr>
      <w:ind w:left="849" w:hanging="283"/>
      <w:contextualSpacing/>
    </w:pPr>
  </w:style>
  <w:style w:type="paragraph" w:styleId="List4">
    <w:name w:val="List 4"/>
    <w:basedOn w:val="Normal"/>
    <w:rsid w:val="00DC518B"/>
    <w:pPr>
      <w:ind w:left="1132" w:hanging="283"/>
      <w:contextualSpacing/>
    </w:pPr>
  </w:style>
  <w:style w:type="paragraph" w:styleId="List5">
    <w:name w:val="List 5"/>
    <w:basedOn w:val="Normal"/>
    <w:rsid w:val="00DC518B"/>
    <w:pPr>
      <w:ind w:left="1415" w:hanging="283"/>
      <w:contextualSpacing/>
    </w:pPr>
  </w:style>
  <w:style w:type="paragraph" w:styleId="ListBullet">
    <w:name w:val="List Bullet"/>
    <w:basedOn w:val="Normal"/>
    <w:unhideWhenUsed/>
    <w:rsid w:val="00DC518B"/>
    <w:pPr>
      <w:contextualSpacing/>
    </w:pPr>
  </w:style>
  <w:style w:type="paragraph" w:styleId="ListBullet2">
    <w:name w:val="List Bullet 2"/>
    <w:basedOn w:val="Normal"/>
    <w:unhideWhenUsed/>
    <w:rsid w:val="00DC518B"/>
    <w:pPr>
      <w:contextualSpacing/>
    </w:pPr>
  </w:style>
  <w:style w:type="paragraph" w:styleId="ListBullet3">
    <w:name w:val="List Bullet 3"/>
    <w:basedOn w:val="Normal"/>
    <w:unhideWhenUsed/>
    <w:rsid w:val="00DC518B"/>
    <w:pPr>
      <w:contextualSpacing/>
    </w:pPr>
  </w:style>
  <w:style w:type="paragraph" w:styleId="ListBullet4">
    <w:name w:val="List Bullet 4"/>
    <w:basedOn w:val="Normal"/>
    <w:unhideWhenUsed/>
    <w:rsid w:val="00DC518B"/>
    <w:pPr>
      <w:contextualSpacing/>
    </w:pPr>
  </w:style>
  <w:style w:type="paragraph" w:styleId="ListBullet5">
    <w:name w:val="List Bullet 5"/>
    <w:basedOn w:val="Normal"/>
    <w:unhideWhenUsed/>
    <w:rsid w:val="00DC518B"/>
    <w:pPr>
      <w:contextualSpacing/>
    </w:pPr>
  </w:style>
  <w:style w:type="paragraph" w:styleId="ListContinue">
    <w:name w:val="List Continue"/>
    <w:basedOn w:val="Normal"/>
    <w:unhideWhenUsed/>
    <w:rsid w:val="00DC518B"/>
    <w:pPr>
      <w:spacing w:after="120"/>
      <w:ind w:left="283"/>
      <w:contextualSpacing/>
    </w:pPr>
  </w:style>
  <w:style w:type="paragraph" w:styleId="ListContinue2">
    <w:name w:val="List Continue 2"/>
    <w:basedOn w:val="Normal"/>
    <w:unhideWhenUsed/>
    <w:rsid w:val="00DC518B"/>
    <w:pPr>
      <w:spacing w:after="120"/>
      <w:ind w:left="566"/>
      <w:contextualSpacing/>
    </w:pPr>
  </w:style>
  <w:style w:type="paragraph" w:styleId="ListContinue3">
    <w:name w:val="List Continue 3"/>
    <w:basedOn w:val="Normal"/>
    <w:unhideWhenUsed/>
    <w:rsid w:val="00DC518B"/>
    <w:pPr>
      <w:spacing w:after="120"/>
      <w:ind w:left="849"/>
      <w:contextualSpacing/>
    </w:pPr>
  </w:style>
  <w:style w:type="paragraph" w:styleId="ListContinue4">
    <w:name w:val="List Continue 4"/>
    <w:basedOn w:val="Normal"/>
    <w:unhideWhenUsed/>
    <w:rsid w:val="00DC518B"/>
    <w:pPr>
      <w:spacing w:after="120"/>
      <w:ind w:left="1132"/>
      <w:contextualSpacing/>
    </w:pPr>
  </w:style>
  <w:style w:type="paragraph" w:styleId="ListContinue5">
    <w:name w:val="List Continue 5"/>
    <w:basedOn w:val="Normal"/>
    <w:unhideWhenUsed/>
    <w:rsid w:val="00DC518B"/>
    <w:pPr>
      <w:spacing w:after="120"/>
      <w:ind w:left="1415"/>
      <w:contextualSpacing/>
    </w:pPr>
  </w:style>
  <w:style w:type="paragraph" w:styleId="ListNumber">
    <w:name w:val="List Number"/>
    <w:basedOn w:val="Normal"/>
    <w:rsid w:val="00DC518B"/>
    <w:pPr>
      <w:contextualSpacing/>
    </w:pPr>
  </w:style>
  <w:style w:type="paragraph" w:styleId="ListNumber2">
    <w:name w:val="List Number 2"/>
    <w:basedOn w:val="Normal"/>
    <w:unhideWhenUsed/>
    <w:rsid w:val="00DC518B"/>
    <w:pPr>
      <w:contextualSpacing/>
    </w:pPr>
  </w:style>
  <w:style w:type="paragraph" w:styleId="ListNumber3">
    <w:name w:val="List Number 3"/>
    <w:basedOn w:val="Normal"/>
    <w:unhideWhenUsed/>
    <w:rsid w:val="00DC518B"/>
    <w:pPr>
      <w:contextualSpacing/>
    </w:pPr>
  </w:style>
  <w:style w:type="paragraph" w:styleId="ListNumber4">
    <w:name w:val="List Number 4"/>
    <w:basedOn w:val="Normal"/>
    <w:unhideWhenUsed/>
    <w:rsid w:val="00DC518B"/>
    <w:pPr>
      <w:contextualSpacing/>
    </w:pPr>
  </w:style>
  <w:style w:type="paragraph" w:styleId="ListNumber5">
    <w:name w:val="List Number 5"/>
    <w:basedOn w:val="Normal"/>
    <w:unhideWhenUsed/>
    <w:rsid w:val="00DC518B"/>
    <w:pPr>
      <w:contextualSpacing/>
    </w:pPr>
  </w:style>
  <w:style w:type="paragraph" w:styleId="MacroText">
    <w:name w:val="macro"/>
    <w:link w:val="MacroTextChar"/>
    <w:unhideWhenUsed/>
    <w:rsid w:val="00DC518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Calibri" w:hAnsi="Consolas"/>
      <w:lang w:eastAsia="en-US"/>
    </w:rPr>
  </w:style>
  <w:style w:type="character" w:customStyle="1" w:styleId="MacroTextChar">
    <w:name w:val="Macro Text Char"/>
    <w:basedOn w:val="DefaultParagraphFont"/>
    <w:link w:val="MacroText"/>
    <w:rsid w:val="00DC518B"/>
    <w:rPr>
      <w:rFonts w:ascii="Consolas" w:eastAsia="Calibri" w:hAnsi="Consolas"/>
      <w:lang w:eastAsia="en-US"/>
    </w:rPr>
  </w:style>
  <w:style w:type="paragraph" w:styleId="MessageHeader">
    <w:name w:val="Message Header"/>
    <w:basedOn w:val="Normal"/>
    <w:link w:val="MessageHeaderChar"/>
    <w:unhideWhenUsed/>
    <w:rsid w:val="00DC518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C518B"/>
    <w:rPr>
      <w:rFonts w:asciiTheme="majorHAnsi" w:eastAsiaTheme="majorEastAsia" w:hAnsiTheme="majorHAnsi" w:cstheme="majorBidi"/>
      <w:sz w:val="24"/>
      <w:szCs w:val="24"/>
      <w:shd w:val="pct20" w:color="auto" w:fill="auto"/>
      <w:lang w:eastAsia="en-US"/>
    </w:rPr>
  </w:style>
  <w:style w:type="paragraph" w:styleId="NoSpacing">
    <w:name w:val="No Spacing"/>
    <w:uiPriority w:val="98"/>
    <w:qFormat/>
    <w:rsid w:val="00DC518B"/>
    <w:rPr>
      <w:rFonts w:eastAsia="Calibri"/>
      <w:sz w:val="22"/>
      <w:lang w:eastAsia="en-US"/>
    </w:rPr>
  </w:style>
  <w:style w:type="paragraph" w:styleId="NormalWeb">
    <w:name w:val="Normal (Web)"/>
    <w:basedOn w:val="Normal"/>
    <w:uiPriority w:val="99"/>
    <w:unhideWhenUsed/>
    <w:rsid w:val="00DC518B"/>
    <w:rPr>
      <w:sz w:val="24"/>
      <w:szCs w:val="24"/>
    </w:rPr>
  </w:style>
  <w:style w:type="paragraph" w:styleId="NormalIndent">
    <w:name w:val="Normal Indent"/>
    <w:basedOn w:val="Normal"/>
    <w:unhideWhenUsed/>
    <w:rsid w:val="00DC518B"/>
    <w:pPr>
      <w:ind w:left="720"/>
    </w:pPr>
  </w:style>
  <w:style w:type="paragraph" w:styleId="NoteHeading">
    <w:name w:val="Note Heading"/>
    <w:aliases w:val="HN"/>
    <w:basedOn w:val="Normal"/>
    <w:next w:val="Normal"/>
    <w:link w:val="NoteHeadingChar"/>
    <w:unhideWhenUsed/>
    <w:rsid w:val="00DC518B"/>
    <w:pPr>
      <w:spacing w:line="240" w:lineRule="auto"/>
    </w:pPr>
  </w:style>
  <w:style w:type="character" w:customStyle="1" w:styleId="NoteHeadingChar">
    <w:name w:val="Note Heading Char"/>
    <w:aliases w:val="HN Char"/>
    <w:basedOn w:val="DefaultParagraphFont"/>
    <w:link w:val="NoteHeading"/>
    <w:rsid w:val="00DC518B"/>
    <w:rPr>
      <w:rFonts w:eastAsia="Calibri"/>
      <w:sz w:val="22"/>
      <w:lang w:eastAsia="en-US"/>
    </w:rPr>
  </w:style>
  <w:style w:type="paragraph" w:styleId="PlainText">
    <w:name w:val="Plain Text"/>
    <w:basedOn w:val="Normal"/>
    <w:link w:val="PlainTextChar"/>
    <w:unhideWhenUsed/>
    <w:rsid w:val="00DC518B"/>
    <w:pPr>
      <w:spacing w:line="240" w:lineRule="auto"/>
    </w:pPr>
    <w:rPr>
      <w:rFonts w:ascii="Consolas" w:hAnsi="Consolas"/>
      <w:sz w:val="21"/>
      <w:szCs w:val="21"/>
    </w:rPr>
  </w:style>
  <w:style w:type="character" w:customStyle="1" w:styleId="PlainTextChar">
    <w:name w:val="Plain Text Char"/>
    <w:basedOn w:val="DefaultParagraphFont"/>
    <w:link w:val="PlainText"/>
    <w:rsid w:val="00DC518B"/>
    <w:rPr>
      <w:rFonts w:ascii="Consolas" w:eastAsia="Calibri" w:hAnsi="Consolas"/>
      <w:sz w:val="21"/>
      <w:szCs w:val="21"/>
      <w:lang w:eastAsia="en-US"/>
    </w:rPr>
  </w:style>
  <w:style w:type="paragraph" w:styleId="Quote">
    <w:name w:val="Quote"/>
    <w:basedOn w:val="Normal"/>
    <w:next w:val="Normal"/>
    <w:link w:val="QuoteChar"/>
    <w:uiPriority w:val="99"/>
    <w:qFormat/>
    <w:rsid w:val="00DC518B"/>
    <w:rPr>
      <w:i/>
      <w:iCs/>
      <w:color w:val="000000" w:themeColor="text1"/>
    </w:rPr>
  </w:style>
  <w:style w:type="character" w:customStyle="1" w:styleId="QuoteChar">
    <w:name w:val="Quote Char"/>
    <w:basedOn w:val="DefaultParagraphFont"/>
    <w:link w:val="Quote"/>
    <w:uiPriority w:val="99"/>
    <w:rsid w:val="00DC518B"/>
    <w:rPr>
      <w:rFonts w:eastAsia="Calibri"/>
      <w:i/>
      <w:iCs/>
      <w:color w:val="000000" w:themeColor="text1"/>
      <w:sz w:val="22"/>
      <w:lang w:eastAsia="en-US"/>
    </w:rPr>
  </w:style>
  <w:style w:type="paragraph" w:styleId="Salutation">
    <w:name w:val="Salutation"/>
    <w:basedOn w:val="Normal"/>
    <w:next w:val="Normal"/>
    <w:link w:val="SalutationChar"/>
    <w:rsid w:val="00DC518B"/>
  </w:style>
  <w:style w:type="character" w:customStyle="1" w:styleId="SalutationChar">
    <w:name w:val="Salutation Char"/>
    <w:basedOn w:val="DefaultParagraphFont"/>
    <w:link w:val="Salutation"/>
    <w:rsid w:val="00DC518B"/>
    <w:rPr>
      <w:rFonts w:eastAsia="Calibri"/>
      <w:sz w:val="22"/>
      <w:lang w:eastAsia="en-US"/>
    </w:rPr>
  </w:style>
  <w:style w:type="paragraph" w:styleId="Signature">
    <w:name w:val="Signature"/>
    <w:basedOn w:val="Normal"/>
    <w:link w:val="SignatureChar"/>
    <w:unhideWhenUsed/>
    <w:rsid w:val="00DC518B"/>
    <w:pPr>
      <w:spacing w:line="240" w:lineRule="auto"/>
      <w:ind w:left="4252"/>
    </w:pPr>
  </w:style>
  <w:style w:type="character" w:customStyle="1" w:styleId="SignatureChar">
    <w:name w:val="Signature Char"/>
    <w:basedOn w:val="DefaultParagraphFont"/>
    <w:link w:val="Signature"/>
    <w:rsid w:val="00DC518B"/>
    <w:rPr>
      <w:rFonts w:eastAsia="Calibri"/>
      <w:sz w:val="22"/>
      <w:lang w:eastAsia="en-US"/>
    </w:rPr>
  </w:style>
  <w:style w:type="paragraph" w:styleId="Subtitle">
    <w:name w:val="Subtitle"/>
    <w:basedOn w:val="Normal"/>
    <w:next w:val="Normal"/>
    <w:link w:val="SubtitleChar"/>
    <w:qFormat/>
    <w:rsid w:val="00DC51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DC518B"/>
    <w:rPr>
      <w:rFonts w:asciiTheme="majorHAnsi" w:eastAsiaTheme="majorEastAsia" w:hAnsiTheme="majorHAnsi" w:cstheme="majorBidi"/>
      <w:i/>
      <w:iCs/>
      <w:color w:val="4F81BD" w:themeColor="accent1"/>
      <w:spacing w:val="15"/>
      <w:sz w:val="24"/>
      <w:szCs w:val="24"/>
      <w:lang w:eastAsia="en-US"/>
    </w:rPr>
  </w:style>
  <w:style w:type="paragraph" w:styleId="TableofAuthorities">
    <w:name w:val="table of authorities"/>
    <w:basedOn w:val="Normal"/>
    <w:next w:val="Normal"/>
    <w:unhideWhenUsed/>
    <w:rsid w:val="00DC518B"/>
    <w:pPr>
      <w:ind w:left="220" w:hanging="220"/>
    </w:pPr>
  </w:style>
  <w:style w:type="paragraph" w:styleId="TableofFigures">
    <w:name w:val="table of figures"/>
    <w:basedOn w:val="Normal"/>
    <w:next w:val="Normal"/>
    <w:unhideWhenUsed/>
    <w:rsid w:val="00DC518B"/>
  </w:style>
  <w:style w:type="paragraph" w:styleId="Title">
    <w:name w:val="Title"/>
    <w:basedOn w:val="Normal"/>
    <w:next w:val="Normal"/>
    <w:link w:val="TitleChar"/>
    <w:uiPriority w:val="10"/>
    <w:qFormat/>
    <w:rsid w:val="00DC51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518B"/>
    <w:rPr>
      <w:rFonts w:asciiTheme="majorHAnsi" w:eastAsiaTheme="majorEastAsia" w:hAnsiTheme="majorHAnsi" w:cstheme="majorBidi"/>
      <w:color w:val="17365D" w:themeColor="text2" w:themeShade="BF"/>
      <w:spacing w:val="5"/>
      <w:kern w:val="28"/>
      <w:sz w:val="52"/>
      <w:szCs w:val="52"/>
      <w:lang w:eastAsia="en-US"/>
    </w:rPr>
  </w:style>
  <w:style w:type="paragraph" w:styleId="TOAHeading">
    <w:name w:val="toa heading"/>
    <w:basedOn w:val="Normal"/>
    <w:next w:val="Normal"/>
    <w:unhideWhenUsed/>
    <w:rsid w:val="00DC518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DC518B"/>
    <w:pPr>
      <w:numPr>
        <w:numId w:val="0"/>
      </w:numPr>
      <w:spacing w:before="480" w:line="260" w:lineRule="atLeast"/>
      <w:outlineLvl w:val="9"/>
    </w:pPr>
    <w:rPr>
      <w:rFonts w:asciiTheme="majorHAnsi" w:eastAsiaTheme="majorEastAsia" w:hAnsiTheme="majorHAnsi" w:cstheme="majorBidi"/>
      <w:caps w:val="0"/>
      <w:color w:val="365F91" w:themeColor="accent1" w:themeShade="BF"/>
      <w:kern w:val="0"/>
      <w:sz w:val="28"/>
      <w:szCs w:val="28"/>
    </w:rPr>
  </w:style>
  <w:style w:type="paragraph" w:customStyle="1" w:styleId="tFormula">
    <w:name w:val="t_Formula"/>
    <w:basedOn w:val="Normal"/>
    <w:qFormat/>
    <w:rsid w:val="003E284A"/>
    <w:pPr>
      <w:tabs>
        <w:tab w:val="center" w:pos="3969"/>
        <w:tab w:val="right" w:pos="8789"/>
      </w:tabs>
      <w:spacing w:before="120" w:after="60" w:line="240" w:lineRule="auto"/>
      <w:ind w:left="1134" w:hanging="1134"/>
    </w:pPr>
    <w:rPr>
      <w:rFonts w:eastAsia="Times New Roman"/>
      <w:b/>
      <w:i/>
      <w:lang w:eastAsia="en-AU"/>
    </w:rPr>
  </w:style>
  <w:style w:type="paragraph" w:customStyle="1" w:styleId="tParameter">
    <w:name w:val="t_Parameter"/>
    <w:basedOn w:val="Normal"/>
    <w:rsid w:val="003E284A"/>
    <w:pPr>
      <w:tabs>
        <w:tab w:val="right" w:pos="1985"/>
      </w:tabs>
      <w:spacing w:before="40" w:line="240" w:lineRule="auto"/>
      <w:ind w:left="2098" w:hanging="454"/>
    </w:pPr>
    <w:rPr>
      <w:rFonts w:eastAsia="Times New Roman"/>
      <w:lang w:eastAsia="en-AU"/>
    </w:rPr>
  </w:style>
  <w:style w:type="character" w:styleId="Emphasis">
    <w:name w:val="Emphasis"/>
    <w:basedOn w:val="DefaultParagraphFont"/>
    <w:uiPriority w:val="20"/>
    <w:qFormat/>
    <w:rsid w:val="00BB7E75"/>
    <w:rPr>
      <w:i/>
      <w:iCs/>
      <w:sz w:val="24"/>
      <w:szCs w:val="24"/>
      <w:bdr w:val="none" w:sz="0" w:space="0" w:color="auto" w:frame="1"/>
      <w:vertAlign w:val="baseline"/>
    </w:rPr>
  </w:style>
  <w:style w:type="character" w:styleId="CommentReference">
    <w:name w:val="annotation reference"/>
    <w:basedOn w:val="DefaultParagraphFont"/>
    <w:uiPriority w:val="99"/>
    <w:rsid w:val="00BB7E75"/>
    <w:rPr>
      <w:sz w:val="16"/>
      <w:szCs w:val="16"/>
    </w:rPr>
  </w:style>
  <w:style w:type="paragraph" w:customStyle="1" w:styleId="R2">
    <w:name w:val="R2"/>
    <w:aliases w:val="(2)"/>
    <w:basedOn w:val="Normal"/>
    <w:rsid w:val="00BB7E75"/>
    <w:pPr>
      <w:keepLines/>
      <w:tabs>
        <w:tab w:val="right" w:pos="794"/>
      </w:tabs>
      <w:spacing w:before="180" w:line="260" w:lineRule="exact"/>
      <w:ind w:left="964" w:hanging="964"/>
      <w:jc w:val="both"/>
    </w:pPr>
    <w:rPr>
      <w:rFonts w:eastAsia="Times New Roman"/>
      <w:sz w:val="24"/>
      <w:szCs w:val="24"/>
      <w:lang w:eastAsia="en-AU"/>
    </w:rPr>
  </w:style>
  <w:style w:type="character" w:customStyle="1" w:styleId="paragraphChar">
    <w:name w:val="paragraph Char"/>
    <w:aliases w:val="a Char"/>
    <w:basedOn w:val="DefaultParagraphFont"/>
    <w:link w:val="tPara"/>
    <w:rsid w:val="00BB7E75"/>
    <w:rPr>
      <w:sz w:val="22"/>
    </w:rPr>
  </w:style>
  <w:style w:type="paragraph" w:customStyle="1" w:styleId="noteMain">
    <w:name w:val="note_Main"/>
    <w:basedOn w:val="tMain"/>
    <w:qFormat/>
    <w:rsid w:val="00BB7E75"/>
    <w:pPr>
      <w:keepLines/>
      <w:tabs>
        <w:tab w:val="clear" w:pos="1021"/>
        <w:tab w:val="right" w:pos="794"/>
      </w:tabs>
      <w:spacing w:before="80" w:after="100" w:line="220" w:lineRule="exact"/>
      <w:ind w:left="964" w:hanging="964"/>
      <w:jc w:val="both"/>
    </w:pPr>
    <w:rPr>
      <w:sz w:val="20"/>
      <w:szCs w:val="24"/>
    </w:rPr>
  </w:style>
  <w:style w:type="paragraph" w:customStyle="1" w:styleId="TableText0">
    <w:name w:val="TableText"/>
    <w:basedOn w:val="Normal"/>
    <w:rsid w:val="00BB7E75"/>
    <w:pPr>
      <w:spacing w:before="60" w:after="60" w:line="240" w:lineRule="exact"/>
    </w:pPr>
    <w:rPr>
      <w:rFonts w:eastAsia="Times New Roman"/>
      <w:sz w:val="24"/>
      <w:szCs w:val="24"/>
      <w:lang w:eastAsia="en-AU"/>
    </w:rPr>
  </w:style>
  <w:style w:type="paragraph" w:customStyle="1" w:styleId="noteSubpara">
    <w:name w:val="note_Subpara"/>
    <w:basedOn w:val="tSubpara"/>
    <w:qFormat/>
    <w:rsid w:val="00BB7E75"/>
    <w:pPr>
      <w:keepLines/>
      <w:tabs>
        <w:tab w:val="clear" w:pos="1985"/>
        <w:tab w:val="right" w:pos="2211"/>
      </w:tabs>
      <w:spacing w:before="0" w:after="100" w:line="220" w:lineRule="exact"/>
      <w:ind w:left="2410" w:hanging="2410"/>
      <w:jc w:val="both"/>
    </w:pPr>
    <w:rPr>
      <w:sz w:val="20"/>
      <w:szCs w:val="24"/>
    </w:rPr>
  </w:style>
  <w:style w:type="character" w:customStyle="1" w:styleId="SOTextChar">
    <w:name w:val="SO Text Char"/>
    <w:aliases w:val="sot Char"/>
    <w:basedOn w:val="DefaultParagraphFont"/>
    <w:link w:val="SOText"/>
    <w:rsid w:val="00BB7E75"/>
    <w:rPr>
      <w:rFonts w:eastAsia="Calibri"/>
      <w:sz w:val="22"/>
    </w:rPr>
  </w:style>
  <w:style w:type="character" w:customStyle="1" w:styleId="SOParaChar">
    <w:name w:val="SO Para Char"/>
    <w:aliases w:val="soa Char"/>
    <w:basedOn w:val="DefaultParagraphFont"/>
    <w:link w:val="SOPara"/>
    <w:rsid w:val="00BB7E75"/>
    <w:rPr>
      <w:rFonts w:eastAsia="Calibri"/>
      <w:sz w:val="22"/>
    </w:rPr>
  </w:style>
  <w:style w:type="character" w:customStyle="1" w:styleId="SOHeadBoldChar">
    <w:name w:val="SO HeadBold Char"/>
    <w:aliases w:val="sohb Char"/>
    <w:basedOn w:val="DefaultParagraphFont"/>
    <w:link w:val="SOHeadBold"/>
    <w:rsid w:val="00BB7E75"/>
    <w:rPr>
      <w:rFonts w:eastAsia="Calibri"/>
      <w:b/>
      <w:sz w:val="22"/>
    </w:rPr>
  </w:style>
  <w:style w:type="character" w:customStyle="1" w:styleId="SOHeadItalicChar">
    <w:name w:val="SO HeadItalic Char"/>
    <w:aliases w:val="sohi Char"/>
    <w:basedOn w:val="DefaultParagraphFont"/>
    <w:link w:val="SOHeadItalic"/>
    <w:rsid w:val="00BB7E75"/>
    <w:rPr>
      <w:rFonts w:eastAsia="Calibri"/>
      <w:i/>
      <w:sz w:val="22"/>
    </w:rPr>
  </w:style>
  <w:style w:type="character" w:customStyle="1" w:styleId="SOBulletChar">
    <w:name w:val="SO Bullet Char"/>
    <w:aliases w:val="sotb Char"/>
    <w:basedOn w:val="DefaultParagraphFont"/>
    <w:link w:val="SOBullet"/>
    <w:rsid w:val="00BB7E75"/>
    <w:rPr>
      <w:rFonts w:eastAsia="Calibri"/>
      <w:sz w:val="22"/>
    </w:rPr>
  </w:style>
  <w:style w:type="character" w:customStyle="1" w:styleId="SOBulletNoteChar">
    <w:name w:val="SO BulletNote Char"/>
    <w:aliases w:val="sonb Char"/>
    <w:basedOn w:val="DefaultParagraphFont"/>
    <w:link w:val="SOBulletNote"/>
    <w:rsid w:val="00BB7E75"/>
    <w:rPr>
      <w:rFonts w:eastAsia="Calibri"/>
      <w:sz w:val="18"/>
    </w:rPr>
  </w:style>
  <w:style w:type="character" w:customStyle="1" w:styleId="SOText2Char">
    <w:name w:val="SO Text2 Char"/>
    <w:aliases w:val="sot2 Char"/>
    <w:basedOn w:val="DefaultParagraphFont"/>
    <w:link w:val="SOText2"/>
    <w:rsid w:val="00BB7E75"/>
    <w:rPr>
      <w:rFonts w:eastAsia="Calibri"/>
      <w:sz w:val="22"/>
      <w:lang w:eastAsia="en-US"/>
    </w:rPr>
  </w:style>
  <w:style w:type="character" w:customStyle="1" w:styleId="subsectionChar">
    <w:name w:val="subsection Char"/>
    <w:aliases w:val="ss Char"/>
    <w:basedOn w:val="DefaultParagraphFont"/>
    <w:link w:val="tMain"/>
    <w:locked/>
    <w:rsid w:val="00BB7E75"/>
    <w:rPr>
      <w:sz w:val="22"/>
    </w:rPr>
  </w:style>
  <w:style w:type="character" w:customStyle="1" w:styleId="ListParagraphChar">
    <w:name w:val="List Paragraph Char"/>
    <w:basedOn w:val="DefaultParagraphFont"/>
    <w:link w:val="ListParagraph"/>
    <w:uiPriority w:val="34"/>
    <w:locked/>
    <w:rsid w:val="00BB7E75"/>
    <w:rPr>
      <w:rFonts w:eastAsia="Calibri"/>
      <w:sz w:val="22"/>
      <w:lang w:eastAsia="en-US"/>
    </w:rPr>
  </w:style>
  <w:style w:type="paragraph" w:customStyle="1" w:styleId="definition">
    <w:name w:val="definition"/>
    <w:basedOn w:val="Normal"/>
    <w:rsid w:val="00BB7E75"/>
    <w:pPr>
      <w:spacing w:before="80" w:line="260" w:lineRule="exact"/>
      <w:ind w:left="964"/>
      <w:jc w:val="both"/>
    </w:pPr>
    <w:rPr>
      <w:rFonts w:eastAsia="Times New Roman"/>
      <w:sz w:val="24"/>
      <w:szCs w:val="24"/>
      <w:lang w:eastAsia="en-AU"/>
    </w:rPr>
  </w:style>
  <w:style w:type="paragraph" w:customStyle="1" w:styleId="Rc">
    <w:name w:val="Rc"/>
    <w:aliases w:val="Rn continued"/>
    <w:basedOn w:val="Normal"/>
    <w:next w:val="R2"/>
    <w:rsid w:val="00BB7E75"/>
    <w:pPr>
      <w:spacing w:before="60" w:line="260" w:lineRule="exact"/>
      <w:ind w:left="964"/>
      <w:jc w:val="both"/>
    </w:pPr>
    <w:rPr>
      <w:rFonts w:eastAsia="Times New Roman"/>
      <w:sz w:val="24"/>
      <w:szCs w:val="24"/>
      <w:lang w:eastAsia="en-AU"/>
    </w:rPr>
  </w:style>
  <w:style w:type="paragraph" w:customStyle="1" w:styleId="notePara">
    <w:name w:val="note_Para"/>
    <w:basedOn w:val="tPara"/>
    <w:qFormat/>
    <w:rsid w:val="00BB7E75"/>
    <w:pPr>
      <w:keepLines/>
      <w:spacing w:before="0" w:after="100" w:line="220" w:lineRule="exact"/>
      <w:ind w:left="1701" w:hanging="1701"/>
      <w:jc w:val="both"/>
    </w:pPr>
    <w:rPr>
      <w:sz w:val="20"/>
      <w:szCs w:val="24"/>
    </w:rPr>
  </w:style>
  <w:style w:type="paragraph" w:customStyle="1" w:styleId="Tempstyle">
    <w:name w:val="Temp style"/>
    <w:basedOn w:val="Normal"/>
    <w:rsid w:val="00BB7E75"/>
    <w:pPr>
      <w:spacing w:line="240" w:lineRule="auto"/>
    </w:pPr>
    <w:rPr>
      <w:rFonts w:eastAsia="Times New Roman"/>
      <w:sz w:val="24"/>
      <w:szCs w:val="24"/>
      <w:lang w:eastAsia="en-AU"/>
    </w:rPr>
  </w:style>
  <w:style w:type="paragraph" w:customStyle="1" w:styleId="h1ChSch">
    <w:name w:val="h1_Ch_Sch"/>
    <w:basedOn w:val="Heading1"/>
    <w:next w:val="Normal"/>
    <w:qFormat/>
    <w:rsid w:val="00BB7E75"/>
    <w:pPr>
      <w:pageBreakBefore/>
      <w:numPr>
        <w:numId w:val="0"/>
      </w:numPr>
      <w:spacing w:before="480" w:after="60" w:line="240" w:lineRule="auto"/>
      <w:ind w:left="2410" w:hanging="2410"/>
    </w:pPr>
    <w:rPr>
      <w:rFonts w:eastAsia="Times New Roman"/>
      <w:caps w:val="0"/>
      <w:sz w:val="40"/>
      <w:lang w:eastAsia="en-AU"/>
    </w:rPr>
  </w:style>
  <w:style w:type="paragraph" w:customStyle="1" w:styleId="noteDrafter">
    <w:name w:val="note_Drafter"/>
    <w:basedOn w:val="Normal"/>
    <w:qFormat/>
    <w:rsid w:val="00BB7E75"/>
    <w:pPr>
      <w:spacing w:before="80" w:after="80" w:line="240" w:lineRule="auto"/>
    </w:pPr>
    <w:rPr>
      <w:rFonts w:eastAsia="Times New Roman"/>
      <w:color w:val="0070C0"/>
      <w:sz w:val="24"/>
      <w:szCs w:val="24"/>
      <w:lang w:eastAsia="en-AU"/>
    </w:rPr>
  </w:style>
  <w:style w:type="paragraph" w:customStyle="1" w:styleId="HeaderBoldOdd">
    <w:name w:val="HeaderBoldOdd"/>
    <w:basedOn w:val="Normal"/>
    <w:rsid w:val="00BB7E75"/>
    <w:pPr>
      <w:spacing w:before="120" w:after="60" w:line="240" w:lineRule="auto"/>
      <w:jc w:val="right"/>
    </w:pPr>
    <w:rPr>
      <w:rFonts w:ascii="Arial" w:eastAsia="Times New Roman" w:hAnsi="Arial"/>
      <w:b/>
      <w:sz w:val="20"/>
      <w:szCs w:val="24"/>
      <w:lang w:eastAsia="en-AU"/>
    </w:rPr>
  </w:style>
  <w:style w:type="paragraph" w:customStyle="1" w:styleId="HeaderLiteOdd">
    <w:name w:val="HeaderLiteOdd"/>
    <w:basedOn w:val="Normal"/>
    <w:rsid w:val="00BB7E75"/>
    <w:pPr>
      <w:tabs>
        <w:tab w:val="center" w:pos="3969"/>
        <w:tab w:val="right" w:pos="8505"/>
      </w:tabs>
      <w:spacing w:before="60" w:line="240" w:lineRule="auto"/>
      <w:jc w:val="right"/>
    </w:pPr>
    <w:rPr>
      <w:rFonts w:ascii="Arial" w:eastAsia="Times New Roman" w:hAnsi="Arial"/>
      <w:sz w:val="18"/>
      <w:szCs w:val="24"/>
      <w:lang w:eastAsia="en-AU"/>
    </w:rPr>
  </w:style>
  <w:style w:type="paragraph" w:customStyle="1" w:styleId="FooterDraft">
    <w:name w:val="FooterDraft"/>
    <w:basedOn w:val="Normal"/>
    <w:rsid w:val="00BB7E75"/>
    <w:pPr>
      <w:spacing w:line="240" w:lineRule="auto"/>
      <w:jc w:val="center"/>
    </w:pPr>
    <w:rPr>
      <w:rFonts w:ascii="Arial" w:eastAsia="Times New Roman" w:hAnsi="Arial"/>
      <w:b/>
      <w:sz w:val="40"/>
      <w:szCs w:val="24"/>
      <w:lang w:eastAsia="en-AU"/>
    </w:rPr>
  </w:style>
  <w:style w:type="paragraph" w:customStyle="1" w:styleId="FooterCitation">
    <w:name w:val="FooterCitation"/>
    <w:basedOn w:val="Footer"/>
    <w:rsid w:val="00BB7E75"/>
    <w:pPr>
      <w:spacing w:before="20" w:line="240" w:lineRule="exact"/>
      <w:jc w:val="center"/>
    </w:pPr>
    <w:rPr>
      <w:rFonts w:ascii="Arial" w:hAnsi="Arial"/>
      <w:i/>
      <w:sz w:val="18"/>
    </w:rPr>
  </w:style>
  <w:style w:type="paragraph" w:customStyle="1" w:styleId="Sec">
    <w:name w:val="Sec"/>
    <w:basedOn w:val="Normal"/>
    <w:next w:val="Normal"/>
    <w:uiPriority w:val="99"/>
    <w:rsid w:val="00BB7E75"/>
    <w:pPr>
      <w:keepLines/>
      <w:tabs>
        <w:tab w:val="right" w:pos="794"/>
      </w:tabs>
      <w:spacing w:before="80" w:after="100" w:line="260" w:lineRule="exact"/>
      <w:ind w:left="964" w:hanging="964"/>
      <w:jc w:val="both"/>
    </w:pPr>
    <w:rPr>
      <w:rFonts w:eastAsia="Times New Roman"/>
      <w:sz w:val="24"/>
      <w:szCs w:val="24"/>
      <w:lang w:eastAsia="en-AU"/>
    </w:rPr>
  </w:style>
  <w:style w:type="paragraph" w:customStyle="1" w:styleId="EquationNote">
    <w:name w:val="EquationNote"/>
    <w:basedOn w:val="Normal"/>
    <w:link w:val="EquationNoteChar"/>
    <w:uiPriority w:val="99"/>
    <w:rsid w:val="00BB7E75"/>
    <w:pPr>
      <w:tabs>
        <w:tab w:val="right" w:pos="9000"/>
      </w:tabs>
      <w:spacing w:before="60" w:line="240" w:lineRule="auto"/>
      <w:ind w:left="360" w:hanging="360"/>
    </w:pPr>
    <w:rPr>
      <w:rFonts w:ascii="Arial" w:eastAsia="Times New Roman" w:hAnsi="Arial" w:cs="Arial"/>
      <w:iCs/>
      <w:sz w:val="18"/>
    </w:rPr>
  </w:style>
  <w:style w:type="character" w:customStyle="1" w:styleId="EquationNoteChar">
    <w:name w:val="EquationNote Char"/>
    <w:basedOn w:val="DefaultParagraphFont"/>
    <w:link w:val="EquationNote"/>
    <w:uiPriority w:val="99"/>
    <w:locked/>
    <w:rsid w:val="00BB7E75"/>
    <w:rPr>
      <w:rFonts w:ascii="Arial" w:hAnsi="Arial" w:cs="Arial"/>
      <w:iCs/>
      <w:sz w:val="18"/>
      <w:lang w:eastAsia="en-US"/>
    </w:rPr>
  </w:style>
  <w:style w:type="paragraph" w:customStyle="1" w:styleId="NoteEnd">
    <w:name w:val="Note End"/>
    <w:basedOn w:val="Normal"/>
    <w:rsid w:val="00BB7E75"/>
    <w:pPr>
      <w:keepLines/>
      <w:spacing w:before="120" w:line="240" w:lineRule="exact"/>
      <w:ind w:left="567" w:hanging="567"/>
      <w:jc w:val="both"/>
    </w:pPr>
    <w:rPr>
      <w:rFonts w:eastAsia="Times New Roman"/>
      <w:sz w:val="24"/>
      <w:szCs w:val="24"/>
      <w:lang w:eastAsia="en-AU"/>
    </w:rPr>
  </w:style>
  <w:style w:type="paragraph" w:customStyle="1" w:styleId="noteSubsub">
    <w:name w:val="note_Subsub"/>
    <w:basedOn w:val="tSubsub"/>
    <w:qFormat/>
    <w:rsid w:val="00BB7E75"/>
    <w:pPr>
      <w:tabs>
        <w:tab w:val="clear" w:pos="2722"/>
        <w:tab w:val="right" w:pos="2948"/>
      </w:tabs>
      <w:spacing w:before="0" w:after="100" w:line="220" w:lineRule="exact"/>
      <w:ind w:left="3119" w:hanging="3119"/>
      <w:jc w:val="both"/>
    </w:pPr>
    <w:rPr>
      <w:sz w:val="20"/>
      <w:szCs w:val="24"/>
    </w:rPr>
  </w:style>
  <w:style w:type="paragraph" w:customStyle="1" w:styleId="HR">
    <w:name w:val="HR"/>
    <w:aliases w:val="Regulation Heading"/>
    <w:basedOn w:val="Normal"/>
    <w:next w:val="Normal"/>
    <w:rsid w:val="00BB7E75"/>
    <w:pPr>
      <w:keepNext/>
      <w:keepLines/>
      <w:spacing w:before="360" w:line="240" w:lineRule="auto"/>
      <w:ind w:left="964" w:hanging="964"/>
    </w:pPr>
    <w:rPr>
      <w:rFonts w:ascii="Arial" w:eastAsia="Times New Roman" w:hAnsi="Arial"/>
      <w:b/>
      <w:sz w:val="24"/>
      <w:szCs w:val="24"/>
      <w:lang w:eastAsia="en-AU"/>
    </w:rPr>
  </w:style>
  <w:style w:type="paragraph" w:customStyle="1" w:styleId="P1">
    <w:name w:val="P1"/>
    <w:aliases w:val="(a)"/>
    <w:basedOn w:val="Normal"/>
    <w:rsid w:val="00BB7E75"/>
    <w:pPr>
      <w:keepLines/>
      <w:tabs>
        <w:tab w:val="right" w:pos="1191"/>
      </w:tabs>
      <w:spacing w:before="60" w:line="260" w:lineRule="exact"/>
      <w:ind w:left="1418" w:hanging="1418"/>
      <w:jc w:val="both"/>
    </w:pPr>
    <w:rPr>
      <w:rFonts w:eastAsia="Times New Roman"/>
      <w:sz w:val="24"/>
      <w:szCs w:val="24"/>
      <w:lang w:eastAsia="en-AU"/>
    </w:rPr>
  </w:style>
  <w:style w:type="paragraph" w:customStyle="1" w:styleId="R1">
    <w:name w:val="R1"/>
    <w:aliases w:val="1. or 1.(1)"/>
    <w:basedOn w:val="Normal"/>
    <w:next w:val="R2"/>
    <w:rsid w:val="00BB7E75"/>
    <w:pPr>
      <w:keepLines/>
      <w:tabs>
        <w:tab w:val="right" w:pos="794"/>
      </w:tabs>
      <w:spacing w:before="120" w:line="260" w:lineRule="exact"/>
      <w:ind w:left="964" w:hanging="964"/>
      <w:jc w:val="both"/>
    </w:pPr>
    <w:rPr>
      <w:rFonts w:eastAsia="Times New Roman"/>
      <w:sz w:val="24"/>
      <w:szCs w:val="24"/>
      <w:lang w:eastAsia="en-AU"/>
    </w:rPr>
  </w:style>
  <w:style w:type="paragraph" w:customStyle="1" w:styleId="Bullet">
    <w:name w:val="Bullet"/>
    <w:aliases w:val="b"/>
    <w:basedOn w:val="Normal"/>
    <w:link w:val="BulletChar"/>
    <w:qFormat/>
    <w:rsid w:val="00BB7E75"/>
    <w:pPr>
      <w:numPr>
        <w:numId w:val="5"/>
      </w:numPr>
      <w:spacing w:before="120" w:after="120" w:line="276" w:lineRule="auto"/>
    </w:pPr>
    <w:rPr>
      <w:rFonts w:ascii="Calibri" w:eastAsia="Times New Roman" w:hAnsi="Calibri"/>
      <w:sz w:val="24"/>
      <w:szCs w:val="22"/>
    </w:rPr>
  </w:style>
  <w:style w:type="character" w:customStyle="1" w:styleId="BulletChar">
    <w:name w:val="Bullet Char"/>
    <w:aliases w:val="b Char"/>
    <w:link w:val="Bullet"/>
    <w:locked/>
    <w:rsid w:val="00BB7E75"/>
    <w:rPr>
      <w:rFonts w:ascii="Calibri" w:hAnsi="Calibri"/>
      <w:sz w:val="24"/>
      <w:szCs w:val="22"/>
      <w:lang w:eastAsia="en-US"/>
    </w:rPr>
  </w:style>
  <w:style w:type="paragraph" w:customStyle="1" w:styleId="Dash">
    <w:name w:val="Dash"/>
    <w:basedOn w:val="Normal"/>
    <w:link w:val="DashChar"/>
    <w:qFormat/>
    <w:rsid w:val="00BB7E75"/>
    <w:pPr>
      <w:numPr>
        <w:ilvl w:val="1"/>
        <w:numId w:val="5"/>
      </w:numPr>
      <w:spacing w:before="120" w:after="120" w:line="276" w:lineRule="auto"/>
    </w:pPr>
    <w:rPr>
      <w:rFonts w:ascii="Calibri" w:eastAsia="Times New Roman" w:hAnsi="Calibri"/>
      <w:sz w:val="24"/>
      <w:szCs w:val="22"/>
    </w:rPr>
  </w:style>
  <w:style w:type="character" w:customStyle="1" w:styleId="DashChar">
    <w:name w:val="Dash Char"/>
    <w:link w:val="Dash"/>
    <w:locked/>
    <w:rsid w:val="00BB7E75"/>
    <w:rPr>
      <w:rFonts w:ascii="Calibri" w:hAnsi="Calibri"/>
      <w:sz w:val="24"/>
      <w:szCs w:val="22"/>
      <w:lang w:eastAsia="en-US"/>
    </w:rPr>
  </w:style>
  <w:style w:type="paragraph" w:customStyle="1" w:styleId="DoubleDot">
    <w:name w:val="Double Dot"/>
    <w:basedOn w:val="Normal"/>
    <w:link w:val="DoubleDotChar"/>
    <w:rsid w:val="00BB7E75"/>
    <w:pPr>
      <w:numPr>
        <w:ilvl w:val="2"/>
        <w:numId w:val="5"/>
      </w:numPr>
      <w:spacing w:before="120" w:after="120" w:line="276" w:lineRule="auto"/>
    </w:pPr>
    <w:rPr>
      <w:rFonts w:ascii="Calibri" w:eastAsia="Times New Roman" w:hAnsi="Calibri"/>
      <w:sz w:val="24"/>
      <w:szCs w:val="22"/>
    </w:rPr>
  </w:style>
  <w:style w:type="character" w:customStyle="1" w:styleId="DoubleDotChar">
    <w:name w:val="Double Dot Char"/>
    <w:link w:val="DoubleDot"/>
    <w:locked/>
    <w:rsid w:val="00BB7E75"/>
    <w:rPr>
      <w:rFonts w:ascii="Calibri" w:hAnsi="Calibri"/>
      <w:sz w:val="24"/>
      <w:szCs w:val="22"/>
      <w:lang w:eastAsia="en-US"/>
    </w:rPr>
  </w:style>
  <w:style w:type="paragraph" w:customStyle="1" w:styleId="OutlineNumbered1">
    <w:name w:val="Outline Numbered 1"/>
    <w:basedOn w:val="Normal"/>
    <w:link w:val="OutlineNumbered1Char"/>
    <w:rsid w:val="00BB7E75"/>
    <w:pPr>
      <w:numPr>
        <w:numId w:val="6"/>
      </w:numPr>
      <w:spacing w:before="120" w:after="120" w:line="276" w:lineRule="auto"/>
    </w:pPr>
    <w:rPr>
      <w:rFonts w:ascii="Calibri" w:eastAsia="Times New Roman" w:hAnsi="Calibri"/>
      <w:sz w:val="24"/>
      <w:szCs w:val="22"/>
    </w:rPr>
  </w:style>
  <w:style w:type="character" w:customStyle="1" w:styleId="OutlineNumbered1Char">
    <w:name w:val="Outline Numbered 1 Char"/>
    <w:link w:val="OutlineNumbered1"/>
    <w:locked/>
    <w:rsid w:val="00BB7E75"/>
    <w:rPr>
      <w:rFonts w:ascii="Calibri" w:hAnsi="Calibri"/>
      <w:sz w:val="24"/>
      <w:szCs w:val="22"/>
      <w:lang w:eastAsia="en-US"/>
    </w:rPr>
  </w:style>
  <w:style w:type="paragraph" w:customStyle="1" w:styleId="OutlineNumbered2">
    <w:name w:val="Outline Numbered 2"/>
    <w:basedOn w:val="Normal"/>
    <w:rsid w:val="00BB7E75"/>
    <w:pPr>
      <w:numPr>
        <w:ilvl w:val="1"/>
        <w:numId w:val="6"/>
      </w:numPr>
      <w:spacing w:before="120" w:after="120" w:line="276" w:lineRule="auto"/>
    </w:pPr>
    <w:rPr>
      <w:rFonts w:ascii="Calibri" w:eastAsia="Times New Roman" w:hAnsi="Calibri"/>
      <w:sz w:val="24"/>
      <w:szCs w:val="22"/>
    </w:rPr>
  </w:style>
  <w:style w:type="paragraph" w:customStyle="1" w:styleId="OutlineNumbered3">
    <w:name w:val="Outline Numbered 3"/>
    <w:basedOn w:val="Normal"/>
    <w:rsid w:val="00BB7E75"/>
    <w:pPr>
      <w:numPr>
        <w:ilvl w:val="2"/>
        <w:numId w:val="6"/>
      </w:numPr>
      <w:spacing w:before="120" w:after="120" w:line="276" w:lineRule="auto"/>
    </w:pPr>
    <w:rPr>
      <w:rFonts w:ascii="Calibri" w:eastAsia="Times New Roman" w:hAnsi="Calibri"/>
      <w:sz w:val="24"/>
      <w:szCs w:val="22"/>
    </w:rPr>
  </w:style>
  <w:style w:type="paragraph" w:styleId="Revision">
    <w:name w:val="Revision"/>
    <w:hidden/>
    <w:uiPriority w:val="99"/>
    <w:semiHidden/>
    <w:rsid w:val="00BB7E75"/>
    <w:rPr>
      <w:rFonts w:ascii="Calibri" w:hAnsi="Calibri"/>
      <w:sz w:val="22"/>
      <w:szCs w:val="22"/>
      <w:lang w:eastAsia="en-US"/>
    </w:rPr>
  </w:style>
  <w:style w:type="paragraph" w:customStyle="1" w:styleId="CABNETParagraph">
    <w:name w:val="CABNET Paragraph"/>
    <w:basedOn w:val="Normal"/>
    <w:link w:val="CABNETParagraphChar"/>
    <w:qFormat/>
    <w:rsid w:val="00BB7E75"/>
    <w:pPr>
      <w:spacing w:before="120" w:after="120" w:line="240" w:lineRule="auto"/>
    </w:pPr>
    <w:rPr>
      <w:rFonts w:ascii="Verdana" w:eastAsia="Times New Roman" w:hAnsi="Verdana"/>
      <w:sz w:val="24"/>
      <w:szCs w:val="22"/>
    </w:rPr>
  </w:style>
  <w:style w:type="character" w:customStyle="1" w:styleId="CABNETParagraphChar">
    <w:name w:val="CABNET Paragraph Char"/>
    <w:link w:val="CABNETParagraph"/>
    <w:locked/>
    <w:rsid w:val="00BB7E75"/>
    <w:rPr>
      <w:rFonts w:ascii="Verdana" w:hAnsi="Verdana"/>
      <w:sz w:val="24"/>
      <w:szCs w:val="22"/>
      <w:lang w:eastAsia="en-US"/>
    </w:rPr>
  </w:style>
  <w:style w:type="character" w:styleId="Strong">
    <w:name w:val="Strong"/>
    <w:qFormat/>
    <w:rsid w:val="00BB7E75"/>
    <w:rPr>
      <w:rFonts w:cs="Times New Roman"/>
      <w:b/>
      <w:bCs/>
    </w:rPr>
  </w:style>
  <w:style w:type="paragraph" w:customStyle="1" w:styleId="Default">
    <w:name w:val="Default"/>
    <w:rsid w:val="00BB7E75"/>
    <w:pPr>
      <w:autoSpaceDE w:val="0"/>
      <w:autoSpaceDN w:val="0"/>
      <w:adjustRightInd w:val="0"/>
    </w:pPr>
    <w:rPr>
      <w:color w:val="000000"/>
      <w:sz w:val="24"/>
      <w:szCs w:val="24"/>
    </w:rPr>
  </w:style>
  <w:style w:type="paragraph" w:customStyle="1" w:styleId="RegPara">
    <w:name w:val="RegPara"/>
    <w:basedOn w:val="Default"/>
    <w:next w:val="Default"/>
    <w:uiPriority w:val="99"/>
    <w:rsid w:val="00BB7E75"/>
    <w:rPr>
      <w:color w:val="auto"/>
    </w:rPr>
  </w:style>
  <w:style w:type="character" w:styleId="FollowedHyperlink">
    <w:name w:val="FollowedHyperlink"/>
    <w:unhideWhenUsed/>
    <w:rsid w:val="00BB7E75"/>
    <w:rPr>
      <w:rFonts w:cs="Times New Roman"/>
      <w:color w:val="800080"/>
      <w:u w:val="single"/>
    </w:rPr>
  </w:style>
  <w:style w:type="paragraph" w:customStyle="1" w:styleId="TableNormal1">
    <w:name w:val="Table Normal1"/>
    <w:basedOn w:val="Normal"/>
    <w:uiPriority w:val="99"/>
    <w:rsid w:val="00BB7E75"/>
    <w:pPr>
      <w:spacing w:before="40" w:line="240" w:lineRule="exact"/>
    </w:pPr>
    <w:rPr>
      <w:rFonts w:ascii="Arial" w:eastAsia="Times New Roman" w:hAnsi="Arial"/>
      <w:sz w:val="20"/>
      <w:szCs w:val="24"/>
    </w:rPr>
  </w:style>
  <w:style w:type="numbering" w:customStyle="1" w:styleId="CABNETList">
    <w:name w:val="CABNET List"/>
    <w:rsid w:val="00BB7E75"/>
    <w:pPr>
      <w:numPr>
        <w:numId w:val="7"/>
      </w:numPr>
    </w:pPr>
  </w:style>
  <w:style w:type="numbering" w:styleId="ArticleSection">
    <w:name w:val="Outline List 3"/>
    <w:basedOn w:val="NoList"/>
    <w:unhideWhenUsed/>
    <w:rsid w:val="00BB7E75"/>
    <w:pPr>
      <w:numPr>
        <w:numId w:val="8"/>
      </w:numPr>
    </w:pPr>
  </w:style>
  <w:style w:type="character" w:customStyle="1" w:styleId="tl">
    <w:name w:val="tl"/>
    <w:rsid w:val="00BB7E75"/>
  </w:style>
  <w:style w:type="paragraph" w:customStyle="1" w:styleId="Normal1">
    <w:name w:val="Normal 1"/>
    <w:rsid w:val="00BB7E75"/>
    <w:pPr>
      <w:spacing w:after="240" w:line="300" w:lineRule="exact"/>
    </w:pPr>
    <w:rPr>
      <w:rFonts w:ascii="Arial" w:hAnsi="Arial" w:cs="Arial"/>
      <w:sz w:val="22"/>
      <w:lang w:eastAsia="en-US"/>
    </w:rPr>
  </w:style>
  <w:style w:type="character" w:customStyle="1" w:styleId="subtitle1">
    <w:name w:val="subtitle1"/>
    <w:basedOn w:val="DefaultParagraphFont"/>
    <w:rsid w:val="00BB7E75"/>
    <w:rPr>
      <w:b/>
      <w:bCs/>
      <w:color w:val="D12B2C"/>
      <w:sz w:val="23"/>
      <w:szCs w:val="23"/>
    </w:rPr>
  </w:style>
  <w:style w:type="paragraph" w:customStyle="1" w:styleId="HeaderBoldEven">
    <w:name w:val="HeaderBoldEven"/>
    <w:basedOn w:val="Normal"/>
    <w:rsid w:val="00BB7E75"/>
    <w:pPr>
      <w:spacing w:before="120" w:after="60" w:line="240" w:lineRule="auto"/>
    </w:pPr>
    <w:rPr>
      <w:rFonts w:ascii="Arial" w:eastAsia="Times New Roman" w:hAnsi="Arial"/>
      <w:b/>
      <w:sz w:val="20"/>
      <w:szCs w:val="24"/>
      <w:lang w:eastAsia="en-AU"/>
    </w:rPr>
  </w:style>
  <w:style w:type="paragraph" w:customStyle="1" w:styleId="HeaderLiteEven">
    <w:name w:val="HeaderLiteEven"/>
    <w:basedOn w:val="Normal"/>
    <w:rsid w:val="00BB7E75"/>
    <w:pPr>
      <w:tabs>
        <w:tab w:val="center" w:pos="3969"/>
        <w:tab w:val="right" w:pos="8505"/>
      </w:tabs>
      <w:spacing w:before="60" w:line="240" w:lineRule="auto"/>
    </w:pPr>
    <w:rPr>
      <w:rFonts w:ascii="Arial" w:eastAsia="Times New Roman" w:hAnsi="Arial"/>
      <w:sz w:val="18"/>
      <w:szCs w:val="24"/>
      <w:lang w:eastAsia="en-AU"/>
    </w:rPr>
  </w:style>
  <w:style w:type="paragraph" w:customStyle="1" w:styleId="HeaderContentsPage">
    <w:name w:val="HeaderContents&quot;Page&quot;"/>
    <w:basedOn w:val="Normal"/>
    <w:rsid w:val="00BB7E75"/>
    <w:pPr>
      <w:spacing w:before="120" w:after="120" w:line="240" w:lineRule="auto"/>
      <w:jc w:val="right"/>
    </w:pPr>
    <w:rPr>
      <w:rFonts w:ascii="Arial" w:eastAsia="Times New Roman" w:hAnsi="Arial"/>
      <w:sz w:val="20"/>
      <w:szCs w:val="24"/>
      <w:lang w:eastAsia="en-AU"/>
    </w:rPr>
  </w:style>
  <w:style w:type="paragraph" w:customStyle="1" w:styleId="FooterInfo">
    <w:name w:val="FooterInfo"/>
    <w:basedOn w:val="Normal"/>
    <w:rsid w:val="00BB7E75"/>
    <w:pPr>
      <w:spacing w:line="240" w:lineRule="auto"/>
    </w:pPr>
    <w:rPr>
      <w:rFonts w:ascii="Arial" w:eastAsia="Times New Roman" w:hAnsi="Arial"/>
      <w:sz w:val="12"/>
      <w:szCs w:val="24"/>
      <w:lang w:eastAsia="en-AU"/>
    </w:rPr>
  </w:style>
  <w:style w:type="numbering" w:styleId="111111">
    <w:name w:val="Outline List 2"/>
    <w:basedOn w:val="NoList"/>
    <w:rsid w:val="00BB7E75"/>
    <w:pPr>
      <w:numPr>
        <w:numId w:val="9"/>
      </w:numPr>
    </w:pPr>
  </w:style>
  <w:style w:type="numbering" w:styleId="1ai">
    <w:name w:val="Outline List 1"/>
    <w:basedOn w:val="NoList"/>
    <w:rsid w:val="00BB7E75"/>
    <w:pPr>
      <w:numPr>
        <w:numId w:val="10"/>
      </w:numPr>
    </w:pPr>
  </w:style>
  <w:style w:type="character" w:styleId="HTMLAcronym">
    <w:name w:val="HTML Acronym"/>
    <w:basedOn w:val="DefaultParagraphFont"/>
    <w:rsid w:val="00BB7E75"/>
  </w:style>
  <w:style w:type="character" w:styleId="HTMLCite">
    <w:name w:val="HTML Cite"/>
    <w:basedOn w:val="DefaultParagraphFont"/>
    <w:rsid w:val="00BB7E75"/>
    <w:rPr>
      <w:i/>
      <w:iCs/>
    </w:rPr>
  </w:style>
  <w:style w:type="character" w:styleId="HTMLCode">
    <w:name w:val="HTML Code"/>
    <w:basedOn w:val="DefaultParagraphFont"/>
    <w:rsid w:val="00BB7E75"/>
    <w:rPr>
      <w:rFonts w:ascii="Courier New" w:hAnsi="Courier New" w:cs="Courier New"/>
      <w:sz w:val="20"/>
      <w:szCs w:val="20"/>
    </w:rPr>
  </w:style>
  <w:style w:type="character" w:styleId="HTMLDefinition">
    <w:name w:val="HTML Definition"/>
    <w:basedOn w:val="DefaultParagraphFont"/>
    <w:rsid w:val="00BB7E75"/>
    <w:rPr>
      <w:i/>
      <w:iCs/>
    </w:rPr>
  </w:style>
  <w:style w:type="character" w:styleId="HTMLKeyboard">
    <w:name w:val="HTML Keyboard"/>
    <w:basedOn w:val="DefaultParagraphFont"/>
    <w:rsid w:val="00BB7E75"/>
    <w:rPr>
      <w:rFonts w:ascii="Courier New" w:hAnsi="Courier New" w:cs="Courier New"/>
      <w:sz w:val="20"/>
      <w:szCs w:val="20"/>
    </w:rPr>
  </w:style>
  <w:style w:type="character" w:styleId="HTMLSample">
    <w:name w:val="HTML Sample"/>
    <w:basedOn w:val="DefaultParagraphFont"/>
    <w:rsid w:val="00BB7E75"/>
    <w:rPr>
      <w:rFonts w:ascii="Courier New" w:hAnsi="Courier New" w:cs="Courier New"/>
    </w:rPr>
  </w:style>
  <w:style w:type="character" w:styleId="HTMLTypewriter">
    <w:name w:val="HTML Typewriter"/>
    <w:basedOn w:val="DefaultParagraphFont"/>
    <w:rsid w:val="00BB7E75"/>
    <w:rPr>
      <w:rFonts w:ascii="Courier New" w:hAnsi="Courier New" w:cs="Courier New"/>
      <w:sz w:val="20"/>
      <w:szCs w:val="20"/>
    </w:rPr>
  </w:style>
  <w:style w:type="character" w:styleId="HTMLVariable">
    <w:name w:val="HTML Variable"/>
    <w:basedOn w:val="DefaultParagraphFont"/>
    <w:rsid w:val="00BB7E75"/>
    <w:rPr>
      <w:i/>
      <w:iCs/>
    </w:rPr>
  </w:style>
  <w:style w:type="table" w:styleId="Table3Deffects1">
    <w:name w:val="Table 3D effects 1"/>
    <w:basedOn w:val="TableNormal"/>
    <w:rsid w:val="00BB7E7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B7E7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B7E7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B7E7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B7E7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B7E7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B7E7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B7E7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B7E7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B7E7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B7E7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B7E7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B7E7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B7E7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B7E7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B7E7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B7E7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BB7E7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B7E7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B7E7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B7E7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B7E7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B7E7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B7E7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B7E7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B7E7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B7E7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B7E7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B7E7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B7E7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B7E7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B7E7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B7E7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B7E7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B7E7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B7E7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B7E7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B7E7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B7E7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B7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B7E7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B7E7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B7E7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1">
    <w:name w:val="A1"/>
    <w:aliases w:val="Heading Amendment,1. Amendment"/>
    <w:basedOn w:val="Normal"/>
    <w:next w:val="Normal"/>
    <w:rsid w:val="00BB7E75"/>
    <w:pPr>
      <w:keepNext/>
      <w:keepLines/>
      <w:spacing w:before="480" w:line="260" w:lineRule="exact"/>
      <w:ind w:left="964" w:hanging="964"/>
    </w:pPr>
    <w:rPr>
      <w:rFonts w:ascii="Arial" w:eastAsia="Times New Roman" w:hAnsi="Arial"/>
      <w:b/>
      <w:sz w:val="24"/>
      <w:szCs w:val="24"/>
      <w:lang w:eastAsia="en-AU"/>
    </w:rPr>
  </w:style>
  <w:style w:type="paragraph" w:customStyle="1" w:styleId="A1S">
    <w:name w:val="A1S"/>
    <w:aliases w:val="1.Schedule Amendment"/>
    <w:basedOn w:val="Normal"/>
    <w:next w:val="A2S"/>
    <w:rsid w:val="00BB7E75"/>
    <w:pPr>
      <w:keepNext/>
      <w:keepLines/>
      <w:spacing w:before="480" w:line="260" w:lineRule="exact"/>
      <w:ind w:left="964" w:hanging="964"/>
    </w:pPr>
    <w:rPr>
      <w:rFonts w:ascii="Arial" w:eastAsia="Times New Roman" w:hAnsi="Arial"/>
      <w:b/>
      <w:sz w:val="24"/>
      <w:szCs w:val="24"/>
      <w:lang w:eastAsia="en-AU"/>
    </w:rPr>
  </w:style>
  <w:style w:type="paragraph" w:customStyle="1" w:styleId="A2">
    <w:name w:val="A2"/>
    <w:aliases w:val="1.1 amendment,Instruction amendment"/>
    <w:basedOn w:val="Normal"/>
    <w:next w:val="Normal"/>
    <w:rsid w:val="00BB7E75"/>
    <w:pPr>
      <w:tabs>
        <w:tab w:val="right" w:pos="794"/>
      </w:tabs>
      <w:spacing w:before="120" w:line="260" w:lineRule="exact"/>
      <w:ind w:left="964" w:hanging="964"/>
      <w:jc w:val="both"/>
    </w:pPr>
    <w:rPr>
      <w:rFonts w:eastAsia="Times New Roman"/>
      <w:sz w:val="24"/>
      <w:szCs w:val="24"/>
      <w:lang w:eastAsia="en-AU"/>
    </w:rPr>
  </w:style>
  <w:style w:type="paragraph" w:customStyle="1" w:styleId="A2S">
    <w:name w:val="A2S"/>
    <w:aliases w:val="Schedule Inst Amendment"/>
    <w:basedOn w:val="Normal"/>
    <w:next w:val="A3S"/>
    <w:rsid w:val="00BB7E75"/>
    <w:pPr>
      <w:keepNext/>
      <w:spacing w:before="120" w:line="260" w:lineRule="exact"/>
      <w:ind w:left="964"/>
    </w:pPr>
    <w:rPr>
      <w:rFonts w:eastAsia="Times New Roman"/>
      <w:i/>
      <w:sz w:val="24"/>
      <w:szCs w:val="24"/>
      <w:lang w:eastAsia="en-AU"/>
    </w:rPr>
  </w:style>
  <w:style w:type="paragraph" w:customStyle="1" w:styleId="A3">
    <w:name w:val="A3"/>
    <w:aliases w:val="1.2 amendment"/>
    <w:basedOn w:val="Normal"/>
    <w:rsid w:val="00BB7E75"/>
    <w:pPr>
      <w:tabs>
        <w:tab w:val="right" w:pos="794"/>
      </w:tabs>
      <w:spacing w:before="180" w:line="260" w:lineRule="exact"/>
      <w:ind w:left="964" w:hanging="964"/>
      <w:jc w:val="both"/>
    </w:pPr>
    <w:rPr>
      <w:rFonts w:eastAsia="Times New Roman"/>
      <w:sz w:val="24"/>
      <w:szCs w:val="24"/>
      <w:lang w:eastAsia="en-AU"/>
    </w:rPr>
  </w:style>
  <w:style w:type="paragraph" w:customStyle="1" w:styleId="A3S">
    <w:name w:val="A3S"/>
    <w:aliases w:val="Schedule Amendment"/>
    <w:basedOn w:val="Normal"/>
    <w:next w:val="A1S"/>
    <w:rsid w:val="00BB7E75"/>
    <w:pPr>
      <w:spacing w:before="60" w:line="260" w:lineRule="exact"/>
      <w:ind w:left="1247"/>
      <w:jc w:val="both"/>
    </w:pPr>
    <w:rPr>
      <w:rFonts w:eastAsia="Times New Roman"/>
      <w:sz w:val="24"/>
      <w:szCs w:val="24"/>
      <w:lang w:eastAsia="en-AU"/>
    </w:rPr>
  </w:style>
  <w:style w:type="paragraph" w:customStyle="1" w:styleId="A4">
    <w:name w:val="A4"/>
    <w:aliases w:val="(a) Amendment"/>
    <w:basedOn w:val="Normal"/>
    <w:rsid w:val="00BB7E75"/>
    <w:pPr>
      <w:tabs>
        <w:tab w:val="right" w:pos="1247"/>
      </w:tabs>
      <w:spacing w:before="60" w:line="260" w:lineRule="exact"/>
      <w:ind w:left="1531" w:hanging="1531"/>
      <w:jc w:val="both"/>
    </w:pPr>
    <w:rPr>
      <w:rFonts w:eastAsia="Times New Roman"/>
      <w:sz w:val="24"/>
      <w:szCs w:val="24"/>
      <w:lang w:eastAsia="en-AU"/>
    </w:rPr>
  </w:style>
  <w:style w:type="paragraph" w:customStyle="1" w:styleId="A5">
    <w:name w:val="A5"/>
    <w:aliases w:val="(i) Amendment"/>
    <w:basedOn w:val="Normal"/>
    <w:rsid w:val="00BB7E75"/>
    <w:pPr>
      <w:tabs>
        <w:tab w:val="right" w:pos="1758"/>
      </w:tabs>
      <w:spacing w:before="60" w:line="260" w:lineRule="exact"/>
      <w:ind w:left="2041" w:hanging="2041"/>
      <w:jc w:val="both"/>
    </w:pPr>
    <w:rPr>
      <w:rFonts w:eastAsia="Times New Roman"/>
      <w:sz w:val="24"/>
      <w:szCs w:val="24"/>
      <w:lang w:eastAsia="en-AU"/>
    </w:rPr>
  </w:style>
  <w:style w:type="paragraph" w:customStyle="1" w:styleId="AN">
    <w:name w:val="AN"/>
    <w:aliases w:val="Note Amendment"/>
    <w:basedOn w:val="Normal"/>
    <w:next w:val="A1"/>
    <w:rsid w:val="00BB7E75"/>
    <w:pPr>
      <w:spacing w:before="120" w:line="220" w:lineRule="exact"/>
      <w:ind w:left="964"/>
      <w:jc w:val="both"/>
    </w:pPr>
    <w:rPr>
      <w:rFonts w:eastAsia="Times New Roman"/>
      <w:sz w:val="20"/>
      <w:szCs w:val="24"/>
      <w:lang w:eastAsia="en-AU"/>
    </w:rPr>
  </w:style>
  <w:style w:type="paragraph" w:customStyle="1" w:styleId="ASref">
    <w:name w:val="AS ref"/>
    <w:basedOn w:val="Normal"/>
    <w:next w:val="A1S"/>
    <w:rsid w:val="00BB7E75"/>
    <w:pPr>
      <w:keepNext/>
      <w:spacing w:before="60" w:line="200" w:lineRule="exact"/>
      <w:ind w:left="2410"/>
    </w:pPr>
    <w:rPr>
      <w:rFonts w:ascii="Arial" w:eastAsia="Times New Roman" w:hAnsi="Arial"/>
      <w:sz w:val="18"/>
      <w:szCs w:val="18"/>
      <w:lang w:eastAsia="en-AU"/>
    </w:rPr>
  </w:style>
  <w:style w:type="paragraph" w:customStyle="1" w:styleId="AS">
    <w:name w:val="AS"/>
    <w:aliases w:val="Schedule title Amendment"/>
    <w:basedOn w:val="Normal"/>
    <w:next w:val="ASref"/>
    <w:rsid w:val="00BB7E75"/>
    <w:pPr>
      <w:keepNext/>
      <w:keepLines/>
      <w:spacing w:before="480" w:line="240" w:lineRule="auto"/>
      <w:ind w:left="2410" w:hanging="2410"/>
    </w:pPr>
    <w:rPr>
      <w:rFonts w:ascii="Arial" w:eastAsia="Times New Roman" w:hAnsi="Arial"/>
      <w:b/>
      <w:sz w:val="32"/>
      <w:szCs w:val="24"/>
      <w:lang w:eastAsia="en-AU"/>
    </w:rPr>
  </w:style>
  <w:style w:type="paragraph" w:customStyle="1" w:styleId="ASP">
    <w:name w:val="ASP"/>
    <w:aliases w:val="Schedule Part Amendment"/>
    <w:basedOn w:val="Normal"/>
    <w:next w:val="A1S"/>
    <w:rsid w:val="00BB7E75"/>
    <w:pPr>
      <w:keepNext/>
      <w:keepLines/>
      <w:spacing w:before="360" w:line="240" w:lineRule="auto"/>
      <w:ind w:left="2410" w:hanging="2410"/>
    </w:pPr>
    <w:rPr>
      <w:rFonts w:ascii="Arial" w:eastAsia="Times New Roman" w:hAnsi="Arial"/>
      <w:b/>
      <w:sz w:val="28"/>
      <w:szCs w:val="24"/>
      <w:lang w:eastAsia="en-AU"/>
    </w:rPr>
  </w:style>
  <w:style w:type="character" w:customStyle="1" w:styleId="CharSchPTNo">
    <w:name w:val="CharSchPTNo"/>
    <w:basedOn w:val="DefaultParagraphFont"/>
    <w:rsid w:val="00BB7E75"/>
  </w:style>
  <w:style w:type="character" w:customStyle="1" w:styleId="CharSchPTText">
    <w:name w:val="CharSchPTText"/>
    <w:basedOn w:val="DefaultParagraphFont"/>
    <w:rsid w:val="00BB7E75"/>
  </w:style>
  <w:style w:type="paragraph" w:customStyle="1" w:styleId="ContentsHead">
    <w:name w:val="ContentsHead"/>
    <w:basedOn w:val="Normal"/>
    <w:next w:val="Normal"/>
    <w:rsid w:val="00BB7E75"/>
    <w:pPr>
      <w:keepNext/>
      <w:keepLines/>
      <w:spacing w:before="240" w:after="240" w:line="240" w:lineRule="auto"/>
    </w:pPr>
    <w:rPr>
      <w:rFonts w:ascii="Arial" w:eastAsia="Times New Roman" w:hAnsi="Arial"/>
      <w:b/>
      <w:sz w:val="28"/>
      <w:szCs w:val="24"/>
      <w:lang w:eastAsia="en-AU"/>
    </w:rPr>
  </w:style>
  <w:style w:type="paragraph" w:customStyle="1" w:styleId="ContentsSectionBreak">
    <w:name w:val="ContentsSectionBreak"/>
    <w:basedOn w:val="Normal"/>
    <w:next w:val="Normal"/>
    <w:rsid w:val="00BB7E75"/>
    <w:pPr>
      <w:spacing w:line="240" w:lineRule="auto"/>
    </w:pPr>
    <w:rPr>
      <w:rFonts w:eastAsia="Times New Roman"/>
      <w:sz w:val="24"/>
      <w:szCs w:val="24"/>
      <w:lang w:eastAsia="en-AU"/>
    </w:rPr>
  </w:style>
  <w:style w:type="paragraph" w:customStyle="1" w:styleId="DD">
    <w:name w:val="DD"/>
    <w:aliases w:val="Dictionary Definition"/>
    <w:basedOn w:val="Normal"/>
    <w:rsid w:val="00BB7E75"/>
    <w:pPr>
      <w:spacing w:before="80" w:line="260" w:lineRule="exact"/>
      <w:jc w:val="both"/>
    </w:pPr>
    <w:rPr>
      <w:rFonts w:eastAsia="Times New Roman"/>
      <w:sz w:val="24"/>
      <w:szCs w:val="24"/>
      <w:lang w:eastAsia="en-AU"/>
    </w:rPr>
  </w:style>
  <w:style w:type="paragraph" w:customStyle="1" w:styleId="DictionaryHeading">
    <w:name w:val="Dictionary Heading"/>
    <w:basedOn w:val="Normal"/>
    <w:next w:val="DD"/>
    <w:rsid w:val="00BB7E75"/>
    <w:pPr>
      <w:keepNext/>
      <w:keepLines/>
      <w:spacing w:before="480" w:line="240" w:lineRule="auto"/>
      <w:ind w:left="2552" w:hanging="2552"/>
    </w:pPr>
    <w:rPr>
      <w:rFonts w:ascii="Arial" w:eastAsia="Times New Roman" w:hAnsi="Arial"/>
      <w:b/>
      <w:sz w:val="32"/>
      <w:szCs w:val="24"/>
      <w:lang w:eastAsia="en-AU"/>
    </w:rPr>
  </w:style>
  <w:style w:type="paragraph" w:customStyle="1" w:styleId="DictionarySectionBreak">
    <w:name w:val="DictionarySectionBreak"/>
    <w:basedOn w:val="Normal"/>
    <w:next w:val="Normal"/>
    <w:rsid w:val="00BB7E75"/>
    <w:pPr>
      <w:spacing w:line="240" w:lineRule="auto"/>
    </w:pPr>
    <w:rPr>
      <w:rFonts w:eastAsia="Times New Roman"/>
      <w:sz w:val="24"/>
      <w:szCs w:val="24"/>
      <w:lang w:eastAsia="en-AU"/>
    </w:rPr>
  </w:style>
  <w:style w:type="paragraph" w:customStyle="1" w:styleId="DNote">
    <w:name w:val="DNote"/>
    <w:aliases w:val="DictionaryNote"/>
    <w:basedOn w:val="Normal"/>
    <w:rsid w:val="00BB7E75"/>
    <w:pPr>
      <w:spacing w:before="120" w:line="220" w:lineRule="exact"/>
      <w:ind w:left="425"/>
      <w:jc w:val="both"/>
    </w:pPr>
    <w:rPr>
      <w:rFonts w:eastAsia="Times New Roman"/>
      <w:sz w:val="20"/>
      <w:szCs w:val="24"/>
      <w:lang w:eastAsia="en-AU"/>
    </w:rPr>
  </w:style>
  <w:style w:type="paragraph" w:customStyle="1" w:styleId="DP1a">
    <w:name w:val="DP1(a)"/>
    <w:aliases w:val="Dictionary (a)"/>
    <w:basedOn w:val="Normal"/>
    <w:rsid w:val="00BB7E75"/>
    <w:pPr>
      <w:tabs>
        <w:tab w:val="right" w:pos="709"/>
      </w:tabs>
      <w:spacing w:before="60" w:line="260" w:lineRule="exact"/>
      <w:ind w:left="936" w:hanging="936"/>
      <w:jc w:val="both"/>
    </w:pPr>
    <w:rPr>
      <w:rFonts w:eastAsia="Times New Roman"/>
      <w:sz w:val="24"/>
      <w:szCs w:val="24"/>
      <w:lang w:eastAsia="en-AU"/>
    </w:rPr>
  </w:style>
  <w:style w:type="paragraph" w:customStyle="1" w:styleId="DP2i">
    <w:name w:val="DP2(i)"/>
    <w:aliases w:val="Dictionary(i)"/>
    <w:basedOn w:val="Normal"/>
    <w:rsid w:val="00BB7E75"/>
    <w:pPr>
      <w:tabs>
        <w:tab w:val="right" w:pos="1276"/>
      </w:tabs>
      <w:spacing w:before="60" w:line="260" w:lineRule="exact"/>
      <w:ind w:left="1503" w:hanging="1503"/>
      <w:jc w:val="both"/>
    </w:pPr>
    <w:rPr>
      <w:rFonts w:eastAsia="Times New Roman"/>
      <w:sz w:val="24"/>
      <w:szCs w:val="24"/>
      <w:lang w:eastAsia="en-AU"/>
    </w:rPr>
  </w:style>
  <w:style w:type="paragraph" w:customStyle="1" w:styleId="ExampleBody">
    <w:name w:val="Example Body"/>
    <w:basedOn w:val="Normal"/>
    <w:rsid w:val="00BB7E75"/>
    <w:pPr>
      <w:keepLines/>
      <w:spacing w:before="60" w:line="220" w:lineRule="exact"/>
      <w:ind w:left="964"/>
      <w:jc w:val="both"/>
    </w:pPr>
    <w:rPr>
      <w:rFonts w:eastAsia="Times New Roman"/>
      <w:sz w:val="20"/>
      <w:szCs w:val="24"/>
      <w:lang w:eastAsia="en-AU"/>
    </w:rPr>
  </w:style>
  <w:style w:type="paragraph" w:customStyle="1" w:styleId="ExampleList">
    <w:name w:val="Example List"/>
    <w:basedOn w:val="Normal"/>
    <w:rsid w:val="00BB7E75"/>
    <w:pPr>
      <w:keepLines/>
      <w:tabs>
        <w:tab w:val="left" w:pos="1247"/>
        <w:tab w:val="left" w:pos="1349"/>
      </w:tabs>
      <w:spacing w:before="60" w:line="220" w:lineRule="exact"/>
      <w:ind w:left="340" w:firstLine="652"/>
      <w:jc w:val="both"/>
    </w:pPr>
    <w:rPr>
      <w:rFonts w:eastAsia="Times New Roman"/>
      <w:sz w:val="20"/>
      <w:szCs w:val="24"/>
      <w:lang w:eastAsia="en-AU"/>
    </w:rPr>
  </w:style>
  <w:style w:type="paragraph" w:customStyle="1" w:styleId="HC">
    <w:name w:val="HC"/>
    <w:aliases w:val="Chapter Heading,Sch"/>
    <w:basedOn w:val="Normal"/>
    <w:next w:val="Normal"/>
    <w:rsid w:val="00BB7E75"/>
    <w:pPr>
      <w:keepNext/>
      <w:keepLines/>
      <w:pageBreakBefore/>
      <w:spacing w:before="480" w:line="240" w:lineRule="auto"/>
      <w:ind w:left="2410" w:hanging="2410"/>
    </w:pPr>
    <w:rPr>
      <w:rFonts w:ascii="Arial" w:eastAsia="Times New Roman" w:hAnsi="Arial"/>
      <w:b/>
      <w:sz w:val="40"/>
      <w:szCs w:val="24"/>
      <w:lang w:eastAsia="en-AU"/>
    </w:rPr>
  </w:style>
  <w:style w:type="paragraph" w:customStyle="1" w:styleId="HD">
    <w:name w:val="HD"/>
    <w:aliases w:val="Division Heading"/>
    <w:basedOn w:val="Normal"/>
    <w:next w:val="HR"/>
    <w:rsid w:val="00BB7E75"/>
    <w:pPr>
      <w:keepNext/>
      <w:keepLines/>
      <w:spacing w:before="360" w:line="240" w:lineRule="auto"/>
      <w:ind w:left="2410" w:hanging="2410"/>
    </w:pPr>
    <w:rPr>
      <w:rFonts w:ascii="Arial" w:eastAsia="Times New Roman" w:hAnsi="Arial"/>
      <w:b/>
      <w:sz w:val="28"/>
      <w:szCs w:val="24"/>
      <w:lang w:eastAsia="en-AU"/>
    </w:rPr>
  </w:style>
  <w:style w:type="paragraph" w:customStyle="1" w:styleId="HE">
    <w:name w:val="HE"/>
    <w:aliases w:val="Example heading"/>
    <w:basedOn w:val="Normal"/>
    <w:next w:val="ExampleBody"/>
    <w:rsid w:val="00BB7E75"/>
    <w:pPr>
      <w:keepNext/>
      <w:spacing w:before="120" w:line="220" w:lineRule="exact"/>
      <w:ind w:left="964"/>
    </w:pPr>
    <w:rPr>
      <w:rFonts w:eastAsia="Times New Roman"/>
      <w:i/>
      <w:sz w:val="20"/>
      <w:szCs w:val="24"/>
      <w:lang w:eastAsia="en-AU"/>
    </w:rPr>
  </w:style>
  <w:style w:type="paragraph" w:customStyle="1" w:styleId="HP">
    <w:name w:val="HP"/>
    <w:aliases w:val="Part Heading"/>
    <w:basedOn w:val="Normal"/>
    <w:next w:val="HD"/>
    <w:rsid w:val="00BB7E75"/>
    <w:pPr>
      <w:keepNext/>
      <w:keepLines/>
      <w:spacing w:before="360" w:line="240" w:lineRule="auto"/>
      <w:ind w:left="2410" w:hanging="2410"/>
    </w:pPr>
    <w:rPr>
      <w:rFonts w:ascii="Arial" w:eastAsia="Times New Roman" w:hAnsi="Arial"/>
      <w:b/>
      <w:sz w:val="32"/>
      <w:szCs w:val="24"/>
      <w:lang w:eastAsia="en-AU"/>
    </w:rPr>
  </w:style>
  <w:style w:type="paragraph" w:customStyle="1" w:styleId="HS">
    <w:name w:val="HS"/>
    <w:aliases w:val="Subdiv Heading"/>
    <w:basedOn w:val="Normal"/>
    <w:next w:val="HR"/>
    <w:rsid w:val="00BB7E75"/>
    <w:pPr>
      <w:keepNext/>
      <w:keepLines/>
      <w:spacing w:before="360" w:line="240" w:lineRule="auto"/>
      <w:ind w:left="2410" w:hanging="2410"/>
    </w:pPr>
    <w:rPr>
      <w:rFonts w:ascii="Arial" w:eastAsia="Times New Roman" w:hAnsi="Arial"/>
      <w:b/>
      <w:sz w:val="24"/>
      <w:szCs w:val="24"/>
      <w:lang w:eastAsia="en-AU"/>
    </w:rPr>
  </w:style>
  <w:style w:type="paragraph" w:customStyle="1" w:styleId="HSR">
    <w:name w:val="HSR"/>
    <w:aliases w:val="Subregulation Heading,HSS"/>
    <w:basedOn w:val="Normal"/>
    <w:next w:val="Normal"/>
    <w:rsid w:val="00BB7E75"/>
    <w:pPr>
      <w:keepNext/>
      <w:spacing w:before="300" w:line="240" w:lineRule="auto"/>
      <w:ind w:left="964"/>
    </w:pPr>
    <w:rPr>
      <w:rFonts w:ascii="Arial" w:eastAsia="Times New Roman" w:hAnsi="Arial"/>
      <w:i/>
      <w:sz w:val="24"/>
      <w:szCs w:val="24"/>
      <w:lang w:eastAsia="en-AU"/>
    </w:rPr>
  </w:style>
  <w:style w:type="paragraph" w:customStyle="1" w:styleId="Lt">
    <w:name w:val="Lt"/>
    <w:aliases w:val="Long title"/>
    <w:basedOn w:val="Normal"/>
    <w:rsid w:val="00BB7E75"/>
    <w:pPr>
      <w:spacing w:before="260" w:line="240" w:lineRule="auto"/>
    </w:pPr>
    <w:rPr>
      <w:rFonts w:ascii="Arial" w:eastAsia="Times New Roman" w:hAnsi="Arial"/>
      <w:b/>
      <w:sz w:val="28"/>
      <w:szCs w:val="24"/>
      <w:lang w:eastAsia="en-AU"/>
    </w:rPr>
  </w:style>
  <w:style w:type="paragraph" w:customStyle="1" w:styleId="M1">
    <w:name w:val="M1"/>
    <w:aliases w:val="Modification Heading"/>
    <w:basedOn w:val="Normal"/>
    <w:next w:val="Normal"/>
    <w:rsid w:val="00BB7E75"/>
    <w:pPr>
      <w:keepNext/>
      <w:spacing w:before="480" w:line="260" w:lineRule="exact"/>
      <w:ind w:left="964" w:hanging="964"/>
    </w:pPr>
    <w:rPr>
      <w:rFonts w:ascii="Arial" w:eastAsia="Times New Roman" w:hAnsi="Arial"/>
      <w:b/>
      <w:sz w:val="24"/>
      <w:szCs w:val="24"/>
      <w:lang w:eastAsia="en-AU"/>
    </w:rPr>
  </w:style>
  <w:style w:type="paragraph" w:customStyle="1" w:styleId="M2">
    <w:name w:val="M2"/>
    <w:aliases w:val="Modification Instruction"/>
    <w:basedOn w:val="Normal"/>
    <w:next w:val="Normal"/>
    <w:rsid w:val="00BB7E75"/>
    <w:pPr>
      <w:keepNext/>
      <w:spacing w:before="120" w:line="260" w:lineRule="exact"/>
      <w:ind w:left="964"/>
    </w:pPr>
    <w:rPr>
      <w:rFonts w:eastAsia="Times New Roman"/>
      <w:i/>
      <w:sz w:val="24"/>
      <w:szCs w:val="24"/>
      <w:lang w:eastAsia="en-AU"/>
    </w:rPr>
  </w:style>
  <w:style w:type="paragraph" w:customStyle="1" w:styleId="M3">
    <w:name w:val="M3"/>
    <w:aliases w:val="Modification Text"/>
    <w:basedOn w:val="Normal"/>
    <w:next w:val="M1"/>
    <w:rsid w:val="00BB7E75"/>
    <w:pPr>
      <w:spacing w:before="60" w:line="260" w:lineRule="exact"/>
      <w:ind w:left="1247"/>
      <w:jc w:val="both"/>
    </w:pPr>
    <w:rPr>
      <w:rFonts w:eastAsia="Times New Roman"/>
      <w:sz w:val="24"/>
      <w:szCs w:val="24"/>
      <w:lang w:eastAsia="en-AU"/>
    </w:rPr>
  </w:style>
  <w:style w:type="paragraph" w:customStyle="1" w:styleId="MainBodySectionBreak">
    <w:name w:val="MainBody Section Break"/>
    <w:basedOn w:val="Normal"/>
    <w:next w:val="Normal"/>
    <w:rsid w:val="00BB7E75"/>
    <w:pPr>
      <w:spacing w:line="240" w:lineRule="auto"/>
    </w:pPr>
    <w:rPr>
      <w:rFonts w:eastAsia="Times New Roman"/>
      <w:sz w:val="24"/>
      <w:szCs w:val="24"/>
      <w:lang w:eastAsia="en-AU"/>
    </w:rPr>
  </w:style>
  <w:style w:type="paragraph" w:customStyle="1" w:styleId="Maker">
    <w:name w:val="Maker"/>
    <w:basedOn w:val="Normal"/>
    <w:rsid w:val="00BB7E75"/>
    <w:pPr>
      <w:tabs>
        <w:tab w:val="left" w:pos="3119"/>
      </w:tabs>
      <w:spacing w:line="300" w:lineRule="atLeast"/>
    </w:pPr>
    <w:rPr>
      <w:rFonts w:eastAsia="Times New Roman"/>
      <w:sz w:val="24"/>
      <w:szCs w:val="24"/>
      <w:lang w:eastAsia="en-AU"/>
    </w:rPr>
  </w:style>
  <w:style w:type="paragraph" w:customStyle="1" w:styleId="MHD">
    <w:name w:val="MHD"/>
    <w:aliases w:val="Mod Division Heading"/>
    <w:basedOn w:val="Normal"/>
    <w:next w:val="Normal"/>
    <w:rsid w:val="00BB7E75"/>
    <w:pPr>
      <w:keepNext/>
      <w:spacing w:before="360" w:line="240" w:lineRule="auto"/>
      <w:ind w:left="2410" w:hanging="2410"/>
    </w:pPr>
    <w:rPr>
      <w:rFonts w:eastAsia="Times New Roman"/>
      <w:b/>
      <w:sz w:val="28"/>
      <w:szCs w:val="24"/>
      <w:lang w:eastAsia="en-AU"/>
    </w:rPr>
  </w:style>
  <w:style w:type="paragraph" w:customStyle="1" w:styleId="MHP">
    <w:name w:val="MHP"/>
    <w:aliases w:val="Mod Part Heading"/>
    <w:basedOn w:val="Normal"/>
    <w:next w:val="Normal"/>
    <w:rsid w:val="00BB7E75"/>
    <w:pPr>
      <w:keepNext/>
      <w:spacing w:before="360" w:line="240" w:lineRule="auto"/>
      <w:ind w:left="2410" w:hanging="2410"/>
    </w:pPr>
    <w:rPr>
      <w:rFonts w:eastAsia="Times New Roman"/>
      <w:b/>
      <w:sz w:val="32"/>
      <w:szCs w:val="24"/>
      <w:lang w:eastAsia="en-AU"/>
    </w:rPr>
  </w:style>
  <w:style w:type="paragraph" w:customStyle="1" w:styleId="MHR">
    <w:name w:val="MHR"/>
    <w:aliases w:val="Mod Regulation Heading"/>
    <w:basedOn w:val="Normal"/>
    <w:next w:val="Normal"/>
    <w:rsid w:val="00BB7E75"/>
    <w:pPr>
      <w:keepNext/>
      <w:spacing w:before="360" w:line="240" w:lineRule="auto"/>
      <w:ind w:left="964" w:hanging="964"/>
    </w:pPr>
    <w:rPr>
      <w:rFonts w:eastAsia="Times New Roman"/>
      <w:b/>
      <w:sz w:val="24"/>
      <w:szCs w:val="24"/>
      <w:lang w:eastAsia="en-AU"/>
    </w:rPr>
  </w:style>
  <w:style w:type="paragraph" w:customStyle="1" w:styleId="MHS">
    <w:name w:val="MHS"/>
    <w:aliases w:val="Mod Subdivision Heading"/>
    <w:basedOn w:val="Normal"/>
    <w:next w:val="MHR"/>
    <w:rsid w:val="00BB7E75"/>
    <w:pPr>
      <w:keepNext/>
      <w:spacing w:before="360" w:line="240" w:lineRule="auto"/>
      <w:ind w:left="2410" w:hanging="2410"/>
    </w:pPr>
    <w:rPr>
      <w:rFonts w:eastAsia="Times New Roman"/>
      <w:b/>
      <w:sz w:val="24"/>
      <w:szCs w:val="24"/>
      <w:lang w:eastAsia="en-AU"/>
    </w:rPr>
  </w:style>
  <w:style w:type="paragraph" w:customStyle="1" w:styleId="MHSR">
    <w:name w:val="MHSR"/>
    <w:aliases w:val="Mod Subregulation Heading"/>
    <w:basedOn w:val="Normal"/>
    <w:next w:val="Normal"/>
    <w:rsid w:val="00BB7E75"/>
    <w:pPr>
      <w:keepNext/>
      <w:spacing w:before="300" w:line="240" w:lineRule="auto"/>
      <w:ind w:left="964" w:hanging="964"/>
    </w:pPr>
    <w:rPr>
      <w:rFonts w:eastAsia="Times New Roman"/>
      <w:i/>
      <w:sz w:val="24"/>
      <w:szCs w:val="24"/>
      <w:lang w:eastAsia="en-AU"/>
    </w:rPr>
  </w:style>
  <w:style w:type="paragraph" w:customStyle="1" w:styleId="Note">
    <w:name w:val="Note"/>
    <w:basedOn w:val="Normal"/>
    <w:rsid w:val="00BB7E75"/>
    <w:pPr>
      <w:keepLines/>
      <w:spacing w:before="120" w:line="220" w:lineRule="exact"/>
      <w:ind w:left="964"/>
      <w:jc w:val="both"/>
    </w:pPr>
    <w:rPr>
      <w:rFonts w:eastAsia="Times New Roman"/>
      <w:sz w:val="20"/>
      <w:szCs w:val="24"/>
      <w:lang w:eastAsia="en-AU"/>
    </w:rPr>
  </w:style>
  <w:style w:type="paragraph" w:customStyle="1" w:styleId="Notepara0">
    <w:name w:val="Note para"/>
    <w:basedOn w:val="Normal"/>
    <w:rsid w:val="00BB7E75"/>
    <w:pPr>
      <w:keepLines/>
      <w:spacing w:before="60" w:line="220" w:lineRule="exact"/>
      <w:ind w:left="1304" w:hanging="340"/>
      <w:jc w:val="both"/>
    </w:pPr>
    <w:rPr>
      <w:rFonts w:eastAsia="Times New Roman"/>
      <w:sz w:val="20"/>
      <w:szCs w:val="24"/>
      <w:lang w:eastAsia="en-AU"/>
    </w:rPr>
  </w:style>
  <w:style w:type="paragraph" w:customStyle="1" w:styleId="NotesSectionBreak">
    <w:name w:val="NotesSectionBreak"/>
    <w:basedOn w:val="Normal"/>
    <w:next w:val="Normal"/>
    <w:rsid w:val="00BB7E75"/>
    <w:pPr>
      <w:spacing w:line="240" w:lineRule="auto"/>
    </w:pPr>
    <w:rPr>
      <w:rFonts w:eastAsia="Times New Roman"/>
      <w:sz w:val="24"/>
      <w:szCs w:val="24"/>
      <w:lang w:eastAsia="en-AU"/>
    </w:rPr>
  </w:style>
  <w:style w:type="paragraph" w:customStyle="1" w:styleId="P2">
    <w:name w:val="P2"/>
    <w:aliases w:val="(i)"/>
    <w:basedOn w:val="Normal"/>
    <w:rsid w:val="00BB7E75"/>
    <w:pPr>
      <w:keepLines/>
      <w:tabs>
        <w:tab w:val="right" w:pos="1758"/>
        <w:tab w:val="left" w:pos="2155"/>
      </w:tabs>
      <w:spacing w:before="60" w:line="260" w:lineRule="exact"/>
      <w:ind w:left="1985" w:hanging="1985"/>
      <w:jc w:val="both"/>
    </w:pPr>
    <w:rPr>
      <w:rFonts w:eastAsia="Times New Roman"/>
      <w:sz w:val="24"/>
      <w:szCs w:val="24"/>
      <w:lang w:eastAsia="en-AU"/>
    </w:rPr>
  </w:style>
  <w:style w:type="paragraph" w:customStyle="1" w:styleId="P3">
    <w:name w:val="P3"/>
    <w:aliases w:val="(A)"/>
    <w:basedOn w:val="Normal"/>
    <w:rsid w:val="00BB7E75"/>
    <w:pPr>
      <w:tabs>
        <w:tab w:val="right" w:pos="2410"/>
      </w:tabs>
      <w:spacing w:before="60" w:line="260" w:lineRule="exact"/>
      <w:ind w:left="2693" w:hanging="2693"/>
      <w:jc w:val="both"/>
    </w:pPr>
    <w:rPr>
      <w:rFonts w:eastAsia="Times New Roman"/>
      <w:sz w:val="24"/>
      <w:szCs w:val="24"/>
      <w:lang w:eastAsia="en-AU"/>
    </w:rPr>
  </w:style>
  <w:style w:type="paragraph" w:customStyle="1" w:styleId="P4">
    <w:name w:val="P4"/>
    <w:aliases w:val="(I)"/>
    <w:basedOn w:val="Normal"/>
    <w:rsid w:val="00BB7E75"/>
    <w:pPr>
      <w:tabs>
        <w:tab w:val="right" w:pos="3119"/>
      </w:tabs>
      <w:spacing w:before="60" w:line="260" w:lineRule="exact"/>
      <w:ind w:left="3419" w:hanging="3419"/>
      <w:jc w:val="both"/>
    </w:pPr>
    <w:rPr>
      <w:rFonts w:eastAsia="Times New Roman"/>
      <w:sz w:val="24"/>
      <w:szCs w:val="24"/>
      <w:lang w:eastAsia="en-AU"/>
    </w:rPr>
  </w:style>
  <w:style w:type="paragraph" w:customStyle="1" w:styleId="Query">
    <w:name w:val="Query"/>
    <w:aliases w:val="QY"/>
    <w:basedOn w:val="Normal"/>
    <w:rsid w:val="00BB7E75"/>
    <w:pPr>
      <w:spacing w:before="180" w:line="260" w:lineRule="exact"/>
      <w:ind w:left="964" w:hanging="964"/>
      <w:jc w:val="both"/>
    </w:pPr>
    <w:rPr>
      <w:rFonts w:eastAsia="Times New Roman"/>
      <w:b/>
      <w:i/>
      <w:sz w:val="24"/>
      <w:szCs w:val="24"/>
      <w:lang w:eastAsia="en-AU"/>
    </w:rPr>
  </w:style>
  <w:style w:type="paragraph" w:customStyle="1" w:styleId="ReadersGuideSectionBreak">
    <w:name w:val="ReadersGuideSectionBreak"/>
    <w:basedOn w:val="Normal"/>
    <w:next w:val="Normal"/>
    <w:rsid w:val="00BB7E75"/>
    <w:pPr>
      <w:spacing w:line="240" w:lineRule="auto"/>
    </w:pPr>
    <w:rPr>
      <w:rFonts w:eastAsia="Times New Roman"/>
      <w:sz w:val="24"/>
      <w:szCs w:val="24"/>
      <w:lang w:eastAsia="en-AU"/>
    </w:rPr>
  </w:style>
  <w:style w:type="paragraph" w:customStyle="1" w:styleId="RGHead">
    <w:name w:val="RGHead"/>
    <w:basedOn w:val="Normal"/>
    <w:next w:val="Normal"/>
    <w:rsid w:val="00BB7E75"/>
    <w:pPr>
      <w:keepNext/>
      <w:spacing w:before="360" w:line="240" w:lineRule="auto"/>
    </w:pPr>
    <w:rPr>
      <w:rFonts w:ascii="Arial" w:eastAsia="Times New Roman" w:hAnsi="Arial"/>
      <w:b/>
      <w:sz w:val="32"/>
      <w:szCs w:val="24"/>
      <w:lang w:eastAsia="en-AU"/>
    </w:rPr>
  </w:style>
  <w:style w:type="paragraph" w:customStyle="1" w:styleId="RGPara">
    <w:name w:val="RGPara"/>
    <w:aliases w:val="Readers Guide Para"/>
    <w:basedOn w:val="Normal"/>
    <w:rsid w:val="00BB7E75"/>
    <w:pPr>
      <w:spacing w:before="120" w:line="260" w:lineRule="exact"/>
      <w:jc w:val="both"/>
    </w:pPr>
    <w:rPr>
      <w:rFonts w:eastAsia="Times New Roman"/>
      <w:sz w:val="24"/>
      <w:szCs w:val="24"/>
      <w:lang w:eastAsia="en-AU"/>
    </w:rPr>
  </w:style>
  <w:style w:type="paragraph" w:customStyle="1" w:styleId="RGPtHd">
    <w:name w:val="RGPtHd"/>
    <w:aliases w:val="Readers Guide PT Heading"/>
    <w:basedOn w:val="Normal"/>
    <w:next w:val="Normal"/>
    <w:rsid w:val="00BB7E75"/>
    <w:pPr>
      <w:keepNext/>
      <w:spacing w:before="360" w:line="240" w:lineRule="auto"/>
    </w:pPr>
    <w:rPr>
      <w:rFonts w:ascii="Arial" w:eastAsia="Times New Roman" w:hAnsi="Arial"/>
      <w:b/>
      <w:sz w:val="28"/>
      <w:szCs w:val="24"/>
      <w:lang w:eastAsia="en-AU"/>
    </w:rPr>
  </w:style>
  <w:style w:type="paragraph" w:customStyle="1" w:styleId="RGSecHdg">
    <w:name w:val="RGSecHdg"/>
    <w:aliases w:val="Readers Guide Sec Heading"/>
    <w:basedOn w:val="Normal"/>
    <w:next w:val="RGPara"/>
    <w:rsid w:val="00BB7E75"/>
    <w:pPr>
      <w:keepNext/>
      <w:spacing w:before="360" w:line="240" w:lineRule="auto"/>
      <w:ind w:left="964" w:hanging="964"/>
    </w:pPr>
    <w:rPr>
      <w:rFonts w:ascii="Arial" w:eastAsia="Times New Roman" w:hAnsi="Arial"/>
      <w:b/>
      <w:sz w:val="24"/>
      <w:szCs w:val="24"/>
      <w:lang w:eastAsia="en-AU"/>
    </w:rPr>
  </w:style>
  <w:style w:type="paragraph" w:customStyle="1" w:styleId="LandscapeSectionBreak">
    <w:name w:val="LandscapeSectionBreak"/>
    <w:basedOn w:val="Normal"/>
    <w:next w:val="Normal"/>
    <w:rsid w:val="00BB7E75"/>
    <w:pPr>
      <w:spacing w:line="240" w:lineRule="auto"/>
    </w:pPr>
    <w:rPr>
      <w:rFonts w:eastAsia="Times New Roman"/>
      <w:sz w:val="24"/>
      <w:szCs w:val="24"/>
      <w:lang w:eastAsia="en-AU"/>
    </w:rPr>
  </w:style>
  <w:style w:type="paragraph" w:customStyle="1" w:styleId="ScheduleDivision">
    <w:name w:val="Schedule Division"/>
    <w:basedOn w:val="Normal"/>
    <w:next w:val="ScheduleHeading"/>
    <w:rsid w:val="00BB7E75"/>
    <w:pPr>
      <w:keepNext/>
      <w:keepLines/>
      <w:spacing w:before="360" w:line="240" w:lineRule="auto"/>
      <w:ind w:left="1559" w:hanging="1559"/>
    </w:pPr>
    <w:rPr>
      <w:rFonts w:ascii="Arial" w:eastAsia="Times New Roman" w:hAnsi="Arial"/>
      <w:b/>
      <w:sz w:val="24"/>
      <w:szCs w:val="24"/>
      <w:lang w:eastAsia="en-AU"/>
    </w:rPr>
  </w:style>
  <w:style w:type="character" w:customStyle="1" w:styleId="CharSchNo">
    <w:name w:val="CharSchNo"/>
    <w:basedOn w:val="DefaultParagraphFont"/>
    <w:rsid w:val="00BB7E75"/>
  </w:style>
  <w:style w:type="character" w:customStyle="1" w:styleId="CharSchText">
    <w:name w:val="CharSchText"/>
    <w:basedOn w:val="DefaultParagraphFont"/>
    <w:rsid w:val="00BB7E75"/>
  </w:style>
  <w:style w:type="paragraph" w:customStyle="1" w:styleId="IntroP1a">
    <w:name w:val="IntroP1(a)"/>
    <w:basedOn w:val="Normal"/>
    <w:rsid w:val="00BB7E75"/>
    <w:pPr>
      <w:spacing w:before="60" w:line="260" w:lineRule="exact"/>
      <w:ind w:left="454" w:hanging="454"/>
      <w:jc w:val="both"/>
    </w:pPr>
    <w:rPr>
      <w:rFonts w:eastAsia="Times New Roman"/>
      <w:sz w:val="24"/>
      <w:szCs w:val="24"/>
      <w:lang w:eastAsia="en-AU"/>
    </w:rPr>
  </w:style>
  <w:style w:type="character" w:customStyle="1" w:styleId="CharAmSchPTNo">
    <w:name w:val="CharAmSchPTNo"/>
    <w:basedOn w:val="DefaultParagraphFont"/>
    <w:rsid w:val="00BB7E75"/>
  </w:style>
  <w:style w:type="character" w:customStyle="1" w:styleId="CharAmSchPTText">
    <w:name w:val="CharAmSchPTText"/>
    <w:basedOn w:val="DefaultParagraphFont"/>
    <w:rsid w:val="00BB7E75"/>
  </w:style>
  <w:style w:type="paragraph" w:customStyle="1" w:styleId="Footerinfo0">
    <w:name w:val="Footerinfo"/>
    <w:basedOn w:val="Footer"/>
    <w:rsid w:val="00BB7E75"/>
    <w:pPr>
      <w:tabs>
        <w:tab w:val="clear" w:pos="4153"/>
        <w:tab w:val="clear" w:pos="8306"/>
        <w:tab w:val="center" w:pos="3600"/>
        <w:tab w:val="right" w:pos="7201"/>
      </w:tabs>
      <w:spacing w:before="20"/>
      <w:jc w:val="center"/>
    </w:pPr>
    <w:rPr>
      <w:rFonts w:ascii="Arial" w:hAnsi="Arial"/>
      <w:i/>
      <w:sz w:val="12"/>
      <w:szCs w:val="18"/>
    </w:rPr>
  </w:style>
  <w:style w:type="paragraph" w:customStyle="1" w:styleId="FooterPageEven">
    <w:name w:val="FooterPageEven"/>
    <w:basedOn w:val="FooterPageOdd"/>
    <w:rsid w:val="00BB7E75"/>
    <w:pPr>
      <w:jc w:val="left"/>
    </w:pPr>
  </w:style>
  <w:style w:type="paragraph" w:customStyle="1" w:styleId="FooterPageOdd">
    <w:name w:val="FooterPageOdd"/>
    <w:basedOn w:val="Footer"/>
    <w:rsid w:val="00BB7E75"/>
    <w:pPr>
      <w:tabs>
        <w:tab w:val="clear" w:pos="4153"/>
        <w:tab w:val="clear" w:pos="8306"/>
        <w:tab w:val="center" w:pos="3600"/>
        <w:tab w:val="right" w:pos="7201"/>
      </w:tabs>
      <w:spacing w:before="20"/>
      <w:jc w:val="right"/>
    </w:pPr>
    <w:rPr>
      <w:rFonts w:ascii="Arial" w:hAnsi="Arial"/>
      <w:sz w:val="24"/>
      <w:szCs w:val="18"/>
    </w:rPr>
  </w:style>
  <w:style w:type="paragraph" w:customStyle="1" w:styleId="SchedSectionBreak">
    <w:name w:val="SchedSectionBreak"/>
    <w:basedOn w:val="Normal"/>
    <w:next w:val="Normal"/>
    <w:rsid w:val="00BB7E75"/>
    <w:pPr>
      <w:spacing w:line="240" w:lineRule="auto"/>
    </w:pPr>
    <w:rPr>
      <w:rFonts w:eastAsia="Times New Roman"/>
      <w:sz w:val="24"/>
      <w:szCs w:val="24"/>
      <w:lang w:eastAsia="en-AU"/>
    </w:rPr>
  </w:style>
  <w:style w:type="paragraph" w:customStyle="1" w:styleId="ScheduleHeading">
    <w:name w:val="Schedule Heading"/>
    <w:basedOn w:val="Normal"/>
    <w:next w:val="Normal"/>
    <w:rsid w:val="00BB7E75"/>
    <w:pPr>
      <w:keepNext/>
      <w:keepLines/>
      <w:spacing w:before="360" w:line="240" w:lineRule="auto"/>
      <w:ind w:left="964" w:hanging="964"/>
    </w:pPr>
    <w:rPr>
      <w:rFonts w:ascii="Arial" w:eastAsia="Times New Roman" w:hAnsi="Arial"/>
      <w:b/>
      <w:sz w:val="24"/>
      <w:szCs w:val="24"/>
      <w:lang w:eastAsia="en-AU"/>
    </w:rPr>
  </w:style>
  <w:style w:type="paragraph" w:customStyle="1" w:styleId="Schedulelist">
    <w:name w:val="Schedule list"/>
    <w:basedOn w:val="Normal"/>
    <w:rsid w:val="00BB7E75"/>
    <w:pPr>
      <w:tabs>
        <w:tab w:val="right" w:pos="1985"/>
      </w:tabs>
      <w:spacing w:before="60" w:line="260" w:lineRule="exact"/>
      <w:ind w:left="454"/>
    </w:pPr>
    <w:rPr>
      <w:rFonts w:eastAsia="Times New Roman"/>
      <w:sz w:val="24"/>
      <w:szCs w:val="24"/>
      <w:lang w:eastAsia="en-AU"/>
    </w:rPr>
  </w:style>
  <w:style w:type="paragraph" w:customStyle="1" w:styleId="Schedulepara">
    <w:name w:val="Schedule para"/>
    <w:basedOn w:val="Normal"/>
    <w:rsid w:val="00BB7E75"/>
    <w:pPr>
      <w:tabs>
        <w:tab w:val="right" w:pos="567"/>
      </w:tabs>
      <w:spacing w:before="180" w:line="260" w:lineRule="exact"/>
      <w:ind w:left="964" w:hanging="964"/>
      <w:jc w:val="both"/>
    </w:pPr>
    <w:rPr>
      <w:rFonts w:eastAsia="Times New Roman"/>
      <w:sz w:val="24"/>
      <w:szCs w:val="24"/>
      <w:lang w:eastAsia="en-AU"/>
    </w:rPr>
  </w:style>
  <w:style w:type="paragraph" w:customStyle="1" w:styleId="Schedulepart">
    <w:name w:val="Schedule part"/>
    <w:basedOn w:val="Normal"/>
    <w:rsid w:val="00BB7E75"/>
    <w:pPr>
      <w:keepNext/>
      <w:keepLines/>
      <w:spacing w:before="360" w:line="240" w:lineRule="auto"/>
      <w:ind w:left="1559" w:hanging="1559"/>
    </w:pPr>
    <w:rPr>
      <w:rFonts w:ascii="Arial" w:eastAsia="Times New Roman" w:hAnsi="Arial"/>
      <w:b/>
      <w:sz w:val="28"/>
      <w:szCs w:val="24"/>
      <w:lang w:eastAsia="en-AU"/>
    </w:rPr>
  </w:style>
  <w:style w:type="paragraph" w:customStyle="1" w:styleId="Schedulereference">
    <w:name w:val="Schedule reference"/>
    <w:basedOn w:val="Normal"/>
    <w:next w:val="Schedulepart"/>
    <w:rsid w:val="00BB7E75"/>
    <w:pPr>
      <w:keepNext/>
      <w:keepLines/>
      <w:spacing w:before="60" w:line="200" w:lineRule="exact"/>
      <w:ind w:left="2410"/>
    </w:pPr>
    <w:rPr>
      <w:rFonts w:ascii="Arial" w:eastAsia="Times New Roman" w:hAnsi="Arial"/>
      <w:sz w:val="18"/>
      <w:szCs w:val="24"/>
      <w:lang w:eastAsia="en-AU"/>
    </w:rPr>
  </w:style>
  <w:style w:type="paragraph" w:customStyle="1" w:styleId="Scheduletitle">
    <w:name w:val="Schedule title"/>
    <w:basedOn w:val="Normal"/>
    <w:next w:val="Schedulereference"/>
    <w:rsid w:val="00BB7E75"/>
    <w:pPr>
      <w:keepNext/>
      <w:keepLines/>
      <w:spacing w:before="480" w:line="240" w:lineRule="auto"/>
      <w:ind w:left="2410" w:hanging="2410"/>
    </w:pPr>
    <w:rPr>
      <w:rFonts w:ascii="Arial" w:eastAsia="Times New Roman" w:hAnsi="Arial"/>
      <w:b/>
      <w:sz w:val="32"/>
      <w:szCs w:val="24"/>
      <w:lang w:eastAsia="en-AU"/>
    </w:rPr>
  </w:style>
  <w:style w:type="paragraph" w:customStyle="1" w:styleId="SigningPageBreak">
    <w:name w:val="SigningPageBreak"/>
    <w:basedOn w:val="Normal"/>
    <w:next w:val="Normal"/>
    <w:rsid w:val="00BB7E75"/>
    <w:pPr>
      <w:spacing w:line="240" w:lineRule="auto"/>
    </w:pPr>
    <w:rPr>
      <w:rFonts w:eastAsia="Times New Roman"/>
      <w:sz w:val="24"/>
      <w:szCs w:val="24"/>
      <w:lang w:eastAsia="en-AU"/>
    </w:rPr>
  </w:style>
  <w:style w:type="paragraph" w:customStyle="1" w:styleId="SRNo">
    <w:name w:val="SRNo"/>
    <w:basedOn w:val="Normal"/>
    <w:next w:val="Normal"/>
    <w:rsid w:val="00BB7E75"/>
    <w:pPr>
      <w:pBdr>
        <w:bottom w:val="single" w:sz="4" w:space="3" w:color="auto"/>
      </w:pBdr>
      <w:spacing w:before="480" w:line="240" w:lineRule="auto"/>
    </w:pPr>
    <w:rPr>
      <w:rFonts w:ascii="Arial" w:eastAsia="Times New Roman" w:hAnsi="Arial"/>
      <w:b/>
      <w:sz w:val="24"/>
      <w:szCs w:val="24"/>
      <w:lang w:eastAsia="en-AU"/>
    </w:rPr>
  </w:style>
  <w:style w:type="paragraph" w:customStyle="1" w:styleId="TableColHead">
    <w:name w:val="TableColHead"/>
    <w:basedOn w:val="Normal"/>
    <w:rsid w:val="00BB7E75"/>
    <w:pPr>
      <w:keepNext/>
      <w:spacing w:before="120" w:after="60" w:line="200" w:lineRule="exact"/>
    </w:pPr>
    <w:rPr>
      <w:rFonts w:ascii="Arial" w:eastAsia="Times New Roman" w:hAnsi="Arial"/>
      <w:b/>
      <w:sz w:val="18"/>
      <w:szCs w:val="24"/>
      <w:lang w:eastAsia="en-AU"/>
    </w:rPr>
  </w:style>
  <w:style w:type="table" w:customStyle="1" w:styleId="TableGeneral">
    <w:name w:val="TableGeneral"/>
    <w:basedOn w:val="TableNormal"/>
    <w:rsid w:val="00BB7E75"/>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BB7E75"/>
    <w:pPr>
      <w:tabs>
        <w:tab w:val="right" w:pos="408"/>
      </w:tabs>
      <w:spacing w:after="60" w:line="240" w:lineRule="exact"/>
      <w:ind w:left="533" w:hanging="533"/>
    </w:pPr>
    <w:rPr>
      <w:rFonts w:eastAsia="Times New Roman"/>
      <w:sz w:val="24"/>
      <w:szCs w:val="24"/>
      <w:lang w:eastAsia="en-AU"/>
    </w:rPr>
  </w:style>
  <w:style w:type="paragraph" w:customStyle="1" w:styleId="TableP2i">
    <w:name w:val="TableP2(i)"/>
    <w:basedOn w:val="Normal"/>
    <w:rsid w:val="00BB7E75"/>
    <w:pPr>
      <w:tabs>
        <w:tab w:val="right" w:pos="726"/>
      </w:tabs>
      <w:spacing w:after="60" w:line="240" w:lineRule="exact"/>
      <w:ind w:left="868" w:hanging="868"/>
    </w:pPr>
    <w:rPr>
      <w:rFonts w:eastAsia="Times New Roman"/>
      <w:sz w:val="24"/>
      <w:szCs w:val="24"/>
      <w:lang w:eastAsia="en-AU"/>
    </w:rPr>
  </w:style>
  <w:style w:type="paragraph" w:customStyle="1" w:styleId="TOC">
    <w:name w:val="TOC"/>
    <w:basedOn w:val="Normal"/>
    <w:next w:val="Normal"/>
    <w:rsid w:val="00BB7E75"/>
    <w:pPr>
      <w:tabs>
        <w:tab w:val="right" w:pos="7088"/>
      </w:tabs>
      <w:spacing w:after="120" w:line="240" w:lineRule="auto"/>
    </w:pPr>
    <w:rPr>
      <w:rFonts w:ascii="Arial" w:eastAsia="Times New Roman" w:hAnsi="Arial"/>
      <w:sz w:val="20"/>
      <w:szCs w:val="24"/>
    </w:rPr>
  </w:style>
  <w:style w:type="paragraph" w:customStyle="1" w:styleId="IntroP2i">
    <w:name w:val="IntroP2(i)"/>
    <w:basedOn w:val="Normal"/>
    <w:rsid w:val="00BB7E75"/>
    <w:pPr>
      <w:tabs>
        <w:tab w:val="right" w:pos="709"/>
      </w:tabs>
      <w:spacing w:before="60" w:line="260" w:lineRule="exact"/>
      <w:ind w:left="907" w:hanging="907"/>
      <w:jc w:val="both"/>
    </w:pPr>
    <w:rPr>
      <w:rFonts w:eastAsia="Times New Roman"/>
      <w:sz w:val="24"/>
      <w:szCs w:val="24"/>
      <w:lang w:eastAsia="en-AU"/>
    </w:rPr>
  </w:style>
  <w:style w:type="paragraph" w:customStyle="1" w:styleId="IntroP3A">
    <w:name w:val="IntroP3(A)"/>
    <w:basedOn w:val="Normal"/>
    <w:rsid w:val="00BB7E75"/>
    <w:pPr>
      <w:tabs>
        <w:tab w:val="right" w:pos="1276"/>
      </w:tabs>
      <w:spacing w:before="60" w:line="260" w:lineRule="exact"/>
      <w:ind w:left="1503" w:hanging="1503"/>
      <w:jc w:val="both"/>
    </w:pPr>
    <w:rPr>
      <w:rFonts w:eastAsia="Times New Roman"/>
      <w:sz w:val="24"/>
      <w:szCs w:val="24"/>
      <w:lang w:eastAsia="en-AU"/>
    </w:rPr>
  </w:style>
  <w:style w:type="paragraph" w:customStyle="1" w:styleId="InstructorsNote">
    <w:name w:val="InstructorsNote"/>
    <w:basedOn w:val="Normal"/>
    <w:next w:val="Normal"/>
    <w:rsid w:val="00BB7E75"/>
    <w:pPr>
      <w:spacing w:before="120" w:line="240" w:lineRule="auto"/>
      <w:ind w:left="958" w:hanging="958"/>
    </w:pPr>
    <w:rPr>
      <w:rFonts w:ascii="Arial" w:eastAsia="Times New Roman" w:hAnsi="Arial" w:cs="Arial"/>
      <w:b/>
      <w:sz w:val="16"/>
      <w:szCs w:val="18"/>
    </w:rPr>
  </w:style>
  <w:style w:type="paragraph" w:customStyle="1" w:styleId="ZA2">
    <w:name w:val="ZA2"/>
    <w:basedOn w:val="A2"/>
    <w:rsid w:val="00BB7E75"/>
    <w:pPr>
      <w:keepNext/>
    </w:pPr>
  </w:style>
  <w:style w:type="paragraph" w:customStyle="1" w:styleId="ZA3">
    <w:name w:val="ZA3"/>
    <w:basedOn w:val="A3"/>
    <w:rsid w:val="00BB7E75"/>
    <w:pPr>
      <w:keepNext/>
    </w:pPr>
  </w:style>
  <w:style w:type="paragraph" w:customStyle="1" w:styleId="ZA4">
    <w:name w:val="ZA4"/>
    <w:basedOn w:val="Normal"/>
    <w:next w:val="A4"/>
    <w:rsid w:val="00BB7E75"/>
    <w:pPr>
      <w:keepNext/>
      <w:tabs>
        <w:tab w:val="right" w:pos="1247"/>
      </w:tabs>
      <w:spacing w:before="60" w:line="260" w:lineRule="exact"/>
      <w:ind w:left="1531" w:hanging="1531"/>
      <w:jc w:val="both"/>
    </w:pPr>
    <w:rPr>
      <w:rFonts w:eastAsia="Times New Roman"/>
      <w:sz w:val="24"/>
      <w:szCs w:val="24"/>
      <w:lang w:eastAsia="en-AU"/>
    </w:rPr>
  </w:style>
  <w:style w:type="paragraph" w:customStyle="1" w:styleId="ZDD">
    <w:name w:val="ZDD"/>
    <w:aliases w:val="Dict Def"/>
    <w:basedOn w:val="DD"/>
    <w:rsid w:val="00BB7E75"/>
    <w:pPr>
      <w:keepNext/>
    </w:pPr>
  </w:style>
  <w:style w:type="paragraph" w:customStyle="1" w:styleId="Zdefinition">
    <w:name w:val="Zdefinition"/>
    <w:basedOn w:val="definition"/>
    <w:rsid w:val="00BB7E75"/>
    <w:pPr>
      <w:keepNext/>
    </w:pPr>
  </w:style>
  <w:style w:type="paragraph" w:customStyle="1" w:styleId="ZDP1">
    <w:name w:val="ZDP1"/>
    <w:basedOn w:val="DP1a"/>
    <w:rsid w:val="00BB7E75"/>
    <w:pPr>
      <w:keepNext/>
    </w:pPr>
  </w:style>
  <w:style w:type="paragraph" w:customStyle="1" w:styleId="ZExampleBody">
    <w:name w:val="ZExample Body"/>
    <w:basedOn w:val="ExampleBody"/>
    <w:rsid w:val="00BB7E75"/>
    <w:pPr>
      <w:keepNext/>
    </w:pPr>
  </w:style>
  <w:style w:type="paragraph" w:customStyle="1" w:styleId="ZNote">
    <w:name w:val="ZNote"/>
    <w:basedOn w:val="Note"/>
    <w:rsid w:val="00BB7E75"/>
    <w:pPr>
      <w:keepNext/>
    </w:pPr>
  </w:style>
  <w:style w:type="paragraph" w:customStyle="1" w:styleId="ZP1">
    <w:name w:val="ZP1"/>
    <w:basedOn w:val="P1"/>
    <w:rsid w:val="00BB7E75"/>
    <w:pPr>
      <w:keepNext/>
    </w:pPr>
  </w:style>
  <w:style w:type="paragraph" w:customStyle="1" w:styleId="ZP2">
    <w:name w:val="ZP2"/>
    <w:basedOn w:val="P2"/>
    <w:rsid w:val="00BB7E75"/>
    <w:pPr>
      <w:keepNext/>
    </w:pPr>
  </w:style>
  <w:style w:type="paragraph" w:customStyle="1" w:styleId="ZP3">
    <w:name w:val="ZP3"/>
    <w:basedOn w:val="P3"/>
    <w:rsid w:val="00BB7E75"/>
    <w:pPr>
      <w:keepNext/>
    </w:pPr>
  </w:style>
  <w:style w:type="paragraph" w:customStyle="1" w:styleId="ZR1">
    <w:name w:val="ZR1"/>
    <w:basedOn w:val="R1"/>
    <w:rsid w:val="00BB7E75"/>
    <w:pPr>
      <w:keepNext/>
    </w:pPr>
  </w:style>
  <w:style w:type="paragraph" w:customStyle="1" w:styleId="ZR2">
    <w:name w:val="ZR2"/>
    <w:basedOn w:val="R2"/>
    <w:rsid w:val="00BB7E75"/>
    <w:pPr>
      <w:keepNext/>
    </w:pPr>
  </w:style>
  <w:style w:type="paragraph" w:customStyle="1" w:styleId="ZRcN">
    <w:name w:val="ZRcN"/>
    <w:basedOn w:val="Rc"/>
    <w:rsid w:val="00BB7E75"/>
    <w:pPr>
      <w:keepNext/>
    </w:pPr>
  </w:style>
  <w:style w:type="character" w:customStyle="1" w:styleId="TitleSuperscript">
    <w:name w:val="TitleSuperscript"/>
    <w:basedOn w:val="DefaultParagraphFont"/>
    <w:rsid w:val="00BB7E75"/>
    <w:rPr>
      <w:rFonts w:ascii="Arial" w:hAnsi="Arial"/>
      <w:position w:val="6"/>
      <w:sz w:val="24"/>
      <w:szCs w:val="24"/>
      <w:vertAlign w:val="superscript"/>
    </w:rPr>
  </w:style>
  <w:style w:type="paragraph" w:customStyle="1" w:styleId="top1">
    <w:name w:val="top1"/>
    <w:basedOn w:val="Normal"/>
    <w:rsid w:val="00BB7E75"/>
    <w:pPr>
      <w:keepNext/>
      <w:tabs>
        <w:tab w:val="right" w:pos="7218"/>
      </w:tabs>
      <w:spacing w:before="120" w:line="240" w:lineRule="auto"/>
      <w:ind w:left="2410" w:right="136" w:hanging="1418"/>
    </w:pPr>
    <w:rPr>
      <w:rFonts w:ascii="Arial" w:eastAsia="Times New Roman" w:hAnsi="Arial"/>
      <w:b/>
      <w:sz w:val="18"/>
      <w:szCs w:val="24"/>
    </w:rPr>
  </w:style>
  <w:style w:type="paragraph" w:customStyle="1" w:styleId="top2">
    <w:name w:val="top2"/>
    <w:basedOn w:val="Normal"/>
    <w:rsid w:val="00BB7E75"/>
    <w:pPr>
      <w:tabs>
        <w:tab w:val="left" w:pos="3686"/>
        <w:tab w:val="right" w:pos="7082"/>
      </w:tabs>
      <w:spacing w:before="80" w:line="240" w:lineRule="auto"/>
      <w:ind w:left="2410" w:hanging="1871"/>
    </w:pPr>
    <w:rPr>
      <w:rFonts w:ascii="Arial" w:eastAsia="Times New Roman" w:hAnsi="Arial"/>
      <w:b/>
      <w:sz w:val="18"/>
      <w:szCs w:val="24"/>
    </w:rPr>
  </w:style>
  <w:style w:type="paragraph" w:customStyle="1" w:styleId="top3">
    <w:name w:val="top3"/>
    <w:basedOn w:val="Normal"/>
    <w:rsid w:val="00BB7E75"/>
    <w:pPr>
      <w:spacing w:before="80" w:line="240" w:lineRule="auto"/>
      <w:ind w:left="2410" w:hanging="1168"/>
    </w:pPr>
    <w:rPr>
      <w:rFonts w:ascii="Arial" w:eastAsia="Times New Roman" w:hAnsi="Arial"/>
      <w:sz w:val="18"/>
      <w:szCs w:val="24"/>
    </w:rPr>
  </w:style>
  <w:style w:type="paragraph" w:customStyle="1" w:styleId="CHS">
    <w:name w:val="CHS"/>
    <w:aliases w:val="CASA Subdivision Heading"/>
    <w:basedOn w:val="HS"/>
    <w:next w:val="HR"/>
    <w:rsid w:val="00BB7E75"/>
    <w:rPr>
      <w:b w:val="0"/>
      <w:i/>
    </w:rPr>
  </w:style>
  <w:style w:type="paragraph" w:customStyle="1" w:styleId="tmain0">
    <w:name w:val="tmain"/>
    <w:basedOn w:val="Normal"/>
    <w:uiPriority w:val="99"/>
    <w:rsid w:val="00BB7E75"/>
    <w:pPr>
      <w:spacing w:before="100" w:beforeAutospacing="1" w:after="100" w:afterAutospacing="1" w:line="240" w:lineRule="auto"/>
    </w:pPr>
    <w:rPr>
      <w:rFonts w:eastAsia="Times New Roman"/>
      <w:sz w:val="24"/>
      <w:szCs w:val="24"/>
      <w:lang w:eastAsia="en-AU"/>
    </w:rPr>
  </w:style>
  <w:style w:type="paragraph" w:customStyle="1" w:styleId="tpara0">
    <w:name w:val="tpara"/>
    <w:basedOn w:val="Normal"/>
    <w:uiPriority w:val="99"/>
    <w:rsid w:val="00BB7E75"/>
    <w:pPr>
      <w:spacing w:before="100" w:beforeAutospacing="1" w:after="100" w:afterAutospacing="1" w:line="240" w:lineRule="auto"/>
    </w:pPr>
    <w:rPr>
      <w:rFonts w:eastAsia="Times New Roman"/>
      <w:sz w:val="24"/>
      <w:szCs w:val="24"/>
      <w:lang w:eastAsia="en-AU"/>
    </w:rPr>
  </w:style>
  <w:style w:type="paragraph" w:customStyle="1" w:styleId="notepara1">
    <w:name w:val="notepara"/>
    <w:basedOn w:val="Normal"/>
    <w:uiPriority w:val="99"/>
    <w:rsid w:val="00BB7E75"/>
    <w:pPr>
      <w:spacing w:before="100" w:beforeAutospacing="1" w:after="100" w:afterAutospacing="1" w:line="240" w:lineRule="auto"/>
    </w:pPr>
    <w:rPr>
      <w:rFonts w:eastAsia="Times New Roman"/>
      <w:sz w:val="24"/>
      <w:szCs w:val="24"/>
      <w:lang w:eastAsia="en-AU"/>
    </w:rPr>
  </w:style>
  <w:style w:type="paragraph" w:customStyle="1" w:styleId="h5section0">
    <w:name w:val="h5section"/>
    <w:basedOn w:val="Normal"/>
    <w:uiPriority w:val="99"/>
    <w:rsid w:val="00BB7E75"/>
    <w:pPr>
      <w:spacing w:before="100" w:beforeAutospacing="1" w:after="100" w:afterAutospacing="1" w:line="240" w:lineRule="auto"/>
    </w:pPr>
    <w:rPr>
      <w:rFonts w:eastAsia="Times New Roman"/>
      <w:sz w:val="24"/>
      <w:szCs w:val="24"/>
      <w:lang w:eastAsia="en-AU"/>
    </w:rPr>
  </w:style>
  <w:style w:type="paragraph" w:customStyle="1" w:styleId="r20">
    <w:name w:val="r2"/>
    <w:basedOn w:val="Normal"/>
    <w:rsid w:val="00BB7E75"/>
    <w:pPr>
      <w:spacing w:before="100" w:beforeAutospacing="1" w:after="100" w:afterAutospacing="1" w:line="240" w:lineRule="auto"/>
    </w:pPr>
    <w:rPr>
      <w:rFonts w:eastAsia="Times New Roman"/>
      <w:sz w:val="24"/>
      <w:szCs w:val="24"/>
      <w:lang w:eastAsia="en-AU"/>
    </w:rPr>
  </w:style>
  <w:style w:type="paragraph" w:customStyle="1" w:styleId="equation">
    <w:name w:val="equation"/>
    <w:basedOn w:val="Normal"/>
    <w:rsid w:val="00BB7E75"/>
    <w:pPr>
      <w:tabs>
        <w:tab w:val="left" w:pos="1134"/>
        <w:tab w:val="left" w:pos="1701"/>
        <w:tab w:val="center" w:pos="9072"/>
      </w:tabs>
      <w:spacing w:line="240" w:lineRule="auto"/>
    </w:pPr>
    <w:rPr>
      <w:rFonts w:eastAsia="MS Mincho"/>
      <w:sz w:val="24"/>
      <w:szCs w:val="22"/>
      <w:lang w:val="es-ES_tradnl"/>
    </w:rPr>
  </w:style>
  <w:style w:type="paragraph" w:customStyle="1" w:styleId="tabletext1">
    <w:name w:val="tabletext"/>
    <w:basedOn w:val="Normal"/>
    <w:rsid w:val="00BB7E75"/>
    <w:pPr>
      <w:spacing w:before="100" w:beforeAutospacing="1" w:after="100" w:afterAutospacing="1" w:line="240" w:lineRule="auto"/>
    </w:pPr>
    <w:rPr>
      <w:rFonts w:eastAsia="Times New Roman"/>
      <w:sz w:val="24"/>
      <w:szCs w:val="24"/>
      <w:lang w:eastAsia="en-AU"/>
    </w:rPr>
  </w:style>
  <w:style w:type="paragraph" w:customStyle="1" w:styleId="Def">
    <w:name w:val="Def"/>
    <w:basedOn w:val="Normal"/>
    <w:uiPriority w:val="99"/>
    <w:rsid w:val="00BB7E75"/>
    <w:pPr>
      <w:spacing w:before="80" w:after="100" w:line="260" w:lineRule="exact"/>
      <w:ind w:left="964"/>
      <w:jc w:val="both"/>
    </w:pPr>
    <w:rPr>
      <w:rFonts w:eastAsiaTheme="minorHAnsi" w:cstheme="minorBidi"/>
      <w:sz w:val="24"/>
      <w:szCs w:val="22"/>
    </w:rPr>
  </w:style>
  <w:style w:type="paragraph" w:customStyle="1" w:styleId="HSec">
    <w:name w:val="HSec"/>
    <w:basedOn w:val="Heading5"/>
    <w:next w:val="Normal"/>
    <w:uiPriority w:val="99"/>
    <w:rsid w:val="00BB7E75"/>
    <w:pPr>
      <w:numPr>
        <w:ilvl w:val="0"/>
        <w:numId w:val="0"/>
      </w:numPr>
      <w:spacing w:before="360" w:after="60" w:line="276" w:lineRule="auto"/>
      <w:ind w:left="964" w:hanging="964"/>
    </w:pPr>
    <w:rPr>
      <w:rFonts w:eastAsia="Times New Roman" w:cs="Times New Roman"/>
      <w:sz w:val="24"/>
    </w:rPr>
  </w:style>
  <w:style w:type="paragraph" w:customStyle="1" w:styleId="Notequery">
    <w:name w:val="Note query"/>
    <w:basedOn w:val="Normal"/>
    <w:qFormat/>
    <w:rsid w:val="00BB7E75"/>
    <w:pPr>
      <w:spacing w:before="80" w:after="80" w:line="276" w:lineRule="auto"/>
    </w:pPr>
    <w:rPr>
      <w:rFonts w:eastAsiaTheme="minorHAnsi" w:cstheme="minorBidi"/>
      <w:color w:val="0070C0"/>
      <w:sz w:val="24"/>
      <w:szCs w:val="22"/>
    </w:rPr>
  </w:style>
  <w:style w:type="paragraph" w:customStyle="1" w:styleId="NoteSec">
    <w:name w:val="Note Sec"/>
    <w:basedOn w:val="Normal"/>
    <w:qFormat/>
    <w:rsid w:val="00BB7E75"/>
    <w:pPr>
      <w:keepLines/>
      <w:spacing w:before="120" w:after="200" w:line="220" w:lineRule="exact"/>
      <w:jc w:val="both"/>
    </w:pPr>
    <w:rPr>
      <w:rFonts w:eastAsiaTheme="minorHAnsi" w:cstheme="minorBidi"/>
      <w:sz w:val="20"/>
      <w:szCs w:val="22"/>
    </w:rPr>
  </w:style>
  <w:style w:type="paragraph" w:customStyle="1" w:styleId="NoteSS">
    <w:name w:val="Note SS"/>
    <w:basedOn w:val="Normal"/>
    <w:qFormat/>
    <w:rsid w:val="00BB7E75"/>
    <w:pPr>
      <w:keepLines/>
      <w:spacing w:before="120" w:after="200" w:line="220" w:lineRule="exact"/>
      <w:ind w:left="964"/>
      <w:jc w:val="both"/>
    </w:pPr>
    <w:rPr>
      <w:rFonts w:eastAsiaTheme="minorHAnsi" w:cstheme="minorBidi"/>
      <w:sz w:val="20"/>
      <w:szCs w:val="22"/>
    </w:rPr>
  </w:style>
  <w:style w:type="paragraph" w:customStyle="1" w:styleId="Subsec">
    <w:name w:val="Subsec"/>
    <w:basedOn w:val="Normal"/>
    <w:uiPriority w:val="99"/>
    <w:rsid w:val="00BB7E75"/>
    <w:pPr>
      <w:keepLines/>
      <w:tabs>
        <w:tab w:val="right" w:pos="794"/>
      </w:tabs>
      <w:spacing w:before="80" w:after="100" w:line="260" w:lineRule="exact"/>
      <w:ind w:left="964" w:hanging="964"/>
      <w:jc w:val="both"/>
    </w:pPr>
    <w:rPr>
      <w:rFonts w:eastAsiaTheme="minorHAnsi" w:cstheme="minorBidi"/>
      <w:sz w:val="24"/>
      <w:szCs w:val="22"/>
    </w:rPr>
  </w:style>
  <w:style w:type="paragraph" w:customStyle="1" w:styleId="Green">
    <w:name w:val="Green"/>
    <w:basedOn w:val="Normal"/>
    <w:qFormat/>
    <w:rsid w:val="00BB7E75"/>
    <w:pPr>
      <w:spacing w:before="80" w:after="80" w:line="276" w:lineRule="auto"/>
    </w:pPr>
    <w:rPr>
      <w:rFonts w:ascii="Arial" w:eastAsiaTheme="minorHAnsi" w:hAnsi="Arial" w:cstheme="minorBidi"/>
      <w:b/>
      <w:color w:val="00B050"/>
      <w:sz w:val="20"/>
      <w:szCs w:val="22"/>
    </w:rPr>
  </w:style>
  <w:style w:type="paragraph" w:customStyle="1" w:styleId="ldclauseheading">
    <w:name w:val="ldclauseheading"/>
    <w:basedOn w:val="Normal"/>
    <w:rsid w:val="00BB7E75"/>
    <w:pPr>
      <w:spacing w:before="100" w:beforeAutospacing="1" w:after="100" w:afterAutospacing="1" w:line="240" w:lineRule="auto"/>
    </w:pPr>
    <w:rPr>
      <w:rFonts w:eastAsia="Times New Roman"/>
      <w:sz w:val="24"/>
      <w:szCs w:val="24"/>
      <w:lang w:eastAsia="en-AU"/>
    </w:rPr>
  </w:style>
  <w:style w:type="paragraph" w:customStyle="1" w:styleId="ldclause">
    <w:name w:val="ldclause"/>
    <w:basedOn w:val="Normal"/>
    <w:rsid w:val="00BB7E75"/>
    <w:pPr>
      <w:spacing w:before="100" w:beforeAutospacing="1" w:after="100" w:afterAutospacing="1" w:line="240" w:lineRule="auto"/>
    </w:pPr>
    <w:rPr>
      <w:rFonts w:eastAsia="Times New Roman"/>
      <w:sz w:val="24"/>
      <w:szCs w:val="24"/>
      <w:lang w:eastAsia="en-AU"/>
    </w:rPr>
  </w:style>
  <w:style w:type="paragraph" w:customStyle="1" w:styleId="ldp1a">
    <w:name w:val="ldp1a"/>
    <w:basedOn w:val="Normal"/>
    <w:rsid w:val="00BB7E75"/>
    <w:pPr>
      <w:spacing w:before="100" w:beforeAutospacing="1" w:after="100" w:afterAutospacing="1" w:line="240" w:lineRule="auto"/>
    </w:pPr>
    <w:rPr>
      <w:rFonts w:eastAsia="Times New Roman"/>
      <w:sz w:val="24"/>
      <w:szCs w:val="24"/>
      <w:lang w:eastAsia="en-AU"/>
    </w:rPr>
  </w:style>
  <w:style w:type="paragraph" w:customStyle="1" w:styleId="tdefn0">
    <w:name w:val="tdefn"/>
    <w:basedOn w:val="Normal"/>
    <w:rsid w:val="00BB7E75"/>
    <w:pPr>
      <w:spacing w:before="100" w:beforeAutospacing="1" w:after="100" w:afterAutospacing="1" w:line="240" w:lineRule="auto"/>
    </w:pPr>
    <w:rPr>
      <w:rFonts w:eastAsia="Times New Roman"/>
      <w:sz w:val="24"/>
      <w:szCs w:val="24"/>
      <w:lang w:eastAsia="en-AU"/>
    </w:rPr>
  </w:style>
  <w:style w:type="character" w:customStyle="1" w:styleId="CompDate">
    <w:name w:val="CompDate"/>
    <w:basedOn w:val="DefaultParagraphFont"/>
    <w:uiPriority w:val="1"/>
    <w:qFormat/>
    <w:rsid w:val="00BB7E75"/>
    <w:rPr>
      <w:rFonts w:cs="Arial"/>
      <w:b/>
      <w:color w:val="008000"/>
    </w:rPr>
  </w:style>
  <w:style w:type="character" w:customStyle="1" w:styleId="RegDate">
    <w:name w:val="RegDate"/>
    <w:basedOn w:val="DefaultParagraphFont"/>
    <w:uiPriority w:val="1"/>
    <w:qFormat/>
    <w:rsid w:val="00BB7E75"/>
    <w:rPr>
      <w:rFonts w:cs="Arial"/>
      <w:color w:val="008000"/>
    </w:rPr>
  </w:style>
  <w:style w:type="character" w:customStyle="1" w:styleId="legsubtitle1">
    <w:name w:val="legsubtitle1"/>
    <w:basedOn w:val="DefaultParagraphFont"/>
    <w:rsid w:val="00BB7E75"/>
    <w:rPr>
      <w:rFonts w:ascii="Helvetica Neue" w:hAnsi="Helvetica Neue" w:hint="default"/>
      <w:b/>
      <w:bCs/>
      <w:sz w:val="28"/>
      <w:szCs w:val="28"/>
    </w:rPr>
  </w:style>
  <w:style w:type="character" w:customStyle="1" w:styleId="FRLIreg">
    <w:name w:val="FRLI_reg"/>
    <w:basedOn w:val="DefaultParagraphFont"/>
    <w:uiPriority w:val="1"/>
    <w:qFormat/>
    <w:rsid w:val="00BB7E75"/>
    <w:rPr>
      <w:color w:val="008000"/>
    </w:rPr>
  </w:style>
  <w:style w:type="character" w:customStyle="1" w:styleId="FRLIregpar">
    <w:name w:val="FRLI_reg_par"/>
    <w:basedOn w:val="FRLIreg"/>
    <w:uiPriority w:val="1"/>
    <w:qFormat/>
    <w:rsid w:val="00BB7E75"/>
    <w:rPr>
      <w:color w:val="auto"/>
    </w:rPr>
  </w:style>
  <w:style w:type="table" w:customStyle="1" w:styleId="TableGrid10">
    <w:name w:val="Table Grid1"/>
    <w:basedOn w:val="TableNormal"/>
    <w:next w:val="TableGrid"/>
    <w:uiPriority w:val="59"/>
    <w:rsid w:val="00BB7E7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E15BFF"/>
    <w:rPr>
      <w:sz w:val="24"/>
      <w:szCs w:val="24"/>
    </w:rPr>
  </w:style>
  <w:style w:type="character" w:customStyle="1" w:styleId="NoteHeadingChar1">
    <w:name w:val="Note Heading Char1"/>
    <w:aliases w:val="HN Char1"/>
    <w:basedOn w:val="DefaultParagraphFont"/>
    <w:semiHidden/>
    <w:rsid w:val="00E15BFF"/>
    <w:rPr>
      <w:rFonts w:eastAsia="Calibri"/>
      <w:sz w:val="22"/>
      <w:lang w:eastAsia="en-US"/>
    </w:rPr>
  </w:style>
  <w:style w:type="paragraph" w:customStyle="1" w:styleId="DecimalAligned">
    <w:name w:val="Decimal Aligned"/>
    <w:basedOn w:val="Normal"/>
    <w:uiPriority w:val="40"/>
    <w:qFormat/>
    <w:rsid w:val="00E15BFF"/>
    <w:pPr>
      <w:tabs>
        <w:tab w:val="decimal" w:pos="360"/>
      </w:tabs>
      <w:spacing w:after="200" w:line="276" w:lineRule="auto"/>
    </w:pPr>
    <w:rPr>
      <w:rFonts w:asciiTheme="minorHAnsi" w:eastAsiaTheme="minorEastAsia" w:hAnsiTheme="minorHAnsi"/>
      <w:szCs w:val="22"/>
      <w:lang w:val="en-US"/>
    </w:rPr>
  </w:style>
  <w:style w:type="character" w:styleId="SubtleEmphasis">
    <w:name w:val="Subtle Emphasis"/>
    <w:basedOn w:val="DefaultParagraphFont"/>
    <w:uiPriority w:val="19"/>
    <w:qFormat/>
    <w:rsid w:val="00E15BFF"/>
    <w:rPr>
      <w:i/>
      <w:iCs/>
    </w:rPr>
  </w:style>
  <w:style w:type="table" w:styleId="LightShading-Accent1">
    <w:name w:val="Light Shading Accent 1"/>
    <w:basedOn w:val="TableNormal"/>
    <w:uiPriority w:val="60"/>
    <w:semiHidden/>
    <w:unhideWhenUsed/>
    <w:rsid w:val="00E15BFF"/>
    <w:rPr>
      <w:rFonts w:asciiTheme="minorHAnsi" w:eastAsiaTheme="minorEastAsia" w:hAnsiTheme="minorHAnsi" w:cstheme="minorBidi"/>
      <w:color w:val="365F91" w:themeColor="accent1" w:themeShade="BF"/>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CERbullets">
    <w:name w:val="CER bullets"/>
    <w:basedOn w:val="Normal"/>
    <w:link w:val="CERbulletsChar"/>
    <w:uiPriority w:val="7"/>
    <w:qFormat/>
    <w:locked/>
    <w:rsid w:val="00E52C94"/>
    <w:pPr>
      <w:numPr>
        <w:numId w:val="25"/>
      </w:numPr>
      <w:spacing w:before="120" w:after="120" w:line="240" w:lineRule="auto"/>
    </w:pPr>
    <w:rPr>
      <w:rFonts w:asciiTheme="minorHAnsi" w:eastAsia="Cambria" w:hAnsiTheme="minorHAnsi" w:cstheme="minorHAnsi"/>
      <w:szCs w:val="24"/>
    </w:rPr>
  </w:style>
  <w:style w:type="character" w:customStyle="1" w:styleId="CERbulletsChar">
    <w:name w:val="CER bullets Char"/>
    <w:basedOn w:val="DefaultParagraphFont"/>
    <w:link w:val="CERbullets"/>
    <w:uiPriority w:val="7"/>
    <w:rsid w:val="00E52C94"/>
    <w:rPr>
      <w:rFonts w:asciiTheme="minorHAnsi" w:eastAsia="Cambria" w:hAnsiTheme="minorHAnsi" w:cstheme="minorHAns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799827">
      <w:bodyDiv w:val="1"/>
      <w:marLeft w:val="0"/>
      <w:marRight w:val="0"/>
      <w:marTop w:val="0"/>
      <w:marBottom w:val="0"/>
      <w:divBdr>
        <w:top w:val="none" w:sz="0" w:space="0" w:color="auto"/>
        <w:left w:val="none" w:sz="0" w:space="0" w:color="auto"/>
        <w:bottom w:val="none" w:sz="0" w:space="0" w:color="auto"/>
        <w:right w:val="none" w:sz="0" w:space="0" w:color="auto"/>
      </w:divBdr>
      <w:divsChild>
        <w:div w:id="7023339">
          <w:marLeft w:val="0"/>
          <w:marRight w:val="0"/>
          <w:marTop w:val="0"/>
          <w:marBottom w:val="0"/>
          <w:divBdr>
            <w:top w:val="none" w:sz="0" w:space="0" w:color="auto"/>
            <w:left w:val="none" w:sz="0" w:space="0" w:color="auto"/>
            <w:bottom w:val="none" w:sz="0" w:space="0" w:color="auto"/>
            <w:right w:val="none" w:sz="0" w:space="0" w:color="auto"/>
          </w:divBdr>
          <w:divsChild>
            <w:div w:id="167643814">
              <w:marLeft w:val="0"/>
              <w:marRight w:val="0"/>
              <w:marTop w:val="0"/>
              <w:marBottom w:val="0"/>
              <w:divBdr>
                <w:top w:val="none" w:sz="0" w:space="0" w:color="auto"/>
                <w:left w:val="none" w:sz="0" w:space="0" w:color="auto"/>
                <w:bottom w:val="none" w:sz="0" w:space="0" w:color="auto"/>
                <w:right w:val="none" w:sz="0" w:space="0" w:color="auto"/>
              </w:divBdr>
              <w:divsChild>
                <w:div w:id="477649583">
                  <w:marLeft w:val="0"/>
                  <w:marRight w:val="0"/>
                  <w:marTop w:val="0"/>
                  <w:marBottom w:val="0"/>
                  <w:divBdr>
                    <w:top w:val="none" w:sz="0" w:space="0" w:color="auto"/>
                    <w:left w:val="none" w:sz="0" w:space="0" w:color="auto"/>
                    <w:bottom w:val="none" w:sz="0" w:space="0" w:color="auto"/>
                    <w:right w:val="none" w:sz="0" w:space="0" w:color="auto"/>
                  </w:divBdr>
                  <w:divsChild>
                    <w:div w:id="429860547">
                      <w:marLeft w:val="0"/>
                      <w:marRight w:val="0"/>
                      <w:marTop w:val="0"/>
                      <w:marBottom w:val="0"/>
                      <w:divBdr>
                        <w:top w:val="none" w:sz="0" w:space="0" w:color="auto"/>
                        <w:left w:val="none" w:sz="0" w:space="0" w:color="auto"/>
                        <w:bottom w:val="none" w:sz="0" w:space="0" w:color="auto"/>
                        <w:right w:val="none" w:sz="0" w:space="0" w:color="auto"/>
                      </w:divBdr>
                      <w:divsChild>
                        <w:div w:id="995692819">
                          <w:marLeft w:val="0"/>
                          <w:marRight w:val="0"/>
                          <w:marTop w:val="0"/>
                          <w:marBottom w:val="0"/>
                          <w:divBdr>
                            <w:top w:val="none" w:sz="0" w:space="0" w:color="auto"/>
                            <w:left w:val="none" w:sz="0" w:space="0" w:color="auto"/>
                            <w:bottom w:val="none" w:sz="0" w:space="0" w:color="auto"/>
                            <w:right w:val="none" w:sz="0" w:space="0" w:color="auto"/>
                          </w:divBdr>
                          <w:divsChild>
                            <w:div w:id="1469543063">
                              <w:marLeft w:val="0"/>
                              <w:marRight w:val="0"/>
                              <w:marTop w:val="0"/>
                              <w:marBottom w:val="0"/>
                              <w:divBdr>
                                <w:top w:val="none" w:sz="0" w:space="0" w:color="auto"/>
                                <w:left w:val="none" w:sz="0" w:space="0" w:color="auto"/>
                                <w:bottom w:val="none" w:sz="0" w:space="0" w:color="auto"/>
                                <w:right w:val="none" w:sz="0" w:space="0" w:color="auto"/>
                              </w:divBdr>
                              <w:divsChild>
                                <w:div w:id="81027948">
                                  <w:marLeft w:val="0"/>
                                  <w:marRight w:val="0"/>
                                  <w:marTop w:val="0"/>
                                  <w:marBottom w:val="0"/>
                                  <w:divBdr>
                                    <w:top w:val="none" w:sz="0" w:space="0" w:color="auto"/>
                                    <w:left w:val="none" w:sz="0" w:space="0" w:color="auto"/>
                                    <w:bottom w:val="none" w:sz="0" w:space="0" w:color="auto"/>
                                    <w:right w:val="none" w:sz="0" w:space="0" w:color="auto"/>
                                  </w:divBdr>
                                  <w:divsChild>
                                    <w:div w:id="840436146">
                                      <w:marLeft w:val="0"/>
                                      <w:marRight w:val="0"/>
                                      <w:marTop w:val="0"/>
                                      <w:marBottom w:val="0"/>
                                      <w:divBdr>
                                        <w:top w:val="none" w:sz="0" w:space="0" w:color="auto"/>
                                        <w:left w:val="none" w:sz="0" w:space="0" w:color="auto"/>
                                        <w:bottom w:val="none" w:sz="0" w:space="0" w:color="auto"/>
                                        <w:right w:val="none" w:sz="0" w:space="0" w:color="auto"/>
                                      </w:divBdr>
                                      <w:divsChild>
                                        <w:div w:id="848910493">
                                          <w:marLeft w:val="0"/>
                                          <w:marRight w:val="0"/>
                                          <w:marTop w:val="0"/>
                                          <w:marBottom w:val="0"/>
                                          <w:divBdr>
                                            <w:top w:val="none" w:sz="0" w:space="0" w:color="auto"/>
                                            <w:left w:val="none" w:sz="0" w:space="0" w:color="auto"/>
                                            <w:bottom w:val="none" w:sz="0" w:space="0" w:color="auto"/>
                                            <w:right w:val="none" w:sz="0" w:space="0" w:color="auto"/>
                                          </w:divBdr>
                                          <w:divsChild>
                                            <w:div w:id="1865824196">
                                              <w:marLeft w:val="0"/>
                                              <w:marRight w:val="0"/>
                                              <w:marTop w:val="0"/>
                                              <w:marBottom w:val="0"/>
                                              <w:divBdr>
                                                <w:top w:val="none" w:sz="0" w:space="0" w:color="auto"/>
                                                <w:left w:val="none" w:sz="0" w:space="0" w:color="auto"/>
                                                <w:bottom w:val="none" w:sz="0" w:space="0" w:color="auto"/>
                                                <w:right w:val="none" w:sz="0" w:space="0" w:color="auto"/>
                                              </w:divBdr>
                                            </w:div>
                                            <w:div w:id="200500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2100098">
      <w:bodyDiv w:val="1"/>
      <w:marLeft w:val="0"/>
      <w:marRight w:val="0"/>
      <w:marTop w:val="0"/>
      <w:marBottom w:val="0"/>
      <w:divBdr>
        <w:top w:val="none" w:sz="0" w:space="0" w:color="auto"/>
        <w:left w:val="none" w:sz="0" w:space="0" w:color="auto"/>
        <w:bottom w:val="none" w:sz="0" w:space="0" w:color="auto"/>
        <w:right w:val="none" w:sz="0" w:space="0" w:color="auto"/>
      </w:divBdr>
    </w:div>
    <w:div w:id="370569918">
      <w:bodyDiv w:val="1"/>
      <w:marLeft w:val="0"/>
      <w:marRight w:val="0"/>
      <w:marTop w:val="0"/>
      <w:marBottom w:val="0"/>
      <w:divBdr>
        <w:top w:val="none" w:sz="0" w:space="0" w:color="auto"/>
        <w:left w:val="none" w:sz="0" w:space="0" w:color="auto"/>
        <w:bottom w:val="none" w:sz="0" w:space="0" w:color="auto"/>
        <w:right w:val="none" w:sz="0" w:space="0" w:color="auto"/>
      </w:divBdr>
    </w:div>
    <w:div w:id="574823261">
      <w:bodyDiv w:val="1"/>
      <w:marLeft w:val="0"/>
      <w:marRight w:val="0"/>
      <w:marTop w:val="0"/>
      <w:marBottom w:val="0"/>
      <w:divBdr>
        <w:top w:val="none" w:sz="0" w:space="0" w:color="auto"/>
        <w:left w:val="none" w:sz="0" w:space="0" w:color="auto"/>
        <w:bottom w:val="none" w:sz="0" w:space="0" w:color="auto"/>
        <w:right w:val="none" w:sz="0" w:space="0" w:color="auto"/>
      </w:divBdr>
    </w:div>
    <w:div w:id="619721389">
      <w:bodyDiv w:val="1"/>
      <w:marLeft w:val="0"/>
      <w:marRight w:val="0"/>
      <w:marTop w:val="0"/>
      <w:marBottom w:val="0"/>
      <w:divBdr>
        <w:top w:val="none" w:sz="0" w:space="0" w:color="auto"/>
        <w:left w:val="none" w:sz="0" w:space="0" w:color="auto"/>
        <w:bottom w:val="none" w:sz="0" w:space="0" w:color="auto"/>
        <w:right w:val="none" w:sz="0" w:space="0" w:color="auto"/>
      </w:divBdr>
    </w:div>
    <w:div w:id="777991372">
      <w:bodyDiv w:val="1"/>
      <w:marLeft w:val="0"/>
      <w:marRight w:val="0"/>
      <w:marTop w:val="0"/>
      <w:marBottom w:val="0"/>
      <w:divBdr>
        <w:top w:val="none" w:sz="0" w:space="0" w:color="auto"/>
        <w:left w:val="none" w:sz="0" w:space="0" w:color="auto"/>
        <w:bottom w:val="none" w:sz="0" w:space="0" w:color="auto"/>
        <w:right w:val="none" w:sz="0" w:space="0" w:color="auto"/>
      </w:divBdr>
    </w:div>
    <w:div w:id="886986086">
      <w:bodyDiv w:val="1"/>
      <w:marLeft w:val="0"/>
      <w:marRight w:val="0"/>
      <w:marTop w:val="0"/>
      <w:marBottom w:val="0"/>
      <w:divBdr>
        <w:top w:val="none" w:sz="0" w:space="0" w:color="auto"/>
        <w:left w:val="none" w:sz="0" w:space="0" w:color="auto"/>
        <w:bottom w:val="none" w:sz="0" w:space="0" w:color="auto"/>
        <w:right w:val="none" w:sz="0" w:space="0" w:color="auto"/>
      </w:divBdr>
    </w:div>
    <w:div w:id="1104423233">
      <w:bodyDiv w:val="1"/>
      <w:marLeft w:val="0"/>
      <w:marRight w:val="0"/>
      <w:marTop w:val="0"/>
      <w:marBottom w:val="0"/>
      <w:divBdr>
        <w:top w:val="none" w:sz="0" w:space="0" w:color="auto"/>
        <w:left w:val="none" w:sz="0" w:space="0" w:color="auto"/>
        <w:bottom w:val="none" w:sz="0" w:space="0" w:color="auto"/>
        <w:right w:val="none" w:sz="0" w:space="0" w:color="auto"/>
      </w:divBdr>
    </w:div>
    <w:div w:id="157994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positorium.sdum.uminho.pt/bitstream/1822/43883/1/document_44173_1.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reativecommons.org/licenses/by/4.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4C416-4D05-45DF-B26A-373F01E7F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3C2EBD23.dotm</Template>
  <TotalTime>0</TotalTime>
  <Pages>20</Pages>
  <Words>5725</Words>
  <Characters>32639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2020-01-03T04:48:00Z</dcterms:created>
  <dcterms:modified xsi:type="dcterms:W3CDTF">2020-01-03T04:48:00Z</dcterms:modified>
</cp:coreProperties>
</file>