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42C27" w14:textId="77777777" w:rsidR="00302B6E" w:rsidRDefault="00302B6E" w:rsidP="00A72F4D">
      <w:pPr>
        <w:jc w:val="center"/>
        <w:rPr>
          <w:rFonts w:cs="Arial"/>
          <w:b/>
          <w:sz w:val="28"/>
          <w:szCs w:val="28"/>
        </w:rPr>
      </w:pPr>
      <w:r w:rsidRPr="00BF33D0">
        <w:rPr>
          <w:rFonts w:cs="Arial"/>
          <w:b/>
          <w:sz w:val="28"/>
          <w:szCs w:val="28"/>
        </w:rPr>
        <w:t>Explanatory Statement</w:t>
      </w:r>
    </w:p>
    <w:p w14:paraId="5ECE8266" w14:textId="77777777" w:rsidR="00A72F4D" w:rsidRPr="00A72F4D" w:rsidRDefault="00A72F4D" w:rsidP="00A72F4D">
      <w:pPr>
        <w:jc w:val="center"/>
        <w:rPr>
          <w:rFonts w:cs="Arial"/>
          <w:b/>
          <w:sz w:val="28"/>
          <w:szCs w:val="28"/>
        </w:rPr>
      </w:pPr>
    </w:p>
    <w:p w14:paraId="336D5FAB" w14:textId="77777777" w:rsidR="00A72F4D" w:rsidRPr="00A72F4D" w:rsidRDefault="00302B6E" w:rsidP="00A72F4D">
      <w:pPr>
        <w:spacing w:after="240"/>
        <w:ind w:left="360"/>
        <w:jc w:val="center"/>
        <w:rPr>
          <w:rFonts w:cs="Arial"/>
          <w:b/>
          <w:i/>
        </w:rPr>
      </w:pPr>
      <w:r w:rsidRPr="00BF33D0">
        <w:rPr>
          <w:rFonts w:cs="Arial"/>
          <w:b/>
          <w:i/>
        </w:rPr>
        <w:t>Social Security (</w:t>
      </w:r>
      <w:r w:rsidR="001563E7" w:rsidRPr="00BF33D0">
        <w:rPr>
          <w:rFonts w:cs="Arial"/>
          <w:b/>
          <w:i/>
        </w:rPr>
        <w:t xml:space="preserve">Disaster </w:t>
      </w:r>
      <w:r w:rsidR="0073307B">
        <w:rPr>
          <w:rFonts w:cs="Arial"/>
          <w:b/>
          <w:i/>
        </w:rPr>
        <w:t>r</w:t>
      </w:r>
      <w:r w:rsidR="001563E7" w:rsidRPr="00BF33D0">
        <w:rPr>
          <w:rFonts w:cs="Arial"/>
          <w:b/>
          <w:i/>
        </w:rPr>
        <w:t xml:space="preserve">ecovery </w:t>
      </w:r>
      <w:r w:rsidR="0073307B">
        <w:rPr>
          <w:rFonts w:cs="Arial"/>
          <w:b/>
          <w:i/>
        </w:rPr>
        <w:t>a</w:t>
      </w:r>
      <w:r w:rsidR="00225DC3" w:rsidRPr="00BF33D0">
        <w:rPr>
          <w:rFonts w:cs="Arial"/>
          <w:b/>
          <w:i/>
        </w:rPr>
        <w:t>llowance</w:t>
      </w:r>
      <w:r w:rsidR="0073307B">
        <w:rPr>
          <w:rFonts w:cs="Arial"/>
          <w:b/>
          <w:i/>
        </w:rPr>
        <w:t xml:space="preserve"> r</w:t>
      </w:r>
      <w:r w:rsidR="00225DC3" w:rsidRPr="00BF33D0">
        <w:rPr>
          <w:rFonts w:cs="Arial"/>
          <w:b/>
          <w:i/>
        </w:rPr>
        <w:t xml:space="preserve">ate </w:t>
      </w:r>
      <w:r w:rsidR="0073307B">
        <w:rPr>
          <w:rFonts w:cs="Arial"/>
          <w:b/>
          <w:i/>
        </w:rPr>
        <w:t>c</w:t>
      </w:r>
      <w:r w:rsidR="00225DC3" w:rsidRPr="00BF33D0">
        <w:rPr>
          <w:rFonts w:cs="Arial"/>
          <w:b/>
          <w:i/>
        </w:rPr>
        <w:t xml:space="preserve">alculator) </w:t>
      </w:r>
      <w:r w:rsidR="00A72F4D">
        <w:rPr>
          <w:rFonts w:cs="Arial"/>
          <w:b/>
          <w:i/>
        </w:rPr>
        <w:t>Determination 2020</w:t>
      </w:r>
    </w:p>
    <w:p w14:paraId="05FBEA15" w14:textId="77777777" w:rsidR="00A72F4D" w:rsidRPr="00A72F4D" w:rsidRDefault="00A72F4D" w:rsidP="00A72F4D">
      <w:pPr>
        <w:spacing w:after="240"/>
        <w:jc w:val="center"/>
        <w:rPr>
          <w:i/>
        </w:rPr>
      </w:pPr>
      <w:r w:rsidRPr="00A72F4D">
        <w:rPr>
          <w:i/>
        </w:rPr>
        <w:t>Social Security Act 1991</w:t>
      </w:r>
    </w:p>
    <w:p w14:paraId="2C4FDBA1" w14:textId="77777777" w:rsidR="00302B6E" w:rsidRPr="00BF33D0" w:rsidRDefault="00A72F4D" w:rsidP="00A72F4D">
      <w:pPr>
        <w:pStyle w:val="Heading1"/>
        <w:spacing w:after="240" w:line="276" w:lineRule="auto"/>
        <w:rPr>
          <w:rFonts w:cs="Arial"/>
          <w:b w:val="0"/>
          <w:i/>
        </w:rPr>
      </w:pPr>
      <w:r w:rsidRPr="00C0315F">
        <w:rPr>
          <w:b w:val="0"/>
          <w:sz w:val="22"/>
          <w:szCs w:val="22"/>
          <w:u w:val="none"/>
        </w:rPr>
        <w:t xml:space="preserve">Issued by authority </w:t>
      </w:r>
      <w:r>
        <w:rPr>
          <w:b w:val="0"/>
          <w:sz w:val="22"/>
          <w:szCs w:val="22"/>
          <w:u w:val="none"/>
        </w:rPr>
        <w:t xml:space="preserve">of the Minister for </w:t>
      </w:r>
      <w:r w:rsidRPr="00C0315F">
        <w:rPr>
          <w:b w:val="0"/>
          <w:sz w:val="22"/>
          <w:szCs w:val="22"/>
          <w:u w:val="none"/>
        </w:rPr>
        <w:t>Water Resources, Drought, Rural Finance, Natural D</w:t>
      </w:r>
      <w:r>
        <w:rPr>
          <w:b w:val="0"/>
          <w:sz w:val="22"/>
          <w:szCs w:val="22"/>
          <w:u w:val="none"/>
        </w:rPr>
        <w:t>isaster and Emergency Management</w:t>
      </w:r>
    </w:p>
    <w:p w14:paraId="65748A50" w14:textId="78DCBB23" w:rsidR="007723E8" w:rsidRPr="004A7F93" w:rsidRDefault="007723E8" w:rsidP="004A7F93">
      <w:pPr>
        <w:jc w:val="both"/>
        <w:rPr>
          <w:rFonts w:cs="Arial"/>
          <w:sz w:val="22"/>
          <w:szCs w:val="22"/>
        </w:rPr>
      </w:pPr>
      <w:r w:rsidRPr="004A7F93">
        <w:rPr>
          <w:rFonts w:cs="Arial"/>
          <w:sz w:val="22"/>
          <w:szCs w:val="22"/>
        </w:rPr>
        <w:t xml:space="preserve">The </w:t>
      </w:r>
      <w:r w:rsidRPr="004A7F93">
        <w:rPr>
          <w:rFonts w:cs="Arial"/>
          <w:i/>
          <w:sz w:val="22"/>
          <w:szCs w:val="22"/>
        </w:rPr>
        <w:t xml:space="preserve">Social Security (Disaster recovery allowance rate calculator) Determination 2020 </w:t>
      </w:r>
      <w:r w:rsidRPr="004A7F93">
        <w:rPr>
          <w:rFonts w:cs="Arial"/>
          <w:sz w:val="22"/>
          <w:szCs w:val="22"/>
        </w:rPr>
        <w:t xml:space="preserve">(the </w:t>
      </w:r>
      <w:r w:rsidR="0073307B" w:rsidRPr="004A7F93">
        <w:rPr>
          <w:rFonts w:cs="Arial"/>
          <w:sz w:val="22"/>
          <w:szCs w:val="22"/>
        </w:rPr>
        <w:t>instrument</w:t>
      </w:r>
      <w:r w:rsidRPr="004A7F93">
        <w:rPr>
          <w:rFonts w:cs="Arial"/>
          <w:sz w:val="22"/>
          <w:szCs w:val="22"/>
        </w:rPr>
        <w:t xml:space="preserve">) </w:t>
      </w:r>
      <w:r w:rsidR="00306F46" w:rsidRPr="004A7F93">
        <w:rPr>
          <w:rFonts w:cs="Arial"/>
          <w:sz w:val="22"/>
          <w:szCs w:val="22"/>
        </w:rPr>
        <w:t xml:space="preserve">is made under </w:t>
      </w:r>
      <w:r w:rsidR="00786365" w:rsidRPr="004A7F93">
        <w:rPr>
          <w:rFonts w:cs="Arial"/>
          <w:sz w:val="22"/>
          <w:szCs w:val="22"/>
        </w:rPr>
        <w:t>sub</w:t>
      </w:r>
      <w:r w:rsidR="005F7BBB" w:rsidRPr="004A7F93">
        <w:rPr>
          <w:rFonts w:cs="Arial"/>
          <w:sz w:val="22"/>
          <w:szCs w:val="22"/>
        </w:rPr>
        <w:t>s</w:t>
      </w:r>
      <w:r w:rsidR="00306F46" w:rsidRPr="004A7F93">
        <w:rPr>
          <w:rFonts w:cs="Arial"/>
          <w:sz w:val="22"/>
          <w:szCs w:val="22"/>
        </w:rPr>
        <w:t xml:space="preserve">ection 1061KC(2) of the </w:t>
      </w:r>
      <w:r w:rsidR="00306F46" w:rsidRPr="004A7F93">
        <w:rPr>
          <w:rFonts w:cs="Arial"/>
          <w:i/>
          <w:sz w:val="22"/>
          <w:szCs w:val="22"/>
        </w:rPr>
        <w:t>Social Security Act 1991</w:t>
      </w:r>
      <w:r w:rsidR="00306F46" w:rsidRPr="004A7F93">
        <w:rPr>
          <w:rFonts w:cs="Arial"/>
          <w:sz w:val="22"/>
          <w:szCs w:val="22"/>
        </w:rPr>
        <w:t xml:space="preserve"> </w:t>
      </w:r>
      <w:r w:rsidRPr="004A7F93">
        <w:rPr>
          <w:rFonts w:cs="Arial"/>
          <w:sz w:val="22"/>
          <w:szCs w:val="22"/>
        </w:rPr>
        <w:t>(the Act) by the Minister for Water Resources, Drought, Rural Finance, Natural Disaster and Emergency Management.</w:t>
      </w:r>
    </w:p>
    <w:p w14:paraId="68C0D5FF" w14:textId="605E1541" w:rsidR="007723E8" w:rsidRPr="004A7F93" w:rsidRDefault="007723E8" w:rsidP="004A7F93">
      <w:pPr>
        <w:jc w:val="both"/>
        <w:rPr>
          <w:rFonts w:cs="Arial"/>
          <w:sz w:val="22"/>
          <w:szCs w:val="22"/>
        </w:rPr>
      </w:pPr>
    </w:p>
    <w:p w14:paraId="146239E1" w14:textId="3CF1F314" w:rsidR="007723E8" w:rsidRPr="004A7F93" w:rsidRDefault="0098583E" w:rsidP="004A7F93">
      <w:pPr>
        <w:jc w:val="both"/>
        <w:rPr>
          <w:rFonts w:cs="Arial"/>
          <w:b/>
          <w:sz w:val="22"/>
          <w:szCs w:val="22"/>
        </w:rPr>
      </w:pPr>
      <w:r w:rsidRPr="004A7F93">
        <w:rPr>
          <w:rFonts w:cs="Arial"/>
          <w:b/>
          <w:sz w:val="22"/>
          <w:szCs w:val="22"/>
        </w:rPr>
        <w:t>Purpose</w:t>
      </w:r>
    </w:p>
    <w:p w14:paraId="0FEECA33" w14:textId="77777777" w:rsidR="007723E8" w:rsidRPr="004A7F93" w:rsidRDefault="007723E8" w:rsidP="004A7F93">
      <w:pPr>
        <w:jc w:val="both"/>
        <w:rPr>
          <w:rFonts w:cs="Arial"/>
          <w:sz w:val="22"/>
          <w:szCs w:val="22"/>
        </w:rPr>
      </w:pPr>
    </w:p>
    <w:p w14:paraId="195C694F" w14:textId="19F53B3F" w:rsidR="0013751E" w:rsidRPr="004A7F93" w:rsidRDefault="007723E8" w:rsidP="004A7F93">
      <w:pPr>
        <w:jc w:val="both"/>
        <w:rPr>
          <w:rFonts w:cs="Arial"/>
          <w:sz w:val="22"/>
          <w:szCs w:val="22"/>
        </w:rPr>
      </w:pPr>
      <w:r w:rsidRPr="004A7F93">
        <w:rPr>
          <w:rFonts w:cs="Arial"/>
          <w:sz w:val="22"/>
          <w:szCs w:val="22"/>
        </w:rPr>
        <w:t xml:space="preserve">Section 1061KC of the Act </w:t>
      </w:r>
      <w:r w:rsidR="00306F46" w:rsidRPr="004A7F93">
        <w:rPr>
          <w:rFonts w:cs="Arial"/>
          <w:sz w:val="22"/>
          <w:szCs w:val="22"/>
        </w:rPr>
        <w:t>provides that the Minister must specify a method for calculating the fortnightly rate of the D</w:t>
      </w:r>
      <w:r w:rsidR="0013751E" w:rsidRPr="004A7F93">
        <w:rPr>
          <w:rFonts w:cs="Arial"/>
          <w:sz w:val="22"/>
          <w:szCs w:val="22"/>
        </w:rPr>
        <w:t xml:space="preserve">isaster </w:t>
      </w:r>
      <w:r w:rsidR="00306F46" w:rsidRPr="004A7F93">
        <w:rPr>
          <w:rFonts w:cs="Arial"/>
          <w:sz w:val="22"/>
          <w:szCs w:val="22"/>
        </w:rPr>
        <w:t>R</w:t>
      </w:r>
      <w:r w:rsidR="0013751E" w:rsidRPr="004A7F93">
        <w:rPr>
          <w:rFonts w:cs="Arial"/>
          <w:sz w:val="22"/>
          <w:szCs w:val="22"/>
        </w:rPr>
        <w:t xml:space="preserve">ecovery </w:t>
      </w:r>
      <w:r w:rsidR="00306F46" w:rsidRPr="004A7F93">
        <w:rPr>
          <w:rFonts w:cs="Arial"/>
          <w:sz w:val="22"/>
          <w:szCs w:val="22"/>
        </w:rPr>
        <w:t>A</w:t>
      </w:r>
      <w:r w:rsidR="0013751E" w:rsidRPr="004A7F93">
        <w:rPr>
          <w:rFonts w:cs="Arial"/>
          <w:sz w:val="22"/>
          <w:szCs w:val="22"/>
        </w:rPr>
        <w:t>llowance (DRA)</w:t>
      </w:r>
      <w:r w:rsidR="00306F46" w:rsidRPr="004A7F93">
        <w:rPr>
          <w:rFonts w:cs="Arial"/>
          <w:sz w:val="22"/>
          <w:szCs w:val="22"/>
        </w:rPr>
        <w:t>.</w:t>
      </w:r>
      <w:r w:rsidR="0013751E" w:rsidRPr="004A7F93">
        <w:rPr>
          <w:rFonts w:cs="Arial"/>
          <w:sz w:val="22"/>
          <w:szCs w:val="22"/>
        </w:rPr>
        <w:t xml:space="preserve">  </w:t>
      </w:r>
      <w:bookmarkStart w:id="0" w:name="_GoBack"/>
      <w:bookmarkEnd w:id="0"/>
    </w:p>
    <w:p w14:paraId="79A005B6" w14:textId="77777777" w:rsidR="00786365" w:rsidRPr="00786365" w:rsidRDefault="00786365" w:rsidP="004A7F93">
      <w:pPr>
        <w:jc w:val="both"/>
        <w:rPr>
          <w:rFonts w:cs="Arial"/>
          <w:sz w:val="22"/>
          <w:szCs w:val="22"/>
        </w:rPr>
      </w:pPr>
    </w:p>
    <w:p w14:paraId="262E4FB2" w14:textId="54260BE7" w:rsidR="00D97870" w:rsidRPr="004A7F93" w:rsidRDefault="005F7BBB" w:rsidP="004A7F93">
      <w:pPr>
        <w:jc w:val="both"/>
        <w:rPr>
          <w:rFonts w:cs="Arial"/>
          <w:sz w:val="22"/>
          <w:szCs w:val="22"/>
        </w:rPr>
      </w:pPr>
      <w:r w:rsidRPr="004A7F93">
        <w:rPr>
          <w:rFonts w:cs="Arial"/>
          <w:sz w:val="22"/>
          <w:szCs w:val="22"/>
        </w:rPr>
        <w:t>The instrument will re</w:t>
      </w:r>
      <w:r w:rsidR="00D97870" w:rsidRPr="004A7F93">
        <w:rPr>
          <w:rFonts w:cs="Arial"/>
          <w:sz w:val="22"/>
          <w:szCs w:val="22"/>
        </w:rPr>
        <w:t>peal and re</w:t>
      </w:r>
      <w:r w:rsidRPr="004A7F93">
        <w:rPr>
          <w:rFonts w:cs="Arial"/>
          <w:sz w:val="22"/>
          <w:szCs w:val="22"/>
        </w:rPr>
        <w:t xml:space="preserve">place </w:t>
      </w:r>
      <w:r w:rsidR="00D97870" w:rsidRPr="007723E8">
        <w:t xml:space="preserve">the </w:t>
      </w:r>
      <w:r w:rsidR="00D97870" w:rsidRPr="007723E8">
        <w:rPr>
          <w:rStyle w:val="LDItal"/>
        </w:rPr>
        <w:t>Social Security (Disaster Recovery Allowance) (Rate calculator) Determination 201</w:t>
      </w:r>
      <w:r w:rsidR="003371C6">
        <w:rPr>
          <w:rStyle w:val="LDItal"/>
        </w:rPr>
        <w:t>5</w:t>
      </w:r>
      <w:r w:rsidR="00D97870" w:rsidRPr="007723E8">
        <w:rPr>
          <w:rStyle w:val="LDItal"/>
        </w:rPr>
        <w:t xml:space="preserve"> </w:t>
      </w:r>
      <w:r w:rsidR="00D97870" w:rsidRPr="007723E8">
        <w:t xml:space="preserve">(registered instrument F2015L00022) (the </w:t>
      </w:r>
      <w:r w:rsidR="00D97870" w:rsidRPr="004A7F93">
        <w:rPr>
          <w:b/>
          <w:i/>
        </w:rPr>
        <w:t>old instrument</w:t>
      </w:r>
      <w:r w:rsidR="00D97870" w:rsidRPr="007723E8">
        <w:t>)</w:t>
      </w:r>
      <w:r w:rsidR="00D97870" w:rsidRPr="004A7F93">
        <w:rPr>
          <w:rFonts w:cs="Arial"/>
          <w:sz w:val="22"/>
          <w:szCs w:val="22"/>
        </w:rPr>
        <w:t xml:space="preserve"> </w:t>
      </w:r>
      <w:r w:rsidRPr="004A7F93">
        <w:rPr>
          <w:rFonts w:cs="Arial"/>
          <w:sz w:val="22"/>
          <w:szCs w:val="22"/>
        </w:rPr>
        <w:t xml:space="preserve">to provide a more beneficial manner of calculating DRA for persons affected by </w:t>
      </w:r>
      <w:r w:rsidR="00D67223" w:rsidRPr="004A7F93">
        <w:rPr>
          <w:rFonts w:cs="Arial"/>
          <w:sz w:val="22"/>
          <w:szCs w:val="22"/>
        </w:rPr>
        <w:t xml:space="preserve">a </w:t>
      </w:r>
      <w:r w:rsidRPr="004A7F93">
        <w:rPr>
          <w:rFonts w:cs="Arial"/>
          <w:sz w:val="22"/>
          <w:szCs w:val="22"/>
        </w:rPr>
        <w:t>disaster</w:t>
      </w:r>
      <w:r w:rsidR="00D67223" w:rsidRPr="004A7F93">
        <w:rPr>
          <w:rFonts w:cs="Arial"/>
          <w:sz w:val="22"/>
          <w:szCs w:val="22"/>
        </w:rPr>
        <w:t xml:space="preserve"> determined under section 36A of the Act (a Part 2.23B </w:t>
      </w:r>
      <w:r w:rsidR="0018749B" w:rsidRPr="004A7F93">
        <w:rPr>
          <w:rFonts w:cs="Arial"/>
          <w:sz w:val="22"/>
          <w:szCs w:val="22"/>
        </w:rPr>
        <w:t xml:space="preserve">major </w:t>
      </w:r>
      <w:r w:rsidR="00D67223" w:rsidRPr="004A7F93">
        <w:rPr>
          <w:rFonts w:cs="Arial"/>
          <w:sz w:val="22"/>
          <w:szCs w:val="22"/>
        </w:rPr>
        <w:t>disaster)</w:t>
      </w:r>
      <w:r w:rsidRPr="004A7F93">
        <w:rPr>
          <w:rFonts w:cs="Arial"/>
          <w:sz w:val="22"/>
          <w:szCs w:val="22"/>
        </w:rPr>
        <w:t xml:space="preserve">. </w:t>
      </w:r>
    </w:p>
    <w:p w14:paraId="02681D5B" w14:textId="77777777" w:rsidR="00D97870" w:rsidRPr="00786365" w:rsidRDefault="00D97870" w:rsidP="004A7F93">
      <w:pPr>
        <w:jc w:val="both"/>
        <w:rPr>
          <w:rFonts w:cs="Arial"/>
          <w:sz w:val="22"/>
          <w:szCs w:val="22"/>
        </w:rPr>
      </w:pPr>
    </w:p>
    <w:p w14:paraId="0F6C94AB" w14:textId="5EE05BE0" w:rsidR="0041578B" w:rsidRPr="004A7F93" w:rsidRDefault="005F7BBB" w:rsidP="004A7F93">
      <w:pPr>
        <w:jc w:val="both"/>
        <w:rPr>
          <w:rFonts w:cs="Arial"/>
          <w:sz w:val="22"/>
          <w:szCs w:val="22"/>
        </w:rPr>
      </w:pPr>
      <w:r w:rsidRPr="004A7F93">
        <w:rPr>
          <w:rFonts w:cs="Arial"/>
          <w:sz w:val="22"/>
          <w:szCs w:val="22"/>
        </w:rPr>
        <w:t xml:space="preserve">Under the old instrument, a person’s rate of DRA was calculated in relation to their </w:t>
      </w:r>
      <w:r w:rsidR="0041578B" w:rsidRPr="004A7F93">
        <w:rPr>
          <w:rFonts w:cs="Arial"/>
          <w:sz w:val="22"/>
          <w:szCs w:val="22"/>
        </w:rPr>
        <w:t>age, living arrangements, partnered status, and whether they are responsible for a dependent child or children and if they qualified, it p</w:t>
      </w:r>
      <w:r w:rsidRPr="004A7F93">
        <w:rPr>
          <w:rFonts w:cs="Arial"/>
          <w:sz w:val="22"/>
          <w:szCs w:val="22"/>
        </w:rPr>
        <w:t>rovided a sliding scale of DRA</w:t>
      </w:r>
      <w:r w:rsidR="0041578B" w:rsidRPr="004A7F93">
        <w:rPr>
          <w:rFonts w:cs="Arial"/>
          <w:sz w:val="22"/>
          <w:szCs w:val="22"/>
        </w:rPr>
        <w:t xml:space="preserve"> depending on these factors</w:t>
      </w:r>
      <w:r w:rsidR="004A7F93" w:rsidRPr="004A7F93">
        <w:rPr>
          <w:rFonts w:cs="Arial"/>
          <w:sz w:val="22"/>
          <w:szCs w:val="22"/>
        </w:rPr>
        <w:t>.</w:t>
      </w:r>
      <w:r w:rsidR="0041578B" w:rsidRPr="004A7F93">
        <w:rPr>
          <w:rFonts w:cs="Arial"/>
          <w:sz w:val="22"/>
          <w:szCs w:val="22"/>
        </w:rPr>
        <w:t xml:space="preserve"> </w:t>
      </w:r>
      <w:r w:rsidRPr="004A7F93">
        <w:rPr>
          <w:rFonts w:cs="Arial"/>
          <w:sz w:val="22"/>
          <w:szCs w:val="22"/>
        </w:rPr>
        <w:t xml:space="preserve">This new instrument provides a more straightforward </w:t>
      </w:r>
      <w:r w:rsidR="0041578B" w:rsidRPr="004A7F93">
        <w:rPr>
          <w:rFonts w:cs="Arial"/>
          <w:sz w:val="22"/>
          <w:szCs w:val="22"/>
        </w:rPr>
        <w:t xml:space="preserve">and beneficial </w:t>
      </w:r>
      <w:r w:rsidRPr="004A7F93">
        <w:rPr>
          <w:rFonts w:cs="Arial"/>
          <w:sz w:val="22"/>
          <w:szCs w:val="22"/>
        </w:rPr>
        <w:t>calculation of DRA</w:t>
      </w:r>
      <w:r w:rsidR="0041578B" w:rsidRPr="004A7F93">
        <w:rPr>
          <w:rFonts w:cs="Arial"/>
          <w:sz w:val="22"/>
          <w:szCs w:val="22"/>
        </w:rPr>
        <w:t>. It</w:t>
      </w:r>
      <w:r w:rsidRPr="004A7F93">
        <w:rPr>
          <w:rFonts w:cs="Arial"/>
          <w:sz w:val="22"/>
          <w:szCs w:val="22"/>
        </w:rPr>
        <w:t xml:space="preserve"> compar</w:t>
      </w:r>
      <w:r w:rsidR="0041578B" w:rsidRPr="004A7F93">
        <w:rPr>
          <w:rFonts w:cs="Arial"/>
          <w:sz w:val="22"/>
          <w:szCs w:val="22"/>
        </w:rPr>
        <w:t>es</w:t>
      </w:r>
      <w:r w:rsidRPr="004A7F93">
        <w:rPr>
          <w:rFonts w:cs="Arial"/>
          <w:sz w:val="22"/>
          <w:szCs w:val="22"/>
        </w:rPr>
        <w:t xml:space="preserve"> the person’s fortnightly income for </w:t>
      </w:r>
      <w:r w:rsidR="00D97870" w:rsidRPr="004A7F93">
        <w:rPr>
          <w:rFonts w:cs="Arial"/>
          <w:sz w:val="22"/>
          <w:szCs w:val="22"/>
        </w:rPr>
        <w:t>the 13 week period</w:t>
      </w:r>
      <w:r w:rsidRPr="004A7F93">
        <w:rPr>
          <w:rFonts w:cs="Arial"/>
          <w:sz w:val="22"/>
          <w:szCs w:val="22"/>
        </w:rPr>
        <w:t xml:space="preserve"> after the disaster against Australian average weekly earnings. If the person’s post-disaster income is less than the </w:t>
      </w:r>
      <w:r w:rsidR="0041578B" w:rsidRPr="004A7F93">
        <w:rPr>
          <w:rFonts w:cs="Arial"/>
          <w:sz w:val="22"/>
          <w:szCs w:val="22"/>
        </w:rPr>
        <w:t>aver</w:t>
      </w:r>
      <w:r w:rsidR="00D97870" w:rsidRPr="004A7F93">
        <w:rPr>
          <w:rFonts w:cs="Arial"/>
          <w:sz w:val="22"/>
          <w:szCs w:val="22"/>
        </w:rPr>
        <w:t>ag</w:t>
      </w:r>
      <w:r w:rsidR="0041578B" w:rsidRPr="004A7F93">
        <w:rPr>
          <w:rFonts w:cs="Arial"/>
          <w:sz w:val="22"/>
          <w:szCs w:val="22"/>
        </w:rPr>
        <w:t xml:space="preserve">e weekly earnings, the person will receive the </w:t>
      </w:r>
      <w:r w:rsidRPr="004A7F93">
        <w:rPr>
          <w:rFonts w:cs="Arial"/>
          <w:sz w:val="22"/>
          <w:szCs w:val="22"/>
        </w:rPr>
        <w:t>maximum rate of Newstart or, for persons under 22 years, Y</w:t>
      </w:r>
      <w:r w:rsidR="0041578B" w:rsidRPr="004A7F93">
        <w:rPr>
          <w:rFonts w:cs="Arial"/>
          <w:sz w:val="22"/>
          <w:szCs w:val="22"/>
        </w:rPr>
        <w:t>outh Allowance. Factors such as age</w:t>
      </w:r>
      <w:r w:rsidR="00F37301" w:rsidRPr="004A7F93">
        <w:rPr>
          <w:rFonts w:cs="Arial"/>
          <w:sz w:val="22"/>
          <w:szCs w:val="22"/>
        </w:rPr>
        <w:t xml:space="preserve"> and</w:t>
      </w:r>
      <w:r w:rsidR="0041578B" w:rsidRPr="004A7F93">
        <w:rPr>
          <w:rFonts w:cs="Arial"/>
          <w:sz w:val="22"/>
          <w:szCs w:val="22"/>
        </w:rPr>
        <w:t xml:space="preserve"> partnered status are not taken into account to determin</w:t>
      </w:r>
      <w:r w:rsidR="00D97870" w:rsidRPr="004A7F93">
        <w:rPr>
          <w:rFonts w:cs="Arial"/>
          <w:sz w:val="22"/>
          <w:szCs w:val="22"/>
        </w:rPr>
        <w:t>e</w:t>
      </w:r>
      <w:r w:rsidR="0041578B" w:rsidRPr="004A7F93">
        <w:rPr>
          <w:rFonts w:cs="Arial"/>
          <w:sz w:val="22"/>
          <w:szCs w:val="22"/>
        </w:rPr>
        <w:t xml:space="preserve"> whether they qualify</w:t>
      </w:r>
      <w:r w:rsidR="006C7807" w:rsidRPr="004A7F93">
        <w:rPr>
          <w:rFonts w:cs="Arial"/>
          <w:sz w:val="22"/>
          <w:szCs w:val="22"/>
        </w:rPr>
        <w:t>,</w:t>
      </w:r>
      <w:r w:rsidR="0041578B" w:rsidRPr="004A7F93">
        <w:rPr>
          <w:rFonts w:cs="Arial"/>
          <w:sz w:val="22"/>
          <w:szCs w:val="22"/>
        </w:rPr>
        <w:t xml:space="preserve"> </w:t>
      </w:r>
      <w:r w:rsidR="00D97870" w:rsidRPr="004A7F93">
        <w:rPr>
          <w:rFonts w:cs="Arial"/>
          <w:sz w:val="22"/>
          <w:szCs w:val="22"/>
        </w:rPr>
        <w:t xml:space="preserve">under the new instrument </w:t>
      </w:r>
      <w:r w:rsidR="0041578B" w:rsidRPr="004A7F93">
        <w:rPr>
          <w:rFonts w:cs="Arial"/>
          <w:sz w:val="22"/>
          <w:szCs w:val="22"/>
        </w:rPr>
        <w:t>– every person who qualifie</w:t>
      </w:r>
      <w:r w:rsidR="00D97870" w:rsidRPr="004A7F93">
        <w:rPr>
          <w:rFonts w:cs="Arial"/>
          <w:sz w:val="22"/>
          <w:szCs w:val="22"/>
        </w:rPr>
        <w:t>s</w:t>
      </w:r>
      <w:r w:rsidR="0041578B" w:rsidRPr="004A7F93">
        <w:rPr>
          <w:rFonts w:cs="Arial"/>
          <w:sz w:val="22"/>
          <w:szCs w:val="22"/>
        </w:rPr>
        <w:t xml:space="preserve"> receives the maximum amount</w:t>
      </w:r>
      <w:r w:rsidR="007E4DD8" w:rsidRPr="004A7F93">
        <w:rPr>
          <w:rFonts w:cs="Arial"/>
          <w:sz w:val="22"/>
          <w:szCs w:val="22"/>
        </w:rPr>
        <w:t xml:space="preserve"> based on their circu</w:t>
      </w:r>
      <w:r w:rsidR="003371C6" w:rsidRPr="004A7F93">
        <w:rPr>
          <w:rFonts w:cs="Arial"/>
          <w:sz w:val="22"/>
          <w:szCs w:val="22"/>
        </w:rPr>
        <w:t>m</w:t>
      </w:r>
      <w:r w:rsidR="007E4DD8" w:rsidRPr="004A7F93">
        <w:rPr>
          <w:rFonts w:cs="Arial"/>
          <w:sz w:val="22"/>
          <w:szCs w:val="22"/>
        </w:rPr>
        <w:t>s</w:t>
      </w:r>
      <w:r w:rsidR="003371C6" w:rsidRPr="004A7F93">
        <w:rPr>
          <w:rFonts w:cs="Arial"/>
          <w:sz w:val="22"/>
          <w:szCs w:val="22"/>
        </w:rPr>
        <w:t>tances</w:t>
      </w:r>
      <w:r w:rsidR="0041578B" w:rsidRPr="004A7F93">
        <w:rPr>
          <w:rFonts w:cs="Arial"/>
          <w:sz w:val="22"/>
          <w:szCs w:val="22"/>
        </w:rPr>
        <w:t xml:space="preserve">.  If the person’s post-disaster income for the 13 week period is more than average weekly earnings, the person does not receive an amount of DRA.  </w:t>
      </w:r>
    </w:p>
    <w:p w14:paraId="33F71D2F" w14:textId="77777777" w:rsidR="0041578B" w:rsidRPr="007723E8" w:rsidRDefault="0041578B" w:rsidP="004A7F93">
      <w:pPr>
        <w:jc w:val="both"/>
        <w:rPr>
          <w:rFonts w:cs="Arial"/>
          <w:sz w:val="22"/>
          <w:szCs w:val="22"/>
        </w:rPr>
      </w:pPr>
    </w:p>
    <w:p w14:paraId="39A2631A" w14:textId="169FBCE5" w:rsidR="005F7BBB" w:rsidRPr="004A7F93" w:rsidRDefault="006C7807" w:rsidP="004A7F93">
      <w:pPr>
        <w:jc w:val="both"/>
        <w:rPr>
          <w:rFonts w:cs="Arial"/>
          <w:sz w:val="22"/>
          <w:szCs w:val="22"/>
        </w:rPr>
      </w:pPr>
      <w:r w:rsidRPr="004A7F93">
        <w:rPr>
          <w:rFonts w:cs="Arial"/>
          <w:sz w:val="22"/>
          <w:szCs w:val="22"/>
        </w:rPr>
        <w:t>A</w:t>
      </w:r>
      <w:r w:rsidR="0041578B" w:rsidRPr="004A7F93">
        <w:rPr>
          <w:rFonts w:cs="Arial"/>
          <w:sz w:val="22"/>
          <w:szCs w:val="22"/>
        </w:rPr>
        <w:t xml:space="preserve"> person who has been receiving DRA under the new instrument will cease to be eligible if, </w:t>
      </w:r>
      <w:r w:rsidR="00D67223" w:rsidRPr="004A7F93">
        <w:rPr>
          <w:rFonts w:cs="Arial"/>
          <w:sz w:val="22"/>
          <w:szCs w:val="22"/>
        </w:rPr>
        <w:t>based on information provided by the person, t</w:t>
      </w:r>
      <w:r w:rsidRPr="004A7F93">
        <w:rPr>
          <w:rFonts w:cs="Arial"/>
          <w:sz w:val="22"/>
          <w:szCs w:val="22"/>
        </w:rPr>
        <w:t>he</w:t>
      </w:r>
      <w:r w:rsidR="0041578B" w:rsidRPr="004A7F93">
        <w:rPr>
          <w:rFonts w:cs="Arial"/>
          <w:sz w:val="22"/>
          <w:szCs w:val="22"/>
        </w:rPr>
        <w:t xml:space="preserve">ir post-disaster income </w:t>
      </w:r>
      <w:r w:rsidRPr="004A7F93">
        <w:rPr>
          <w:rFonts w:cs="Arial"/>
          <w:sz w:val="22"/>
          <w:szCs w:val="22"/>
        </w:rPr>
        <w:t xml:space="preserve">has </w:t>
      </w:r>
      <w:r w:rsidR="0041578B" w:rsidRPr="004A7F93">
        <w:rPr>
          <w:rFonts w:cs="Arial"/>
          <w:sz w:val="22"/>
          <w:szCs w:val="22"/>
        </w:rPr>
        <w:t>increase</w:t>
      </w:r>
      <w:r w:rsidR="00D67223" w:rsidRPr="004A7F93">
        <w:rPr>
          <w:rFonts w:cs="Arial"/>
          <w:sz w:val="22"/>
          <w:szCs w:val="22"/>
        </w:rPr>
        <w:t>d</w:t>
      </w:r>
      <w:r w:rsidR="0041578B" w:rsidRPr="004A7F93">
        <w:rPr>
          <w:rFonts w:cs="Arial"/>
          <w:sz w:val="22"/>
          <w:szCs w:val="22"/>
        </w:rPr>
        <w:t xml:space="preserve"> to above the average weekly earnings amount.  </w:t>
      </w:r>
      <w:r w:rsidR="005F7BBB" w:rsidRPr="004A7F93">
        <w:rPr>
          <w:rFonts w:cs="Arial"/>
          <w:sz w:val="22"/>
          <w:szCs w:val="22"/>
        </w:rPr>
        <w:t xml:space="preserve"> </w:t>
      </w:r>
    </w:p>
    <w:p w14:paraId="71C0E738" w14:textId="4CD06764" w:rsidR="005F7BBB" w:rsidRPr="00786365" w:rsidRDefault="005F7BBB" w:rsidP="004A7F93">
      <w:pPr>
        <w:jc w:val="both"/>
        <w:rPr>
          <w:rFonts w:cs="Arial"/>
          <w:sz w:val="22"/>
          <w:szCs w:val="22"/>
        </w:rPr>
      </w:pPr>
    </w:p>
    <w:p w14:paraId="10C40FA5" w14:textId="5BDBD8EE" w:rsidR="00270D6A" w:rsidRPr="004A7F93" w:rsidRDefault="005F7BBB" w:rsidP="004A7F93">
      <w:pPr>
        <w:jc w:val="both"/>
        <w:rPr>
          <w:rFonts w:cs="Arial"/>
          <w:sz w:val="22"/>
          <w:szCs w:val="22"/>
        </w:rPr>
      </w:pPr>
      <w:r w:rsidRPr="004A7F93">
        <w:rPr>
          <w:rFonts w:cs="Arial"/>
          <w:sz w:val="22"/>
          <w:szCs w:val="22"/>
        </w:rPr>
        <w:t>The new instrument will commence retrospectively</w:t>
      </w:r>
      <w:r w:rsidR="00270D6A" w:rsidRPr="004A7F93">
        <w:rPr>
          <w:rFonts w:cs="Arial"/>
          <w:sz w:val="22"/>
          <w:szCs w:val="22"/>
        </w:rPr>
        <w:t xml:space="preserve"> on 1 July 2019. This is </w:t>
      </w:r>
      <w:r w:rsidRPr="004A7F93">
        <w:rPr>
          <w:rFonts w:cs="Arial"/>
          <w:sz w:val="22"/>
          <w:szCs w:val="22"/>
        </w:rPr>
        <w:t>to ensure it provides for the more beneficial calculation for persons affected by the bushfires from July 201</w:t>
      </w:r>
      <w:r w:rsidR="00270D6A" w:rsidRPr="004A7F93">
        <w:rPr>
          <w:rFonts w:cs="Arial"/>
          <w:sz w:val="22"/>
          <w:szCs w:val="22"/>
        </w:rPr>
        <w:t xml:space="preserve">9. This will capture bushfires in </w:t>
      </w:r>
      <w:r w:rsidR="004A7F93" w:rsidRPr="004A7F93">
        <w:rPr>
          <w:rFonts w:cs="Arial"/>
          <w:sz w:val="22"/>
          <w:szCs w:val="22"/>
        </w:rPr>
        <w:t>NSW, Victoria, Queensland, South Australia and Tasmania.</w:t>
      </w:r>
      <w:r w:rsidR="00E83D7A" w:rsidRPr="004A7F93">
        <w:rPr>
          <w:rFonts w:cs="Arial"/>
          <w:sz w:val="22"/>
          <w:szCs w:val="22"/>
        </w:rPr>
        <w:t xml:space="preserve"> </w:t>
      </w:r>
      <w:r w:rsidR="00270D6A" w:rsidRPr="004A7F93">
        <w:rPr>
          <w:rFonts w:cs="Arial"/>
          <w:sz w:val="22"/>
          <w:szCs w:val="22"/>
        </w:rPr>
        <w:t xml:space="preserve">The new instrument will apply in relation to any </w:t>
      </w:r>
      <w:r w:rsidR="0018749B" w:rsidRPr="004A7F93">
        <w:rPr>
          <w:rFonts w:cs="Arial"/>
          <w:sz w:val="22"/>
          <w:szCs w:val="22"/>
        </w:rPr>
        <w:t xml:space="preserve">a Part 2.23B major disaster </w:t>
      </w:r>
      <w:r w:rsidR="00270D6A" w:rsidRPr="004A7F93">
        <w:rPr>
          <w:rFonts w:cs="Arial"/>
          <w:sz w:val="22"/>
          <w:szCs w:val="22"/>
        </w:rPr>
        <w:t xml:space="preserve">determined </w:t>
      </w:r>
      <w:r w:rsidR="009433B8" w:rsidRPr="004A7F93">
        <w:rPr>
          <w:rFonts w:cs="Arial"/>
          <w:sz w:val="22"/>
          <w:szCs w:val="22"/>
        </w:rPr>
        <w:t xml:space="preserve">under </w:t>
      </w:r>
      <w:r w:rsidR="00270D6A" w:rsidRPr="004A7F93">
        <w:rPr>
          <w:rFonts w:cs="Arial"/>
          <w:sz w:val="22"/>
          <w:szCs w:val="22"/>
        </w:rPr>
        <w:t xml:space="preserve">section 36A of the </w:t>
      </w:r>
      <w:r w:rsidR="00270D6A" w:rsidRPr="004A7F93">
        <w:rPr>
          <w:rFonts w:cs="Arial"/>
          <w:i/>
          <w:sz w:val="22"/>
          <w:szCs w:val="22"/>
        </w:rPr>
        <w:t>Social Security Act 1991</w:t>
      </w:r>
      <w:r w:rsidR="00270D6A" w:rsidRPr="004A7F93">
        <w:rPr>
          <w:rFonts w:cs="Arial"/>
          <w:sz w:val="22"/>
          <w:szCs w:val="22"/>
        </w:rPr>
        <w:t xml:space="preserve"> from 1 July 2019 into the future. </w:t>
      </w:r>
      <w:r w:rsidR="00E83D7A" w:rsidRPr="004A7F93">
        <w:rPr>
          <w:rFonts w:cs="Arial"/>
          <w:sz w:val="22"/>
          <w:szCs w:val="22"/>
        </w:rPr>
        <w:t>The retrospective commencement will not disadvantage anyone in relation to their position from 1 July 2019 until the instrument is registered. While it is anticipated the new instrument will operate beneficially for all persons affected</w:t>
      </w:r>
      <w:r w:rsidR="00880524" w:rsidRPr="004A7F93">
        <w:rPr>
          <w:rFonts w:cs="Arial"/>
          <w:sz w:val="22"/>
          <w:szCs w:val="22"/>
        </w:rPr>
        <w:t xml:space="preserve"> by bushfires since 1 July 2019</w:t>
      </w:r>
      <w:r w:rsidR="00E83D7A" w:rsidRPr="004A7F93">
        <w:rPr>
          <w:rFonts w:cs="Arial"/>
          <w:sz w:val="22"/>
          <w:szCs w:val="22"/>
        </w:rPr>
        <w:t>, in the event it would have an adverse effect on any person (e</w:t>
      </w:r>
      <w:r w:rsidR="004A7F93" w:rsidRPr="004A7F93">
        <w:rPr>
          <w:rFonts w:cs="Arial"/>
          <w:sz w:val="22"/>
          <w:szCs w:val="22"/>
        </w:rPr>
        <w:t>.</w:t>
      </w:r>
      <w:r w:rsidR="00E83D7A" w:rsidRPr="004A7F93">
        <w:rPr>
          <w:rFonts w:cs="Arial"/>
          <w:sz w:val="22"/>
          <w:szCs w:val="22"/>
        </w:rPr>
        <w:t>g</w:t>
      </w:r>
      <w:r w:rsidR="004A7F93" w:rsidRPr="004A7F93">
        <w:rPr>
          <w:rFonts w:cs="Arial"/>
          <w:sz w:val="22"/>
          <w:szCs w:val="22"/>
        </w:rPr>
        <w:t>.</w:t>
      </w:r>
      <w:r w:rsidR="00E83D7A" w:rsidRPr="004A7F93">
        <w:rPr>
          <w:rFonts w:cs="Arial"/>
          <w:sz w:val="22"/>
          <w:szCs w:val="22"/>
        </w:rPr>
        <w:t xml:space="preserve"> their entitlement to </w:t>
      </w:r>
      <w:r w:rsidR="00283035" w:rsidRPr="004A7F93">
        <w:rPr>
          <w:rFonts w:cs="Arial"/>
          <w:sz w:val="22"/>
          <w:szCs w:val="22"/>
        </w:rPr>
        <w:t xml:space="preserve">DRA, or to </w:t>
      </w:r>
      <w:r w:rsidR="00E83D7A" w:rsidRPr="004A7F93">
        <w:rPr>
          <w:rFonts w:cs="Arial"/>
          <w:sz w:val="22"/>
          <w:szCs w:val="22"/>
        </w:rPr>
        <w:t>a particular amount of DRA</w:t>
      </w:r>
      <w:r w:rsidR="00283035" w:rsidRPr="004A7F93">
        <w:rPr>
          <w:rFonts w:cs="Arial"/>
          <w:sz w:val="22"/>
          <w:szCs w:val="22"/>
        </w:rPr>
        <w:t>,</w:t>
      </w:r>
      <w:r w:rsidR="00E83D7A" w:rsidRPr="004A7F93">
        <w:rPr>
          <w:rFonts w:cs="Arial"/>
          <w:sz w:val="22"/>
          <w:szCs w:val="22"/>
        </w:rPr>
        <w:t xml:space="preserve"> will decrease under the new instrument), the instrument provides that the old instrument continues in force</w:t>
      </w:r>
      <w:r w:rsidR="00283035" w:rsidRPr="004A7F93">
        <w:rPr>
          <w:rFonts w:cs="Arial"/>
          <w:sz w:val="22"/>
          <w:szCs w:val="22"/>
        </w:rPr>
        <w:t xml:space="preserve"> for</w:t>
      </w:r>
      <w:r w:rsidR="00E83D7A" w:rsidRPr="004A7F93">
        <w:rPr>
          <w:rFonts w:cs="Arial"/>
          <w:sz w:val="22"/>
          <w:szCs w:val="22"/>
        </w:rPr>
        <w:t xml:space="preserve"> that person. </w:t>
      </w:r>
    </w:p>
    <w:p w14:paraId="47B7F905" w14:textId="77777777" w:rsidR="00880524" w:rsidRPr="00786365" w:rsidRDefault="00880524" w:rsidP="004A7F93">
      <w:pPr>
        <w:jc w:val="both"/>
        <w:rPr>
          <w:rFonts w:cs="Arial"/>
          <w:sz w:val="22"/>
          <w:szCs w:val="22"/>
        </w:rPr>
      </w:pPr>
    </w:p>
    <w:p w14:paraId="2C3EE324" w14:textId="4F809BF8" w:rsidR="005F7BBB" w:rsidRPr="004A7F93" w:rsidRDefault="00880524" w:rsidP="004A7F93">
      <w:pPr>
        <w:jc w:val="both"/>
        <w:rPr>
          <w:rFonts w:cs="Arial"/>
          <w:sz w:val="22"/>
          <w:szCs w:val="22"/>
        </w:rPr>
      </w:pPr>
      <w:r w:rsidRPr="004A7F93">
        <w:rPr>
          <w:rFonts w:cs="Arial"/>
          <w:sz w:val="22"/>
          <w:szCs w:val="22"/>
        </w:rPr>
        <w:t xml:space="preserve">The instrument repeals the old instrument as it replaces it from 1 July 2019 for all </w:t>
      </w:r>
      <w:r w:rsidR="009433B8" w:rsidRPr="004A7F93">
        <w:rPr>
          <w:rFonts w:cs="Arial"/>
          <w:sz w:val="22"/>
          <w:szCs w:val="22"/>
        </w:rPr>
        <w:t xml:space="preserve">major </w:t>
      </w:r>
      <w:r w:rsidRPr="004A7F93">
        <w:rPr>
          <w:rFonts w:cs="Arial"/>
          <w:sz w:val="22"/>
          <w:szCs w:val="22"/>
        </w:rPr>
        <w:t xml:space="preserve">disasters determined under section 36A of the Act from that date. The new instrument contains a provision saving the effect of the old instrument in the event there is anyone affected by a </w:t>
      </w:r>
      <w:r w:rsidR="009433B8" w:rsidRPr="004A7F93">
        <w:rPr>
          <w:rFonts w:cs="Arial"/>
          <w:sz w:val="22"/>
          <w:szCs w:val="22"/>
        </w:rPr>
        <w:t xml:space="preserve">major </w:t>
      </w:r>
      <w:r w:rsidRPr="004A7F93">
        <w:rPr>
          <w:rFonts w:cs="Arial"/>
          <w:sz w:val="22"/>
          <w:szCs w:val="22"/>
        </w:rPr>
        <w:t>disaster de</w:t>
      </w:r>
      <w:r w:rsidR="00D97870" w:rsidRPr="004A7F93">
        <w:rPr>
          <w:rFonts w:cs="Arial"/>
          <w:sz w:val="22"/>
          <w:szCs w:val="22"/>
        </w:rPr>
        <w:t>termined</w:t>
      </w:r>
      <w:r w:rsidRPr="004A7F93">
        <w:rPr>
          <w:rFonts w:cs="Arial"/>
          <w:sz w:val="22"/>
          <w:szCs w:val="22"/>
        </w:rPr>
        <w:t xml:space="preserve"> under section 36A before 1 July 2019, who would</w:t>
      </w:r>
      <w:r w:rsidR="00D97870" w:rsidRPr="004A7F93">
        <w:rPr>
          <w:rFonts w:cs="Arial"/>
          <w:sz w:val="22"/>
          <w:szCs w:val="22"/>
        </w:rPr>
        <w:t>, after 1 July 2019, have</w:t>
      </w:r>
      <w:r w:rsidRPr="004A7F93">
        <w:rPr>
          <w:rFonts w:cs="Arial"/>
          <w:sz w:val="22"/>
          <w:szCs w:val="22"/>
        </w:rPr>
        <w:t xml:space="preserve"> still been entitled to DRA under the old instrument. </w:t>
      </w:r>
    </w:p>
    <w:p w14:paraId="13EC4945" w14:textId="77777777" w:rsidR="004A7F93" w:rsidRPr="004A7F93" w:rsidRDefault="004A7F93" w:rsidP="004A7F93">
      <w:pPr>
        <w:jc w:val="both"/>
        <w:rPr>
          <w:rFonts w:cs="Arial"/>
          <w:sz w:val="22"/>
          <w:szCs w:val="22"/>
        </w:rPr>
      </w:pPr>
    </w:p>
    <w:p w14:paraId="1BE5CF84" w14:textId="7BE94D75" w:rsidR="007723E8" w:rsidRPr="004A7F93" w:rsidRDefault="00302B6E" w:rsidP="004A7F93">
      <w:pPr>
        <w:jc w:val="both"/>
        <w:rPr>
          <w:rFonts w:cs="Arial"/>
          <w:sz w:val="22"/>
          <w:szCs w:val="22"/>
        </w:rPr>
      </w:pPr>
      <w:r w:rsidRPr="004A7F93">
        <w:rPr>
          <w:rFonts w:cs="Arial"/>
          <w:sz w:val="22"/>
          <w:szCs w:val="22"/>
        </w:rPr>
        <w:t>S</w:t>
      </w:r>
      <w:r w:rsidR="00B73522" w:rsidRPr="004A7F93">
        <w:rPr>
          <w:rFonts w:cs="Arial"/>
          <w:sz w:val="22"/>
          <w:szCs w:val="22"/>
        </w:rPr>
        <w:t>ection 1</w:t>
      </w:r>
      <w:r w:rsidR="007723E8" w:rsidRPr="004A7F93">
        <w:rPr>
          <w:rFonts w:cs="Arial"/>
          <w:sz w:val="22"/>
          <w:szCs w:val="22"/>
        </w:rPr>
        <w:t xml:space="preserve"> sets out the title</w:t>
      </w:r>
      <w:r w:rsidR="00B73522" w:rsidRPr="004A7F93">
        <w:rPr>
          <w:rFonts w:cs="Arial"/>
          <w:sz w:val="22"/>
          <w:szCs w:val="22"/>
        </w:rPr>
        <w:t xml:space="preserve"> of </w:t>
      </w:r>
      <w:r w:rsidR="003C45CD" w:rsidRPr="004A7F93">
        <w:rPr>
          <w:rFonts w:cs="Arial"/>
          <w:sz w:val="22"/>
          <w:szCs w:val="22"/>
        </w:rPr>
        <w:t xml:space="preserve">the </w:t>
      </w:r>
      <w:r w:rsidR="0073307B" w:rsidRPr="004A7F93">
        <w:rPr>
          <w:rFonts w:cs="Arial"/>
          <w:sz w:val="22"/>
          <w:szCs w:val="22"/>
        </w:rPr>
        <w:t>instrument</w:t>
      </w:r>
      <w:r w:rsidR="003C45CD" w:rsidRPr="004A7F93">
        <w:rPr>
          <w:rFonts w:cs="Arial"/>
          <w:sz w:val="22"/>
          <w:szCs w:val="22"/>
        </w:rPr>
        <w:t xml:space="preserve"> </w:t>
      </w:r>
      <w:r w:rsidR="007723E8" w:rsidRPr="004A7F93">
        <w:rPr>
          <w:rFonts w:cs="Arial"/>
          <w:sz w:val="22"/>
          <w:szCs w:val="22"/>
        </w:rPr>
        <w:t xml:space="preserve">as the </w:t>
      </w:r>
      <w:r w:rsidR="007723E8" w:rsidRPr="004A7F93">
        <w:rPr>
          <w:rFonts w:cs="Arial"/>
          <w:i/>
          <w:sz w:val="22"/>
          <w:szCs w:val="22"/>
        </w:rPr>
        <w:t>Social Security (Disaster recovery allowance rate calculator) Determination 2020</w:t>
      </w:r>
      <w:r w:rsidR="007723E8" w:rsidRPr="004A7F93">
        <w:rPr>
          <w:rFonts w:cs="Arial"/>
          <w:sz w:val="22"/>
          <w:szCs w:val="22"/>
        </w:rPr>
        <w:t>.</w:t>
      </w:r>
    </w:p>
    <w:p w14:paraId="0677F00B" w14:textId="77777777" w:rsidR="00302B6E" w:rsidRPr="004A7F93" w:rsidRDefault="00302B6E" w:rsidP="004A7F93">
      <w:pPr>
        <w:jc w:val="both"/>
        <w:rPr>
          <w:rFonts w:cs="Arial"/>
          <w:sz w:val="22"/>
          <w:szCs w:val="22"/>
        </w:rPr>
      </w:pPr>
    </w:p>
    <w:p w14:paraId="4240934A" w14:textId="039DB1BC" w:rsidR="00302B6E" w:rsidRPr="004A7F93" w:rsidRDefault="00302B6E" w:rsidP="004A7F93">
      <w:pPr>
        <w:jc w:val="both"/>
        <w:rPr>
          <w:rFonts w:cs="Arial"/>
          <w:sz w:val="22"/>
          <w:szCs w:val="22"/>
        </w:rPr>
      </w:pPr>
      <w:r w:rsidRPr="004A7F93">
        <w:rPr>
          <w:rFonts w:cs="Arial"/>
          <w:sz w:val="22"/>
          <w:szCs w:val="22"/>
        </w:rPr>
        <w:t>Secti</w:t>
      </w:r>
      <w:r w:rsidR="00B73522" w:rsidRPr="004A7F93">
        <w:rPr>
          <w:rFonts w:cs="Arial"/>
          <w:sz w:val="22"/>
          <w:szCs w:val="22"/>
        </w:rPr>
        <w:t xml:space="preserve">on 2 </w:t>
      </w:r>
      <w:r w:rsidRPr="004A7F93">
        <w:rPr>
          <w:rFonts w:cs="Arial"/>
          <w:sz w:val="22"/>
          <w:szCs w:val="22"/>
        </w:rPr>
        <w:t>provid</w:t>
      </w:r>
      <w:r w:rsidR="000F3B4A" w:rsidRPr="004A7F93">
        <w:rPr>
          <w:rFonts w:cs="Arial"/>
          <w:sz w:val="22"/>
          <w:szCs w:val="22"/>
        </w:rPr>
        <w:t xml:space="preserve">es that </w:t>
      </w:r>
      <w:r w:rsidR="00D67223" w:rsidRPr="004A7F93">
        <w:rPr>
          <w:rFonts w:cs="Arial"/>
          <w:sz w:val="22"/>
          <w:szCs w:val="22"/>
        </w:rPr>
        <w:t>the instrument</w:t>
      </w:r>
      <w:r w:rsidR="000F3B4A" w:rsidRPr="004A7F93">
        <w:rPr>
          <w:rFonts w:cs="Arial"/>
          <w:sz w:val="22"/>
          <w:szCs w:val="22"/>
        </w:rPr>
        <w:t xml:space="preserve"> </w:t>
      </w:r>
      <w:r w:rsidR="0073307B" w:rsidRPr="004A7F93">
        <w:rPr>
          <w:rFonts w:cs="Arial"/>
          <w:sz w:val="22"/>
          <w:szCs w:val="22"/>
        </w:rPr>
        <w:t>is taken to have commenced on 1 July 2019</w:t>
      </w:r>
      <w:r w:rsidRPr="004A7F93">
        <w:rPr>
          <w:rFonts w:cs="Arial"/>
          <w:sz w:val="22"/>
          <w:szCs w:val="22"/>
        </w:rPr>
        <w:t>.</w:t>
      </w:r>
      <w:r w:rsidR="0073307B" w:rsidRPr="004A7F93">
        <w:rPr>
          <w:rFonts w:cs="Arial"/>
          <w:sz w:val="22"/>
          <w:szCs w:val="22"/>
        </w:rPr>
        <w:t xml:space="preserve"> For the purposes of section 12 of the </w:t>
      </w:r>
      <w:r w:rsidR="0073307B" w:rsidRPr="004A7F93">
        <w:rPr>
          <w:rFonts w:cs="Arial"/>
          <w:i/>
          <w:sz w:val="22"/>
          <w:szCs w:val="22"/>
        </w:rPr>
        <w:t>Legislation Act 2003</w:t>
      </w:r>
      <w:r w:rsidR="0073307B" w:rsidRPr="004A7F93">
        <w:rPr>
          <w:rFonts w:cs="Arial"/>
          <w:sz w:val="22"/>
          <w:szCs w:val="22"/>
        </w:rPr>
        <w:t xml:space="preserve">, the </w:t>
      </w:r>
      <w:r w:rsidR="00D67223" w:rsidRPr="004A7F93">
        <w:rPr>
          <w:rFonts w:cs="Arial"/>
          <w:sz w:val="22"/>
          <w:szCs w:val="22"/>
        </w:rPr>
        <w:t xml:space="preserve">commencement of the </w:t>
      </w:r>
      <w:r w:rsidR="0073307B" w:rsidRPr="004A7F93">
        <w:rPr>
          <w:rFonts w:cs="Arial"/>
          <w:sz w:val="22"/>
          <w:szCs w:val="22"/>
        </w:rPr>
        <w:t>instrument before it is registered will not disadvantage any persons</w:t>
      </w:r>
      <w:r w:rsidR="00D67223" w:rsidRPr="004A7F93">
        <w:rPr>
          <w:rFonts w:cs="Arial"/>
          <w:sz w:val="22"/>
          <w:szCs w:val="22"/>
        </w:rPr>
        <w:t xml:space="preserve"> (see section 5 below)</w:t>
      </w:r>
      <w:r w:rsidR="0073307B" w:rsidRPr="004A7F93">
        <w:rPr>
          <w:rFonts w:cs="Arial"/>
          <w:sz w:val="22"/>
          <w:szCs w:val="22"/>
        </w:rPr>
        <w:t>.</w:t>
      </w:r>
    </w:p>
    <w:p w14:paraId="425F47B0" w14:textId="77777777" w:rsidR="00302B6E" w:rsidRPr="004A7F93" w:rsidRDefault="00302B6E" w:rsidP="004A7F93">
      <w:pPr>
        <w:jc w:val="both"/>
        <w:rPr>
          <w:rFonts w:cs="Arial"/>
          <w:sz w:val="22"/>
          <w:szCs w:val="22"/>
        </w:rPr>
      </w:pPr>
    </w:p>
    <w:p w14:paraId="5C4E018E" w14:textId="2D73D6DF" w:rsidR="00302B6E" w:rsidRPr="004A7F93" w:rsidRDefault="00302B6E" w:rsidP="004A7F93">
      <w:pPr>
        <w:jc w:val="both"/>
        <w:rPr>
          <w:rFonts w:cs="Arial"/>
          <w:sz w:val="22"/>
          <w:szCs w:val="22"/>
        </w:rPr>
      </w:pPr>
      <w:r w:rsidRPr="004A7F93">
        <w:rPr>
          <w:rFonts w:cs="Arial"/>
          <w:sz w:val="22"/>
          <w:szCs w:val="22"/>
        </w:rPr>
        <w:t xml:space="preserve">Section 3 contains definitions </w:t>
      </w:r>
      <w:r w:rsidR="00D67223" w:rsidRPr="004A7F93">
        <w:rPr>
          <w:rFonts w:cs="Arial"/>
          <w:sz w:val="22"/>
          <w:szCs w:val="22"/>
        </w:rPr>
        <w:t>of term</w:t>
      </w:r>
      <w:r w:rsidR="00497CD0" w:rsidRPr="004A7F93">
        <w:rPr>
          <w:rFonts w:cs="Arial"/>
          <w:sz w:val="22"/>
          <w:szCs w:val="22"/>
        </w:rPr>
        <w:t>s</w:t>
      </w:r>
      <w:r w:rsidR="00D67223" w:rsidRPr="004A7F93">
        <w:rPr>
          <w:rFonts w:cs="Arial"/>
          <w:sz w:val="22"/>
          <w:szCs w:val="22"/>
        </w:rPr>
        <w:t xml:space="preserve"> used in </w:t>
      </w:r>
      <w:r w:rsidR="00172868" w:rsidRPr="004A7F93">
        <w:rPr>
          <w:rFonts w:cs="Arial"/>
          <w:sz w:val="22"/>
          <w:szCs w:val="22"/>
        </w:rPr>
        <w:t>the</w:t>
      </w:r>
      <w:r w:rsidR="003C45CD" w:rsidRPr="004A7F93">
        <w:rPr>
          <w:rFonts w:cs="Arial"/>
          <w:sz w:val="22"/>
          <w:szCs w:val="22"/>
        </w:rPr>
        <w:t xml:space="preserve"> </w:t>
      </w:r>
      <w:r w:rsidR="0073307B" w:rsidRPr="004A7F93">
        <w:rPr>
          <w:rFonts w:cs="Arial"/>
          <w:sz w:val="22"/>
          <w:szCs w:val="22"/>
        </w:rPr>
        <w:t>instrument</w:t>
      </w:r>
      <w:r w:rsidR="003C45CD" w:rsidRPr="004A7F93">
        <w:rPr>
          <w:rFonts w:cs="Arial"/>
          <w:sz w:val="22"/>
          <w:szCs w:val="22"/>
        </w:rPr>
        <w:t>.</w:t>
      </w:r>
    </w:p>
    <w:p w14:paraId="379E7D87" w14:textId="77777777" w:rsidR="00302B6E" w:rsidRPr="004A7F93" w:rsidRDefault="00302B6E" w:rsidP="004A7F93">
      <w:pPr>
        <w:jc w:val="both"/>
        <w:rPr>
          <w:rFonts w:cs="Arial"/>
          <w:sz w:val="22"/>
          <w:szCs w:val="22"/>
        </w:rPr>
      </w:pPr>
    </w:p>
    <w:p w14:paraId="4DA252C4" w14:textId="6F61A991" w:rsidR="009B790F" w:rsidRPr="004A7F93" w:rsidRDefault="00380286" w:rsidP="004A7F93">
      <w:pPr>
        <w:jc w:val="both"/>
        <w:rPr>
          <w:rFonts w:cs="Arial"/>
          <w:sz w:val="22"/>
          <w:szCs w:val="22"/>
        </w:rPr>
      </w:pPr>
      <w:r w:rsidRPr="004A7F93">
        <w:rPr>
          <w:rFonts w:cs="Arial"/>
          <w:sz w:val="22"/>
          <w:szCs w:val="22"/>
        </w:rPr>
        <w:t xml:space="preserve">Section 4 </w:t>
      </w:r>
      <w:r w:rsidR="00D67223" w:rsidRPr="004A7F93">
        <w:rPr>
          <w:rFonts w:cs="Arial"/>
          <w:sz w:val="22"/>
          <w:szCs w:val="22"/>
        </w:rPr>
        <w:t xml:space="preserve">sets out a method statement for working out the fortnightly rate of DRA payable to a person </w:t>
      </w:r>
      <w:r w:rsidR="0018749B" w:rsidRPr="004A7F93">
        <w:rPr>
          <w:rFonts w:cs="Arial"/>
          <w:sz w:val="22"/>
          <w:szCs w:val="22"/>
        </w:rPr>
        <w:t xml:space="preserve">in relation to a Part 2.23B major disaster to which the instrument applies. For a person not already in receipt of DRA in relation to the disaster, steps 1 to 6 set out a method to calculate the fortnightly rate payment. Once the person is in receipt of DRA, step 7 provides that DRA ceases if, based on information provided by the person, the person’s disaster affected income for a fortnightly period equals or exceeds the average weekly earnings for that fortnight. </w:t>
      </w:r>
    </w:p>
    <w:p w14:paraId="0B4051F3" w14:textId="77777777" w:rsidR="00C60377" w:rsidRPr="004A7F93" w:rsidRDefault="00C60377" w:rsidP="004A7F93">
      <w:pPr>
        <w:jc w:val="both"/>
        <w:rPr>
          <w:rFonts w:cs="Arial"/>
          <w:sz w:val="22"/>
          <w:szCs w:val="22"/>
        </w:rPr>
      </w:pPr>
    </w:p>
    <w:p w14:paraId="792F833B" w14:textId="69D5683F" w:rsidR="008676F7" w:rsidRPr="004A7F93" w:rsidRDefault="008676F7" w:rsidP="004A7F93">
      <w:pPr>
        <w:jc w:val="both"/>
        <w:rPr>
          <w:rFonts w:cs="Arial"/>
          <w:sz w:val="22"/>
          <w:szCs w:val="22"/>
        </w:rPr>
      </w:pPr>
      <w:r w:rsidRPr="004A7F93">
        <w:rPr>
          <w:rFonts w:cs="Arial"/>
          <w:sz w:val="22"/>
          <w:szCs w:val="22"/>
        </w:rPr>
        <w:t xml:space="preserve">Section </w:t>
      </w:r>
      <w:r w:rsidR="00361BAA" w:rsidRPr="004A7F93">
        <w:rPr>
          <w:rFonts w:cs="Arial"/>
          <w:sz w:val="22"/>
          <w:szCs w:val="22"/>
        </w:rPr>
        <w:t xml:space="preserve">5 </w:t>
      </w:r>
      <w:r w:rsidR="0018749B" w:rsidRPr="004A7F93">
        <w:rPr>
          <w:rFonts w:cs="Arial"/>
          <w:sz w:val="22"/>
          <w:szCs w:val="22"/>
        </w:rPr>
        <w:t>sets out which Part 2.23B major disasters the instrument applies to</w:t>
      </w:r>
      <w:r w:rsidR="00361BAA" w:rsidRPr="004A7F93">
        <w:rPr>
          <w:rFonts w:cs="Arial"/>
          <w:sz w:val="22"/>
          <w:szCs w:val="22"/>
        </w:rPr>
        <w:t>,</w:t>
      </w:r>
      <w:r w:rsidR="0018749B" w:rsidRPr="004A7F93">
        <w:rPr>
          <w:rFonts w:cs="Arial"/>
          <w:sz w:val="22"/>
          <w:szCs w:val="22"/>
        </w:rPr>
        <w:t xml:space="preserve"> </w:t>
      </w:r>
      <w:r w:rsidR="004A7F93" w:rsidRPr="004A7F93">
        <w:rPr>
          <w:rFonts w:cs="Arial"/>
          <w:sz w:val="22"/>
          <w:szCs w:val="22"/>
        </w:rPr>
        <w:t>i.e.</w:t>
      </w:r>
      <w:r w:rsidR="0018749B" w:rsidRPr="004A7F93">
        <w:rPr>
          <w:rFonts w:cs="Arial"/>
          <w:sz w:val="22"/>
          <w:szCs w:val="22"/>
        </w:rPr>
        <w:t xml:space="preserve"> any disaster determined by the Minister under section 36A of the Act on or after 1 July 2019 (the date on which the instrument is taken to have commenced)</w:t>
      </w:r>
      <w:r w:rsidRPr="004A7F93">
        <w:rPr>
          <w:rFonts w:cs="Arial"/>
          <w:sz w:val="22"/>
          <w:szCs w:val="22"/>
        </w:rPr>
        <w:t>.</w:t>
      </w:r>
      <w:r w:rsidR="00361BAA" w:rsidRPr="004A7F93">
        <w:rPr>
          <w:rFonts w:cs="Arial"/>
          <w:sz w:val="22"/>
          <w:szCs w:val="22"/>
        </w:rPr>
        <w:t xml:space="preserve"> However, in order to ensure no person is disadvantaged by the retrospective commencement of the instrument, subsection 5(2) provides that the old instrument continues to apply to a person who would otherwise come under this instrument, if the old instrument would have provided a more beneficial outcome for the person. </w:t>
      </w:r>
    </w:p>
    <w:p w14:paraId="0D6B2A3E" w14:textId="77777777" w:rsidR="008676F7" w:rsidRPr="004A7F93" w:rsidRDefault="008676F7" w:rsidP="004A7F93">
      <w:pPr>
        <w:jc w:val="both"/>
        <w:rPr>
          <w:rFonts w:cs="Arial"/>
          <w:sz w:val="22"/>
          <w:szCs w:val="22"/>
        </w:rPr>
      </w:pPr>
    </w:p>
    <w:p w14:paraId="67C47E70" w14:textId="273E98F9" w:rsidR="000F47AB" w:rsidRPr="004A7F93" w:rsidRDefault="008676F7" w:rsidP="004A7F93">
      <w:pPr>
        <w:jc w:val="both"/>
        <w:rPr>
          <w:rFonts w:cs="Arial"/>
          <w:sz w:val="22"/>
          <w:szCs w:val="22"/>
        </w:rPr>
      </w:pPr>
      <w:r w:rsidRPr="004A7F93">
        <w:rPr>
          <w:rFonts w:cs="Arial"/>
          <w:sz w:val="22"/>
          <w:szCs w:val="22"/>
        </w:rPr>
        <w:t>Section 6</w:t>
      </w:r>
      <w:r w:rsidR="000F47AB" w:rsidRPr="004A7F93">
        <w:rPr>
          <w:rFonts w:cs="Arial"/>
          <w:sz w:val="22"/>
          <w:szCs w:val="22"/>
        </w:rPr>
        <w:t xml:space="preserve"> r</w:t>
      </w:r>
      <w:r w:rsidR="00B44F79" w:rsidRPr="004A7F93">
        <w:rPr>
          <w:rFonts w:cs="Arial"/>
          <w:sz w:val="22"/>
          <w:szCs w:val="22"/>
        </w:rPr>
        <w:t>epeal</w:t>
      </w:r>
      <w:r w:rsidR="00361BAA" w:rsidRPr="004A7F93">
        <w:rPr>
          <w:rFonts w:cs="Arial"/>
          <w:sz w:val="22"/>
          <w:szCs w:val="22"/>
        </w:rPr>
        <w:t>s</w:t>
      </w:r>
      <w:r w:rsidR="00B44F79" w:rsidRPr="004A7F93">
        <w:rPr>
          <w:rFonts w:cs="Arial"/>
          <w:sz w:val="22"/>
          <w:szCs w:val="22"/>
        </w:rPr>
        <w:t xml:space="preserve"> </w:t>
      </w:r>
      <w:r w:rsidR="000F47AB" w:rsidRPr="004A7F93">
        <w:rPr>
          <w:rFonts w:cs="Arial"/>
          <w:sz w:val="22"/>
          <w:szCs w:val="22"/>
        </w:rPr>
        <w:t>the</w:t>
      </w:r>
      <w:r w:rsidR="0074646B" w:rsidRPr="004A7F93">
        <w:rPr>
          <w:rFonts w:cs="Arial"/>
          <w:sz w:val="22"/>
          <w:szCs w:val="22"/>
        </w:rPr>
        <w:t xml:space="preserve"> </w:t>
      </w:r>
      <w:r w:rsidR="0074646B" w:rsidRPr="004A7F93">
        <w:rPr>
          <w:rFonts w:cs="Arial"/>
          <w:i/>
          <w:sz w:val="22"/>
          <w:szCs w:val="22"/>
        </w:rPr>
        <w:t>Social Security (Disaster Recovery Allowance)</w:t>
      </w:r>
      <w:r w:rsidR="00AE5D6B" w:rsidRPr="004A7F93">
        <w:rPr>
          <w:rFonts w:cs="Arial"/>
          <w:i/>
          <w:sz w:val="22"/>
          <w:szCs w:val="22"/>
        </w:rPr>
        <w:t xml:space="preserve"> </w:t>
      </w:r>
      <w:r w:rsidR="0074646B" w:rsidRPr="004A7F93">
        <w:rPr>
          <w:rFonts w:cs="Arial"/>
          <w:i/>
          <w:sz w:val="22"/>
          <w:szCs w:val="22"/>
        </w:rPr>
        <w:t>Determination 201</w:t>
      </w:r>
      <w:r w:rsidR="00497CD0" w:rsidRPr="004A7F93">
        <w:rPr>
          <w:rFonts w:cs="Arial"/>
          <w:i/>
          <w:sz w:val="22"/>
          <w:szCs w:val="22"/>
        </w:rPr>
        <w:t>5</w:t>
      </w:r>
      <w:r w:rsidR="0074646B" w:rsidRPr="004A7F93">
        <w:rPr>
          <w:rFonts w:cs="Arial"/>
          <w:sz w:val="22"/>
          <w:szCs w:val="22"/>
        </w:rPr>
        <w:t xml:space="preserve"> (registered instrument F2015L00022)</w:t>
      </w:r>
      <w:r w:rsidR="00B44F79" w:rsidRPr="004A7F93">
        <w:rPr>
          <w:rFonts w:cs="Arial"/>
          <w:sz w:val="22"/>
          <w:szCs w:val="22"/>
        </w:rPr>
        <w:t xml:space="preserve">. </w:t>
      </w:r>
      <w:r w:rsidR="00215A48" w:rsidRPr="004A7F93">
        <w:rPr>
          <w:rFonts w:cs="Arial"/>
          <w:sz w:val="22"/>
          <w:szCs w:val="22"/>
        </w:rPr>
        <w:t>Subsection 6(2) saves the effect of the old instrument in relation to Part 2.23B major disasters determined by the Minister before the date of commencement of this instrument i</w:t>
      </w:r>
      <w:r w:rsidR="004A7F93" w:rsidRPr="004A7F93">
        <w:rPr>
          <w:rFonts w:cs="Arial"/>
          <w:sz w:val="22"/>
          <w:szCs w:val="22"/>
        </w:rPr>
        <w:t>.</w:t>
      </w:r>
      <w:r w:rsidR="00215A48" w:rsidRPr="004A7F93">
        <w:rPr>
          <w:rFonts w:cs="Arial"/>
          <w:sz w:val="22"/>
          <w:szCs w:val="22"/>
        </w:rPr>
        <w:t>e</w:t>
      </w:r>
      <w:r w:rsidR="004A7F93" w:rsidRPr="004A7F93">
        <w:rPr>
          <w:rFonts w:cs="Arial"/>
          <w:sz w:val="22"/>
          <w:szCs w:val="22"/>
        </w:rPr>
        <w:t>.</w:t>
      </w:r>
      <w:r w:rsidR="00215A48" w:rsidRPr="004A7F93">
        <w:rPr>
          <w:rFonts w:cs="Arial"/>
          <w:sz w:val="22"/>
          <w:szCs w:val="22"/>
        </w:rPr>
        <w:t xml:space="preserve"> before 1 July 2019. </w:t>
      </w:r>
    </w:p>
    <w:p w14:paraId="36FA9C16" w14:textId="12D7E3EB" w:rsidR="00C26CBE" w:rsidRPr="004A7F93" w:rsidRDefault="00C26CBE" w:rsidP="004A7F93">
      <w:pPr>
        <w:jc w:val="both"/>
        <w:rPr>
          <w:rFonts w:cs="Arial"/>
          <w:sz w:val="22"/>
          <w:szCs w:val="22"/>
        </w:rPr>
      </w:pPr>
    </w:p>
    <w:p w14:paraId="4742C0AC" w14:textId="68E75A52" w:rsidR="00C26CBE" w:rsidRPr="004A7F93" w:rsidRDefault="00203B0A" w:rsidP="004A7F93">
      <w:pPr>
        <w:jc w:val="both"/>
        <w:rPr>
          <w:rFonts w:cs="Arial"/>
          <w:sz w:val="22"/>
          <w:szCs w:val="22"/>
        </w:rPr>
      </w:pPr>
      <w:r w:rsidRPr="004A7F93">
        <w:rPr>
          <w:rFonts w:cs="Arial"/>
          <w:sz w:val="22"/>
          <w:szCs w:val="22"/>
        </w:rPr>
        <w:t>An instrume</w:t>
      </w:r>
      <w:r w:rsidR="00653294" w:rsidRPr="004A7F93">
        <w:rPr>
          <w:rFonts w:cs="Arial"/>
          <w:sz w:val="22"/>
          <w:szCs w:val="22"/>
        </w:rPr>
        <w:t xml:space="preserve">nt made under </w:t>
      </w:r>
      <w:r w:rsidR="00361BAA" w:rsidRPr="004A7F93">
        <w:rPr>
          <w:rFonts w:cs="Arial"/>
          <w:sz w:val="22"/>
          <w:szCs w:val="22"/>
        </w:rPr>
        <w:t>subs</w:t>
      </w:r>
      <w:r w:rsidR="00653294" w:rsidRPr="004A7F93">
        <w:rPr>
          <w:rFonts w:cs="Arial"/>
          <w:sz w:val="22"/>
          <w:szCs w:val="22"/>
        </w:rPr>
        <w:t>ection</w:t>
      </w:r>
      <w:r w:rsidR="00215A48" w:rsidRPr="004A7F93">
        <w:rPr>
          <w:rFonts w:cs="Arial"/>
          <w:sz w:val="22"/>
          <w:szCs w:val="22"/>
        </w:rPr>
        <w:t xml:space="preserve"> 1</w:t>
      </w:r>
      <w:r w:rsidR="00653294" w:rsidRPr="004A7F93">
        <w:rPr>
          <w:rFonts w:cs="Arial"/>
          <w:sz w:val="22"/>
          <w:szCs w:val="22"/>
        </w:rPr>
        <w:t>061KC(2)</w:t>
      </w:r>
      <w:r w:rsidRPr="004A7F93">
        <w:rPr>
          <w:rFonts w:cs="Arial"/>
          <w:sz w:val="22"/>
          <w:szCs w:val="22"/>
        </w:rPr>
        <w:t xml:space="preserve"> is a legislative instrument </w:t>
      </w:r>
      <w:r w:rsidR="00C26CBE" w:rsidRPr="004A7F93">
        <w:rPr>
          <w:rFonts w:cs="Arial"/>
          <w:sz w:val="22"/>
          <w:szCs w:val="22"/>
        </w:rPr>
        <w:t xml:space="preserve">subject to disallowance in accordance with </w:t>
      </w:r>
      <w:r w:rsidR="00361BAA" w:rsidRPr="004A7F93">
        <w:rPr>
          <w:rFonts w:cs="Arial"/>
          <w:sz w:val="22"/>
          <w:szCs w:val="22"/>
        </w:rPr>
        <w:t>s</w:t>
      </w:r>
      <w:r w:rsidR="00C26CBE" w:rsidRPr="004A7F93">
        <w:rPr>
          <w:rFonts w:cs="Arial"/>
          <w:sz w:val="22"/>
          <w:szCs w:val="22"/>
        </w:rPr>
        <w:t xml:space="preserve">ection 42 of the </w:t>
      </w:r>
      <w:r w:rsidR="00C26CBE" w:rsidRPr="004A7F93">
        <w:rPr>
          <w:rFonts w:cs="Arial"/>
          <w:i/>
          <w:sz w:val="22"/>
          <w:szCs w:val="22"/>
        </w:rPr>
        <w:t>Legislative Instruments Act 2003</w:t>
      </w:r>
      <w:r w:rsidR="00C26CBE" w:rsidRPr="004A7F93">
        <w:rPr>
          <w:rFonts w:cs="Arial"/>
          <w:sz w:val="22"/>
          <w:szCs w:val="22"/>
        </w:rPr>
        <w:t>.</w:t>
      </w:r>
    </w:p>
    <w:p w14:paraId="488FDAEB" w14:textId="77777777" w:rsidR="00454BEC" w:rsidRPr="004A7F93" w:rsidRDefault="00454BEC" w:rsidP="004A7F93">
      <w:pPr>
        <w:rPr>
          <w:rFonts w:cs="Arial"/>
          <w:sz w:val="22"/>
          <w:szCs w:val="22"/>
        </w:rPr>
      </w:pPr>
    </w:p>
    <w:p w14:paraId="3023D527" w14:textId="77777777" w:rsidR="00203B0A" w:rsidRPr="004A7F93" w:rsidRDefault="00203B0A" w:rsidP="004A7F93">
      <w:pPr>
        <w:jc w:val="both"/>
        <w:rPr>
          <w:rFonts w:cs="Arial"/>
          <w:b/>
          <w:sz w:val="22"/>
          <w:szCs w:val="22"/>
        </w:rPr>
      </w:pPr>
      <w:r w:rsidRPr="003371C6">
        <w:rPr>
          <w:rFonts w:cs="Arial"/>
          <w:b/>
          <w:sz w:val="22"/>
          <w:szCs w:val="22"/>
        </w:rPr>
        <w:t xml:space="preserve">Statement of compatibility prepared in accordance with Part 3 of the </w:t>
      </w:r>
      <w:r w:rsidRPr="004A7F93">
        <w:rPr>
          <w:rFonts w:cs="Arial"/>
          <w:b/>
          <w:sz w:val="22"/>
          <w:szCs w:val="22"/>
        </w:rPr>
        <w:t>Human Rights (Parliamentary Scrutiny) Act 2011</w:t>
      </w:r>
    </w:p>
    <w:p w14:paraId="69B4FE53" w14:textId="77777777" w:rsidR="00203B0A" w:rsidRPr="0073307B" w:rsidRDefault="00203B0A" w:rsidP="004A7F93">
      <w:pPr>
        <w:jc w:val="both"/>
        <w:rPr>
          <w:rFonts w:cs="Arial"/>
          <w:sz w:val="22"/>
          <w:szCs w:val="22"/>
        </w:rPr>
      </w:pPr>
    </w:p>
    <w:p w14:paraId="5F8DA917" w14:textId="1FE9E9E3" w:rsidR="00203B0A" w:rsidRPr="004A7F93" w:rsidRDefault="00203B0A" w:rsidP="004A7F93">
      <w:pPr>
        <w:jc w:val="both"/>
        <w:rPr>
          <w:rFonts w:cs="Arial"/>
          <w:sz w:val="22"/>
          <w:szCs w:val="22"/>
        </w:rPr>
      </w:pPr>
      <w:r w:rsidRPr="004A7F93">
        <w:rPr>
          <w:rFonts w:cs="Arial"/>
          <w:sz w:val="22"/>
          <w:szCs w:val="22"/>
        </w:rPr>
        <w:t xml:space="preserve">A Statement of compatibility prepared in accordance with Part 3 of the Human Rights (Parliamentary Scrutiny) Act 2011 is provided at Attachment </w:t>
      </w:r>
      <w:r w:rsidR="00A313D8" w:rsidRPr="004A7F93">
        <w:rPr>
          <w:rFonts w:cs="Arial"/>
          <w:sz w:val="22"/>
          <w:szCs w:val="22"/>
        </w:rPr>
        <w:t>A</w:t>
      </w:r>
      <w:r w:rsidRPr="004A7F93">
        <w:rPr>
          <w:rFonts w:cs="Arial"/>
          <w:sz w:val="22"/>
          <w:szCs w:val="22"/>
        </w:rPr>
        <w:t xml:space="preserve"> to this Explanatory Statement.</w:t>
      </w:r>
    </w:p>
    <w:p w14:paraId="589CC99F" w14:textId="249DB1EC" w:rsidR="00203B0A" w:rsidRDefault="00203B0A" w:rsidP="004A7F93">
      <w:pPr>
        <w:jc w:val="both"/>
        <w:rPr>
          <w:rFonts w:cs="Arial"/>
          <w:sz w:val="22"/>
          <w:szCs w:val="22"/>
        </w:rPr>
      </w:pPr>
    </w:p>
    <w:p w14:paraId="50BF6D92" w14:textId="1D56B0DD" w:rsidR="00F37301" w:rsidRDefault="00F37301" w:rsidP="004A7F93">
      <w:pPr>
        <w:jc w:val="both"/>
        <w:rPr>
          <w:rFonts w:cs="Arial"/>
          <w:b/>
          <w:sz w:val="22"/>
          <w:szCs w:val="22"/>
        </w:rPr>
      </w:pPr>
      <w:r>
        <w:rPr>
          <w:rFonts w:cs="Arial"/>
          <w:b/>
          <w:sz w:val="22"/>
          <w:szCs w:val="22"/>
        </w:rPr>
        <w:t xml:space="preserve">Consultation </w:t>
      </w:r>
    </w:p>
    <w:p w14:paraId="21CBD71E" w14:textId="77777777" w:rsidR="00F37301" w:rsidRPr="00786365" w:rsidRDefault="00F37301" w:rsidP="004A7F93">
      <w:pPr>
        <w:jc w:val="both"/>
        <w:rPr>
          <w:rFonts w:cs="Arial"/>
          <w:b/>
          <w:sz w:val="22"/>
          <w:szCs w:val="22"/>
        </w:rPr>
      </w:pPr>
    </w:p>
    <w:p w14:paraId="64D505EF" w14:textId="12316477" w:rsidR="00FE2387" w:rsidRPr="00786365" w:rsidRDefault="00B550FE" w:rsidP="004A7F93">
      <w:pPr>
        <w:jc w:val="both"/>
        <w:rPr>
          <w:rFonts w:cs="Arial"/>
          <w:b/>
          <w:bCs/>
          <w:sz w:val="22"/>
          <w:szCs w:val="22"/>
        </w:rPr>
      </w:pPr>
      <w:r w:rsidRPr="00FE2387">
        <w:rPr>
          <w:rFonts w:cs="Arial"/>
          <w:sz w:val="22"/>
          <w:szCs w:val="22"/>
        </w:rPr>
        <w:t xml:space="preserve">Section 17 of the </w:t>
      </w:r>
      <w:r w:rsidRPr="00FE2387">
        <w:rPr>
          <w:rFonts w:cs="Arial"/>
          <w:i/>
          <w:sz w:val="22"/>
          <w:szCs w:val="22"/>
        </w:rPr>
        <w:t>Legislative Instruments Act 2003</w:t>
      </w:r>
      <w:r w:rsidRPr="00FE2387">
        <w:rPr>
          <w:rFonts w:cs="Arial"/>
          <w:sz w:val="22"/>
          <w:szCs w:val="22"/>
        </w:rPr>
        <w:t xml:space="preserve"> requires appropriate consultation be undertaken where a proposed instrument is likely to have effect on business.  </w:t>
      </w:r>
      <w:r w:rsidR="00FE2387">
        <w:rPr>
          <w:rFonts w:cs="Arial"/>
          <w:bCs/>
          <w:sz w:val="22"/>
          <w:szCs w:val="22"/>
        </w:rPr>
        <w:t xml:space="preserve">Consultation on the instrument was undertaken with Department of Human Services and Prime Minister and Cabinet. The consultation agencies were supportive of the instrument being made. It </w:t>
      </w:r>
      <w:r w:rsidR="00F37301">
        <w:rPr>
          <w:rFonts w:cs="Arial"/>
          <w:bCs/>
          <w:sz w:val="22"/>
          <w:szCs w:val="22"/>
        </w:rPr>
        <w:t>was not</w:t>
      </w:r>
      <w:r w:rsidR="00FE2387">
        <w:rPr>
          <w:rFonts w:cs="Arial"/>
          <w:bCs/>
          <w:sz w:val="22"/>
          <w:szCs w:val="22"/>
        </w:rPr>
        <w:t xml:space="preserve"> reasonably practical to</w:t>
      </w:r>
      <w:r w:rsidR="00F37301">
        <w:rPr>
          <w:rFonts w:cs="Arial"/>
          <w:bCs/>
          <w:sz w:val="22"/>
          <w:szCs w:val="22"/>
        </w:rPr>
        <w:t xml:space="preserve"> consult</w:t>
      </w:r>
      <w:r w:rsidR="00FE2387">
        <w:rPr>
          <w:rFonts w:cs="Arial"/>
          <w:bCs/>
          <w:sz w:val="22"/>
          <w:szCs w:val="22"/>
        </w:rPr>
        <w:t xml:space="preserve"> </w:t>
      </w:r>
      <w:r w:rsidR="00F37301">
        <w:rPr>
          <w:rFonts w:cs="Arial"/>
          <w:bCs/>
          <w:sz w:val="22"/>
          <w:szCs w:val="22"/>
        </w:rPr>
        <w:t xml:space="preserve">more broadly as this instrument was required as a matter of urgency </w:t>
      </w:r>
      <w:r w:rsidR="006A62A8">
        <w:rPr>
          <w:rFonts w:cs="Arial"/>
          <w:bCs/>
          <w:sz w:val="22"/>
          <w:szCs w:val="22"/>
        </w:rPr>
        <w:t>to ensure persons</w:t>
      </w:r>
      <w:r w:rsidR="00F37301">
        <w:rPr>
          <w:rFonts w:cs="Arial"/>
          <w:bCs/>
          <w:sz w:val="22"/>
          <w:szCs w:val="22"/>
        </w:rPr>
        <w:t xml:space="preserve"> who qualify for the DRA have </w:t>
      </w:r>
      <w:r w:rsidR="006A62A8">
        <w:rPr>
          <w:rFonts w:cs="Arial"/>
          <w:bCs/>
          <w:sz w:val="22"/>
          <w:szCs w:val="22"/>
        </w:rPr>
        <w:t xml:space="preserve">access to more beneficial </w:t>
      </w:r>
      <w:r w:rsidR="00F37301">
        <w:rPr>
          <w:rFonts w:cs="Arial"/>
          <w:bCs/>
          <w:sz w:val="22"/>
          <w:szCs w:val="22"/>
        </w:rPr>
        <w:t>payments</w:t>
      </w:r>
      <w:r w:rsidR="00FE2387">
        <w:rPr>
          <w:rFonts w:cs="Arial"/>
          <w:bCs/>
          <w:sz w:val="22"/>
          <w:szCs w:val="22"/>
        </w:rPr>
        <w:t xml:space="preserve">. </w:t>
      </w:r>
    </w:p>
    <w:p w14:paraId="33A66F7D" w14:textId="77777777" w:rsidR="00B56D66" w:rsidRPr="00FE2387" w:rsidRDefault="00B56D66" w:rsidP="00786365">
      <w:pPr>
        <w:pStyle w:val="ListParagraph"/>
        <w:ind w:left="567"/>
        <w:jc w:val="both"/>
        <w:rPr>
          <w:rFonts w:cs="Arial"/>
          <w:sz w:val="22"/>
          <w:szCs w:val="22"/>
        </w:rPr>
      </w:pPr>
    </w:p>
    <w:p w14:paraId="130FE3AE" w14:textId="65997BFB" w:rsidR="00B5309A" w:rsidRDefault="00B5309A">
      <w:pPr>
        <w:spacing w:after="200" w:line="276" w:lineRule="auto"/>
        <w:rPr>
          <w:rFonts w:cs="Arial"/>
          <w:sz w:val="22"/>
          <w:szCs w:val="22"/>
        </w:rPr>
      </w:pPr>
      <w:r>
        <w:rPr>
          <w:rFonts w:cs="Arial"/>
          <w:sz w:val="22"/>
          <w:szCs w:val="22"/>
        </w:rPr>
        <w:br w:type="page"/>
      </w:r>
    </w:p>
    <w:p w14:paraId="4FCA1AB7" w14:textId="77777777" w:rsidR="00F37301" w:rsidRPr="00F37301" w:rsidRDefault="00F37301" w:rsidP="00F37301">
      <w:pPr>
        <w:pStyle w:val="Heading2"/>
        <w:keepNext w:val="0"/>
        <w:keepLines w:val="0"/>
        <w:spacing w:before="360" w:after="120"/>
        <w:jc w:val="right"/>
        <w:rPr>
          <w:rFonts w:ascii="Times New Roman" w:eastAsiaTheme="minorHAnsi" w:hAnsi="Times New Roman" w:cstheme="minorBidi"/>
          <w:b/>
          <w:color w:val="auto"/>
          <w:sz w:val="24"/>
          <w:szCs w:val="24"/>
          <w:lang w:eastAsia="en-US"/>
        </w:rPr>
      </w:pPr>
      <w:r w:rsidRPr="00F37301">
        <w:rPr>
          <w:rFonts w:ascii="Times New Roman" w:eastAsiaTheme="minorHAnsi" w:hAnsi="Times New Roman" w:cstheme="minorBidi"/>
          <w:b/>
          <w:color w:val="auto"/>
          <w:sz w:val="24"/>
          <w:szCs w:val="24"/>
          <w:lang w:eastAsia="en-US"/>
        </w:rPr>
        <w:lastRenderedPageBreak/>
        <w:t>ATTACHMENT</w:t>
      </w:r>
    </w:p>
    <w:p w14:paraId="176FC536" w14:textId="77777777" w:rsidR="00F37301" w:rsidRPr="00F37301" w:rsidRDefault="00F37301" w:rsidP="00F37301">
      <w:pPr>
        <w:pStyle w:val="Heading2"/>
        <w:keepNext w:val="0"/>
        <w:keepLines w:val="0"/>
        <w:spacing w:before="360" w:after="120"/>
        <w:jc w:val="center"/>
        <w:rPr>
          <w:rFonts w:ascii="Times New Roman" w:eastAsiaTheme="minorHAnsi" w:hAnsi="Times New Roman" w:cstheme="minorBidi"/>
          <w:b/>
          <w:color w:val="auto"/>
          <w:sz w:val="28"/>
          <w:szCs w:val="28"/>
          <w:lang w:eastAsia="en-US"/>
        </w:rPr>
      </w:pPr>
      <w:r w:rsidRPr="00F37301">
        <w:rPr>
          <w:rFonts w:ascii="Times New Roman" w:eastAsiaTheme="minorHAnsi" w:hAnsi="Times New Roman" w:cstheme="minorBidi"/>
          <w:b/>
          <w:color w:val="auto"/>
          <w:sz w:val="28"/>
          <w:szCs w:val="28"/>
          <w:lang w:eastAsia="en-US"/>
        </w:rPr>
        <w:t>Statement of Compatibility with Human Rights</w:t>
      </w:r>
    </w:p>
    <w:p w14:paraId="35ED5D38" w14:textId="77777777" w:rsidR="00F37301" w:rsidRPr="004A7F93" w:rsidRDefault="00F37301" w:rsidP="00F37301">
      <w:pPr>
        <w:spacing w:before="120" w:after="120"/>
        <w:jc w:val="center"/>
        <w:rPr>
          <w:i/>
          <w:sz w:val="24"/>
          <w:szCs w:val="24"/>
        </w:rPr>
      </w:pPr>
      <w:r w:rsidRPr="00862376">
        <w:rPr>
          <w:sz w:val="24"/>
          <w:szCs w:val="24"/>
        </w:rPr>
        <w:t xml:space="preserve">Prepared in accordance with Part 3 of the </w:t>
      </w:r>
      <w:r w:rsidRPr="004A7F93">
        <w:rPr>
          <w:i/>
          <w:sz w:val="24"/>
          <w:szCs w:val="24"/>
        </w:rPr>
        <w:t>Human Rights (Parliamentary Scrutiny) Act 2011</w:t>
      </w:r>
    </w:p>
    <w:p w14:paraId="6E1DF473" w14:textId="77777777" w:rsidR="00F37301" w:rsidRPr="00862376" w:rsidRDefault="00F37301" w:rsidP="00F37301">
      <w:pPr>
        <w:spacing w:before="120" w:after="120"/>
        <w:jc w:val="center"/>
        <w:rPr>
          <w:i/>
          <w:sz w:val="24"/>
          <w:szCs w:val="24"/>
        </w:rPr>
      </w:pPr>
    </w:p>
    <w:p w14:paraId="0E37C815" w14:textId="77777777" w:rsidR="00F37301" w:rsidRPr="00862376" w:rsidRDefault="00F37301" w:rsidP="00F37301">
      <w:pPr>
        <w:spacing w:before="120" w:after="120"/>
        <w:jc w:val="center"/>
        <w:rPr>
          <w:b/>
          <w:i/>
          <w:sz w:val="24"/>
          <w:szCs w:val="24"/>
        </w:rPr>
      </w:pPr>
      <w:r w:rsidRPr="00862376">
        <w:rPr>
          <w:b/>
          <w:i/>
          <w:sz w:val="24"/>
          <w:szCs w:val="24"/>
        </w:rPr>
        <w:t>Social Security (Disaster recovery allowance rate calculator) Determination 2020</w:t>
      </w:r>
    </w:p>
    <w:p w14:paraId="0D037B1D" w14:textId="77777777" w:rsidR="00F37301" w:rsidRDefault="00F37301" w:rsidP="00F37301">
      <w:pPr>
        <w:spacing w:before="120" w:after="120"/>
        <w:jc w:val="center"/>
        <w:rPr>
          <w:sz w:val="24"/>
          <w:szCs w:val="24"/>
        </w:rPr>
      </w:pPr>
    </w:p>
    <w:p w14:paraId="5996C4D3" w14:textId="77777777" w:rsidR="00F37301" w:rsidRDefault="00F37301" w:rsidP="00F37301">
      <w:pPr>
        <w:spacing w:before="120" w:after="120"/>
        <w:jc w:val="center"/>
        <w:rPr>
          <w:sz w:val="24"/>
          <w:szCs w:val="24"/>
        </w:rPr>
      </w:pPr>
      <w:r>
        <w:rPr>
          <w:sz w:val="24"/>
          <w:szCs w:val="24"/>
        </w:rPr>
        <w:t xml:space="preserve">The Determination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0809C2D3" w14:textId="77777777" w:rsidR="00F37301" w:rsidRDefault="00F37301" w:rsidP="00F37301">
      <w:pPr>
        <w:spacing w:before="120" w:after="120"/>
        <w:rPr>
          <w:sz w:val="24"/>
          <w:szCs w:val="24"/>
        </w:rPr>
      </w:pPr>
    </w:p>
    <w:p w14:paraId="7983C8E7" w14:textId="77777777" w:rsidR="00F37301" w:rsidRPr="00F37301" w:rsidRDefault="00F37301" w:rsidP="00F37301">
      <w:pPr>
        <w:pStyle w:val="Heading3"/>
        <w:keepNext w:val="0"/>
        <w:keepLines w:val="0"/>
        <w:spacing w:before="120" w:after="120"/>
        <w:jc w:val="both"/>
        <w:rPr>
          <w:rFonts w:ascii="Times New Roman" w:eastAsiaTheme="minorHAnsi" w:hAnsi="Times New Roman" w:cstheme="minorBidi"/>
          <w:b/>
          <w:color w:val="auto"/>
          <w:lang w:eastAsia="en-US"/>
        </w:rPr>
      </w:pPr>
      <w:r w:rsidRPr="00F37301">
        <w:rPr>
          <w:rFonts w:ascii="Times New Roman" w:eastAsiaTheme="minorHAnsi" w:hAnsi="Times New Roman" w:cstheme="minorBidi"/>
          <w:b/>
          <w:color w:val="auto"/>
          <w:lang w:eastAsia="en-US"/>
        </w:rPr>
        <w:t xml:space="preserve">Overview of the Legislative Instrument </w:t>
      </w:r>
    </w:p>
    <w:p w14:paraId="4FBF4538" w14:textId="55072094" w:rsidR="00F37301" w:rsidRDefault="00F37301" w:rsidP="00F37301">
      <w:pPr>
        <w:spacing w:before="120" w:after="120"/>
        <w:rPr>
          <w:sz w:val="24"/>
          <w:szCs w:val="24"/>
        </w:rPr>
      </w:pPr>
      <w:r w:rsidRPr="00824E3D">
        <w:rPr>
          <w:sz w:val="24"/>
          <w:szCs w:val="24"/>
        </w:rPr>
        <w:t xml:space="preserve">This instrument is made under </w:t>
      </w:r>
      <w:r w:rsidR="00AD463D">
        <w:rPr>
          <w:sz w:val="24"/>
          <w:szCs w:val="24"/>
        </w:rPr>
        <w:t>sub</w:t>
      </w:r>
      <w:r w:rsidRPr="00824E3D">
        <w:rPr>
          <w:sz w:val="24"/>
          <w:szCs w:val="24"/>
        </w:rPr>
        <w:t xml:space="preserve">section 1061KC(2) of the </w:t>
      </w:r>
      <w:r w:rsidRPr="00824E3D">
        <w:rPr>
          <w:i/>
          <w:sz w:val="24"/>
          <w:szCs w:val="24"/>
        </w:rPr>
        <w:t>Social Security Act 1991</w:t>
      </w:r>
      <w:r>
        <w:rPr>
          <w:i/>
          <w:sz w:val="24"/>
          <w:szCs w:val="24"/>
        </w:rPr>
        <w:t xml:space="preserve"> </w:t>
      </w:r>
      <w:r>
        <w:rPr>
          <w:sz w:val="24"/>
          <w:szCs w:val="24"/>
        </w:rPr>
        <w:t>(the Act)</w:t>
      </w:r>
      <w:r w:rsidRPr="00824E3D">
        <w:rPr>
          <w:sz w:val="24"/>
          <w:szCs w:val="24"/>
        </w:rPr>
        <w:t xml:space="preserve"> which provides that the Minister must specify a method for calculating the fortnightly rate of the Disaster Recovery Allowance (DRA).  </w:t>
      </w:r>
    </w:p>
    <w:p w14:paraId="56BC04BB" w14:textId="1E7E6955" w:rsidR="00AD463D" w:rsidRPr="004A7F93" w:rsidRDefault="00AD463D" w:rsidP="004A7F93">
      <w:pPr>
        <w:spacing w:before="120" w:after="120"/>
        <w:rPr>
          <w:sz w:val="24"/>
          <w:szCs w:val="24"/>
        </w:rPr>
      </w:pPr>
      <w:r w:rsidRPr="004A7F93">
        <w:rPr>
          <w:sz w:val="24"/>
          <w:szCs w:val="24"/>
        </w:rPr>
        <w:t>The instrument will repeal and replace the Social Security (Disaster Recovery Allowance) (Rate calculator) Determination 201</w:t>
      </w:r>
      <w:r w:rsidR="00497CD0" w:rsidRPr="004A7F93">
        <w:rPr>
          <w:i/>
          <w:sz w:val="24"/>
          <w:szCs w:val="24"/>
        </w:rPr>
        <w:t>5</w:t>
      </w:r>
      <w:r w:rsidRPr="004A7F93">
        <w:rPr>
          <w:sz w:val="24"/>
          <w:szCs w:val="24"/>
        </w:rPr>
        <w:t xml:space="preserve"> (registered instrument F2015L00022) (the old instrument) to provide a more beneficial manner of calculating DRA for persons affected by a disaster determined under section 36A of the Act (a Part 2.23B major disaster). </w:t>
      </w:r>
    </w:p>
    <w:p w14:paraId="706B50AF" w14:textId="2502DD5C" w:rsidR="00AD463D" w:rsidRPr="004A7F93" w:rsidRDefault="004A7F93" w:rsidP="004A7F93">
      <w:pPr>
        <w:spacing w:before="120" w:after="120"/>
        <w:rPr>
          <w:sz w:val="24"/>
          <w:szCs w:val="24"/>
        </w:rPr>
      </w:pPr>
      <w:r w:rsidRPr="004A7F93">
        <w:rPr>
          <w:sz w:val="24"/>
          <w:szCs w:val="24"/>
        </w:rPr>
        <w:t xml:space="preserve">Under the old instrument, a person’s rate of DRA was calculated in relation to their age, living arrangements, partnered status, and whether they are responsible for a dependent child or children and if they qualified, it provided a sliding scale of DRA depending on these factors. This new instrument provides a more straightforward and beneficial calculation of DRA. It compares the person’s fortnightly income for the 13 week period after the disaster against Australian average weekly earnings. If the person’s post-disaster income is less than the average weekly earnings, the person will receive the maximum rate of Newstart or, for persons under 22 years, Youth Allowance. Factors such as age and partnered status are not taken into account to determine whether they qualify, under the new instrument – every person who qualifies receives the maximum amount based on their circumstances.  If the person’s post-disaster income for the 13 week period is more than average weekly earnings, the person does not receive an amount of DRA.  </w:t>
      </w:r>
      <w:r w:rsidR="00AD463D" w:rsidRPr="004A7F93">
        <w:rPr>
          <w:sz w:val="24"/>
          <w:szCs w:val="24"/>
        </w:rPr>
        <w:t xml:space="preserve">  </w:t>
      </w:r>
    </w:p>
    <w:p w14:paraId="7601CDC4" w14:textId="6BFE4C75" w:rsidR="00AD463D" w:rsidRPr="004A7F93" w:rsidRDefault="00AD463D" w:rsidP="004A7F93">
      <w:pPr>
        <w:spacing w:before="120" w:after="120"/>
        <w:rPr>
          <w:sz w:val="24"/>
          <w:szCs w:val="24"/>
        </w:rPr>
      </w:pPr>
      <w:r w:rsidRPr="004A7F93">
        <w:rPr>
          <w:sz w:val="24"/>
          <w:szCs w:val="24"/>
        </w:rPr>
        <w:t xml:space="preserve">A person who has been receiving DRA under the new instrument will cease to be eligible if, based on information provided by the person, their post-disaster income has increased to above the average weekly earnings amount.   </w:t>
      </w:r>
    </w:p>
    <w:p w14:paraId="2643D698" w14:textId="77777777" w:rsidR="004A7F93" w:rsidRDefault="004A7F93" w:rsidP="00F37301">
      <w:pPr>
        <w:spacing w:before="120" w:after="120"/>
        <w:rPr>
          <w:sz w:val="24"/>
          <w:szCs w:val="24"/>
        </w:rPr>
      </w:pPr>
      <w:r w:rsidRPr="004A7F93">
        <w:rPr>
          <w:sz w:val="24"/>
          <w:szCs w:val="24"/>
        </w:rPr>
        <w:t xml:space="preserve">The new instrument will commence retrospectively on 1 July 2019. This is to ensure it provides for the more beneficial calculation for persons affected by the bushfires from July 2019. This will capture bushfires in NSW, Victoria, Queensland, South Australia and Tasmania. The new instrument will apply in relation to any a Part 2.23B major disaster determined under section 36A of the Social Security Act 1991 from 1 July 2019 into the future. The retrospective commencement will not disadvantage anyone in relation to their position from 1 July 2019 until the instrument is registered. While it is anticipated the new instrument will operate beneficially for all persons affected by bushfires since 1 July 2019, in the event it would have an adverse effect on any person (e.g. their entitlement to DRA, or to a particular amount of DRA, will decrease under the new instrument), the instrument provides that the old instrument continues in force for that person. </w:t>
      </w:r>
    </w:p>
    <w:p w14:paraId="0D79B2FF" w14:textId="73C6A20E" w:rsidR="00AD463D" w:rsidRPr="00824E3D" w:rsidRDefault="00AD463D" w:rsidP="00F37301">
      <w:pPr>
        <w:spacing w:before="120" w:after="120"/>
        <w:rPr>
          <w:sz w:val="24"/>
          <w:szCs w:val="24"/>
        </w:rPr>
      </w:pPr>
      <w:r w:rsidRPr="004A7F93">
        <w:rPr>
          <w:sz w:val="24"/>
          <w:szCs w:val="24"/>
        </w:rPr>
        <w:lastRenderedPageBreak/>
        <w:t xml:space="preserve">The instrument repeals the old instrument as it replaces it from 1 July 2019 for all major disasters determined under section 36A of the Act from that date. The new instrument contains a provision saving the effect of the old instrument in the event there is anyone affected by a major disaster determined under section 36A before 1 July 2019, who would, after 1 July 2019, have still been entitled to DRA under the old instrument. </w:t>
      </w:r>
    </w:p>
    <w:p w14:paraId="755ED2C3" w14:textId="65181B5A" w:rsidR="00F37301" w:rsidRDefault="00F37301" w:rsidP="00F37301">
      <w:pPr>
        <w:spacing w:before="120" w:after="120"/>
        <w:rPr>
          <w:b/>
          <w:sz w:val="24"/>
          <w:szCs w:val="24"/>
        </w:rPr>
      </w:pPr>
    </w:p>
    <w:p w14:paraId="51C87315" w14:textId="77777777" w:rsidR="00F37301" w:rsidRPr="00F37301" w:rsidRDefault="00F37301" w:rsidP="00F37301">
      <w:pPr>
        <w:pStyle w:val="Heading3"/>
        <w:keepNext w:val="0"/>
        <w:keepLines w:val="0"/>
        <w:spacing w:before="120" w:after="120"/>
        <w:jc w:val="both"/>
        <w:rPr>
          <w:rFonts w:ascii="Times New Roman" w:eastAsiaTheme="minorHAnsi" w:hAnsi="Times New Roman" w:cstheme="minorBidi"/>
          <w:b/>
          <w:color w:val="auto"/>
          <w:lang w:eastAsia="en-US"/>
        </w:rPr>
      </w:pPr>
      <w:r w:rsidRPr="00F37301">
        <w:rPr>
          <w:rFonts w:ascii="Times New Roman" w:eastAsiaTheme="minorHAnsi" w:hAnsi="Times New Roman" w:cstheme="minorBidi"/>
          <w:b/>
          <w:color w:val="auto"/>
          <w:lang w:eastAsia="en-US"/>
        </w:rPr>
        <w:t>Human rights implications</w:t>
      </w:r>
    </w:p>
    <w:p w14:paraId="11F3CA5E" w14:textId="77777777" w:rsidR="00F37301" w:rsidRDefault="00F37301" w:rsidP="00F37301">
      <w:pPr>
        <w:spacing w:before="120" w:after="120"/>
        <w:rPr>
          <w:sz w:val="24"/>
          <w:szCs w:val="24"/>
        </w:rPr>
      </w:pPr>
      <w:r>
        <w:rPr>
          <w:sz w:val="24"/>
          <w:szCs w:val="24"/>
        </w:rPr>
        <w:t>The instrument takes steps to promote the economic and social rights of persons affected by major disasters, specifically:</w:t>
      </w:r>
    </w:p>
    <w:p w14:paraId="50A7348A" w14:textId="77777777" w:rsidR="00F37301" w:rsidRPr="002440CD" w:rsidRDefault="00F37301" w:rsidP="00F37301">
      <w:pPr>
        <w:pStyle w:val="ListParagraph"/>
        <w:numPr>
          <w:ilvl w:val="0"/>
          <w:numId w:val="8"/>
        </w:numPr>
        <w:spacing w:before="120" w:after="120"/>
        <w:contextualSpacing w:val="0"/>
        <w:rPr>
          <w:sz w:val="24"/>
          <w:szCs w:val="24"/>
        </w:rPr>
      </w:pPr>
      <w:r w:rsidRPr="002440CD">
        <w:rPr>
          <w:sz w:val="24"/>
          <w:szCs w:val="24"/>
        </w:rPr>
        <w:t>the right to social security (Article 9, International Covenant on Economic, Social and Cultural Rights (ICESCR) and Article 26, Convention on the Rights of the Child (CRC))</w:t>
      </w:r>
    </w:p>
    <w:p w14:paraId="39977B68" w14:textId="77777777" w:rsidR="00F37301" w:rsidRPr="002440CD" w:rsidRDefault="00F37301" w:rsidP="00F37301">
      <w:pPr>
        <w:spacing w:before="120" w:after="120"/>
        <w:rPr>
          <w:i/>
          <w:sz w:val="24"/>
          <w:szCs w:val="24"/>
        </w:rPr>
      </w:pPr>
      <w:r w:rsidRPr="002440CD">
        <w:rPr>
          <w:i/>
          <w:sz w:val="24"/>
          <w:szCs w:val="24"/>
        </w:rPr>
        <w:t xml:space="preserve">Right to social security </w:t>
      </w:r>
    </w:p>
    <w:p w14:paraId="0366267E" w14:textId="77777777" w:rsidR="00F37301" w:rsidRDefault="00F37301" w:rsidP="00F37301">
      <w:pPr>
        <w:spacing w:before="120" w:after="120"/>
        <w:rPr>
          <w:sz w:val="24"/>
          <w:szCs w:val="24"/>
        </w:rPr>
      </w:pPr>
      <w:r>
        <w:rPr>
          <w:sz w:val="24"/>
          <w:szCs w:val="24"/>
        </w:rPr>
        <w:t>Article 9 of the ICESCR states:</w:t>
      </w:r>
    </w:p>
    <w:p w14:paraId="00DF5DDC" w14:textId="77777777" w:rsidR="00F37301" w:rsidRDefault="00F37301" w:rsidP="00F37301">
      <w:pPr>
        <w:spacing w:before="120" w:after="120"/>
        <w:ind w:left="720"/>
        <w:rPr>
          <w:i/>
          <w:sz w:val="24"/>
          <w:szCs w:val="24"/>
        </w:rPr>
      </w:pPr>
      <w:r>
        <w:rPr>
          <w:i/>
          <w:sz w:val="24"/>
          <w:szCs w:val="24"/>
        </w:rPr>
        <w:t>The States Parties to the present Covenant recognize the right of everyone to social security, including social insurance.</w:t>
      </w:r>
    </w:p>
    <w:p w14:paraId="1420693C" w14:textId="77777777" w:rsidR="00F37301" w:rsidRDefault="00F37301" w:rsidP="00F37301">
      <w:pPr>
        <w:spacing w:before="120" w:after="120"/>
        <w:rPr>
          <w:sz w:val="24"/>
          <w:szCs w:val="24"/>
        </w:rPr>
      </w:pPr>
      <w:r>
        <w:rPr>
          <w:sz w:val="24"/>
          <w:szCs w:val="24"/>
        </w:rPr>
        <w:t>Article 26 of the CRC states:</w:t>
      </w:r>
    </w:p>
    <w:p w14:paraId="3A71F1FF" w14:textId="77777777" w:rsidR="00F37301" w:rsidRDefault="00F37301" w:rsidP="00F37301">
      <w:pPr>
        <w:spacing w:before="120" w:after="120"/>
        <w:ind w:left="720"/>
        <w:rPr>
          <w:i/>
          <w:sz w:val="24"/>
          <w:szCs w:val="24"/>
        </w:rPr>
      </w:pPr>
      <w:r w:rsidRPr="00E320CB">
        <w:rPr>
          <w:i/>
          <w:sz w:val="24"/>
          <w:szCs w:val="24"/>
        </w:rPr>
        <w:t>1.</w:t>
      </w:r>
      <w:r>
        <w:rPr>
          <w:i/>
          <w:sz w:val="24"/>
          <w:szCs w:val="24"/>
        </w:rPr>
        <w:t xml:space="preserve"> States Parties shall recognize for every child the right to benefit from social security, including social insurance, and shall take the necessary measures to achieve the full realization of this right in accordance with their national law.</w:t>
      </w:r>
    </w:p>
    <w:p w14:paraId="405DA8C1" w14:textId="77777777" w:rsidR="00F37301" w:rsidRPr="00FC1A67" w:rsidRDefault="00F37301" w:rsidP="00F37301">
      <w:pPr>
        <w:spacing w:before="120" w:after="120"/>
        <w:ind w:left="720"/>
        <w:rPr>
          <w:i/>
          <w:sz w:val="24"/>
          <w:szCs w:val="24"/>
        </w:rPr>
      </w:pPr>
      <w:r>
        <w:rPr>
          <w:i/>
          <w:sz w:val="24"/>
          <w:szCs w:val="24"/>
        </w:rPr>
        <w:t>2. The benefits should, where appropriate, be granted, taking into account the resources and the circumstances of the child and persons having responsibility for the maintenance of the child, as well as any other consideration relevant to an application for benefits made by or on behalf of the child.</w:t>
      </w:r>
    </w:p>
    <w:p w14:paraId="641FBF7D" w14:textId="4E79DAD5" w:rsidR="00F37301" w:rsidRPr="002440CD" w:rsidRDefault="00F37301" w:rsidP="00F37301">
      <w:pPr>
        <w:spacing w:before="120" w:after="120"/>
        <w:rPr>
          <w:sz w:val="24"/>
          <w:szCs w:val="24"/>
        </w:rPr>
      </w:pPr>
      <w:r w:rsidRPr="002440CD">
        <w:rPr>
          <w:sz w:val="24"/>
          <w:szCs w:val="24"/>
        </w:rPr>
        <w:t xml:space="preserve">Article 9 of </w:t>
      </w:r>
      <w:r>
        <w:rPr>
          <w:sz w:val="24"/>
          <w:szCs w:val="24"/>
        </w:rPr>
        <w:t xml:space="preserve">ICESCR and Article 26 of the CRC require States to recognise the right of everyone to social security, including social insurance, including establishing </w:t>
      </w:r>
      <w:r w:rsidRPr="002440CD">
        <w:rPr>
          <w:sz w:val="24"/>
          <w:szCs w:val="24"/>
        </w:rPr>
        <w:t xml:space="preserve">a </w:t>
      </w:r>
      <w:r>
        <w:rPr>
          <w:sz w:val="24"/>
          <w:szCs w:val="24"/>
        </w:rPr>
        <w:t xml:space="preserve">social security </w:t>
      </w:r>
      <w:r w:rsidRPr="002440CD">
        <w:rPr>
          <w:sz w:val="24"/>
          <w:szCs w:val="24"/>
        </w:rPr>
        <w:t>system under domestic law, and that public authorities must take responsibility for the effective administration of the system. The social security scheme must</w:t>
      </w:r>
      <w:r>
        <w:rPr>
          <w:sz w:val="24"/>
          <w:szCs w:val="24"/>
        </w:rPr>
        <w:t>, within the States maximum available resources,</w:t>
      </w:r>
      <w:r w:rsidRPr="002440CD">
        <w:rPr>
          <w:sz w:val="24"/>
          <w:szCs w:val="24"/>
        </w:rPr>
        <w:t xml:space="preserve"> provide a minimum essential level of benefits to all individuals and families that enable them to </w:t>
      </w:r>
      <w:r w:rsidRPr="004A7F93">
        <w:rPr>
          <w:sz w:val="24"/>
          <w:szCs w:val="24"/>
        </w:rPr>
        <w:t>acquire at least essential health care, basic shelter and housing, water and sanitation, foodstuffs, and the most basic forms of education</w:t>
      </w:r>
      <w:r w:rsidRPr="002440CD">
        <w:rPr>
          <w:sz w:val="24"/>
          <w:szCs w:val="24"/>
        </w:rPr>
        <w:t xml:space="preserve">. </w:t>
      </w:r>
    </w:p>
    <w:p w14:paraId="31021446" w14:textId="77777777" w:rsidR="00F37301" w:rsidRDefault="00F37301" w:rsidP="00F37301">
      <w:pPr>
        <w:spacing w:before="120" w:after="120"/>
        <w:rPr>
          <w:sz w:val="24"/>
          <w:szCs w:val="24"/>
        </w:rPr>
      </w:pPr>
      <w:r>
        <w:rPr>
          <w:sz w:val="24"/>
          <w:szCs w:val="24"/>
        </w:rPr>
        <w:t xml:space="preserve">The Instrument promotes the right to social security of those persons entitled to the DRA by ensuring there is a </w:t>
      </w:r>
      <w:r w:rsidRPr="00824E3D">
        <w:rPr>
          <w:sz w:val="24"/>
          <w:szCs w:val="24"/>
        </w:rPr>
        <w:t>straightforward calculation of DRA</w:t>
      </w:r>
      <w:r>
        <w:rPr>
          <w:sz w:val="24"/>
          <w:szCs w:val="24"/>
        </w:rPr>
        <w:t>s that should be more beneficial than that available under the old determination. If the amount a person was entitled to under the old determination is higher, the person will continue to be entitled to that amount. As a result, the Instrument does not reduce payment for or otherwise disadvantage those with existing DRA entitlements.</w:t>
      </w:r>
    </w:p>
    <w:p w14:paraId="37D0908E" w14:textId="77777777" w:rsidR="00F37301" w:rsidRDefault="00F37301" w:rsidP="00F37301">
      <w:pPr>
        <w:spacing w:before="120" w:after="120"/>
        <w:rPr>
          <w:sz w:val="24"/>
          <w:szCs w:val="24"/>
        </w:rPr>
      </w:pPr>
      <w:r w:rsidRPr="002440CD">
        <w:rPr>
          <w:sz w:val="24"/>
          <w:szCs w:val="24"/>
        </w:rPr>
        <w:t>The financial assistance provided</w:t>
      </w:r>
      <w:r>
        <w:rPr>
          <w:sz w:val="24"/>
          <w:szCs w:val="24"/>
        </w:rPr>
        <w:t xml:space="preserve"> by the DRA</w:t>
      </w:r>
      <w:r w:rsidRPr="002440CD">
        <w:rPr>
          <w:sz w:val="24"/>
          <w:szCs w:val="24"/>
        </w:rPr>
        <w:t xml:space="preserve"> does not replace other forms of welfare that might be available to the person.</w:t>
      </w:r>
      <w:r>
        <w:rPr>
          <w:sz w:val="24"/>
          <w:szCs w:val="24"/>
        </w:rPr>
        <w:t xml:space="preserve"> Where a person may receive a greater rate of payment from another income support payment, their right to apply for another payment is retained. </w:t>
      </w:r>
    </w:p>
    <w:p w14:paraId="57466A3B" w14:textId="77777777" w:rsidR="00F37301" w:rsidRPr="00000DEE" w:rsidRDefault="00F37301" w:rsidP="00F37301">
      <w:pPr>
        <w:spacing w:before="120" w:after="120"/>
        <w:rPr>
          <w:b/>
          <w:sz w:val="24"/>
          <w:szCs w:val="24"/>
        </w:rPr>
      </w:pPr>
      <w:r>
        <w:rPr>
          <w:sz w:val="24"/>
          <w:szCs w:val="24"/>
        </w:rPr>
        <w:t xml:space="preserve">This will positively affect human rights and will generally advance the right to social security for those entitled to the DRA. </w:t>
      </w:r>
    </w:p>
    <w:p w14:paraId="0B888C73" w14:textId="77777777" w:rsidR="004A7F93" w:rsidRDefault="004A7F93">
      <w:pPr>
        <w:spacing w:after="200" w:line="276" w:lineRule="auto"/>
        <w:rPr>
          <w:rFonts w:eastAsiaTheme="minorHAnsi" w:cstheme="minorBidi"/>
          <w:b/>
          <w:sz w:val="24"/>
          <w:szCs w:val="24"/>
          <w:lang w:eastAsia="en-US"/>
        </w:rPr>
      </w:pPr>
      <w:r>
        <w:rPr>
          <w:rFonts w:eastAsiaTheme="minorHAnsi" w:cstheme="minorBidi"/>
          <w:b/>
          <w:lang w:eastAsia="en-US"/>
        </w:rPr>
        <w:br w:type="page"/>
      </w:r>
    </w:p>
    <w:p w14:paraId="436640AF" w14:textId="7C3EAD3A" w:rsidR="00F37301" w:rsidRDefault="00F37301" w:rsidP="00F37301">
      <w:pPr>
        <w:pStyle w:val="Heading3"/>
        <w:keepNext w:val="0"/>
        <w:keepLines w:val="0"/>
        <w:spacing w:before="120" w:after="120"/>
        <w:jc w:val="both"/>
      </w:pPr>
      <w:r w:rsidRPr="00F37301">
        <w:rPr>
          <w:rFonts w:ascii="Times New Roman" w:eastAsiaTheme="minorHAnsi" w:hAnsi="Times New Roman" w:cstheme="minorBidi"/>
          <w:b/>
          <w:color w:val="auto"/>
          <w:lang w:eastAsia="en-US"/>
        </w:rPr>
        <w:lastRenderedPageBreak/>
        <w:t xml:space="preserve">Conclusion </w:t>
      </w:r>
    </w:p>
    <w:p w14:paraId="44CC5EF4" w14:textId="77777777" w:rsidR="00F37301" w:rsidRDefault="00F37301" w:rsidP="00F37301">
      <w:pPr>
        <w:spacing w:before="120" w:after="120"/>
        <w:rPr>
          <w:sz w:val="24"/>
          <w:szCs w:val="24"/>
        </w:rPr>
      </w:pPr>
      <w:r>
        <w:rPr>
          <w:sz w:val="24"/>
          <w:szCs w:val="24"/>
        </w:rPr>
        <w:t>The Disallowable Legislative Instrument is compatible with human rights as it supports and promotes the right to social security.</w:t>
      </w:r>
    </w:p>
    <w:p w14:paraId="6F638743" w14:textId="77777777" w:rsidR="00F37301" w:rsidRDefault="00F37301" w:rsidP="00F37301">
      <w:pPr>
        <w:spacing w:before="120" w:after="120"/>
        <w:jc w:val="center"/>
        <w:rPr>
          <w:b/>
          <w:sz w:val="24"/>
          <w:szCs w:val="24"/>
        </w:rPr>
      </w:pPr>
      <w:r>
        <w:rPr>
          <w:b/>
          <w:sz w:val="24"/>
          <w:szCs w:val="24"/>
        </w:rPr>
        <w:t>The Honourable David Littleproud</w:t>
      </w:r>
    </w:p>
    <w:p w14:paraId="58490043" w14:textId="77777777" w:rsidR="00F37301" w:rsidRPr="00945D73" w:rsidRDefault="00F37301" w:rsidP="00F37301">
      <w:pPr>
        <w:spacing w:before="120" w:after="120"/>
        <w:jc w:val="center"/>
        <w:rPr>
          <w:b/>
          <w:sz w:val="24"/>
          <w:szCs w:val="24"/>
        </w:rPr>
      </w:pPr>
      <w:r>
        <w:rPr>
          <w:b/>
          <w:sz w:val="24"/>
          <w:szCs w:val="24"/>
        </w:rPr>
        <w:t>Minister for Water Resources, Drought, Rural Finance, Natural Disaster and Emergency Management</w:t>
      </w:r>
    </w:p>
    <w:p w14:paraId="039BEBFA" w14:textId="77777777" w:rsidR="00F37301" w:rsidRDefault="00F37301" w:rsidP="00F37301">
      <w:pPr>
        <w:spacing w:before="120" w:after="120"/>
        <w:rPr>
          <w:sz w:val="24"/>
          <w:szCs w:val="24"/>
        </w:rPr>
      </w:pPr>
    </w:p>
    <w:p w14:paraId="0CC706F7" w14:textId="545166C7" w:rsidR="00203B0A" w:rsidRDefault="00203B0A" w:rsidP="00203B0A">
      <w:pPr>
        <w:spacing w:before="120" w:after="120"/>
        <w:rPr>
          <w:sz w:val="24"/>
          <w:szCs w:val="24"/>
        </w:rPr>
      </w:pPr>
    </w:p>
    <w:sectPr w:rsidR="00203B0A" w:rsidSect="004A7F93">
      <w:foot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C1C0" w14:textId="77777777" w:rsidR="00203B0A" w:rsidRDefault="00203B0A" w:rsidP="00203B0A">
      <w:r>
        <w:separator/>
      </w:r>
    </w:p>
  </w:endnote>
  <w:endnote w:type="continuationSeparator" w:id="0">
    <w:p w14:paraId="2DA6D95F" w14:textId="77777777" w:rsidR="00203B0A" w:rsidRDefault="00203B0A" w:rsidP="002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297799"/>
      <w:docPartObj>
        <w:docPartGallery w:val="Page Numbers (Bottom of Page)"/>
        <w:docPartUnique/>
      </w:docPartObj>
    </w:sdtPr>
    <w:sdtEndPr>
      <w:rPr>
        <w:noProof/>
      </w:rPr>
    </w:sdtEndPr>
    <w:sdtContent>
      <w:p w14:paraId="65A73629" w14:textId="0D5C2454" w:rsidR="00203B0A" w:rsidRDefault="00203B0A">
        <w:pPr>
          <w:pStyle w:val="Footer"/>
          <w:jc w:val="right"/>
        </w:pPr>
        <w:r>
          <w:fldChar w:fldCharType="begin"/>
        </w:r>
        <w:r>
          <w:instrText xml:space="preserve"> PAGE   \* MERGEFORMAT </w:instrText>
        </w:r>
        <w:r>
          <w:fldChar w:fldCharType="separate"/>
        </w:r>
        <w:r w:rsidR="00347566">
          <w:rPr>
            <w:noProof/>
          </w:rPr>
          <w:t>3</w:t>
        </w:r>
        <w:r>
          <w:rPr>
            <w:noProof/>
          </w:rPr>
          <w:fldChar w:fldCharType="end"/>
        </w:r>
      </w:p>
    </w:sdtContent>
  </w:sdt>
  <w:p w14:paraId="5AD5A81F" w14:textId="77777777" w:rsidR="00203B0A" w:rsidRDefault="0020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962AC" w14:textId="77777777" w:rsidR="00203B0A" w:rsidRDefault="00203B0A" w:rsidP="00203B0A">
      <w:r>
        <w:separator/>
      </w:r>
    </w:p>
  </w:footnote>
  <w:footnote w:type="continuationSeparator" w:id="0">
    <w:p w14:paraId="20EBB751" w14:textId="77777777" w:rsidR="00203B0A" w:rsidRDefault="00203B0A" w:rsidP="0020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0EC0"/>
    <w:multiLevelType w:val="hybridMultilevel"/>
    <w:tmpl w:val="3F2492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 w15:restartNumberingAfterBreak="0">
    <w:nsid w:val="1B0E22DD"/>
    <w:multiLevelType w:val="hybridMultilevel"/>
    <w:tmpl w:val="4F1438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A873F4"/>
    <w:multiLevelType w:val="hybridMultilevel"/>
    <w:tmpl w:val="E82EE792"/>
    <w:lvl w:ilvl="0" w:tplc="8026987A">
      <w:start w:val="1"/>
      <w:numFmt w:val="decimal"/>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3" w15:restartNumberingAfterBreak="0">
    <w:nsid w:val="3A8B27EB"/>
    <w:multiLevelType w:val="hybridMultilevel"/>
    <w:tmpl w:val="2BC80BE4"/>
    <w:lvl w:ilvl="0" w:tplc="19F06322">
      <w:start w:val="1"/>
      <w:numFmt w:val="lowerLetter"/>
      <w:lvlText w:val="(%1)"/>
      <w:lvlJc w:val="left"/>
      <w:pPr>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2E0478"/>
    <w:multiLevelType w:val="singleLevel"/>
    <w:tmpl w:val="217863B8"/>
    <w:lvl w:ilvl="0">
      <w:start w:val="1"/>
      <w:numFmt w:val="decimal"/>
      <w:pStyle w:val="Paragraphnumbered"/>
      <w:lvlText w:val="%1."/>
      <w:lvlJc w:val="left"/>
      <w:pPr>
        <w:ind w:left="567" w:hanging="567"/>
      </w:pPr>
      <w:rPr>
        <w:rFonts w:hint="default"/>
        <w:b w:val="0"/>
        <w:sz w:val="24"/>
        <w:szCs w:val="24"/>
      </w:rPr>
    </w:lvl>
  </w:abstractNum>
  <w:abstractNum w:abstractNumId="5" w15:restartNumberingAfterBreak="0">
    <w:nsid w:val="5055021A"/>
    <w:multiLevelType w:val="hybridMultilevel"/>
    <w:tmpl w:val="9724B4C4"/>
    <w:lvl w:ilvl="0" w:tplc="19F06322">
      <w:start w:val="1"/>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6" w15:restartNumberingAfterBreak="0">
    <w:nsid w:val="64834F66"/>
    <w:multiLevelType w:val="hybridMultilevel"/>
    <w:tmpl w:val="5E2AC9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60E2C"/>
    <w:multiLevelType w:val="hybridMultilevel"/>
    <w:tmpl w:val="C2AE3366"/>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6E"/>
    <w:rsid w:val="000052F3"/>
    <w:rsid w:val="000763A8"/>
    <w:rsid w:val="000F3B4A"/>
    <w:rsid w:val="000F47AB"/>
    <w:rsid w:val="00121F6A"/>
    <w:rsid w:val="0013751E"/>
    <w:rsid w:val="00142D08"/>
    <w:rsid w:val="001563E7"/>
    <w:rsid w:val="00172868"/>
    <w:rsid w:val="001737E8"/>
    <w:rsid w:val="00184F2E"/>
    <w:rsid w:val="0018749B"/>
    <w:rsid w:val="001C56F0"/>
    <w:rsid w:val="001E21B3"/>
    <w:rsid w:val="00203B0A"/>
    <w:rsid w:val="0020697F"/>
    <w:rsid w:val="00215A48"/>
    <w:rsid w:val="00225DC3"/>
    <w:rsid w:val="00250291"/>
    <w:rsid w:val="002579BB"/>
    <w:rsid w:val="00270D6A"/>
    <w:rsid w:val="00273ABF"/>
    <w:rsid w:val="00283035"/>
    <w:rsid w:val="002A4A33"/>
    <w:rsid w:val="00302B6E"/>
    <w:rsid w:val="00306F46"/>
    <w:rsid w:val="003371C6"/>
    <w:rsid w:val="003453F0"/>
    <w:rsid w:val="00347566"/>
    <w:rsid w:val="00361BAA"/>
    <w:rsid w:val="00380286"/>
    <w:rsid w:val="00380CCD"/>
    <w:rsid w:val="00397219"/>
    <w:rsid w:val="003B0F21"/>
    <w:rsid w:val="003C45CD"/>
    <w:rsid w:val="0040011B"/>
    <w:rsid w:val="0041578B"/>
    <w:rsid w:val="00454BEC"/>
    <w:rsid w:val="00460C40"/>
    <w:rsid w:val="00492137"/>
    <w:rsid w:val="00497CD0"/>
    <w:rsid w:val="004A53E7"/>
    <w:rsid w:val="004A7F93"/>
    <w:rsid w:val="004B0D6F"/>
    <w:rsid w:val="004D789A"/>
    <w:rsid w:val="005216AC"/>
    <w:rsid w:val="00572C58"/>
    <w:rsid w:val="005855EE"/>
    <w:rsid w:val="005E4021"/>
    <w:rsid w:val="005E60A6"/>
    <w:rsid w:val="005F7BBB"/>
    <w:rsid w:val="00615B6A"/>
    <w:rsid w:val="00624E12"/>
    <w:rsid w:val="00626CD4"/>
    <w:rsid w:val="0063761B"/>
    <w:rsid w:val="00653294"/>
    <w:rsid w:val="00672941"/>
    <w:rsid w:val="00686F38"/>
    <w:rsid w:val="006A62A8"/>
    <w:rsid w:val="006C1334"/>
    <w:rsid w:val="006C7807"/>
    <w:rsid w:val="0071546C"/>
    <w:rsid w:val="0073307B"/>
    <w:rsid w:val="0074646B"/>
    <w:rsid w:val="00770418"/>
    <w:rsid w:val="007723E8"/>
    <w:rsid w:val="00786365"/>
    <w:rsid w:val="007874E9"/>
    <w:rsid w:val="007A72A2"/>
    <w:rsid w:val="007B3D2F"/>
    <w:rsid w:val="007C1F54"/>
    <w:rsid w:val="007D5D56"/>
    <w:rsid w:val="007E4DD8"/>
    <w:rsid w:val="007F3A4E"/>
    <w:rsid w:val="007F7696"/>
    <w:rsid w:val="00815BC6"/>
    <w:rsid w:val="00823E65"/>
    <w:rsid w:val="00865570"/>
    <w:rsid w:val="008676F7"/>
    <w:rsid w:val="00880524"/>
    <w:rsid w:val="008D2AA9"/>
    <w:rsid w:val="008E15DF"/>
    <w:rsid w:val="00927AFA"/>
    <w:rsid w:val="00941B4D"/>
    <w:rsid w:val="009433B8"/>
    <w:rsid w:val="0097665A"/>
    <w:rsid w:val="00981FA0"/>
    <w:rsid w:val="0098583E"/>
    <w:rsid w:val="009B3A0F"/>
    <w:rsid w:val="009B790F"/>
    <w:rsid w:val="00A21D51"/>
    <w:rsid w:val="00A313D8"/>
    <w:rsid w:val="00A72F4D"/>
    <w:rsid w:val="00AA4345"/>
    <w:rsid w:val="00AD463D"/>
    <w:rsid w:val="00AE5D6B"/>
    <w:rsid w:val="00B44F79"/>
    <w:rsid w:val="00B5309A"/>
    <w:rsid w:val="00B550FE"/>
    <w:rsid w:val="00B56D66"/>
    <w:rsid w:val="00B73522"/>
    <w:rsid w:val="00BC31FA"/>
    <w:rsid w:val="00BF33D0"/>
    <w:rsid w:val="00C26CBE"/>
    <w:rsid w:val="00C43FAB"/>
    <w:rsid w:val="00C60377"/>
    <w:rsid w:val="00C60C93"/>
    <w:rsid w:val="00C73101"/>
    <w:rsid w:val="00D32803"/>
    <w:rsid w:val="00D375B7"/>
    <w:rsid w:val="00D42F0D"/>
    <w:rsid w:val="00D52A8D"/>
    <w:rsid w:val="00D67223"/>
    <w:rsid w:val="00D673C9"/>
    <w:rsid w:val="00D97870"/>
    <w:rsid w:val="00DB356E"/>
    <w:rsid w:val="00DB72AE"/>
    <w:rsid w:val="00E3604D"/>
    <w:rsid w:val="00E46CCC"/>
    <w:rsid w:val="00E64FB5"/>
    <w:rsid w:val="00E83D7A"/>
    <w:rsid w:val="00E96880"/>
    <w:rsid w:val="00ED1EC0"/>
    <w:rsid w:val="00F37301"/>
    <w:rsid w:val="00FD1061"/>
    <w:rsid w:val="00FE2387"/>
    <w:rsid w:val="00FE27B3"/>
    <w:rsid w:val="00FF1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C845"/>
  <w15:docId w15:val="{EBC9B287-4E54-4559-B9F1-A79CE672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6E"/>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A72F4D"/>
    <w:pPr>
      <w:keepNext/>
      <w:jc w:val="center"/>
      <w:outlineLvl w:val="0"/>
    </w:pPr>
    <w:rPr>
      <w:b/>
      <w:sz w:val="24"/>
      <w:u w:val="single"/>
    </w:rPr>
  </w:style>
  <w:style w:type="paragraph" w:styleId="Heading2">
    <w:name w:val="heading 2"/>
    <w:basedOn w:val="Normal"/>
    <w:next w:val="Normal"/>
    <w:link w:val="Heading2Char"/>
    <w:uiPriority w:val="9"/>
    <w:unhideWhenUsed/>
    <w:qFormat/>
    <w:rsid w:val="00F373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373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02B6E"/>
  </w:style>
  <w:style w:type="character" w:customStyle="1" w:styleId="CommentTextChar">
    <w:name w:val="Comment Text Char"/>
    <w:basedOn w:val="DefaultParagraphFont"/>
    <w:link w:val="CommentText"/>
    <w:uiPriority w:val="99"/>
    <w:rsid w:val="00302B6E"/>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927AFA"/>
    <w:pPr>
      <w:ind w:left="720"/>
      <w:contextualSpacing/>
    </w:pPr>
  </w:style>
  <w:style w:type="paragraph" w:styleId="BalloonText">
    <w:name w:val="Balloon Text"/>
    <w:basedOn w:val="Normal"/>
    <w:link w:val="BalloonTextChar"/>
    <w:uiPriority w:val="99"/>
    <w:semiHidden/>
    <w:unhideWhenUsed/>
    <w:rsid w:val="00927AFA"/>
    <w:rPr>
      <w:rFonts w:ascii="Tahoma" w:hAnsi="Tahoma" w:cs="Tahoma"/>
      <w:sz w:val="16"/>
      <w:szCs w:val="16"/>
    </w:rPr>
  </w:style>
  <w:style w:type="character" w:customStyle="1" w:styleId="BalloonTextChar">
    <w:name w:val="Balloon Text Char"/>
    <w:basedOn w:val="DefaultParagraphFont"/>
    <w:link w:val="BalloonText"/>
    <w:uiPriority w:val="99"/>
    <w:semiHidden/>
    <w:rsid w:val="00927AFA"/>
    <w:rPr>
      <w:rFonts w:ascii="Tahoma" w:eastAsia="Times New Roman" w:hAnsi="Tahoma" w:cs="Tahoma"/>
      <w:sz w:val="16"/>
      <w:szCs w:val="16"/>
      <w:lang w:eastAsia="en-AU"/>
    </w:rPr>
  </w:style>
  <w:style w:type="paragraph" w:customStyle="1" w:styleId="Paragraphnumbered">
    <w:name w:val="Paragraph (numbered)"/>
    <w:basedOn w:val="Normal"/>
    <w:uiPriority w:val="99"/>
    <w:rsid w:val="00203B0A"/>
    <w:pPr>
      <w:numPr>
        <w:numId w:val="2"/>
      </w:numPr>
      <w:spacing w:before="240" w:line="260" w:lineRule="atLeast"/>
    </w:pPr>
    <w:rPr>
      <w:sz w:val="22"/>
      <w:szCs w:val="24"/>
    </w:rPr>
  </w:style>
  <w:style w:type="paragraph" w:styleId="Header">
    <w:name w:val="header"/>
    <w:basedOn w:val="Normal"/>
    <w:link w:val="HeaderChar"/>
    <w:uiPriority w:val="99"/>
    <w:unhideWhenUsed/>
    <w:rsid w:val="00203B0A"/>
    <w:pPr>
      <w:tabs>
        <w:tab w:val="center" w:pos="4513"/>
        <w:tab w:val="right" w:pos="9026"/>
      </w:tabs>
    </w:pPr>
  </w:style>
  <w:style w:type="character" w:customStyle="1" w:styleId="HeaderChar">
    <w:name w:val="Header Char"/>
    <w:basedOn w:val="DefaultParagraphFont"/>
    <w:link w:val="Header"/>
    <w:uiPriority w:val="99"/>
    <w:rsid w:val="00203B0A"/>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203B0A"/>
    <w:pPr>
      <w:tabs>
        <w:tab w:val="center" w:pos="4513"/>
        <w:tab w:val="right" w:pos="9026"/>
      </w:tabs>
    </w:pPr>
  </w:style>
  <w:style w:type="character" w:customStyle="1" w:styleId="FooterChar">
    <w:name w:val="Footer Char"/>
    <w:basedOn w:val="DefaultParagraphFont"/>
    <w:link w:val="Footer"/>
    <w:uiPriority w:val="99"/>
    <w:rsid w:val="00203B0A"/>
    <w:rPr>
      <w:rFonts w:ascii="Times New Roman" w:eastAsia="Times New Roman" w:hAnsi="Times New Roman" w:cs="Times New Roman"/>
      <w:sz w:val="20"/>
      <w:szCs w:val="20"/>
      <w:lang w:eastAsia="en-AU"/>
    </w:rPr>
  </w:style>
  <w:style w:type="character" w:customStyle="1" w:styleId="Heading1Char">
    <w:name w:val="Heading 1 Char"/>
    <w:basedOn w:val="DefaultParagraphFont"/>
    <w:link w:val="Heading1"/>
    <w:rsid w:val="00A72F4D"/>
    <w:rPr>
      <w:rFonts w:ascii="Times New Roman" w:eastAsia="Times New Roman" w:hAnsi="Times New Roman" w:cs="Times New Roman"/>
      <w:b/>
      <w:sz w:val="24"/>
      <w:szCs w:val="20"/>
      <w:u w:val="single"/>
      <w:lang w:eastAsia="en-AU"/>
    </w:rPr>
  </w:style>
  <w:style w:type="character" w:styleId="CommentReference">
    <w:name w:val="annotation reference"/>
    <w:basedOn w:val="DefaultParagraphFont"/>
    <w:uiPriority w:val="99"/>
    <w:semiHidden/>
    <w:unhideWhenUsed/>
    <w:rsid w:val="009B790F"/>
    <w:rPr>
      <w:sz w:val="16"/>
      <w:szCs w:val="16"/>
    </w:rPr>
  </w:style>
  <w:style w:type="paragraph" w:styleId="CommentSubject">
    <w:name w:val="annotation subject"/>
    <w:basedOn w:val="CommentText"/>
    <w:next w:val="CommentText"/>
    <w:link w:val="CommentSubjectChar"/>
    <w:uiPriority w:val="99"/>
    <w:semiHidden/>
    <w:unhideWhenUsed/>
    <w:rsid w:val="009B790F"/>
    <w:rPr>
      <w:b/>
      <w:bCs/>
    </w:rPr>
  </w:style>
  <w:style w:type="character" w:customStyle="1" w:styleId="CommentSubjectChar">
    <w:name w:val="Comment Subject Char"/>
    <w:basedOn w:val="CommentTextChar"/>
    <w:link w:val="CommentSubject"/>
    <w:uiPriority w:val="99"/>
    <w:semiHidden/>
    <w:rsid w:val="009B790F"/>
    <w:rPr>
      <w:rFonts w:ascii="Times New Roman" w:eastAsia="Times New Roman" w:hAnsi="Times New Roman" w:cs="Times New Roman"/>
      <w:b/>
      <w:bCs/>
      <w:sz w:val="20"/>
      <w:szCs w:val="20"/>
      <w:lang w:eastAsia="en-AU"/>
    </w:rPr>
  </w:style>
  <w:style w:type="paragraph" w:customStyle="1" w:styleId="paragraphnumbered0">
    <w:name w:val="paragraphnumbered"/>
    <w:basedOn w:val="Normal"/>
    <w:rsid w:val="00B5309A"/>
    <w:pPr>
      <w:spacing w:before="100" w:beforeAutospacing="1" w:after="100" w:afterAutospacing="1"/>
    </w:pPr>
    <w:rPr>
      <w:sz w:val="24"/>
      <w:szCs w:val="24"/>
    </w:rPr>
  </w:style>
  <w:style w:type="character" w:customStyle="1" w:styleId="LDItal">
    <w:name w:val="LDItal"/>
    <w:uiPriority w:val="1"/>
    <w:qFormat/>
    <w:rsid w:val="00B5309A"/>
    <w:rPr>
      <w:i/>
      <w:szCs w:val="22"/>
      <w:lang w:val="en-US"/>
    </w:rPr>
  </w:style>
  <w:style w:type="paragraph" w:customStyle="1" w:styleId="LDSec1">
    <w:name w:val="LDSec(1)"/>
    <w:link w:val="LDSec1Char"/>
    <w:rsid w:val="00B5309A"/>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B5309A"/>
    <w:rPr>
      <w:rFonts w:ascii="Times New Roman" w:eastAsia="Times New Roman" w:hAnsi="Times New Roman" w:cs="Times New Roman"/>
      <w:sz w:val="24"/>
      <w:szCs w:val="24"/>
    </w:rPr>
  </w:style>
  <w:style w:type="paragraph" w:styleId="Revision">
    <w:name w:val="Revision"/>
    <w:hidden/>
    <w:uiPriority w:val="99"/>
    <w:semiHidden/>
    <w:rsid w:val="009433B8"/>
    <w:pPr>
      <w:spacing w:after="0" w:line="240" w:lineRule="auto"/>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rsid w:val="00F37301"/>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F37301"/>
    <w:rPr>
      <w:rFonts w:asciiTheme="majorHAnsi" w:eastAsiaTheme="majorEastAsia" w:hAnsiTheme="majorHAnsi" w:cstheme="majorBidi"/>
      <w:color w:val="243F60"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64481">
      <w:bodyDiv w:val="1"/>
      <w:marLeft w:val="0"/>
      <w:marRight w:val="0"/>
      <w:marTop w:val="0"/>
      <w:marBottom w:val="0"/>
      <w:divBdr>
        <w:top w:val="none" w:sz="0" w:space="0" w:color="auto"/>
        <w:left w:val="none" w:sz="0" w:space="0" w:color="auto"/>
        <w:bottom w:val="none" w:sz="0" w:space="0" w:color="auto"/>
        <w:right w:val="none" w:sz="0" w:space="0" w:color="auto"/>
      </w:divBdr>
      <w:divsChild>
        <w:div w:id="475486795">
          <w:marLeft w:val="0"/>
          <w:marRight w:val="0"/>
          <w:marTop w:val="0"/>
          <w:marBottom w:val="0"/>
          <w:divBdr>
            <w:top w:val="none" w:sz="0" w:space="0" w:color="auto"/>
            <w:left w:val="none" w:sz="0" w:space="0" w:color="auto"/>
            <w:bottom w:val="none" w:sz="0" w:space="0" w:color="auto"/>
            <w:right w:val="none" w:sz="0" w:space="0" w:color="auto"/>
          </w:divBdr>
          <w:divsChild>
            <w:div w:id="1560050047">
              <w:marLeft w:val="0"/>
              <w:marRight w:val="0"/>
              <w:marTop w:val="0"/>
              <w:marBottom w:val="0"/>
              <w:divBdr>
                <w:top w:val="none" w:sz="0" w:space="0" w:color="auto"/>
                <w:left w:val="none" w:sz="0" w:space="0" w:color="auto"/>
                <w:bottom w:val="none" w:sz="0" w:space="0" w:color="auto"/>
                <w:right w:val="none" w:sz="0" w:space="0" w:color="auto"/>
              </w:divBdr>
              <w:divsChild>
                <w:div w:id="575745440">
                  <w:marLeft w:val="0"/>
                  <w:marRight w:val="0"/>
                  <w:marTop w:val="0"/>
                  <w:marBottom w:val="0"/>
                  <w:divBdr>
                    <w:top w:val="none" w:sz="0" w:space="0" w:color="auto"/>
                    <w:left w:val="none" w:sz="0" w:space="0" w:color="auto"/>
                    <w:bottom w:val="none" w:sz="0" w:space="0" w:color="auto"/>
                    <w:right w:val="none" w:sz="0" w:space="0" w:color="auto"/>
                  </w:divBdr>
                  <w:divsChild>
                    <w:div w:id="1089353756">
                      <w:marLeft w:val="0"/>
                      <w:marRight w:val="0"/>
                      <w:marTop w:val="0"/>
                      <w:marBottom w:val="0"/>
                      <w:divBdr>
                        <w:top w:val="none" w:sz="0" w:space="0" w:color="auto"/>
                        <w:left w:val="none" w:sz="0" w:space="0" w:color="auto"/>
                        <w:bottom w:val="none" w:sz="0" w:space="0" w:color="auto"/>
                        <w:right w:val="none" w:sz="0" w:space="0" w:color="auto"/>
                      </w:divBdr>
                      <w:divsChild>
                        <w:div w:id="263806721">
                          <w:marLeft w:val="0"/>
                          <w:marRight w:val="0"/>
                          <w:marTop w:val="0"/>
                          <w:marBottom w:val="0"/>
                          <w:divBdr>
                            <w:top w:val="single" w:sz="6" w:space="0" w:color="828282"/>
                            <w:left w:val="single" w:sz="6" w:space="0" w:color="828282"/>
                            <w:bottom w:val="single" w:sz="6" w:space="0" w:color="828282"/>
                            <w:right w:val="single" w:sz="6" w:space="0" w:color="828282"/>
                          </w:divBdr>
                          <w:divsChild>
                            <w:div w:id="709184191">
                              <w:marLeft w:val="0"/>
                              <w:marRight w:val="0"/>
                              <w:marTop w:val="0"/>
                              <w:marBottom w:val="0"/>
                              <w:divBdr>
                                <w:top w:val="none" w:sz="0" w:space="0" w:color="auto"/>
                                <w:left w:val="none" w:sz="0" w:space="0" w:color="auto"/>
                                <w:bottom w:val="none" w:sz="0" w:space="0" w:color="auto"/>
                                <w:right w:val="none" w:sz="0" w:space="0" w:color="auto"/>
                              </w:divBdr>
                              <w:divsChild>
                                <w:div w:id="507987911">
                                  <w:marLeft w:val="0"/>
                                  <w:marRight w:val="0"/>
                                  <w:marTop w:val="0"/>
                                  <w:marBottom w:val="0"/>
                                  <w:divBdr>
                                    <w:top w:val="none" w:sz="0" w:space="0" w:color="auto"/>
                                    <w:left w:val="none" w:sz="0" w:space="0" w:color="auto"/>
                                    <w:bottom w:val="none" w:sz="0" w:space="0" w:color="auto"/>
                                    <w:right w:val="none" w:sz="0" w:space="0" w:color="auto"/>
                                  </w:divBdr>
                                  <w:divsChild>
                                    <w:div w:id="117139593">
                                      <w:marLeft w:val="0"/>
                                      <w:marRight w:val="0"/>
                                      <w:marTop w:val="0"/>
                                      <w:marBottom w:val="0"/>
                                      <w:divBdr>
                                        <w:top w:val="none" w:sz="0" w:space="0" w:color="auto"/>
                                        <w:left w:val="none" w:sz="0" w:space="0" w:color="auto"/>
                                        <w:bottom w:val="none" w:sz="0" w:space="0" w:color="auto"/>
                                        <w:right w:val="none" w:sz="0" w:space="0" w:color="auto"/>
                                      </w:divBdr>
                                      <w:divsChild>
                                        <w:div w:id="635795631">
                                          <w:marLeft w:val="0"/>
                                          <w:marRight w:val="0"/>
                                          <w:marTop w:val="0"/>
                                          <w:marBottom w:val="0"/>
                                          <w:divBdr>
                                            <w:top w:val="none" w:sz="0" w:space="0" w:color="auto"/>
                                            <w:left w:val="none" w:sz="0" w:space="0" w:color="auto"/>
                                            <w:bottom w:val="none" w:sz="0" w:space="0" w:color="auto"/>
                                            <w:right w:val="none" w:sz="0" w:space="0" w:color="auto"/>
                                          </w:divBdr>
                                          <w:divsChild>
                                            <w:div w:id="1378165036">
                                              <w:marLeft w:val="0"/>
                                              <w:marRight w:val="0"/>
                                              <w:marTop w:val="0"/>
                                              <w:marBottom w:val="0"/>
                                              <w:divBdr>
                                                <w:top w:val="none" w:sz="0" w:space="0" w:color="auto"/>
                                                <w:left w:val="none" w:sz="0" w:space="0" w:color="auto"/>
                                                <w:bottom w:val="none" w:sz="0" w:space="0" w:color="auto"/>
                                                <w:right w:val="none" w:sz="0" w:space="0" w:color="auto"/>
                                              </w:divBdr>
                                              <w:divsChild>
                                                <w:div w:id="20817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203945">
      <w:bodyDiv w:val="1"/>
      <w:marLeft w:val="0"/>
      <w:marRight w:val="0"/>
      <w:marTop w:val="0"/>
      <w:marBottom w:val="0"/>
      <w:divBdr>
        <w:top w:val="none" w:sz="0" w:space="0" w:color="auto"/>
        <w:left w:val="none" w:sz="0" w:space="0" w:color="auto"/>
        <w:bottom w:val="none" w:sz="0" w:space="0" w:color="auto"/>
        <w:right w:val="none" w:sz="0" w:space="0" w:color="auto"/>
      </w:divBdr>
      <w:divsChild>
        <w:div w:id="1655792822">
          <w:marLeft w:val="0"/>
          <w:marRight w:val="0"/>
          <w:marTop w:val="0"/>
          <w:marBottom w:val="0"/>
          <w:divBdr>
            <w:top w:val="none" w:sz="0" w:space="0" w:color="auto"/>
            <w:left w:val="none" w:sz="0" w:space="0" w:color="auto"/>
            <w:bottom w:val="none" w:sz="0" w:space="0" w:color="auto"/>
            <w:right w:val="none" w:sz="0" w:space="0" w:color="auto"/>
          </w:divBdr>
          <w:divsChild>
            <w:div w:id="1228802451">
              <w:marLeft w:val="0"/>
              <w:marRight w:val="0"/>
              <w:marTop w:val="0"/>
              <w:marBottom w:val="0"/>
              <w:divBdr>
                <w:top w:val="none" w:sz="0" w:space="0" w:color="auto"/>
                <w:left w:val="none" w:sz="0" w:space="0" w:color="auto"/>
                <w:bottom w:val="none" w:sz="0" w:space="0" w:color="auto"/>
                <w:right w:val="none" w:sz="0" w:space="0" w:color="auto"/>
              </w:divBdr>
              <w:divsChild>
                <w:div w:id="857889053">
                  <w:marLeft w:val="0"/>
                  <w:marRight w:val="0"/>
                  <w:marTop w:val="0"/>
                  <w:marBottom w:val="0"/>
                  <w:divBdr>
                    <w:top w:val="none" w:sz="0" w:space="0" w:color="auto"/>
                    <w:left w:val="none" w:sz="0" w:space="0" w:color="auto"/>
                    <w:bottom w:val="none" w:sz="0" w:space="0" w:color="auto"/>
                    <w:right w:val="none" w:sz="0" w:space="0" w:color="auto"/>
                  </w:divBdr>
                  <w:divsChild>
                    <w:div w:id="742725585">
                      <w:marLeft w:val="0"/>
                      <w:marRight w:val="0"/>
                      <w:marTop w:val="0"/>
                      <w:marBottom w:val="0"/>
                      <w:divBdr>
                        <w:top w:val="none" w:sz="0" w:space="0" w:color="auto"/>
                        <w:left w:val="none" w:sz="0" w:space="0" w:color="auto"/>
                        <w:bottom w:val="none" w:sz="0" w:space="0" w:color="auto"/>
                        <w:right w:val="none" w:sz="0" w:space="0" w:color="auto"/>
                      </w:divBdr>
                      <w:divsChild>
                        <w:div w:id="1286158298">
                          <w:marLeft w:val="0"/>
                          <w:marRight w:val="0"/>
                          <w:marTop w:val="0"/>
                          <w:marBottom w:val="0"/>
                          <w:divBdr>
                            <w:top w:val="single" w:sz="6" w:space="0" w:color="828282"/>
                            <w:left w:val="single" w:sz="6" w:space="0" w:color="828282"/>
                            <w:bottom w:val="single" w:sz="6" w:space="0" w:color="828282"/>
                            <w:right w:val="single" w:sz="6" w:space="0" w:color="828282"/>
                          </w:divBdr>
                          <w:divsChild>
                            <w:div w:id="622231266">
                              <w:marLeft w:val="0"/>
                              <w:marRight w:val="0"/>
                              <w:marTop w:val="0"/>
                              <w:marBottom w:val="0"/>
                              <w:divBdr>
                                <w:top w:val="none" w:sz="0" w:space="0" w:color="auto"/>
                                <w:left w:val="none" w:sz="0" w:space="0" w:color="auto"/>
                                <w:bottom w:val="none" w:sz="0" w:space="0" w:color="auto"/>
                                <w:right w:val="none" w:sz="0" w:space="0" w:color="auto"/>
                              </w:divBdr>
                              <w:divsChild>
                                <w:div w:id="1174144185">
                                  <w:marLeft w:val="0"/>
                                  <w:marRight w:val="0"/>
                                  <w:marTop w:val="0"/>
                                  <w:marBottom w:val="0"/>
                                  <w:divBdr>
                                    <w:top w:val="none" w:sz="0" w:space="0" w:color="auto"/>
                                    <w:left w:val="none" w:sz="0" w:space="0" w:color="auto"/>
                                    <w:bottom w:val="none" w:sz="0" w:space="0" w:color="auto"/>
                                    <w:right w:val="none" w:sz="0" w:space="0" w:color="auto"/>
                                  </w:divBdr>
                                  <w:divsChild>
                                    <w:div w:id="198325807">
                                      <w:marLeft w:val="0"/>
                                      <w:marRight w:val="0"/>
                                      <w:marTop w:val="0"/>
                                      <w:marBottom w:val="0"/>
                                      <w:divBdr>
                                        <w:top w:val="none" w:sz="0" w:space="0" w:color="auto"/>
                                        <w:left w:val="none" w:sz="0" w:space="0" w:color="auto"/>
                                        <w:bottom w:val="none" w:sz="0" w:space="0" w:color="auto"/>
                                        <w:right w:val="none" w:sz="0" w:space="0" w:color="auto"/>
                                      </w:divBdr>
                                      <w:divsChild>
                                        <w:div w:id="2137214011">
                                          <w:marLeft w:val="0"/>
                                          <w:marRight w:val="0"/>
                                          <w:marTop w:val="0"/>
                                          <w:marBottom w:val="0"/>
                                          <w:divBdr>
                                            <w:top w:val="none" w:sz="0" w:space="0" w:color="auto"/>
                                            <w:left w:val="none" w:sz="0" w:space="0" w:color="auto"/>
                                            <w:bottom w:val="none" w:sz="0" w:space="0" w:color="auto"/>
                                            <w:right w:val="none" w:sz="0" w:space="0" w:color="auto"/>
                                          </w:divBdr>
                                          <w:divsChild>
                                            <w:div w:id="659313099">
                                              <w:marLeft w:val="0"/>
                                              <w:marRight w:val="0"/>
                                              <w:marTop w:val="0"/>
                                              <w:marBottom w:val="0"/>
                                              <w:divBdr>
                                                <w:top w:val="none" w:sz="0" w:space="0" w:color="auto"/>
                                                <w:left w:val="none" w:sz="0" w:space="0" w:color="auto"/>
                                                <w:bottom w:val="none" w:sz="0" w:space="0" w:color="auto"/>
                                                <w:right w:val="none" w:sz="0" w:space="0" w:color="auto"/>
                                              </w:divBdr>
                                              <w:divsChild>
                                                <w:div w:id="4426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339717">
      <w:bodyDiv w:val="1"/>
      <w:marLeft w:val="0"/>
      <w:marRight w:val="0"/>
      <w:marTop w:val="0"/>
      <w:marBottom w:val="0"/>
      <w:divBdr>
        <w:top w:val="none" w:sz="0" w:space="0" w:color="auto"/>
        <w:left w:val="none" w:sz="0" w:space="0" w:color="auto"/>
        <w:bottom w:val="none" w:sz="0" w:space="0" w:color="auto"/>
        <w:right w:val="none" w:sz="0" w:space="0" w:color="auto"/>
      </w:divBdr>
      <w:divsChild>
        <w:div w:id="837305904">
          <w:marLeft w:val="0"/>
          <w:marRight w:val="0"/>
          <w:marTop w:val="0"/>
          <w:marBottom w:val="0"/>
          <w:divBdr>
            <w:top w:val="none" w:sz="0" w:space="0" w:color="auto"/>
            <w:left w:val="none" w:sz="0" w:space="0" w:color="auto"/>
            <w:bottom w:val="none" w:sz="0" w:space="0" w:color="auto"/>
            <w:right w:val="none" w:sz="0" w:space="0" w:color="auto"/>
          </w:divBdr>
          <w:divsChild>
            <w:div w:id="1772970269">
              <w:marLeft w:val="0"/>
              <w:marRight w:val="0"/>
              <w:marTop w:val="0"/>
              <w:marBottom w:val="0"/>
              <w:divBdr>
                <w:top w:val="none" w:sz="0" w:space="0" w:color="auto"/>
                <w:left w:val="none" w:sz="0" w:space="0" w:color="auto"/>
                <w:bottom w:val="none" w:sz="0" w:space="0" w:color="auto"/>
                <w:right w:val="none" w:sz="0" w:space="0" w:color="auto"/>
              </w:divBdr>
              <w:divsChild>
                <w:div w:id="2098624263">
                  <w:marLeft w:val="0"/>
                  <w:marRight w:val="0"/>
                  <w:marTop w:val="0"/>
                  <w:marBottom w:val="0"/>
                  <w:divBdr>
                    <w:top w:val="none" w:sz="0" w:space="0" w:color="auto"/>
                    <w:left w:val="none" w:sz="0" w:space="0" w:color="auto"/>
                    <w:bottom w:val="none" w:sz="0" w:space="0" w:color="auto"/>
                    <w:right w:val="none" w:sz="0" w:space="0" w:color="auto"/>
                  </w:divBdr>
                  <w:divsChild>
                    <w:div w:id="924072894">
                      <w:marLeft w:val="0"/>
                      <w:marRight w:val="0"/>
                      <w:marTop w:val="0"/>
                      <w:marBottom w:val="0"/>
                      <w:divBdr>
                        <w:top w:val="none" w:sz="0" w:space="0" w:color="auto"/>
                        <w:left w:val="none" w:sz="0" w:space="0" w:color="auto"/>
                        <w:bottom w:val="none" w:sz="0" w:space="0" w:color="auto"/>
                        <w:right w:val="none" w:sz="0" w:space="0" w:color="auto"/>
                      </w:divBdr>
                      <w:divsChild>
                        <w:div w:id="1747335367">
                          <w:marLeft w:val="0"/>
                          <w:marRight w:val="0"/>
                          <w:marTop w:val="0"/>
                          <w:marBottom w:val="0"/>
                          <w:divBdr>
                            <w:top w:val="none" w:sz="0" w:space="0" w:color="auto"/>
                            <w:left w:val="none" w:sz="0" w:space="0" w:color="auto"/>
                            <w:bottom w:val="none" w:sz="0" w:space="0" w:color="auto"/>
                            <w:right w:val="none" w:sz="0" w:space="0" w:color="auto"/>
                          </w:divBdr>
                          <w:divsChild>
                            <w:div w:id="689142735">
                              <w:marLeft w:val="0"/>
                              <w:marRight w:val="0"/>
                              <w:marTop w:val="0"/>
                              <w:marBottom w:val="0"/>
                              <w:divBdr>
                                <w:top w:val="none" w:sz="0" w:space="0" w:color="auto"/>
                                <w:left w:val="none" w:sz="0" w:space="0" w:color="auto"/>
                                <w:bottom w:val="none" w:sz="0" w:space="0" w:color="auto"/>
                                <w:right w:val="none" w:sz="0" w:space="0" w:color="auto"/>
                              </w:divBdr>
                              <w:divsChild>
                                <w:div w:id="1409038718">
                                  <w:marLeft w:val="0"/>
                                  <w:marRight w:val="0"/>
                                  <w:marTop w:val="0"/>
                                  <w:marBottom w:val="0"/>
                                  <w:divBdr>
                                    <w:top w:val="none" w:sz="0" w:space="0" w:color="auto"/>
                                    <w:left w:val="none" w:sz="0" w:space="0" w:color="auto"/>
                                    <w:bottom w:val="none" w:sz="0" w:space="0" w:color="auto"/>
                                    <w:right w:val="none" w:sz="0" w:space="0" w:color="auto"/>
                                  </w:divBdr>
                                  <w:divsChild>
                                    <w:div w:id="719865429">
                                      <w:marLeft w:val="0"/>
                                      <w:marRight w:val="0"/>
                                      <w:marTop w:val="0"/>
                                      <w:marBottom w:val="0"/>
                                      <w:divBdr>
                                        <w:top w:val="none" w:sz="0" w:space="0" w:color="auto"/>
                                        <w:left w:val="none" w:sz="0" w:space="0" w:color="auto"/>
                                        <w:bottom w:val="none" w:sz="0" w:space="0" w:color="auto"/>
                                        <w:right w:val="none" w:sz="0" w:space="0" w:color="auto"/>
                                      </w:divBdr>
                                      <w:divsChild>
                                        <w:div w:id="76830767">
                                          <w:marLeft w:val="0"/>
                                          <w:marRight w:val="0"/>
                                          <w:marTop w:val="0"/>
                                          <w:marBottom w:val="0"/>
                                          <w:divBdr>
                                            <w:top w:val="none" w:sz="0" w:space="0" w:color="auto"/>
                                            <w:left w:val="none" w:sz="0" w:space="0" w:color="auto"/>
                                            <w:bottom w:val="none" w:sz="0" w:space="0" w:color="auto"/>
                                            <w:right w:val="none" w:sz="0" w:space="0" w:color="auto"/>
                                          </w:divBdr>
                                          <w:divsChild>
                                            <w:div w:id="1012562232">
                                              <w:marLeft w:val="0"/>
                                              <w:marRight w:val="0"/>
                                              <w:marTop w:val="0"/>
                                              <w:marBottom w:val="0"/>
                                              <w:divBdr>
                                                <w:top w:val="none" w:sz="0" w:space="0" w:color="auto"/>
                                                <w:left w:val="none" w:sz="0" w:space="0" w:color="auto"/>
                                                <w:bottom w:val="none" w:sz="0" w:space="0" w:color="auto"/>
                                                <w:right w:val="none" w:sz="0" w:space="0" w:color="auto"/>
                                              </w:divBdr>
                                              <w:divsChild>
                                                <w:div w:id="1839467509">
                                                  <w:marLeft w:val="0"/>
                                                  <w:marRight w:val="0"/>
                                                  <w:marTop w:val="0"/>
                                                  <w:marBottom w:val="0"/>
                                                  <w:divBdr>
                                                    <w:top w:val="none" w:sz="0" w:space="0" w:color="auto"/>
                                                    <w:left w:val="none" w:sz="0" w:space="0" w:color="auto"/>
                                                    <w:bottom w:val="none" w:sz="0" w:space="0" w:color="auto"/>
                                                    <w:right w:val="none" w:sz="0" w:space="0" w:color="auto"/>
                                                  </w:divBdr>
                                                  <w:divsChild>
                                                    <w:div w:id="1867979564">
                                                      <w:marLeft w:val="0"/>
                                                      <w:marRight w:val="0"/>
                                                      <w:marTop w:val="0"/>
                                                      <w:marBottom w:val="0"/>
                                                      <w:divBdr>
                                                        <w:top w:val="none" w:sz="0" w:space="0" w:color="auto"/>
                                                        <w:left w:val="none" w:sz="0" w:space="0" w:color="auto"/>
                                                        <w:bottom w:val="none" w:sz="0" w:space="0" w:color="auto"/>
                                                        <w:right w:val="none" w:sz="0" w:space="0" w:color="auto"/>
                                                      </w:divBdr>
                                                      <w:divsChild>
                                                        <w:div w:id="14340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11268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reeves</dc:creator>
  <cp:lastModifiedBy>Emy YONEDA</cp:lastModifiedBy>
  <cp:revision>2</cp:revision>
  <cp:lastPrinted>2013-10-31T22:02:00Z</cp:lastPrinted>
  <dcterms:created xsi:type="dcterms:W3CDTF">2020-01-19T22:52:00Z</dcterms:created>
  <dcterms:modified xsi:type="dcterms:W3CDTF">2020-01-19T22:52:00Z</dcterms:modified>
</cp:coreProperties>
</file>