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555D4" w14:textId="77777777" w:rsidR="003F0DCD" w:rsidRPr="008738D0" w:rsidRDefault="00337666" w:rsidP="008738D0">
      <w:pPr>
        <w:widowControl/>
        <w:autoSpaceDE/>
        <w:autoSpaceDN/>
        <w:jc w:val="center"/>
        <w:rPr>
          <w:b/>
          <w:bCs/>
          <w:sz w:val="24"/>
          <w:szCs w:val="24"/>
          <w:u w:val="single"/>
          <w:lang w:val="en-AU" w:eastAsia="en-AU" w:bidi="ar-SA"/>
        </w:rPr>
      </w:pPr>
      <w:bookmarkStart w:id="0" w:name="Bookmarks"/>
      <w:bookmarkEnd w:id="0"/>
      <w:r w:rsidRPr="008738D0">
        <w:rPr>
          <w:b/>
          <w:bCs/>
          <w:sz w:val="24"/>
          <w:szCs w:val="24"/>
          <w:u w:val="single"/>
          <w:lang w:val="en-AU" w:eastAsia="en-AU" w:bidi="ar-SA"/>
        </w:rPr>
        <w:t>EXPLANATORY STATEMENT</w:t>
      </w:r>
    </w:p>
    <w:p w14:paraId="063A7405" w14:textId="77777777" w:rsidR="00A67F58" w:rsidRDefault="00A67F58" w:rsidP="008738D0">
      <w:pPr>
        <w:widowControl/>
        <w:autoSpaceDE/>
        <w:autoSpaceDN/>
        <w:jc w:val="center"/>
        <w:rPr>
          <w:rFonts w:ascii="Tms Rmn" w:hAnsi="Tms Rmn"/>
          <w:b/>
          <w:lang w:val="en-AU" w:eastAsia="en-AU" w:bidi="ar-SA"/>
        </w:rPr>
      </w:pPr>
    </w:p>
    <w:p w14:paraId="0B819AAB" w14:textId="77777777" w:rsidR="00A67F58" w:rsidRPr="008738D0" w:rsidRDefault="00337666" w:rsidP="008738D0">
      <w:pPr>
        <w:widowControl/>
        <w:autoSpaceDE/>
        <w:autoSpaceDN/>
        <w:jc w:val="center"/>
        <w:rPr>
          <w:bCs/>
          <w:i/>
          <w:iCs/>
          <w:lang w:val="en-AU" w:eastAsia="en-AU" w:bidi="ar-SA"/>
        </w:rPr>
      </w:pPr>
      <w:r w:rsidRPr="008738D0">
        <w:rPr>
          <w:bCs/>
          <w:i/>
          <w:iCs/>
          <w:lang w:val="en-AU" w:eastAsia="en-AU" w:bidi="ar-SA"/>
        </w:rPr>
        <w:t>Therapeutic Goods Act 1989</w:t>
      </w:r>
    </w:p>
    <w:p w14:paraId="0617441A" w14:textId="77777777" w:rsidR="00A67F58" w:rsidRPr="008738D0" w:rsidRDefault="00A67F58" w:rsidP="008738D0">
      <w:pPr>
        <w:widowControl/>
        <w:autoSpaceDE/>
        <w:autoSpaceDN/>
        <w:jc w:val="center"/>
        <w:rPr>
          <w:rFonts w:ascii="Tms Rmn" w:hAnsi="Tms Rmn"/>
          <w:b/>
          <w:lang w:val="en-AU" w:eastAsia="en-AU" w:bidi="ar-SA"/>
        </w:rPr>
      </w:pPr>
    </w:p>
    <w:p w14:paraId="459C52D7" w14:textId="77777777" w:rsidR="003F0DCD" w:rsidRDefault="00C30F09" w:rsidP="008738D0">
      <w:pPr>
        <w:widowControl/>
        <w:autoSpaceDE/>
        <w:autoSpaceDN/>
        <w:jc w:val="center"/>
        <w:rPr>
          <w:bCs/>
          <w:i/>
          <w:iCs/>
          <w:lang w:val="en-AU" w:eastAsia="en-AU" w:bidi="ar-SA"/>
        </w:rPr>
      </w:pPr>
      <w:r w:rsidRPr="008738D0">
        <w:rPr>
          <w:bCs/>
          <w:i/>
          <w:iCs/>
          <w:lang w:val="en-AU" w:eastAsia="en-AU" w:bidi="ar-SA"/>
        </w:rPr>
        <w:t>Poisons Standard Amendment (Vonicog Alfa) Instrument 2020</w:t>
      </w:r>
    </w:p>
    <w:p w14:paraId="1922E131" w14:textId="77777777" w:rsidR="00A67F58" w:rsidRPr="008738D0" w:rsidRDefault="00A67F58" w:rsidP="008738D0">
      <w:pPr>
        <w:widowControl/>
        <w:autoSpaceDE/>
        <w:autoSpaceDN/>
        <w:jc w:val="center"/>
        <w:rPr>
          <w:rFonts w:ascii="Tms Rmn" w:hAnsi="Tms Rmn"/>
          <w:b/>
          <w:lang w:val="en-AU" w:eastAsia="en-AU" w:bidi="ar-SA"/>
        </w:rPr>
      </w:pPr>
    </w:p>
    <w:p w14:paraId="6A25DB88" w14:textId="77777777" w:rsidR="00C85419" w:rsidRDefault="00C85419" w:rsidP="008738D0">
      <w:pPr>
        <w:pStyle w:val="BodyText"/>
        <w:ind w:left="119" w:right="289"/>
      </w:pPr>
      <w:r>
        <w:t xml:space="preserve">The </w:t>
      </w:r>
      <w:r w:rsidRPr="00C85419">
        <w:rPr>
          <w:i/>
        </w:rPr>
        <w:t>Therapeutic Goods Act 1989</w:t>
      </w:r>
      <w:r>
        <w:t xml:space="preserve"> (“the Act”) provides for the establishment and maintenance of a national system of controls for the quality, safety, efficacy and timely availability of therapeutic goods that are used in, or exported from, Australia. The Act also provides a framework for State and Territory governments to adopt a uniform approach to control the availability and accessibility, and to ensure the safe handling, of medicines and poisons in Australia. The Act is administered by the Therapeutic Goods Administration (“the TGA”), within the Australian Government Department of Health.</w:t>
      </w:r>
    </w:p>
    <w:p w14:paraId="4963DC3A" w14:textId="77777777" w:rsidR="00C85419" w:rsidRDefault="00C85419" w:rsidP="00C85419">
      <w:pPr>
        <w:pStyle w:val="BodyText"/>
        <w:spacing w:before="180"/>
        <w:ind w:left="120" w:right="290"/>
      </w:pPr>
      <w:r>
        <w:t xml:space="preserve">Part 6-3 of the Act (sections 52AA to 52EC) provides the basis for a uniform system of access controls for goods containing scheduled substances. The scheduling of substances allows restrictions to be placed on their supply to the public, in the interests of public health and safety. The scheduling of substances is aimed at </w:t>
      </w:r>
      <w:proofErr w:type="spellStart"/>
      <w:r>
        <w:t>minimising</w:t>
      </w:r>
      <w:proofErr w:type="spellEnd"/>
      <w:r>
        <w:t xml:space="preserve"> the risks of poisoning from, and the misuse or abuse of, scheduled substances.</w:t>
      </w:r>
    </w:p>
    <w:p w14:paraId="17048586" w14:textId="77777777" w:rsidR="00C85419" w:rsidRDefault="00C85419" w:rsidP="00C85419">
      <w:pPr>
        <w:pStyle w:val="BodyText"/>
        <w:spacing w:before="180"/>
        <w:ind w:left="120" w:right="290"/>
      </w:pPr>
      <w:r>
        <w:t>Subsection 52</w:t>
      </w:r>
      <w:proofErr w:type="gramStart"/>
      <w:r>
        <w:t>D(</w:t>
      </w:r>
      <w:proofErr w:type="gramEnd"/>
      <w:r>
        <w:t>2) of the Act empowers the Secretary to amend the current Poisons Standard (which consists of the Standard for the Uniform Scheduling of Medicines and Poisons (section 2 of the Poisons Standard refers)) or to prepare a document (“a new Poisons Standard”) that includes schedules containing the names or descriptions of substances, in substitution for the current Poisons Standard.</w:t>
      </w:r>
    </w:p>
    <w:p w14:paraId="2383211A" w14:textId="77777777" w:rsidR="00C85419" w:rsidRDefault="00C85419" w:rsidP="00C85419">
      <w:pPr>
        <w:pStyle w:val="BodyText"/>
        <w:spacing w:before="180"/>
        <w:ind w:left="120" w:right="290"/>
      </w:pPr>
      <w:r>
        <w:t>The Poisons Standard reflects decisions of the Secretary or a delegate of the Secretary regarding the classification of medicines and poisons into the different Schedules, signifying the degree of risk and the control recommended to be exercised over their availability to the public.</w:t>
      </w:r>
    </w:p>
    <w:p w14:paraId="7899977E" w14:textId="77777777" w:rsidR="00C85419" w:rsidRDefault="00C85419" w:rsidP="00C85419">
      <w:pPr>
        <w:pStyle w:val="BodyText"/>
        <w:spacing w:before="180"/>
        <w:ind w:left="120" w:right="290"/>
      </w:pPr>
      <w:r>
        <w:t>The Act establishes two expert advisory committees, the Advisory Committee on Medicines Scheduling (“ACMS”) (section 52B of the Act refers) and the Advisory Committee on Chemicals Scheduling (“ACCS”) (section 52C of the Act refers), which provide advice and make recommendations to the Secretary on matters relating to medicines and chemicals scheduling decisions.</w:t>
      </w:r>
    </w:p>
    <w:p w14:paraId="3755ADB1" w14:textId="77777777" w:rsidR="00C85419" w:rsidRDefault="00C85419" w:rsidP="00C85419">
      <w:pPr>
        <w:pStyle w:val="BodyText"/>
        <w:spacing w:before="180"/>
        <w:ind w:left="120" w:right="290"/>
      </w:pPr>
      <w:r>
        <w:t xml:space="preserve">The Schedules contained in the Poisons Standard are referred to under State and Territory legislation for regulatory purposes. This enables restrictions to be placed on the supply of scheduled substances to the public, according to the degree of risk associated with the substances and the level of control recommended over their availability, in the interest of public health and safety. </w:t>
      </w:r>
    </w:p>
    <w:p w14:paraId="6CF52EF2" w14:textId="77777777" w:rsidR="00C85419" w:rsidRDefault="00C85419" w:rsidP="00C85419">
      <w:pPr>
        <w:pStyle w:val="BodyText"/>
        <w:spacing w:before="180"/>
        <w:ind w:left="120" w:right="290"/>
      </w:pPr>
      <w:r>
        <w:t>The Commonwealth takes into account the scheduling and classification of substances in the Poisons Standard for regulatory and enforcement purposes under the Act. For example, the Act prohibits the publication or broadcasting of advertisements to consumers about prescription medicines containing substances included in Schedule 4 or Schedule 8 to the Poisons Standard, or over-the-counter medicines containing substances included in Schedule 3 and not included in Appendix H of the Poisons Standard. The advertising of substances included in Schedule 9 or Schedule 10 of the Poisons Standard is also prohibited.</w:t>
      </w:r>
    </w:p>
    <w:p w14:paraId="1516FD57" w14:textId="77777777" w:rsidR="00E23986" w:rsidRDefault="00C85419" w:rsidP="008738D0">
      <w:pPr>
        <w:pStyle w:val="BodyText"/>
        <w:keepLines/>
        <w:widowControl/>
        <w:spacing w:before="180"/>
        <w:ind w:left="119" w:right="289"/>
      </w:pPr>
      <w:r>
        <w:lastRenderedPageBreak/>
        <w:t xml:space="preserve">The Scheduling Policy Framework (“the SPF”) provides guidance on whether a decision concerning the scheduling of substances under the Poisons Standard would benefit from being referred to ACMS or ACCS for advice. A copy of the SPF can be found at </w:t>
      </w:r>
      <w:hyperlink r:id="rId7" w:history="1">
        <w:r w:rsidR="00E23986" w:rsidRPr="006105F9">
          <w:rPr>
            <w:rStyle w:val="Hyperlink"/>
          </w:rPr>
          <w:t>https://www.tga.gov.au/publication/ahmac-scheduling-policy-framework-medicines-and-chemicals</w:t>
        </w:r>
      </w:hyperlink>
      <w:r>
        <w:t>.</w:t>
      </w:r>
    </w:p>
    <w:p w14:paraId="2E01BD29" w14:textId="77777777" w:rsidR="005D3A75" w:rsidRDefault="00470320" w:rsidP="00C85419">
      <w:pPr>
        <w:pStyle w:val="BodyText"/>
        <w:spacing w:before="180"/>
        <w:ind w:left="120" w:right="290"/>
        <w:rPr>
          <w:lang w:val="en-AU"/>
        </w:rPr>
      </w:pPr>
      <w:r w:rsidRPr="00470320">
        <w:rPr>
          <w:lang w:val="en-AU"/>
        </w:rPr>
        <w:t>The purpose of th</w:t>
      </w:r>
      <w:r w:rsidR="00A35815">
        <w:rPr>
          <w:lang w:val="en-AU"/>
        </w:rPr>
        <w:t xml:space="preserve">e </w:t>
      </w:r>
      <w:r w:rsidR="00A35815" w:rsidRPr="008738D0">
        <w:rPr>
          <w:i/>
          <w:lang w:val="en-AU"/>
        </w:rPr>
        <w:t>Poisons Standard Amendment (Vonicog Alfa) Instrument 2020</w:t>
      </w:r>
      <w:r w:rsidR="00A35815">
        <w:rPr>
          <w:lang w:val="en-AU"/>
        </w:rPr>
        <w:t xml:space="preserve"> (“the Amendment Instrument”) </w:t>
      </w:r>
      <w:r w:rsidRPr="00470320">
        <w:rPr>
          <w:lang w:val="en-AU"/>
        </w:rPr>
        <w:t>is to amend th</w:t>
      </w:r>
      <w:r>
        <w:rPr>
          <w:lang w:val="en-AU"/>
        </w:rPr>
        <w:t xml:space="preserve">e </w:t>
      </w:r>
      <w:r w:rsidRPr="00E23986">
        <w:rPr>
          <w:i/>
          <w:lang w:val="en-AU"/>
        </w:rPr>
        <w:t>Poisons Standard February 2020</w:t>
      </w:r>
      <w:r w:rsidR="00262C4C">
        <w:rPr>
          <w:lang w:val="en-AU"/>
        </w:rPr>
        <w:t xml:space="preserve">, </w:t>
      </w:r>
      <w:r w:rsidRPr="00470320">
        <w:rPr>
          <w:lang w:val="en-AU"/>
        </w:rPr>
        <w:t xml:space="preserve">to remove the </w:t>
      </w:r>
      <w:r>
        <w:rPr>
          <w:lang w:val="en-AU"/>
        </w:rPr>
        <w:t>substance vonicog alfa from Schedule 4</w:t>
      </w:r>
      <w:r w:rsidR="00C85419">
        <w:rPr>
          <w:lang w:val="en-AU"/>
        </w:rPr>
        <w:t xml:space="preserve"> of the Poisons Standard.</w:t>
      </w:r>
    </w:p>
    <w:p w14:paraId="13C29D79" w14:textId="3F5D1EE0" w:rsidR="00262C4C" w:rsidRPr="00E64D57" w:rsidRDefault="005D3A75">
      <w:pPr>
        <w:pStyle w:val="BodyText"/>
        <w:spacing w:before="180"/>
        <w:ind w:left="120" w:right="385"/>
        <w:rPr>
          <w:lang w:val="en-AU"/>
        </w:rPr>
      </w:pPr>
      <w:r w:rsidRPr="005D3A75">
        <w:rPr>
          <w:lang w:val="en-AU"/>
        </w:rPr>
        <w:t>Th</w:t>
      </w:r>
      <w:r w:rsidR="00262C4C">
        <w:rPr>
          <w:lang w:val="en-AU"/>
        </w:rPr>
        <w:t xml:space="preserve">is is because the inclusion of vonicog alfa in </w:t>
      </w:r>
      <w:r w:rsidRPr="005D3A75">
        <w:rPr>
          <w:lang w:val="en-AU"/>
        </w:rPr>
        <w:t xml:space="preserve">Schedule 4 </w:t>
      </w:r>
      <w:r w:rsidR="00262C4C">
        <w:rPr>
          <w:lang w:val="en-AU"/>
        </w:rPr>
        <w:t xml:space="preserve">of the </w:t>
      </w:r>
      <w:r w:rsidR="00262C4C" w:rsidRPr="00E23986">
        <w:rPr>
          <w:i/>
          <w:lang w:val="en-AU"/>
        </w:rPr>
        <w:t>Poisons Standard February 2020</w:t>
      </w:r>
      <w:r w:rsidR="00262C4C">
        <w:rPr>
          <w:lang w:val="en-AU"/>
        </w:rPr>
        <w:t xml:space="preserve"> was </w:t>
      </w:r>
      <w:r w:rsidR="00BB5DF0">
        <w:rPr>
          <w:lang w:val="en-AU"/>
        </w:rPr>
        <w:t>inadvertent</w:t>
      </w:r>
      <w:r w:rsidR="003123F1" w:rsidRPr="00E64D57">
        <w:rPr>
          <w:lang w:val="en-AU"/>
        </w:rPr>
        <w:t>.</w:t>
      </w:r>
      <w:r w:rsidR="00BB5DF0" w:rsidRPr="00E64D57">
        <w:rPr>
          <w:lang w:val="en-AU"/>
        </w:rPr>
        <w:t xml:space="preserve"> </w:t>
      </w:r>
      <w:r w:rsidR="003123F1" w:rsidRPr="00E64D57">
        <w:rPr>
          <w:lang w:val="en-AU"/>
        </w:rPr>
        <w:t xml:space="preserve">Vonicog alfa </w:t>
      </w:r>
      <w:r w:rsidRPr="00E64D57">
        <w:rPr>
          <w:lang w:val="en-AU"/>
        </w:rPr>
        <w:t xml:space="preserve">is captured </w:t>
      </w:r>
      <w:r w:rsidR="004D7961" w:rsidRPr="00E64D57">
        <w:rPr>
          <w:lang w:val="en-AU"/>
        </w:rPr>
        <w:t>by</w:t>
      </w:r>
      <w:r w:rsidRPr="00E64D57">
        <w:rPr>
          <w:lang w:val="en-AU"/>
        </w:rPr>
        <w:t xml:space="preserve"> the </w:t>
      </w:r>
      <w:r w:rsidR="000A42C3">
        <w:rPr>
          <w:lang w:val="en-AU"/>
        </w:rPr>
        <w:t>entry of Appendix </w:t>
      </w:r>
      <w:r w:rsidRPr="00E64D57">
        <w:rPr>
          <w:lang w:val="en-AU"/>
        </w:rPr>
        <w:t>A</w:t>
      </w:r>
      <w:r w:rsidR="000A42C3">
        <w:rPr>
          <w:lang w:val="en-AU"/>
        </w:rPr>
        <w:t xml:space="preserve"> (part iv of part c)</w:t>
      </w:r>
      <w:r w:rsidR="00262C4C" w:rsidRPr="00E64D57">
        <w:rPr>
          <w:lang w:val="en-AU"/>
        </w:rPr>
        <w:t xml:space="preserve"> of the </w:t>
      </w:r>
      <w:r w:rsidR="00262C4C" w:rsidRPr="00E64D57">
        <w:rPr>
          <w:i/>
          <w:lang w:val="en-AU"/>
        </w:rPr>
        <w:t>Poisons Standard February 2020</w:t>
      </w:r>
      <w:r w:rsidRPr="00E64D57">
        <w:rPr>
          <w:lang w:val="en-AU"/>
        </w:rPr>
        <w:t xml:space="preserve"> for human blood products</w:t>
      </w:r>
      <w:r w:rsidR="00734274">
        <w:rPr>
          <w:lang w:val="en-AU"/>
        </w:rPr>
        <w:t>,</w:t>
      </w:r>
      <w:r w:rsidR="005664A0">
        <w:rPr>
          <w:lang w:val="en-AU"/>
        </w:rPr>
        <w:t xml:space="preserve"> </w:t>
      </w:r>
      <w:r w:rsidR="000A42C3">
        <w:rPr>
          <w:lang w:val="en-AU"/>
        </w:rPr>
        <w:t>which allows</w:t>
      </w:r>
      <w:r w:rsidR="00262C4C" w:rsidRPr="00E64D57">
        <w:rPr>
          <w:lang w:val="en-AU"/>
        </w:rPr>
        <w:t xml:space="preserve"> a substance </w:t>
      </w:r>
      <w:r w:rsidR="005664A0">
        <w:rPr>
          <w:lang w:val="en-AU"/>
        </w:rPr>
        <w:t xml:space="preserve">to </w:t>
      </w:r>
      <w:r w:rsidR="00262C4C" w:rsidRPr="00E64D57">
        <w:rPr>
          <w:lang w:val="en-AU"/>
        </w:rPr>
        <w:t>be exempt from the Poisons Standard, and it was not intended to include this substance in Schedule 4</w:t>
      </w:r>
      <w:r w:rsidRPr="00E64D57">
        <w:rPr>
          <w:lang w:val="en-AU"/>
        </w:rPr>
        <w:t>.</w:t>
      </w:r>
      <w:r w:rsidR="00DF59BA" w:rsidRPr="00E64D57">
        <w:rPr>
          <w:lang w:val="en-AU"/>
        </w:rPr>
        <w:t xml:space="preserve"> </w:t>
      </w:r>
    </w:p>
    <w:p w14:paraId="2C1FDAB0" w14:textId="7D5EB558" w:rsidR="00ED57A1" w:rsidRDefault="00ED57A1">
      <w:pPr>
        <w:pStyle w:val="BodyText"/>
        <w:spacing w:before="180"/>
        <w:ind w:left="120" w:right="385"/>
        <w:rPr>
          <w:lang w:val="en-AU"/>
        </w:rPr>
      </w:pPr>
      <w:r w:rsidRPr="00E64D57">
        <w:rPr>
          <w:lang w:val="en-AU"/>
        </w:rPr>
        <w:t xml:space="preserve">Vonicog alfa is a </w:t>
      </w:r>
      <w:r w:rsidR="000A42C3">
        <w:rPr>
          <w:lang w:val="en-AU"/>
        </w:rPr>
        <w:t>substance</w:t>
      </w:r>
      <w:r w:rsidRPr="00E64D57">
        <w:rPr>
          <w:lang w:val="en-AU"/>
        </w:rPr>
        <w:t xml:space="preserve"> that is designed to replace </w:t>
      </w:r>
      <w:r w:rsidR="00BA6A93" w:rsidRPr="00E64D57">
        <w:rPr>
          <w:lang w:val="en-AU"/>
        </w:rPr>
        <w:t xml:space="preserve">a </w:t>
      </w:r>
      <w:r w:rsidRPr="00E64D57">
        <w:rPr>
          <w:lang w:val="en-AU"/>
        </w:rPr>
        <w:t xml:space="preserve">protein in the human body that </w:t>
      </w:r>
      <w:r w:rsidR="00BA6A93" w:rsidRPr="00E64D57">
        <w:rPr>
          <w:lang w:val="en-AU"/>
        </w:rPr>
        <w:t xml:space="preserve">is </w:t>
      </w:r>
      <w:r w:rsidRPr="00E64D57">
        <w:rPr>
          <w:lang w:val="en-AU"/>
        </w:rPr>
        <w:t>needed to stop bleeding</w:t>
      </w:r>
      <w:r w:rsidR="00BA6A93" w:rsidRPr="00E64D57">
        <w:rPr>
          <w:lang w:val="en-AU"/>
        </w:rPr>
        <w:t xml:space="preserve"> (von Willebrand factor)</w:t>
      </w:r>
      <w:r w:rsidRPr="00E64D57">
        <w:rPr>
          <w:lang w:val="en-AU"/>
        </w:rPr>
        <w:t xml:space="preserve">, for a person for whom </w:t>
      </w:r>
      <w:r w:rsidR="00BA6A93" w:rsidRPr="00E64D57">
        <w:rPr>
          <w:lang w:val="en-AU"/>
        </w:rPr>
        <w:t>this protein is deficient</w:t>
      </w:r>
      <w:r w:rsidRPr="00E64D57">
        <w:rPr>
          <w:lang w:val="en-AU"/>
        </w:rPr>
        <w:t xml:space="preserve"> </w:t>
      </w:r>
      <w:r w:rsidR="00BA6A93" w:rsidRPr="00E64D57">
        <w:rPr>
          <w:lang w:val="en-AU"/>
        </w:rPr>
        <w:t>in quantity or quality</w:t>
      </w:r>
      <w:r w:rsidRPr="00E64D57">
        <w:rPr>
          <w:lang w:val="en-AU"/>
        </w:rPr>
        <w:t xml:space="preserve"> </w:t>
      </w:r>
      <w:r w:rsidR="00BA6A93" w:rsidRPr="00E64D57">
        <w:rPr>
          <w:lang w:val="en-AU"/>
        </w:rPr>
        <w:t>–</w:t>
      </w:r>
      <w:r w:rsidRPr="00E64D57">
        <w:rPr>
          <w:lang w:val="en-AU"/>
        </w:rPr>
        <w:t xml:space="preserve"> </w:t>
      </w:r>
      <w:r w:rsidR="00BA6A93" w:rsidRPr="00E64D57">
        <w:rPr>
          <w:lang w:val="en-AU"/>
        </w:rPr>
        <w:t>that is</w:t>
      </w:r>
      <w:r w:rsidRPr="00E64D57">
        <w:rPr>
          <w:lang w:val="en-AU"/>
        </w:rPr>
        <w:t>, for a person suffering from von Willebrand disease (</w:t>
      </w:r>
      <w:r w:rsidR="00BC3D2A" w:rsidRPr="00E64D57">
        <w:rPr>
          <w:lang w:val="en-AU"/>
        </w:rPr>
        <w:t>“</w:t>
      </w:r>
      <w:r w:rsidRPr="00E64D57">
        <w:rPr>
          <w:lang w:val="en-AU"/>
        </w:rPr>
        <w:t>VWD</w:t>
      </w:r>
      <w:r w:rsidR="00BC3D2A" w:rsidRPr="00E64D57">
        <w:rPr>
          <w:lang w:val="en-AU"/>
        </w:rPr>
        <w:t>”</w:t>
      </w:r>
      <w:r w:rsidRPr="00E64D57">
        <w:rPr>
          <w:lang w:val="en-AU"/>
        </w:rPr>
        <w:t>). People with VWD have difficulty forming a blood clot, which is needed to stop bleeding when it occurs and may, as a result, bleed more after events such as injury, childbirth or during surgery.</w:t>
      </w:r>
    </w:p>
    <w:p w14:paraId="5D156076" w14:textId="39B33402" w:rsidR="004D7961" w:rsidRDefault="00262C4C">
      <w:pPr>
        <w:pStyle w:val="BodyText"/>
        <w:spacing w:before="180"/>
        <w:ind w:left="120" w:right="385"/>
        <w:rPr>
          <w:lang w:val="en-AU"/>
        </w:rPr>
      </w:pPr>
      <w:r>
        <w:rPr>
          <w:lang w:val="en-AU"/>
        </w:rPr>
        <w:t>Th</w:t>
      </w:r>
      <w:r w:rsidR="00A35815">
        <w:rPr>
          <w:lang w:val="en-AU"/>
        </w:rPr>
        <w:t>e</w:t>
      </w:r>
      <w:r>
        <w:rPr>
          <w:lang w:val="en-AU"/>
        </w:rPr>
        <w:t xml:space="preserve"> </w:t>
      </w:r>
      <w:r w:rsidR="00A35815">
        <w:rPr>
          <w:lang w:val="en-AU"/>
        </w:rPr>
        <w:t>Amendment I</w:t>
      </w:r>
      <w:r>
        <w:rPr>
          <w:lang w:val="en-AU"/>
        </w:rPr>
        <w:t xml:space="preserve">nstrument would also make a minor, consequential amendment to remove the reference to vonicog alfa in the index to the </w:t>
      </w:r>
      <w:r w:rsidRPr="00E23986">
        <w:rPr>
          <w:i/>
          <w:lang w:val="en-AU"/>
        </w:rPr>
        <w:t>Poisons Standard February 2020</w:t>
      </w:r>
      <w:r>
        <w:rPr>
          <w:lang w:val="en-AU"/>
        </w:rPr>
        <w:t>.</w:t>
      </w:r>
    </w:p>
    <w:p w14:paraId="1822767F" w14:textId="77777777" w:rsidR="003F0DCD" w:rsidRDefault="00337666">
      <w:pPr>
        <w:pStyle w:val="BodyText"/>
        <w:spacing w:before="180"/>
        <w:ind w:left="120" w:right="385"/>
      </w:pPr>
      <w:r>
        <w:t>The decision to</w:t>
      </w:r>
      <w:r w:rsidR="00DF59BA">
        <w:t xml:space="preserve"> </w:t>
      </w:r>
      <w:r w:rsidR="00976BAA">
        <w:t>make</w:t>
      </w:r>
      <w:r w:rsidR="00DF59BA">
        <w:t xml:space="preserve"> th</w:t>
      </w:r>
      <w:r w:rsidR="00262C4C">
        <w:t>is</w:t>
      </w:r>
      <w:r w:rsidR="00635130">
        <w:t xml:space="preserve"> technical amendment </w:t>
      </w:r>
      <w:r w:rsidR="00262C4C">
        <w:t xml:space="preserve">to correct the inadvertent inclusion of vonicog alfa in Schedule 4 </w:t>
      </w:r>
      <w:r w:rsidR="00C85419">
        <w:t>was a</w:t>
      </w:r>
      <w:r w:rsidR="00DF59BA">
        <w:t xml:space="preserve"> </w:t>
      </w:r>
      <w:r>
        <w:t xml:space="preserve">delegate-only decision that </w:t>
      </w:r>
      <w:r w:rsidR="00BC3D2A">
        <w:t xml:space="preserve">was </w:t>
      </w:r>
      <w:r>
        <w:t xml:space="preserve">not open to public consultation as </w:t>
      </w:r>
      <w:r w:rsidR="00BC3D2A">
        <w:t xml:space="preserve">it was </w:t>
      </w:r>
      <w:r>
        <w:t>considered, in accordance with the SPF, to be sufficiently straightforward as to not require consultation.</w:t>
      </w:r>
    </w:p>
    <w:p w14:paraId="7D28A1A0" w14:textId="77777777" w:rsidR="003F0DCD" w:rsidRDefault="00337666">
      <w:pPr>
        <w:spacing w:before="181"/>
        <w:ind w:left="120" w:right="372"/>
        <w:rPr>
          <w:sz w:val="24"/>
        </w:rPr>
      </w:pPr>
      <w:r>
        <w:rPr>
          <w:sz w:val="24"/>
        </w:rPr>
        <w:t>Th</w:t>
      </w:r>
      <w:r w:rsidR="00A35815">
        <w:rPr>
          <w:sz w:val="24"/>
        </w:rPr>
        <w:t>e</w:t>
      </w:r>
      <w:r w:rsidR="00262C4C">
        <w:rPr>
          <w:sz w:val="24"/>
        </w:rPr>
        <w:t xml:space="preserve"> </w:t>
      </w:r>
      <w:r w:rsidR="00A35815">
        <w:rPr>
          <w:sz w:val="24"/>
        </w:rPr>
        <w:t>Amendment I</w:t>
      </w:r>
      <w:r w:rsidR="00262C4C">
        <w:rPr>
          <w:sz w:val="24"/>
        </w:rPr>
        <w:t xml:space="preserve">nstrument </w:t>
      </w:r>
      <w:r>
        <w:rPr>
          <w:sz w:val="24"/>
        </w:rPr>
        <w:t xml:space="preserve">is a legislative instrument for the purposes of the </w:t>
      </w:r>
      <w:r>
        <w:rPr>
          <w:i/>
          <w:sz w:val="24"/>
        </w:rPr>
        <w:t xml:space="preserve">Legislation Act 2003 </w:t>
      </w:r>
      <w:r>
        <w:rPr>
          <w:sz w:val="24"/>
        </w:rPr>
        <w:t xml:space="preserve">(“the LA”). However, section 42 (disallowance) of the LA does not apply (refer to subsection 52D(4A) of the Act). As it is not disallowable, subsection 9(1) of the </w:t>
      </w:r>
      <w:r>
        <w:rPr>
          <w:i/>
          <w:sz w:val="24"/>
        </w:rPr>
        <w:t xml:space="preserve">Human Rights (Parliamentary Scrutiny) Act 2011 </w:t>
      </w:r>
      <w:r>
        <w:rPr>
          <w:sz w:val="24"/>
        </w:rPr>
        <w:t>does not require that the instrument be accompanied by a statement of compatibility with the human rights recognised</w:t>
      </w:r>
      <w:bookmarkStart w:id="1" w:name="_GoBack"/>
      <w:bookmarkEnd w:id="1"/>
      <w:r>
        <w:rPr>
          <w:sz w:val="24"/>
        </w:rPr>
        <w:t xml:space="preserve"> under that Act.</w:t>
      </w:r>
    </w:p>
    <w:p w14:paraId="1ACD7FDF" w14:textId="77777777" w:rsidR="003F0DCD" w:rsidRDefault="00337666">
      <w:pPr>
        <w:spacing w:before="180"/>
        <w:ind w:left="120"/>
        <w:rPr>
          <w:sz w:val="24"/>
        </w:rPr>
      </w:pPr>
      <w:r>
        <w:rPr>
          <w:sz w:val="24"/>
        </w:rPr>
        <w:t>Th</w:t>
      </w:r>
      <w:r w:rsidR="00A35815">
        <w:rPr>
          <w:sz w:val="24"/>
        </w:rPr>
        <w:t>e</w:t>
      </w:r>
      <w:r w:rsidR="00262C4C">
        <w:rPr>
          <w:sz w:val="24"/>
        </w:rPr>
        <w:t xml:space="preserve"> </w:t>
      </w:r>
      <w:r w:rsidR="00A35815">
        <w:rPr>
          <w:sz w:val="24"/>
        </w:rPr>
        <w:t>Amendment I</w:t>
      </w:r>
      <w:r w:rsidR="00262C4C">
        <w:rPr>
          <w:sz w:val="24"/>
        </w:rPr>
        <w:t xml:space="preserve">nstrument commences on 1 February 2020, the same time </w:t>
      </w:r>
      <w:r w:rsidR="00D94864">
        <w:rPr>
          <w:sz w:val="24"/>
        </w:rPr>
        <w:t>that</w:t>
      </w:r>
      <w:r w:rsidR="00262C4C">
        <w:rPr>
          <w:sz w:val="24"/>
        </w:rPr>
        <w:t xml:space="preserve"> the</w:t>
      </w:r>
      <w:r>
        <w:rPr>
          <w:sz w:val="24"/>
        </w:rPr>
        <w:t xml:space="preserve"> </w:t>
      </w:r>
      <w:r>
        <w:rPr>
          <w:i/>
          <w:sz w:val="24"/>
        </w:rPr>
        <w:t>Poisons Standard February 2020</w:t>
      </w:r>
      <w:r w:rsidR="00D94864">
        <w:rPr>
          <w:i/>
          <w:sz w:val="24"/>
        </w:rPr>
        <w:t xml:space="preserve"> </w:t>
      </w:r>
      <w:r w:rsidR="00D94864" w:rsidRPr="008738D0">
        <w:rPr>
          <w:sz w:val="24"/>
        </w:rPr>
        <w:t>commences</w:t>
      </w:r>
      <w:r w:rsidR="00262C4C">
        <w:rPr>
          <w:sz w:val="24"/>
        </w:rPr>
        <w:t>.</w:t>
      </w:r>
      <w:r>
        <w:rPr>
          <w:i/>
          <w:sz w:val="24"/>
        </w:rPr>
        <w:t xml:space="preserve"> </w:t>
      </w:r>
      <w:r w:rsidR="00262C4C">
        <w:rPr>
          <w:sz w:val="24"/>
        </w:rPr>
        <w:t xml:space="preserve">As such, this will ensure that the inadvertent error </w:t>
      </w:r>
      <w:r w:rsidR="00CC2CD3">
        <w:rPr>
          <w:sz w:val="24"/>
        </w:rPr>
        <w:t xml:space="preserve">in the </w:t>
      </w:r>
      <w:r w:rsidR="00CC2CD3" w:rsidRPr="008738D0">
        <w:rPr>
          <w:i/>
          <w:sz w:val="24"/>
        </w:rPr>
        <w:t>Poisons Standard February 202</w:t>
      </w:r>
      <w:r w:rsidR="00CC2CD3" w:rsidRPr="00BE0DB9">
        <w:rPr>
          <w:i/>
          <w:sz w:val="24"/>
          <w:szCs w:val="24"/>
        </w:rPr>
        <w:t>0</w:t>
      </w:r>
      <w:r w:rsidR="00CC2CD3" w:rsidRPr="00BE0DB9">
        <w:rPr>
          <w:sz w:val="24"/>
          <w:szCs w:val="24"/>
          <w:lang w:val="en-AU"/>
        </w:rPr>
        <w:t xml:space="preserve"> to include vonicog alfa in Schedule 4 will not take effect</w:t>
      </w:r>
      <w:r w:rsidR="005D3A75" w:rsidRPr="00BE0DB9">
        <w:rPr>
          <w:sz w:val="24"/>
          <w:szCs w:val="24"/>
        </w:rPr>
        <w:t>.</w:t>
      </w:r>
    </w:p>
    <w:p w14:paraId="58AF5485" w14:textId="77777777" w:rsidR="003F0DCD" w:rsidRDefault="003F0DCD">
      <w:pPr>
        <w:pStyle w:val="BodyText"/>
        <w:rPr>
          <w:sz w:val="20"/>
        </w:rPr>
      </w:pPr>
    </w:p>
    <w:p w14:paraId="594A493B" w14:textId="77777777" w:rsidR="003F0DCD" w:rsidRDefault="003F0DCD">
      <w:pPr>
        <w:pStyle w:val="BodyText"/>
        <w:spacing w:before="1"/>
        <w:jc w:val="center"/>
      </w:pPr>
    </w:p>
    <w:sectPr w:rsidR="003F0DCD" w:rsidSect="00C85419">
      <w:footerReference w:type="default" r:id="rId8"/>
      <w:type w:val="continuous"/>
      <w:pgSz w:w="11910" w:h="16840"/>
      <w:pgMar w:top="1340" w:right="1680" w:bottom="560" w:left="1680" w:header="0" w:footer="3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D2748" w14:textId="77777777" w:rsidR="003123F1" w:rsidRDefault="003123F1">
      <w:r>
        <w:separator/>
      </w:r>
    </w:p>
  </w:endnote>
  <w:endnote w:type="continuationSeparator" w:id="0">
    <w:p w14:paraId="4E32FA4D" w14:textId="77777777" w:rsidR="003123F1" w:rsidRDefault="0031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107356"/>
      <w:docPartObj>
        <w:docPartGallery w:val="Page Numbers (Bottom of Page)"/>
        <w:docPartUnique/>
      </w:docPartObj>
    </w:sdtPr>
    <w:sdtEndPr>
      <w:rPr>
        <w:noProof/>
      </w:rPr>
    </w:sdtEndPr>
    <w:sdtContent>
      <w:p w14:paraId="0C3FA839" w14:textId="1B7CE2E2" w:rsidR="008D0CDA" w:rsidRDefault="008D0CDA">
        <w:pPr>
          <w:pStyle w:val="Footer"/>
          <w:jc w:val="center"/>
        </w:pPr>
        <w:r>
          <w:fldChar w:fldCharType="begin"/>
        </w:r>
        <w:r>
          <w:instrText xml:space="preserve"> PAGE   \* MERGEFORMAT </w:instrText>
        </w:r>
        <w:r>
          <w:fldChar w:fldCharType="separate"/>
        </w:r>
        <w:r w:rsidR="001956B6">
          <w:rPr>
            <w:noProof/>
          </w:rPr>
          <w:t>1</w:t>
        </w:r>
        <w:r>
          <w:rPr>
            <w:noProof/>
          </w:rPr>
          <w:fldChar w:fldCharType="end"/>
        </w:r>
      </w:p>
    </w:sdtContent>
  </w:sdt>
  <w:p w14:paraId="1E5B34DE" w14:textId="77777777" w:rsidR="003123F1" w:rsidRDefault="003123F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FC3F7" w14:textId="77777777" w:rsidR="003123F1" w:rsidRDefault="003123F1">
      <w:r>
        <w:separator/>
      </w:r>
    </w:p>
  </w:footnote>
  <w:footnote w:type="continuationSeparator" w:id="0">
    <w:p w14:paraId="7293B220" w14:textId="77777777" w:rsidR="003123F1" w:rsidRDefault="00312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41140"/>
    <w:multiLevelType w:val="hybridMultilevel"/>
    <w:tmpl w:val="E40C5D50"/>
    <w:lvl w:ilvl="0" w:tplc="3FF60E1C">
      <w:numFmt w:val="bullet"/>
      <w:lvlText w:val=""/>
      <w:lvlJc w:val="left"/>
      <w:pPr>
        <w:ind w:left="547" w:hanging="360"/>
      </w:pPr>
      <w:rPr>
        <w:rFonts w:ascii="Symbol" w:eastAsia="Symbol" w:hAnsi="Symbol" w:cs="Symbol" w:hint="default"/>
        <w:w w:val="100"/>
        <w:sz w:val="24"/>
        <w:szCs w:val="24"/>
        <w:lang w:val="en-US" w:eastAsia="en-US" w:bidi="en-US"/>
      </w:rPr>
    </w:lvl>
    <w:lvl w:ilvl="1" w:tplc="9C783980">
      <w:numFmt w:val="bullet"/>
      <w:lvlText w:val="•"/>
      <w:lvlJc w:val="left"/>
      <w:pPr>
        <w:ind w:left="1340" w:hanging="360"/>
      </w:pPr>
      <w:rPr>
        <w:rFonts w:hint="default"/>
        <w:lang w:val="en-US" w:eastAsia="en-US" w:bidi="en-US"/>
      </w:rPr>
    </w:lvl>
    <w:lvl w:ilvl="2" w:tplc="58F2B66E">
      <w:numFmt w:val="bullet"/>
      <w:lvlText w:val="•"/>
      <w:lvlJc w:val="left"/>
      <w:pPr>
        <w:ind w:left="2141" w:hanging="360"/>
      </w:pPr>
      <w:rPr>
        <w:rFonts w:hint="default"/>
        <w:lang w:val="en-US" w:eastAsia="en-US" w:bidi="en-US"/>
      </w:rPr>
    </w:lvl>
    <w:lvl w:ilvl="3" w:tplc="52C49958">
      <w:numFmt w:val="bullet"/>
      <w:lvlText w:val="•"/>
      <w:lvlJc w:val="left"/>
      <w:pPr>
        <w:ind w:left="2941" w:hanging="360"/>
      </w:pPr>
      <w:rPr>
        <w:rFonts w:hint="default"/>
        <w:lang w:val="en-US" w:eastAsia="en-US" w:bidi="en-US"/>
      </w:rPr>
    </w:lvl>
    <w:lvl w:ilvl="4" w:tplc="53B81C04">
      <w:numFmt w:val="bullet"/>
      <w:lvlText w:val="•"/>
      <w:lvlJc w:val="left"/>
      <w:pPr>
        <w:ind w:left="3742" w:hanging="360"/>
      </w:pPr>
      <w:rPr>
        <w:rFonts w:hint="default"/>
        <w:lang w:val="en-US" w:eastAsia="en-US" w:bidi="en-US"/>
      </w:rPr>
    </w:lvl>
    <w:lvl w:ilvl="5" w:tplc="0EEE4064">
      <w:numFmt w:val="bullet"/>
      <w:lvlText w:val="•"/>
      <w:lvlJc w:val="left"/>
      <w:pPr>
        <w:ind w:left="4543" w:hanging="360"/>
      </w:pPr>
      <w:rPr>
        <w:rFonts w:hint="default"/>
        <w:lang w:val="en-US" w:eastAsia="en-US" w:bidi="en-US"/>
      </w:rPr>
    </w:lvl>
    <w:lvl w:ilvl="6" w:tplc="AAB469A4">
      <w:numFmt w:val="bullet"/>
      <w:lvlText w:val="•"/>
      <w:lvlJc w:val="left"/>
      <w:pPr>
        <w:ind w:left="5343" w:hanging="360"/>
      </w:pPr>
      <w:rPr>
        <w:rFonts w:hint="default"/>
        <w:lang w:val="en-US" w:eastAsia="en-US" w:bidi="en-US"/>
      </w:rPr>
    </w:lvl>
    <w:lvl w:ilvl="7" w:tplc="1A1601DC">
      <w:numFmt w:val="bullet"/>
      <w:lvlText w:val="•"/>
      <w:lvlJc w:val="left"/>
      <w:pPr>
        <w:ind w:left="6144" w:hanging="360"/>
      </w:pPr>
      <w:rPr>
        <w:rFonts w:hint="default"/>
        <w:lang w:val="en-US" w:eastAsia="en-US" w:bidi="en-US"/>
      </w:rPr>
    </w:lvl>
    <w:lvl w:ilvl="8" w:tplc="AB7C3AFE">
      <w:numFmt w:val="bullet"/>
      <w:lvlText w:val="•"/>
      <w:lvlJc w:val="left"/>
      <w:pPr>
        <w:ind w:left="6945"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CD"/>
    <w:rsid w:val="000A42C3"/>
    <w:rsid w:val="001956B6"/>
    <w:rsid w:val="001B4D68"/>
    <w:rsid w:val="00262C4C"/>
    <w:rsid w:val="003123F1"/>
    <w:rsid w:val="00337666"/>
    <w:rsid w:val="003F0DCD"/>
    <w:rsid w:val="00400C34"/>
    <w:rsid w:val="00470320"/>
    <w:rsid w:val="004A7DAD"/>
    <w:rsid w:val="004D7961"/>
    <w:rsid w:val="004E72FF"/>
    <w:rsid w:val="005664A0"/>
    <w:rsid w:val="005C1787"/>
    <w:rsid w:val="005D3A75"/>
    <w:rsid w:val="00635130"/>
    <w:rsid w:val="00734274"/>
    <w:rsid w:val="007E77F6"/>
    <w:rsid w:val="008738D0"/>
    <w:rsid w:val="00881D02"/>
    <w:rsid w:val="008D0CDA"/>
    <w:rsid w:val="0096285F"/>
    <w:rsid w:val="00976BAA"/>
    <w:rsid w:val="009E3ACB"/>
    <w:rsid w:val="00A35815"/>
    <w:rsid w:val="00A67F58"/>
    <w:rsid w:val="00B81969"/>
    <w:rsid w:val="00BA6A93"/>
    <w:rsid w:val="00BB5DF0"/>
    <w:rsid w:val="00BC3D2A"/>
    <w:rsid w:val="00BE0DB9"/>
    <w:rsid w:val="00C30F09"/>
    <w:rsid w:val="00C60D3D"/>
    <w:rsid w:val="00C85419"/>
    <w:rsid w:val="00CC2CD3"/>
    <w:rsid w:val="00CD042D"/>
    <w:rsid w:val="00D24A14"/>
    <w:rsid w:val="00D94864"/>
    <w:rsid w:val="00DF59BA"/>
    <w:rsid w:val="00E23986"/>
    <w:rsid w:val="00E64D57"/>
    <w:rsid w:val="00ED57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C9F0"/>
  <w15:docId w15:val="{DAC5FF95-DE70-4C0C-A257-0D07653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4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00C34"/>
    <w:pPr>
      <w:tabs>
        <w:tab w:val="center" w:pos="4513"/>
        <w:tab w:val="right" w:pos="9026"/>
      </w:tabs>
    </w:pPr>
  </w:style>
  <w:style w:type="character" w:customStyle="1" w:styleId="HeaderChar">
    <w:name w:val="Header Char"/>
    <w:basedOn w:val="DefaultParagraphFont"/>
    <w:link w:val="Header"/>
    <w:uiPriority w:val="99"/>
    <w:rsid w:val="00400C34"/>
    <w:rPr>
      <w:rFonts w:ascii="Times New Roman" w:eastAsia="Times New Roman" w:hAnsi="Times New Roman" w:cs="Times New Roman"/>
      <w:lang w:bidi="en-US"/>
    </w:rPr>
  </w:style>
  <w:style w:type="paragraph" w:styleId="Footer">
    <w:name w:val="footer"/>
    <w:basedOn w:val="Normal"/>
    <w:link w:val="FooterChar"/>
    <w:uiPriority w:val="99"/>
    <w:unhideWhenUsed/>
    <w:rsid w:val="00400C34"/>
    <w:pPr>
      <w:tabs>
        <w:tab w:val="center" w:pos="4513"/>
        <w:tab w:val="right" w:pos="9026"/>
      </w:tabs>
    </w:pPr>
  </w:style>
  <w:style w:type="character" w:customStyle="1" w:styleId="FooterChar">
    <w:name w:val="Footer Char"/>
    <w:basedOn w:val="DefaultParagraphFont"/>
    <w:link w:val="Footer"/>
    <w:uiPriority w:val="99"/>
    <w:rsid w:val="00400C34"/>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4703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320"/>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5D3A75"/>
    <w:rPr>
      <w:sz w:val="16"/>
      <w:szCs w:val="16"/>
    </w:rPr>
  </w:style>
  <w:style w:type="paragraph" w:styleId="CommentText">
    <w:name w:val="annotation text"/>
    <w:basedOn w:val="Normal"/>
    <w:link w:val="CommentTextChar"/>
    <w:uiPriority w:val="99"/>
    <w:semiHidden/>
    <w:unhideWhenUsed/>
    <w:rsid w:val="005D3A75"/>
    <w:rPr>
      <w:sz w:val="20"/>
      <w:szCs w:val="20"/>
    </w:rPr>
  </w:style>
  <w:style w:type="character" w:customStyle="1" w:styleId="CommentTextChar">
    <w:name w:val="Comment Text Char"/>
    <w:basedOn w:val="DefaultParagraphFont"/>
    <w:link w:val="CommentText"/>
    <w:uiPriority w:val="99"/>
    <w:semiHidden/>
    <w:rsid w:val="005D3A7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D3A75"/>
    <w:rPr>
      <w:b/>
      <w:bCs/>
    </w:rPr>
  </w:style>
  <w:style w:type="character" w:customStyle="1" w:styleId="CommentSubjectChar">
    <w:name w:val="Comment Subject Char"/>
    <w:basedOn w:val="CommentTextChar"/>
    <w:link w:val="CommentSubject"/>
    <w:uiPriority w:val="99"/>
    <w:semiHidden/>
    <w:rsid w:val="005D3A75"/>
    <w:rPr>
      <w:rFonts w:ascii="Times New Roman" w:eastAsia="Times New Roman" w:hAnsi="Times New Roman" w:cs="Times New Roman"/>
      <w:b/>
      <w:bCs/>
      <w:sz w:val="20"/>
      <w:szCs w:val="20"/>
      <w:lang w:bidi="en-US"/>
    </w:rPr>
  </w:style>
  <w:style w:type="character" w:styleId="Hyperlink">
    <w:name w:val="Hyperlink"/>
    <w:basedOn w:val="DefaultParagraphFont"/>
    <w:uiPriority w:val="99"/>
    <w:unhideWhenUsed/>
    <w:rsid w:val="00E23986"/>
    <w:rPr>
      <w:color w:val="0000FF" w:themeColor="hyperlink"/>
      <w:u w:val="single"/>
    </w:rPr>
  </w:style>
  <w:style w:type="character" w:styleId="FollowedHyperlink">
    <w:name w:val="FollowedHyperlink"/>
    <w:basedOn w:val="DefaultParagraphFont"/>
    <w:uiPriority w:val="99"/>
    <w:semiHidden/>
    <w:unhideWhenUsed/>
    <w:rsid w:val="00D948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21091">
      <w:bodyDiv w:val="1"/>
      <w:marLeft w:val="0"/>
      <w:marRight w:val="0"/>
      <w:marTop w:val="0"/>
      <w:marBottom w:val="0"/>
      <w:divBdr>
        <w:top w:val="none" w:sz="0" w:space="0" w:color="auto"/>
        <w:left w:val="none" w:sz="0" w:space="0" w:color="auto"/>
        <w:bottom w:val="none" w:sz="0" w:space="0" w:color="auto"/>
        <w:right w:val="none" w:sz="0" w:space="0" w:color="auto"/>
      </w:divBdr>
      <w:divsChild>
        <w:div w:id="174345705">
          <w:marLeft w:val="0"/>
          <w:marRight w:val="0"/>
          <w:marTop w:val="0"/>
          <w:marBottom w:val="0"/>
          <w:divBdr>
            <w:top w:val="none" w:sz="0" w:space="0" w:color="auto"/>
            <w:left w:val="none" w:sz="0" w:space="0" w:color="auto"/>
            <w:bottom w:val="none" w:sz="0" w:space="0" w:color="auto"/>
            <w:right w:val="none" w:sz="0" w:space="0" w:color="auto"/>
          </w:divBdr>
          <w:divsChild>
            <w:div w:id="420882455">
              <w:marLeft w:val="0"/>
              <w:marRight w:val="0"/>
              <w:marTop w:val="0"/>
              <w:marBottom w:val="0"/>
              <w:divBdr>
                <w:top w:val="none" w:sz="0" w:space="0" w:color="auto"/>
                <w:left w:val="none" w:sz="0" w:space="0" w:color="auto"/>
                <w:bottom w:val="none" w:sz="0" w:space="0" w:color="auto"/>
                <w:right w:val="none" w:sz="0" w:space="0" w:color="auto"/>
              </w:divBdr>
              <w:divsChild>
                <w:div w:id="191116883">
                  <w:marLeft w:val="0"/>
                  <w:marRight w:val="0"/>
                  <w:marTop w:val="0"/>
                  <w:marBottom w:val="0"/>
                  <w:divBdr>
                    <w:top w:val="none" w:sz="0" w:space="0" w:color="auto"/>
                    <w:left w:val="none" w:sz="0" w:space="0" w:color="auto"/>
                    <w:bottom w:val="none" w:sz="0" w:space="0" w:color="auto"/>
                    <w:right w:val="none" w:sz="0" w:space="0" w:color="auto"/>
                  </w:divBdr>
                  <w:divsChild>
                    <w:div w:id="669481539">
                      <w:marLeft w:val="0"/>
                      <w:marRight w:val="0"/>
                      <w:marTop w:val="0"/>
                      <w:marBottom w:val="0"/>
                      <w:divBdr>
                        <w:top w:val="none" w:sz="0" w:space="0" w:color="auto"/>
                        <w:left w:val="none" w:sz="0" w:space="0" w:color="auto"/>
                        <w:bottom w:val="none" w:sz="0" w:space="0" w:color="auto"/>
                        <w:right w:val="none" w:sz="0" w:space="0" w:color="auto"/>
                      </w:divBdr>
                      <w:divsChild>
                        <w:div w:id="2091736115">
                          <w:marLeft w:val="0"/>
                          <w:marRight w:val="0"/>
                          <w:marTop w:val="0"/>
                          <w:marBottom w:val="0"/>
                          <w:divBdr>
                            <w:top w:val="none" w:sz="0" w:space="0" w:color="auto"/>
                            <w:left w:val="none" w:sz="0" w:space="0" w:color="auto"/>
                            <w:bottom w:val="none" w:sz="0" w:space="0" w:color="auto"/>
                            <w:right w:val="none" w:sz="0" w:space="0" w:color="auto"/>
                          </w:divBdr>
                          <w:divsChild>
                            <w:div w:id="681051013">
                              <w:marLeft w:val="0"/>
                              <w:marRight w:val="0"/>
                              <w:marTop w:val="0"/>
                              <w:marBottom w:val="0"/>
                              <w:divBdr>
                                <w:top w:val="none" w:sz="0" w:space="0" w:color="auto"/>
                                <w:left w:val="none" w:sz="0" w:space="0" w:color="auto"/>
                                <w:bottom w:val="none" w:sz="0" w:space="0" w:color="auto"/>
                                <w:right w:val="none" w:sz="0" w:space="0" w:color="auto"/>
                              </w:divBdr>
                              <w:divsChild>
                                <w:div w:id="1935045391">
                                  <w:marLeft w:val="0"/>
                                  <w:marRight w:val="0"/>
                                  <w:marTop w:val="0"/>
                                  <w:marBottom w:val="0"/>
                                  <w:divBdr>
                                    <w:top w:val="none" w:sz="0" w:space="0" w:color="auto"/>
                                    <w:left w:val="none" w:sz="0" w:space="0" w:color="auto"/>
                                    <w:bottom w:val="none" w:sz="0" w:space="0" w:color="auto"/>
                                    <w:right w:val="none" w:sz="0" w:space="0" w:color="auto"/>
                                  </w:divBdr>
                                  <w:divsChild>
                                    <w:div w:id="934170379">
                                      <w:marLeft w:val="0"/>
                                      <w:marRight w:val="0"/>
                                      <w:marTop w:val="0"/>
                                      <w:marBottom w:val="0"/>
                                      <w:divBdr>
                                        <w:top w:val="none" w:sz="0" w:space="0" w:color="auto"/>
                                        <w:left w:val="none" w:sz="0" w:space="0" w:color="auto"/>
                                        <w:bottom w:val="none" w:sz="0" w:space="0" w:color="auto"/>
                                        <w:right w:val="none" w:sz="0" w:space="0" w:color="auto"/>
                                      </w:divBdr>
                                      <w:divsChild>
                                        <w:div w:id="241915221">
                                          <w:marLeft w:val="0"/>
                                          <w:marRight w:val="0"/>
                                          <w:marTop w:val="0"/>
                                          <w:marBottom w:val="0"/>
                                          <w:divBdr>
                                            <w:top w:val="none" w:sz="0" w:space="0" w:color="auto"/>
                                            <w:left w:val="none" w:sz="0" w:space="0" w:color="auto"/>
                                            <w:bottom w:val="none" w:sz="0" w:space="0" w:color="auto"/>
                                            <w:right w:val="none" w:sz="0" w:space="0" w:color="auto"/>
                                          </w:divBdr>
                                          <w:divsChild>
                                            <w:div w:id="1967540653">
                                              <w:marLeft w:val="0"/>
                                              <w:marRight w:val="0"/>
                                              <w:marTop w:val="0"/>
                                              <w:marBottom w:val="0"/>
                                              <w:divBdr>
                                                <w:top w:val="none" w:sz="0" w:space="0" w:color="auto"/>
                                                <w:left w:val="none" w:sz="0" w:space="0" w:color="auto"/>
                                                <w:bottom w:val="none" w:sz="0" w:space="0" w:color="auto"/>
                                                <w:right w:val="none" w:sz="0" w:space="0" w:color="auto"/>
                                              </w:divBdr>
                                              <w:divsChild>
                                                <w:div w:id="1175727163">
                                                  <w:marLeft w:val="0"/>
                                                  <w:marRight w:val="0"/>
                                                  <w:marTop w:val="0"/>
                                                  <w:marBottom w:val="0"/>
                                                  <w:divBdr>
                                                    <w:top w:val="none" w:sz="0" w:space="0" w:color="auto"/>
                                                    <w:left w:val="none" w:sz="0" w:space="0" w:color="auto"/>
                                                    <w:bottom w:val="none" w:sz="0" w:space="0" w:color="auto"/>
                                                    <w:right w:val="none" w:sz="0" w:space="0" w:color="auto"/>
                                                  </w:divBdr>
                                                  <w:divsChild>
                                                    <w:div w:id="921138039">
                                                      <w:marLeft w:val="0"/>
                                                      <w:marRight w:val="0"/>
                                                      <w:marTop w:val="0"/>
                                                      <w:marBottom w:val="0"/>
                                                      <w:divBdr>
                                                        <w:top w:val="none" w:sz="0" w:space="0" w:color="auto"/>
                                                        <w:left w:val="none" w:sz="0" w:space="0" w:color="auto"/>
                                                        <w:bottom w:val="none" w:sz="0" w:space="0" w:color="auto"/>
                                                        <w:right w:val="none" w:sz="0" w:space="0" w:color="auto"/>
                                                      </w:divBdr>
                                                      <w:divsChild>
                                                        <w:div w:id="6750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ga.gov.au/publication/ahmac-scheduling-policy-framework-medicines-and-chemic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Rachel</dc:creator>
  <cp:lastModifiedBy>Carter, Bless</cp:lastModifiedBy>
  <cp:revision>5</cp:revision>
  <cp:lastPrinted>2020-01-22T01:07:00Z</cp:lastPrinted>
  <dcterms:created xsi:type="dcterms:W3CDTF">2020-01-22T01:07:00Z</dcterms:created>
  <dcterms:modified xsi:type="dcterms:W3CDTF">2020-01-22T02:56:00Z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2020-01-09T00:00:00Z</vt:filetime>
  </property>
  <property fmtid="{D5CDD505-2E9C-101B-9397-08002B2CF9AE}" pid="3" name="Creator">
    <vt:lpwstr>Microsoft® Word 2010</vt:lpwstr>
  </property>
  <property fmtid="{D5CDD505-2E9C-101B-9397-08002B2CF9AE}" pid="4" name="LastSaved">
    <vt:filetime>2020-01-20T00:00:00Z</vt:filetime>
  </property>
</Properties>
</file>