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3000E" w14:textId="77777777" w:rsidR="00414BC3" w:rsidRPr="001B1D7C" w:rsidRDefault="00414BC3" w:rsidP="00A94F2A">
      <w:pPr>
        <w:pStyle w:val="CoverTitle"/>
        <w:spacing w:after="600"/>
        <w:jc w:val="center"/>
      </w:pPr>
      <w:r w:rsidRPr="001B1D7C">
        <w:t>Explanatory Statement</w:t>
      </w:r>
    </w:p>
    <w:p w14:paraId="1CB81A28" w14:textId="4C3AD566" w:rsidR="006776BD" w:rsidRPr="009F3698" w:rsidRDefault="00396BCD" w:rsidP="009F3698">
      <w:pPr>
        <w:pStyle w:val="CoverTitle"/>
        <w:spacing w:after="120"/>
        <w:jc w:val="center"/>
        <w:rPr>
          <w:i/>
          <w:sz w:val="36"/>
          <w:szCs w:val="36"/>
        </w:rPr>
      </w:pPr>
      <w:r w:rsidRPr="001B1D7C">
        <w:rPr>
          <w:sz w:val="36"/>
          <w:szCs w:val="36"/>
        </w:rPr>
        <w:t xml:space="preserve">Accounting Standard </w:t>
      </w:r>
      <w:r w:rsidR="005F4451" w:rsidRPr="001B1D7C">
        <w:rPr>
          <w:sz w:val="36"/>
          <w:szCs w:val="36"/>
        </w:rPr>
        <w:t>AASB</w:t>
      </w:r>
      <w:r w:rsidR="00F913AF">
        <w:rPr>
          <w:sz w:val="36"/>
          <w:szCs w:val="36"/>
        </w:rPr>
        <w:t> </w:t>
      </w:r>
      <w:r w:rsidR="00C61FC9" w:rsidRPr="001B1D7C">
        <w:rPr>
          <w:sz w:val="36"/>
          <w:szCs w:val="36"/>
        </w:rPr>
        <w:t>201</w:t>
      </w:r>
      <w:r w:rsidR="0007096A">
        <w:rPr>
          <w:sz w:val="36"/>
          <w:szCs w:val="36"/>
        </w:rPr>
        <w:t>9</w:t>
      </w:r>
      <w:r w:rsidR="00C61FC9" w:rsidRPr="00314DC3">
        <w:rPr>
          <w:sz w:val="36"/>
          <w:szCs w:val="36"/>
        </w:rPr>
        <w:t>-</w:t>
      </w:r>
      <w:r w:rsidR="00B6513D">
        <w:rPr>
          <w:sz w:val="36"/>
          <w:szCs w:val="36"/>
        </w:rPr>
        <w:t>6</w:t>
      </w:r>
      <w:r w:rsidR="00347521" w:rsidRPr="00314DC3">
        <w:rPr>
          <w:sz w:val="36"/>
          <w:szCs w:val="36"/>
        </w:rPr>
        <w:br/>
      </w:r>
      <w:r w:rsidR="00C61FC9" w:rsidRPr="00314DC3">
        <w:rPr>
          <w:i/>
          <w:sz w:val="36"/>
          <w:szCs w:val="36"/>
        </w:rPr>
        <w:t xml:space="preserve">Amendments to Australian Accounting Standards </w:t>
      </w:r>
      <w:r w:rsidR="00A94F2A" w:rsidRPr="001B1D7C">
        <w:rPr>
          <w:i/>
          <w:sz w:val="36"/>
          <w:szCs w:val="36"/>
        </w:rPr>
        <w:t>–</w:t>
      </w:r>
      <w:r w:rsidR="001D3B0B">
        <w:rPr>
          <w:i/>
          <w:sz w:val="36"/>
          <w:szCs w:val="36"/>
        </w:rPr>
        <w:t xml:space="preserve"> </w:t>
      </w:r>
      <w:r w:rsidR="0037016D">
        <w:rPr>
          <w:i/>
          <w:sz w:val="36"/>
          <w:szCs w:val="36"/>
        </w:rPr>
        <w:t xml:space="preserve">Research Grants and </w:t>
      </w:r>
      <w:r w:rsidR="003C5A2F">
        <w:rPr>
          <w:i/>
          <w:sz w:val="36"/>
          <w:szCs w:val="36"/>
        </w:rPr>
        <w:t>Not-for-Profit Entities</w:t>
      </w:r>
      <w:r w:rsidR="00753AD8">
        <w:rPr>
          <w:i/>
          <w:sz w:val="36"/>
          <w:szCs w:val="36"/>
        </w:rPr>
        <w:br/>
      </w:r>
    </w:p>
    <w:p w14:paraId="404A1F6F" w14:textId="77777777" w:rsidR="00D36B1E" w:rsidRPr="001B1D7C" w:rsidRDefault="00D36B1E" w:rsidP="00D36B1E">
      <w:pPr>
        <w:pStyle w:val="CoverSubtitle"/>
        <w:spacing w:after="3120"/>
        <w:rPr>
          <w:sz w:val="32"/>
          <w:szCs w:val="32"/>
        </w:rPr>
      </w:pPr>
    </w:p>
    <w:p w14:paraId="76A4C860" w14:textId="19647D8E" w:rsidR="00D36B1E" w:rsidRPr="001B1D7C" w:rsidRDefault="00383FF7" w:rsidP="00D36B1E">
      <w:pPr>
        <w:pStyle w:val="CoverDate"/>
        <w:tabs>
          <w:tab w:val="left" w:pos="3794"/>
          <w:tab w:val="left" w:pos="6232"/>
        </w:tabs>
        <w:spacing w:before="840"/>
        <w:jc w:val="center"/>
        <w:rPr>
          <w:b/>
          <w:sz w:val="28"/>
          <w:szCs w:val="28"/>
        </w:rPr>
      </w:pPr>
      <w:r>
        <w:rPr>
          <w:b/>
          <w:sz w:val="28"/>
          <w:szCs w:val="28"/>
        </w:rPr>
        <w:t>December</w:t>
      </w:r>
      <w:r w:rsidR="007A218F">
        <w:rPr>
          <w:b/>
          <w:sz w:val="28"/>
          <w:szCs w:val="28"/>
        </w:rPr>
        <w:t xml:space="preserve"> 201</w:t>
      </w:r>
      <w:r w:rsidR="0007096A">
        <w:rPr>
          <w:b/>
          <w:sz w:val="28"/>
          <w:szCs w:val="28"/>
        </w:rPr>
        <w:t>9</w:t>
      </w:r>
    </w:p>
    <w:p w14:paraId="199CBD61" w14:textId="77777777" w:rsidR="00414BC3" w:rsidRPr="00314DC3" w:rsidRDefault="00A86C65">
      <w:pPr>
        <w:sectPr w:rsidR="00414BC3" w:rsidRPr="00314DC3" w:rsidSect="00B93CE4">
          <w:pgSz w:w="11907" w:h="16840"/>
          <w:pgMar w:top="1134" w:right="1134" w:bottom="1134" w:left="1134" w:header="720" w:footer="720" w:gutter="0"/>
          <w:cols w:space="720"/>
        </w:sectPr>
      </w:pPr>
      <w:r>
        <w:rPr>
          <w:noProof/>
        </w:rPr>
        <w:object w:dxaOrig="1440" w:dyaOrig="1440" w14:anchorId="4520E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11" o:title=""/>
            <w10:wrap anchorx="margin" anchory="margin"/>
            <w10:anchorlock/>
          </v:shape>
          <o:OLEObject Type="Embed" ProgID="Word.Picture.8" ShapeID="_x0000_s1026" DrawAspect="Content" ObjectID="_1641301520" r:id="rId12"/>
        </w:object>
      </w:r>
    </w:p>
    <w:p w14:paraId="2D19E39E" w14:textId="77777777" w:rsidR="00414BC3" w:rsidRPr="00314DC3" w:rsidRDefault="00414BC3">
      <w:pPr>
        <w:pStyle w:val="Heading1"/>
      </w:pPr>
      <w:r w:rsidRPr="00314DC3">
        <w:lastRenderedPageBreak/>
        <w:t>EXPLANATORY STATEMENT</w:t>
      </w:r>
    </w:p>
    <w:p w14:paraId="553DF2C6" w14:textId="62BA4948" w:rsidR="00FD4C0C" w:rsidRDefault="006B1B4A" w:rsidP="00FD4C0C">
      <w:pPr>
        <w:pStyle w:val="Heading2"/>
      </w:pPr>
      <w:r w:rsidRPr="00314DC3">
        <w:t>Standard</w:t>
      </w:r>
      <w:r w:rsidR="00465EBE">
        <w:t>s</w:t>
      </w:r>
      <w:r w:rsidRPr="00314DC3">
        <w:t xml:space="preserve"> Amended by</w:t>
      </w:r>
      <w:r w:rsidR="00FD4C0C" w:rsidRPr="001B1D7C">
        <w:t xml:space="preserve"> AASB</w:t>
      </w:r>
      <w:r w:rsidR="00F913AF">
        <w:t> </w:t>
      </w:r>
      <w:r w:rsidR="00C068D8" w:rsidRPr="001B1D7C">
        <w:t>201</w:t>
      </w:r>
      <w:r w:rsidR="0007096A">
        <w:t>9</w:t>
      </w:r>
      <w:r w:rsidR="00C068D8" w:rsidRPr="001B1D7C">
        <w:t>-</w:t>
      </w:r>
      <w:r w:rsidR="00EC7B80">
        <w:t>6</w:t>
      </w:r>
    </w:p>
    <w:p w14:paraId="0F45949D" w14:textId="2276DA7C" w:rsidR="00E62FF1" w:rsidRDefault="00E62FF1" w:rsidP="000C7E0C">
      <w:pPr>
        <w:pStyle w:val="NoNumPlain1"/>
      </w:pPr>
      <w:r w:rsidRPr="00E62FF1">
        <w:t xml:space="preserve">This Standard makes amendments to AASB 15 </w:t>
      </w:r>
      <w:r w:rsidRPr="00E62FF1">
        <w:rPr>
          <w:i/>
          <w:iCs/>
        </w:rPr>
        <w:t xml:space="preserve">Revenue from Contracts with Customers </w:t>
      </w:r>
      <w:r w:rsidRPr="00E62FF1">
        <w:t>(December 2014) and AASB</w:t>
      </w:r>
      <w:r>
        <w:t> </w:t>
      </w:r>
      <w:r w:rsidRPr="00E62FF1">
        <w:t xml:space="preserve">1058 </w:t>
      </w:r>
      <w:r w:rsidRPr="00E62FF1">
        <w:rPr>
          <w:i/>
          <w:iCs/>
        </w:rPr>
        <w:t>Income of Not-for-Profit Entities</w:t>
      </w:r>
      <w:r w:rsidRPr="00E62FF1">
        <w:t xml:space="preserve"> (December 2016).</w:t>
      </w:r>
    </w:p>
    <w:p w14:paraId="68B1CB72" w14:textId="77777777" w:rsidR="00ED4F33" w:rsidRPr="001B1D7C" w:rsidRDefault="00A94F2A" w:rsidP="00A94F2A">
      <w:pPr>
        <w:pStyle w:val="Heading3"/>
      </w:pPr>
      <w:r w:rsidRPr="001B1D7C">
        <w:t>Power to Make Amendments</w:t>
      </w:r>
      <w:r w:rsidR="007676C0" w:rsidRPr="001B1D7C">
        <w:t xml:space="preserve"> </w:t>
      </w:r>
    </w:p>
    <w:p w14:paraId="07D6B8BF" w14:textId="77777777" w:rsidR="00ED4F33" w:rsidRPr="001B1D7C" w:rsidRDefault="002A0EA5" w:rsidP="00ED4F33">
      <w:pPr>
        <w:pStyle w:val="NoNumPlain1"/>
      </w:pPr>
      <w:r>
        <w:t>Under subsection </w:t>
      </w:r>
      <w:r w:rsidR="00ED4F33" w:rsidRPr="001B1D7C">
        <w:t xml:space="preserve">33(3) of the </w:t>
      </w:r>
      <w:r w:rsidR="00ED4F33" w:rsidRPr="001B1D7C">
        <w:rPr>
          <w:i/>
        </w:rPr>
        <w:t>Acts Interpretation Act 1901</w:t>
      </w:r>
      <w:r w:rsidR="00ED4F33" w:rsidRPr="001B1D7C">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AASB has the power to amend the Accounting Standards that are made by the AASB as legislative instruments under the </w:t>
      </w:r>
      <w:r w:rsidR="00ED4F33" w:rsidRPr="001B1D7C">
        <w:rPr>
          <w:i/>
        </w:rPr>
        <w:t>Corporations Act 2001</w:t>
      </w:r>
      <w:r w:rsidR="00ED4F33" w:rsidRPr="001B1D7C">
        <w:t>.</w:t>
      </w:r>
    </w:p>
    <w:p w14:paraId="537A3EA5" w14:textId="463F9B21" w:rsidR="00FD4C0C" w:rsidRPr="00127350" w:rsidRDefault="00FD4C0C" w:rsidP="00F73663">
      <w:pPr>
        <w:pStyle w:val="Heading2"/>
      </w:pPr>
      <w:r w:rsidRPr="00127350">
        <w:t>Main Features of AASB</w:t>
      </w:r>
      <w:r w:rsidR="00375119">
        <w:t> </w:t>
      </w:r>
      <w:r w:rsidR="00C068D8" w:rsidRPr="00127350">
        <w:t>201</w:t>
      </w:r>
      <w:r w:rsidR="0007096A">
        <w:t>9</w:t>
      </w:r>
      <w:r w:rsidR="00C068D8" w:rsidRPr="00127350">
        <w:t>-</w:t>
      </w:r>
      <w:r w:rsidR="001D3CD6">
        <w:t>6</w:t>
      </w:r>
    </w:p>
    <w:p w14:paraId="13C20FD1" w14:textId="77777777" w:rsidR="00ED4F33" w:rsidRPr="001B1D7C" w:rsidRDefault="00ED4F33" w:rsidP="00ED4F33">
      <w:pPr>
        <w:pStyle w:val="Heading3"/>
      </w:pPr>
      <w:r w:rsidRPr="001B1D7C">
        <w:t>Main Requirements</w:t>
      </w:r>
    </w:p>
    <w:p w14:paraId="5E6442E7" w14:textId="39E26EDC" w:rsidR="007066A8" w:rsidRPr="007066A8" w:rsidRDefault="007066A8" w:rsidP="00754179">
      <w:pPr>
        <w:pStyle w:val="Heading3"/>
        <w:spacing w:line="200" w:lineRule="exact"/>
        <w:rPr>
          <w:rFonts w:cs="Times New Roman"/>
          <w:b w:val="0"/>
          <w:bCs w:val="0"/>
          <w:iCs w:val="0"/>
          <w:sz w:val="20"/>
          <w:szCs w:val="20"/>
        </w:rPr>
      </w:pPr>
      <w:r w:rsidRPr="007066A8">
        <w:rPr>
          <w:rFonts w:cs="Times New Roman"/>
          <w:b w:val="0"/>
          <w:bCs w:val="0"/>
          <w:iCs w:val="0"/>
          <w:sz w:val="20"/>
          <w:szCs w:val="20"/>
        </w:rPr>
        <w:t>This Standard amends AASB 15 and AASB 1058 to permit not-for-profit entities to apply those Standards to research</w:t>
      </w:r>
      <w:r w:rsidR="00754179">
        <w:rPr>
          <w:rFonts w:cs="Times New Roman"/>
          <w:b w:val="0"/>
          <w:bCs w:val="0"/>
          <w:iCs w:val="0"/>
          <w:sz w:val="20"/>
          <w:szCs w:val="20"/>
        </w:rPr>
        <w:t xml:space="preserve"> </w:t>
      </w:r>
      <w:r w:rsidRPr="007066A8">
        <w:rPr>
          <w:rFonts w:cs="Times New Roman"/>
          <w:b w:val="0"/>
          <w:bCs w:val="0"/>
          <w:iCs w:val="0"/>
          <w:sz w:val="20"/>
          <w:szCs w:val="20"/>
        </w:rPr>
        <w:t>grants for annual reporting periods beginning on or after 1 July 2019 instead of 1 January 2019. This will provide an extended implementation period for entities with December year-ends for research grants received. The application of AASB 15 and AASB 1058 to other sources of income is not extended. The option to extend the implementation period applies at the entity level and is not available on an individual research grant basis.</w:t>
      </w:r>
    </w:p>
    <w:p w14:paraId="476788D6" w14:textId="77777777" w:rsidR="007066A8" w:rsidRPr="007066A8" w:rsidRDefault="007066A8" w:rsidP="00754179">
      <w:pPr>
        <w:pStyle w:val="Heading3"/>
        <w:spacing w:line="200" w:lineRule="exact"/>
        <w:rPr>
          <w:rFonts w:cs="Times New Roman"/>
          <w:b w:val="0"/>
          <w:bCs w:val="0"/>
          <w:iCs w:val="0"/>
          <w:sz w:val="20"/>
          <w:szCs w:val="20"/>
        </w:rPr>
      </w:pPr>
      <w:r w:rsidRPr="007066A8">
        <w:rPr>
          <w:rFonts w:cs="Times New Roman"/>
          <w:b w:val="0"/>
          <w:bCs w:val="0"/>
          <w:iCs w:val="0"/>
          <w:sz w:val="20"/>
          <w:szCs w:val="20"/>
        </w:rPr>
        <w:t>This Standard also makes amendments to Illustrative Examples 4A and 4B accompanying AASB 15 to clarify the analysis of how paragraph 35(a) of AASB 15 applies in respect of research grants and the transfer of research findings. The amendments do not change the requirements of AASB 15 or the conclusions of the Illustrative Examples. A further example, Example 4D, is added to illustrate a case with periodic performance obligations.</w:t>
      </w:r>
    </w:p>
    <w:p w14:paraId="1B627F6A" w14:textId="77777777" w:rsidR="00702F66" w:rsidRDefault="007066A8" w:rsidP="00754179">
      <w:pPr>
        <w:pStyle w:val="Heading3"/>
        <w:spacing w:line="200" w:lineRule="exact"/>
        <w:rPr>
          <w:rFonts w:cs="Times New Roman"/>
          <w:b w:val="0"/>
          <w:bCs w:val="0"/>
          <w:iCs w:val="0"/>
          <w:sz w:val="20"/>
          <w:szCs w:val="20"/>
        </w:rPr>
      </w:pPr>
      <w:r w:rsidRPr="007066A8">
        <w:rPr>
          <w:rFonts w:cs="Times New Roman"/>
          <w:b w:val="0"/>
          <w:bCs w:val="0"/>
          <w:iCs w:val="0"/>
          <w:sz w:val="20"/>
          <w:szCs w:val="20"/>
        </w:rPr>
        <w:t xml:space="preserve">Paragraph 35(a) addresses whether the customer simultaneously receives and consumes the benefits provided by an entity’s performance as the entity performs, as one basis for the entity transferring control of a good or service over time, and therefore satisfying a performance obligation and recognising revenue over time. </w:t>
      </w:r>
    </w:p>
    <w:p w14:paraId="2DC32F77" w14:textId="1884028C" w:rsidR="00FD4C0C" w:rsidRPr="001B1D7C" w:rsidRDefault="00FD4C0C" w:rsidP="007066A8">
      <w:pPr>
        <w:pStyle w:val="Heading3"/>
      </w:pPr>
      <w:r w:rsidRPr="001B1D7C">
        <w:t>Application Date</w:t>
      </w:r>
    </w:p>
    <w:p w14:paraId="6887C942" w14:textId="6EED28BE" w:rsidR="000C7E0C" w:rsidRPr="00997547" w:rsidRDefault="000C7E0C" w:rsidP="007415C8">
      <w:pPr>
        <w:spacing w:before="100" w:after="200" w:line="240" w:lineRule="auto"/>
      </w:pPr>
      <w:r w:rsidRPr="00997547">
        <w:t xml:space="preserve">This Standard applies to annual reporting periods </w:t>
      </w:r>
      <w:bookmarkStart w:id="0" w:name="ApplyText"/>
      <w:r w:rsidRPr="00997547">
        <w:t>beginning</w:t>
      </w:r>
      <w:bookmarkEnd w:id="0"/>
      <w:r w:rsidRPr="00997547">
        <w:t xml:space="preserve"> on or after </w:t>
      </w:r>
      <w:bookmarkStart w:id="1" w:name="ApplyDate"/>
      <w:r w:rsidRPr="00997547">
        <w:t>1 January 20</w:t>
      </w:r>
      <w:r w:rsidR="005F15ED">
        <w:t>19</w:t>
      </w:r>
      <w:bookmarkEnd w:id="1"/>
      <w:r w:rsidR="00977669">
        <w:t>, which is the mandatory effective date (application date) of AASB 15 and AASB 1058 for not-for-profit entities</w:t>
      </w:r>
      <w:r w:rsidR="004D51D9">
        <w:t xml:space="preserve">. </w:t>
      </w:r>
      <w:r w:rsidRPr="00997547">
        <w:t>Earlier application is permitted.</w:t>
      </w:r>
    </w:p>
    <w:p w14:paraId="49D912FC" w14:textId="77777777" w:rsidR="00ED4F33" w:rsidRPr="00127350" w:rsidRDefault="007676C0" w:rsidP="007676C0">
      <w:pPr>
        <w:pStyle w:val="Heading3"/>
      </w:pPr>
      <w:r w:rsidRPr="00127350">
        <w:t>References to Other AASB Standards</w:t>
      </w:r>
    </w:p>
    <w:p w14:paraId="27BA1D33" w14:textId="4A15E45A" w:rsidR="00ED4F33" w:rsidRPr="00127350" w:rsidRDefault="006D4E28" w:rsidP="00ED4F33">
      <w:pPr>
        <w:pStyle w:val="NoNumPlain1"/>
      </w:pPr>
      <w:r>
        <w:t>References in this</w:t>
      </w:r>
      <w:r w:rsidR="00ED4F33" w:rsidRPr="00127350">
        <w:t xml:space="preserve"> Standard to the titles of other AASB Standards that are legislative instruments are to be construed as </w:t>
      </w:r>
      <w:r w:rsidR="00ED4F33" w:rsidRPr="00314DC3">
        <w:t>references to those other Standards as originally made and as amended from time to time and incorporate provisions of those Standards as in force from time to time.</w:t>
      </w:r>
    </w:p>
    <w:p w14:paraId="29FEE43A" w14:textId="30FD7705" w:rsidR="00EA0A87" w:rsidRPr="00FA691A" w:rsidRDefault="00EA0A87" w:rsidP="00EA0A87">
      <w:pPr>
        <w:pStyle w:val="Heading2"/>
      </w:pPr>
      <w:r w:rsidRPr="00FA691A">
        <w:t>C</w:t>
      </w:r>
      <w:r w:rsidR="00465EBE" w:rsidRPr="00FA691A">
        <w:t>on</w:t>
      </w:r>
      <w:r w:rsidR="009F3698" w:rsidRPr="00FA691A">
        <w:t>sultation Prior to Issuing this</w:t>
      </w:r>
      <w:r w:rsidRPr="00FA691A">
        <w:t xml:space="preserve"> Standard</w:t>
      </w:r>
    </w:p>
    <w:p w14:paraId="65202F84" w14:textId="500497C8" w:rsidR="0022689A" w:rsidRDefault="00E3426D" w:rsidP="00D217F3">
      <w:pPr>
        <w:pStyle w:val="NoNumPlain1"/>
      </w:pPr>
      <w:r>
        <w:t xml:space="preserve">The AASB issued a </w:t>
      </w:r>
      <w:r w:rsidRPr="00E3426D">
        <w:t xml:space="preserve">Fatal-Flaw Review </w:t>
      </w:r>
      <w:r w:rsidR="009E5C3A">
        <w:t>D</w:t>
      </w:r>
      <w:r w:rsidR="007403B0">
        <w:t>raft</w:t>
      </w:r>
      <w:r w:rsidRPr="00E3426D">
        <w:t xml:space="preserve"> of an amending Standard </w:t>
      </w:r>
      <w:bookmarkStart w:id="2" w:name="_GoBack"/>
      <w:bookmarkEnd w:id="2"/>
      <w:r w:rsidRPr="00E3426D">
        <w:t xml:space="preserve">titled </w:t>
      </w:r>
      <w:r w:rsidRPr="00E3426D">
        <w:rPr>
          <w:i/>
          <w:iCs/>
        </w:rPr>
        <w:t xml:space="preserve">Amendments to Australian </w:t>
      </w:r>
      <w:r w:rsidR="00BF2726">
        <w:rPr>
          <w:i/>
          <w:iCs/>
        </w:rPr>
        <w:t xml:space="preserve">Illustrative Examples for </w:t>
      </w:r>
      <w:r w:rsidR="00C213AA">
        <w:rPr>
          <w:i/>
          <w:iCs/>
        </w:rPr>
        <w:t>Not-for-Profit Entities</w:t>
      </w:r>
      <w:r w:rsidR="00BF2726">
        <w:rPr>
          <w:i/>
          <w:iCs/>
        </w:rPr>
        <w:t xml:space="preserve"> accompanying AASB 15</w:t>
      </w:r>
      <w:r>
        <w:t xml:space="preserve"> </w:t>
      </w:r>
      <w:r w:rsidR="003600E3" w:rsidRPr="00FA691A">
        <w:t xml:space="preserve">in </w:t>
      </w:r>
      <w:r>
        <w:t>October</w:t>
      </w:r>
      <w:r w:rsidR="003600E3" w:rsidRPr="005E670D">
        <w:t xml:space="preserve"> </w:t>
      </w:r>
      <w:r w:rsidR="00FA691A" w:rsidRPr="005E670D">
        <w:t>201</w:t>
      </w:r>
      <w:r>
        <w:t>9</w:t>
      </w:r>
      <w:r w:rsidR="003600E3" w:rsidRPr="005E670D">
        <w:t xml:space="preserve"> for comment by </w:t>
      </w:r>
      <w:r w:rsidR="008B25C6">
        <w:t>8</w:t>
      </w:r>
      <w:r>
        <w:t xml:space="preserve"> </w:t>
      </w:r>
      <w:r w:rsidR="008B25C6">
        <w:t>November</w:t>
      </w:r>
      <w:r w:rsidR="00FA691A" w:rsidRPr="005E670D">
        <w:t xml:space="preserve"> 201</w:t>
      </w:r>
      <w:r>
        <w:t>9</w:t>
      </w:r>
      <w:r w:rsidR="00F42222">
        <w:t>,</w:t>
      </w:r>
      <w:r w:rsidR="000636EB">
        <w:t xml:space="preserve"> </w:t>
      </w:r>
      <w:r w:rsidR="0022689A" w:rsidRPr="0022689A">
        <w:t xml:space="preserve">following extensive consultations with stakeholders. </w:t>
      </w:r>
      <w:r w:rsidR="005734E0">
        <w:t xml:space="preserve">The </w:t>
      </w:r>
      <w:r w:rsidR="00BE5A80">
        <w:t>Fatal-Flaw Review Draft was open for comment for four weeks.</w:t>
      </w:r>
    </w:p>
    <w:p w14:paraId="1F8F1229" w14:textId="347F97DA" w:rsidR="00236EC1" w:rsidRDefault="0022689A" w:rsidP="00236EC1">
      <w:pPr>
        <w:pStyle w:val="NoNumPlain1"/>
      </w:pPr>
      <w:r w:rsidRPr="0022689A">
        <w:t xml:space="preserve">The Board received submissions from nine stakeholders on the Fatal-Flaw Review version. The respondents generally disagreed with the approach proposed by the Board. </w:t>
      </w:r>
      <w:r w:rsidR="00236EC1" w:rsidRPr="0022689A">
        <w:t>The Board noted the submissions did not raise any new issues not already considered by the Board. The submissions highlighted the diversity of interpretations and reinforced the importance of the illustrative examples reflecting fully the requirements of the Standard.</w:t>
      </w:r>
    </w:p>
    <w:p w14:paraId="504F6E1E" w14:textId="191C438D" w:rsidR="0054792E" w:rsidRDefault="0022689A" w:rsidP="00D217F3">
      <w:pPr>
        <w:pStyle w:val="NoNumPlain1"/>
      </w:pPr>
      <w:r w:rsidRPr="0022689A">
        <w:t xml:space="preserve">The Board considered the feedback received and </w:t>
      </w:r>
      <w:r w:rsidR="00254D86">
        <w:t xml:space="preserve">decided to </w:t>
      </w:r>
      <w:r w:rsidR="006B4DC6">
        <w:t xml:space="preserve">amend the </w:t>
      </w:r>
      <w:r w:rsidR="003C30D0">
        <w:t>I</w:t>
      </w:r>
      <w:r w:rsidR="006B4DC6">
        <w:t xml:space="preserve">llustrative </w:t>
      </w:r>
      <w:r w:rsidR="003C30D0">
        <w:t>E</w:t>
      </w:r>
      <w:r w:rsidR="006B4DC6">
        <w:t xml:space="preserve">xamples </w:t>
      </w:r>
      <w:r w:rsidR="009125E1">
        <w:t xml:space="preserve">4A and 4B as proposed </w:t>
      </w:r>
      <w:r w:rsidR="005A581F">
        <w:t xml:space="preserve">in the Fatal-Flaw Review Draft. However, the Board also </w:t>
      </w:r>
      <w:r w:rsidRPr="0022689A">
        <w:t xml:space="preserve">decided to include the additional illustrative example (Example 4D) and to provide additional time for not-for-profit entities to implement the Standards in relation to their research grants. </w:t>
      </w:r>
    </w:p>
    <w:p w14:paraId="39685F78" w14:textId="19554E68" w:rsidR="00F362C7" w:rsidRDefault="0014630A" w:rsidP="00B62F36">
      <w:pPr>
        <w:pStyle w:val="NoNumPlain1"/>
      </w:pPr>
      <w:r w:rsidRPr="0014630A">
        <w:t xml:space="preserve">The Board noted that some stakeholders did not find the Illustrative Examples useful and were concerned that the fact patterns did not reflect common features of most research agreements. The Board decided to include </w:t>
      </w:r>
      <w:r w:rsidR="007C61A5">
        <w:t>the</w:t>
      </w:r>
      <w:r w:rsidRPr="0014630A">
        <w:t xml:space="preserve"> additional example </w:t>
      </w:r>
      <w:r w:rsidR="000F0CF7">
        <w:t xml:space="preserve">(Example 4D) </w:t>
      </w:r>
      <w:r w:rsidRPr="0014630A">
        <w:t>to illustrate other key contract features. This additional example present</w:t>
      </w:r>
      <w:r w:rsidR="003C3F4E">
        <w:t>s</w:t>
      </w:r>
      <w:r w:rsidRPr="0014630A">
        <w:t xml:space="preserve"> a greater range of examples in the Illustrative Examples and so assist</w:t>
      </w:r>
      <w:r w:rsidR="00254E85">
        <w:t>s</w:t>
      </w:r>
      <w:r w:rsidRPr="0014630A">
        <w:t xml:space="preserve"> in better demonstrating how to apply the principles in </w:t>
      </w:r>
      <w:r w:rsidR="00AE5B4C">
        <w:t>AASB 15</w:t>
      </w:r>
      <w:r w:rsidRPr="0014630A">
        <w:t>.</w:t>
      </w:r>
    </w:p>
    <w:p w14:paraId="78ADA686" w14:textId="1EE6E35A" w:rsidR="00AE5B4C" w:rsidRDefault="00FD6273" w:rsidP="00B62F36">
      <w:pPr>
        <w:pStyle w:val="NoNumPlain1"/>
      </w:pPr>
      <w:r w:rsidRPr="00FD6273">
        <w:t xml:space="preserve">The Board observed that implementation of AASB 15 and AASB 1058 </w:t>
      </w:r>
      <w:r w:rsidR="00306F24">
        <w:t xml:space="preserve">by not-for-profit entities </w:t>
      </w:r>
      <w:r w:rsidRPr="00FD6273">
        <w:t xml:space="preserve">with research grants has been difficult. Significant judgement is required in applying the Standards and the sector has a large volume of tailored or non-standard contracts to assess. Many stakeholders in the university sector and medical research sector have </w:t>
      </w:r>
      <w:r w:rsidRPr="00FD6273">
        <w:lastRenderedPageBreak/>
        <w:t>December year-ends. With limited time left for the sector to tackle the significant implementation challenges and uncertainty as to the requirements to be applied, permitting not-for-profit entities to apply the Standards to research grants from periods beginning on or after 1 July 2019 rather than 1 January 2019 provide</w:t>
      </w:r>
      <w:r w:rsidR="00B25A7C">
        <w:t>s</w:t>
      </w:r>
      <w:r w:rsidRPr="00FD6273">
        <w:t xml:space="preserve"> the sector with additional implementation time and will not affect preparers with June year-ends. The extended implementation period also give</w:t>
      </w:r>
      <w:r w:rsidR="00620417">
        <w:t>s</w:t>
      </w:r>
      <w:r w:rsidRPr="00FD6273">
        <w:t xml:space="preserve"> the Board an opportunity to provide further educative materials to assist with implementation.</w:t>
      </w:r>
    </w:p>
    <w:p w14:paraId="6ABDCEDA" w14:textId="28CC1C5A" w:rsidR="00B62F36" w:rsidRDefault="00B62F36" w:rsidP="00BB61A5">
      <w:pPr>
        <w:pStyle w:val="NoNumPlain1"/>
        <w:spacing w:after="3120"/>
      </w:pPr>
      <w:r w:rsidRPr="00F805B3">
        <w:t>A Regulation Impact Statement (RIS) has not been prepared in connection with the issue of AASB 201</w:t>
      </w:r>
      <w:r w:rsidR="00E3426D">
        <w:t>9</w:t>
      </w:r>
      <w:r w:rsidRPr="00F805B3">
        <w:t>-</w:t>
      </w:r>
      <w:r w:rsidR="0054792E">
        <w:t>6</w:t>
      </w:r>
      <w:r w:rsidRPr="00F805B3">
        <w:t xml:space="preserve"> as the amendments made do not have a substantial direct or indirect impact on business or competition.</w:t>
      </w:r>
    </w:p>
    <w:p w14:paraId="3A8917FC" w14:textId="2F46D700" w:rsidR="00AD44F9" w:rsidRPr="001B1D7C" w:rsidRDefault="00CD0A54" w:rsidP="00F73663">
      <w:pPr>
        <w:pStyle w:val="Heading2"/>
        <w:spacing w:before="720"/>
        <w:jc w:val="center"/>
      </w:pPr>
      <w:r w:rsidRPr="001B1D7C">
        <w:t>Statement of Compatibility with Human Rights</w:t>
      </w:r>
    </w:p>
    <w:p w14:paraId="3869FD2F" w14:textId="77777777" w:rsidR="00E770E5" w:rsidRPr="001B1D7C" w:rsidRDefault="00E770E5" w:rsidP="00E770E5">
      <w:pPr>
        <w:pStyle w:val="NoNumPlain1"/>
        <w:jc w:val="center"/>
      </w:pPr>
      <w:r w:rsidRPr="001B1D7C">
        <w:t xml:space="preserve">Prepared in accordance with Part 3 of the </w:t>
      </w:r>
      <w:r w:rsidRPr="001B1D7C">
        <w:br/>
      </w:r>
      <w:r w:rsidRPr="001B1D7C">
        <w:rPr>
          <w:i/>
        </w:rPr>
        <w:t>Human Rights (Parliamentary Scrutiny) Act 2011</w:t>
      </w:r>
    </w:p>
    <w:p w14:paraId="2FE1229C" w14:textId="23D041D3" w:rsidR="009F7F59" w:rsidRDefault="00A90A3D" w:rsidP="006D4E28">
      <w:pPr>
        <w:pStyle w:val="Heading3"/>
        <w:spacing w:after="360"/>
        <w:jc w:val="center"/>
        <w:rPr>
          <w:i/>
        </w:rPr>
      </w:pPr>
      <w:r w:rsidRPr="001B1D7C">
        <w:t>Accounting Standard AASB</w:t>
      </w:r>
      <w:r w:rsidR="00F913AF">
        <w:t> </w:t>
      </w:r>
      <w:r w:rsidRPr="001B1D7C">
        <w:t>201</w:t>
      </w:r>
      <w:r w:rsidR="00A713CE">
        <w:t>9</w:t>
      </w:r>
      <w:r w:rsidRPr="001B1D7C">
        <w:t>-</w:t>
      </w:r>
      <w:r w:rsidR="009A0B33">
        <w:t>6</w:t>
      </w:r>
      <w:r w:rsidRPr="001B1D7C">
        <w:br/>
      </w:r>
      <w:r w:rsidRPr="00127350">
        <w:rPr>
          <w:i/>
        </w:rPr>
        <w:t xml:space="preserve">Amendments to Australian Accounting Standards </w:t>
      </w:r>
      <w:r w:rsidR="00B223A3" w:rsidRPr="00127350">
        <w:rPr>
          <w:i/>
        </w:rPr>
        <w:t>–</w:t>
      </w:r>
      <w:r w:rsidRPr="00127350">
        <w:rPr>
          <w:i/>
        </w:rPr>
        <w:br/>
      </w:r>
      <w:r w:rsidR="008551C6">
        <w:rPr>
          <w:i/>
        </w:rPr>
        <w:t>Research Grants and Not-for-Profit Entities</w:t>
      </w:r>
    </w:p>
    <w:p w14:paraId="6AF97A82" w14:textId="77777777" w:rsidR="009F7F59" w:rsidRPr="009F7F59" w:rsidRDefault="009F7F59" w:rsidP="009F7F59"/>
    <w:p w14:paraId="7FDDC422" w14:textId="1252D014" w:rsidR="00A90A3D" w:rsidRPr="00314DC3" w:rsidRDefault="00A90A3D" w:rsidP="00A90A3D">
      <w:pPr>
        <w:pStyle w:val="Heading3"/>
      </w:pPr>
      <w:r w:rsidRPr="00314DC3">
        <w:t>Overview of the Accounting Standard</w:t>
      </w:r>
    </w:p>
    <w:p w14:paraId="46CADE89" w14:textId="77777777" w:rsidR="0054792E" w:rsidRDefault="0054792E" w:rsidP="0054792E">
      <w:pPr>
        <w:pStyle w:val="NoNumPlain1"/>
      </w:pPr>
      <w:r w:rsidRPr="00E62FF1">
        <w:t xml:space="preserve">This Standard makes amendments to AASB 15 </w:t>
      </w:r>
      <w:r w:rsidRPr="00E62FF1">
        <w:rPr>
          <w:i/>
          <w:iCs/>
        </w:rPr>
        <w:t xml:space="preserve">Revenue from Contracts with Customers </w:t>
      </w:r>
      <w:r w:rsidRPr="00E62FF1">
        <w:t>(December 2014) and AASB</w:t>
      </w:r>
      <w:r>
        <w:t> </w:t>
      </w:r>
      <w:r w:rsidRPr="00E62FF1">
        <w:t xml:space="preserve">1058 </w:t>
      </w:r>
      <w:r w:rsidRPr="00E62FF1">
        <w:rPr>
          <w:i/>
          <w:iCs/>
        </w:rPr>
        <w:t>Income of Not-for-Profit Entities</w:t>
      </w:r>
      <w:r w:rsidRPr="00E62FF1">
        <w:t xml:space="preserve"> (December 2016).</w:t>
      </w:r>
    </w:p>
    <w:p w14:paraId="439AAFAC" w14:textId="77777777" w:rsidR="00363368" w:rsidRPr="007066A8" w:rsidRDefault="00363368" w:rsidP="00363368">
      <w:pPr>
        <w:pStyle w:val="Heading3"/>
        <w:spacing w:line="200" w:lineRule="exact"/>
        <w:rPr>
          <w:rFonts w:cs="Times New Roman"/>
          <w:b w:val="0"/>
          <w:bCs w:val="0"/>
          <w:iCs w:val="0"/>
          <w:sz w:val="20"/>
          <w:szCs w:val="20"/>
        </w:rPr>
      </w:pPr>
      <w:r w:rsidRPr="007066A8">
        <w:rPr>
          <w:rFonts w:cs="Times New Roman"/>
          <w:b w:val="0"/>
          <w:bCs w:val="0"/>
          <w:iCs w:val="0"/>
          <w:sz w:val="20"/>
          <w:szCs w:val="20"/>
        </w:rPr>
        <w:t>This Standard amends AASB 15 and AASB 1058 to permit not-for-profit entities to apply those Standards to research</w:t>
      </w:r>
      <w:r>
        <w:rPr>
          <w:rFonts w:cs="Times New Roman"/>
          <w:b w:val="0"/>
          <w:bCs w:val="0"/>
          <w:iCs w:val="0"/>
          <w:sz w:val="20"/>
          <w:szCs w:val="20"/>
        </w:rPr>
        <w:t xml:space="preserve"> </w:t>
      </w:r>
      <w:r w:rsidRPr="007066A8">
        <w:rPr>
          <w:rFonts w:cs="Times New Roman"/>
          <w:b w:val="0"/>
          <w:bCs w:val="0"/>
          <w:iCs w:val="0"/>
          <w:sz w:val="20"/>
          <w:szCs w:val="20"/>
        </w:rPr>
        <w:t>grants for annual reporting periods beginning on or after 1 July 2019 instead of 1 January 2019. This will provide an extended implementation period for entities with December year-ends for research grants received. The application of AASB 15 and AASB 1058 to other sources of income is not extended. The option to extend the implementation period applies at the entity level and is not available on an individual research grant basis.</w:t>
      </w:r>
    </w:p>
    <w:p w14:paraId="205244C9" w14:textId="77777777" w:rsidR="00363368" w:rsidRPr="007066A8" w:rsidRDefault="00363368" w:rsidP="00363368">
      <w:pPr>
        <w:pStyle w:val="Heading3"/>
        <w:spacing w:line="200" w:lineRule="exact"/>
        <w:rPr>
          <w:rFonts w:cs="Times New Roman"/>
          <w:b w:val="0"/>
          <w:bCs w:val="0"/>
          <w:iCs w:val="0"/>
          <w:sz w:val="20"/>
          <w:szCs w:val="20"/>
        </w:rPr>
      </w:pPr>
      <w:r w:rsidRPr="007066A8">
        <w:rPr>
          <w:rFonts w:cs="Times New Roman"/>
          <w:b w:val="0"/>
          <w:bCs w:val="0"/>
          <w:iCs w:val="0"/>
          <w:sz w:val="20"/>
          <w:szCs w:val="20"/>
        </w:rPr>
        <w:t>This Standard also makes amendments to Illustrative Examples 4A and 4B accompanying AASB 15 to clarify the analysis of how paragraph 35(a) of AASB 15 applies in respect of research grants and the transfer of research findings. The amendments do not change the requirements of AASB 15 or the conclusions of the Illustrative Examples. A further example, Example 4D, is added to illustrate a case with periodic performance obligations.</w:t>
      </w:r>
    </w:p>
    <w:p w14:paraId="0F258AB2" w14:textId="77777777" w:rsidR="00363368" w:rsidRDefault="00363368" w:rsidP="00363368">
      <w:pPr>
        <w:pStyle w:val="Heading3"/>
        <w:spacing w:line="200" w:lineRule="exact"/>
        <w:rPr>
          <w:rFonts w:cs="Times New Roman"/>
          <w:b w:val="0"/>
          <w:bCs w:val="0"/>
          <w:iCs w:val="0"/>
          <w:sz w:val="20"/>
          <w:szCs w:val="20"/>
        </w:rPr>
      </w:pPr>
      <w:r w:rsidRPr="007066A8">
        <w:rPr>
          <w:rFonts w:cs="Times New Roman"/>
          <w:b w:val="0"/>
          <w:bCs w:val="0"/>
          <w:iCs w:val="0"/>
          <w:sz w:val="20"/>
          <w:szCs w:val="20"/>
        </w:rPr>
        <w:t xml:space="preserve">Paragraph 35(a) addresses whether the customer simultaneously receives and consumes the benefits provided by an entity’s performance as the entity performs, as one basis for the entity transferring control of a good or service over time, and therefore satisfying a performance obligation and recognising revenue over time. </w:t>
      </w:r>
    </w:p>
    <w:p w14:paraId="06944F3C" w14:textId="77777777" w:rsidR="00A90A3D" w:rsidRPr="001B1D7C" w:rsidRDefault="00A90A3D" w:rsidP="00A90A3D">
      <w:pPr>
        <w:pStyle w:val="Heading3"/>
      </w:pPr>
      <w:r w:rsidRPr="001B1D7C">
        <w:t>Human Rights Implications</w:t>
      </w:r>
    </w:p>
    <w:p w14:paraId="02B05597" w14:textId="13CFD9CB" w:rsidR="00A90A3D" w:rsidRPr="001B1D7C" w:rsidRDefault="006D4E28" w:rsidP="00465EBE">
      <w:pPr>
        <w:pStyle w:val="NoNumPlain1"/>
      </w:pPr>
      <w:r>
        <w:t>This Standard is</w:t>
      </w:r>
      <w:r w:rsidR="00F62F5C" w:rsidRPr="001B1D7C">
        <w:t xml:space="preserve"> issued by the AASB in furtherance of the objective of facilitating the Australian economy. It does not diminish or limit any of the applicable human rights or freedoms, and thus does not raise any human rights issues.</w:t>
      </w:r>
    </w:p>
    <w:p w14:paraId="41D03C73" w14:textId="77777777" w:rsidR="00F62F5C" w:rsidRPr="001B1D7C" w:rsidRDefault="00F62F5C" w:rsidP="00F62F5C">
      <w:pPr>
        <w:pStyle w:val="Heading3"/>
      </w:pPr>
      <w:r w:rsidRPr="001B1D7C">
        <w:t>Conclusion</w:t>
      </w:r>
    </w:p>
    <w:p w14:paraId="6CABE344" w14:textId="15D04F95" w:rsidR="00CD0A54" w:rsidRPr="001B1D7C" w:rsidRDefault="006D4E28" w:rsidP="00465EBE">
      <w:pPr>
        <w:pStyle w:val="NoNumPlain1"/>
      </w:pPr>
      <w:r>
        <w:t>This</w:t>
      </w:r>
      <w:r w:rsidR="00CD0A54" w:rsidRPr="001B1D7C">
        <w:t xml:space="preserve"> Standard </w:t>
      </w:r>
      <w:r w:rsidR="00EC3B0A">
        <w:t>is</w:t>
      </w:r>
      <w:r w:rsidR="00CD0A54" w:rsidRPr="001B1D7C">
        <w:t xml:space="preserve"> compatible with the human rights and freedoms recognised or declared in the international instruments listed in section</w:t>
      </w:r>
      <w:r w:rsidR="002A0EA5">
        <w:t> </w:t>
      </w:r>
      <w:r w:rsidR="00CD0A54" w:rsidRPr="001B1D7C">
        <w:t xml:space="preserve">3 of the </w:t>
      </w:r>
      <w:r w:rsidR="00CD0A54" w:rsidRPr="001B1D7C">
        <w:rPr>
          <w:i/>
        </w:rPr>
        <w:t>Human Rights (Parliamentary Scrutiny) Act</w:t>
      </w:r>
      <w:r w:rsidR="002A0EA5">
        <w:rPr>
          <w:i/>
        </w:rPr>
        <w:t> </w:t>
      </w:r>
      <w:r w:rsidR="00CD0A54" w:rsidRPr="001B1D7C">
        <w:rPr>
          <w:i/>
        </w:rPr>
        <w:t>2011</w:t>
      </w:r>
      <w:r w:rsidR="00CD0A54" w:rsidRPr="001B1D7C">
        <w:t>.</w:t>
      </w:r>
    </w:p>
    <w:p w14:paraId="679C3F47" w14:textId="77777777" w:rsidR="003705C9" w:rsidRPr="001B1D7C" w:rsidRDefault="003705C9">
      <w:pPr>
        <w:pStyle w:val="NoNumPlain1"/>
      </w:pPr>
    </w:p>
    <w:sectPr w:rsidR="003705C9" w:rsidRPr="001B1D7C" w:rsidSect="00B93CE4">
      <w:headerReference w:type="even" r:id="rId13"/>
      <w:footerReference w:type="default" r:id="rId14"/>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36357" w14:textId="77777777" w:rsidR="00E90B93" w:rsidRDefault="00E90B93">
      <w:r>
        <w:separator/>
      </w:r>
    </w:p>
  </w:endnote>
  <w:endnote w:type="continuationSeparator" w:id="0">
    <w:p w14:paraId="4FF8B9BB" w14:textId="77777777" w:rsidR="00E90B93" w:rsidRDefault="00E90B93">
      <w:r>
        <w:continuationSeparator/>
      </w:r>
    </w:p>
  </w:endnote>
  <w:endnote w:type="continuationNotice" w:id="1">
    <w:p w14:paraId="7F00FECF" w14:textId="77777777" w:rsidR="00E90B93" w:rsidRDefault="00E90B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8D474" w14:textId="077A072F" w:rsidR="006B1B4A" w:rsidRDefault="006B1B4A" w:rsidP="00B93CE4">
    <w:pPr>
      <w:pStyle w:val="Footer"/>
      <w:tabs>
        <w:tab w:val="clear" w:pos="3119"/>
        <w:tab w:val="clear" w:pos="6237"/>
        <w:tab w:val="center" w:pos="4820"/>
        <w:tab w:val="right" w:pos="9639"/>
      </w:tabs>
      <w:rPr>
        <w:b/>
      </w:rPr>
    </w:pPr>
    <w:r>
      <w:rPr>
        <w:b/>
      </w:rPr>
      <w:t>A</w:t>
    </w:r>
    <w:r w:rsidR="00C068D8">
      <w:rPr>
        <w:b/>
      </w:rPr>
      <w:t>ASB</w:t>
    </w:r>
    <w:r w:rsidR="00F913AF">
      <w:rPr>
        <w:b/>
      </w:rPr>
      <w:t> </w:t>
    </w:r>
    <w:r w:rsidR="00C068D8">
      <w:rPr>
        <w:b/>
      </w:rPr>
      <w:t>201</w:t>
    </w:r>
    <w:r w:rsidR="00E60DF7">
      <w:rPr>
        <w:b/>
      </w:rPr>
      <w:t>9</w:t>
    </w:r>
    <w:r w:rsidR="00C068D8">
      <w:rPr>
        <w:b/>
      </w:rPr>
      <w:t>-</w:t>
    </w:r>
    <w:r w:rsidR="009A0B33">
      <w:rPr>
        <w:b/>
      </w:rPr>
      <w:t>6</w:t>
    </w:r>
    <w:r>
      <w:rPr>
        <w:b/>
      </w:rPr>
      <w:tab/>
    </w:r>
    <w:r>
      <w:fldChar w:fldCharType="begin"/>
    </w:r>
    <w:r>
      <w:instrText>PAGE</w:instrText>
    </w:r>
    <w:r>
      <w:fldChar w:fldCharType="separate"/>
    </w:r>
    <w:r w:rsidR="002B0803">
      <w:rPr>
        <w:noProof/>
      </w:rPr>
      <w:t>2</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BACE9" w14:textId="77777777" w:rsidR="00E90B93" w:rsidRDefault="00E90B93">
      <w:r>
        <w:separator/>
      </w:r>
    </w:p>
  </w:footnote>
  <w:footnote w:type="continuationSeparator" w:id="0">
    <w:p w14:paraId="11E201F0" w14:textId="77777777" w:rsidR="00E90B93" w:rsidRDefault="00E90B93">
      <w:r>
        <w:continuationSeparator/>
      </w:r>
    </w:p>
  </w:footnote>
  <w:footnote w:type="continuationNotice" w:id="1">
    <w:p w14:paraId="5953F586" w14:textId="77777777" w:rsidR="00E90B93" w:rsidRDefault="00E90B9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A903B" w14:textId="77777777" w:rsidR="006B1B4A" w:rsidRDefault="006B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F6DDE"/>
    <w:multiLevelType w:val="hybridMultilevel"/>
    <w:tmpl w:val="23606F8E"/>
    <w:lvl w:ilvl="0" w:tplc="AEA0B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76465B"/>
    <w:multiLevelType w:val="multilevel"/>
    <w:tmpl w:val="D9F888A8"/>
    <w:lvl w:ilvl="0">
      <w:start w:val="1"/>
      <w:numFmt w:val="lowerLetter"/>
      <w:lvlText w:val="(%1)"/>
      <w:lvlJc w:val="left"/>
      <w:pPr>
        <w:tabs>
          <w:tab w:val="num" w:pos="652"/>
        </w:tabs>
        <w:ind w:left="652" w:hanging="510"/>
      </w:pPr>
      <w:rPr>
        <w:rFonts w:hint="default"/>
      </w:rPr>
    </w:lvl>
    <w:lvl w:ilvl="1">
      <w:start w:val="1"/>
      <w:numFmt w:val="lowerRoman"/>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3" w15:restartNumberingAfterBreak="0">
    <w:nsid w:val="272F7F03"/>
    <w:multiLevelType w:val="hybridMultilevel"/>
    <w:tmpl w:val="E0A60058"/>
    <w:lvl w:ilvl="0" w:tplc="A4DABA82">
      <w:start w:val="1"/>
      <w:numFmt w:val="lowerLetter"/>
      <w:lvlText w:val="(%1)"/>
      <w:lvlJc w:val="left"/>
      <w:pPr>
        <w:ind w:left="786" w:hanging="360"/>
      </w:pPr>
      <w:rPr>
        <w:rFonts w:hint="default"/>
        <w:i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C0350"/>
    <w:multiLevelType w:val="hybridMultilevel"/>
    <w:tmpl w:val="3DC86F4E"/>
    <w:lvl w:ilvl="0" w:tplc="2B14E8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D93A09"/>
    <w:multiLevelType w:val="hybridMultilevel"/>
    <w:tmpl w:val="ED4E8E82"/>
    <w:lvl w:ilvl="0" w:tplc="3DAA365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3D4ECC"/>
    <w:multiLevelType w:val="hybridMultilevel"/>
    <w:tmpl w:val="23606F8E"/>
    <w:lvl w:ilvl="0" w:tplc="AEA0B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0812F3"/>
    <w:multiLevelType w:val="multilevel"/>
    <w:tmpl w:val="315ABF2C"/>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3" w15:restartNumberingAfterBreak="0">
    <w:nsid w:val="639A62E6"/>
    <w:multiLevelType w:val="hybridMultilevel"/>
    <w:tmpl w:val="D5F6F600"/>
    <w:lvl w:ilvl="0" w:tplc="37A664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064975"/>
    <w:multiLevelType w:val="hybridMultilevel"/>
    <w:tmpl w:val="B31CEBF2"/>
    <w:lvl w:ilvl="0" w:tplc="5C1C135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0"/>
  </w:num>
  <w:num w:numId="5">
    <w:abstractNumId w:val="5"/>
  </w:num>
  <w:num w:numId="6">
    <w:abstractNumId w:val="4"/>
  </w:num>
  <w:num w:numId="7">
    <w:abstractNumId w:val="10"/>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3"/>
  </w:num>
  <w:num w:numId="12">
    <w:abstractNumId w:val="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8"/>
  </w:num>
  <w:num w:numId="17">
    <w:abstractNumId w:val="15"/>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ZCE2NDCyMDYyNzEwMDMyUdpeDU4uLM/DyQAtNaAFxxgG8sAAAA"/>
  </w:docVars>
  <w:rsids>
    <w:rsidRoot w:val="00D429C8"/>
    <w:rsid w:val="000018C8"/>
    <w:rsid w:val="00005371"/>
    <w:rsid w:val="0001484E"/>
    <w:rsid w:val="00020ACD"/>
    <w:rsid w:val="000226E6"/>
    <w:rsid w:val="00031DBC"/>
    <w:rsid w:val="00041AE0"/>
    <w:rsid w:val="0004439B"/>
    <w:rsid w:val="000509B7"/>
    <w:rsid w:val="00054FC1"/>
    <w:rsid w:val="00055755"/>
    <w:rsid w:val="000623C8"/>
    <w:rsid w:val="000636EB"/>
    <w:rsid w:val="00067953"/>
    <w:rsid w:val="0007096A"/>
    <w:rsid w:val="00075626"/>
    <w:rsid w:val="00080331"/>
    <w:rsid w:val="0008234F"/>
    <w:rsid w:val="0008242C"/>
    <w:rsid w:val="00083737"/>
    <w:rsid w:val="00085B62"/>
    <w:rsid w:val="00090D77"/>
    <w:rsid w:val="000920D3"/>
    <w:rsid w:val="000936C7"/>
    <w:rsid w:val="00094356"/>
    <w:rsid w:val="000A1B7E"/>
    <w:rsid w:val="000A2A30"/>
    <w:rsid w:val="000C7E0C"/>
    <w:rsid w:val="000D41A4"/>
    <w:rsid w:val="000D428B"/>
    <w:rsid w:val="000E6E09"/>
    <w:rsid w:val="000E7F81"/>
    <w:rsid w:val="000F0CF7"/>
    <w:rsid w:val="000F1C55"/>
    <w:rsid w:val="000F281A"/>
    <w:rsid w:val="000F2911"/>
    <w:rsid w:val="000F4C2A"/>
    <w:rsid w:val="0010032B"/>
    <w:rsid w:val="00104989"/>
    <w:rsid w:val="00111680"/>
    <w:rsid w:val="00115A16"/>
    <w:rsid w:val="001218DE"/>
    <w:rsid w:val="00121C54"/>
    <w:rsid w:val="00122EF0"/>
    <w:rsid w:val="00125962"/>
    <w:rsid w:val="0012730F"/>
    <w:rsid w:val="00127350"/>
    <w:rsid w:val="00127681"/>
    <w:rsid w:val="00130F7D"/>
    <w:rsid w:val="00131465"/>
    <w:rsid w:val="00131C3F"/>
    <w:rsid w:val="00144CC0"/>
    <w:rsid w:val="0014630A"/>
    <w:rsid w:val="0015670A"/>
    <w:rsid w:val="001639EB"/>
    <w:rsid w:val="001A3A3D"/>
    <w:rsid w:val="001B1D7C"/>
    <w:rsid w:val="001C5ABB"/>
    <w:rsid w:val="001C786F"/>
    <w:rsid w:val="001D1FFA"/>
    <w:rsid w:val="001D3B0B"/>
    <w:rsid w:val="001D3CD6"/>
    <w:rsid w:val="001D65AA"/>
    <w:rsid w:val="001D7DA0"/>
    <w:rsid w:val="001E0872"/>
    <w:rsid w:val="001E0EA2"/>
    <w:rsid w:val="001E4107"/>
    <w:rsid w:val="001F0BB3"/>
    <w:rsid w:val="001F16F3"/>
    <w:rsid w:val="001F3ED4"/>
    <w:rsid w:val="001F5A41"/>
    <w:rsid w:val="00200047"/>
    <w:rsid w:val="0020218F"/>
    <w:rsid w:val="0020261B"/>
    <w:rsid w:val="00206A47"/>
    <w:rsid w:val="00225101"/>
    <w:rsid w:val="0022689A"/>
    <w:rsid w:val="00230E6D"/>
    <w:rsid w:val="0023104C"/>
    <w:rsid w:val="00233620"/>
    <w:rsid w:val="0023642A"/>
    <w:rsid w:val="00236896"/>
    <w:rsid w:val="00236EC1"/>
    <w:rsid w:val="00243728"/>
    <w:rsid w:val="00254D86"/>
    <w:rsid w:val="00254E85"/>
    <w:rsid w:val="00262EDC"/>
    <w:rsid w:val="00267D86"/>
    <w:rsid w:val="00284D8D"/>
    <w:rsid w:val="00287831"/>
    <w:rsid w:val="00294D8C"/>
    <w:rsid w:val="002A0EA5"/>
    <w:rsid w:val="002B0803"/>
    <w:rsid w:val="002B5CAF"/>
    <w:rsid w:val="002B712E"/>
    <w:rsid w:val="002B7166"/>
    <w:rsid w:val="002D00E5"/>
    <w:rsid w:val="002D6D7A"/>
    <w:rsid w:val="002E0C7D"/>
    <w:rsid w:val="002F18F0"/>
    <w:rsid w:val="002F724F"/>
    <w:rsid w:val="00306F24"/>
    <w:rsid w:val="00312740"/>
    <w:rsid w:val="00314DC3"/>
    <w:rsid w:val="003218A0"/>
    <w:rsid w:val="0032467B"/>
    <w:rsid w:val="00325585"/>
    <w:rsid w:val="003329B8"/>
    <w:rsid w:val="00334FD7"/>
    <w:rsid w:val="003351C6"/>
    <w:rsid w:val="00344500"/>
    <w:rsid w:val="00347521"/>
    <w:rsid w:val="00352568"/>
    <w:rsid w:val="003600E3"/>
    <w:rsid w:val="00363368"/>
    <w:rsid w:val="003667BE"/>
    <w:rsid w:val="00366D54"/>
    <w:rsid w:val="0037016D"/>
    <w:rsid w:val="003705C9"/>
    <w:rsid w:val="00375119"/>
    <w:rsid w:val="0037790F"/>
    <w:rsid w:val="00383FF7"/>
    <w:rsid w:val="00384832"/>
    <w:rsid w:val="00385E62"/>
    <w:rsid w:val="0039164A"/>
    <w:rsid w:val="00391DC5"/>
    <w:rsid w:val="00396BCD"/>
    <w:rsid w:val="00397B88"/>
    <w:rsid w:val="003A5EC1"/>
    <w:rsid w:val="003A7749"/>
    <w:rsid w:val="003C30D0"/>
    <w:rsid w:val="003C3F4E"/>
    <w:rsid w:val="003C5A2F"/>
    <w:rsid w:val="003D3B11"/>
    <w:rsid w:val="003E4E45"/>
    <w:rsid w:val="0040485F"/>
    <w:rsid w:val="0041254C"/>
    <w:rsid w:val="00414BC3"/>
    <w:rsid w:val="00416FE6"/>
    <w:rsid w:val="004179BF"/>
    <w:rsid w:val="004209B2"/>
    <w:rsid w:val="00433B60"/>
    <w:rsid w:val="00442527"/>
    <w:rsid w:val="00443AB5"/>
    <w:rsid w:val="00450945"/>
    <w:rsid w:val="00457DCC"/>
    <w:rsid w:val="00463B8D"/>
    <w:rsid w:val="0046562B"/>
    <w:rsid w:val="00465EBE"/>
    <w:rsid w:val="00493DD4"/>
    <w:rsid w:val="004A4B34"/>
    <w:rsid w:val="004A6718"/>
    <w:rsid w:val="004A7EC7"/>
    <w:rsid w:val="004B77A1"/>
    <w:rsid w:val="004C1746"/>
    <w:rsid w:val="004C62D2"/>
    <w:rsid w:val="004D2BDB"/>
    <w:rsid w:val="004D51D9"/>
    <w:rsid w:val="004D54B2"/>
    <w:rsid w:val="004D7A84"/>
    <w:rsid w:val="004F7773"/>
    <w:rsid w:val="00512F90"/>
    <w:rsid w:val="00520E9E"/>
    <w:rsid w:val="0052464D"/>
    <w:rsid w:val="00526DA0"/>
    <w:rsid w:val="00540E70"/>
    <w:rsid w:val="00545E1C"/>
    <w:rsid w:val="0054792E"/>
    <w:rsid w:val="00563010"/>
    <w:rsid w:val="00565477"/>
    <w:rsid w:val="00570240"/>
    <w:rsid w:val="005734E0"/>
    <w:rsid w:val="005815F9"/>
    <w:rsid w:val="00590103"/>
    <w:rsid w:val="00592CDB"/>
    <w:rsid w:val="00596ADD"/>
    <w:rsid w:val="005A2707"/>
    <w:rsid w:val="005A581F"/>
    <w:rsid w:val="005B1017"/>
    <w:rsid w:val="005B238F"/>
    <w:rsid w:val="005B25E9"/>
    <w:rsid w:val="005B7BB7"/>
    <w:rsid w:val="005E1723"/>
    <w:rsid w:val="005E2BBE"/>
    <w:rsid w:val="005E43B9"/>
    <w:rsid w:val="005E670D"/>
    <w:rsid w:val="005E6F84"/>
    <w:rsid w:val="005F0581"/>
    <w:rsid w:val="005F1173"/>
    <w:rsid w:val="005F15ED"/>
    <w:rsid w:val="005F3AA4"/>
    <w:rsid w:val="005F4451"/>
    <w:rsid w:val="00607A32"/>
    <w:rsid w:val="006104FA"/>
    <w:rsid w:val="00616B47"/>
    <w:rsid w:val="00620417"/>
    <w:rsid w:val="006232CB"/>
    <w:rsid w:val="00626AC2"/>
    <w:rsid w:val="00627C8F"/>
    <w:rsid w:val="00631870"/>
    <w:rsid w:val="00635FA2"/>
    <w:rsid w:val="006628B2"/>
    <w:rsid w:val="00666164"/>
    <w:rsid w:val="00667895"/>
    <w:rsid w:val="0067004E"/>
    <w:rsid w:val="0067195B"/>
    <w:rsid w:val="00672100"/>
    <w:rsid w:val="006776BD"/>
    <w:rsid w:val="00684668"/>
    <w:rsid w:val="00685B4C"/>
    <w:rsid w:val="00686B7C"/>
    <w:rsid w:val="006A01D2"/>
    <w:rsid w:val="006A0C7C"/>
    <w:rsid w:val="006A2A04"/>
    <w:rsid w:val="006A56D8"/>
    <w:rsid w:val="006A6C9F"/>
    <w:rsid w:val="006B1B4A"/>
    <w:rsid w:val="006B4DC6"/>
    <w:rsid w:val="006C34F1"/>
    <w:rsid w:val="006C39D1"/>
    <w:rsid w:val="006C5EB8"/>
    <w:rsid w:val="006D4E28"/>
    <w:rsid w:val="006D5858"/>
    <w:rsid w:val="006D6B35"/>
    <w:rsid w:val="006E2CC6"/>
    <w:rsid w:val="006F217C"/>
    <w:rsid w:val="006F46DE"/>
    <w:rsid w:val="00702F66"/>
    <w:rsid w:val="007066A8"/>
    <w:rsid w:val="00711664"/>
    <w:rsid w:val="00717627"/>
    <w:rsid w:val="00720919"/>
    <w:rsid w:val="00722937"/>
    <w:rsid w:val="007231BD"/>
    <w:rsid w:val="007261ED"/>
    <w:rsid w:val="007322D6"/>
    <w:rsid w:val="007328C0"/>
    <w:rsid w:val="007403B0"/>
    <w:rsid w:val="007415C8"/>
    <w:rsid w:val="00741AD2"/>
    <w:rsid w:val="00753AD8"/>
    <w:rsid w:val="00754179"/>
    <w:rsid w:val="00755B4C"/>
    <w:rsid w:val="00755D8C"/>
    <w:rsid w:val="007676C0"/>
    <w:rsid w:val="00770387"/>
    <w:rsid w:val="00776E95"/>
    <w:rsid w:val="00781C08"/>
    <w:rsid w:val="00783BEC"/>
    <w:rsid w:val="00787825"/>
    <w:rsid w:val="007903C8"/>
    <w:rsid w:val="00791279"/>
    <w:rsid w:val="007A218F"/>
    <w:rsid w:val="007A54A4"/>
    <w:rsid w:val="007B02E3"/>
    <w:rsid w:val="007B228F"/>
    <w:rsid w:val="007B3132"/>
    <w:rsid w:val="007B323F"/>
    <w:rsid w:val="007B539D"/>
    <w:rsid w:val="007C13D0"/>
    <w:rsid w:val="007C1E39"/>
    <w:rsid w:val="007C2A76"/>
    <w:rsid w:val="007C2B04"/>
    <w:rsid w:val="007C5F2A"/>
    <w:rsid w:val="007C61A5"/>
    <w:rsid w:val="007E4856"/>
    <w:rsid w:val="007E548A"/>
    <w:rsid w:val="007F06B7"/>
    <w:rsid w:val="007F4E20"/>
    <w:rsid w:val="00802C2B"/>
    <w:rsid w:val="00822659"/>
    <w:rsid w:val="008248C4"/>
    <w:rsid w:val="00824A1D"/>
    <w:rsid w:val="0082668C"/>
    <w:rsid w:val="00826FE1"/>
    <w:rsid w:val="0083452A"/>
    <w:rsid w:val="00835AA4"/>
    <w:rsid w:val="008377FF"/>
    <w:rsid w:val="00843BF6"/>
    <w:rsid w:val="00854BCD"/>
    <w:rsid w:val="008551C6"/>
    <w:rsid w:val="00861618"/>
    <w:rsid w:val="00863DE1"/>
    <w:rsid w:val="00864F55"/>
    <w:rsid w:val="00896AE0"/>
    <w:rsid w:val="008A2E3E"/>
    <w:rsid w:val="008B0485"/>
    <w:rsid w:val="008B0ACD"/>
    <w:rsid w:val="008B25C6"/>
    <w:rsid w:val="008B63BA"/>
    <w:rsid w:val="008B66C2"/>
    <w:rsid w:val="008C5B82"/>
    <w:rsid w:val="008D24A4"/>
    <w:rsid w:val="008D3E1A"/>
    <w:rsid w:val="008E4294"/>
    <w:rsid w:val="008F1340"/>
    <w:rsid w:val="008F344A"/>
    <w:rsid w:val="008F60E5"/>
    <w:rsid w:val="009125E1"/>
    <w:rsid w:val="00916B64"/>
    <w:rsid w:val="00930915"/>
    <w:rsid w:val="00933294"/>
    <w:rsid w:val="00936592"/>
    <w:rsid w:val="00936AD7"/>
    <w:rsid w:val="009375BC"/>
    <w:rsid w:val="0095684E"/>
    <w:rsid w:val="009766A1"/>
    <w:rsid w:val="00977669"/>
    <w:rsid w:val="00980C3B"/>
    <w:rsid w:val="009839D3"/>
    <w:rsid w:val="00983E04"/>
    <w:rsid w:val="00991DA5"/>
    <w:rsid w:val="00993378"/>
    <w:rsid w:val="00997547"/>
    <w:rsid w:val="009A0B33"/>
    <w:rsid w:val="009A537C"/>
    <w:rsid w:val="009B509B"/>
    <w:rsid w:val="009C5C89"/>
    <w:rsid w:val="009D2044"/>
    <w:rsid w:val="009D5CEF"/>
    <w:rsid w:val="009D6119"/>
    <w:rsid w:val="009E5C3A"/>
    <w:rsid w:val="009F3698"/>
    <w:rsid w:val="009F7F59"/>
    <w:rsid w:val="00A07B58"/>
    <w:rsid w:val="00A120EC"/>
    <w:rsid w:val="00A14C37"/>
    <w:rsid w:val="00A33757"/>
    <w:rsid w:val="00A41EF3"/>
    <w:rsid w:val="00A46379"/>
    <w:rsid w:val="00A57577"/>
    <w:rsid w:val="00A60BDB"/>
    <w:rsid w:val="00A61CB2"/>
    <w:rsid w:val="00A638C0"/>
    <w:rsid w:val="00A67680"/>
    <w:rsid w:val="00A713CE"/>
    <w:rsid w:val="00A8344C"/>
    <w:rsid w:val="00A86C65"/>
    <w:rsid w:val="00A90590"/>
    <w:rsid w:val="00A90A3D"/>
    <w:rsid w:val="00A92FFA"/>
    <w:rsid w:val="00A9484D"/>
    <w:rsid w:val="00A94F2A"/>
    <w:rsid w:val="00A97B77"/>
    <w:rsid w:val="00AB2137"/>
    <w:rsid w:val="00AB61AB"/>
    <w:rsid w:val="00AC2063"/>
    <w:rsid w:val="00AC2CA9"/>
    <w:rsid w:val="00AD2064"/>
    <w:rsid w:val="00AD44F9"/>
    <w:rsid w:val="00AD5E2A"/>
    <w:rsid w:val="00AE1F8A"/>
    <w:rsid w:val="00AE5B4C"/>
    <w:rsid w:val="00B00C1B"/>
    <w:rsid w:val="00B05B7B"/>
    <w:rsid w:val="00B1095D"/>
    <w:rsid w:val="00B10AB1"/>
    <w:rsid w:val="00B127B5"/>
    <w:rsid w:val="00B16DEA"/>
    <w:rsid w:val="00B223A3"/>
    <w:rsid w:val="00B259A2"/>
    <w:rsid w:val="00B25A7C"/>
    <w:rsid w:val="00B31702"/>
    <w:rsid w:val="00B44EFA"/>
    <w:rsid w:val="00B50A3C"/>
    <w:rsid w:val="00B5196B"/>
    <w:rsid w:val="00B62F36"/>
    <w:rsid w:val="00B6513D"/>
    <w:rsid w:val="00B67434"/>
    <w:rsid w:val="00B71C28"/>
    <w:rsid w:val="00B7416F"/>
    <w:rsid w:val="00B76672"/>
    <w:rsid w:val="00B81972"/>
    <w:rsid w:val="00B85DBC"/>
    <w:rsid w:val="00B93CE4"/>
    <w:rsid w:val="00BB2459"/>
    <w:rsid w:val="00BB61A5"/>
    <w:rsid w:val="00BC14ED"/>
    <w:rsid w:val="00BC78E2"/>
    <w:rsid w:val="00BD0B5B"/>
    <w:rsid w:val="00BD2871"/>
    <w:rsid w:val="00BD5227"/>
    <w:rsid w:val="00BD7C61"/>
    <w:rsid w:val="00BE1E1C"/>
    <w:rsid w:val="00BE5A80"/>
    <w:rsid w:val="00BE66D4"/>
    <w:rsid w:val="00BF2726"/>
    <w:rsid w:val="00C068D8"/>
    <w:rsid w:val="00C119CC"/>
    <w:rsid w:val="00C14CCB"/>
    <w:rsid w:val="00C16665"/>
    <w:rsid w:val="00C213AA"/>
    <w:rsid w:val="00C21F45"/>
    <w:rsid w:val="00C34D96"/>
    <w:rsid w:val="00C35A20"/>
    <w:rsid w:val="00C37450"/>
    <w:rsid w:val="00C510C2"/>
    <w:rsid w:val="00C51E65"/>
    <w:rsid w:val="00C546C0"/>
    <w:rsid w:val="00C604CC"/>
    <w:rsid w:val="00C61FC9"/>
    <w:rsid w:val="00C634BB"/>
    <w:rsid w:val="00C64AC9"/>
    <w:rsid w:val="00C661A8"/>
    <w:rsid w:val="00C80CE0"/>
    <w:rsid w:val="00C82A8C"/>
    <w:rsid w:val="00C86790"/>
    <w:rsid w:val="00CA20FA"/>
    <w:rsid w:val="00CA518E"/>
    <w:rsid w:val="00CB2372"/>
    <w:rsid w:val="00CB3E61"/>
    <w:rsid w:val="00CB74B0"/>
    <w:rsid w:val="00CC17E3"/>
    <w:rsid w:val="00CC546B"/>
    <w:rsid w:val="00CD0A54"/>
    <w:rsid w:val="00CD50A4"/>
    <w:rsid w:val="00CD6F30"/>
    <w:rsid w:val="00CE447B"/>
    <w:rsid w:val="00CF1B42"/>
    <w:rsid w:val="00CF4D2F"/>
    <w:rsid w:val="00CF72F6"/>
    <w:rsid w:val="00D03279"/>
    <w:rsid w:val="00D03547"/>
    <w:rsid w:val="00D03D0E"/>
    <w:rsid w:val="00D06D1E"/>
    <w:rsid w:val="00D217F3"/>
    <w:rsid w:val="00D24634"/>
    <w:rsid w:val="00D27E14"/>
    <w:rsid w:val="00D36B1E"/>
    <w:rsid w:val="00D40502"/>
    <w:rsid w:val="00D429C8"/>
    <w:rsid w:val="00D43163"/>
    <w:rsid w:val="00D44AAA"/>
    <w:rsid w:val="00D5323B"/>
    <w:rsid w:val="00D67C43"/>
    <w:rsid w:val="00D71916"/>
    <w:rsid w:val="00D71B35"/>
    <w:rsid w:val="00D75099"/>
    <w:rsid w:val="00D850DE"/>
    <w:rsid w:val="00D95402"/>
    <w:rsid w:val="00DA2E07"/>
    <w:rsid w:val="00DB275C"/>
    <w:rsid w:val="00DB2D0C"/>
    <w:rsid w:val="00DB52E0"/>
    <w:rsid w:val="00DB5798"/>
    <w:rsid w:val="00DD1167"/>
    <w:rsid w:val="00DD3FDF"/>
    <w:rsid w:val="00DE2BF2"/>
    <w:rsid w:val="00E00D64"/>
    <w:rsid w:val="00E01615"/>
    <w:rsid w:val="00E079C1"/>
    <w:rsid w:val="00E11F07"/>
    <w:rsid w:val="00E1388A"/>
    <w:rsid w:val="00E1658F"/>
    <w:rsid w:val="00E2118D"/>
    <w:rsid w:val="00E3426D"/>
    <w:rsid w:val="00E34411"/>
    <w:rsid w:val="00E41E4F"/>
    <w:rsid w:val="00E4487C"/>
    <w:rsid w:val="00E51060"/>
    <w:rsid w:val="00E60DF7"/>
    <w:rsid w:val="00E62FF1"/>
    <w:rsid w:val="00E73950"/>
    <w:rsid w:val="00E770E5"/>
    <w:rsid w:val="00E7777B"/>
    <w:rsid w:val="00E811F1"/>
    <w:rsid w:val="00E90B93"/>
    <w:rsid w:val="00E95C5D"/>
    <w:rsid w:val="00EA0A87"/>
    <w:rsid w:val="00EA44DC"/>
    <w:rsid w:val="00EA56FD"/>
    <w:rsid w:val="00EC3B0A"/>
    <w:rsid w:val="00EC7B53"/>
    <w:rsid w:val="00EC7B80"/>
    <w:rsid w:val="00ED4F33"/>
    <w:rsid w:val="00EF22B0"/>
    <w:rsid w:val="00F004E1"/>
    <w:rsid w:val="00F038FC"/>
    <w:rsid w:val="00F03DC6"/>
    <w:rsid w:val="00F041AA"/>
    <w:rsid w:val="00F04EBC"/>
    <w:rsid w:val="00F12DF8"/>
    <w:rsid w:val="00F23FEF"/>
    <w:rsid w:val="00F2467A"/>
    <w:rsid w:val="00F339DE"/>
    <w:rsid w:val="00F362C7"/>
    <w:rsid w:val="00F42222"/>
    <w:rsid w:val="00F4517C"/>
    <w:rsid w:val="00F62F5C"/>
    <w:rsid w:val="00F63F3B"/>
    <w:rsid w:val="00F71510"/>
    <w:rsid w:val="00F73663"/>
    <w:rsid w:val="00F805B3"/>
    <w:rsid w:val="00F81F26"/>
    <w:rsid w:val="00F8246A"/>
    <w:rsid w:val="00F913AF"/>
    <w:rsid w:val="00FA2AA0"/>
    <w:rsid w:val="00FA30CB"/>
    <w:rsid w:val="00FA691A"/>
    <w:rsid w:val="00FA7C5C"/>
    <w:rsid w:val="00FB0CFC"/>
    <w:rsid w:val="00FC6232"/>
    <w:rsid w:val="00FD4C0C"/>
    <w:rsid w:val="00FD5517"/>
    <w:rsid w:val="00FD6273"/>
    <w:rsid w:val="00FF354C"/>
  </w:rsids>
  <m:mathPr>
    <m:mathFont m:val="Cambria Math"/>
    <m:brkBin m:val="before"/>
    <m:brkBinSub m:val="--"/>
    <m:smallFrac/>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colormru v:ext="edit" colors="#ddd,silver,#eaeaea"/>
    </o:shapedefaults>
    <o:shapelayout v:ext="edit">
      <o:idmap v:ext="edit" data="1"/>
    </o:shapelayout>
  </w:shapeDefaults>
  <w:decimalSymbol w:val="."/>
  <w:listSeparator w:val=","/>
  <w14:docId w14:val="60DDA42F"/>
  <w15:docId w15:val="{9DACB061-2BAD-41FC-88FD-6F660705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uiPriority w:val="2"/>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uiPriority w:val="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uiPriority w:val="2"/>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 w:type="numbering" w:customStyle="1" w:styleId="AASBNumbers">
    <w:name w:val="AASB Numbers"/>
    <w:uiPriority w:val="99"/>
    <w:rsid w:val="0040485F"/>
    <w:pPr>
      <w:numPr>
        <w:numId w:val="15"/>
      </w:numPr>
    </w:pPr>
  </w:style>
  <w:style w:type="paragraph" w:customStyle="1" w:styleId="AppendixNote">
    <w:name w:val="AppendixNote"/>
    <w:basedOn w:val="Normal"/>
    <w:next w:val="Normal"/>
    <w:rsid w:val="000C7E0C"/>
    <w:pPr>
      <w:spacing w:after="200" w:line="240" w:lineRule="auto"/>
      <w:jc w:val="both"/>
    </w:pPr>
    <w:rPr>
      <w:i/>
      <w:iCs/>
      <w:sz w:val="19"/>
    </w:rPr>
  </w:style>
  <w:style w:type="paragraph" w:styleId="ListParagraph">
    <w:name w:val="List Paragraph"/>
    <w:basedOn w:val="Normal"/>
    <w:uiPriority w:val="34"/>
    <w:qFormat/>
    <w:rsid w:val="000C7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80919">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13" ma:contentTypeDescription="Create a new document." ma:contentTypeScope="" ma:versionID="fecdaea37f4cb35f121e766715a17369">
  <xsd:schema xmlns:xsd="http://www.w3.org/2001/XMLSchema" xmlns:xs="http://www.w3.org/2001/XMLSchema" xmlns:p="http://schemas.microsoft.com/office/2006/metadata/properties" xmlns:ns3="dacb3ef7-33a4-4aaf-8e2c-a382b35b1891" xmlns:ns4="2fffc6f8-0ce6-4feb-a150-9d1574269ef9" targetNamespace="http://schemas.microsoft.com/office/2006/metadata/properties" ma:root="true" ma:fieldsID="0ab4d26944aca26696a66805b0f38284" ns3:_="" ns4:_="">
    <xsd:import namespace="dacb3ef7-33a4-4aaf-8e2c-a382b35b1891"/>
    <xsd:import namespace="2fffc6f8-0ce6-4feb-a150-9d1574269e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C27BA-49EB-4200-ABBF-72DF2E8373E6}">
  <ds:schemaRefs>
    <ds:schemaRef ds:uri="http://schemas.microsoft.com/sharepoint/v3/contenttype/forms"/>
  </ds:schemaRefs>
</ds:datastoreItem>
</file>

<file path=customXml/itemProps2.xml><?xml version="1.0" encoding="utf-8"?>
<ds:datastoreItem xmlns:ds="http://schemas.openxmlformats.org/officeDocument/2006/customXml" ds:itemID="{07559A67-A10F-485B-964B-348699B951B0}">
  <ds:schemaRefs>
    <ds:schemaRef ds:uri="dacb3ef7-33a4-4aaf-8e2c-a382b35b1891"/>
    <ds:schemaRef ds:uri="http://purl.org/dc/elements/1.1/"/>
    <ds:schemaRef ds:uri="http://schemas.microsoft.com/office/2006/metadata/properties"/>
    <ds:schemaRef ds:uri="2fffc6f8-0ce6-4feb-a150-9d1574269e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63E0CB0-DB56-4E62-8446-8E242230A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3ef7-33a4-4aaf-8e2c-a382b35b1891"/>
    <ds:schemaRef ds:uri="2fffc6f8-0ce6-4feb-a150-9d157426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235F35-E34C-420A-A1A4-C7B222F9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Andrew Tomich</cp:lastModifiedBy>
  <cp:revision>3</cp:revision>
  <cp:lastPrinted>2019-11-28T23:32:00Z</cp:lastPrinted>
  <dcterms:created xsi:type="dcterms:W3CDTF">2020-01-23T05:09:00Z</dcterms:created>
  <dcterms:modified xsi:type="dcterms:W3CDTF">2020-01-23T05:19:00Z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ies>
</file>