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D47B3" w14:textId="77777777" w:rsidR="00C94A1D" w:rsidRPr="00F378C5" w:rsidRDefault="00C94A1D" w:rsidP="00DB5905">
      <w:pPr>
        <w:spacing w:after="120"/>
        <w:jc w:val="center"/>
        <w:rPr>
          <w:sz w:val="28"/>
          <w:szCs w:val="28"/>
        </w:rPr>
      </w:pPr>
      <w:r w:rsidRPr="00F378C5">
        <w:rPr>
          <w:b/>
          <w:bCs/>
          <w:sz w:val="28"/>
          <w:szCs w:val="28"/>
        </w:rPr>
        <w:t>EXPLANATORY STATEMENT</w:t>
      </w:r>
    </w:p>
    <w:p w14:paraId="3CA47F82" w14:textId="2F8844D3" w:rsidR="00C94A1D" w:rsidRPr="00F378C5" w:rsidRDefault="00DB5905" w:rsidP="00DB5905">
      <w:pPr>
        <w:spacing w:after="120"/>
        <w:jc w:val="center"/>
        <w:rPr>
          <w:sz w:val="22"/>
          <w:szCs w:val="22"/>
        </w:rPr>
      </w:pPr>
      <w:r w:rsidRPr="00F378C5">
        <w:rPr>
          <w:i/>
          <w:sz w:val="22"/>
          <w:szCs w:val="22"/>
        </w:rPr>
        <w:t>National Health Act 1953</w:t>
      </w:r>
    </w:p>
    <w:p w14:paraId="773192B8" w14:textId="72840EA0" w:rsidR="00050010" w:rsidRPr="00F378C5" w:rsidRDefault="00AB63B0" w:rsidP="00BB624B">
      <w:pPr>
        <w:spacing w:after="240"/>
        <w:jc w:val="center"/>
        <w:rPr>
          <w:b/>
          <w:bCs/>
          <w:sz w:val="22"/>
          <w:szCs w:val="22"/>
        </w:rPr>
      </w:pPr>
      <w:r w:rsidRPr="00F378C5">
        <w:rPr>
          <w:b/>
          <w:sz w:val="22"/>
          <w:szCs w:val="22"/>
        </w:rPr>
        <w:t>National Health (Commonwealth Price and Conditions for Commonwealth Payments for Supply of Pharmaceutic</w:t>
      </w:r>
      <w:r w:rsidR="007E579D" w:rsidRPr="00F378C5">
        <w:rPr>
          <w:b/>
          <w:sz w:val="22"/>
          <w:szCs w:val="22"/>
        </w:rPr>
        <w:t>al Benefits) Determination 2019</w:t>
      </w:r>
    </w:p>
    <w:p w14:paraId="6B85BC3F" w14:textId="71167A0B" w:rsidR="009B07AC" w:rsidRPr="00F378C5" w:rsidRDefault="009B07AC" w:rsidP="00050010">
      <w:pPr>
        <w:shd w:val="clear" w:color="auto" w:fill="FFFFFF"/>
        <w:spacing w:after="120"/>
        <w:ind w:right="-514"/>
        <w:rPr>
          <w:b/>
          <w:sz w:val="22"/>
          <w:szCs w:val="22"/>
        </w:rPr>
      </w:pPr>
      <w:r w:rsidRPr="00F378C5">
        <w:rPr>
          <w:b/>
          <w:sz w:val="22"/>
          <w:szCs w:val="22"/>
        </w:rPr>
        <w:t xml:space="preserve">Authority </w:t>
      </w:r>
      <w:bookmarkStart w:id="0" w:name="_GoBack"/>
      <w:bookmarkEnd w:id="0"/>
    </w:p>
    <w:p w14:paraId="0A3857D9" w14:textId="5F166847" w:rsidR="00C60B02" w:rsidRPr="00F378C5" w:rsidRDefault="00AB63B0" w:rsidP="00C60B02">
      <w:pPr>
        <w:shd w:val="clear" w:color="auto" w:fill="FFFFFF"/>
        <w:spacing w:before="240" w:after="240"/>
        <w:ind w:right="-514"/>
        <w:rPr>
          <w:sz w:val="22"/>
          <w:szCs w:val="22"/>
        </w:rPr>
      </w:pPr>
      <w:r w:rsidRPr="00F378C5">
        <w:rPr>
          <w:sz w:val="22"/>
          <w:szCs w:val="22"/>
        </w:rPr>
        <w:t xml:space="preserve">Paragraph </w:t>
      </w:r>
      <w:proofErr w:type="gramStart"/>
      <w:r w:rsidRPr="00F378C5">
        <w:rPr>
          <w:sz w:val="22"/>
          <w:szCs w:val="22"/>
        </w:rPr>
        <w:t>98C(</w:t>
      </w:r>
      <w:proofErr w:type="gramEnd"/>
      <w:r w:rsidRPr="00F378C5">
        <w:rPr>
          <w:sz w:val="22"/>
          <w:szCs w:val="22"/>
        </w:rPr>
        <w:t xml:space="preserve">1) of the </w:t>
      </w:r>
      <w:r w:rsidRPr="00F378C5">
        <w:rPr>
          <w:i/>
          <w:sz w:val="22"/>
          <w:szCs w:val="22"/>
        </w:rPr>
        <w:t>National Health Act 1953</w:t>
      </w:r>
      <w:r w:rsidRPr="00F378C5">
        <w:rPr>
          <w:sz w:val="22"/>
          <w:szCs w:val="22"/>
        </w:rPr>
        <w:t xml:space="preserve"> (the Act) provides that the Minister may</w:t>
      </w:r>
      <w:r w:rsidR="00A00C6D" w:rsidRPr="00F378C5">
        <w:rPr>
          <w:sz w:val="22"/>
          <w:szCs w:val="22"/>
        </w:rPr>
        <w:t>, by legislative instrument,</w:t>
      </w:r>
      <w:r w:rsidRPr="00F378C5">
        <w:rPr>
          <w:sz w:val="22"/>
          <w:szCs w:val="22"/>
        </w:rPr>
        <w:t xml:space="preserve"> make determinations on two matters. </w:t>
      </w:r>
    </w:p>
    <w:p w14:paraId="1A10DDC6" w14:textId="177B0C11" w:rsidR="00AB63B0" w:rsidRPr="00F378C5" w:rsidRDefault="00AB63B0" w:rsidP="00C60B02">
      <w:pPr>
        <w:shd w:val="clear" w:color="auto" w:fill="FFFFFF"/>
        <w:spacing w:before="240" w:after="240"/>
        <w:ind w:right="-514"/>
        <w:rPr>
          <w:sz w:val="22"/>
          <w:szCs w:val="22"/>
        </w:rPr>
      </w:pPr>
      <w:r w:rsidRPr="00F378C5">
        <w:rPr>
          <w:sz w:val="22"/>
          <w:szCs w:val="22"/>
        </w:rPr>
        <w:t xml:space="preserve">Under subparagraph 98C(1)(a), the Minister may determine the manner in which the Commonwealth price for all or any pharmaceutical benefits is to be worked out for the purpose of payments to approved medical practitioners for the supply of pharmaceutical benefits. </w:t>
      </w:r>
      <w:r w:rsidR="0033308A" w:rsidRPr="00F378C5">
        <w:rPr>
          <w:sz w:val="22"/>
          <w:szCs w:val="22"/>
        </w:rPr>
        <w:t>The</w:t>
      </w:r>
      <w:r w:rsidRPr="00F378C5">
        <w:rPr>
          <w:sz w:val="22"/>
          <w:szCs w:val="22"/>
        </w:rPr>
        <w:t xml:space="preserve"> current Determination is the </w:t>
      </w:r>
      <w:r w:rsidRPr="00F378C5">
        <w:rPr>
          <w:i/>
          <w:sz w:val="22"/>
          <w:szCs w:val="22"/>
        </w:rPr>
        <w:t xml:space="preserve">Commonwealth Price (Pharmaceutical Benefits Supplied By Approved Medical Practitioners) Determination 2010 </w:t>
      </w:r>
      <w:r w:rsidRPr="00F378C5">
        <w:rPr>
          <w:sz w:val="22"/>
          <w:szCs w:val="22"/>
        </w:rPr>
        <w:t xml:space="preserve">(the </w:t>
      </w:r>
      <w:proofErr w:type="gramStart"/>
      <w:r w:rsidRPr="00F378C5">
        <w:rPr>
          <w:sz w:val="22"/>
          <w:szCs w:val="22"/>
        </w:rPr>
        <w:t>98C(</w:t>
      </w:r>
      <w:proofErr w:type="gramEnd"/>
      <w:r w:rsidRPr="00F378C5">
        <w:rPr>
          <w:sz w:val="22"/>
          <w:szCs w:val="22"/>
        </w:rPr>
        <w:t xml:space="preserve">1)(a) Determination). It provides that the Commonwealth price for a pharmaceutical benefit that is supplied by a medical practitioner is the price determined under the </w:t>
      </w:r>
      <w:r w:rsidRPr="00F378C5">
        <w:rPr>
          <w:i/>
          <w:sz w:val="22"/>
          <w:szCs w:val="22"/>
        </w:rPr>
        <w:t>Commonwealth price (Pharmaceutical benefits supplied by approved pharmacists) Determination 2010</w:t>
      </w:r>
      <w:r w:rsidRPr="00F378C5">
        <w:rPr>
          <w:sz w:val="22"/>
          <w:szCs w:val="22"/>
        </w:rPr>
        <w:t>.</w:t>
      </w:r>
    </w:p>
    <w:p w14:paraId="1068B216" w14:textId="117A4B57" w:rsidR="00F91E42" w:rsidRPr="00F378C5" w:rsidRDefault="00AB63B0" w:rsidP="00E910D8">
      <w:pPr>
        <w:shd w:val="clear" w:color="auto" w:fill="FFFFFF"/>
        <w:spacing w:before="240" w:after="240"/>
        <w:ind w:right="-514"/>
        <w:rPr>
          <w:sz w:val="22"/>
          <w:szCs w:val="22"/>
        </w:rPr>
      </w:pPr>
      <w:r w:rsidRPr="00F378C5">
        <w:rPr>
          <w:sz w:val="22"/>
          <w:szCs w:val="22"/>
        </w:rPr>
        <w:t>Under subparagraph 98C(1)(b), the Minister may determine the conditions subject to which payments will be made by the Commonwealth in respect of the supply of pharmaceutical benefits by approved pharmacists and approved medical practitioners. The current Determination is the</w:t>
      </w:r>
      <w:r w:rsidR="00422B90" w:rsidRPr="00F378C5">
        <w:rPr>
          <w:sz w:val="22"/>
          <w:szCs w:val="22"/>
        </w:rPr>
        <w:t xml:space="preserve"> </w:t>
      </w:r>
      <w:r w:rsidR="00422B90" w:rsidRPr="00F378C5">
        <w:rPr>
          <w:i/>
          <w:sz w:val="22"/>
          <w:szCs w:val="22"/>
        </w:rPr>
        <w:t>Determination – Conditions (PB 119 of 2008)</w:t>
      </w:r>
      <w:r w:rsidR="00EF0730" w:rsidRPr="00F378C5">
        <w:rPr>
          <w:i/>
          <w:sz w:val="22"/>
          <w:szCs w:val="22"/>
        </w:rPr>
        <w:t xml:space="preserve"> (Federal Register of Legislation No. F2019C00881)</w:t>
      </w:r>
      <w:r w:rsidR="00422B90" w:rsidRPr="00F378C5">
        <w:rPr>
          <w:i/>
          <w:sz w:val="22"/>
          <w:szCs w:val="22"/>
        </w:rPr>
        <w:t xml:space="preserve"> </w:t>
      </w:r>
      <w:r w:rsidRPr="00F378C5">
        <w:rPr>
          <w:sz w:val="22"/>
          <w:szCs w:val="22"/>
        </w:rPr>
        <w:t>(the 98C(1)(b) Determination), which sets out the conditions subject to which these payments will be made</w:t>
      </w:r>
      <w:r w:rsidR="00C60B02" w:rsidRPr="00F378C5">
        <w:rPr>
          <w:sz w:val="22"/>
          <w:szCs w:val="22"/>
        </w:rPr>
        <w:t xml:space="preserve">. </w:t>
      </w:r>
    </w:p>
    <w:p w14:paraId="4258F691" w14:textId="549D9331" w:rsidR="00E910D8" w:rsidRPr="00F378C5" w:rsidRDefault="00E910D8" w:rsidP="00C60B02">
      <w:pPr>
        <w:shd w:val="clear" w:color="auto" w:fill="FFFFFF"/>
        <w:spacing w:before="240" w:after="240"/>
        <w:ind w:right="-514"/>
        <w:rPr>
          <w:sz w:val="22"/>
          <w:szCs w:val="22"/>
        </w:rPr>
      </w:pPr>
      <w:r w:rsidRPr="00F378C5">
        <w:rPr>
          <w:sz w:val="22"/>
          <w:szCs w:val="22"/>
        </w:rPr>
        <w:t xml:space="preserve">In addition to the power to make this instrument under </w:t>
      </w:r>
      <w:r w:rsidR="00242AF2" w:rsidRPr="00F378C5">
        <w:rPr>
          <w:sz w:val="22"/>
          <w:szCs w:val="22"/>
        </w:rPr>
        <w:t xml:space="preserve">paragraph </w:t>
      </w:r>
      <w:r w:rsidRPr="00F378C5">
        <w:rPr>
          <w:sz w:val="22"/>
          <w:szCs w:val="22"/>
        </w:rPr>
        <w:t xml:space="preserve">98C(1) of the Act, subsection 33(3) of the </w:t>
      </w:r>
      <w:r w:rsidRPr="00F378C5">
        <w:rPr>
          <w:i/>
          <w:sz w:val="22"/>
          <w:szCs w:val="22"/>
        </w:rPr>
        <w:t>Acts Interpretation Act 1901</w:t>
      </w:r>
      <w:r w:rsidRPr="00F378C5">
        <w:rPr>
          <w:sz w:val="22"/>
          <w:szCs w:val="22"/>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71E4002" w14:textId="4EDBD524" w:rsidR="00ED3FF7" w:rsidRPr="00F378C5" w:rsidRDefault="00ED3FF7" w:rsidP="000B717B">
      <w:pPr>
        <w:shd w:val="clear" w:color="auto" w:fill="FFFFFF"/>
        <w:spacing w:after="120"/>
        <w:ind w:right="-514"/>
        <w:rPr>
          <w:sz w:val="22"/>
          <w:szCs w:val="22"/>
        </w:rPr>
      </w:pPr>
      <w:r w:rsidRPr="00F378C5">
        <w:rPr>
          <w:b/>
          <w:sz w:val="22"/>
          <w:szCs w:val="22"/>
        </w:rPr>
        <w:t>Purpose</w:t>
      </w:r>
    </w:p>
    <w:p w14:paraId="31BED3D9" w14:textId="7FE3D07C" w:rsidR="00C60B02" w:rsidRPr="00F378C5" w:rsidRDefault="008A7390" w:rsidP="00D10A27">
      <w:pPr>
        <w:shd w:val="clear" w:color="auto" w:fill="FFFFFF"/>
        <w:spacing w:after="120"/>
        <w:ind w:right="-514"/>
        <w:rPr>
          <w:sz w:val="22"/>
          <w:szCs w:val="22"/>
        </w:rPr>
      </w:pPr>
      <w:r w:rsidRPr="00F378C5">
        <w:rPr>
          <w:sz w:val="22"/>
          <w:szCs w:val="22"/>
        </w:rPr>
        <w:t xml:space="preserve">The </w:t>
      </w:r>
      <w:r w:rsidR="00B33DEB" w:rsidRPr="00F378C5">
        <w:rPr>
          <w:sz w:val="22"/>
          <w:szCs w:val="22"/>
        </w:rPr>
        <w:t>sub</w:t>
      </w:r>
      <w:r w:rsidRPr="00F378C5">
        <w:rPr>
          <w:sz w:val="22"/>
          <w:szCs w:val="22"/>
        </w:rPr>
        <w:t>p</w:t>
      </w:r>
      <w:r w:rsidR="00707D65" w:rsidRPr="00F378C5">
        <w:rPr>
          <w:sz w:val="22"/>
          <w:szCs w:val="22"/>
        </w:rPr>
        <w:t xml:space="preserve">aragraph </w:t>
      </w:r>
      <w:r w:rsidR="00C60B02" w:rsidRPr="00F378C5">
        <w:rPr>
          <w:sz w:val="22"/>
          <w:szCs w:val="22"/>
        </w:rPr>
        <w:t xml:space="preserve">98C(1)(b) and the 98C(1)(a) Determinations </w:t>
      </w:r>
      <w:r w:rsidR="00707D65" w:rsidRPr="00F378C5">
        <w:rPr>
          <w:sz w:val="22"/>
          <w:szCs w:val="22"/>
        </w:rPr>
        <w:t xml:space="preserve">that are </w:t>
      </w:r>
      <w:r w:rsidR="00B33DEB" w:rsidRPr="00F378C5">
        <w:rPr>
          <w:sz w:val="22"/>
          <w:szCs w:val="22"/>
        </w:rPr>
        <w:t xml:space="preserve">currently </w:t>
      </w:r>
      <w:r w:rsidR="00707D65" w:rsidRPr="00F378C5">
        <w:rPr>
          <w:sz w:val="22"/>
          <w:szCs w:val="22"/>
        </w:rPr>
        <w:t>in force</w:t>
      </w:r>
      <w:r w:rsidR="009F6A7F" w:rsidRPr="00F378C5">
        <w:rPr>
          <w:sz w:val="22"/>
          <w:szCs w:val="22"/>
        </w:rPr>
        <w:t xml:space="preserve"> </w:t>
      </w:r>
      <w:r w:rsidR="00C60B02" w:rsidRPr="00F378C5">
        <w:rPr>
          <w:sz w:val="22"/>
          <w:szCs w:val="22"/>
        </w:rPr>
        <w:t>are scheduled to sunse</w:t>
      </w:r>
      <w:r w:rsidR="00972B1B" w:rsidRPr="00F378C5">
        <w:rPr>
          <w:sz w:val="22"/>
          <w:szCs w:val="22"/>
        </w:rPr>
        <w:t>t on 1 </w:t>
      </w:r>
      <w:r w:rsidR="00E932D4" w:rsidRPr="00F378C5">
        <w:rPr>
          <w:sz w:val="22"/>
          <w:szCs w:val="22"/>
        </w:rPr>
        <w:t>April 2020 and 1 October </w:t>
      </w:r>
      <w:r w:rsidR="00C60B02" w:rsidRPr="00F378C5">
        <w:rPr>
          <w:sz w:val="22"/>
          <w:szCs w:val="22"/>
        </w:rPr>
        <w:t>2020, respectively.</w:t>
      </w:r>
    </w:p>
    <w:p w14:paraId="349A7657" w14:textId="6436FAB2" w:rsidR="00D35DB8" w:rsidRPr="00F378C5" w:rsidRDefault="00C60B02" w:rsidP="002E026F">
      <w:pPr>
        <w:shd w:val="clear" w:color="auto" w:fill="FFFFFF"/>
        <w:spacing w:after="120"/>
        <w:ind w:right="-514"/>
        <w:rPr>
          <w:sz w:val="22"/>
          <w:szCs w:val="22"/>
        </w:rPr>
      </w:pPr>
      <w:r w:rsidRPr="00F378C5">
        <w:rPr>
          <w:sz w:val="22"/>
          <w:szCs w:val="22"/>
        </w:rPr>
        <w:t xml:space="preserve">The purpose of the </w:t>
      </w:r>
      <w:r w:rsidR="00B33DEB" w:rsidRPr="00F378C5">
        <w:rPr>
          <w:i/>
          <w:sz w:val="22"/>
          <w:szCs w:val="22"/>
        </w:rPr>
        <w:t>National Health (Commonwealth Price and Conditions for Commonwealth Payments for Supply of Pharmaceutical Benefits) Determination 2019</w:t>
      </w:r>
      <w:r w:rsidR="00B33DEB" w:rsidRPr="00F378C5">
        <w:rPr>
          <w:sz w:val="22"/>
          <w:szCs w:val="22"/>
        </w:rPr>
        <w:t xml:space="preserve"> (the Principal Determination) </w:t>
      </w:r>
      <w:r w:rsidRPr="00F378C5">
        <w:rPr>
          <w:sz w:val="22"/>
          <w:szCs w:val="22"/>
        </w:rPr>
        <w:t>is to remake and improve the operations of these existing Determinations before they sunset, by merg</w:t>
      </w:r>
      <w:r w:rsidR="00D35DB8" w:rsidRPr="00F378C5">
        <w:rPr>
          <w:sz w:val="22"/>
          <w:szCs w:val="22"/>
        </w:rPr>
        <w:t xml:space="preserve">ing them into one Determination. The Principal Determination will: </w:t>
      </w:r>
    </w:p>
    <w:p w14:paraId="2BF63EFD" w14:textId="77777777" w:rsidR="00A442F2" w:rsidRPr="00F378C5" w:rsidRDefault="00D35DB8" w:rsidP="00A442F2">
      <w:pPr>
        <w:pStyle w:val="ListParagraph"/>
        <w:numPr>
          <w:ilvl w:val="0"/>
          <w:numId w:val="1"/>
        </w:numPr>
        <w:shd w:val="clear" w:color="auto" w:fill="FFFFFF"/>
        <w:spacing w:after="120"/>
        <w:ind w:right="-514"/>
        <w:rPr>
          <w:sz w:val="22"/>
          <w:szCs w:val="22"/>
        </w:rPr>
      </w:pPr>
      <w:r w:rsidRPr="00F378C5">
        <w:rPr>
          <w:sz w:val="22"/>
          <w:szCs w:val="22"/>
        </w:rPr>
        <w:t xml:space="preserve">outline the manner in which the Commonwealth price for all or any pharmaceutical benefits is to be worked out for the purpose of </w:t>
      </w:r>
      <w:r w:rsidR="00A442F2" w:rsidRPr="00F378C5">
        <w:rPr>
          <w:sz w:val="22"/>
          <w:szCs w:val="22"/>
        </w:rPr>
        <w:t>payments</w:t>
      </w:r>
      <w:r w:rsidRPr="00F378C5">
        <w:rPr>
          <w:sz w:val="22"/>
          <w:szCs w:val="22"/>
        </w:rPr>
        <w:t xml:space="preserve"> to approved medical practitioners for the supply </w:t>
      </w:r>
      <w:r w:rsidR="00A442F2" w:rsidRPr="00F378C5">
        <w:rPr>
          <w:sz w:val="22"/>
          <w:szCs w:val="22"/>
        </w:rPr>
        <w:t>of pharmaceutical benefits; and</w:t>
      </w:r>
    </w:p>
    <w:p w14:paraId="4B354A4D" w14:textId="34BEEE01" w:rsidR="00C722FE" w:rsidRPr="00F378C5" w:rsidRDefault="00C60B02" w:rsidP="00A442F2">
      <w:pPr>
        <w:pStyle w:val="ListParagraph"/>
        <w:numPr>
          <w:ilvl w:val="0"/>
          <w:numId w:val="1"/>
        </w:numPr>
        <w:shd w:val="clear" w:color="auto" w:fill="FFFFFF"/>
        <w:spacing w:after="120"/>
        <w:ind w:right="-514"/>
        <w:rPr>
          <w:sz w:val="22"/>
          <w:szCs w:val="22"/>
        </w:rPr>
      </w:pPr>
      <w:r w:rsidRPr="00F378C5">
        <w:rPr>
          <w:sz w:val="22"/>
          <w:szCs w:val="22"/>
        </w:rPr>
        <w:t xml:space="preserve">outline the conditions subject to which payments to medical practitioners and approved pharmacists will be made. </w:t>
      </w:r>
    </w:p>
    <w:p w14:paraId="7A7D7AFF" w14:textId="14848BB0" w:rsidR="002E026F" w:rsidRPr="00F378C5" w:rsidRDefault="002E026F" w:rsidP="00C722FE">
      <w:pPr>
        <w:shd w:val="clear" w:color="auto" w:fill="FFFFFF"/>
        <w:spacing w:after="120"/>
        <w:ind w:right="-514"/>
        <w:rPr>
          <w:sz w:val="22"/>
          <w:szCs w:val="22"/>
        </w:rPr>
      </w:pPr>
      <w:r w:rsidRPr="00F378C5">
        <w:rPr>
          <w:sz w:val="22"/>
          <w:szCs w:val="22"/>
        </w:rPr>
        <w:t>This will improve the overall clarity and operation of the relevant Determinations and ensure that the Principal Determination reflects current drafting practices.</w:t>
      </w:r>
    </w:p>
    <w:p w14:paraId="62929554" w14:textId="64D82624" w:rsidR="00C60B02" w:rsidRPr="00F378C5" w:rsidRDefault="00C60B02" w:rsidP="00D10A27">
      <w:pPr>
        <w:shd w:val="clear" w:color="auto" w:fill="FFFFFF"/>
        <w:spacing w:after="120"/>
        <w:ind w:right="-514"/>
        <w:rPr>
          <w:sz w:val="22"/>
          <w:szCs w:val="22"/>
        </w:rPr>
      </w:pPr>
      <w:r w:rsidRPr="00F378C5">
        <w:rPr>
          <w:sz w:val="22"/>
          <w:szCs w:val="22"/>
        </w:rPr>
        <w:t>T</w:t>
      </w:r>
      <w:r w:rsidR="00956A0C" w:rsidRPr="00F378C5">
        <w:rPr>
          <w:sz w:val="22"/>
          <w:szCs w:val="22"/>
        </w:rPr>
        <w:t xml:space="preserve">his remake does </w:t>
      </w:r>
      <w:r w:rsidRPr="00F378C5">
        <w:rPr>
          <w:sz w:val="22"/>
          <w:szCs w:val="22"/>
        </w:rPr>
        <w:t xml:space="preserve">not alter the manner in which the Commonwealth price is currently calculated for the supply of PBS by approved medical practitioners or the conditions subject to which </w:t>
      </w:r>
      <w:r w:rsidR="00BE442A" w:rsidRPr="00F378C5">
        <w:rPr>
          <w:sz w:val="22"/>
          <w:szCs w:val="22"/>
        </w:rPr>
        <w:t xml:space="preserve">the relevant </w:t>
      </w:r>
      <w:r w:rsidRPr="00F378C5">
        <w:rPr>
          <w:sz w:val="22"/>
          <w:szCs w:val="22"/>
        </w:rPr>
        <w:t xml:space="preserve">payments will be made. </w:t>
      </w:r>
    </w:p>
    <w:p w14:paraId="0FB72EE7" w14:textId="6788B91A" w:rsidR="001D2D80" w:rsidRPr="00F378C5" w:rsidRDefault="00C60B02" w:rsidP="00D10A27">
      <w:pPr>
        <w:shd w:val="clear" w:color="auto" w:fill="FFFFFF"/>
        <w:spacing w:after="120"/>
        <w:ind w:right="-514"/>
        <w:rPr>
          <w:sz w:val="22"/>
          <w:szCs w:val="22"/>
        </w:rPr>
      </w:pPr>
      <w:r w:rsidRPr="00F378C5">
        <w:rPr>
          <w:sz w:val="22"/>
          <w:szCs w:val="22"/>
        </w:rPr>
        <w:t xml:space="preserve">The </w:t>
      </w:r>
      <w:r w:rsidRPr="00F378C5">
        <w:rPr>
          <w:i/>
          <w:sz w:val="22"/>
          <w:szCs w:val="22"/>
        </w:rPr>
        <w:t>Legislation Act 2003</w:t>
      </w:r>
      <w:r w:rsidRPr="00F378C5">
        <w:rPr>
          <w:sz w:val="22"/>
          <w:szCs w:val="22"/>
        </w:rPr>
        <w:t xml:space="preserve"> provides that all legislative instruments, other than exempt instruments, progressively sunset according to the timetable in section 50 of that Act. Sunsetting legislative instruments generally cease to have effect after 10 years unless their operation is extended such as by remaking the instrument.</w:t>
      </w:r>
      <w:r w:rsidR="001D2D80" w:rsidRPr="00F378C5">
        <w:rPr>
          <w:sz w:val="22"/>
          <w:szCs w:val="22"/>
        </w:rPr>
        <w:t xml:space="preserve"> </w:t>
      </w:r>
    </w:p>
    <w:p w14:paraId="2E452A89" w14:textId="2DFEB6B3" w:rsidR="00A935F8" w:rsidRPr="00F378C5" w:rsidRDefault="00A935F8" w:rsidP="00A935F8">
      <w:pPr>
        <w:pStyle w:val="Heading6"/>
        <w:keepNext w:val="0"/>
        <w:keepLines w:val="0"/>
        <w:spacing w:before="180" w:after="180"/>
        <w:ind w:right="-516"/>
        <w:jc w:val="left"/>
        <w:rPr>
          <w:b w:val="0"/>
          <w:sz w:val="22"/>
          <w:szCs w:val="22"/>
        </w:rPr>
      </w:pPr>
      <w:r w:rsidRPr="00F378C5">
        <w:rPr>
          <w:b w:val="0"/>
          <w:sz w:val="22"/>
          <w:szCs w:val="22"/>
        </w:rPr>
        <w:lastRenderedPageBreak/>
        <w:t xml:space="preserve">The </w:t>
      </w:r>
      <w:r w:rsidR="001F0AFA" w:rsidRPr="00F378C5">
        <w:rPr>
          <w:b w:val="0"/>
          <w:sz w:val="22"/>
          <w:szCs w:val="22"/>
        </w:rPr>
        <w:t>Principal</w:t>
      </w:r>
      <w:r w:rsidRPr="00F378C5">
        <w:rPr>
          <w:b w:val="0"/>
          <w:sz w:val="22"/>
          <w:szCs w:val="22"/>
        </w:rPr>
        <w:t xml:space="preserve"> Deter</w:t>
      </w:r>
      <w:r w:rsidR="00C35EBF" w:rsidRPr="00F378C5">
        <w:rPr>
          <w:b w:val="0"/>
          <w:sz w:val="22"/>
          <w:szCs w:val="22"/>
        </w:rPr>
        <w:t xml:space="preserve">mination commences on 1 February </w:t>
      </w:r>
      <w:r w:rsidRPr="00F378C5">
        <w:rPr>
          <w:b w:val="0"/>
          <w:sz w:val="22"/>
          <w:szCs w:val="22"/>
        </w:rPr>
        <w:t>2020.</w:t>
      </w:r>
    </w:p>
    <w:p w14:paraId="2E7D8929" w14:textId="108C349C" w:rsidR="00A935F8" w:rsidRPr="00F378C5" w:rsidRDefault="00A935F8" w:rsidP="00A935F8">
      <w:pPr>
        <w:pStyle w:val="Heading6"/>
        <w:keepNext w:val="0"/>
        <w:keepLines w:val="0"/>
        <w:spacing w:before="180" w:after="180"/>
        <w:ind w:right="-516"/>
        <w:jc w:val="left"/>
        <w:rPr>
          <w:b w:val="0"/>
          <w:sz w:val="22"/>
          <w:szCs w:val="22"/>
        </w:rPr>
      </w:pPr>
      <w:r w:rsidRPr="00F378C5">
        <w:rPr>
          <w:b w:val="0"/>
          <w:sz w:val="22"/>
          <w:szCs w:val="22"/>
        </w:rPr>
        <w:t xml:space="preserve">The </w:t>
      </w:r>
      <w:r w:rsidR="001F0AFA" w:rsidRPr="00F378C5">
        <w:rPr>
          <w:b w:val="0"/>
          <w:sz w:val="22"/>
          <w:szCs w:val="22"/>
        </w:rPr>
        <w:t>Principal</w:t>
      </w:r>
      <w:r w:rsidRPr="00F378C5">
        <w:rPr>
          <w:b w:val="0"/>
          <w:sz w:val="22"/>
          <w:szCs w:val="22"/>
        </w:rPr>
        <w:t xml:space="preserve"> Determination is a legislative instrument for the purposes of the </w:t>
      </w:r>
      <w:r w:rsidRPr="00F378C5">
        <w:rPr>
          <w:b w:val="0"/>
          <w:i/>
          <w:sz w:val="22"/>
          <w:szCs w:val="22"/>
        </w:rPr>
        <w:t>Legislation Act 2003</w:t>
      </w:r>
      <w:r w:rsidRPr="00F378C5">
        <w:rPr>
          <w:b w:val="0"/>
          <w:sz w:val="22"/>
          <w:szCs w:val="22"/>
        </w:rPr>
        <w:t>.</w:t>
      </w:r>
    </w:p>
    <w:p w14:paraId="52D6C31E" w14:textId="21FCF4AE" w:rsidR="00050010" w:rsidRPr="00F378C5" w:rsidRDefault="00B33B65" w:rsidP="00B33B65">
      <w:pPr>
        <w:spacing w:before="180" w:after="180"/>
        <w:rPr>
          <w:sz w:val="22"/>
          <w:szCs w:val="22"/>
        </w:rPr>
      </w:pPr>
      <w:r w:rsidRPr="00F378C5">
        <w:rPr>
          <w:sz w:val="22"/>
          <w:szCs w:val="22"/>
        </w:rPr>
        <w:t xml:space="preserve">A provision by provision description of the </w:t>
      </w:r>
      <w:r w:rsidR="001F0AFA" w:rsidRPr="00F378C5">
        <w:rPr>
          <w:sz w:val="22"/>
          <w:szCs w:val="22"/>
        </w:rPr>
        <w:t>Principal</w:t>
      </w:r>
      <w:r w:rsidR="006B68CE" w:rsidRPr="00F378C5">
        <w:rPr>
          <w:sz w:val="22"/>
          <w:szCs w:val="22"/>
        </w:rPr>
        <w:t xml:space="preserve"> </w:t>
      </w:r>
      <w:r w:rsidRPr="00F378C5">
        <w:rPr>
          <w:sz w:val="22"/>
          <w:szCs w:val="22"/>
        </w:rPr>
        <w:t xml:space="preserve">Determination is contained in Attachment 1. </w:t>
      </w:r>
      <w:r w:rsidR="001D2D80" w:rsidRPr="00F378C5">
        <w:rPr>
          <w:sz w:val="22"/>
          <w:szCs w:val="22"/>
        </w:rPr>
        <w:t xml:space="preserve"> </w:t>
      </w:r>
    </w:p>
    <w:p w14:paraId="2E996864" w14:textId="06FD02F2" w:rsidR="00F5229F" w:rsidRPr="00F378C5" w:rsidRDefault="003A2B92" w:rsidP="00D10A27">
      <w:pPr>
        <w:shd w:val="clear" w:color="auto" w:fill="FFFFFF"/>
        <w:spacing w:after="120"/>
        <w:ind w:right="-514"/>
        <w:rPr>
          <w:sz w:val="22"/>
          <w:szCs w:val="22"/>
        </w:rPr>
      </w:pPr>
      <w:r w:rsidRPr="00F378C5">
        <w:rPr>
          <w:b/>
          <w:sz w:val="22"/>
          <w:szCs w:val="22"/>
        </w:rPr>
        <w:t>Background</w:t>
      </w:r>
    </w:p>
    <w:p w14:paraId="6297D421" w14:textId="7DD42452" w:rsidR="00655C04" w:rsidRPr="00F378C5" w:rsidRDefault="003A2B92" w:rsidP="00EB0F18">
      <w:pPr>
        <w:shd w:val="clear" w:color="auto" w:fill="FFFFFF"/>
        <w:spacing w:after="120"/>
        <w:ind w:right="-514"/>
        <w:rPr>
          <w:sz w:val="22"/>
          <w:szCs w:val="22"/>
        </w:rPr>
      </w:pPr>
      <w:r w:rsidRPr="00F378C5">
        <w:rPr>
          <w:sz w:val="22"/>
          <w:szCs w:val="22"/>
        </w:rPr>
        <w:t>Part VII of the Act is the legislative basis of the Pharmaceutical</w:t>
      </w:r>
      <w:r w:rsidR="002C2128" w:rsidRPr="00F378C5">
        <w:rPr>
          <w:sz w:val="22"/>
          <w:szCs w:val="22"/>
        </w:rPr>
        <w:t xml:space="preserve"> Benefits Scheme (PBS) by which the Commonwealth provides reliable, timely, and affordable access to a wide range of medicines for all Australians. </w:t>
      </w:r>
    </w:p>
    <w:p w14:paraId="4E825320" w14:textId="7EE00DDC" w:rsidR="00EB0F18" w:rsidRPr="00F378C5" w:rsidRDefault="00EB0F18" w:rsidP="00EB0F18">
      <w:pPr>
        <w:shd w:val="clear" w:color="auto" w:fill="FFFFFF"/>
        <w:spacing w:after="120"/>
        <w:ind w:right="-514"/>
        <w:rPr>
          <w:sz w:val="22"/>
          <w:szCs w:val="22"/>
        </w:rPr>
      </w:pPr>
      <w:r w:rsidRPr="00F378C5">
        <w:rPr>
          <w:sz w:val="22"/>
          <w:szCs w:val="22"/>
        </w:rPr>
        <w:t>Paragraph 85(1) provides that benefits are to be provided by the Commonwealth in accordance with Part VII in respect of pharmaceutical benefits. Paragraph 98C(1)(a) of the Act provides that the Minister may, from time to time, determine the manner in which the Commonwealth price for all or any pharmaceutical benefits is to be worked out for the purpose of payments to approved medical practitioners for the supply of pharmaceutical benefits. Paragraph 98C(1)(b) of the Act provides that the Minister may, from time to time, determine the conditions subject to which payments will be made by the Commonwealth in respect of the supply of pharmaceutical benefits by approved pharmacists and approved medical practitioners.</w:t>
      </w:r>
      <w:r w:rsidR="00C2350D" w:rsidRPr="00F378C5">
        <w:rPr>
          <w:sz w:val="22"/>
          <w:szCs w:val="22"/>
        </w:rPr>
        <w:t xml:space="preserve"> </w:t>
      </w:r>
    </w:p>
    <w:p w14:paraId="4C598A83" w14:textId="0F9D6D41" w:rsidR="00D819B4" w:rsidRPr="00F378C5" w:rsidRDefault="00D819B4" w:rsidP="009F6A7F">
      <w:pPr>
        <w:spacing w:after="120"/>
        <w:ind w:right="-514"/>
        <w:rPr>
          <w:sz w:val="22"/>
          <w:szCs w:val="22"/>
        </w:rPr>
      </w:pPr>
      <w:r w:rsidRPr="00F378C5">
        <w:rPr>
          <w:b/>
          <w:sz w:val="22"/>
          <w:szCs w:val="22"/>
        </w:rPr>
        <w:t>Consultation</w:t>
      </w:r>
    </w:p>
    <w:p w14:paraId="10DE15D0" w14:textId="33076DA2" w:rsidR="00F602E1" w:rsidRPr="00F378C5" w:rsidRDefault="00517C7C" w:rsidP="009F6A7F">
      <w:pPr>
        <w:ind w:right="-514"/>
        <w:rPr>
          <w:sz w:val="22"/>
          <w:szCs w:val="22"/>
        </w:rPr>
      </w:pPr>
      <w:r w:rsidRPr="00F378C5">
        <w:rPr>
          <w:sz w:val="22"/>
          <w:szCs w:val="22"/>
        </w:rPr>
        <w:t>The Department of Health undertook consultation with a</w:t>
      </w:r>
      <w:r w:rsidR="00D559DD" w:rsidRPr="00F378C5">
        <w:rPr>
          <w:sz w:val="22"/>
          <w:szCs w:val="22"/>
        </w:rPr>
        <w:t xml:space="preserve"> </w:t>
      </w:r>
      <w:r w:rsidR="00006F24" w:rsidRPr="00F378C5">
        <w:rPr>
          <w:sz w:val="22"/>
          <w:szCs w:val="22"/>
        </w:rPr>
        <w:t xml:space="preserve">number of stakeholders, including the Pharmacy Guild of Australia, Services Australia and state and territory departments of health. </w:t>
      </w:r>
      <w:r w:rsidR="00DD2265" w:rsidRPr="00F378C5">
        <w:rPr>
          <w:sz w:val="22"/>
          <w:szCs w:val="22"/>
        </w:rPr>
        <w:t xml:space="preserve">The consultation period commenced on </w:t>
      </w:r>
      <w:r w:rsidR="00454EC9" w:rsidRPr="00F378C5">
        <w:rPr>
          <w:sz w:val="22"/>
          <w:szCs w:val="22"/>
        </w:rPr>
        <w:t xml:space="preserve">15 November 2019 and closed on 29 November 2019. </w:t>
      </w:r>
      <w:r w:rsidR="00284B77" w:rsidRPr="00F378C5">
        <w:rPr>
          <w:sz w:val="22"/>
          <w:szCs w:val="22"/>
        </w:rPr>
        <w:t>No</w:t>
      </w:r>
      <w:r w:rsidR="00097B60" w:rsidRPr="00F378C5">
        <w:rPr>
          <w:sz w:val="22"/>
          <w:szCs w:val="22"/>
        </w:rPr>
        <w:t xml:space="preserve"> material</w:t>
      </w:r>
      <w:r w:rsidR="00284B77" w:rsidRPr="00F378C5">
        <w:rPr>
          <w:sz w:val="22"/>
          <w:szCs w:val="22"/>
        </w:rPr>
        <w:t xml:space="preserve"> objections were raised in relation to this Principal Determination. </w:t>
      </w:r>
    </w:p>
    <w:p w14:paraId="485AF607" w14:textId="671932E1" w:rsidR="006D4DF9" w:rsidRPr="00F378C5" w:rsidRDefault="006D4DF9" w:rsidP="006D4DF9">
      <w:pPr>
        <w:shd w:val="clear" w:color="auto" w:fill="FFFFFF"/>
        <w:ind w:right="-514"/>
        <w:rPr>
          <w:sz w:val="22"/>
          <w:szCs w:val="22"/>
        </w:rPr>
      </w:pPr>
    </w:p>
    <w:p w14:paraId="6B58D347" w14:textId="52BF4193" w:rsidR="008C1D29" w:rsidRPr="00F378C5" w:rsidRDefault="008C1D29" w:rsidP="00740184">
      <w:pPr>
        <w:spacing w:line="276" w:lineRule="auto"/>
        <w:rPr>
          <w:sz w:val="22"/>
          <w:szCs w:val="22"/>
        </w:rPr>
      </w:pPr>
    </w:p>
    <w:p w14:paraId="484C01CE" w14:textId="13C01523" w:rsidR="008C1D29" w:rsidRPr="00F378C5" w:rsidRDefault="008C1D29" w:rsidP="00740184">
      <w:pPr>
        <w:spacing w:line="276" w:lineRule="auto"/>
        <w:rPr>
          <w:b/>
          <w:sz w:val="22"/>
          <w:szCs w:val="22"/>
        </w:rPr>
      </w:pPr>
    </w:p>
    <w:p w14:paraId="3941A298" w14:textId="77777777" w:rsidR="00740184" w:rsidRPr="00F378C5" w:rsidRDefault="00740184" w:rsidP="006D4DF9">
      <w:pPr>
        <w:shd w:val="clear" w:color="auto" w:fill="FFFFFF"/>
        <w:ind w:right="-514"/>
        <w:rPr>
          <w:sz w:val="22"/>
          <w:szCs w:val="22"/>
        </w:rPr>
      </w:pPr>
    </w:p>
    <w:p w14:paraId="006366EF" w14:textId="75B445DC" w:rsidR="00B11AB5" w:rsidRPr="00F378C5" w:rsidRDefault="00B11AB5" w:rsidP="001667EA">
      <w:pPr>
        <w:shd w:val="clear" w:color="auto" w:fill="FFFFFF"/>
        <w:spacing w:after="120"/>
        <w:ind w:right="-514"/>
        <w:rPr>
          <w:sz w:val="22"/>
          <w:szCs w:val="22"/>
        </w:rPr>
      </w:pPr>
    </w:p>
    <w:p w14:paraId="17C3240D" w14:textId="77777777" w:rsidR="00B11AB5" w:rsidRPr="00F378C5" w:rsidRDefault="00B11AB5" w:rsidP="00D819B4">
      <w:pPr>
        <w:shd w:val="clear" w:color="auto" w:fill="FFFFFF"/>
        <w:spacing w:after="120"/>
        <w:ind w:right="-514"/>
        <w:rPr>
          <w:sz w:val="22"/>
          <w:szCs w:val="22"/>
        </w:rPr>
      </w:pPr>
    </w:p>
    <w:p w14:paraId="172A12B3" w14:textId="35C70EF9" w:rsidR="00F426CD" w:rsidRPr="00F378C5" w:rsidRDefault="00F426CD" w:rsidP="00901A76">
      <w:pPr>
        <w:spacing w:before="180" w:after="180"/>
        <w:rPr>
          <w:sz w:val="22"/>
          <w:szCs w:val="22"/>
        </w:rPr>
      </w:pPr>
    </w:p>
    <w:p w14:paraId="309639A1" w14:textId="44B2D5EB" w:rsidR="00F426CD" w:rsidRPr="00F378C5" w:rsidRDefault="00F426CD">
      <w:pPr>
        <w:rPr>
          <w:sz w:val="22"/>
          <w:szCs w:val="22"/>
        </w:rPr>
      </w:pPr>
      <w:r w:rsidRPr="00F378C5">
        <w:rPr>
          <w:sz w:val="22"/>
          <w:szCs w:val="22"/>
        </w:rPr>
        <w:br w:type="page"/>
      </w:r>
    </w:p>
    <w:p w14:paraId="0A06F4F1" w14:textId="54554D0E" w:rsidR="00243411" w:rsidRPr="00F378C5" w:rsidRDefault="00F426CD" w:rsidP="00243411">
      <w:pPr>
        <w:pStyle w:val="Heading6"/>
        <w:jc w:val="right"/>
        <w:rPr>
          <w:sz w:val="24"/>
          <w:szCs w:val="24"/>
        </w:rPr>
      </w:pPr>
      <w:r w:rsidRPr="00F378C5">
        <w:rPr>
          <w:sz w:val="24"/>
          <w:szCs w:val="24"/>
        </w:rPr>
        <w:lastRenderedPageBreak/>
        <w:t>ATTACHMENT 1</w:t>
      </w:r>
    </w:p>
    <w:p w14:paraId="4B5D5D34" w14:textId="1629DF52" w:rsidR="00243411" w:rsidRPr="00F378C5" w:rsidRDefault="00243411" w:rsidP="00F76BC8">
      <w:pPr>
        <w:pStyle w:val="Heading6"/>
        <w:keepNext w:val="0"/>
        <w:keepLines w:val="0"/>
        <w:widowControl w:val="0"/>
        <w:ind w:right="-188"/>
        <w:jc w:val="left"/>
        <w:rPr>
          <w:bCs/>
          <w:sz w:val="22"/>
          <w:szCs w:val="22"/>
        </w:rPr>
      </w:pPr>
      <w:r w:rsidRPr="00F378C5">
        <w:rPr>
          <w:sz w:val="22"/>
          <w:szCs w:val="22"/>
        </w:rPr>
        <w:t xml:space="preserve">Provision by provision description of the </w:t>
      </w:r>
      <w:r w:rsidRPr="00F378C5">
        <w:rPr>
          <w:bCs/>
          <w:sz w:val="22"/>
          <w:szCs w:val="22"/>
        </w:rPr>
        <w:t xml:space="preserve">National Health (Commonwealth Price and Conditions for Commonwealth Payments for Supply of Pharmaceutical Benefits) Determination 2019 </w:t>
      </w:r>
    </w:p>
    <w:p w14:paraId="5F6915EB" w14:textId="77777777" w:rsidR="00F76BC8" w:rsidRPr="00F378C5" w:rsidRDefault="00F76BC8" w:rsidP="00F76BC8">
      <w:pPr>
        <w:pStyle w:val="Heading6"/>
        <w:keepNext w:val="0"/>
        <w:keepLines w:val="0"/>
        <w:widowControl w:val="0"/>
        <w:ind w:right="-188"/>
        <w:jc w:val="left"/>
        <w:rPr>
          <w:sz w:val="22"/>
          <w:szCs w:val="22"/>
        </w:rPr>
      </w:pPr>
    </w:p>
    <w:p w14:paraId="57CD639D" w14:textId="77777777" w:rsidR="00243411" w:rsidRPr="00F378C5" w:rsidRDefault="00243411" w:rsidP="00243411">
      <w:pPr>
        <w:widowControl w:val="0"/>
        <w:rPr>
          <w:b/>
          <w:bCs/>
          <w:sz w:val="22"/>
          <w:szCs w:val="22"/>
        </w:rPr>
      </w:pPr>
      <w:r w:rsidRPr="00F378C5">
        <w:rPr>
          <w:b/>
          <w:bCs/>
          <w:sz w:val="22"/>
          <w:szCs w:val="22"/>
        </w:rPr>
        <w:t xml:space="preserve">Part 1 – Preliminary </w:t>
      </w:r>
    </w:p>
    <w:p w14:paraId="7D736210" w14:textId="77777777" w:rsidR="00243411" w:rsidRPr="00F378C5" w:rsidRDefault="00243411" w:rsidP="00243411">
      <w:pPr>
        <w:widowControl w:val="0"/>
        <w:rPr>
          <w:b/>
          <w:sz w:val="22"/>
          <w:szCs w:val="22"/>
        </w:rPr>
      </w:pPr>
      <w:r w:rsidRPr="00F378C5">
        <w:rPr>
          <w:b/>
          <w:bCs/>
          <w:sz w:val="22"/>
          <w:szCs w:val="22"/>
        </w:rPr>
        <w:t>Section 1</w:t>
      </w:r>
      <w:r w:rsidRPr="00F378C5">
        <w:rPr>
          <w:b/>
          <w:sz w:val="22"/>
          <w:szCs w:val="22"/>
        </w:rPr>
        <w:tab/>
        <w:t>Name</w:t>
      </w:r>
    </w:p>
    <w:p w14:paraId="4E85EC75" w14:textId="25E143B0" w:rsidR="00243411" w:rsidRPr="00F378C5" w:rsidRDefault="00243411" w:rsidP="00243411">
      <w:pPr>
        <w:spacing w:before="180" w:after="180"/>
        <w:rPr>
          <w:sz w:val="22"/>
          <w:szCs w:val="22"/>
        </w:rPr>
      </w:pPr>
      <w:r w:rsidRPr="00F378C5">
        <w:rPr>
          <w:sz w:val="22"/>
          <w:szCs w:val="22"/>
        </w:rPr>
        <w:t xml:space="preserve">This section provides for the </w:t>
      </w:r>
      <w:r w:rsidR="001F0AFA" w:rsidRPr="00F378C5">
        <w:rPr>
          <w:sz w:val="22"/>
          <w:szCs w:val="22"/>
        </w:rPr>
        <w:t>Principal</w:t>
      </w:r>
      <w:r w:rsidRPr="00F378C5">
        <w:rPr>
          <w:sz w:val="22"/>
          <w:szCs w:val="22"/>
        </w:rPr>
        <w:t xml:space="preserve"> Determination to be referred to as the </w:t>
      </w:r>
      <w:r w:rsidRPr="00F378C5">
        <w:rPr>
          <w:i/>
          <w:noProof/>
          <w:sz w:val="22"/>
          <w:szCs w:val="22"/>
        </w:rPr>
        <w:t>National Health (Commonwealth Price and Conditions for Commonwealth Payments for Supply of Pharmaceutical Benefits) Determination 2019</w:t>
      </w:r>
      <w:r w:rsidR="001B0A10" w:rsidRPr="00F378C5">
        <w:rPr>
          <w:noProof/>
          <w:sz w:val="22"/>
          <w:szCs w:val="22"/>
        </w:rPr>
        <w:t>. This section also provides that</w:t>
      </w:r>
      <w:r w:rsidR="00EA4473" w:rsidRPr="00F378C5">
        <w:rPr>
          <w:noProof/>
          <w:sz w:val="22"/>
          <w:szCs w:val="22"/>
        </w:rPr>
        <w:t xml:space="preserve"> the Determination, in the altern</w:t>
      </w:r>
      <w:r w:rsidR="00AF1AA2" w:rsidRPr="00F378C5">
        <w:rPr>
          <w:noProof/>
          <w:sz w:val="22"/>
          <w:szCs w:val="22"/>
        </w:rPr>
        <w:t>ative to its long name, may</w:t>
      </w:r>
      <w:r w:rsidR="00EA4473" w:rsidRPr="00F378C5">
        <w:rPr>
          <w:noProof/>
          <w:sz w:val="22"/>
          <w:szCs w:val="22"/>
        </w:rPr>
        <w:t xml:space="preserve"> be cited as</w:t>
      </w:r>
      <w:r w:rsidR="00EA4473" w:rsidRPr="00F378C5">
        <w:rPr>
          <w:sz w:val="22"/>
          <w:szCs w:val="22"/>
        </w:rPr>
        <w:t xml:space="preserve"> </w:t>
      </w:r>
      <w:r w:rsidRPr="00F378C5">
        <w:rPr>
          <w:sz w:val="22"/>
          <w:szCs w:val="22"/>
        </w:rPr>
        <w:t>PB 1</w:t>
      </w:r>
      <w:r w:rsidR="00823AF3" w:rsidRPr="00F378C5">
        <w:rPr>
          <w:sz w:val="22"/>
          <w:szCs w:val="22"/>
        </w:rPr>
        <w:t>1</w:t>
      </w:r>
      <w:r w:rsidRPr="00F378C5">
        <w:rPr>
          <w:sz w:val="22"/>
          <w:szCs w:val="22"/>
        </w:rPr>
        <w:t>4 of 2019.</w:t>
      </w:r>
    </w:p>
    <w:p w14:paraId="02CD2D08" w14:textId="77777777" w:rsidR="00243411" w:rsidRPr="00F378C5" w:rsidRDefault="00243411" w:rsidP="00243411">
      <w:pPr>
        <w:spacing w:before="180" w:after="180"/>
        <w:rPr>
          <w:b/>
          <w:sz w:val="22"/>
          <w:szCs w:val="22"/>
        </w:rPr>
      </w:pPr>
      <w:r w:rsidRPr="00F378C5">
        <w:rPr>
          <w:b/>
          <w:sz w:val="22"/>
          <w:szCs w:val="22"/>
        </w:rPr>
        <w:t>Section 2</w:t>
      </w:r>
      <w:r w:rsidRPr="00F378C5">
        <w:rPr>
          <w:b/>
          <w:sz w:val="22"/>
          <w:szCs w:val="22"/>
        </w:rPr>
        <w:tab/>
        <w:t>Commencement</w:t>
      </w:r>
    </w:p>
    <w:p w14:paraId="14454E4C" w14:textId="4D74F1BE" w:rsidR="00243411" w:rsidRPr="00F378C5" w:rsidRDefault="00243411" w:rsidP="00243411">
      <w:pPr>
        <w:spacing w:before="180" w:after="180"/>
        <w:rPr>
          <w:sz w:val="22"/>
          <w:szCs w:val="22"/>
        </w:rPr>
      </w:pPr>
      <w:r w:rsidRPr="00F378C5">
        <w:rPr>
          <w:sz w:val="22"/>
          <w:szCs w:val="22"/>
        </w:rPr>
        <w:t xml:space="preserve">This section provides that the </w:t>
      </w:r>
      <w:r w:rsidR="001F0AFA" w:rsidRPr="00F378C5">
        <w:rPr>
          <w:sz w:val="22"/>
          <w:szCs w:val="22"/>
        </w:rPr>
        <w:t>Principal</w:t>
      </w:r>
      <w:r w:rsidRPr="00F378C5">
        <w:rPr>
          <w:sz w:val="22"/>
          <w:szCs w:val="22"/>
        </w:rPr>
        <w:t xml:space="preserve"> Determination commences 1 </w:t>
      </w:r>
      <w:r w:rsidR="00C35EBF" w:rsidRPr="00F378C5">
        <w:rPr>
          <w:sz w:val="22"/>
          <w:szCs w:val="22"/>
        </w:rPr>
        <w:t>February</w:t>
      </w:r>
      <w:r w:rsidRPr="00F378C5">
        <w:rPr>
          <w:sz w:val="22"/>
          <w:szCs w:val="22"/>
        </w:rPr>
        <w:t xml:space="preserve"> 2020.</w:t>
      </w:r>
    </w:p>
    <w:p w14:paraId="41D96A8A" w14:textId="77777777" w:rsidR="00243411" w:rsidRPr="00F378C5" w:rsidRDefault="00243411" w:rsidP="00243411">
      <w:pPr>
        <w:spacing w:before="180" w:after="180"/>
        <w:rPr>
          <w:sz w:val="22"/>
          <w:szCs w:val="22"/>
        </w:rPr>
      </w:pPr>
      <w:r w:rsidRPr="00F378C5">
        <w:rPr>
          <w:b/>
          <w:sz w:val="22"/>
          <w:szCs w:val="22"/>
        </w:rPr>
        <w:t>Section 3</w:t>
      </w:r>
      <w:r w:rsidRPr="00F378C5">
        <w:rPr>
          <w:b/>
          <w:sz w:val="22"/>
          <w:szCs w:val="22"/>
        </w:rPr>
        <w:tab/>
        <w:t>Authority</w:t>
      </w:r>
    </w:p>
    <w:p w14:paraId="4CD91210" w14:textId="6324D846" w:rsidR="00243411" w:rsidRPr="00F378C5" w:rsidRDefault="00243411" w:rsidP="00243411">
      <w:pPr>
        <w:spacing w:before="180" w:after="180"/>
        <w:rPr>
          <w:sz w:val="22"/>
          <w:szCs w:val="22"/>
        </w:rPr>
      </w:pPr>
      <w:r w:rsidRPr="00F378C5">
        <w:rPr>
          <w:sz w:val="22"/>
          <w:szCs w:val="22"/>
        </w:rPr>
        <w:t xml:space="preserve">This section provides that </w:t>
      </w:r>
      <w:r w:rsidR="001F0AFA" w:rsidRPr="00F378C5">
        <w:rPr>
          <w:sz w:val="22"/>
          <w:szCs w:val="22"/>
        </w:rPr>
        <w:t>Principal</w:t>
      </w:r>
      <w:r w:rsidRPr="00F378C5">
        <w:rPr>
          <w:sz w:val="22"/>
          <w:szCs w:val="22"/>
        </w:rPr>
        <w:t xml:space="preserve"> Determination is made under subsection </w:t>
      </w:r>
      <w:proofErr w:type="gramStart"/>
      <w:r w:rsidRPr="00F378C5">
        <w:rPr>
          <w:sz w:val="22"/>
          <w:szCs w:val="22"/>
        </w:rPr>
        <w:t>98C(</w:t>
      </w:r>
      <w:proofErr w:type="gramEnd"/>
      <w:r w:rsidRPr="00F378C5">
        <w:rPr>
          <w:sz w:val="22"/>
          <w:szCs w:val="22"/>
        </w:rPr>
        <w:t xml:space="preserve">1) of the </w:t>
      </w:r>
      <w:r w:rsidRPr="00F378C5">
        <w:rPr>
          <w:i/>
          <w:sz w:val="22"/>
          <w:szCs w:val="22"/>
        </w:rPr>
        <w:t>National Health Act 1953</w:t>
      </w:r>
      <w:r w:rsidRPr="00F378C5">
        <w:rPr>
          <w:sz w:val="22"/>
          <w:szCs w:val="22"/>
        </w:rPr>
        <w:t>.</w:t>
      </w:r>
    </w:p>
    <w:p w14:paraId="78872634" w14:textId="57B814E0" w:rsidR="00B97AAF" w:rsidRPr="00F378C5" w:rsidRDefault="00243411" w:rsidP="00243411">
      <w:pPr>
        <w:spacing w:before="180" w:after="180"/>
      </w:pPr>
      <w:r w:rsidRPr="00F378C5">
        <w:rPr>
          <w:b/>
          <w:sz w:val="22"/>
          <w:szCs w:val="22"/>
        </w:rPr>
        <w:t>Section 4</w:t>
      </w:r>
      <w:r w:rsidRPr="00F378C5">
        <w:rPr>
          <w:b/>
          <w:sz w:val="22"/>
          <w:szCs w:val="22"/>
        </w:rPr>
        <w:tab/>
      </w:r>
      <w:r w:rsidR="00294D4F" w:rsidRPr="00F378C5">
        <w:rPr>
          <w:b/>
          <w:sz w:val="22"/>
          <w:szCs w:val="22"/>
        </w:rPr>
        <w:t>Schedule 6</w:t>
      </w:r>
    </w:p>
    <w:p w14:paraId="3C15E292" w14:textId="78B9E2EC" w:rsidR="00243411" w:rsidRPr="00F378C5" w:rsidRDefault="00294D4F" w:rsidP="00243411">
      <w:pPr>
        <w:spacing w:before="180" w:after="180"/>
        <w:rPr>
          <w:sz w:val="22"/>
          <w:szCs w:val="22"/>
        </w:rPr>
      </w:pPr>
      <w:r w:rsidRPr="00F378C5">
        <w:rPr>
          <w:sz w:val="22"/>
          <w:szCs w:val="22"/>
        </w:rPr>
        <w:t xml:space="preserve">This section provides that each instrument that is specified in Schedule 6 to this instrument is amended or repealed as set out in the applicable items in that Schedule, and any other item in that Schedule has effect according to its terms. </w:t>
      </w:r>
    </w:p>
    <w:p w14:paraId="2EA1CB5D" w14:textId="77777777" w:rsidR="00243411" w:rsidRPr="00F378C5" w:rsidRDefault="00243411" w:rsidP="00243411">
      <w:pPr>
        <w:spacing w:before="180" w:after="180"/>
        <w:rPr>
          <w:sz w:val="22"/>
          <w:szCs w:val="22"/>
        </w:rPr>
      </w:pPr>
      <w:r w:rsidRPr="00F378C5">
        <w:rPr>
          <w:b/>
          <w:sz w:val="22"/>
          <w:szCs w:val="22"/>
        </w:rPr>
        <w:t>Section 5</w:t>
      </w:r>
      <w:r w:rsidRPr="00F378C5">
        <w:rPr>
          <w:b/>
          <w:sz w:val="22"/>
          <w:szCs w:val="22"/>
        </w:rPr>
        <w:tab/>
        <w:t>Simplified outline of this instrument</w:t>
      </w:r>
    </w:p>
    <w:p w14:paraId="10037DD6" w14:textId="76E20B4D" w:rsidR="00243411" w:rsidRPr="00F378C5" w:rsidRDefault="00243411" w:rsidP="00243411">
      <w:pPr>
        <w:spacing w:before="180" w:after="180"/>
        <w:rPr>
          <w:sz w:val="22"/>
          <w:szCs w:val="22"/>
        </w:rPr>
      </w:pPr>
      <w:r w:rsidRPr="00F378C5">
        <w:rPr>
          <w:sz w:val="22"/>
          <w:szCs w:val="22"/>
        </w:rPr>
        <w:t xml:space="preserve">This section contains an outline of how the </w:t>
      </w:r>
      <w:r w:rsidR="001F0AFA" w:rsidRPr="00F378C5">
        <w:rPr>
          <w:sz w:val="22"/>
          <w:szCs w:val="22"/>
        </w:rPr>
        <w:t>Principal</w:t>
      </w:r>
      <w:r w:rsidRPr="00F378C5">
        <w:rPr>
          <w:sz w:val="22"/>
          <w:szCs w:val="22"/>
        </w:rPr>
        <w:t xml:space="preserve"> Determination operates. It states that the Commonwealth price for pharmaceutical benefits supplied by an approved medical practitioner is worked out in the same way as the Commonwealth price for those benefits supplied by an approved pharmacist.</w:t>
      </w:r>
    </w:p>
    <w:p w14:paraId="70FF466B" w14:textId="0EC1C878" w:rsidR="00243411" w:rsidRPr="00F378C5" w:rsidRDefault="00243411" w:rsidP="00243411">
      <w:pPr>
        <w:spacing w:before="180" w:after="180"/>
        <w:rPr>
          <w:sz w:val="22"/>
          <w:szCs w:val="22"/>
        </w:rPr>
      </w:pPr>
      <w:r w:rsidRPr="00F378C5">
        <w:rPr>
          <w:sz w:val="22"/>
          <w:szCs w:val="22"/>
        </w:rPr>
        <w:t>This section also states that the Commonwealth will pay an approved medical practit</w:t>
      </w:r>
      <w:r w:rsidR="00FC1D10" w:rsidRPr="00F378C5">
        <w:rPr>
          <w:sz w:val="22"/>
          <w:szCs w:val="22"/>
        </w:rPr>
        <w:t>ioner or an approved pharmacist</w:t>
      </w:r>
      <w:r w:rsidRPr="00F378C5">
        <w:rPr>
          <w:sz w:val="22"/>
          <w:szCs w:val="22"/>
        </w:rPr>
        <w:t xml:space="preserve"> for the supply of a pharmaceutical benefit only if certain conditions are met. The first is that payment will be made only for supply of a brand of a pharmaceutical benefit as specified in a determination under subsection 85(6). The second is that where a pharmaceutical benefit is specified in Schedule 4 of the </w:t>
      </w:r>
      <w:r w:rsidR="001F0AFA" w:rsidRPr="00F378C5">
        <w:rPr>
          <w:sz w:val="22"/>
          <w:szCs w:val="22"/>
        </w:rPr>
        <w:t>Principal</w:t>
      </w:r>
      <w:r w:rsidRPr="00F378C5">
        <w:rPr>
          <w:sz w:val="22"/>
          <w:szCs w:val="22"/>
        </w:rPr>
        <w:t xml:space="preserve"> Determination, payment will be made for the supply of that benefit only if it is supplied in a complete pack. Schedule 4 lists pharmaceutical benefits that must be supplied in complete packs by an approved medical practitioner or an approved pharmacist for them to be paid by the Commonwealth for the supply.</w:t>
      </w:r>
    </w:p>
    <w:p w14:paraId="0C3D623F" w14:textId="22DCA258" w:rsidR="00243411" w:rsidRPr="00F378C5" w:rsidRDefault="00243411" w:rsidP="00243411">
      <w:pPr>
        <w:spacing w:before="180" w:after="180"/>
        <w:rPr>
          <w:sz w:val="22"/>
          <w:szCs w:val="22"/>
        </w:rPr>
      </w:pPr>
      <w:r w:rsidRPr="00F378C5">
        <w:rPr>
          <w:sz w:val="22"/>
          <w:szCs w:val="22"/>
        </w:rPr>
        <w:t xml:space="preserve">This section explains that </w:t>
      </w:r>
      <w:r w:rsidR="00E51524" w:rsidRPr="00F378C5">
        <w:rPr>
          <w:sz w:val="22"/>
          <w:szCs w:val="22"/>
        </w:rPr>
        <w:t>S</w:t>
      </w:r>
      <w:r w:rsidRPr="00F378C5">
        <w:rPr>
          <w:sz w:val="22"/>
          <w:szCs w:val="22"/>
        </w:rPr>
        <w:t>chedules 1, 2, 3 and 5 list pharmaceutical benefits and ingredients of pharmaceutical benefits for which particular rules apply for working out the Commonwealth price. These schedules apply to benefits being supplied by an approved medical practitioner or an approved pharmacist.</w:t>
      </w:r>
    </w:p>
    <w:p w14:paraId="29EEC99A" w14:textId="77777777" w:rsidR="00243411" w:rsidRPr="00F378C5" w:rsidRDefault="00243411" w:rsidP="00243411">
      <w:pPr>
        <w:spacing w:before="180" w:after="180"/>
        <w:rPr>
          <w:sz w:val="22"/>
          <w:szCs w:val="22"/>
        </w:rPr>
      </w:pPr>
      <w:r w:rsidRPr="00F378C5">
        <w:rPr>
          <w:b/>
          <w:sz w:val="22"/>
          <w:szCs w:val="22"/>
        </w:rPr>
        <w:t>Section 6</w:t>
      </w:r>
      <w:r w:rsidRPr="00F378C5">
        <w:rPr>
          <w:b/>
          <w:sz w:val="22"/>
          <w:szCs w:val="22"/>
        </w:rPr>
        <w:tab/>
        <w:t>Definitions</w:t>
      </w:r>
    </w:p>
    <w:p w14:paraId="48B8F40F" w14:textId="403A120B" w:rsidR="00243411" w:rsidRPr="00F378C5" w:rsidRDefault="00243411" w:rsidP="00243411">
      <w:pPr>
        <w:spacing w:before="180" w:after="180"/>
        <w:rPr>
          <w:sz w:val="22"/>
          <w:szCs w:val="22"/>
        </w:rPr>
      </w:pPr>
      <w:r w:rsidRPr="00F378C5">
        <w:rPr>
          <w:sz w:val="22"/>
          <w:szCs w:val="22"/>
        </w:rPr>
        <w:t xml:space="preserve">This section contains defined terms used in the </w:t>
      </w:r>
      <w:r w:rsidR="001F0AFA" w:rsidRPr="00F378C5">
        <w:rPr>
          <w:sz w:val="22"/>
          <w:szCs w:val="22"/>
        </w:rPr>
        <w:t>Principal</w:t>
      </w:r>
      <w:r w:rsidRPr="00F378C5">
        <w:rPr>
          <w:sz w:val="22"/>
          <w:szCs w:val="22"/>
        </w:rPr>
        <w:t xml:space="preserve"> Determination.  The definition of ‘extemporaneously-prepared pharmaceutical benefit’ has the same meaning as incorporated in </w:t>
      </w:r>
      <w:r w:rsidRPr="00F378C5">
        <w:rPr>
          <w:i/>
          <w:iCs/>
          <w:sz w:val="22"/>
          <w:szCs w:val="22"/>
        </w:rPr>
        <w:t>Commonwealth price (Pharmaceutical benefits supplied by approved pharmacists) Determination 2015</w:t>
      </w:r>
      <w:r w:rsidRPr="00F378C5">
        <w:rPr>
          <w:sz w:val="22"/>
          <w:szCs w:val="22"/>
        </w:rPr>
        <w:t xml:space="preserve"> (PB 64 of 2015) as in force from time to time. </w:t>
      </w:r>
    </w:p>
    <w:p w14:paraId="7A77B87D" w14:textId="77777777" w:rsidR="00243411" w:rsidRPr="00F378C5" w:rsidRDefault="00243411" w:rsidP="00243411">
      <w:pPr>
        <w:spacing w:before="180" w:after="180"/>
        <w:rPr>
          <w:b/>
          <w:sz w:val="22"/>
          <w:szCs w:val="22"/>
        </w:rPr>
      </w:pPr>
    </w:p>
    <w:p w14:paraId="5DED99D4" w14:textId="77777777" w:rsidR="00243411" w:rsidRPr="00F378C5" w:rsidRDefault="00243411" w:rsidP="00243411">
      <w:pPr>
        <w:spacing w:before="180" w:after="180"/>
        <w:rPr>
          <w:b/>
          <w:sz w:val="22"/>
          <w:szCs w:val="22"/>
        </w:rPr>
      </w:pPr>
    </w:p>
    <w:p w14:paraId="7F33551F" w14:textId="77777777" w:rsidR="00243411" w:rsidRPr="00F378C5" w:rsidRDefault="00243411" w:rsidP="00243411">
      <w:pPr>
        <w:spacing w:before="180" w:after="180"/>
        <w:rPr>
          <w:b/>
          <w:sz w:val="22"/>
          <w:szCs w:val="22"/>
        </w:rPr>
      </w:pPr>
      <w:r w:rsidRPr="00F378C5">
        <w:rPr>
          <w:b/>
          <w:sz w:val="22"/>
          <w:szCs w:val="22"/>
        </w:rPr>
        <w:t xml:space="preserve">Part 2 – Commonwealth price for pharmaceutical benefits supplied by approved medical practitioners </w:t>
      </w:r>
    </w:p>
    <w:p w14:paraId="6F5570CF" w14:textId="77777777" w:rsidR="00243411" w:rsidRPr="00F378C5" w:rsidRDefault="00243411" w:rsidP="00243411">
      <w:pPr>
        <w:tabs>
          <w:tab w:val="left" w:pos="1418"/>
        </w:tabs>
        <w:spacing w:before="180" w:after="180"/>
        <w:ind w:left="1418" w:hanging="1418"/>
        <w:rPr>
          <w:b/>
          <w:sz w:val="22"/>
          <w:szCs w:val="22"/>
        </w:rPr>
      </w:pPr>
      <w:r w:rsidRPr="00F378C5">
        <w:rPr>
          <w:b/>
          <w:sz w:val="22"/>
          <w:szCs w:val="22"/>
        </w:rPr>
        <w:t>Section 7</w:t>
      </w:r>
      <w:r w:rsidRPr="00F378C5">
        <w:rPr>
          <w:b/>
          <w:sz w:val="22"/>
          <w:szCs w:val="22"/>
        </w:rPr>
        <w:tab/>
        <w:t>Commonwealth price for pharmaceutical benefits supplied by approved medical practitioners</w:t>
      </w:r>
    </w:p>
    <w:p w14:paraId="3BD59A6E" w14:textId="77777777" w:rsidR="00243411" w:rsidRPr="00F378C5" w:rsidRDefault="00243411" w:rsidP="00243411">
      <w:pPr>
        <w:spacing w:before="180" w:after="180"/>
        <w:rPr>
          <w:iCs/>
          <w:sz w:val="22"/>
          <w:szCs w:val="22"/>
        </w:rPr>
      </w:pPr>
      <w:r w:rsidRPr="00F378C5">
        <w:rPr>
          <w:sz w:val="22"/>
          <w:szCs w:val="22"/>
        </w:rPr>
        <w:t xml:space="preserve">This section provides that the Commonwealth price for pharmaceutical benefits supplied by approved medical practitioners is to be ascertained in the same manner as the </w:t>
      </w:r>
      <w:r w:rsidRPr="00F378C5">
        <w:rPr>
          <w:i/>
          <w:iCs/>
          <w:sz w:val="22"/>
          <w:szCs w:val="22"/>
        </w:rPr>
        <w:t>Commonwealth price (Pharmaceutical benefits supplied by approved pharmacists) Determination 2015</w:t>
      </w:r>
      <w:r w:rsidRPr="00F378C5">
        <w:rPr>
          <w:iCs/>
          <w:sz w:val="22"/>
          <w:szCs w:val="22"/>
        </w:rPr>
        <w:t xml:space="preserve"> (</w:t>
      </w:r>
      <w:r w:rsidRPr="00F378C5">
        <w:rPr>
          <w:sz w:val="22"/>
          <w:szCs w:val="22"/>
        </w:rPr>
        <w:t>as in force from time to time)</w:t>
      </w:r>
      <w:r w:rsidRPr="00F378C5">
        <w:rPr>
          <w:iCs/>
          <w:sz w:val="22"/>
          <w:szCs w:val="22"/>
        </w:rPr>
        <w:t xml:space="preserve"> as if the pharmaceutical benefit was supplied by an approved pharmacist. </w:t>
      </w:r>
    </w:p>
    <w:p w14:paraId="0C9230BA" w14:textId="054CBDC0" w:rsidR="00243411" w:rsidRPr="00F378C5" w:rsidRDefault="00243411" w:rsidP="00243411">
      <w:pPr>
        <w:spacing w:before="180" w:after="180"/>
        <w:rPr>
          <w:iCs/>
          <w:sz w:val="22"/>
          <w:szCs w:val="22"/>
        </w:rPr>
      </w:pPr>
      <w:r w:rsidRPr="00F378C5">
        <w:rPr>
          <w:iCs/>
          <w:sz w:val="22"/>
          <w:szCs w:val="22"/>
        </w:rPr>
        <w:t xml:space="preserve">The </w:t>
      </w:r>
      <w:r w:rsidRPr="00F378C5">
        <w:rPr>
          <w:i/>
          <w:iCs/>
          <w:sz w:val="22"/>
          <w:szCs w:val="22"/>
        </w:rPr>
        <w:t>Commonwealth price (Pharmaceutical benefits supplied by approved pharmacists) Determination 2015</w:t>
      </w:r>
      <w:r w:rsidRPr="00F378C5">
        <w:rPr>
          <w:iCs/>
          <w:sz w:val="22"/>
          <w:szCs w:val="22"/>
        </w:rPr>
        <w:t xml:space="preserve"> identifies certain rules which refer to certain schedules in the </w:t>
      </w:r>
      <w:r w:rsidR="001F0AFA" w:rsidRPr="00F378C5">
        <w:rPr>
          <w:iCs/>
          <w:sz w:val="22"/>
          <w:szCs w:val="22"/>
        </w:rPr>
        <w:t>Principal</w:t>
      </w:r>
      <w:r w:rsidRPr="00F378C5">
        <w:rPr>
          <w:iCs/>
          <w:sz w:val="22"/>
          <w:szCs w:val="22"/>
        </w:rPr>
        <w:t xml:space="preserve"> Determination. Specifically, </w:t>
      </w:r>
      <w:r w:rsidR="00E51524" w:rsidRPr="00F378C5">
        <w:rPr>
          <w:iCs/>
          <w:sz w:val="22"/>
          <w:szCs w:val="22"/>
        </w:rPr>
        <w:t>S</w:t>
      </w:r>
      <w:r w:rsidRPr="00F378C5">
        <w:rPr>
          <w:iCs/>
          <w:sz w:val="22"/>
          <w:szCs w:val="22"/>
        </w:rPr>
        <w:t xml:space="preserve">chedules 1, 2, 3 and 5 of the </w:t>
      </w:r>
      <w:r w:rsidR="001F0AFA" w:rsidRPr="00F378C5">
        <w:rPr>
          <w:iCs/>
          <w:sz w:val="22"/>
          <w:szCs w:val="22"/>
        </w:rPr>
        <w:t>Principal</w:t>
      </w:r>
      <w:r w:rsidRPr="00F378C5">
        <w:rPr>
          <w:iCs/>
          <w:sz w:val="22"/>
          <w:szCs w:val="22"/>
        </w:rPr>
        <w:t xml:space="preserve"> Determination identify the pharmaceutical benefits and ingredients in relation to which particular rules, as outlined in the </w:t>
      </w:r>
      <w:r w:rsidRPr="00F378C5">
        <w:rPr>
          <w:i/>
          <w:iCs/>
          <w:sz w:val="22"/>
          <w:szCs w:val="22"/>
        </w:rPr>
        <w:t>Commonwealth price (Pharmaceutical benefits supplied by approved pharmacists) Determination 2015</w:t>
      </w:r>
      <w:r w:rsidRPr="00F378C5">
        <w:rPr>
          <w:iCs/>
          <w:sz w:val="22"/>
          <w:szCs w:val="22"/>
        </w:rPr>
        <w:t>, for ascertaining the Commonwealth price apply.</w:t>
      </w:r>
    </w:p>
    <w:p w14:paraId="5F63FCFA" w14:textId="77777777" w:rsidR="00243411" w:rsidRPr="00F378C5" w:rsidRDefault="00243411" w:rsidP="00243411">
      <w:pPr>
        <w:spacing w:before="180" w:after="180"/>
        <w:rPr>
          <w:b/>
          <w:iCs/>
          <w:sz w:val="22"/>
          <w:szCs w:val="22"/>
        </w:rPr>
      </w:pPr>
      <w:r w:rsidRPr="00F378C5">
        <w:rPr>
          <w:b/>
          <w:sz w:val="22"/>
          <w:szCs w:val="22"/>
        </w:rPr>
        <w:t>Part 3 – Conditions on payments for pharmaceutical benefits supplied by approved pharmacists and approved medical</w:t>
      </w:r>
      <w:r w:rsidRPr="00F378C5">
        <w:rPr>
          <w:b/>
          <w:iCs/>
          <w:sz w:val="22"/>
          <w:szCs w:val="22"/>
        </w:rPr>
        <w:t xml:space="preserve"> practitioners </w:t>
      </w:r>
    </w:p>
    <w:p w14:paraId="19ECDF82" w14:textId="77777777" w:rsidR="00243411" w:rsidRPr="00F378C5" w:rsidRDefault="00243411" w:rsidP="00243411">
      <w:pPr>
        <w:spacing w:before="180" w:after="180"/>
        <w:rPr>
          <w:b/>
          <w:sz w:val="22"/>
          <w:szCs w:val="22"/>
        </w:rPr>
      </w:pPr>
      <w:r w:rsidRPr="00F378C5">
        <w:rPr>
          <w:b/>
          <w:sz w:val="22"/>
          <w:szCs w:val="22"/>
        </w:rPr>
        <w:t>Section 8</w:t>
      </w:r>
      <w:r w:rsidRPr="00F378C5">
        <w:rPr>
          <w:b/>
          <w:sz w:val="22"/>
          <w:szCs w:val="22"/>
        </w:rPr>
        <w:tab/>
        <w:t xml:space="preserve">Scope of this Part </w:t>
      </w:r>
    </w:p>
    <w:p w14:paraId="2F474C27" w14:textId="77777777" w:rsidR="00243411" w:rsidRPr="00F378C5" w:rsidRDefault="00243411" w:rsidP="00243411">
      <w:pPr>
        <w:spacing w:before="180" w:after="180"/>
        <w:rPr>
          <w:sz w:val="22"/>
          <w:szCs w:val="22"/>
        </w:rPr>
      </w:pPr>
      <w:r w:rsidRPr="00F378C5">
        <w:rPr>
          <w:sz w:val="22"/>
          <w:szCs w:val="22"/>
        </w:rPr>
        <w:t xml:space="preserve">This section explains that Part 3 sets out the conditions subject to which payments will be made by the Commonwealth for the supply of pharmaceutical benefits by approved pharmacists and approved medical practitioners. </w:t>
      </w:r>
    </w:p>
    <w:p w14:paraId="5D414A69" w14:textId="77777777" w:rsidR="00243411" w:rsidRPr="00F378C5" w:rsidRDefault="00243411" w:rsidP="00243411">
      <w:pPr>
        <w:spacing w:before="180" w:after="180"/>
        <w:rPr>
          <w:sz w:val="22"/>
          <w:szCs w:val="22"/>
        </w:rPr>
      </w:pPr>
      <w:r w:rsidRPr="00F378C5">
        <w:rPr>
          <w:b/>
          <w:sz w:val="22"/>
          <w:szCs w:val="22"/>
        </w:rPr>
        <w:t>Section 9</w:t>
      </w:r>
      <w:r w:rsidRPr="00F378C5">
        <w:rPr>
          <w:b/>
          <w:sz w:val="22"/>
          <w:szCs w:val="22"/>
        </w:rPr>
        <w:tab/>
        <w:t>Condition on payment for supply of certain pharmaceutical items</w:t>
      </w:r>
    </w:p>
    <w:p w14:paraId="2CD07A9C" w14:textId="77777777" w:rsidR="00243411" w:rsidRPr="00F378C5" w:rsidRDefault="00243411" w:rsidP="00243411">
      <w:pPr>
        <w:spacing w:before="180" w:after="180"/>
        <w:rPr>
          <w:sz w:val="22"/>
          <w:szCs w:val="22"/>
        </w:rPr>
      </w:pPr>
      <w:r w:rsidRPr="00F378C5">
        <w:rPr>
          <w:sz w:val="22"/>
          <w:szCs w:val="22"/>
        </w:rPr>
        <w:t xml:space="preserve">This section provides that where a determination under subsection 85(6) of the Act is in force for a brand of a pharmaceutical item, payments will be made by the Commonwealth in respect of the supply of the drug or preparation only if that brand is supplied. Subsection 85(6) provides that the Minister may, by legislative instrument, determine a brand of pharmaceutical item. </w:t>
      </w:r>
    </w:p>
    <w:p w14:paraId="54FC6BB1" w14:textId="77777777" w:rsidR="00243411" w:rsidRPr="00F378C5" w:rsidRDefault="00243411" w:rsidP="00243411">
      <w:pPr>
        <w:spacing w:before="180" w:after="180"/>
        <w:rPr>
          <w:sz w:val="22"/>
          <w:szCs w:val="22"/>
        </w:rPr>
      </w:pPr>
      <w:r w:rsidRPr="00F378C5">
        <w:rPr>
          <w:b/>
          <w:sz w:val="22"/>
          <w:szCs w:val="22"/>
        </w:rPr>
        <w:t>Section 10</w:t>
      </w:r>
      <w:r w:rsidRPr="00F378C5">
        <w:rPr>
          <w:b/>
          <w:sz w:val="22"/>
          <w:szCs w:val="22"/>
        </w:rPr>
        <w:tab/>
        <w:t>Payment for supply of certain pharmaceutical benefits in complete packs</w:t>
      </w:r>
    </w:p>
    <w:p w14:paraId="72BC47E7" w14:textId="77777777" w:rsidR="00243411" w:rsidRPr="00F378C5" w:rsidRDefault="00243411" w:rsidP="00243411">
      <w:pPr>
        <w:spacing w:before="180" w:after="180"/>
        <w:rPr>
          <w:sz w:val="22"/>
          <w:szCs w:val="22"/>
        </w:rPr>
      </w:pPr>
      <w:r w:rsidRPr="00F378C5">
        <w:rPr>
          <w:sz w:val="22"/>
          <w:szCs w:val="22"/>
        </w:rPr>
        <w:t xml:space="preserve">This section provides that payments will be made by the Commonwealth in respect of the supply of a listed drug in a form described in columns 1 and 2 of an item of Schedule 4 only where the quantity supplied is the quantity contained in a unit of the size described in column 2 of the item. This applies even if the prescription for the supply is for supply of a lesser quantity. </w:t>
      </w:r>
    </w:p>
    <w:p w14:paraId="3C1F6A9F" w14:textId="77777777" w:rsidR="00243411" w:rsidRPr="00F378C5" w:rsidRDefault="00243411" w:rsidP="00243411">
      <w:pPr>
        <w:spacing w:before="180" w:after="180"/>
        <w:rPr>
          <w:sz w:val="22"/>
          <w:szCs w:val="22"/>
        </w:rPr>
      </w:pPr>
      <w:r w:rsidRPr="00F378C5">
        <w:rPr>
          <w:b/>
          <w:sz w:val="22"/>
          <w:szCs w:val="22"/>
        </w:rPr>
        <w:t>Schedules</w:t>
      </w:r>
    </w:p>
    <w:p w14:paraId="1C4A196D" w14:textId="13D92F95" w:rsidR="00243411" w:rsidRPr="00F378C5" w:rsidRDefault="00243411" w:rsidP="00243411">
      <w:pPr>
        <w:spacing w:before="180" w:after="180"/>
        <w:rPr>
          <w:sz w:val="22"/>
          <w:szCs w:val="22"/>
        </w:rPr>
      </w:pPr>
      <w:r w:rsidRPr="00F378C5">
        <w:rPr>
          <w:sz w:val="22"/>
          <w:szCs w:val="22"/>
        </w:rPr>
        <w:t xml:space="preserve">Schedules in the </w:t>
      </w:r>
      <w:r w:rsidR="001F0AFA" w:rsidRPr="00F378C5">
        <w:rPr>
          <w:sz w:val="22"/>
          <w:szCs w:val="22"/>
        </w:rPr>
        <w:t>Principal</w:t>
      </w:r>
      <w:r w:rsidRPr="00F378C5">
        <w:rPr>
          <w:sz w:val="22"/>
          <w:szCs w:val="22"/>
        </w:rPr>
        <w:t xml:space="preserve"> Determination reflect the order and content in the 98C(1)(a) Determination. </w:t>
      </w:r>
    </w:p>
    <w:p w14:paraId="61BE1EE5" w14:textId="77777777" w:rsidR="00243411" w:rsidRPr="00F378C5" w:rsidRDefault="00243411" w:rsidP="00243411">
      <w:pPr>
        <w:tabs>
          <w:tab w:val="left" w:pos="1418"/>
        </w:tabs>
        <w:spacing w:before="180" w:after="180"/>
        <w:ind w:left="1418" w:hanging="1418"/>
        <w:rPr>
          <w:sz w:val="22"/>
          <w:szCs w:val="22"/>
        </w:rPr>
      </w:pPr>
      <w:r w:rsidRPr="00F378C5">
        <w:rPr>
          <w:b/>
          <w:sz w:val="22"/>
          <w:szCs w:val="22"/>
        </w:rPr>
        <w:t>Schedule 1</w:t>
      </w:r>
      <w:r w:rsidRPr="00F378C5">
        <w:rPr>
          <w:b/>
          <w:sz w:val="22"/>
          <w:szCs w:val="22"/>
        </w:rPr>
        <w:tab/>
        <w:t>Ready-prepared pharmaceutical benefits that are mixtures of ready-prepared ingredients</w:t>
      </w:r>
    </w:p>
    <w:p w14:paraId="55B42F27" w14:textId="77777777" w:rsidR="00243411" w:rsidRPr="00F378C5" w:rsidRDefault="00243411" w:rsidP="00243411">
      <w:pPr>
        <w:spacing w:before="180" w:after="180"/>
        <w:rPr>
          <w:sz w:val="22"/>
          <w:szCs w:val="22"/>
        </w:rPr>
      </w:pPr>
      <w:r w:rsidRPr="00F378C5">
        <w:rPr>
          <w:sz w:val="22"/>
          <w:szCs w:val="22"/>
        </w:rPr>
        <w:t xml:space="preserve">Schedule 1 identifies the ready-prepared pharmaceutical benefits that comprises the mixture of ready-prepared ingredients which the rules for ascertaining the Commonwealth price, as outlined in the </w:t>
      </w:r>
      <w:r w:rsidRPr="00F378C5">
        <w:rPr>
          <w:i/>
          <w:sz w:val="22"/>
          <w:szCs w:val="22"/>
        </w:rPr>
        <w:t>Commonwealth price (Pharmaceutical benefits supplied by approved pharmacists) Determination 2015</w:t>
      </w:r>
      <w:r w:rsidRPr="00F378C5">
        <w:rPr>
          <w:sz w:val="22"/>
          <w:szCs w:val="22"/>
        </w:rPr>
        <w:t>, apply to.</w:t>
      </w:r>
    </w:p>
    <w:p w14:paraId="7C81BD96" w14:textId="77777777" w:rsidR="00243411" w:rsidRPr="00F378C5" w:rsidRDefault="00243411" w:rsidP="00243411">
      <w:pPr>
        <w:tabs>
          <w:tab w:val="left" w:pos="1418"/>
        </w:tabs>
        <w:spacing w:before="180" w:after="180"/>
        <w:ind w:left="1418" w:hanging="1418"/>
        <w:rPr>
          <w:b/>
          <w:sz w:val="22"/>
          <w:szCs w:val="22"/>
        </w:rPr>
      </w:pPr>
      <w:r w:rsidRPr="00F378C5">
        <w:rPr>
          <w:b/>
          <w:sz w:val="22"/>
          <w:szCs w:val="22"/>
        </w:rPr>
        <w:t>Schedule 2</w:t>
      </w:r>
      <w:r w:rsidRPr="00F378C5">
        <w:rPr>
          <w:b/>
          <w:sz w:val="22"/>
          <w:szCs w:val="22"/>
        </w:rPr>
        <w:tab/>
        <w:t>Unstable or sterile ingredients used for extemporaneously-prepared pharmaceutical benefits</w:t>
      </w:r>
    </w:p>
    <w:p w14:paraId="476DC258" w14:textId="6F37F8EF" w:rsidR="00243411" w:rsidRPr="00F378C5" w:rsidRDefault="00243411" w:rsidP="00243411">
      <w:pPr>
        <w:spacing w:before="180" w:after="180"/>
        <w:rPr>
          <w:sz w:val="22"/>
          <w:szCs w:val="22"/>
        </w:rPr>
      </w:pPr>
      <w:r w:rsidRPr="00F378C5">
        <w:rPr>
          <w:sz w:val="22"/>
          <w:szCs w:val="22"/>
        </w:rPr>
        <w:t xml:space="preserve">Schedule 2 identifies the unstable or sterile ingredients used for extemporaneously-prepared pharmaceutical benefits which the rules for ascertaining the Commonwealth price, as outlined in the </w:t>
      </w:r>
      <w:r w:rsidRPr="00F378C5">
        <w:rPr>
          <w:i/>
          <w:sz w:val="22"/>
          <w:szCs w:val="22"/>
        </w:rPr>
        <w:lastRenderedPageBreak/>
        <w:t>Commonwealth price (Pharmaceutical benefits supplied by approved pharmacists) Determination 2015</w:t>
      </w:r>
      <w:r w:rsidRPr="00F378C5">
        <w:rPr>
          <w:sz w:val="22"/>
          <w:szCs w:val="22"/>
        </w:rPr>
        <w:t>, apply to.</w:t>
      </w:r>
    </w:p>
    <w:p w14:paraId="58C5806F" w14:textId="77777777" w:rsidR="00243411" w:rsidRPr="00F378C5" w:rsidRDefault="00243411" w:rsidP="00243411">
      <w:pPr>
        <w:spacing w:before="180" w:after="180"/>
        <w:rPr>
          <w:sz w:val="22"/>
          <w:szCs w:val="22"/>
        </w:rPr>
      </w:pPr>
      <w:r w:rsidRPr="00F378C5">
        <w:rPr>
          <w:b/>
          <w:sz w:val="22"/>
          <w:szCs w:val="22"/>
        </w:rPr>
        <w:t>Schedule 3</w:t>
      </w:r>
      <w:r w:rsidRPr="00F378C5">
        <w:rPr>
          <w:b/>
          <w:sz w:val="22"/>
          <w:szCs w:val="22"/>
        </w:rPr>
        <w:tab/>
        <w:t>Pharmaceutical benefits for which a dangerous drug fee applies</w:t>
      </w:r>
    </w:p>
    <w:p w14:paraId="2BDD13B1" w14:textId="3C0DEEB2" w:rsidR="00243411" w:rsidRPr="00F378C5" w:rsidRDefault="00243411" w:rsidP="00243411">
      <w:pPr>
        <w:spacing w:before="180" w:after="180"/>
        <w:rPr>
          <w:sz w:val="22"/>
          <w:szCs w:val="22"/>
        </w:rPr>
      </w:pPr>
      <w:r w:rsidRPr="00F378C5">
        <w:rPr>
          <w:sz w:val="22"/>
          <w:szCs w:val="22"/>
        </w:rPr>
        <w:t xml:space="preserve">Schedule 3 identifies the pharmaceutical benefits for which a dangerous drug fee applies. This relates to the rules for ascertaining the Commonwealth price, as outlined in the </w:t>
      </w:r>
      <w:r w:rsidRPr="00F378C5">
        <w:rPr>
          <w:i/>
          <w:sz w:val="22"/>
          <w:szCs w:val="22"/>
        </w:rPr>
        <w:t>Commonwealth price (Pharmaceutical benefits supplied by approved pharmacists) Determination 2015</w:t>
      </w:r>
      <w:r w:rsidRPr="00F378C5">
        <w:rPr>
          <w:sz w:val="22"/>
          <w:szCs w:val="22"/>
        </w:rPr>
        <w:t>.</w:t>
      </w:r>
    </w:p>
    <w:p w14:paraId="5B494052" w14:textId="77777777" w:rsidR="00243411" w:rsidRPr="00F378C5" w:rsidRDefault="00243411" w:rsidP="00243411">
      <w:pPr>
        <w:spacing w:before="180" w:after="180"/>
        <w:rPr>
          <w:sz w:val="22"/>
          <w:szCs w:val="22"/>
        </w:rPr>
      </w:pPr>
      <w:r w:rsidRPr="00F378C5">
        <w:rPr>
          <w:b/>
          <w:sz w:val="22"/>
          <w:szCs w:val="22"/>
        </w:rPr>
        <w:t>Schedule 4</w:t>
      </w:r>
      <w:r w:rsidRPr="00F378C5">
        <w:rPr>
          <w:b/>
          <w:sz w:val="22"/>
          <w:szCs w:val="22"/>
        </w:rPr>
        <w:tab/>
        <w:t xml:space="preserve">Pharmaceutical benefits to be supplied as complete packs only </w:t>
      </w:r>
    </w:p>
    <w:p w14:paraId="24356D85" w14:textId="7AE1FAFE" w:rsidR="00243411" w:rsidRPr="00F378C5" w:rsidRDefault="00243411" w:rsidP="00243411">
      <w:pPr>
        <w:spacing w:before="180" w:after="180"/>
        <w:rPr>
          <w:sz w:val="22"/>
          <w:szCs w:val="22"/>
        </w:rPr>
      </w:pPr>
      <w:r w:rsidRPr="00F378C5">
        <w:rPr>
          <w:sz w:val="22"/>
          <w:szCs w:val="22"/>
        </w:rPr>
        <w:t xml:space="preserve">Schedule 4 identifies the </w:t>
      </w:r>
      <w:r w:rsidR="0033308A" w:rsidRPr="00F378C5">
        <w:rPr>
          <w:sz w:val="22"/>
          <w:szCs w:val="22"/>
        </w:rPr>
        <w:t xml:space="preserve">listed </w:t>
      </w:r>
      <w:r w:rsidR="0015230E" w:rsidRPr="00F378C5">
        <w:rPr>
          <w:sz w:val="22"/>
          <w:szCs w:val="22"/>
        </w:rPr>
        <w:t>drugs for</w:t>
      </w:r>
      <w:r w:rsidR="0033308A" w:rsidRPr="00F378C5">
        <w:rPr>
          <w:sz w:val="22"/>
          <w:szCs w:val="22"/>
        </w:rPr>
        <w:t xml:space="preserve"> which payments will be made by the Commonwealth in respect of their supply only if they are supplied as complete packs</w:t>
      </w:r>
      <w:r w:rsidRPr="00F378C5">
        <w:rPr>
          <w:sz w:val="22"/>
          <w:szCs w:val="22"/>
        </w:rPr>
        <w:t xml:space="preserve">. This relates to section 10 of the </w:t>
      </w:r>
      <w:r w:rsidR="001F0AFA" w:rsidRPr="00F378C5">
        <w:rPr>
          <w:sz w:val="22"/>
          <w:szCs w:val="22"/>
        </w:rPr>
        <w:t>Principal</w:t>
      </w:r>
      <w:r w:rsidRPr="00F378C5">
        <w:rPr>
          <w:sz w:val="22"/>
          <w:szCs w:val="22"/>
        </w:rPr>
        <w:t xml:space="preserve"> Determination, which states that payments will be made by the Commonwealth in respect of the supply of a listed drug in this Schedule only if the quantity supplied reflects the quantity contained in a unit of the size described in column 2 of this Schedule. </w:t>
      </w:r>
    </w:p>
    <w:p w14:paraId="30B75817" w14:textId="77777777" w:rsidR="00243411" w:rsidRPr="00F378C5" w:rsidRDefault="00243411" w:rsidP="00243411">
      <w:pPr>
        <w:spacing w:before="180" w:after="180"/>
        <w:rPr>
          <w:sz w:val="22"/>
          <w:szCs w:val="22"/>
        </w:rPr>
      </w:pPr>
      <w:r w:rsidRPr="00F378C5">
        <w:rPr>
          <w:b/>
          <w:sz w:val="22"/>
          <w:szCs w:val="22"/>
        </w:rPr>
        <w:t>Schedule 5</w:t>
      </w:r>
      <w:r w:rsidRPr="00F378C5">
        <w:rPr>
          <w:b/>
          <w:sz w:val="22"/>
          <w:szCs w:val="22"/>
        </w:rPr>
        <w:tab/>
        <w:t xml:space="preserve">Standard formula preparations </w:t>
      </w:r>
    </w:p>
    <w:p w14:paraId="04BB3CDB" w14:textId="279C49B4" w:rsidR="00243411" w:rsidRPr="00F378C5" w:rsidRDefault="00243411" w:rsidP="00243411">
      <w:pPr>
        <w:spacing w:before="180" w:after="180"/>
        <w:rPr>
          <w:sz w:val="22"/>
          <w:szCs w:val="22"/>
        </w:rPr>
      </w:pPr>
      <w:r w:rsidRPr="00F378C5">
        <w:rPr>
          <w:sz w:val="22"/>
          <w:szCs w:val="22"/>
        </w:rPr>
        <w:t xml:space="preserve">Schedule 5 identifies the extemporaneously-prepared pharmaceutical benefits which are standard formula preparations for the purposes of ascertaining the Commonwealth price, as outlined in the rules contained in the </w:t>
      </w:r>
      <w:r w:rsidRPr="00F378C5">
        <w:rPr>
          <w:i/>
          <w:sz w:val="22"/>
          <w:szCs w:val="22"/>
        </w:rPr>
        <w:t>Commonwealth price (Pharmaceutical benefits supplied by approved pharmacists) Determination 2015</w:t>
      </w:r>
      <w:r w:rsidRPr="00F378C5">
        <w:rPr>
          <w:sz w:val="22"/>
          <w:szCs w:val="22"/>
        </w:rPr>
        <w:t>.</w:t>
      </w:r>
      <w:r w:rsidR="007E04A5" w:rsidRPr="00F378C5">
        <w:rPr>
          <w:sz w:val="22"/>
          <w:szCs w:val="22"/>
        </w:rPr>
        <w:t xml:space="preserve"> </w:t>
      </w:r>
      <w:r w:rsidR="00CF2FE0" w:rsidRPr="00F378C5">
        <w:rPr>
          <w:sz w:val="22"/>
          <w:szCs w:val="22"/>
        </w:rPr>
        <w:t xml:space="preserve">Column 3 of schedule 5 refers to the following relevant Pharmaceutical Reference Standards: </w:t>
      </w:r>
      <w:r w:rsidR="00A84555" w:rsidRPr="00F378C5">
        <w:rPr>
          <w:sz w:val="22"/>
          <w:szCs w:val="22"/>
        </w:rPr>
        <w:t xml:space="preserve">Australian Pharmaceutical Formulary (APF); British Pharmacopoeia (BP); British Pharmaceutical Codex (BPC) and Queensland Hospital Formulary (QHF). </w:t>
      </w:r>
      <w:r w:rsidR="0061759D" w:rsidRPr="00F378C5">
        <w:rPr>
          <w:sz w:val="22"/>
          <w:szCs w:val="22"/>
        </w:rPr>
        <w:t>These standards are</w:t>
      </w:r>
      <w:r w:rsidR="007E04A5" w:rsidRPr="00F378C5">
        <w:rPr>
          <w:sz w:val="22"/>
          <w:szCs w:val="22"/>
        </w:rPr>
        <w:t xml:space="preserve"> incorporated</w:t>
      </w:r>
      <w:r w:rsidR="00306F1C" w:rsidRPr="00F378C5">
        <w:rPr>
          <w:sz w:val="22"/>
          <w:szCs w:val="22"/>
        </w:rPr>
        <w:t xml:space="preserve"> </w:t>
      </w:r>
      <w:r w:rsidR="00E020EF" w:rsidRPr="00F378C5">
        <w:rPr>
          <w:sz w:val="22"/>
          <w:szCs w:val="22"/>
        </w:rPr>
        <w:t>as in force at the</w:t>
      </w:r>
      <w:r w:rsidR="007E04A5" w:rsidRPr="00F378C5">
        <w:rPr>
          <w:sz w:val="22"/>
          <w:szCs w:val="22"/>
        </w:rPr>
        <w:t xml:space="preserve"> time of commencement of this Determination</w:t>
      </w:r>
      <w:r w:rsidR="00721691" w:rsidRPr="00F378C5">
        <w:rPr>
          <w:sz w:val="22"/>
          <w:szCs w:val="22"/>
        </w:rPr>
        <w:t xml:space="preserve"> and are available on a subscription basis only</w:t>
      </w:r>
      <w:r w:rsidR="007E04A5" w:rsidRPr="00F378C5">
        <w:rPr>
          <w:sz w:val="22"/>
          <w:szCs w:val="22"/>
        </w:rPr>
        <w:t>.</w:t>
      </w:r>
      <w:r w:rsidR="00721691" w:rsidRPr="00F378C5">
        <w:rPr>
          <w:sz w:val="22"/>
          <w:szCs w:val="22"/>
        </w:rPr>
        <w:t xml:space="preserve"> The Standards are a specialised scientific tool used by practitioners, who will have subscription access to the Standards they use. </w:t>
      </w:r>
      <w:r w:rsidR="00707D65" w:rsidRPr="00F378C5">
        <w:rPr>
          <w:sz w:val="22"/>
          <w:szCs w:val="22"/>
        </w:rPr>
        <w:t>Any changes to the standard after the commencement of this Determination will not be incorporated or applied by this Determination.</w:t>
      </w:r>
    </w:p>
    <w:p w14:paraId="31C43A1C" w14:textId="3261514D" w:rsidR="00C23A41" w:rsidRPr="00F378C5" w:rsidRDefault="00C23A41" w:rsidP="00243411">
      <w:pPr>
        <w:spacing w:before="180" w:after="180"/>
        <w:rPr>
          <w:sz w:val="22"/>
          <w:szCs w:val="22"/>
        </w:rPr>
      </w:pPr>
      <w:r w:rsidRPr="00F378C5">
        <w:rPr>
          <w:b/>
          <w:sz w:val="22"/>
          <w:szCs w:val="22"/>
        </w:rPr>
        <w:t xml:space="preserve">Schedule 6 </w:t>
      </w:r>
      <w:r w:rsidRPr="00F378C5">
        <w:rPr>
          <w:b/>
          <w:sz w:val="22"/>
          <w:szCs w:val="22"/>
        </w:rPr>
        <w:tab/>
        <w:t>Repeals</w:t>
      </w:r>
    </w:p>
    <w:p w14:paraId="3D3FA058" w14:textId="0E310747" w:rsidR="00413D75" w:rsidRPr="00F378C5" w:rsidRDefault="00413D75" w:rsidP="00413D75">
      <w:pPr>
        <w:spacing w:before="180" w:after="180"/>
        <w:rPr>
          <w:sz w:val="22"/>
          <w:szCs w:val="22"/>
        </w:rPr>
      </w:pPr>
      <w:r w:rsidRPr="00F378C5">
        <w:rPr>
          <w:sz w:val="22"/>
          <w:szCs w:val="22"/>
        </w:rPr>
        <w:t xml:space="preserve">Schedule 6 repeals both the </w:t>
      </w:r>
      <w:r w:rsidRPr="00F378C5">
        <w:rPr>
          <w:i/>
          <w:sz w:val="22"/>
          <w:szCs w:val="22"/>
        </w:rPr>
        <w:t xml:space="preserve">Commonwealth Price (Pharmaceutical Benefits Supplied </w:t>
      </w:r>
      <w:proofErr w:type="gramStart"/>
      <w:r w:rsidRPr="00F378C5">
        <w:rPr>
          <w:i/>
          <w:sz w:val="22"/>
          <w:szCs w:val="22"/>
        </w:rPr>
        <w:t>By</w:t>
      </w:r>
      <w:proofErr w:type="gramEnd"/>
      <w:r w:rsidRPr="00F378C5">
        <w:rPr>
          <w:i/>
          <w:sz w:val="22"/>
          <w:szCs w:val="22"/>
        </w:rPr>
        <w:t xml:space="preserve"> Approved Medical Practitioners) Determination 2010</w:t>
      </w:r>
      <w:r w:rsidRPr="00F378C5">
        <w:rPr>
          <w:sz w:val="22"/>
          <w:szCs w:val="22"/>
        </w:rPr>
        <w:t xml:space="preserve"> and the </w:t>
      </w:r>
      <w:r w:rsidR="00F90065" w:rsidRPr="00F378C5">
        <w:rPr>
          <w:i/>
          <w:sz w:val="22"/>
          <w:szCs w:val="22"/>
        </w:rPr>
        <w:t>Determinat</w:t>
      </w:r>
      <w:r w:rsidR="00D754D0" w:rsidRPr="00F378C5">
        <w:rPr>
          <w:i/>
          <w:sz w:val="22"/>
          <w:szCs w:val="22"/>
        </w:rPr>
        <w:t>ion – Conditions (PB 119 of 2008) (Federal Register of Legislation No. F2019C00881)</w:t>
      </w:r>
      <w:r w:rsidR="00D754D0" w:rsidRPr="00F378C5">
        <w:rPr>
          <w:sz w:val="22"/>
          <w:szCs w:val="22"/>
        </w:rPr>
        <w:t xml:space="preserve">. </w:t>
      </w:r>
      <w:r w:rsidRPr="00F378C5">
        <w:rPr>
          <w:sz w:val="22"/>
          <w:szCs w:val="22"/>
        </w:rPr>
        <w:t xml:space="preserve"> </w:t>
      </w:r>
    </w:p>
    <w:p w14:paraId="38B1A672" w14:textId="77777777" w:rsidR="00413D75" w:rsidRPr="00F378C5" w:rsidRDefault="00413D75" w:rsidP="00243411">
      <w:pPr>
        <w:spacing w:before="180" w:after="180"/>
        <w:rPr>
          <w:sz w:val="22"/>
          <w:szCs w:val="22"/>
        </w:rPr>
      </w:pPr>
    </w:p>
    <w:p w14:paraId="5E546B9F" w14:textId="30D3F97A" w:rsidR="00A02AA6" w:rsidRPr="00F378C5" w:rsidRDefault="00A02AA6" w:rsidP="00E0197C">
      <w:pPr>
        <w:spacing w:before="360" w:after="120"/>
        <w:jc w:val="center"/>
      </w:pPr>
    </w:p>
    <w:p w14:paraId="55085288" w14:textId="64F5469B" w:rsidR="00C34646" w:rsidRPr="00F378C5" w:rsidRDefault="00C34646" w:rsidP="00C34646">
      <w:pPr>
        <w:sectPr w:rsidR="00C34646" w:rsidRPr="00F378C5" w:rsidSect="00FE76D6">
          <w:headerReference w:type="default" r:id="rId8"/>
          <w:pgSz w:w="11906" w:h="16838" w:code="9"/>
          <w:pgMar w:top="1440" w:right="1416" w:bottom="1440" w:left="1418" w:header="709" w:footer="709" w:gutter="0"/>
          <w:cols w:space="708"/>
          <w:titlePg/>
          <w:docGrid w:linePitch="360"/>
        </w:sectPr>
      </w:pPr>
      <w:r w:rsidRPr="00F378C5">
        <w:br w:type="page"/>
      </w:r>
    </w:p>
    <w:p w14:paraId="5731E960" w14:textId="4CFF2609" w:rsidR="00E0197C" w:rsidRPr="00F378C5" w:rsidRDefault="00E0197C" w:rsidP="00C061B1">
      <w:pPr>
        <w:spacing w:before="120" w:after="120"/>
        <w:jc w:val="center"/>
        <w:rPr>
          <w:b/>
          <w:sz w:val="28"/>
          <w:szCs w:val="28"/>
        </w:rPr>
      </w:pPr>
      <w:r w:rsidRPr="00F378C5">
        <w:rPr>
          <w:b/>
          <w:sz w:val="28"/>
          <w:szCs w:val="28"/>
        </w:rPr>
        <w:lastRenderedPageBreak/>
        <w:t>Statement of Compatibility with Human Rights</w:t>
      </w:r>
    </w:p>
    <w:p w14:paraId="30D2EDB4" w14:textId="77777777" w:rsidR="00E0197C" w:rsidRPr="00F378C5" w:rsidRDefault="00E0197C" w:rsidP="00E0197C">
      <w:pPr>
        <w:spacing w:before="120" w:after="120"/>
        <w:jc w:val="center"/>
      </w:pPr>
      <w:r w:rsidRPr="00F378C5">
        <w:rPr>
          <w:i/>
        </w:rPr>
        <w:t>Prepared in accordance with Part 3 of the Human Rights (Parliamentary Scrutiny) Act 2011</w:t>
      </w:r>
    </w:p>
    <w:p w14:paraId="1640C97C" w14:textId="2B5E6803" w:rsidR="00E0197C" w:rsidRPr="00F378C5" w:rsidRDefault="00565A82" w:rsidP="00E0197C">
      <w:pPr>
        <w:spacing w:after="120"/>
        <w:jc w:val="center"/>
        <w:rPr>
          <w:b/>
          <w:bCs/>
          <w:i/>
          <w:caps/>
        </w:rPr>
      </w:pPr>
      <w:r w:rsidRPr="00F378C5">
        <w:rPr>
          <w:b/>
          <w:bCs/>
          <w:i/>
          <w:sz w:val="22"/>
          <w:szCs w:val="22"/>
        </w:rPr>
        <w:t>National Health (Commonwealth Price and Conditions for Commonwealth Payments for Supply of Pharmaceutical Benefits) Determination 2019</w:t>
      </w:r>
    </w:p>
    <w:p w14:paraId="3829BC9E" w14:textId="1D32FDDE" w:rsidR="00E0197C" w:rsidRPr="00F378C5" w:rsidRDefault="00E0197C" w:rsidP="0062138A">
      <w:pPr>
        <w:spacing w:after="120"/>
      </w:pPr>
      <w:r w:rsidRPr="00F378C5">
        <w:t xml:space="preserve">This </w:t>
      </w:r>
      <w:r w:rsidR="00613213" w:rsidRPr="00F378C5">
        <w:t>l</w:t>
      </w:r>
      <w:r w:rsidRPr="00F378C5">
        <w:t xml:space="preserve">egislative </w:t>
      </w:r>
      <w:r w:rsidR="00613213" w:rsidRPr="00F378C5">
        <w:t>i</w:t>
      </w:r>
      <w:r w:rsidRPr="00F378C5">
        <w:t xml:space="preserve">nstrument is compatible with the human rights and freedoms recognised or declared in the international instruments listed in section 3 of the </w:t>
      </w:r>
      <w:r w:rsidRPr="00F378C5">
        <w:rPr>
          <w:i/>
        </w:rPr>
        <w:t>Human Rights (Parliamentary</w:t>
      </w:r>
      <w:r w:rsidR="008B3CBA" w:rsidRPr="00F378C5">
        <w:rPr>
          <w:i/>
        </w:rPr>
        <w:t> </w:t>
      </w:r>
      <w:r w:rsidRPr="00F378C5">
        <w:rPr>
          <w:i/>
        </w:rPr>
        <w:t>Scrutiny) Act 2011</w:t>
      </w:r>
      <w:r w:rsidRPr="00F378C5">
        <w:t>.</w:t>
      </w:r>
    </w:p>
    <w:p w14:paraId="6553CCEF" w14:textId="77777777" w:rsidR="00FE76D6" w:rsidRPr="00F378C5" w:rsidRDefault="00FE76D6" w:rsidP="00C061B1">
      <w:pPr>
        <w:spacing w:before="120"/>
        <w:jc w:val="center"/>
        <w:rPr>
          <w:sz w:val="20"/>
        </w:rPr>
      </w:pPr>
    </w:p>
    <w:p w14:paraId="3435D124" w14:textId="6C5F3896" w:rsidR="00E0197C" w:rsidRPr="00F378C5" w:rsidRDefault="00E0197C" w:rsidP="00C061B1">
      <w:pPr>
        <w:spacing w:after="120"/>
        <w:jc w:val="both"/>
        <w:rPr>
          <w:b/>
        </w:rPr>
      </w:pPr>
      <w:r w:rsidRPr="00F378C5">
        <w:rPr>
          <w:b/>
        </w:rPr>
        <w:t>Overview of t</w:t>
      </w:r>
      <w:r w:rsidR="00725D79" w:rsidRPr="00F378C5">
        <w:rPr>
          <w:b/>
        </w:rPr>
        <w:t xml:space="preserve">he </w:t>
      </w:r>
      <w:r w:rsidRPr="00F378C5">
        <w:rPr>
          <w:b/>
        </w:rPr>
        <w:t>Legislative Instrument</w:t>
      </w:r>
    </w:p>
    <w:p w14:paraId="6CEEE2CF" w14:textId="47A9C136" w:rsidR="00C87F3B" w:rsidRPr="00F378C5" w:rsidRDefault="00E0197C" w:rsidP="00C061B1">
      <w:pPr>
        <w:spacing w:before="120" w:after="180"/>
      </w:pPr>
      <w:r w:rsidRPr="00F378C5">
        <w:t xml:space="preserve">The purpose of this legislative instrument, made under subsection </w:t>
      </w:r>
      <w:proofErr w:type="gramStart"/>
      <w:r w:rsidR="00C05E92" w:rsidRPr="00F378C5">
        <w:t>98C(</w:t>
      </w:r>
      <w:proofErr w:type="gramEnd"/>
      <w:r w:rsidR="00C05E92" w:rsidRPr="00F378C5">
        <w:t>1)</w:t>
      </w:r>
      <w:r w:rsidRPr="00F378C5">
        <w:t xml:space="preserve"> of the </w:t>
      </w:r>
      <w:r w:rsidRPr="00F378C5">
        <w:rPr>
          <w:i/>
        </w:rPr>
        <w:t>National Health Act 1953</w:t>
      </w:r>
      <w:r w:rsidRPr="00F378C5">
        <w:t xml:space="preserve"> (the Act), </w:t>
      </w:r>
      <w:r w:rsidR="00786E53" w:rsidRPr="00F378C5">
        <w:t>is to remake</w:t>
      </w:r>
      <w:r w:rsidR="00531E01" w:rsidRPr="00F378C5">
        <w:t xml:space="preserve"> and improve the operation of the</w:t>
      </w:r>
      <w:r w:rsidR="00786E53" w:rsidRPr="00F378C5">
        <w:t xml:space="preserve"> current legislative instrument</w:t>
      </w:r>
      <w:r w:rsidR="00C05E92" w:rsidRPr="00F378C5">
        <w:t>s</w:t>
      </w:r>
      <w:r w:rsidR="00786E53" w:rsidRPr="00F378C5">
        <w:t xml:space="preserve"> made under this subsection to preserve its eff</w:t>
      </w:r>
      <w:r w:rsidR="00C87F3B" w:rsidRPr="00F378C5">
        <w:t>ect beyond its sunsetting date (scheduled to sunset on</w:t>
      </w:r>
      <w:r w:rsidR="00C05E92" w:rsidRPr="00F378C5">
        <w:t xml:space="preserve"> 1 April and</w:t>
      </w:r>
      <w:r w:rsidR="00C87F3B" w:rsidRPr="00F378C5">
        <w:t xml:space="preserve"> 1 October 2020). </w:t>
      </w:r>
    </w:p>
    <w:p w14:paraId="03303E1E" w14:textId="77777777" w:rsidR="00E0197C" w:rsidRPr="00F378C5" w:rsidRDefault="00E0197C" w:rsidP="00C061B1">
      <w:pPr>
        <w:rPr>
          <w:b/>
        </w:rPr>
      </w:pPr>
      <w:r w:rsidRPr="00F378C5">
        <w:rPr>
          <w:b/>
        </w:rPr>
        <w:t>Human rights implications</w:t>
      </w:r>
    </w:p>
    <w:p w14:paraId="5FD3A977" w14:textId="6ED53FB6" w:rsidR="00540241" w:rsidRPr="00F378C5" w:rsidRDefault="00E0197C" w:rsidP="00C061B1">
      <w:pPr>
        <w:spacing w:before="120" w:after="180"/>
        <w:rPr>
          <w:lang w:val="en-GB"/>
        </w:rPr>
      </w:pPr>
      <w:r w:rsidRPr="00F378C5">
        <w:rPr>
          <w:lang w:val="en-GB"/>
        </w:rPr>
        <w:t>Th</w:t>
      </w:r>
      <w:r w:rsidR="00531E01" w:rsidRPr="00F378C5">
        <w:rPr>
          <w:lang w:val="en-GB"/>
        </w:rPr>
        <w:t xml:space="preserve">e </w:t>
      </w:r>
      <w:r w:rsidR="001F0AFA" w:rsidRPr="00F378C5">
        <w:rPr>
          <w:lang w:val="en-GB"/>
        </w:rPr>
        <w:t>Principal</w:t>
      </w:r>
      <w:r w:rsidR="00B816AF" w:rsidRPr="00F378C5">
        <w:rPr>
          <w:lang w:val="en-GB"/>
        </w:rPr>
        <w:t xml:space="preserve"> Determination</w:t>
      </w:r>
      <w:r w:rsidRPr="00F378C5">
        <w:rPr>
          <w:lang w:val="en-GB"/>
        </w:rPr>
        <w:t xml:space="preserve"> engages Article</w:t>
      </w:r>
      <w:r w:rsidR="002C1E4E" w:rsidRPr="00F378C5" w:rsidDel="002C1E4E">
        <w:rPr>
          <w:lang w:val="en-GB"/>
        </w:rPr>
        <w:t xml:space="preserve"> </w:t>
      </w:r>
      <w:r w:rsidR="00540241" w:rsidRPr="00F378C5">
        <w:rPr>
          <w:lang w:val="en-GB"/>
        </w:rPr>
        <w:t>12 of the International Covenant on Economic, Social and Cultural Rights (ICESCR)</w:t>
      </w:r>
      <w:r w:rsidRPr="00F378C5">
        <w:rPr>
          <w:lang w:val="en-GB"/>
        </w:rPr>
        <w:t>.</w:t>
      </w:r>
      <w:r w:rsidR="00540241" w:rsidRPr="00F378C5">
        <w:rPr>
          <w:lang w:val="en-GB"/>
        </w:rPr>
        <w:t xml:space="preserve"> The </w:t>
      </w:r>
      <w:r w:rsidR="001F0AFA" w:rsidRPr="00F378C5">
        <w:rPr>
          <w:lang w:val="en-GB"/>
        </w:rPr>
        <w:t>Principal</w:t>
      </w:r>
      <w:r w:rsidR="00B816AF" w:rsidRPr="00F378C5">
        <w:rPr>
          <w:lang w:val="en-GB"/>
        </w:rPr>
        <w:t xml:space="preserve"> Determination </w:t>
      </w:r>
      <w:r w:rsidR="00540241" w:rsidRPr="00F378C5">
        <w:rPr>
          <w:lang w:val="en-GB"/>
        </w:rPr>
        <w:t>assists in the progressive realisation by all appropriate means of the right of everyone to the enjoyment of the highest attainable standard of physical and mental health.</w:t>
      </w:r>
    </w:p>
    <w:p w14:paraId="2FE6F464" w14:textId="6F2E8EC5" w:rsidR="005B22B8" w:rsidRPr="00F378C5" w:rsidRDefault="00540241" w:rsidP="005B22B8">
      <w:pPr>
        <w:spacing w:before="180" w:after="180"/>
        <w:rPr>
          <w:lang w:val="en-GB"/>
        </w:rPr>
      </w:pPr>
      <w:r w:rsidRPr="00F378C5">
        <w:rPr>
          <w:lang w:val="en-GB"/>
        </w:rPr>
        <w:t>The Pharmaceut</w:t>
      </w:r>
      <w:r w:rsidR="00A472A1" w:rsidRPr="00F378C5">
        <w:rPr>
          <w:lang w:val="en-GB"/>
        </w:rPr>
        <w:t>ical Benefits Scheme (PBS) is a</w:t>
      </w:r>
      <w:r w:rsidR="00B816AF" w:rsidRPr="00F378C5">
        <w:rPr>
          <w:lang w:val="en-GB"/>
        </w:rPr>
        <w:t xml:space="preserve"> </w:t>
      </w:r>
      <w:r w:rsidRPr="00F378C5">
        <w:rPr>
          <w:lang w:val="en-GB"/>
        </w:rPr>
        <w:t xml:space="preserve">benefit scheme which assists with providing subsidised access for people to medicines. This is a positive </w:t>
      </w:r>
      <w:r w:rsidR="00B816AF" w:rsidRPr="00F378C5">
        <w:rPr>
          <w:lang w:val="en-GB"/>
        </w:rPr>
        <w:t xml:space="preserve">and supportive </w:t>
      </w:r>
      <w:r w:rsidRPr="00F378C5">
        <w:rPr>
          <w:lang w:val="en-GB"/>
        </w:rPr>
        <w:t>step towards attaining the highest standard of health for all Australians. Efficient operational arrangements for PBS support effective administration of the scheme.</w:t>
      </w:r>
      <w:r w:rsidR="005B22B8" w:rsidRPr="00F378C5">
        <w:rPr>
          <w:lang w:val="en-GB"/>
        </w:rPr>
        <w:t xml:space="preserve"> The </w:t>
      </w:r>
      <w:r w:rsidR="001F0AFA" w:rsidRPr="00F378C5">
        <w:rPr>
          <w:lang w:val="en-GB"/>
        </w:rPr>
        <w:t>Principal</w:t>
      </w:r>
      <w:r w:rsidR="005B22B8" w:rsidRPr="00F378C5">
        <w:rPr>
          <w:lang w:val="en-GB"/>
        </w:rPr>
        <w:t xml:space="preserve"> Determination assists in the progressive realisation by all appropriate means of the right of everyone to the enjoyment of the highest attainable standard</w:t>
      </w:r>
      <w:r w:rsidR="00C05E92" w:rsidRPr="00F378C5">
        <w:rPr>
          <w:lang w:val="en-GB"/>
        </w:rPr>
        <w:t xml:space="preserve"> of physical and mental health.</w:t>
      </w:r>
    </w:p>
    <w:p w14:paraId="5F97FF19" w14:textId="2EBD515C" w:rsidR="00E0197C" w:rsidRPr="00F378C5" w:rsidRDefault="00E0197C" w:rsidP="005B22B8">
      <w:pPr>
        <w:spacing w:before="180" w:after="180"/>
        <w:rPr>
          <w:lang w:val="en-GB"/>
        </w:rPr>
      </w:pPr>
      <w:r w:rsidRPr="00F378C5">
        <w:rPr>
          <w:b/>
        </w:rPr>
        <w:t xml:space="preserve">Conclusion </w:t>
      </w:r>
    </w:p>
    <w:p w14:paraId="65224BCE" w14:textId="05FA1432" w:rsidR="00E0197C" w:rsidRPr="00F378C5" w:rsidRDefault="00E0197C" w:rsidP="00472C06">
      <w:pPr>
        <w:spacing w:before="120" w:after="240"/>
      </w:pPr>
      <w:r w:rsidRPr="00F378C5">
        <w:t xml:space="preserve">The </w:t>
      </w:r>
      <w:r w:rsidR="001F0AFA" w:rsidRPr="00F378C5">
        <w:t>Principal</w:t>
      </w:r>
      <w:r w:rsidR="00DD50D9" w:rsidRPr="00F378C5">
        <w:t xml:space="preserve"> Determination</w:t>
      </w:r>
      <w:r w:rsidRPr="00F378C5">
        <w:t xml:space="preserve"> is compatible with human rights</w:t>
      </w:r>
      <w:r w:rsidR="00DD50D9" w:rsidRPr="00F378C5">
        <w:t xml:space="preserve">, as they apply to Australia, as it </w:t>
      </w:r>
      <w:r w:rsidR="002C1E4E" w:rsidRPr="00F378C5">
        <w:t>supports the right to health</w:t>
      </w:r>
      <w:r w:rsidRPr="00F378C5">
        <w:t>.</w:t>
      </w:r>
    </w:p>
    <w:p w14:paraId="09B57745" w14:textId="77777777" w:rsidR="00FC7B60" w:rsidRPr="00F378C5" w:rsidRDefault="00FC7B60" w:rsidP="00472C06">
      <w:pPr>
        <w:spacing w:before="120" w:after="240"/>
      </w:pPr>
    </w:p>
    <w:p w14:paraId="6D42E906" w14:textId="2145E025" w:rsidR="002D6938" w:rsidRPr="00F378C5" w:rsidRDefault="006D7302" w:rsidP="002D6938">
      <w:pPr>
        <w:shd w:val="clear" w:color="auto" w:fill="FFFFFF"/>
        <w:jc w:val="center"/>
      </w:pPr>
      <w:r w:rsidRPr="00F378C5">
        <w:rPr>
          <w:b/>
          <w:bCs/>
        </w:rPr>
        <w:t>Adriana Platona</w:t>
      </w:r>
      <w:r w:rsidR="00C061B1" w:rsidRPr="00F378C5">
        <w:rPr>
          <w:b/>
          <w:bCs/>
        </w:rPr>
        <w:t xml:space="preserve"> </w:t>
      </w:r>
    </w:p>
    <w:p w14:paraId="056CDC32" w14:textId="57461757" w:rsidR="002D6938" w:rsidRPr="00F378C5" w:rsidRDefault="00C061B1" w:rsidP="0053744D">
      <w:pPr>
        <w:shd w:val="clear" w:color="auto" w:fill="FFFFFF"/>
        <w:jc w:val="center"/>
      </w:pPr>
      <w:r w:rsidRPr="00F378C5">
        <w:rPr>
          <w:b/>
          <w:bCs/>
        </w:rPr>
        <w:t xml:space="preserve">First </w:t>
      </w:r>
      <w:r w:rsidR="002D6938" w:rsidRPr="00F378C5">
        <w:rPr>
          <w:b/>
          <w:bCs/>
        </w:rPr>
        <w:t>Assistant Secretary</w:t>
      </w:r>
    </w:p>
    <w:p w14:paraId="34F29125" w14:textId="58B70983" w:rsidR="00CC10C9" w:rsidRPr="00F378C5" w:rsidRDefault="00CC10C9" w:rsidP="002D6938">
      <w:pPr>
        <w:shd w:val="clear" w:color="auto" w:fill="FFFFFF"/>
        <w:jc w:val="center"/>
      </w:pPr>
      <w:r w:rsidRPr="00F378C5">
        <w:rPr>
          <w:b/>
          <w:bCs/>
        </w:rPr>
        <w:t>Technology Assessment and Access Division</w:t>
      </w:r>
    </w:p>
    <w:p w14:paraId="4F40180F" w14:textId="5EED36E6" w:rsidR="00DE07DC" w:rsidRPr="00F378C5" w:rsidRDefault="002D6938" w:rsidP="00472C06">
      <w:pPr>
        <w:spacing w:after="120"/>
        <w:jc w:val="center"/>
        <w:rPr>
          <w:b/>
        </w:rPr>
      </w:pPr>
      <w:r w:rsidRPr="00F378C5">
        <w:rPr>
          <w:b/>
          <w:bCs/>
        </w:rPr>
        <w:t>Department of Health</w:t>
      </w:r>
    </w:p>
    <w:sectPr w:rsidR="00DE07DC" w:rsidRPr="00F378C5" w:rsidSect="00C061B1">
      <w:pgSz w:w="11906" w:h="16838" w:code="9"/>
      <w:pgMar w:top="1418" w:right="1416" w:bottom="1276" w:left="1418" w:header="705" w:footer="709" w:gutter="0"/>
      <w:pgBorders>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AA969" w14:textId="77777777" w:rsidR="006840A3" w:rsidRDefault="006840A3">
      <w:r>
        <w:separator/>
      </w:r>
    </w:p>
  </w:endnote>
  <w:endnote w:type="continuationSeparator" w:id="0">
    <w:p w14:paraId="47E34548" w14:textId="77777777" w:rsidR="006840A3" w:rsidRDefault="006840A3">
      <w:r>
        <w:continuationSeparator/>
      </w:r>
    </w:p>
  </w:endnote>
  <w:endnote w:type="continuationNotice" w:id="1">
    <w:p w14:paraId="2E00EDEB" w14:textId="77777777" w:rsidR="006840A3" w:rsidRDefault="00684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F312E" w14:textId="77777777" w:rsidR="006840A3" w:rsidRDefault="006840A3">
      <w:r>
        <w:separator/>
      </w:r>
    </w:p>
  </w:footnote>
  <w:footnote w:type="continuationSeparator" w:id="0">
    <w:p w14:paraId="4DED7534" w14:textId="77777777" w:rsidR="006840A3" w:rsidRDefault="006840A3">
      <w:r>
        <w:continuationSeparator/>
      </w:r>
    </w:p>
  </w:footnote>
  <w:footnote w:type="continuationNotice" w:id="1">
    <w:p w14:paraId="4E19CE5A" w14:textId="77777777" w:rsidR="006840A3" w:rsidRDefault="006840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BCDCA" w14:textId="6C180381" w:rsidR="0006637E" w:rsidRDefault="0006637E" w:rsidP="003E2E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78C5">
      <w:rPr>
        <w:rStyle w:val="PageNumber"/>
        <w:noProof/>
      </w:rPr>
      <w:t>5</w:t>
    </w:r>
    <w:r>
      <w:rPr>
        <w:rStyle w:val="PageNumber"/>
      </w:rPr>
      <w:fldChar w:fldCharType="end"/>
    </w:r>
  </w:p>
  <w:p w14:paraId="68E7D7A8" w14:textId="1EA8CD1E" w:rsidR="0006637E" w:rsidRDefault="0006637E" w:rsidP="00DE07D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470E1"/>
    <w:multiLevelType w:val="hybridMultilevel"/>
    <w:tmpl w:val="6936C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F0654E"/>
    <w:multiLevelType w:val="hybridMultilevel"/>
    <w:tmpl w:val="19A63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1D"/>
    <w:rsid w:val="0000298C"/>
    <w:rsid w:val="0000399D"/>
    <w:rsid w:val="00004FA5"/>
    <w:rsid w:val="00006F24"/>
    <w:rsid w:val="000109B5"/>
    <w:rsid w:val="0001228A"/>
    <w:rsid w:val="00023138"/>
    <w:rsid w:val="00031F80"/>
    <w:rsid w:val="00034337"/>
    <w:rsid w:val="000351DB"/>
    <w:rsid w:val="000369FF"/>
    <w:rsid w:val="00036BEF"/>
    <w:rsid w:val="00041759"/>
    <w:rsid w:val="00050010"/>
    <w:rsid w:val="00051F45"/>
    <w:rsid w:val="00064101"/>
    <w:rsid w:val="000655EC"/>
    <w:rsid w:val="0006637E"/>
    <w:rsid w:val="0007116D"/>
    <w:rsid w:val="00072662"/>
    <w:rsid w:val="00076C9A"/>
    <w:rsid w:val="000879A3"/>
    <w:rsid w:val="00095684"/>
    <w:rsid w:val="0009596A"/>
    <w:rsid w:val="0009618A"/>
    <w:rsid w:val="0009686C"/>
    <w:rsid w:val="00097B60"/>
    <w:rsid w:val="000A17C8"/>
    <w:rsid w:val="000A24B6"/>
    <w:rsid w:val="000A5318"/>
    <w:rsid w:val="000A6019"/>
    <w:rsid w:val="000B009F"/>
    <w:rsid w:val="000B0510"/>
    <w:rsid w:val="000B2D40"/>
    <w:rsid w:val="000B4E4D"/>
    <w:rsid w:val="000B5490"/>
    <w:rsid w:val="000B5D57"/>
    <w:rsid w:val="000B717B"/>
    <w:rsid w:val="000B7A5F"/>
    <w:rsid w:val="000C2AEA"/>
    <w:rsid w:val="000C301F"/>
    <w:rsid w:val="000C7E41"/>
    <w:rsid w:val="000D0429"/>
    <w:rsid w:val="000D3120"/>
    <w:rsid w:val="000D34B6"/>
    <w:rsid w:val="000E0AE8"/>
    <w:rsid w:val="000E2604"/>
    <w:rsid w:val="000E2D14"/>
    <w:rsid w:val="000E4311"/>
    <w:rsid w:val="000F3914"/>
    <w:rsid w:val="000F69DF"/>
    <w:rsid w:val="00104A76"/>
    <w:rsid w:val="00104BCB"/>
    <w:rsid w:val="0011238F"/>
    <w:rsid w:val="00113A21"/>
    <w:rsid w:val="0011403B"/>
    <w:rsid w:val="001163AA"/>
    <w:rsid w:val="00117A11"/>
    <w:rsid w:val="00121EBC"/>
    <w:rsid w:val="001321AA"/>
    <w:rsid w:val="00132BFA"/>
    <w:rsid w:val="001378D1"/>
    <w:rsid w:val="0014221E"/>
    <w:rsid w:val="0015230E"/>
    <w:rsid w:val="0015405C"/>
    <w:rsid w:val="001554E3"/>
    <w:rsid w:val="001650EF"/>
    <w:rsid w:val="00165BD3"/>
    <w:rsid w:val="001667EA"/>
    <w:rsid w:val="0017268A"/>
    <w:rsid w:val="00175001"/>
    <w:rsid w:val="00176898"/>
    <w:rsid w:val="00177DF5"/>
    <w:rsid w:val="001838BF"/>
    <w:rsid w:val="00186C73"/>
    <w:rsid w:val="00195299"/>
    <w:rsid w:val="00196AE5"/>
    <w:rsid w:val="00196C04"/>
    <w:rsid w:val="00196EC5"/>
    <w:rsid w:val="00196F0F"/>
    <w:rsid w:val="001A24B5"/>
    <w:rsid w:val="001A6B66"/>
    <w:rsid w:val="001B07F9"/>
    <w:rsid w:val="001B0A10"/>
    <w:rsid w:val="001B247A"/>
    <w:rsid w:val="001B3567"/>
    <w:rsid w:val="001B38EC"/>
    <w:rsid w:val="001B6547"/>
    <w:rsid w:val="001C0F19"/>
    <w:rsid w:val="001C386A"/>
    <w:rsid w:val="001D12E0"/>
    <w:rsid w:val="001D1347"/>
    <w:rsid w:val="001D2D80"/>
    <w:rsid w:val="001E112D"/>
    <w:rsid w:val="001E17D1"/>
    <w:rsid w:val="001E4B09"/>
    <w:rsid w:val="001E4D94"/>
    <w:rsid w:val="001E6546"/>
    <w:rsid w:val="001E68AF"/>
    <w:rsid w:val="001F0AFA"/>
    <w:rsid w:val="001F4409"/>
    <w:rsid w:val="001F4554"/>
    <w:rsid w:val="001F6553"/>
    <w:rsid w:val="001F72E5"/>
    <w:rsid w:val="00204EF2"/>
    <w:rsid w:val="002071D6"/>
    <w:rsid w:val="00211E75"/>
    <w:rsid w:val="00213BE9"/>
    <w:rsid w:val="0021411B"/>
    <w:rsid w:val="002166D6"/>
    <w:rsid w:val="00216E96"/>
    <w:rsid w:val="002176C3"/>
    <w:rsid w:val="00221B60"/>
    <w:rsid w:val="00221E1D"/>
    <w:rsid w:val="00222223"/>
    <w:rsid w:val="002307B1"/>
    <w:rsid w:val="00233AD3"/>
    <w:rsid w:val="00237A26"/>
    <w:rsid w:val="00237B04"/>
    <w:rsid w:val="00242AF2"/>
    <w:rsid w:val="00243411"/>
    <w:rsid w:val="00252A3F"/>
    <w:rsid w:val="00257A9F"/>
    <w:rsid w:val="0026333C"/>
    <w:rsid w:val="00264CC5"/>
    <w:rsid w:val="00265925"/>
    <w:rsid w:val="002660C9"/>
    <w:rsid w:val="00266B81"/>
    <w:rsid w:val="00267AF6"/>
    <w:rsid w:val="00271343"/>
    <w:rsid w:val="00273600"/>
    <w:rsid w:val="00273909"/>
    <w:rsid w:val="002772BE"/>
    <w:rsid w:val="0027766A"/>
    <w:rsid w:val="00281CF5"/>
    <w:rsid w:val="00284B77"/>
    <w:rsid w:val="00287857"/>
    <w:rsid w:val="00287EDF"/>
    <w:rsid w:val="00294D4F"/>
    <w:rsid w:val="002968A2"/>
    <w:rsid w:val="002A1B36"/>
    <w:rsid w:val="002B3FB7"/>
    <w:rsid w:val="002B544F"/>
    <w:rsid w:val="002C1E4E"/>
    <w:rsid w:val="002C2128"/>
    <w:rsid w:val="002D2719"/>
    <w:rsid w:val="002D6938"/>
    <w:rsid w:val="002D6EA7"/>
    <w:rsid w:val="002E026F"/>
    <w:rsid w:val="002E243A"/>
    <w:rsid w:val="002E6F89"/>
    <w:rsid w:val="002E7930"/>
    <w:rsid w:val="00301000"/>
    <w:rsid w:val="003037A1"/>
    <w:rsid w:val="00306C67"/>
    <w:rsid w:val="00306F1C"/>
    <w:rsid w:val="00307C68"/>
    <w:rsid w:val="00310D17"/>
    <w:rsid w:val="00313F64"/>
    <w:rsid w:val="00314914"/>
    <w:rsid w:val="00316176"/>
    <w:rsid w:val="00321E0C"/>
    <w:rsid w:val="00324929"/>
    <w:rsid w:val="00332C93"/>
    <w:rsid w:val="0033308A"/>
    <w:rsid w:val="00333DB4"/>
    <w:rsid w:val="00333FCE"/>
    <w:rsid w:val="00335755"/>
    <w:rsid w:val="00347325"/>
    <w:rsid w:val="00361D5B"/>
    <w:rsid w:val="00363150"/>
    <w:rsid w:val="00363217"/>
    <w:rsid w:val="003637DB"/>
    <w:rsid w:val="00363C83"/>
    <w:rsid w:val="00366DDC"/>
    <w:rsid w:val="00367FCA"/>
    <w:rsid w:val="00380CF5"/>
    <w:rsid w:val="00380DE8"/>
    <w:rsid w:val="003861F5"/>
    <w:rsid w:val="00386F9E"/>
    <w:rsid w:val="00390A2B"/>
    <w:rsid w:val="00392BC0"/>
    <w:rsid w:val="003936F0"/>
    <w:rsid w:val="00394672"/>
    <w:rsid w:val="003A1C97"/>
    <w:rsid w:val="003A282C"/>
    <w:rsid w:val="003A2B92"/>
    <w:rsid w:val="003A5848"/>
    <w:rsid w:val="003A5F5B"/>
    <w:rsid w:val="003A6EDD"/>
    <w:rsid w:val="003A7AD8"/>
    <w:rsid w:val="003B7A24"/>
    <w:rsid w:val="003C306A"/>
    <w:rsid w:val="003D23A2"/>
    <w:rsid w:val="003D3C93"/>
    <w:rsid w:val="003E11BC"/>
    <w:rsid w:val="003E2B3A"/>
    <w:rsid w:val="003E2ECA"/>
    <w:rsid w:val="003E3BC2"/>
    <w:rsid w:val="003F03E1"/>
    <w:rsid w:val="003F1613"/>
    <w:rsid w:val="003F1E58"/>
    <w:rsid w:val="003F2BCD"/>
    <w:rsid w:val="0040207D"/>
    <w:rsid w:val="00402F30"/>
    <w:rsid w:val="00403D31"/>
    <w:rsid w:val="00404584"/>
    <w:rsid w:val="00407F5B"/>
    <w:rsid w:val="00413151"/>
    <w:rsid w:val="00413D75"/>
    <w:rsid w:val="00417100"/>
    <w:rsid w:val="00420A35"/>
    <w:rsid w:val="00421248"/>
    <w:rsid w:val="00422B90"/>
    <w:rsid w:val="004264CF"/>
    <w:rsid w:val="00427515"/>
    <w:rsid w:val="004304E7"/>
    <w:rsid w:val="004373D2"/>
    <w:rsid w:val="004417E7"/>
    <w:rsid w:val="0044353C"/>
    <w:rsid w:val="00446AB2"/>
    <w:rsid w:val="00446B06"/>
    <w:rsid w:val="004513C9"/>
    <w:rsid w:val="00454EC9"/>
    <w:rsid w:val="00455B44"/>
    <w:rsid w:val="004676AA"/>
    <w:rsid w:val="00472649"/>
    <w:rsid w:val="00472C06"/>
    <w:rsid w:val="0048149E"/>
    <w:rsid w:val="004814E2"/>
    <w:rsid w:val="00484744"/>
    <w:rsid w:val="00484DC1"/>
    <w:rsid w:val="00485514"/>
    <w:rsid w:val="00487452"/>
    <w:rsid w:val="00487EFD"/>
    <w:rsid w:val="00491731"/>
    <w:rsid w:val="00494450"/>
    <w:rsid w:val="0049669C"/>
    <w:rsid w:val="00496F8B"/>
    <w:rsid w:val="004A0B52"/>
    <w:rsid w:val="004A3667"/>
    <w:rsid w:val="004A69F2"/>
    <w:rsid w:val="004B652E"/>
    <w:rsid w:val="004C0896"/>
    <w:rsid w:val="004C7C30"/>
    <w:rsid w:val="004E0C58"/>
    <w:rsid w:val="004E1DAF"/>
    <w:rsid w:val="004F181F"/>
    <w:rsid w:val="004F7135"/>
    <w:rsid w:val="004F7BD6"/>
    <w:rsid w:val="004F7D27"/>
    <w:rsid w:val="00500022"/>
    <w:rsid w:val="00506C84"/>
    <w:rsid w:val="005134C1"/>
    <w:rsid w:val="005137C6"/>
    <w:rsid w:val="00515F9C"/>
    <w:rsid w:val="00517039"/>
    <w:rsid w:val="00517B77"/>
    <w:rsid w:val="00517C7C"/>
    <w:rsid w:val="00520624"/>
    <w:rsid w:val="00527938"/>
    <w:rsid w:val="00531E01"/>
    <w:rsid w:val="0053744D"/>
    <w:rsid w:val="00537B6D"/>
    <w:rsid w:val="00537D8B"/>
    <w:rsid w:val="00540241"/>
    <w:rsid w:val="00541364"/>
    <w:rsid w:val="00544104"/>
    <w:rsid w:val="005441C1"/>
    <w:rsid w:val="005458C1"/>
    <w:rsid w:val="00551BBA"/>
    <w:rsid w:val="00551C68"/>
    <w:rsid w:val="00552CD7"/>
    <w:rsid w:val="005564B9"/>
    <w:rsid w:val="00557D42"/>
    <w:rsid w:val="0056165C"/>
    <w:rsid w:val="00565A82"/>
    <w:rsid w:val="00566786"/>
    <w:rsid w:val="0056707C"/>
    <w:rsid w:val="00570912"/>
    <w:rsid w:val="00573406"/>
    <w:rsid w:val="005756EE"/>
    <w:rsid w:val="00575AFB"/>
    <w:rsid w:val="005773E4"/>
    <w:rsid w:val="00583D8D"/>
    <w:rsid w:val="0058631C"/>
    <w:rsid w:val="00587DE9"/>
    <w:rsid w:val="00591F0D"/>
    <w:rsid w:val="005929D1"/>
    <w:rsid w:val="00594F20"/>
    <w:rsid w:val="0059765F"/>
    <w:rsid w:val="005B0FAE"/>
    <w:rsid w:val="005B22B8"/>
    <w:rsid w:val="005B249A"/>
    <w:rsid w:val="005B2754"/>
    <w:rsid w:val="005B68B1"/>
    <w:rsid w:val="005C5F2D"/>
    <w:rsid w:val="005C746B"/>
    <w:rsid w:val="005D6E4A"/>
    <w:rsid w:val="005E1393"/>
    <w:rsid w:val="005E1425"/>
    <w:rsid w:val="005E2C65"/>
    <w:rsid w:val="005E4560"/>
    <w:rsid w:val="005E56E4"/>
    <w:rsid w:val="005F15A9"/>
    <w:rsid w:val="005F1F1B"/>
    <w:rsid w:val="005F2F66"/>
    <w:rsid w:val="005F5308"/>
    <w:rsid w:val="00605060"/>
    <w:rsid w:val="00610D67"/>
    <w:rsid w:val="00612FC0"/>
    <w:rsid w:val="00613213"/>
    <w:rsid w:val="00616168"/>
    <w:rsid w:val="0061759D"/>
    <w:rsid w:val="00617A54"/>
    <w:rsid w:val="00620D12"/>
    <w:rsid w:val="0062125A"/>
    <w:rsid w:val="0062138A"/>
    <w:rsid w:val="00621731"/>
    <w:rsid w:val="00626149"/>
    <w:rsid w:val="0062623E"/>
    <w:rsid w:val="0062743B"/>
    <w:rsid w:val="00632A99"/>
    <w:rsid w:val="00633325"/>
    <w:rsid w:val="00635114"/>
    <w:rsid w:val="006400F2"/>
    <w:rsid w:val="0064526D"/>
    <w:rsid w:val="006522AB"/>
    <w:rsid w:val="00652B2D"/>
    <w:rsid w:val="00652BE2"/>
    <w:rsid w:val="006532C6"/>
    <w:rsid w:val="006541DC"/>
    <w:rsid w:val="00655C04"/>
    <w:rsid w:val="00657B81"/>
    <w:rsid w:val="00666FE6"/>
    <w:rsid w:val="006722B7"/>
    <w:rsid w:val="006743DA"/>
    <w:rsid w:val="00675E45"/>
    <w:rsid w:val="006840A3"/>
    <w:rsid w:val="00686765"/>
    <w:rsid w:val="00691A6F"/>
    <w:rsid w:val="00695101"/>
    <w:rsid w:val="006A78F4"/>
    <w:rsid w:val="006B41C1"/>
    <w:rsid w:val="006B5233"/>
    <w:rsid w:val="006B610B"/>
    <w:rsid w:val="006B68CE"/>
    <w:rsid w:val="006C632D"/>
    <w:rsid w:val="006D4DF9"/>
    <w:rsid w:val="006D70C9"/>
    <w:rsid w:val="006D7302"/>
    <w:rsid w:val="006D798C"/>
    <w:rsid w:val="006E1BEE"/>
    <w:rsid w:val="006E3D63"/>
    <w:rsid w:val="006E53BE"/>
    <w:rsid w:val="006E6AB7"/>
    <w:rsid w:val="006F225D"/>
    <w:rsid w:val="006F314B"/>
    <w:rsid w:val="006F70CA"/>
    <w:rsid w:val="00703254"/>
    <w:rsid w:val="00706E7A"/>
    <w:rsid w:val="00707D65"/>
    <w:rsid w:val="00712FAD"/>
    <w:rsid w:val="00716DD5"/>
    <w:rsid w:val="00721691"/>
    <w:rsid w:val="007241C5"/>
    <w:rsid w:val="007246DA"/>
    <w:rsid w:val="00725D79"/>
    <w:rsid w:val="007265D4"/>
    <w:rsid w:val="00735F2E"/>
    <w:rsid w:val="00740184"/>
    <w:rsid w:val="00740527"/>
    <w:rsid w:val="00741165"/>
    <w:rsid w:val="00741506"/>
    <w:rsid w:val="00741CBA"/>
    <w:rsid w:val="007440E4"/>
    <w:rsid w:val="00745D43"/>
    <w:rsid w:val="007466AA"/>
    <w:rsid w:val="00751E91"/>
    <w:rsid w:val="0075404F"/>
    <w:rsid w:val="007545D0"/>
    <w:rsid w:val="00762DE6"/>
    <w:rsid w:val="00762E7E"/>
    <w:rsid w:val="007675C5"/>
    <w:rsid w:val="00775D9B"/>
    <w:rsid w:val="00780A39"/>
    <w:rsid w:val="007811D7"/>
    <w:rsid w:val="0078206E"/>
    <w:rsid w:val="00784EB3"/>
    <w:rsid w:val="007859EC"/>
    <w:rsid w:val="00786E53"/>
    <w:rsid w:val="0079150B"/>
    <w:rsid w:val="00796F78"/>
    <w:rsid w:val="007A05D8"/>
    <w:rsid w:val="007A5257"/>
    <w:rsid w:val="007A6AA7"/>
    <w:rsid w:val="007B0489"/>
    <w:rsid w:val="007B4F91"/>
    <w:rsid w:val="007D5E62"/>
    <w:rsid w:val="007D62DA"/>
    <w:rsid w:val="007D6C5C"/>
    <w:rsid w:val="007D78FB"/>
    <w:rsid w:val="007E04A5"/>
    <w:rsid w:val="007E1256"/>
    <w:rsid w:val="007E1895"/>
    <w:rsid w:val="007E3185"/>
    <w:rsid w:val="007E3C03"/>
    <w:rsid w:val="007E579D"/>
    <w:rsid w:val="007F24DB"/>
    <w:rsid w:val="007F273C"/>
    <w:rsid w:val="00806EE8"/>
    <w:rsid w:val="0081445B"/>
    <w:rsid w:val="0082034E"/>
    <w:rsid w:val="00823AF3"/>
    <w:rsid w:val="00841324"/>
    <w:rsid w:val="00841CC0"/>
    <w:rsid w:val="00841DEC"/>
    <w:rsid w:val="00846843"/>
    <w:rsid w:val="00846A70"/>
    <w:rsid w:val="00847158"/>
    <w:rsid w:val="0084740D"/>
    <w:rsid w:val="00850379"/>
    <w:rsid w:val="00857ACB"/>
    <w:rsid w:val="008636BA"/>
    <w:rsid w:val="008678B1"/>
    <w:rsid w:val="00871DF0"/>
    <w:rsid w:val="00876C6D"/>
    <w:rsid w:val="008831A0"/>
    <w:rsid w:val="00883DF6"/>
    <w:rsid w:val="00887DD3"/>
    <w:rsid w:val="00893479"/>
    <w:rsid w:val="00893B6B"/>
    <w:rsid w:val="00895320"/>
    <w:rsid w:val="0089551C"/>
    <w:rsid w:val="008966AB"/>
    <w:rsid w:val="00897665"/>
    <w:rsid w:val="008A2C1B"/>
    <w:rsid w:val="008A6D83"/>
    <w:rsid w:val="008A7372"/>
    <w:rsid w:val="008A7390"/>
    <w:rsid w:val="008A7616"/>
    <w:rsid w:val="008B0D51"/>
    <w:rsid w:val="008B287F"/>
    <w:rsid w:val="008B3CBA"/>
    <w:rsid w:val="008B4716"/>
    <w:rsid w:val="008B64EE"/>
    <w:rsid w:val="008C062B"/>
    <w:rsid w:val="008C1D29"/>
    <w:rsid w:val="008C36B6"/>
    <w:rsid w:val="008D4ACC"/>
    <w:rsid w:val="008D553E"/>
    <w:rsid w:val="008E03BA"/>
    <w:rsid w:val="008E1150"/>
    <w:rsid w:val="008E219A"/>
    <w:rsid w:val="008E2E67"/>
    <w:rsid w:val="008E58E9"/>
    <w:rsid w:val="008E646B"/>
    <w:rsid w:val="008E6F87"/>
    <w:rsid w:val="008F4C26"/>
    <w:rsid w:val="00901815"/>
    <w:rsid w:val="00901A76"/>
    <w:rsid w:val="00906978"/>
    <w:rsid w:val="00915E2C"/>
    <w:rsid w:val="00920AE0"/>
    <w:rsid w:val="00921F7B"/>
    <w:rsid w:val="00925DEF"/>
    <w:rsid w:val="00927D31"/>
    <w:rsid w:val="0093158C"/>
    <w:rsid w:val="00934B2D"/>
    <w:rsid w:val="00943EF9"/>
    <w:rsid w:val="00944C26"/>
    <w:rsid w:val="009506DB"/>
    <w:rsid w:val="009511EE"/>
    <w:rsid w:val="0095533D"/>
    <w:rsid w:val="00956A0C"/>
    <w:rsid w:val="009631AF"/>
    <w:rsid w:val="00970C0E"/>
    <w:rsid w:val="00972B1B"/>
    <w:rsid w:val="00973C32"/>
    <w:rsid w:val="00976899"/>
    <w:rsid w:val="0098023F"/>
    <w:rsid w:val="0098073E"/>
    <w:rsid w:val="009835B2"/>
    <w:rsid w:val="009873BC"/>
    <w:rsid w:val="00994C88"/>
    <w:rsid w:val="009956E4"/>
    <w:rsid w:val="009A1753"/>
    <w:rsid w:val="009A19A7"/>
    <w:rsid w:val="009A2053"/>
    <w:rsid w:val="009A7245"/>
    <w:rsid w:val="009B07AC"/>
    <w:rsid w:val="009B1C10"/>
    <w:rsid w:val="009B41F2"/>
    <w:rsid w:val="009B523A"/>
    <w:rsid w:val="009B78D6"/>
    <w:rsid w:val="009B797C"/>
    <w:rsid w:val="009C4E14"/>
    <w:rsid w:val="009D0AB2"/>
    <w:rsid w:val="009D295A"/>
    <w:rsid w:val="009D643D"/>
    <w:rsid w:val="009D69F9"/>
    <w:rsid w:val="009D7093"/>
    <w:rsid w:val="009E0014"/>
    <w:rsid w:val="009E008C"/>
    <w:rsid w:val="009F1E9F"/>
    <w:rsid w:val="009F53E3"/>
    <w:rsid w:val="009F6016"/>
    <w:rsid w:val="009F6A7F"/>
    <w:rsid w:val="00A00C6D"/>
    <w:rsid w:val="00A02AA6"/>
    <w:rsid w:val="00A05B13"/>
    <w:rsid w:val="00A136A0"/>
    <w:rsid w:val="00A1575A"/>
    <w:rsid w:val="00A16CEE"/>
    <w:rsid w:val="00A20C79"/>
    <w:rsid w:val="00A22995"/>
    <w:rsid w:val="00A300FD"/>
    <w:rsid w:val="00A30BA2"/>
    <w:rsid w:val="00A3127D"/>
    <w:rsid w:val="00A36B92"/>
    <w:rsid w:val="00A37F83"/>
    <w:rsid w:val="00A43220"/>
    <w:rsid w:val="00A442F2"/>
    <w:rsid w:val="00A4580D"/>
    <w:rsid w:val="00A46540"/>
    <w:rsid w:val="00A4662E"/>
    <w:rsid w:val="00A46830"/>
    <w:rsid w:val="00A472A1"/>
    <w:rsid w:val="00A55F66"/>
    <w:rsid w:val="00A56A33"/>
    <w:rsid w:val="00A574D1"/>
    <w:rsid w:val="00A64534"/>
    <w:rsid w:val="00A66597"/>
    <w:rsid w:val="00A72A3A"/>
    <w:rsid w:val="00A72F5C"/>
    <w:rsid w:val="00A73FC9"/>
    <w:rsid w:val="00A76680"/>
    <w:rsid w:val="00A804BF"/>
    <w:rsid w:val="00A84555"/>
    <w:rsid w:val="00A916F4"/>
    <w:rsid w:val="00A935F8"/>
    <w:rsid w:val="00AA15BD"/>
    <w:rsid w:val="00AA26F3"/>
    <w:rsid w:val="00AA3801"/>
    <w:rsid w:val="00AB07AD"/>
    <w:rsid w:val="00AB394A"/>
    <w:rsid w:val="00AB58DE"/>
    <w:rsid w:val="00AB63B0"/>
    <w:rsid w:val="00AC5706"/>
    <w:rsid w:val="00AD1649"/>
    <w:rsid w:val="00AE7526"/>
    <w:rsid w:val="00AF1AA2"/>
    <w:rsid w:val="00B04459"/>
    <w:rsid w:val="00B0778B"/>
    <w:rsid w:val="00B10F45"/>
    <w:rsid w:val="00B11862"/>
    <w:rsid w:val="00B11AB5"/>
    <w:rsid w:val="00B20498"/>
    <w:rsid w:val="00B220F2"/>
    <w:rsid w:val="00B25950"/>
    <w:rsid w:val="00B27B27"/>
    <w:rsid w:val="00B27C6B"/>
    <w:rsid w:val="00B27FB3"/>
    <w:rsid w:val="00B30DC0"/>
    <w:rsid w:val="00B33B65"/>
    <w:rsid w:val="00B33DEB"/>
    <w:rsid w:val="00B36D39"/>
    <w:rsid w:val="00B45B72"/>
    <w:rsid w:val="00B47168"/>
    <w:rsid w:val="00B56008"/>
    <w:rsid w:val="00B567EA"/>
    <w:rsid w:val="00B61472"/>
    <w:rsid w:val="00B66544"/>
    <w:rsid w:val="00B70554"/>
    <w:rsid w:val="00B70730"/>
    <w:rsid w:val="00B756A5"/>
    <w:rsid w:val="00B7573B"/>
    <w:rsid w:val="00B76E79"/>
    <w:rsid w:val="00B80820"/>
    <w:rsid w:val="00B816AF"/>
    <w:rsid w:val="00B826EE"/>
    <w:rsid w:val="00B82AE4"/>
    <w:rsid w:val="00B83F5A"/>
    <w:rsid w:val="00B844BD"/>
    <w:rsid w:val="00B911BE"/>
    <w:rsid w:val="00B914DC"/>
    <w:rsid w:val="00B92BCF"/>
    <w:rsid w:val="00B97AAF"/>
    <w:rsid w:val="00BA2798"/>
    <w:rsid w:val="00BA2BAB"/>
    <w:rsid w:val="00BB0A3A"/>
    <w:rsid w:val="00BB0E04"/>
    <w:rsid w:val="00BB323E"/>
    <w:rsid w:val="00BB624B"/>
    <w:rsid w:val="00BB7DF7"/>
    <w:rsid w:val="00BC3B28"/>
    <w:rsid w:val="00BC41C1"/>
    <w:rsid w:val="00BC53D0"/>
    <w:rsid w:val="00BE0DA2"/>
    <w:rsid w:val="00BE1BBA"/>
    <w:rsid w:val="00BE2FCB"/>
    <w:rsid w:val="00BE442A"/>
    <w:rsid w:val="00BF105A"/>
    <w:rsid w:val="00BF531A"/>
    <w:rsid w:val="00C00567"/>
    <w:rsid w:val="00C03CF6"/>
    <w:rsid w:val="00C05E92"/>
    <w:rsid w:val="00C061B1"/>
    <w:rsid w:val="00C16D69"/>
    <w:rsid w:val="00C2245D"/>
    <w:rsid w:val="00C2350D"/>
    <w:rsid w:val="00C23A41"/>
    <w:rsid w:val="00C26086"/>
    <w:rsid w:val="00C330F6"/>
    <w:rsid w:val="00C34646"/>
    <w:rsid w:val="00C35EBF"/>
    <w:rsid w:val="00C46EAF"/>
    <w:rsid w:val="00C60224"/>
    <w:rsid w:val="00C60B02"/>
    <w:rsid w:val="00C62369"/>
    <w:rsid w:val="00C638FB"/>
    <w:rsid w:val="00C64208"/>
    <w:rsid w:val="00C64F79"/>
    <w:rsid w:val="00C65F87"/>
    <w:rsid w:val="00C71481"/>
    <w:rsid w:val="00C722FE"/>
    <w:rsid w:val="00C75D91"/>
    <w:rsid w:val="00C77B1A"/>
    <w:rsid w:val="00C8177B"/>
    <w:rsid w:val="00C85599"/>
    <w:rsid w:val="00C87507"/>
    <w:rsid w:val="00C87F3B"/>
    <w:rsid w:val="00C91548"/>
    <w:rsid w:val="00C94A1D"/>
    <w:rsid w:val="00C97BB3"/>
    <w:rsid w:val="00CA18B1"/>
    <w:rsid w:val="00CB1801"/>
    <w:rsid w:val="00CB21B5"/>
    <w:rsid w:val="00CC10C9"/>
    <w:rsid w:val="00CC7A32"/>
    <w:rsid w:val="00CD413E"/>
    <w:rsid w:val="00CD6619"/>
    <w:rsid w:val="00CE4093"/>
    <w:rsid w:val="00CE5063"/>
    <w:rsid w:val="00CE60CF"/>
    <w:rsid w:val="00CE67E7"/>
    <w:rsid w:val="00CF1E0E"/>
    <w:rsid w:val="00CF2FE0"/>
    <w:rsid w:val="00CF3464"/>
    <w:rsid w:val="00CF5F89"/>
    <w:rsid w:val="00D0042B"/>
    <w:rsid w:val="00D00987"/>
    <w:rsid w:val="00D034F5"/>
    <w:rsid w:val="00D04B81"/>
    <w:rsid w:val="00D05795"/>
    <w:rsid w:val="00D078B5"/>
    <w:rsid w:val="00D10A27"/>
    <w:rsid w:val="00D12F32"/>
    <w:rsid w:val="00D213E3"/>
    <w:rsid w:val="00D21BA9"/>
    <w:rsid w:val="00D2226A"/>
    <w:rsid w:val="00D26AE5"/>
    <w:rsid w:val="00D35DB8"/>
    <w:rsid w:val="00D35F72"/>
    <w:rsid w:val="00D3604A"/>
    <w:rsid w:val="00D451C9"/>
    <w:rsid w:val="00D50BF1"/>
    <w:rsid w:val="00D528D9"/>
    <w:rsid w:val="00D559DD"/>
    <w:rsid w:val="00D565C3"/>
    <w:rsid w:val="00D60F02"/>
    <w:rsid w:val="00D62022"/>
    <w:rsid w:val="00D62A3C"/>
    <w:rsid w:val="00D62C69"/>
    <w:rsid w:val="00D6463A"/>
    <w:rsid w:val="00D65A5C"/>
    <w:rsid w:val="00D72524"/>
    <w:rsid w:val="00D74575"/>
    <w:rsid w:val="00D754D0"/>
    <w:rsid w:val="00D769C0"/>
    <w:rsid w:val="00D778A3"/>
    <w:rsid w:val="00D816EF"/>
    <w:rsid w:val="00D819B4"/>
    <w:rsid w:val="00D9162A"/>
    <w:rsid w:val="00D91E9D"/>
    <w:rsid w:val="00D923ED"/>
    <w:rsid w:val="00DB0B91"/>
    <w:rsid w:val="00DB2EB8"/>
    <w:rsid w:val="00DB5905"/>
    <w:rsid w:val="00DB6214"/>
    <w:rsid w:val="00DC19DB"/>
    <w:rsid w:val="00DC21DB"/>
    <w:rsid w:val="00DD2265"/>
    <w:rsid w:val="00DD3A6A"/>
    <w:rsid w:val="00DD50D9"/>
    <w:rsid w:val="00DE07DC"/>
    <w:rsid w:val="00DE1022"/>
    <w:rsid w:val="00DE4507"/>
    <w:rsid w:val="00DE7A86"/>
    <w:rsid w:val="00E001FF"/>
    <w:rsid w:val="00E0197C"/>
    <w:rsid w:val="00E020EF"/>
    <w:rsid w:val="00E1159C"/>
    <w:rsid w:val="00E244A9"/>
    <w:rsid w:val="00E256BF"/>
    <w:rsid w:val="00E33701"/>
    <w:rsid w:val="00E377C6"/>
    <w:rsid w:val="00E379E0"/>
    <w:rsid w:val="00E40EE7"/>
    <w:rsid w:val="00E41CE2"/>
    <w:rsid w:val="00E507B5"/>
    <w:rsid w:val="00E51524"/>
    <w:rsid w:val="00E53966"/>
    <w:rsid w:val="00E746AB"/>
    <w:rsid w:val="00E83C17"/>
    <w:rsid w:val="00E86501"/>
    <w:rsid w:val="00E8776F"/>
    <w:rsid w:val="00E910D8"/>
    <w:rsid w:val="00E932D4"/>
    <w:rsid w:val="00EA2DE9"/>
    <w:rsid w:val="00EA3380"/>
    <w:rsid w:val="00EA4473"/>
    <w:rsid w:val="00EA787D"/>
    <w:rsid w:val="00EB033A"/>
    <w:rsid w:val="00EB0F18"/>
    <w:rsid w:val="00EB5887"/>
    <w:rsid w:val="00EC31A8"/>
    <w:rsid w:val="00EC688F"/>
    <w:rsid w:val="00ED01A7"/>
    <w:rsid w:val="00ED3FF7"/>
    <w:rsid w:val="00ED5A72"/>
    <w:rsid w:val="00EE548A"/>
    <w:rsid w:val="00EF0730"/>
    <w:rsid w:val="00EF3925"/>
    <w:rsid w:val="00F041DA"/>
    <w:rsid w:val="00F10F57"/>
    <w:rsid w:val="00F172D5"/>
    <w:rsid w:val="00F17505"/>
    <w:rsid w:val="00F2510D"/>
    <w:rsid w:val="00F31F3B"/>
    <w:rsid w:val="00F327C3"/>
    <w:rsid w:val="00F33BDE"/>
    <w:rsid w:val="00F34B72"/>
    <w:rsid w:val="00F356D7"/>
    <w:rsid w:val="00F378C5"/>
    <w:rsid w:val="00F41404"/>
    <w:rsid w:val="00F426CD"/>
    <w:rsid w:val="00F465AC"/>
    <w:rsid w:val="00F5229F"/>
    <w:rsid w:val="00F53D4E"/>
    <w:rsid w:val="00F5414B"/>
    <w:rsid w:val="00F56E14"/>
    <w:rsid w:val="00F57A63"/>
    <w:rsid w:val="00F602E1"/>
    <w:rsid w:val="00F62274"/>
    <w:rsid w:val="00F670C7"/>
    <w:rsid w:val="00F76BC8"/>
    <w:rsid w:val="00F81061"/>
    <w:rsid w:val="00F81362"/>
    <w:rsid w:val="00F82C2B"/>
    <w:rsid w:val="00F878BD"/>
    <w:rsid w:val="00F87A34"/>
    <w:rsid w:val="00F90065"/>
    <w:rsid w:val="00F903FE"/>
    <w:rsid w:val="00F91E42"/>
    <w:rsid w:val="00F97CD4"/>
    <w:rsid w:val="00FA430B"/>
    <w:rsid w:val="00FA6BBB"/>
    <w:rsid w:val="00FB116F"/>
    <w:rsid w:val="00FC0F97"/>
    <w:rsid w:val="00FC1D10"/>
    <w:rsid w:val="00FC3A5A"/>
    <w:rsid w:val="00FC747A"/>
    <w:rsid w:val="00FC7B60"/>
    <w:rsid w:val="00FD143D"/>
    <w:rsid w:val="00FD54A8"/>
    <w:rsid w:val="00FD7BBD"/>
    <w:rsid w:val="00FE52B1"/>
    <w:rsid w:val="00FE576C"/>
    <w:rsid w:val="00FE76D6"/>
    <w:rsid w:val="00FF088B"/>
    <w:rsid w:val="00FF241C"/>
    <w:rsid w:val="00FF5AB9"/>
    <w:rsid w:val="00FF63A1"/>
    <w:rsid w:val="00FF67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DBA9B9B"/>
  <w15:docId w15:val="{E9731811-EC62-42D7-9AD4-E083D012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A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C94A1D"/>
    <w:pPr>
      <w:keepNext/>
      <w:keepLines/>
      <w:suppressAutoHyphens/>
      <w:spacing w:after="120"/>
      <w:jc w:val="both"/>
    </w:pPr>
    <w:rPr>
      <w:b/>
      <w:sz w:val="20"/>
      <w:szCs w:val="20"/>
    </w:rPr>
  </w:style>
  <w:style w:type="character" w:customStyle="1" w:styleId="Heading6Char">
    <w:name w:val="Heading6 Char"/>
    <w:link w:val="Heading6"/>
    <w:locked/>
    <w:rsid w:val="00C94A1D"/>
    <w:rPr>
      <w:b/>
      <w:lang w:val="en-AU" w:eastAsia="en-AU" w:bidi="ar-SA"/>
    </w:rPr>
  </w:style>
  <w:style w:type="paragraph" w:styleId="Footer">
    <w:name w:val="footer"/>
    <w:basedOn w:val="Normal"/>
    <w:link w:val="FooterChar"/>
    <w:uiPriority w:val="99"/>
    <w:rsid w:val="00C94A1D"/>
    <w:pPr>
      <w:tabs>
        <w:tab w:val="center" w:pos="4513"/>
        <w:tab w:val="right" w:pos="9026"/>
      </w:tabs>
    </w:pPr>
  </w:style>
  <w:style w:type="character" w:customStyle="1" w:styleId="FooterChar">
    <w:name w:val="Footer Char"/>
    <w:link w:val="Footer"/>
    <w:uiPriority w:val="99"/>
    <w:rsid w:val="00C94A1D"/>
    <w:rPr>
      <w:sz w:val="24"/>
      <w:szCs w:val="24"/>
      <w:lang w:val="en-AU" w:eastAsia="en-AU" w:bidi="ar-SA"/>
    </w:rPr>
  </w:style>
  <w:style w:type="paragraph" w:styleId="Header">
    <w:name w:val="header"/>
    <w:basedOn w:val="Normal"/>
    <w:link w:val="HeaderChar"/>
    <w:rsid w:val="00DE07DC"/>
    <w:pPr>
      <w:tabs>
        <w:tab w:val="center" w:pos="4513"/>
        <w:tab w:val="right" w:pos="9026"/>
      </w:tabs>
    </w:pPr>
  </w:style>
  <w:style w:type="character" w:customStyle="1" w:styleId="HeaderChar">
    <w:name w:val="Header Char"/>
    <w:link w:val="Header"/>
    <w:rsid w:val="00DE07DC"/>
    <w:rPr>
      <w:sz w:val="24"/>
      <w:szCs w:val="24"/>
    </w:rPr>
  </w:style>
  <w:style w:type="character" w:styleId="PageNumber">
    <w:name w:val="page number"/>
    <w:basedOn w:val="DefaultParagraphFont"/>
  </w:style>
  <w:style w:type="paragraph" w:styleId="BalloonText">
    <w:name w:val="Balloon Text"/>
    <w:basedOn w:val="Normal"/>
    <w:link w:val="BalloonTextChar"/>
    <w:rsid w:val="00612FC0"/>
    <w:rPr>
      <w:rFonts w:ascii="Tahoma" w:hAnsi="Tahoma" w:cs="Tahoma"/>
      <w:sz w:val="16"/>
      <w:szCs w:val="16"/>
    </w:rPr>
  </w:style>
  <w:style w:type="character" w:customStyle="1" w:styleId="BalloonTextChar">
    <w:name w:val="Balloon Text Char"/>
    <w:basedOn w:val="DefaultParagraphFont"/>
    <w:link w:val="BalloonText"/>
    <w:rsid w:val="00612FC0"/>
    <w:rPr>
      <w:rFonts w:ascii="Tahoma" w:hAnsi="Tahoma" w:cs="Tahoma"/>
      <w:sz w:val="16"/>
      <w:szCs w:val="16"/>
    </w:rPr>
  </w:style>
  <w:style w:type="character" w:styleId="CommentReference">
    <w:name w:val="annotation reference"/>
    <w:basedOn w:val="DefaultParagraphFont"/>
    <w:rsid w:val="00537D8B"/>
    <w:rPr>
      <w:sz w:val="16"/>
      <w:szCs w:val="16"/>
    </w:rPr>
  </w:style>
  <w:style w:type="paragraph" w:styleId="CommentText">
    <w:name w:val="annotation text"/>
    <w:basedOn w:val="Normal"/>
    <w:link w:val="CommentTextChar"/>
    <w:rsid w:val="00537D8B"/>
    <w:rPr>
      <w:sz w:val="20"/>
      <w:szCs w:val="20"/>
    </w:rPr>
  </w:style>
  <w:style w:type="character" w:customStyle="1" w:styleId="CommentTextChar">
    <w:name w:val="Comment Text Char"/>
    <w:basedOn w:val="DefaultParagraphFont"/>
    <w:link w:val="CommentText"/>
    <w:rsid w:val="00537D8B"/>
  </w:style>
  <w:style w:type="paragraph" w:styleId="CommentSubject">
    <w:name w:val="annotation subject"/>
    <w:basedOn w:val="CommentText"/>
    <w:next w:val="CommentText"/>
    <w:link w:val="CommentSubjectChar"/>
    <w:rsid w:val="00537D8B"/>
    <w:rPr>
      <w:b/>
      <w:bCs/>
    </w:rPr>
  </w:style>
  <w:style w:type="character" w:customStyle="1" w:styleId="CommentSubjectChar">
    <w:name w:val="Comment Subject Char"/>
    <w:basedOn w:val="CommentTextChar"/>
    <w:link w:val="CommentSubject"/>
    <w:rsid w:val="00537D8B"/>
    <w:rPr>
      <w:b/>
      <w:bCs/>
    </w:rPr>
  </w:style>
  <w:style w:type="paragraph" w:styleId="ListParagraph">
    <w:name w:val="List Paragraph"/>
    <w:basedOn w:val="Normal"/>
    <w:uiPriority w:val="34"/>
    <w:qFormat/>
    <w:rsid w:val="00FE76D6"/>
    <w:pPr>
      <w:ind w:left="720"/>
      <w:contextualSpacing/>
    </w:pPr>
  </w:style>
  <w:style w:type="paragraph" w:styleId="Revision">
    <w:name w:val="Revision"/>
    <w:hidden/>
    <w:uiPriority w:val="99"/>
    <w:semiHidden/>
    <w:rsid w:val="006840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323978">
      <w:bodyDiv w:val="1"/>
      <w:marLeft w:val="0"/>
      <w:marRight w:val="0"/>
      <w:marTop w:val="0"/>
      <w:marBottom w:val="0"/>
      <w:divBdr>
        <w:top w:val="none" w:sz="0" w:space="0" w:color="auto"/>
        <w:left w:val="none" w:sz="0" w:space="0" w:color="auto"/>
        <w:bottom w:val="none" w:sz="0" w:space="0" w:color="auto"/>
        <w:right w:val="none" w:sz="0" w:space="0" w:color="auto"/>
      </w:divBdr>
    </w:div>
    <w:div w:id="1882395243">
      <w:bodyDiv w:val="1"/>
      <w:marLeft w:val="0"/>
      <w:marRight w:val="0"/>
      <w:marTop w:val="0"/>
      <w:marBottom w:val="0"/>
      <w:divBdr>
        <w:top w:val="none" w:sz="0" w:space="0" w:color="auto"/>
        <w:left w:val="none" w:sz="0" w:space="0" w:color="auto"/>
        <w:bottom w:val="none" w:sz="0" w:space="0" w:color="auto"/>
        <w:right w:val="none" w:sz="0" w:space="0" w:color="auto"/>
      </w:divBdr>
    </w:div>
    <w:div w:id="196951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F7EE7-B30D-4FF7-97A0-3D138E70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2240</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hanwyn</dc:creator>
  <cp:lastModifiedBy>NG, Jason</cp:lastModifiedBy>
  <cp:revision>21</cp:revision>
  <cp:lastPrinted>2019-11-10T23:31:00Z</cp:lastPrinted>
  <dcterms:created xsi:type="dcterms:W3CDTF">2019-12-03T02:11:00Z</dcterms:created>
  <dcterms:modified xsi:type="dcterms:W3CDTF">2020-01-28T00:23:00Z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