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F0DE4" w14:textId="77777777" w:rsidR="001F2A16" w:rsidRPr="007E0A01"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6E4F0DE5" w14:textId="77777777" w:rsidR="001F2A16" w:rsidRPr="007E0A01"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E4F0DE6" w14:textId="64CE80B1" w:rsidR="0099555F" w:rsidRPr="007E0A01" w:rsidRDefault="009B7CEA" w:rsidP="0054594D">
      <w:pPr>
        <w:pStyle w:val="Header"/>
        <w:pBdr>
          <w:top w:val="double" w:sz="4" w:space="1" w:color="auto"/>
          <w:bottom w:val="double" w:sz="4" w:space="1" w:color="auto"/>
        </w:pBdr>
        <w:tabs>
          <w:tab w:val="clear" w:pos="4153"/>
          <w:tab w:val="clear" w:pos="8306"/>
          <w:tab w:val="center" w:pos="4181"/>
        </w:tabs>
        <w:jc w:val="center"/>
        <w:rPr>
          <w:rFonts w:ascii="Arial" w:hAnsi="Arial" w:cs="Arial"/>
          <w:sz w:val="34"/>
          <w:szCs w:val="34"/>
        </w:rPr>
      </w:pPr>
      <w:r>
        <w:rPr>
          <w:rFonts w:ascii="Arial" w:hAnsi="Arial" w:cs="Arial"/>
          <w:sz w:val="34"/>
          <w:szCs w:val="34"/>
        </w:rPr>
        <w:t>Tax</w:t>
      </w:r>
      <w:r w:rsidR="00E549BD">
        <w:rPr>
          <w:rFonts w:ascii="Arial" w:hAnsi="Arial" w:cs="Arial"/>
          <w:sz w:val="34"/>
          <w:szCs w:val="34"/>
        </w:rPr>
        <w:t>ation Administration (Remedial Power- Disclosure of P</w:t>
      </w:r>
      <w:r>
        <w:rPr>
          <w:rFonts w:ascii="Arial" w:hAnsi="Arial" w:cs="Arial"/>
          <w:sz w:val="34"/>
          <w:szCs w:val="34"/>
        </w:rPr>
        <w:t>rotected</w:t>
      </w:r>
      <w:r w:rsidR="00E549BD">
        <w:rPr>
          <w:rFonts w:ascii="Arial" w:hAnsi="Arial" w:cs="Arial"/>
          <w:sz w:val="34"/>
          <w:szCs w:val="34"/>
        </w:rPr>
        <w:t xml:space="preserve"> I</w:t>
      </w:r>
      <w:r w:rsidR="00C777CF">
        <w:rPr>
          <w:rFonts w:ascii="Arial" w:hAnsi="Arial" w:cs="Arial"/>
          <w:sz w:val="34"/>
          <w:szCs w:val="34"/>
        </w:rPr>
        <w:t>nformation</w:t>
      </w:r>
      <w:r w:rsidR="009920E5">
        <w:rPr>
          <w:rFonts w:ascii="Arial" w:hAnsi="Arial" w:cs="Arial"/>
          <w:sz w:val="34"/>
          <w:szCs w:val="34"/>
        </w:rPr>
        <w:t xml:space="preserve"> by Taxation Officers</w:t>
      </w:r>
      <w:r w:rsidR="00C777CF">
        <w:rPr>
          <w:rFonts w:ascii="Arial" w:hAnsi="Arial" w:cs="Arial"/>
          <w:sz w:val="34"/>
          <w:szCs w:val="34"/>
        </w:rPr>
        <w:t xml:space="preserve">) Determination </w:t>
      </w:r>
      <w:r w:rsidR="00F04C78">
        <w:rPr>
          <w:rFonts w:ascii="Arial" w:hAnsi="Arial" w:cs="Arial"/>
          <w:sz w:val="34"/>
          <w:szCs w:val="34"/>
        </w:rPr>
        <w:t>2020</w:t>
      </w:r>
    </w:p>
    <w:p w14:paraId="6E4F0DE7" w14:textId="77777777" w:rsidR="0099555F" w:rsidRPr="007E0A01" w:rsidRDefault="0099555F" w:rsidP="0099555F">
      <w:pPr>
        <w:pStyle w:val="Header"/>
        <w:tabs>
          <w:tab w:val="clear" w:pos="4153"/>
          <w:tab w:val="clear" w:pos="8306"/>
        </w:tabs>
        <w:jc w:val="center"/>
        <w:rPr>
          <w:rFonts w:ascii="Arial" w:hAnsi="Arial" w:cs="Arial"/>
          <w:szCs w:val="24"/>
        </w:rPr>
      </w:pPr>
    </w:p>
    <w:p w14:paraId="6E4F0DE8" w14:textId="77777777" w:rsidR="001F2A16" w:rsidRPr="007E0A01" w:rsidRDefault="001F2A16" w:rsidP="0099555F">
      <w:pPr>
        <w:pStyle w:val="Header"/>
        <w:tabs>
          <w:tab w:val="clear" w:pos="4153"/>
          <w:tab w:val="clear" w:pos="8306"/>
        </w:tabs>
        <w:jc w:val="center"/>
        <w:rPr>
          <w:rFonts w:ascii="Arial" w:hAnsi="Arial" w:cs="Arial"/>
          <w:szCs w:val="24"/>
        </w:rPr>
      </w:pPr>
    </w:p>
    <w:p w14:paraId="6E4F0DE9" w14:textId="769FB949" w:rsidR="00486653" w:rsidRPr="001C0837" w:rsidRDefault="00486653" w:rsidP="001C0837">
      <w:pPr>
        <w:pStyle w:val="Heading2"/>
      </w:pPr>
      <w:r w:rsidRPr="001C0837">
        <w:t xml:space="preserve">General </w:t>
      </w:r>
      <w:r w:rsidR="00220872">
        <w:t>o</w:t>
      </w:r>
      <w:r w:rsidRPr="001C0837">
        <w:t xml:space="preserve">utline of </w:t>
      </w:r>
      <w:r w:rsidR="00220872">
        <w:t>i</w:t>
      </w:r>
      <w:r w:rsidRPr="001C0837">
        <w:t>nstrument</w:t>
      </w:r>
    </w:p>
    <w:p w14:paraId="1843CA0D" w14:textId="77777777" w:rsidR="001C0837" w:rsidRDefault="00486653" w:rsidP="00BB4B90">
      <w:pPr>
        <w:numPr>
          <w:ilvl w:val="0"/>
          <w:numId w:val="16"/>
        </w:numPr>
        <w:tabs>
          <w:tab w:val="clear" w:pos="720"/>
        </w:tabs>
        <w:spacing w:after="120"/>
        <w:ind w:left="0" w:firstLine="0"/>
        <w:rPr>
          <w:rFonts w:ascii="Arial" w:hAnsi="Arial" w:cs="Arial"/>
          <w:sz w:val="22"/>
          <w:szCs w:val="22"/>
        </w:rPr>
      </w:pPr>
      <w:r w:rsidRPr="007E0A01">
        <w:rPr>
          <w:rFonts w:ascii="Arial" w:hAnsi="Arial" w:cs="Arial"/>
          <w:sz w:val="22"/>
          <w:szCs w:val="22"/>
        </w:rPr>
        <w:t xml:space="preserve">This instrument is made </w:t>
      </w:r>
      <w:r w:rsidR="00436979">
        <w:rPr>
          <w:rFonts w:ascii="Arial" w:hAnsi="Arial" w:cs="Arial"/>
          <w:sz w:val="22"/>
          <w:szCs w:val="22"/>
        </w:rPr>
        <w:t xml:space="preserve">under section 370-5 of Schedule 1 to the </w:t>
      </w:r>
      <w:r w:rsidR="00436979">
        <w:rPr>
          <w:rFonts w:ascii="Arial" w:hAnsi="Arial" w:cs="Arial"/>
          <w:i/>
          <w:sz w:val="22"/>
          <w:szCs w:val="22"/>
        </w:rPr>
        <w:t>Taxation Administration Act 1953</w:t>
      </w:r>
      <w:r w:rsidR="00436979">
        <w:rPr>
          <w:rFonts w:ascii="Arial" w:hAnsi="Arial" w:cs="Arial"/>
          <w:sz w:val="22"/>
          <w:szCs w:val="22"/>
        </w:rPr>
        <w:t xml:space="preserve"> (TAA</w:t>
      </w:r>
      <w:r w:rsidR="00E32DF3">
        <w:rPr>
          <w:rFonts w:ascii="Arial" w:hAnsi="Arial" w:cs="Arial"/>
          <w:sz w:val="22"/>
          <w:szCs w:val="22"/>
        </w:rPr>
        <w:t xml:space="preserve"> 1953</w:t>
      </w:r>
      <w:r w:rsidR="00436979">
        <w:rPr>
          <w:rFonts w:ascii="Arial" w:hAnsi="Arial" w:cs="Arial"/>
          <w:sz w:val="22"/>
          <w:szCs w:val="22"/>
        </w:rPr>
        <w:t>). All references to legislative provisions in this Explanatory Statement are references to Schedule 1 to the TAA</w:t>
      </w:r>
      <w:r w:rsidR="00E32DF3">
        <w:rPr>
          <w:rFonts w:ascii="Arial" w:hAnsi="Arial" w:cs="Arial"/>
          <w:sz w:val="22"/>
          <w:szCs w:val="22"/>
        </w:rPr>
        <w:t xml:space="preserve"> 1953</w:t>
      </w:r>
      <w:r w:rsidR="00436979">
        <w:rPr>
          <w:rFonts w:ascii="Arial" w:hAnsi="Arial" w:cs="Arial"/>
          <w:sz w:val="22"/>
          <w:szCs w:val="22"/>
        </w:rPr>
        <w:t xml:space="preserve"> unless otherwise stated.</w:t>
      </w:r>
    </w:p>
    <w:p w14:paraId="6FF289D2" w14:textId="77777777" w:rsidR="001C0837" w:rsidRDefault="00436979"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This instrument modifies the operation of</w:t>
      </w:r>
      <w:r w:rsidR="00A84230">
        <w:rPr>
          <w:rFonts w:ascii="Arial" w:hAnsi="Arial" w:cs="Arial"/>
          <w:sz w:val="22"/>
          <w:szCs w:val="22"/>
        </w:rPr>
        <w:t xml:space="preserve"> subsection 355-25(2) to ensure a taxation officer can disclose protected information to the registered tax agent or BAS agent, or legal practitioner of an executor or administrator of an estate of an individual who has died. </w:t>
      </w:r>
      <w:r w:rsidR="00E549BD">
        <w:rPr>
          <w:rFonts w:ascii="Arial" w:hAnsi="Arial" w:cs="Arial"/>
          <w:sz w:val="22"/>
          <w:szCs w:val="22"/>
        </w:rPr>
        <w:t xml:space="preserve">This information </w:t>
      </w:r>
      <w:r w:rsidR="00196F6B">
        <w:rPr>
          <w:rFonts w:ascii="Arial" w:hAnsi="Arial" w:cs="Arial"/>
          <w:sz w:val="22"/>
          <w:szCs w:val="22"/>
        </w:rPr>
        <w:t>assists an</w:t>
      </w:r>
      <w:r w:rsidR="005A589D">
        <w:rPr>
          <w:rFonts w:ascii="Arial" w:hAnsi="Arial" w:cs="Arial"/>
          <w:sz w:val="22"/>
          <w:szCs w:val="22"/>
        </w:rPr>
        <w:t xml:space="preserve"> </w:t>
      </w:r>
      <w:r w:rsidR="00E549BD">
        <w:rPr>
          <w:rFonts w:ascii="Arial" w:hAnsi="Arial" w:cs="Arial"/>
          <w:sz w:val="22"/>
          <w:szCs w:val="22"/>
        </w:rPr>
        <w:t xml:space="preserve">executor or administrator to </w:t>
      </w:r>
      <w:r w:rsidR="005A50EF">
        <w:rPr>
          <w:rFonts w:ascii="Arial" w:hAnsi="Arial" w:cs="Arial"/>
          <w:sz w:val="22"/>
          <w:szCs w:val="22"/>
        </w:rPr>
        <w:t xml:space="preserve">attend to the affairs of </w:t>
      </w:r>
      <w:r w:rsidR="00E549BD">
        <w:rPr>
          <w:rFonts w:ascii="Arial" w:hAnsi="Arial" w:cs="Arial"/>
          <w:sz w:val="22"/>
          <w:szCs w:val="22"/>
        </w:rPr>
        <w:t xml:space="preserve">the deceased. </w:t>
      </w:r>
      <w:r w:rsidR="00792B64">
        <w:rPr>
          <w:rFonts w:ascii="Arial" w:hAnsi="Arial" w:cs="Arial"/>
          <w:sz w:val="22"/>
          <w:szCs w:val="22"/>
        </w:rPr>
        <w:t xml:space="preserve">In this </w:t>
      </w:r>
      <w:r w:rsidR="00AD6E4F">
        <w:rPr>
          <w:rFonts w:ascii="Arial" w:hAnsi="Arial" w:cs="Arial"/>
          <w:sz w:val="22"/>
          <w:szCs w:val="22"/>
        </w:rPr>
        <w:t xml:space="preserve">Explanatory Statement all references to representative(s) refer to a </w:t>
      </w:r>
      <w:r w:rsidR="002A35D3">
        <w:rPr>
          <w:rFonts w:ascii="Arial" w:hAnsi="Arial" w:cs="Arial"/>
          <w:sz w:val="22"/>
          <w:szCs w:val="22"/>
        </w:rPr>
        <w:t>registered tax agent or BAS agent, or legal practitioner of an executor or administrator of an estate of an individual who has died</w:t>
      </w:r>
      <w:r w:rsidR="00AD6E4F">
        <w:rPr>
          <w:rFonts w:ascii="Arial" w:hAnsi="Arial" w:cs="Arial"/>
          <w:sz w:val="22"/>
          <w:szCs w:val="22"/>
        </w:rPr>
        <w:t xml:space="preserve"> unless otherwise stated</w:t>
      </w:r>
      <w:r w:rsidR="002A35D3">
        <w:rPr>
          <w:rFonts w:ascii="Arial" w:hAnsi="Arial" w:cs="Arial"/>
          <w:sz w:val="22"/>
          <w:szCs w:val="22"/>
        </w:rPr>
        <w:t>.</w:t>
      </w:r>
    </w:p>
    <w:p w14:paraId="6E4F0DF4" w14:textId="5093ABAA" w:rsidR="00486653" w:rsidRDefault="00DD21A1"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This</w:t>
      </w:r>
      <w:r w:rsidR="00486653" w:rsidRPr="007E0A01">
        <w:rPr>
          <w:rFonts w:ascii="Arial" w:hAnsi="Arial" w:cs="Arial"/>
          <w:sz w:val="22"/>
          <w:szCs w:val="22"/>
        </w:rPr>
        <w:t xml:space="preserve"> instrument is a legislative instrument for the purposes of the </w:t>
      </w:r>
      <w:r w:rsidR="00E549BD">
        <w:rPr>
          <w:rFonts w:ascii="Arial" w:hAnsi="Arial" w:cs="Arial"/>
          <w:i/>
          <w:sz w:val="22"/>
          <w:szCs w:val="22"/>
        </w:rPr>
        <w:t xml:space="preserve">Legislation </w:t>
      </w:r>
      <w:r w:rsidR="00487375">
        <w:rPr>
          <w:rFonts w:ascii="Arial" w:hAnsi="Arial" w:cs="Arial"/>
          <w:i/>
          <w:sz w:val="22"/>
          <w:szCs w:val="22"/>
        </w:rPr>
        <w:t>Act </w:t>
      </w:r>
      <w:r w:rsidR="00486653" w:rsidRPr="007E0A01">
        <w:rPr>
          <w:rFonts w:ascii="Arial" w:hAnsi="Arial" w:cs="Arial"/>
          <w:i/>
          <w:sz w:val="22"/>
          <w:szCs w:val="22"/>
        </w:rPr>
        <w:t>2003</w:t>
      </w:r>
      <w:r w:rsidR="00486653" w:rsidRPr="007E0A01">
        <w:rPr>
          <w:rFonts w:ascii="Arial" w:hAnsi="Arial" w:cs="Arial"/>
          <w:sz w:val="22"/>
          <w:szCs w:val="22"/>
        </w:rPr>
        <w:t>.</w:t>
      </w:r>
    </w:p>
    <w:p w14:paraId="0D3BA478" w14:textId="42F95FDF" w:rsidR="002827E4" w:rsidRDefault="00B321C3" w:rsidP="00146A9E">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Section 370-15 allows the Commissioner to prepare another legislative instrument to repeal this instrument. </w:t>
      </w:r>
      <w:r w:rsidR="00AA5D99">
        <w:rPr>
          <w:rFonts w:ascii="Arial" w:hAnsi="Arial" w:cs="Arial"/>
          <w:sz w:val="22"/>
          <w:szCs w:val="22"/>
        </w:rPr>
        <w:t>Subsection 370-15(3)</w:t>
      </w:r>
      <w:r>
        <w:rPr>
          <w:rFonts w:ascii="Arial" w:hAnsi="Arial" w:cs="Arial"/>
          <w:sz w:val="22"/>
          <w:szCs w:val="22"/>
        </w:rPr>
        <w:t xml:space="preserve"> </w:t>
      </w:r>
      <w:r w:rsidR="00AA5D99">
        <w:rPr>
          <w:rFonts w:ascii="Arial" w:hAnsi="Arial" w:cs="Arial"/>
          <w:sz w:val="22"/>
          <w:szCs w:val="22"/>
        </w:rPr>
        <w:t>states that</w:t>
      </w:r>
      <w:r>
        <w:rPr>
          <w:rFonts w:ascii="Arial" w:hAnsi="Arial" w:cs="Arial"/>
          <w:sz w:val="22"/>
          <w:szCs w:val="22"/>
        </w:rPr>
        <w:t xml:space="preserve"> subsection 33(3) of the </w:t>
      </w:r>
      <w:r w:rsidRPr="00AA5D99">
        <w:rPr>
          <w:rFonts w:ascii="Arial" w:hAnsi="Arial" w:cs="Arial"/>
          <w:i/>
          <w:sz w:val="22"/>
          <w:szCs w:val="22"/>
        </w:rPr>
        <w:t>Acts Interpretation Act 1901</w:t>
      </w:r>
      <w:r>
        <w:rPr>
          <w:rFonts w:ascii="Arial" w:hAnsi="Arial" w:cs="Arial"/>
          <w:sz w:val="22"/>
          <w:szCs w:val="22"/>
        </w:rPr>
        <w:t xml:space="preserve"> applies </w:t>
      </w:r>
      <w:r w:rsidR="006A339E">
        <w:rPr>
          <w:rFonts w:ascii="Arial" w:hAnsi="Arial" w:cs="Arial"/>
          <w:sz w:val="22"/>
          <w:szCs w:val="22"/>
        </w:rPr>
        <w:t xml:space="preserve">only </w:t>
      </w:r>
      <w:r>
        <w:rPr>
          <w:rFonts w:ascii="Arial" w:hAnsi="Arial" w:cs="Arial"/>
          <w:sz w:val="22"/>
          <w:szCs w:val="22"/>
        </w:rPr>
        <w:t>to the extent that it allows the Commissioner to amend or vary this instrument.</w:t>
      </w:r>
    </w:p>
    <w:p w14:paraId="53C04999" w14:textId="77777777" w:rsidR="002827E4" w:rsidRDefault="002827E4" w:rsidP="00146A9E">
      <w:pPr>
        <w:spacing w:after="120"/>
        <w:rPr>
          <w:rFonts w:ascii="Arial" w:hAnsi="Arial" w:cs="Arial"/>
          <w:sz w:val="22"/>
          <w:szCs w:val="22"/>
        </w:rPr>
      </w:pPr>
    </w:p>
    <w:p w14:paraId="4CCEA76C" w14:textId="77777777" w:rsidR="002827E4" w:rsidRPr="007E0A01" w:rsidRDefault="002827E4" w:rsidP="002827E4">
      <w:pPr>
        <w:pStyle w:val="Heading2"/>
      </w:pPr>
      <w:r w:rsidRPr="007E0A01">
        <w:t>Date of effect</w:t>
      </w:r>
    </w:p>
    <w:p w14:paraId="44214E89" w14:textId="77777777" w:rsidR="002827E4" w:rsidRDefault="002827E4" w:rsidP="00146A9E">
      <w:pPr>
        <w:spacing w:after="120"/>
        <w:rPr>
          <w:rFonts w:ascii="Arial" w:hAnsi="Arial" w:cs="Arial"/>
          <w:sz w:val="22"/>
          <w:szCs w:val="22"/>
        </w:rPr>
      </w:pPr>
    </w:p>
    <w:p w14:paraId="2EF9C948" w14:textId="612BEA8E" w:rsidR="002827E4" w:rsidRPr="0095494F" w:rsidRDefault="0095494F" w:rsidP="0095494F">
      <w:pPr>
        <w:numPr>
          <w:ilvl w:val="0"/>
          <w:numId w:val="16"/>
        </w:numPr>
        <w:tabs>
          <w:tab w:val="clear" w:pos="720"/>
        </w:tabs>
        <w:spacing w:after="120"/>
        <w:ind w:left="0" w:firstLine="0"/>
        <w:rPr>
          <w:rFonts w:ascii="Arial" w:hAnsi="Arial" w:cs="Arial"/>
          <w:sz w:val="22"/>
          <w:szCs w:val="22"/>
        </w:rPr>
      </w:pPr>
      <w:r w:rsidRPr="00AE2769">
        <w:rPr>
          <w:rFonts w:ascii="Arial" w:hAnsi="Arial" w:cs="Arial"/>
          <w:sz w:val="22"/>
          <w:szCs w:val="22"/>
        </w:rPr>
        <w:t xml:space="preserve">Section 370-20 </w:t>
      </w:r>
      <w:r>
        <w:rPr>
          <w:rFonts w:ascii="Arial" w:hAnsi="Arial" w:cs="Arial"/>
          <w:sz w:val="22"/>
          <w:szCs w:val="22"/>
        </w:rPr>
        <w:t>requires</w:t>
      </w:r>
      <w:r w:rsidRPr="00AE2769">
        <w:rPr>
          <w:rFonts w:ascii="Arial" w:hAnsi="Arial" w:cs="Arial"/>
          <w:sz w:val="22"/>
          <w:szCs w:val="22"/>
        </w:rPr>
        <w:t xml:space="preserve"> a determination made under section 370-5 must not commence before the first day it is no longer liable to be disallowed, or to be taken to have been disallowed, under section 42 of the </w:t>
      </w:r>
      <w:r w:rsidRPr="00AE2769">
        <w:rPr>
          <w:rFonts w:ascii="Arial" w:hAnsi="Arial" w:cs="Arial"/>
          <w:i/>
          <w:sz w:val="22"/>
          <w:szCs w:val="22"/>
        </w:rPr>
        <w:t>Legislation Act 2003</w:t>
      </w:r>
      <w:r w:rsidRPr="00AE2769">
        <w:rPr>
          <w:rFonts w:ascii="Arial" w:hAnsi="Arial" w:cs="Arial"/>
          <w:sz w:val="22"/>
          <w:szCs w:val="22"/>
        </w:rPr>
        <w:t>.</w:t>
      </w:r>
      <w:r>
        <w:rPr>
          <w:rFonts w:ascii="Arial" w:hAnsi="Arial" w:cs="Arial"/>
          <w:sz w:val="22"/>
          <w:szCs w:val="22"/>
        </w:rPr>
        <w:t xml:space="preserve"> Therefore, t</w:t>
      </w:r>
      <w:r w:rsidR="00380CC4" w:rsidRPr="0095494F">
        <w:rPr>
          <w:rFonts w:ascii="Arial" w:hAnsi="Arial" w:cs="Arial"/>
          <w:sz w:val="22"/>
          <w:szCs w:val="22"/>
        </w:rPr>
        <w:t>h</w:t>
      </w:r>
      <w:r w:rsidR="00F77176" w:rsidRPr="0095494F">
        <w:rPr>
          <w:rFonts w:ascii="Arial" w:hAnsi="Arial" w:cs="Arial"/>
          <w:sz w:val="22"/>
          <w:szCs w:val="22"/>
        </w:rPr>
        <w:t>is determination commences on the first day the determination is no longer liable to be disallowed, or to be taken to have been disallowed</w:t>
      </w:r>
      <w:r w:rsidR="00F77176" w:rsidRPr="0095494F">
        <w:rPr>
          <w:rFonts w:ascii="Arial" w:hAnsi="Arial" w:cs="Arial"/>
          <w:i/>
          <w:sz w:val="22"/>
          <w:szCs w:val="22"/>
        </w:rPr>
        <w:t>.</w:t>
      </w:r>
    </w:p>
    <w:p w14:paraId="059C6959" w14:textId="77777777" w:rsidR="0039118A" w:rsidRPr="0095494F" w:rsidRDefault="0039118A">
      <w:pPr>
        <w:spacing w:after="120"/>
        <w:rPr>
          <w:rFonts w:ascii="Arial" w:hAnsi="Arial" w:cs="Arial"/>
          <w:sz w:val="22"/>
          <w:szCs w:val="22"/>
        </w:rPr>
      </w:pPr>
    </w:p>
    <w:p w14:paraId="6E4F0DFD" w14:textId="77777777" w:rsidR="00486653" w:rsidRPr="007E0A01" w:rsidRDefault="00486653" w:rsidP="001C0837">
      <w:pPr>
        <w:pStyle w:val="Heading2"/>
      </w:pPr>
      <w:r w:rsidRPr="007E0A01">
        <w:t>What is this instrument about</w:t>
      </w:r>
    </w:p>
    <w:p w14:paraId="6E4F0DFF" w14:textId="3610EABF" w:rsidR="00D77015" w:rsidRDefault="00486653" w:rsidP="00487375">
      <w:pPr>
        <w:numPr>
          <w:ilvl w:val="0"/>
          <w:numId w:val="16"/>
        </w:numPr>
        <w:tabs>
          <w:tab w:val="clear" w:pos="720"/>
        </w:tabs>
        <w:spacing w:after="120"/>
        <w:ind w:left="0" w:firstLine="0"/>
        <w:rPr>
          <w:rFonts w:ascii="Arial" w:hAnsi="Arial" w:cs="Arial"/>
          <w:sz w:val="22"/>
          <w:szCs w:val="22"/>
        </w:rPr>
      </w:pPr>
      <w:r w:rsidRPr="007E0A01">
        <w:rPr>
          <w:rFonts w:ascii="Arial" w:hAnsi="Arial" w:cs="Arial"/>
          <w:sz w:val="22"/>
          <w:szCs w:val="22"/>
        </w:rPr>
        <w:t>The purpose of this instrument i</w:t>
      </w:r>
      <w:r w:rsidR="00160369">
        <w:rPr>
          <w:rFonts w:ascii="Arial" w:hAnsi="Arial" w:cs="Arial"/>
          <w:sz w:val="22"/>
          <w:szCs w:val="22"/>
        </w:rPr>
        <w:t xml:space="preserve">s </w:t>
      </w:r>
      <w:r w:rsidR="0039118A">
        <w:rPr>
          <w:rFonts w:ascii="Arial" w:hAnsi="Arial" w:cs="Arial"/>
          <w:sz w:val="22"/>
          <w:szCs w:val="22"/>
        </w:rPr>
        <w:t xml:space="preserve">to allow a taxation officer to disclose </w:t>
      </w:r>
      <w:r w:rsidR="00985BDE">
        <w:rPr>
          <w:rFonts w:ascii="Arial" w:hAnsi="Arial" w:cs="Arial"/>
          <w:sz w:val="22"/>
          <w:szCs w:val="22"/>
        </w:rPr>
        <w:t xml:space="preserve">protected </w:t>
      </w:r>
      <w:r w:rsidR="0039118A">
        <w:rPr>
          <w:rFonts w:ascii="Arial" w:hAnsi="Arial" w:cs="Arial"/>
          <w:sz w:val="22"/>
          <w:szCs w:val="22"/>
        </w:rPr>
        <w:t xml:space="preserve">information </w:t>
      </w:r>
      <w:r w:rsidR="00985BDE">
        <w:rPr>
          <w:rFonts w:ascii="Arial" w:hAnsi="Arial" w:cs="Arial"/>
          <w:sz w:val="22"/>
          <w:szCs w:val="22"/>
        </w:rPr>
        <w:t xml:space="preserve">of a deceased person </w:t>
      </w:r>
      <w:r w:rsidR="0039118A">
        <w:rPr>
          <w:rFonts w:ascii="Arial" w:hAnsi="Arial" w:cs="Arial"/>
          <w:sz w:val="22"/>
          <w:szCs w:val="22"/>
        </w:rPr>
        <w:t>to:</w:t>
      </w:r>
    </w:p>
    <w:p w14:paraId="7B8A6602" w14:textId="1D0D9F71" w:rsidR="0039118A" w:rsidRDefault="00887905" w:rsidP="00487375">
      <w:pPr>
        <w:keepNext/>
        <w:numPr>
          <w:ilvl w:val="1"/>
          <w:numId w:val="16"/>
        </w:numPr>
        <w:tabs>
          <w:tab w:val="clear" w:pos="1440"/>
        </w:tabs>
        <w:spacing w:after="120"/>
        <w:ind w:left="1418" w:hanging="709"/>
        <w:rPr>
          <w:rFonts w:ascii="Arial" w:hAnsi="Arial" w:cs="Arial"/>
          <w:sz w:val="22"/>
          <w:szCs w:val="22"/>
        </w:rPr>
      </w:pPr>
      <w:r>
        <w:rPr>
          <w:rFonts w:ascii="Arial" w:hAnsi="Arial" w:cs="Arial"/>
          <w:sz w:val="22"/>
          <w:szCs w:val="22"/>
        </w:rPr>
        <w:t>the registered tax agent</w:t>
      </w:r>
      <w:r w:rsidR="00C32A20">
        <w:rPr>
          <w:rFonts w:ascii="Arial" w:hAnsi="Arial" w:cs="Arial"/>
          <w:sz w:val="22"/>
          <w:szCs w:val="22"/>
        </w:rPr>
        <w:t xml:space="preserve"> or BAS agent</w:t>
      </w:r>
      <w:r w:rsidR="0039118A">
        <w:rPr>
          <w:rFonts w:ascii="Arial" w:hAnsi="Arial" w:cs="Arial"/>
          <w:sz w:val="22"/>
          <w:szCs w:val="22"/>
        </w:rPr>
        <w:t>; and</w:t>
      </w:r>
    </w:p>
    <w:p w14:paraId="75BC936B" w14:textId="77777777" w:rsidR="001C0837" w:rsidRDefault="0039118A" w:rsidP="00487375">
      <w:pPr>
        <w:keepNext/>
        <w:numPr>
          <w:ilvl w:val="1"/>
          <w:numId w:val="16"/>
        </w:numPr>
        <w:tabs>
          <w:tab w:val="clear" w:pos="1440"/>
        </w:tabs>
        <w:spacing w:after="120"/>
        <w:ind w:left="1418" w:hanging="709"/>
        <w:rPr>
          <w:rFonts w:ascii="Arial" w:hAnsi="Arial" w:cs="Arial"/>
          <w:sz w:val="22"/>
          <w:szCs w:val="22"/>
        </w:rPr>
      </w:pPr>
      <w:r>
        <w:rPr>
          <w:rFonts w:ascii="Arial" w:hAnsi="Arial" w:cs="Arial"/>
          <w:sz w:val="22"/>
          <w:szCs w:val="22"/>
        </w:rPr>
        <w:t>a legal practitioner</w:t>
      </w:r>
      <w:r w:rsidR="003264EC">
        <w:rPr>
          <w:rFonts w:ascii="Arial" w:hAnsi="Arial" w:cs="Arial"/>
          <w:sz w:val="22"/>
          <w:szCs w:val="22"/>
        </w:rPr>
        <w:t>,</w:t>
      </w:r>
    </w:p>
    <w:p w14:paraId="4F949B6B" w14:textId="39E0878A" w:rsidR="0039118A" w:rsidRDefault="002A35D3" w:rsidP="00487375">
      <w:pPr>
        <w:spacing w:after="120"/>
        <w:rPr>
          <w:rFonts w:ascii="Arial" w:hAnsi="Arial" w:cs="Arial"/>
          <w:sz w:val="22"/>
          <w:szCs w:val="22"/>
        </w:rPr>
      </w:pPr>
      <w:proofErr w:type="gramStart"/>
      <w:r>
        <w:rPr>
          <w:rFonts w:ascii="Arial" w:hAnsi="Arial" w:cs="Arial"/>
          <w:sz w:val="22"/>
          <w:szCs w:val="22"/>
        </w:rPr>
        <w:t>of</w:t>
      </w:r>
      <w:proofErr w:type="gramEnd"/>
      <w:r w:rsidR="0039118A">
        <w:rPr>
          <w:rFonts w:ascii="Arial" w:hAnsi="Arial" w:cs="Arial"/>
          <w:sz w:val="22"/>
          <w:szCs w:val="22"/>
        </w:rPr>
        <w:t xml:space="preserve"> an executor or administrator of an estate of </w:t>
      </w:r>
      <w:r w:rsidR="003264EC">
        <w:rPr>
          <w:rFonts w:ascii="Arial" w:hAnsi="Arial" w:cs="Arial"/>
          <w:sz w:val="22"/>
          <w:szCs w:val="22"/>
        </w:rPr>
        <w:t>the</w:t>
      </w:r>
      <w:r w:rsidR="0039118A">
        <w:rPr>
          <w:rFonts w:ascii="Arial" w:hAnsi="Arial" w:cs="Arial"/>
          <w:sz w:val="22"/>
          <w:szCs w:val="22"/>
        </w:rPr>
        <w:t xml:space="preserve"> individual who has died.</w:t>
      </w:r>
    </w:p>
    <w:p w14:paraId="2B8D93E2" w14:textId="77777777" w:rsidR="00BB4B90" w:rsidRPr="00BB4B90" w:rsidRDefault="00BB4B90" w:rsidP="00BB4B90">
      <w:pPr>
        <w:spacing w:after="120"/>
        <w:rPr>
          <w:rFonts w:ascii="Arial" w:hAnsi="Arial" w:cs="Arial"/>
          <w:sz w:val="22"/>
          <w:szCs w:val="22"/>
        </w:rPr>
      </w:pPr>
    </w:p>
    <w:p w14:paraId="6E4F0E03" w14:textId="77777777" w:rsidR="00486653" w:rsidRPr="007E0A01" w:rsidRDefault="00486653" w:rsidP="001C0837">
      <w:pPr>
        <w:pStyle w:val="Heading2"/>
      </w:pPr>
      <w:r w:rsidRPr="007E0A01">
        <w:lastRenderedPageBreak/>
        <w:t>What is the effect of this instrument</w:t>
      </w:r>
    </w:p>
    <w:p w14:paraId="19D342B9" w14:textId="77777777" w:rsidR="001C0837" w:rsidRDefault="00E43562" w:rsidP="00487375">
      <w:pPr>
        <w:numPr>
          <w:ilvl w:val="0"/>
          <w:numId w:val="16"/>
        </w:numPr>
        <w:tabs>
          <w:tab w:val="clear" w:pos="720"/>
        </w:tabs>
        <w:spacing w:after="120"/>
        <w:ind w:left="0" w:firstLine="0"/>
        <w:rPr>
          <w:rFonts w:ascii="Arial" w:hAnsi="Arial" w:cs="Arial"/>
          <w:color w:val="000000"/>
          <w:sz w:val="22"/>
          <w:szCs w:val="22"/>
        </w:rPr>
      </w:pPr>
      <w:r>
        <w:rPr>
          <w:rFonts w:ascii="Arial" w:hAnsi="Arial" w:cs="Arial"/>
          <w:color w:val="000000"/>
          <w:sz w:val="22"/>
          <w:szCs w:val="22"/>
        </w:rPr>
        <w:t>T</w:t>
      </w:r>
      <w:r w:rsidR="00C32A20">
        <w:rPr>
          <w:rFonts w:ascii="Arial" w:hAnsi="Arial" w:cs="Arial"/>
          <w:color w:val="000000"/>
          <w:sz w:val="22"/>
          <w:szCs w:val="22"/>
        </w:rPr>
        <w:t xml:space="preserve">his </w:t>
      </w:r>
      <w:r w:rsidR="00196F6B">
        <w:rPr>
          <w:rFonts w:ascii="Arial" w:hAnsi="Arial" w:cs="Arial"/>
          <w:color w:val="000000"/>
          <w:sz w:val="22"/>
          <w:szCs w:val="22"/>
        </w:rPr>
        <w:t xml:space="preserve">instrument </w:t>
      </w:r>
      <w:r w:rsidR="00196F6B" w:rsidRPr="001C0837">
        <w:rPr>
          <w:rFonts w:ascii="Arial" w:hAnsi="Arial" w:cs="Arial"/>
          <w:sz w:val="22"/>
          <w:szCs w:val="22"/>
        </w:rPr>
        <w:t>ensures</w:t>
      </w:r>
      <w:r w:rsidR="00D20A8F">
        <w:rPr>
          <w:rFonts w:ascii="Arial" w:hAnsi="Arial" w:cs="Arial"/>
          <w:color w:val="000000"/>
          <w:sz w:val="22"/>
          <w:szCs w:val="22"/>
        </w:rPr>
        <w:t xml:space="preserve"> th</w:t>
      </w:r>
      <w:r w:rsidR="00C32A20">
        <w:rPr>
          <w:rFonts w:ascii="Arial" w:hAnsi="Arial" w:cs="Arial"/>
          <w:color w:val="000000"/>
          <w:sz w:val="22"/>
          <w:szCs w:val="22"/>
        </w:rPr>
        <w:t xml:space="preserve">at </w:t>
      </w:r>
      <w:r w:rsidR="001C7965">
        <w:rPr>
          <w:rFonts w:ascii="Arial" w:hAnsi="Arial" w:cs="Arial"/>
          <w:color w:val="000000"/>
          <w:sz w:val="22"/>
          <w:szCs w:val="22"/>
        </w:rPr>
        <w:t xml:space="preserve">the making of </w:t>
      </w:r>
      <w:r w:rsidR="00CE0FAB">
        <w:rPr>
          <w:rFonts w:ascii="Arial" w:hAnsi="Arial" w:cs="Arial"/>
          <w:color w:val="000000"/>
          <w:sz w:val="22"/>
          <w:szCs w:val="22"/>
        </w:rPr>
        <w:t xml:space="preserve">such </w:t>
      </w:r>
      <w:r w:rsidR="00C32A20">
        <w:rPr>
          <w:rFonts w:ascii="Arial" w:hAnsi="Arial" w:cs="Arial"/>
          <w:color w:val="000000"/>
          <w:sz w:val="22"/>
          <w:szCs w:val="22"/>
        </w:rPr>
        <w:t xml:space="preserve">disclosures </w:t>
      </w:r>
      <w:r w:rsidR="00CE0FAB">
        <w:rPr>
          <w:rFonts w:ascii="Arial" w:hAnsi="Arial" w:cs="Arial"/>
          <w:color w:val="000000"/>
          <w:sz w:val="22"/>
          <w:szCs w:val="22"/>
        </w:rPr>
        <w:t>will</w:t>
      </w:r>
      <w:r w:rsidR="00D20A8F">
        <w:rPr>
          <w:rFonts w:ascii="Arial" w:hAnsi="Arial" w:cs="Arial"/>
          <w:color w:val="000000"/>
          <w:sz w:val="22"/>
          <w:szCs w:val="22"/>
        </w:rPr>
        <w:t xml:space="preserve"> not</w:t>
      </w:r>
      <w:r w:rsidR="00CE0FAB">
        <w:rPr>
          <w:rFonts w:ascii="Arial" w:hAnsi="Arial" w:cs="Arial"/>
          <w:color w:val="000000"/>
          <w:sz w:val="22"/>
          <w:szCs w:val="22"/>
        </w:rPr>
        <w:t xml:space="preserve"> be</w:t>
      </w:r>
      <w:r w:rsidR="00D20A8F">
        <w:rPr>
          <w:rFonts w:ascii="Arial" w:hAnsi="Arial" w:cs="Arial"/>
          <w:color w:val="000000"/>
          <w:sz w:val="22"/>
          <w:szCs w:val="22"/>
        </w:rPr>
        <w:t xml:space="preserve"> an offence.</w:t>
      </w:r>
    </w:p>
    <w:p w14:paraId="79CF8732" w14:textId="77777777" w:rsidR="001C0837" w:rsidRDefault="00D20A8F" w:rsidP="00487375">
      <w:pPr>
        <w:numPr>
          <w:ilvl w:val="0"/>
          <w:numId w:val="16"/>
        </w:numPr>
        <w:tabs>
          <w:tab w:val="clear" w:pos="720"/>
        </w:tabs>
        <w:spacing w:after="120"/>
        <w:ind w:left="0" w:firstLine="0"/>
        <w:rPr>
          <w:rFonts w:ascii="Arial" w:hAnsi="Arial" w:cs="Arial"/>
          <w:color w:val="000000"/>
          <w:sz w:val="22"/>
          <w:szCs w:val="22"/>
        </w:rPr>
      </w:pPr>
      <w:r w:rsidRPr="00D20A8F">
        <w:rPr>
          <w:rFonts w:ascii="Arial" w:hAnsi="Arial" w:cs="Arial"/>
          <w:color w:val="000000"/>
          <w:sz w:val="22"/>
          <w:szCs w:val="22"/>
        </w:rPr>
        <w:t>The instrument recognises that an executor or administrator of a deceased estate effectively ‘</w:t>
      </w:r>
      <w:r w:rsidRPr="001C0837">
        <w:rPr>
          <w:rFonts w:ascii="Arial" w:hAnsi="Arial" w:cs="Arial"/>
          <w:sz w:val="22"/>
          <w:szCs w:val="22"/>
        </w:rPr>
        <w:t>stands</w:t>
      </w:r>
      <w:r w:rsidRPr="00D20A8F">
        <w:rPr>
          <w:rFonts w:ascii="Arial" w:hAnsi="Arial" w:cs="Arial"/>
          <w:color w:val="000000"/>
          <w:sz w:val="22"/>
          <w:szCs w:val="22"/>
        </w:rPr>
        <w:t xml:space="preserve"> in the shoes’ of the deceased person, in the sense that they assume the rights, burdens and obligations of the deceased person after death. </w:t>
      </w:r>
      <w:r w:rsidR="00AE5935">
        <w:rPr>
          <w:rFonts w:ascii="Arial" w:hAnsi="Arial" w:cs="Arial"/>
          <w:color w:val="000000"/>
          <w:sz w:val="22"/>
          <w:szCs w:val="22"/>
        </w:rPr>
        <w:t>By</w:t>
      </w:r>
      <w:r>
        <w:rPr>
          <w:rFonts w:ascii="Arial" w:hAnsi="Arial" w:cs="Arial"/>
          <w:color w:val="000000"/>
          <w:sz w:val="22"/>
          <w:szCs w:val="22"/>
        </w:rPr>
        <w:t xml:space="preserve"> allowing </w:t>
      </w:r>
      <w:r w:rsidR="00437B7A">
        <w:rPr>
          <w:rFonts w:ascii="Arial" w:hAnsi="Arial" w:cs="Arial"/>
          <w:color w:val="000000"/>
          <w:sz w:val="22"/>
          <w:szCs w:val="22"/>
        </w:rPr>
        <w:t>ta</w:t>
      </w:r>
      <w:r w:rsidR="00AE5935">
        <w:rPr>
          <w:rFonts w:ascii="Arial" w:hAnsi="Arial" w:cs="Arial"/>
          <w:color w:val="000000"/>
          <w:sz w:val="22"/>
          <w:szCs w:val="22"/>
        </w:rPr>
        <w:t>xation officers to disclos</w:t>
      </w:r>
      <w:r w:rsidR="00437B7A">
        <w:rPr>
          <w:rFonts w:ascii="Arial" w:hAnsi="Arial" w:cs="Arial"/>
          <w:color w:val="000000"/>
          <w:sz w:val="22"/>
          <w:szCs w:val="22"/>
        </w:rPr>
        <w:t xml:space="preserve">e the deceased person’s </w:t>
      </w:r>
      <w:r>
        <w:rPr>
          <w:rFonts w:ascii="Arial" w:hAnsi="Arial" w:cs="Arial"/>
          <w:color w:val="000000"/>
          <w:sz w:val="22"/>
          <w:szCs w:val="22"/>
        </w:rPr>
        <w:t xml:space="preserve">protected information to a </w:t>
      </w:r>
      <w:r w:rsidR="002A35D3">
        <w:rPr>
          <w:rFonts w:ascii="Arial" w:hAnsi="Arial" w:cs="Arial"/>
          <w:color w:val="000000"/>
          <w:sz w:val="22"/>
          <w:szCs w:val="22"/>
        </w:rPr>
        <w:t>representative</w:t>
      </w:r>
      <w:r w:rsidR="00211BF7">
        <w:rPr>
          <w:rFonts w:ascii="Arial" w:hAnsi="Arial" w:cs="Arial"/>
          <w:color w:val="000000"/>
          <w:sz w:val="22"/>
          <w:szCs w:val="22"/>
        </w:rPr>
        <w:t>; the executor or administrator is</w:t>
      </w:r>
      <w:r w:rsidR="00AE5935">
        <w:rPr>
          <w:rFonts w:ascii="Arial" w:hAnsi="Arial" w:cs="Arial"/>
          <w:color w:val="000000"/>
          <w:sz w:val="22"/>
          <w:szCs w:val="22"/>
        </w:rPr>
        <w:t xml:space="preserve"> able </w:t>
      </w:r>
      <w:r>
        <w:rPr>
          <w:rFonts w:ascii="Arial" w:hAnsi="Arial" w:cs="Arial"/>
          <w:color w:val="000000"/>
          <w:sz w:val="22"/>
          <w:szCs w:val="22"/>
        </w:rPr>
        <w:t xml:space="preserve">to </w:t>
      </w:r>
      <w:r w:rsidR="001C7965">
        <w:rPr>
          <w:rFonts w:ascii="Arial" w:hAnsi="Arial" w:cs="Arial"/>
          <w:color w:val="000000"/>
          <w:sz w:val="22"/>
          <w:szCs w:val="22"/>
        </w:rPr>
        <w:t xml:space="preserve">be represented in </w:t>
      </w:r>
      <w:r>
        <w:rPr>
          <w:rFonts w:ascii="Arial" w:hAnsi="Arial" w:cs="Arial"/>
          <w:color w:val="000000"/>
          <w:sz w:val="22"/>
          <w:szCs w:val="22"/>
        </w:rPr>
        <w:t>perform</w:t>
      </w:r>
      <w:r w:rsidR="001C7965">
        <w:rPr>
          <w:rFonts w:ascii="Arial" w:hAnsi="Arial" w:cs="Arial"/>
          <w:color w:val="000000"/>
          <w:sz w:val="22"/>
          <w:szCs w:val="22"/>
        </w:rPr>
        <w:t>ing</w:t>
      </w:r>
      <w:r>
        <w:rPr>
          <w:rFonts w:ascii="Arial" w:hAnsi="Arial" w:cs="Arial"/>
          <w:color w:val="000000"/>
          <w:sz w:val="22"/>
          <w:szCs w:val="22"/>
        </w:rPr>
        <w:t xml:space="preserve"> their duties </w:t>
      </w:r>
      <w:r w:rsidR="00363D7F">
        <w:rPr>
          <w:rFonts w:ascii="Arial" w:hAnsi="Arial" w:cs="Arial"/>
          <w:color w:val="000000"/>
          <w:sz w:val="22"/>
          <w:szCs w:val="22"/>
        </w:rPr>
        <w:t>in the same way</w:t>
      </w:r>
      <w:r w:rsidR="003529EC">
        <w:rPr>
          <w:rFonts w:ascii="Arial" w:hAnsi="Arial" w:cs="Arial"/>
          <w:color w:val="000000"/>
          <w:sz w:val="22"/>
          <w:szCs w:val="22"/>
        </w:rPr>
        <w:t xml:space="preserve"> </w:t>
      </w:r>
      <w:r>
        <w:rPr>
          <w:rFonts w:ascii="Arial" w:hAnsi="Arial" w:cs="Arial"/>
          <w:color w:val="000000"/>
          <w:sz w:val="22"/>
          <w:szCs w:val="22"/>
        </w:rPr>
        <w:t>that the decease</w:t>
      </w:r>
      <w:r w:rsidR="003529EC">
        <w:rPr>
          <w:rFonts w:ascii="Arial" w:hAnsi="Arial" w:cs="Arial"/>
          <w:color w:val="000000"/>
          <w:sz w:val="22"/>
          <w:szCs w:val="22"/>
        </w:rPr>
        <w:t>d person c</w:t>
      </w:r>
      <w:r>
        <w:rPr>
          <w:rFonts w:ascii="Arial" w:hAnsi="Arial" w:cs="Arial"/>
          <w:color w:val="000000"/>
          <w:sz w:val="22"/>
          <w:szCs w:val="22"/>
        </w:rPr>
        <w:t>ould have if they were alive.</w:t>
      </w:r>
    </w:p>
    <w:p w14:paraId="0C81337E" w14:textId="77777777" w:rsidR="001C0837" w:rsidRDefault="00A355F6" w:rsidP="00487375">
      <w:pPr>
        <w:numPr>
          <w:ilvl w:val="0"/>
          <w:numId w:val="16"/>
        </w:numPr>
        <w:tabs>
          <w:tab w:val="clear" w:pos="720"/>
        </w:tabs>
        <w:spacing w:after="120"/>
        <w:ind w:left="0" w:firstLine="0"/>
        <w:rPr>
          <w:rFonts w:ascii="Arial" w:hAnsi="Arial" w:cs="Arial"/>
          <w:color w:val="000000"/>
          <w:sz w:val="22"/>
          <w:szCs w:val="22"/>
        </w:rPr>
      </w:pPr>
      <w:r w:rsidRPr="00752440">
        <w:rPr>
          <w:rFonts w:ascii="Arial" w:hAnsi="Arial" w:cs="Arial"/>
          <w:color w:val="000000"/>
          <w:sz w:val="22"/>
          <w:szCs w:val="22"/>
        </w:rPr>
        <w:t xml:space="preserve">The instrument notionally amends </w:t>
      </w:r>
      <w:r w:rsidR="007D1588" w:rsidRPr="00752440">
        <w:rPr>
          <w:rFonts w:ascii="Arial" w:hAnsi="Arial" w:cs="Arial"/>
          <w:color w:val="000000"/>
          <w:sz w:val="22"/>
          <w:szCs w:val="22"/>
        </w:rPr>
        <w:t>subsection</w:t>
      </w:r>
      <w:r w:rsidR="009C549B" w:rsidRPr="00752440">
        <w:rPr>
          <w:rFonts w:ascii="Arial" w:hAnsi="Arial" w:cs="Arial"/>
          <w:color w:val="000000"/>
          <w:sz w:val="22"/>
          <w:szCs w:val="22"/>
        </w:rPr>
        <w:t xml:space="preserve"> 355-25(2), it </w:t>
      </w:r>
      <w:r w:rsidR="007D1588" w:rsidRPr="00752440">
        <w:rPr>
          <w:rFonts w:ascii="Arial" w:hAnsi="Arial" w:cs="Arial"/>
          <w:color w:val="000000"/>
          <w:sz w:val="22"/>
          <w:szCs w:val="22"/>
        </w:rPr>
        <w:t>is not a textual amendment</w:t>
      </w:r>
      <w:r w:rsidR="009C549B" w:rsidRPr="00752440">
        <w:rPr>
          <w:rFonts w:ascii="Arial" w:hAnsi="Arial" w:cs="Arial"/>
          <w:color w:val="000000"/>
          <w:sz w:val="22"/>
          <w:szCs w:val="22"/>
        </w:rPr>
        <w:t xml:space="preserve"> rather it modifies and clarifies the operation of subsection 355-25(2). </w:t>
      </w:r>
      <w:r w:rsidR="002A35D3" w:rsidRPr="00752440">
        <w:rPr>
          <w:rFonts w:ascii="Arial" w:hAnsi="Arial" w:cs="Arial"/>
          <w:color w:val="000000"/>
          <w:sz w:val="22"/>
          <w:szCs w:val="22"/>
        </w:rPr>
        <w:t xml:space="preserve">The effect of this instrument </w:t>
      </w:r>
      <w:r w:rsidRPr="00752440">
        <w:rPr>
          <w:rFonts w:ascii="Arial" w:hAnsi="Arial" w:cs="Arial"/>
          <w:color w:val="000000"/>
          <w:sz w:val="22"/>
          <w:szCs w:val="22"/>
        </w:rPr>
        <w:t xml:space="preserve">is </w:t>
      </w:r>
      <w:r w:rsidR="002A35D3" w:rsidRPr="00752440">
        <w:rPr>
          <w:rFonts w:ascii="Arial" w:hAnsi="Arial" w:cs="Arial"/>
          <w:color w:val="000000"/>
          <w:sz w:val="22"/>
          <w:szCs w:val="22"/>
        </w:rPr>
        <w:t>to provide for representatives of</w:t>
      </w:r>
      <w:r w:rsidR="0036233A" w:rsidRPr="00752440">
        <w:rPr>
          <w:rFonts w:ascii="Arial" w:hAnsi="Arial" w:cs="Arial"/>
          <w:color w:val="000000"/>
          <w:sz w:val="22"/>
          <w:szCs w:val="22"/>
        </w:rPr>
        <w:t xml:space="preserve"> an</w:t>
      </w:r>
      <w:r w:rsidR="002A35D3" w:rsidRPr="00752440">
        <w:rPr>
          <w:rFonts w:ascii="Arial" w:hAnsi="Arial" w:cs="Arial"/>
          <w:color w:val="000000"/>
          <w:sz w:val="22"/>
          <w:szCs w:val="22"/>
        </w:rPr>
        <w:t xml:space="preserve"> executor or administrator of a deceased estate to be considered a covered entity for the purposes of subsection 355-25(2)</w:t>
      </w:r>
      <w:r w:rsidR="0036233A" w:rsidRPr="00752440">
        <w:rPr>
          <w:rFonts w:ascii="Arial" w:hAnsi="Arial" w:cs="Arial"/>
          <w:color w:val="000000"/>
          <w:sz w:val="22"/>
          <w:szCs w:val="22"/>
        </w:rPr>
        <w:t>.</w:t>
      </w:r>
    </w:p>
    <w:p w14:paraId="6E4F0E06" w14:textId="298272F7" w:rsidR="00D77015" w:rsidRPr="00BB4B90" w:rsidRDefault="00D77015" w:rsidP="00BB4B90">
      <w:pPr>
        <w:spacing w:after="120"/>
        <w:rPr>
          <w:rFonts w:ascii="Arial" w:hAnsi="Arial" w:cs="Arial"/>
          <w:sz w:val="22"/>
          <w:szCs w:val="22"/>
        </w:rPr>
      </w:pPr>
    </w:p>
    <w:p w14:paraId="6E4F0E0B" w14:textId="77777777" w:rsidR="00486653" w:rsidRPr="007E0A01" w:rsidRDefault="00486653" w:rsidP="001C0837">
      <w:pPr>
        <w:pStyle w:val="Heading2"/>
      </w:pPr>
      <w:r w:rsidRPr="007E0A01">
        <w:t>Background</w:t>
      </w:r>
    </w:p>
    <w:p w14:paraId="6763ADCF" w14:textId="77777777" w:rsidR="001C0837" w:rsidRDefault="00EA1DA5"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Taxation </w:t>
      </w:r>
      <w:r w:rsidR="00E32DF3">
        <w:rPr>
          <w:rFonts w:ascii="Arial" w:hAnsi="Arial" w:cs="Arial"/>
          <w:sz w:val="22"/>
          <w:szCs w:val="22"/>
        </w:rPr>
        <w:t xml:space="preserve">officers </w:t>
      </w:r>
      <w:r>
        <w:rPr>
          <w:rFonts w:ascii="Arial" w:hAnsi="Arial" w:cs="Arial"/>
          <w:sz w:val="22"/>
          <w:szCs w:val="22"/>
        </w:rPr>
        <w:t xml:space="preserve">are bound by strict taxpayer confidentiality laws. These rules contain a general prohibition on the disclosure of </w:t>
      </w:r>
      <w:r w:rsidR="00BF3C3F">
        <w:rPr>
          <w:rFonts w:ascii="Arial" w:hAnsi="Arial" w:cs="Arial"/>
          <w:sz w:val="22"/>
          <w:szCs w:val="22"/>
        </w:rPr>
        <w:t xml:space="preserve">protected </w:t>
      </w:r>
      <w:r>
        <w:rPr>
          <w:rFonts w:ascii="Arial" w:hAnsi="Arial" w:cs="Arial"/>
          <w:sz w:val="22"/>
          <w:szCs w:val="22"/>
        </w:rPr>
        <w:t>information about a taxpayer’s affairs to another person except in certain limited circumstances.</w:t>
      </w:r>
    </w:p>
    <w:p w14:paraId="548A0400" w14:textId="77777777" w:rsidR="001C0837" w:rsidRDefault="009C4855"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Under those rules, a</w:t>
      </w:r>
      <w:r w:rsidR="00A273CF">
        <w:rPr>
          <w:rFonts w:ascii="Arial" w:hAnsi="Arial" w:cs="Arial"/>
          <w:sz w:val="22"/>
          <w:szCs w:val="22"/>
        </w:rPr>
        <w:t xml:space="preserve"> taxation officer </w:t>
      </w:r>
      <w:r w:rsidR="00BF3C3F" w:rsidRPr="00AA5D99">
        <w:rPr>
          <w:rFonts w:ascii="Arial" w:hAnsi="Arial" w:cs="Arial"/>
          <w:b/>
          <w:sz w:val="22"/>
          <w:szCs w:val="22"/>
        </w:rPr>
        <w:t>can</w:t>
      </w:r>
      <w:r w:rsidR="00BF3C3F">
        <w:rPr>
          <w:rFonts w:ascii="Arial" w:hAnsi="Arial" w:cs="Arial"/>
          <w:sz w:val="22"/>
          <w:szCs w:val="22"/>
        </w:rPr>
        <w:t xml:space="preserve"> provide protected information </w:t>
      </w:r>
      <w:r w:rsidR="00E32DF3">
        <w:rPr>
          <w:rFonts w:ascii="Arial" w:hAnsi="Arial" w:cs="Arial"/>
          <w:sz w:val="22"/>
          <w:szCs w:val="22"/>
        </w:rPr>
        <w:t>of</w:t>
      </w:r>
      <w:r w:rsidR="007D73EB">
        <w:rPr>
          <w:rFonts w:ascii="Arial" w:hAnsi="Arial" w:cs="Arial"/>
          <w:sz w:val="22"/>
          <w:szCs w:val="22"/>
        </w:rPr>
        <w:t xml:space="preserve"> a deceased person to an executor or administrator of an estate of an individual who has died.</w:t>
      </w:r>
      <w:r w:rsidR="00912C9A">
        <w:rPr>
          <w:rFonts w:ascii="Arial" w:hAnsi="Arial" w:cs="Arial"/>
          <w:sz w:val="22"/>
          <w:szCs w:val="22"/>
        </w:rPr>
        <w:t xml:space="preserve"> However, </w:t>
      </w:r>
      <w:r w:rsidR="00E32DF3">
        <w:rPr>
          <w:rFonts w:ascii="Arial" w:hAnsi="Arial" w:cs="Arial"/>
          <w:sz w:val="22"/>
          <w:szCs w:val="22"/>
        </w:rPr>
        <w:t>such</w:t>
      </w:r>
      <w:r w:rsidR="00912C9A">
        <w:rPr>
          <w:rFonts w:ascii="Arial" w:hAnsi="Arial" w:cs="Arial"/>
          <w:sz w:val="22"/>
          <w:szCs w:val="22"/>
        </w:rPr>
        <w:t xml:space="preserve"> infor</w:t>
      </w:r>
      <w:r w:rsidR="00401BE6">
        <w:rPr>
          <w:rFonts w:ascii="Arial" w:hAnsi="Arial" w:cs="Arial"/>
          <w:sz w:val="22"/>
          <w:szCs w:val="22"/>
        </w:rPr>
        <w:t xml:space="preserve">mation </w:t>
      </w:r>
      <w:r w:rsidR="00401BE6" w:rsidRPr="00AA5D99">
        <w:rPr>
          <w:rFonts w:ascii="Arial" w:hAnsi="Arial" w:cs="Arial"/>
          <w:b/>
          <w:sz w:val="22"/>
          <w:szCs w:val="22"/>
        </w:rPr>
        <w:t>can</w:t>
      </w:r>
      <w:r w:rsidR="00A273CF" w:rsidRPr="00AA5D99">
        <w:rPr>
          <w:rFonts w:ascii="Arial" w:hAnsi="Arial" w:cs="Arial"/>
          <w:b/>
          <w:sz w:val="22"/>
          <w:szCs w:val="22"/>
        </w:rPr>
        <w:t>not</w:t>
      </w:r>
      <w:r w:rsidR="00912C9A">
        <w:rPr>
          <w:rFonts w:ascii="Arial" w:hAnsi="Arial" w:cs="Arial"/>
          <w:sz w:val="22"/>
          <w:szCs w:val="22"/>
        </w:rPr>
        <w:t xml:space="preserve"> be provided to a </w:t>
      </w:r>
      <w:r w:rsidR="00FF0454">
        <w:rPr>
          <w:rFonts w:ascii="Arial" w:hAnsi="Arial" w:cs="Arial"/>
          <w:sz w:val="22"/>
          <w:szCs w:val="22"/>
        </w:rPr>
        <w:t>representative</w:t>
      </w:r>
      <w:r w:rsidR="00912C9A">
        <w:rPr>
          <w:rFonts w:ascii="Arial" w:hAnsi="Arial" w:cs="Arial"/>
          <w:sz w:val="22"/>
          <w:szCs w:val="22"/>
        </w:rPr>
        <w:t xml:space="preserve"> appointed by an executor or administrator of the deceased person’s estate</w:t>
      </w:r>
      <w:r w:rsidR="003264EC">
        <w:rPr>
          <w:rFonts w:ascii="Arial" w:hAnsi="Arial" w:cs="Arial"/>
          <w:sz w:val="22"/>
          <w:szCs w:val="22"/>
        </w:rPr>
        <w:t>, except in limited circumstances</w:t>
      </w:r>
      <w:r w:rsidR="00912C9A">
        <w:rPr>
          <w:rFonts w:ascii="Arial" w:hAnsi="Arial" w:cs="Arial"/>
          <w:sz w:val="22"/>
          <w:szCs w:val="22"/>
        </w:rPr>
        <w:t>.</w:t>
      </w:r>
    </w:p>
    <w:p w14:paraId="1BBD5BFB" w14:textId="77777777" w:rsidR="001C0837" w:rsidRDefault="00486653" w:rsidP="00487375">
      <w:pPr>
        <w:numPr>
          <w:ilvl w:val="0"/>
          <w:numId w:val="16"/>
        </w:numPr>
        <w:tabs>
          <w:tab w:val="clear" w:pos="720"/>
        </w:tabs>
        <w:spacing w:after="120"/>
        <w:ind w:left="0" w:firstLine="0"/>
        <w:rPr>
          <w:rFonts w:ascii="Arial" w:hAnsi="Arial" w:cs="Arial"/>
          <w:sz w:val="22"/>
          <w:szCs w:val="22"/>
        </w:rPr>
      </w:pPr>
      <w:r w:rsidRPr="007E0A01">
        <w:rPr>
          <w:rFonts w:ascii="Arial" w:hAnsi="Arial" w:cs="Arial"/>
          <w:sz w:val="22"/>
          <w:szCs w:val="22"/>
        </w:rPr>
        <w:t xml:space="preserve">This instrument has been developed to ensure </w:t>
      </w:r>
      <w:r w:rsidR="00E50C3C">
        <w:rPr>
          <w:rFonts w:ascii="Arial" w:hAnsi="Arial" w:cs="Arial"/>
          <w:sz w:val="22"/>
          <w:szCs w:val="22"/>
        </w:rPr>
        <w:t>a taxation officer</w:t>
      </w:r>
      <w:r w:rsidR="003529EC">
        <w:rPr>
          <w:rFonts w:ascii="Arial" w:hAnsi="Arial" w:cs="Arial"/>
          <w:sz w:val="22"/>
          <w:szCs w:val="22"/>
        </w:rPr>
        <w:t xml:space="preserve"> does not commit an offence when</w:t>
      </w:r>
      <w:r w:rsidR="00E50C3C">
        <w:rPr>
          <w:rFonts w:ascii="Arial" w:hAnsi="Arial" w:cs="Arial"/>
          <w:sz w:val="22"/>
          <w:szCs w:val="22"/>
        </w:rPr>
        <w:t xml:space="preserve"> protected information </w:t>
      </w:r>
      <w:r w:rsidR="003529EC">
        <w:rPr>
          <w:rFonts w:ascii="Arial" w:hAnsi="Arial" w:cs="Arial"/>
          <w:sz w:val="22"/>
          <w:szCs w:val="22"/>
        </w:rPr>
        <w:t xml:space="preserve">of the deceased is disclosed </w:t>
      </w:r>
      <w:r w:rsidR="0065605B">
        <w:rPr>
          <w:rFonts w:ascii="Arial" w:hAnsi="Arial" w:cs="Arial"/>
          <w:sz w:val="22"/>
          <w:szCs w:val="22"/>
        </w:rPr>
        <w:t xml:space="preserve">to </w:t>
      </w:r>
      <w:r w:rsidR="00F356E6">
        <w:rPr>
          <w:rFonts w:ascii="Arial" w:hAnsi="Arial" w:cs="Arial"/>
          <w:sz w:val="22"/>
          <w:szCs w:val="22"/>
        </w:rPr>
        <w:t>a representative</w:t>
      </w:r>
      <w:r w:rsidR="00E50C3C">
        <w:rPr>
          <w:rFonts w:ascii="Arial" w:hAnsi="Arial" w:cs="Arial"/>
          <w:sz w:val="22"/>
          <w:szCs w:val="22"/>
        </w:rPr>
        <w:t xml:space="preserve"> of an</w:t>
      </w:r>
      <w:r w:rsidR="003529EC">
        <w:rPr>
          <w:rFonts w:ascii="Arial" w:hAnsi="Arial" w:cs="Arial"/>
          <w:sz w:val="22"/>
          <w:szCs w:val="22"/>
        </w:rPr>
        <w:t xml:space="preserve"> executor o</w:t>
      </w:r>
      <w:r w:rsidR="0071052D">
        <w:rPr>
          <w:rFonts w:ascii="Arial" w:hAnsi="Arial" w:cs="Arial"/>
          <w:sz w:val="22"/>
          <w:szCs w:val="22"/>
        </w:rPr>
        <w:t>r administrator of the deceased person’</w:t>
      </w:r>
      <w:r w:rsidR="003529EC">
        <w:rPr>
          <w:rFonts w:ascii="Arial" w:hAnsi="Arial" w:cs="Arial"/>
          <w:sz w:val="22"/>
          <w:szCs w:val="22"/>
        </w:rPr>
        <w:t>s</w:t>
      </w:r>
      <w:r w:rsidR="00E50C3C">
        <w:rPr>
          <w:rFonts w:ascii="Arial" w:hAnsi="Arial" w:cs="Arial"/>
          <w:sz w:val="22"/>
          <w:szCs w:val="22"/>
        </w:rPr>
        <w:t xml:space="preserve"> estate</w:t>
      </w:r>
      <w:r w:rsidR="003529EC">
        <w:rPr>
          <w:rFonts w:ascii="Arial" w:hAnsi="Arial" w:cs="Arial"/>
          <w:sz w:val="22"/>
          <w:szCs w:val="22"/>
        </w:rPr>
        <w:t>.</w:t>
      </w:r>
    </w:p>
    <w:p w14:paraId="7D57E4C0" w14:textId="4DC86451" w:rsidR="00F701C0" w:rsidRPr="00BB4B90" w:rsidRDefault="00F701C0" w:rsidP="00BB4B90">
      <w:pPr>
        <w:spacing w:after="120"/>
        <w:rPr>
          <w:rFonts w:ascii="Arial" w:hAnsi="Arial" w:cs="Arial"/>
          <w:sz w:val="22"/>
          <w:szCs w:val="22"/>
        </w:rPr>
      </w:pPr>
    </w:p>
    <w:p w14:paraId="2FEFA33F" w14:textId="77777777" w:rsidR="00F701C0" w:rsidRPr="003D29C3" w:rsidRDefault="00F701C0" w:rsidP="001C0837">
      <w:pPr>
        <w:pStyle w:val="Heading2"/>
      </w:pPr>
      <w:r w:rsidRPr="003D29C3">
        <w:t>Explanation</w:t>
      </w:r>
    </w:p>
    <w:p w14:paraId="7189B5A0" w14:textId="77777777" w:rsidR="001C0837" w:rsidRDefault="00FE1705"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The TAA 1953 generally prohibits taxation officers from disclosing taxpayer information except as permitted by Division 355. Subdivision 355-B contains provisions gove</w:t>
      </w:r>
      <w:r w:rsidR="00AF3AF6">
        <w:rPr>
          <w:rFonts w:ascii="Arial" w:hAnsi="Arial" w:cs="Arial"/>
          <w:sz w:val="22"/>
          <w:szCs w:val="22"/>
        </w:rPr>
        <w:t>rning the disclosure of protected</w:t>
      </w:r>
      <w:r>
        <w:rPr>
          <w:rFonts w:ascii="Arial" w:hAnsi="Arial" w:cs="Arial"/>
          <w:sz w:val="22"/>
          <w:szCs w:val="22"/>
        </w:rPr>
        <w:t xml:space="preserve"> information by taxation officers.</w:t>
      </w:r>
    </w:p>
    <w:p w14:paraId="2C8FEF46" w14:textId="0C180BCF" w:rsidR="00E358D2" w:rsidRDefault="00FE1705"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Under section 355-25</w:t>
      </w:r>
      <w:r w:rsidR="00DC7E39">
        <w:rPr>
          <w:rFonts w:ascii="Arial" w:hAnsi="Arial" w:cs="Arial"/>
          <w:sz w:val="22"/>
          <w:szCs w:val="22"/>
        </w:rPr>
        <w:t>,</w:t>
      </w:r>
      <w:r>
        <w:rPr>
          <w:rFonts w:ascii="Arial" w:hAnsi="Arial" w:cs="Arial"/>
          <w:sz w:val="22"/>
          <w:szCs w:val="22"/>
        </w:rPr>
        <w:t xml:space="preserve"> a taxation officer is prohibited from disclosing protected information to another entity (other than the entity to which it relates or to a court o</w:t>
      </w:r>
      <w:r w:rsidR="007315B1">
        <w:rPr>
          <w:rFonts w:ascii="Arial" w:hAnsi="Arial" w:cs="Arial"/>
          <w:sz w:val="22"/>
          <w:szCs w:val="22"/>
        </w:rPr>
        <w:t xml:space="preserve">r tribunal) unless the disclosure </w:t>
      </w:r>
      <w:r>
        <w:rPr>
          <w:rFonts w:ascii="Arial" w:hAnsi="Arial" w:cs="Arial"/>
          <w:sz w:val="22"/>
          <w:szCs w:val="22"/>
        </w:rPr>
        <w:t xml:space="preserve">is to a covered </w:t>
      </w:r>
      <w:r w:rsidR="00B73367">
        <w:rPr>
          <w:rFonts w:ascii="Arial" w:hAnsi="Arial" w:cs="Arial"/>
          <w:sz w:val="22"/>
          <w:szCs w:val="22"/>
        </w:rPr>
        <w:t>entity</w:t>
      </w:r>
      <w:r w:rsidR="00DC7E39">
        <w:rPr>
          <w:rFonts w:ascii="Arial" w:hAnsi="Arial" w:cs="Arial"/>
          <w:sz w:val="22"/>
          <w:szCs w:val="22"/>
        </w:rPr>
        <w:t>,</w:t>
      </w:r>
      <w:r>
        <w:rPr>
          <w:rFonts w:ascii="Arial" w:hAnsi="Arial" w:cs="Arial"/>
          <w:sz w:val="22"/>
          <w:szCs w:val="22"/>
        </w:rPr>
        <w:t xml:space="preserve"> or unless another exception applies. Paragraphs (a) to (g) of subsection 355-25(2) </w:t>
      </w:r>
      <w:r w:rsidR="00E358D2" w:rsidRPr="00E358D2">
        <w:rPr>
          <w:rFonts w:ascii="Arial" w:hAnsi="Arial" w:cs="Arial"/>
          <w:sz w:val="22"/>
          <w:szCs w:val="22"/>
        </w:rPr>
        <w:t>specif</w:t>
      </w:r>
      <w:r w:rsidR="00E358D2">
        <w:rPr>
          <w:rFonts w:ascii="Arial" w:hAnsi="Arial" w:cs="Arial"/>
          <w:sz w:val="22"/>
          <w:szCs w:val="22"/>
        </w:rPr>
        <w:t>y</w:t>
      </w:r>
      <w:r>
        <w:rPr>
          <w:rFonts w:ascii="Arial" w:hAnsi="Arial" w:cs="Arial"/>
          <w:sz w:val="22"/>
          <w:szCs w:val="22"/>
        </w:rPr>
        <w:t xml:space="preserve"> the different types of entities which are considered covered entities</w:t>
      </w:r>
      <w:r w:rsidR="0002259A">
        <w:rPr>
          <w:rFonts w:ascii="Arial" w:hAnsi="Arial" w:cs="Arial"/>
          <w:sz w:val="22"/>
          <w:szCs w:val="22"/>
        </w:rPr>
        <w:t>.</w:t>
      </w:r>
    </w:p>
    <w:p w14:paraId="4FEE510E" w14:textId="77777777" w:rsidR="001C0837" w:rsidRDefault="00DC7E39"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A l</w:t>
      </w:r>
      <w:r w:rsidR="00E358D2" w:rsidRPr="00614F07">
        <w:rPr>
          <w:rFonts w:ascii="Arial" w:hAnsi="Arial" w:cs="Arial"/>
          <w:sz w:val="22"/>
          <w:szCs w:val="22"/>
        </w:rPr>
        <w:t>egal personal representative</w:t>
      </w:r>
      <w:r w:rsidR="003264EC">
        <w:rPr>
          <w:rFonts w:ascii="Arial" w:hAnsi="Arial" w:cs="Arial"/>
          <w:sz w:val="22"/>
          <w:szCs w:val="22"/>
        </w:rPr>
        <w:t xml:space="preserve"> that is </w:t>
      </w:r>
      <w:r>
        <w:rPr>
          <w:rFonts w:ascii="Arial" w:hAnsi="Arial" w:cs="Arial"/>
          <w:sz w:val="22"/>
          <w:szCs w:val="22"/>
        </w:rPr>
        <w:t>an</w:t>
      </w:r>
      <w:r w:rsidR="00E358D2" w:rsidRPr="00614F07">
        <w:rPr>
          <w:rFonts w:ascii="Arial" w:hAnsi="Arial" w:cs="Arial"/>
          <w:sz w:val="22"/>
          <w:szCs w:val="22"/>
        </w:rPr>
        <w:t xml:space="preserve"> executor or administrator of a</w:t>
      </w:r>
      <w:r w:rsidR="00D02480">
        <w:rPr>
          <w:rFonts w:ascii="Arial" w:hAnsi="Arial" w:cs="Arial"/>
          <w:sz w:val="22"/>
          <w:szCs w:val="22"/>
        </w:rPr>
        <w:t xml:space="preserve">n </w:t>
      </w:r>
      <w:r w:rsidR="00E358D2" w:rsidRPr="00614F07">
        <w:rPr>
          <w:rFonts w:ascii="Arial" w:hAnsi="Arial" w:cs="Arial"/>
          <w:sz w:val="22"/>
          <w:szCs w:val="22"/>
        </w:rPr>
        <w:t>estate</w:t>
      </w:r>
      <w:r w:rsidR="00D02480">
        <w:rPr>
          <w:rFonts w:ascii="Arial" w:hAnsi="Arial" w:cs="Arial"/>
          <w:sz w:val="22"/>
          <w:szCs w:val="22"/>
        </w:rPr>
        <w:t xml:space="preserve"> of an individual who has died</w:t>
      </w:r>
      <w:r w:rsidR="00703656">
        <w:rPr>
          <w:rFonts w:ascii="Arial" w:hAnsi="Arial" w:cs="Arial"/>
          <w:sz w:val="22"/>
          <w:szCs w:val="22"/>
        </w:rPr>
        <w:t xml:space="preserve"> </w:t>
      </w:r>
      <w:r w:rsidR="009F57C6">
        <w:rPr>
          <w:rFonts w:ascii="Arial" w:hAnsi="Arial" w:cs="Arial"/>
          <w:sz w:val="22"/>
          <w:szCs w:val="22"/>
        </w:rPr>
        <w:t xml:space="preserve">is, under paragraph (d) of that subsection, </w:t>
      </w:r>
      <w:r w:rsidR="00E358D2" w:rsidRPr="00614F07">
        <w:rPr>
          <w:rFonts w:ascii="Arial" w:hAnsi="Arial" w:cs="Arial"/>
          <w:sz w:val="22"/>
          <w:szCs w:val="22"/>
        </w:rPr>
        <w:t xml:space="preserve">expressly </w:t>
      </w:r>
      <w:r w:rsidR="009F57C6">
        <w:rPr>
          <w:rFonts w:ascii="Arial" w:hAnsi="Arial" w:cs="Arial"/>
          <w:sz w:val="22"/>
          <w:szCs w:val="22"/>
        </w:rPr>
        <w:t>a</w:t>
      </w:r>
      <w:r w:rsidR="00E03C28">
        <w:rPr>
          <w:rFonts w:ascii="Arial" w:hAnsi="Arial" w:cs="Arial"/>
          <w:sz w:val="22"/>
          <w:szCs w:val="22"/>
        </w:rPr>
        <w:t xml:space="preserve">n entity to whom </w:t>
      </w:r>
      <w:r w:rsidR="00050794">
        <w:rPr>
          <w:rFonts w:ascii="Arial" w:hAnsi="Arial" w:cs="Arial"/>
          <w:sz w:val="22"/>
          <w:szCs w:val="22"/>
        </w:rPr>
        <w:t xml:space="preserve">the </w:t>
      </w:r>
      <w:r w:rsidR="009C4855">
        <w:rPr>
          <w:rFonts w:ascii="Arial" w:hAnsi="Arial" w:cs="Arial"/>
          <w:sz w:val="22"/>
          <w:szCs w:val="22"/>
        </w:rPr>
        <w:t>taxation officers</w:t>
      </w:r>
      <w:r w:rsidR="009F57C6" w:rsidRPr="009F57C6">
        <w:rPr>
          <w:rFonts w:ascii="Arial" w:hAnsi="Arial" w:cs="Arial"/>
          <w:sz w:val="22"/>
          <w:szCs w:val="22"/>
        </w:rPr>
        <w:t xml:space="preserve"> can provide information about the deceased’s tax affairs</w:t>
      </w:r>
      <w:r w:rsidR="009F57C6">
        <w:rPr>
          <w:rFonts w:ascii="Arial" w:hAnsi="Arial" w:cs="Arial"/>
          <w:sz w:val="22"/>
          <w:szCs w:val="22"/>
        </w:rPr>
        <w:t>. T</w:t>
      </w:r>
      <w:r w:rsidR="00E358D2" w:rsidRPr="00614F07">
        <w:rPr>
          <w:rFonts w:ascii="Arial" w:hAnsi="Arial" w:cs="Arial"/>
          <w:sz w:val="22"/>
          <w:szCs w:val="22"/>
        </w:rPr>
        <w:t xml:space="preserve">here is no statutory permission for </w:t>
      </w:r>
      <w:r w:rsidR="009C4855">
        <w:rPr>
          <w:rFonts w:ascii="Arial" w:hAnsi="Arial" w:cs="Arial"/>
          <w:sz w:val="22"/>
          <w:szCs w:val="22"/>
        </w:rPr>
        <w:t>taxation officers</w:t>
      </w:r>
      <w:r w:rsidR="00E358D2" w:rsidRPr="00614F07">
        <w:rPr>
          <w:rFonts w:ascii="Arial" w:hAnsi="Arial" w:cs="Arial"/>
          <w:sz w:val="22"/>
          <w:szCs w:val="22"/>
        </w:rPr>
        <w:t xml:space="preserve"> to provide such information to </w:t>
      </w:r>
      <w:r w:rsidR="009C4855">
        <w:rPr>
          <w:rFonts w:ascii="Arial" w:hAnsi="Arial" w:cs="Arial"/>
          <w:sz w:val="22"/>
          <w:szCs w:val="22"/>
        </w:rPr>
        <w:t>representatives of</w:t>
      </w:r>
      <w:r w:rsidR="00E358D2" w:rsidRPr="00614F07">
        <w:rPr>
          <w:rFonts w:ascii="Arial" w:hAnsi="Arial" w:cs="Arial"/>
          <w:sz w:val="22"/>
          <w:szCs w:val="22"/>
        </w:rPr>
        <w:t xml:space="preserve"> </w:t>
      </w:r>
      <w:r w:rsidR="003264EC">
        <w:rPr>
          <w:rFonts w:ascii="Arial" w:hAnsi="Arial" w:cs="Arial"/>
          <w:sz w:val="22"/>
          <w:szCs w:val="22"/>
        </w:rPr>
        <w:t xml:space="preserve">those </w:t>
      </w:r>
      <w:r w:rsidR="00E358D2" w:rsidRPr="00614F07">
        <w:rPr>
          <w:rFonts w:ascii="Arial" w:hAnsi="Arial" w:cs="Arial"/>
          <w:sz w:val="22"/>
          <w:szCs w:val="22"/>
        </w:rPr>
        <w:t>executors or administrators.</w:t>
      </w:r>
    </w:p>
    <w:p w14:paraId="4A88F7DD" w14:textId="77777777" w:rsidR="001C0837" w:rsidRDefault="0030643D"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The restrictive nature of </w:t>
      </w:r>
      <w:r w:rsidR="00E67EBF">
        <w:rPr>
          <w:rFonts w:ascii="Arial" w:hAnsi="Arial" w:cs="Arial"/>
          <w:sz w:val="22"/>
          <w:szCs w:val="22"/>
        </w:rPr>
        <w:t xml:space="preserve">the </w:t>
      </w:r>
      <w:r>
        <w:rPr>
          <w:rFonts w:ascii="Arial" w:hAnsi="Arial" w:cs="Arial"/>
          <w:sz w:val="22"/>
          <w:szCs w:val="22"/>
        </w:rPr>
        <w:t>cover</w:t>
      </w:r>
      <w:r w:rsidR="00DD4AB2">
        <w:rPr>
          <w:rFonts w:ascii="Arial" w:hAnsi="Arial" w:cs="Arial"/>
          <w:sz w:val="22"/>
          <w:szCs w:val="22"/>
        </w:rPr>
        <w:t xml:space="preserve">ed entity definition </w:t>
      </w:r>
      <w:r>
        <w:rPr>
          <w:rFonts w:ascii="Arial" w:hAnsi="Arial" w:cs="Arial"/>
          <w:sz w:val="22"/>
          <w:szCs w:val="22"/>
        </w:rPr>
        <w:t xml:space="preserve">means that </w:t>
      </w:r>
      <w:r w:rsidR="00C933CF">
        <w:rPr>
          <w:rFonts w:ascii="Arial" w:hAnsi="Arial" w:cs="Arial"/>
          <w:sz w:val="22"/>
          <w:szCs w:val="22"/>
        </w:rPr>
        <w:t xml:space="preserve">a </w:t>
      </w:r>
      <w:r w:rsidR="00050794">
        <w:rPr>
          <w:rFonts w:ascii="Arial" w:hAnsi="Arial" w:cs="Arial"/>
          <w:sz w:val="22"/>
          <w:szCs w:val="22"/>
        </w:rPr>
        <w:t xml:space="preserve">representative </w:t>
      </w:r>
      <w:r w:rsidR="00C933CF">
        <w:rPr>
          <w:rFonts w:ascii="Arial" w:hAnsi="Arial" w:cs="Arial"/>
          <w:sz w:val="22"/>
          <w:szCs w:val="22"/>
        </w:rPr>
        <w:t>appointed</w:t>
      </w:r>
      <w:r w:rsidR="00614F07">
        <w:rPr>
          <w:rFonts w:ascii="Arial" w:hAnsi="Arial" w:cs="Arial"/>
          <w:sz w:val="22"/>
          <w:szCs w:val="22"/>
        </w:rPr>
        <w:t xml:space="preserve"> by an </w:t>
      </w:r>
      <w:r w:rsidR="00614F07" w:rsidRPr="00143868">
        <w:rPr>
          <w:rFonts w:ascii="Arial" w:hAnsi="Arial" w:cs="Arial"/>
          <w:sz w:val="22"/>
          <w:szCs w:val="22"/>
        </w:rPr>
        <w:t>executor or administrator</w:t>
      </w:r>
      <w:r w:rsidR="00614F07">
        <w:rPr>
          <w:rFonts w:ascii="Arial" w:hAnsi="Arial" w:cs="Arial"/>
          <w:sz w:val="22"/>
          <w:szCs w:val="22"/>
        </w:rPr>
        <w:t xml:space="preserve"> cannot</w:t>
      </w:r>
      <w:r w:rsidR="00C933CF">
        <w:rPr>
          <w:rFonts w:ascii="Arial" w:hAnsi="Arial" w:cs="Arial"/>
          <w:sz w:val="22"/>
          <w:szCs w:val="22"/>
        </w:rPr>
        <w:t xml:space="preserve"> receive protected information about the deceased person directly from the </w:t>
      </w:r>
      <w:r w:rsidR="00196F6B">
        <w:rPr>
          <w:rFonts w:ascii="Arial" w:hAnsi="Arial" w:cs="Arial"/>
          <w:sz w:val="22"/>
          <w:szCs w:val="22"/>
        </w:rPr>
        <w:t>ATO</w:t>
      </w:r>
      <w:r w:rsidR="00C933CF">
        <w:rPr>
          <w:rFonts w:ascii="Arial" w:hAnsi="Arial" w:cs="Arial"/>
          <w:sz w:val="22"/>
          <w:szCs w:val="22"/>
        </w:rPr>
        <w:t xml:space="preserve">. </w:t>
      </w:r>
      <w:r w:rsidR="00EE4184">
        <w:rPr>
          <w:rFonts w:ascii="Arial" w:hAnsi="Arial" w:cs="Arial"/>
          <w:sz w:val="22"/>
          <w:szCs w:val="22"/>
        </w:rPr>
        <w:t>An exception may be available under section 355</w:t>
      </w:r>
      <w:r w:rsidR="002A00E2">
        <w:rPr>
          <w:rFonts w:ascii="Arial" w:hAnsi="Arial" w:cs="Arial"/>
          <w:sz w:val="22"/>
          <w:szCs w:val="22"/>
        </w:rPr>
        <w:noBreakHyphen/>
      </w:r>
      <w:r w:rsidR="00EE4184">
        <w:rPr>
          <w:rFonts w:ascii="Arial" w:hAnsi="Arial" w:cs="Arial"/>
          <w:sz w:val="22"/>
          <w:szCs w:val="22"/>
        </w:rPr>
        <w:t xml:space="preserve">50, if a taxation officer can make an assessment that a specific disclosure is in the performance of their duties as a taxation officer. However, </w:t>
      </w:r>
      <w:r w:rsidR="00EE4184">
        <w:rPr>
          <w:rFonts w:ascii="Arial" w:hAnsi="Arial" w:cs="Arial"/>
          <w:sz w:val="22"/>
          <w:szCs w:val="22"/>
        </w:rPr>
        <w:lastRenderedPageBreak/>
        <w:t>the circumstances in which this exception can be exercised are limited and must be assessed on a case by case basis.</w:t>
      </w:r>
    </w:p>
    <w:p w14:paraId="3BD574A6" w14:textId="77777777" w:rsidR="001C0837" w:rsidRDefault="00614F07"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As a result, an</w:t>
      </w:r>
      <w:r w:rsidR="00EE4184">
        <w:rPr>
          <w:rFonts w:ascii="Arial" w:hAnsi="Arial" w:cs="Arial"/>
          <w:sz w:val="22"/>
          <w:szCs w:val="22"/>
        </w:rPr>
        <w:t xml:space="preserve"> executor or administrator </w:t>
      </w:r>
      <w:r w:rsidR="00DD4AB2">
        <w:rPr>
          <w:rFonts w:ascii="Arial" w:hAnsi="Arial" w:cs="Arial"/>
          <w:sz w:val="22"/>
          <w:szCs w:val="22"/>
        </w:rPr>
        <w:t xml:space="preserve">of a deceased estate is </w:t>
      </w:r>
      <w:r w:rsidR="00EE4184">
        <w:rPr>
          <w:rFonts w:ascii="Arial" w:hAnsi="Arial" w:cs="Arial"/>
          <w:sz w:val="22"/>
          <w:szCs w:val="22"/>
        </w:rPr>
        <w:t xml:space="preserve">in a more disadvantageous position to other entities that are able to appoint </w:t>
      </w:r>
      <w:r>
        <w:rPr>
          <w:rFonts w:ascii="Arial" w:hAnsi="Arial" w:cs="Arial"/>
          <w:sz w:val="22"/>
          <w:szCs w:val="22"/>
        </w:rPr>
        <w:t>such representatives</w:t>
      </w:r>
      <w:r w:rsidR="00EE4184">
        <w:rPr>
          <w:rFonts w:ascii="Arial" w:hAnsi="Arial" w:cs="Arial"/>
          <w:sz w:val="22"/>
          <w:szCs w:val="22"/>
        </w:rPr>
        <w:t xml:space="preserve"> to assist them in understanding and complying with their taxation obligations.</w:t>
      </w:r>
    </w:p>
    <w:p w14:paraId="7DE73778" w14:textId="77777777" w:rsidR="001C0837" w:rsidRDefault="00BF58CC"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It is desirable that executors and administrators are able to obtain assistance from tax agents and legal practitioners in finalising the tax affair</w:t>
      </w:r>
      <w:r w:rsidR="00057D42">
        <w:rPr>
          <w:rFonts w:ascii="Arial" w:hAnsi="Arial" w:cs="Arial"/>
          <w:sz w:val="22"/>
          <w:szCs w:val="22"/>
        </w:rPr>
        <w:t xml:space="preserve">s of the deceased where needed. </w:t>
      </w:r>
      <w:r w:rsidR="00BF6D5C">
        <w:rPr>
          <w:rFonts w:ascii="Arial" w:hAnsi="Arial" w:cs="Arial"/>
          <w:sz w:val="22"/>
          <w:szCs w:val="22"/>
        </w:rPr>
        <w:t>I</w:t>
      </w:r>
      <w:r w:rsidR="00660A8D">
        <w:rPr>
          <w:rFonts w:ascii="Arial" w:hAnsi="Arial" w:cs="Arial"/>
          <w:sz w:val="22"/>
          <w:szCs w:val="22"/>
        </w:rPr>
        <w:t>n many cases, it will be more efficient for those executors and administrators if their representatives were able to obtain that information</w:t>
      </w:r>
      <w:r w:rsidR="00A66FD2">
        <w:rPr>
          <w:rFonts w:ascii="Arial" w:hAnsi="Arial" w:cs="Arial"/>
          <w:sz w:val="22"/>
          <w:szCs w:val="22"/>
        </w:rPr>
        <w:t xml:space="preserve"> directly from the </w:t>
      </w:r>
      <w:r w:rsidR="00196F6B">
        <w:rPr>
          <w:rFonts w:ascii="Arial" w:hAnsi="Arial" w:cs="Arial"/>
          <w:sz w:val="22"/>
          <w:szCs w:val="22"/>
        </w:rPr>
        <w:t>ATO</w:t>
      </w:r>
      <w:r w:rsidR="00660A8D">
        <w:rPr>
          <w:rFonts w:ascii="Arial" w:hAnsi="Arial" w:cs="Arial"/>
          <w:sz w:val="22"/>
          <w:szCs w:val="22"/>
        </w:rPr>
        <w:t xml:space="preserve">, </w:t>
      </w:r>
      <w:r w:rsidR="00196F6B">
        <w:rPr>
          <w:rFonts w:ascii="Arial" w:hAnsi="Arial" w:cs="Arial"/>
          <w:sz w:val="22"/>
          <w:szCs w:val="22"/>
        </w:rPr>
        <w:t>including electronically</w:t>
      </w:r>
      <w:r w:rsidR="00660A8D">
        <w:rPr>
          <w:rFonts w:ascii="Arial" w:hAnsi="Arial" w:cs="Arial"/>
          <w:sz w:val="22"/>
          <w:szCs w:val="22"/>
        </w:rPr>
        <w:t xml:space="preserve"> through</w:t>
      </w:r>
      <w:r w:rsidR="00057D42">
        <w:rPr>
          <w:rFonts w:ascii="Arial" w:hAnsi="Arial" w:cs="Arial"/>
          <w:sz w:val="22"/>
          <w:szCs w:val="22"/>
        </w:rPr>
        <w:t xml:space="preserve"> on-line services</w:t>
      </w:r>
      <w:r w:rsidR="00660A8D">
        <w:rPr>
          <w:rFonts w:ascii="Arial" w:hAnsi="Arial" w:cs="Arial"/>
          <w:sz w:val="22"/>
          <w:szCs w:val="22"/>
        </w:rPr>
        <w:t>.</w:t>
      </w:r>
    </w:p>
    <w:p w14:paraId="23CE5923" w14:textId="7BF45DBC" w:rsidR="001C0837" w:rsidRDefault="00367B29"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After the death of a person, the executor or administrator of the estate effectively ‘stands in the shoes’ of the deceased person. This can be a stressful and emotional period. Managing the affairs of the deceased includes a range of final tax obligations which can be complex. The tax obligations include lodging the final individual return for the deceased person, obtaining a tax file number for the deceased estate (which is a separate entity), lodging the tax return of the estate, paying any outstanding tax debts and ensuring that refunds, credits or other entitlements are paid to the estate for the benefit of the beneficiaries.</w:t>
      </w:r>
    </w:p>
    <w:p w14:paraId="792672F9" w14:textId="77777777" w:rsidR="001C0837" w:rsidRDefault="00367B29"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The modification made by this instrument will ensure that those representatives will be covered entities to which taxation officers can disclose protected information of a deceased person.</w:t>
      </w:r>
    </w:p>
    <w:p w14:paraId="0418E15D" w14:textId="5F461ECA" w:rsidR="00375D00" w:rsidRDefault="00375D00"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The modification provides a precise and narrow change to the disclosure provisions, ensuring that </w:t>
      </w:r>
      <w:r w:rsidR="0066731B">
        <w:rPr>
          <w:rFonts w:ascii="Arial" w:hAnsi="Arial" w:cs="Arial"/>
          <w:sz w:val="22"/>
          <w:szCs w:val="22"/>
        </w:rPr>
        <w:t xml:space="preserve">it does not provide any wider authority for </w:t>
      </w:r>
      <w:r>
        <w:rPr>
          <w:rFonts w:ascii="Arial" w:hAnsi="Arial" w:cs="Arial"/>
          <w:sz w:val="22"/>
          <w:szCs w:val="22"/>
        </w:rPr>
        <w:t xml:space="preserve">a taxation officer </w:t>
      </w:r>
      <w:r w:rsidR="00F76D7E">
        <w:rPr>
          <w:rFonts w:ascii="Arial" w:hAnsi="Arial" w:cs="Arial"/>
          <w:sz w:val="22"/>
          <w:szCs w:val="22"/>
        </w:rPr>
        <w:t xml:space="preserve">to make </w:t>
      </w:r>
      <w:r>
        <w:rPr>
          <w:rFonts w:ascii="Arial" w:hAnsi="Arial" w:cs="Arial"/>
          <w:sz w:val="22"/>
          <w:szCs w:val="22"/>
        </w:rPr>
        <w:t>a disclosure of information to another entity</w:t>
      </w:r>
      <w:r w:rsidR="0066731B">
        <w:rPr>
          <w:rFonts w:ascii="Arial" w:hAnsi="Arial" w:cs="Arial"/>
          <w:sz w:val="22"/>
          <w:szCs w:val="22"/>
        </w:rPr>
        <w:t>.</w:t>
      </w:r>
    </w:p>
    <w:p w14:paraId="049B0C14" w14:textId="77777777" w:rsidR="001C0837" w:rsidRDefault="00367B29"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This modification does create a change to taxpayer confidentiality provisions. The</w:t>
      </w:r>
      <w:r w:rsidRPr="00F76D7E">
        <w:rPr>
          <w:rFonts w:ascii="Arial" w:hAnsi="Arial" w:cs="Arial"/>
          <w:sz w:val="22"/>
          <w:szCs w:val="22"/>
        </w:rPr>
        <w:t xml:space="preserve"> key principle </w:t>
      </w:r>
      <w:r>
        <w:rPr>
          <w:rFonts w:ascii="Arial" w:hAnsi="Arial" w:cs="Arial"/>
          <w:sz w:val="22"/>
          <w:szCs w:val="22"/>
        </w:rPr>
        <w:t xml:space="preserve">to be considered </w:t>
      </w:r>
      <w:r w:rsidRPr="00F76D7E">
        <w:rPr>
          <w:rFonts w:ascii="Arial" w:hAnsi="Arial" w:cs="Arial"/>
          <w:sz w:val="22"/>
          <w:szCs w:val="22"/>
        </w:rPr>
        <w:t>is the protection of taxpayer information</w:t>
      </w:r>
      <w:r>
        <w:rPr>
          <w:rFonts w:ascii="Arial" w:hAnsi="Arial" w:cs="Arial"/>
          <w:sz w:val="22"/>
          <w:szCs w:val="22"/>
        </w:rPr>
        <w:t>.</w:t>
      </w:r>
      <w:r w:rsidRPr="00F76D7E">
        <w:rPr>
          <w:rFonts w:ascii="Arial" w:hAnsi="Arial" w:cs="Arial"/>
          <w:sz w:val="22"/>
          <w:szCs w:val="22"/>
        </w:rPr>
        <w:t xml:space="preserve"> </w:t>
      </w:r>
      <w:r>
        <w:rPr>
          <w:rFonts w:ascii="Arial" w:hAnsi="Arial" w:cs="Arial"/>
          <w:sz w:val="22"/>
          <w:szCs w:val="22"/>
        </w:rPr>
        <w:t>A</w:t>
      </w:r>
      <w:r w:rsidRPr="00F76D7E">
        <w:rPr>
          <w:rFonts w:ascii="Arial" w:hAnsi="Arial" w:cs="Arial"/>
          <w:sz w:val="22"/>
          <w:szCs w:val="22"/>
        </w:rPr>
        <w:t>ny disclosure of information exceptions are only provided in instances where privacy concerns are outweighed by the public benefit of these disclosures. The Commissioner has carefully considered this issue in light of this principle and considers it reason</w:t>
      </w:r>
      <w:r>
        <w:rPr>
          <w:rFonts w:ascii="Arial" w:hAnsi="Arial" w:cs="Arial"/>
          <w:sz w:val="22"/>
          <w:szCs w:val="22"/>
        </w:rPr>
        <w:t>able to make this modification. T</w:t>
      </w:r>
      <w:r w:rsidR="00375D00" w:rsidRPr="00367B29">
        <w:rPr>
          <w:rFonts w:ascii="Arial" w:hAnsi="Arial" w:cs="Arial"/>
          <w:sz w:val="22"/>
          <w:szCs w:val="22"/>
        </w:rPr>
        <w:t>he Commissioner has carefully weighed all the consideration</w:t>
      </w:r>
      <w:r w:rsidR="00023E98" w:rsidRPr="00367B29">
        <w:rPr>
          <w:rFonts w:ascii="Arial" w:hAnsi="Arial" w:cs="Arial"/>
          <w:sz w:val="22"/>
          <w:szCs w:val="22"/>
        </w:rPr>
        <w:t>s</w:t>
      </w:r>
      <w:r w:rsidR="00375D00" w:rsidRPr="00367B29">
        <w:rPr>
          <w:rFonts w:ascii="Arial" w:hAnsi="Arial" w:cs="Arial"/>
          <w:sz w:val="22"/>
          <w:szCs w:val="22"/>
        </w:rPr>
        <w:t xml:space="preserve"> which attach to confidentiality of taxpayer information and exhausted all </w:t>
      </w:r>
      <w:r w:rsidR="00FF5AAA" w:rsidRPr="00367B29">
        <w:rPr>
          <w:rFonts w:ascii="Arial" w:hAnsi="Arial" w:cs="Arial"/>
          <w:sz w:val="22"/>
          <w:szCs w:val="22"/>
        </w:rPr>
        <w:t xml:space="preserve">other </w:t>
      </w:r>
      <w:r w:rsidR="00375D00" w:rsidRPr="00367B29">
        <w:rPr>
          <w:rFonts w:ascii="Arial" w:hAnsi="Arial" w:cs="Arial"/>
          <w:sz w:val="22"/>
          <w:szCs w:val="22"/>
        </w:rPr>
        <w:t>interpretative and administrative solutions ava</w:t>
      </w:r>
      <w:r w:rsidR="00FF5AAA" w:rsidRPr="00367B29">
        <w:rPr>
          <w:rFonts w:ascii="Arial" w:hAnsi="Arial" w:cs="Arial"/>
          <w:sz w:val="22"/>
          <w:szCs w:val="22"/>
        </w:rPr>
        <w:t>ilable to solve this issue</w:t>
      </w:r>
      <w:r w:rsidR="00375D00" w:rsidRPr="00367B29">
        <w:rPr>
          <w:rFonts w:ascii="Arial" w:hAnsi="Arial" w:cs="Arial"/>
          <w:sz w:val="22"/>
          <w:szCs w:val="22"/>
        </w:rPr>
        <w:t>.</w:t>
      </w:r>
    </w:p>
    <w:p w14:paraId="53AC7C28" w14:textId="5315C107" w:rsidR="00367B29" w:rsidRDefault="00367B29" w:rsidP="001C0837">
      <w:pPr>
        <w:spacing w:after="120"/>
        <w:rPr>
          <w:rFonts w:ascii="Arial" w:hAnsi="Arial" w:cs="Arial"/>
          <w:sz w:val="22"/>
          <w:szCs w:val="22"/>
        </w:rPr>
      </w:pPr>
    </w:p>
    <w:p w14:paraId="3770A72E" w14:textId="6A7DEEDE" w:rsidR="00F701C0" w:rsidRDefault="00F701C0" w:rsidP="001C0837">
      <w:pPr>
        <w:spacing w:after="120"/>
        <w:rPr>
          <w:rFonts w:ascii="Arial" w:hAnsi="Arial" w:cs="Arial"/>
          <w:b/>
          <w:sz w:val="22"/>
          <w:szCs w:val="22"/>
        </w:rPr>
      </w:pPr>
      <w:r w:rsidRPr="003D29C3">
        <w:rPr>
          <w:rFonts w:ascii="Arial" w:hAnsi="Arial" w:cs="Arial"/>
          <w:b/>
          <w:sz w:val="22"/>
          <w:szCs w:val="22"/>
        </w:rPr>
        <w:t>Modification is not inconsistent with intended purpose or object of the provision</w:t>
      </w:r>
    </w:p>
    <w:p w14:paraId="0C4058BE" w14:textId="4FA8B969" w:rsidR="00736A18" w:rsidRDefault="00A23B69"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The Commissioner considers the modification is not inconsistent with the intended purp</w:t>
      </w:r>
      <w:r w:rsidR="000D379B">
        <w:rPr>
          <w:rFonts w:ascii="Arial" w:hAnsi="Arial" w:cs="Arial"/>
          <w:sz w:val="22"/>
          <w:szCs w:val="22"/>
        </w:rPr>
        <w:t xml:space="preserve">ose or object of the provision, </w:t>
      </w:r>
      <w:r>
        <w:rPr>
          <w:rFonts w:ascii="Arial" w:hAnsi="Arial" w:cs="Arial"/>
          <w:sz w:val="22"/>
          <w:szCs w:val="22"/>
        </w:rPr>
        <w:t xml:space="preserve">being subsection </w:t>
      </w:r>
      <w:r w:rsidR="00736A18">
        <w:rPr>
          <w:rFonts w:ascii="Arial" w:hAnsi="Arial" w:cs="Arial"/>
          <w:sz w:val="22"/>
          <w:szCs w:val="22"/>
        </w:rPr>
        <w:t>355-25(2). In ascertaining the intended purpose or object of the provision, consideration was given to:</w:t>
      </w:r>
    </w:p>
    <w:p w14:paraId="4D0F8A23" w14:textId="77777777" w:rsidR="001C0837" w:rsidRDefault="00736A18" w:rsidP="00487375">
      <w:pPr>
        <w:numPr>
          <w:ilvl w:val="1"/>
          <w:numId w:val="16"/>
        </w:numPr>
        <w:tabs>
          <w:tab w:val="clear" w:pos="1440"/>
        </w:tabs>
        <w:spacing w:after="120"/>
        <w:ind w:left="1418" w:hanging="709"/>
        <w:rPr>
          <w:rFonts w:ascii="Arial" w:hAnsi="Arial" w:cs="Arial"/>
          <w:sz w:val="22"/>
          <w:szCs w:val="22"/>
        </w:rPr>
      </w:pPr>
      <w:r>
        <w:rPr>
          <w:rFonts w:ascii="Arial" w:hAnsi="Arial" w:cs="Arial"/>
          <w:sz w:val="22"/>
          <w:szCs w:val="22"/>
        </w:rPr>
        <w:t xml:space="preserve">the </w:t>
      </w:r>
      <w:r w:rsidR="0065093B">
        <w:rPr>
          <w:rFonts w:ascii="Arial" w:hAnsi="Arial" w:cs="Arial"/>
          <w:sz w:val="22"/>
          <w:szCs w:val="22"/>
        </w:rPr>
        <w:t xml:space="preserve">explanatory memorandum and second reading speeches </w:t>
      </w:r>
      <w:r>
        <w:rPr>
          <w:rFonts w:ascii="Arial" w:hAnsi="Arial" w:cs="Arial"/>
          <w:sz w:val="22"/>
          <w:szCs w:val="22"/>
        </w:rPr>
        <w:t xml:space="preserve">to the </w:t>
      </w:r>
      <w:r w:rsidR="0065093B" w:rsidRPr="00023E98">
        <w:rPr>
          <w:rFonts w:ascii="Arial" w:hAnsi="Arial" w:cs="Arial"/>
          <w:i/>
          <w:sz w:val="22"/>
          <w:szCs w:val="22"/>
        </w:rPr>
        <w:t>Tax Laws Amendment (Confidentiality of Taxpayer Information) Bill 2009</w:t>
      </w:r>
      <w:r w:rsidRPr="0065093B">
        <w:rPr>
          <w:rFonts w:ascii="Arial" w:hAnsi="Arial" w:cs="Arial"/>
          <w:sz w:val="22"/>
          <w:szCs w:val="22"/>
        </w:rPr>
        <w:t>;</w:t>
      </w:r>
    </w:p>
    <w:p w14:paraId="7CE95C58" w14:textId="4B2B0945" w:rsidR="0065093B" w:rsidRDefault="0065093B" w:rsidP="00487375">
      <w:pPr>
        <w:numPr>
          <w:ilvl w:val="1"/>
          <w:numId w:val="16"/>
        </w:numPr>
        <w:tabs>
          <w:tab w:val="clear" w:pos="1440"/>
        </w:tabs>
        <w:spacing w:after="120"/>
        <w:ind w:left="1418" w:hanging="709"/>
        <w:rPr>
          <w:rFonts w:ascii="Arial" w:hAnsi="Arial" w:cs="Arial"/>
          <w:sz w:val="22"/>
          <w:szCs w:val="22"/>
        </w:rPr>
      </w:pPr>
      <w:r>
        <w:rPr>
          <w:rFonts w:ascii="Arial" w:hAnsi="Arial" w:cs="Arial"/>
          <w:sz w:val="22"/>
          <w:szCs w:val="22"/>
        </w:rPr>
        <w:t xml:space="preserve">the inquiry into the </w:t>
      </w:r>
      <w:r w:rsidRPr="00023E98">
        <w:rPr>
          <w:rFonts w:ascii="Arial" w:hAnsi="Arial" w:cs="Arial"/>
          <w:i/>
          <w:sz w:val="22"/>
          <w:szCs w:val="22"/>
        </w:rPr>
        <w:t>Tax Laws Amendment (Confidentiality of Taxpayer Information) Bill 2009</w:t>
      </w:r>
      <w:r>
        <w:rPr>
          <w:rFonts w:ascii="Arial" w:hAnsi="Arial" w:cs="Arial"/>
          <w:sz w:val="22"/>
          <w:szCs w:val="22"/>
        </w:rPr>
        <w:t xml:space="preserve"> and the submissions</w:t>
      </w:r>
      <w:r w:rsidR="00F63EA7">
        <w:rPr>
          <w:rFonts w:ascii="Arial" w:hAnsi="Arial" w:cs="Arial"/>
          <w:sz w:val="22"/>
          <w:szCs w:val="22"/>
        </w:rPr>
        <w:t>;</w:t>
      </w:r>
    </w:p>
    <w:p w14:paraId="2A2E1C95" w14:textId="44D1A63F" w:rsidR="00F701C0" w:rsidRDefault="00736A18" w:rsidP="00487375">
      <w:pPr>
        <w:numPr>
          <w:ilvl w:val="1"/>
          <w:numId w:val="16"/>
        </w:numPr>
        <w:tabs>
          <w:tab w:val="clear" w:pos="1440"/>
        </w:tabs>
        <w:spacing w:after="120"/>
        <w:ind w:left="1418" w:hanging="709"/>
        <w:rPr>
          <w:rFonts w:ascii="Arial" w:hAnsi="Arial" w:cs="Arial"/>
          <w:sz w:val="22"/>
          <w:szCs w:val="22"/>
        </w:rPr>
      </w:pPr>
      <w:r>
        <w:rPr>
          <w:rFonts w:ascii="Arial" w:hAnsi="Arial" w:cs="Arial"/>
          <w:sz w:val="22"/>
          <w:szCs w:val="22"/>
        </w:rPr>
        <w:t xml:space="preserve">the former taxation secrecy provision and the explanatory memorandum relating </w:t>
      </w:r>
      <w:r w:rsidR="003A29C5">
        <w:rPr>
          <w:rFonts w:ascii="Arial" w:hAnsi="Arial" w:cs="Arial"/>
          <w:sz w:val="22"/>
          <w:szCs w:val="22"/>
        </w:rPr>
        <w:t xml:space="preserve">to </w:t>
      </w:r>
      <w:r>
        <w:rPr>
          <w:rFonts w:ascii="Arial" w:hAnsi="Arial" w:cs="Arial"/>
          <w:sz w:val="22"/>
          <w:szCs w:val="22"/>
        </w:rPr>
        <w:t>those bills containing the provisions;</w:t>
      </w:r>
    </w:p>
    <w:p w14:paraId="7E1493AC" w14:textId="5813C4C5" w:rsidR="00736A18" w:rsidRDefault="00736A18" w:rsidP="00487375">
      <w:pPr>
        <w:numPr>
          <w:ilvl w:val="1"/>
          <w:numId w:val="16"/>
        </w:numPr>
        <w:tabs>
          <w:tab w:val="clear" w:pos="1440"/>
        </w:tabs>
        <w:spacing w:after="120"/>
        <w:ind w:left="1418" w:hanging="709"/>
        <w:rPr>
          <w:rFonts w:ascii="Arial" w:hAnsi="Arial" w:cs="Arial"/>
          <w:sz w:val="22"/>
          <w:szCs w:val="22"/>
        </w:rPr>
      </w:pPr>
      <w:r>
        <w:rPr>
          <w:rFonts w:ascii="Arial" w:hAnsi="Arial" w:cs="Arial"/>
          <w:sz w:val="22"/>
          <w:szCs w:val="22"/>
        </w:rPr>
        <w:lastRenderedPageBreak/>
        <w:t xml:space="preserve">the consultation paper on </w:t>
      </w:r>
      <w:r w:rsidR="0066731B">
        <w:rPr>
          <w:rFonts w:ascii="Arial" w:hAnsi="Arial" w:cs="Arial"/>
          <w:sz w:val="22"/>
          <w:szCs w:val="22"/>
        </w:rPr>
        <w:t>‘</w:t>
      </w:r>
      <w:r>
        <w:rPr>
          <w:rFonts w:ascii="Arial" w:hAnsi="Arial" w:cs="Arial"/>
          <w:sz w:val="22"/>
          <w:szCs w:val="22"/>
        </w:rPr>
        <w:t xml:space="preserve">The Review of Taxation Secrecy and </w:t>
      </w:r>
      <w:r w:rsidR="00B73367">
        <w:rPr>
          <w:rFonts w:ascii="Arial" w:hAnsi="Arial" w:cs="Arial"/>
          <w:sz w:val="22"/>
          <w:szCs w:val="22"/>
        </w:rPr>
        <w:t>Disclosure</w:t>
      </w:r>
      <w:r>
        <w:rPr>
          <w:rFonts w:ascii="Arial" w:hAnsi="Arial" w:cs="Arial"/>
          <w:sz w:val="22"/>
          <w:szCs w:val="22"/>
        </w:rPr>
        <w:t xml:space="preserve"> Provisions</w:t>
      </w:r>
      <w:r w:rsidR="0066731B">
        <w:rPr>
          <w:rFonts w:ascii="Arial" w:hAnsi="Arial" w:cs="Arial"/>
          <w:sz w:val="22"/>
          <w:szCs w:val="22"/>
        </w:rPr>
        <w:t xml:space="preserve">’ </w:t>
      </w:r>
      <w:r>
        <w:rPr>
          <w:rFonts w:ascii="Arial" w:hAnsi="Arial" w:cs="Arial"/>
          <w:sz w:val="22"/>
          <w:szCs w:val="22"/>
        </w:rPr>
        <w:t>and the submissions relating to this paper;</w:t>
      </w:r>
    </w:p>
    <w:p w14:paraId="1B668C2B" w14:textId="39E3A2D7" w:rsidR="00736A18" w:rsidRDefault="00736A18" w:rsidP="00487375">
      <w:pPr>
        <w:numPr>
          <w:ilvl w:val="1"/>
          <w:numId w:val="16"/>
        </w:numPr>
        <w:tabs>
          <w:tab w:val="clear" w:pos="1440"/>
        </w:tabs>
        <w:spacing w:after="120"/>
        <w:ind w:left="1418" w:hanging="709"/>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submissions relating to the exposure draft of the Confidentiality of Taxpayer Information Bill</w:t>
      </w:r>
      <w:r w:rsidR="00F63EA7">
        <w:rPr>
          <w:rFonts w:ascii="Arial" w:hAnsi="Arial" w:cs="Arial"/>
          <w:sz w:val="22"/>
          <w:szCs w:val="22"/>
        </w:rPr>
        <w:t>.</w:t>
      </w:r>
    </w:p>
    <w:p w14:paraId="5392BB92" w14:textId="3AF2AB19" w:rsidR="00252491" w:rsidRDefault="00596159"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T</w:t>
      </w:r>
      <w:r w:rsidR="000D379B">
        <w:rPr>
          <w:rFonts w:ascii="Arial" w:hAnsi="Arial" w:cs="Arial"/>
          <w:sz w:val="22"/>
          <w:szCs w:val="22"/>
        </w:rPr>
        <w:t>he policy intent of Subdivision 355-B and in particular</w:t>
      </w:r>
      <w:r w:rsidR="0066731B">
        <w:rPr>
          <w:rFonts w:ascii="Arial" w:hAnsi="Arial" w:cs="Arial"/>
          <w:sz w:val="22"/>
          <w:szCs w:val="22"/>
        </w:rPr>
        <w:t>,</w:t>
      </w:r>
      <w:r w:rsidR="000D379B">
        <w:rPr>
          <w:rFonts w:ascii="Arial" w:hAnsi="Arial" w:cs="Arial"/>
          <w:sz w:val="22"/>
          <w:szCs w:val="22"/>
        </w:rPr>
        <w:t xml:space="preserve"> subsection 355-25(2)</w:t>
      </w:r>
      <w:r w:rsidR="0066731B">
        <w:rPr>
          <w:rFonts w:ascii="Arial" w:hAnsi="Arial" w:cs="Arial"/>
          <w:sz w:val="22"/>
          <w:szCs w:val="22"/>
        </w:rPr>
        <w:t>,</w:t>
      </w:r>
      <w:r w:rsidR="000D379B">
        <w:rPr>
          <w:rFonts w:ascii="Arial" w:hAnsi="Arial" w:cs="Arial"/>
          <w:sz w:val="22"/>
          <w:szCs w:val="22"/>
        </w:rPr>
        <w:t xml:space="preserve"> </w:t>
      </w:r>
      <w:r>
        <w:rPr>
          <w:rFonts w:ascii="Arial" w:hAnsi="Arial" w:cs="Arial"/>
          <w:sz w:val="22"/>
          <w:szCs w:val="22"/>
        </w:rPr>
        <w:t xml:space="preserve">indicates that </w:t>
      </w:r>
      <w:r w:rsidR="000D379B">
        <w:rPr>
          <w:rFonts w:ascii="Arial" w:hAnsi="Arial" w:cs="Arial"/>
          <w:sz w:val="22"/>
          <w:szCs w:val="22"/>
        </w:rPr>
        <w:t xml:space="preserve">the covered entity exceptions </w:t>
      </w:r>
      <w:r w:rsidR="009C4855">
        <w:rPr>
          <w:rFonts w:ascii="Arial" w:hAnsi="Arial" w:cs="Arial"/>
          <w:sz w:val="22"/>
          <w:szCs w:val="22"/>
        </w:rPr>
        <w:t xml:space="preserve">have </w:t>
      </w:r>
      <w:r>
        <w:rPr>
          <w:rFonts w:ascii="Arial" w:hAnsi="Arial" w:cs="Arial"/>
          <w:sz w:val="22"/>
          <w:szCs w:val="22"/>
        </w:rPr>
        <w:t xml:space="preserve">been drafted as a </w:t>
      </w:r>
      <w:r w:rsidR="00252491">
        <w:rPr>
          <w:rFonts w:ascii="Arial" w:hAnsi="Arial" w:cs="Arial"/>
          <w:sz w:val="22"/>
          <w:szCs w:val="22"/>
        </w:rPr>
        <w:t>practical pathway for taxation officers</w:t>
      </w:r>
      <w:r w:rsidR="007A5B3C">
        <w:rPr>
          <w:rFonts w:ascii="Arial" w:hAnsi="Arial" w:cs="Arial"/>
          <w:sz w:val="22"/>
          <w:szCs w:val="22"/>
        </w:rPr>
        <w:t xml:space="preserve"> </w:t>
      </w:r>
      <w:r w:rsidR="00252491">
        <w:rPr>
          <w:rFonts w:ascii="Arial" w:hAnsi="Arial" w:cs="Arial"/>
          <w:sz w:val="22"/>
          <w:szCs w:val="22"/>
        </w:rPr>
        <w:t xml:space="preserve">to </w:t>
      </w:r>
      <w:r w:rsidR="007A5B3C">
        <w:rPr>
          <w:rFonts w:ascii="Arial" w:hAnsi="Arial" w:cs="Arial"/>
          <w:sz w:val="22"/>
          <w:szCs w:val="22"/>
        </w:rPr>
        <w:t xml:space="preserve">determine </w:t>
      </w:r>
      <w:r w:rsidR="00252491">
        <w:rPr>
          <w:rFonts w:ascii="Arial" w:hAnsi="Arial" w:cs="Arial"/>
          <w:sz w:val="22"/>
          <w:szCs w:val="22"/>
        </w:rPr>
        <w:t xml:space="preserve">whether an agency relationship exists. That is, the list of covered entities at subsection 355-25(2) is intended to eliminate or reduce the problems for taxation officers in determining whether someone is an entity’s agent and the scope of that relationship; while still recognising the need for taxpayers to be able to be represented in their dealings with the Commissioner. </w:t>
      </w:r>
      <w:r w:rsidR="0066731B" w:rsidRPr="0066731B">
        <w:rPr>
          <w:rFonts w:ascii="Arial" w:hAnsi="Arial" w:cs="Arial"/>
          <w:sz w:val="22"/>
          <w:szCs w:val="22"/>
        </w:rPr>
        <w:t>It was also considered important to permit disclosures to representatives who might not be considered an agent under the common law, but who otherwise might have a legitimate need to access a taxpayer’s information in their capacity as a representative of a taxpayer</w:t>
      </w:r>
      <w:r w:rsidR="00FB45ED">
        <w:rPr>
          <w:rFonts w:ascii="Arial" w:hAnsi="Arial" w:cs="Arial"/>
          <w:sz w:val="22"/>
          <w:szCs w:val="22"/>
        </w:rPr>
        <w:t>.</w:t>
      </w:r>
    </w:p>
    <w:p w14:paraId="0F601683" w14:textId="77777777" w:rsidR="001C0837" w:rsidRDefault="00A73237" w:rsidP="00487375">
      <w:pPr>
        <w:numPr>
          <w:ilvl w:val="0"/>
          <w:numId w:val="16"/>
        </w:numPr>
        <w:tabs>
          <w:tab w:val="clear" w:pos="720"/>
        </w:tabs>
        <w:spacing w:after="120"/>
        <w:ind w:left="0" w:firstLine="0"/>
        <w:rPr>
          <w:rFonts w:ascii="Arial" w:hAnsi="Arial" w:cs="Arial"/>
          <w:sz w:val="22"/>
          <w:szCs w:val="22"/>
        </w:rPr>
      </w:pPr>
      <w:r w:rsidRPr="007E1672">
        <w:rPr>
          <w:rFonts w:ascii="Arial" w:hAnsi="Arial" w:cs="Arial"/>
          <w:sz w:val="22"/>
          <w:szCs w:val="22"/>
        </w:rPr>
        <w:t>The Commissioner considers that had these particular circumstances been considered at the time the law was drafted, the law would have been drafted differently</w:t>
      </w:r>
      <w:r w:rsidR="00023E98" w:rsidRPr="007E1672">
        <w:rPr>
          <w:rFonts w:ascii="Arial" w:hAnsi="Arial" w:cs="Arial"/>
          <w:sz w:val="22"/>
          <w:szCs w:val="22"/>
        </w:rPr>
        <w:t xml:space="preserve">. </w:t>
      </w:r>
      <w:r w:rsidR="00596159" w:rsidRPr="007E1672">
        <w:rPr>
          <w:rFonts w:ascii="Arial" w:hAnsi="Arial" w:cs="Arial"/>
          <w:sz w:val="22"/>
          <w:szCs w:val="22"/>
        </w:rPr>
        <w:t xml:space="preserve">It would have provided for this circumstance while still upholding the </w:t>
      </w:r>
      <w:r w:rsidR="00023E98" w:rsidRPr="007E1672">
        <w:rPr>
          <w:rFonts w:ascii="Arial" w:hAnsi="Arial" w:cs="Arial"/>
          <w:sz w:val="22"/>
          <w:szCs w:val="22"/>
        </w:rPr>
        <w:t>key principle of</w:t>
      </w:r>
      <w:r w:rsidRPr="007E1672">
        <w:rPr>
          <w:rFonts w:ascii="Arial" w:hAnsi="Arial" w:cs="Arial"/>
          <w:sz w:val="22"/>
          <w:szCs w:val="22"/>
        </w:rPr>
        <w:t xml:space="preserve"> </w:t>
      </w:r>
      <w:r w:rsidR="00252491" w:rsidRPr="007E1672">
        <w:rPr>
          <w:rFonts w:ascii="Arial" w:hAnsi="Arial" w:cs="Arial"/>
          <w:sz w:val="22"/>
          <w:szCs w:val="22"/>
        </w:rPr>
        <w:t>the protection of taxpayer information</w:t>
      </w:r>
      <w:r w:rsidR="00023E98" w:rsidRPr="007E1672">
        <w:rPr>
          <w:rFonts w:ascii="Arial" w:hAnsi="Arial" w:cs="Arial"/>
          <w:sz w:val="22"/>
          <w:szCs w:val="22"/>
        </w:rPr>
        <w:t>.</w:t>
      </w:r>
    </w:p>
    <w:p w14:paraId="101BD012" w14:textId="68333408" w:rsidR="007E1672" w:rsidRPr="00BB4B90" w:rsidRDefault="007E1672" w:rsidP="001C0837">
      <w:pPr>
        <w:spacing w:after="120"/>
        <w:rPr>
          <w:rFonts w:ascii="Arial" w:hAnsi="Arial" w:cs="Arial"/>
          <w:sz w:val="22"/>
          <w:szCs w:val="22"/>
        </w:rPr>
      </w:pPr>
    </w:p>
    <w:p w14:paraId="3B483F1F" w14:textId="6C00F6EF" w:rsidR="00F701C0" w:rsidRDefault="00F701C0" w:rsidP="001C0837">
      <w:pPr>
        <w:spacing w:after="120"/>
        <w:rPr>
          <w:rFonts w:ascii="Arial" w:hAnsi="Arial" w:cs="Arial"/>
          <w:b/>
          <w:sz w:val="22"/>
          <w:szCs w:val="22"/>
        </w:rPr>
      </w:pPr>
      <w:r w:rsidRPr="003D29C3">
        <w:rPr>
          <w:rFonts w:ascii="Arial" w:hAnsi="Arial" w:cs="Arial"/>
          <w:b/>
          <w:sz w:val="22"/>
          <w:szCs w:val="22"/>
        </w:rPr>
        <w:t>Modification is reasonable</w:t>
      </w:r>
    </w:p>
    <w:p w14:paraId="31070EBC" w14:textId="77777777" w:rsidR="001C0837" w:rsidRDefault="00607A54"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The Commissione</w:t>
      </w:r>
      <w:r w:rsidR="00EA6220">
        <w:rPr>
          <w:rFonts w:ascii="Arial" w:hAnsi="Arial" w:cs="Arial"/>
          <w:sz w:val="22"/>
          <w:szCs w:val="22"/>
        </w:rPr>
        <w:t xml:space="preserve">r considers the modification to </w:t>
      </w:r>
      <w:r>
        <w:rPr>
          <w:rFonts w:ascii="Arial" w:hAnsi="Arial" w:cs="Arial"/>
          <w:sz w:val="22"/>
          <w:szCs w:val="22"/>
        </w:rPr>
        <w:t xml:space="preserve">be </w:t>
      </w:r>
      <w:r w:rsidR="00EA6220">
        <w:rPr>
          <w:rFonts w:ascii="Arial" w:hAnsi="Arial" w:cs="Arial"/>
          <w:sz w:val="22"/>
          <w:szCs w:val="22"/>
        </w:rPr>
        <w:t xml:space="preserve">a </w:t>
      </w:r>
      <w:r>
        <w:rPr>
          <w:rFonts w:ascii="Arial" w:hAnsi="Arial" w:cs="Arial"/>
          <w:sz w:val="22"/>
          <w:szCs w:val="22"/>
        </w:rPr>
        <w:t xml:space="preserve">reasonable </w:t>
      </w:r>
      <w:r w:rsidR="00EA6220">
        <w:rPr>
          <w:rFonts w:ascii="Arial" w:hAnsi="Arial" w:cs="Arial"/>
          <w:sz w:val="22"/>
          <w:szCs w:val="22"/>
        </w:rPr>
        <w:t xml:space="preserve">measure to ensure that the </w:t>
      </w:r>
      <w:r w:rsidR="00135FA9">
        <w:rPr>
          <w:rFonts w:ascii="Arial" w:hAnsi="Arial" w:cs="Arial"/>
          <w:sz w:val="22"/>
          <w:szCs w:val="22"/>
        </w:rPr>
        <w:t>taxpayer confidentiality</w:t>
      </w:r>
      <w:r w:rsidR="00EA6220">
        <w:rPr>
          <w:rFonts w:ascii="Arial" w:hAnsi="Arial" w:cs="Arial"/>
          <w:sz w:val="22"/>
          <w:szCs w:val="22"/>
        </w:rPr>
        <w:t xml:space="preserve"> provisions avoid creating unintended outcomes for executors or administrators of a deceased estate.</w:t>
      </w:r>
    </w:p>
    <w:p w14:paraId="26663C91" w14:textId="77777777" w:rsidR="001C0837" w:rsidRDefault="000D6B7F"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The modification will significantly reduce the administrative burden for an executor or administrator of a deceased estate in finalising the tax affairs of the deceased. </w:t>
      </w:r>
      <w:r w:rsidR="00807038">
        <w:rPr>
          <w:rFonts w:ascii="Arial" w:hAnsi="Arial" w:cs="Arial"/>
          <w:sz w:val="22"/>
          <w:szCs w:val="22"/>
        </w:rPr>
        <w:t>It will enable the</w:t>
      </w:r>
      <w:r w:rsidR="009873CF">
        <w:rPr>
          <w:rFonts w:ascii="Arial" w:hAnsi="Arial" w:cs="Arial"/>
          <w:sz w:val="22"/>
          <w:szCs w:val="22"/>
        </w:rPr>
        <w:t>m</w:t>
      </w:r>
      <w:r w:rsidR="00807038">
        <w:rPr>
          <w:rFonts w:ascii="Arial" w:hAnsi="Arial" w:cs="Arial"/>
          <w:sz w:val="22"/>
          <w:szCs w:val="22"/>
        </w:rPr>
        <w:t xml:space="preserve"> to be represented by a registered tax agent, BAS agent or legal practitioner in their dealings with the Commissioner; placing them </w:t>
      </w:r>
      <w:r w:rsidR="000D1E1F">
        <w:rPr>
          <w:rFonts w:ascii="Arial" w:hAnsi="Arial" w:cs="Arial"/>
          <w:sz w:val="22"/>
          <w:szCs w:val="22"/>
        </w:rPr>
        <w:t>in a similar position to</w:t>
      </w:r>
      <w:r w:rsidR="00807038">
        <w:rPr>
          <w:rFonts w:ascii="Arial" w:hAnsi="Arial" w:cs="Arial"/>
          <w:sz w:val="22"/>
          <w:szCs w:val="22"/>
        </w:rPr>
        <w:t xml:space="preserve"> other taxpayers.</w:t>
      </w:r>
    </w:p>
    <w:p w14:paraId="1FD7FE70" w14:textId="4DDE3B7A" w:rsidR="00191885" w:rsidRDefault="00191885"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The Commissioner</w:t>
      </w:r>
      <w:r w:rsidR="0088704D">
        <w:rPr>
          <w:rFonts w:ascii="Arial" w:hAnsi="Arial" w:cs="Arial"/>
          <w:sz w:val="22"/>
          <w:szCs w:val="22"/>
        </w:rPr>
        <w:t xml:space="preserve"> </w:t>
      </w:r>
      <w:r>
        <w:rPr>
          <w:rFonts w:ascii="Arial" w:hAnsi="Arial" w:cs="Arial"/>
          <w:sz w:val="22"/>
          <w:szCs w:val="22"/>
        </w:rPr>
        <w:t xml:space="preserve">recognises that managing the affairs of the deceased </w:t>
      </w:r>
      <w:r w:rsidR="00457FFB">
        <w:rPr>
          <w:rFonts w:ascii="Arial" w:hAnsi="Arial" w:cs="Arial"/>
          <w:sz w:val="22"/>
          <w:szCs w:val="22"/>
        </w:rPr>
        <w:t xml:space="preserve">can be </w:t>
      </w:r>
      <w:proofErr w:type="gramStart"/>
      <w:r w:rsidR="00457FFB">
        <w:rPr>
          <w:rFonts w:ascii="Arial" w:hAnsi="Arial" w:cs="Arial"/>
          <w:sz w:val="22"/>
          <w:szCs w:val="22"/>
        </w:rPr>
        <w:t>complex</w:t>
      </w:r>
      <w:r w:rsidR="00BC1528">
        <w:rPr>
          <w:rFonts w:ascii="Arial" w:hAnsi="Arial" w:cs="Arial"/>
          <w:sz w:val="22"/>
          <w:szCs w:val="22"/>
        </w:rPr>
        <w:t>,</w:t>
      </w:r>
      <w:r w:rsidR="008E32FB">
        <w:rPr>
          <w:rFonts w:ascii="Arial" w:hAnsi="Arial" w:cs="Arial"/>
          <w:sz w:val="22"/>
          <w:szCs w:val="22"/>
        </w:rPr>
        <w:t xml:space="preserve"> that</w:t>
      </w:r>
      <w:proofErr w:type="gramEnd"/>
      <w:r w:rsidR="008E32FB">
        <w:rPr>
          <w:rFonts w:ascii="Arial" w:hAnsi="Arial" w:cs="Arial"/>
          <w:sz w:val="22"/>
          <w:szCs w:val="22"/>
        </w:rPr>
        <w:t xml:space="preserve"> </w:t>
      </w:r>
      <w:r w:rsidR="00457FFB">
        <w:rPr>
          <w:rFonts w:ascii="Arial" w:hAnsi="Arial" w:cs="Arial"/>
          <w:sz w:val="22"/>
          <w:szCs w:val="22"/>
        </w:rPr>
        <w:t>the passing of a deceased person can be a stressful and emotional time</w:t>
      </w:r>
      <w:r w:rsidR="00C24003">
        <w:rPr>
          <w:rFonts w:ascii="Arial" w:hAnsi="Arial" w:cs="Arial"/>
          <w:sz w:val="22"/>
          <w:szCs w:val="22"/>
        </w:rPr>
        <w:t>,</w:t>
      </w:r>
      <w:r w:rsidR="00BC1528">
        <w:rPr>
          <w:rFonts w:ascii="Arial" w:hAnsi="Arial" w:cs="Arial"/>
          <w:sz w:val="22"/>
          <w:szCs w:val="22"/>
        </w:rPr>
        <w:t xml:space="preserve"> and that e</w:t>
      </w:r>
      <w:r w:rsidR="00457FFB">
        <w:rPr>
          <w:rFonts w:ascii="Arial" w:hAnsi="Arial" w:cs="Arial"/>
          <w:sz w:val="22"/>
          <w:szCs w:val="22"/>
        </w:rPr>
        <w:t xml:space="preserve">xecutors and administrators </w:t>
      </w:r>
      <w:r w:rsidR="00BC1528">
        <w:rPr>
          <w:rFonts w:ascii="Arial" w:hAnsi="Arial" w:cs="Arial"/>
          <w:sz w:val="22"/>
          <w:szCs w:val="22"/>
        </w:rPr>
        <w:t>often need to be</w:t>
      </w:r>
      <w:r w:rsidR="00457FFB">
        <w:rPr>
          <w:rFonts w:ascii="Arial" w:hAnsi="Arial" w:cs="Arial"/>
          <w:sz w:val="22"/>
          <w:szCs w:val="22"/>
        </w:rPr>
        <w:t xml:space="preserve"> able to obtain assistance from </w:t>
      </w:r>
      <w:r w:rsidR="00BC1528">
        <w:rPr>
          <w:rFonts w:ascii="Arial" w:hAnsi="Arial" w:cs="Arial"/>
          <w:sz w:val="22"/>
          <w:szCs w:val="22"/>
        </w:rPr>
        <w:t>their represen</w:t>
      </w:r>
      <w:r w:rsidR="007B4CC9">
        <w:rPr>
          <w:rFonts w:ascii="Arial" w:hAnsi="Arial" w:cs="Arial"/>
          <w:sz w:val="22"/>
          <w:szCs w:val="22"/>
        </w:rPr>
        <w:t>t</w:t>
      </w:r>
      <w:r w:rsidR="00BC1528">
        <w:rPr>
          <w:rFonts w:ascii="Arial" w:hAnsi="Arial" w:cs="Arial"/>
          <w:sz w:val="22"/>
          <w:szCs w:val="22"/>
        </w:rPr>
        <w:t>atives</w:t>
      </w:r>
      <w:r w:rsidR="00457FFB">
        <w:rPr>
          <w:rFonts w:ascii="Arial" w:hAnsi="Arial" w:cs="Arial"/>
          <w:sz w:val="22"/>
          <w:szCs w:val="22"/>
        </w:rPr>
        <w:t xml:space="preserve"> in finalising th</w:t>
      </w:r>
      <w:r w:rsidR="00BC1528">
        <w:rPr>
          <w:rFonts w:ascii="Arial" w:hAnsi="Arial" w:cs="Arial"/>
          <w:sz w:val="22"/>
          <w:szCs w:val="22"/>
        </w:rPr>
        <w:t>os</w:t>
      </w:r>
      <w:r w:rsidR="00457FFB">
        <w:rPr>
          <w:rFonts w:ascii="Arial" w:hAnsi="Arial" w:cs="Arial"/>
          <w:sz w:val="22"/>
          <w:szCs w:val="22"/>
        </w:rPr>
        <w:t>e affairs.</w:t>
      </w:r>
    </w:p>
    <w:p w14:paraId="7C4B3852" w14:textId="619CA59D" w:rsidR="00807038" w:rsidRPr="007E0A01" w:rsidRDefault="006A753F"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In light of the intended purpose of the </w:t>
      </w:r>
      <w:r w:rsidR="008E32FB">
        <w:rPr>
          <w:rFonts w:ascii="Arial" w:hAnsi="Arial" w:cs="Arial"/>
          <w:sz w:val="22"/>
          <w:szCs w:val="22"/>
        </w:rPr>
        <w:t>taxpayer confidentiality</w:t>
      </w:r>
      <w:r>
        <w:rPr>
          <w:rFonts w:ascii="Arial" w:hAnsi="Arial" w:cs="Arial"/>
          <w:sz w:val="22"/>
          <w:szCs w:val="22"/>
        </w:rPr>
        <w:t xml:space="preserve"> provisions, the Commissioner considers it reasonable to exercise the Commissioner’s discretion to use the remedial power for this issue.</w:t>
      </w:r>
    </w:p>
    <w:p w14:paraId="3B173996" w14:textId="77777777" w:rsidR="00F701C0" w:rsidRPr="00EF0759" w:rsidRDefault="00F701C0" w:rsidP="001C0837">
      <w:pPr>
        <w:spacing w:after="120"/>
        <w:rPr>
          <w:rFonts w:ascii="Arial" w:hAnsi="Arial" w:cs="Arial"/>
          <w:sz w:val="22"/>
          <w:szCs w:val="22"/>
        </w:rPr>
      </w:pPr>
    </w:p>
    <w:p w14:paraId="0509146D" w14:textId="77777777" w:rsidR="00F701C0" w:rsidRPr="003D29C3" w:rsidRDefault="00F701C0" w:rsidP="001C0837">
      <w:pPr>
        <w:pStyle w:val="Heading2"/>
      </w:pPr>
      <w:r w:rsidRPr="003D29C3">
        <w:t>Compliance cost</w:t>
      </w:r>
    </w:p>
    <w:p w14:paraId="0B5B2643" w14:textId="77777777" w:rsidR="00A20796" w:rsidRPr="005852C7" w:rsidRDefault="00A20796" w:rsidP="00A20796">
      <w:pPr>
        <w:numPr>
          <w:ilvl w:val="0"/>
          <w:numId w:val="16"/>
        </w:numPr>
        <w:tabs>
          <w:tab w:val="clear" w:pos="720"/>
        </w:tabs>
        <w:spacing w:after="120"/>
        <w:ind w:left="0" w:firstLine="0"/>
        <w:rPr>
          <w:rFonts w:ascii="Arial" w:hAnsi="Arial" w:cs="Arial"/>
          <w:iCs/>
          <w:sz w:val="22"/>
          <w:szCs w:val="22"/>
        </w:rPr>
      </w:pPr>
      <w:r w:rsidRPr="005852C7">
        <w:rPr>
          <w:rFonts w:ascii="Arial" w:hAnsi="Arial" w:cs="Arial"/>
          <w:iCs/>
          <w:sz w:val="22"/>
          <w:szCs w:val="22"/>
        </w:rPr>
        <w:t>Compliance cost impact: Minor – There will be minimal impact for both implementation and ongoing compliance costs. The legislative instrument is minor and machinery in nature.</w:t>
      </w:r>
    </w:p>
    <w:p w14:paraId="55F0D96E" w14:textId="3B2E58F3" w:rsidR="00F701C0" w:rsidRPr="00EF0759" w:rsidRDefault="00F701C0" w:rsidP="001C0837">
      <w:pPr>
        <w:spacing w:after="120"/>
        <w:rPr>
          <w:rFonts w:ascii="Arial" w:hAnsi="Arial" w:cs="Arial"/>
          <w:sz w:val="22"/>
          <w:szCs w:val="22"/>
        </w:rPr>
      </w:pPr>
    </w:p>
    <w:p w14:paraId="13D23046" w14:textId="77777777" w:rsidR="00F701C0" w:rsidRPr="003D29C3" w:rsidRDefault="00F701C0" w:rsidP="001C0837">
      <w:pPr>
        <w:pStyle w:val="Heading2"/>
      </w:pPr>
      <w:r w:rsidRPr="003D29C3">
        <w:t>Budgetary impact</w:t>
      </w:r>
    </w:p>
    <w:p w14:paraId="292C99B3" w14:textId="77777777" w:rsidR="001C0837" w:rsidRDefault="00297ECC" w:rsidP="00487375">
      <w:pPr>
        <w:numPr>
          <w:ilvl w:val="0"/>
          <w:numId w:val="16"/>
        </w:numPr>
        <w:tabs>
          <w:tab w:val="clear" w:pos="720"/>
        </w:tabs>
        <w:spacing w:after="120"/>
        <w:ind w:left="0" w:firstLine="0"/>
        <w:rPr>
          <w:rFonts w:ascii="Arial" w:hAnsi="Arial" w:cs="Arial"/>
          <w:sz w:val="22"/>
          <w:szCs w:val="22"/>
        </w:rPr>
      </w:pPr>
      <w:r w:rsidRPr="00297ECC">
        <w:rPr>
          <w:rFonts w:ascii="Arial" w:hAnsi="Arial" w:cs="Arial"/>
          <w:sz w:val="22"/>
          <w:szCs w:val="22"/>
        </w:rPr>
        <w:t>T</w:t>
      </w:r>
      <w:r>
        <w:rPr>
          <w:rFonts w:ascii="Arial" w:hAnsi="Arial" w:cs="Arial"/>
          <w:sz w:val="22"/>
          <w:szCs w:val="22"/>
        </w:rPr>
        <w:t>he Commissioner has received advice from the Department of the Treasury that the proposed exercise of the CRP would have a negligible cost to the budget.</w:t>
      </w:r>
    </w:p>
    <w:p w14:paraId="3E24F84D" w14:textId="1F34018F" w:rsidR="002A721C" w:rsidRPr="002A721C" w:rsidRDefault="002A721C" w:rsidP="001C0837">
      <w:pPr>
        <w:spacing w:after="120"/>
        <w:rPr>
          <w:rFonts w:ascii="Arial" w:hAnsi="Arial" w:cs="Arial"/>
          <w:sz w:val="22"/>
          <w:szCs w:val="22"/>
        </w:rPr>
      </w:pPr>
    </w:p>
    <w:p w14:paraId="32B45BE4" w14:textId="77777777" w:rsidR="00DD72D2" w:rsidRDefault="00DD72D2" w:rsidP="001C0837">
      <w:pPr>
        <w:pStyle w:val="Heading2"/>
      </w:pPr>
    </w:p>
    <w:p w14:paraId="4C360BE0" w14:textId="77777777" w:rsidR="00DD72D2" w:rsidRDefault="00DD72D2" w:rsidP="001C0837">
      <w:pPr>
        <w:pStyle w:val="Heading2"/>
      </w:pPr>
    </w:p>
    <w:p w14:paraId="756AF607" w14:textId="33CCC521" w:rsidR="00067CDB" w:rsidRPr="007E0A01" w:rsidRDefault="00BB4B90" w:rsidP="001C0837">
      <w:pPr>
        <w:pStyle w:val="Heading2"/>
      </w:pPr>
      <w:r>
        <w:t>Consultation</w:t>
      </w:r>
    </w:p>
    <w:p w14:paraId="6A1A7F3C" w14:textId="62E0E52C" w:rsidR="003529EC" w:rsidRDefault="00C57A40" w:rsidP="00487375">
      <w:pPr>
        <w:numPr>
          <w:ilvl w:val="0"/>
          <w:numId w:val="16"/>
        </w:numPr>
        <w:tabs>
          <w:tab w:val="clear" w:pos="720"/>
        </w:tabs>
        <w:spacing w:after="120"/>
        <w:ind w:left="0" w:firstLine="0"/>
        <w:rPr>
          <w:rFonts w:ascii="Arial" w:hAnsi="Arial" w:cs="Arial"/>
          <w:sz w:val="22"/>
          <w:szCs w:val="22"/>
        </w:rPr>
      </w:pPr>
      <w:r w:rsidRPr="00EF0759">
        <w:rPr>
          <w:rFonts w:ascii="Arial" w:hAnsi="Arial" w:cs="Arial"/>
          <w:sz w:val="22"/>
          <w:szCs w:val="22"/>
        </w:rPr>
        <w:t xml:space="preserve">Subsection 17(1) of the </w:t>
      </w:r>
      <w:r w:rsidRPr="00263ACC">
        <w:rPr>
          <w:rFonts w:ascii="Arial" w:hAnsi="Arial" w:cs="Arial"/>
          <w:i/>
          <w:sz w:val="22"/>
          <w:szCs w:val="22"/>
        </w:rPr>
        <w:t>Legislation Act 2003</w:t>
      </w:r>
      <w:r w:rsidRPr="00EF0759">
        <w:rPr>
          <w:rFonts w:ascii="Arial" w:hAnsi="Arial" w:cs="Arial"/>
          <w:sz w:val="22"/>
          <w:szCs w:val="22"/>
        </w:rPr>
        <w:t xml:space="preserve"> requires, before the making of a determination, that the rule-maker is satisfied that appropriate and reasonably practicable consultation has been undertaken.</w:t>
      </w:r>
    </w:p>
    <w:p w14:paraId="3C00BF10" w14:textId="267A7A9E" w:rsidR="00F90E6D" w:rsidRDefault="00F90E6D"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Broad consultation has been undertaken. </w:t>
      </w:r>
      <w:r w:rsidR="007C1FAE">
        <w:rPr>
          <w:rFonts w:ascii="Arial" w:hAnsi="Arial" w:cs="Arial"/>
          <w:sz w:val="22"/>
          <w:szCs w:val="22"/>
        </w:rPr>
        <w:t xml:space="preserve">The draft determination and draft explanatory statement were published on the ATO Legal database </w:t>
      </w:r>
      <w:hyperlink r:id="rId15" w:history="1">
        <w:r w:rsidR="007C1FAE" w:rsidRPr="007172F2">
          <w:rPr>
            <w:rStyle w:val="Hyperlink"/>
            <w:rFonts w:ascii="Arial" w:hAnsi="Arial" w:cs="Arial"/>
            <w:sz w:val="22"/>
            <w:szCs w:val="22"/>
          </w:rPr>
          <w:t>http://www.ato.gov.au</w:t>
        </w:r>
      </w:hyperlink>
      <w:r w:rsidR="007C1FAE">
        <w:rPr>
          <w:rFonts w:ascii="Arial" w:hAnsi="Arial" w:cs="Arial"/>
          <w:sz w:val="22"/>
          <w:szCs w:val="22"/>
        </w:rPr>
        <w:t xml:space="preserve"> seeking feedback and comments for a period of four weeks. </w:t>
      </w:r>
      <w:r>
        <w:rPr>
          <w:rFonts w:ascii="Arial" w:hAnsi="Arial" w:cs="Arial"/>
          <w:sz w:val="22"/>
          <w:szCs w:val="22"/>
        </w:rPr>
        <w:t xml:space="preserve">Notice of the draft determination was also published on </w:t>
      </w:r>
      <w:hyperlink r:id="rId16" w:history="1">
        <w:r w:rsidRPr="007172F2">
          <w:rPr>
            <w:rStyle w:val="Hyperlink"/>
            <w:rFonts w:ascii="Arial" w:hAnsi="Arial" w:cs="Arial"/>
            <w:sz w:val="22"/>
            <w:szCs w:val="22"/>
          </w:rPr>
          <w:t>http://www.ato.gov.au</w:t>
        </w:r>
      </w:hyperlink>
      <w:r>
        <w:rPr>
          <w:rFonts w:ascii="Arial" w:hAnsi="Arial" w:cs="Arial"/>
          <w:sz w:val="22"/>
          <w:szCs w:val="22"/>
        </w:rPr>
        <w:t xml:space="preserve"> and subscriptions </w:t>
      </w:r>
      <w:r w:rsidR="007C1FAE">
        <w:rPr>
          <w:rFonts w:ascii="Arial" w:hAnsi="Arial" w:cs="Arial"/>
          <w:sz w:val="22"/>
          <w:szCs w:val="22"/>
        </w:rPr>
        <w:t>alerts</w:t>
      </w:r>
      <w:r>
        <w:rPr>
          <w:rFonts w:ascii="Arial" w:hAnsi="Arial" w:cs="Arial"/>
          <w:sz w:val="22"/>
          <w:szCs w:val="22"/>
        </w:rPr>
        <w:t xml:space="preserve"> issued. </w:t>
      </w:r>
      <w:r w:rsidR="00023D24">
        <w:rPr>
          <w:rFonts w:ascii="Arial" w:hAnsi="Arial" w:cs="Arial"/>
          <w:sz w:val="22"/>
          <w:szCs w:val="22"/>
        </w:rPr>
        <w:t xml:space="preserve">Tax professionals and tax associations regularly review both the Legal database and </w:t>
      </w:r>
      <w:hyperlink r:id="rId17" w:history="1">
        <w:r w:rsidR="00023D24" w:rsidRPr="007172F2">
          <w:rPr>
            <w:rStyle w:val="Hyperlink"/>
            <w:rFonts w:ascii="Arial" w:hAnsi="Arial" w:cs="Arial"/>
            <w:sz w:val="22"/>
            <w:szCs w:val="22"/>
          </w:rPr>
          <w:t>http://www.ato.gov.au</w:t>
        </w:r>
      </w:hyperlink>
      <w:r w:rsidR="00023D24">
        <w:rPr>
          <w:rFonts w:ascii="Arial" w:hAnsi="Arial" w:cs="Arial"/>
          <w:sz w:val="22"/>
          <w:szCs w:val="22"/>
        </w:rPr>
        <w:t xml:space="preserve"> and further promulgate advice of new drafts issued in their internal news bulletins. The major legal publishers also publish news of the drafts in their key tax </w:t>
      </w:r>
      <w:r w:rsidR="007C1FAE">
        <w:rPr>
          <w:rFonts w:ascii="Arial" w:hAnsi="Arial" w:cs="Arial"/>
          <w:sz w:val="22"/>
          <w:szCs w:val="22"/>
        </w:rPr>
        <w:t>alerting</w:t>
      </w:r>
      <w:r w:rsidR="00023D24">
        <w:rPr>
          <w:rFonts w:ascii="Arial" w:hAnsi="Arial" w:cs="Arial"/>
          <w:sz w:val="22"/>
          <w:szCs w:val="22"/>
        </w:rPr>
        <w:t xml:space="preserve"> services- such as the Weekly Tax Bulletin (published by Thomson Reuters Australia) and Tax Tracker and Tax Week (published by CCH Australia). Additionally, </w:t>
      </w:r>
      <w:r w:rsidR="001C461F">
        <w:rPr>
          <w:rFonts w:ascii="Arial" w:hAnsi="Arial" w:cs="Arial"/>
          <w:sz w:val="22"/>
          <w:szCs w:val="22"/>
        </w:rPr>
        <w:t xml:space="preserve">the </w:t>
      </w:r>
      <w:r w:rsidR="00023D24">
        <w:rPr>
          <w:rFonts w:ascii="Arial" w:hAnsi="Arial" w:cs="Arial"/>
          <w:sz w:val="22"/>
          <w:szCs w:val="22"/>
        </w:rPr>
        <w:t xml:space="preserve">draft determination and explanatory statement were published on the ATO Consultation Hub. </w:t>
      </w:r>
    </w:p>
    <w:p w14:paraId="6E28557F" w14:textId="21E6A069" w:rsidR="00990E63" w:rsidRDefault="00270765" w:rsidP="00146A9E">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Public consultation resulted in </w:t>
      </w:r>
      <w:r w:rsidR="00D72D9A">
        <w:rPr>
          <w:rFonts w:ascii="Arial" w:hAnsi="Arial" w:cs="Arial"/>
          <w:sz w:val="22"/>
          <w:szCs w:val="22"/>
        </w:rPr>
        <w:t>five</w:t>
      </w:r>
      <w:r w:rsidR="00B103DA">
        <w:rPr>
          <w:rFonts w:ascii="Arial" w:hAnsi="Arial" w:cs="Arial"/>
          <w:sz w:val="22"/>
          <w:szCs w:val="22"/>
        </w:rPr>
        <w:t xml:space="preserve"> </w:t>
      </w:r>
      <w:r>
        <w:rPr>
          <w:rFonts w:ascii="Arial" w:hAnsi="Arial" w:cs="Arial"/>
          <w:sz w:val="22"/>
          <w:szCs w:val="22"/>
        </w:rPr>
        <w:t>submissions from the</w:t>
      </w:r>
      <w:r w:rsidR="00B103DA">
        <w:rPr>
          <w:rFonts w:ascii="Arial" w:hAnsi="Arial" w:cs="Arial"/>
          <w:sz w:val="22"/>
          <w:szCs w:val="22"/>
        </w:rPr>
        <w:t xml:space="preserve"> tax profession, ma</w:t>
      </w:r>
      <w:r w:rsidR="00EE3240">
        <w:rPr>
          <w:rFonts w:ascii="Arial" w:hAnsi="Arial" w:cs="Arial"/>
          <w:sz w:val="22"/>
          <w:szCs w:val="22"/>
        </w:rPr>
        <w:t>i</w:t>
      </w:r>
      <w:r w:rsidR="00B103DA">
        <w:rPr>
          <w:rFonts w:ascii="Arial" w:hAnsi="Arial" w:cs="Arial"/>
          <w:sz w:val="22"/>
          <w:szCs w:val="22"/>
        </w:rPr>
        <w:t>nly comprised of those s</w:t>
      </w:r>
      <w:r w:rsidR="00071393">
        <w:rPr>
          <w:rFonts w:ascii="Arial" w:hAnsi="Arial" w:cs="Arial"/>
          <w:sz w:val="22"/>
          <w:szCs w:val="22"/>
        </w:rPr>
        <w:t>pecialising in the taxation of deceased e</w:t>
      </w:r>
      <w:r w:rsidR="00B103DA">
        <w:rPr>
          <w:rFonts w:ascii="Arial" w:hAnsi="Arial" w:cs="Arial"/>
          <w:sz w:val="22"/>
          <w:szCs w:val="22"/>
        </w:rPr>
        <w:t>states.</w:t>
      </w:r>
      <w:r w:rsidR="00394DFA">
        <w:rPr>
          <w:rFonts w:ascii="Arial" w:hAnsi="Arial" w:cs="Arial"/>
          <w:sz w:val="22"/>
          <w:szCs w:val="22"/>
        </w:rPr>
        <w:t xml:space="preserve"> The submissions all fully supported the decision of the Commissioner to exercise his remedial power to modify the operation of section 355-25.</w:t>
      </w:r>
      <w:r w:rsidR="00932DFC">
        <w:rPr>
          <w:rFonts w:ascii="Arial" w:hAnsi="Arial" w:cs="Arial"/>
          <w:sz w:val="22"/>
          <w:szCs w:val="22"/>
        </w:rPr>
        <w:t xml:space="preserve"> All agreed that the modification is </w:t>
      </w:r>
      <w:r w:rsidR="00135333">
        <w:rPr>
          <w:rFonts w:ascii="Arial" w:hAnsi="Arial" w:cs="Arial"/>
          <w:sz w:val="22"/>
          <w:szCs w:val="22"/>
        </w:rPr>
        <w:t>not in</w:t>
      </w:r>
      <w:r w:rsidR="00932DFC">
        <w:rPr>
          <w:rFonts w:ascii="Arial" w:hAnsi="Arial" w:cs="Arial"/>
          <w:sz w:val="22"/>
          <w:szCs w:val="22"/>
        </w:rPr>
        <w:t>consistent with the intent of the protected information provisions. None of the submissions identified any instances where any entity would be treated less favourably than those under the existing law. Of note</w:t>
      </w:r>
      <w:r w:rsidR="001C461F">
        <w:rPr>
          <w:rFonts w:ascii="Arial" w:hAnsi="Arial" w:cs="Arial"/>
          <w:sz w:val="22"/>
          <w:szCs w:val="22"/>
        </w:rPr>
        <w:t>,</w:t>
      </w:r>
      <w:r w:rsidR="00932DFC">
        <w:rPr>
          <w:rFonts w:ascii="Arial" w:hAnsi="Arial" w:cs="Arial"/>
          <w:sz w:val="22"/>
          <w:szCs w:val="22"/>
        </w:rPr>
        <w:t xml:space="preserve"> it was emphasised the critical need to ensure that the proposed modification takes effect as soon as practicable given the considerable adv</w:t>
      </w:r>
      <w:r w:rsidR="001C3179">
        <w:rPr>
          <w:rFonts w:ascii="Arial" w:hAnsi="Arial" w:cs="Arial"/>
          <w:sz w:val="22"/>
          <w:szCs w:val="22"/>
        </w:rPr>
        <w:t>erse</w:t>
      </w:r>
      <w:r w:rsidR="00932DFC">
        <w:rPr>
          <w:rFonts w:ascii="Arial" w:hAnsi="Arial" w:cs="Arial"/>
          <w:sz w:val="22"/>
          <w:szCs w:val="22"/>
        </w:rPr>
        <w:t xml:space="preserve"> consequences for taxpayers, the ATO and the broader profession. Without the modification, the only solutions available will inevitably lead to the protracted and prolonged administration of deceased estates </w:t>
      </w:r>
      <w:r w:rsidR="00932DFC" w:rsidRPr="00146A9E">
        <w:rPr>
          <w:rFonts w:ascii="Arial" w:hAnsi="Arial" w:cs="Arial"/>
          <w:sz w:val="22"/>
          <w:szCs w:val="22"/>
        </w:rPr>
        <w:t>which detrim</w:t>
      </w:r>
      <w:r w:rsidR="00932DFC">
        <w:rPr>
          <w:rFonts w:ascii="Arial" w:hAnsi="Arial" w:cs="Arial"/>
          <w:sz w:val="22"/>
          <w:szCs w:val="22"/>
        </w:rPr>
        <w:t>entally impacts not only the Legal Personal Representative (LPR)</w:t>
      </w:r>
      <w:r w:rsidR="00932DFC" w:rsidRPr="00146A9E">
        <w:rPr>
          <w:rFonts w:ascii="Arial" w:hAnsi="Arial" w:cs="Arial"/>
          <w:sz w:val="22"/>
          <w:szCs w:val="22"/>
        </w:rPr>
        <w:t xml:space="preserve"> but also bereaved members of the deceased’s family as well as the tax representatives appointed by the LPR whose co</w:t>
      </w:r>
      <w:r w:rsidR="00532A66">
        <w:rPr>
          <w:rFonts w:ascii="Arial" w:hAnsi="Arial" w:cs="Arial"/>
          <w:sz w:val="22"/>
          <w:szCs w:val="22"/>
        </w:rPr>
        <w:t>sts will exponentially balloon</w:t>
      </w:r>
      <w:r w:rsidR="00932DFC" w:rsidRPr="00146A9E">
        <w:rPr>
          <w:rFonts w:ascii="Arial" w:hAnsi="Arial" w:cs="Arial"/>
          <w:sz w:val="22"/>
          <w:szCs w:val="22"/>
        </w:rPr>
        <w:t>.</w:t>
      </w:r>
    </w:p>
    <w:p w14:paraId="71F751E8" w14:textId="77777777" w:rsidR="00386159" w:rsidRPr="00990E63" w:rsidRDefault="00386159" w:rsidP="00386159">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A couple</w:t>
      </w:r>
      <w:r w:rsidRPr="00990E63">
        <w:rPr>
          <w:rFonts w:ascii="Arial" w:hAnsi="Arial" w:cs="Arial"/>
          <w:sz w:val="22"/>
          <w:szCs w:val="22"/>
        </w:rPr>
        <w:t xml:space="preserve"> of the submissions </w:t>
      </w:r>
      <w:proofErr w:type="gramStart"/>
      <w:r w:rsidRPr="00990E63">
        <w:rPr>
          <w:rFonts w:ascii="Arial" w:hAnsi="Arial" w:cs="Arial"/>
          <w:sz w:val="22"/>
          <w:szCs w:val="22"/>
        </w:rPr>
        <w:t>raised</w:t>
      </w:r>
      <w:proofErr w:type="gramEnd"/>
      <w:r w:rsidRPr="00990E63">
        <w:rPr>
          <w:rFonts w:ascii="Arial" w:hAnsi="Arial" w:cs="Arial"/>
          <w:sz w:val="22"/>
          <w:szCs w:val="22"/>
        </w:rPr>
        <w:t xml:space="preserve"> that it would be preferable, in effect, to have retrospective commencement</w:t>
      </w:r>
      <w:r>
        <w:rPr>
          <w:rFonts w:ascii="Arial" w:hAnsi="Arial" w:cs="Arial"/>
          <w:sz w:val="22"/>
          <w:szCs w:val="22"/>
        </w:rPr>
        <w:t xml:space="preserve"> of the modification</w:t>
      </w:r>
      <w:r w:rsidRPr="00990E63">
        <w:rPr>
          <w:rFonts w:ascii="Arial" w:hAnsi="Arial" w:cs="Arial"/>
          <w:sz w:val="22"/>
          <w:szCs w:val="22"/>
        </w:rPr>
        <w:t xml:space="preserve">. </w:t>
      </w:r>
      <w:r w:rsidRPr="002C24B2">
        <w:rPr>
          <w:rFonts w:ascii="Arial" w:hAnsi="Arial" w:cs="Arial"/>
          <w:sz w:val="22"/>
          <w:szCs w:val="22"/>
        </w:rPr>
        <w:t>However, the law does not allow retrospective commencement.</w:t>
      </w:r>
      <w:r>
        <w:rPr>
          <w:rFonts w:ascii="Arial" w:hAnsi="Arial" w:cs="Arial"/>
          <w:sz w:val="22"/>
          <w:szCs w:val="22"/>
        </w:rPr>
        <w:t xml:space="preserve"> </w:t>
      </w:r>
      <w:r w:rsidRPr="00372270">
        <w:rPr>
          <w:rFonts w:ascii="Arial" w:hAnsi="Arial" w:cs="Arial"/>
          <w:sz w:val="22"/>
          <w:szCs w:val="22"/>
        </w:rPr>
        <w:t>Section 370-20</w:t>
      </w:r>
      <w:r w:rsidRPr="002C24B2">
        <w:rPr>
          <w:rFonts w:asciiTheme="minorHAnsi" w:hAnsiTheme="minorHAnsi" w:cs="Arial"/>
          <w:sz w:val="22"/>
          <w:szCs w:val="22"/>
        </w:rPr>
        <w:t xml:space="preserve"> </w:t>
      </w:r>
      <w:r w:rsidRPr="00372270">
        <w:rPr>
          <w:rFonts w:ascii="Arial" w:hAnsi="Arial" w:cs="Arial"/>
          <w:sz w:val="22"/>
          <w:szCs w:val="22"/>
        </w:rPr>
        <w:t>provides</w:t>
      </w:r>
      <w:r w:rsidRPr="00146A9E">
        <w:rPr>
          <w:rFonts w:ascii="Arial" w:hAnsi="Arial" w:cs="Arial"/>
          <w:sz w:val="22"/>
          <w:szCs w:val="22"/>
        </w:rPr>
        <w:t xml:space="preserve"> a determination made under section 370-5 must not commence before the first day it is no longer liable to be disallowed, or to be taken to have been disallowed, under section 42 of the </w:t>
      </w:r>
      <w:r w:rsidRPr="00146A9E">
        <w:rPr>
          <w:rFonts w:ascii="Arial" w:hAnsi="Arial" w:cs="Arial"/>
          <w:i/>
          <w:sz w:val="22"/>
          <w:szCs w:val="22"/>
        </w:rPr>
        <w:t>Legislation Act 2003</w:t>
      </w:r>
      <w:r w:rsidRPr="00146A9E">
        <w:rPr>
          <w:rFonts w:ascii="Arial" w:hAnsi="Arial" w:cs="Arial"/>
          <w:sz w:val="22"/>
          <w:szCs w:val="22"/>
        </w:rPr>
        <w:t xml:space="preserve">. This is to ensure that Parliament has </w:t>
      </w:r>
      <w:r>
        <w:rPr>
          <w:rFonts w:ascii="Arial" w:hAnsi="Arial" w:cs="Arial"/>
          <w:sz w:val="22"/>
          <w:szCs w:val="22"/>
        </w:rPr>
        <w:t>the</w:t>
      </w:r>
      <w:r w:rsidRPr="00146A9E">
        <w:rPr>
          <w:rFonts w:ascii="Arial" w:hAnsi="Arial" w:cs="Arial"/>
          <w:sz w:val="22"/>
          <w:szCs w:val="22"/>
        </w:rPr>
        <w:t xml:space="preserve"> opportunity to </w:t>
      </w:r>
      <w:r>
        <w:rPr>
          <w:rFonts w:ascii="Arial" w:hAnsi="Arial" w:cs="Arial"/>
          <w:sz w:val="22"/>
          <w:szCs w:val="22"/>
        </w:rPr>
        <w:t xml:space="preserve">properly </w:t>
      </w:r>
      <w:r w:rsidRPr="00146A9E">
        <w:rPr>
          <w:rFonts w:ascii="Arial" w:hAnsi="Arial" w:cs="Arial"/>
          <w:sz w:val="22"/>
          <w:szCs w:val="22"/>
        </w:rPr>
        <w:t>scrutinise an instrument made under the remedial power and, if it considers necessary, to disallow it.</w:t>
      </w:r>
      <w:r>
        <w:rPr>
          <w:rFonts w:ascii="Arial" w:hAnsi="Arial" w:cs="Arial"/>
          <w:sz w:val="22"/>
          <w:szCs w:val="22"/>
        </w:rPr>
        <w:t xml:space="preserve"> It is also unsuitable for the instrument to commence prospectively and apply to disclosures from an earlier date. </w:t>
      </w:r>
      <w:r w:rsidRPr="00146A9E">
        <w:rPr>
          <w:rFonts w:ascii="Arial" w:hAnsi="Arial" w:cs="Arial"/>
          <w:sz w:val="22"/>
          <w:szCs w:val="22"/>
        </w:rPr>
        <w:t xml:space="preserve">Section 355-25 deals with the disclosure of protected information by taxation officers. The offence occurs at the time of the disclosure. </w:t>
      </w:r>
    </w:p>
    <w:p w14:paraId="5BC654A7" w14:textId="38E33F94" w:rsidR="00270765" w:rsidRDefault="00270765"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In addition, targeted consultation on </w:t>
      </w:r>
      <w:r w:rsidR="0048701F">
        <w:rPr>
          <w:rFonts w:ascii="Arial" w:hAnsi="Arial" w:cs="Arial"/>
          <w:sz w:val="22"/>
          <w:szCs w:val="22"/>
        </w:rPr>
        <w:t xml:space="preserve">a </w:t>
      </w:r>
      <w:r w:rsidR="004D5C69">
        <w:rPr>
          <w:rFonts w:ascii="Arial" w:hAnsi="Arial" w:cs="Arial"/>
          <w:sz w:val="22"/>
          <w:szCs w:val="22"/>
        </w:rPr>
        <w:t>prospective CRP candidate</w:t>
      </w:r>
      <w:r>
        <w:rPr>
          <w:rFonts w:ascii="Arial" w:hAnsi="Arial" w:cs="Arial"/>
          <w:sz w:val="22"/>
          <w:szCs w:val="22"/>
        </w:rPr>
        <w:t xml:space="preserve"> is undertaken with the CRP Advisory Panel, a body comprised of private sector specialists, Treasu</w:t>
      </w:r>
      <w:r w:rsidR="0048701F">
        <w:rPr>
          <w:rFonts w:ascii="Arial" w:hAnsi="Arial" w:cs="Arial"/>
          <w:sz w:val="22"/>
          <w:szCs w:val="22"/>
        </w:rPr>
        <w:t xml:space="preserve">ry and ATO representatives. </w:t>
      </w:r>
      <w:r w:rsidR="007D1759">
        <w:rPr>
          <w:rFonts w:ascii="Arial" w:hAnsi="Arial" w:cs="Arial"/>
          <w:sz w:val="22"/>
          <w:szCs w:val="22"/>
        </w:rPr>
        <w:t xml:space="preserve">The Panel </w:t>
      </w:r>
      <w:r>
        <w:rPr>
          <w:rFonts w:ascii="Arial" w:hAnsi="Arial" w:cs="Arial"/>
          <w:sz w:val="22"/>
          <w:szCs w:val="22"/>
        </w:rPr>
        <w:t>supported the</w:t>
      </w:r>
      <w:r w:rsidR="007D1759">
        <w:rPr>
          <w:rFonts w:ascii="Arial" w:hAnsi="Arial" w:cs="Arial"/>
          <w:sz w:val="22"/>
          <w:szCs w:val="22"/>
        </w:rPr>
        <w:t xml:space="preserve"> exercise of t</w:t>
      </w:r>
      <w:r w:rsidR="00366411">
        <w:rPr>
          <w:rFonts w:ascii="Arial" w:hAnsi="Arial" w:cs="Arial"/>
          <w:sz w:val="22"/>
          <w:szCs w:val="22"/>
        </w:rPr>
        <w:t>he CRP</w:t>
      </w:r>
      <w:r w:rsidR="0048701F">
        <w:rPr>
          <w:rFonts w:ascii="Arial" w:hAnsi="Arial" w:cs="Arial"/>
          <w:sz w:val="22"/>
          <w:szCs w:val="22"/>
        </w:rPr>
        <w:t xml:space="preserve"> and provided feedback on the draft determination and explanatory statement.</w:t>
      </w:r>
    </w:p>
    <w:p w14:paraId="54D99BF1" w14:textId="77777777" w:rsidR="00D25A0C" w:rsidRDefault="00D25A0C" w:rsidP="00D25A0C">
      <w:pPr>
        <w:spacing w:after="120"/>
        <w:rPr>
          <w:rFonts w:ascii="Arial" w:hAnsi="Arial" w:cs="Arial"/>
          <w:sz w:val="22"/>
          <w:szCs w:val="22"/>
        </w:rPr>
      </w:pPr>
    </w:p>
    <w:p w14:paraId="3B40487D" w14:textId="77777777" w:rsidR="00D25A0C" w:rsidRDefault="00D25A0C" w:rsidP="00D25A0C">
      <w:pPr>
        <w:spacing w:after="120"/>
        <w:rPr>
          <w:rFonts w:ascii="Arial" w:hAnsi="Arial" w:cs="Arial"/>
          <w:sz w:val="22"/>
          <w:szCs w:val="22"/>
        </w:rPr>
      </w:pPr>
    </w:p>
    <w:p w14:paraId="21309528" w14:textId="4878CE30" w:rsidR="00270765" w:rsidRPr="003529EC" w:rsidRDefault="00D90FCA" w:rsidP="00487375">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lastRenderedPageBreak/>
        <w:t>The Board of Taxation was also consulted on th</w:t>
      </w:r>
      <w:r w:rsidR="00366411">
        <w:rPr>
          <w:rFonts w:ascii="Arial" w:hAnsi="Arial" w:cs="Arial"/>
          <w:sz w:val="22"/>
          <w:szCs w:val="22"/>
        </w:rPr>
        <w:t>e use of the CRP to resolve the</w:t>
      </w:r>
      <w:r>
        <w:rPr>
          <w:rFonts w:ascii="Arial" w:hAnsi="Arial" w:cs="Arial"/>
          <w:sz w:val="22"/>
          <w:szCs w:val="22"/>
        </w:rPr>
        <w:t xml:space="preserve"> issue, th</w:t>
      </w:r>
      <w:r w:rsidR="00366411">
        <w:rPr>
          <w:rFonts w:ascii="Arial" w:hAnsi="Arial" w:cs="Arial"/>
          <w:sz w:val="22"/>
          <w:szCs w:val="22"/>
        </w:rPr>
        <w:t xml:space="preserve">e draft determination and </w:t>
      </w:r>
      <w:r>
        <w:rPr>
          <w:rFonts w:ascii="Arial" w:hAnsi="Arial" w:cs="Arial"/>
          <w:sz w:val="22"/>
          <w:szCs w:val="22"/>
        </w:rPr>
        <w:t xml:space="preserve">explanatory statement. The Board </w:t>
      </w:r>
      <w:r w:rsidR="00CA4155">
        <w:rPr>
          <w:rFonts w:ascii="Arial" w:hAnsi="Arial" w:cs="Arial"/>
          <w:sz w:val="22"/>
          <w:szCs w:val="22"/>
        </w:rPr>
        <w:t xml:space="preserve">agreed that the </w:t>
      </w:r>
      <w:r w:rsidR="007C1FAE">
        <w:rPr>
          <w:rFonts w:ascii="Arial" w:hAnsi="Arial" w:cs="Arial"/>
          <w:sz w:val="22"/>
          <w:szCs w:val="22"/>
        </w:rPr>
        <w:t>modification</w:t>
      </w:r>
      <w:r w:rsidR="00CA4155">
        <w:rPr>
          <w:rFonts w:ascii="Arial" w:hAnsi="Arial" w:cs="Arial"/>
          <w:sz w:val="22"/>
          <w:szCs w:val="22"/>
        </w:rPr>
        <w:t xml:space="preserve"> is consistent with the objects of that provision; and reasonable having regard to the provision’s </w:t>
      </w:r>
      <w:r w:rsidR="007C1FAE">
        <w:rPr>
          <w:rFonts w:ascii="Arial" w:hAnsi="Arial" w:cs="Arial"/>
          <w:sz w:val="22"/>
          <w:szCs w:val="22"/>
        </w:rPr>
        <w:t>intended</w:t>
      </w:r>
      <w:r w:rsidR="00803AED">
        <w:rPr>
          <w:rFonts w:ascii="Arial" w:hAnsi="Arial" w:cs="Arial"/>
          <w:sz w:val="22"/>
          <w:szCs w:val="22"/>
        </w:rPr>
        <w:t xml:space="preserve"> </w:t>
      </w:r>
      <w:r w:rsidR="00F62DDB">
        <w:rPr>
          <w:rFonts w:ascii="Arial" w:hAnsi="Arial" w:cs="Arial"/>
          <w:sz w:val="22"/>
          <w:szCs w:val="22"/>
        </w:rPr>
        <w:t>purpose</w:t>
      </w:r>
      <w:r w:rsidR="00CA4155">
        <w:rPr>
          <w:rFonts w:ascii="Arial" w:hAnsi="Arial" w:cs="Arial"/>
          <w:sz w:val="22"/>
          <w:szCs w:val="22"/>
        </w:rPr>
        <w:t>. Accordingly the Board considered it would</w:t>
      </w:r>
      <w:r w:rsidR="00EE3240">
        <w:rPr>
          <w:rFonts w:ascii="Arial" w:hAnsi="Arial" w:cs="Arial"/>
          <w:sz w:val="22"/>
          <w:szCs w:val="22"/>
        </w:rPr>
        <w:t xml:space="preserve"> be</w:t>
      </w:r>
      <w:r w:rsidR="00CA4155">
        <w:rPr>
          <w:rFonts w:ascii="Arial" w:hAnsi="Arial" w:cs="Arial"/>
          <w:sz w:val="22"/>
          <w:szCs w:val="22"/>
        </w:rPr>
        <w:t xml:space="preserve"> appropri</w:t>
      </w:r>
      <w:r w:rsidR="0032767E">
        <w:rPr>
          <w:rFonts w:ascii="Arial" w:hAnsi="Arial" w:cs="Arial"/>
          <w:sz w:val="22"/>
          <w:szCs w:val="22"/>
        </w:rPr>
        <w:t xml:space="preserve">ate to exercise the </w:t>
      </w:r>
      <w:r w:rsidR="00CA4155">
        <w:rPr>
          <w:rFonts w:ascii="Arial" w:hAnsi="Arial" w:cs="Arial"/>
          <w:sz w:val="22"/>
          <w:szCs w:val="22"/>
        </w:rPr>
        <w:t xml:space="preserve">power. </w:t>
      </w:r>
    </w:p>
    <w:p w14:paraId="614AC4CE" w14:textId="77777777" w:rsidR="00487375" w:rsidRDefault="003529EC" w:rsidP="003529EC">
      <w:pPr>
        <w:pStyle w:val="Heading3"/>
        <w:rPr>
          <w:sz w:val="24"/>
        </w:rPr>
      </w:pPr>
      <w:r w:rsidRPr="007E0A01">
        <w:rPr>
          <w:sz w:val="24"/>
        </w:rPr>
        <w:t>Legislative references:</w:t>
      </w:r>
    </w:p>
    <w:p w14:paraId="070F9CCC" w14:textId="62829E5C" w:rsidR="00E71E9C" w:rsidRDefault="00E71E9C" w:rsidP="00487375">
      <w:pPr>
        <w:pStyle w:val="Heading3"/>
        <w:keepNext w:val="0"/>
        <w:spacing w:before="0" w:after="0"/>
        <w:rPr>
          <w:b w:val="0"/>
          <w:i/>
          <w:sz w:val="22"/>
        </w:rPr>
      </w:pPr>
      <w:r>
        <w:rPr>
          <w:b w:val="0"/>
          <w:i/>
          <w:sz w:val="22"/>
        </w:rPr>
        <w:t>Acts Interpretation Act 1901</w:t>
      </w:r>
    </w:p>
    <w:p w14:paraId="63B67565" w14:textId="77777777" w:rsidR="00E71E9C" w:rsidRDefault="00E71E9C" w:rsidP="00487375">
      <w:pPr>
        <w:rPr>
          <w:rFonts w:ascii="Arial" w:hAnsi="Arial" w:cs="Arial"/>
          <w:i/>
          <w:sz w:val="22"/>
          <w:szCs w:val="22"/>
        </w:rPr>
      </w:pPr>
      <w:r>
        <w:rPr>
          <w:rFonts w:ascii="Arial" w:hAnsi="Arial" w:cs="Arial"/>
          <w:i/>
          <w:sz w:val="22"/>
          <w:szCs w:val="22"/>
        </w:rPr>
        <w:t>Human Rights (Parliamentary Scrutiny) Act 2011</w:t>
      </w:r>
    </w:p>
    <w:p w14:paraId="02A06202" w14:textId="74328BB9" w:rsidR="00E71E9C" w:rsidRDefault="00E71E9C" w:rsidP="00487375">
      <w:pPr>
        <w:rPr>
          <w:rFonts w:ascii="Arial" w:hAnsi="Arial" w:cs="Arial"/>
          <w:i/>
          <w:sz w:val="22"/>
        </w:rPr>
      </w:pPr>
      <w:r>
        <w:rPr>
          <w:rFonts w:ascii="Arial" w:hAnsi="Arial" w:cs="Arial"/>
          <w:i/>
          <w:sz w:val="22"/>
        </w:rPr>
        <w:t xml:space="preserve">Legislation </w:t>
      </w:r>
      <w:r w:rsidRPr="00E71E9C">
        <w:rPr>
          <w:rFonts w:ascii="Arial" w:hAnsi="Arial" w:cs="Arial"/>
          <w:i/>
          <w:sz w:val="22"/>
        </w:rPr>
        <w:t>Act 2003</w:t>
      </w:r>
    </w:p>
    <w:p w14:paraId="52273436" w14:textId="77777777" w:rsidR="00487375" w:rsidRDefault="003529EC" w:rsidP="00487375">
      <w:pPr>
        <w:rPr>
          <w:rFonts w:ascii="Arial" w:hAnsi="Arial" w:cs="Arial"/>
          <w:i/>
          <w:sz w:val="22"/>
        </w:rPr>
      </w:pPr>
      <w:r w:rsidRPr="00E71E9C">
        <w:rPr>
          <w:rFonts w:ascii="Arial" w:hAnsi="Arial" w:cs="Arial"/>
          <w:i/>
          <w:sz w:val="22"/>
        </w:rPr>
        <w:t>Taxation Administration Act 1953</w:t>
      </w:r>
    </w:p>
    <w:p w14:paraId="3AC58FBF" w14:textId="4F38124F" w:rsidR="00126CAE" w:rsidRPr="00A61D65" w:rsidRDefault="00E71E9C" w:rsidP="00487375">
      <w:pPr>
        <w:rPr>
          <w:rFonts w:ascii="Arial" w:hAnsi="Arial" w:cs="Arial"/>
          <w:i/>
          <w:sz w:val="22"/>
          <w:szCs w:val="22"/>
        </w:rPr>
      </w:pPr>
      <w:r>
        <w:rPr>
          <w:rFonts w:ascii="Arial" w:hAnsi="Arial" w:cs="Arial"/>
          <w:i/>
          <w:sz w:val="22"/>
          <w:szCs w:val="22"/>
        </w:rPr>
        <w:t>Tax Laws Amendment (Confidentiality of Taxpayer Information) Bill 2009</w:t>
      </w:r>
    </w:p>
    <w:p w14:paraId="410B097C" w14:textId="77777777" w:rsidR="009926D8" w:rsidRDefault="009926D8">
      <w:pPr>
        <w:rPr>
          <w:rFonts w:ascii="Arial" w:hAnsi="Arial" w:cs="Arial"/>
          <w:b/>
          <w:bCs/>
          <w:szCs w:val="26"/>
        </w:rPr>
      </w:pPr>
      <w:r>
        <w:br w:type="page"/>
      </w:r>
    </w:p>
    <w:p w14:paraId="70F5F032" w14:textId="500B7800" w:rsidR="001C0837" w:rsidRDefault="00E53399" w:rsidP="00BB4B90">
      <w:pPr>
        <w:pStyle w:val="Heading3"/>
        <w:spacing w:before="0" w:after="120"/>
        <w:jc w:val="center"/>
        <w:rPr>
          <w:sz w:val="24"/>
        </w:rPr>
      </w:pPr>
      <w:r w:rsidRPr="007E0A01">
        <w:rPr>
          <w:sz w:val="24"/>
        </w:rPr>
        <w:lastRenderedPageBreak/>
        <w:t xml:space="preserve">Statement of compatibility </w:t>
      </w:r>
      <w:r w:rsidR="00C11D03" w:rsidRPr="007E0A01">
        <w:rPr>
          <w:sz w:val="24"/>
        </w:rPr>
        <w:t>with Human Rights</w:t>
      </w:r>
    </w:p>
    <w:p w14:paraId="6E4F0E1B" w14:textId="4F0BC8AB" w:rsidR="00E53399" w:rsidRPr="007E0A01" w:rsidRDefault="004F5EB1" w:rsidP="00BB4B90">
      <w:pPr>
        <w:pStyle w:val="Heading3"/>
        <w:spacing w:before="0" w:after="120"/>
        <w:rPr>
          <w:sz w:val="24"/>
        </w:rPr>
      </w:pPr>
      <w:r w:rsidRPr="007E0A01">
        <w:rPr>
          <w:b w:val="0"/>
          <w:sz w:val="22"/>
          <w:szCs w:val="20"/>
        </w:rPr>
        <w:t>P</w:t>
      </w:r>
      <w:r w:rsidR="00E53399" w:rsidRPr="007E0A01">
        <w:rPr>
          <w:b w:val="0"/>
          <w:sz w:val="22"/>
          <w:szCs w:val="20"/>
        </w:rPr>
        <w:t xml:space="preserve">repared in accordance with Part 3 of the </w:t>
      </w:r>
      <w:r w:rsidR="00E53399" w:rsidRPr="007E0A01">
        <w:rPr>
          <w:b w:val="0"/>
          <w:i/>
          <w:sz w:val="22"/>
          <w:szCs w:val="20"/>
        </w:rPr>
        <w:t>Human Righ</w:t>
      </w:r>
      <w:r w:rsidR="0054594D">
        <w:rPr>
          <w:b w:val="0"/>
          <w:i/>
          <w:sz w:val="22"/>
          <w:szCs w:val="20"/>
        </w:rPr>
        <w:t>ts (Parliamentary Scrutiny) Act </w:t>
      </w:r>
      <w:r w:rsidR="00E53399" w:rsidRPr="007E0A01">
        <w:rPr>
          <w:b w:val="0"/>
          <w:i/>
          <w:sz w:val="22"/>
          <w:szCs w:val="20"/>
        </w:rPr>
        <w:t>2011</w:t>
      </w:r>
    </w:p>
    <w:p w14:paraId="6E4F0E1C" w14:textId="17690AE2" w:rsidR="00D77015" w:rsidRPr="00487375" w:rsidRDefault="00D77015" w:rsidP="00BB4B90">
      <w:pPr>
        <w:spacing w:after="120"/>
        <w:rPr>
          <w:rFonts w:ascii="Arial" w:hAnsi="Arial" w:cs="Arial"/>
          <w:sz w:val="22"/>
          <w:szCs w:val="22"/>
        </w:rPr>
      </w:pPr>
    </w:p>
    <w:p w14:paraId="6E4F0E1E" w14:textId="6CD224C5" w:rsidR="002A26FE" w:rsidRPr="00BB4B90" w:rsidRDefault="00750C67" w:rsidP="00487375">
      <w:pPr>
        <w:pStyle w:val="Heading2"/>
        <w:jc w:val="center"/>
      </w:pPr>
      <w:r w:rsidRPr="00BB4B90">
        <w:t xml:space="preserve">Taxation </w:t>
      </w:r>
      <w:r w:rsidR="00B73367" w:rsidRPr="00BB4B90">
        <w:t>Administration (</w:t>
      </w:r>
      <w:r w:rsidR="008B0BAB" w:rsidRPr="00BB4B90">
        <w:t>Remedial Power- Disclosure of Protected I</w:t>
      </w:r>
      <w:r w:rsidRPr="00BB4B90">
        <w:t>nformation</w:t>
      </w:r>
      <w:r w:rsidR="00F24D5F" w:rsidRPr="00BB4B90">
        <w:t xml:space="preserve"> by Taxation Officers</w:t>
      </w:r>
      <w:r w:rsidRPr="00BB4B90">
        <w:t xml:space="preserve">) Determination </w:t>
      </w:r>
      <w:r w:rsidR="00F04C78">
        <w:t>2020</w:t>
      </w:r>
    </w:p>
    <w:p w14:paraId="6E4F0E33" w14:textId="5C87A98C" w:rsidR="00075B58" w:rsidRPr="00487375" w:rsidRDefault="00075B58" w:rsidP="00BB4B90">
      <w:pPr>
        <w:autoSpaceDE w:val="0"/>
        <w:autoSpaceDN w:val="0"/>
        <w:adjustRightInd w:val="0"/>
        <w:spacing w:after="120"/>
        <w:rPr>
          <w:rFonts w:ascii="Arial" w:hAnsi="Arial" w:cs="Arial"/>
          <w:i/>
          <w:iCs/>
          <w:color w:val="000000"/>
          <w:sz w:val="22"/>
          <w:szCs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bookmarkStart w:id="0" w:name="_GoBack"/>
      <w:r w:rsidRPr="00D43D34">
        <w:rPr>
          <w:rFonts w:ascii="Arial" w:hAnsi="Arial" w:cs="Arial"/>
          <w:i/>
          <w:color w:val="000000"/>
          <w:sz w:val="22"/>
        </w:rPr>
        <w:t>Human Rights (Parliamentary Scrutiny) Act 2011</w:t>
      </w:r>
      <w:bookmarkEnd w:id="0"/>
      <w:r w:rsidRPr="007E0A01">
        <w:rPr>
          <w:rFonts w:ascii="Arial" w:hAnsi="Arial" w:cs="Arial"/>
          <w:color w:val="000000"/>
          <w:sz w:val="22"/>
        </w:rPr>
        <w:t>.</w:t>
      </w:r>
    </w:p>
    <w:p w14:paraId="6E4F0E34" w14:textId="77777777" w:rsidR="00075B58" w:rsidRPr="00BB4B90" w:rsidRDefault="00075B58" w:rsidP="00BB4B90">
      <w:pPr>
        <w:spacing w:after="120"/>
        <w:rPr>
          <w:rFonts w:ascii="Arial" w:hAnsi="Arial" w:cs="Arial"/>
          <w:sz w:val="22"/>
          <w:szCs w:val="22"/>
        </w:rPr>
      </w:pPr>
    </w:p>
    <w:p w14:paraId="6E4F0E35" w14:textId="57D8C8CF" w:rsidR="00075B58" w:rsidRPr="00BB4B90" w:rsidRDefault="00075B58" w:rsidP="00BB4B90">
      <w:pPr>
        <w:pStyle w:val="Heading2"/>
      </w:pPr>
      <w:r w:rsidRPr="007E0A01">
        <w:t xml:space="preserve">Overview of </w:t>
      </w:r>
      <w:r w:rsidR="007E0A01" w:rsidRPr="007E0A01">
        <w:t xml:space="preserve">the </w:t>
      </w:r>
      <w:r w:rsidRPr="007E0A01">
        <w:t>Legislative Instrument</w:t>
      </w:r>
    </w:p>
    <w:p w14:paraId="28497396" w14:textId="51B34586" w:rsidR="008B0BAB" w:rsidRPr="00352FC8" w:rsidRDefault="00750C67" w:rsidP="00BB4B90">
      <w:pPr>
        <w:autoSpaceDE w:val="0"/>
        <w:autoSpaceDN w:val="0"/>
        <w:adjustRightInd w:val="0"/>
        <w:spacing w:after="120"/>
        <w:rPr>
          <w:rFonts w:ascii="Arial" w:hAnsi="Arial" w:cs="Arial"/>
          <w:color w:val="000000"/>
          <w:sz w:val="22"/>
        </w:rPr>
      </w:pPr>
      <w:r w:rsidRPr="00C72C08">
        <w:rPr>
          <w:rFonts w:ascii="Arial" w:hAnsi="Arial" w:cs="Arial"/>
          <w:color w:val="000000"/>
          <w:sz w:val="22"/>
        </w:rPr>
        <w:t xml:space="preserve">This Legislative Instrument is made under section 370-5 of Schedule 1 to the </w:t>
      </w:r>
      <w:r w:rsidRPr="00C72C08">
        <w:rPr>
          <w:rFonts w:ascii="Arial" w:hAnsi="Arial" w:cs="Arial"/>
          <w:i/>
          <w:color w:val="000000"/>
          <w:sz w:val="22"/>
        </w:rPr>
        <w:t>Taxation Administration Act 1953</w:t>
      </w:r>
      <w:r w:rsidRPr="00C72C08">
        <w:rPr>
          <w:rFonts w:ascii="Arial" w:hAnsi="Arial" w:cs="Arial"/>
          <w:color w:val="000000"/>
          <w:sz w:val="22"/>
        </w:rPr>
        <w:t xml:space="preserve"> (TAA</w:t>
      </w:r>
      <w:r w:rsidR="00E32DF3">
        <w:rPr>
          <w:rFonts w:ascii="Arial" w:hAnsi="Arial" w:cs="Arial"/>
          <w:color w:val="000000"/>
          <w:sz w:val="22"/>
        </w:rPr>
        <w:t xml:space="preserve"> 1953</w:t>
      </w:r>
      <w:r w:rsidRPr="00C72C08">
        <w:rPr>
          <w:rFonts w:ascii="Arial" w:hAnsi="Arial" w:cs="Arial"/>
          <w:color w:val="000000"/>
          <w:sz w:val="22"/>
        </w:rPr>
        <w:t>)</w:t>
      </w:r>
      <w:r w:rsidR="006A36E3">
        <w:rPr>
          <w:rFonts w:ascii="Arial" w:hAnsi="Arial" w:cs="Arial"/>
          <w:color w:val="000000"/>
          <w:sz w:val="22"/>
        </w:rPr>
        <w:t>,</w:t>
      </w:r>
      <w:r w:rsidR="00F0564E">
        <w:rPr>
          <w:rFonts w:ascii="Arial" w:hAnsi="Arial" w:cs="Arial"/>
          <w:color w:val="000000"/>
          <w:sz w:val="22"/>
        </w:rPr>
        <w:t xml:space="preserve"> </w:t>
      </w:r>
      <w:r w:rsidRPr="00C72C08">
        <w:rPr>
          <w:rFonts w:ascii="Arial" w:hAnsi="Arial" w:cs="Arial"/>
          <w:color w:val="000000"/>
          <w:sz w:val="22"/>
        </w:rPr>
        <w:t xml:space="preserve">known as the Commissioner’s Remedial Power. It </w:t>
      </w:r>
      <w:r w:rsidR="00B73367" w:rsidRPr="00C72C08">
        <w:rPr>
          <w:rFonts w:ascii="Arial" w:hAnsi="Arial" w:cs="Arial"/>
          <w:color w:val="000000"/>
          <w:sz w:val="22"/>
        </w:rPr>
        <w:t>modi</w:t>
      </w:r>
      <w:r w:rsidR="00B73367">
        <w:rPr>
          <w:rFonts w:ascii="Arial" w:hAnsi="Arial" w:cs="Arial"/>
          <w:color w:val="000000"/>
          <w:sz w:val="22"/>
        </w:rPr>
        <w:t>fi</w:t>
      </w:r>
      <w:r w:rsidR="00B73367" w:rsidRPr="00C72C08">
        <w:rPr>
          <w:rFonts w:ascii="Arial" w:hAnsi="Arial" w:cs="Arial"/>
          <w:color w:val="000000"/>
          <w:sz w:val="22"/>
        </w:rPr>
        <w:t>es</w:t>
      </w:r>
      <w:r w:rsidRPr="00C72C08">
        <w:rPr>
          <w:rFonts w:ascii="Arial" w:hAnsi="Arial" w:cs="Arial"/>
          <w:color w:val="000000"/>
          <w:sz w:val="22"/>
        </w:rPr>
        <w:t xml:space="preserve"> the operation of the </w:t>
      </w:r>
      <w:r w:rsidR="006A36E3">
        <w:rPr>
          <w:rFonts w:ascii="Arial" w:hAnsi="Arial" w:cs="Arial"/>
          <w:color w:val="000000"/>
          <w:sz w:val="22"/>
        </w:rPr>
        <w:t>taxpayer confidentiality rules</w:t>
      </w:r>
      <w:r w:rsidRPr="00C72C08">
        <w:rPr>
          <w:rFonts w:ascii="Arial" w:hAnsi="Arial" w:cs="Arial"/>
          <w:color w:val="000000"/>
          <w:sz w:val="22"/>
        </w:rPr>
        <w:t xml:space="preserve"> in </w:t>
      </w:r>
      <w:r w:rsidR="007B4CC9">
        <w:rPr>
          <w:rFonts w:ascii="Arial" w:hAnsi="Arial" w:cs="Arial"/>
          <w:color w:val="000000"/>
          <w:sz w:val="22"/>
        </w:rPr>
        <w:t xml:space="preserve">Division 355 of </w:t>
      </w:r>
      <w:r w:rsidRPr="00C72C08">
        <w:rPr>
          <w:rFonts w:ascii="Arial" w:hAnsi="Arial" w:cs="Arial"/>
          <w:color w:val="000000"/>
          <w:sz w:val="22"/>
        </w:rPr>
        <w:t>Schedule 1 to the TAA</w:t>
      </w:r>
      <w:r w:rsidR="00E32DF3">
        <w:rPr>
          <w:rFonts w:ascii="Arial" w:hAnsi="Arial" w:cs="Arial"/>
          <w:color w:val="000000"/>
          <w:sz w:val="22"/>
        </w:rPr>
        <w:t xml:space="preserve"> 1953</w:t>
      </w:r>
      <w:r w:rsidRPr="00C72C08">
        <w:rPr>
          <w:rFonts w:ascii="Arial" w:hAnsi="Arial" w:cs="Arial"/>
          <w:color w:val="000000"/>
          <w:sz w:val="22"/>
        </w:rPr>
        <w:t xml:space="preserve">. The modification ensures that </w:t>
      </w:r>
      <w:r w:rsidR="00C72C08" w:rsidRPr="00C72C08">
        <w:rPr>
          <w:rFonts w:ascii="Arial" w:hAnsi="Arial" w:cs="Arial"/>
          <w:color w:val="000000"/>
          <w:sz w:val="22"/>
        </w:rPr>
        <w:t xml:space="preserve">a taxation officer can disclose protected information </w:t>
      </w:r>
      <w:r w:rsidR="00352FC8">
        <w:rPr>
          <w:rFonts w:ascii="Arial" w:hAnsi="Arial" w:cs="Arial"/>
          <w:color w:val="000000"/>
          <w:sz w:val="22"/>
        </w:rPr>
        <w:t>of a deceased person</w:t>
      </w:r>
      <w:r w:rsidR="008B0BAB" w:rsidRPr="00352FC8">
        <w:rPr>
          <w:rFonts w:ascii="Arial" w:hAnsi="Arial" w:cs="Arial"/>
          <w:color w:val="000000"/>
          <w:sz w:val="22"/>
        </w:rPr>
        <w:t xml:space="preserve"> to the registered tax agent, BAS agent, or legal practitioner of an executor or administrator of </w:t>
      </w:r>
      <w:r w:rsidR="00352FC8">
        <w:rPr>
          <w:rFonts w:ascii="Arial" w:hAnsi="Arial" w:cs="Arial"/>
          <w:color w:val="000000"/>
          <w:sz w:val="22"/>
        </w:rPr>
        <w:t>the</w:t>
      </w:r>
      <w:r w:rsidR="008B0BAB" w:rsidRPr="00352FC8">
        <w:rPr>
          <w:rFonts w:ascii="Arial" w:hAnsi="Arial" w:cs="Arial"/>
          <w:color w:val="000000"/>
          <w:sz w:val="22"/>
        </w:rPr>
        <w:t xml:space="preserve"> estate of </w:t>
      </w:r>
      <w:r w:rsidR="00352FC8">
        <w:rPr>
          <w:rFonts w:ascii="Arial" w:hAnsi="Arial" w:cs="Arial"/>
          <w:color w:val="000000"/>
          <w:sz w:val="22"/>
        </w:rPr>
        <w:t xml:space="preserve">the </w:t>
      </w:r>
      <w:r w:rsidR="008B0BAB" w:rsidRPr="00352FC8">
        <w:rPr>
          <w:rFonts w:ascii="Arial" w:hAnsi="Arial" w:cs="Arial"/>
          <w:color w:val="000000"/>
          <w:sz w:val="22"/>
        </w:rPr>
        <w:t xml:space="preserve">individual who has died. </w:t>
      </w:r>
      <w:r w:rsidR="00246D03">
        <w:rPr>
          <w:rFonts w:ascii="Arial" w:hAnsi="Arial" w:cs="Arial"/>
          <w:color w:val="000000"/>
          <w:sz w:val="22"/>
        </w:rPr>
        <w:t xml:space="preserve">Under current law, taxation officers can disclose such information directly to the </w:t>
      </w:r>
      <w:r w:rsidR="00246D03" w:rsidRPr="00352FC8">
        <w:rPr>
          <w:rFonts w:ascii="Arial" w:hAnsi="Arial" w:cs="Arial"/>
          <w:color w:val="000000"/>
          <w:sz w:val="22"/>
        </w:rPr>
        <w:t xml:space="preserve">executor or administrator </w:t>
      </w:r>
      <w:r w:rsidR="00246D03">
        <w:rPr>
          <w:rFonts w:ascii="Arial" w:hAnsi="Arial" w:cs="Arial"/>
          <w:color w:val="000000"/>
          <w:sz w:val="22"/>
        </w:rPr>
        <w:t>but cannot disclose the information to their representatives, except in limited circumstances.</w:t>
      </w:r>
    </w:p>
    <w:p w14:paraId="583D0E71" w14:textId="41F29BBD" w:rsidR="00A66FD2" w:rsidRDefault="00A66FD2" w:rsidP="00BB4B90">
      <w:pPr>
        <w:autoSpaceDE w:val="0"/>
        <w:autoSpaceDN w:val="0"/>
        <w:adjustRightInd w:val="0"/>
        <w:spacing w:after="120"/>
        <w:rPr>
          <w:rFonts w:ascii="Arial" w:hAnsi="Arial" w:cs="Arial"/>
          <w:sz w:val="22"/>
          <w:szCs w:val="22"/>
        </w:rPr>
      </w:pPr>
      <w:r w:rsidRPr="00352FC8">
        <w:rPr>
          <w:rFonts w:ascii="Arial" w:hAnsi="Arial" w:cs="Arial"/>
          <w:color w:val="000000"/>
          <w:sz w:val="22"/>
        </w:rPr>
        <w:t xml:space="preserve">Managing the affairs of the deceased can be </w:t>
      </w:r>
      <w:r>
        <w:rPr>
          <w:rFonts w:ascii="Arial" w:hAnsi="Arial" w:cs="Arial"/>
          <w:color w:val="000000"/>
          <w:sz w:val="22"/>
        </w:rPr>
        <w:t xml:space="preserve">complex and the passing of a person can be </w:t>
      </w:r>
      <w:r w:rsidRPr="00352FC8">
        <w:rPr>
          <w:rFonts w:ascii="Arial" w:hAnsi="Arial" w:cs="Arial"/>
          <w:color w:val="000000"/>
          <w:sz w:val="22"/>
        </w:rPr>
        <w:t xml:space="preserve">a stressful and emotional </w:t>
      </w:r>
      <w:r>
        <w:rPr>
          <w:rFonts w:ascii="Arial" w:hAnsi="Arial" w:cs="Arial"/>
          <w:color w:val="000000"/>
          <w:sz w:val="22"/>
        </w:rPr>
        <w:t>time.</w:t>
      </w:r>
      <w:r w:rsidRPr="00352FC8">
        <w:rPr>
          <w:rFonts w:ascii="Arial" w:hAnsi="Arial" w:cs="Arial"/>
          <w:color w:val="000000"/>
          <w:sz w:val="22"/>
        </w:rPr>
        <w:t xml:space="preserve"> </w:t>
      </w:r>
      <w:r>
        <w:rPr>
          <w:rFonts w:ascii="Arial" w:hAnsi="Arial" w:cs="Arial"/>
          <w:color w:val="000000"/>
          <w:sz w:val="22"/>
        </w:rPr>
        <w:t xml:space="preserve">An </w:t>
      </w:r>
      <w:r w:rsidRPr="00352FC8">
        <w:rPr>
          <w:rFonts w:ascii="Arial" w:hAnsi="Arial" w:cs="Arial"/>
          <w:color w:val="000000"/>
          <w:sz w:val="22"/>
        </w:rPr>
        <w:t>executor or administrator</w:t>
      </w:r>
      <w:r>
        <w:rPr>
          <w:rFonts w:ascii="Arial" w:hAnsi="Arial" w:cs="Arial"/>
          <w:color w:val="000000"/>
          <w:sz w:val="22"/>
        </w:rPr>
        <w:t>, who stands in the shoes of the deceased, may need to</w:t>
      </w:r>
      <w:r w:rsidRPr="00352FC8">
        <w:rPr>
          <w:rFonts w:ascii="Arial" w:hAnsi="Arial" w:cs="Arial"/>
          <w:color w:val="000000"/>
          <w:sz w:val="22"/>
        </w:rPr>
        <w:t xml:space="preserve"> </w:t>
      </w:r>
      <w:r>
        <w:rPr>
          <w:rFonts w:ascii="Arial" w:hAnsi="Arial" w:cs="Arial"/>
          <w:sz w:val="22"/>
          <w:szCs w:val="22"/>
        </w:rPr>
        <w:t>obtain assistance from their represen</w:t>
      </w:r>
      <w:r w:rsidR="007B4CC9">
        <w:rPr>
          <w:rFonts w:ascii="Arial" w:hAnsi="Arial" w:cs="Arial"/>
          <w:sz w:val="22"/>
          <w:szCs w:val="22"/>
        </w:rPr>
        <w:t>t</w:t>
      </w:r>
      <w:r>
        <w:rPr>
          <w:rFonts w:ascii="Arial" w:hAnsi="Arial" w:cs="Arial"/>
          <w:sz w:val="22"/>
          <w:szCs w:val="22"/>
        </w:rPr>
        <w:t>atives in finalising those affairs.</w:t>
      </w:r>
    </w:p>
    <w:p w14:paraId="282047AF" w14:textId="77777777" w:rsidR="001C0837" w:rsidRDefault="00246D03" w:rsidP="00BB4B90">
      <w:pPr>
        <w:autoSpaceDE w:val="0"/>
        <w:autoSpaceDN w:val="0"/>
        <w:adjustRightInd w:val="0"/>
        <w:spacing w:after="120"/>
        <w:rPr>
          <w:rFonts w:ascii="Arial" w:hAnsi="Arial" w:cs="Arial"/>
          <w:color w:val="000000"/>
          <w:sz w:val="22"/>
        </w:rPr>
      </w:pPr>
      <w:r>
        <w:rPr>
          <w:rFonts w:ascii="Arial" w:hAnsi="Arial" w:cs="Arial"/>
          <w:color w:val="000000"/>
          <w:sz w:val="22"/>
        </w:rPr>
        <w:t>In effect, t</w:t>
      </w:r>
      <w:r w:rsidR="00352FC8">
        <w:rPr>
          <w:rFonts w:ascii="Arial" w:hAnsi="Arial" w:cs="Arial"/>
          <w:color w:val="000000"/>
          <w:sz w:val="22"/>
        </w:rPr>
        <w:t xml:space="preserve">he modification will </w:t>
      </w:r>
      <w:r w:rsidR="008B0BAB" w:rsidRPr="00352FC8">
        <w:rPr>
          <w:rFonts w:ascii="Arial" w:hAnsi="Arial" w:cs="Arial"/>
          <w:color w:val="000000"/>
          <w:sz w:val="22"/>
        </w:rPr>
        <w:t>enabl</w:t>
      </w:r>
      <w:r w:rsidR="00352FC8">
        <w:rPr>
          <w:rFonts w:ascii="Arial" w:hAnsi="Arial" w:cs="Arial"/>
          <w:color w:val="000000"/>
          <w:sz w:val="22"/>
        </w:rPr>
        <w:t>e</w:t>
      </w:r>
      <w:r w:rsidR="008B0BAB" w:rsidRPr="00352FC8">
        <w:rPr>
          <w:rFonts w:ascii="Arial" w:hAnsi="Arial" w:cs="Arial"/>
          <w:color w:val="000000"/>
          <w:sz w:val="22"/>
        </w:rPr>
        <w:t xml:space="preserve"> </w:t>
      </w:r>
      <w:r w:rsidR="00352FC8">
        <w:rPr>
          <w:rFonts w:ascii="Arial" w:hAnsi="Arial" w:cs="Arial"/>
          <w:color w:val="000000"/>
          <w:sz w:val="22"/>
        </w:rPr>
        <w:t>an</w:t>
      </w:r>
      <w:r w:rsidR="008B0BAB" w:rsidRPr="00352FC8">
        <w:rPr>
          <w:rFonts w:ascii="Arial" w:hAnsi="Arial" w:cs="Arial"/>
          <w:color w:val="000000"/>
          <w:sz w:val="22"/>
        </w:rPr>
        <w:t xml:space="preserve"> executor or administrator</w:t>
      </w:r>
      <w:r w:rsidR="00A66FD2">
        <w:rPr>
          <w:rFonts w:ascii="Arial" w:hAnsi="Arial" w:cs="Arial"/>
          <w:color w:val="000000"/>
          <w:sz w:val="22"/>
        </w:rPr>
        <w:t xml:space="preserve"> </w:t>
      </w:r>
      <w:r w:rsidR="008B0BAB" w:rsidRPr="00352FC8">
        <w:rPr>
          <w:rFonts w:ascii="Arial" w:hAnsi="Arial" w:cs="Arial"/>
          <w:color w:val="000000"/>
          <w:sz w:val="22"/>
        </w:rPr>
        <w:t xml:space="preserve">to </w:t>
      </w:r>
      <w:r>
        <w:rPr>
          <w:rFonts w:ascii="Arial" w:hAnsi="Arial" w:cs="Arial"/>
          <w:color w:val="000000"/>
          <w:sz w:val="22"/>
        </w:rPr>
        <w:t xml:space="preserve">obtain </w:t>
      </w:r>
      <w:r>
        <w:rPr>
          <w:rFonts w:ascii="Arial" w:hAnsi="Arial" w:cs="Arial"/>
          <w:sz w:val="22"/>
          <w:szCs w:val="22"/>
        </w:rPr>
        <w:t>assistance from tax agents</w:t>
      </w:r>
      <w:r w:rsidR="003C41DB">
        <w:rPr>
          <w:rFonts w:ascii="Arial" w:hAnsi="Arial" w:cs="Arial"/>
          <w:sz w:val="22"/>
          <w:szCs w:val="22"/>
        </w:rPr>
        <w:t>, BAS agents</w:t>
      </w:r>
      <w:r>
        <w:rPr>
          <w:rFonts w:ascii="Arial" w:hAnsi="Arial" w:cs="Arial"/>
          <w:sz w:val="22"/>
          <w:szCs w:val="22"/>
        </w:rPr>
        <w:t xml:space="preserve"> and legal practitioners in </w:t>
      </w:r>
      <w:r>
        <w:rPr>
          <w:rFonts w:ascii="Arial" w:hAnsi="Arial" w:cs="Arial"/>
          <w:color w:val="000000"/>
          <w:sz w:val="22"/>
        </w:rPr>
        <w:t xml:space="preserve">their dealings with the </w:t>
      </w:r>
      <w:r w:rsidR="00196F6B">
        <w:rPr>
          <w:rFonts w:ascii="Arial" w:hAnsi="Arial" w:cs="Arial"/>
          <w:color w:val="000000"/>
          <w:sz w:val="22"/>
        </w:rPr>
        <w:t>ATO</w:t>
      </w:r>
      <w:r w:rsidR="007B4CC9">
        <w:rPr>
          <w:rFonts w:ascii="Arial" w:hAnsi="Arial" w:cs="Arial"/>
          <w:color w:val="000000"/>
          <w:sz w:val="22"/>
        </w:rPr>
        <w:t>.</w:t>
      </w:r>
    </w:p>
    <w:p w14:paraId="6E4F0E36" w14:textId="6D426B6E" w:rsidR="00075B58" w:rsidRPr="00BB4B90" w:rsidRDefault="00075B58" w:rsidP="00BB4B90">
      <w:pPr>
        <w:spacing w:after="120"/>
        <w:rPr>
          <w:rFonts w:ascii="Arial" w:hAnsi="Arial" w:cs="Arial"/>
          <w:sz w:val="22"/>
          <w:szCs w:val="22"/>
        </w:rPr>
      </w:pPr>
    </w:p>
    <w:p w14:paraId="6E4F0E38" w14:textId="77777777" w:rsidR="00075B58" w:rsidRPr="00BB4B90" w:rsidRDefault="00075B58" w:rsidP="00BB4B90">
      <w:pPr>
        <w:pStyle w:val="Heading2"/>
      </w:pPr>
      <w:r w:rsidRPr="00BB4B90">
        <w:t>Human rights implications</w:t>
      </w:r>
    </w:p>
    <w:p w14:paraId="566F5B85" w14:textId="657F0AE8" w:rsidR="00175112" w:rsidRDefault="00175112" w:rsidP="00BB4B90">
      <w:pPr>
        <w:spacing w:after="120"/>
        <w:rPr>
          <w:rFonts w:ascii="Arial" w:hAnsi="Arial" w:cs="Arial"/>
          <w:sz w:val="22"/>
          <w:szCs w:val="22"/>
        </w:rPr>
      </w:pPr>
      <w:r>
        <w:rPr>
          <w:rFonts w:ascii="Arial" w:hAnsi="Arial" w:cs="Arial"/>
          <w:sz w:val="22"/>
          <w:szCs w:val="22"/>
        </w:rPr>
        <w:t xml:space="preserve">Article 17 of the International Covenant on Civil and Political Rights (ICCPR) prohibits the interference with privacy and attacks on reputation. This modification does </w:t>
      </w:r>
      <w:r w:rsidR="007B4CC9">
        <w:rPr>
          <w:rFonts w:ascii="Arial" w:hAnsi="Arial" w:cs="Arial"/>
          <w:sz w:val="22"/>
          <w:szCs w:val="22"/>
        </w:rPr>
        <w:t>modify</w:t>
      </w:r>
      <w:r>
        <w:rPr>
          <w:rFonts w:ascii="Arial" w:hAnsi="Arial" w:cs="Arial"/>
          <w:sz w:val="22"/>
          <w:szCs w:val="22"/>
        </w:rPr>
        <w:t xml:space="preserve"> taxpayer confidentiality provisions relating to personal information. The modification provides a precise and narrow change to </w:t>
      </w:r>
      <w:r w:rsidR="007B4CC9">
        <w:rPr>
          <w:rFonts w:ascii="Arial" w:hAnsi="Arial" w:cs="Arial"/>
          <w:sz w:val="22"/>
          <w:szCs w:val="22"/>
        </w:rPr>
        <w:t xml:space="preserve">those </w:t>
      </w:r>
      <w:r>
        <w:rPr>
          <w:rFonts w:ascii="Arial" w:hAnsi="Arial" w:cs="Arial"/>
          <w:sz w:val="22"/>
          <w:szCs w:val="22"/>
        </w:rPr>
        <w:t>provisions</w:t>
      </w:r>
      <w:r w:rsidR="007B4CC9">
        <w:rPr>
          <w:rFonts w:ascii="Arial" w:hAnsi="Arial" w:cs="Arial"/>
          <w:sz w:val="22"/>
          <w:szCs w:val="22"/>
        </w:rPr>
        <w:t>, to allow a taxation officer to disclose protected information relating to a deceased person to a registered tax agent, BAS agent or legal practitioner of th</w:t>
      </w:r>
      <w:r w:rsidR="005A589D">
        <w:rPr>
          <w:rFonts w:ascii="Arial" w:hAnsi="Arial" w:cs="Arial"/>
          <w:sz w:val="22"/>
          <w:szCs w:val="22"/>
        </w:rPr>
        <w:t xml:space="preserve">e executor or administrator of the individual’s </w:t>
      </w:r>
      <w:r w:rsidR="007B4CC9">
        <w:rPr>
          <w:rFonts w:ascii="Arial" w:hAnsi="Arial" w:cs="Arial"/>
          <w:sz w:val="22"/>
          <w:szCs w:val="22"/>
        </w:rPr>
        <w:t>estate</w:t>
      </w:r>
      <w:r w:rsidR="005A589D">
        <w:rPr>
          <w:rFonts w:ascii="Arial" w:hAnsi="Arial" w:cs="Arial"/>
          <w:sz w:val="22"/>
          <w:szCs w:val="22"/>
        </w:rPr>
        <w:t xml:space="preserve">. It </w:t>
      </w:r>
      <w:r>
        <w:rPr>
          <w:rFonts w:ascii="Arial" w:hAnsi="Arial" w:cs="Arial"/>
          <w:sz w:val="22"/>
          <w:szCs w:val="22"/>
        </w:rPr>
        <w:t xml:space="preserve">does not </w:t>
      </w:r>
      <w:r w:rsidR="007B4CC9">
        <w:rPr>
          <w:rFonts w:ascii="Arial" w:hAnsi="Arial" w:cs="Arial"/>
          <w:sz w:val="22"/>
          <w:szCs w:val="22"/>
        </w:rPr>
        <w:t xml:space="preserve">provide </w:t>
      </w:r>
      <w:r w:rsidR="005203BE">
        <w:rPr>
          <w:rFonts w:ascii="Arial" w:hAnsi="Arial" w:cs="Arial"/>
          <w:sz w:val="22"/>
          <w:szCs w:val="22"/>
        </w:rPr>
        <w:t>any</w:t>
      </w:r>
      <w:r>
        <w:rPr>
          <w:rFonts w:ascii="Arial" w:hAnsi="Arial" w:cs="Arial"/>
          <w:sz w:val="22"/>
          <w:szCs w:val="22"/>
        </w:rPr>
        <w:t xml:space="preserve"> </w:t>
      </w:r>
      <w:r w:rsidR="007B4CC9">
        <w:rPr>
          <w:rFonts w:ascii="Arial" w:hAnsi="Arial" w:cs="Arial"/>
          <w:sz w:val="22"/>
          <w:szCs w:val="22"/>
        </w:rPr>
        <w:t>wider</w:t>
      </w:r>
      <w:r>
        <w:rPr>
          <w:rFonts w:ascii="Arial" w:hAnsi="Arial" w:cs="Arial"/>
          <w:sz w:val="22"/>
          <w:szCs w:val="22"/>
        </w:rPr>
        <w:t xml:space="preserve"> authori</w:t>
      </w:r>
      <w:r w:rsidR="007B4CC9">
        <w:rPr>
          <w:rFonts w:ascii="Arial" w:hAnsi="Arial" w:cs="Arial"/>
          <w:sz w:val="22"/>
          <w:szCs w:val="22"/>
        </w:rPr>
        <w:t>ty</w:t>
      </w:r>
      <w:r>
        <w:rPr>
          <w:rFonts w:ascii="Arial" w:hAnsi="Arial" w:cs="Arial"/>
          <w:sz w:val="22"/>
          <w:szCs w:val="22"/>
        </w:rPr>
        <w:t xml:space="preserve"> </w:t>
      </w:r>
      <w:r w:rsidR="007B4CC9">
        <w:rPr>
          <w:rFonts w:ascii="Arial" w:hAnsi="Arial" w:cs="Arial"/>
          <w:sz w:val="22"/>
          <w:szCs w:val="22"/>
        </w:rPr>
        <w:t xml:space="preserve">for a taxation officer to make </w:t>
      </w:r>
      <w:r>
        <w:rPr>
          <w:rFonts w:ascii="Arial" w:hAnsi="Arial" w:cs="Arial"/>
          <w:sz w:val="22"/>
          <w:szCs w:val="22"/>
        </w:rPr>
        <w:t>a disclosure of</w:t>
      </w:r>
      <w:r w:rsidR="005203BE">
        <w:rPr>
          <w:rFonts w:ascii="Arial" w:hAnsi="Arial" w:cs="Arial"/>
          <w:sz w:val="22"/>
          <w:szCs w:val="22"/>
        </w:rPr>
        <w:t xml:space="preserve"> information to another entity</w:t>
      </w:r>
      <w:r w:rsidR="007B4CC9" w:rsidRPr="007B4CC9">
        <w:rPr>
          <w:rFonts w:ascii="Arial" w:hAnsi="Arial" w:cs="Arial"/>
          <w:sz w:val="22"/>
          <w:szCs w:val="22"/>
        </w:rPr>
        <w:t>.</w:t>
      </w:r>
      <w:r w:rsidR="005A589D">
        <w:rPr>
          <w:rFonts w:ascii="Arial" w:hAnsi="Arial" w:cs="Arial"/>
          <w:sz w:val="22"/>
          <w:szCs w:val="22"/>
        </w:rPr>
        <w:t xml:space="preserve"> The modification will enable an executor or administrator to be represented in performing their duties in the same way that the deceased person could have if they were alive.</w:t>
      </w:r>
    </w:p>
    <w:p w14:paraId="115F7727" w14:textId="77777777" w:rsidR="001C0837" w:rsidRDefault="00175112" w:rsidP="00BB4B90">
      <w:pPr>
        <w:spacing w:after="120"/>
        <w:rPr>
          <w:rFonts w:ascii="Arial" w:hAnsi="Arial" w:cs="Arial"/>
          <w:sz w:val="22"/>
          <w:szCs w:val="22"/>
        </w:rPr>
      </w:pPr>
      <w:r>
        <w:rPr>
          <w:rFonts w:ascii="Arial" w:hAnsi="Arial" w:cs="Arial"/>
          <w:sz w:val="22"/>
          <w:szCs w:val="22"/>
        </w:rPr>
        <w:t>The modification is in accordance with the provisions, aims and objectives of the ICCPR and is reasonable in the particular circumstances. Taxation officers are bound by strict</w:t>
      </w:r>
      <w:r w:rsidR="007F4AA9">
        <w:rPr>
          <w:rFonts w:ascii="Arial" w:hAnsi="Arial" w:cs="Arial"/>
          <w:sz w:val="22"/>
          <w:szCs w:val="22"/>
        </w:rPr>
        <w:t xml:space="preserve"> taxpayer confidentiality laws. The </w:t>
      </w:r>
      <w:r w:rsidR="00352FC8">
        <w:rPr>
          <w:rFonts w:ascii="Arial" w:hAnsi="Arial" w:cs="Arial"/>
          <w:sz w:val="22"/>
          <w:szCs w:val="22"/>
        </w:rPr>
        <w:t>taxpayer confidentiality</w:t>
      </w:r>
      <w:r w:rsidR="007F4AA9">
        <w:rPr>
          <w:rFonts w:ascii="Arial" w:hAnsi="Arial" w:cs="Arial"/>
          <w:sz w:val="22"/>
          <w:szCs w:val="22"/>
        </w:rPr>
        <w:t xml:space="preserve"> provisions prohibit the disclosure of information about a taxpayer’s tax affairs to another person, except in certain limited circumstances.</w:t>
      </w:r>
    </w:p>
    <w:p w14:paraId="199E3641" w14:textId="77777777" w:rsidR="001C0837" w:rsidRDefault="007F4AA9" w:rsidP="00BB4B90">
      <w:pPr>
        <w:spacing w:after="120"/>
        <w:rPr>
          <w:rFonts w:ascii="Arial" w:hAnsi="Arial" w:cs="Arial"/>
          <w:sz w:val="22"/>
          <w:szCs w:val="22"/>
        </w:rPr>
      </w:pPr>
      <w:r>
        <w:rPr>
          <w:rFonts w:ascii="Arial" w:hAnsi="Arial" w:cs="Arial"/>
          <w:sz w:val="22"/>
          <w:szCs w:val="22"/>
        </w:rPr>
        <w:t>The</w:t>
      </w:r>
      <w:r w:rsidR="00F75140">
        <w:rPr>
          <w:rFonts w:ascii="Arial" w:hAnsi="Arial" w:cs="Arial"/>
          <w:sz w:val="22"/>
          <w:szCs w:val="22"/>
        </w:rPr>
        <w:t>re</w:t>
      </w:r>
      <w:r>
        <w:rPr>
          <w:rFonts w:ascii="Arial" w:hAnsi="Arial" w:cs="Arial"/>
          <w:sz w:val="22"/>
          <w:szCs w:val="22"/>
        </w:rPr>
        <w:t xml:space="preserve"> </w:t>
      </w:r>
      <w:r w:rsidR="00F75140">
        <w:rPr>
          <w:rFonts w:ascii="Arial" w:hAnsi="Arial" w:cs="Arial"/>
          <w:sz w:val="22"/>
          <w:szCs w:val="22"/>
        </w:rPr>
        <w:t>are</w:t>
      </w:r>
      <w:r>
        <w:rPr>
          <w:rFonts w:ascii="Arial" w:hAnsi="Arial" w:cs="Arial"/>
          <w:sz w:val="22"/>
          <w:szCs w:val="22"/>
        </w:rPr>
        <w:t xml:space="preserve"> serious consequences for breaching th</w:t>
      </w:r>
      <w:r w:rsidR="00F75140">
        <w:rPr>
          <w:rFonts w:ascii="Arial" w:hAnsi="Arial" w:cs="Arial"/>
          <w:sz w:val="22"/>
          <w:szCs w:val="22"/>
        </w:rPr>
        <w:t>os</w:t>
      </w:r>
      <w:r>
        <w:rPr>
          <w:rFonts w:ascii="Arial" w:hAnsi="Arial" w:cs="Arial"/>
          <w:sz w:val="22"/>
          <w:szCs w:val="22"/>
        </w:rPr>
        <w:t>e provisions, with such a breach being an offence punishable by up to 2 years imprisonment. The Commissioner</w:t>
      </w:r>
      <w:r w:rsidR="009849C3">
        <w:rPr>
          <w:rFonts w:ascii="Arial" w:hAnsi="Arial" w:cs="Arial"/>
          <w:sz w:val="22"/>
          <w:szCs w:val="22"/>
        </w:rPr>
        <w:t xml:space="preserve"> has carefully considered the human rights implications as articulated in ICCPR and considers that the disclosure of protected information provisions in </w:t>
      </w:r>
      <w:r w:rsidR="005A589D">
        <w:rPr>
          <w:rFonts w:ascii="Arial" w:hAnsi="Arial" w:cs="Arial"/>
          <w:sz w:val="22"/>
          <w:szCs w:val="22"/>
        </w:rPr>
        <w:t xml:space="preserve">Division 355 of </w:t>
      </w:r>
      <w:r w:rsidR="009849C3">
        <w:rPr>
          <w:rFonts w:ascii="Arial" w:hAnsi="Arial" w:cs="Arial"/>
          <w:sz w:val="22"/>
          <w:szCs w:val="22"/>
        </w:rPr>
        <w:t>Schedule 1 to the TAA</w:t>
      </w:r>
      <w:r w:rsidR="00E32DF3">
        <w:rPr>
          <w:rFonts w:ascii="Arial" w:hAnsi="Arial" w:cs="Arial"/>
          <w:sz w:val="22"/>
          <w:szCs w:val="22"/>
        </w:rPr>
        <w:t xml:space="preserve"> 1953</w:t>
      </w:r>
      <w:r w:rsidR="009849C3">
        <w:rPr>
          <w:rFonts w:ascii="Arial" w:hAnsi="Arial" w:cs="Arial"/>
          <w:sz w:val="22"/>
          <w:szCs w:val="22"/>
        </w:rPr>
        <w:t xml:space="preserve"> </w:t>
      </w:r>
      <w:r w:rsidR="00B73367">
        <w:rPr>
          <w:rFonts w:ascii="Arial" w:hAnsi="Arial" w:cs="Arial"/>
          <w:sz w:val="22"/>
          <w:szCs w:val="22"/>
        </w:rPr>
        <w:t>continue</w:t>
      </w:r>
      <w:r w:rsidR="009849C3">
        <w:rPr>
          <w:rFonts w:ascii="Arial" w:hAnsi="Arial" w:cs="Arial"/>
          <w:sz w:val="22"/>
          <w:szCs w:val="22"/>
        </w:rPr>
        <w:t xml:space="preserve"> to provide proper safeguards.</w:t>
      </w:r>
      <w:r w:rsidR="00F76741">
        <w:rPr>
          <w:rFonts w:ascii="Arial" w:hAnsi="Arial" w:cs="Arial"/>
          <w:sz w:val="22"/>
          <w:szCs w:val="22"/>
        </w:rPr>
        <w:t xml:space="preserve"> The key principle </w:t>
      </w:r>
      <w:r w:rsidR="005A589D">
        <w:rPr>
          <w:rFonts w:ascii="Arial" w:hAnsi="Arial" w:cs="Arial"/>
          <w:sz w:val="22"/>
          <w:szCs w:val="22"/>
        </w:rPr>
        <w:lastRenderedPageBreak/>
        <w:t xml:space="preserve">in these considerations </w:t>
      </w:r>
      <w:r w:rsidR="00894AF1">
        <w:rPr>
          <w:rFonts w:ascii="Arial" w:hAnsi="Arial" w:cs="Arial"/>
          <w:sz w:val="22"/>
          <w:szCs w:val="22"/>
        </w:rPr>
        <w:t>is the protection of taxpayer information</w:t>
      </w:r>
      <w:r w:rsidR="005B7CD6">
        <w:rPr>
          <w:rFonts w:ascii="Arial" w:hAnsi="Arial" w:cs="Arial"/>
          <w:sz w:val="22"/>
          <w:szCs w:val="22"/>
        </w:rPr>
        <w:t>;</w:t>
      </w:r>
      <w:r w:rsidR="00894AF1">
        <w:rPr>
          <w:rFonts w:ascii="Arial" w:hAnsi="Arial" w:cs="Arial"/>
          <w:sz w:val="22"/>
          <w:szCs w:val="22"/>
        </w:rPr>
        <w:t xml:space="preserve"> any disclosure of information exceptions are only provided in instances where privacy concerns are outweighed by the public benefit of these disclosures.</w:t>
      </w:r>
    </w:p>
    <w:p w14:paraId="14A1513D" w14:textId="166AC898" w:rsidR="00175112" w:rsidRDefault="00175112" w:rsidP="00BB4B90">
      <w:pPr>
        <w:spacing w:after="120"/>
        <w:rPr>
          <w:rFonts w:ascii="Arial" w:hAnsi="Arial" w:cs="Arial"/>
          <w:sz w:val="22"/>
          <w:szCs w:val="22"/>
        </w:rPr>
      </w:pPr>
    </w:p>
    <w:p w14:paraId="7D332A17" w14:textId="77777777" w:rsidR="001C0837" w:rsidRPr="00BB4B90" w:rsidRDefault="00075B58" w:rsidP="00BB4B90">
      <w:pPr>
        <w:pStyle w:val="Heading2"/>
      </w:pPr>
      <w:r w:rsidRPr="00BB4B90">
        <w:t>Conclusion</w:t>
      </w:r>
    </w:p>
    <w:p w14:paraId="4B9FD367" w14:textId="55D24F54" w:rsidR="001C0837" w:rsidRDefault="00075B58" w:rsidP="00BB4B90">
      <w:pPr>
        <w:spacing w:after="120"/>
        <w:rPr>
          <w:rFonts w:ascii="Arial" w:hAnsi="Arial" w:cs="Arial"/>
          <w:sz w:val="22"/>
          <w:szCs w:val="22"/>
        </w:rPr>
      </w:pPr>
      <w:r w:rsidRPr="007E0A01">
        <w:rPr>
          <w:rFonts w:ascii="Arial" w:hAnsi="Arial" w:cs="Arial"/>
          <w:sz w:val="22"/>
          <w:szCs w:val="22"/>
        </w:rPr>
        <w:t>The Legislative Instrument is compatible with human rights because</w:t>
      </w:r>
      <w:r w:rsidR="00031757">
        <w:rPr>
          <w:rFonts w:ascii="Arial" w:hAnsi="Arial" w:cs="Arial"/>
          <w:sz w:val="22"/>
          <w:szCs w:val="22"/>
        </w:rPr>
        <w:t xml:space="preserve"> the modification </w:t>
      </w:r>
      <w:r w:rsidR="00352FC8">
        <w:rPr>
          <w:rFonts w:ascii="Arial" w:hAnsi="Arial" w:cs="Arial"/>
          <w:sz w:val="22"/>
          <w:szCs w:val="22"/>
        </w:rPr>
        <w:t>enables the executor or administrator, who steps into the shoes of the deceased, to be represented in their dealings with the Commissioner, placing them in a similar position to other taxpayers.</w:t>
      </w:r>
    </w:p>
    <w:p w14:paraId="715D5DD4" w14:textId="77777777" w:rsidR="001C0837" w:rsidRDefault="00352FC8" w:rsidP="00BB4B90">
      <w:pPr>
        <w:spacing w:after="120"/>
        <w:rPr>
          <w:rFonts w:ascii="Arial" w:hAnsi="Arial" w:cs="Arial"/>
          <w:sz w:val="22"/>
          <w:szCs w:val="22"/>
        </w:rPr>
      </w:pPr>
      <w:r>
        <w:rPr>
          <w:rFonts w:ascii="Arial" w:hAnsi="Arial" w:cs="Arial"/>
          <w:sz w:val="22"/>
          <w:szCs w:val="22"/>
        </w:rPr>
        <w:t xml:space="preserve">The modification </w:t>
      </w:r>
      <w:r w:rsidR="002A00E2">
        <w:rPr>
          <w:rFonts w:ascii="Arial" w:hAnsi="Arial" w:cs="Arial"/>
          <w:sz w:val="22"/>
          <w:szCs w:val="22"/>
        </w:rPr>
        <w:t xml:space="preserve">could </w:t>
      </w:r>
      <w:r w:rsidR="00031757">
        <w:rPr>
          <w:rFonts w:ascii="Arial" w:hAnsi="Arial" w:cs="Arial"/>
          <w:sz w:val="22"/>
          <w:szCs w:val="22"/>
        </w:rPr>
        <w:t>significantly reduce the administrative burden for an executor or administrator of</w:t>
      </w:r>
      <w:r w:rsidR="00EC1584">
        <w:rPr>
          <w:rFonts w:ascii="Arial" w:hAnsi="Arial" w:cs="Arial"/>
          <w:sz w:val="22"/>
          <w:szCs w:val="22"/>
        </w:rPr>
        <w:t xml:space="preserve"> a deceased estate in managing the range of final tax obligations</w:t>
      </w:r>
      <w:r w:rsidR="00031757">
        <w:rPr>
          <w:rFonts w:ascii="Arial" w:hAnsi="Arial" w:cs="Arial"/>
          <w:sz w:val="22"/>
          <w:szCs w:val="22"/>
        </w:rPr>
        <w:t xml:space="preserve"> of the deceased.</w:t>
      </w:r>
    </w:p>
    <w:p w14:paraId="72FDE6F8" w14:textId="77777777" w:rsidR="001C0837" w:rsidRDefault="00031757" w:rsidP="00BB4B90">
      <w:pPr>
        <w:spacing w:after="120"/>
        <w:rPr>
          <w:rFonts w:ascii="Arial" w:hAnsi="Arial" w:cs="Arial"/>
          <w:sz w:val="22"/>
          <w:szCs w:val="22"/>
        </w:rPr>
      </w:pPr>
      <w:r>
        <w:rPr>
          <w:rFonts w:ascii="Arial" w:hAnsi="Arial" w:cs="Arial"/>
          <w:sz w:val="22"/>
          <w:szCs w:val="22"/>
        </w:rPr>
        <w:t xml:space="preserve">To the extent it may limit human </w:t>
      </w:r>
      <w:r w:rsidR="00196F6B">
        <w:rPr>
          <w:rFonts w:ascii="Arial" w:hAnsi="Arial" w:cs="Arial"/>
          <w:sz w:val="22"/>
          <w:szCs w:val="22"/>
        </w:rPr>
        <w:t>rights;</w:t>
      </w:r>
      <w:r>
        <w:rPr>
          <w:rFonts w:ascii="Arial" w:hAnsi="Arial" w:cs="Arial"/>
          <w:sz w:val="22"/>
          <w:szCs w:val="22"/>
        </w:rPr>
        <w:t xml:space="preserve"> those limitations are reasonable, necessary and proportionate. The executor or administrator of a deceased estate </w:t>
      </w:r>
      <w:r w:rsidR="00360ACC">
        <w:rPr>
          <w:rFonts w:ascii="Arial" w:hAnsi="Arial" w:cs="Arial"/>
          <w:sz w:val="22"/>
          <w:szCs w:val="22"/>
        </w:rPr>
        <w:t>has a choice as to whether or not they would want to appoint a registered tax agent, BAS agent or legal practitioner. If they decide that they do not want the information disclosed to such a person, then they do not have to appoint such a</w:t>
      </w:r>
      <w:r w:rsidR="00352FC8">
        <w:rPr>
          <w:rFonts w:ascii="Arial" w:hAnsi="Arial" w:cs="Arial"/>
          <w:sz w:val="22"/>
          <w:szCs w:val="22"/>
        </w:rPr>
        <w:t xml:space="preserve"> representative</w:t>
      </w:r>
      <w:r w:rsidR="005A589D">
        <w:rPr>
          <w:rFonts w:ascii="Arial" w:hAnsi="Arial" w:cs="Arial"/>
          <w:sz w:val="22"/>
          <w:szCs w:val="22"/>
        </w:rPr>
        <w:t xml:space="preserve"> in their dealings with the </w:t>
      </w:r>
      <w:r w:rsidR="00196F6B">
        <w:rPr>
          <w:rFonts w:ascii="Arial" w:hAnsi="Arial" w:cs="Arial"/>
          <w:sz w:val="22"/>
          <w:szCs w:val="22"/>
        </w:rPr>
        <w:t>ATO</w:t>
      </w:r>
      <w:r w:rsidR="00360ACC">
        <w:rPr>
          <w:rFonts w:ascii="Arial" w:hAnsi="Arial" w:cs="Arial"/>
          <w:sz w:val="22"/>
          <w:szCs w:val="22"/>
        </w:rPr>
        <w:t>.</w:t>
      </w:r>
    </w:p>
    <w:sectPr w:rsidR="001C0837" w:rsidSect="00146ED8">
      <w:headerReference w:type="even" r:id="rId18"/>
      <w:headerReference w:type="default" r:id="rId19"/>
      <w:headerReference w:type="first" r:id="rId2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C70DD" w14:textId="77777777" w:rsidR="0063090B" w:rsidRDefault="0063090B">
      <w:r>
        <w:separator/>
      </w:r>
    </w:p>
  </w:endnote>
  <w:endnote w:type="continuationSeparator" w:id="0">
    <w:p w14:paraId="08355DDB" w14:textId="77777777" w:rsidR="0063090B" w:rsidRDefault="0063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5DFDC" w14:textId="77777777" w:rsidR="0063090B" w:rsidRDefault="0063090B">
      <w:r>
        <w:separator/>
      </w:r>
    </w:p>
  </w:footnote>
  <w:footnote w:type="continuationSeparator" w:id="0">
    <w:p w14:paraId="6FC23E1A" w14:textId="77777777" w:rsidR="0063090B" w:rsidRDefault="00630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0" w14:textId="77777777" w:rsidR="007B4CC9" w:rsidRPr="0067541C" w:rsidRDefault="007B4CC9">
    <w:pPr>
      <w:pStyle w:val="Header"/>
      <w:rPr>
        <w:rFonts w:ascii="Arial" w:hAnsi="Arial" w:cs="Arial"/>
        <w:sz w:val="52"/>
      </w:rPr>
    </w:pPr>
    <w:r w:rsidRPr="0067541C">
      <w:rPr>
        <w:rFonts w:ascii="Arial" w:hAnsi="Arial" w:cs="Arial"/>
        <w:sz w:val="20"/>
      </w:rPr>
      <w:t>Taxation Determination</w:t>
    </w:r>
  </w:p>
  <w:p w14:paraId="6E4F0E61" w14:textId="77777777" w:rsidR="007B4CC9" w:rsidRPr="0067541C" w:rsidRDefault="007B4CC9">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307436">
      <w:rPr>
        <w:rFonts w:ascii="Arial" w:hAnsi="Arial" w:cs="Arial"/>
        <w:b/>
        <w:bCs/>
        <w:sz w:val="52"/>
        <w:lang w:val="en-US"/>
      </w:rPr>
      <w:t>Error! Reference source not found.</w:t>
    </w:r>
    <w:r w:rsidRPr="0067541C">
      <w:rPr>
        <w:rFonts w:ascii="Arial" w:hAnsi="Arial" w:cs="Arial"/>
        <w:sz w:val="52"/>
      </w:rPr>
      <w:fldChar w:fldCharType="end"/>
    </w:r>
  </w:p>
  <w:p w14:paraId="6E4F0E62" w14:textId="77777777" w:rsidR="007B4CC9" w:rsidRPr="0067541C" w:rsidRDefault="007B4CC9">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307436">
      <w:rPr>
        <w:rFonts w:ascii="Arial" w:hAnsi="Arial" w:cs="Arial"/>
        <w:noProof/>
        <w:snapToGrid w:val="0"/>
        <w:sz w:val="20"/>
        <w:lang w:eastAsia="en-US"/>
      </w:rPr>
      <w:t>8</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3" w14:textId="77777777" w:rsidR="007B4CC9" w:rsidRDefault="007B4CC9"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4" w14:textId="77777777" w:rsidR="007B4CC9" w:rsidRPr="00333FE9" w:rsidRDefault="007B4CC9"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E4F0E65" w14:textId="3115BB5E" w:rsidR="007B4CC9" w:rsidRPr="00146ED8" w:rsidRDefault="007B4CC9"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32"/>
        <w:szCs w:val="32"/>
      </w:rPr>
      <w:t xml:space="preserve">  </w:t>
    </w:r>
    <w:r w:rsidRPr="00146ED8">
      <w:rPr>
        <w:rFonts w:ascii="Arial" w:hAnsi="Arial" w:cs="Arial"/>
        <w:b/>
        <w:sz w:val="28"/>
        <w:szCs w:val="28"/>
      </w:rPr>
      <w:t xml:space="preserve">Instrument ID: </w:t>
    </w:r>
    <w:r w:rsidR="00CF0544">
      <w:rPr>
        <w:rFonts w:ascii="Arial" w:hAnsi="Arial" w:cs="Arial"/>
        <w:b/>
        <w:sz w:val="28"/>
        <w:szCs w:val="28"/>
      </w:rPr>
      <w:t>2020</w:t>
    </w:r>
    <w:r w:rsidRPr="00146ED8">
      <w:rPr>
        <w:rFonts w:ascii="Arial" w:hAnsi="Arial" w:cs="Arial"/>
        <w:b/>
        <w:sz w:val="28"/>
        <w:szCs w:val="28"/>
      </w:rPr>
      <w:t>/</w:t>
    </w:r>
    <w:r w:rsidR="00CF0544">
      <w:rPr>
        <w:rFonts w:ascii="Arial" w:hAnsi="Arial" w:cs="Arial"/>
        <w:b/>
        <w:sz w:val="28"/>
        <w:szCs w:val="28"/>
      </w:rPr>
      <w:t>PAL</w:t>
    </w:r>
    <w:r w:rsidRPr="00146ED8">
      <w:rPr>
        <w:rFonts w:ascii="Arial" w:hAnsi="Arial" w:cs="Arial"/>
        <w:b/>
        <w:sz w:val="28"/>
        <w:szCs w:val="28"/>
      </w:rPr>
      <w:t>/</w:t>
    </w:r>
    <w:r w:rsidR="00CF0544">
      <w:rPr>
        <w:rFonts w:ascii="Arial" w:hAnsi="Arial" w:cs="Arial"/>
        <w:b/>
        <w:sz w:val="28"/>
        <w:szCs w:val="28"/>
      </w:rPr>
      <w:t>0001</w:t>
    </w:r>
  </w:p>
  <w:p w14:paraId="6E4F0E66" w14:textId="77777777" w:rsidR="007B4CC9" w:rsidRDefault="007B4CC9" w:rsidP="001828A4">
    <w:pPr>
      <w:pStyle w:val="Header"/>
      <w:tabs>
        <w:tab w:val="clear" w:pos="4153"/>
        <w:tab w:val="clear" w:pos="8306"/>
      </w:tabs>
      <w:rPr>
        <w:rFonts w:ascii="Arial" w:hAnsi="Arial" w:cs="Arial"/>
        <w:sz w:val="20"/>
      </w:rPr>
    </w:pPr>
    <w:r>
      <w:rPr>
        <w:noProof/>
      </w:rPr>
      <w:drawing>
        <wp:inline distT="0" distB="0" distL="0" distR="0" wp14:anchorId="6E4F0E68" wp14:editId="6E4F0E69">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6E4F0E67" w14:textId="77777777" w:rsidR="007B4CC9" w:rsidRPr="001A6644" w:rsidRDefault="007B4CC9"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8E84A41"/>
    <w:multiLevelType w:val="hybridMultilevel"/>
    <w:tmpl w:val="C136E6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4">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8">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19">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FBF677F"/>
    <w:multiLevelType w:val="hybridMultilevel"/>
    <w:tmpl w:val="10BE8F2A"/>
    <w:lvl w:ilvl="0" w:tplc="90688C84">
      <w:start w:val="1"/>
      <w:numFmt w:val="decimal"/>
      <w:lvlText w:val="%1."/>
      <w:lvlJc w:val="left"/>
      <w:pPr>
        <w:tabs>
          <w:tab w:val="num" w:pos="720"/>
        </w:tabs>
        <w:ind w:left="720" w:hanging="360"/>
      </w:pPr>
      <w:rPr>
        <w:rFonts w:hint="default"/>
        <w:i w:val="0"/>
        <w:sz w:val="22"/>
        <w:szCs w:val="22"/>
      </w:rPr>
    </w:lvl>
    <w:lvl w:ilvl="1" w:tplc="0C09000F">
      <w:start w:val="1"/>
      <w:numFmt w:val="decimal"/>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2A11154"/>
    <w:multiLevelType w:val="hybridMultilevel"/>
    <w:tmpl w:val="21806BB4"/>
    <w:lvl w:ilvl="0" w:tplc="90688C84">
      <w:start w:val="1"/>
      <w:numFmt w:val="decimal"/>
      <w:lvlText w:val="%1."/>
      <w:lvlJc w:val="left"/>
      <w:pPr>
        <w:tabs>
          <w:tab w:val="num" w:pos="720"/>
        </w:tabs>
        <w:ind w:left="720" w:hanging="360"/>
      </w:pPr>
      <w:rPr>
        <w:rFonts w:hint="default"/>
        <w:i w:val="0"/>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7376779"/>
    <w:multiLevelType w:val="hybridMultilevel"/>
    <w:tmpl w:val="9A6A56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FCC3903"/>
    <w:multiLevelType w:val="hybridMultilevel"/>
    <w:tmpl w:val="268E74C0"/>
    <w:lvl w:ilvl="0" w:tplc="663A5AB0">
      <w:start w:val="1"/>
      <w:numFmt w:val="decimal"/>
      <w:lvlText w:val="%1."/>
      <w:lvlJc w:val="left"/>
      <w:pPr>
        <w:tabs>
          <w:tab w:val="num" w:pos="720"/>
        </w:tabs>
        <w:ind w:left="720" w:hanging="360"/>
      </w:pPr>
      <w:rPr>
        <w:rFonts w:hint="default"/>
        <w:b w:val="0"/>
        <w:i w:val="0"/>
        <w:sz w:val="22"/>
        <w:szCs w:val="22"/>
      </w:rPr>
    </w:lvl>
    <w:lvl w:ilvl="1" w:tplc="0C09000F">
      <w:start w:val="1"/>
      <w:numFmt w:val="decimal"/>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7">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1">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699C63E2"/>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F3850A8"/>
    <w:multiLevelType w:val="hybridMultilevel"/>
    <w:tmpl w:val="1BD63B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25"/>
  </w:num>
  <w:num w:numId="4">
    <w:abstractNumId w:val="39"/>
  </w:num>
  <w:num w:numId="5">
    <w:abstractNumId w:val="5"/>
  </w:num>
  <w:num w:numId="6">
    <w:abstractNumId w:val="12"/>
  </w:num>
  <w:num w:numId="7">
    <w:abstractNumId w:val="33"/>
  </w:num>
  <w:num w:numId="8">
    <w:abstractNumId w:val="32"/>
  </w:num>
  <w:num w:numId="9">
    <w:abstractNumId w:val="27"/>
  </w:num>
  <w:num w:numId="10">
    <w:abstractNumId w:val="21"/>
  </w:num>
  <w:num w:numId="11">
    <w:abstractNumId w:val="40"/>
  </w:num>
  <w:num w:numId="12">
    <w:abstractNumId w:val="34"/>
  </w:num>
  <w:num w:numId="13">
    <w:abstractNumId w:val="38"/>
  </w:num>
  <w:num w:numId="14">
    <w:abstractNumId w:val="37"/>
  </w:num>
  <w:num w:numId="15">
    <w:abstractNumId w:val="19"/>
  </w:num>
  <w:num w:numId="16">
    <w:abstractNumId w:val="24"/>
  </w:num>
  <w:num w:numId="17">
    <w:abstractNumId w:val="10"/>
  </w:num>
  <w:num w:numId="18">
    <w:abstractNumId w:val="15"/>
  </w:num>
  <w:num w:numId="19">
    <w:abstractNumId w:val="3"/>
  </w:num>
  <w:num w:numId="20">
    <w:abstractNumId w:val="1"/>
  </w:num>
  <w:num w:numId="21">
    <w:abstractNumId w:val="11"/>
  </w:num>
  <w:num w:numId="22">
    <w:abstractNumId w:val="30"/>
  </w:num>
  <w:num w:numId="23">
    <w:abstractNumId w:val="9"/>
  </w:num>
  <w:num w:numId="24">
    <w:abstractNumId w:val="18"/>
  </w:num>
  <w:num w:numId="25">
    <w:abstractNumId w:val="29"/>
  </w:num>
  <w:num w:numId="26">
    <w:abstractNumId w:val="28"/>
  </w:num>
  <w:num w:numId="27">
    <w:abstractNumId w:val="8"/>
  </w:num>
  <w:num w:numId="28">
    <w:abstractNumId w:val="31"/>
  </w:num>
  <w:num w:numId="29">
    <w:abstractNumId w:val="17"/>
  </w:num>
  <w:num w:numId="30">
    <w:abstractNumId w:val="13"/>
  </w:num>
  <w:num w:numId="31">
    <w:abstractNumId w:val="6"/>
  </w:num>
  <w:num w:numId="32">
    <w:abstractNumId w:val="0"/>
  </w:num>
  <w:num w:numId="33">
    <w:abstractNumId w:val="7"/>
  </w:num>
  <w:num w:numId="34">
    <w:abstractNumId w:val="26"/>
  </w:num>
  <w:num w:numId="35">
    <w:abstractNumId w:val="35"/>
  </w:num>
  <w:num w:numId="36">
    <w:abstractNumId w:val="16"/>
  </w:num>
  <w:num w:numId="37">
    <w:abstractNumId w:val="41"/>
  </w:num>
  <w:num w:numId="38">
    <w:abstractNumId w:val="2"/>
  </w:num>
  <w:num w:numId="39">
    <w:abstractNumId w:val="36"/>
  </w:num>
  <w:num w:numId="40">
    <w:abstractNumId w:val="22"/>
  </w:num>
  <w:num w:numId="41">
    <w:abstractNumId w:val="2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17C1A"/>
    <w:rsid w:val="0002259A"/>
    <w:rsid w:val="00023D24"/>
    <w:rsid w:val="00023E98"/>
    <w:rsid w:val="0002568B"/>
    <w:rsid w:val="00031757"/>
    <w:rsid w:val="00043FA7"/>
    <w:rsid w:val="000476F7"/>
    <w:rsid w:val="00050794"/>
    <w:rsid w:val="0005128A"/>
    <w:rsid w:val="000552E8"/>
    <w:rsid w:val="00056585"/>
    <w:rsid w:val="0005674F"/>
    <w:rsid w:val="00057D42"/>
    <w:rsid w:val="00065C6E"/>
    <w:rsid w:val="00067CDB"/>
    <w:rsid w:val="00071393"/>
    <w:rsid w:val="00073F1B"/>
    <w:rsid w:val="00075B58"/>
    <w:rsid w:val="000A4FD9"/>
    <w:rsid w:val="000B0EF5"/>
    <w:rsid w:val="000B11DD"/>
    <w:rsid w:val="000C18CD"/>
    <w:rsid w:val="000C2249"/>
    <w:rsid w:val="000C390A"/>
    <w:rsid w:val="000C77DD"/>
    <w:rsid w:val="000D1E1F"/>
    <w:rsid w:val="000D379B"/>
    <w:rsid w:val="000D6B7F"/>
    <w:rsid w:val="000E283A"/>
    <w:rsid w:val="000E295B"/>
    <w:rsid w:val="000E45A0"/>
    <w:rsid w:val="00107460"/>
    <w:rsid w:val="00112415"/>
    <w:rsid w:val="00113DD8"/>
    <w:rsid w:val="00126CAE"/>
    <w:rsid w:val="0013434A"/>
    <w:rsid w:val="00135333"/>
    <w:rsid w:val="00135FA9"/>
    <w:rsid w:val="0013678D"/>
    <w:rsid w:val="00140A34"/>
    <w:rsid w:val="001411F2"/>
    <w:rsid w:val="00144F2B"/>
    <w:rsid w:val="00146A9E"/>
    <w:rsid w:val="00146ED8"/>
    <w:rsid w:val="00160369"/>
    <w:rsid w:val="00167202"/>
    <w:rsid w:val="00175112"/>
    <w:rsid w:val="001828A4"/>
    <w:rsid w:val="00191885"/>
    <w:rsid w:val="00196F6B"/>
    <w:rsid w:val="001A0B4D"/>
    <w:rsid w:val="001A3BE2"/>
    <w:rsid w:val="001C0837"/>
    <w:rsid w:val="001C3179"/>
    <w:rsid w:val="001C35E7"/>
    <w:rsid w:val="001C4578"/>
    <w:rsid w:val="001C461F"/>
    <w:rsid w:val="001C7965"/>
    <w:rsid w:val="001E1475"/>
    <w:rsid w:val="001F28A6"/>
    <w:rsid w:val="001F2A16"/>
    <w:rsid w:val="001F467D"/>
    <w:rsid w:val="001F6921"/>
    <w:rsid w:val="001F7C3E"/>
    <w:rsid w:val="00201969"/>
    <w:rsid w:val="00211BF7"/>
    <w:rsid w:val="00213FA5"/>
    <w:rsid w:val="00220872"/>
    <w:rsid w:val="0023733A"/>
    <w:rsid w:val="0024044F"/>
    <w:rsid w:val="00245D00"/>
    <w:rsid w:val="00246D03"/>
    <w:rsid w:val="00252491"/>
    <w:rsid w:val="00257F2D"/>
    <w:rsid w:val="00262F9F"/>
    <w:rsid w:val="00263ACC"/>
    <w:rsid w:val="00264B23"/>
    <w:rsid w:val="00266D2D"/>
    <w:rsid w:val="00270765"/>
    <w:rsid w:val="002725F0"/>
    <w:rsid w:val="0027331F"/>
    <w:rsid w:val="00280B22"/>
    <w:rsid w:val="002827E4"/>
    <w:rsid w:val="00285E76"/>
    <w:rsid w:val="0029451B"/>
    <w:rsid w:val="002949C3"/>
    <w:rsid w:val="002965D4"/>
    <w:rsid w:val="00296D36"/>
    <w:rsid w:val="00297ECC"/>
    <w:rsid w:val="002A00E2"/>
    <w:rsid w:val="002A10A4"/>
    <w:rsid w:val="002A26FE"/>
    <w:rsid w:val="002A35D3"/>
    <w:rsid w:val="002A721C"/>
    <w:rsid w:val="002B1423"/>
    <w:rsid w:val="002C7B6D"/>
    <w:rsid w:val="002E53E8"/>
    <w:rsid w:val="002F1257"/>
    <w:rsid w:val="002F323F"/>
    <w:rsid w:val="0030643D"/>
    <w:rsid w:val="00307436"/>
    <w:rsid w:val="00310C61"/>
    <w:rsid w:val="003171B3"/>
    <w:rsid w:val="0032559D"/>
    <w:rsid w:val="003264EC"/>
    <w:rsid w:val="0032767E"/>
    <w:rsid w:val="0032792E"/>
    <w:rsid w:val="00333567"/>
    <w:rsid w:val="00344575"/>
    <w:rsid w:val="0035113C"/>
    <w:rsid w:val="003529EC"/>
    <w:rsid w:val="00352FC8"/>
    <w:rsid w:val="00354525"/>
    <w:rsid w:val="00360673"/>
    <w:rsid w:val="00360ACC"/>
    <w:rsid w:val="0036233A"/>
    <w:rsid w:val="00363D7F"/>
    <w:rsid w:val="00366411"/>
    <w:rsid w:val="00367B29"/>
    <w:rsid w:val="0037518A"/>
    <w:rsid w:val="00375D00"/>
    <w:rsid w:val="00380CC4"/>
    <w:rsid w:val="00381649"/>
    <w:rsid w:val="00385F2E"/>
    <w:rsid w:val="00386159"/>
    <w:rsid w:val="0039118A"/>
    <w:rsid w:val="00394DFA"/>
    <w:rsid w:val="003A29C5"/>
    <w:rsid w:val="003B03EB"/>
    <w:rsid w:val="003C0686"/>
    <w:rsid w:val="003C0E62"/>
    <w:rsid w:val="003C13CE"/>
    <w:rsid w:val="003C41DB"/>
    <w:rsid w:val="003D08CF"/>
    <w:rsid w:val="003D0CBA"/>
    <w:rsid w:val="003D0F6A"/>
    <w:rsid w:val="003D4BA8"/>
    <w:rsid w:val="003E5269"/>
    <w:rsid w:val="00401BE6"/>
    <w:rsid w:val="004038B1"/>
    <w:rsid w:val="00405394"/>
    <w:rsid w:val="004066E4"/>
    <w:rsid w:val="0040680B"/>
    <w:rsid w:val="00407361"/>
    <w:rsid w:val="004104A8"/>
    <w:rsid w:val="00417C55"/>
    <w:rsid w:val="00424A7B"/>
    <w:rsid w:val="00426E36"/>
    <w:rsid w:val="00436979"/>
    <w:rsid w:val="00437B7A"/>
    <w:rsid w:val="004447C1"/>
    <w:rsid w:val="0045590D"/>
    <w:rsid w:val="00457FFB"/>
    <w:rsid w:val="00460572"/>
    <w:rsid w:val="0046211F"/>
    <w:rsid w:val="0046787B"/>
    <w:rsid w:val="00486653"/>
    <w:rsid w:val="0048701F"/>
    <w:rsid w:val="00487375"/>
    <w:rsid w:val="004A5FDA"/>
    <w:rsid w:val="004B2FB1"/>
    <w:rsid w:val="004C78D4"/>
    <w:rsid w:val="004D098C"/>
    <w:rsid w:val="004D24A9"/>
    <w:rsid w:val="004D5C69"/>
    <w:rsid w:val="004E5357"/>
    <w:rsid w:val="004F2F18"/>
    <w:rsid w:val="004F4A07"/>
    <w:rsid w:val="004F5EB1"/>
    <w:rsid w:val="004F6887"/>
    <w:rsid w:val="005030AD"/>
    <w:rsid w:val="0051249C"/>
    <w:rsid w:val="005176E7"/>
    <w:rsid w:val="00520330"/>
    <w:rsid w:val="005203BE"/>
    <w:rsid w:val="00524B6B"/>
    <w:rsid w:val="00532A66"/>
    <w:rsid w:val="00532C6D"/>
    <w:rsid w:val="005413EE"/>
    <w:rsid w:val="0054594D"/>
    <w:rsid w:val="005615FD"/>
    <w:rsid w:val="00572041"/>
    <w:rsid w:val="0058171F"/>
    <w:rsid w:val="005852C7"/>
    <w:rsid w:val="00587443"/>
    <w:rsid w:val="00587C50"/>
    <w:rsid w:val="005917F3"/>
    <w:rsid w:val="00596159"/>
    <w:rsid w:val="005A50EF"/>
    <w:rsid w:val="005A589D"/>
    <w:rsid w:val="005B0ACD"/>
    <w:rsid w:val="005B50A2"/>
    <w:rsid w:val="005B5A35"/>
    <w:rsid w:val="005B7CD6"/>
    <w:rsid w:val="005C3408"/>
    <w:rsid w:val="005D611B"/>
    <w:rsid w:val="005F1ACE"/>
    <w:rsid w:val="005F256D"/>
    <w:rsid w:val="005F2BD2"/>
    <w:rsid w:val="0060183A"/>
    <w:rsid w:val="00603110"/>
    <w:rsid w:val="00607A54"/>
    <w:rsid w:val="00611C8E"/>
    <w:rsid w:val="00614F07"/>
    <w:rsid w:val="00626784"/>
    <w:rsid w:val="0063090B"/>
    <w:rsid w:val="00631F30"/>
    <w:rsid w:val="00642420"/>
    <w:rsid w:val="00646158"/>
    <w:rsid w:val="0065093B"/>
    <w:rsid w:val="00654F7F"/>
    <w:rsid w:val="0065605B"/>
    <w:rsid w:val="00660A8D"/>
    <w:rsid w:val="00665015"/>
    <w:rsid w:val="0066622C"/>
    <w:rsid w:val="00666487"/>
    <w:rsid w:val="0066731B"/>
    <w:rsid w:val="00673B37"/>
    <w:rsid w:val="00683F78"/>
    <w:rsid w:val="006945EA"/>
    <w:rsid w:val="00696C0B"/>
    <w:rsid w:val="006A339E"/>
    <w:rsid w:val="006A36E3"/>
    <w:rsid w:val="006A753F"/>
    <w:rsid w:val="006B5470"/>
    <w:rsid w:val="006D0138"/>
    <w:rsid w:val="006D6F52"/>
    <w:rsid w:val="006F0610"/>
    <w:rsid w:val="006F1B65"/>
    <w:rsid w:val="00700777"/>
    <w:rsid w:val="00701718"/>
    <w:rsid w:val="00703656"/>
    <w:rsid w:val="00704DDC"/>
    <w:rsid w:val="00710359"/>
    <w:rsid w:val="0071052D"/>
    <w:rsid w:val="00712FFF"/>
    <w:rsid w:val="007214F5"/>
    <w:rsid w:val="00722DBF"/>
    <w:rsid w:val="007304A6"/>
    <w:rsid w:val="007315B1"/>
    <w:rsid w:val="00735157"/>
    <w:rsid w:val="00736A18"/>
    <w:rsid w:val="00750C67"/>
    <w:rsid w:val="00752440"/>
    <w:rsid w:val="00775490"/>
    <w:rsid w:val="0078027E"/>
    <w:rsid w:val="00786705"/>
    <w:rsid w:val="00792B64"/>
    <w:rsid w:val="00795D0C"/>
    <w:rsid w:val="007A55BA"/>
    <w:rsid w:val="007A5B3C"/>
    <w:rsid w:val="007B4CC9"/>
    <w:rsid w:val="007C1FAE"/>
    <w:rsid w:val="007C1FBD"/>
    <w:rsid w:val="007C5C8E"/>
    <w:rsid w:val="007D1588"/>
    <w:rsid w:val="007D1759"/>
    <w:rsid w:val="007D73EB"/>
    <w:rsid w:val="007E0A01"/>
    <w:rsid w:val="007E1672"/>
    <w:rsid w:val="007E22F5"/>
    <w:rsid w:val="007E5820"/>
    <w:rsid w:val="007F25F3"/>
    <w:rsid w:val="007F466B"/>
    <w:rsid w:val="007F4901"/>
    <w:rsid w:val="007F4AA9"/>
    <w:rsid w:val="008027D9"/>
    <w:rsid w:val="00803AED"/>
    <w:rsid w:val="00807038"/>
    <w:rsid w:val="00813AFA"/>
    <w:rsid w:val="00821C28"/>
    <w:rsid w:val="008308D9"/>
    <w:rsid w:val="0083191B"/>
    <w:rsid w:val="00836B02"/>
    <w:rsid w:val="00836F85"/>
    <w:rsid w:val="008467D4"/>
    <w:rsid w:val="00850FB0"/>
    <w:rsid w:val="0085238E"/>
    <w:rsid w:val="008540EA"/>
    <w:rsid w:val="00866A00"/>
    <w:rsid w:val="008702A6"/>
    <w:rsid w:val="008757CE"/>
    <w:rsid w:val="00877C90"/>
    <w:rsid w:val="0088392C"/>
    <w:rsid w:val="00883BEC"/>
    <w:rsid w:val="00885859"/>
    <w:rsid w:val="00885EF9"/>
    <w:rsid w:val="0088704D"/>
    <w:rsid w:val="00887905"/>
    <w:rsid w:val="00893486"/>
    <w:rsid w:val="00894AF1"/>
    <w:rsid w:val="00896CD9"/>
    <w:rsid w:val="00897C0E"/>
    <w:rsid w:val="00897E31"/>
    <w:rsid w:val="008A046F"/>
    <w:rsid w:val="008A405A"/>
    <w:rsid w:val="008A5356"/>
    <w:rsid w:val="008A6A6A"/>
    <w:rsid w:val="008B0BAB"/>
    <w:rsid w:val="008B650A"/>
    <w:rsid w:val="008B787C"/>
    <w:rsid w:val="008C3898"/>
    <w:rsid w:val="008C66CC"/>
    <w:rsid w:val="008D3998"/>
    <w:rsid w:val="008E32FB"/>
    <w:rsid w:val="008F483C"/>
    <w:rsid w:val="00912C9A"/>
    <w:rsid w:val="00912D61"/>
    <w:rsid w:val="009215F9"/>
    <w:rsid w:val="009301F4"/>
    <w:rsid w:val="009307AB"/>
    <w:rsid w:val="009322D7"/>
    <w:rsid w:val="00932BDE"/>
    <w:rsid w:val="00932DFC"/>
    <w:rsid w:val="009512DF"/>
    <w:rsid w:val="0095494F"/>
    <w:rsid w:val="0095647B"/>
    <w:rsid w:val="00967725"/>
    <w:rsid w:val="00975509"/>
    <w:rsid w:val="009808A7"/>
    <w:rsid w:val="009849C3"/>
    <w:rsid w:val="00985BDE"/>
    <w:rsid w:val="009873CF"/>
    <w:rsid w:val="009902F8"/>
    <w:rsid w:val="00990E63"/>
    <w:rsid w:val="009910A4"/>
    <w:rsid w:val="009920E5"/>
    <w:rsid w:val="009926D8"/>
    <w:rsid w:val="00993BB8"/>
    <w:rsid w:val="0099555F"/>
    <w:rsid w:val="009A22A1"/>
    <w:rsid w:val="009B3A1B"/>
    <w:rsid w:val="009B6332"/>
    <w:rsid w:val="009B6F43"/>
    <w:rsid w:val="009B7CEA"/>
    <w:rsid w:val="009C0912"/>
    <w:rsid w:val="009C4855"/>
    <w:rsid w:val="009C549B"/>
    <w:rsid w:val="009D1D0F"/>
    <w:rsid w:val="009D6694"/>
    <w:rsid w:val="009F0300"/>
    <w:rsid w:val="009F57C6"/>
    <w:rsid w:val="00A01508"/>
    <w:rsid w:val="00A167A8"/>
    <w:rsid w:val="00A20796"/>
    <w:rsid w:val="00A21F0A"/>
    <w:rsid w:val="00A22F44"/>
    <w:rsid w:val="00A23B69"/>
    <w:rsid w:val="00A26011"/>
    <w:rsid w:val="00A273CF"/>
    <w:rsid w:val="00A31B69"/>
    <w:rsid w:val="00A355F6"/>
    <w:rsid w:val="00A506C2"/>
    <w:rsid w:val="00A61D65"/>
    <w:rsid w:val="00A62886"/>
    <w:rsid w:val="00A66FD2"/>
    <w:rsid w:val="00A71759"/>
    <w:rsid w:val="00A73237"/>
    <w:rsid w:val="00A74C38"/>
    <w:rsid w:val="00A77D24"/>
    <w:rsid w:val="00A84230"/>
    <w:rsid w:val="00A8572F"/>
    <w:rsid w:val="00A93E07"/>
    <w:rsid w:val="00A979CF"/>
    <w:rsid w:val="00AA4DF8"/>
    <w:rsid w:val="00AA5D99"/>
    <w:rsid w:val="00AB0400"/>
    <w:rsid w:val="00AB35AC"/>
    <w:rsid w:val="00AB780C"/>
    <w:rsid w:val="00AD5ADE"/>
    <w:rsid w:val="00AD6E4F"/>
    <w:rsid w:val="00AE5935"/>
    <w:rsid w:val="00AE6431"/>
    <w:rsid w:val="00AE7138"/>
    <w:rsid w:val="00AF3AF6"/>
    <w:rsid w:val="00AF4CAF"/>
    <w:rsid w:val="00AF7CD5"/>
    <w:rsid w:val="00B103DA"/>
    <w:rsid w:val="00B117BA"/>
    <w:rsid w:val="00B20D87"/>
    <w:rsid w:val="00B2239D"/>
    <w:rsid w:val="00B321C3"/>
    <w:rsid w:val="00B4677D"/>
    <w:rsid w:val="00B578AC"/>
    <w:rsid w:val="00B6077E"/>
    <w:rsid w:val="00B6433F"/>
    <w:rsid w:val="00B64CF5"/>
    <w:rsid w:val="00B71BB0"/>
    <w:rsid w:val="00B73367"/>
    <w:rsid w:val="00B76C9B"/>
    <w:rsid w:val="00B80E4A"/>
    <w:rsid w:val="00B823A1"/>
    <w:rsid w:val="00B8428B"/>
    <w:rsid w:val="00BA41F5"/>
    <w:rsid w:val="00BB3C9C"/>
    <w:rsid w:val="00BB4B90"/>
    <w:rsid w:val="00BB76A5"/>
    <w:rsid w:val="00BC1528"/>
    <w:rsid w:val="00BD7746"/>
    <w:rsid w:val="00BF3C3F"/>
    <w:rsid w:val="00BF4822"/>
    <w:rsid w:val="00BF58CC"/>
    <w:rsid w:val="00BF6D5C"/>
    <w:rsid w:val="00C01D22"/>
    <w:rsid w:val="00C07786"/>
    <w:rsid w:val="00C104B6"/>
    <w:rsid w:val="00C10F02"/>
    <w:rsid w:val="00C114F4"/>
    <w:rsid w:val="00C11D03"/>
    <w:rsid w:val="00C24003"/>
    <w:rsid w:val="00C31967"/>
    <w:rsid w:val="00C32A20"/>
    <w:rsid w:val="00C371DE"/>
    <w:rsid w:val="00C409AE"/>
    <w:rsid w:val="00C42D50"/>
    <w:rsid w:val="00C514EA"/>
    <w:rsid w:val="00C54878"/>
    <w:rsid w:val="00C54DF8"/>
    <w:rsid w:val="00C57A40"/>
    <w:rsid w:val="00C60B49"/>
    <w:rsid w:val="00C72C08"/>
    <w:rsid w:val="00C7440A"/>
    <w:rsid w:val="00C777CF"/>
    <w:rsid w:val="00C839C6"/>
    <w:rsid w:val="00C865ED"/>
    <w:rsid w:val="00C8775A"/>
    <w:rsid w:val="00C87D78"/>
    <w:rsid w:val="00C933CF"/>
    <w:rsid w:val="00C93957"/>
    <w:rsid w:val="00CA0877"/>
    <w:rsid w:val="00CA4155"/>
    <w:rsid w:val="00CA6B59"/>
    <w:rsid w:val="00CB3B6C"/>
    <w:rsid w:val="00CB74E8"/>
    <w:rsid w:val="00CC1833"/>
    <w:rsid w:val="00CC189F"/>
    <w:rsid w:val="00CC3368"/>
    <w:rsid w:val="00CD0294"/>
    <w:rsid w:val="00CD1F84"/>
    <w:rsid w:val="00CD52DB"/>
    <w:rsid w:val="00CE0FAB"/>
    <w:rsid w:val="00CE227C"/>
    <w:rsid w:val="00CF0544"/>
    <w:rsid w:val="00CF19C4"/>
    <w:rsid w:val="00CF19FB"/>
    <w:rsid w:val="00CF2E06"/>
    <w:rsid w:val="00CF6FBB"/>
    <w:rsid w:val="00D02480"/>
    <w:rsid w:val="00D13C04"/>
    <w:rsid w:val="00D20A78"/>
    <w:rsid w:val="00D20A8F"/>
    <w:rsid w:val="00D22E2E"/>
    <w:rsid w:val="00D25A0C"/>
    <w:rsid w:val="00D278BA"/>
    <w:rsid w:val="00D40454"/>
    <w:rsid w:val="00D4059C"/>
    <w:rsid w:val="00D41E56"/>
    <w:rsid w:val="00D43D34"/>
    <w:rsid w:val="00D479D0"/>
    <w:rsid w:val="00D53D8F"/>
    <w:rsid w:val="00D55E06"/>
    <w:rsid w:val="00D61C76"/>
    <w:rsid w:val="00D72D9A"/>
    <w:rsid w:val="00D77015"/>
    <w:rsid w:val="00D90FCA"/>
    <w:rsid w:val="00D92B48"/>
    <w:rsid w:val="00DB1693"/>
    <w:rsid w:val="00DB7AFC"/>
    <w:rsid w:val="00DC7E39"/>
    <w:rsid w:val="00DD21A1"/>
    <w:rsid w:val="00DD2C02"/>
    <w:rsid w:val="00DD4AB2"/>
    <w:rsid w:val="00DD5560"/>
    <w:rsid w:val="00DD5B07"/>
    <w:rsid w:val="00DD72D2"/>
    <w:rsid w:val="00DE6821"/>
    <w:rsid w:val="00DF2022"/>
    <w:rsid w:val="00DF34BE"/>
    <w:rsid w:val="00DF477A"/>
    <w:rsid w:val="00DF5D59"/>
    <w:rsid w:val="00E014D3"/>
    <w:rsid w:val="00E03C28"/>
    <w:rsid w:val="00E20078"/>
    <w:rsid w:val="00E239E4"/>
    <w:rsid w:val="00E32DF3"/>
    <w:rsid w:val="00E358D2"/>
    <w:rsid w:val="00E36A38"/>
    <w:rsid w:val="00E43562"/>
    <w:rsid w:val="00E50C3C"/>
    <w:rsid w:val="00E53399"/>
    <w:rsid w:val="00E549BD"/>
    <w:rsid w:val="00E67EBF"/>
    <w:rsid w:val="00E71E9C"/>
    <w:rsid w:val="00E77995"/>
    <w:rsid w:val="00E86E12"/>
    <w:rsid w:val="00E87099"/>
    <w:rsid w:val="00EA1DA5"/>
    <w:rsid w:val="00EA28E6"/>
    <w:rsid w:val="00EA6220"/>
    <w:rsid w:val="00EC1584"/>
    <w:rsid w:val="00ED05C4"/>
    <w:rsid w:val="00EE3240"/>
    <w:rsid w:val="00EE4184"/>
    <w:rsid w:val="00EF5889"/>
    <w:rsid w:val="00EF78C4"/>
    <w:rsid w:val="00F04C78"/>
    <w:rsid w:val="00F04CD7"/>
    <w:rsid w:val="00F0564E"/>
    <w:rsid w:val="00F14F59"/>
    <w:rsid w:val="00F20E16"/>
    <w:rsid w:val="00F23E15"/>
    <w:rsid w:val="00F23E24"/>
    <w:rsid w:val="00F244A2"/>
    <w:rsid w:val="00F24D5F"/>
    <w:rsid w:val="00F32508"/>
    <w:rsid w:val="00F35064"/>
    <w:rsid w:val="00F356E6"/>
    <w:rsid w:val="00F374D8"/>
    <w:rsid w:val="00F433F1"/>
    <w:rsid w:val="00F5684D"/>
    <w:rsid w:val="00F57AB6"/>
    <w:rsid w:val="00F62DDB"/>
    <w:rsid w:val="00F63EA7"/>
    <w:rsid w:val="00F6480F"/>
    <w:rsid w:val="00F701C0"/>
    <w:rsid w:val="00F70C2E"/>
    <w:rsid w:val="00F75140"/>
    <w:rsid w:val="00F76741"/>
    <w:rsid w:val="00F76D7E"/>
    <w:rsid w:val="00F77176"/>
    <w:rsid w:val="00F82466"/>
    <w:rsid w:val="00F86713"/>
    <w:rsid w:val="00F90E6D"/>
    <w:rsid w:val="00F932E0"/>
    <w:rsid w:val="00F977A3"/>
    <w:rsid w:val="00FB2B30"/>
    <w:rsid w:val="00FB2BF2"/>
    <w:rsid w:val="00FB45ED"/>
    <w:rsid w:val="00FB7701"/>
    <w:rsid w:val="00FC40F0"/>
    <w:rsid w:val="00FC6D3B"/>
    <w:rsid w:val="00FD0129"/>
    <w:rsid w:val="00FD1EF1"/>
    <w:rsid w:val="00FD3165"/>
    <w:rsid w:val="00FD4F31"/>
    <w:rsid w:val="00FE1705"/>
    <w:rsid w:val="00FE17ED"/>
    <w:rsid w:val="00FE39FF"/>
    <w:rsid w:val="00FF0454"/>
    <w:rsid w:val="00FF5AAA"/>
    <w:rsid w:val="00FF5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1C0837"/>
    <w:pPr>
      <w:keepNext/>
      <w:spacing w:after="120"/>
      <w:outlineLvl w:val="1"/>
    </w:pPr>
    <w:rPr>
      <w:rFonts w:ascii="Arial" w:hAnsi="Arial" w:cs="Arial"/>
      <w:b/>
      <w:sz w:val="22"/>
      <w:szCs w:val="24"/>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styleId="Emphasis">
    <w:name w:val="Emphasis"/>
    <w:basedOn w:val="DefaultParagraphFont"/>
    <w:uiPriority w:val="20"/>
    <w:qFormat/>
    <w:rsid w:val="00DB7AFC"/>
    <w:rPr>
      <w:i/>
      <w:iCs/>
    </w:rPr>
  </w:style>
  <w:style w:type="character" w:styleId="FollowedHyperlink">
    <w:name w:val="FollowedHyperlink"/>
    <w:basedOn w:val="DefaultParagraphFont"/>
    <w:rsid w:val="00750C67"/>
    <w:rPr>
      <w:color w:val="800080" w:themeColor="followedHyperlink"/>
      <w:u w:val="single"/>
    </w:rPr>
  </w:style>
  <w:style w:type="paragraph" w:customStyle="1" w:styleId="Default">
    <w:name w:val="Default"/>
    <w:rsid w:val="00E358D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F57C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1C0837"/>
    <w:pPr>
      <w:keepNext/>
      <w:spacing w:after="120"/>
      <w:outlineLvl w:val="1"/>
    </w:pPr>
    <w:rPr>
      <w:rFonts w:ascii="Arial" w:hAnsi="Arial" w:cs="Arial"/>
      <w:b/>
      <w:sz w:val="22"/>
      <w:szCs w:val="24"/>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styleId="Emphasis">
    <w:name w:val="Emphasis"/>
    <w:basedOn w:val="DefaultParagraphFont"/>
    <w:uiPriority w:val="20"/>
    <w:qFormat/>
    <w:rsid w:val="00DB7AFC"/>
    <w:rPr>
      <w:i/>
      <w:iCs/>
    </w:rPr>
  </w:style>
  <w:style w:type="character" w:styleId="FollowedHyperlink">
    <w:name w:val="FollowedHyperlink"/>
    <w:basedOn w:val="DefaultParagraphFont"/>
    <w:rsid w:val="00750C67"/>
    <w:rPr>
      <w:color w:val="800080" w:themeColor="followedHyperlink"/>
      <w:u w:val="single"/>
    </w:rPr>
  </w:style>
  <w:style w:type="paragraph" w:customStyle="1" w:styleId="Default">
    <w:name w:val="Default"/>
    <w:rsid w:val="00E358D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F57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4970">
      <w:bodyDiv w:val="1"/>
      <w:marLeft w:val="0"/>
      <w:marRight w:val="0"/>
      <w:marTop w:val="0"/>
      <w:marBottom w:val="0"/>
      <w:divBdr>
        <w:top w:val="none" w:sz="0" w:space="0" w:color="auto"/>
        <w:left w:val="none" w:sz="0" w:space="0" w:color="auto"/>
        <w:bottom w:val="none" w:sz="0" w:space="0" w:color="auto"/>
        <w:right w:val="none" w:sz="0" w:space="0" w:color="auto"/>
      </w:divBdr>
    </w:div>
    <w:div w:id="47271660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22553253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to.gov.au" TargetMode="External"/><Relationship Id="rId2" Type="http://schemas.openxmlformats.org/officeDocument/2006/relationships/customXml" Target="../customXml/item2.xml"/><Relationship Id="rId16" Type="http://schemas.openxmlformats.org/officeDocument/2006/relationships/hyperlink" Target="http://www.ato.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ato.gov.au" TargetMode="Externa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2027-04-21T01:40:16+00:00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escription0 xmlns="c65f9449-2a65-4a94-823f-6ddb40b10a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3" ma:contentTypeDescription="" ma:contentTypeScope="" ma:versionID="2afd382d7d354886d10c54a3da152149">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ffb66b1a5010f932ec52a51dac9611d4"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3:Description0" minOccurs="0"/>
                <xsd:element ref="ns3:Branch" minOccurs="0"/>
                <xsd:element ref="ns3:Category" minOccurs="0"/>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All Tag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Description0" ma:index="2" nillable="true" ma:displayName="Description" ma:description="What is the document for, brief description" ma:internalName="Description0">
      <xsd:simpleType>
        <xsd:restriction base="dms:Note">
          <xsd:maxLength value="255"/>
        </xsd:restriction>
      </xsd:simpleType>
    </xsd:element>
    <xsd:element name="Branch" ma:index="5"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6"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4.xml><?xml version="1.0" encoding="utf-8"?>
<ds:datastoreItem xmlns:ds="http://schemas.openxmlformats.org/officeDocument/2006/customXml" ds:itemID="{C2FC20C5-498D-4972-B93B-EF96A69BE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92B523-521B-4F01-8DAB-0EC284B7888D}">
  <ds:schemaRefs>
    <ds:schemaRef ds:uri="office.server.policy"/>
  </ds:schemaRefs>
</ds:datastoreItem>
</file>

<file path=customXml/itemProps6.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7.xml><?xml version="1.0" encoding="utf-8"?>
<ds:datastoreItem xmlns:ds="http://schemas.openxmlformats.org/officeDocument/2006/customXml" ds:itemID="{F795F507-5A4A-4D89-9AAB-4466C691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19817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4</cp:revision>
  <cp:lastPrinted>2020-01-12T20:08:00Z</cp:lastPrinted>
  <dcterms:created xsi:type="dcterms:W3CDTF">2020-01-29T02:27:00Z</dcterms:created>
  <dcterms:modified xsi:type="dcterms:W3CDTF">2020-01-29T02:55:00Z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