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5317" w14:textId="77777777" w:rsidR="00BA75DB" w:rsidRDefault="00BA75DB" w:rsidP="00BA75DB">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71267E5B" w14:textId="77777777" w:rsidR="00BA75DB" w:rsidRDefault="00BA75DB" w:rsidP="00BA75DB">
      <w:pPr>
        <w:jc w:val="center"/>
        <w:rPr>
          <w:rFonts w:ascii="Times New Roman" w:hAnsi="Times New Roman" w:cs="Times New Roman"/>
        </w:rPr>
      </w:pPr>
      <w:r>
        <w:rPr>
          <w:rFonts w:ascii="Times New Roman" w:hAnsi="Times New Roman" w:cs="Times New Roman"/>
        </w:rPr>
        <w:t>Approved by the Australian Communications and Media Authority</w:t>
      </w:r>
    </w:p>
    <w:p w14:paraId="6CCA6390" w14:textId="77777777" w:rsidR="00BA75DB" w:rsidRDefault="00BA75DB" w:rsidP="00BA75DB">
      <w:pPr>
        <w:jc w:val="center"/>
        <w:rPr>
          <w:rFonts w:ascii="Times New Roman" w:hAnsi="Times New Roman" w:cs="Times New Roman"/>
          <w:i/>
        </w:rPr>
      </w:pPr>
      <w:r>
        <w:rPr>
          <w:rFonts w:ascii="Times New Roman" w:hAnsi="Times New Roman" w:cs="Times New Roman"/>
          <w:i/>
        </w:rPr>
        <w:t>Radiocommunications Act 1992</w:t>
      </w:r>
    </w:p>
    <w:p w14:paraId="2B5A8AEB" w14:textId="77777777" w:rsidR="00BA75DB" w:rsidRDefault="00BA75DB" w:rsidP="00BA75DB">
      <w:pPr>
        <w:jc w:val="center"/>
        <w:rPr>
          <w:rFonts w:ascii="Times New Roman" w:hAnsi="Times New Roman" w:cs="Times New Roman"/>
          <w:b/>
          <w:i/>
        </w:rPr>
      </w:pPr>
      <w:r w:rsidRPr="00576272">
        <w:rPr>
          <w:rFonts w:ascii="Times New Roman" w:hAnsi="Times New Roman" w:cs="Times New Roman"/>
          <w:b/>
          <w:i/>
        </w:rPr>
        <w:t xml:space="preserve">Radiocommunications </w:t>
      </w:r>
      <w:r>
        <w:rPr>
          <w:rFonts w:ascii="Times New Roman" w:hAnsi="Times New Roman" w:cs="Times New Roman"/>
          <w:b/>
          <w:i/>
        </w:rPr>
        <w:t>Licence Conditions (Area-Wide Licence) Determination 2020</w:t>
      </w:r>
    </w:p>
    <w:p w14:paraId="4B9019BC" w14:textId="77777777" w:rsidR="00BA75DB" w:rsidRDefault="00BA75DB" w:rsidP="00BA75DB">
      <w:pPr>
        <w:spacing w:before="280"/>
        <w:rPr>
          <w:rFonts w:ascii="Times New Roman" w:hAnsi="Times New Roman" w:cs="Times New Roman"/>
          <w:b/>
        </w:rPr>
      </w:pPr>
      <w:r>
        <w:rPr>
          <w:rFonts w:ascii="Times New Roman" w:hAnsi="Times New Roman" w:cs="Times New Roman"/>
          <w:b/>
        </w:rPr>
        <w:t>Authority</w:t>
      </w:r>
    </w:p>
    <w:p w14:paraId="72381C42" w14:textId="77777777" w:rsidR="00BA75DB" w:rsidRDefault="00BA75DB" w:rsidP="00BA75DB">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D53898">
        <w:rPr>
          <w:rFonts w:ascii="Times New Roman" w:hAnsi="Times New Roman" w:cs="Times New Roman"/>
          <w:i/>
        </w:rPr>
        <w:t xml:space="preserve">Radiocommunications </w:t>
      </w:r>
      <w:r>
        <w:rPr>
          <w:rFonts w:ascii="Times New Roman" w:hAnsi="Times New Roman" w:cs="Times New Roman"/>
          <w:i/>
        </w:rPr>
        <w:t>Licence</w:t>
      </w:r>
      <w:r w:rsidRPr="00D53898">
        <w:rPr>
          <w:rFonts w:ascii="Times New Roman" w:hAnsi="Times New Roman" w:cs="Times New Roman"/>
          <w:i/>
        </w:rPr>
        <w:t xml:space="preserve"> Conditions (Area-Wide Licen</w:t>
      </w:r>
      <w:r>
        <w:rPr>
          <w:rFonts w:ascii="Times New Roman" w:hAnsi="Times New Roman" w:cs="Times New Roman"/>
          <w:i/>
        </w:rPr>
        <w:t>c</w:t>
      </w:r>
      <w:r w:rsidRPr="00D53898">
        <w:rPr>
          <w:rFonts w:ascii="Times New Roman" w:hAnsi="Times New Roman" w:cs="Times New Roman"/>
          <w:i/>
        </w:rPr>
        <w:t>e) Determination 20</w:t>
      </w:r>
      <w:r>
        <w:rPr>
          <w:rFonts w:ascii="Times New Roman" w:hAnsi="Times New Roman" w:cs="Times New Roman"/>
          <w:i/>
        </w:rPr>
        <w:t>20</w:t>
      </w:r>
      <w:r w:rsidRPr="00D53898">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Determination</w:t>
      </w:r>
      <w:r>
        <w:rPr>
          <w:rFonts w:ascii="Times New Roman" w:hAnsi="Times New Roman" w:cs="Times New Roman"/>
        </w:rPr>
        <w:t xml:space="preserve">) under </w:t>
      </w:r>
      <w:r w:rsidRPr="00C352C8">
        <w:rPr>
          <w:rFonts w:ascii="Times New Roman" w:hAnsi="Times New Roman" w:cs="Times New Roman"/>
        </w:rPr>
        <w:t xml:space="preserve">paragraph </w:t>
      </w:r>
      <w:r>
        <w:rPr>
          <w:rFonts w:ascii="Times New Roman" w:hAnsi="Times New Roman" w:cs="Times New Roman"/>
        </w:rPr>
        <w:t>107(1)(f</w:t>
      </w:r>
      <w:r w:rsidRPr="00C352C8">
        <w:rPr>
          <w:rFonts w:ascii="Times New Roman" w:hAnsi="Times New Roman" w:cs="Times New Roman"/>
        </w:rPr>
        <w:t xml:space="preserve">) of the </w:t>
      </w:r>
      <w:r w:rsidRPr="000F22E0">
        <w:rPr>
          <w:rFonts w:ascii="Times New Roman" w:hAnsi="Times New Roman" w:cs="Times New Roman"/>
          <w:i/>
        </w:rPr>
        <w:t>Radiocommunications Act 1992</w:t>
      </w:r>
      <w:r w:rsidRPr="00C352C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 xml:space="preserve">the </w:t>
      </w:r>
      <w:r w:rsidRPr="00803D42">
        <w:rPr>
          <w:rFonts w:ascii="Times New Roman" w:hAnsi="Times New Roman" w:cs="Times New Roman"/>
          <w:b/>
        </w:rPr>
        <w:t>Act</w:t>
      </w:r>
      <w:r>
        <w:rPr>
          <w:rFonts w:ascii="Times New Roman" w:hAnsi="Times New Roman" w:cs="Times New Roman"/>
        </w:rPr>
        <w:t>).</w:t>
      </w:r>
    </w:p>
    <w:p w14:paraId="6DA0FD72" w14:textId="77777777" w:rsidR="00BA75DB" w:rsidRPr="000C36D0" w:rsidRDefault="00BA75DB" w:rsidP="00BA75DB">
      <w:pPr>
        <w:rPr>
          <w:rFonts w:ascii="Times New Roman" w:hAnsi="Times New Roman" w:cs="Times New Roman"/>
        </w:rPr>
      </w:pPr>
      <w:r>
        <w:rPr>
          <w:rFonts w:ascii="Times New Roman" w:hAnsi="Times New Roman" w:cs="Times New Roman"/>
        </w:rPr>
        <w:t xml:space="preserve">Paragraph 107(1)(f) of the Act provides that an apparatus licence is subject to such conditions (if any) as the ACMA may, by legislative instrument, determine in relation to that particular type of licence. </w:t>
      </w:r>
    </w:p>
    <w:p w14:paraId="5427E6CA" w14:textId="2BB4D313" w:rsidR="00BA75DB" w:rsidRDefault="00BA75DB" w:rsidP="00BA75DB">
      <w:pPr>
        <w:rPr>
          <w:rFonts w:ascii="Times New Roman" w:hAnsi="Times New Roman" w:cs="Times New Roman"/>
          <w:b/>
        </w:rPr>
      </w:pPr>
      <w:r>
        <w:rPr>
          <w:rFonts w:ascii="Times New Roman" w:hAnsi="Times New Roman" w:cs="Times New Roman"/>
          <w:b/>
        </w:rPr>
        <w:t xml:space="preserve">Purpose </w:t>
      </w:r>
    </w:p>
    <w:p w14:paraId="19CDAE46" w14:textId="0FFE4E4F" w:rsidR="00BA75DB" w:rsidRDefault="00BA75DB" w:rsidP="00BA75DB">
      <w:pPr>
        <w:spacing w:after="40"/>
        <w:rPr>
          <w:rFonts w:ascii="Times New Roman" w:hAnsi="Times New Roman" w:cs="Times New Roman"/>
        </w:rPr>
      </w:pPr>
      <w:r>
        <w:rPr>
          <w:rFonts w:ascii="Times New Roman" w:hAnsi="Times New Roman" w:cs="Times New Roman"/>
        </w:rPr>
        <w:t xml:space="preserve">The purpose of the </w:t>
      </w:r>
      <w:r w:rsidRPr="00B914B8">
        <w:rPr>
          <w:rFonts w:ascii="Times New Roman" w:hAnsi="Times New Roman" w:cs="Times New Roman"/>
          <w:iCs/>
        </w:rPr>
        <w:t>Determination</w:t>
      </w:r>
      <w:r w:rsidRPr="00556A10">
        <w:rPr>
          <w:rFonts w:ascii="Times New Roman" w:hAnsi="Times New Roman" w:cs="Times New Roman"/>
          <w:i/>
        </w:rPr>
        <w:t xml:space="preserve"> </w:t>
      </w:r>
      <w:r>
        <w:rPr>
          <w:rFonts w:ascii="Times New Roman" w:hAnsi="Times New Roman" w:cs="Times New Roman"/>
        </w:rPr>
        <w:t xml:space="preserve">is to determine a condition that applies to the </w:t>
      </w:r>
      <w:r w:rsidR="002D1904">
        <w:rPr>
          <w:rFonts w:ascii="Times New Roman" w:hAnsi="Times New Roman" w:cs="Times New Roman"/>
        </w:rPr>
        <w:t>A</w:t>
      </w:r>
      <w:r>
        <w:rPr>
          <w:rFonts w:ascii="Times New Roman" w:hAnsi="Times New Roman" w:cs="Times New Roman"/>
        </w:rPr>
        <w:t>rea-</w:t>
      </w:r>
      <w:r w:rsidR="002D1904">
        <w:rPr>
          <w:rFonts w:ascii="Times New Roman" w:hAnsi="Times New Roman" w:cs="Times New Roman"/>
        </w:rPr>
        <w:t>W</w:t>
      </w:r>
      <w:r>
        <w:rPr>
          <w:rFonts w:ascii="Times New Roman" w:hAnsi="Times New Roman" w:cs="Times New Roman"/>
        </w:rPr>
        <w:t>ide</w:t>
      </w:r>
      <w:r w:rsidR="002D1904">
        <w:rPr>
          <w:rFonts w:ascii="Times New Roman" w:hAnsi="Times New Roman" w:cs="Times New Roman"/>
        </w:rPr>
        <w:t xml:space="preserve"> Licence (</w:t>
      </w:r>
      <w:r w:rsidR="002D1904" w:rsidRPr="002D1904">
        <w:rPr>
          <w:rFonts w:ascii="Times New Roman" w:hAnsi="Times New Roman" w:cs="Times New Roman"/>
          <w:b/>
          <w:bCs/>
        </w:rPr>
        <w:t>AWL</w:t>
      </w:r>
      <w:r w:rsidR="002D1904">
        <w:rPr>
          <w:rFonts w:ascii="Times New Roman" w:hAnsi="Times New Roman" w:cs="Times New Roman"/>
        </w:rPr>
        <w:t>)</w:t>
      </w:r>
      <w:r>
        <w:rPr>
          <w:rFonts w:ascii="Times New Roman" w:hAnsi="Times New Roman" w:cs="Times New Roman"/>
        </w:rPr>
        <w:t xml:space="preserve"> </w:t>
      </w:r>
      <w:r w:rsidR="002A740B">
        <w:rPr>
          <w:rFonts w:ascii="Times New Roman" w:hAnsi="Times New Roman" w:cs="Times New Roman"/>
        </w:rPr>
        <w:t>transmitter</w:t>
      </w:r>
      <w:r>
        <w:rPr>
          <w:rFonts w:ascii="Times New Roman" w:hAnsi="Times New Roman" w:cs="Times New Roman"/>
        </w:rPr>
        <w:t xml:space="preserve"> licence type. </w:t>
      </w:r>
    </w:p>
    <w:p w14:paraId="02A37393" w14:textId="77777777" w:rsidR="00BA75DB" w:rsidRDefault="00BA75DB" w:rsidP="00BA75DB">
      <w:pPr>
        <w:spacing w:after="40"/>
        <w:rPr>
          <w:rFonts w:ascii="Times New Roman" w:hAnsi="Times New Roman" w:cs="Times New Roman"/>
        </w:rPr>
      </w:pPr>
    </w:p>
    <w:p w14:paraId="26AD888E" w14:textId="0B505F52" w:rsidR="00BA75DB" w:rsidRDefault="00BA75DB" w:rsidP="00BA75DB">
      <w:pPr>
        <w:spacing w:after="40"/>
        <w:rPr>
          <w:rFonts w:ascii="Times New Roman" w:hAnsi="Times New Roman" w:cs="Times New Roman"/>
        </w:rPr>
      </w:pPr>
      <w:r>
        <w:rPr>
          <w:rFonts w:ascii="Times New Roman" w:hAnsi="Times New Roman" w:cs="Times New Roman"/>
        </w:rPr>
        <w:t>The</w:t>
      </w:r>
      <w:r w:rsidRPr="00BC149C">
        <w:rPr>
          <w:rFonts w:ascii="Times New Roman" w:hAnsi="Times New Roman" w:cs="Times New Roman"/>
        </w:rPr>
        <w:t xml:space="preserve"> ACMA </w:t>
      </w:r>
      <w:r>
        <w:rPr>
          <w:rFonts w:ascii="Times New Roman" w:hAnsi="Times New Roman" w:cs="Times New Roman"/>
        </w:rPr>
        <w:t>has developed</w:t>
      </w:r>
      <w:r w:rsidR="00D8522B">
        <w:rPr>
          <w:rFonts w:ascii="Times New Roman" w:hAnsi="Times New Roman" w:cs="Times New Roman"/>
        </w:rPr>
        <w:t xml:space="preserve"> two new</w:t>
      </w:r>
      <w:r>
        <w:rPr>
          <w:rFonts w:ascii="Times New Roman" w:hAnsi="Times New Roman" w:cs="Times New Roman"/>
        </w:rPr>
        <w:t xml:space="preserve"> apparatus licence types, known as the area-wide and area-wide receive licence types.</w:t>
      </w:r>
      <w:r w:rsidDel="00091E05">
        <w:rPr>
          <w:rFonts w:ascii="Times New Roman" w:hAnsi="Times New Roman" w:cs="Times New Roman"/>
        </w:rPr>
        <w:t xml:space="preserve"> </w:t>
      </w:r>
    </w:p>
    <w:p w14:paraId="09C0FE2A" w14:textId="77777777" w:rsidR="00AF7030" w:rsidRDefault="00AF7030" w:rsidP="00BA75DB">
      <w:pPr>
        <w:spacing w:after="40"/>
        <w:rPr>
          <w:rFonts w:ascii="Times New Roman" w:hAnsi="Times New Roman" w:cs="Times New Roman"/>
        </w:rPr>
      </w:pPr>
    </w:p>
    <w:p w14:paraId="6A5C8766" w14:textId="77777777" w:rsidR="00BA75DB" w:rsidRDefault="00BA75DB" w:rsidP="00BA75DB">
      <w:pPr>
        <w:spacing w:after="40"/>
        <w:rPr>
          <w:rFonts w:ascii="Times New Roman" w:hAnsi="Times New Roman" w:cs="Times New Roman"/>
        </w:rPr>
      </w:pPr>
      <w:r>
        <w:rPr>
          <w:rFonts w:ascii="Times New Roman" w:hAnsi="Times New Roman" w:cs="Times New Roman"/>
        </w:rPr>
        <w:t xml:space="preserve">These new licence types </w:t>
      </w:r>
      <w:r w:rsidRPr="00386CE7">
        <w:rPr>
          <w:rFonts w:ascii="Times New Roman" w:hAnsi="Times New Roman" w:cs="Times New Roman"/>
        </w:rPr>
        <w:t xml:space="preserve">authorise the operation of one or more radiocommunications devices within a defined geographic area at a frequency or frequencies specified </w:t>
      </w:r>
      <w:r>
        <w:rPr>
          <w:rFonts w:ascii="Times New Roman" w:hAnsi="Times New Roman" w:cs="Times New Roman"/>
        </w:rPr>
        <w:t>i</w:t>
      </w:r>
      <w:r w:rsidRPr="00386CE7">
        <w:rPr>
          <w:rFonts w:ascii="Times New Roman" w:hAnsi="Times New Roman" w:cs="Times New Roman"/>
        </w:rPr>
        <w:t xml:space="preserve">n the licence, subject to the conditions included </w:t>
      </w:r>
      <w:r>
        <w:rPr>
          <w:rFonts w:ascii="Times New Roman" w:hAnsi="Times New Roman" w:cs="Times New Roman"/>
        </w:rPr>
        <w:t>i</w:t>
      </w:r>
      <w:r w:rsidRPr="00386CE7">
        <w:rPr>
          <w:rFonts w:ascii="Times New Roman" w:hAnsi="Times New Roman" w:cs="Times New Roman"/>
        </w:rPr>
        <w:t>n the issued licence. The licence type</w:t>
      </w:r>
      <w:r>
        <w:rPr>
          <w:rFonts w:ascii="Times New Roman" w:hAnsi="Times New Roman" w:cs="Times New Roman"/>
        </w:rPr>
        <w:t>s</w:t>
      </w:r>
      <w:r w:rsidRPr="00386CE7">
        <w:rPr>
          <w:rFonts w:ascii="Times New Roman" w:hAnsi="Times New Roman" w:cs="Times New Roman"/>
        </w:rPr>
        <w:t xml:space="preserve"> will be scalable, enabling </w:t>
      </w:r>
      <w:r>
        <w:rPr>
          <w:rFonts w:ascii="Times New Roman" w:hAnsi="Times New Roman" w:cs="Times New Roman"/>
        </w:rPr>
        <w:t>their</w:t>
      </w:r>
      <w:r w:rsidRPr="00386CE7">
        <w:rPr>
          <w:rFonts w:ascii="Times New Roman" w:hAnsi="Times New Roman" w:cs="Times New Roman"/>
        </w:rPr>
        <w:t xml:space="preserve"> use for authorising </w:t>
      </w:r>
      <w:r>
        <w:rPr>
          <w:rFonts w:ascii="Times New Roman" w:hAnsi="Times New Roman" w:cs="Times New Roman"/>
        </w:rPr>
        <w:t xml:space="preserve">radiocommunications devices in </w:t>
      </w:r>
      <w:r w:rsidRPr="00386CE7">
        <w:rPr>
          <w:rFonts w:ascii="Times New Roman" w:hAnsi="Times New Roman" w:cs="Times New Roman"/>
        </w:rPr>
        <w:t xml:space="preserve">different-sized geographic areas and bandwidths. Unlike existing apparatus licence types—which typically align with specific uses and purposes—the </w:t>
      </w:r>
      <w:r>
        <w:rPr>
          <w:rFonts w:ascii="Times New Roman" w:hAnsi="Times New Roman" w:cs="Times New Roman"/>
        </w:rPr>
        <w:t xml:space="preserve">area-wide licence (AWL) </w:t>
      </w:r>
      <w:r w:rsidRPr="00386CE7">
        <w:rPr>
          <w:rFonts w:ascii="Times New Roman" w:hAnsi="Times New Roman" w:cs="Times New Roman"/>
        </w:rPr>
        <w:t>type</w:t>
      </w:r>
      <w:r>
        <w:rPr>
          <w:rFonts w:ascii="Times New Roman" w:hAnsi="Times New Roman" w:cs="Times New Roman"/>
        </w:rPr>
        <w:t>s, for both radiocommunications transmitters and radiocommunications receivers,</w:t>
      </w:r>
      <w:r w:rsidRPr="00386CE7">
        <w:rPr>
          <w:rFonts w:ascii="Times New Roman" w:hAnsi="Times New Roman" w:cs="Times New Roman"/>
        </w:rPr>
        <w:t xml:space="preserve"> will be capable of authorising a variety of services, uses, applications and technologies. </w:t>
      </w:r>
    </w:p>
    <w:p w14:paraId="7AC34FC2" w14:textId="77777777" w:rsidR="00BA75DB" w:rsidRDefault="00BA75DB" w:rsidP="00BA75DB">
      <w:pPr>
        <w:spacing w:after="40"/>
        <w:rPr>
          <w:rFonts w:ascii="Times New Roman" w:hAnsi="Times New Roman" w:cs="Times New Roman"/>
        </w:rPr>
      </w:pPr>
    </w:p>
    <w:p w14:paraId="31D7C169" w14:textId="77777777" w:rsidR="00BA75DB" w:rsidRDefault="00BA75DB" w:rsidP="00BA75DB">
      <w:pPr>
        <w:spacing w:after="40"/>
        <w:rPr>
          <w:rFonts w:ascii="Times New Roman" w:hAnsi="Times New Roman" w:cs="Times New Roman"/>
        </w:rPr>
      </w:pPr>
      <w:r>
        <w:rPr>
          <w:rFonts w:ascii="Times New Roman" w:hAnsi="Times New Roman" w:cs="Times New Roman"/>
        </w:rPr>
        <w:t xml:space="preserve">Under section 7 of the Determination, licensees are required to provide information relating to the location and maximum total radiated power for each area-wide station operating under the licence to the ACMA and any other person upon written request. </w:t>
      </w:r>
    </w:p>
    <w:p w14:paraId="3D239D68" w14:textId="77777777" w:rsidR="00BA75DB" w:rsidRDefault="00BA75DB" w:rsidP="00BA75DB">
      <w:pPr>
        <w:spacing w:after="40"/>
        <w:rPr>
          <w:rFonts w:ascii="Times New Roman" w:hAnsi="Times New Roman" w:cs="Times New Roman"/>
        </w:rPr>
      </w:pPr>
    </w:p>
    <w:p w14:paraId="1A5A6478" w14:textId="4CBF90CA" w:rsidR="00BA75DB" w:rsidRDefault="00BA75DB" w:rsidP="00BA75DB">
      <w:pPr>
        <w:rPr>
          <w:rFonts w:ascii="Times New Roman" w:hAnsi="Times New Roman" w:cs="Times New Roman"/>
        </w:rPr>
      </w:pPr>
      <w:r>
        <w:rPr>
          <w:rFonts w:ascii="Times New Roman" w:hAnsi="Times New Roman" w:cs="Times New Roman"/>
        </w:rPr>
        <w:t>Exemptions apply where the information being sought is about an area-wide station that is a mobile station, or information that is already included in the Register of Radiocommunications Licences (</w:t>
      </w:r>
      <w:r w:rsidR="003F30D3">
        <w:rPr>
          <w:rFonts w:ascii="Times New Roman" w:hAnsi="Times New Roman" w:cs="Times New Roman"/>
          <w:b/>
          <w:bCs/>
        </w:rPr>
        <w:t>the Register</w:t>
      </w:r>
      <w:r>
        <w:rPr>
          <w:rFonts w:ascii="Times New Roman" w:hAnsi="Times New Roman" w:cs="Times New Roman"/>
        </w:rPr>
        <w:t xml:space="preserve">). </w:t>
      </w:r>
    </w:p>
    <w:p w14:paraId="18CD003A" w14:textId="139D420C" w:rsidR="00BA75DB" w:rsidRDefault="00BA75DB" w:rsidP="00BA75DB">
      <w:pPr>
        <w:spacing w:after="40"/>
        <w:rPr>
          <w:rFonts w:ascii="Times New Roman" w:hAnsi="Times New Roman" w:cs="Times New Roman"/>
          <w:b/>
        </w:rPr>
      </w:pPr>
      <w:r>
        <w:rPr>
          <w:rFonts w:ascii="Times New Roman" w:hAnsi="Times New Roman" w:cs="Times New Roman"/>
        </w:rPr>
        <w:t xml:space="preserve">The Determination is a </w:t>
      </w:r>
      <w:r w:rsidR="0037288C">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5634C431" w14:textId="77777777" w:rsidR="00F53AA3" w:rsidRDefault="00F53AA3" w:rsidP="00BA75DB">
      <w:pPr>
        <w:spacing w:line="360" w:lineRule="auto"/>
        <w:outlineLvl w:val="0"/>
        <w:rPr>
          <w:rFonts w:ascii="Times New Roman" w:hAnsi="Times New Roman" w:cs="Times New Roman"/>
          <w:b/>
        </w:rPr>
      </w:pPr>
    </w:p>
    <w:p w14:paraId="6DB8EB4B" w14:textId="653D4BF2" w:rsidR="00B438C8" w:rsidRDefault="00955154" w:rsidP="00FD3B06">
      <w:pPr>
        <w:rPr>
          <w:rFonts w:ascii="Times New Roman" w:hAnsi="Times New Roman" w:cs="Times New Roman"/>
        </w:rPr>
      </w:pPr>
      <w:r>
        <w:rPr>
          <w:rFonts w:ascii="Times New Roman" w:hAnsi="Times New Roman" w:cs="Times New Roman"/>
          <w:b/>
        </w:rPr>
        <w:t>Reference to other documents</w:t>
      </w:r>
    </w:p>
    <w:p w14:paraId="0B7EC6FA" w14:textId="77777777" w:rsidR="00B438C8" w:rsidRDefault="00B438C8" w:rsidP="00BA75DB">
      <w:pPr>
        <w:spacing w:after="40"/>
        <w:rPr>
          <w:rFonts w:ascii="Times New Roman" w:hAnsi="Times New Roman" w:cs="Times New Roman"/>
        </w:rPr>
      </w:pPr>
    </w:p>
    <w:p w14:paraId="7150632B" w14:textId="7B977879" w:rsidR="00F30001" w:rsidRDefault="00C454FE" w:rsidP="00BA75DB">
      <w:pPr>
        <w:spacing w:after="40"/>
        <w:rPr>
          <w:rFonts w:ascii="Times New Roman" w:hAnsi="Times New Roman" w:cs="Times New Roman"/>
          <w:bCs/>
        </w:rPr>
      </w:pPr>
      <w:r>
        <w:rPr>
          <w:rFonts w:ascii="Times New Roman" w:hAnsi="Times New Roman" w:cs="Times New Roman"/>
        </w:rPr>
        <w:t>The note to section 7 of t</w:t>
      </w:r>
      <w:r w:rsidR="00BA75DB">
        <w:rPr>
          <w:rFonts w:ascii="Times New Roman" w:hAnsi="Times New Roman" w:cs="Times New Roman"/>
          <w:bCs/>
        </w:rPr>
        <w:t xml:space="preserve">he Determination refers to the </w:t>
      </w:r>
      <w:r w:rsidR="00BA75DB">
        <w:rPr>
          <w:rFonts w:ascii="Times New Roman" w:hAnsi="Times New Roman" w:cs="Times New Roman"/>
          <w:bCs/>
          <w:i/>
          <w:iCs/>
        </w:rPr>
        <w:t>Radiocommunications (Register of Radiocommunications Licences) Determination 2017</w:t>
      </w:r>
      <w:r w:rsidR="00BA75DB">
        <w:rPr>
          <w:rFonts w:ascii="Times New Roman" w:hAnsi="Times New Roman" w:cs="Times New Roman"/>
          <w:bCs/>
        </w:rPr>
        <w:t xml:space="preserve"> </w:t>
      </w:r>
      <w:r w:rsidR="00F30001">
        <w:rPr>
          <w:rFonts w:ascii="Times New Roman" w:hAnsi="Times New Roman" w:cs="Times New Roman"/>
          <w:bCs/>
        </w:rPr>
        <w:t>(</w:t>
      </w:r>
      <w:r w:rsidR="00F30001" w:rsidRPr="002E45EC">
        <w:rPr>
          <w:rFonts w:ascii="Times New Roman" w:hAnsi="Times New Roman" w:cs="Times New Roman"/>
          <w:b/>
        </w:rPr>
        <w:t>the RRL Determination</w:t>
      </w:r>
      <w:r w:rsidR="00F30001">
        <w:rPr>
          <w:rFonts w:ascii="Times New Roman" w:hAnsi="Times New Roman" w:cs="Times New Roman"/>
          <w:bCs/>
        </w:rPr>
        <w:t xml:space="preserve">) </w:t>
      </w:r>
      <w:r w:rsidR="00BA75DB">
        <w:rPr>
          <w:rFonts w:ascii="Times New Roman" w:hAnsi="Times New Roman" w:cs="Times New Roman"/>
          <w:bCs/>
        </w:rPr>
        <w:t>as in force from time to time (as permitted by section 314A of the Act). That instrument is accessible free of charge on the Federal Register of Legislation (</w:t>
      </w:r>
      <w:hyperlink r:id="rId11" w:history="1">
        <w:r w:rsidR="00BA75DB" w:rsidRPr="00C84A81">
          <w:rPr>
            <w:rStyle w:val="Hyperlink"/>
            <w:rFonts w:ascii="Times New Roman" w:hAnsi="Times New Roman" w:cs="Times New Roman"/>
            <w:bCs/>
          </w:rPr>
          <w:t>www.legislation.gov.au</w:t>
        </w:r>
      </w:hyperlink>
      <w:r w:rsidR="00BA75DB">
        <w:rPr>
          <w:rFonts w:ascii="Times New Roman" w:hAnsi="Times New Roman" w:cs="Times New Roman"/>
          <w:bCs/>
        </w:rPr>
        <w:t xml:space="preserve">). </w:t>
      </w:r>
    </w:p>
    <w:p w14:paraId="1424D43E" w14:textId="77777777" w:rsidR="00FD3B06" w:rsidRDefault="00FD3B06" w:rsidP="00BA75DB">
      <w:pPr>
        <w:spacing w:after="40"/>
        <w:rPr>
          <w:rFonts w:ascii="Times New Roman" w:hAnsi="Times New Roman" w:cs="Times New Roman"/>
          <w:bCs/>
        </w:rPr>
      </w:pPr>
    </w:p>
    <w:p w14:paraId="1AE980D4" w14:textId="3BE80C04" w:rsidR="00F30001" w:rsidRPr="00B94631" w:rsidRDefault="000A3F43" w:rsidP="00BA75DB">
      <w:pPr>
        <w:spacing w:after="40"/>
        <w:rPr>
          <w:rFonts w:ascii="Times New Roman" w:hAnsi="Times New Roman" w:cs="Times New Roman"/>
          <w:bCs/>
        </w:rPr>
      </w:pPr>
      <w:r>
        <w:rPr>
          <w:rFonts w:ascii="Times New Roman" w:hAnsi="Times New Roman" w:cs="Times New Roman"/>
          <w:bCs/>
        </w:rPr>
        <w:lastRenderedPageBreak/>
        <w:t>Section 143 of the Act require</w:t>
      </w:r>
      <w:r w:rsidR="00F64594">
        <w:rPr>
          <w:rFonts w:ascii="Times New Roman" w:hAnsi="Times New Roman" w:cs="Times New Roman"/>
          <w:bCs/>
        </w:rPr>
        <w:t xml:space="preserve">s the ACMA to establish and keep the Register. </w:t>
      </w:r>
      <w:r w:rsidR="005E3C28">
        <w:rPr>
          <w:rFonts w:ascii="Times New Roman" w:hAnsi="Times New Roman" w:cs="Times New Roman"/>
          <w:bCs/>
        </w:rPr>
        <w:t xml:space="preserve">Section 10 of the </w:t>
      </w:r>
      <w:r w:rsidR="00F30001">
        <w:rPr>
          <w:rFonts w:ascii="Times New Roman" w:hAnsi="Times New Roman" w:cs="Times New Roman"/>
          <w:bCs/>
        </w:rPr>
        <w:t xml:space="preserve">RRL Determination </w:t>
      </w:r>
      <w:r w:rsidR="005E3C28">
        <w:rPr>
          <w:rFonts w:ascii="Times New Roman" w:hAnsi="Times New Roman" w:cs="Times New Roman"/>
          <w:bCs/>
        </w:rPr>
        <w:t>provides that</w:t>
      </w:r>
      <w:r w:rsidR="005E3C28" w:rsidRPr="005E3C28">
        <w:rPr>
          <w:rFonts w:ascii="Times New Roman" w:hAnsi="Times New Roman" w:cs="Times New Roman"/>
          <w:bCs/>
        </w:rPr>
        <w:t xml:space="preserve"> the </w:t>
      </w:r>
      <w:r w:rsidR="00665EF6">
        <w:rPr>
          <w:rFonts w:ascii="Times New Roman" w:hAnsi="Times New Roman" w:cs="Times New Roman"/>
          <w:bCs/>
        </w:rPr>
        <w:t>R</w:t>
      </w:r>
      <w:r w:rsidR="005E3C28" w:rsidRPr="005E3C28">
        <w:rPr>
          <w:rFonts w:ascii="Times New Roman" w:hAnsi="Times New Roman" w:cs="Times New Roman"/>
          <w:bCs/>
        </w:rPr>
        <w:t xml:space="preserve">egister relating to apparatus licences must contain the details set out in </w:t>
      </w:r>
      <w:r w:rsidR="008A5D79" w:rsidRPr="005E3C28">
        <w:rPr>
          <w:rFonts w:ascii="Times New Roman" w:hAnsi="Times New Roman" w:cs="Times New Roman"/>
          <w:bCs/>
        </w:rPr>
        <w:t>th</w:t>
      </w:r>
      <w:r w:rsidR="008A5D79">
        <w:rPr>
          <w:rFonts w:ascii="Times New Roman" w:hAnsi="Times New Roman" w:cs="Times New Roman"/>
          <w:bCs/>
        </w:rPr>
        <w:t>at</w:t>
      </w:r>
      <w:r w:rsidR="008A5D79" w:rsidRPr="005E3C28">
        <w:rPr>
          <w:rFonts w:ascii="Times New Roman" w:hAnsi="Times New Roman" w:cs="Times New Roman"/>
          <w:bCs/>
        </w:rPr>
        <w:t xml:space="preserve"> </w:t>
      </w:r>
      <w:r w:rsidR="005E3C28" w:rsidRPr="005E3C28">
        <w:rPr>
          <w:rFonts w:ascii="Times New Roman" w:hAnsi="Times New Roman" w:cs="Times New Roman"/>
          <w:bCs/>
        </w:rPr>
        <w:t>section about each apparatus licence and the devices operated under the licence</w:t>
      </w:r>
      <w:r w:rsidR="00B10B9C">
        <w:rPr>
          <w:rFonts w:ascii="Times New Roman" w:hAnsi="Times New Roman" w:cs="Times New Roman"/>
          <w:bCs/>
        </w:rPr>
        <w:t xml:space="preserve">. </w:t>
      </w:r>
    </w:p>
    <w:p w14:paraId="73FEB0F3" w14:textId="77777777" w:rsidR="00BA75DB" w:rsidRDefault="00BA75DB" w:rsidP="00BA75DB">
      <w:pPr>
        <w:spacing w:after="40"/>
        <w:rPr>
          <w:rFonts w:ascii="Times New Roman" w:hAnsi="Times New Roman" w:cs="Times New Roman"/>
        </w:rPr>
      </w:pPr>
    </w:p>
    <w:p w14:paraId="0CD748F3" w14:textId="77777777" w:rsidR="00BA75DB" w:rsidRDefault="00BA75DB" w:rsidP="00BA75DB">
      <w:pPr>
        <w:rPr>
          <w:rFonts w:ascii="Times New Roman" w:hAnsi="Times New Roman" w:cs="Times New Roman"/>
          <w:b/>
        </w:rPr>
      </w:pPr>
      <w:r>
        <w:rPr>
          <w:rFonts w:ascii="Times New Roman" w:hAnsi="Times New Roman" w:cs="Times New Roman"/>
          <w:b/>
        </w:rPr>
        <w:t>Consultation</w:t>
      </w:r>
    </w:p>
    <w:p w14:paraId="3A1650B1" w14:textId="77777777" w:rsidR="00BA75DB" w:rsidRDefault="00BA75DB" w:rsidP="00BA75DB">
      <w:pPr>
        <w:rPr>
          <w:rFonts w:ascii="Times New Roman" w:hAnsi="Times New Roman" w:cs="Times New Roman"/>
        </w:rPr>
      </w:pPr>
      <w:r>
        <w:rPr>
          <w:rFonts w:ascii="Times New Roman" w:hAnsi="Times New Roman" w:cs="Times New Roman"/>
        </w:rPr>
        <w:t xml:space="preserve">Subsection 17(1) of the LA requires that before a rule-maker makes a legislative instrument, it must be satisfied that any consultation it considers appropriate and reasonably practicable has been undertaken. Before making the Determination, the ACMA was satisfied that consultation was undertaken to the extent appropriate and reasonably practicable. </w:t>
      </w:r>
    </w:p>
    <w:p w14:paraId="05227BE8" w14:textId="265CF780" w:rsidR="00BA75DB" w:rsidRDefault="00BA75DB" w:rsidP="00BA75DB">
      <w:pPr>
        <w:rPr>
          <w:rFonts w:ascii="Times New Roman" w:hAnsi="Times New Roman" w:cs="Times New Roman"/>
        </w:rPr>
      </w:pPr>
      <w:r>
        <w:rPr>
          <w:rFonts w:ascii="Times New Roman" w:hAnsi="Times New Roman" w:cs="Times New Roman"/>
        </w:rPr>
        <w:t xml:space="preserve">On 9 June 2019, the ACMA published the </w:t>
      </w:r>
      <w:r w:rsidRPr="009A2792">
        <w:rPr>
          <w:rFonts w:ascii="Times New Roman" w:hAnsi="Times New Roman" w:cs="Times New Roman"/>
          <w:i/>
        </w:rPr>
        <w:t xml:space="preserve">Proposed Area-Wide Apparatus </w:t>
      </w:r>
      <w:r>
        <w:rPr>
          <w:rFonts w:ascii="Times New Roman" w:hAnsi="Times New Roman" w:cs="Times New Roman"/>
          <w:i/>
        </w:rPr>
        <w:t>Licence</w:t>
      </w:r>
      <w:r>
        <w:rPr>
          <w:rFonts w:ascii="Times New Roman" w:hAnsi="Times New Roman" w:cs="Times New Roman"/>
        </w:rPr>
        <w:t xml:space="preserve"> consultation paper (</w:t>
      </w:r>
      <w:r>
        <w:rPr>
          <w:rFonts w:ascii="Times New Roman" w:hAnsi="Times New Roman" w:cs="Times New Roman"/>
          <w:b/>
          <w:bCs/>
        </w:rPr>
        <w:t>the consultation paper</w:t>
      </w:r>
      <w:r>
        <w:rPr>
          <w:rFonts w:ascii="Times New Roman" w:hAnsi="Times New Roman" w:cs="Times New Roman"/>
        </w:rPr>
        <w:t xml:space="preserve">) and a draft Determination, as well as a </w:t>
      </w:r>
      <w:r>
        <w:rPr>
          <w:rFonts w:ascii="Times New Roman" w:hAnsi="Times New Roman" w:cs="Times New Roman"/>
          <w:iCs/>
        </w:rPr>
        <w:t>d</w:t>
      </w:r>
      <w:r w:rsidRPr="00B94631">
        <w:rPr>
          <w:rFonts w:ascii="Times New Roman" w:hAnsi="Times New Roman" w:cs="Times New Roman"/>
          <w:iCs/>
        </w:rPr>
        <w:t xml:space="preserve">raft </w:t>
      </w:r>
      <w:r>
        <w:rPr>
          <w:rFonts w:ascii="Times New Roman" w:hAnsi="Times New Roman" w:cs="Times New Roman"/>
          <w:i/>
        </w:rPr>
        <w:t xml:space="preserve">Radiocommunications Legislation (2019 Measures No.1) Instrument 2019 </w:t>
      </w:r>
      <w:r w:rsidR="00F36F7F" w:rsidRPr="00F36F7F">
        <w:rPr>
          <w:rFonts w:ascii="Times New Roman" w:hAnsi="Times New Roman" w:cs="Times New Roman"/>
          <w:iCs/>
        </w:rPr>
        <w:t>(</w:t>
      </w:r>
      <w:r w:rsidR="00F36F7F" w:rsidRPr="00F36F7F">
        <w:rPr>
          <w:rFonts w:ascii="Times New Roman" w:hAnsi="Times New Roman" w:cs="Times New Roman"/>
          <w:b/>
          <w:bCs/>
          <w:iCs/>
        </w:rPr>
        <w:t>Measures Instrument</w:t>
      </w:r>
      <w:r w:rsidR="00F36F7F" w:rsidRPr="00F36F7F">
        <w:rPr>
          <w:rFonts w:ascii="Times New Roman" w:hAnsi="Times New Roman" w:cs="Times New Roman"/>
          <w:iCs/>
        </w:rPr>
        <w:t>)</w:t>
      </w:r>
      <w:r w:rsidR="00F36F7F">
        <w:rPr>
          <w:rFonts w:ascii="Times New Roman" w:hAnsi="Times New Roman" w:cs="Times New Roman"/>
          <w:i/>
        </w:rPr>
        <w:t xml:space="preserve"> </w:t>
      </w:r>
      <w:r>
        <w:rPr>
          <w:rFonts w:ascii="Times New Roman" w:hAnsi="Times New Roman" w:cs="Times New Roman"/>
        </w:rPr>
        <w:t>on its website. The consultation paper invited comments on the proposed AWL type</w:t>
      </w:r>
      <w:r w:rsidR="00B37C4A">
        <w:rPr>
          <w:rFonts w:ascii="Times New Roman" w:hAnsi="Times New Roman" w:cs="Times New Roman"/>
        </w:rPr>
        <w:t>s</w:t>
      </w:r>
      <w:r>
        <w:rPr>
          <w:rFonts w:ascii="Times New Roman" w:hAnsi="Times New Roman" w:cs="Times New Roman"/>
        </w:rPr>
        <w:t xml:space="preserve"> and the Determination that would </w:t>
      </w:r>
      <w:r w:rsidR="00B37C4A">
        <w:rPr>
          <w:rFonts w:ascii="Times New Roman" w:hAnsi="Times New Roman" w:cs="Times New Roman"/>
        </w:rPr>
        <w:t>facilitate them</w:t>
      </w:r>
      <w:r>
        <w:rPr>
          <w:rFonts w:ascii="Times New Roman" w:hAnsi="Times New Roman" w:cs="Times New Roman"/>
        </w:rPr>
        <w:t xml:space="preserve">.  </w:t>
      </w:r>
    </w:p>
    <w:p w14:paraId="16F83273" w14:textId="7FB1141C" w:rsidR="00BA75DB" w:rsidRDefault="00BA75DB" w:rsidP="00BA75DB">
      <w:pPr>
        <w:rPr>
          <w:rFonts w:ascii="Times New Roman" w:hAnsi="Times New Roman" w:cs="Times New Roman"/>
        </w:rPr>
      </w:pPr>
      <w:r w:rsidRPr="00AE6C45">
        <w:rPr>
          <w:rFonts w:ascii="Times New Roman" w:hAnsi="Times New Roman" w:cs="Times New Roman"/>
        </w:rPr>
        <w:t>The ACMA received submissions from 19 submitters</w:t>
      </w:r>
      <w:r w:rsidR="004F633F">
        <w:rPr>
          <w:rFonts w:ascii="Times New Roman" w:hAnsi="Times New Roman" w:cs="Times New Roman"/>
        </w:rPr>
        <w:t xml:space="preserve">. </w:t>
      </w:r>
      <w:r w:rsidRPr="00AE6C45">
        <w:rPr>
          <w:rFonts w:ascii="Times New Roman" w:hAnsi="Times New Roman" w:cs="Times New Roman"/>
        </w:rPr>
        <w:t xml:space="preserve">Submitters included members of industry, industry peak bodies, and government agencies. </w:t>
      </w:r>
    </w:p>
    <w:p w14:paraId="67E1B5A0" w14:textId="045628E4" w:rsidR="007321EF" w:rsidRDefault="007321EF" w:rsidP="00BA75DB">
      <w:pPr>
        <w:rPr>
          <w:rFonts w:ascii="Times New Roman" w:hAnsi="Times New Roman" w:cs="Times New Roman"/>
        </w:rPr>
      </w:pPr>
      <w:r w:rsidRPr="00D17FAD">
        <w:rPr>
          <w:rFonts w:ascii="Times New Roman" w:hAnsi="Times New Roman" w:cs="Times New Roman"/>
        </w:rPr>
        <w:t xml:space="preserve">The consultation paper stated that where the ACMA proposes to use AWLs in a particular band, it expects to consult on additional regulatory changes and administrative documents. These would include draft variations to the Determination to give effect to band-specific schedules. The consultation paper noted that the schedules will likely contain conditions that are specific to AWLs issued in a particular band (for example, technical conditions that vary with the frequency band in which the licence is located). The consultation paper outlined the scope of that type of consultation, including technical arrangements and pricing. The ACMA </w:t>
      </w:r>
      <w:r w:rsidR="00FE500B">
        <w:rPr>
          <w:rFonts w:ascii="Times New Roman" w:hAnsi="Times New Roman" w:cs="Times New Roman"/>
        </w:rPr>
        <w:t xml:space="preserve">also proposes to publish </w:t>
      </w:r>
      <w:r w:rsidRPr="00D17FAD">
        <w:rPr>
          <w:rFonts w:ascii="Times New Roman" w:hAnsi="Times New Roman" w:cs="Times New Roman"/>
        </w:rPr>
        <w:t>an implementation paper setting out its approach to introducing AWLs in a specific band (</w:t>
      </w:r>
      <w:r w:rsidRPr="00D17FAD">
        <w:rPr>
          <w:rFonts w:ascii="Times New Roman" w:hAnsi="Times New Roman" w:cs="Times New Roman"/>
          <w:b/>
          <w:bCs/>
        </w:rPr>
        <w:t xml:space="preserve">Area-wide licensing: ACMA approach to introducing </w:t>
      </w:r>
      <w:r w:rsidR="004F633F">
        <w:rPr>
          <w:rFonts w:ascii="Times New Roman" w:hAnsi="Times New Roman" w:cs="Times New Roman"/>
          <w:b/>
          <w:bCs/>
        </w:rPr>
        <w:t>Area Wide Licences</w:t>
      </w:r>
      <w:r w:rsidRPr="00D17FAD">
        <w:rPr>
          <w:rFonts w:ascii="Times New Roman" w:hAnsi="Times New Roman" w:cs="Times New Roman"/>
        </w:rPr>
        <w:t>).</w:t>
      </w:r>
    </w:p>
    <w:p w14:paraId="4DCE32A3" w14:textId="6C809ABB" w:rsidR="007321EF" w:rsidRDefault="001D4996" w:rsidP="007321EF">
      <w:pPr>
        <w:rPr>
          <w:rFonts w:ascii="Times New Roman" w:hAnsi="Times New Roman" w:cs="Times New Roman"/>
        </w:rPr>
      </w:pPr>
      <w:r>
        <w:rPr>
          <w:rFonts w:ascii="Times New Roman" w:hAnsi="Times New Roman" w:cs="Times New Roman"/>
        </w:rPr>
        <w:t>Some submitters raised concerns about interference management and resolution</w:t>
      </w:r>
      <w:r w:rsidR="00B9500B">
        <w:rPr>
          <w:rFonts w:ascii="Times New Roman" w:hAnsi="Times New Roman" w:cs="Times New Roman"/>
        </w:rPr>
        <w:t xml:space="preserve">. </w:t>
      </w:r>
      <w:r w:rsidR="00012B99">
        <w:rPr>
          <w:rFonts w:ascii="Times New Roman" w:hAnsi="Times New Roman" w:cs="Times New Roman"/>
        </w:rPr>
        <w:t xml:space="preserve">One </w:t>
      </w:r>
      <w:r w:rsidR="00B9500B">
        <w:rPr>
          <w:rFonts w:ascii="Times New Roman" w:hAnsi="Times New Roman" w:cs="Times New Roman"/>
        </w:rPr>
        <w:t xml:space="preserve">concern related </w:t>
      </w:r>
      <w:r w:rsidR="007321EF">
        <w:rPr>
          <w:rFonts w:ascii="Times New Roman" w:hAnsi="Times New Roman" w:cs="Times New Roman"/>
        </w:rPr>
        <w:t>to</w:t>
      </w:r>
      <w:r w:rsidR="007321EF" w:rsidRPr="00A42D58">
        <w:rPr>
          <w:rFonts w:ascii="Times New Roman" w:hAnsi="Times New Roman" w:cs="Times New Roman"/>
        </w:rPr>
        <w:t xml:space="preserve"> </w:t>
      </w:r>
      <w:r w:rsidR="007321EF" w:rsidRPr="002E008D">
        <w:rPr>
          <w:rFonts w:ascii="Times New Roman" w:hAnsi="Times New Roman" w:cs="Times New Roman"/>
          <w:szCs w:val="20"/>
        </w:rPr>
        <w:t>the</w:t>
      </w:r>
      <w:r w:rsidR="007321EF" w:rsidRPr="00A42D58">
        <w:rPr>
          <w:rFonts w:ascii="Times New Roman" w:hAnsi="Times New Roman" w:cs="Times New Roman"/>
        </w:rPr>
        <w:t xml:space="preserve"> </w:t>
      </w:r>
      <w:r w:rsidR="007321EF" w:rsidRPr="007A1581">
        <w:rPr>
          <w:rFonts w:ascii="Times New Roman" w:hAnsi="Times New Roman" w:cs="Times New Roman"/>
        </w:rPr>
        <w:t xml:space="preserve">request for information condition </w:t>
      </w:r>
      <w:r w:rsidR="007321EF">
        <w:rPr>
          <w:rFonts w:ascii="Times New Roman" w:hAnsi="Times New Roman" w:cs="Times New Roman"/>
        </w:rPr>
        <w:t xml:space="preserve">in section 7 of the Determination </w:t>
      </w:r>
      <w:r w:rsidR="007321EF" w:rsidRPr="007A1581">
        <w:rPr>
          <w:rFonts w:ascii="Times New Roman" w:hAnsi="Times New Roman" w:cs="Times New Roman"/>
        </w:rPr>
        <w:t xml:space="preserve">and the process for requesting and maintaining the information about </w:t>
      </w:r>
      <w:r w:rsidR="007321EF">
        <w:rPr>
          <w:rFonts w:ascii="Times New Roman" w:hAnsi="Times New Roman" w:cs="Times New Roman"/>
        </w:rPr>
        <w:t>area-wide stations</w:t>
      </w:r>
      <w:r w:rsidR="007321EF" w:rsidRPr="007A1581">
        <w:rPr>
          <w:rFonts w:ascii="Times New Roman" w:hAnsi="Times New Roman" w:cs="Times New Roman"/>
        </w:rPr>
        <w:t xml:space="preserve">. </w:t>
      </w:r>
      <w:r w:rsidR="007321EF">
        <w:rPr>
          <w:rFonts w:ascii="Times New Roman" w:hAnsi="Times New Roman" w:cs="Times New Roman"/>
        </w:rPr>
        <w:t>One submitter queried why mobile stations are exempted. Another suggested that the amount of information that can be requested is not adequate and of the information that can be requ</w:t>
      </w:r>
      <w:r w:rsidR="009076CA">
        <w:rPr>
          <w:rFonts w:ascii="Times New Roman" w:hAnsi="Times New Roman" w:cs="Times New Roman"/>
        </w:rPr>
        <w:t>est</w:t>
      </w:r>
      <w:r w:rsidR="007321EF">
        <w:rPr>
          <w:rFonts w:ascii="Times New Roman" w:hAnsi="Times New Roman" w:cs="Times New Roman"/>
        </w:rPr>
        <w:t>ed it is not clear what the requisite level of detail is. One submitter</w:t>
      </w:r>
      <w:r w:rsidR="007321EF" w:rsidRPr="007A1581">
        <w:rPr>
          <w:rFonts w:ascii="Times New Roman" w:hAnsi="Times New Roman" w:cs="Times New Roman"/>
        </w:rPr>
        <w:t xml:space="preserve"> acknowledged that </w:t>
      </w:r>
      <w:r w:rsidR="007321EF">
        <w:rPr>
          <w:rFonts w:ascii="Times New Roman" w:hAnsi="Times New Roman" w:cs="Times New Roman"/>
        </w:rPr>
        <w:t xml:space="preserve">while the information provision </w:t>
      </w:r>
      <w:r w:rsidR="007321EF" w:rsidRPr="007A1581">
        <w:rPr>
          <w:rFonts w:ascii="Times New Roman" w:hAnsi="Times New Roman" w:cs="Times New Roman"/>
        </w:rPr>
        <w:t>will ‘aid in the management and resolution of interference issues’,</w:t>
      </w:r>
      <w:r w:rsidR="00665EF6">
        <w:rPr>
          <w:rFonts w:ascii="Times New Roman" w:hAnsi="Times New Roman" w:cs="Times New Roman"/>
        </w:rPr>
        <w:t xml:space="preserve"> it </w:t>
      </w:r>
      <w:r w:rsidR="00665EF6" w:rsidRPr="007A1581">
        <w:rPr>
          <w:rFonts w:ascii="Times New Roman" w:hAnsi="Times New Roman" w:cs="Times New Roman"/>
        </w:rPr>
        <w:t>‘is unlikely to provide the same degree of legal certainty that the ACMA’s register provides’</w:t>
      </w:r>
      <w:r w:rsidR="00665EF6">
        <w:rPr>
          <w:rFonts w:ascii="Times New Roman" w:hAnsi="Times New Roman" w:cs="Times New Roman"/>
        </w:rPr>
        <w:t>, and</w:t>
      </w:r>
      <w:r w:rsidR="007321EF">
        <w:rPr>
          <w:rFonts w:ascii="Times New Roman" w:hAnsi="Times New Roman" w:cs="Times New Roman"/>
        </w:rPr>
        <w:t xml:space="preserve"> there is a risk that</w:t>
      </w:r>
      <w:r w:rsidR="007321EF" w:rsidRPr="007A1581">
        <w:rPr>
          <w:rFonts w:ascii="Times New Roman" w:hAnsi="Times New Roman" w:cs="Times New Roman"/>
        </w:rPr>
        <w:t xml:space="preserve"> if licensees ask information of each other this will slow down resolution processes</w:t>
      </w:r>
      <w:r w:rsidR="00665EF6">
        <w:rPr>
          <w:rFonts w:ascii="Times New Roman" w:hAnsi="Times New Roman" w:cs="Times New Roman"/>
        </w:rPr>
        <w:t xml:space="preserve">. </w:t>
      </w:r>
    </w:p>
    <w:p w14:paraId="7A7968F5" w14:textId="77777777" w:rsidR="007321EF" w:rsidRPr="0065255A" w:rsidRDefault="007321EF" w:rsidP="007321EF">
      <w:pPr>
        <w:rPr>
          <w:rFonts w:ascii="Times New Roman" w:hAnsi="Times New Roman" w:cs="Times New Roman"/>
        </w:rPr>
      </w:pPr>
      <w:r>
        <w:rPr>
          <w:rFonts w:ascii="Times New Roman" w:hAnsi="Times New Roman" w:cs="Times New Roman"/>
        </w:rPr>
        <w:t>The ACMA formed the view that the information provision arrangements in the draft Determination are adequate. The information provision provides another means for managing and resolving interference issues in addition to the technical analysis that will be done each time AWLs are rolled out in a band.</w:t>
      </w:r>
      <w:r w:rsidRPr="001449E0">
        <w:rPr>
          <w:rStyle w:val="FootnoteReference"/>
          <w:rFonts w:ascii="Times New Roman" w:hAnsi="Times New Roman" w:cs="Times New Roman"/>
        </w:rPr>
        <w:t xml:space="preserve"> </w:t>
      </w:r>
      <w:r w:rsidRPr="00FE4240">
        <w:rPr>
          <w:rStyle w:val="FootnoteReference"/>
          <w:rFonts w:ascii="Times New Roman" w:hAnsi="Times New Roman" w:cs="Times New Roman"/>
        </w:rPr>
        <w:footnoteReference w:id="2"/>
      </w:r>
      <w:r>
        <w:rPr>
          <w:rFonts w:ascii="Times New Roman" w:hAnsi="Times New Roman" w:cs="Times New Roman"/>
        </w:rPr>
        <w:t xml:space="preserve"> Regarding the exemption of mobile stations from the information provision, it is not practical to provide location details for radiocommunications devices that are portable. In terms of </w:t>
      </w:r>
      <w:r w:rsidRPr="0065255A">
        <w:rPr>
          <w:rFonts w:ascii="Times New Roman" w:hAnsi="Times New Roman" w:cs="Times New Roman"/>
        </w:rPr>
        <w:t xml:space="preserve">interference, mobile devices are also generally low-risk devices. </w:t>
      </w:r>
    </w:p>
    <w:p w14:paraId="14C7B36D" w14:textId="57F8C744" w:rsidR="006722CE" w:rsidRPr="0065255A" w:rsidRDefault="007321EF" w:rsidP="006722CE">
      <w:pPr>
        <w:rPr>
          <w:rFonts w:ascii="Times New Roman" w:hAnsi="Times New Roman" w:cs="Times New Roman"/>
          <w:szCs w:val="20"/>
        </w:rPr>
      </w:pPr>
      <w:r w:rsidRPr="0065255A">
        <w:rPr>
          <w:rFonts w:ascii="Times New Roman" w:hAnsi="Times New Roman" w:cs="Times New Roman"/>
        </w:rPr>
        <w:t xml:space="preserve">Another concern related </w:t>
      </w:r>
      <w:r w:rsidR="00B9500B" w:rsidRPr="0065255A">
        <w:rPr>
          <w:rFonts w:ascii="Times New Roman" w:hAnsi="Times New Roman" w:cs="Times New Roman"/>
        </w:rPr>
        <w:t xml:space="preserve">to the proposed amendments to </w:t>
      </w:r>
      <w:r w:rsidR="00B9500B" w:rsidRPr="00547E40">
        <w:rPr>
          <w:rFonts w:ascii="Times New Roman" w:hAnsi="Times New Roman" w:cs="Times New Roman"/>
          <w:szCs w:val="20"/>
        </w:rPr>
        <w:t>RRL Determination</w:t>
      </w:r>
      <w:r w:rsidR="00B9500B" w:rsidRPr="0065255A">
        <w:rPr>
          <w:rFonts w:ascii="Times New Roman" w:hAnsi="Times New Roman" w:cs="Times New Roman"/>
          <w:szCs w:val="20"/>
        </w:rPr>
        <w:t xml:space="preserve"> in the Measures Instrument</w:t>
      </w:r>
      <w:r w:rsidRPr="0065255A">
        <w:rPr>
          <w:rFonts w:ascii="Times New Roman" w:hAnsi="Times New Roman" w:cs="Times New Roman"/>
          <w:szCs w:val="20"/>
        </w:rPr>
        <w:t xml:space="preserve">, which would </w:t>
      </w:r>
      <w:r w:rsidRPr="0065255A">
        <w:rPr>
          <w:rFonts w:ascii="Times New Roman" w:hAnsi="Times New Roman" w:cs="Times New Roman"/>
        </w:rPr>
        <w:t xml:space="preserve">amend the </w:t>
      </w:r>
      <w:r w:rsidR="00DB1DEE">
        <w:rPr>
          <w:rFonts w:ascii="Times New Roman" w:hAnsi="Times New Roman" w:cs="Times New Roman"/>
        </w:rPr>
        <w:t>Register</w:t>
      </w:r>
      <w:r w:rsidRPr="0065255A">
        <w:rPr>
          <w:rFonts w:ascii="Times New Roman" w:hAnsi="Times New Roman" w:cs="Times New Roman"/>
        </w:rPr>
        <w:t xml:space="preserve"> </w:t>
      </w:r>
      <w:r w:rsidRPr="0065255A">
        <w:rPr>
          <w:rFonts w:ascii="Times New Roman" w:hAnsi="Times New Roman" w:cs="Times New Roman"/>
          <w:szCs w:val="20"/>
        </w:rPr>
        <w:t xml:space="preserve">so that licensees are only required to include details about devices authorised under an AWL if a condition applies to the licence that requires the device(s) to be registered. </w:t>
      </w:r>
      <w:r w:rsidR="007F0F36" w:rsidRPr="00002E2D">
        <w:rPr>
          <w:rFonts w:ascii="Times New Roman" w:hAnsi="Times New Roman" w:cs="Times New Roman"/>
        </w:rPr>
        <w:t xml:space="preserve">The key reason  for reducing device registration requirements </w:t>
      </w:r>
      <w:r w:rsidR="007F0F36" w:rsidRPr="00002E2D">
        <w:rPr>
          <w:rFonts w:ascii="Times New Roman" w:hAnsi="Times New Roman" w:cs="Times New Roman"/>
          <w:szCs w:val="20"/>
        </w:rPr>
        <w:t xml:space="preserve">is because AWLs </w:t>
      </w:r>
      <w:r w:rsidR="007F0F36" w:rsidRPr="00002E2D">
        <w:rPr>
          <w:rFonts w:ascii="Times New Roman" w:hAnsi="Times New Roman" w:cs="Times New Roman"/>
        </w:rPr>
        <w:t xml:space="preserve">will </w:t>
      </w:r>
      <w:r w:rsidR="007F0F36" w:rsidRPr="00002E2D">
        <w:rPr>
          <w:rFonts w:ascii="Times New Roman" w:hAnsi="Times New Roman" w:cs="Times New Roman"/>
        </w:rPr>
        <w:lastRenderedPageBreak/>
        <w:t>authorise access within a defined frequency range and geographic area, and will include conditions at the frequency and area boundaries to manage interference, so there is a reduced requirement for full device registration in comparison to other site-based apparatus licence types</w:t>
      </w:r>
      <w:r w:rsidR="007F0F36">
        <w:rPr>
          <w:rFonts w:ascii="Times New Roman" w:hAnsi="Times New Roman" w:cs="Times New Roman"/>
          <w:szCs w:val="20"/>
        </w:rPr>
        <w:t>.</w:t>
      </w:r>
    </w:p>
    <w:p w14:paraId="00CE9954" w14:textId="1F73E830" w:rsidR="00BA75DB" w:rsidRDefault="006722CE" w:rsidP="006722CE">
      <w:pPr>
        <w:rPr>
          <w:rFonts w:ascii="Times New Roman" w:hAnsi="Times New Roman" w:cs="Times New Roman"/>
        </w:rPr>
      </w:pPr>
      <w:r>
        <w:rPr>
          <w:rFonts w:ascii="Times New Roman" w:hAnsi="Times New Roman" w:cs="Times New Roman"/>
        </w:rPr>
        <w:t xml:space="preserve">If, when considering the implementation of AWLs in a particular band, the ACMA identifies that it would be desirable for information about </w:t>
      </w:r>
      <w:r w:rsidR="00290735">
        <w:rPr>
          <w:rFonts w:ascii="Times New Roman" w:hAnsi="Times New Roman" w:cs="Times New Roman"/>
        </w:rPr>
        <w:t xml:space="preserve">area-wide </w:t>
      </w:r>
      <w:r>
        <w:rPr>
          <w:rFonts w:ascii="Times New Roman" w:hAnsi="Times New Roman" w:cs="Times New Roman"/>
        </w:rPr>
        <w:t xml:space="preserve">stations to be widely available without the need to directly approach a licensee, the ACMA </w:t>
      </w:r>
      <w:r w:rsidR="009F6283">
        <w:rPr>
          <w:rFonts w:ascii="Times New Roman" w:hAnsi="Times New Roman" w:cs="Times New Roman"/>
        </w:rPr>
        <w:t>may</w:t>
      </w:r>
      <w:r>
        <w:rPr>
          <w:rFonts w:ascii="Times New Roman" w:hAnsi="Times New Roman" w:cs="Times New Roman"/>
        </w:rPr>
        <w:t xml:space="preserve"> consider </w:t>
      </w:r>
      <w:r w:rsidR="009F6283">
        <w:rPr>
          <w:rFonts w:ascii="Times New Roman" w:hAnsi="Times New Roman" w:cs="Times New Roman"/>
        </w:rPr>
        <w:t xml:space="preserve">whether to </w:t>
      </w:r>
      <w:r>
        <w:rPr>
          <w:rFonts w:ascii="Times New Roman" w:hAnsi="Times New Roman" w:cs="Times New Roman"/>
        </w:rPr>
        <w:t>vary</w:t>
      </w:r>
      <w:r w:rsidR="009F6283">
        <w:rPr>
          <w:rFonts w:ascii="Times New Roman" w:hAnsi="Times New Roman" w:cs="Times New Roman"/>
        </w:rPr>
        <w:t xml:space="preserve"> </w:t>
      </w:r>
      <w:r>
        <w:rPr>
          <w:rFonts w:ascii="Times New Roman" w:hAnsi="Times New Roman" w:cs="Times New Roman"/>
        </w:rPr>
        <w:t>the Determination such that the relevant band-specific schedule requires the registration of relevant radiocommunications transmitters.</w:t>
      </w:r>
    </w:p>
    <w:p w14:paraId="10DCDCE6" w14:textId="4AC4D0CB" w:rsidR="00BA75DB" w:rsidRDefault="00BA75DB" w:rsidP="00BA75DB">
      <w:pPr>
        <w:rPr>
          <w:rFonts w:ascii="Times New Roman" w:hAnsi="Times New Roman" w:cs="Times New Roman"/>
        </w:rPr>
      </w:pPr>
      <w:r w:rsidRPr="002C520F">
        <w:rPr>
          <w:rFonts w:ascii="Times New Roman" w:hAnsi="Times New Roman" w:cs="Times New Roman"/>
        </w:rPr>
        <w:t xml:space="preserve">The ACMA considered all relevant issues raised </w:t>
      </w:r>
      <w:r w:rsidR="00E754D7">
        <w:rPr>
          <w:rFonts w:ascii="Times New Roman" w:hAnsi="Times New Roman" w:cs="Times New Roman"/>
        </w:rPr>
        <w:t>by the sub</w:t>
      </w:r>
      <w:r w:rsidR="00DC733D">
        <w:rPr>
          <w:rFonts w:ascii="Times New Roman" w:hAnsi="Times New Roman" w:cs="Times New Roman"/>
        </w:rPr>
        <w:t>m</w:t>
      </w:r>
      <w:r w:rsidR="00E754D7">
        <w:rPr>
          <w:rFonts w:ascii="Times New Roman" w:hAnsi="Times New Roman" w:cs="Times New Roman"/>
        </w:rPr>
        <w:t xml:space="preserve">issions </w:t>
      </w:r>
      <w:r w:rsidRPr="002C520F">
        <w:rPr>
          <w:rFonts w:ascii="Times New Roman" w:hAnsi="Times New Roman" w:cs="Times New Roman"/>
        </w:rPr>
        <w:t>when making the Determination.</w:t>
      </w:r>
    </w:p>
    <w:p w14:paraId="04130B92" w14:textId="77777777" w:rsidR="00BA75DB" w:rsidRPr="000C5CC4" w:rsidRDefault="00BA75DB" w:rsidP="00BA75DB">
      <w:pPr>
        <w:spacing w:after="40"/>
        <w:rPr>
          <w:rFonts w:ascii="Times New Roman" w:hAnsi="Times New Roman" w:cs="Times New Roman"/>
        </w:rPr>
      </w:pPr>
    </w:p>
    <w:p w14:paraId="69AF9EDD" w14:textId="77777777" w:rsidR="00BA75DB" w:rsidRDefault="00BA75DB" w:rsidP="00BA75DB">
      <w:pPr>
        <w:rPr>
          <w:rFonts w:ascii="Times New Roman" w:hAnsi="Times New Roman" w:cs="Times New Roman"/>
          <w:b/>
        </w:rPr>
      </w:pPr>
      <w:r>
        <w:rPr>
          <w:rFonts w:ascii="Times New Roman" w:hAnsi="Times New Roman" w:cs="Times New Roman"/>
          <w:b/>
        </w:rPr>
        <w:t xml:space="preserve">Regulatory impact </w:t>
      </w:r>
    </w:p>
    <w:p w14:paraId="116E7D09" w14:textId="61B42FB5" w:rsidR="00BA75DB" w:rsidRDefault="00BA75DB" w:rsidP="00BA75DB">
      <w:pPr>
        <w:rPr>
          <w:rFonts w:ascii="Times New Roman" w:hAnsi="Times New Roman" w:cs="Times New Roman"/>
        </w:rPr>
      </w:pPr>
      <w:r w:rsidRPr="002C520F">
        <w:rPr>
          <w:rFonts w:ascii="Times New Roman" w:hAnsi="Times New Roman" w:cs="Times New Roman"/>
        </w:rPr>
        <w:t>The ACMA consulted with the Office of Best Practice Regulation (the OBPR) on the requirement for a Regulation Impact Statement (RIS). The OBPR advised that the</w:t>
      </w:r>
      <w:r>
        <w:rPr>
          <w:rFonts w:ascii="Times New Roman" w:hAnsi="Times New Roman" w:cs="Times New Roman"/>
        </w:rPr>
        <w:t xml:space="preserve"> proposed</w:t>
      </w:r>
      <w:r w:rsidRPr="002C520F">
        <w:rPr>
          <w:rFonts w:ascii="Times New Roman" w:hAnsi="Times New Roman" w:cs="Times New Roman"/>
        </w:rPr>
        <w:t xml:space="preserve"> Determination</w:t>
      </w:r>
      <w:r w:rsidR="0051503B">
        <w:rPr>
          <w:rFonts w:ascii="Times New Roman" w:hAnsi="Times New Roman" w:cs="Times New Roman"/>
        </w:rPr>
        <w:t xml:space="preserve"> and Measures Instrument</w:t>
      </w:r>
      <w:r w:rsidRPr="002C520F">
        <w:rPr>
          <w:rFonts w:ascii="Times New Roman" w:hAnsi="Times New Roman" w:cs="Times New Roman"/>
        </w:rPr>
        <w:t xml:space="preserve"> </w:t>
      </w:r>
      <w:r>
        <w:rPr>
          <w:rFonts w:ascii="Times New Roman" w:hAnsi="Times New Roman" w:cs="Times New Roman"/>
        </w:rPr>
        <w:t xml:space="preserve">do not </w:t>
      </w:r>
      <w:r w:rsidRPr="00C022DB">
        <w:rPr>
          <w:rFonts w:ascii="Times New Roman" w:hAnsi="Times New Roman" w:cs="Times New Roman"/>
        </w:rPr>
        <w:t>appear to have a more than minor regulatory impact on business, community organisations or individuals</w:t>
      </w:r>
      <w:r w:rsidR="0051503B">
        <w:rPr>
          <w:rFonts w:ascii="Times New Roman" w:hAnsi="Times New Roman" w:cs="Times New Roman"/>
        </w:rPr>
        <w:t xml:space="preserve"> and</w:t>
      </w:r>
      <w:r w:rsidRPr="00C022DB">
        <w:rPr>
          <w:rFonts w:ascii="Times New Roman" w:hAnsi="Times New Roman" w:cs="Times New Roman"/>
        </w:rPr>
        <w:t xml:space="preserve"> a RIS</w:t>
      </w:r>
      <w:r>
        <w:rPr>
          <w:rFonts w:ascii="Times New Roman" w:hAnsi="Times New Roman" w:cs="Times New Roman"/>
        </w:rPr>
        <w:t xml:space="preserve"> is not required. </w:t>
      </w:r>
    </w:p>
    <w:p w14:paraId="56BF7DE9" w14:textId="77777777" w:rsidR="00BA75DB" w:rsidRDefault="00BA75DB" w:rsidP="00BA75DB">
      <w:pPr>
        <w:rPr>
          <w:rFonts w:ascii="Times New Roman" w:hAnsi="Times New Roman" w:cs="Times New Roman"/>
        </w:rPr>
      </w:pPr>
      <w:r w:rsidRPr="002C520F">
        <w:rPr>
          <w:rFonts w:ascii="Times New Roman" w:hAnsi="Times New Roman" w:cs="Times New Roman"/>
        </w:rPr>
        <w:t xml:space="preserve">The reference number for the OBPR’s assessment </w:t>
      </w:r>
      <w:r>
        <w:rPr>
          <w:rFonts w:ascii="Times New Roman" w:hAnsi="Times New Roman" w:cs="Times New Roman"/>
        </w:rPr>
        <w:t>is 25196.</w:t>
      </w:r>
    </w:p>
    <w:p w14:paraId="0B4E43F7" w14:textId="589719B4" w:rsidR="00BA75DB" w:rsidRPr="00002521" w:rsidRDefault="00BA75DB" w:rsidP="00BA75DB">
      <w:pPr>
        <w:spacing w:line="360" w:lineRule="auto"/>
        <w:outlineLvl w:val="0"/>
        <w:rPr>
          <w:rFonts w:ascii="Times New Roman" w:hAnsi="Times New Roman" w:cs="Times New Roman"/>
          <w:b/>
        </w:rPr>
      </w:pPr>
      <w:r w:rsidRPr="00002521">
        <w:rPr>
          <w:rFonts w:ascii="Times New Roman" w:hAnsi="Times New Roman" w:cs="Times New Roman"/>
          <w:b/>
        </w:rPr>
        <w:t xml:space="preserve">Detailed </w:t>
      </w:r>
      <w:r w:rsidR="0051503B">
        <w:rPr>
          <w:rFonts w:ascii="Times New Roman" w:hAnsi="Times New Roman" w:cs="Times New Roman"/>
          <w:b/>
        </w:rPr>
        <w:t>d</w:t>
      </w:r>
      <w:r w:rsidRPr="00002521">
        <w:rPr>
          <w:rFonts w:ascii="Times New Roman" w:hAnsi="Times New Roman" w:cs="Times New Roman"/>
          <w:b/>
        </w:rPr>
        <w:t>escription of the Determination</w:t>
      </w:r>
    </w:p>
    <w:p w14:paraId="549218EC" w14:textId="77777777" w:rsidR="00BA75DB" w:rsidRPr="00002521" w:rsidRDefault="00BA75DB" w:rsidP="00BA75DB">
      <w:pPr>
        <w:outlineLvl w:val="0"/>
        <w:rPr>
          <w:rFonts w:ascii="Times New Roman" w:hAnsi="Times New Roman" w:cs="Times New Roman"/>
        </w:rPr>
      </w:pPr>
      <w:r w:rsidRPr="00002521">
        <w:rPr>
          <w:rFonts w:ascii="Times New Roman" w:hAnsi="Times New Roman" w:cs="Times New Roman"/>
        </w:rPr>
        <w:t xml:space="preserve">Details of the Determination are set out in </w:t>
      </w:r>
      <w:r w:rsidRPr="00002521">
        <w:rPr>
          <w:rFonts w:ascii="Times New Roman" w:hAnsi="Times New Roman" w:cs="Times New Roman"/>
          <w:b/>
        </w:rPr>
        <w:t>Attachment A</w:t>
      </w:r>
      <w:r w:rsidRPr="00002521">
        <w:rPr>
          <w:rFonts w:ascii="Times New Roman" w:hAnsi="Times New Roman" w:cs="Times New Roman"/>
        </w:rPr>
        <w:t>.</w:t>
      </w:r>
    </w:p>
    <w:p w14:paraId="03D2E670" w14:textId="77777777" w:rsidR="00BA75DB" w:rsidRDefault="00BA75DB" w:rsidP="00BA75DB">
      <w:pPr>
        <w:rPr>
          <w:rFonts w:ascii="Times New Roman" w:hAnsi="Times New Roman" w:cs="Times New Roman"/>
          <w:b/>
        </w:rPr>
      </w:pPr>
      <w:r>
        <w:rPr>
          <w:rFonts w:ascii="Times New Roman" w:hAnsi="Times New Roman" w:cs="Times New Roman"/>
          <w:b/>
        </w:rPr>
        <w:t>Statement of compatibility with human rights</w:t>
      </w:r>
    </w:p>
    <w:p w14:paraId="4CDEFBDA" w14:textId="77777777" w:rsidR="00BA75DB" w:rsidRPr="00D827C2" w:rsidRDefault="00BA75DB" w:rsidP="00BA75DB">
      <w:pPr>
        <w:shd w:val="clear" w:color="auto" w:fill="FFFFFF"/>
        <w:spacing w:after="240" w:line="240" w:lineRule="auto"/>
        <w:jc w:val="both"/>
        <w:rPr>
          <w:rFonts w:ascii="Times New Roman" w:eastAsia="Times New Roman" w:hAnsi="Times New Roman" w:cs="Times New Roman"/>
          <w:color w:val="000000"/>
          <w:sz w:val="24"/>
          <w:szCs w:val="24"/>
          <w:lang w:eastAsia="en-AU"/>
        </w:rPr>
      </w:pPr>
      <w:r w:rsidRPr="00D827C2">
        <w:rPr>
          <w:rFonts w:ascii="Times New Roman" w:eastAsia="Times New Roman" w:hAnsi="Times New Roman" w:cs="Times New Roman"/>
          <w:color w:val="000000"/>
          <w:lang w:eastAsia="en-AU"/>
        </w:rPr>
        <w:t xml:space="preserve">The ACMA has assessed whether the </w:t>
      </w:r>
      <w:r>
        <w:rPr>
          <w:rFonts w:ascii="Times New Roman" w:eastAsia="Times New Roman" w:hAnsi="Times New Roman" w:cs="Times New Roman"/>
          <w:color w:val="000000"/>
          <w:lang w:eastAsia="en-AU"/>
        </w:rPr>
        <w:t>Determination</w:t>
      </w:r>
      <w:r w:rsidRPr="00D827C2">
        <w:rPr>
          <w:rFonts w:ascii="Times New Roman" w:eastAsia="Times New Roman" w:hAnsi="Times New Roman" w:cs="Times New Roman"/>
          <w:color w:val="000000"/>
          <w:lang w:eastAsia="en-AU"/>
        </w:rPr>
        <w:t xml:space="preserve"> is compatible with human rights, being the rights and freedoms recognised or declared by the international instruments listed in subsection 3(1) of the </w:t>
      </w:r>
      <w:r w:rsidRPr="00D827C2">
        <w:rPr>
          <w:rFonts w:ascii="Times New Roman" w:eastAsia="Times New Roman" w:hAnsi="Times New Roman" w:cs="Times New Roman"/>
          <w:i/>
          <w:iCs/>
          <w:color w:val="000000"/>
          <w:lang w:eastAsia="en-AU"/>
        </w:rPr>
        <w:t>Human Rights (Parliamentary Scrutiny) Act 2011</w:t>
      </w:r>
      <w:r w:rsidRPr="00D827C2">
        <w:rPr>
          <w:rFonts w:ascii="Times New Roman" w:eastAsia="Times New Roman" w:hAnsi="Times New Roman" w:cs="Times New Roman"/>
          <w:color w:val="000000"/>
          <w:lang w:eastAsia="en-AU"/>
        </w:rPr>
        <w:t> as they apply to Australia.</w:t>
      </w:r>
    </w:p>
    <w:p w14:paraId="2170B7A2" w14:textId="77777777" w:rsidR="00BA75DB" w:rsidRPr="00D827C2" w:rsidRDefault="00BA75DB" w:rsidP="00BA75DB">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D827C2">
        <w:rPr>
          <w:rFonts w:ascii="Times New Roman" w:eastAsia="Times New Roman" w:hAnsi="Times New Roman" w:cs="Times New Roman"/>
          <w:color w:val="000000"/>
          <w:lang w:eastAsia="en-AU"/>
        </w:rPr>
        <w:t xml:space="preserve">Having considered the likely impact of the </w:t>
      </w:r>
      <w:r>
        <w:rPr>
          <w:rFonts w:ascii="Times New Roman" w:eastAsia="Times New Roman" w:hAnsi="Times New Roman" w:cs="Times New Roman"/>
          <w:color w:val="000000"/>
          <w:lang w:eastAsia="en-AU"/>
        </w:rPr>
        <w:t xml:space="preserve">Determination </w:t>
      </w:r>
      <w:r w:rsidRPr="00D827C2">
        <w:rPr>
          <w:rFonts w:ascii="Times New Roman" w:eastAsia="Times New Roman" w:hAnsi="Times New Roman" w:cs="Times New Roman"/>
          <w:color w:val="000000"/>
          <w:lang w:eastAsia="en-AU"/>
        </w:rPr>
        <w:t xml:space="preserve">and the nature of the applicable rights and freedoms, the ACMA has formed the view that the </w:t>
      </w:r>
      <w:r>
        <w:rPr>
          <w:rFonts w:ascii="Times New Roman" w:eastAsia="Times New Roman" w:hAnsi="Times New Roman" w:cs="Times New Roman"/>
          <w:color w:val="000000"/>
          <w:lang w:eastAsia="en-AU"/>
        </w:rPr>
        <w:t>Determination</w:t>
      </w:r>
      <w:r w:rsidRPr="00D827C2">
        <w:rPr>
          <w:rFonts w:ascii="Times New Roman" w:eastAsia="Times New Roman" w:hAnsi="Times New Roman" w:cs="Times New Roman"/>
          <w:color w:val="000000"/>
          <w:lang w:eastAsia="en-AU"/>
        </w:rPr>
        <w:t xml:space="preserve"> does not engage any of those rights or freedoms.</w:t>
      </w:r>
    </w:p>
    <w:p w14:paraId="7C4188BB" w14:textId="77777777" w:rsidR="00BA75DB" w:rsidRDefault="00BA75DB" w:rsidP="00BA75DB">
      <w:pPr>
        <w:rPr>
          <w:rFonts w:ascii="Times New Roman" w:hAnsi="Times New Roman" w:cs="Times New Roman"/>
          <w:b/>
          <w:i/>
        </w:rPr>
      </w:pPr>
      <w:r>
        <w:rPr>
          <w:rFonts w:ascii="Times New Roman" w:hAnsi="Times New Roman" w:cs="Times New Roman"/>
          <w:b/>
          <w:i/>
        </w:rPr>
        <w:t>Conclusion</w:t>
      </w:r>
    </w:p>
    <w:p w14:paraId="61922AB3" w14:textId="231870D2" w:rsidR="00BA75DB" w:rsidRDefault="00BA75DB" w:rsidP="00BA75DB">
      <w:pPr>
        <w:rPr>
          <w:rFonts w:ascii="Times New Roman" w:hAnsi="Times New Roman" w:cs="Times New Roman"/>
        </w:rPr>
      </w:pPr>
      <w:r>
        <w:rPr>
          <w:rFonts w:ascii="Times New Roman" w:hAnsi="Times New Roman" w:cs="Times New Roman"/>
        </w:rPr>
        <w:t>The Determination is compatible with human rights as it does not raise any human rights issues.</w:t>
      </w:r>
    </w:p>
    <w:p w14:paraId="3F7D12AF" w14:textId="77777777" w:rsidR="00BA75DB" w:rsidRDefault="00BA75DB" w:rsidP="00BA75DB">
      <w:pPr>
        <w:rPr>
          <w:rFonts w:ascii="Times New Roman" w:hAnsi="Times New Roman" w:cs="Times New Roman"/>
          <w:b/>
        </w:rPr>
      </w:pPr>
    </w:p>
    <w:p w14:paraId="6061B6EA" w14:textId="3AA95A33" w:rsidR="00BA75DB" w:rsidRDefault="00BA75DB" w:rsidP="00EE6DFA">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Attachment A</w:t>
      </w:r>
    </w:p>
    <w:p w14:paraId="1FB316DC" w14:textId="77777777" w:rsidR="00BA75DB" w:rsidRDefault="00BA75DB" w:rsidP="0051503B">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Pr="00204AD5">
        <w:rPr>
          <w:rFonts w:ascii="Times New Roman" w:hAnsi="Times New Roman" w:cs="Times New Roman"/>
          <w:b/>
          <w:i/>
          <w:sz w:val="28"/>
          <w:szCs w:val="28"/>
        </w:rPr>
        <w:t xml:space="preserve">Radiocommunications </w:t>
      </w:r>
      <w:r>
        <w:rPr>
          <w:rFonts w:ascii="Times New Roman" w:hAnsi="Times New Roman" w:cs="Times New Roman"/>
          <w:b/>
          <w:i/>
          <w:sz w:val="28"/>
          <w:szCs w:val="28"/>
        </w:rPr>
        <w:t>Licence</w:t>
      </w:r>
      <w:r w:rsidRPr="00204AD5">
        <w:rPr>
          <w:rFonts w:ascii="Times New Roman" w:hAnsi="Times New Roman" w:cs="Times New Roman"/>
          <w:b/>
          <w:i/>
          <w:sz w:val="28"/>
          <w:szCs w:val="28"/>
        </w:rPr>
        <w:t xml:space="preserve"> Conditions (Area-Wide </w:t>
      </w:r>
      <w:r>
        <w:rPr>
          <w:rFonts w:ascii="Times New Roman" w:hAnsi="Times New Roman" w:cs="Times New Roman"/>
          <w:b/>
          <w:i/>
          <w:sz w:val="28"/>
          <w:szCs w:val="28"/>
        </w:rPr>
        <w:t>Licence</w:t>
      </w:r>
      <w:r w:rsidRPr="00204AD5">
        <w:rPr>
          <w:rFonts w:ascii="Times New Roman" w:hAnsi="Times New Roman" w:cs="Times New Roman"/>
          <w:b/>
          <w:i/>
          <w:sz w:val="28"/>
          <w:szCs w:val="28"/>
        </w:rPr>
        <w:t>) Determination 20</w:t>
      </w:r>
      <w:r>
        <w:rPr>
          <w:rFonts w:ascii="Times New Roman" w:hAnsi="Times New Roman" w:cs="Times New Roman"/>
          <w:b/>
          <w:i/>
          <w:sz w:val="28"/>
          <w:szCs w:val="28"/>
        </w:rPr>
        <w:t>20</w:t>
      </w:r>
    </w:p>
    <w:p w14:paraId="4B450DCE" w14:textId="77777777" w:rsidR="00BA75DB" w:rsidRDefault="00BA75DB" w:rsidP="00BA75DB">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 of Determination</w:t>
      </w:r>
    </w:p>
    <w:p w14:paraId="332F85C2" w14:textId="77777777" w:rsidR="00BA75DB" w:rsidRDefault="00BA75DB" w:rsidP="00BA75DB">
      <w:pPr>
        <w:rPr>
          <w:rFonts w:ascii="Times New Roman" w:hAnsi="Times New Roman" w:cs="Times New Roman"/>
        </w:rPr>
      </w:pPr>
      <w:r>
        <w:rPr>
          <w:rFonts w:ascii="Times New Roman" w:hAnsi="Times New Roman" w:cs="Times New Roman"/>
        </w:rPr>
        <w:t xml:space="preserve">This section provides for the Determination to be cited as the </w:t>
      </w:r>
      <w:r w:rsidRPr="00FB08C5">
        <w:rPr>
          <w:rFonts w:ascii="Times New Roman" w:hAnsi="Times New Roman" w:cs="Times New Roman"/>
          <w:i/>
        </w:rPr>
        <w:t>Radiocommunications Licence Conditions (Area-Wide Licence) Determination 20</w:t>
      </w:r>
      <w:r>
        <w:rPr>
          <w:rFonts w:ascii="Times New Roman" w:hAnsi="Times New Roman" w:cs="Times New Roman"/>
          <w:i/>
        </w:rPr>
        <w:t>20</w:t>
      </w:r>
      <w:r w:rsidRPr="00FB08C5">
        <w:rPr>
          <w:rFonts w:ascii="Times New Roman" w:hAnsi="Times New Roman" w:cs="Times New Roman"/>
          <w:i/>
        </w:rPr>
        <w:t>.</w:t>
      </w:r>
    </w:p>
    <w:p w14:paraId="412B28DC" w14:textId="77777777" w:rsidR="00BA75DB" w:rsidRDefault="00BA75DB" w:rsidP="00BA75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2FCB6168" w14:textId="38482619" w:rsidR="00BA75DB" w:rsidRDefault="00BA75DB" w:rsidP="00BA75DB">
      <w:pPr>
        <w:rPr>
          <w:rFonts w:ascii="Times New Roman" w:hAnsi="Times New Roman" w:cs="Times New Roman"/>
        </w:rPr>
      </w:pPr>
      <w:r>
        <w:rPr>
          <w:rFonts w:ascii="Times New Roman" w:hAnsi="Times New Roman" w:cs="Times New Roman"/>
        </w:rPr>
        <w:t xml:space="preserve">This section provides for the Determination to commence </w:t>
      </w:r>
      <w:r w:rsidR="00E22359" w:rsidRPr="00E22359">
        <w:rPr>
          <w:rFonts w:ascii="Times New Roman" w:hAnsi="Times New Roman" w:cs="Times New Roman"/>
        </w:rPr>
        <w:t>at the start of the day after it is registered on the Federal Register of Legislation.</w:t>
      </w:r>
    </w:p>
    <w:p w14:paraId="28649252" w14:textId="77777777" w:rsidR="00BA75DB" w:rsidRDefault="00BA75DB" w:rsidP="00BA75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54E2ED4" w14:textId="5E6CBA3C" w:rsidR="00BA75DB" w:rsidRDefault="00BA75DB" w:rsidP="00BA75DB">
      <w:pPr>
        <w:rPr>
          <w:rFonts w:ascii="Times New Roman" w:hAnsi="Times New Roman" w:cs="Times New Roman"/>
        </w:rPr>
      </w:pPr>
      <w:r>
        <w:rPr>
          <w:rFonts w:ascii="Times New Roman" w:hAnsi="Times New Roman" w:cs="Times New Roman"/>
        </w:rPr>
        <w:t xml:space="preserve">This section identifies the provision of the Act that authorises the making of the Determination, namely </w:t>
      </w:r>
      <w:r w:rsidRPr="00EE181F">
        <w:rPr>
          <w:rFonts w:ascii="Times New Roman" w:hAnsi="Times New Roman" w:cs="Times New Roman"/>
        </w:rPr>
        <w:t xml:space="preserve">paragraph </w:t>
      </w:r>
      <w:r>
        <w:rPr>
          <w:rFonts w:ascii="Times New Roman" w:hAnsi="Times New Roman" w:cs="Times New Roman"/>
        </w:rPr>
        <w:t>107(1</w:t>
      </w:r>
      <w:bookmarkStart w:id="0" w:name="_GoBack"/>
      <w:bookmarkEnd w:id="0"/>
      <w:r>
        <w:rPr>
          <w:rFonts w:ascii="Times New Roman" w:hAnsi="Times New Roman" w:cs="Times New Roman"/>
        </w:rPr>
        <w:t>)(f)</w:t>
      </w:r>
      <w:r w:rsidRPr="00EE181F">
        <w:rPr>
          <w:rFonts w:ascii="Times New Roman" w:hAnsi="Times New Roman" w:cs="Times New Roman"/>
        </w:rPr>
        <w:t xml:space="preserve"> of the </w:t>
      </w:r>
      <w:r w:rsidRPr="00EE181F">
        <w:rPr>
          <w:rFonts w:ascii="Times New Roman" w:hAnsi="Times New Roman" w:cs="Times New Roman"/>
          <w:i/>
        </w:rPr>
        <w:t>Radiocommunications Act 1992</w:t>
      </w:r>
      <w:r w:rsidR="0051503B">
        <w:rPr>
          <w:rFonts w:ascii="Times New Roman" w:hAnsi="Times New Roman" w:cs="Times New Roman"/>
          <w:iCs/>
        </w:rPr>
        <w:t>.</w:t>
      </w:r>
    </w:p>
    <w:p w14:paraId="13674918" w14:textId="77777777" w:rsidR="00BA75DB" w:rsidRPr="00E815B1" w:rsidRDefault="00BA75DB" w:rsidP="00BA75DB">
      <w:pPr>
        <w:rPr>
          <w:rFonts w:ascii="Times New Roman" w:hAnsi="Times New Roman" w:cs="Times New Roman"/>
          <w:b/>
          <w:i/>
        </w:rPr>
      </w:pPr>
      <w:r>
        <w:rPr>
          <w:rFonts w:ascii="Times New Roman" w:hAnsi="Times New Roman" w:cs="Times New Roman"/>
          <w:b/>
        </w:rPr>
        <w:t>Section 4</w:t>
      </w:r>
      <w:r>
        <w:rPr>
          <w:rFonts w:ascii="Times New Roman" w:hAnsi="Times New Roman" w:cs="Times New Roman"/>
          <w:b/>
        </w:rPr>
        <w:tab/>
        <w:t>Scope</w:t>
      </w:r>
    </w:p>
    <w:p w14:paraId="7C6BDB88" w14:textId="77777777" w:rsidR="00BA75DB" w:rsidRPr="00737B4F" w:rsidRDefault="00BA75DB" w:rsidP="00BA75DB">
      <w:pPr>
        <w:rPr>
          <w:rFonts w:ascii="Times New Roman" w:hAnsi="Times New Roman" w:cs="Times New Roman"/>
        </w:rPr>
      </w:pPr>
      <w:r w:rsidRPr="00737B4F">
        <w:rPr>
          <w:rFonts w:ascii="Times New Roman" w:hAnsi="Times New Roman" w:cs="Times New Roman"/>
        </w:rPr>
        <w:t xml:space="preserve">Section </w:t>
      </w:r>
      <w:r>
        <w:rPr>
          <w:rFonts w:ascii="Times New Roman" w:hAnsi="Times New Roman" w:cs="Times New Roman"/>
        </w:rPr>
        <w:t>4</w:t>
      </w:r>
      <w:r w:rsidRPr="00737B4F">
        <w:rPr>
          <w:rFonts w:ascii="Times New Roman" w:hAnsi="Times New Roman" w:cs="Times New Roman"/>
        </w:rPr>
        <w:t xml:space="preserve"> provides that </w:t>
      </w:r>
      <w:r>
        <w:rPr>
          <w:rFonts w:ascii="Times New Roman" w:hAnsi="Times New Roman" w:cs="Times New Roman"/>
        </w:rPr>
        <w:t>area-wide</w:t>
      </w:r>
      <w:r w:rsidRPr="00737B4F">
        <w:rPr>
          <w:rFonts w:ascii="Times New Roman" w:hAnsi="Times New Roman" w:cs="Times New Roman"/>
        </w:rPr>
        <w:t xml:space="preserve"> licences are subject to </w:t>
      </w:r>
      <w:r>
        <w:rPr>
          <w:rFonts w:ascii="Times New Roman" w:hAnsi="Times New Roman" w:cs="Times New Roman"/>
        </w:rPr>
        <w:t xml:space="preserve">the </w:t>
      </w:r>
      <w:r w:rsidRPr="00737B4F">
        <w:rPr>
          <w:rFonts w:ascii="Times New Roman" w:hAnsi="Times New Roman" w:cs="Times New Roman"/>
        </w:rPr>
        <w:t xml:space="preserve">condition set out in </w:t>
      </w:r>
      <w:r>
        <w:rPr>
          <w:rFonts w:ascii="Times New Roman" w:hAnsi="Times New Roman" w:cs="Times New Roman"/>
        </w:rPr>
        <w:t xml:space="preserve">section 7 </w:t>
      </w:r>
      <w:r w:rsidRPr="00737B4F">
        <w:rPr>
          <w:rFonts w:ascii="Times New Roman" w:hAnsi="Times New Roman" w:cs="Times New Roman"/>
        </w:rPr>
        <w:t xml:space="preserve">of the Determination.  </w:t>
      </w:r>
    </w:p>
    <w:p w14:paraId="50D1EAFD" w14:textId="77777777" w:rsidR="00BA75DB" w:rsidRDefault="00BA75DB" w:rsidP="00BA75DB">
      <w:pPr>
        <w:rPr>
          <w:rFonts w:ascii="Times New Roman" w:hAnsi="Times New Roman" w:cs="Times New Roman"/>
        </w:rPr>
      </w:pPr>
      <w:r w:rsidRPr="00737B4F">
        <w:rPr>
          <w:rFonts w:ascii="Times New Roman" w:hAnsi="Times New Roman" w:cs="Times New Roman"/>
        </w:rPr>
        <w:t>This section also explains that if a condition specified in the licence is inconsistent with the Determination, the condition specified in the licence</w:t>
      </w:r>
      <w:r>
        <w:rPr>
          <w:rFonts w:ascii="Times New Roman" w:hAnsi="Times New Roman" w:cs="Times New Roman"/>
        </w:rPr>
        <w:t xml:space="preserve"> applies.</w:t>
      </w:r>
    </w:p>
    <w:p w14:paraId="2030CC0C" w14:textId="77777777" w:rsidR="00BA75DB" w:rsidRPr="00E815B1" w:rsidRDefault="00BA75DB" w:rsidP="00BA75DB">
      <w:pPr>
        <w:rPr>
          <w:rFonts w:ascii="Times New Roman" w:hAnsi="Times New Roman" w:cs="Times New Roman"/>
          <w:b/>
          <w:i/>
        </w:rPr>
      </w:pPr>
      <w:r>
        <w:rPr>
          <w:rFonts w:ascii="Times New Roman" w:hAnsi="Times New Roman" w:cs="Times New Roman"/>
          <w:b/>
        </w:rPr>
        <w:t>Section 5</w:t>
      </w:r>
      <w:r>
        <w:rPr>
          <w:rFonts w:ascii="Times New Roman" w:hAnsi="Times New Roman" w:cs="Times New Roman"/>
          <w:b/>
        </w:rPr>
        <w:tab/>
        <w:t>Interpretation</w:t>
      </w:r>
    </w:p>
    <w:p w14:paraId="0B109D90" w14:textId="77777777" w:rsidR="00BA75DB" w:rsidRDefault="00BA75DB" w:rsidP="00BA75DB">
      <w:pPr>
        <w:rPr>
          <w:rFonts w:ascii="Times New Roman" w:hAnsi="Times New Roman" w:cs="Times New Roman"/>
        </w:rPr>
      </w:pPr>
      <w:r>
        <w:rPr>
          <w:rFonts w:ascii="Times New Roman" w:hAnsi="Times New Roman" w:cs="Times New Roman"/>
        </w:rPr>
        <w:t xml:space="preserve">Section 5 defines the terms used in the Determination.  </w:t>
      </w:r>
    </w:p>
    <w:p w14:paraId="17794F71" w14:textId="77777777" w:rsidR="00BA75DB" w:rsidRDefault="00BA75DB" w:rsidP="00BA75DB">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Condition</w:t>
      </w:r>
    </w:p>
    <w:p w14:paraId="23E96962" w14:textId="77777777" w:rsidR="00BA75DB" w:rsidRPr="000B12BB" w:rsidRDefault="00BA75DB" w:rsidP="00BA75DB">
      <w:pPr>
        <w:rPr>
          <w:rFonts w:ascii="Times New Roman" w:hAnsi="Times New Roman" w:cs="Times New Roman"/>
        </w:rPr>
      </w:pPr>
      <w:r>
        <w:rPr>
          <w:rFonts w:ascii="Times New Roman" w:hAnsi="Times New Roman" w:cs="Times New Roman"/>
        </w:rPr>
        <w:t>Section 6 imposes the condition in section 7 on area-wide licences that authorise the use of area-wide stations.</w:t>
      </w:r>
    </w:p>
    <w:p w14:paraId="4C7CAB71" w14:textId="77777777" w:rsidR="00BA75DB" w:rsidRPr="000D7CC3" w:rsidRDefault="00BA75DB" w:rsidP="00BA75DB">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Location of area-wide stations</w:t>
      </w:r>
    </w:p>
    <w:p w14:paraId="65C9FBE5" w14:textId="77777777" w:rsidR="00BA75DB" w:rsidRDefault="00BA75DB" w:rsidP="00BA75DB">
      <w:pPr>
        <w:rPr>
          <w:rFonts w:ascii="Times New Roman" w:hAnsi="Times New Roman" w:cs="Times New Roman"/>
        </w:rPr>
      </w:pPr>
      <w:r>
        <w:rPr>
          <w:rFonts w:ascii="Times New Roman" w:hAnsi="Times New Roman" w:cs="Times New Roman"/>
        </w:rPr>
        <w:t xml:space="preserve">This section imposes a condition on every area-wide licence that licensees are required to provide information about the location of their area-wide stations and their maximum total radiated power to the ACMA or other persons who make a written request for such information. A licensee is not obliged to provide information about an area-wide station that is a mobile station (as defined in the </w:t>
      </w:r>
      <w:r w:rsidRPr="00002521">
        <w:rPr>
          <w:rFonts w:ascii="Times New Roman" w:hAnsi="Times New Roman" w:cs="Times New Roman"/>
          <w:i/>
          <w:iCs/>
        </w:rPr>
        <w:t>Radiocommunications (Interp</w:t>
      </w:r>
      <w:r>
        <w:rPr>
          <w:rFonts w:ascii="Times New Roman" w:hAnsi="Times New Roman" w:cs="Times New Roman"/>
          <w:i/>
          <w:iCs/>
        </w:rPr>
        <w:t>re</w:t>
      </w:r>
      <w:r w:rsidRPr="00002521">
        <w:rPr>
          <w:rFonts w:ascii="Times New Roman" w:hAnsi="Times New Roman" w:cs="Times New Roman"/>
          <w:i/>
          <w:iCs/>
        </w:rPr>
        <w:t>tation) Determination 2015</w:t>
      </w:r>
      <w:r>
        <w:rPr>
          <w:rFonts w:ascii="Times New Roman" w:hAnsi="Times New Roman" w:cs="Times New Roman"/>
        </w:rPr>
        <w:t xml:space="preserve">) or where the information is publicly available on the Register of Radiocommunications Licences maintained by the ACMA (in accordance with the </w:t>
      </w:r>
      <w:r w:rsidRPr="00002521">
        <w:rPr>
          <w:rFonts w:ascii="Times New Roman" w:hAnsi="Times New Roman" w:cs="Times New Roman"/>
          <w:i/>
          <w:iCs/>
        </w:rPr>
        <w:t>Radiocommunications (Register of Radiocommunications Licences) Determina</w:t>
      </w:r>
      <w:r>
        <w:rPr>
          <w:rFonts w:ascii="Times New Roman" w:hAnsi="Times New Roman" w:cs="Times New Roman"/>
          <w:i/>
          <w:iCs/>
        </w:rPr>
        <w:t>t</w:t>
      </w:r>
      <w:r w:rsidRPr="00002521">
        <w:rPr>
          <w:rFonts w:ascii="Times New Roman" w:hAnsi="Times New Roman" w:cs="Times New Roman"/>
          <w:i/>
          <w:iCs/>
        </w:rPr>
        <w:t>ion 2017</w:t>
      </w:r>
      <w:r>
        <w:rPr>
          <w:rFonts w:ascii="Times New Roman" w:hAnsi="Times New Roman" w:cs="Times New Roman"/>
        </w:rPr>
        <w:t xml:space="preserve">). </w:t>
      </w:r>
    </w:p>
    <w:p w14:paraId="3573A1FA" w14:textId="77777777" w:rsidR="00B9500B" w:rsidRDefault="00B9500B"/>
    <w:sectPr w:rsidR="00B950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2F4C" w14:textId="77777777" w:rsidR="009C771E" w:rsidRDefault="009C771E" w:rsidP="00BA75DB">
      <w:pPr>
        <w:spacing w:after="0" w:line="240" w:lineRule="auto"/>
      </w:pPr>
      <w:r>
        <w:separator/>
      </w:r>
    </w:p>
  </w:endnote>
  <w:endnote w:type="continuationSeparator" w:id="0">
    <w:p w14:paraId="4BE86705" w14:textId="77777777" w:rsidR="009C771E" w:rsidRDefault="009C771E" w:rsidP="00BA75DB">
      <w:pPr>
        <w:spacing w:after="0" w:line="240" w:lineRule="auto"/>
      </w:pPr>
      <w:r>
        <w:continuationSeparator/>
      </w:r>
    </w:p>
  </w:endnote>
  <w:endnote w:type="continuationNotice" w:id="1">
    <w:p w14:paraId="79F476D7" w14:textId="77777777" w:rsidR="009C771E" w:rsidRDefault="009C7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4643" w14:textId="77777777" w:rsidR="009C771E" w:rsidRDefault="009C771E" w:rsidP="00BA75DB">
      <w:pPr>
        <w:spacing w:after="0" w:line="240" w:lineRule="auto"/>
      </w:pPr>
      <w:r>
        <w:separator/>
      </w:r>
    </w:p>
  </w:footnote>
  <w:footnote w:type="continuationSeparator" w:id="0">
    <w:p w14:paraId="0E1C9E64" w14:textId="77777777" w:rsidR="009C771E" w:rsidRDefault="009C771E" w:rsidP="00BA75DB">
      <w:pPr>
        <w:spacing w:after="0" w:line="240" w:lineRule="auto"/>
      </w:pPr>
      <w:r>
        <w:continuationSeparator/>
      </w:r>
    </w:p>
  </w:footnote>
  <w:footnote w:type="continuationNotice" w:id="1">
    <w:p w14:paraId="26CE1775" w14:textId="77777777" w:rsidR="009C771E" w:rsidRDefault="009C771E">
      <w:pPr>
        <w:spacing w:after="0" w:line="240" w:lineRule="auto"/>
      </w:pPr>
    </w:p>
  </w:footnote>
  <w:footnote w:id="2">
    <w:p w14:paraId="1EBC85BA" w14:textId="77777777" w:rsidR="007321EF" w:rsidRDefault="007321EF" w:rsidP="007321EF">
      <w:pPr>
        <w:pStyle w:val="FootnoteText"/>
        <w:spacing w:after="0"/>
      </w:pPr>
      <w:r>
        <w:rPr>
          <w:rStyle w:val="FootnoteReference"/>
        </w:rPr>
        <w:footnoteRef/>
      </w:r>
      <w:r>
        <w:t xml:space="preserve"> </w:t>
      </w:r>
      <w:r w:rsidRPr="00760300">
        <w:rPr>
          <w:rFonts w:ascii="Times New Roman" w:hAnsi="Times New Roman"/>
        </w:rPr>
        <w:t xml:space="preserve">The existing </w:t>
      </w:r>
      <w:r w:rsidRPr="00760300">
        <w:rPr>
          <w:rFonts w:ascii="Times New Roman" w:hAnsi="Times New Roman"/>
          <w:i/>
          <w:iCs/>
        </w:rPr>
        <w:t>Radiocommunications Licence Conditions (Apparatus Licence) Determination 2015</w:t>
      </w:r>
      <w:r w:rsidRPr="00760300">
        <w:rPr>
          <w:rFonts w:ascii="Times New Roman" w:hAnsi="Times New Roman"/>
          <w:i/>
        </w:rPr>
        <w:t xml:space="preserve"> </w:t>
      </w:r>
      <w:r w:rsidRPr="00760300">
        <w:rPr>
          <w:rFonts w:ascii="Times New Roman" w:hAnsi="Times New Roman"/>
        </w:rPr>
        <w:t>will also appl</w:t>
      </w:r>
      <w:r>
        <w:rPr>
          <w:rFonts w:ascii="Times New Roman" w:hAnsi="Times New Roman"/>
        </w:rPr>
        <w:t xml:space="preserve">y to </w:t>
      </w:r>
      <w:r w:rsidRPr="00760300">
        <w:rPr>
          <w:rFonts w:ascii="Times New Roman" w:hAnsi="Times New Roman"/>
        </w:rPr>
        <w:t>AWLs. That instrument imposes conditions dealing with matters such as electromagnetic radiation requirements and record-keeping rules.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00B28"/>
    <w:multiLevelType w:val="multilevel"/>
    <w:tmpl w:val="7D385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DB"/>
    <w:rsid w:val="00012B99"/>
    <w:rsid w:val="000A3F43"/>
    <w:rsid w:val="00127343"/>
    <w:rsid w:val="00155307"/>
    <w:rsid w:val="001C3D18"/>
    <w:rsid w:val="001D4996"/>
    <w:rsid w:val="001D4D79"/>
    <w:rsid w:val="001E76D5"/>
    <w:rsid w:val="001F4D39"/>
    <w:rsid w:val="00202D9B"/>
    <w:rsid w:val="002544D3"/>
    <w:rsid w:val="0027609F"/>
    <w:rsid w:val="00290735"/>
    <w:rsid w:val="002A740B"/>
    <w:rsid w:val="002D1904"/>
    <w:rsid w:val="002E008D"/>
    <w:rsid w:val="002E45EC"/>
    <w:rsid w:val="003036FE"/>
    <w:rsid w:val="00311D16"/>
    <w:rsid w:val="0037288C"/>
    <w:rsid w:val="003C6A9C"/>
    <w:rsid w:val="003F30D3"/>
    <w:rsid w:val="00404BED"/>
    <w:rsid w:val="004818F8"/>
    <w:rsid w:val="004D00ED"/>
    <w:rsid w:val="004E04C7"/>
    <w:rsid w:val="004E5190"/>
    <w:rsid w:val="004F2BEB"/>
    <w:rsid w:val="004F633F"/>
    <w:rsid w:val="0051503B"/>
    <w:rsid w:val="00547E40"/>
    <w:rsid w:val="005B1238"/>
    <w:rsid w:val="005E3C28"/>
    <w:rsid w:val="006449C6"/>
    <w:rsid w:val="0065255A"/>
    <w:rsid w:val="00665EF6"/>
    <w:rsid w:val="006722CE"/>
    <w:rsid w:val="0069621F"/>
    <w:rsid w:val="00696A44"/>
    <w:rsid w:val="006C08FF"/>
    <w:rsid w:val="007321EF"/>
    <w:rsid w:val="0075622A"/>
    <w:rsid w:val="00760D02"/>
    <w:rsid w:val="007C0766"/>
    <w:rsid w:val="007F0F36"/>
    <w:rsid w:val="008177D4"/>
    <w:rsid w:val="008522C9"/>
    <w:rsid w:val="00871B69"/>
    <w:rsid w:val="008A5D79"/>
    <w:rsid w:val="008F0BF0"/>
    <w:rsid w:val="008F1A04"/>
    <w:rsid w:val="009076CA"/>
    <w:rsid w:val="00955154"/>
    <w:rsid w:val="00982A53"/>
    <w:rsid w:val="009C771E"/>
    <w:rsid w:val="009F6283"/>
    <w:rsid w:val="00A42D58"/>
    <w:rsid w:val="00A9509B"/>
    <w:rsid w:val="00AD5943"/>
    <w:rsid w:val="00AF7030"/>
    <w:rsid w:val="00AF7D13"/>
    <w:rsid w:val="00B065D5"/>
    <w:rsid w:val="00B10B9C"/>
    <w:rsid w:val="00B25361"/>
    <w:rsid w:val="00B25EB6"/>
    <w:rsid w:val="00B37C4A"/>
    <w:rsid w:val="00B438C8"/>
    <w:rsid w:val="00B66AE9"/>
    <w:rsid w:val="00B914B8"/>
    <w:rsid w:val="00B94FC7"/>
    <w:rsid w:val="00B9500B"/>
    <w:rsid w:val="00BA617E"/>
    <w:rsid w:val="00BA75DB"/>
    <w:rsid w:val="00BC4699"/>
    <w:rsid w:val="00C454FE"/>
    <w:rsid w:val="00C5614A"/>
    <w:rsid w:val="00CC3266"/>
    <w:rsid w:val="00D03E93"/>
    <w:rsid w:val="00D34231"/>
    <w:rsid w:val="00D8522B"/>
    <w:rsid w:val="00DB1DEE"/>
    <w:rsid w:val="00DB52A5"/>
    <w:rsid w:val="00DC30AD"/>
    <w:rsid w:val="00DC733D"/>
    <w:rsid w:val="00DF08B2"/>
    <w:rsid w:val="00DF3082"/>
    <w:rsid w:val="00DF4026"/>
    <w:rsid w:val="00DF6EA0"/>
    <w:rsid w:val="00E22359"/>
    <w:rsid w:val="00E754D7"/>
    <w:rsid w:val="00EA4AAD"/>
    <w:rsid w:val="00EE6DFA"/>
    <w:rsid w:val="00F30001"/>
    <w:rsid w:val="00F36F7F"/>
    <w:rsid w:val="00F53AA3"/>
    <w:rsid w:val="00F64594"/>
    <w:rsid w:val="00F90013"/>
    <w:rsid w:val="00F90812"/>
    <w:rsid w:val="00FB5E8C"/>
    <w:rsid w:val="00FD3B06"/>
    <w:rsid w:val="00FE5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397B"/>
  <w15:chartTrackingRefBased/>
  <w15:docId w15:val="{196136B7-7DF5-4045-B365-2E8EDAA4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75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DB"/>
    <w:rPr>
      <w:sz w:val="16"/>
      <w:szCs w:val="16"/>
    </w:rPr>
  </w:style>
  <w:style w:type="paragraph" w:styleId="CommentText">
    <w:name w:val="annotation text"/>
    <w:basedOn w:val="Normal"/>
    <w:link w:val="CommentTextChar"/>
    <w:uiPriority w:val="99"/>
    <w:unhideWhenUsed/>
    <w:rsid w:val="00BA75DB"/>
    <w:pPr>
      <w:spacing w:line="240" w:lineRule="auto"/>
    </w:pPr>
    <w:rPr>
      <w:sz w:val="20"/>
      <w:szCs w:val="20"/>
    </w:rPr>
  </w:style>
  <w:style w:type="character" w:customStyle="1" w:styleId="CommentTextChar">
    <w:name w:val="Comment Text Char"/>
    <w:basedOn w:val="DefaultParagraphFont"/>
    <w:link w:val="CommentText"/>
    <w:uiPriority w:val="99"/>
    <w:rsid w:val="00BA75DB"/>
    <w:rPr>
      <w:sz w:val="20"/>
      <w:szCs w:val="20"/>
    </w:rPr>
  </w:style>
  <w:style w:type="character" w:styleId="Hyperlink">
    <w:name w:val="Hyperlink"/>
    <w:basedOn w:val="DefaultParagraphFont"/>
    <w:uiPriority w:val="99"/>
    <w:unhideWhenUsed/>
    <w:rsid w:val="00BA75DB"/>
    <w:rPr>
      <w:color w:val="0563C1" w:themeColor="hyperlink"/>
      <w:u w:val="single"/>
    </w:rPr>
  </w:style>
  <w:style w:type="character" w:styleId="FootnoteReference">
    <w:name w:val="footnote reference"/>
    <w:basedOn w:val="DefaultParagraphFont"/>
    <w:semiHidden/>
    <w:rsid w:val="00BA75DB"/>
    <w:rPr>
      <w:rFonts w:ascii="Arial" w:hAnsi="Arial"/>
      <w:vertAlign w:val="superscript"/>
    </w:rPr>
  </w:style>
  <w:style w:type="paragraph" w:styleId="FootnoteText">
    <w:name w:val="footnote text"/>
    <w:basedOn w:val="Normal"/>
    <w:link w:val="FootnoteTextChar"/>
    <w:semiHidden/>
    <w:rsid w:val="00BA75DB"/>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semiHidden/>
    <w:rsid w:val="00BA75DB"/>
    <w:rPr>
      <w:rFonts w:ascii="Arial" w:eastAsia="Times New Roman" w:hAnsi="Arial" w:cs="Times New Roman"/>
      <w:sz w:val="16"/>
      <w:szCs w:val="16"/>
      <w:lang w:eastAsia="en-AU"/>
    </w:rPr>
  </w:style>
  <w:style w:type="paragraph" w:styleId="BalloonText">
    <w:name w:val="Balloon Text"/>
    <w:basedOn w:val="Normal"/>
    <w:link w:val="BalloonTextChar"/>
    <w:uiPriority w:val="99"/>
    <w:semiHidden/>
    <w:unhideWhenUsed/>
    <w:rsid w:val="00BA7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0BF0"/>
    <w:rPr>
      <w:b/>
      <w:bCs/>
    </w:rPr>
  </w:style>
  <w:style w:type="character" w:customStyle="1" w:styleId="CommentSubjectChar">
    <w:name w:val="Comment Subject Char"/>
    <w:basedOn w:val="CommentTextChar"/>
    <w:link w:val="CommentSubject"/>
    <w:uiPriority w:val="99"/>
    <w:semiHidden/>
    <w:rsid w:val="008F0BF0"/>
    <w:rPr>
      <w:b/>
      <w:bCs/>
      <w:sz w:val="20"/>
      <w:szCs w:val="20"/>
    </w:rPr>
  </w:style>
  <w:style w:type="character" w:styleId="FollowedHyperlink">
    <w:name w:val="FollowedHyperlink"/>
    <w:basedOn w:val="DefaultParagraphFont"/>
    <w:uiPriority w:val="99"/>
    <w:semiHidden/>
    <w:unhideWhenUsed/>
    <w:rsid w:val="00A9509B"/>
    <w:rPr>
      <w:color w:val="954F72" w:themeColor="followedHyperlink"/>
      <w:u w:val="single"/>
    </w:rPr>
  </w:style>
  <w:style w:type="paragraph" w:styleId="Header">
    <w:name w:val="header"/>
    <w:basedOn w:val="Normal"/>
    <w:link w:val="HeaderChar"/>
    <w:uiPriority w:val="99"/>
    <w:semiHidden/>
    <w:unhideWhenUsed/>
    <w:rsid w:val="00DF30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3082"/>
  </w:style>
  <w:style w:type="paragraph" w:styleId="Footer">
    <w:name w:val="footer"/>
    <w:basedOn w:val="Normal"/>
    <w:link w:val="FooterChar"/>
    <w:uiPriority w:val="99"/>
    <w:semiHidden/>
    <w:unhideWhenUsed/>
    <w:rsid w:val="00DF30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082"/>
  </w:style>
  <w:style w:type="paragraph" w:styleId="Revision">
    <w:name w:val="Revision"/>
    <w:hidden/>
    <w:uiPriority w:val="99"/>
    <w:semiHidden/>
    <w:rsid w:val="00871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1490">
      <w:bodyDiv w:val="1"/>
      <w:marLeft w:val="0"/>
      <w:marRight w:val="0"/>
      <w:marTop w:val="0"/>
      <w:marBottom w:val="0"/>
      <w:divBdr>
        <w:top w:val="none" w:sz="0" w:space="0" w:color="auto"/>
        <w:left w:val="none" w:sz="0" w:space="0" w:color="auto"/>
        <w:bottom w:val="none" w:sz="0" w:space="0" w:color="auto"/>
        <w:right w:val="none" w:sz="0" w:space="0" w:color="auto"/>
      </w:divBdr>
      <w:divsChild>
        <w:div w:id="412826368">
          <w:marLeft w:val="0"/>
          <w:marRight w:val="0"/>
          <w:marTop w:val="0"/>
          <w:marBottom w:val="0"/>
          <w:divBdr>
            <w:top w:val="none" w:sz="0" w:space="0" w:color="auto"/>
            <w:left w:val="none" w:sz="0" w:space="0" w:color="auto"/>
            <w:bottom w:val="none" w:sz="0" w:space="0" w:color="auto"/>
            <w:right w:val="none" w:sz="0" w:space="0" w:color="auto"/>
          </w:divBdr>
          <w:divsChild>
            <w:div w:id="1221207213">
              <w:marLeft w:val="0"/>
              <w:marRight w:val="0"/>
              <w:marTop w:val="0"/>
              <w:marBottom w:val="0"/>
              <w:divBdr>
                <w:top w:val="none" w:sz="0" w:space="0" w:color="auto"/>
                <w:left w:val="none" w:sz="0" w:space="0" w:color="auto"/>
                <w:bottom w:val="none" w:sz="0" w:space="0" w:color="auto"/>
                <w:right w:val="none" w:sz="0" w:space="0" w:color="auto"/>
              </w:divBdr>
              <w:divsChild>
                <w:div w:id="613485737">
                  <w:marLeft w:val="0"/>
                  <w:marRight w:val="0"/>
                  <w:marTop w:val="0"/>
                  <w:marBottom w:val="0"/>
                  <w:divBdr>
                    <w:top w:val="none" w:sz="0" w:space="0" w:color="auto"/>
                    <w:left w:val="none" w:sz="0" w:space="0" w:color="auto"/>
                    <w:bottom w:val="none" w:sz="0" w:space="0" w:color="auto"/>
                    <w:right w:val="none" w:sz="0" w:space="0" w:color="auto"/>
                  </w:divBdr>
                  <w:divsChild>
                    <w:div w:id="2006668191">
                      <w:marLeft w:val="0"/>
                      <w:marRight w:val="0"/>
                      <w:marTop w:val="0"/>
                      <w:marBottom w:val="0"/>
                      <w:divBdr>
                        <w:top w:val="none" w:sz="0" w:space="0" w:color="auto"/>
                        <w:left w:val="none" w:sz="0" w:space="0" w:color="auto"/>
                        <w:bottom w:val="none" w:sz="0" w:space="0" w:color="auto"/>
                        <w:right w:val="none" w:sz="0" w:space="0" w:color="auto"/>
                      </w:divBdr>
                      <w:divsChild>
                        <w:div w:id="2056537863">
                          <w:marLeft w:val="0"/>
                          <w:marRight w:val="0"/>
                          <w:marTop w:val="0"/>
                          <w:marBottom w:val="0"/>
                          <w:divBdr>
                            <w:top w:val="none" w:sz="0" w:space="0" w:color="auto"/>
                            <w:left w:val="none" w:sz="0" w:space="0" w:color="auto"/>
                            <w:bottom w:val="none" w:sz="0" w:space="0" w:color="auto"/>
                            <w:right w:val="none" w:sz="0" w:space="0" w:color="auto"/>
                          </w:divBdr>
                          <w:divsChild>
                            <w:div w:id="637272154">
                              <w:marLeft w:val="0"/>
                              <w:marRight w:val="0"/>
                              <w:marTop w:val="0"/>
                              <w:marBottom w:val="0"/>
                              <w:divBdr>
                                <w:top w:val="none" w:sz="0" w:space="0" w:color="auto"/>
                                <w:left w:val="none" w:sz="0" w:space="0" w:color="auto"/>
                                <w:bottom w:val="none" w:sz="0" w:space="0" w:color="auto"/>
                                <w:right w:val="none" w:sz="0" w:space="0" w:color="auto"/>
                              </w:divBdr>
                              <w:divsChild>
                                <w:div w:id="815949825">
                                  <w:marLeft w:val="0"/>
                                  <w:marRight w:val="0"/>
                                  <w:marTop w:val="0"/>
                                  <w:marBottom w:val="0"/>
                                  <w:divBdr>
                                    <w:top w:val="none" w:sz="0" w:space="0" w:color="auto"/>
                                    <w:left w:val="none" w:sz="0" w:space="0" w:color="auto"/>
                                    <w:bottom w:val="none" w:sz="0" w:space="0" w:color="auto"/>
                                    <w:right w:val="none" w:sz="0" w:space="0" w:color="auto"/>
                                  </w:divBdr>
                                  <w:divsChild>
                                    <w:div w:id="232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0988F91EE0F4F80A727CD01D192AF" ma:contentTypeVersion="10" ma:contentTypeDescription="Create a new document." ma:contentTypeScope="" ma:versionID="bf6a63ec9137df79bce2b0f34f8ebee2">
  <xsd:schema xmlns:xsd="http://www.w3.org/2001/XMLSchema" xmlns:xs="http://www.w3.org/2001/XMLSchema" xmlns:p="http://schemas.microsoft.com/office/2006/metadata/properties" xmlns:ns3="523206b7-4c20-4510-872a-3f5c9c3e077a" targetNamespace="http://schemas.microsoft.com/office/2006/metadata/properties" ma:root="true" ma:fieldsID="0574d7968390cf3bcdb61d38e8d3e8f0" ns3:_="">
    <xsd:import namespace="523206b7-4c20-4510-872a-3f5c9c3e0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06b7-4c20-4510-872a-3f5c9c3e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C29B-5424-4F6C-B4B7-9D7C9DB20DAE}">
  <ds:schemaRefs>
    <ds:schemaRef ds:uri="http://schemas.microsoft.com/sharepoint/v3/contenttype/forms"/>
  </ds:schemaRefs>
</ds:datastoreItem>
</file>

<file path=customXml/itemProps2.xml><?xml version="1.0" encoding="utf-8"?>
<ds:datastoreItem xmlns:ds="http://schemas.openxmlformats.org/officeDocument/2006/customXml" ds:itemID="{2E46E19A-CBC9-4428-80DB-7EA115DA11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3206b7-4c20-4510-872a-3f5c9c3e077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A28A1C-74BC-455C-BE83-950DADE2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206b7-4c20-4510-872a-3f5c9c3e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3D0E9-86E3-4389-877D-43BBB3FC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Wils</dc:creator>
  <cp:keywords/>
  <dc:description/>
  <cp:lastModifiedBy>Tyson Wils</cp:lastModifiedBy>
  <cp:revision>16</cp:revision>
  <cp:lastPrinted>2020-01-03T03:19:00Z</cp:lastPrinted>
  <dcterms:created xsi:type="dcterms:W3CDTF">2020-01-22T23:59:00Z</dcterms:created>
  <dcterms:modified xsi:type="dcterms:W3CDTF">2020-01-24T05:24:00Z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0x0101009160988F91EE0F4F80A727CD01D192AF</vt:lpwstr>
  </property>
  <property fmtid="{D5CDD505-2E9C-101B-9397-08002B2CF9AE}" pid="3" name="_dlc_DocIdItemGuid">
    <vt:lpwstr>04477ffe-198f-4b52-8c49-4237bef32985</vt:lpwstr>
  </property>
</Properties>
</file>