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21BD" w14:textId="77777777" w:rsidR="00E91CFD" w:rsidRDefault="00E91CFD" w:rsidP="00E91CFD">
      <w:r>
        <w:rPr>
          <w:noProof/>
        </w:rPr>
        <w:drawing>
          <wp:inline distT="0" distB="0" distL="0" distR="0" wp14:anchorId="270B47A4" wp14:editId="76C82D1A">
            <wp:extent cx="14097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701F0" w14:textId="3D3FBDAD" w:rsidR="00E91CFD" w:rsidRPr="00612E02" w:rsidRDefault="00E91CFD" w:rsidP="00E91CFD">
      <w:pPr>
        <w:pStyle w:val="Title"/>
        <w:rPr>
          <w:lang w:val="en-US"/>
        </w:rPr>
      </w:pPr>
      <w:bookmarkStart w:id="0" w:name="Citation"/>
      <w:r w:rsidRPr="00CB3484">
        <w:t>Radiocommunications Licence Conditions (</w:t>
      </w:r>
      <w:r w:rsidR="00D00FBD">
        <w:t>Area</w:t>
      </w:r>
      <w:r>
        <w:t>-</w:t>
      </w:r>
      <w:r w:rsidR="00D00FBD">
        <w:t>Wide</w:t>
      </w:r>
      <w:r w:rsidRPr="00CB3484">
        <w:t xml:space="preserve"> Licence) Determination </w:t>
      </w:r>
      <w:bookmarkEnd w:id="0"/>
      <w:r w:rsidRPr="00612E02">
        <w:t>20</w:t>
      </w:r>
      <w:r w:rsidR="00036F96">
        <w:t>20</w:t>
      </w:r>
    </w:p>
    <w:p w14:paraId="6B122974" w14:textId="77777777" w:rsidR="00E91CFD" w:rsidRPr="002E37EE" w:rsidRDefault="00E91CFD" w:rsidP="00E91CFD">
      <w:pPr>
        <w:pStyle w:val="CoverAct"/>
        <w:spacing w:before="360"/>
      </w:pPr>
      <w:bookmarkStart w:id="1" w:name="Act"/>
      <w:r w:rsidRPr="00612E02">
        <w:t>Radiocommunications Act 1992</w:t>
      </w:r>
      <w:bookmarkEnd w:id="1"/>
    </w:p>
    <w:p w14:paraId="32CD3C1B" w14:textId="77777777" w:rsidR="00E91CFD" w:rsidRPr="00612E02" w:rsidRDefault="00E91CFD" w:rsidP="00E91CFD">
      <w:pPr>
        <w:pStyle w:val="CoverUpdate"/>
      </w:pPr>
      <w:r w:rsidRPr="00612E02">
        <w:t xml:space="preserve">The AUSTRALIAN COMMUNICATIONS AND MEDIA AUTHORITY makes this Determination under paragraph 107(1)(f) of the </w:t>
      </w:r>
      <w:r w:rsidRPr="00612E02">
        <w:rPr>
          <w:i/>
        </w:rPr>
        <w:t>Radiocommunications Act 1992</w:t>
      </w:r>
      <w:r w:rsidRPr="00612E02">
        <w:t>.</w:t>
      </w:r>
    </w:p>
    <w:p w14:paraId="0687A01E" w14:textId="240D9C97" w:rsidR="00E91CFD" w:rsidRPr="00612E02" w:rsidRDefault="00E91CFD" w:rsidP="00E25B68">
      <w:pPr>
        <w:tabs>
          <w:tab w:val="left" w:pos="2265"/>
        </w:tabs>
        <w:spacing w:before="300"/>
      </w:pPr>
      <w:r w:rsidRPr="00612E02">
        <w:t>Dated</w:t>
      </w:r>
      <w:bookmarkStart w:id="2" w:name="MadeDate"/>
      <w:bookmarkEnd w:id="2"/>
      <w:r w:rsidR="003F6820">
        <w:t>: 28 January 2020</w:t>
      </w:r>
    </w:p>
    <w:p w14:paraId="1C165D3E" w14:textId="77777777" w:rsidR="00E91CFD" w:rsidRDefault="00E91CFD" w:rsidP="00E91CFD">
      <w:pPr>
        <w:tabs>
          <w:tab w:val="right" w:pos="3686"/>
        </w:tabs>
        <w:spacing w:before="240" w:after="240"/>
        <w:jc w:val="right"/>
      </w:pPr>
    </w:p>
    <w:p w14:paraId="46CC2B94" w14:textId="17EE6C1A" w:rsidR="00E91CFD" w:rsidRPr="00612E02" w:rsidRDefault="00150B34" w:rsidP="00E91CFD">
      <w:pPr>
        <w:tabs>
          <w:tab w:val="right" w:pos="3686"/>
        </w:tabs>
        <w:spacing w:before="240" w:after="240"/>
        <w:jc w:val="right"/>
      </w:pPr>
      <w:proofErr w:type="spellStart"/>
      <w:r>
        <w:t>Nerida</w:t>
      </w:r>
      <w:proofErr w:type="spellEnd"/>
      <w:r>
        <w:t xml:space="preserve"> O’Loughlin</w:t>
      </w:r>
      <w:r w:rsidR="00E91CFD">
        <w:br/>
      </w:r>
      <w:r>
        <w:t>[signed]</w:t>
      </w:r>
      <w:r w:rsidR="00E91CFD">
        <w:br/>
      </w:r>
      <w:r w:rsidR="00E91CFD" w:rsidRPr="00612E02">
        <w:t>Member</w:t>
      </w:r>
    </w:p>
    <w:p w14:paraId="21B09D51" w14:textId="6FAE2E0A" w:rsidR="00E91CFD" w:rsidRPr="00612E02" w:rsidRDefault="00150B34" w:rsidP="00E91CFD">
      <w:pPr>
        <w:tabs>
          <w:tab w:val="right" w:pos="3686"/>
        </w:tabs>
        <w:spacing w:before="240"/>
        <w:jc w:val="right"/>
      </w:pPr>
      <w:proofErr w:type="spellStart"/>
      <w:r>
        <w:t>Creina</w:t>
      </w:r>
      <w:proofErr w:type="spellEnd"/>
      <w:r>
        <w:t xml:space="preserve"> C</w:t>
      </w:r>
      <w:r w:rsidR="00D40BF1">
        <w:t>hapman</w:t>
      </w:r>
      <w:r w:rsidR="00E91CFD">
        <w:br/>
      </w:r>
      <w:r w:rsidR="00D40BF1">
        <w:t>[signed]</w:t>
      </w:r>
      <w:r w:rsidR="00E91CFD">
        <w:br/>
      </w:r>
      <w:r w:rsidR="00E91CFD" w:rsidRPr="00612E02">
        <w:t>Member/</w:t>
      </w:r>
      <w:bookmarkStart w:id="3" w:name="_GoBack"/>
      <w:r w:rsidR="00E91CFD" w:rsidRPr="00D40BF1">
        <w:rPr>
          <w:strike/>
        </w:rPr>
        <w:t>General Manager</w:t>
      </w:r>
      <w:bookmarkEnd w:id="3"/>
    </w:p>
    <w:p w14:paraId="0F8FEA05" w14:textId="77777777" w:rsidR="00E91CFD" w:rsidRDefault="00E91CFD" w:rsidP="00E91CFD">
      <w:r>
        <w:br w:type="page"/>
      </w:r>
    </w:p>
    <w:p w14:paraId="1F118122" w14:textId="77777777" w:rsidR="00E91CFD" w:rsidRPr="00DB31BD" w:rsidRDefault="00E91CFD" w:rsidP="00E91CFD">
      <w:pPr>
        <w:pStyle w:val="HR"/>
        <w:numPr>
          <w:ilvl w:val="0"/>
          <w:numId w:val="2"/>
        </w:numPr>
        <w:rPr>
          <w:b w:val="0"/>
          <w:sz w:val="18"/>
        </w:rPr>
      </w:pPr>
      <w:bookmarkStart w:id="4" w:name="_Toc102817933"/>
      <w:r w:rsidRPr="00A036C8">
        <w:rPr>
          <w:rStyle w:val="CharSectno"/>
        </w:rPr>
        <w:lastRenderedPageBreak/>
        <w:t>Name of Determination</w:t>
      </w:r>
      <w:bookmarkEnd w:id="4"/>
    </w:p>
    <w:p w14:paraId="6A3FC845" w14:textId="6382F59B" w:rsidR="00EA2DF6" w:rsidRPr="00FD3691" w:rsidRDefault="00E91CFD" w:rsidP="00FD3691">
      <w:pPr>
        <w:pStyle w:val="R1"/>
        <w:rPr>
          <w:rStyle w:val="CharSectno"/>
          <w:b/>
        </w:rPr>
      </w:pPr>
      <w:r>
        <w:tab/>
      </w:r>
      <w:r>
        <w:tab/>
      </w:r>
      <w:r w:rsidRPr="000847E5">
        <w:t xml:space="preserve">This Determination is the </w:t>
      </w:r>
      <w:bookmarkStart w:id="5" w:name="_Hlk8733024"/>
      <w:r w:rsidRPr="00844E1E">
        <w:rPr>
          <w:i/>
          <w:lang w:eastAsia="en-AU"/>
        </w:rPr>
        <w:t>Radiocommunications Licence Conditions (</w:t>
      </w:r>
      <w:r w:rsidR="00844E1E" w:rsidRPr="00844E1E">
        <w:rPr>
          <w:i/>
          <w:lang w:eastAsia="en-AU"/>
        </w:rPr>
        <w:t>Area</w:t>
      </w:r>
      <w:r w:rsidRPr="00844E1E">
        <w:rPr>
          <w:i/>
          <w:lang w:eastAsia="en-AU"/>
        </w:rPr>
        <w:t>-</w:t>
      </w:r>
      <w:r w:rsidR="00844E1E" w:rsidRPr="00844E1E">
        <w:rPr>
          <w:i/>
          <w:lang w:eastAsia="en-AU"/>
        </w:rPr>
        <w:t>Wide</w:t>
      </w:r>
      <w:r w:rsidR="007D4752">
        <w:rPr>
          <w:i/>
          <w:lang w:eastAsia="en-AU"/>
        </w:rPr>
        <w:t xml:space="preserve"> Licence</w:t>
      </w:r>
      <w:r w:rsidRPr="00844E1E">
        <w:rPr>
          <w:i/>
          <w:lang w:eastAsia="en-AU"/>
        </w:rPr>
        <w:t>) Determination 20</w:t>
      </w:r>
      <w:r w:rsidR="00036F96">
        <w:rPr>
          <w:i/>
          <w:lang w:eastAsia="en-AU"/>
        </w:rPr>
        <w:t>20</w:t>
      </w:r>
      <w:bookmarkEnd w:id="5"/>
      <w:r w:rsidRPr="00FD3691">
        <w:rPr>
          <w:lang w:eastAsia="en-AU"/>
        </w:rPr>
        <w:t>.</w:t>
      </w:r>
      <w:bookmarkStart w:id="6" w:name="_Toc102817934"/>
    </w:p>
    <w:p w14:paraId="278C5E7D" w14:textId="43EBE9A2" w:rsidR="00E91CFD" w:rsidRPr="00612E02" w:rsidRDefault="00E91CFD" w:rsidP="00FD3691">
      <w:pPr>
        <w:pStyle w:val="HR"/>
        <w:numPr>
          <w:ilvl w:val="0"/>
          <w:numId w:val="2"/>
        </w:numPr>
        <w:rPr>
          <w:rStyle w:val="CharSectno"/>
        </w:rPr>
      </w:pPr>
      <w:r w:rsidRPr="00612E02">
        <w:rPr>
          <w:rStyle w:val="CharSectno"/>
        </w:rPr>
        <w:t>Commencement</w:t>
      </w:r>
    </w:p>
    <w:p w14:paraId="5CFF12A0" w14:textId="77777777" w:rsidR="0077461E" w:rsidRDefault="00E91CFD" w:rsidP="0046025D">
      <w:pPr>
        <w:pStyle w:val="R1"/>
        <w:rPr>
          <w:lang w:eastAsia="en-AU"/>
        </w:rPr>
      </w:pPr>
      <w:r>
        <w:tab/>
      </w:r>
      <w:r w:rsidR="000847E5">
        <w:tab/>
      </w:r>
      <w:r w:rsidRPr="00612E02">
        <w:rPr>
          <w:lang w:eastAsia="en-AU"/>
        </w:rPr>
        <w:t>This Determination commences</w:t>
      </w:r>
      <w:r w:rsidR="00036F96">
        <w:rPr>
          <w:lang w:eastAsia="en-AU"/>
        </w:rPr>
        <w:t xml:space="preserve"> </w:t>
      </w:r>
      <w:r w:rsidR="004733C5">
        <w:rPr>
          <w:lang w:eastAsia="en-AU"/>
        </w:rPr>
        <w:t>at the start of the day after it is registered on the Federal Register of Legislation</w:t>
      </w:r>
      <w:r w:rsidR="0077461E">
        <w:rPr>
          <w:lang w:eastAsia="en-AU"/>
        </w:rPr>
        <w:t>.</w:t>
      </w:r>
    </w:p>
    <w:p w14:paraId="34033300" w14:textId="6E16B897" w:rsidR="00F108A3" w:rsidRPr="003A4A34" w:rsidRDefault="0077461E" w:rsidP="003A4A34">
      <w:pPr>
        <w:pStyle w:val="R1"/>
        <w:rPr>
          <w:sz w:val="20"/>
          <w:szCs w:val="20"/>
        </w:rPr>
      </w:pPr>
      <w:r>
        <w:rPr>
          <w:lang w:eastAsia="en-AU"/>
        </w:rPr>
        <w:tab/>
      </w:r>
      <w:r>
        <w:rPr>
          <w:lang w:eastAsia="en-AU"/>
        </w:rPr>
        <w:tab/>
      </w:r>
      <w:r w:rsidRPr="0077461E">
        <w:rPr>
          <w:sz w:val="20"/>
          <w:szCs w:val="20"/>
        </w:rPr>
        <w:t>Note:</w:t>
      </w:r>
      <w:r w:rsidRPr="0077461E">
        <w:rPr>
          <w:sz w:val="20"/>
          <w:szCs w:val="20"/>
        </w:rPr>
        <w:tab/>
        <w:t>The Federal Register of Legislation may be accessed</w:t>
      </w:r>
      <w:r w:rsidR="0067799F">
        <w:rPr>
          <w:sz w:val="20"/>
          <w:szCs w:val="20"/>
        </w:rPr>
        <w:t>, free of charge,</w:t>
      </w:r>
      <w:r w:rsidRPr="0077461E">
        <w:rPr>
          <w:sz w:val="20"/>
          <w:szCs w:val="20"/>
        </w:rPr>
        <w:t xml:space="preserve"> at </w:t>
      </w:r>
      <w:hyperlink r:id="rId12" w:history="1">
        <w:r w:rsidRPr="0077461E">
          <w:rPr>
            <w:rStyle w:val="Hyperlink"/>
            <w:sz w:val="20"/>
            <w:szCs w:val="20"/>
          </w:rPr>
          <w:t>www.legislation.gov.au</w:t>
        </w:r>
      </w:hyperlink>
      <w:r w:rsidRPr="0077461E">
        <w:rPr>
          <w:sz w:val="20"/>
          <w:szCs w:val="20"/>
        </w:rPr>
        <w:t>.</w:t>
      </w:r>
    </w:p>
    <w:p w14:paraId="750721CF" w14:textId="12A98EBB" w:rsidR="00930B54" w:rsidRDefault="00930B54">
      <w:pPr>
        <w:pStyle w:val="HR"/>
        <w:numPr>
          <w:ilvl w:val="0"/>
          <w:numId w:val="2"/>
        </w:numPr>
        <w:rPr>
          <w:rStyle w:val="CharSectno"/>
          <w:rFonts w:ascii="Times New Roman" w:hAnsi="Times New Roman"/>
          <w:b w:val="0"/>
          <w:lang w:eastAsia="en-AU"/>
        </w:rPr>
      </w:pPr>
      <w:r>
        <w:rPr>
          <w:rStyle w:val="CharSectno"/>
        </w:rPr>
        <w:t>Authority</w:t>
      </w:r>
    </w:p>
    <w:p w14:paraId="5FC99B27" w14:textId="14F29C18" w:rsidR="00930B54" w:rsidRPr="00FD3691" w:rsidRDefault="00930B54" w:rsidP="00FD3691">
      <w:pPr>
        <w:spacing w:before="120"/>
        <w:ind w:left="958"/>
        <w:rPr>
          <w:i/>
          <w:lang w:eastAsia="en-US"/>
        </w:rPr>
      </w:pPr>
      <w:r>
        <w:rPr>
          <w:lang w:eastAsia="en-US"/>
        </w:rPr>
        <w:t xml:space="preserve">This Determination is made </w:t>
      </w:r>
      <w:r w:rsidR="00883F32">
        <w:rPr>
          <w:lang w:eastAsia="en-US"/>
        </w:rPr>
        <w:t xml:space="preserve">under paragraph 107(1)(f) of the </w:t>
      </w:r>
      <w:r w:rsidR="00883F32">
        <w:rPr>
          <w:i/>
          <w:lang w:eastAsia="en-US"/>
        </w:rPr>
        <w:t xml:space="preserve">Radiocommunications Act 1992. </w:t>
      </w:r>
    </w:p>
    <w:p w14:paraId="5406548C" w14:textId="5B8AC07B" w:rsidR="00E91CFD" w:rsidRPr="00A036C8" w:rsidRDefault="00E91CFD">
      <w:pPr>
        <w:pStyle w:val="HR"/>
        <w:numPr>
          <w:ilvl w:val="0"/>
          <w:numId w:val="2"/>
        </w:numPr>
        <w:rPr>
          <w:rStyle w:val="CharSectno"/>
          <w:rFonts w:ascii="Times New Roman" w:hAnsi="Times New Roman"/>
          <w:b w:val="0"/>
          <w:lang w:eastAsia="en-AU"/>
        </w:rPr>
      </w:pPr>
      <w:r w:rsidRPr="00A036C8">
        <w:rPr>
          <w:rStyle w:val="CharSectno"/>
        </w:rPr>
        <w:t>Scope</w:t>
      </w:r>
      <w:bookmarkEnd w:id="6"/>
    </w:p>
    <w:p w14:paraId="11E65541" w14:textId="70198F94" w:rsidR="00E91CFD" w:rsidRDefault="00E91CFD" w:rsidP="00FD3691">
      <w:pPr>
        <w:pStyle w:val="R1"/>
        <w:numPr>
          <w:ilvl w:val="1"/>
          <w:numId w:val="7"/>
        </w:numPr>
        <w:tabs>
          <w:tab w:val="clear" w:pos="794"/>
        </w:tabs>
        <w:ind w:left="993" w:hanging="426"/>
      </w:pPr>
      <w:r>
        <w:t>This Determination sets out a condition to which a</w:t>
      </w:r>
      <w:r w:rsidR="007D4752">
        <w:t>n</w:t>
      </w:r>
      <w:r>
        <w:t xml:space="preserve"> </w:t>
      </w:r>
      <w:r w:rsidR="007D4752">
        <w:t>area</w:t>
      </w:r>
      <w:r>
        <w:t>-</w:t>
      </w:r>
      <w:r w:rsidR="007D4752">
        <w:t>wide</w:t>
      </w:r>
      <w:r>
        <w:t xml:space="preserve"> licence is subject.</w:t>
      </w:r>
    </w:p>
    <w:p w14:paraId="4F125172" w14:textId="7ECEB01C" w:rsidR="00E91CFD" w:rsidRDefault="00E91CFD" w:rsidP="00FD3691">
      <w:pPr>
        <w:pStyle w:val="R2"/>
        <w:numPr>
          <w:ilvl w:val="1"/>
          <w:numId w:val="7"/>
        </w:numPr>
        <w:tabs>
          <w:tab w:val="clear" w:pos="794"/>
        </w:tabs>
        <w:ind w:left="993" w:hanging="426"/>
      </w:pPr>
      <w:r>
        <w:t>However, if the condition in this Determination is inconsistent with a condition specified in the licence, the condition specified in the licence applies.</w:t>
      </w:r>
    </w:p>
    <w:p w14:paraId="0CCB65C6" w14:textId="77777777" w:rsidR="00E91CFD" w:rsidRPr="00FD3691" w:rsidRDefault="00E91CFD" w:rsidP="00FD3691">
      <w:pPr>
        <w:pStyle w:val="HR"/>
        <w:numPr>
          <w:ilvl w:val="0"/>
          <w:numId w:val="2"/>
        </w:numPr>
        <w:rPr>
          <w:rStyle w:val="CharSectno"/>
        </w:rPr>
      </w:pPr>
      <w:bookmarkStart w:id="7" w:name="_Toc102817935"/>
      <w:r w:rsidRPr="0017398C">
        <w:rPr>
          <w:rStyle w:val="CharSectno"/>
        </w:rPr>
        <w:t>Interpretation</w:t>
      </w:r>
      <w:bookmarkEnd w:id="7"/>
    </w:p>
    <w:p w14:paraId="720C0ADC" w14:textId="1F3B59DC" w:rsidR="00E91CFD" w:rsidRDefault="00E91CFD" w:rsidP="00DA268C">
      <w:pPr>
        <w:pStyle w:val="R1"/>
        <w:tabs>
          <w:tab w:val="clear" w:pos="794"/>
          <w:tab w:val="right" w:pos="993"/>
        </w:tabs>
        <w:ind w:left="720" w:firstLine="0"/>
      </w:pPr>
      <w:r w:rsidRPr="00D46A5D">
        <w:t>I</w:t>
      </w:r>
      <w:r>
        <w:t>n this Determination, unless the contrary intention appears:</w:t>
      </w:r>
    </w:p>
    <w:p w14:paraId="65C006BE" w14:textId="5DDB3742" w:rsidR="009170E5" w:rsidRPr="00FD3691" w:rsidRDefault="009170E5" w:rsidP="00FD3691">
      <w:pPr>
        <w:pStyle w:val="R1"/>
        <w:tabs>
          <w:tab w:val="clear" w:pos="794"/>
        </w:tabs>
        <w:ind w:left="993" w:firstLine="0"/>
      </w:pPr>
      <w:r>
        <w:rPr>
          <w:b/>
          <w:i/>
        </w:rPr>
        <w:t>Act</w:t>
      </w:r>
      <w:r w:rsidR="00700DBB">
        <w:rPr>
          <w:b/>
          <w:i/>
        </w:rPr>
        <w:t xml:space="preserve"> </w:t>
      </w:r>
      <w:r w:rsidR="00700DBB">
        <w:t xml:space="preserve">means the </w:t>
      </w:r>
      <w:r w:rsidR="00700DBB" w:rsidRPr="00FD3691">
        <w:rPr>
          <w:i/>
        </w:rPr>
        <w:t>Radiocommunications Act 199</w:t>
      </w:r>
      <w:r w:rsidR="0053213B">
        <w:rPr>
          <w:i/>
        </w:rPr>
        <w:t>2</w:t>
      </w:r>
      <w:r w:rsidR="00700DBB">
        <w:t>.</w:t>
      </w:r>
    </w:p>
    <w:p w14:paraId="53098106" w14:textId="24BBB0B0" w:rsidR="00E91CFD" w:rsidRDefault="00E91CFD" w:rsidP="00FD3691">
      <w:pPr>
        <w:pStyle w:val="R1"/>
        <w:tabs>
          <w:tab w:val="clear" w:pos="794"/>
        </w:tabs>
        <w:ind w:left="993" w:firstLine="0"/>
      </w:pPr>
      <w:r w:rsidRPr="00BD48E0">
        <w:rPr>
          <w:b/>
          <w:i/>
        </w:rPr>
        <w:t>licensee</w:t>
      </w:r>
      <w:r>
        <w:t xml:space="preserve"> means:</w:t>
      </w:r>
    </w:p>
    <w:p w14:paraId="2EA79A9F" w14:textId="3EFAA67C" w:rsidR="00E91CFD" w:rsidRDefault="00D876A8" w:rsidP="00FD3691">
      <w:pPr>
        <w:pStyle w:val="P1"/>
        <w:tabs>
          <w:tab w:val="left" w:pos="720"/>
          <w:tab w:val="right" w:pos="794"/>
          <w:tab w:val="left" w:pos="1701"/>
        </w:tabs>
        <w:ind w:left="1560" w:hanging="567"/>
      </w:pPr>
      <w:r>
        <w:t xml:space="preserve">(a) </w:t>
      </w:r>
      <w:r>
        <w:tab/>
      </w:r>
      <w:r w:rsidR="00E91CFD">
        <w:t>the holder of a</w:t>
      </w:r>
      <w:r w:rsidR="007D4752">
        <w:t>n</w:t>
      </w:r>
      <w:r w:rsidR="00E91CFD">
        <w:t xml:space="preserve"> </w:t>
      </w:r>
      <w:r w:rsidR="007D4752">
        <w:t>area-wide</w:t>
      </w:r>
      <w:r w:rsidR="00E91CFD">
        <w:t xml:space="preserve"> licence; </w:t>
      </w:r>
      <w:r w:rsidR="00F01B49">
        <w:t>or</w:t>
      </w:r>
      <w:r w:rsidR="00E91CFD">
        <w:t xml:space="preserve"> </w:t>
      </w:r>
    </w:p>
    <w:p w14:paraId="6EE39EA0" w14:textId="3CF00DA8" w:rsidR="00E91CFD" w:rsidRPr="00260F00" w:rsidRDefault="00D876A8" w:rsidP="00FD3691">
      <w:pPr>
        <w:pStyle w:val="P1"/>
        <w:tabs>
          <w:tab w:val="left" w:pos="720"/>
          <w:tab w:val="right" w:pos="794"/>
          <w:tab w:val="left" w:pos="1701"/>
        </w:tabs>
        <w:ind w:left="1560" w:hanging="567"/>
      </w:pPr>
      <w:r>
        <w:t xml:space="preserve">(b) </w:t>
      </w:r>
      <w:r>
        <w:tab/>
      </w:r>
      <w:r w:rsidR="00E91CFD">
        <w:t xml:space="preserve">a person authorised by the holder of </w:t>
      </w:r>
      <w:r w:rsidR="00054A8A">
        <w:t>a</w:t>
      </w:r>
      <w:r w:rsidR="007D4752">
        <w:t>n area</w:t>
      </w:r>
      <w:r w:rsidR="006802E3">
        <w:t>-</w:t>
      </w:r>
      <w:r w:rsidR="007D4752">
        <w:t>wide</w:t>
      </w:r>
      <w:r w:rsidR="006802E3">
        <w:t xml:space="preserve"> </w:t>
      </w:r>
      <w:r w:rsidR="00E91CFD">
        <w:t>licence to operate a station under the licence.</w:t>
      </w:r>
    </w:p>
    <w:p w14:paraId="2D494A4D" w14:textId="0B6A30A0" w:rsidR="00E91CFD" w:rsidRPr="00B7472D" w:rsidRDefault="00E91CFD">
      <w:pPr>
        <w:pStyle w:val="Note"/>
      </w:pPr>
      <w:r w:rsidRPr="00FD3691">
        <w:t>Note</w:t>
      </w:r>
      <w:r w:rsidRPr="00D6041B">
        <w:t> </w:t>
      </w:r>
      <w:r w:rsidRPr="00FD3691">
        <w:t>1</w:t>
      </w:r>
      <w:r w:rsidR="00D6041B">
        <w:t>:</w:t>
      </w:r>
      <w:r w:rsidRPr="00B7472D">
        <w:t xml:space="preserve">  In accordance with paragraph 13(1)(b) of the </w:t>
      </w:r>
      <w:r w:rsidRPr="00B7472D">
        <w:rPr>
          <w:i/>
        </w:rPr>
        <w:t>Legislati</w:t>
      </w:r>
      <w:r w:rsidR="00A559E0" w:rsidRPr="00B7472D">
        <w:rPr>
          <w:i/>
        </w:rPr>
        <w:t>on</w:t>
      </w:r>
      <w:r w:rsidRPr="00B7472D">
        <w:rPr>
          <w:i/>
        </w:rPr>
        <w:t xml:space="preserve"> Act 2003</w:t>
      </w:r>
      <w:r w:rsidRPr="00B7472D">
        <w:t>, other expressions in this Determination have the same meaning as in the Act, including:</w:t>
      </w:r>
    </w:p>
    <w:p w14:paraId="6FB42E48" w14:textId="77777777" w:rsidR="00E91CFD" w:rsidRPr="00B7472D" w:rsidRDefault="00E91CFD" w:rsidP="00FD3691">
      <w:pPr>
        <w:pStyle w:val="Notepara"/>
        <w:numPr>
          <w:ilvl w:val="2"/>
          <w:numId w:val="4"/>
        </w:numPr>
        <w:tabs>
          <w:tab w:val="left" w:pos="1418"/>
        </w:tabs>
        <w:ind w:left="1843" w:hanging="425"/>
      </w:pPr>
      <w:r w:rsidRPr="00B7472D">
        <w:t>frequency band</w:t>
      </w:r>
    </w:p>
    <w:p w14:paraId="6E6076D7" w14:textId="3F0ACF1F" w:rsidR="00E91CFD" w:rsidRPr="00B7472D" w:rsidRDefault="00DA5553" w:rsidP="00FD3691">
      <w:pPr>
        <w:pStyle w:val="Notepara"/>
        <w:numPr>
          <w:ilvl w:val="2"/>
          <w:numId w:val="4"/>
        </w:numPr>
        <w:tabs>
          <w:tab w:val="left" w:pos="1418"/>
        </w:tabs>
        <w:ind w:left="1843" w:hanging="425"/>
      </w:pPr>
      <w:r w:rsidRPr="00B7472D">
        <w:t>Register.</w:t>
      </w:r>
    </w:p>
    <w:p w14:paraId="05BC0B86" w14:textId="03D811EA" w:rsidR="00E91CFD" w:rsidRPr="00B7472D" w:rsidRDefault="00E91CFD">
      <w:pPr>
        <w:pStyle w:val="Note"/>
      </w:pPr>
      <w:r w:rsidRPr="00FD3691">
        <w:t>Note</w:t>
      </w:r>
      <w:r w:rsidRPr="00D6041B">
        <w:t> </w:t>
      </w:r>
      <w:r w:rsidRPr="00FD3691">
        <w:t>2</w:t>
      </w:r>
      <w:r w:rsidR="00D6041B">
        <w:t>:</w:t>
      </w:r>
      <w:r w:rsidRPr="00B7472D">
        <w:t xml:space="preserve">  In accordance with section 64 of the </w:t>
      </w:r>
      <w:r w:rsidRPr="00B7472D">
        <w:rPr>
          <w:i/>
        </w:rPr>
        <w:t>Australian Communications and Media Authority Act 2005</w:t>
      </w:r>
      <w:r w:rsidRPr="00B7472D">
        <w:t xml:space="preserve">, other expressions in this Determination have the same meaning as in the </w:t>
      </w:r>
      <w:r w:rsidRPr="00B7472D">
        <w:rPr>
          <w:i/>
        </w:rPr>
        <w:t>Radiocommunications (Interpretation) Determination 2015</w:t>
      </w:r>
      <w:r w:rsidRPr="00B7472D">
        <w:t>, including:</w:t>
      </w:r>
    </w:p>
    <w:p w14:paraId="529E1C02" w14:textId="03419549" w:rsidR="00DA5553" w:rsidRPr="00B7472D" w:rsidRDefault="007D4752" w:rsidP="00FD3691">
      <w:pPr>
        <w:pStyle w:val="Notepara"/>
        <w:numPr>
          <w:ilvl w:val="0"/>
          <w:numId w:val="3"/>
        </w:numPr>
        <w:tabs>
          <w:tab w:val="left" w:pos="1418"/>
        </w:tabs>
        <w:ind w:left="1843" w:hanging="425"/>
      </w:pPr>
      <w:r>
        <w:t>area</w:t>
      </w:r>
      <w:r w:rsidR="00DA5553" w:rsidRPr="00B7472D">
        <w:t>-</w:t>
      </w:r>
      <w:r>
        <w:t>wide</w:t>
      </w:r>
      <w:r w:rsidR="00DA5553" w:rsidRPr="00B7472D">
        <w:t xml:space="preserve"> licence</w:t>
      </w:r>
    </w:p>
    <w:p w14:paraId="3517EF6C" w14:textId="77777777" w:rsidR="007D4752" w:rsidRDefault="007D4752" w:rsidP="00FD3691">
      <w:pPr>
        <w:pStyle w:val="Notepara"/>
        <w:numPr>
          <w:ilvl w:val="0"/>
          <w:numId w:val="3"/>
        </w:numPr>
        <w:tabs>
          <w:tab w:val="left" w:pos="1418"/>
        </w:tabs>
        <w:ind w:left="1843" w:hanging="425"/>
      </w:pPr>
      <w:r>
        <w:t>area</w:t>
      </w:r>
      <w:r w:rsidR="00DA5553" w:rsidRPr="00B7472D">
        <w:t>-</w:t>
      </w:r>
      <w:r>
        <w:t>wide</w:t>
      </w:r>
      <w:r w:rsidR="00DA5553" w:rsidRPr="00B7472D">
        <w:t xml:space="preserve"> station</w:t>
      </w:r>
    </w:p>
    <w:p w14:paraId="5B52B384" w14:textId="0A31F3FE" w:rsidR="00E91CFD" w:rsidRPr="00B7472D" w:rsidRDefault="007D4752" w:rsidP="002127BF">
      <w:pPr>
        <w:pStyle w:val="Notepara"/>
        <w:numPr>
          <w:ilvl w:val="0"/>
          <w:numId w:val="3"/>
        </w:numPr>
        <w:tabs>
          <w:tab w:val="left" w:pos="1418"/>
        </w:tabs>
        <w:ind w:left="1843" w:hanging="425"/>
      </w:pPr>
      <w:r w:rsidRPr="00B7472D">
        <w:t>mobile station</w:t>
      </w:r>
      <w:r w:rsidR="0073766D" w:rsidRPr="00B7472D">
        <w:t>.</w:t>
      </w:r>
    </w:p>
    <w:p w14:paraId="1E0F7944" w14:textId="6978C80B" w:rsidR="00E91CFD" w:rsidRPr="00FD3691" w:rsidRDefault="00E91CFD">
      <w:pPr>
        <w:pStyle w:val="HR"/>
        <w:numPr>
          <w:ilvl w:val="0"/>
          <w:numId w:val="2"/>
        </w:numPr>
        <w:rPr>
          <w:rStyle w:val="CharSectno"/>
        </w:rPr>
      </w:pPr>
      <w:bookmarkStart w:id="8" w:name="_Toc102817936"/>
      <w:r w:rsidRPr="00FD3691">
        <w:rPr>
          <w:rStyle w:val="CharSectno"/>
        </w:rPr>
        <w:t>Condition</w:t>
      </w:r>
      <w:bookmarkEnd w:id="8"/>
    </w:p>
    <w:p w14:paraId="52ABD4FB" w14:textId="1BAF81BC" w:rsidR="00E91CFD" w:rsidRDefault="00E91CFD" w:rsidP="00D6041B">
      <w:pPr>
        <w:spacing w:before="120"/>
        <w:ind w:left="958"/>
        <w:rPr>
          <w:lang w:eastAsia="en-US"/>
        </w:rPr>
      </w:pPr>
      <w:r>
        <w:rPr>
          <w:lang w:eastAsia="en-US"/>
        </w:rPr>
        <w:t xml:space="preserve">For paragraph 107(1)(f) of the Act, every </w:t>
      </w:r>
      <w:r w:rsidR="00BF4086">
        <w:rPr>
          <w:lang w:eastAsia="en-US"/>
        </w:rPr>
        <w:t>area</w:t>
      </w:r>
      <w:r w:rsidR="00C834AB">
        <w:rPr>
          <w:lang w:eastAsia="en-US"/>
        </w:rPr>
        <w:t>-</w:t>
      </w:r>
      <w:r w:rsidR="00BF4086">
        <w:rPr>
          <w:lang w:eastAsia="en-US"/>
        </w:rPr>
        <w:t>wide</w:t>
      </w:r>
      <w:r>
        <w:rPr>
          <w:lang w:eastAsia="en-US"/>
        </w:rPr>
        <w:t xml:space="preserve"> licence is subject to the condition in </w:t>
      </w:r>
      <w:r w:rsidR="00423592">
        <w:rPr>
          <w:lang w:eastAsia="en-US"/>
        </w:rPr>
        <w:t xml:space="preserve">section </w:t>
      </w:r>
      <w:r w:rsidR="00D6041B">
        <w:rPr>
          <w:lang w:eastAsia="en-US"/>
        </w:rPr>
        <w:t>7</w:t>
      </w:r>
      <w:r w:rsidR="00423592">
        <w:rPr>
          <w:lang w:eastAsia="en-US"/>
        </w:rPr>
        <w:t xml:space="preserve">. </w:t>
      </w:r>
    </w:p>
    <w:p w14:paraId="76532682" w14:textId="00ECD65B" w:rsidR="00D6041B" w:rsidRDefault="00D6041B" w:rsidP="00FD3691">
      <w:pPr>
        <w:spacing w:before="120"/>
        <w:ind w:left="958"/>
      </w:pPr>
    </w:p>
    <w:p w14:paraId="251692A1" w14:textId="14473CF7" w:rsidR="00E91CFD" w:rsidRPr="00A036C8" w:rsidRDefault="00E91CFD">
      <w:pPr>
        <w:pStyle w:val="HR"/>
        <w:numPr>
          <w:ilvl w:val="0"/>
          <w:numId w:val="2"/>
        </w:numPr>
        <w:rPr>
          <w:rStyle w:val="CharSectno"/>
          <w:rFonts w:ascii="Times New Roman" w:hAnsi="Times New Roman"/>
          <w:b w:val="0"/>
        </w:rPr>
      </w:pPr>
      <w:r>
        <w:rPr>
          <w:rStyle w:val="CharSectno"/>
        </w:rPr>
        <w:lastRenderedPageBreak/>
        <w:t xml:space="preserve">Location of </w:t>
      </w:r>
      <w:r w:rsidR="00BF4086">
        <w:rPr>
          <w:rStyle w:val="CharSectno"/>
        </w:rPr>
        <w:t>area-wide</w:t>
      </w:r>
      <w:r w:rsidR="000B0CE4">
        <w:rPr>
          <w:rStyle w:val="CharSectno"/>
        </w:rPr>
        <w:t xml:space="preserve"> stations</w:t>
      </w:r>
    </w:p>
    <w:p w14:paraId="256CDE25" w14:textId="6F82B046" w:rsidR="00E91CFD" w:rsidRDefault="00D6041B" w:rsidP="00FD3691">
      <w:pPr>
        <w:tabs>
          <w:tab w:val="left" w:pos="993"/>
        </w:tabs>
        <w:spacing w:before="120"/>
        <w:ind w:left="993" w:hanging="426"/>
        <w:rPr>
          <w:lang w:eastAsia="en-US"/>
        </w:rPr>
      </w:pPr>
      <w:r>
        <w:rPr>
          <w:lang w:eastAsia="en-US"/>
        </w:rPr>
        <w:t xml:space="preserve">(1) </w:t>
      </w:r>
      <w:r>
        <w:rPr>
          <w:lang w:eastAsia="en-US"/>
        </w:rPr>
        <w:tab/>
      </w:r>
      <w:r w:rsidR="00E91CFD">
        <w:rPr>
          <w:lang w:eastAsia="en-US"/>
        </w:rPr>
        <w:t xml:space="preserve">Subject to subsection </w:t>
      </w:r>
      <w:r w:rsidR="006E100B">
        <w:rPr>
          <w:lang w:eastAsia="en-US"/>
        </w:rPr>
        <w:t>(</w:t>
      </w:r>
      <w:r w:rsidR="00E91CFD">
        <w:rPr>
          <w:lang w:eastAsia="en-US"/>
        </w:rPr>
        <w:t>3</w:t>
      </w:r>
      <w:r w:rsidR="006E100B">
        <w:rPr>
          <w:lang w:eastAsia="en-US"/>
        </w:rPr>
        <w:t>)</w:t>
      </w:r>
      <w:r w:rsidR="00E91CFD">
        <w:rPr>
          <w:lang w:eastAsia="en-US"/>
        </w:rPr>
        <w:t xml:space="preserve">, </w:t>
      </w:r>
      <w:r w:rsidR="007A1D0F">
        <w:rPr>
          <w:lang w:eastAsia="en-US"/>
        </w:rPr>
        <w:t>the ACMA or any other person</w:t>
      </w:r>
      <w:r>
        <w:rPr>
          <w:lang w:eastAsia="en-US"/>
        </w:rPr>
        <w:t xml:space="preserve"> </w:t>
      </w:r>
      <w:r w:rsidR="00E91CFD">
        <w:rPr>
          <w:lang w:eastAsia="en-US"/>
        </w:rPr>
        <w:t xml:space="preserve">may </w:t>
      </w:r>
      <w:r w:rsidR="007F370E">
        <w:rPr>
          <w:lang w:eastAsia="en-US"/>
        </w:rPr>
        <w:t>request</w:t>
      </w:r>
      <w:r w:rsidR="001E1F18">
        <w:rPr>
          <w:lang w:eastAsia="en-US"/>
        </w:rPr>
        <w:t>, in writing,</w:t>
      </w:r>
      <w:r w:rsidR="007F370E">
        <w:rPr>
          <w:lang w:eastAsia="en-US"/>
        </w:rPr>
        <w:t xml:space="preserve"> from </w:t>
      </w:r>
      <w:r w:rsidR="00E91CFD">
        <w:rPr>
          <w:lang w:eastAsia="en-US"/>
        </w:rPr>
        <w:t>a licensee the following information:</w:t>
      </w:r>
    </w:p>
    <w:p w14:paraId="5C930296" w14:textId="5F9E174B" w:rsidR="00E91CFD" w:rsidRDefault="00D876A8" w:rsidP="00FD3691">
      <w:pPr>
        <w:pStyle w:val="P1"/>
        <w:tabs>
          <w:tab w:val="left" w:pos="720"/>
          <w:tab w:val="right" w:pos="794"/>
          <w:tab w:val="left" w:pos="1418"/>
        </w:tabs>
        <w:ind w:hanging="425"/>
      </w:pPr>
      <w:r>
        <w:t xml:space="preserve">(a) </w:t>
      </w:r>
      <w:r>
        <w:tab/>
      </w:r>
      <w:r w:rsidR="00E91CFD">
        <w:t xml:space="preserve">the location of </w:t>
      </w:r>
      <w:r w:rsidR="000B0CE4">
        <w:t xml:space="preserve">all </w:t>
      </w:r>
      <w:r w:rsidR="00BF4086">
        <w:t>area</w:t>
      </w:r>
      <w:r w:rsidR="00DC0469">
        <w:t>-</w:t>
      </w:r>
      <w:r w:rsidR="00BF4086">
        <w:t>wide</w:t>
      </w:r>
      <w:r w:rsidR="00DC0469">
        <w:t xml:space="preserve"> stations</w:t>
      </w:r>
      <w:r w:rsidR="00E91CFD">
        <w:t xml:space="preserve"> </w:t>
      </w:r>
      <w:r w:rsidR="00E00565">
        <w:t>operated</w:t>
      </w:r>
      <w:r w:rsidR="00E91CFD">
        <w:t xml:space="preserve"> under the licence</w:t>
      </w:r>
      <w:r w:rsidR="0000624A">
        <w:t xml:space="preserve"> on the day the request is </w:t>
      </w:r>
      <w:proofErr w:type="gramStart"/>
      <w:r w:rsidR="0000624A">
        <w:t>made</w:t>
      </w:r>
      <w:r w:rsidR="00E91CFD">
        <w:t>;</w:t>
      </w:r>
      <w:proofErr w:type="gramEnd"/>
      <w:r w:rsidR="00E91CFD">
        <w:t xml:space="preserve">  </w:t>
      </w:r>
    </w:p>
    <w:p w14:paraId="0ED729D5" w14:textId="352E56DF" w:rsidR="00E91CFD" w:rsidRDefault="00D876A8" w:rsidP="00FD3691">
      <w:pPr>
        <w:pStyle w:val="P1"/>
        <w:tabs>
          <w:tab w:val="left" w:pos="720"/>
          <w:tab w:val="right" w:pos="794"/>
          <w:tab w:val="left" w:pos="1418"/>
        </w:tabs>
        <w:ind w:hanging="425"/>
      </w:pPr>
      <w:r>
        <w:t xml:space="preserve">(b) </w:t>
      </w:r>
      <w:r>
        <w:tab/>
      </w:r>
      <w:r w:rsidR="00E91CFD">
        <w:t xml:space="preserve">the maximum total radiated power for each </w:t>
      </w:r>
      <w:r w:rsidR="00630074">
        <w:t xml:space="preserve">such </w:t>
      </w:r>
      <w:r w:rsidR="00BF4086">
        <w:t>area</w:t>
      </w:r>
      <w:r w:rsidR="00DA4161">
        <w:t>-</w:t>
      </w:r>
      <w:r w:rsidR="00BF4086">
        <w:t>wide</w:t>
      </w:r>
      <w:r w:rsidR="00DA4161">
        <w:t xml:space="preserve"> station</w:t>
      </w:r>
      <w:r w:rsidR="00E91CFD">
        <w:t>.</w:t>
      </w:r>
    </w:p>
    <w:p w14:paraId="45ED473C" w14:textId="6244F5DD" w:rsidR="00AB416E" w:rsidRDefault="00D876A8" w:rsidP="00FD3691">
      <w:pPr>
        <w:pStyle w:val="R1"/>
        <w:ind w:hanging="397"/>
      </w:pPr>
      <w:r>
        <w:t xml:space="preserve">(2) </w:t>
      </w:r>
      <w:r w:rsidR="00C14699">
        <w:t>The</w:t>
      </w:r>
      <w:r w:rsidR="00E91CFD">
        <w:t xml:space="preserve"> licensee must provide the information within ten business days of receiving </w:t>
      </w:r>
      <w:r w:rsidR="005048D3">
        <w:t>the</w:t>
      </w:r>
      <w:r w:rsidR="00E91CFD">
        <w:t xml:space="preserve"> request.</w:t>
      </w:r>
    </w:p>
    <w:p w14:paraId="1D09DAA3" w14:textId="7D37BC27" w:rsidR="00AB416E" w:rsidRPr="00FD3691" w:rsidRDefault="00AB416E" w:rsidP="00FD3691">
      <w:pPr>
        <w:pStyle w:val="R1"/>
        <w:tabs>
          <w:tab w:val="clear" w:pos="794"/>
          <w:tab w:val="right" w:pos="993"/>
        </w:tabs>
        <w:ind w:hanging="397"/>
      </w:pPr>
      <w:r w:rsidRPr="00FD3691">
        <w:t xml:space="preserve">(3)   The licensee need not provide the information if: </w:t>
      </w:r>
    </w:p>
    <w:p w14:paraId="33851CCD" w14:textId="1F308617" w:rsidR="00AB416E" w:rsidRPr="00FD3691" w:rsidRDefault="00D445F7" w:rsidP="00FD3691">
      <w:pPr>
        <w:pStyle w:val="P1"/>
        <w:tabs>
          <w:tab w:val="left" w:pos="720"/>
          <w:tab w:val="right" w:pos="794"/>
          <w:tab w:val="left" w:pos="1418"/>
        </w:tabs>
        <w:ind w:hanging="425"/>
      </w:pPr>
      <w:r>
        <w:rPr>
          <w:bCs/>
        </w:rPr>
        <w:t xml:space="preserve">(a) </w:t>
      </w:r>
      <w:r>
        <w:rPr>
          <w:bCs/>
        </w:rPr>
        <w:tab/>
      </w:r>
      <w:r w:rsidR="00AB416E" w:rsidRPr="00FD3691">
        <w:t>the information is about a</w:t>
      </w:r>
      <w:r w:rsidR="00BF4086">
        <w:t>n</w:t>
      </w:r>
      <w:r w:rsidR="00AB416E" w:rsidRPr="00FD3691">
        <w:t xml:space="preserve"> </w:t>
      </w:r>
      <w:r w:rsidR="00BF4086">
        <w:t>area</w:t>
      </w:r>
      <w:r w:rsidR="00AB416E" w:rsidRPr="00FD3691">
        <w:t>-</w:t>
      </w:r>
      <w:r w:rsidR="00BF4086">
        <w:t>wide</w:t>
      </w:r>
      <w:r w:rsidR="00AB416E" w:rsidRPr="00FD3691">
        <w:t xml:space="preserve"> station that is a mobile station; or </w:t>
      </w:r>
    </w:p>
    <w:p w14:paraId="0D01A92C" w14:textId="2A748878" w:rsidR="00AB416E" w:rsidRPr="00FD3691" w:rsidRDefault="00D445F7" w:rsidP="00FD3691">
      <w:pPr>
        <w:pStyle w:val="P1"/>
        <w:tabs>
          <w:tab w:val="left" w:pos="720"/>
          <w:tab w:val="right" w:pos="794"/>
          <w:tab w:val="left" w:pos="1418"/>
        </w:tabs>
        <w:ind w:hanging="425"/>
      </w:pPr>
      <w:r>
        <w:t xml:space="preserve">(b) </w:t>
      </w:r>
      <w:r>
        <w:tab/>
      </w:r>
      <w:r w:rsidR="00AB416E" w:rsidRPr="00FD3691">
        <w:t>the information is included in the Register.</w:t>
      </w:r>
    </w:p>
    <w:p w14:paraId="13C3AEF7" w14:textId="77777777" w:rsidR="00AB416E" w:rsidRPr="00FD3691" w:rsidRDefault="00AB416E" w:rsidP="00AB416E">
      <w:pPr>
        <w:pStyle w:val="ListParagraph"/>
        <w:rPr>
          <w:rFonts w:eastAsiaTheme="minorHAnsi"/>
          <w:bCs/>
        </w:rPr>
      </w:pPr>
    </w:p>
    <w:p w14:paraId="551BF320" w14:textId="7F3381DD" w:rsidR="00AB416E" w:rsidRPr="00FD3691" w:rsidRDefault="00AB416E" w:rsidP="00FD3691">
      <w:pPr>
        <w:ind w:left="993"/>
        <w:rPr>
          <w:bCs/>
          <w:sz w:val="20"/>
          <w:szCs w:val="18"/>
        </w:rPr>
      </w:pPr>
      <w:r w:rsidRPr="00FD3691">
        <w:rPr>
          <w:bCs/>
          <w:sz w:val="20"/>
          <w:szCs w:val="18"/>
        </w:rPr>
        <w:t>Note:  The information may be included in the Register if the licence is subject to a condition of the kind referred to in subsection 10(5A)</w:t>
      </w:r>
      <w:r w:rsidR="00C1307F">
        <w:rPr>
          <w:bCs/>
          <w:sz w:val="20"/>
          <w:szCs w:val="18"/>
        </w:rPr>
        <w:t>, 10(6A)</w:t>
      </w:r>
      <w:r w:rsidRPr="00FD3691">
        <w:rPr>
          <w:bCs/>
          <w:sz w:val="20"/>
          <w:szCs w:val="18"/>
        </w:rPr>
        <w:t xml:space="preserve"> or 10(7A) of the </w:t>
      </w:r>
      <w:r w:rsidRPr="00FD3691">
        <w:rPr>
          <w:bCs/>
          <w:i/>
          <w:iCs/>
          <w:sz w:val="20"/>
          <w:szCs w:val="18"/>
        </w:rPr>
        <w:t>Radiocommunications (Register of Radiocommunications Licences) Determination 2017.</w:t>
      </w:r>
    </w:p>
    <w:p w14:paraId="0A9C280B" w14:textId="77777777" w:rsidR="00E91CFD" w:rsidRPr="008E4515" w:rsidRDefault="00E91CFD" w:rsidP="00E91CFD">
      <w:pPr>
        <w:rPr>
          <w:lang w:eastAsia="en-US"/>
        </w:rPr>
      </w:pPr>
    </w:p>
    <w:p w14:paraId="46C64D22" w14:textId="773745DD" w:rsidR="003F01CE" w:rsidRPr="003F01CE" w:rsidRDefault="003F01CE" w:rsidP="003F01CE"/>
    <w:p w14:paraId="077AB82E" w14:textId="09F88193" w:rsidR="003F01CE" w:rsidRPr="003F01CE" w:rsidRDefault="003F01CE" w:rsidP="003F01CE"/>
    <w:p w14:paraId="1D8F951C" w14:textId="28580932" w:rsidR="003F01CE" w:rsidRPr="003F01CE" w:rsidRDefault="003F01CE" w:rsidP="003F01CE"/>
    <w:p w14:paraId="54659B94" w14:textId="590E637E" w:rsidR="003F01CE" w:rsidRPr="003F01CE" w:rsidRDefault="003F01CE" w:rsidP="003F01CE"/>
    <w:p w14:paraId="180BB3BD" w14:textId="13FB20C5" w:rsidR="003F01CE" w:rsidRDefault="003F01CE" w:rsidP="003F01CE">
      <w:pPr>
        <w:rPr>
          <w:b/>
        </w:rPr>
      </w:pPr>
    </w:p>
    <w:p w14:paraId="2424E781" w14:textId="36D213B5" w:rsidR="003F01CE" w:rsidRDefault="003F01CE" w:rsidP="003F01CE">
      <w:pPr>
        <w:rPr>
          <w:b/>
        </w:rPr>
      </w:pPr>
    </w:p>
    <w:p w14:paraId="344AEA69" w14:textId="145A0F1C" w:rsidR="003F01CE" w:rsidRDefault="003F01CE" w:rsidP="003F01CE">
      <w:pPr>
        <w:tabs>
          <w:tab w:val="left" w:pos="4680"/>
        </w:tabs>
      </w:pPr>
    </w:p>
    <w:p w14:paraId="0F41BE78" w14:textId="6834CB65" w:rsidR="003F01CE" w:rsidRPr="003F01CE" w:rsidRDefault="003F01CE" w:rsidP="003F01CE"/>
    <w:p w14:paraId="7956315F" w14:textId="5BB5E228" w:rsidR="003F01CE" w:rsidRDefault="003F01CE" w:rsidP="003F01CE">
      <w:pPr>
        <w:tabs>
          <w:tab w:val="left" w:pos="1920"/>
        </w:tabs>
      </w:pPr>
    </w:p>
    <w:p w14:paraId="6BB20BD8" w14:textId="287D4C37" w:rsidR="00DF230B" w:rsidRPr="00DF230B" w:rsidRDefault="00DF230B" w:rsidP="00DF230B">
      <w:pPr>
        <w:tabs>
          <w:tab w:val="left" w:pos="2385"/>
        </w:tabs>
      </w:pPr>
      <w:r>
        <w:tab/>
      </w:r>
    </w:p>
    <w:sectPr w:rsidR="00DF230B" w:rsidRPr="00DF230B" w:rsidSect="00703487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0" w:h="16840"/>
      <w:pgMar w:top="1276" w:right="1797" w:bottom="709" w:left="179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F42A6" w14:textId="77777777" w:rsidR="00A111F2" w:rsidRDefault="00A111F2">
      <w:r>
        <w:separator/>
      </w:r>
    </w:p>
  </w:endnote>
  <w:endnote w:type="continuationSeparator" w:id="0">
    <w:p w14:paraId="249E2D26" w14:textId="77777777" w:rsidR="00A111F2" w:rsidRDefault="00A1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10DCB" w14:textId="77777777" w:rsidR="00035C28" w:rsidRDefault="00035C28" w:rsidP="00035C28">
    <w:pPr>
      <w:pStyle w:val="Footer"/>
      <w:pBdr>
        <w:bottom w:val="single" w:sz="6" w:space="1" w:color="auto"/>
      </w:pBdr>
      <w:rPr>
        <w:i/>
      </w:rPr>
    </w:pPr>
  </w:p>
  <w:p w14:paraId="093AC2F2" w14:textId="77777777" w:rsidR="00035C28" w:rsidRDefault="00035C28" w:rsidP="00035C28">
    <w:pPr>
      <w:pStyle w:val="Footer"/>
      <w:rPr>
        <w:i/>
      </w:rPr>
    </w:pPr>
  </w:p>
  <w:p w14:paraId="2E55791C" w14:textId="63DC2ED2" w:rsidR="00035C28" w:rsidRDefault="00035C28" w:rsidP="00035C28">
    <w:pPr>
      <w:pStyle w:val="Footer"/>
      <w:jc w:val="center"/>
    </w:pPr>
    <w:r w:rsidRPr="00844E1E">
      <w:rPr>
        <w:i/>
      </w:rPr>
      <w:t>Radiocommunications Licence Conditions (Area-Wide</w:t>
    </w:r>
    <w:r>
      <w:rPr>
        <w:i/>
      </w:rPr>
      <w:t xml:space="preserve"> Licence</w:t>
    </w:r>
    <w:r w:rsidRPr="00844E1E">
      <w:rPr>
        <w:i/>
      </w:rPr>
      <w:t>) Determination 20</w:t>
    </w:r>
    <w:r w:rsidR="00036F96">
      <w:rPr>
        <w:i/>
      </w:rPr>
      <w:t>20</w:t>
    </w:r>
  </w:p>
  <w:p w14:paraId="0C1FEEC7" w14:textId="77777777" w:rsidR="00703487" w:rsidRDefault="00703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7E57" w14:textId="659C4C39" w:rsidR="0099092F" w:rsidRDefault="0099092F">
    <w:pPr>
      <w:pStyle w:val="Footer"/>
      <w:pBdr>
        <w:bottom w:val="single" w:sz="6" w:space="1" w:color="auto"/>
      </w:pBdr>
      <w:rPr>
        <w:i/>
      </w:rPr>
    </w:pPr>
  </w:p>
  <w:p w14:paraId="29315BD2" w14:textId="77777777" w:rsidR="0099092F" w:rsidRDefault="0099092F">
    <w:pPr>
      <w:pStyle w:val="Footer"/>
      <w:rPr>
        <w:i/>
      </w:rPr>
    </w:pPr>
  </w:p>
  <w:p w14:paraId="15DE3A0A" w14:textId="10FD2401" w:rsidR="00E25B68" w:rsidRDefault="004227F3" w:rsidP="0099092F">
    <w:pPr>
      <w:pStyle w:val="Footer"/>
      <w:jc w:val="center"/>
    </w:pPr>
    <w:r w:rsidRPr="00844E1E">
      <w:rPr>
        <w:i/>
      </w:rPr>
      <w:t>Radiocommunications Licence Conditions (Area-Wide</w:t>
    </w:r>
    <w:r>
      <w:rPr>
        <w:i/>
      </w:rPr>
      <w:t xml:space="preserve"> Licence</w:t>
    </w:r>
    <w:r w:rsidRPr="00844E1E">
      <w:rPr>
        <w:i/>
      </w:rPr>
      <w:t>) Determination 20</w:t>
    </w:r>
    <w:r w:rsidR="00FB3931">
      <w:rPr>
        <w:i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B63C2" w14:textId="77777777" w:rsidR="00A111F2" w:rsidRDefault="00A111F2">
      <w:r>
        <w:separator/>
      </w:r>
    </w:p>
  </w:footnote>
  <w:footnote w:type="continuationSeparator" w:id="0">
    <w:p w14:paraId="4F6CCA4E" w14:textId="77777777" w:rsidR="00A111F2" w:rsidRDefault="00A1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152B" w14:textId="2EE921D6" w:rsidR="00E25B68" w:rsidRDefault="00E25B68" w:rsidP="00E25B68">
    <w:pPr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FF63FD7" wp14:editId="5AD727C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1140" cy="2124075"/>
              <wp:effectExtent l="0" t="1438275" r="0" b="1162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1140" cy="2124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42A3B" w14:textId="77777777" w:rsidR="00E25B68" w:rsidRDefault="00E25B68" w:rsidP="00E25B68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63F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8.2pt;height:167.2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12942A3B" w14:textId="77777777" w:rsidR="00E25B68" w:rsidRDefault="00E25B68" w:rsidP="00E25B68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Section 1</w:t>
    </w:r>
  </w:p>
  <w:p w14:paraId="1C63C85F" w14:textId="77777777" w:rsidR="00E25B68" w:rsidRDefault="00E25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44F4" w14:textId="43823D3A" w:rsidR="00955B67" w:rsidRDefault="00955B67" w:rsidP="00FD3691">
    <w:pPr>
      <w:pBdr>
        <w:bottom w:val="single" w:sz="4" w:space="1" w:color="auto"/>
      </w:pBdr>
    </w:pPr>
    <w:r>
      <w:t xml:space="preserve">Section </w:t>
    </w:r>
    <w:r w:rsidR="00E25B68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9A7"/>
    <w:multiLevelType w:val="hybridMultilevel"/>
    <w:tmpl w:val="539ABA86"/>
    <w:lvl w:ilvl="0" w:tplc="B8DEA2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5EEBF3E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EEEE57C">
      <w:start w:val="1"/>
      <w:numFmt w:val="lowerLetter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22C8"/>
    <w:multiLevelType w:val="hybridMultilevel"/>
    <w:tmpl w:val="31DAC72A"/>
    <w:lvl w:ilvl="0" w:tplc="EA2401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80E01"/>
    <w:multiLevelType w:val="hybridMultilevel"/>
    <w:tmpl w:val="223CD08E"/>
    <w:lvl w:ilvl="0" w:tplc="84B0F30A">
      <w:start w:val="1"/>
      <w:numFmt w:val="decimal"/>
      <w:lvlText w:val="%1"/>
      <w:lvlJc w:val="left"/>
      <w:pPr>
        <w:ind w:left="960" w:hanging="960"/>
      </w:pPr>
      <w:rPr>
        <w:rFonts w:ascii="Arial" w:hAnsi="Arial" w:cs="Arial" w:hint="default"/>
        <w:b/>
        <w:sz w:val="24"/>
      </w:rPr>
    </w:lvl>
    <w:lvl w:ilvl="1" w:tplc="CBAE7B0E">
      <w:start w:val="1"/>
      <w:numFmt w:val="decimal"/>
      <w:lvlText w:val="(%2)"/>
      <w:lvlJc w:val="left"/>
      <w:pPr>
        <w:ind w:left="1155" w:hanging="435"/>
      </w:pPr>
      <w:rPr>
        <w:rFonts w:hint="default"/>
      </w:rPr>
    </w:lvl>
    <w:lvl w:ilvl="2" w:tplc="63BA4BEC">
      <w:start w:val="1"/>
      <w:numFmt w:val="lowerLetter"/>
      <w:lvlText w:val="(%3)"/>
      <w:lvlJc w:val="left"/>
      <w:pPr>
        <w:ind w:left="1800" w:hanging="180"/>
      </w:pPr>
      <w:rPr>
        <w:rFonts w:hint="default"/>
        <w:b w:val="0"/>
        <w:i w:val="0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C238CD"/>
    <w:multiLevelType w:val="hybridMultilevel"/>
    <w:tmpl w:val="AF388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00C3A7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495235E4">
      <w:start w:val="1"/>
      <w:numFmt w:val="lowerLetter"/>
      <w:lvlText w:val="(%3)"/>
      <w:lvlJc w:val="left"/>
      <w:pPr>
        <w:ind w:left="2475" w:hanging="495"/>
      </w:pPr>
      <w:rPr>
        <w:rFonts w:hint="default"/>
      </w:rPr>
    </w:lvl>
    <w:lvl w:ilvl="3" w:tplc="2A22B98C">
      <w:start w:val="2"/>
      <w:numFmt w:val="bullet"/>
      <w:lvlText w:val=""/>
      <w:lvlJc w:val="left"/>
      <w:pPr>
        <w:ind w:left="2985" w:hanging="465"/>
      </w:pPr>
      <w:rPr>
        <w:rFonts w:ascii="Symbol" w:eastAsia="Times New Roman" w:hAnsi="Symbol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72112"/>
    <w:multiLevelType w:val="hybridMultilevel"/>
    <w:tmpl w:val="E6248632"/>
    <w:lvl w:ilvl="0" w:tplc="462A360A">
      <w:start w:val="2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D0028"/>
    <w:multiLevelType w:val="hybridMultilevel"/>
    <w:tmpl w:val="6EBA5D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C090001">
      <w:start w:val="1"/>
      <w:numFmt w:val="bullet"/>
      <w:lvlText w:val=""/>
      <w:lvlJc w:val="left"/>
      <w:pPr>
        <w:ind w:left="2475" w:hanging="495"/>
      </w:pPr>
      <w:rPr>
        <w:rFonts w:ascii="Symbol" w:hAnsi="Symbol" w:hint="default"/>
      </w:rPr>
    </w:lvl>
    <w:lvl w:ilvl="3" w:tplc="2A22B98C">
      <w:start w:val="2"/>
      <w:numFmt w:val="bullet"/>
      <w:lvlText w:val=""/>
      <w:lvlJc w:val="left"/>
      <w:pPr>
        <w:ind w:left="2985" w:hanging="465"/>
      </w:pPr>
      <w:rPr>
        <w:rFonts w:ascii="Symbol" w:eastAsia="Times New Roman" w:hAnsi="Symbol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80B78"/>
    <w:multiLevelType w:val="hybridMultilevel"/>
    <w:tmpl w:val="5240C856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3BA4BEC">
      <w:start w:val="1"/>
      <w:numFmt w:val="lowerLetter"/>
      <w:lvlText w:val="(%2)"/>
      <w:lvlJc w:val="left"/>
      <w:pPr>
        <w:ind w:left="3141" w:hanging="360"/>
      </w:pPr>
      <w:rPr>
        <w:rFonts w:hint="default"/>
        <w:b w:val="0"/>
        <w:i w:val="0"/>
      </w:rPr>
    </w:lvl>
    <w:lvl w:ilvl="2" w:tplc="495235E4">
      <w:start w:val="1"/>
      <w:numFmt w:val="lowerLetter"/>
      <w:lvlText w:val="(%3)"/>
      <w:lvlJc w:val="left"/>
      <w:pPr>
        <w:ind w:left="4176" w:hanging="495"/>
      </w:pPr>
      <w:rPr>
        <w:rFonts w:hint="default"/>
      </w:rPr>
    </w:lvl>
    <w:lvl w:ilvl="3" w:tplc="2A22B98C">
      <w:start w:val="2"/>
      <w:numFmt w:val="bullet"/>
      <w:lvlText w:val=""/>
      <w:lvlJc w:val="left"/>
      <w:pPr>
        <w:ind w:left="4686" w:hanging="465"/>
      </w:pPr>
      <w:rPr>
        <w:rFonts w:ascii="Symbol" w:eastAsia="Times New Roman" w:hAnsi="Symbol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797A21F7"/>
    <w:multiLevelType w:val="hybridMultilevel"/>
    <w:tmpl w:val="08DA0E0A"/>
    <w:lvl w:ilvl="0" w:tplc="4C16474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FD"/>
    <w:rsid w:val="0000624A"/>
    <w:rsid w:val="000118E8"/>
    <w:rsid w:val="00026225"/>
    <w:rsid w:val="00035C28"/>
    <w:rsid w:val="00036F96"/>
    <w:rsid w:val="000437B3"/>
    <w:rsid w:val="00054A8A"/>
    <w:rsid w:val="000847E5"/>
    <w:rsid w:val="00086022"/>
    <w:rsid w:val="00094088"/>
    <w:rsid w:val="000B0CE4"/>
    <w:rsid w:val="000B0DEB"/>
    <w:rsid w:val="000D38E1"/>
    <w:rsid w:val="000D4E0D"/>
    <w:rsid w:val="000F44A9"/>
    <w:rsid w:val="0011435A"/>
    <w:rsid w:val="00125F15"/>
    <w:rsid w:val="0014440A"/>
    <w:rsid w:val="00150B34"/>
    <w:rsid w:val="001860AF"/>
    <w:rsid w:val="00191376"/>
    <w:rsid w:val="001A356F"/>
    <w:rsid w:val="001D2E63"/>
    <w:rsid w:val="001D5529"/>
    <w:rsid w:val="001E1F18"/>
    <w:rsid w:val="001F7E79"/>
    <w:rsid w:val="00217665"/>
    <w:rsid w:val="00236584"/>
    <w:rsid w:val="00260AC5"/>
    <w:rsid w:val="0026165A"/>
    <w:rsid w:val="00284696"/>
    <w:rsid w:val="002A6691"/>
    <w:rsid w:val="002D25D8"/>
    <w:rsid w:val="003024A3"/>
    <w:rsid w:val="00321537"/>
    <w:rsid w:val="003228A3"/>
    <w:rsid w:val="00331956"/>
    <w:rsid w:val="00344FF5"/>
    <w:rsid w:val="00355E30"/>
    <w:rsid w:val="00374A3F"/>
    <w:rsid w:val="003A4A34"/>
    <w:rsid w:val="003B527B"/>
    <w:rsid w:val="003C7B6C"/>
    <w:rsid w:val="003E0C3C"/>
    <w:rsid w:val="003E7376"/>
    <w:rsid w:val="003F01CE"/>
    <w:rsid w:val="003F6820"/>
    <w:rsid w:val="00417380"/>
    <w:rsid w:val="004223C7"/>
    <w:rsid w:val="004227F3"/>
    <w:rsid w:val="00423592"/>
    <w:rsid w:val="0046025D"/>
    <w:rsid w:val="0047022D"/>
    <w:rsid w:val="004733C5"/>
    <w:rsid w:val="00475CE6"/>
    <w:rsid w:val="004807D8"/>
    <w:rsid w:val="0048503B"/>
    <w:rsid w:val="00492188"/>
    <w:rsid w:val="004C47FD"/>
    <w:rsid w:val="004D0780"/>
    <w:rsid w:val="004E647C"/>
    <w:rsid w:val="00501FB8"/>
    <w:rsid w:val="005020FF"/>
    <w:rsid w:val="005048D3"/>
    <w:rsid w:val="0052442C"/>
    <w:rsid w:val="00525383"/>
    <w:rsid w:val="0053213B"/>
    <w:rsid w:val="0053546A"/>
    <w:rsid w:val="005416B1"/>
    <w:rsid w:val="005459A4"/>
    <w:rsid w:val="00552FB5"/>
    <w:rsid w:val="005871A2"/>
    <w:rsid w:val="005878A1"/>
    <w:rsid w:val="005B7B8A"/>
    <w:rsid w:val="005C6D37"/>
    <w:rsid w:val="005D01E4"/>
    <w:rsid w:val="005E10BD"/>
    <w:rsid w:val="00630074"/>
    <w:rsid w:val="00635643"/>
    <w:rsid w:val="00636BA8"/>
    <w:rsid w:val="00674476"/>
    <w:rsid w:val="0067799F"/>
    <w:rsid w:val="006800EE"/>
    <w:rsid w:val="006802E3"/>
    <w:rsid w:val="00681EE0"/>
    <w:rsid w:val="00690D1E"/>
    <w:rsid w:val="006A5CC2"/>
    <w:rsid w:val="006A616F"/>
    <w:rsid w:val="006B6C48"/>
    <w:rsid w:val="006B79E7"/>
    <w:rsid w:val="006C1148"/>
    <w:rsid w:val="006C223A"/>
    <w:rsid w:val="006C70EE"/>
    <w:rsid w:val="006E100B"/>
    <w:rsid w:val="006F20B6"/>
    <w:rsid w:val="006F4A3B"/>
    <w:rsid w:val="00700DBB"/>
    <w:rsid w:val="00703487"/>
    <w:rsid w:val="0071422C"/>
    <w:rsid w:val="0073766D"/>
    <w:rsid w:val="00746792"/>
    <w:rsid w:val="00747332"/>
    <w:rsid w:val="00753086"/>
    <w:rsid w:val="0077461E"/>
    <w:rsid w:val="00783560"/>
    <w:rsid w:val="007A1D0F"/>
    <w:rsid w:val="007B3835"/>
    <w:rsid w:val="007B4D32"/>
    <w:rsid w:val="007C2F7F"/>
    <w:rsid w:val="007D4752"/>
    <w:rsid w:val="007F370E"/>
    <w:rsid w:val="008258B9"/>
    <w:rsid w:val="00843298"/>
    <w:rsid w:val="00844E1E"/>
    <w:rsid w:val="00883F32"/>
    <w:rsid w:val="008B26FF"/>
    <w:rsid w:val="0090174B"/>
    <w:rsid w:val="009170E5"/>
    <w:rsid w:val="00930B54"/>
    <w:rsid w:val="00955B67"/>
    <w:rsid w:val="00956F0A"/>
    <w:rsid w:val="00977982"/>
    <w:rsid w:val="0099092F"/>
    <w:rsid w:val="009A0BBC"/>
    <w:rsid w:val="009C79F4"/>
    <w:rsid w:val="009D0323"/>
    <w:rsid w:val="009F5381"/>
    <w:rsid w:val="00A1105D"/>
    <w:rsid w:val="00A111F2"/>
    <w:rsid w:val="00A11C43"/>
    <w:rsid w:val="00A32D23"/>
    <w:rsid w:val="00A3534B"/>
    <w:rsid w:val="00A372F0"/>
    <w:rsid w:val="00A418B2"/>
    <w:rsid w:val="00A559E0"/>
    <w:rsid w:val="00A6095C"/>
    <w:rsid w:val="00A7187E"/>
    <w:rsid w:val="00A82ABA"/>
    <w:rsid w:val="00A92D3D"/>
    <w:rsid w:val="00A96B65"/>
    <w:rsid w:val="00AA7768"/>
    <w:rsid w:val="00AB416E"/>
    <w:rsid w:val="00AB44F9"/>
    <w:rsid w:val="00AD4AAF"/>
    <w:rsid w:val="00AE2DA6"/>
    <w:rsid w:val="00B511AF"/>
    <w:rsid w:val="00B678CE"/>
    <w:rsid w:val="00B7472D"/>
    <w:rsid w:val="00BB4D34"/>
    <w:rsid w:val="00BC243B"/>
    <w:rsid w:val="00BF4086"/>
    <w:rsid w:val="00C1307F"/>
    <w:rsid w:val="00C14699"/>
    <w:rsid w:val="00C22F95"/>
    <w:rsid w:val="00C30591"/>
    <w:rsid w:val="00C31904"/>
    <w:rsid w:val="00C31E6D"/>
    <w:rsid w:val="00C7109F"/>
    <w:rsid w:val="00C834AB"/>
    <w:rsid w:val="00CB7C14"/>
    <w:rsid w:val="00D00FBD"/>
    <w:rsid w:val="00D05639"/>
    <w:rsid w:val="00D21E1B"/>
    <w:rsid w:val="00D25B74"/>
    <w:rsid w:val="00D3707A"/>
    <w:rsid w:val="00D40BF1"/>
    <w:rsid w:val="00D445F7"/>
    <w:rsid w:val="00D6041B"/>
    <w:rsid w:val="00D63FD2"/>
    <w:rsid w:val="00D6458F"/>
    <w:rsid w:val="00D876A8"/>
    <w:rsid w:val="00D90FB7"/>
    <w:rsid w:val="00DA268C"/>
    <w:rsid w:val="00DA4161"/>
    <w:rsid w:val="00DA5553"/>
    <w:rsid w:val="00DB07D5"/>
    <w:rsid w:val="00DB478D"/>
    <w:rsid w:val="00DC0469"/>
    <w:rsid w:val="00DF230B"/>
    <w:rsid w:val="00E00565"/>
    <w:rsid w:val="00E25B68"/>
    <w:rsid w:val="00E711D1"/>
    <w:rsid w:val="00E8291B"/>
    <w:rsid w:val="00E91CFD"/>
    <w:rsid w:val="00E955B2"/>
    <w:rsid w:val="00EA2DF6"/>
    <w:rsid w:val="00EA70CD"/>
    <w:rsid w:val="00EF49B8"/>
    <w:rsid w:val="00F01B49"/>
    <w:rsid w:val="00F108A3"/>
    <w:rsid w:val="00F21242"/>
    <w:rsid w:val="00F21818"/>
    <w:rsid w:val="00F277AE"/>
    <w:rsid w:val="00F45257"/>
    <w:rsid w:val="00F47E1A"/>
    <w:rsid w:val="00F53290"/>
    <w:rsid w:val="00F57153"/>
    <w:rsid w:val="00FB3931"/>
    <w:rsid w:val="00FC192B"/>
    <w:rsid w:val="00FD3691"/>
    <w:rsid w:val="00FE0FE0"/>
    <w:rsid w:val="00FF138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0A2E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1CFD"/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91CFD"/>
    <w:rPr>
      <w:rFonts w:ascii="Arial" w:eastAsia="Times New Roman" w:hAnsi="Arial" w:cs="Times New Roman"/>
      <w:noProof/>
      <w:sz w:val="18"/>
      <w:szCs w:val="24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E91CFD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1">
    <w:name w:val="R1"/>
    <w:aliases w:val="1. or 1.(1)"/>
    <w:basedOn w:val="Normal"/>
    <w:next w:val="Normal"/>
    <w:rsid w:val="00E91CFD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P1">
    <w:name w:val="P1"/>
    <w:aliases w:val="(a)"/>
    <w:basedOn w:val="Normal"/>
    <w:rsid w:val="00E91CFD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E91CFD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styleId="Title">
    <w:name w:val="Title"/>
    <w:basedOn w:val="Normal"/>
    <w:next w:val="Normal"/>
    <w:link w:val="TitleChar"/>
    <w:qFormat/>
    <w:rsid w:val="00E91CFD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E91CFD"/>
    <w:rPr>
      <w:rFonts w:ascii="Arial" w:eastAsia="Times New Roman" w:hAnsi="Arial" w:cs="Arial"/>
      <w:b/>
      <w:bCs/>
      <w:noProof/>
      <w:sz w:val="40"/>
      <w:szCs w:val="40"/>
    </w:rPr>
  </w:style>
  <w:style w:type="character" w:styleId="PageNumber">
    <w:name w:val="page number"/>
    <w:rsid w:val="00E91CFD"/>
    <w:rPr>
      <w:rFonts w:ascii="Arial" w:hAnsi="Arial"/>
      <w:sz w:val="22"/>
    </w:rPr>
  </w:style>
  <w:style w:type="paragraph" w:customStyle="1" w:styleId="HeaderLiteEven">
    <w:name w:val="HeaderLiteEven"/>
    <w:basedOn w:val="Normal"/>
    <w:rsid w:val="00E91CFD"/>
    <w:pPr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E91CFD"/>
    <w:pPr>
      <w:spacing w:before="60"/>
      <w:jc w:val="right"/>
    </w:pPr>
    <w:rPr>
      <w:rFonts w:ascii="Arial" w:hAnsi="Arial"/>
      <w:sz w:val="18"/>
    </w:rPr>
  </w:style>
  <w:style w:type="character" w:customStyle="1" w:styleId="CharSectno">
    <w:name w:val="CharSectno"/>
    <w:basedOn w:val="DefaultParagraphFont"/>
    <w:rsid w:val="00E91CFD"/>
  </w:style>
  <w:style w:type="paragraph" w:customStyle="1" w:styleId="HeaderBoldEven">
    <w:name w:val="HeaderBoldEven"/>
    <w:basedOn w:val="Normal"/>
    <w:rsid w:val="00E91CFD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E91CFD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Note">
    <w:name w:val="Note"/>
    <w:basedOn w:val="Normal"/>
    <w:autoRedefine/>
    <w:rsid w:val="000847E5"/>
    <w:pPr>
      <w:keepNext/>
      <w:tabs>
        <w:tab w:val="left" w:pos="993"/>
      </w:tabs>
      <w:spacing w:before="120" w:line="220" w:lineRule="exact"/>
      <w:ind w:left="993"/>
      <w:jc w:val="both"/>
    </w:pPr>
    <w:rPr>
      <w:rFonts w:ascii="Times" w:hAnsi="Times"/>
      <w:sz w:val="20"/>
      <w:szCs w:val="20"/>
      <w:lang w:eastAsia="en-US"/>
    </w:rPr>
  </w:style>
  <w:style w:type="paragraph" w:customStyle="1" w:styleId="Notepara">
    <w:name w:val="Note para"/>
    <w:basedOn w:val="Normal"/>
    <w:rsid w:val="00E91CFD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CoverAct">
    <w:name w:val="CoverAct"/>
    <w:basedOn w:val="Normal"/>
    <w:next w:val="Normal"/>
    <w:rsid w:val="00E91CFD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Update">
    <w:name w:val="CoverUpdate"/>
    <w:basedOn w:val="Normal"/>
    <w:rsid w:val="00E91CFD"/>
    <w:pPr>
      <w:spacing w:before="240"/>
    </w:pPr>
  </w:style>
  <w:style w:type="character" w:styleId="CommentReference">
    <w:name w:val="annotation reference"/>
    <w:rsid w:val="00E91C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1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1CFD"/>
    <w:rPr>
      <w:rFonts w:ascii="Times New Roman" w:eastAsia="Times New Roman" w:hAnsi="Times New Roman" w:cs="Times New Roman"/>
      <w:noProof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E91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D"/>
    <w:rPr>
      <w:rFonts w:ascii="Segoe UI" w:eastAsia="Times New Roman" w:hAnsi="Segoe UI" w:cs="Segoe UI"/>
      <w:noProof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F10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8A3"/>
    <w:rPr>
      <w:color w:val="605E5C"/>
      <w:shd w:val="clear" w:color="auto" w:fill="E1DFDD"/>
    </w:rPr>
  </w:style>
  <w:style w:type="paragraph" w:customStyle="1" w:styleId="subsection">
    <w:name w:val="subsection"/>
    <w:basedOn w:val="Normal"/>
    <w:rsid w:val="00F108A3"/>
    <w:pPr>
      <w:spacing w:before="100" w:beforeAutospacing="1" w:after="100" w:afterAutospacing="1"/>
    </w:pPr>
  </w:style>
  <w:style w:type="paragraph" w:customStyle="1" w:styleId="li-bodytextnote">
    <w:name w:val="li-bodytextnote"/>
    <w:basedOn w:val="Normal"/>
    <w:rsid w:val="00F108A3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8B2"/>
    <w:rPr>
      <w:rFonts w:ascii="Times New Roman" w:eastAsia="Times New Roman" w:hAnsi="Times New Roman" w:cs="Times New Roman"/>
      <w:b/>
      <w:bCs/>
      <w:noProof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800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0EE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0988F91EE0F4F80A727CD01D192AF" ma:contentTypeVersion="10" ma:contentTypeDescription="Create a new document." ma:contentTypeScope="" ma:versionID="bf6a63ec9137df79bce2b0f34f8ebee2">
  <xsd:schema xmlns:xsd="http://www.w3.org/2001/XMLSchema" xmlns:xs="http://www.w3.org/2001/XMLSchema" xmlns:p="http://schemas.microsoft.com/office/2006/metadata/properties" xmlns:ns3="523206b7-4c20-4510-872a-3f5c9c3e077a" targetNamespace="http://schemas.microsoft.com/office/2006/metadata/properties" ma:root="true" ma:fieldsID="0574d7968390cf3bcdb61d38e8d3e8f0" ns3:_="">
    <xsd:import namespace="523206b7-4c20-4510-872a-3f5c9c3e07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206b7-4c20-4510-872a-3f5c9c3e0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3767-0BBA-4E9F-827D-752CBAE7E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47676-58F8-48F5-AEAA-07F747D8E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8C39D-D998-4362-8AEB-8C618F3F5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206b7-4c20-4510-872a-3f5c9c3e0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E2254-4D66-4E08-B3A5-55C06168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2020-01-23T02:09:00Z</dcterms:created>
  <dcterms:modified xsi:type="dcterms:W3CDTF">2020-01-29T00:55:00Z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0x0101009160988F91EE0F4F80A727CD01D192AF</vt:lpwstr>
  </property>
  <property fmtid="{D5CDD505-2E9C-101B-9397-08002B2CF9AE}" pid="3" name="_dlc_DocIdItemGuid">
    <vt:lpwstr>7d2d9237-bb0c-494c-9a49-0f9f698d1cec</vt:lpwstr>
  </property>
</Properties>
</file>