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8162C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78F25" w14:textId="77777777" w:rsidR="00715914" w:rsidRPr="00E500D4" w:rsidRDefault="00715914" w:rsidP="00715914">
      <w:pPr>
        <w:rPr>
          <w:sz w:val="19"/>
        </w:rPr>
      </w:pPr>
    </w:p>
    <w:p w14:paraId="155B4D58" w14:textId="78A5692C" w:rsidR="00A2619F" w:rsidRDefault="00A2619F" w:rsidP="00A2619F">
      <w:pPr>
        <w:pStyle w:val="ShortT"/>
      </w:pPr>
      <w:r>
        <w:t xml:space="preserve">Direction to the Independent Hospital Pricing Authority on the performance of its functions under section 226 of the </w:t>
      </w:r>
      <w:r w:rsidRPr="00A2619F">
        <w:rPr>
          <w:i/>
        </w:rPr>
        <w:t>National Health Reform Act 2011</w:t>
      </w:r>
      <w:r>
        <w:rPr>
          <w:i/>
        </w:rPr>
        <w:t xml:space="preserve"> </w:t>
      </w:r>
      <w:r>
        <w:t>- No 1/20</w:t>
      </w:r>
      <w:r w:rsidR="00704169">
        <w:t>20</w:t>
      </w:r>
    </w:p>
    <w:p w14:paraId="6AB2E6B5" w14:textId="77777777" w:rsidR="00554826" w:rsidRPr="0095386F" w:rsidRDefault="00554826" w:rsidP="00554826">
      <w:pPr>
        <w:pStyle w:val="SignCoverPageStart"/>
        <w:spacing w:before="240"/>
        <w:ind w:right="91"/>
        <w:rPr>
          <w:szCs w:val="22"/>
        </w:rPr>
      </w:pPr>
      <w:r w:rsidRPr="0095386F">
        <w:rPr>
          <w:szCs w:val="22"/>
        </w:rPr>
        <w:t>I</w:t>
      </w:r>
      <w:r w:rsidR="0095386F" w:rsidRPr="0095386F">
        <w:rPr>
          <w:szCs w:val="22"/>
        </w:rPr>
        <w:t>, GREG HUNT</w:t>
      </w:r>
      <w:r w:rsidRPr="0095386F">
        <w:rPr>
          <w:szCs w:val="22"/>
        </w:rPr>
        <w:t xml:space="preserve">, </w:t>
      </w:r>
      <w:r w:rsidR="00A2619F" w:rsidRPr="0095386F">
        <w:rPr>
          <w:szCs w:val="22"/>
        </w:rPr>
        <w:t>Minister for Health</w:t>
      </w:r>
      <w:r w:rsidRPr="0095386F">
        <w:rPr>
          <w:szCs w:val="22"/>
        </w:rPr>
        <w:t xml:space="preserve">, </w:t>
      </w:r>
      <w:r w:rsidR="00884C4E" w:rsidRPr="0095386F">
        <w:rPr>
          <w:szCs w:val="22"/>
        </w:rPr>
        <w:t>acting under subsection 226(1) of the </w:t>
      </w:r>
      <w:r w:rsidR="00B87FA7" w:rsidRPr="0095386F">
        <w:rPr>
          <w:szCs w:val="22"/>
        </w:rPr>
        <w:br/>
      </w:r>
      <w:r w:rsidR="00884C4E" w:rsidRPr="0095386F">
        <w:rPr>
          <w:i/>
          <w:iCs/>
          <w:szCs w:val="22"/>
        </w:rPr>
        <w:t>National</w:t>
      </w:r>
      <w:r w:rsidR="00884C4E" w:rsidRPr="0095386F">
        <w:rPr>
          <w:szCs w:val="22"/>
        </w:rPr>
        <w:t> </w:t>
      </w:r>
      <w:r w:rsidR="00884C4E" w:rsidRPr="0095386F">
        <w:rPr>
          <w:i/>
          <w:iCs/>
          <w:szCs w:val="22"/>
        </w:rPr>
        <w:t>Health Reform Act 2011</w:t>
      </w:r>
      <w:r w:rsidR="00884C4E" w:rsidRPr="0095386F">
        <w:rPr>
          <w:szCs w:val="22"/>
        </w:rPr>
        <w:t xml:space="preserve">, </w:t>
      </w:r>
      <w:r w:rsidR="009F6909" w:rsidRPr="0095386F">
        <w:rPr>
          <w:szCs w:val="22"/>
        </w:rPr>
        <w:t xml:space="preserve">and </w:t>
      </w:r>
      <w:r w:rsidR="00884C4E" w:rsidRPr="0095386F">
        <w:rPr>
          <w:szCs w:val="22"/>
        </w:rPr>
        <w:t xml:space="preserve">having consulted with the Standing Council on Health, </w:t>
      </w:r>
      <w:r w:rsidR="00B87FA7" w:rsidRPr="0095386F">
        <w:rPr>
          <w:szCs w:val="22"/>
        </w:rPr>
        <w:t xml:space="preserve">DIRECT </w:t>
      </w:r>
      <w:r w:rsidR="00884C4E" w:rsidRPr="0095386F">
        <w:rPr>
          <w:szCs w:val="22"/>
        </w:rPr>
        <w:t xml:space="preserve">the Independent Hospital Pricing Authority to undertake the actions set out in the </w:t>
      </w:r>
      <w:r w:rsidR="00D85D6F" w:rsidRPr="0095386F">
        <w:rPr>
          <w:szCs w:val="22"/>
        </w:rPr>
        <w:t xml:space="preserve">schedule </w:t>
      </w:r>
      <w:r w:rsidR="00884C4E" w:rsidRPr="0095386F">
        <w:rPr>
          <w:szCs w:val="22"/>
        </w:rPr>
        <w:t>to this instrument</w:t>
      </w:r>
      <w:r w:rsidR="00D85D6F" w:rsidRPr="0095386F">
        <w:rPr>
          <w:szCs w:val="22"/>
        </w:rPr>
        <w:t>.</w:t>
      </w:r>
    </w:p>
    <w:p w14:paraId="6C49A15E" w14:textId="5DB88FF0" w:rsidR="00554826" w:rsidRPr="0095386F" w:rsidRDefault="006118E9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>29 January 2020</w:t>
      </w:r>
      <w:r w:rsidR="00554826" w:rsidRPr="0095386F">
        <w:rPr>
          <w:szCs w:val="22"/>
        </w:rPr>
        <w:tab/>
      </w:r>
    </w:p>
    <w:p w14:paraId="5FC07767" w14:textId="3F22C19B" w:rsidR="00554826" w:rsidRPr="0095386F" w:rsidRDefault="0095386F" w:rsidP="003D4356">
      <w:pPr>
        <w:keepNext/>
        <w:tabs>
          <w:tab w:val="center" w:pos="3958"/>
        </w:tabs>
        <w:spacing w:before="1440" w:line="300" w:lineRule="atLeast"/>
        <w:ind w:right="397"/>
        <w:rPr>
          <w:b/>
          <w:szCs w:val="22"/>
        </w:rPr>
      </w:pPr>
      <w:r w:rsidRPr="0095386F">
        <w:rPr>
          <w:szCs w:val="22"/>
        </w:rPr>
        <w:t>GREG HUNT</w:t>
      </w:r>
      <w:r w:rsidR="003D4356">
        <w:rPr>
          <w:szCs w:val="22"/>
        </w:rPr>
        <w:tab/>
      </w:r>
    </w:p>
    <w:p w14:paraId="0AE271A0" w14:textId="77777777" w:rsidR="00F6696E" w:rsidRPr="00884C4E" w:rsidRDefault="00884C4E" w:rsidP="00884C4E">
      <w:pPr>
        <w:pStyle w:val="SignCoverPageEnd"/>
        <w:ind w:right="91"/>
        <w:rPr>
          <w:sz w:val="22"/>
        </w:rPr>
        <w:sectPr w:rsidR="00F6696E" w:rsidRPr="00884C4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  <w:r w:rsidRPr="0095386F">
        <w:rPr>
          <w:sz w:val="22"/>
        </w:rPr>
        <w:t>Minister for Health</w:t>
      </w:r>
    </w:p>
    <w:p w14:paraId="2C2DD072" w14:textId="77777777" w:rsidR="00F6696E" w:rsidRDefault="00F6696E" w:rsidP="00F6696E">
      <w:pPr>
        <w:outlineLvl w:val="0"/>
      </w:pPr>
    </w:p>
    <w:p w14:paraId="74A261EA" w14:textId="77777777" w:rsidR="00554826" w:rsidRPr="00554826" w:rsidRDefault="00554826" w:rsidP="00554826">
      <w:pPr>
        <w:pStyle w:val="ActHead5"/>
      </w:pPr>
      <w:bookmarkStart w:id="0" w:name="_Toc454512513"/>
      <w:proofErr w:type="gramStart"/>
      <w:r w:rsidRPr="00554826">
        <w:t>1  Name</w:t>
      </w:r>
      <w:bookmarkEnd w:id="0"/>
      <w:proofErr w:type="gramEnd"/>
    </w:p>
    <w:p w14:paraId="149354EB" w14:textId="00481C03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884C4E" w:rsidRPr="00884C4E">
        <w:rPr>
          <w:i/>
        </w:rPr>
        <w:t>Direction to the Independent Hospital Pricing Authority on the performance of its functions under section 226 of the National Health Reform Act 2011 - No 1/20</w:t>
      </w:r>
      <w:r w:rsidR="00704169">
        <w:rPr>
          <w:i/>
        </w:rPr>
        <w:t>20</w:t>
      </w:r>
      <w:r w:rsidRPr="009C2562">
        <w:t>.</w:t>
      </w:r>
    </w:p>
    <w:p w14:paraId="732D83D3" w14:textId="77777777" w:rsidR="00554826" w:rsidRPr="00554826" w:rsidRDefault="00554826" w:rsidP="00554826">
      <w:pPr>
        <w:pStyle w:val="ActHead5"/>
      </w:pPr>
      <w:bookmarkStart w:id="2" w:name="_Toc454512514"/>
      <w:proofErr w:type="gramStart"/>
      <w:r w:rsidRPr="00554826">
        <w:t>2  Commencement</w:t>
      </w:r>
      <w:bookmarkEnd w:id="2"/>
      <w:proofErr w:type="gramEnd"/>
    </w:p>
    <w:p w14:paraId="3427284B" w14:textId="77777777" w:rsidR="00554826" w:rsidRPr="00884C4E" w:rsidRDefault="00554826" w:rsidP="00884C4E">
      <w:pPr>
        <w:pStyle w:val="subsection"/>
      </w:pPr>
      <w:r>
        <w:tab/>
      </w:r>
      <w:r>
        <w:tab/>
        <w:t>This instrument commences</w:t>
      </w:r>
      <w:r w:rsidR="00884C4E">
        <w:t xml:space="preserve"> on the</w:t>
      </w:r>
      <w:r>
        <w:t xml:space="preserve"> </w:t>
      </w:r>
      <w:r w:rsidR="00884C4E" w:rsidRPr="00884C4E">
        <w:t>day after it is registered on the Federal Register of Legislation.</w:t>
      </w:r>
    </w:p>
    <w:p w14:paraId="5D419BC9" w14:textId="77777777" w:rsidR="00554826" w:rsidRPr="00554826" w:rsidRDefault="00554826" w:rsidP="00554826">
      <w:pPr>
        <w:pStyle w:val="ActHead5"/>
      </w:pPr>
      <w:bookmarkStart w:id="3" w:name="_Toc454512515"/>
      <w:proofErr w:type="gramStart"/>
      <w:r w:rsidRPr="00554826">
        <w:t>3  Authority</w:t>
      </w:r>
      <w:bookmarkEnd w:id="3"/>
      <w:proofErr w:type="gramEnd"/>
    </w:p>
    <w:p w14:paraId="3902665B" w14:textId="77777777" w:rsidR="00554826" w:rsidRPr="00884C4E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</w:t>
      </w:r>
      <w:r w:rsidRPr="00884C4E">
        <w:t xml:space="preserve">made under </w:t>
      </w:r>
      <w:r w:rsidR="00A2619F" w:rsidRPr="00884C4E">
        <w:t>section 226</w:t>
      </w:r>
      <w:bookmarkStart w:id="4" w:name="_GoBack"/>
      <w:bookmarkEnd w:id="4"/>
      <w:r w:rsidR="00A2619F" w:rsidRPr="00884C4E">
        <w:t xml:space="preserve"> of the </w:t>
      </w:r>
      <w:r w:rsidR="00A2619F" w:rsidRPr="00884C4E">
        <w:rPr>
          <w:i/>
        </w:rPr>
        <w:t>National Health Reform Act 2011</w:t>
      </w:r>
      <w:r w:rsidR="00A2619F" w:rsidRPr="00884C4E">
        <w:t>.</w:t>
      </w:r>
    </w:p>
    <w:p w14:paraId="2C1D7FF6" w14:textId="77777777" w:rsidR="00554826" w:rsidRPr="00884C4E" w:rsidRDefault="00554826" w:rsidP="00554826">
      <w:pPr>
        <w:pStyle w:val="ActHead5"/>
      </w:pPr>
      <w:bookmarkStart w:id="5" w:name="_Toc454512516"/>
      <w:proofErr w:type="gramStart"/>
      <w:r w:rsidRPr="00884C4E">
        <w:t>4  Definitions</w:t>
      </w:r>
      <w:bookmarkEnd w:id="5"/>
      <w:proofErr w:type="gramEnd"/>
    </w:p>
    <w:p w14:paraId="02C2BE1D" w14:textId="77777777" w:rsidR="00554826" w:rsidRPr="009C2562" w:rsidRDefault="00554826" w:rsidP="00FA1A6E">
      <w:pPr>
        <w:pStyle w:val="notetext"/>
      </w:pPr>
      <w:r w:rsidRPr="00884C4E">
        <w:t>Note:</w:t>
      </w:r>
      <w:r w:rsidRPr="00884C4E">
        <w:tab/>
        <w:t xml:space="preserve">A number of expressions used in this instrument are defined in section </w:t>
      </w:r>
      <w:r w:rsidR="00884C4E" w:rsidRPr="00884C4E">
        <w:t xml:space="preserve">5 </w:t>
      </w:r>
      <w:r w:rsidRPr="00884C4E">
        <w:t>of the</w:t>
      </w:r>
      <w:r>
        <w:t xml:space="preserve"> Act</w:t>
      </w:r>
      <w:r w:rsidRPr="009C2562">
        <w:t>, including the following:</w:t>
      </w:r>
    </w:p>
    <w:p w14:paraId="0404056D" w14:textId="77777777" w:rsidR="00554826" w:rsidRDefault="00D7061C" w:rsidP="00691E0E">
      <w:pPr>
        <w:pStyle w:val="notepara"/>
        <w:numPr>
          <w:ilvl w:val="0"/>
          <w:numId w:val="16"/>
        </w:numPr>
      </w:pPr>
      <w:r>
        <w:t>COAG</w:t>
      </w:r>
      <w:r w:rsidR="00B87FA7" w:rsidRPr="00B87FA7">
        <w:t>;</w:t>
      </w:r>
    </w:p>
    <w:p w14:paraId="2950E47E" w14:textId="77777777" w:rsidR="00691E0E" w:rsidRDefault="00691E0E" w:rsidP="00691E0E">
      <w:pPr>
        <w:pStyle w:val="notepara"/>
        <w:numPr>
          <w:ilvl w:val="0"/>
          <w:numId w:val="16"/>
        </w:numPr>
      </w:pPr>
      <w:r>
        <w:t>National Health Reform Agreement;</w:t>
      </w:r>
    </w:p>
    <w:p w14:paraId="1F5A8198" w14:textId="77777777" w:rsidR="00B87FA7" w:rsidRDefault="00691E0E" w:rsidP="00B87FA7">
      <w:pPr>
        <w:pStyle w:val="notepara"/>
      </w:pPr>
      <w:r>
        <w:t>(c</w:t>
      </w:r>
      <w:r w:rsidR="00B87FA7" w:rsidRPr="00B87FA7">
        <w:t>)</w:t>
      </w:r>
      <w:r w:rsidR="00B87FA7" w:rsidRPr="00B87FA7">
        <w:tab/>
      </w:r>
      <w:r w:rsidR="00D7061C">
        <w:t>Pricing Authority;</w:t>
      </w:r>
    </w:p>
    <w:p w14:paraId="6E2A67EA" w14:textId="77777777" w:rsidR="00D7061C" w:rsidRPr="009C2562" w:rsidRDefault="00691E0E" w:rsidP="00D7061C">
      <w:pPr>
        <w:pStyle w:val="notepara"/>
      </w:pPr>
      <w:r>
        <w:t>(d</w:t>
      </w:r>
      <w:r w:rsidR="00D7061C" w:rsidRPr="00D7061C">
        <w:t>)</w:t>
      </w:r>
      <w:r w:rsidR="00D7061C" w:rsidRPr="00D7061C">
        <w:tab/>
        <w:t>Standing Council on Health.</w:t>
      </w:r>
    </w:p>
    <w:p w14:paraId="6BE16D56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422C5F13" w14:textId="77777777" w:rsidR="00F24743" w:rsidRPr="00884C4E" w:rsidRDefault="00F24743" w:rsidP="00F24743">
      <w:pPr>
        <w:pStyle w:val="Definition"/>
        <w:rPr>
          <w:i/>
        </w:rPr>
      </w:pPr>
      <w:r w:rsidRPr="00884C4E">
        <w:rPr>
          <w:b/>
          <w:i/>
        </w:rPr>
        <w:t>Act</w:t>
      </w:r>
      <w:r w:rsidRPr="00884C4E">
        <w:t xml:space="preserve"> means the </w:t>
      </w:r>
      <w:r w:rsidRPr="00884C4E">
        <w:rPr>
          <w:i/>
        </w:rPr>
        <w:t>National Health Reform Act 2011.</w:t>
      </w:r>
    </w:p>
    <w:p w14:paraId="3B4825DB" w14:textId="77777777" w:rsidR="00CF3DED" w:rsidRDefault="00DE2E2A" w:rsidP="00CF3DED">
      <w:pPr>
        <w:pStyle w:val="Definition"/>
      </w:pPr>
      <w:r w:rsidRPr="00DE2E2A">
        <w:rPr>
          <w:b/>
          <w:i/>
        </w:rPr>
        <w:t xml:space="preserve">Australian Health Ministers’ Advisory Council </w:t>
      </w:r>
      <w:r>
        <w:t xml:space="preserve">means the advisory body established or recognised by the Standing Council on Health. </w:t>
      </w:r>
    </w:p>
    <w:p w14:paraId="59E1271C" w14:textId="77777777" w:rsidR="00CC5F48" w:rsidRPr="00150A43" w:rsidRDefault="00CC5F48" w:rsidP="00091232">
      <w:pPr>
        <w:pStyle w:val="Definition"/>
        <w:rPr>
          <w:i/>
        </w:rPr>
      </w:pPr>
      <w:proofErr w:type="gramStart"/>
      <w:r w:rsidRPr="00150A43">
        <w:rPr>
          <w:b/>
          <w:i/>
        </w:rPr>
        <w:t>cost</w:t>
      </w:r>
      <w:proofErr w:type="gramEnd"/>
      <w:r w:rsidRPr="00150A43">
        <w:rPr>
          <w:b/>
          <w:i/>
        </w:rPr>
        <w:t xml:space="preserve"> model</w:t>
      </w:r>
      <w:r w:rsidRPr="00A777BD">
        <w:rPr>
          <w:b/>
        </w:rPr>
        <w:t xml:space="preserve"> </w:t>
      </w:r>
      <w:r w:rsidRPr="00A777BD">
        <w:t xml:space="preserve">includes </w:t>
      </w:r>
      <w:r w:rsidR="00091232" w:rsidRPr="00A777BD">
        <w:t xml:space="preserve">deriving cost profiles, adjustments, parameters and relative weights of classes within each service stream for a financial year, and is based on cost and activity data for each of the historical years with only those costs and activity from Activity Based Funding (ABF) establishments being </w:t>
      </w:r>
      <w:r w:rsidR="00150A43" w:rsidRPr="00A777BD">
        <w:t>used</w:t>
      </w:r>
      <w:r w:rsidRPr="00A777BD">
        <w:t>.</w:t>
      </w:r>
    </w:p>
    <w:p w14:paraId="2DA6543C" w14:textId="77777777" w:rsidR="00706E64" w:rsidRPr="00691E0E" w:rsidRDefault="00706E64" w:rsidP="009D70CD">
      <w:pPr>
        <w:pStyle w:val="Definition"/>
        <w:rPr>
          <w:b/>
        </w:rPr>
      </w:pPr>
      <w:r w:rsidRPr="00706E64">
        <w:rPr>
          <w:b/>
          <w:i/>
        </w:rPr>
        <w:t xml:space="preserve">direct cost </w:t>
      </w:r>
      <w:r w:rsidRPr="00706E64">
        <w:t>means</w:t>
      </w:r>
      <w:r w:rsidR="00691E0E">
        <w:t xml:space="preserve"> </w:t>
      </w:r>
      <w:r w:rsidR="009D70CD">
        <w:t xml:space="preserve">costs incurred at the </w:t>
      </w:r>
      <w:r w:rsidR="00977E7D">
        <w:t>Nationally Funded Centres (</w:t>
      </w:r>
      <w:r w:rsidR="009D70CD">
        <w:t>NFC</w:t>
      </w:r>
      <w:r w:rsidR="00977E7D">
        <w:t>)</w:t>
      </w:r>
      <w:r w:rsidR="009D70CD">
        <w:t xml:space="preserve"> site (or sites) where the NFC episode of care is provided across more than one site) </w:t>
      </w:r>
      <w:r w:rsidR="009D70CD" w:rsidRPr="009D70CD">
        <w:t>that are directly related to the NFC technology, including pre and post procedural care as captured in the N</w:t>
      </w:r>
      <w:r w:rsidR="00E67925" w:rsidRPr="009D70CD">
        <w:t>ational Health Cost Data Collection (NHCDC) Cost Bucket Matrix</w:t>
      </w:r>
      <w:r w:rsidR="00691E0E" w:rsidRPr="009D70CD">
        <w:t>.</w:t>
      </w:r>
      <w:r w:rsidRPr="009D70CD">
        <w:rPr>
          <w:b/>
          <w:i/>
        </w:rPr>
        <w:t xml:space="preserve"> </w:t>
      </w:r>
    </w:p>
    <w:p w14:paraId="60FA4D53" w14:textId="77777777" w:rsidR="00706E64" w:rsidRPr="00150A43" w:rsidRDefault="00706E64" w:rsidP="00554826">
      <w:pPr>
        <w:pStyle w:val="Definition"/>
      </w:pPr>
      <w:proofErr w:type="gramStart"/>
      <w:r>
        <w:rPr>
          <w:b/>
          <w:i/>
        </w:rPr>
        <w:t>indirect</w:t>
      </w:r>
      <w:proofErr w:type="gramEnd"/>
      <w:r>
        <w:rPr>
          <w:b/>
          <w:i/>
        </w:rPr>
        <w:t xml:space="preserve"> cost </w:t>
      </w:r>
      <w:r w:rsidR="006D4B0C">
        <w:t>includes, but is not limited to, the:</w:t>
      </w:r>
    </w:p>
    <w:p w14:paraId="7D754696" w14:textId="77777777" w:rsidR="006D4B0C" w:rsidRPr="00150A43" w:rsidRDefault="006D4B0C" w:rsidP="006D4B0C">
      <w:pPr>
        <w:pStyle w:val="paragraph"/>
      </w:pPr>
      <w:r w:rsidRPr="00150A43">
        <w:tab/>
        <w:t>(a)</w:t>
      </w:r>
      <w:r w:rsidRPr="00150A43">
        <w:tab/>
      </w:r>
      <w:proofErr w:type="gramStart"/>
      <w:r w:rsidRPr="00150A43">
        <w:t>travel</w:t>
      </w:r>
      <w:proofErr w:type="gramEnd"/>
      <w:r w:rsidRPr="00150A43">
        <w:t xml:space="preserve"> </w:t>
      </w:r>
      <w:r w:rsidR="00B11E7B" w:rsidRPr="00150A43">
        <w:t xml:space="preserve">and accommodation </w:t>
      </w:r>
      <w:r w:rsidRPr="00150A43">
        <w:t xml:space="preserve">costs incurred in the </w:t>
      </w:r>
      <w:r w:rsidR="00977E7D">
        <w:t>Nationally Funded Centres (</w:t>
      </w:r>
      <w:r w:rsidRPr="00150A43">
        <w:t>NFC</w:t>
      </w:r>
      <w:r w:rsidR="00977E7D">
        <w:t>)</w:t>
      </w:r>
      <w:r w:rsidRPr="00150A43">
        <w:t xml:space="preserve"> Program </w:t>
      </w:r>
      <w:r w:rsidR="00BB2413" w:rsidRPr="00150A43">
        <w:t xml:space="preserve">in order </w:t>
      </w:r>
      <w:r w:rsidRPr="00150A43">
        <w:t xml:space="preserve">to access a NFC service; </w:t>
      </w:r>
    </w:p>
    <w:p w14:paraId="1721D5BE" w14:textId="77777777" w:rsidR="00182C71" w:rsidRDefault="006D4B0C" w:rsidP="0007233A">
      <w:pPr>
        <w:pStyle w:val="paragraph"/>
      </w:pPr>
      <w:r w:rsidRPr="000A2B87">
        <w:tab/>
        <w:t>(b)</w:t>
      </w:r>
      <w:r w:rsidRPr="000A2B87">
        <w:tab/>
      </w:r>
      <w:proofErr w:type="gramStart"/>
      <w:r>
        <w:t>capital</w:t>
      </w:r>
      <w:proofErr w:type="gramEnd"/>
      <w:r>
        <w:t xml:space="preserve"> costs;</w:t>
      </w:r>
    </w:p>
    <w:p w14:paraId="08118735" w14:textId="77777777" w:rsidR="006D4B0C" w:rsidRPr="006D4B0C" w:rsidRDefault="00886EDA" w:rsidP="006D4B0C">
      <w:pPr>
        <w:pStyle w:val="paragraph"/>
      </w:pPr>
      <w:r>
        <w:tab/>
        <w:t>(c</w:t>
      </w:r>
      <w:r w:rsidRPr="00886EDA">
        <w:t>)</w:t>
      </w:r>
      <w:r w:rsidRPr="00886EDA">
        <w:tab/>
      </w:r>
      <w:proofErr w:type="gramStart"/>
      <w:r w:rsidR="006D4B0C">
        <w:t>other</w:t>
      </w:r>
      <w:proofErr w:type="gramEnd"/>
      <w:r w:rsidR="006D4B0C">
        <w:t xml:space="preserve"> </w:t>
      </w:r>
      <w:r w:rsidR="00E67925">
        <w:t xml:space="preserve">overhead </w:t>
      </w:r>
      <w:r w:rsidR="006D4B0C">
        <w:t xml:space="preserve">costs that are incidental </w:t>
      </w:r>
      <w:r w:rsidR="00E811A9">
        <w:t xml:space="preserve">to </w:t>
      </w:r>
      <w:r w:rsidR="006D4B0C">
        <w:t>the provision of a NFC service, as deemed by the Pricing Authority.</w:t>
      </w:r>
    </w:p>
    <w:p w14:paraId="237CC40A" w14:textId="77777777" w:rsidR="00A777BD" w:rsidRPr="00A777BD" w:rsidRDefault="00DE2E2A" w:rsidP="00A777BD">
      <w:pPr>
        <w:pStyle w:val="Definition"/>
      </w:pPr>
      <w:r>
        <w:rPr>
          <w:b/>
          <w:i/>
        </w:rPr>
        <w:lastRenderedPageBreak/>
        <w:t>NFC Program</w:t>
      </w:r>
      <w:r w:rsidR="00554826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 w:rsidR="00BD3251">
        <w:t xml:space="preserve">the program </w:t>
      </w:r>
      <w:r w:rsidR="00E67925" w:rsidRPr="00E67925">
        <w:t xml:space="preserve">recognised as the Nationally Funded Centres </w:t>
      </w:r>
      <w:r w:rsidR="00977E7D">
        <w:t>(NFC</w:t>
      </w:r>
      <w:r w:rsidR="00E67925">
        <w:t xml:space="preserve">) </w:t>
      </w:r>
      <w:r w:rsidR="00E67925" w:rsidRPr="00E67925">
        <w:t xml:space="preserve">Program </w:t>
      </w:r>
      <w:r w:rsidR="00A777BD">
        <w:t xml:space="preserve">endorsed </w:t>
      </w:r>
      <w:r w:rsidR="00A777BD" w:rsidRPr="00A777BD">
        <w:t xml:space="preserve">by Australian health ministers </w:t>
      </w:r>
      <w:r w:rsidR="00E67925" w:rsidRPr="00A777BD">
        <w:t xml:space="preserve">in June 1990 </w:t>
      </w:r>
      <w:r w:rsidR="00A777BD" w:rsidRPr="00A777BD">
        <w:t>(now meeting as the Council of Australian</w:t>
      </w:r>
      <w:r w:rsidR="00A777BD">
        <w:t xml:space="preserve"> </w:t>
      </w:r>
      <w:r w:rsidR="00E67925">
        <w:t>Governments</w:t>
      </w:r>
      <w:r w:rsidR="00E811A9">
        <w:t xml:space="preserve"> Health Council</w:t>
      </w:r>
      <w:r w:rsidR="00E67925">
        <w:t xml:space="preserve">) </w:t>
      </w:r>
      <w:r w:rsidR="00A777BD" w:rsidRPr="00A777BD">
        <w:t xml:space="preserve">for </w:t>
      </w:r>
      <w:r w:rsidR="00A777BD">
        <w:t xml:space="preserve">the </w:t>
      </w:r>
      <w:r w:rsidR="00A777BD" w:rsidRPr="00A777BD">
        <w:t>public sector provision of certain high cost, highly specialised clinical practices and te</w:t>
      </w:r>
      <w:r w:rsidR="00E67925">
        <w:t xml:space="preserve">chnologies with limited demand. </w:t>
      </w:r>
      <w:r w:rsidR="00A777BD" w:rsidRPr="00A777BD">
        <w:t xml:space="preserve">For a technology to be considered for NFC status it must require a national population base for efficient and effective service provision.  </w:t>
      </w:r>
    </w:p>
    <w:p w14:paraId="04796790" w14:textId="77777777" w:rsidR="006B0C85" w:rsidRDefault="00603469" w:rsidP="00554826">
      <w:pPr>
        <w:pStyle w:val="Definition"/>
      </w:pPr>
      <w:r w:rsidRPr="00603469">
        <w:rPr>
          <w:b/>
          <w:i/>
        </w:rPr>
        <w:t xml:space="preserve">NFC </w:t>
      </w:r>
      <w:r w:rsidR="006B0C85">
        <w:rPr>
          <w:b/>
          <w:i/>
        </w:rPr>
        <w:t xml:space="preserve">service </w:t>
      </w:r>
      <w:r w:rsidR="00D721B8">
        <w:t xml:space="preserve">means a service </w:t>
      </w:r>
      <w:r w:rsidR="00BD3251">
        <w:t xml:space="preserve">that </w:t>
      </w:r>
      <w:r w:rsidR="00D721B8">
        <w:t xml:space="preserve">is specified </w:t>
      </w:r>
      <w:r w:rsidR="00BD3251">
        <w:t>in</w:t>
      </w:r>
      <w:r w:rsidR="00F72B77">
        <w:t xml:space="preserve"> </w:t>
      </w:r>
      <w:r w:rsidR="0039506B" w:rsidRPr="000A2B87">
        <w:t xml:space="preserve">a </w:t>
      </w:r>
      <w:r w:rsidR="0039506B">
        <w:t xml:space="preserve">service </w:t>
      </w:r>
      <w:r w:rsidR="0039506B" w:rsidRPr="000A2B87">
        <w:t>in colum</w:t>
      </w:r>
      <w:r w:rsidR="0039506B">
        <w:t xml:space="preserve">n 1 of an item in the table under </w:t>
      </w:r>
      <w:r w:rsidR="00F72B77">
        <w:t>clause 5</w:t>
      </w:r>
      <w:r w:rsidR="008B3BA6">
        <w:t xml:space="preserve"> of the s</w:t>
      </w:r>
      <w:r w:rsidR="00D721B8">
        <w:t>chedule.</w:t>
      </w:r>
      <w:r w:rsidR="006B0C85">
        <w:t xml:space="preserve"> </w:t>
      </w:r>
    </w:p>
    <w:p w14:paraId="4086AE11" w14:textId="77777777" w:rsidR="00B55912" w:rsidRPr="009D70CD" w:rsidRDefault="00B55912" w:rsidP="00CC5F48">
      <w:pPr>
        <w:pStyle w:val="Definition"/>
        <w:rPr>
          <w:b/>
        </w:rPr>
      </w:pPr>
      <w:proofErr w:type="gramStart"/>
      <w:r w:rsidRPr="00150A43">
        <w:rPr>
          <w:b/>
          <w:i/>
        </w:rPr>
        <w:t>pricing</w:t>
      </w:r>
      <w:proofErr w:type="gramEnd"/>
      <w:r w:rsidRPr="00150A43">
        <w:rPr>
          <w:b/>
          <w:i/>
        </w:rPr>
        <w:t xml:space="preserve"> </w:t>
      </w:r>
      <w:r w:rsidR="00CC5F48" w:rsidRPr="00150A43">
        <w:rPr>
          <w:b/>
          <w:i/>
        </w:rPr>
        <w:t xml:space="preserve">model </w:t>
      </w:r>
      <w:r w:rsidR="00CC5F48" w:rsidRPr="009D70CD">
        <w:t xml:space="preserve">includes a National Efficient Price (NEP), Price Weights and adjustments, and is based on cost and activity data from three </w:t>
      </w:r>
      <w:r w:rsidR="00150A43" w:rsidRPr="009D70CD">
        <w:t xml:space="preserve">years prior. </w:t>
      </w:r>
    </w:p>
    <w:p w14:paraId="09D0A935" w14:textId="77777777" w:rsidR="00B55912" w:rsidRPr="00150A43" w:rsidRDefault="00091232" w:rsidP="00091232">
      <w:pPr>
        <w:pStyle w:val="Definition"/>
        <w:rPr>
          <w:i/>
        </w:rPr>
      </w:pPr>
      <w:proofErr w:type="gramStart"/>
      <w:r w:rsidRPr="00150A43">
        <w:rPr>
          <w:b/>
          <w:i/>
        </w:rPr>
        <w:t>reference</w:t>
      </w:r>
      <w:proofErr w:type="gramEnd"/>
      <w:r w:rsidRPr="00150A43">
        <w:rPr>
          <w:b/>
          <w:i/>
        </w:rPr>
        <w:t xml:space="preserve"> cost </w:t>
      </w:r>
      <w:r w:rsidRPr="009D70CD">
        <w:t>means a standardised mean to ensure the measure of an NWAU remains constant over time, that is then used to convert the cost model into a cost weight model and pricing model</w:t>
      </w:r>
      <w:r w:rsidRPr="00150A43">
        <w:rPr>
          <w:i/>
        </w:rPr>
        <w:t>.</w:t>
      </w:r>
    </w:p>
    <w:p w14:paraId="24F8005E" w14:textId="77777777" w:rsidR="00092552" w:rsidRPr="00707531" w:rsidRDefault="00D721B8" w:rsidP="00D721B8">
      <w:pPr>
        <w:pStyle w:val="Definition"/>
      </w:pPr>
      <w:proofErr w:type="gramStart"/>
      <w:r w:rsidRPr="00150A43">
        <w:rPr>
          <w:b/>
          <w:i/>
        </w:rPr>
        <w:t>specified</w:t>
      </w:r>
      <w:proofErr w:type="gramEnd"/>
      <w:r w:rsidRPr="00150A43">
        <w:rPr>
          <w:b/>
          <w:i/>
        </w:rPr>
        <w:t xml:space="preserve"> site</w:t>
      </w:r>
      <w:r w:rsidR="00886EDA" w:rsidRPr="00150A43">
        <w:t>, in relation to a NFC service</w:t>
      </w:r>
      <w:r w:rsidR="00886EDA">
        <w:t xml:space="preserve">, </w:t>
      </w:r>
      <w:r w:rsidRPr="00886EDA">
        <w:t>means</w:t>
      </w:r>
      <w:r>
        <w:t xml:space="preserve"> a site specified </w:t>
      </w:r>
      <w:r w:rsidR="00BD3251">
        <w:t>in</w:t>
      </w:r>
      <w:r>
        <w:t xml:space="preserve"> </w:t>
      </w:r>
      <w:r w:rsidR="0018791D">
        <w:t xml:space="preserve">column 2 of the table in </w:t>
      </w:r>
      <w:r w:rsidR="00F72B77">
        <w:t>clause 5</w:t>
      </w:r>
      <w:r w:rsidR="008B3BA6">
        <w:t xml:space="preserve"> of the s</w:t>
      </w:r>
      <w:r>
        <w:t>chedule</w:t>
      </w:r>
      <w:r w:rsidR="00034FA1">
        <w:t xml:space="preserve"> for </w:t>
      </w:r>
      <w:r w:rsidR="00FB47CC">
        <w:t>the</w:t>
      </w:r>
      <w:r w:rsidR="0018791D">
        <w:t xml:space="preserve"> particular NFC</w:t>
      </w:r>
      <w:r w:rsidR="00034FA1">
        <w:t xml:space="preserve"> service</w:t>
      </w:r>
      <w:r>
        <w:t xml:space="preserve">. </w:t>
      </w:r>
    </w:p>
    <w:p w14:paraId="5932CCC5" w14:textId="77777777" w:rsidR="00285404" w:rsidRPr="00A777BD" w:rsidRDefault="00285404" w:rsidP="00285404">
      <w:pPr>
        <w:pStyle w:val="paragraph"/>
        <w:rPr>
          <w:i/>
        </w:rPr>
      </w:pPr>
      <w:bookmarkStart w:id="6" w:name="_Toc454781205"/>
      <w:bookmarkStart w:id="7" w:name="_Toc454512517"/>
    </w:p>
    <w:p w14:paraId="0CE68B5E" w14:textId="77777777" w:rsidR="00554826" w:rsidRPr="00554826" w:rsidRDefault="00554826" w:rsidP="00554826">
      <w:pPr>
        <w:pStyle w:val="ActHead5"/>
      </w:pPr>
      <w:proofErr w:type="gramStart"/>
      <w:r w:rsidRPr="00554826">
        <w:t>5  Schedule</w:t>
      </w:r>
      <w:bookmarkEnd w:id="6"/>
      <w:proofErr w:type="gramEnd"/>
    </w:p>
    <w:p w14:paraId="037D5AE9" w14:textId="77777777" w:rsidR="00554826" w:rsidRDefault="00554826" w:rsidP="00554826">
      <w:pPr>
        <w:pStyle w:val="subsection"/>
      </w:pPr>
      <w:r w:rsidRPr="006065DA">
        <w:tab/>
      </w:r>
      <w:r w:rsidRPr="006065DA">
        <w:tab/>
      </w:r>
      <w:r w:rsidR="004B43EC" w:rsidRPr="004B43EC">
        <w:t xml:space="preserve">The schedule to this instrument </w:t>
      </w:r>
      <w:r w:rsidR="00D85D6F">
        <w:t>sets out</w:t>
      </w:r>
      <w:r w:rsidR="004B43EC" w:rsidRPr="004B43EC">
        <w:t xml:space="preserve"> the direction given to the Pricing Authority on the performance of its functions and exercise of its powers.  </w:t>
      </w:r>
    </w:p>
    <w:bookmarkEnd w:id="7"/>
    <w:p w14:paraId="7B15543D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7C4D9FD1" w14:textId="77777777" w:rsidR="00D6537E" w:rsidRPr="00D6537E" w:rsidRDefault="004E1307" w:rsidP="00884C4E">
      <w:pPr>
        <w:pStyle w:val="ActHead6"/>
      </w:pPr>
      <w:bookmarkStart w:id="8" w:name="_Toc454512518"/>
      <w:r>
        <w:t xml:space="preserve">Schedule </w:t>
      </w:r>
      <w:bookmarkEnd w:id="8"/>
    </w:p>
    <w:p w14:paraId="48F91846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4B43EC">
        <w:t>Function</w:t>
      </w:r>
      <w:proofErr w:type="gramEnd"/>
    </w:p>
    <w:p w14:paraId="17251F4E" w14:textId="6AE9D3A8" w:rsidR="00E119C4" w:rsidRDefault="00F72B77" w:rsidP="007F7045">
      <w:pPr>
        <w:pStyle w:val="subsection"/>
      </w:pPr>
      <w:r>
        <w:tab/>
      </w:r>
      <w:r w:rsidR="00B87FA7" w:rsidRPr="00D85D6F">
        <w:tab/>
        <w:t xml:space="preserve">The Pricing Authority, </w:t>
      </w:r>
      <w:r w:rsidR="0058760E">
        <w:t xml:space="preserve">in relation to the performance of its functions </w:t>
      </w:r>
      <w:r w:rsidR="00B87FA7" w:rsidRPr="00D85D6F">
        <w:t>under paragraphs 131(1</w:t>
      </w:r>
      <w:proofErr w:type="gramStart"/>
      <w:r w:rsidR="00B87FA7" w:rsidRPr="00D85D6F">
        <w:t>)(</w:t>
      </w:r>
      <w:proofErr w:type="gramEnd"/>
      <w:r w:rsidR="00842F7E">
        <w:t>h)–(</w:t>
      </w:r>
      <w:proofErr w:type="spellStart"/>
      <w:r w:rsidR="00842F7E">
        <w:t>i</w:t>
      </w:r>
      <w:proofErr w:type="spellEnd"/>
      <w:r w:rsidR="00842F7E">
        <w:t>) and (</w:t>
      </w:r>
      <w:r w:rsidR="00072DA6">
        <w:t xml:space="preserve">n) of the Act, is directed </w:t>
      </w:r>
      <w:r w:rsidR="007F7045">
        <w:t>to</w:t>
      </w:r>
      <w:r w:rsidR="00B56503">
        <w:t xml:space="preserve"> undertake a </w:t>
      </w:r>
      <w:r w:rsidR="0023415F">
        <w:t xml:space="preserve">costing and pricing </w:t>
      </w:r>
      <w:r w:rsidR="00B56503">
        <w:t xml:space="preserve">study into the </w:t>
      </w:r>
      <w:r w:rsidR="00F03034" w:rsidRPr="00F03034">
        <w:t>NFC</w:t>
      </w:r>
      <w:r w:rsidR="00F03034" w:rsidRPr="00F03034">
        <w:rPr>
          <w:i/>
        </w:rPr>
        <w:t xml:space="preserve"> </w:t>
      </w:r>
      <w:r w:rsidR="00B56503">
        <w:t>Program</w:t>
      </w:r>
      <w:r w:rsidR="003953DD">
        <w:t>.</w:t>
      </w:r>
    </w:p>
    <w:p w14:paraId="062EC011" w14:textId="77777777" w:rsidR="00B56503" w:rsidRDefault="00B56503" w:rsidP="00B56503">
      <w:pPr>
        <w:pStyle w:val="ItemHead"/>
      </w:pPr>
      <w:proofErr w:type="gramStart"/>
      <w:r>
        <w:t>2</w:t>
      </w:r>
      <w:r w:rsidRPr="00B1728A">
        <w:t xml:space="preserve">  </w:t>
      </w:r>
      <w:r>
        <w:t>Matters</w:t>
      </w:r>
      <w:proofErr w:type="gramEnd"/>
      <w:r>
        <w:t xml:space="preserve"> Pricing Authority to study </w:t>
      </w:r>
    </w:p>
    <w:p w14:paraId="4A8AFFA7" w14:textId="77777777" w:rsidR="00B56503" w:rsidRDefault="00F72B77" w:rsidP="00B56503">
      <w:pPr>
        <w:pStyle w:val="subsection"/>
      </w:pPr>
      <w:r>
        <w:tab/>
      </w:r>
      <w:r w:rsidR="00B56503" w:rsidRPr="00B56503">
        <w:tab/>
      </w:r>
      <w:r w:rsidR="00B56503">
        <w:t>In carrying out the study, t</w:t>
      </w:r>
      <w:r w:rsidR="00B56503" w:rsidRPr="00B56503">
        <w:t>he Pricing Authority</w:t>
      </w:r>
      <w:r w:rsidR="00B56503">
        <w:t xml:space="preserve"> is directed to inquire into and make findings about the following matters</w:t>
      </w:r>
      <w:r w:rsidR="00B56503" w:rsidRPr="00B56503">
        <w:t>:</w:t>
      </w:r>
    </w:p>
    <w:p w14:paraId="517E7B57" w14:textId="77777777" w:rsidR="0087502D" w:rsidRPr="0087502D" w:rsidRDefault="00684E47" w:rsidP="00706E64">
      <w:pPr>
        <w:pStyle w:val="paragraph"/>
      </w:pPr>
      <w:r>
        <w:tab/>
        <w:t>(a)</w:t>
      </w:r>
      <w:r>
        <w:tab/>
      </w:r>
      <w:proofErr w:type="gramStart"/>
      <w:r w:rsidR="0087502D" w:rsidRPr="0087502D">
        <w:t>the</w:t>
      </w:r>
      <w:proofErr w:type="gramEnd"/>
      <w:r w:rsidR="0087502D" w:rsidRPr="0087502D">
        <w:t xml:space="preserve"> </w:t>
      </w:r>
      <w:r w:rsidR="0007233A">
        <w:t xml:space="preserve">direct and indirect </w:t>
      </w:r>
      <w:r w:rsidR="0087502D" w:rsidRPr="0087502D">
        <w:t xml:space="preserve">cost of providing </w:t>
      </w:r>
      <w:r w:rsidR="008F7E98">
        <w:t>each</w:t>
      </w:r>
      <w:r w:rsidR="0087502D" w:rsidRPr="0087502D">
        <w:t xml:space="preserve"> </w:t>
      </w:r>
      <w:r w:rsidR="00603469" w:rsidRPr="00603469">
        <w:t xml:space="preserve">NFC </w:t>
      </w:r>
      <w:r w:rsidR="0087502D" w:rsidRPr="0087502D">
        <w:t>service</w:t>
      </w:r>
      <w:r w:rsidR="00603469">
        <w:t xml:space="preserve"> at each specified site for that NFC serv</w:t>
      </w:r>
      <w:r w:rsidR="00706E64">
        <w:t>ice;</w:t>
      </w:r>
    </w:p>
    <w:p w14:paraId="7C4E91FE" w14:textId="77777777" w:rsidR="0087502D" w:rsidRDefault="00684E47" w:rsidP="00706E64">
      <w:pPr>
        <w:pStyle w:val="paragraph"/>
      </w:pPr>
      <w:r>
        <w:tab/>
        <w:t>(b)</w:t>
      </w:r>
      <w:r>
        <w:tab/>
      </w:r>
      <w:proofErr w:type="gramStart"/>
      <w:r w:rsidR="0087502D" w:rsidRPr="0087502D">
        <w:t>the</w:t>
      </w:r>
      <w:proofErr w:type="gramEnd"/>
      <w:r w:rsidR="0087502D" w:rsidRPr="0087502D">
        <w:t xml:space="preserve"> </w:t>
      </w:r>
      <w:r w:rsidR="00911F6B">
        <w:t xml:space="preserve">aggregate </w:t>
      </w:r>
      <w:r w:rsidR="0007233A" w:rsidRPr="0007233A">
        <w:t xml:space="preserve">direct and indirect </w:t>
      </w:r>
      <w:r w:rsidR="0087502D" w:rsidRPr="0087502D">
        <w:t>cost of providing</w:t>
      </w:r>
      <w:r w:rsidR="0087502D">
        <w:t xml:space="preserve"> </w:t>
      </w:r>
      <w:r w:rsidR="008F7E98">
        <w:t>each</w:t>
      </w:r>
      <w:r w:rsidR="00706E64">
        <w:t xml:space="preserve"> </w:t>
      </w:r>
      <w:r w:rsidR="00603469" w:rsidRPr="00603469">
        <w:t xml:space="preserve">NFC </w:t>
      </w:r>
      <w:r w:rsidR="0087502D" w:rsidRPr="0087502D">
        <w:t>service</w:t>
      </w:r>
      <w:r w:rsidR="00603469" w:rsidRPr="00603469">
        <w:t xml:space="preserve"> </w:t>
      </w:r>
      <w:r w:rsidR="00911F6B">
        <w:t xml:space="preserve">across </w:t>
      </w:r>
      <w:r w:rsidR="00706E64">
        <w:t xml:space="preserve">all specified sites for </w:t>
      </w:r>
      <w:r w:rsidR="00F03034">
        <w:t>that</w:t>
      </w:r>
      <w:r w:rsidR="00706E64">
        <w:t xml:space="preserve"> NFC service;</w:t>
      </w:r>
    </w:p>
    <w:p w14:paraId="6D43B1DC" w14:textId="77777777" w:rsidR="00274C29" w:rsidRDefault="00274C29" w:rsidP="006D4B0C">
      <w:pPr>
        <w:pStyle w:val="paragraph"/>
      </w:pPr>
      <w:r>
        <w:tab/>
        <w:t>(</w:t>
      </w:r>
      <w:r w:rsidR="00FF2AD1">
        <w:t>c</w:t>
      </w:r>
      <w:r>
        <w:t>)</w:t>
      </w:r>
      <w:r>
        <w:tab/>
      </w:r>
      <w:proofErr w:type="gramStart"/>
      <w:r w:rsidR="006D4B0C" w:rsidRPr="006D4B0C">
        <w:t>the</w:t>
      </w:r>
      <w:proofErr w:type="gramEnd"/>
      <w:r w:rsidR="006D4B0C" w:rsidRPr="006D4B0C">
        <w:t xml:space="preserve"> </w:t>
      </w:r>
      <w:r w:rsidR="006D4B0C">
        <w:t>projected</w:t>
      </w:r>
      <w:r w:rsidR="006D4B0C" w:rsidRPr="006D4B0C">
        <w:t xml:space="preserve"> </w:t>
      </w:r>
      <w:r w:rsidR="00B11E7B">
        <w:t>cost</w:t>
      </w:r>
      <w:r w:rsidR="006D4B0C" w:rsidRPr="006D4B0C">
        <w:t xml:space="preserve"> </w:t>
      </w:r>
      <w:r w:rsidR="00E83872">
        <w:t xml:space="preserve">of </w:t>
      </w:r>
      <w:r w:rsidR="006D4B0C" w:rsidRPr="006D4B0C">
        <w:t>providing all NFC services at all specified sites;</w:t>
      </w:r>
      <w:r w:rsidR="00A83F41">
        <w:t xml:space="preserve"> and</w:t>
      </w:r>
    </w:p>
    <w:p w14:paraId="590B3709" w14:textId="77777777" w:rsidR="005C5F1C" w:rsidRPr="006D4B0C" w:rsidRDefault="00632F2C" w:rsidP="005C5F1C">
      <w:pPr>
        <w:pStyle w:val="paragraph"/>
        <w:ind w:hanging="368"/>
      </w:pPr>
      <w:r>
        <w:t>(</w:t>
      </w:r>
      <w:r w:rsidR="00525612">
        <w:t>d</w:t>
      </w:r>
      <w:r>
        <w:t>)</w:t>
      </w:r>
      <w:r>
        <w:tab/>
      </w:r>
      <w:proofErr w:type="gramStart"/>
      <w:r w:rsidR="005C5F1C">
        <w:t>the</w:t>
      </w:r>
      <w:proofErr w:type="gramEnd"/>
      <w:r w:rsidR="005C5F1C">
        <w:t xml:space="preserve"> </w:t>
      </w:r>
      <w:r w:rsidR="0007233A" w:rsidRPr="0007233A">
        <w:t xml:space="preserve">existing direct and indirect cost </w:t>
      </w:r>
      <w:r>
        <w:t xml:space="preserve">of providing </w:t>
      </w:r>
      <w:r w:rsidR="00525612">
        <w:t xml:space="preserve">each NFC </w:t>
      </w:r>
      <w:r>
        <w:t xml:space="preserve">service for each patient in </w:t>
      </w:r>
      <w:r w:rsidR="00525612">
        <w:t xml:space="preserve">each </w:t>
      </w:r>
      <w:r>
        <w:t xml:space="preserve">specified </w:t>
      </w:r>
      <w:r w:rsidR="00911F6B">
        <w:t xml:space="preserve">site </w:t>
      </w:r>
      <w:r w:rsidR="00CC134D">
        <w:t xml:space="preserve">for </w:t>
      </w:r>
      <w:r w:rsidR="00525612">
        <w:t xml:space="preserve">that </w:t>
      </w:r>
      <w:r w:rsidR="00CC134D">
        <w:t>NFC service</w:t>
      </w:r>
      <w:r w:rsidR="00911F6B">
        <w:t>.</w:t>
      </w:r>
    </w:p>
    <w:p w14:paraId="1E4B46B0" w14:textId="77777777" w:rsidR="004C3A64" w:rsidRPr="00A777BD" w:rsidRDefault="004C3A64" w:rsidP="00182C71">
      <w:pPr>
        <w:pStyle w:val="paragraph"/>
        <w:ind w:left="0" w:firstLine="0"/>
        <w:rPr>
          <w:i/>
        </w:rPr>
      </w:pPr>
    </w:p>
    <w:p w14:paraId="48E38F6D" w14:textId="77777777" w:rsidR="00B56503" w:rsidRDefault="00B56503" w:rsidP="00B56503">
      <w:pPr>
        <w:pStyle w:val="ItemHead"/>
      </w:pPr>
      <w:proofErr w:type="gramStart"/>
      <w:r>
        <w:t>3</w:t>
      </w:r>
      <w:r w:rsidRPr="00B1728A">
        <w:t xml:space="preserve">  </w:t>
      </w:r>
      <w:r>
        <w:t>Pricing</w:t>
      </w:r>
      <w:proofErr w:type="gramEnd"/>
      <w:r>
        <w:t xml:space="preserve"> Authority to recommend options</w:t>
      </w:r>
    </w:p>
    <w:p w14:paraId="5D0218FF" w14:textId="77777777" w:rsidR="00B56503" w:rsidRPr="00FE7997" w:rsidRDefault="00B56503" w:rsidP="00B56503">
      <w:pPr>
        <w:pStyle w:val="subsection"/>
      </w:pPr>
      <w:r>
        <w:tab/>
      </w:r>
      <w:r w:rsidRPr="00FF600B">
        <w:tab/>
      </w:r>
      <w:r>
        <w:t>In carrying out the study, the Pricing Authority must</w:t>
      </w:r>
      <w:r w:rsidRPr="00FE7997">
        <w:t xml:space="preserve"> recommend options in respect of the following matters:</w:t>
      </w:r>
    </w:p>
    <w:p w14:paraId="2E04E04C" w14:textId="66803DE7" w:rsidR="001F5B7B" w:rsidRDefault="001F5B7B" w:rsidP="001F5B7B">
      <w:pPr>
        <w:pStyle w:val="paragraph"/>
        <w:numPr>
          <w:ilvl w:val="0"/>
          <w:numId w:val="18"/>
        </w:numPr>
      </w:pPr>
      <w:r>
        <w:t xml:space="preserve">whether NFC services, individually and collectively, are more appropriately funded via </w:t>
      </w:r>
      <w:r w:rsidRPr="00A777BD">
        <w:t xml:space="preserve">Activity Based Funding (ABF) </w:t>
      </w:r>
      <w:r>
        <w:t xml:space="preserve">or block funding arrangements under the National Health Reform Agreement; </w:t>
      </w:r>
    </w:p>
    <w:p w14:paraId="3485C4A8" w14:textId="6B7D9A0A" w:rsidR="00911F6B" w:rsidRDefault="00911F6B" w:rsidP="00977E7D">
      <w:pPr>
        <w:pStyle w:val="paragraph"/>
        <w:numPr>
          <w:ilvl w:val="0"/>
          <w:numId w:val="18"/>
        </w:numPr>
      </w:pPr>
      <w:r>
        <w:t xml:space="preserve">the development and operation of </w:t>
      </w:r>
      <w:r w:rsidR="00DC7F0C" w:rsidRPr="00A777BD">
        <w:t xml:space="preserve">cost models and </w:t>
      </w:r>
      <w:r w:rsidR="00B56503" w:rsidRPr="00A777BD">
        <w:t xml:space="preserve">pricing </w:t>
      </w:r>
      <w:r w:rsidR="00B56503">
        <w:t>models for the NFC Program</w:t>
      </w:r>
      <w:r>
        <w:t>, covering both existing and potential future services delivered under the NFC Program;</w:t>
      </w:r>
      <w:r w:rsidR="001F5B7B">
        <w:t xml:space="preserve"> and</w:t>
      </w:r>
    </w:p>
    <w:p w14:paraId="54DFEE3D" w14:textId="77777777" w:rsidR="00B56503" w:rsidRDefault="00B56503" w:rsidP="00B56503">
      <w:pPr>
        <w:pStyle w:val="paragraph"/>
        <w:numPr>
          <w:ilvl w:val="0"/>
          <w:numId w:val="18"/>
        </w:numPr>
      </w:pPr>
      <w:proofErr w:type="gramStart"/>
      <w:r w:rsidRPr="00FE7997">
        <w:t>other</w:t>
      </w:r>
      <w:proofErr w:type="gramEnd"/>
      <w:r w:rsidRPr="00FE7997">
        <w:t xml:space="preserve"> related matters deemed appropriate by the Pricing Authority.</w:t>
      </w:r>
      <w:r>
        <w:t xml:space="preserve"> </w:t>
      </w:r>
      <w:r w:rsidRPr="006B0C85">
        <w:t xml:space="preserve"> </w:t>
      </w:r>
    </w:p>
    <w:p w14:paraId="2DC37BA5" w14:textId="77777777" w:rsidR="00F72B77" w:rsidRPr="00A777BD" w:rsidRDefault="00F72B77" w:rsidP="00F72B77">
      <w:pPr>
        <w:pStyle w:val="paragraph"/>
        <w:rPr>
          <w:i/>
        </w:rPr>
      </w:pPr>
    </w:p>
    <w:p w14:paraId="3F6B287B" w14:textId="77777777" w:rsidR="0087502D" w:rsidRPr="00FF600B" w:rsidRDefault="00B56503" w:rsidP="0087502D">
      <w:pPr>
        <w:pStyle w:val="ItemHead"/>
      </w:pPr>
      <w:proofErr w:type="gramStart"/>
      <w:r>
        <w:t>4</w:t>
      </w:r>
      <w:r w:rsidR="0087502D" w:rsidRPr="00B1728A">
        <w:t xml:space="preserve">  </w:t>
      </w:r>
      <w:r w:rsidR="0087502D">
        <w:t>Pricing</w:t>
      </w:r>
      <w:proofErr w:type="gramEnd"/>
      <w:r w:rsidR="0087502D">
        <w:t xml:space="preserve"> Authority must have regard</w:t>
      </w:r>
      <w:r w:rsidR="00274C29">
        <w:t xml:space="preserve"> to particular matters</w:t>
      </w:r>
    </w:p>
    <w:p w14:paraId="0CFCD1BA" w14:textId="77777777" w:rsidR="00FF600B" w:rsidRPr="00FF600B" w:rsidRDefault="0087502D" w:rsidP="0087502D">
      <w:pPr>
        <w:pStyle w:val="subsection"/>
      </w:pPr>
      <w:r w:rsidRPr="000A2B87">
        <w:tab/>
      </w:r>
      <w:r w:rsidRPr="000A2B87">
        <w:tab/>
      </w:r>
      <w:r w:rsidR="00B56503">
        <w:t>In carrying out the study</w:t>
      </w:r>
      <w:r w:rsidR="00FF600B" w:rsidRPr="00FF600B">
        <w:t xml:space="preserve">, the Pricing Authority must </w:t>
      </w:r>
      <w:r w:rsidR="00FF600B">
        <w:t>h</w:t>
      </w:r>
      <w:r w:rsidR="002A15DA">
        <w:t>ave regard to the following</w:t>
      </w:r>
      <w:r w:rsidR="00684E47">
        <w:t>:</w:t>
      </w:r>
    </w:p>
    <w:p w14:paraId="5A067448" w14:textId="77777777" w:rsidR="00BE5595" w:rsidRPr="00BE5595" w:rsidRDefault="00BE5595" w:rsidP="00BE5595">
      <w:pPr>
        <w:pStyle w:val="paragraph"/>
      </w:pPr>
      <w:r w:rsidRPr="00BE5595">
        <w:tab/>
        <w:t>(a)</w:t>
      </w:r>
      <w:r w:rsidRPr="00BE5595">
        <w:tab/>
      </w:r>
      <w:proofErr w:type="gramStart"/>
      <w:r w:rsidRPr="00BE5595">
        <w:t>the</w:t>
      </w:r>
      <w:proofErr w:type="gramEnd"/>
      <w:r w:rsidRPr="00BE5595">
        <w:t xml:space="preserve"> National Health Reform Agreement;</w:t>
      </w:r>
    </w:p>
    <w:p w14:paraId="44A7D256" w14:textId="77777777" w:rsidR="00FC4620" w:rsidRDefault="00BE5595" w:rsidP="00FC4620">
      <w:pPr>
        <w:pStyle w:val="paragraph"/>
      </w:pPr>
      <w:r>
        <w:tab/>
      </w:r>
      <w:r w:rsidR="00911B93">
        <w:t>(</w:t>
      </w:r>
      <w:r w:rsidR="003D4A11">
        <w:t>b</w:t>
      </w:r>
      <w:r w:rsidR="00FC4620">
        <w:t>)</w:t>
      </w:r>
      <w:r w:rsidR="00FC4620">
        <w:tab/>
      </w:r>
      <w:r w:rsidR="00911F6B">
        <w:t xml:space="preserve">NFC program </w:t>
      </w:r>
      <w:r w:rsidR="00FC4620" w:rsidRPr="00FC4620">
        <w:t xml:space="preserve">cost </w:t>
      </w:r>
      <w:r w:rsidR="00561019">
        <w:t xml:space="preserve">and </w:t>
      </w:r>
      <w:r w:rsidR="00FC4620" w:rsidRPr="00FC4620">
        <w:t xml:space="preserve">activity data supplied by </w:t>
      </w:r>
      <w:r w:rsidR="006E07C6">
        <w:t>a</w:t>
      </w:r>
      <w:r w:rsidR="00977E7D">
        <w:t xml:space="preserve"> State or</w:t>
      </w:r>
      <w:r w:rsidR="00B11E7B" w:rsidRPr="00B11E7B">
        <w:t xml:space="preserve"> Territory</w:t>
      </w:r>
      <w:r w:rsidR="00A14942">
        <w:t>;</w:t>
      </w:r>
    </w:p>
    <w:p w14:paraId="753D0175" w14:textId="77777777" w:rsidR="00A14942" w:rsidRDefault="00A14942" w:rsidP="00A14942">
      <w:pPr>
        <w:pStyle w:val="paragraph"/>
      </w:pPr>
      <w:r>
        <w:tab/>
      </w:r>
      <w:r w:rsidR="00911B93">
        <w:t>(</w:t>
      </w:r>
      <w:r w:rsidR="003D4A11">
        <w:t>c</w:t>
      </w:r>
      <w:r>
        <w:t>)</w:t>
      </w:r>
      <w:r>
        <w:tab/>
      </w:r>
      <w:proofErr w:type="gramStart"/>
      <w:r w:rsidR="002A15DA">
        <w:t>any</w:t>
      </w:r>
      <w:proofErr w:type="gramEnd"/>
      <w:r w:rsidR="002A15DA">
        <w:t xml:space="preserve"> </w:t>
      </w:r>
      <w:r>
        <w:t>submissions</w:t>
      </w:r>
      <w:r w:rsidR="00B11E7B">
        <w:t xml:space="preserve"> </w:t>
      </w:r>
      <w:r w:rsidR="002A15DA">
        <w:t xml:space="preserve">regarding the study to the Pricing Authority </w:t>
      </w:r>
      <w:r w:rsidR="001E1C4E">
        <w:t>from</w:t>
      </w:r>
      <w:r w:rsidR="002A15DA">
        <w:t>:</w:t>
      </w:r>
      <w:r w:rsidRPr="0087502D">
        <w:t xml:space="preserve"> </w:t>
      </w:r>
    </w:p>
    <w:p w14:paraId="406DEC00" w14:textId="77777777" w:rsidR="00A14942" w:rsidRPr="003D4A11" w:rsidRDefault="00A14942" w:rsidP="00A14942">
      <w:pPr>
        <w:pStyle w:val="paragraphsub"/>
      </w:pPr>
      <w:r w:rsidRPr="000A2B87">
        <w:tab/>
      </w:r>
      <w:r w:rsidRPr="003D4A11">
        <w:t>(</w:t>
      </w:r>
      <w:proofErr w:type="spellStart"/>
      <w:r w:rsidR="00587CD5" w:rsidRPr="003D4A11">
        <w:t>i</w:t>
      </w:r>
      <w:proofErr w:type="spellEnd"/>
      <w:r w:rsidRPr="003D4A11">
        <w:t>)</w:t>
      </w:r>
      <w:r w:rsidRPr="003D4A11">
        <w:tab/>
      </w:r>
      <w:proofErr w:type="gramStart"/>
      <w:r w:rsidR="006D6E66" w:rsidRPr="003D4A11">
        <w:t>the</w:t>
      </w:r>
      <w:proofErr w:type="gramEnd"/>
      <w:r w:rsidR="006D6E66" w:rsidRPr="003D4A11">
        <w:t xml:space="preserve"> Commonwealth</w:t>
      </w:r>
      <w:r w:rsidRPr="003D4A11">
        <w:t xml:space="preserve">; </w:t>
      </w:r>
    </w:p>
    <w:p w14:paraId="540397A3" w14:textId="77777777" w:rsidR="00A14942" w:rsidRPr="003D4A11" w:rsidRDefault="00587CD5" w:rsidP="00A14942">
      <w:pPr>
        <w:pStyle w:val="paragraphsub"/>
      </w:pPr>
      <w:r w:rsidRPr="003D4A11">
        <w:tab/>
        <w:t>(</w:t>
      </w:r>
      <w:r w:rsidR="00A14942" w:rsidRPr="003D4A11">
        <w:t>ii)</w:t>
      </w:r>
      <w:r w:rsidR="00A14942" w:rsidRPr="003D4A11">
        <w:tab/>
      </w:r>
      <w:proofErr w:type="gramStart"/>
      <w:r w:rsidR="006E07C6" w:rsidRPr="003D4A11">
        <w:t>a</w:t>
      </w:r>
      <w:proofErr w:type="gramEnd"/>
      <w:r w:rsidR="00977E7D">
        <w:t xml:space="preserve"> State </w:t>
      </w:r>
      <w:r w:rsidR="00B55912" w:rsidRPr="003D4A11">
        <w:t>or</w:t>
      </w:r>
      <w:r w:rsidR="00B11E7B" w:rsidRPr="003D4A11">
        <w:t xml:space="preserve"> Territory</w:t>
      </w:r>
      <w:r w:rsidR="00256D8F" w:rsidRPr="003D4A11">
        <w:t>;</w:t>
      </w:r>
    </w:p>
    <w:p w14:paraId="28DD27AD" w14:textId="77777777" w:rsidR="006D6E66" w:rsidRPr="003D4A11" w:rsidRDefault="006D6E66" w:rsidP="006D6E66">
      <w:pPr>
        <w:pStyle w:val="paragraphsub"/>
      </w:pPr>
      <w:r w:rsidRPr="003D4A11">
        <w:tab/>
      </w:r>
      <w:r w:rsidR="003D4A11" w:rsidRPr="003D4A11">
        <w:t>(iii</w:t>
      </w:r>
      <w:r w:rsidRPr="003D4A11">
        <w:t>)</w:t>
      </w:r>
      <w:r w:rsidRPr="003D4A11">
        <w:tab/>
      </w:r>
      <w:proofErr w:type="gramStart"/>
      <w:r w:rsidRPr="003D4A11">
        <w:t>public</w:t>
      </w:r>
      <w:proofErr w:type="gramEnd"/>
      <w:r w:rsidRPr="003D4A11">
        <w:t xml:space="preserve"> hospitals;</w:t>
      </w:r>
    </w:p>
    <w:p w14:paraId="4747DB0F" w14:textId="77777777" w:rsidR="006D6E66" w:rsidRPr="003D4A11" w:rsidRDefault="00256D8F" w:rsidP="006D6E66">
      <w:pPr>
        <w:pStyle w:val="paragraphsub"/>
      </w:pPr>
      <w:r w:rsidRPr="003D4A11">
        <w:tab/>
        <w:t>(</w:t>
      </w:r>
      <w:r w:rsidR="003D4A11" w:rsidRPr="003D4A11">
        <w:t>i</w:t>
      </w:r>
      <w:r w:rsidRPr="003D4A11">
        <w:t>v</w:t>
      </w:r>
      <w:r w:rsidR="006D6E66" w:rsidRPr="003D4A11">
        <w:t>)</w:t>
      </w:r>
      <w:r w:rsidR="006D6E66" w:rsidRPr="003D4A11">
        <w:tab/>
      </w:r>
      <w:proofErr w:type="gramStart"/>
      <w:r w:rsidR="006D6E66" w:rsidRPr="003D4A11">
        <w:t>other</w:t>
      </w:r>
      <w:proofErr w:type="gramEnd"/>
      <w:r w:rsidR="006D6E66" w:rsidRPr="003D4A11">
        <w:t xml:space="preserve"> health bodies; and</w:t>
      </w:r>
    </w:p>
    <w:p w14:paraId="2AABA5AB" w14:textId="77777777" w:rsidR="00922F92" w:rsidRPr="003D4A11" w:rsidRDefault="00256D8F" w:rsidP="00922F92">
      <w:pPr>
        <w:pStyle w:val="paragraphsub"/>
      </w:pPr>
      <w:r w:rsidRPr="003D4A11">
        <w:tab/>
      </w:r>
      <w:r w:rsidR="003D4A11" w:rsidRPr="003D4A11">
        <w:t>(v</w:t>
      </w:r>
      <w:r w:rsidR="006D6E66" w:rsidRPr="003D4A11">
        <w:t>)</w:t>
      </w:r>
      <w:r w:rsidR="006D6E66" w:rsidRPr="003D4A11">
        <w:tab/>
      </w:r>
      <w:proofErr w:type="gramStart"/>
      <w:r w:rsidR="006D6E66" w:rsidRPr="003D4A11">
        <w:t>other</w:t>
      </w:r>
      <w:proofErr w:type="gramEnd"/>
      <w:r w:rsidR="006D6E66" w:rsidRPr="003D4A11">
        <w:t xml:space="preserve"> parties deemed rel</w:t>
      </w:r>
      <w:r w:rsidR="001A5B5A" w:rsidRPr="003D4A11">
        <w:t>evant by the Pricing Authority; and</w:t>
      </w:r>
    </w:p>
    <w:p w14:paraId="15FF5515" w14:textId="77777777" w:rsidR="00922F92" w:rsidRPr="003D4A11" w:rsidRDefault="00922F92" w:rsidP="00922F92">
      <w:pPr>
        <w:pStyle w:val="paragraph"/>
      </w:pPr>
      <w:r w:rsidRPr="003D4A11">
        <w:tab/>
        <w:t>(</w:t>
      </w:r>
      <w:r w:rsidR="003D4A11">
        <w:t>d</w:t>
      </w:r>
      <w:r w:rsidRPr="003D4A11">
        <w:t>)</w:t>
      </w:r>
      <w:r w:rsidRPr="003D4A11">
        <w:tab/>
      </w:r>
      <w:proofErr w:type="gramStart"/>
      <w:r w:rsidRPr="003D4A11">
        <w:t>other</w:t>
      </w:r>
      <w:proofErr w:type="gramEnd"/>
      <w:r w:rsidRPr="003D4A11">
        <w:t xml:space="preserve"> related matters deemed appropriate by the Pricing Authority.  </w:t>
      </w:r>
    </w:p>
    <w:p w14:paraId="7F6FD6CC" w14:textId="77777777" w:rsidR="00D72D90" w:rsidRDefault="00D72D90" w:rsidP="00922F92">
      <w:pPr>
        <w:pStyle w:val="paragraphsub"/>
        <w:ind w:left="0" w:firstLine="0"/>
      </w:pPr>
    </w:p>
    <w:p w14:paraId="00905DF4" w14:textId="77777777" w:rsidR="0087502D" w:rsidRPr="00FF600B" w:rsidRDefault="00B56503" w:rsidP="0087502D">
      <w:pPr>
        <w:pStyle w:val="ItemHead"/>
      </w:pPr>
      <w:proofErr w:type="gramStart"/>
      <w:r>
        <w:t>5</w:t>
      </w:r>
      <w:r w:rsidR="0087502D" w:rsidRPr="00B1728A">
        <w:t xml:space="preserve">  </w:t>
      </w:r>
      <w:r w:rsidR="00FF2AD1">
        <w:t>NFC</w:t>
      </w:r>
      <w:proofErr w:type="gramEnd"/>
      <w:r w:rsidR="00FF2AD1">
        <w:t xml:space="preserve"> service</w:t>
      </w:r>
      <w:r w:rsidR="00691E0E">
        <w:t>s</w:t>
      </w:r>
      <w:r w:rsidR="00FF2AD1">
        <w:t xml:space="preserve"> and </w:t>
      </w:r>
      <w:r w:rsidR="00691E0E">
        <w:t>specified sites</w:t>
      </w:r>
    </w:p>
    <w:p w14:paraId="3D710746" w14:textId="77777777" w:rsidR="00684E47" w:rsidRPr="003D4A11" w:rsidRDefault="002A15DA" w:rsidP="00684E47">
      <w:pPr>
        <w:pStyle w:val="subsection"/>
      </w:pPr>
      <w:r>
        <w:tab/>
      </w:r>
      <w:r w:rsidR="00684E47" w:rsidRPr="003D4A11">
        <w:tab/>
      </w:r>
      <w:r w:rsidR="00034FA1" w:rsidRPr="003D4A11">
        <w:t xml:space="preserve">For the purposes of </w:t>
      </w:r>
      <w:r w:rsidR="00D200DA" w:rsidRPr="003D4A11">
        <w:t xml:space="preserve">section </w:t>
      </w:r>
      <w:r w:rsidR="004D34DA" w:rsidRPr="003D4A11">
        <w:t>2</w:t>
      </w:r>
      <w:r w:rsidR="00655632" w:rsidRPr="003D4A11">
        <w:t>, at the time this direction is issued</w:t>
      </w:r>
      <w:r w:rsidR="00D9288E" w:rsidRPr="003D4A11">
        <w:t>:</w:t>
      </w:r>
    </w:p>
    <w:p w14:paraId="3430D3A9" w14:textId="77777777" w:rsidR="0085209C" w:rsidRPr="003D4A11" w:rsidRDefault="0085209C" w:rsidP="0085209C">
      <w:pPr>
        <w:pStyle w:val="paragraph"/>
      </w:pPr>
      <w:r w:rsidRPr="003D4A11">
        <w:tab/>
        <w:t xml:space="preserve">(a) </w:t>
      </w:r>
      <w:r w:rsidRPr="003D4A11">
        <w:tab/>
      </w:r>
      <w:proofErr w:type="gramStart"/>
      <w:r w:rsidRPr="003D4A11">
        <w:t>a</w:t>
      </w:r>
      <w:proofErr w:type="gramEnd"/>
      <w:r w:rsidRPr="003D4A11">
        <w:t xml:space="preserve"> </w:t>
      </w:r>
      <w:r w:rsidR="00112C91" w:rsidRPr="003D4A11">
        <w:t>s</w:t>
      </w:r>
      <w:r w:rsidR="00CF3DED" w:rsidRPr="003D4A11">
        <w:t>ervice</w:t>
      </w:r>
      <w:r w:rsidRPr="003D4A11">
        <w:t xml:space="preserve"> mentioned in column 1 of an item in the following table is </w:t>
      </w:r>
      <w:r w:rsidR="00D721B8" w:rsidRPr="003D4A11">
        <w:t>specified</w:t>
      </w:r>
      <w:r w:rsidR="00655632" w:rsidRPr="003D4A11">
        <w:t xml:space="preserve"> as a NFC service</w:t>
      </w:r>
      <w:r w:rsidRPr="003D4A11">
        <w:t>; and</w:t>
      </w:r>
    </w:p>
    <w:p w14:paraId="5034C76C" w14:textId="77777777" w:rsidR="0085209C" w:rsidRPr="003D4A11" w:rsidRDefault="0085209C" w:rsidP="0085209C">
      <w:pPr>
        <w:pStyle w:val="paragraph"/>
      </w:pPr>
      <w:r w:rsidRPr="003D4A11">
        <w:tab/>
        <w:t>(b)</w:t>
      </w:r>
      <w:r w:rsidRPr="003D4A11">
        <w:tab/>
      </w:r>
      <w:proofErr w:type="gramStart"/>
      <w:r w:rsidRPr="003D4A11">
        <w:t>a</w:t>
      </w:r>
      <w:proofErr w:type="gramEnd"/>
      <w:r w:rsidRPr="003D4A11">
        <w:t xml:space="preserve"> site mentioned in column 2 of </w:t>
      </w:r>
      <w:r w:rsidR="00D721B8" w:rsidRPr="003D4A11">
        <w:t>the</w:t>
      </w:r>
      <w:r w:rsidRPr="003D4A11">
        <w:t xml:space="preserve"> item is specified for the</w:t>
      </w:r>
      <w:r w:rsidR="00D9288E" w:rsidRPr="003D4A11">
        <w:t xml:space="preserve"> </w:t>
      </w:r>
      <w:r w:rsidR="004D34DA" w:rsidRPr="003D4A11">
        <w:t xml:space="preserve">particular </w:t>
      </w:r>
      <w:r w:rsidR="00655632" w:rsidRPr="003D4A11">
        <w:t xml:space="preserve">NFC </w:t>
      </w:r>
      <w:r w:rsidR="00D9288E" w:rsidRPr="003D4A11">
        <w:t>service</w:t>
      </w:r>
      <w:r w:rsidR="004D34DA" w:rsidRPr="003D4A11">
        <w:t xml:space="preserve"> in column 1</w:t>
      </w:r>
      <w:r w:rsidRPr="003D4A11">
        <w:t>.</w:t>
      </w:r>
    </w:p>
    <w:p w14:paraId="13D34996" w14:textId="77777777" w:rsidR="0085209C" w:rsidRPr="003D4A11" w:rsidRDefault="0085209C" w:rsidP="009F6909">
      <w:pPr>
        <w:spacing w:line="240" w:lineRule="auto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13"/>
        <w:gridCol w:w="3799"/>
        <w:gridCol w:w="3801"/>
      </w:tblGrid>
      <w:tr w:rsidR="00DC7852" w:rsidRPr="00DC7852" w14:paraId="367EAE1A" w14:textId="77777777" w:rsidTr="00A605E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BBAC0AE" w14:textId="77777777" w:rsidR="00DC7852" w:rsidRPr="00DC7852" w:rsidRDefault="00DC7852" w:rsidP="00072DA6">
            <w:pPr>
              <w:pStyle w:val="TableHeading"/>
              <w:rPr>
                <w:sz w:val="22"/>
              </w:rPr>
            </w:pPr>
            <w:r w:rsidRPr="00DC7852">
              <w:rPr>
                <w:sz w:val="22"/>
              </w:rPr>
              <w:t xml:space="preserve">Specified </w:t>
            </w:r>
            <w:r w:rsidR="00072DA6">
              <w:rPr>
                <w:sz w:val="22"/>
              </w:rPr>
              <w:t>service</w:t>
            </w:r>
            <w:r w:rsidR="0085209C">
              <w:rPr>
                <w:sz w:val="22"/>
              </w:rPr>
              <w:t xml:space="preserve"> and sites</w:t>
            </w:r>
          </w:p>
        </w:tc>
      </w:tr>
      <w:tr w:rsidR="00DC7852" w:rsidRPr="00DC7852" w14:paraId="69B000AD" w14:textId="77777777" w:rsidTr="00A605ED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4E9DB96" w14:textId="77777777" w:rsidR="00DC7852" w:rsidRPr="00DC7852" w:rsidRDefault="00DC7852" w:rsidP="00A605ED">
            <w:pPr>
              <w:pStyle w:val="TableHeading"/>
              <w:rPr>
                <w:sz w:val="22"/>
              </w:rPr>
            </w:pPr>
            <w:r w:rsidRPr="00DC7852">
              <w:rPr>
                <w:sz w:val="22"/>
              </w:rPr>
              <w:t>Item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A99CF8E" w14:textId="77777777" w:rsidR="00DC7852" w:rsidRPr="00DC7852" w:rsidRDefault="00DC7852" w:rsidP="00A605ED">
            <w:pPr>
              <w:pStyle w:val="TableHeading"/>
              <w:rPr>
                <w:sz w:val="22"/>
              </w:rPr>
            </w:pPr>
            <w:r w:rsidRPr="00DC7852">
              <w:rPr>
                <w:sz w:val="22"/>
              </w:rPr>
              <w:t>Column 1</w:t>
            </w:r>
          </w:p>
          <w:p w14:paraId="49BC27B1" w14:textId="77777777" w:rsidR="00DC7852" w:rsidRPr="00DC7852" w:rsidRDefault="00112C91" w:rsidP="00A605ED">
            <w:pPr>
              <w:pStyle w:val="TableHeading"/>
              <w:rPr>
                <w:sz w:val="22"/>
              </w:rPr>
            </w:pPr>
            <w:r>
              <w:rPr>
                <w:sz w:val="22"/>
              </w:rPr>
              <w:t>Service</w:t>
            </w:r>
            <w:r w:rsidR="0085209C">
              <w:rPr>
                <w:sz w:val="22"/>
              </w:rPr>
              <w:t xml:space="preserve"> </w:t>
            </w:r>
          </w:p>
        </w:tc>
        <w:tc>
          <w:tcPr>
            <w:tcW w:w="228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24B987A" w14:textId="77777777" w:rsidR="00DC7852" w:rsidRPr="00DC7852" w:rsidRDefault="00DC7852" w:rsidP="00A605ED">
            <w:pPr>
              <w:pStyle w:val="TableHeading"/>
              <w:rPr>
                <w:sz w:val="22"/>
              </w:rPr>
            </w:pPr>
            <w:r w:rsidRPr="00DC7852">
              <w:rPr>
                <w:sz w:val="22"/>
              </w:rPr>
              <w:t>Column 2</w:t>
            </w:r>
          </w:p>
          <w:p w14:paraId="39255EBB" w14:textId="77777777" w:rsidR="00DC7852" w:rsidRPr="00DC7852" w:rsidRDefault="0085209C" w:rsidP="00A605ED">
            <w:pPr>
              <w:pStyle w:val="TableHeading"/>
              <w:rPr>
                <w:sz w:val="22"/>
              </w:rPr>
            </w:pPr>
            <w:r>
              <w:rPr>
                <w:sz w:val="22"/>
              </w:rPr>
              <w:t>Site</w:t>
            </w:r>
          </w:p>
        </w:tc>
      </w:tr>
      <w:tr w:rsidR="00DC7852" w:rsidRPr="00DC7852" w14:paraId="190F6E15" w14:textId="77777777" w:rsidTr="00A605ED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14:paraId="2016D766" w14:textId="77777777" w:rsidR="00DC7852" w:rsidRPr="00DC7852" w:rsidRDefault="00DC7852" w:rsidP="00A605ED">
            <w:pPr>
              <w:pStyle w:val="Tabletext"/>
              <w:rPr>
                <w:sz w:val="22"/>
              </w:rPr>
            </w:pPr>
            <w:r w:rsidRPr="00DC7852">
              <w:rPr>
                <w:sz w:val="22"/>
              </w:rPr>
              <w:t>1</w:t>
            </w:r>
          </w:p>
        </w:tc>
        <w:tc>
          <w:tcPr>
            <w:tcW w:w="2285" w:type="pct"/>
            <w:tcBorders>
              <w:top w:val="single" w:sz="12" w:space="0" w:color="auto"/>
            </w:tcBorders>
            <w:shd w:val="clear" w:color="auto" w:fill="auto"/>
          </w:tcPr>
          <w:p w14:paraId="275222C6" w14:textId="77777777" w:rsidR="00DC7852" w:rsidRPr="00DC7852" w:rsidRDefault="0085209C" w:rsidP="0085209C">
            <w:pPr>
              <w:pStyle w:val="Tabletext"/>
              <w:rPr>
                <w:sz w:val="22"/>
              </w:rPr>
            </w:pPr>
            <w:r w:rsidRPr="0085209C">
              <w:rPr>
                <w:sz w:val="22"/>
              </w:rPr>
              <w:t xml:space="preserve">Islet cell transplantation for the treatment of severe hypoglycaemia unawareness and metabolic instability in </w:t>
            </w:r>
            <w:r>
              <w:rPr>
                <w:sz w:val="22"/>
              </w:rPr>
              <w:t>p</w:t>
            </w:r>
            <w:r w:rsidRPr="0085209C">
              <w:rPr>
                <w:sz w:val="22"/>
              </w:rPr>
              <w:t xml:space="preserve"> with Type-1 diabetes</w:t>
            </w:r>
          </w:p>
        </w:tc>
        <w:tc>
          <w:tcPr>
            <w:tcW w:w="2286" w:type="pct"/>
            <w:tcBorders>
              <w:top w:val="single" w:sz="12" w:space="0" w:color="auto"/>
            </w:tcBorders>
            <w:shd w:val="clear" w:color="auto" w:fill="auto"/>
          </w:tcPr>
          <w:p w14:paraId="150CBAAF" w14:textId="77777777" w:rsidR="00DC7852" w:rsidRPr="00DC7852" w:rsidRDefault="00DC7852" w:rsidP="00A605ED">
            <w:pPr>
              <w:pStyle w:val="Tablea"/>
              <w:rPr>
                <w:sz w:val="22"/>
              </w:rPr>
            </w:pPr>
            <w:r w:rsidRPr="00DC7852">
              <w:rPr>
                <w:sz w:val="22"/>
              </w:rPr>
              <w:t xml:space="preserve">(a) </w:t>
            </w:r>
            <w:r w:rsidR="0085209C" w:rsidRPr="0085209C">
              <w:rPr>
                <w:sz w:val="22"/>
              </w:rPr>
              <w:t>Royal Adelaide Hospital, South Australia</w:t>
            </w:r>
          </w:p>
          <w:p w14:paraId="24627A42" w14:textId="77777777" w:rsidR="00DC7852" w:rsidRPr="00DC7852" w:rsidRDefault="00DC7852" w:rsidP="00A605ED">
            <w:pPr>
              <w:pStyle w:val="Tablea"/>
              <w:rPr>
                <w:sz w:val="22"/>
              </w:rPr>
            </w:pPr>
            <w:r w:rsidRPr="00DC7852">
              <w:rPr>
                <w:sz w:val="22"/>
              </w:rPr>
              <w:t xml:space="preserve">(b) </w:t>
            </w:r>
            <w:r w:rsidR="0085209C" w:rsidRPr="0085209C">
              <w:rPr>
                <w:sz w:val="22"/>
              </w:rPr>
              <w:t>St. Vincent’s Hospital, Victoria</w:t>
            </w:r>
          </w:p>
          <w:p w14:paraId="70F8EFAB" w14:textId="77777777" w:rsidR="00DC7852" w:rsidRPr="00DC7852" w:rsidRDefault="00DC7852" w:rsidP="007E236B">
            <w:pPr>
              <w:pStyle w:val="Tablea"/>
              <w:rPr>
                <w:sz w:val="22"/>
              </w:rPr>
            </w:pPr>
            <w:r w:rsidRPr="00DC7852">
              <w:rPr>
                <w:sz w:val="22"/>
              </w:rPr>
              <w:t xml:space="preserve">(c) </w:t>
            </w:r>
            <w:r w:rsidR="007E236B">
              <w:rPr>
                <w:sz w:val="22"/>
              </w:rPr>
              <w:t>Westmead Hospital</w:t>
            </w:r>
            <w:r w:rsidR="0085209C" w:rsidRPr="0085209C">
              <w:rPr>
                <w:sz w:val="22"/>
              </w:rPr>
              <w:t>, New South Wales</w:t>
            </w:r>
          </w:p>
        </w:tc>
      </w:tr>
      <w:tr w:rsidR="00DC7852" w:rsidRPr="00DC7852" w14:paraId="5C8946E8" w14:textId="77777777" w:rsidTr="00A605ED">
        <w:tc>
          <w:tcPr>
            <w:tcW w:w="429" w:type="pct"/>
            <w:shd w:val="clear" w:color="auto" w:fill="auto"/>
          </w:tcPr>
          <w:p w14:paraId="7FFED1F3" w14:textId="77777777" w:rsidR="00DC7852" w:rsidRPr="00DC7852" w:rsidRDefault="00DC7852" w:rsidP="00A605ED">
            <w:pPr>
              <w:pStyle w:val="Tabletext"/>
              <w:rPr>
                <w:sz w:val="22"/>
              </w:rPr>
            </w:pPr>
            <w:r w:rsidRPr="00DC7852">
              <w:rPr>
                <w:sz w:val="22"/>
              </w:rPr>
              <w:t>2</w:t>
            </w:r>
          </w:p>
        </w:tc>
        <w:tc>
          <w:tcPr>
            <w:tcW w:w="2285" w:type="pct"/>
            <w:shd w:val="clear" w:color="auto" w:fill="auto"/>
          </w:tcPr>
          <w:p w14:paraId="6DC94B90" w14:textId="77777777" w:rsidR="00DC7852" w:rsidRPr="00DC7852" w:rsidRDefault="0085209C" w:rsidP="00A605ED">
            <w:pPr>
              <w:pStyle w:val="Tabletext"/>
              <w:rPr>
                <w:sz w:val="22"/>
              </w:rPr>
            </w:pPr>
            <w:r w:rsidRPr="0085209C">
              <w:rPr>
                <w:sz w:val="22"/>
              </w:rPr>
              <w:t>Paediatric heart transplantation</w:t>
            </w:r>
          </w:p>
        </w:tc>
        <w:tc>
          <w:tcPr>
            <w:tcW w:w="2286" w:type="pct"/>
            <w:shd w:val="clear" w:color="auto" w:fill="auto"/>
          </w:tcPr>
          <w:p w14:paraId="5E64CFEB" w14:textId="77777777" w:rsidR="00DC7852" w:rsidRPr="00DC7852" w:rsidRDefault="00DC7852" w:rsidP="007E236B">
            <w:pPr>
              <w:pStyle w:val="Tablea"/>
              <w:rPr>
                <w:sz w:val="22"/>
              </w:rPr>
            </w:pPr>
            <w:r w:rsidRPr="00DC7852">
              <w:rPr>
                <w:sz w:val="22"/>
              </w:rPr>
              <w:t xml:space="preserve">(a) </w:t>
            </w:r>
            <w:r w:rsidR="0085209C" w:rsidRPr="0085209C">
              <w:rPr>
                <w:sz w:val="22"/>
              </w:rPr>
              <w:t>Royal Children’</w:t>
            </w:r>
            <w:r w:rsidR="007E236B">
              <w:rPr>
                <w:sz w:val="22"/>
              </w:rPr>
              <w:t>s Hospital</w:t>
            </w:r>
            <w:r w:rsidR="0085209C">
              <w:rPr>
                <w:sz w:val="22"/>
              </w:rPr>
              <w:t>, Victoria</w:t>
            </w:r>
          </w:p>
        </w:tc>
      </w:tr>
      <w:tr w:rsidR="0085209C" w:rsidRPr="00DC7852" w14:paraId="039F9715" w14:textId="77777777" w:rsidTr="00A605ED">
        <w:tc>
          <w:tcPr>
            <w:tcW w:w="429" w:type="pct"/>
            <w:shd w:val="clear" w:color="auto" w:fill="auto"/>
          </w:tcPr>
          <w:p w14:paraId="197218A3" w14:textId="77777777" w:rsidR="0085209C" w:rsidRPr="00DC7852" w:rsidRDefault="0085209C" w:rsidP="0085209C">
            <w:pPr>
              <w:pStyle w:val="Tabletext"/>
              <w:rPr>
                <w:sz w:val="22"/>
              </w:rPr>
            </w:pPr>
            <w:r w:rsidRPr="00DC7852">
              <w:rPr>
                <w:sz w:val="22"/>
              </w:rPr>
              <w:t>3</w:t>
            </w:r>
          </w:p>
        </w:tc>
        <w:tc>
          <w:tcPr>
            <w:tcW w:w="2285" w:type="pct"/>
            <w:shd w:val="clear" w:color="auto" w:fill="auto"/>
          </w:tcPr>
          <w:p w14:paraId="4927DD56" w14:textId="77777777" w:rsidR="0085209C" w:rsidRPr="00DC7852" w:rsidRDefault="0085209C" w:rsidP="0085209C">
            <w:pPr>
              <w:pStyle w:val="Tabletext"/>
              <w:rPr>
                <w:sz w:val="22"/>
              </w:rPr>
            </w:pPr>
            <w:r w:rsidRPr="0085209C">
              <w:rPr>
                <w:sz w:val="22"/>
              </w:rPr>
              <w:t>Paediatric liver transplantation</w:t>
            </w:r>
          </w:p>
        </w:tc>
        <w:tc>
          <w:tcPr>
            <w:tcW w:w="2286" w:type="pct"/>
            <w:shd w:val="clear" w:color="auto" w:fill="auto"/>
          </w:tcPr>
          <w:p w14:paraId="196307F5" w14:textId="77777777" w:rsidR="0085209C" w:rsidRPr="00DC7852" w:rsidRDefault="0085209C" w:rsidP="0085209C">
            <w:pPr>
              <w:pStyle w:val="Tablea"/>
              <w:rPr>
                <w:sz w:val="22"/>
              </w:rPr>
            </w:pPr>
            <w:r w:rsidRPr="00DC7852">
              <w:rPr>
                <w:sz w:val="22"/>
              </w:rPr>
              <w:t xml:space="preserve">(a) </w:t>
            </w:r>
            <w:r w:rsidR="00613683" w:rsidRPr="00613683">
              <w:rPr>
                <w:sz w:val="22"/>
              </w:rPr>
              <w:t>Queensland Children's Hospita</w:t>
            </w:r>
            <w:r w:rsidR="00613683">
              <w:rPr>
                <w:sz w:val="22"/>
              </w:rPr>
              <w:t>l</w:t>
            </w:r>
            <w:r w:rsidR="007E236B">
              <w:rPr>
                <w:sz w:val="22"/>
              </w:rPr>
              <w:t>, Queensland</w:t>
            </w:r>
          </w:p>
          <w:p w14:paraId="07350212" w14:textId="77777777" w:rsidR="0085209C" w:rsidRPr="00DC7852" w:rsidRDefault="0085209C" w:rsidP="0085209C">
            <w:pPr>
              <w:pStyle w:val="Tablea"/>
              <w:rPr>
                <w:sz w:val="22"/>
              </w:rPr>
            </w:pPr>
            <w:r w:rsidRPr="00DC7852">
              <w:rPr>
                <w:sz w:val="22"/>
              </w:rPr>
              <w:t xml:space="preserve">(b) </w:t>
            </w:r>
            <w:r w:rsidR="007E236B">
              <w:rPr>
                <w:sz w:val="22"/>
              </w:rPr>
              <w:t>Royal Children’s Hospital</w:t>
            </w:r>
            <w:r w:rsidRPr="0085209C">
              <w:rPr>
                <w:sz w:val="22"/>
              </w:rPr>
              <w:t>, Victoria</w:t>
            </w:r>
          </w:p>
          <w:p w14:paraId="179D2BA2" w14:textId="77777777" w:rsidR="0085209C" w:rsidRPr="00DC7852" w:rsidRDefault="0085209C" w:rsidP="0085209C">
            <w:pPr>
              <w:pStyle w:val="Tablea"/>
              <w:rPr>
                <w:sz w:val="22"/>
              </w:rPr>
            </w:pPr>
            <w:r w:rsidRPr="00DC7852">
              <w:rPr>
                <w:sz w:val="22"/>
              </w:rPr>
              <w:t xml:space="preserve">(c) </w:t>
            </w:r>
            <w:r w:rsidR="003D4A11">
              <w:rPr>
                <w:sz w:val="22"/>
              </w:rPr>
              <w:t>The Sydney Children’s Hospitals</w:t>
            </w:r>
            <w:r w:rsidRPr="0085209C">
              <w:rPr>
                <w:sz w:val="22"/>
              </w:rPr>
              <w:t xml:space="preserve"> Netw</w:t>
            </w:r>
            <w:r>
              <w:rPr>
                <w:sz w:val="22"/>
              </w:rPr>
              <w:t>ork (Westmead), New South Wales</w:t>
            </w:r>
          </w:p>
        </w:tc>
      </w:tr>
      <w:tr w:rsidR="00DC7852" w:rsidRPr="00DC7852" w14:paraId="39F80B35" w14:textId="77777777" w:rsidTr="00A605ED">
        <w:tc>
          <w:tcPr>
            <w:tcW w:w="429" w:type="pct"/>
            <w:shd w:val="clear" w:color="auto" w:fill="auto"/>
          </w:tcPr>
          <w:p w14:paraId="1C73C112" w14:textId="77777777" w:rsidR="00DC7852" w:rsidRPr="00DC7852" w:rsidRDefault="00DC7852" w:rsidP="00A605ED">
            <w:pPr>
              <w:pStyle w:val="Tabletext"/>
              <w:rPr>
                <w:sz w:val="22"/>
              </w:rPr>
            </w:pPr>
            <w:r w:rsidRPr="00DC7852">
              <w:rPr>
                <w:sz w:val="22"/>
              </w:rPr>
              <w:t>4</w:t>
            </w:r>
          </w:p>
        </w:tc>
        <w:tc>
          <w:tcPr>
            <w:tcW w:w="2285" w:type="pct"/>
            <w:shd w:val="clear" w:color="auto" w:fill="auto"/>
          </w:tcPr>
          <w:p w14:paraId="1FC28B1C" w14:textId="77777777" w:rsidR="00DC7852" w:rsidRPr="00DC7852" w:rsidRDefault="0085209C" w:rsidP="00A605ED">
            <w:pPr>
              <w:pStyle w:val="Tabletext"/>
              <w:rPr>
                <w:sz w:val="22"/>
              </w:rPr>
            </w:pPr>
            <w:r w:rsidRPr="0085209C">
              <w:rPr>
                <w:sz w:val="22"/>
              </w:rPr>
              <w:t>Paediatric lung and heart-lung transplantation</w:t>
            </w:r>
          </w:p>
        </w:tc>
        <w:tc>
          <w:tcPr>
            <w:tcW w:w="2286" w:type="pct"/>
            <w:shd w:val="clear" w:color="auto" w:fill="auto"/>
          </w:tcPr>
          <w:p w14:paraId="055F7429" w14:textId="77777777" w:rsidR="00DC7852" w:rsidRPr="00DC7852" w:rsidRDefault="00DC7852" w:rsidP="00E811A9">
            <w:pPr>
              <w:pStyle w:val="Tablea"/>
              <w:rPr>
                <w:sz w:val="22"/>
              </w:rPr>
            </w:pPr>
            <w:r w:rsidRPr="00DC7852">
              <w:rPr>
                <w:sz w:val="22"/>
              </w:rPr>
              <w:t xml:space="preserve">(a) </w:t>
            </w:r>
            <w:r w:rsidR="0085209C" w:rsidRPr="0085209C">
              <w:rPr>
                <w:sz w:val="22"/>
              </w:rPr>
              <w:t>Alfred Hospital</w:t>
            </w:r>
            <w:r w:rsidR="0085209C">
              <w:rPr>
                <w:sz w:val="22"/>
              </w:rPr>
              <w:t>, Victoria</w:t>
            </w:r>
          </w:p>
        </w:tc>
      </w:tr>
      <w:tr w:rsidR="00DC7852" w:rsidRPr="00DC7852" w14:paraId="3A368652" w14:textId="77777777" w:rsidTr="00A605ED">
        <w:tc>
          <w:tcPr>
            <w:tcW w:w="429" w:type="pct"/>
            <w:shd w:val="clear" w:color="auto" w:fill="auto"/>
          </w:tcPr>
          <w:p w14:paraId="7BD2C093" w14:textId="77777777" w:rsidR="00DC7852" w:rsidRPr="00DC7852" w:rsidRDefault="00DC7852" w:rsidP="00A605ED">
            <w:pPr>
              <w:pStyle w:val="Tabletext"/>
              <w:rPr>
                <w:sz w:val="22"/>
              </w:rPr>
            </w:pPr>
            <w:r w:rsidRPr="00DC7852">
              <w:rPr>
                <w:sz w:val="22"/>
              </w:rPr>
              <w:t>5</w:t>
            </w:r>
          </w:p>
        </w:tc>
        <w:tc>
          <w:tcPr>
            <w:tcW w:w="2285" w:type="pct"/>
            <w:shd w:val="clear" w:color="auto" w:fill="auto"/>
          </w:tcPr>
          <w:p w14:paraId="5F32BCD0" w14:textId="77777777" w:rsidR="00DC7852" w:rsidRPr="00DC7852" w:rsidRDefault="0085209C" w:rsidP="00A605ED">
            <w:pPr>
              <w:pStyle w:val="Tabletext"/>
              <w:rPr>
                <w:sz w:val="22"/>
              </w:rPr>
            </w:pPr>
            <w:r w:rsidRPr="0085209C">
              <w:rPr>
                <w:sz w:val="22"/>
              </w:rPr>
              <w:t>Pancreas transplantation</w:t>
            </w:r>
          </w:p>
        </w:tc>
        <w:tc>
          <w:tcPr>
            <w:tcW w:w="2286" w:type="pct"/>
            <w:shd w:val="clear" w:color="auto" w:fill="auto"/>
          </w:tcPr>
          <w:p w14:paraId="388269AE" w14:textId="77777777" w:rsidR="00DC7852" w:rsidRPr="00DC7852" w:rsidRDefault="00DC7852" w:rsidP="00A605ED">
            <w:pPr>
              <w:pStyle w:val="Tablea"/>
              <w:rPr>
                <w:sz w:val="22"/>
              </w:rPr>
            </w:pPr>
            <w:r w:rsidRPr="00DC7852">
              <w:rPr>
                <w:sz w:val="22"/>
              </w:rPr>
              <w:t xml:space="preserve">(a) </w:t>
            </w:r>
            <w:r w:rsidR="0085209C" w:rsidRPr="0085209C">
              <w:rPr>
                <w:sz w:val="22"/>
              </w:rPr>
              <w:t>Monash Medical Centre, Victoria</w:t>
            </w:r>
          </w:p>
          <w:p w14:paraId="7E1D042F" w14:textId="77777777" w:rsidR="00DC7852" w:rsidRPr="00DC7852" w:rsidRDefault="00DC7852" w:rsidP="007E236B">
            <w:pPr>
              <w:pStyle w:val="Tablea"/>
              <w:rPr>
                <w:sz w:val="22"/>
              </w:rPr>
            </w:pPr>
            <w:r w:rsidRPr="00DC7852">
              <w:rPr>
                <w:sz w:val="22"/>
              </w:rPr>
              <w:t xml:space="preserve">(b) </w:t>
            </w:r>
            <w:r w:rsidR="0085209C" w:rsidRPr="0085209C">
              <w:rPr>
                <w:sz w:val="22"/>
              </w:rPr>
              <w:t>Westmead Ho</w:t>
            </w:r>
            <w:r w:rsidR="007E236B">
              <w:rPr>
                <w:sz w:val="22"/>
              </w:rPr>
              <w:t>spital</w:t>
            </w:r>
            <w:r w:rsidR="0085209C">
              <w:rPr>
                <w:sz w:val="22"/>
              </w:rPr>
              <w:t>, New South Wales</w:t>
            </w:r>
          </w:p>
        </w:tc>
      </w:tr>
    </w:tbl>
    <w:p w14:paraId="58CBCC62" w14:textId="77777777" w:rsidR="00130729" w:rsidRPr="003D4A11" w:rsidRDefault="00130729" w:rsidP="009760CD">
      <w:pPr>
        <w:pStyle w:val="paragraph"/>
        <w:ind w:left="0" w:firstLine="0"/>
        <w:rPr>
          <w:i/>
        </w:rPr>
      </w:pPr>
    </w:p>
    <w:p w14:paraId="1D6CA837" w14:textId="77777777" w:rsidR="00B56503" w:rsidRPr="00FF600B" w:rsidRDefault="00B56503" w:rsidP="00B56503">
      <w:pPr>
        <w:pStyle w:val="ItemHead"/>
      </w:pPr>
      <w:proofErr w:type="gramStart"/>
      <w:r>
        <w:t>6</w:t>
      </w:r>
      <w:r w:rsidRPr="00B1728A">
        <w:t xml:space="preserve">  </w:t>
      </w:r>
      <w:r>
        <w:t>Other</w:t>
      </w:r>
      <w:proofErr w:type="gramEnd"/>
      <w:r>
        <w:t xml:space="preserve"> matters</w:t>
      </w:r>
    </w:p>
    <w:p w14:paraId="6C7E0CEF" w14:textId="77777777" w:rsidR="00F72B77" w:rsidRPr="00A777BD" w:rsidRDefault="00F72B77" w:rsidP="00F72B77">
      <w:pPr>
        <w:pStyle w:val="subsection"/>
      </w:pPr>
      <w:r>
        <w:tab/>
      </w:r>
      <w:r w:rsidRPr="00FF600B">
        <w:tab/>
      </w:r>
      <w:r w:rsidRPr="00A777BD">
        <w:t>The Pricing Authority is directed to:</w:t>
      </w:r>
    </w:p>
    <w:p w14:paraId="3AC32D8D" w14:textId="77777777" w:rsidR="00F72B77" w:rsidRPr="00A777BD" w:rsidRDefault="00F72B77" w:rsidP="00F72B77">
      <w:pPr>
        <w:pStyle w:val="paragraph"/>
      </w:pPr>
      <w:r w:rsidRPr="00A777BD">
        <w:tab/>
        <w:t>(a)</w:t>
      </w:r>
      <w:r w:rsidRPr="00A777BD">
        <w:tab/>
      </w:r>
      <w:proofErr w:type="gramStart"/>
      <w:r w:rsidRPr="00A777BD">
        <w:t>commence</w:t>
      </w:r>
      <w:proofErr w:type="gramEnd"/>
      <w:r w:rsidRPr="00A777BD">
        <w:t xml:space="preserve"> the study as soon as practicable; </w:t>
      </w:r>
    </w:p>
    <w:p w14:paraId="6CB75675" w14:textId="788B39C4" w:rsidR="00F72B77" w:rsidRPr="00A777BD" w:rsidRDefault="00F72B77" w:rsidP="00F72B77">
      <w:pPr>
        <w:pStyle w:val="paragraph"/>
      </w:pPr>
      <w:r w:rsidRPr="00A777BD">
        <w:tab/>
        <w:t>(b)</w:t>
      </w:r>
      <w:r w:rsidRPr="00A777BD">
        <w:tab/>
      </w:r>
      <w:proofErr w:type="gramStart"/>
      <w:r w:rsidRPr="00A777BD">
        <w:t>provide</w:t>
      </w:r>
      <w:proofErr w:type="gramEnd"/>
      <w:r w:rsidRPr="00A777BD">
        <w:t xml:space="preserve"> updates about the study</w:t>
      </w:r>
      <w:r w:rsidR="00E43E89" w:rsidRPr="00A777BD">
        <w:t xml:space="preserve"> </w:t>
      </w:r>
      <w:r w:rsidRPr="00A777BD">
        <w:t xml:space="preserve">to the Australian Health Ministers’ Advisory Council </w:t>
      </w:r>
      <w:r w:rsidR="001F5B7B">
        <w:t xml:space="preserve">and the Standing Council on Health </w:t>
      </w:r>
      <w:r w:rsidRPr="00A777BD">
        <w:t xml:space="preserve">as </w:t>
      </w:r>
      <w:r w:rsidR="003D4A11" w:rsidRPr="00A777BD">
        <w:t>requested</w:t>
      </w:r>
      <w:r w:rsidR="00977E7D">
        <w:t>;</w:t>
      </w:r>
    </w:p>
    <w:p w14:paraId="507CB758" w14:textId="10603663" w:rsidR="00E43E89" w:rsidRPr="00A777BD" w:rsidRDefault="00F72B77" w:rsidP="00F72B77">
      <w:pPr>
        <w:pStyle w:val="paragraph"/>
      </w:pPr>
      <w:r w:rsidRPr="00A777BD">
        <w:tab/>
        <w:t>(c)</w:t>
      </w:r>
      <w:r w:rsidRPr="00A777BD">
        <w:tab/>
      </w:r>
      <w:r w:rsidR="00E43E89" w:rsidRPr="00A777BD">
        <w:t>provide an interim report of the results of the stu</w:t>
      </w:r>
      <w:r w:rsidR="00A777BD" w:rsidRPr="00A777BD">
        <w:t>dy and options</w:t>
      </w:r>
      <w:r w:rsidR="001F5B7B">
        <w:t xml:space="preserve"> to the Australian Health Ministers’ Advisory Council</w:t>
      </w:r>
      <w:r w:rsidR="00A777BD" w:rsidRPr="00A777BD">
        <w:t xml:space="preserve">, not later than </w:t>
      </w:r>
      <w:r w:rsidR="003E3E29">
        <w:t>1 August 2020</w:t>
      </w:r>
      <w:r w:rsidR="00E43E89" w:rsidRPr="00A777BD">
        <w:t>; and</w:t>
      </w:r>
    </w:p>
    <w:p w14:paraId="5B929A16" w14:textId="41E104E3" w:rsidR="00F72B77" w:rsidRPr="003D4A11" w:rsidRDefault="00E43E89" w:rsidP="00E43E89">
      <w:pPr>
        <w:pStyle w:val="paragraph"/>
      </w:pPr>
      <w:r w:rsidRPr="003D4A11">
        <w:tab/>
      </w:r>
      <w:r w:rsidRPr="00A777BD">
        <w:t>(d)</w:t>
      </w:r>
      <w:r w:rsidRPr="00A777BD">
        <w:tab/>
      </w:r>
      <w:proofErr w:type="gramStart"/>
      <w:r w:rsidR="00F72B77" w:rsidRPr="00A777BD">
        <w:t>submit</w:t>
      </w:r>
      <w:proofErr w:type="gramEnd"/>
      <w:r w:rsidR="00F72B77" w:rsidRPr="00A777BD">
        <w:t xml:space="preserve"> to the </w:t>
      </w:r>
      <w:r w:rsidR="001F5B7B">
        <w:t xml:space="preserve">Standing Council on Health </w:t>
      </w:r>
      <w:r w:rsidR="00F72B77" w:rsidRPr="00A777BD">
        <w:t xml:space="preserve">a final report of the results </w:t>
      </w:r>
      <w:r w:rsidR="00F72B77" w:rsidRPr="003D4A11">
        <w:t>of the stu</w:t>
      </w:r>
      <w:r w:rsidR="00A777BD">
        <w:t xml:space="preserve">dy and options, not later than </w:t>
      </w:r>
      <w:r w:rsidR="003E3E29">
        <w:t>31 January 2021</w:t>
      </w:r>
      <w:r w:rsidR="00F72B77" w:rsidRPr="003D4A11">
        <w:t>.</w:t>
      </w:r>
    </w:p>
    <w:p w14:paraId="222E2625" w14:textId="77777777" w:rsidR="00F72B77" w:rsidRPr="003D4A11" w:rsidRDefault="00F72B77" w:rsidP="00F72B77">
      <w:pPr>
        <w:pStyle w:val="paragraph"/>
      </w:pPr>
    </w:p>
    <w:sectPr w:rsidR="00F72B77" w:rsidRPr="003D4A11" w:rsidSect="008C2EAC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1DC18" w14:textId="77777777" w:rsidR="009D39A3" w:rsidRDefault="009D39A3" w:rsidP="00715914">
      <w:pPr>
        <w:spacing w:line="240" w:lineRule="auto"/>
      </w:pPr>
      <w:r>
        <w:separator/>
      </w:r>
    </w:p>
  </w:endnote>
  <w:endnote w:type="continuationSeparator" w:id="0">
    <w:p w14:paraId="12658AC5" w14:textId="77777777" w:rsidR="009D39A3" w:rsidRDefault="009D39A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5B8A5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1F46C4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C94484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566D18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32C16">
            <w:rPr>
              <w:i/>
              <w:noProof/>
              <w:sz w:val="18"/>
            </w:rPr>
            <w:t>Direction to the Independent Hospital Pricing Authority on the performance of its functions under section 226 of the National Health Reform Act 2011 - No 1/2019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0A4163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19AAA3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9EFA1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057FD4D9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AEB95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52A93C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AC5A7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176EEF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32C16">
            <w:rPr>
              <w:i/>
              <w:noProof/>
              <w:sz w:val="18"/>
            </w:rPr>
            <w:t>Direction to the Independent Hospital Pricing Authority on the performance of its functions under section 226 of the National Health Reform Act 2011 - No 1/2019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07894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BFA2F6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74269D" w14:textId="77777777" w:rsidR="0072147A" w:rsidRDefault="0072147A" w:rsidP="00A369E3">
          <w:pPr>
            <w:rPr>
              <w:sz w:val="18"/>
            </w:rPr>
          </w:pPr>
        </w:p>
      </w:tc>
    </w:tr>
  </w:tbl>
  <w:p w14:paraId="57F93824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8EB97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0C81A9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82C76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28F2E5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FAF64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7B160FC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46E0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42CF6BB" w14:textId="77777777" w:rsidTr="00A87A58">
      <w:tc>
        <w:tcPr>
          <w:tcW w:w="365" w:type="pct"/>
        </w:tcPr>
        <w:p w14:paraId="01FD6E51" w14:textId="0C7B3A33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18E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27DCB40" w14:textId="064F54CB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18E9">
            <w:rPr>
              <w:i/>
              <w:noProof/>
              <w:sz w:val="18"/>
            </w:rPr>
            <w:t>Direction to the Independent Hospital Pricing Authority on the performance of its functions under section 226 of the National Health Reform Act 2011 - No 1/2020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EEB4E70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9BE6C7F" w14:textId="77777777" w:rsidTr="00A87A58">
      <w:tc>
        <w:tcPr>
          <w:tcW w:w="5000" w:type="pct"/>
          <w:gridSpan w:val="3"/>
        </w:tcPr>
        <w:p w14:paraId="4C0227D1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6955095E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E83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7AE4BAA" w14:textId="77777777" w:rsidTr="00A87A58">
      <w:tc>
        <w:tcPr>
          <w:tcW w:w="947" w:type="pct"/>
        </w:tcPr>
        <w:p w14:paraId="4655F9DF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B5FC311" w14:textId="02223E2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18E9">
            <w:rPr>
              <w:i/>
              <w:noProof/>
              <w:sz w:val="18"/>
            </w:rPr>
            <w:t>Direction to the Independent Hospital Pricing Authority on the performance of its functions under section 226 of the National Health Reform Act 2011 - No 1/2020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3CB41F6" w14:textId="711CD1AB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18E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30FA3F5" w14:textId="77777777" w:rsidTr="00A87A58">
      <w:tc>
        <w:tcPr>
          <w:tcW w:w="5000" w:type="pct"/>
          <w:gridSpan w:val="3"/>
        </w:tcPr>
        <w:p w14:paraId="349995AB" w14:textId="77777777" w:rsidR="008C2EAC" w:rsidRDefault="008C2EAC" w:rsidP="000850AC">
          <w:pPr>
            <w:rPr>
              <w:sz w:val="18"/>
            </w:rPr>
          </w:pPr>
        </w:p>
      </w:tc>
    </w:tr>
  </w:tbl>
  <w:p w14:paraId="0A119186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878E7" w14:textId="77777777" w:rsidR="009D39A3" w:rsidRDefault="009D39A3" w:rsidP="00715914">
      <w:pPr>
        <w:spacing w:line="240" w:lineRule="auto"/>
      </w:pPr>
      <w:r>
        <w:separator/>
      </w:r>
    </w:p>
  </w:footnote>
  <w:footnote w:type="continuationSeparator" w:id="0">
    <w:p w14:paraId="631321BB" w14:textId="77777777" w:rsidR="009D39A3" w:rsidRDefault="009D39A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2710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A64B0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853A" w14:textId="77777777" w:rsidR="004E1307" w:rsidRDefault="004E1307" w:rsidP="00715914">
    <w:pPr>
      <w:rPr>
        <w:sz w:val="20"/>
      </w:rPr>
    </w:pPr>
  </w:p>
  <w:p w14:paraId="1A30F17E" w14:textId="77777777" w:rsidR="004E1307" w:rsidRDefault="004E1307" w:rsidP="00715914">
    <w:pPr>
      <w:rPr>
        <w:sz w:val="20"/>
      </w:rPr>
    </w:pPr>
  </w:p>
  <w:p w14:paraId="62AD2625" w14:textId="77777777" w:rsidR="004E1307" w:rsidRPr="007A1328" w:rsidRDefault="004E1307" w:rsidP="00715914">
    <w:pPr>
      <w:rPr>
        <w:sz w:val="20"/>
      </w:rPr>
    </w:pPr>
  </w:p>
  <w:p w14:paraId="279D3C33" w14:textId="77777777" w:rsidR="004E1307" w:rsidRPr="007A1328" w:rsidRDefault="004E1307" w:rsidP="00715914">
    <w:pPr>
      <w:rPr>
        <w:b/>
        <w:sz w:val="24"/>
      </w:rPr>
    </w:pPr>
  </w:p>
  <w:p w14:paraId="561B337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0C423" w14:textId="77777777" w:rsidR="004E1307" w:rsidRPr="007A1328" w:rsidRDefault="004E1307" w:rsidP="00715914">
    <w:pPr>
      <w:jc w:val="right"/>
      <w:rPr>
        <w:sz w:val="20"/>
      </w:rPr>
    </w:pPr>
  </w:p>
  <w:p w14:paraId="19114178" w14:textId="77777777" w:rsidR="004E1307" w:rsidRPr="007A1328" w:rsidRDefault="004E1307" w:rsidP="00715914">
    <w:pPr>
      <w:jc w:val="right"/>
      <w:rPr>
        <w:sz w:val="20"/>
      </w:rPr>
    </w:pPr>
  </w:p>
  <w:p w14:paraId="46094866" w14:textId="77777777" w:rsidR="004E1307" w:rsidRPr="007A1328" w:rsidRDefault="004E1307" w:rsidP="00715914">
    <w:pPr>
      <w:jc w:val="right"/>
      <w:rPr>
        <w:b/>
        <w:sz w:val="24"/>
      </w:rPr>
    </w:pPr>
  </w:p>
  <w:p w14:paraId="6D2B468C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371C4"/>
    <w:multiLevelType w:val="hybridMultilevel"/>
    <w:tmpl w:val="35A68B3A"/>
    <w:lvl w:ilvl="0" w:tplc="A8F65452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6" w:hanging="360"/>
      </w:pPr>
    </w:lvl>
    <w:lvl w:ilvl="2" w:tplc="0C09001B" w:tentative="1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9570E3"/>
    <w:multiLevelType w:val="hybridMultilevel"/>
    <w:tmpl w:val="A5EA7786"/>
    <w:lvl w:ilvl="0" w:tplc="781E7C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11C699A"/>
    <w:multiLevelType w:val="hybridMultilevel"/>
    <w:tmpl w:val="56C2B5F8"/>
    <w:lvl w:ilvl="0" w:tplc="E1F4EB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ACE2704"/>
    <w:multiLevelType w:val="hybridMultilevel"/>
    <w:tmpl w:val="30BE5BEC"/>
    <w:lvl w:ilvl="0" w:tplc="E41EFB6E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9C31323"/>
    <w:multiLevelType w:val="hybridMultilevel"/>
    <w:tmpl w:val="A61E7668"/>
    <w:lvl w:ilvl="0" w:tplc="AC6C1E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6" w:hanging="360"/>
      </w:pPr>
    </w:lvl>
    <w:lvl w:ilvl="2" w:tplc="0C09001B" w:tentative="1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  <w:num w:numId="16">
    <w:abstractNumId w:val="16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9F"/>
    <w:rsid w:val="00004174"/>
    <w:rsid w:val="00004470"/>
    <w:rsid w:val="000136AF"/>
    <w:rsid w:val="000168F4"/>
    <w:rsid w:val="000258B1"/>
    <w:rsid w:val="00034FA1"/>
    <w:rsid w:val="00040A89"/>
    <w:rsid w:val="0004343B"/>
    <w:rsid w:val="000437C1"/>
    <w:rsid w:val="0004455A"/>
    <w:rsid w:val="0005365D"/>
    <w:rsid w:val="000614BF"/>
    <w:rsid w:val="0006709C"/>
    <w:rsid w:val="0007233A"/>
    <w:rsid w:val="00072DA6"/>
    <w:rsid w:val="00074376"/>
    <w:rsid w:val="00091232"/>
    <w:rsid w:val="00092552"/>
    <w:rsid w:val="000978F5"/>
    <w:rsid w:val="000B15CD"/>
    <w:rsid w:val="000B35EB"/>
    <w:rsid w:val="000D05EF"/>
    <w:rsid w:val="000E2261"/>
    <w:rsid w:val="000E2617"/>
    <w:rsid w:val="000E5A5F"/>
    <w:rsid w:val="000E78B7"/>
    <w:rsid w:val="000F21C1"/>
    <w:rsid w:val="0010745C"/>
    <w:rsid w:val="00112C91"/>
    <w:rsid w:val="00130729"/>
    <w:rsid w:val="00132CEB"/>
    <w:rsid w:val="001339B0"/>
    <w:rsid w:val="00142B62"/>
    <w:rsid w:val="001441B7"/>
    <w:rsid w:val="00150151"/>
    <w:rsid w:val="00150A43"/>
    <w:rsid w:val="001516CB"/>
    <w:rsid w:val="00152336"/>
    <w:rsid w:val="00157B8B"/>
    <w:rsid w:val="00162DDD"/>
    <w:rsid w:val="00166C2F"/>
    <w:rsid w:val="001809D7"/>
    <w:rsid w:val="00182C71"/>
    <w:rsid w:val="0018791D"/>
    <w:rsid w:val="0019081D"/>
    <w:rsid w:val="001939E1"/>
    <w:rsid w:val="00194C3E"/>
    <w:rsid w:val="00195382"/>
    <w:rsid w:val="001A5B5A"/>
    <w:rsid w:val="001B2CB6"/>
    <w:rsid w:val="001C61C5"/>
    <w:rsid w:val="001C69C4"/>
    <w:rsid w:val="001D37EF"/>
    <w:rsid w:val="001D686B"/>
    <w:rsid w:val="001E1C4E"/>
    <w:rsid w:val="001E3590"/>
    <w:rsid w:val="001E51C9"/>
    <w:rsid w:val="001E7407"/>
    <w:rsid w:val="001F5B7B"/>
    <w:rsid w:val="001F5D5E"/>
    <w:rsid w:val="001F6219"/>
    <w:rsid w:val="001F6CD4"/>
    <w:rsid w:val="00206C4D"/>
    <w:rsid w:val="00214F90"/>
    <w:rsid w:val="00215AF1"/>
    <w:rsid w:val="002321E8"/>
    <w:rsid w:val="00232984"/>
    <w:rsid w:val="00232C16"/>
    <w:rsid w:val="0023415F"/>
    <w:rsid w:val="0024010F"/>
    <w:rsid w:val="00240749"/>
    <w:rsid w:val="00243018"/>
    <w:rsid w:val="002564A4"/>
    <w:rsid w:val="00256D8F"/>
    <w:rsid w:val="0026736C"/>
    <w:rsid w:val="00274C29"/>
    <w:rsid w:val="00281308"/>
    <w:rsid w:val="0028389A"/>
    <w:rsid w:val="00284719"/>
    <w:rsid w:val="00285404"/>
    <w:rsid w:val="00287956"/>
    <w:rsid w:val="00287FE2"/>
    <w:rsid w:val="00293BE7"/>
    <w:rsid w:val="00297ECB"/>
    <w:rsid w:val="002A15DA"/>
    <w:rsid w:val="002A7BCF"/>
    <w:rsid w:val="002B5346"/>
    <w:rsid w:val="002C3FD1"/>
    <w:rsid w:val="002D043A"/>
    <w:rsid w:val="002D266B"/>
    <w:rsid w:val="002D6224"/>
    <w:rsid w:val="002F1636"/>
    <w:rsid w:val="00304F8B"/>
    <w:rsid w:val="00315247"/>
    <w:rsid w:val="0031795E"/>
    <w:rsid w:val="00324EB8"/>
    <w:rsid w:val="00335BC6"/>
    <w:rsid w:val="003415D3"/>
    <w:rsid w:val="00344338"/>
    <w:rsid w:val="00344701"/>
    <w:rsid w:val="00352B0F"/>
    <w:rsid w:val="00360459"/>
    <w:rsid w:val="0038049F"/>
    <w:rsid w:val="0039506B"/>
    <w:rsid w:val="003953DD"/>
    <w:rsid w:val="003C6231"/>
    <w:rsid w:val="003D0BFE"/>
    <w:rsid w:val="003D4356"/>
    <w:rsid w:val="003D4A11"/>
    <w:rsid w:val="003D5700"/>
    <w:rsid w:val="003E037E"/>
    <w:rsid w:val="003E341B"/>
    <w:rsid w:val="003E3E29"/>
    <w:rsid w:val="003E4D00"/>
    <w:rsid w:val="00405AC6"/>
    <w:rsid w:val="004116CD"/>
    <w:rsid w:val="00417EB9"/>
    <w:rsid w:val="00424CA9"/>
    <w:rsid w:val="00425908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43EC"/>
    <w:rsid w:val="004B6C48"/>
    <w:rsid w:val="004C3A64"/>
    <w:rsid w:val="004C4E59"/>
    <w:rsid w:val="004C6809"/>
    <w:rsid w:val="004D34DA"/>
    <w:rsid w:val="004E063A"/>
    <w:rsid w:val="004E1307"/>
    <w:rsid w:val="004E16B1"/>
    <w:rsid w:val="004E7BEC"/>
    <w:rsid w:val="004F1DEA"/>
    <w:rsid w:val="00505D3D"/>
    <w:rsid w:val="00506AF6"/>
    <w:rsid w:val="00516B8D"/>
    <w:rsid w:val="00525612"/>
    <w:rsid w:val="005303C8"/>
    <w:rsid w:val="00533F7F"/>
    <w:rsid w:val="00537FBC"/>
    <w:rsid w:val="00554826"/>
    <w:rsid w:val="00561019"/>
    <w:rsid w:val="00562877"/>
    <w:rsid w:val="00584811"/>
    <w:rsid w:val="00585784"/>
    <w:rsid w:val="0058760E"/>
    <w:rsid w:val="00587CD5"/>
    <w:rsid w:val="00591A2C"/>
    <w:rsid w:val="00593AA6"/>
    <w:rsid w:val="00594161"/>
    <w:rsid w:val="00594749"/>
    <w:rsid w:val="005A65D5"/>
    <w:rsid w:val="005B4067"/>
    <w:rsid w:val="005C3F41"/>
    <w:rsid w:val="005C5F1C"/>
    <w:rsid w:val="005D1D92"/>
    <w:rsid w:val="005D2D09"/>
    <w:rsid w:val="005E0E4A"/>
    <w:rsid w:val="005F532A"/>
    <w:rsid w:val="00600219"/>
    <w:rsid w:val="00603469"/>
    <w:rsid w:val="00604F2A"/>
    <w:rsid w:val="006118E9"/>
    <w:rsid w:val="00613683"/>
    <w:rsid w:val="00620076"/>
    <w:rsid w:val="00627E0A"/>
    <w:rsid w:val="00632F2C"/>
    <w:rsid w:val="0065488B"/>
    <w:rsid w:val="00655632"/>
    <w:rsid w:val="00670EA1"/>
    <w:rsid w:val="00677CC2"/>
    <w:rsid w:val="00683B2E"/>
    <w:rsid w:val="00684E47"/>
    <w:rsid w:val="0068744B"/>
    <w:rsid w:val="006905DE"/>
    <w:rsid w:val="0069060D"/>
    <w:rsid w:val="00691E0E"/>
    <w:rsid w:val="0069207B"/>
    <w:rsid w:val="006A154F"/>
    <w:rsid w:val="006A437B"/>
    <w:rsid w:val="006B0C85"/>
    <w:rsid w:val="006B5789"/>
    <w:rsid w:val="006B73D8"/>
    <w:rsid w:val="006C30C5"/>
    <w:rsid w:val="006C7F8C"/>
    <w:rsid w:val="006D4B0C"/>
    <w:rsid w:val="006D6E66"/>
    <w:rsid w:val="006E07C6"/>
    <w:rsid w:val="006E2529"/>
    <w:rsid w:val="006E2E1C"/>
    <w:rsid w:val="006E6246"/>
    <w:rsid w:val="006E69C2"/>
    <w:rsid w:val="006E6DCC"/>
    <w:rsid w:val="006E79B4"/>
    <w:rsid w:val="006F318F"/>
    <w:rsid w:val="0070017E"/>
    <w:rsid w:val="00700B2C"/>
    <w:rsid w:val="00704169"/>
    <w:rsid w:val="007050A2"/>
    <w:rsid w:val="00706E64"/>
    <w:rsid w:val="00707531"/>
    <w:rsid w:val="00713084"/>
    <w:rsid w:val="00714F20"/>
    <w:rsid w:val="0071590F"/>
    <w:rsid w:val="00715914"/>
    <w:rsid w:val="00720F1B"/>
    <w:rsid w:val="0072147A"/>
    <w:rsid w:val="00723791"/>
    <w:rsid w:val="00731E00"/>
    <w:rsid w:val="00733F94"/>
    <w:rsid w:val="007440B7"/>
    <w:rsid w:val="007500C8"/>
    <w:rsid w:val="00751365"/>
    <w:rsid w:val="00756272"/>
    <w:rsid w:val="00762D38"/>
    <w:rsid w:val="007715C9"/>
    <w:rsid w:val="00771613"/>
    <w:rsid w:val="00774EDD"/>
    <w:rsid w:val="007757EC"/>
    <w:rsid w:val="00783E89"/>
    <w:rsid w:val="0079275C"/>
    <w:rsid w:val="00793915"/>
    <w:rsid w:val="007A0876"/>
    <w:rsid w:val="007C2253"/>
    <w:rsid w:val="007D7911"/>
    <w:rsid w:val="007E163D"/>
    <w:rsid w:val="007E236B"/>
    <w:rsid w:val="007E667A"/>
    <w:rsid w:val="007F0233"/>
    <w:rsid w:val="007F28C9"/>
    <w:rsid w:val="007F51B2"/>
    <w:rsid w:val="007F7045"/>
    <w:rsid w:val="008040DD"/>
    <w:rsid w:val="008117E9"/>
    <w:rsid w:val="00824498"/>
    <w:rsid w:val="00826BD1"/>
    <w:rsid w:val="00842F7E"/>
    <w:rsid w:val="0085209C"/>
    <w:rsid w:val="00854D0B"/>
    <w:rsid w:val="00856A31"/>
    <w:rsid w:val="00860B4E"/>
    <w:rsid w:val="00867B37"/>
    <w:rsid w:val="00873E4F"/>
    <w:rsid w:val="0087502D"/>
    <w:rsid w:val="008754D0"/>
    <w:rsid w:val="00875D13"/>
    <w:rsid w:val="00881C37"/>
    <w:rsid w:val="00884C4E"/>
    <w:rsid w:val="008855C9"/>
    <w:rsid w:val="00886456"/>
    <w:rsid w:val="00886EDA"/>
    <w:rsid w:val="00896176"/>
    <w:rsid w:val="008A46E1"/>
    <w:rsid w:val="008A4F43"/>
    <w:rsid w:val="008A5761"/>
    <w:rsid w:val="008B2706"/>
    <w:rsid w:val="008B3BA6"/>
    <w:rsid w:val="008B4F32"/>
    <w:rsid w:val="008C2EAC"/>
    <w:rsid w:val="008D0EE0"/>
    <w:rsid w:val="008E0027"/>
    <w:rsid w:val="008E6067"/>
    <w:rsid w:val="008F54E7"/>
    <w:rsid w:val="008F7E98"/>
    <w:rsid w:val="00903422"/>
    <w:rsid w:val="00906E26"/>
    <w:rsid w:val="00911B93"/>
    <w:rsid w:val="00911F6B"/>
    <w:rsid w:val="00922F92"/>
    <w:rsid w:val="009254C3"/>
    <w:rsid w:val="00932377"/>
    <w:rsid w:val="00941236"/>
    <w:rsid w:val="00943FD5"/>
    <w:rsid w:val="00947D5A"/>
    <w:rsid w:val="009532A5"/>
    <w:rsid w:val="0095386F"/>
    <w:rsid w:val="009545BD"/>
    <w:rsid w:val="00964CF0"/>
    <w:rsid w:val="009760CD"/>
    <w:rsid w:val="00977806"/>
    <w:rsid w:val="00977E7D"/>
    <w:rsid w:val="00982242"/>
    <w:rsid w:val="009868E9"/>
    <w:rsid w:val="009900A3"/>
    <w:rsid w:val="009938E0"/>
    <w:rsid w:val="009A7EA1"/>
    <w:rsid w:val="009C3413"/>
    <w:rsid w:val="009D39A3"/>
    <w:rsid w:val="009D70CD"/>
    <w:rsid w:val="009E2864"/>
    <w:rsid w:val="009F0023"/>
    <w:rsid w:val="009F20A6"/>
    <w:rsid w:val="009F6909"/>
    <w:rsid w:val="00A0441E"/>
    <w:rsid w:val="00A063AF"/>
    <w:rsid w:val="00A12128"/>
    <w:rsid w:val="00A14942"/>
    <w:rsid w:val="00A22C98"/>
    <w:rsid w:val="00A231E2"/>
    <w:rsid w:val="00A2619F"/>
    <w:rsid w:val="00A26BE9"/>
    <w:rsid w:val="00A369E3"/>
    <w:rsid w:val="00A57600"/>
    <w:rsid w:val="00A64912"/>
    <w:rsid w:val="00A70A74"/>
    <w:rsid w:val="00A75FE9"/>
    <w:rsid w:val="00A777BD"/>
    <w:rsid w:val="00A83F41"/>
    <w:rsid w:val="00AA0F90"/>
    <w:rsid w:val="00AA4B53"/>
    <w:rsid w:val="00AB1030"/>
    <w:rsid w:val="00AD53CC"/>
    <w:rsid w:val="00AD5641"/>
    <w:rsid w:val="00AE7262"/>
    <w:rsid w:val="00AF06CF"/>
    <w:rsid w:val="00B07CDB"/>
    <w:rsid w:val="00B11E7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5912"/>
    <w:rsid w:val="00B56503"/>
    <w:rsid w:val="00B566B1"/>
    <w:rsid w:val="00B63834"/>
    <w:rsid w:val="00B740EC"/>
    <w:rsid w:val="00B80199"/>
    <w:rsid w:val="00B83204"/>
    <w:rsid w:val="00B856E7"/>
    <w:rsid w:val="00B87FA7"/>
    <w:rsid w:val="00B916FF"/>
    <w:rsid w:val="00BA220B"/>
    <w:rsid w:val="00BA3A57"/>
    <w:rsid w:val="00BB1533"/>
    <w:rsid w:val="00BB2413"/>
    <w:rsid w:val="00BB4E1A"/>
    <w:rsid w:val="00BB51B2"/>
    <w:rsid w:val="00BC015E"/>
    <w:rsid w:val="00BC76AC"/>
    <w:rsid w:val="00BD054E"/>
    <w:rsid w:val="00BD0ECB"/>
    <w:rsid w:val="00BD3251"/>
    <w:rsid w:val="00BE2155"/>
    <w:rsid w:val="00BE4292"/>
    <w:rsid w:val="00BE5595"/>
    <w:rsid w:val="00BE719A"/>
    <w:rsid w:val="00BE720A"/>
    <w:rsid w:val="00BF0D73"/>
    <w:rsid w:val="00BF2465"/>
    <w:rsid w:val="00C00909"/>
    <w:rsid w:val="00C14295"/>
    <w:rsid w:val="00C16619"/>
    <w:rsid w:val="00C25E7F"/>
    <w:rsid w:val="00C2746F"/>
    <w:rsid w:val="00C323D6"/>
    <w:rsid w:val="00C324A0"/>
    <w:rsid w:val="00C42BF8"/>
    <w:rsid w:val="00C50043"/>
    <w:rsid w:val="00C75301"/>
    <w:rsid w:val="00C7573B"/>
    <w:rsid w:val="00C8567E"/>
    <w:rsid w:val="00C97A54"/>
    <w:rsid w:val="00CA5B23"/>
    <w:rsid w:val="00CB602E"/>
    <w:rsid w:val="00CB7E90"/>
    <w:rsid w:val="00CC134D"/>
    <w:rsid w:val="00CC5F48"/>
    <w:rsid w:val="00CE051D"/>
    <w:rsid w:val="00CE1335"/>
    <w:rsid w:val="00CE493D"/>
    <w:rsid w:val="00CF07FA"/>
    <w:rsid w:val="00CF0BB2"/>
    <w:rsid w:val="00CF3DED"/>
    <w:rsid w:val="00CF3EE8"/>
    <w:rsid w:val="00D02B01"/>
    <w:rsid w:val="00D13441"/>
    <w:rsid w:val="00D150E7"/>
    <w:rsid w:val="00D200DA"/>
    <w:rsid w:val="00D402CE"/>
    <w:rsid w:val="00D52DC2"/>
    <w:rsid w:val="00D53BCC"/>
    <w:rsid w:val="00D54C9E"/>
    <w:rsid w:val="00D622E0"/>
    <w:rsid w:val="00D62462"/>
    <w:rsid w:val="00D6537E"/>
    <w:rsid w:val="00D7061C"/>
    <w:rsid w:val="00D70DFB"/>
    <w:rsid w:val="00D721B8"/>
    <w:rsid w:val="00D72D90"/>
    <w:rsid w:val="00D766DF"/>
    <w:rsid w:val="00D8206C"/>
    <w:rsid w:val="00D85D6F"/>
    <w:rsid w:val="00D87011"/>
    <w:rsid w:val="00D91F10"/>
    <w:rsid w:val="00D9288E"/>
    <w:rsid w:val="00DA186E"/>
    <w:rsid w:val="00DA4116"/>
    <w:rsid w:val="00DB251C"/>
    <w:rsid w:val="00DB4630"/>
    <w:rsid w:val="00DC205E"/>
    <w:rsid w:val="00DC4F88"/>
    <w:rsid w:val="00DC7852"/>
    <w:rsid w:val="00DC7F0C"/>
    <w:rsid w:val="00DE107C"/>
    <w:rsid w:val="00DE2E2A"/>
    <w:rsid w:val="00DF2388"/>
    <w:rsid w:val="00E05704"/>
    <w:rsid w:val="00E119C4"/>
    <w:rsid w:val="00E14788"/>
    <w:rsid w:val="00E338EF"/>
    <w:rsid w:val="00E41D4C"/>
    <w:rsid w:val="00E43E89"/>
    <w:rsid w:val="00E544BB"/>
    <w:rsid w:val="00E617A6"/>
    <w:rsid w:val="00E67925"/>
    <w:rsid w:val="00E74DC7"/>
    <w:rsid w:val="00E8075A"/>
    <w:rsid w:val="00E811A9"/>
    <w:rsid w:val="00E83872"/>
    <w:rsid w:val="00E940D8"/>
    <w:rsid w:val="00E94D5E"/>
    <w:rsid w:val="00EA7100"/>
    <w:rsid w:val="00EA7F9F"/>
    <w:rsid w:val="00EB1274"/>
    <w:rsid w:val="00EC2357"/>
    <w:rsid w:val="00ED2BB6"/>
    <w:rsid w:val="00ED2F45"/>
    <w:rsid w:val="00ED34E1"/>
    <w:rsid w:val="00ED3B8D"/>
    <w:rsid w:val="00EE41BB"/>
    <w:rsid w:val="00EE5E36"/>
    <w:rsid w:val="00EF2188"/>
    <w:rsid w:val="00EF2E3A"/>
    <w:rsid w:val="00F02C7C"/>
    <w:rsid w:val="00F03034"/>
    <w:rsid w:val="00F072A7"/>
    <w:rsid w:val="00F078DC"/>
    <w:rsid w:val="00F24743"/>
    <w:rsid w:val="00F32BA8"/>
    <w:rsid w:val="00F32EE0"/>
    <w:rsid w:val="00F349F1"/>
    <w:rsid w:val="00F4350D"/>
    <w:rsid w:val="00F44377"/>
    <w:rsid w:val="00F479C4"/>
    <w:rsid w:val="00F567F7"/>
    <w:rsid w:val="00F6696E"/>
    <w:rsid w:val="00F72B77"/>
    <w:rsid w:val="00F73BD6"/>
    <w:rsid w:val="00F83989"/>
    <w:rsid w:val="00F85099"/>
    <w:rsid w:val="00F9379C"/>
    <w:rsid w:val="00F9632C"/>
    <w:rsid w:val="00FA1A6E"/>
    <w:rsid w:val="00FA1E52"/>
    <w:rsid w:val="00FB47CC"/>
    <w:rsid w:val="00FB5A08"/>
    <w:rsid w:val="00FC4620"/>
    <w:rsid w:val="00FC6A80"/>
    <w:rsid w:val="00FC6B3B"/>
    <w:rsid w:val="00FE4688"/>
    <w:rsid w:val="00FE58F0"/>
    <w:rsid w:val="00FE7997"/>
    <w:rsid w:val="00FF2AD1"/>
    <w:rsid w:val="00FF5704"/>
    <w:rsid w:val="00FF600B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1C72D4"/>
  <w15:docId w15:val="{AFFF47E4-532F-4CDD-9F03-54CB4E16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85209C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74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C2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C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C29"/>
    <w:rPr>
      <w:b/>
      <w:bCs/>
    </w:rPr>
  </w:style>
  <w:style w:type="character" w:styleId="Hyperlink">
    <w:name w:val="Hyperlink"/>
    <w:basedOn w:val="DefaultParagraphFont"/>
    <w:uiPriority w:val="99"/>
    <w:unhideWhenUsed/>
    <w:rsid w:val="001D68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34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6B87AB7E9B5EF4C887C9C9395205717" ma:contentTypeVersion="" ma:contentTypeDescription="PDMS Document Site Content Type" ma:contentTypeScope="" ma:versionID="4106190557e1ca3c80563009a75e7b55">
  <xsd:schema xmlns:xsd="http://www.w3.org/2001/XMLSchema" xmlns:xs="http://www.w3.org/2001/XMLSchema" xmlns:p="http://schemas.microsoft.com/office/2006/metadata/properties" xmlns:ns2="4E5532D0-D251-42D6-924C-F7E62715BE69" targetNamespace="http://schemas.microsoft.com/office/2006/metadata/properties" ma:root="true" ma:fieldsID="0c12da24e33697a373d73be97bd3d50f" ns2:_="">
    <xsd:import namespace="4E5532D0-D251-42D6-924C-F7E62715BE6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32D0-D251-42D6-924C-F7E62715BE6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E5532D0-D251-42D6-924C-F7E62715BE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CBB73-BE8A-492A-86EE-7AD89506A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32D0-D251-42D6-924C-F7E62715B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B67D00-1D51-411C-84BE-A2EC65E32B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8BCC6-1EBA-4023-8A59-7837452452A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4E5532D0-D251-42D6-924C-F7E62715BE69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0409718-855B-4649-9969-4FABBB56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QUACH, Michael</dc:creator>
  <cp:lastModifiedBy>NG, Jason</cp:lastModifiedBy>
  <cp:revision>3</cp:revision>
  <cp:lastPrinted>2019-07-21T23:47:00Z</cp:lastPrinted>
  <dcterms:created xsi:type="dcterms:W3CDTF">2020-01-29T05:43:00Z</dcterms:created>
  <dcterms:modified xsi:type="dcterms:W3CDTF">2020-01-30T02:04:00Z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0x010100266966F133664895A6EE3632470D45F500F6B87AB7E9B5EF4C887C9C9395205717</vt:lpwstr>
  </property>
</Properties>
</file>