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521E" w14:textId="7B560B28" w:rsidR="00D31B10" w:rsidRDefault="009036C3" w:rsidP="00D31B10">
      <w:pPr>
        <w:pStyle w:val="Heading1"/>
        <w:spacing w:after="360"/>
        <w:rPr>
          <w:rFonts w:ascii="Times New Roman" w:hAnsi="Times New Roman"/>
          <w:u w:val="none"/>
        </w:rPr>
      </w:pPr>
      <w:bookmarkStart w:id="0" w:name="_GoBack"/>
      <w:bookmarkEnd w:id="0"/>
      <w:r>
        <w:rPr>
          <w:rFonts w:ascii="Times New Roman" w:hAnsi="Times New Roman"/>
          <w:u w:val="none"/>
        </w:rPr>
        <w:t xml:space="preserve"> </w:t>
      </w:r>
      <w:r w:rsidR="00D31B10">
        <w:rPr>
          <w:rFonts w:ascii="Times New Roman" w:hAnsi="Times New Roman"/>
          <w:u w:val="none"/>
        </w:rPr>
        <w:t>EXPLANATORY STATEMENT</w:t>
      </w:r>
    </w:p>
    <w:p w14:paraId="78A12103" w14:textId="77777777" w:rsidR="00D31B10" w:rsidRPr="00B8359F" w:rsidRDefault="00D31B10" w:rsidP="00B8359F">
      <w:pPr>
        <w:pStyle w:val="Heading2"/>
        <w:spacing w:before="120" w:after="120"/>
        <w:jc w:val="center"/>
        <w:rPr>
          <w:sz w:val="24"/>
          <w:szCs w:val="24"/>
        </w:rPr>
      </w:pPr>
      <w:r w:rsidRPr="00B8359F">
        <w:rPr>
          <w:sz w:val="24"/>
          <w:szCs w:val="24"/>
        </w:rPr>
        <w:t>Issued by authority of the Minister for Housing and Assistant Treasurer</w:t>
      </w:r>
    </w:p>
    <w:p w14:paraId="587C614E" w14:textId="77777777" w:rsidR="00D31B10" w:rsidRDefault="00D31B10" w:rsidP="00B8359F">
      <w:pPr>
        <w:jc w:val="center"/>
        <w:rPr>
          <w:i/>
        </w:rPr>
      </w:pPr>
      <w:r>
        <w:rPr>
          <w:i/>
        </w:rPr>
        <w:t>Census and Statistics Act 1905</w:t>
      </w:r>
    </w:p>
    <w:p w14:paraId="36ADD8DC" w14:textId="29544839" w:rsidR="00D31B10" w:rsidRDefault="00D31B10" w:rsidP="00B8359F">
      <w:pPr>
        <w:jc w:val="center"/>
        <w:rPr>
          <w:i/>
        </w:rPr>
      </w:pPr>
      <w:r>
        <w:rPr>
          <w:i/>
        </w:rPr>
        <w:t xml:space="preserve">Census and Statistics (2021 Census Day) Proclamation </w:t>
      </w:r>
      <w:r w:rsidR="00FF09C7">
        <w:rPr>
          <w:i/>
        </w:rPr>
        <w:t>2020</w:t>
      </w:r>
    </w:p>
    <w:p w14:paraId="46653C80" w14:textId="6AF7E77F" w:rsidR="00D31B10" w:rsidRDefault="00D31B10" w:rsidP="00D31B10">
      <w:r>
        <w:t xml:space="preserve">The </w:t>
      </w:r>
      <w:r>
        <w:rPr>
          <w:i/>
        </w:rPr>
        <w:t xml:space="preserve">Census and Statistics Act </w:t>
      </w:r>
      <w:r w:rsidR="00815FB8">
        <w:rPr>
          <w:i/>
        </w:rPr>
        <w:t>1905</w:t>
      </w:r>
      <w:r>
        <w:t xml:space="preserve"> (the Act) governs the taking and administration of the Census. </w:t>
      </w:r>
    </w:p>
    <w:p w14:paraId="34CEC667" w14:textId="77777777" w:rsidR="00D31B10" w:rsidRDefault="00D31B10" w:rsidP="00D31B10">
      <w:r>
        <w:t>Subsection 8(1) of the Act provides that the Census shall be taken in the year 1981 and every fifth year thereafter, and at such other times as are prescribed. Thus</w:t>
      </w:r>
      <w:r w:rsidR="00C86262">
        <w:t>,</w:t>
      </w:r>
      <w:r>
        <w:t xml:space="preserve"> the next National Census is to be conducted in 2021. Subsection 8(2) of the Act requires that the Census day shall be appointed by proclamation.</w:t>
      </w:r>
    </w:p>
    <w:p w14:paraId="7B9E3754" w14:textId="6284ADCB" w:rsidR="00D31B10" w:rsidRDefault="00D31B10" w:rsidP="00D31B10">
      <w:r>
        <w:t xml:space="preserve">The purpose of the </w:t>
      </w:r>
      <w:r>
        <w:rPr>
          <w:i/>
        </w:rPr>
        <w:t xml:space="preserve">Census and Statistics (2021 Census Day) Proclamation </w:t>
      </w:r>
      <w:r w:rsidR="00FF09C7">
        <w:rPr>
          <w:i/>
        </w:rPr>
        <w:t>2020</w:t>
      </w:r>
      <w:r>
        <w:t xml:space="preserve"> (the</w:t>
      </w:r>
      <w:r w:rsidR="00025589">
        <w:t> </w:t>
      </w:r>
      <w:r>
        <w:t>Proclamation) is to set the Census day for the 2021 Census. The previous Census was conducted on 9 August 2016. To maintain comparability of the time series data it is important that the 2021 Census be conducted as close as possible to that date. The Census also needs to avoid school holidays to ensure as full coverage as possible of persons in their usual place of residence.</w:t>
      </w:r>
    </w:p>
    <w:p w14:paraId="7FBD9084" w14:textId="77777777" w:rsidR="00D31B10" w:rsidRDefault="00D31B10" w:rsidP="00D31B10">
      <w:r>
        <w:t>Thus, the Proclamation appoints 10 August 2021 as the day on which the 2021 Census will be taken.</w:t>
      </w:r>
    </w:p>
    <w:p w14:paraId="265E13A9" w14:textId="5D1486C3" w:rsidR="00D31B10" w:rsidRDefault="00D31B10" w:rsidP="00D31B10">
      <w:pPr>
        <w:spacing w:before="240"/>
        <w:rPr>
          <w:u w:val="single"/>
        </w:rPr>
      </w:pPr>
      <w:r>
        <w:t>Details of t</w:t>
      </w:r>
      <w:r w:rsidR="009B1ACB">
        <w:t xml:space="preserve">he Proclamation are set out in </w:t>
      </w:r>
      <w:r>
        <w:rPr>
          <w:u w:val="single"/>
        </w:rPr>
        <w:t>Attachment</w:t>
      </w:r>
      <w:r w:rsidR="00025589">
        <w:rPr>
          <w:u w:val="single"/>
        </w:rPr>
        <w:t xml:space="preserve"> A</w:t>
      </w:r>
      <w:r>
        <w:rPr>
          <w:u w:val="single"/>
        </w:rPr>
        <w:t xml:space="preserve">. </w:t>
      </w:r>
    </w:p>
    <w:p w14:paraId="7B046628" w14:textId="77777777" w:rsidR="00817E24" w:rsidRPr="00B840B4" w:rsidRDefault="00817E24" w:rsidP="00817E24">
      <w:r>
        <w:t>For the reasons above, external consultation in relation to the selection of the date was not considered necessary.</w:t>
      </w:r>
    </w:p>
    <w:p w14:paraId="0A3E921D" w14:textId="128C5798" w:rsidR="00D31B10" w:rsidRDefault="00D31B10" w:rsidP="00D31B10">
      <w:pPr>
        <w:spacing w:before="240"/>
      </w:pPr>
      <w:r>
        <w:t xml:space="preserve">The Proclamation </w:t>
      </w:r>
      <w:r w:rsidR="00460238">
        <w:t>is</w:t>
      </w:r>
      <w:r>
        <w:t xml:space="preserve"> a legislative instrument for the purposes of the </w:t>
      </w:r>
      <w:r>
        <w:rPr>
          <w:i/>
        </w:rPr>
        <w:t>Legislation Act 2003</w:t>
      </w:r>
      <w:r>
        <w:t xml:space="preserve">. </w:t>
      </w:r>
    </w:p>
    <w:p w14:paraId="1D780C6C" w14:textId="1C868BCF" w:rsidR="00D31B10" w:rsidRDefault="00D31B10" w:rsidP="00D31B10">
      <w:pPr>
        <w:spacing w:before="240"/>
      </w:pPr>
      <w:r>
        <w:t>The Proclamation commence</w:t>
      </w:r>
      <w:r w:rsidR="00025589">
        <w:t>d</w:t>
      </w:r>
      <w:r>
        <w:t xml:space="preserve"> on the day after it </w:t>
      </w:r>
      <w:r w:rsidR="00025589">
        <w:t>was</w:t>
      </w:r>
      <w:r>
        <w:t xml:space="preserve"> registered on the Federa</w:t>
      </w:r>
      <w:r w:rsidR="005C3AA0">
        <w:t xml:space="preserve">l Register </w:t>
      </w:r>
      <w:r>
        <w:t>of Legislation.</w:t>
      </w:r>
    </w:p>
    <w:p w14:paraId="3BE11878" w14:textId="5AA247C7" w:rsidR="00025589" w:rsidRDefault="00025589" w:rsidP="00D31B10">
      <w:pPr>
        <w:spacing w:before="240"/>
      </w:pPr>
      <w:r>
        <w:t xml:space="preserve">A statement of Compatibility with Human Rights is at </w:t>
      </w:r>
      <w:r w:rsidRPr="00F01D64">
        <w:rPr>
          <w:u w:val="single"/>
        </w:rPr>
        <w:t>Attachment B</w:t>
      </w:r>
      <w:r>
        <w:t>.</w:t>
      </w:r>
    </w:p>
    <w:p w14:paraId="21815351" w14:textId="62230DF9" w:rsidR="00D31B10" w:rsidRDefault="00D31B10" w:rsidP="00D31B10">
      <w:pPr>
        <w:spacing w:before="240"/>
        <w:jc w:val="right"/>
        <w:rPr>
          <w:b/>
          <w:u w:val="single"/>
        </w:rPr>
      </w:pPr>
      <w:r>
        <w:br w:type="column"/>
      </w:r>
      <w:r>
        <w:rPr>
          <w:b/>
          <w:u w:val="single"/>
        </w:rPr>
        <w:lastRenderedPageBreak/>
        <w:t>ATTACHMENT</w:t>
      </w:r>
      <w:r w:rsidR="00025589">
        <w:rPr>
          <w:b/>
          <w:u w:val="single"/>
        </w:rPr>
        <w:t xml:space="preserve"> A</w:t>
      </w:r>
    </w:p>
    <w:p w14:paraId="79661A39" w14:textId="3B0DC9D6" w:rsidR="00D31B10" w:rsidRDefault="00D31B10" w:rsidP="00D31B10">
      <w:pPr>
        <w:tabs>
          <w:tab w:val="left" w:pos="2835"/>
        </w:tabs>
        <w:spacing w:before="240"/>
        <w:ind w:right="91"/>
        <w:rPr>
          <w:b/>
          <w:u w:val="single"/>
        </w:rPr>
      </w:pPr>
      <w:r>
        <w:rPr>
          <w:b/>
          <w:u w:val="single"/>
        </w:rPr>
        <w:t xml:space="preserve">Details of the </w:t>
      </w:r>
      <w:r>
        <w:rPr>
          <w:b/>
          <w:i/>
          <w:u w:val="single"/>
        </w:rPr>
        <w:t xml:space="preserve">Census and Statistics (2021 Census Day) Proclamation </w:t>
      </w:r>
      <w:r w:rsidR="00FF09C7">
        <w:rPr>
          <w:b/>
          <w:i/>
          <w:u w:val="single"/>
        </w:rPr>
        <w:t>2020</w:t>
      </w:r>
    </w:p>
    <w:p w14:paraId="5D08E7B4" w14:textId="77777777" w:rsidR="00D31B10" w:rsidRDefault="00D31B10" w:rsidP="00D31B10">
      <w:pPr>
        <w:spacing w:before="240"/>
        <w:rPr>
          <w:u w:val="single"/>
        </w:rPr>
      </w:pPr>
      <w:r>
        <w:rPr>
          <w:u w:val="single"/>
        </w:rPr>
        <w:t>Section 1 – Name of the Proclamation</w:t>
      </w:r>
    </w:p>
    <w:p w14:paraId="39ADCCEB" w14:textId="70AE4276" w:rsidR="00D31B10" w:rsidRDefault="00D31B10" w:rsidP="00D31B10">
      <w:pPr>
        <w:spacing w:before="240"/>
      </w:pPr>
      <w:r>
        <w:t xml:space="preserve">This section provides that the name of the Proclamation is the </w:t>
      </w:r>
      <w:r>
        <w:rPr>
          <w:i/>
        </w:rPr>
        <w:t xml:space="preserve">Census and Statistics (2021 Census Day) Proclamation </w:t>
      </w:r>
      <w:r w:rsidR="00FF09C7">
        <w:rPr>
          <w:i/>
        </w:rPr>
        <w:t>2020</w:t>
      </w:r>
      <w:r>
        <w:t>.</w:t>
      </w:r>
    </w:p>
    <w:p w14:paraId="5B9B15C2" w14:textId="77777777" w:rsidR="00D31B10" w:rsidRDefault="00D31B10" w:rsidP="00D31B10">
      <w:pPr>
        <w:tabs>
          <w:tab w:val="left" w:pos="2835"/>
        </w:tabs>
        <w:spacing w:before="240"/>
        <w:ind w:right="91"/>
        <w:rPr>
          <w:u w:val="single"/>
        </w:rPr>
      </w:pPr>
      <w:r>
        <w:rPr>
          <w:u w:val="single"/>
        </w:rPr>
        <w:t>Section 2 – Commencement</w:t>
      </w:r>
    </w:p>
    <w:p w14:paraId="679E8AC4" w14:textId="77777777" w:rsidR="00D31B10" w:rsidRDefault="00D31B10" w:rsidP="00D31B10">
      <w:pPr>
        <w:tabs>
          <w:tab w:val="left" w:pos="2835"/>
        </w:tabs>
        <w:spacing w:before="240"/>
        <w:ind w:right="91"/>
      </w:pPr>
      <w:r>
        <w:t>This section provides that the instrument commences the day after it is registered on the Federal Register of Legislation.</w:t>
      </w:r>
    </w:p>
    <w:p w14:paraId="483E727F" w14:textId="77777777" w:rsidR="00D31B10" w:rsidRDefault="00D31B10" w:rsidP="00D31B10">
      <w:pPr>
        <w:tabs>
          <w:tab w:val="left" w:pos="2835"/>
        </w:tabs>
        <w:spacing w:before="240"/>
        <w:ind w:right="91"/>
        <w:rPr>
          <w:u w:val="single"/>
        </w:rPr>
      </w:pPr>
      <w:r>
        <w:rPr>
          <w:u w:val="single"/>
        </w:rPr>
        <w:t>Section 3 – Authority</w:t>
      </w:r>
    </w:p>
    <w:p w14:paraId="1EBB3E31" w14:textId="6838A6E5" w:rsidR="00D31B10" w:rsidRDefault="00D31B10" w:rsidP="00D31B10">
      <w:pPr>
        <w:tabs>
          <w:tab w:val="left" w:pos="2835"/>
        </w:tabs>
        <w:spacing w:before="240"/>
        <w:ind w:right="91"/>
      </w:pPr>
      <w:r>
        <w:t xml:space="preserve">The </w:t>
      </w:r>
      <w:r w:rsidR="00CF4965">
        <w:t>Proclamation is</w:t>
      </w:r>
      <w:r>
        <w:t xml:space="preserve"> made under subsection 8(2) of the </w:t>
      </w:r>
      <w:r>
        <w:rPr>
          <w:i/>
        </w:rPr>
        <w:t xml:space="preserve">Census and Statistics Act </w:t>
      </w:r>
      <w:r w:rsidR="00C86262">
        <w:rPr>
          <w:i/>
        </w:rPr>
        <w:t>1905</w:t>
      </w:r>
      <w:r>
        <w:t>.</w:t>
      </w:r>
    </w:p>
    <w:p w14:paraId="104D9F4B" w14:textId="77777777" w:rsidR="00D31B10" w:rsidRDefault="00D31B10" w:rsidP="00D31B10">
      <w:pPr>
        <w:tabs>
          <w:tab w:val="left" w:pos="2835"/>
        </w:tabs>
        <w:spacing w:before="240"/>
        <w:ind w:right="91"/>
        <w:rPr>
          <w:u w:val="single"/>
        </w:rPr>
      </w:pPr>
      <w:r>
        <w:rPr>
          <w:u w:val="single"/>
        </w:rPr>
        <w:t>Section 4 – Census day 2021</w:t>
      </w:r>
    </w:p>
    <w:p w14:paraId="0CE4AA49" w14:textId="77777777" w:rsidR="00D31B10" w:rsidRDefault="00D31B10" w:rsidP="00D31B10">
      <w:pPr>
        <w:tabs>
          <w:tab w:val="left" w:pos="2835"/>
        </w:tabs>
        <w:spacing w:before="240"/>
        <w:ind w:right="91"/>
        <w:rPr>
          <w:u w:val="single"/>
        </w:rPr>
      </w:pPr>
      <w:r>
        <w:rPr>
          <w:szCs w:val="24"/>
        </w:rPr>
        <w:t>This section proclaims the Census day for 2021 to be 10 August 2021</w:t>
      </w:r>
      <w:r>
        <w:rPr>
          <w:bCs/>
          <w:szCs w:val="24"/>
        </w:rPr>
        <w:t>.</w:t>
      </w:r>
    </w:p>
    <w:p w14:paraId="3B65622D" w14:textId="77777777" w:rsidR="00D31B10" w:rsidRDefault="00D31B10" w:rsidP="00D31B10">
      <w:pPr>
        <w:spacing w:before="0" w:after="0"/>
      </w:pPr>
      <w:r>
        <w:br w:type="page"/>
      </w:r>
    </w:p>
    <w:p w14:paraId="6CC8397C" w14:textId="556C399F" w:rsidR="00025589" w:rsidRDefault="00025589" w:rsidP="00F01D64">
      <w:pPr>
        <w:pStyle w:val="Heading3"/>
        <w:jc w:val="right"/>
        <w:rPr>
          <w:b w:val="0"/>
          <w:u w:val="single"/>
        </w:rPr>
      </w:pPr>
      <w:r>
        <w:rPr>
          <w:u w:val="single"/>
        </w:rPr>
        <w:lastRenderedPageBreak/>
        <w:t xml:space="preserve">ATTACHMENT </w:t>
      </w:r>
      <w:r w:rsidRPr="00F01D64">
        <w:rPr>
          <w:u w:val="single"/>
        </w:rPr>
        <w:t>B</w:t>
      </w:r>
    </w:p>
    <w:p w14:paraId="33EB79FB" w14:textId="77777777" w:rsidR="00025589" w:rsidRPr="00025589" w:rsidRDefault="00025589" w:rsidP="00F01D64">
      <w:pPr>
        <w:pStyle w:val="base-text-paragraph"/>
      </w:pPr>
    </w:p>
    <w:p w14:paraId="3B741FE8" w14:textId="5BB5E969" w:rsidR="00D31B10" w:rsidRDefault="00D31B10" w:rsidP="00D31B10">
      <w:pPr>
        <w:pStyle w:val="Heading3"/>
        <w:jc w:val="center"/>
      </w:pPr>
      <w:r>
        <w:t>Statement of Compatibility with Human Rights</w:t>
      </w:r>
    </w:p>
    <w:p w14:paraId="70F8CCAA" w14:textId="77777777" w:rsidR="00D31B10" w:rsidRDefault="00D31B10" w:rsidP="00D31B10">
      <w:pPr>
        <w:spacing w:before="240"/>
        <w:jc w:val="center"/>
        <w:rPr>
          <w:i/>
        </w:rPr>
      </w:pPr>
      <w:r>
        <w:rPr>
          <w:i/>
        </w:rPr>
        <w:t>Prepared in accordance with Part 3 of the Human Rights (Parliamentary Scrutiny) Act 2011</w:t>
      </w:r>
    </w:p>
    <w:p w14:paraId="13D0773E" w14:textId="3AE7AAE2" w:rsidR="00D31B10" w:rsidRPr="00B8359F" w:rsidRDefault="00D31B10" w:rsidP="00D31B10">
      <w:pPr>
        <w:spacing w:before="240"/>
        <w:jc w:val="center"/>
        <w:rPr>
          <w:b/>
          <w:i/>
        </w:rPr>
      </w:pPr>
      <w:r w:rsidRPr="00B8359F">
        <w:rPr>
          <w:b/>
          <w:i/>
        </w:rPr>
        <w:t xml:space="preserve">Census and Statistics (2021 Census Day) Proclamation </w:t>
      </w:r>
      <w:r w:rsidR="00FF09C7" w:rsidRPr="00B8359F">
        <w:rPr>
          <w:b/>
          <w:i/>
        </w:rPr>
        <w:t>2020</w:t>
      </w:r>
    </w:p>
    <w:p w14:paraId="3F7B4523" w14:textId="77777777" w:rsidR="00D31B10" w:rsidRDefault="00D31B10" w:rsidP="00D31B10">
      <w:pPr>
        <w:spacing w:before="24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771831B8" w14:textId="77777777" w:rsidR="00D31B10" w:rsidRDefault="00D31B10" w:rsidP="00D31B10">
      <w:pPr>
        <w:pStyle w:val="Heading3"/>
      </w:pPr>
      <w:r>
        <w:t>Overview of the Legislative Instrument</w:t>
      </w:r>
    </w:p>
    <w:p w14:paraId="76385029" w14:textId="3CB6196B" w:rsidR="00D31B10" w:rsidRDefault="00D31B10" w:rsidP="00D31B10">
      <w:pPr>
        <w:spacing w:before="240"/>
      </w:pPr>
      <w:r>
        <w:t>This legislative instrument proclaims the Census date to be 10 August 20</w:t>
      </w:r>
      <w:r w:rsidR="00C86262">
        <w:t>2</w:t>
      </w:r>
      <w:r>
        <w:t>1.</w:t>
      </w:r>
    </w:p>
    <w:p w14:paraId="69681985" w14:textId="77777777" w:rsidR="00D31B10" w:rsidRDefault="00D31B10" w:rsidP="00D31B10">
      <w:pPr>
        <w:pStyle w:val="Heading3"/>
      </w:pPr>
      <w:r>
        <w:t>Human rights implications</w:t>
      </w:r>
    </w:p>
    <w:p w14:paraId="262B7EC6" w14:textId="498F82BD" w:rsidR="00B32E54" w:rsidRDefault="00D31B10" w:rsidP="00B32E54">
      <w:pPr>
        <w:pStyle w:val="Heading3"/>
        <w:rPr>
          <w:b w:val="0"/>
          <w:kern w:val="0"/>
        </w:rPr>
      </w:pPr>
      <w:r>
        <w:rPr>
          <w:b w:val="0"/>
          <w:kern w:val="0"/>
        </w:rPr>
        <w:t xml:space="preserve">This legislative instrument </w:t>
      </w:r>
      <w:r w:rsidR="00B32E54" w:rsidRPr="00B32E54">
        <w:rPr>
          <w:b w:val="0"/>
          <w:kern w:val="0"/>
        </w:rPr>
        <w:t>engages, and is compatible with, the prohibition on interference with privacy. Article 17 of the International Covenant</w:t>
      </w:r>
      <w:r w:rsidR="00A90C76">
        <w:rPr>
          <w:b w:val="0"/>
          <w:kern w:val="0"/>
        </w:rPr>
        <w:t xml:space="preserve"> on Civil and Political Rights </w:t>
      </w:r>
      <w:r w:rsidR="00B32E54" w:rsidRPr="00B32E54">
        <w:rPr>
          <w:b w:val="0"/>
          <w:kern w:val="0"/>
        </w:rPr>
        <w:t xml:space="preserve">prohibits unlawful or arbitrary interferences with a person’s privacy, family, home and correspondence. </w:t>
      </w:r>
    </w:p>
    <w:p w14:paraId="706906A1" w14:textId="36FF4E4F" w:rsidR="00B32E54" w:rsidRDefault="00D31B10" w:rsidP="00B32E54">
      <w:pPr>
        <w:pStyle w:val="Heading3"/>
        <w:rPr>
          <w:b w:val="0"/>
          <w:kern w:val="0"/>
        </w:rPr>
      </w:pPr>
      <w:r>
        <w:rPr>
          <w:b w:val="0"/>
          <w:kern w:val="0"/>
        </w:rPr>
        <w:t>The</w:t>
      </w:r>
      <w:r w:rsidR="000E5671">
        <w:rPr>
          <w:b w:val="0"/>
          <w:kern w:val="0"/>
        </w:rPr>
        <w:t xml:space="preserve"> </w:t>
      </w:r>
      <w:r w:rsidR="00B32E54">
        <w:rPr>
          <w:b w:val="0"/>
          <w:kern w:val="0"/>
        </w:rPr>
        <w:t>instrument is for the purposes of proclaiming</w:t>
      </w:r>
      <w:r>
        <w:rPr>
          <w:b w:val="0"/>
          <w:kern w:val="0"/>
        </w:rPr>
        <w:t xml:space="preserve"> the date when the </w:t>
      </w:r>
      <w:r w:rsidR="00B32E54">
        <w:rPr>
          <w:b w:val="0"/>
          <w:kern w:val="0"/>
        </w:rPr>
        <w:t xml:space="preserve">2021 </w:t>
      </w:r>
      <w:r>
        <w:rPr>
          <w:b w:val="0"/>
          <w:kern w:val="0"/>
        </w:rPr>
        <w:t>Census will be held and when personal information will be collected.</w:t>
      </w:r>
      <w:r w:rsidR="00B32E54" w:rsidRPr="00B32E54">
        <w:t xml:space="preserve"> </w:t>
      </w:r>
      <w:r w:rsidR="00B32E54" w:rsidRPr="00B32E54">
        <w:rPr>
          <w:b w:val="0"/>
          <w:kern w:val="0"/>
        </w:rPr>
        <w:t>The Census aims to measure accurately the number of people and dwellings in Australia</w:t>
      </w:r>
      <w:r w:rsidR="00F657C0">
        <w:rPr>
          <w:b w:val="0"/>
          <w:kern w:val="0"/>
        </w:rPr>
        <w:t xml:space="preserve"> on Census n</w:t>
      </w:r>
      <w:r w:rsidR="00B32E54" w:rsidRPr="00B32E54">
        <w:rPr>
          <w:b w:val="0"/>
          <w:kern w:val="0"/>
        </w:rPr>
        <w:t>ight, and a range of their key characteristics. This information is used for electoral purposes and for planning the distribution of government funds.</w:t>
      </w:r>
    </w:p>
    <w:p w14:paraId="735751F3" w14:textId="641E106D" w:rsidR="00B32E54" w:rsidRPr="00B32E54" w:rsidRDefault="00B32E54" w:rsidP="00B32E54">
      <w:pPr>
        <w:pStyle w:val="Heading3"/>
        <w:rPr>
          <w:b w:val="0"/>
          <w:kern w:val="0"/>
        </w:rPr>
      </w:pPr>
      <w:r w:rsidRPr="00B32E54">
        <w:rPr>
          <w:b w:val="0"/>
        </w:rPr>
        <w:t xml:space="preserve">The conduct of the Census, as required by the </w:t>
      </w:r>
      <w:r w:rsidRPr="00B32E54">
        <w:rPr>
          <w:b w:val="0"/>
          <w:i/>
        </w:rPr>
        <w:t>Census and Statistics Act 1905</w:t>
      </w:r>
      <w:r w:rsidRPr="00B32E54">
        <w:rPr>
          <w:b w:val="0"/>
        </w:rPr>
        <w:t>, engages the prohibition on interference with privacy. This instrument does not impose obligations on persons to provide personal information. Such obligations associated with the collection of information from persons for the purposes of the Census are lawfully imposed by subsections 10(4) and 11(2) of the Ce</w:t>
      </w:r>
      <w:r w:rsidRPr="00B32E54">
        <w:rPr>
          <w:b w:val="0"/>
          <w:i/>
        </w:rPr>
        <w:t>nsus and Statistics Act 1905</w:t>
      </w:r>
      <w:r w:rsidRPr="00B32E54">
        <w:rPr>
          <w:b w:val="0"/>
        </w:rPr>
        <w:t xml:space="preserve">. Information given under the </w:t>
      </w:r>
      <w:r w:rsidRPr="00B32E54">
        <w:rPr>
          <w:b w:val="0"/>
          <w:i/>
        </w:rPr>
        <w:t>Census and Statistics Act 1905</w:t>
      </w:r>
      <w:r w:rsidRPr="00B32E54">
        <w:rPr>
          <w:b w:val="0"/>
        </w:rPr>
        <w:t xml:space="preserve"> is protected by the secrecy provisions of section 19, which provides for offences for officers who disclose information (other than to the person from whom it was obtained) given under the Act.</w:t>
      </w:r>
    </w:p>
    <w:p w14:paraId="018A8F6C" w14:textId="77777777" w:rsidR="00D31B10" w:rsidRDefault="00D31B10" w:rsidP="00D31B10">
      <w:pPr>
        <w:pStyle w:val="Heading3"/>
      </w:pPr>
      <w:r>
        <w:t>Conclusion</w:t>
      </w:r>
    </w:p>
    <w:p w14:paraId="3BACD70F" w14:textId="77777777" w:rsidR="00D31B10" w:rsidRDefault="00D31B10" w:rsidP="00D31B10">
      <w:pPr>
        <w:spacing w:before="240"/>
      </w:pPr>
      <w:r>
        <w:t>This legislative instrument is compatible with human rights.</w:t>
      </w:r>
    </w:p>
    <w:p w14:paraId="70C33676" w14:textId="77777777" w:rsidR="00D31B10" w:rsidRDefault="00D31B10" w:rsidP="00D31B10">
      <w:pPr>
        <w:spacing w:before="240"/>
      </w:pPr>
    </w:p>
    <w:p w14:paraId="1A42FB94" w14:textId="77777777" w:rsidR="009143A0" w:rsidRPr="00D31B10" w:rsidRDefault="009143A0" w:rsidP="00D31B10"/>
    <w:sectPr w:rsidR="009143A0" w:rsidRPr="00D31B1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6516" w14:textId="77777777" w:rsidR="004F3409" w:rsidRDefault="004F3409" w:rsidP="00954679">
      <w:pPr>
        <w:spacing w:before="0" w:after="0"/>
      </w:pPr>
      <w:r>
        <w:separator/>
      </w:r>
    </w:p>
  </w:endnote>
  <w:endnote w:type="continuationSeparator" w:id="0">
    <w:p w14:paraId="738A90C6" w14:textId="77777777" w:rsidR="004F3409" w:rsidRDefault="004F3409" w:rsidP="00954679">
      <w:pPr>
        <w:spacing w:before="0" w:after="0"/>
      </w:pPr>
      <w:r>
        <w:continuationSeparator/>
      </w:r>
    </w:p>
  </w:endnote>
  <w:endnote w:type="continuationNotice" w:id="1">
    <w:p w14:paraId="436933C5" w14:textId="77777777" w:rsidR="004F3409" w:rsidRDefault="004F34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3690125" w14:textId="5A578EC3" w:rsidR="004F3409" w:rsidRDefault="004F340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C0D95">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C0D95">
              <w:rPr>
                <w:bCs/>
                <w:noProof/>
              </w:rPr>
              <w:t>3</w:t>
            </w:r>
            <w:r w:rsidRPr="00954679">
              <w:rPr>
                <w:bCs/>
                <w:szCs w:val="24"/>
              </w:rPr>
              <w:fldChar w:fldCharType="end"/>
            </w:r>
          </w:p>
        </w:sdtContent>
      </w:sdt>
    </w:sdtContent>
  </w:sdt>
  <w:p w14:paraId="5E5DC3A1" w14:textId="77777777" w:rsidR="004F3409" w:rsidRDefault="004F3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339A" w14:textId="77777777" w:rsidR="004F3409" w:rsidRDefault="004F3409" w:rsidP="00954679">
      <w:pPr>
        <w:spacing w:before="0" w:after="0"/>
      </w:pPr>
      <w:r>
        <w:separator/>
      </w:r>
    </w:p>
  </w:footnote>
  <w:footnote w:type="continuationSeparator" w:id="0">
    <w:p w14:paraId="7803B67C" w14:textId="77777777" w:rsidR="004F3409" w:rsidRDefault="004F3409" w:rsidP="00954679">
      <w:pPr>
        <w:spacing w:before="0" w:after="0"/>
      </w:pPr>
      <w:r>
        <w:continuationSeparator/>
      </w:r>
    </w:p>
  </w:footnote>
  <w:footnote w:type="continuationNotice" w:id="1">
    <w:p w14:paraId="640A3D0E" w14:textId="77777777" w:rsidR="004F3409" w:rsidRDefault="004F340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59EBA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4"/>
    <w:rsid w:val="00016EA2"/>
    <w:rsid w:val="00025589"/>
    <w:rsid w:val="00065D00"/>
    <w:rsid w:val="00081E88"/>
    <w:rsid w:val="00095211"/>
    <w:rsid w:val="000A4182"/>
    <w:rsid w:val="000B359E"/>
    <w:rsid w:val="000B4898"/>
    <w:rsid w:val="000C10DF"/>
    <w:rsid w:val="000E5671"/>
    <w:rsid w:val="00104E15"/>
    <w:rsid w:val="00113B45"/>
    <w:rsid w:val="00117193"/>
    <w:rsid w:val="00153C36"/>
    <w:rsid w:val="00156CAA"/>
    <w:rsid w:val="001638E6"/>
    <w:rsid w:val="00164015"/>
    <w:rsid w:val="001A0DBB"/>
    <w:rsid w:val="001A79F7"/>
    <w:rsid w:val="001D0398"/>
    <w:rsid w:val="001E6A74"/>
    <w:rsid w:val="001F41D0"/>
    <w:rsid w:val="00211575"/>
    <w:rsid w:val="00220F16"/>
    <w:rsid w:val="00254C5B"/>
    <w:rsid w:val="00267FD7"/>
    <w:rsid w:val="002728D6"/>
    <w:rsid w:val="002740A8"/>
    <w:rsid w:val="002A7B03"/>
    <w:rsid w:val="002C1988"/>
    <w:rsid w:val="002C4F70"/>
    <w:rsid w:val="003148E8"/>
    <w:rsid w:val="003342CD"/>
    <w:rsid w:val="00335042"/>
    <w:rsid w:val="00361BF4"/>
    <w:rsid w:val="00362B70"/>
    <w:rsid w:val="00367D7B"/>
    <w:rsid w:val="003849FD"/>
    <w:rsid w:val="00392BBA"/>
    <w:rsid w:val="003954FD"/>
    <w:rsid w:val="003B3B94"/>
    <w:rsid w:val="003D5757"/>
    <w:rsid w:val="003E1CE3"/>
    <w:rsid w:val="004275A5"/>
    <w:rsid w:val="00433F6A"/>
    <w:rsid w:val="004407B4"/>
    <w:rsid w:val="0045740A"/>
    <w:rsid w:val="00460238"/>
    <w:rsid w:val="00462095"/>
    <w:rsid w:val="00483CE4"/>
    <w:rsid w:val="004B3C0F"/>
    <w:rsid w:val="004C05E4"/>
    <w:rsid w:val="004E39E1"/>
    <w:rsid w:val="004F3409"/>
    <w:rsid w:val="00503E44"/>
    <w:rsid w:val="00505D85"/>
    <w:rsid w:val="00515283"/>
    <w:rsid w:val="00533926"/>
    <w:rsid w:val="0055675D"/>
    <w:rsid w:val="00566E8F"/>
    <w:rsid w:val="005833BE"/>
    <w:rsid w:val="005B1FDE"/>
    <w:rsid w:val="005C3AA0"/>
    <w:rsid w:val="005D7D5A"/>
    <w:rsid w:val="005E4BAC"/>
    <w:rsid w:val="005F7F50"/>
    <w:rsid w:val="0060130D"/>
    <w:rsid w:val="0064129F"/>
    <w:rsid w:val="00647BB7"/>
    <w:rsid w:val="0065310B"/>
    <w:rsid w:val="00680297"/>
    <w:rsid w:val="006A0786"/>
    <w:rsid w:val="006B162D"/>
    <w:rsid w:val="006D62F9"/>
    <w:rsid w:val="00726D0F"/>
    <w:rsid w:val="00736F61"/>
    <w:rsid w:val="00745CE6"/>
    <w:rsid w:val="007463B5"/>
    <w:rsid w:val="007662C7"/>
    <w:rsid w:val="00776306"/>
    <w:rsid w:val="007B1F10"/>
    <w:rsid w:val="007E018D"/>
    <w:rsid w:val="007F1B71"/>
    <w:rsid w:val="0080370D"/>
    <w:rsid w:val="00807E7D"/>
    <w:rsid w:val="00815FB8"/>
    <w:rsid w:val="00817E24"/>
    <w:rsid w:val="00831675"/>
    <w:rsid w:val="00881BE9"/>
    <w:rsid w:val="0088467C"/>
    <w:rsid w:val="00894579"/>
    <w:rsid w:val="008A5B67"/>
    <w:rsid w:val="008D16F7"/>
    <w:rsid w:val="008D33E2"/>
    <w:rsid w:val="008E1427"/>
    <w:rsid w:val="009036C3"/>
    <w:rsid w:val="009143A0"/>
    <w:rsid w:val="00954679"/>
    <w:rsid w:val="009862C7"/>
    <w:rsid w:val="009B1ACB"/>
    <w:rsid w:val="009B7D66"/>
    <w:rsid w:val="009C0D95"/>
    <w:rsid w:val="009E2F86"/>
    <w:rsid w:val="009E64D0"/>
    <w:rsid w:val="00A06175"/>
    <w:rsid w:val="00A12209"/>
    <w:rsid w:val="00A36DF3"/>
    <w:rsid w:val="00A461B1"/>
    <w:rsid w:val="00A532DD"/>
    <w:rsid w:val="00A612BF"/>
    <w:rsid w:val="00A63FF9"/>
    <w:rsid w:val="00A80BCF"/>
    <w:rsid w:val="00A8369C"/>
    <w:rsid w:val="00A90C76"/>
    <w:rsid w:val="00A96332"/>
    <w:rsid w:val="00AA1689"/>
    <w:rsid w:val="00AC1D15"/>
    <w:rsid w:val="00AE472C"/>
    <w:rsid w:val="00AE5C7E"/>
    <w:rsid w:val="00AF4A6F"/>
    <w:rsid w:val="00B0579E"/>
    <w:rsid w:val="00B07B0C"/>
    <w:rsid w:val="00B2028B"/>
    <w:rsid w:val="00B25563"/>
    <w:rsid w:val="00B26D48"/>
    <w:rsid w:val="00B32E54"/>
    <w:rsid w:val="00B42EE1"/>
    <w:rsid w:val="00B613E4"/>
    <w:rsid w:val="00B64C0B"/>
    <w:rsid w:val="00B744DE"/>
    <w:rsid w:val="00B762BB"/>
    <w:rsid w:val="00B8359F"/>
    <w:rsid w:val="00B92478"/>
    <w:rsid w:val="00BA7DA9"/>
    <w:rsid w:val="00BB0351"/>
    <w:rsid w:val="00BB1090"/>
    <w:rsid w:val="00BB312C"/>
    <w:rsid w:val="00BD61A2"/>
    <w:rsid w:val="00BE0AD4"/>
    <w:rsid w:val="00BE484D"/>
    <w:rsid w:val="00C032FC"/>
    <w:rsid w:val="00C37E05"/>
    <w:rsid w:val="00C47EFF"/>
    <w:rsid w:val="00C55D29"/>
    <w:rsid w:val="00C86262"/>
    <w:rsid w:val="00C906EE"/>
    <w:rsid w:val="00CA0BE9"/>
    <w:rsid w:val="00CA138D"/>
    <w:rsid w:val="00CA2A19"/>
    <w:rsid w:val="00CC32E0"/>
    <w:rsid w:val="00CC7641"/>
    <w:rsid w:val="00CD1413"/>
    <w:rsid w:val="00CD2EC7"/>
    <w:rsid w:val="00CE00DC"/>
    <w:rsid w:val="00CF4965"/>
    <w:rsid w:val="00D13794"/>
    <w:rsid w:val="00D171FB"/>
    <w:rsid w:val="00D24052"/>
    <w:rsid w:val="00D24386"/>
    <w:rsid w:val="00D31575"/>
    <w:rsid w:val="00D31B10"/>
    <w:rsid w:val="00D32415"/>
    <w:rsid w:val="00D34626"/>
    <w:rsid w:val="00D4257A"/>
    <w:rsid w:val="00D62665"/>
    <w:rsid w:val="00D91629"/>
    <w:rsid w:val="00D91E19"/>
    <w:rsid w:val="00D97CB6"/>
    <w:rsid w:val="00DA5C41"/>
    <w:rsid w:val="00DB301F"/>
    <w:rsid w:val="00DB7632"/>
    <w:rsid w:val="00DC0CDE"/>
    <w:rsid w:val="00DC4D72"/>
    <w:rsid w:val="00E0624D"/>
    <w:rsid w:val="00E1578C"/>
    <w:rsid w:val="00E4438C"/>
    <w:rsid w:val="00E44AD7"/>
    <w:rsid w:val="00E457F3"/>
    <w:rsid w:val="00E65707"/>
    <w:rsid w:val="00E77A68"/>
    <w:rsid w:val="00E77A99"/>
    <w:rsid w:val="00E86564"/>
    <w:rsid w:val="00EB7E71"/>
    <w:rsid w:val="00F00217"/>
    <w:rsid w:val="00F01D64"/>
    <w:rsid w:val="00F03584"/>
    <w:rsid w:val="00F109D4"/>
    <w:rsid w:val="00F47585"/>
    <w:rsid w:val="00F657C0"/>
    <w:rsid w:val="00F85E6F"/>
    <w:rsid w:val="00FC1C76"/>
    <w:rsid w:val="00FE021C"/>
    <w:rsid w:val="00FE04E4"/>
    <w:rsid w:val="00FE73F9"/>
    <w:rsid w:val="00FF09C7"/>
    <w:rsid w:val="00FF1057"/>
    <w:rsid w:val="00FF3E25"/>
    <w:rsid w:val="00FF4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A0820"/>
  <w15:docId w15:val="{E8EDFAA7-CDAC-42C8-9FB5-F9736E89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B10"/>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CA2A19"/>
    <w:pPr>
      <w:spacing w:before="0" w:after="240"/>
    </w:pPr>
    <w:rPr>
      <w:color w:val="000000" w:themeColor="text1"/>
      <w:szCs w:val="24"/>
    </w:rPr>
  </w:style>
  <w:style w:type="character" w:customStyle="1" w:styleId="Heading1Char">
    <w:name w:val="Heading 1 Char"/>
    <w:basedOn w:val="DefaultParagraphFont"/>
    <w:link w:val="Heading1"/>
    <w:rsid w:val="00D31B10"/>
    <w:rPr>
      <w:rFonts w:ascii="Arial Bold" w:hAnsi="Arial Bold"/>
      <w:b/>
      <w:kern w:val="28"/>
      <w:sz w:val="28"/>
      <w:u w:val="single"/>
    </w:rPr>
  </w:style>
  <w:style w:type="character" w:customStyle="1" w:styleId="Heading2Char">
    <w:name w:val="Heading 2 Char"/>
    <w:basedOn w:val="DefaultParagraphFont"/>
    <w:link w:val="Heading2"/>
    <w:rsid w:val="00D31B10"/>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4847">
      <w:bodyDiv w:val="1"/>
      <w:marLeft w:val="0"/>
      <w:marRight w:val="0"/>
      <w:marTop w:val="0"/>
      <w:marBottom w:val="0"/>
      <w:divBdr>
        <w:top w:val="none" w:sz="0" w:space="0" w:color="auto"/>
        <w:left w:val="none" w:sz="0" w:space="0" w:color="auto"/>
        <w:bottom w:val="none" w:sz="0" w:space="0" w:color="auto"/>
        <w:right w:val="none" w:sz="0" w:space="0" w:color="auto"/>
      </w:divBdr>
      <w:divsChild>
        <w:div w:id="2125230445">
          <w:marLeft w:val="0"/>
          <w:marRight w:val="0"/>
          <w:marTop w:val="0"/>
          <w:marBottom w:val="0"/>
          <w:divBdr>
            <w:top w:val="none" w:sz="0" w:space="0" w:color="auto"/>
            <w:left w:val="none" w:sz="0" w:space="0" w:color="auto"/>
            <w:bottom w:val="none" w:sz="0" w:space="0" w:color="auto"/>
            <w:right w:val="none" w:sz="0" w:space="0" w:color="auto"/>
          </w:divBdr>
          <w:divsChild>
            <w:div w:id="1106459982">
              <w:marLeft w:val="0"/>
              <w:marRight w:val="0"/>
              <w:marTop w:val="0"/>
              <w:marBottom w:val="0"/>
              <w:divBdr>
                <w:top w:val="none" w:sz="0" w:space="0" w:color="auto"/>
                <w:left w:val="none" w:sz="0" w:space="0" w:color="auto"/>
                <w:bottom w:val="none" w:sz="0" w:space="0" w:color="auto"/>
                <w:right w:val="none" w:sz="0" w:space="0" w:color="auto"/>
              </w:divBdr>
              <w:divsChild>
                <w:div w:id="612327906">
                  <w:marLeft w:val="0"/>
                  <w:marRight w:val="0"/>
                  <w:marTop w:val="0"/>
                  <w:marBottom w:val="0"/>
                  <w:divBdr>
                    <w:top w:val="none" w:sz="0" w:space="0" w:color="auto"/>
                    <w:left w:val="none" w:sz="0" w:space="0" w:color="auto"/>
                    <w:bottom w:val="none" w:sz="0" w:space="0" w:color="auto"/>
                    <w:right w:val="none" w:sz="0" w:space="0" w:color="auto"/>
                  </w:divBdr>
                  <w:divsChild>
                    <w:div w:id="356850174">
                      <w:marLeft w:val="0"/>
                      <w:marRight w:val="0"/>
                      <w:marTop w:val="0"/>
                      <w:marBottom w:val="0"/>
                      <w:divBdr>
                        <w:top w:val="none" w:sz="0" w:space="0" w:color="auto"/>
                        <w:left w:val="none" w:sz="0" w:space="0" w:color="auto"/>
                        <w:bottom w:val="none" w:sz="0" w:space="0" w:color="auto"/>
                        <w:right w:val="none" w:sz="0" w:space="0" w:color="auto"/>
                      </w:divBdr>
                      <w:divsChild>
                        <w:div w:id="1228566993">
                          <w:marLeft w:val="0"/>
                          <w:marRight w:val="0"/>
                          <w:marTop w:val="0"/>
                          <w:marBottom w:val="0"/>
                          <w:divBdr>
                            <w:top w:val="none" w:sz="0" w:space="0" w:color="auto"/>
                            <w:left w:val="none" w:sz="0" w:space="0" w:color="auto"/>
                            <w:bottom w:val="none" w:sz="0" w:space="0" w:color="auto"/>
                            <w:right w:val="none" w:sz="0" w:space="0" w:color="auto"/>
                          </w:divBdr>
                          <w:divsChild>
                            <w:div w:id="1414011307">
                              <w:marLeft w:val="0"/>
                              <w:marRight w:val="0"/>
                              <w:marTop w:val="0"/>
                              <w:marBottom w:val="0"/>
                              <w:divBdr>
                                <w:top w:val="none" w:sz="0" w:space="0" w:color="auto"/>
                                <w:left w:val="none" w:sz="0" w:space="0" w:color="auto"/>
                                <w:bottom w:val="none" w:sz="0" w:space="0" w:color="auto"/>
                                <w:right w:val="none" w:sz="0" w:space="0" w:color="auto"/>
                              </w:divBdr>
                              <w:divsChild>
                                <w:div w:id="1950821294">
                                  <w:marLeft w:val="0"/>
                                  <w:marRight w:val="0"/>
                                  <w:marTop w:val="0"/>
                                  <w:marBottom w:val="0"/>
                                  <w:divBdr>
                                    <w:top w:val="none" w:sz="0" w:space="0" w:color="auto"/>
                                    <w:left w:val="none" w:sz="0" w:space="0" w:color="auto"/>
                                    <w:bottom w:val="none" w:sz="0" w:space="0" w:color="auto"/>
                                    <w:right w:val="none" w:sz="0" w:space="0" w:color="auto"/>
                                  </w:divBdr>
                                  <w:divsChild>
                                    <w:div w:id="1783914192">
                                      <w:marLeft w:val="0"/>
                                      <w:marRight w:val="0"/>
                                      <w:marTop w:val="0"/>
                                      <w:marBottom w:val="0"/>
                                      <w:divBdr>
                                        <w:top w:val="none" w:sz="0" w:space="0" w:color="auto"/>
                                        <w:left w:val="none" w:sz="0" w:space="0" w:color="auto"/>
                                        <w:bottom w:val="none" w:sz="0" w:space="0" w:color="auto"/>
                                        <w:right w:val="none" w:sz="0" w:space="0" w:color="auto"/>
                                      </w:divBdr>
                                      <w:divsChild>
                                        <w:div w:id="1710757742">
                                          <w:marLeft w:val="0"/>
                                          <w:marRight w:val="0"/>
                                          <w:marTop w:val="0"/>
                                          <w:marBottom w:val="0"/>
                                          <w:divBdr>
                                            <w:top w:val="none" w:sz="0" w:space="0" w:color="auto"/>
                                            <w:left w:val="none" w:sz="0" w:space="0" w:color="auto"/>
                                            <w:bottom w:val="none" w:sz="0" w:space="0" w:color="auto"/>
                                            <w:right w:val="none" w:sz="0" w:space="0" w:color="auto"/>
                                          </w:divBdr>
                                          <w:divsChild>
                                            <w:div w:id="1195382158">
                                              <w:marLeft w:val="0"/>
                                              <w:marRight w:val="0"/>
                                              <w:marTop w:val="0"/>
                                              <w:marBottom w:val="0"/>
                                              <w:divBdr>
                                                <w:top w:val="none" w:sz="0" w:space="0" w:color="auto"/>
                                                <w:left w:val="none" w:sz="0" w:space="0" w:color="auto"/>
                                                <w:bottom w:val="none" w:sz="0" w:space="0" w:color="auto"/>
                                                <w:right w:val="none" w:sz="0" w:space="0" w:color="auto"/>
                                              </w:divBdr>
                                              <w:divsChild>
                                                <w:div w:id="1859658099">
                                                  <w:marLeft w:val="0"/>
                                                  <w:marRight w:val="0"/>
                                                  <w:marTop w:val="0"/>
                                                  <w:marBottom w:val="0"/>
                                                  <w:divBdr>
                                                    <w:top w:val="none" w:sz="0" w:space="0" w:color="auto"/>
                                                    <w:left w:val="none" w:sz="0" w:space="0" w:color="auto"/>
                                                    <w:bottom w:val="none" w:sz="0" w:space="0" w:color="auto"/>
                                                    <w:right w:val="none" w:sz="0" w:space="0" w:color="auto"/>
                                                  </w:divBdr>
                                                  <w:divsChild>
                                                    <w:div w:id="255409022">
                                                      <w:marLeft w:val="0"/>
                                                      <w:marRight w:val="0"/>
                                                      <w:marTop w:val="0"/>
                                                      <w:marBottom w:val="0"/>
                                                      <w:divBdr>
                                                        <w:top w:val="none" w:sz="0" w:space="0" w:color="auto"/>
                                                        <w:left w:val="none" w:sz="0" w:space="0" w:color="auto"/>
                                                        <w:bottom w:val="none" w:sz="0" w:space="0" w:color="auto"/>
                                                        <w:right w:val="none" w:sz="0" w:space="0" w:color="auto"/>
                                                      </w:divBdr>
                                                      <w:divsChild>
                                                        <w:div w:id="21359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095048">
      <w:bodyDiv w:val="1"/>
      <w:marLeft w:val="0"/>
      <w:marRight w:val="0"/>
      <w:marTop w:val="0"/>
      <w:marBottom w:val="0"/>
      <w:divBdr>
        <w:top w:val="none" w:sz="0" w:space="0" w:color="auto"/>
        <w:left w:val="none" w:sz="0" w:space="0" w:color="auto"/>
        <w:bottom w:val="none" w:sz="0" w:space="0" w:color="auto"/>
        <w:right w:val="none" w:sz="0" w:space="0" w:color="auto"/>
      </w:divBdr>
      <w:divsChild>
        <w:div w:id="316541187">
          <w:marLeft w:val="0"/>
          <w:marRight w:val="0"/>
          <w:marTop w:val="0"/>
          <w:marBottom w:val="0"/>
          <w:divBdr>
            <w:top w:val="none" w:sz="0" w:space="0" w:color="auto"/>
            <w:left w:val="none" w:sz="0" w:space="0" w:color="auto"/>
            <w:bottom w:val="none" w:sz="0" w:space="0" w:color="auto"/>
            <w:right w:val="none" w:sz="0" w:space="0" w:color="auto"/>
          </w:divBdr>
          <w:divsChild>
            <w:div w:id="2003894549">
              <w:marLeft w:val="0"/>
              <w:marRight w:val="0"/>
              <w:marTop w:val="0"/>
              <w:marBottom w:val="0"/>
              <w:divBdr>
                <w:top w:val="none" w:sz="0" w:space="0" w:color="auto"/>
                <w:left w:val="none" w:sz="0" w:space="0" w:color="auto"/>
                <w:bottom w:val="none" w:sz="0" w:space="0" w:color="auto"/>
                <w:right w:val="none" w:sz="0" w:space="0" w:color="auto"/>
              </w:divBdr>
              <w:divsChild>
                <w:div w:id="1876045006">
                  <w:marLeft w:val="0"/>
                  <w:marRight w:val="0"/>
                  <w:marTop w:val="0"/>
                  <w:marBottom w:val="0"/>
                  <w:divBdr>
                    <w:top w:val="none" w:sz="0" w:space="0" w:color="auto"/>
                    <w:left w:val="none" w:sz="0" w:space="0" w:color="auto"/>
                    <w:bottom w:val="none" w:sz="0" w:space="0" w:color="auto"/>
                    <w:right w:val="none" w:sz="0" w:space="0" w:color="auto"/>
                  </w:divBdr>
                  <w:divsChild>
                    <w:div w:id="1516191885">
                      <w:marLeft w:val="0"/>
                      <w:marRight w:val="0"/>
                      <w:marTop w:val="0"/>
                      <w:marBottom w:val="0"/>
                      <w:divBdr>
                        <w:top w:val="none" w:sz="0" w:space="0" w:color="auto"/>
                        <w:left w:val="none" w:sz="0" w:space="0" w:color="auto"/>
                        <w:bottom w:val="none" w:sz="0" w:space="0" w:color="auto"/>
                        <w:right w:val="none" w:sz="0" w:space="0" w:color="auto"/>
                      </w:divBdr>
                      <w:divsChild>
                        <w:div w:id="78868827">
                          <w:marLeft w:val="0"/>
                          <w:marRight w:val="0"/>
                          <w:marTop w:val="0"/>
                          <w:marBottom w:val="0"/>
                          <w:divBdr>
                            <w:top w:val="none" w:sz="0" w:space="0" w:color="auto"/>
                            <w:left w:val="none" w:sz="0" w:space="0" w:color="auto"/>
                            <w:bottom w:val="none" w:sz="0" w:space="0" w:color="auto"/>
                            <w:right w:val="none" w:sz="0" w:space="0" w:color="auto"/>
                          </w:divBdr>
                          <w:divsChild>
                            <w:div w:id="233393761">
                              <w:marLeft w:val="0"/>
                              <w:marRight w:val="0"/>
                              <w:marTop w:val="0"/>
                              <w:marBottom w:val="0"/>
                              <w:divBdr>
                                <w:top w:val="none" w:sz="0" w:space="0" w:color="auto"/>
                                <w:left w:val="none" w:sz="0" w:space="0" w:color="auto"/>
                                <w:bottom w:val="none" w:sz="0" w:space="0" w:color="auto"/>
                                <w:right w:val="none" w:sz="0" w:space="0" w:color="auto"/>
                              </w:divBdr>
                              <w:divsChild>
                                <w:div w:id="447088197">
                                  <w:marLeft w:val="0"/>
                                  <w:marRight w:val="0"/>
                                  <w:marTop w:val="0"/>
                                  <w:marBottom w:val="0"/>
                                  <w:divBdr>
                                    <w:top w:val="none" w:sz="0" w:space="0" w:color="auto"/>
                                    <w:left w:val="none" w:sz="0" w:space="0" w:color="auto"/>
                                    <w:bottom w:val="none" w:sz="0" w:space="0" w:color="auto"/>
                                    <w:right w:val="none" w:sz="0" w:space="0" w:color="auto"/>
                                  </w:divBdr>
                                  <w:divsChild>
                                    <w:div w:id="29110222">
                                      <w:marLeft w:val="0"/>
                                      <w:marRight w:val="0"/>
                                      <w:marTop w:val="0"/>
                                      <w:marBottom w:val="0"/>
                                      <w:divBdr>
                                        <w:top w:val="none" w:sz="0" w:space="0" w:color="auto"/>
                                        <w:left w:val="none" w:sz="0" w:space="0" w:color="auto"/>
                                        <w:bottom w:val="none" w:sz="0" w:space="0" w:color="auto"/>
                                        <w:right w:val="none" w:sz="0" w:space="0" w:color="auto"/>
                                      </w:divBdr>
                                      <w:divsChild>
                                        <w:div w:id="1457526796">
                                          <w:marLeft w:val="0"/>
                                          <w:marRight w:val="0"/>
                                          <w:marTop w:val="0"/>
                                          <w:marBottom w:val="0"/>
                                          <w:divBdr>
                                            <w:top w:val="none" w:sz="0" w:space="0" w:color="auto"/>
                                            <w:left w:val="none" w:sz="0" w:space="0" w:color="auto"/>
                                            <w:bottom w:val="none" w:sz="0" w:space="0" w:color="auto"/>
                                            <w:right w:val="none" w:sz="0" w:space="0" w:color="auto"/>
                                          </w:divBdr>
                                          <w:divsChild>
                                            <w:div w:id="583879124">
                                              <w:marLeft w:val="0"/>
                                              <w:marRight w:val="0"/>
                                              <w:marTop w:val="0"/>
                                              <w:marBottom w:val="0"/>
                                              <w:divBdr>
                                                <w:top w:val="none" w:sz="0" w:space="0" w:color="auto"/>
                                                <w:left w:val="none" w:sz="0" w:space="0" w:color="auto"/>
                                                <w:bottom w:val="none" w:sz="0" w:space="0" w:color="auto"/>
                                                <w:right w:val="none" w:sz="0" w:space="0" w:color="auto"/>
                                              </w:divBdr>
                                              <w:divsChild>
                                                <w:div w:id="1006206001">
                                                  <w:marLeft w:val="0"/>
                                                  <w:marRight w:val="0"/>
                                                  <w:marTop w:val="0"/>
                                                  <w:marBottom w:val="0"/>
                                                  <w:divBdr>
                                                    <w:top w:val="none" w:sz="0" w:space="0" w:color="auto"/>
                                                    <w:left w:val="none" w:sz="0" w:space="0" w:color="auto"/>
                                                    <w:bottom w:val="none" w:sz="0" w:space="0" w:color="auto"/>
                                                    <w:right w:val="none" w:sz="0" w:space="0" w:color="auto"/>
                                                  </w:divBdr>
                                                  <w:divsChild>
                                                    <w:div w:id="703141294">
                                                      <w:marLeft w:val="0"/>
                                                      <w:marRight w:val="0"/>
                                                      <w:marTop w:val="0"/>
                                                      <w:marBottom w:val="0"/>
                                                      <w:divBdr>
                                                        <w:top w:val="none" w:sz="0" w:space="0" w:color="auto"/>
                                                        <w:left w:val="none" w:sz="0" w:space="0" w:color="auto"/>
                                                        <w:bottom w:val="none" w:sz="0" w:space="0" w:color="auto"/>
                                                        <w:right w:val="none" w:sz="0" w:space="0" w:color="auto"/>
                                                      </w:divBdr>
                                                      <w:divsChild>
                                                        <w:div w:id="1460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7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232" ma:contentTypeDescription=" " ma:contentTypeScope="" ma:versionID="4786267383e695c4a35ff5d961bb745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2020RG-111-13434</_dlc_DocId>
    <_dlc_DocIdUrl xmlns="0f563589-9cf9-4143-b1eb-fb0534803d38">
      <Url>http://tweb/sites/rg/ldp/lmu/_layouts/15/DocIdRedir.aspx?ID=2020RG-111-13434</Url>
      <Description>2020RG-111-13434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3BE8-80EE-402C-BE76-B4ED390A8C55}"/>
</file>

<file path=customXml/itemProps2.xml><?xml version="1.0" encoding="utf-8"?>
<ds:datastoreItem xmlns:ds="http://schemas.openxmlformats.org/officeDocument/2006/customXml" ds:itemID="{9C781319-0B1B-49CA-8BC5-07EDAE42ECAA}">
  <ds:schemaRefs>
    <ds:schemaRef ds:uri="http://schemas.microsoft.com/sharepoint/event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purl.org/dc/dcmitype/"/>
    <ds:schemaRef ds:uri="9f7bc583-7cbe-45b9-a2bd-8bbb6543b37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sharepoint/v4"/>
    <ds:schemaRef ds:uri="0f563589-9cf9-4143-b1eb-fb0534803d38"/>
    <ds:schemaRef ds:uri="http://schemas.microsoft.com/sharepoint/v3"/>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A2763E7E-01DC-45F1-A610-5D14F32D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3</Pages>
  <Words>654</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Bentwood, Sophie</dc:creator>
  <cp:lastModifiedBy>Anderson, Roslyn</cp:lastModifiedBy>
  <cp:revision>4</cp:revision>
  <cp:lastPrinted>2020-01-10T04:37:00Z</cp:lastPrinted>
  <dcterms:created xsi:type="dcterms:W3CDTF">2020-01-16T01:12:00Z</dcterms:created>
  <dcterms:modified xsi:type="dcterms:W3CDTF">2020-01-16T01:35:00Z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213080953</vt:i4>
  </property>
  <property fmtid="{D5CDD505-2E9C-101B-9397-08002B2CF9AE}" pid="3" name="_NewReviewCycle">
    <vt:lpwstr/>
  </property>
  <property fmtid="{D5CDD505-2E9C-101B-9397-08002B2CF9AE}" pid="4" name="_EmailSubject">
    <vt:lpwstr>FOR ACTION - Census and Statistics Instruments [SEC=PROTECTED, DLM=Sensitive]</vt:lpwstr>
  </property>
  <property fmtid="{D5CDD505-2E9C-101B-9397-08002B2CF9AE}" pid="5" name="_AuthorEmail">
    <vt:lpwstr>Roslyn.Anderson@TREASURY.GOV.AU</vt:lpwstr>
  </property>
  <property fmtid="{D5CDD505-2E9C-101B-9397-08002B2CF9AE}" pid="6" name="_AuthorEmailDisplayName">
    <vt:lpwstr>Anderson, Roslyn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PreviousAdHocReviewCycleID">
    <vt:i4>-1533705720</vt:i4>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lc_DocIdItemGuid">
    <vt:lpwstr>b267076e-de64-426e-85be-35101cad2572</vt:lpwstr>
  </property>
  <property fmtid="{D5CDD505-2E9C-101B-9397-08002B2CF9AE}" pid="18" name="RecordPoint_ActiveItemUniqueId">
    <vt:lpwstr>{b267076e-de64-426e-85be-35101cad2572}</vt:lpwstr>
  </property>
  <property fmtid="{D5CDD505-2E9C-101B-9397-08002B2CF9AE}" pid="19" name="RecordPoint_RecordNumberSubmitted">
    <vt:lpwstr>R0002209664</vt:lpwstr>
  </property>
  <property fmtid="{D5CDD505-2E9C-101B-9397-08002B2CF9AE}" pid="20" name="RecordPoint_SubmissionCompleted">
    <vt:lpwstr>2020-02-01T23:39:09.5019665+11:00</vt:lpwstr>
  </property>
  <property fmtid="{D5CDD505-2E9C-101B-9397-08002B2CF9AE}" pid="21" name="KWizComPasteSourceItemData">
    <vt:lpwstr>http://tweb/sites/rg/ldp/lmu|1a010be9-83b3-4740-abb7-452f2d1120fe|13223</vt:lpwstr>
  </property>
  <property fmtid="{D5CDD505-2E9C-101B-9397-08002B2CF9AE}" pid="22" name="_ReviewingToolsShownOnce">
    <vt:lpwstr/>
  </property>
</Properties>
</file>