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661A8"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82D273F" w14:textId="5FA6DBE8" w:rsidR="007662C7" w:rsidRPr="00731FEA" w:rsidRDefault="00F109D4" w:rsidP="00F378AA">
      <w:pPr>
        <w:pStyle w:val="Default"/>
        <w:spacing w:before="240" w:after="120"/>
      </w:pPr>
      <w:r w:rsidRPr="007B335E">
        <w:t>Issued by authority of the</w:t>
      </w:r>
      <w:r w:rsidR="00076178" w:rsidRPr="00731FEA">
        <w:t xml:space="preserve"> </w:t>
      </w:r>
      <w:r w:rsidR="00C849B7" w:rsidRPr="00C849B7">
        <w:rPr>
          <w:b/>
          <w:color w:val="auto"/>
          <w:sz w:val="22"/>
          <w:szCs w:val="22"/>
          <w:u w:val="single"/>
        </w:rPr>
        <w:t xml:space="preserve">Assistant Minister for Finance, Charities and Electoral Matters, Parliamentary Secretary to the Treasurer and Parliamentary Secretary to the </w:t>
      </w:r>
      <w:bookmarkStart w:id="0" w:name="_GoBack"/>
      <w:r w:rsidR="00C849B7" w:rsidRPr="00C849B7">
        <w:rPr>
          <w:b/>
          <w:color w:val="auto"/>
          <w:sz w:val="22"/>
          <w:szCs w:val="22"/>
          <w:u w:val="single"/>
        </w:rPr>
        <w:t>Minister</w:t>
      </w:r>
      <w:bookmarkEnd w:id="0"/>
      <w:r w:rsidR="00C849B7" w:rsidRPr="00C849B7">
        <w:rPr>
          <w:b/>
          <w:color w:val="auto"/>
          <w:sz w:val="22"/>
          <w:szCs w:val="22"/>
          <w:u w:val="single"/>
        </w:rPr>
        <w:t xml:space="preserve"> for Finance</w:t>
      </w:r>
    </w:p>
    <w:p w14:paraId="27478516" w14:textId="77777777" w:rsidR="00F109D4" w:rsidRDefault="009F6FF7" w:rsidP="00F378AA">
      <w:pPr>
        <w:spacing w:before="240"/>
        <w:jc w:val="center"/>
        <w:rPr>
          <w:i/>
        </w:rPr>
      </w:pPr>
      <w:r>
        <w:rPr>
          <w:i/>
        </w:rPr>
        <w:t>Australian Charities and Not-for-profits Commission (Consequential and Transitional) Act 2012</w:t>
      </w:r>
    </w:p>
    <w:p w14:paraId="7DC977BA" w14:textId="1E437DAE" w:rsidR="00F109D4" w:rsidRPr="00503E44" w:rsidRDefault="009F6FF7" w:rsidP="00F378AA">
      <w:pPr>
        <w:tabs>
          <w:tab w:val="left" w:pos="1418"/>
        </w:tabs>
        <w:spacing w:before="240"/>
        <w:jc w:val="center"/>
        <w:rPr>
          <w:i/>
        </w:rPr>
      </w:pPr>
      <w:r>
        <w:rPr>
          <w:i/>
        </w:rPr>
        <w:t>Australian Charities and Not-for-profits Commission (Consequential and Transitional) Amendment (Reporting) Regulations 20</w:t>
      </w:r>
      <w:r w:rsidR="002A3BBA">
        <w:rPr>
          <w:i/>
        </w:rPr>
        <w:t>20</w:t>
      </w:r>
    </w:p>
    <w:p w14:paraId="35031980" w14:textId="4131B156" w:rsidR="004B2941" w:rsidRPr="00767AE1" w:rsidRDefault="004B2941" w:rsidP="00F378AA">
      <w:pPr>
        <w:spacing w:before="240"/>
      </w:pPr>
      <w:r>
        <w:t xml:space="preserve">The </w:t>
      </w:r>
      <w:r w:rsidRPr="0049410D">
        <w:rPr>
          <w:i/>
        </w:rPr>
        <w:t>Australian Charities and Not-for-profits Commission (Consequential and Transitional) Act 2012</w:t>
      </w:r>
      <w:r>
        <w:rPr>
          <w:i/>
        </w:rPr>
        <w:t xml:space="preserve"> </w:t>
      </w:r>
      <w:r>
        <w:t>(Transitional Act)</w:t>
      </w:r>
      <w:r>
        <w:rPr>
          <w:i/>
        </w:rPr>
        <w:t xml:space="preserve"> </w:t>
      </w:r>
      <w:r>
        <w:t xml:space="preserve">provides rules </w:t>
      </w:r>
      <w:r w:rsidR="002A3BBA">
        <w:t>that</w:t>
      </w:r>
      <w:r>
        <w:t xml:space="preserve"> enable</w:t>
      </w:r>
      <w:r w:rsidR="002A3BBA">
        <w:t>d</w:t>
      </w:r>
      <w:r>
        <w:t xml:space="preserve"> an orderly transition from the administration of charities under the tax legislation to their administration under the </w:t>
      </w:r>
      <w:r w:rsidRPr="0049410D">
        <w:rPr>
          <w:i/>
        </w:rPr>
        <w:t>Australian Charities and Not-for-profits Commission Act</w:t>
      </w:r>
      <w:r>
        <w:rPr>
          <w:i/>
        </w:rPr>
        <w:t> </w:t>
      </w:r>
      <w:r w:rsidRPr="0049410D">
        <w:rPr>
          <w:i/>
        </w:rPr>
        <w:t>2012</w:t>
      </w:r>
      <w:r>
        <w:rPr>
          <w:i/>
        </w:rPr>
        <w:t xml:space="preserve"> </w:t>
      </w:r>
      <w:r w:rsidRPr="00F90943">
        <w:t>(ACNC</w:t>
      </w:r>
      <w:r>
        <w:t> </w:t>
      </w:r>
      <w:r w:rsidRPr="00F90943">
        <w:t>Act)</w:t>
      </w:r>
      <w:r>
        <w:t xml:space="preserve">. </w:t>
      </w:r>
    </w:p>
    <w:p w14:paraId="52F611F3" w14:textId="749CF4C0" w:rsidR="00F109D4" w:rsidRDefault="00C55D29" w:rsidP="00F378AA">
      <w:pPr>
        <w:spacing w:before="240"/>
      </w:pPr>
      <w:r w:rsidRPr="00503E44">
        <w:t xml:space="preserve">Section </w:t>
      </w:r>
      <w:r w:rsidR="009F6FF7">
        <w:t>4</w:t>
      </w:r>
      <w:r w:rsidR="005E4BAC">
        <w:t xml:space="preserve"> </w:t>
      </w:r>
      <w:r w:rsidR="00F109D4" w:rsidRPr="00503E44">
        <w:t xml:space="preserve">of the </w:t>
      </w:r>
      <w:r w:rsidR="004B2941">
        <w:t xml:space="preserve">Transitional </w:t>
      </w:r>
      <w:r w:rsidR="00F80BEF">
        <w:t>Act</w:t>
      </w:r>
      <w:r w:rsidR="00F109D4" w:rsidRPr="00503E44">
        <w:t xml:space="preserve"> provides that the Governor-General may make regulations prescribing matters required or permitted by the </w:t>
      </w:r>
      <w:r w:rsidR="00F80BEF">
        <w:t xml:space="preserve">Transitional </w:t>
      </w:r>
      <w:r w:rsidR="00F109D4" w:rsidRPr="00503E44">
        <w:t xml:space="preserve">Act to be prescribed, or necessary or convenient to be prescribed for carrying out or giving effect to the </w:t>
      </w:r>
      <w:r w:rsidR="00F80BEF">
        <w:t xml:space="preserve">Transitional </w:t>
      </w:r>
      <w:r w:rsidR="00F109D4" w:rsidRPr="00503E44">
        <w:t>Act.</w:t>
      </w:r>
    </w:p>
    <w:p w14:paraId="451B77EF" w14:textId="589F7777" w:rsidR="00230FF4" w:rsidRDefault="00230FF4" w:rsidP="00F378AA">
      <w:pPr>
        <w:spacing w:before="240"/>
      </w:pPr>
      <w:r w:rsidRPr="007018BD">
        <w:t>T</w:t>
      </w:r>
      <w:r>
        <w:t xml:space="preserve">he purpose of the </w:t>
      </w:r>
      <w:r w:rsidRPr="00C171FF">
        <w:rPr>
          <w:i/>
        </w:rPr>
        <w:t xml:space="preserve">Australian Charities and Not-for-profits Commission (Consequential and Transitional) Amendment (Reporting) Regulations </w:t>
      </w:r>
      <w:r w:rsidR="00F541B0" w:rsidRPr="00C171FF">
        <w:rPr>
          <w:i/>
        </w:rPr>
        <w:t>20</w:t>
      </w:r>
      <w:r w:rsidR="00F541B0">
        <w:rPr>
          <w:i/>
        </w:rPr>
        <w:t>20</w:t>
      </w:r>
      <w:r w:rsidR="00F541B0">
        <w:t xml:space="preserve"> </w:t>
      </w:r>
      <w:r>
        <w:t>(</w:t>
      </w:r>
      <w:r w:rsidR="008D7554">
        <w:t>the </w:t>
      </w:r>
      <w:r w:rsidR="002A3BBA">
        <w:t xml:space="preserve">Amending </w:t>
      </w:r>
      <w:r>
        <w:t xml:space="preserve">Regulations) is to amend the </w:t>
      </w:r>
      <w:r w:rsidRPr="007018BD">
        <w:rPr>
          <w:i/>
        </w:rPr>
        <w:t>Australian Charities and Not</w:t>
      </w:r>
      <w:r>
        <w:rPr>
          <w:i/>
        </w:rPr>
        <w:noBreakHyphen/>
      </w:r>
      <w:r w:rsidRPr="007018BD">
        <w:rPr>
          <w:i/>
        </w:rPr>
        <w:t>for</w:t>
      </w:r>
      <w:r>
        <w:rPr>
          <w:i/>
        </w:rPr>
        <w:noBreakHyphen/>
      </w:r>
      <w:r w:rsidRPr="007018BD">
        <w:rPr>
          <w:i/>
        </w:rPr>
        <w:t>profits Commission (Consequential and Transitional) Regulation 201</w:t>
      </w:r>
      <w:r>
        <w:rPr>
          <w:i/>
        </w:rPr>
        <w:t>6</w:t>
      </w:r>
      <w:r>
        <w:t xml:space="preserve"> to reduce the regulatory burden on a transitional basis for entities </w:t>
      </w:r>
      <w:r w:rsidRPr="007F62B1">
        <w:t xml:space="preserve">(registered entities) </w:t>
      </w:r>
      <w:r>
        <w:t xml:space="preserve">registered with the </w:t>
      </w:r>
      <w:r w:rsidRPr="007F62B1">
        <w:t>Australian</w:t>
      </w:r>
      <w:r>
        <w:t> </w:t>
      </w:r>
      <w:r w:rsidRPr="007F62B1">
        <w:t xml:space="preserve">Charities and Not-for-profits Commission </w:t>
      </w:r>
      <w:r>
        <w:t xml:space="preserve">(ACNC). </w:t>
      </w:r>
    </w:p>
    <w:p w14:paraId="49D4F1CD" w14:textId="00C76362" w:rsidR="00230FF4" w:rsidRDefault="00230FF4" w:rsidP="00F378AA">
      <w:pPr>
        <w:spacing w:before="240"/>
      </w:pPr>
      <w:r>
        <w:t>The</w:t>
      </w:r>
      <w:r w:rsidR="002A3BBA">
        <w:t xml:space="preserve"> Amending</w:t>
      </w:r>
      <w:r>
        <w:t xml:space="preserve"> Regulations do this by extending a transitional </w:t>
      </w:r>
      <w:r w:rsidRPr="001A4559">
        <w:t xml:space="preserve">concession provided by the </w:t>
      </w:r>
      <w:r w:rsidR="004B2941">
        <w:t xml:space="preserve">Transitional </w:t>
      </w:r>
      <w:r w:rsidRPr="001A4559">
        <w:t xml:space="preserve">Act </w:t>
      </w:r>
      <w:r>
        <w:t xml:space="preserve">so that it applies </w:t>
      </w:r>
      <w:r w:rsidR="004B2941">
        <w:t xml:space="preserve">for an additional five years </w:t>
      </w:r>
      <w:r w:rsidR="00F541B0">
        <w:t>from</w:t>
      </w:r>
      <w:r w:rsidR="00F541B0" w:rsidRPr="001A4559">
        <w:t xml:space="preserve"> </w:t>
      </w:r>
      <w:r w:rsidRPr="001A4559">
        <w:t xml:space="preserve">the </w:t>
      </w:r>
      <w:r>
        <w:t>2019-20</w:t>
      </w:r>
      <w:r w:rsidR="00F541B0">
        <w:t xml:space="preserve"> financial year until the</w:t>
      </w:r>
      <w:r>
        <w:t xml:space="preserve"> 2023-24</w:t>
      </w:r>
      <w:r w:rsidRPr="001A4559">
        <w:t xml:space="preserve"> financial year</w:t>
      </w:r>
      <w:r w:rsidR="00F541B0">
        <w:t xml:space="preserve"> inclusive</w:t>
      </w:r>
      <w:r w:rsidRPr="001A4559">
        <w:t xml:space="preserve">. </w:t>
      </w:r>
    </w:p>
    <w:p w14:paraId="094D277C" w14:textId="630E79F4" w:rsidR="00230FF4" w:rsidRPr="003852F3" w:rsidRDefault="00230FF4" w:rsidP="00F378AA">
      <w:pPr>
        <w:spacing w:before="240"/>
        <w:rPr>
          <w:highlight w:val="yellow"/>
        </w:rPr>
      </w:pPr>
      <w:r w:rsidRPr="001A4559">
        <w:t xml:space="preserve">The </w:t>
      </w:r>
      <w:r>
        <w:t xml:space="preserve">transitional </w:t>
      </w:r>
      <w:r w:rsidRPr="001A4559">
        <w:t>concession allow</w:t>
      </w:r>
      <w:r>
        <w:t>s</w:t>
      </w:r>
      <w:r w:rsidRPr="001A4559">
        <w:t xml:space="preserve"> registered entities to submit </w:t>
      </w:r>
      <w:r w:rsidR="00382C99">
        <w:t>statements, reports and other documents</w:t>
      </w:r>
      <w:r w:rsidRPr="001A4559">
        <w:t xml:space="preserve"> produced for </w:t>
      </w:r>
      <w:r>
        <w:t xml:space="preserve">an Australian government agency </w:t>
      </w:r>
      <w:r w:rsidRPr="001A4559">
        <w:t>to meet certain ACNC Act reporting obligation</w:t>
      </w:r>
      <w:r>
        <w:t>s</w:t>
      </w:r>
      <w:r w:rsidRPr="001A4559">
        <w:t xml:space="preserve">.   </w:t>
      </w:r>
    </w:p>
    <w:p w14:paraId="6FF063A3" w14:textId="78479A49" w:rsidR="004B2941" w:rsidRDefault="004B2941" w:rsidP="00F378AA">
      <w:pPr>
        <w:spacing w:before="240"/>
      </w:pPr>
      <w:r>
        <w:t xml:space="preserve">Targeted consultation on the </w:t>
      </w:r>
      <w:r w:rsidR="002A3BBA">
        <w:t xml:space="preserve">Amending </w:t>
      </w:r>
      <w:r>
        <w:t xml:space="preserve">Regulations was undertaken with the ACNC, however, pursuant to </w:t>
      </w:r>
      <w:r w:rsidRPr="00BB3A42">
        <w:t xml:space="preserve">section 17 of the </w:t>
      </w:r>
      <w:r w:rsidRPr="00BB3A42">
        <w:rPr>
          <w:i/>
        </w:rPr>
        <w:t>Legislation Act 2003</w:t>
      </w:r>
      <w:r w:rsidRPr="00BB3A42">
        <w:t>,</w:t>
      </w:r>
      <w:r w:rsidRPr="00C80652">
        <w:t xml:space="preserve"> no public consultation was undertaken on the </w:t>
      </w:r>
      <w:r w:rsidR="002A3BBA">
        <w:t xml:space="preserve">Amending </w:t>
      </w:r>
      <w:r w:rsidRPr="00C80652">
        <w:t>Regulation</w:t>
      </w:r>
      <w:r>
        <w:t>s</w:t>
      </w:r>
      <w:r w:rsidRPr="00C80652">
        <w:t xml:space="preserve"> as </w:t>
      </w:r>
      <w:r>
        <w:t>they are</w:t>
      </w:r>
      <w:r w:rsidRPr="00C80652">
        <w:t xml:space="preserve"> </w:t>
      </w:r>
      <w:r>
        <w:t>m</w:t>
      </w:r>
      <w:r w:rsidRPr="00C80652">
        <w:t>inor and machinery in nature.</w:t>
      </w:r>
    </w:p>
    <w:p w14:paraId="742B48C4" w14:textId="414A1B6C" w:rsidR="002C226C" w:rsidRDefault="004B2941" w:rsidP="00F378AA">
      <w:pPr>
        <w:spacing w:before="240"/>
      </w:pPr>
      <w:r>
        <w:rPr>
          <w:color w:val="000000"/>
          <w:shd w:val="clear" w:color="auto" w:fill="FFFFFF"/>
        </w:rPr>
        <w:t>The changes do not affect the substantive meaning or operation of the provisions</w:t>
      </w:r>
      <w:r w:rsidR="00F541B0">
        <w:rPr>
          <w:color w:val="000000"/>
          <w:shd w:val="clear" w:color="auto" w:fill="FFFFFF"/>
        </w:rPr>
        <w:t xml:space="preserve"> other than extending the period of the transitional concession</w:t>
      </w:r>
      <w:r>
        <w:rPr>
          <w:color w:val="000000"/>
          <w:shd w:val="clear" w:color="auto" w:fill="FFFFFF"/>
        </w:rPr>
        <w:t>.</w:t>
      </w:r>
      <w:r>
        <w:t xml:space="preserve"> </w:t>
      </w:r>
      <w:r w:rsidR="002C226C">
        <w:t xml:space="preserve">Details of the </w:t>
      </w:r>
      <w:r w:rsidR="002A3BBA">
        <w:t xml:space="preserve">Amending </w:t>
      </w:r>
      <w:r w:rsidR="00EB2AEF">
        <w:t>Regulations are set out in</w:t>
      </w:r>
      <w:r w:rsidR="002C226C">
        <w:t xml:space="preserve"> </w:t>
      </w:r>
      <w:r w:rsidR="002C226C" w:rsidRPr="00317816">
        <w:rPr>
          <w:u w:val="single"/>
        </w:rPr>
        <w:t>Attachment</w:t>
      </w:r>
      <w:r w:rsidR="00EB2AEF">
        <w:rPr>
          <w:u w:val="single"/>
        </w:rPr>
        <w:t xml:space="preserve"> </w:t>
      </w:r>
      <w:r>
        <w:rPr>
          <w:u w:val="single"/>
        </w:rPr>
        <w:t>A</w:t>
      </w:r>
      <w:r w:rsidR="003E3FBC" w:rsidRPr="00B00C18">
        <w:t>.</w:t>
      </w:r>
      <w:r w:rsidR="00013390">
        <w:t xml:space="preserve"> </w:t>
      </w:r>
    </w:p>
    <w:p w14:paraId="3B937E6A" w14:textId="16AA3897" w:rsidR="002C226C" w:rsidRDefault="002C226C" w:rsidP="00F378AA">
      <w:pPr>
        <w:spacing w:before="240"/>
      </w:pPr>
      <w:r>
        <w:t>The</w:t>
      </w:r>
      <w:r w:rsidRPr="00D3322F">
        <w:t xml:space="preserve"> </w:t>
      </w:r>
      <w:r w:rsidR="002A3BBA">
        <w:t xml:space="preserve">Amending </w:t>
      </w:r>
      <w:r w:rsidRPr="00D3322F">
        <w:t>Regulation</w:t>
      </w:r>
      <w:r>
        <w:t>s are</w:t>
      </w:r>
      <w:r w:rsidRPr="00D3322F">
        <w:t xml:space="preserve"> a legislative instrument for the purposes of the</w:t>
      </w:r>
      <w:r w:rsidRPr="00322524">
        <w:t xml:space="preserve"> </w:t>
      </w:r>
      <w:r w:rsidRPr="00D3322F">
        <w:rPr>
          <w:i/>
        </w:rPr>
        <w:t>Legislation Act 2003</w:t>
      </w:r>
      <w:r w:rsidRPr="00D3322F">
        <w:t>.</w:t>
      </w:r>
    </w:p>
    <w:p w14:paraId="2465820D" w14:textId="2BE63759" w:rsidR="009143A0" w:rsidRDefault="00F109D4" w:rsidP="00F378AA">
      <w:pPr>
        <w:spacing w:before="240"/>
      </w:pPr>
      <w:r w:rsidRPr="00503E44">
        <w:lastRenderedPageBreak/>
        <w:t xml:space="preserve">The </w:t>
      </w:r>
      <w:r w:rsidR="002A3BBA">
        <w:t xml:space="preserve">Amending </w:t>
      </w:r>
      <w:r w:rsidRPr="00503E44">
        <w:t xml:space="preserve">Regulations commenced </w:t>
      </w:r>
      <w:r w:rsidR="00230FF4" w:rsidRPr="00453B77">
        <w:t>the day after registration on the Federal Register of Legislation</w:t>
      </w:r>
      <w:r w:rsidR="00BF40E3">
        <w:t>.</w:t>
      </w:r>
    </w:p>
    <w:p w14:paraId="653AE285" w14:textId="77777777" w:rsidR="00BF40E3" w:rsidRPr="00647BB7" w:rsidRDefault="00BF40E3" w:rsidP="00F378AA">
      <w:pPr>
        <w:spacing w:before="240"/>
        <w:rPr>
          <w:i/>
        </w:rPr>
      </w:pPr>
      <w:r>
        <w:rPr>
          <w:color w:val="000000"/>
          <w:shd w:val="clear" w:color="auto" w:fill="FFFFFF"/>
        </w:rPr>
        <w:t>A Statement of Compatibility with Human Rights is at </w:t>
      </w:r>
      <w:r>
        <w:rPr>
          <w:color w:val="000000"/>
          <w:u w:val="single"/>
          <w:shd w:val="clear" w:color="auto" w:fill="FFFFFF"/>
        </w:rPr>
        <w:t>Attachment B</w:t>
      </w:r>
      <w:r w:rsidRPr="00B00C18">
        <w:rPr>
          <w:color w:val="000000"/>
          <w:shd w:val="clear" w:color="auto" w:fill="FFFFFF"/>
        </w:rPr>
        <w:t>.</w:t>
      </w:r>
      <w:r>
        <w:rPr>
          <w:color w:val="000000"/>
          <w:shd w:val="clear" w:color="auto" w:fill="FFFFFF"/>
        </w:rPr>
        <w:t> The Legislative Instrument is compatible with human rights as it does not raise any human rights issues.</w:t>
      </w:r>
    </w:p>
    <w:p w14:paraId="1F10F231" w14:textId="77777777" w:rsidR="00EA4DD8" w:rsidRDefault="00EA4DD8" w:rsidP="00EA4DD8">
      <w:pPr>
        <w:pageBreakBefore/>
        <w:spacing w:before="240"/>
        <w:jc w:val="right"/>
        <w:rPr>
          <w:b/>
          <w:u w:val="single"/>
        </w:rPr>
      </w:pPr>
      <w:r w:rsidRPr="007B335E">
        <w:rPr>
          <w:b/>
          <w:u w:val="single"/>
        </w:rPr>
        <w:lastRenderedPageBreak/>
        <w:t xml:space="preserve">ATTACHMENT </w:t>
      </w:r>
      <w:r w:rsidR="00E91A13">
        <w:rPr>
          <w:b/>
          <w:u w:val="single"/>
        </w:rPr>
        <w:t>A</w:t>
      </w:r>
    </w:p>
    <w:p w14:paraId="68280E86" w14:textId="145EF88D" w:rsidR="00EA4DD8" w:rsidRDefault="00EA4DD8" w:rsidP="00EA4DD8">
      <w:pPr>
        <w:spacing w:before="240"/>
        <w:ind w:right="91"/>
        <w:rPr>
          <w:b/>
          <w:bCs/>
          <w:szCs w:val="24"/>
          <w:u w:val="single"/>
        </w:rPr>
      </w:pPr>
      <w:r>
        <w:rPr>
          <w:b/>
          <w:bCs/>
          <w:u w:val="single"/>
        </w:rPr>
        <w:t xml:space="preserve">Details of the </w:t>
      </w:r>
      <w:r w:rsidR="00BF40E3">
        <w:rPr>
          <w:b/>
          <w:i/>
          <w:u w:val="single"/>
        </w:rPr>
        <w:t>Australian Charities and Not-for-profits Commission (Consequential and Transitional) Amendment (Reporting) Regulations 20</w:t>
      </w:r>
      <w:r w:rsidR="00C55955">
        <w:rPr>
          <w:b/>
          <w:i/>
          <w:u w:val="single"/>
        </w:rPr>
        <w:t>20</w:t>
      </w:r>
      <w:r>
        <w:rPr>
          <w:b/>
          <w:bCs/>
          <w:u w:val="single"/>
        </w:rPr>
        <w:t xml:space="preserve"> </w:t>
      </w:r>
    </w:p>
    <w:p w14:paraId="63C22AE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AF3F1C6" w14:textId="726204E3" w:rsidR="00EA4DD8" w:rsidRDefault="00EA4DD8" w:rsidP="00EA4DD8">
      <w:pPr>
        <w:spacing w:before="240"/>
      </w:pPr>
      <w:r>
        <w:t xml:space="preserve">This section provides that the name of the Regulations is the </w:t>
      </w:r>
      <w:r w:rsidR="00BF40E3">
        <w:rPr>
          <w:i/>
        </w:rPr>
        <w:t>Australian Charities and Not-for-profits Commission (Consequential and Transitional) Amendment (Reporting) Regulations 20</w:t>
      </w:r>
      <w:r w:rsidR="003171BD">
        <w:rPr>
          <w:i/>
        </w:rPr>
        <w:t>20</w:t>
      </w:r>
      <w:r w:rsidR="00BF40E3">
        <w:t xml:space="preserve"> (</w:t>
      </w:r>
      <w:r>
        <w:t>the</w:t>
      </w:r>
      <w:r w:rsidR="00BF40E3">
        <w:t xml:space="preserve"> </w:t>
      </w:r>
      <w:r w:rsidR="002A3BBA">
        <w:t xml:space="preserve">Amending </w:t>
      </w:r>
      <w:r>
        <w:t>Regulations).</w:t>
      </w:r>
    </w:p>
    <w:p w14:paraId="6B8F1251" w14:textId="77777777" w:rsidR="00EA4DD8" w:rsidRDefault="00EA4DD8" w:rsidP="00EA4DD8">
      <w:pPr>
        <w:spacing w:before="240"/>
        <w:ind w:right="91"/>
        <w:rPr>
          <w:u w:val="single"/>
        </w:rPr>
      </w:pPr>
      <w:r>
        <w:rPr>
          <w:u w:val="single"/>
        </w:rPr>
        <w:t>Section 2 – Commencement</w:t>
      </w:r>
    </w:p>
    <w:p w14:paraId="6ABEA203" w14:textId="2D27BE9E" w:rsidR="00EA4DD8" w:rsidRDefault="003E3FBC" w:rsidP="00EA4DD8">
      <w:pPr>
        <w:spacing w:before="240"/>
        <w:ind w:right="91"/>
      </w:pPr>
      <w:r>
        <w:t>T</w:t>
      </w:r>
      <w:r w:rsidR="00EA4DD8">
        <w:t xml:space="preserve">he </w:t>
      </w:r>
      <w:r w:rsidR="002A3BBA">
        <w:t xml:space="preserve">Amending </w:t>
      </w:r>
      <w:r w:rsidR="00EA4DD8">
        <w:t xml:space="preserve">Regulations </w:t>
      </w:r>
      <w:r w:rsidR="00EA4DD8" w:rsidRPr="00BF40E3">
        <w:t xml:space="preserve">commence the day after the instrument is registered </w:t>
      </w:r>
      <w:r w:rsidR="00EA4DD8">
        <w:t>on the Federal Register of Legislation.</w:t>
      </w:r>
    </w:p>
    <w:p w14:paraId="2E5A3F35" w14:textId="77777777" w:rsidR="00EA4DD8" w:rsidRDefault="00EA4DD8" w:rsidP="00EA4DD8">
      <w:pPr>
        <w:spacing w:before="240"/>
        <w:ind w:right="91"/>
        <w:rPr>
          <w:u w:val="single"/>
        </w:rPr>
      </w:pPr>
      <w:r>
        <w:rPr>
          <w:u w:val="single"/>
        </w:rPr>
        <w:t>Section 3 – Authority</w:t>
      </w:r>
    </w:p>
    <w:p w14:paraId="5737A03B" w14:textId="65E0332F" w:rsidR="00EA4DD8" w:rsidRDefault="00EA4DD8" w:rsidP="00EA4DD8">
      <w:pPr>
        <w:spacing w:before="240"/>
        <w:ind w:right="91"/>
      </w:pPr>
      <w:r>
        <w:t xml:space="preserve">The </w:t>
      </w:r>
      <w:r w:rsidR="00EB16BB">
        <w:t xml:space="preserve">Amending </w:t>
      </w:r>
      <w:r>
        <w:t xml:space="preserve">Regulations are made under the </w:t>
      </w:r>
      <w:r w:rsidR="00BF40E3">
        <w:t xml:space="preserve">Transitional </w:t>
      </w:r>
      <w:r>
        <w:t>Act.</w:t>
      </w:r>
    </w:p>
    <w:p w14:paraId="0C0AD852" w14:textId="77777777" w:rsidR="00EA4DD8" w:rsidRDefault="00EA4DD8" w:rsidP="00EA4DD8">
      <w:pPr>
        <w:spacing w:before="240"/>
        <w:ind w:right="91"/>
        <w:rPr>
          <w:u w:val="single"/>
        </w:rPr>
      </w:pPr>
      <w:r>
        <w:rPr>
          <w:u w:val="single"/>
        </w:rPr>
        <w:t>Section 4 – Schedule</w:t>
      </w:r>
    </w:p>
    <w:p w14:paraId="17196FF3"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5E86C8F" w14:textId="77777777" w:rsidR="00EA4DD8" w:rsidRPr="008422E5" w:rsidRDefault="00EA4DD8" w:rsidP="00BE05B6">
      <w:pPr>
        <w:spacing w:after="0"/>
        <w:ind w:right="91"/>
        <w:rPr>
          <w:color w:val="FF0000"/>
        </w:rPr>
      </w:pPr>
      <w:r>
        <w:rPr>
          <w:u w:val="single"/>
        </w:rPr>
        <w:t xml:space="preserve">Schedule 1 – Amendments </w:t>
      </w:r>
    </w:p>
    <w:p w14:paraId="74E0F2EA" w14:textId="08AC7152" w:rsidR="003E3FBC" w:rsidRDefault="00BD39E7" w:rsidP="00B516EC">
      <w:pPr>
        <w:pStyle w:val="base-text-paragraph"/>
        <w:tabs>
          <w:tab w:val="clear" w:pos="1987"/>
        </w:tabs>
        <w:spacing w:before="240" w:after="240"/>
        <w:ind w:left="0"/>
      </w:pPr>
      <w:r>
        <w:rPr>
          <w:bCs/>
          <w:color w:val="000000"/>
          <w:shd w:val="clear" w:color="auto" w:fill="FFFFFF"/>
        </w:rPr>
        <w:t xml:space="preserve">Item 1 of Schedule 1 to the </w:t>
      </w:r>
      <w:r w:rsidR="002A3BBA">
        <w:rPr>
          <w:bCs/>
          <w:color w:val="000000"/>
          <w:shd w:val="clear" w:color="auto" w:fill="FFFFFF"/>
        </w:rPr>
        <w:t xml:space="preserve">Amending </w:t>
      </w:r>
      <w:r>
        <w:rPr>
          <w:bCs/>
          <w:color w:val="000000"/>
          <w:shd w:val="clear" w:color="auto" w:fill="FFFFFF"/>
        </w:rPr>
        <w:t xml:space="preserve">Regulations </w:t>
      </w:r>
      <w:r w:rsidR="00BE05B6" w:rsidRPr="007C3BBA">
        <w:t>extend</w:t>
      </w:r>
      <w:r w:rsidR="002A3BBA">
        <w:t>s</w:t>
      </w:r>
      <w:r w:rsidR="00BE05B6" w:rsidRPr="007C3BBA">
        <w:t xml:space="preserve"> a </w:t>
      </w:r>
      <w:r w:rsidR="00BE05B6" w:rsidRPr="00D82AAE">
        <w:t xml:space="preserve">transitional concession </w:t>
      </w:r>
      <w:r w:rsidR="00BE05B6">
        <w:t xml:space="preserve">that </w:t>
      </w:r>
      <w:r w:rsidR="00BE05B6" w:rsidRPr="00D82AAE">
        <w:t xml:space="preserve">allows registered entities to </w:t>
      </w:r>
      <w:r w:rsidR="00BE05B6">
        <w:t>lodge</w:t>
      </w:r>
      <w:r w:rsidR="00BE05B6" w:rsidRPr="00D82AAE">
        <w:t xml:space="preserve"> </w:t>
      </w:r>
      <w:r w:rsidR="00BE05B6">
        <w:t xml:space="preserve">with the </w:t>
      </w:r>
      <w:r w:rsidR="00B00C18">
        <w:t>ACNC</w:t>
      </w:r>
      <w:r w:rsidR="00BE05B6">
        <w:t xml:space="preserve"> </w:t>
      </w:r>
      <w:r w:rsidR="00382C99">
        <w:t>statements, reports and other documents</w:t>
      </w:r>
      <w:r w:rsidR="00BE05B6" w:rsidRPr="00D82AAE">
        <w:t xml:space="preserve"> produced for an Australian government agency </w:t>
      </w:r>
      <w:r w:rsidR="00BE05B6">
        <w:t xml:space="preserve">and have the </w:t>
      </w:r>
      <w:r w:rsidR="002B7B30">
        <w:t xml:space="preserve">statements or </w:t>
      </w:r>
      <w:r w:rsidR="00BE05B6">
        <w:t>reports satisfy</w:t>
      </w:r>
      <w:r w:rsidR="00BE05B6" w:rsidRPr="00D82AAE">
        <w:t xml:space="preserve"> certain </w:t>
      </w:r>
      <w:r w:rsidR="00BE05B6" w:rsidRPr="0049410D">
        <w:rPr>
          <w:i/>
        </w:rPr>
        <w:t>Australian Charities and Not-for-profits Commission Act</w:t>
      </w:r>
      <w:r w:rsidR="00BE05B6">
        <w:rPr>
          <w:i/>
        </w:rPr>
        <w:t> </w:t>
      </w:r>
      <w:r w:rsidR="00BE05B6" w:rsidRPr="0049410D">
        <w:rPr>
          <w:i/>
        </w:rPr>
        <w:t>2012</w:t>
      </w:r>
      <w:r w:rsidR="00BE05B6">
        <w:t xml:space="preserve"> </w:t>
      </w:r>
      <w:r w:rsidR="00BE05B6" w:rsidRPr="00D82AAE">
        <w:t>reporting obligations</w:t>
      </w:r>
      <w:r w:rsidR="00BE05B6">
        <w:t xml:space="preserve">. The extension of the transitional reporting concession </w:t>
      </w:r>
      <w:r w:rsidR="00BE05B6" w:rsidRPr="007C3BBA">
        <w:t xml:space="preserve">provided by the Transitional Act </w:t>
      </w:r>
      <w:r w:rsidR="00BE05B6" w:rsidRPr="00C171FF">
        <w:t xml:space="preserve">applies </w:t>
      </w:r>
      <w:r w:rsidR="00BE05B6" w:rsidRPr="007C3BBA">
        <w:t xml:space="preserve">to the </w:t>
      </w:r>
      <w:r w:rsidR="00E91A13">
        <w:t>2019-20, 2020</w:t>
      </w:r>
      <w:r w:rsidR="00DA1757">
        <w:noBreakHyphen/>
      </w:r>
      <w:r w:rsidR="00E91A13">
        <w:t>21, 2021-22, 2022-23 and 2023</w:t>
      </w:r>
      <w:r w:rsidR="003E3FBC">
        <w:noBreakHyphen/>
      </w:r>
      <w:r w:rsidR="00E91A13">
        <w:t>24</w:t>
      </w:r>
      <w:r w:rsidR="00E91A13" w:rsidRPr="001A4559">
        <w:t xml:space="preserve"> </w:t>
      </w:r>
      <w:r w:rsidR="00BE05B6" w:rsidRPr="007C3BBA">
        <w:t xml:space="preserve">financial years </w:t>
      </w:r>
      <w:r w:rsidR="00BE05B6" w:rsidRPr="00065A67">
        <w:t>for the purposes of paragraph</w:t>
      </w:r>
      <w:r w:rsidR="00DA1757">
        <w:t> </w:t>
      </w:r>
      <w:r w:rsidR="00BE05B6" w:rsidRPr="007C3BBA">
        <w:t>10(4)(d) of Schedule 1 to the Transitional Act</w:t>
      </w:r>
      <w:r w:rsidR="003E3FBC" w:rsidRPr="007C3BBA">
        <w:t>.</w:t>
      </w:r>
    </w:p>
    <w:p w14:paraId="61C1D5C5" w14:textId="2CA351E6" w:rsidR="003E3FBC" w:rsidRPr="00FA3501" w:rsidRDefault="009124C2" w:rsidP="00BE05B6">
      <w:pPr>
        <w:pStyle w:val="base-text-paragraph"/>
        <w:tabs>
          <w:tab w:val="clear" w:pos="1987"/>
        </w:tabs>
        <w:ind w:left="0"/>
      </w:pPr>
      <w:r>
        <w:t>Although the Amending Regulations first apply to reporting that is otherwise required to be made for the 2019-20 financial year, they are wholly beneficial to affected entities. They also apply prospective</w:t>
      </w:r>
      <w:r w:rsidR="00F64FA6">
        <w:t>ly</w:t>
      </w:r>
      <w:r>
        <w:t xml:space="preserve"> as reports would not otherwise </w:t>
      </w:r>
      <w:r w:rsidR="00F64FA6">
        <w:t xml:space="preserve">first </w:t>
      </w:r>
      <w:r>
        <w:t xml:space="preserve">be due until after the end of the 2019-20 financial year. </w:t>
      </w:r>
    </w:p>
    <w:p w14:paraId="1A2B6789" w14:textId="77777777" w:rsidR="00EA4DD8" w:rsidRDefault="00EA4DD8" w:rsidP="00EA4DD8">
      <w:pPr>
        <w:spacing w:before="0" w:after="0"/>
        <w:rPr>
          <w:b/>
          <w:kern w:val="28"/>
        </w:rPr>
      </w:pPr>
      <w:r>
        <w:br w:type="page"/>
      </w:r>
    </w:p>
    <w:p w14:paraId="0E2FAC05" w14:textId="77777777" w:rsidR="007A55A7" w:rsidRDefault="007A55A7" w:rsidP="00013390">
      <w:pPr>
        <w:pageBreakBefore/>
        <w:spacing w:before="240"/>
        <w:jc w:val="right"/>
        <w:rPr>
          <w:b/>
          <w:u w:val="single"/>
        </w:rPr>
      </w:pPr>
      <w:r w:rsidRPr="007B335E">
        <w:rPr>
          <w:b/>
          <w:u w:val="single"/>
        </w:rPr>
        <w:lastRenderedPageBreak/>
        <w:t xml:space="preserve">ATTACHMENT </w:t>
      </w:r>
      <w:r w:rsidR="00E91A13">
        <w:rPr>
          <w:b/>
          <w:u w:val="single"/>
        </w:rPr>
        <w:t>B</w:t>
      </w:r>
    </w:p>
    <w:p w14:paraId="55E6F21A" w14:textId="77777777" w:rsidR="00E4438C" w:rsidRPr="00462095" w:rsidRDefault="00E4438C" w:rsidP="008D7554">
      <w:pPr>
        <w:pStyle w:val="Heading3"/>
        <w:jc w:val="center"/>
      </w:pPr>
      <w:r w:rsidRPr="00462095">
        <w:t>Statement of Compatibility with Human Rights</w:t>
      </w:r>
    </w:p>
    <w:p w14:paraId="17E2AD12"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E16509F" w14:textId="3A5D95BC" w:rsidR="00E4438C" w:rsidRPr="00647BB7" w:rsidRDefault="00E91A13" w:rsidP="003E1CE3">
      <w:pPr>
        <w:pStyle w:val="Heading3"/>
        <w:jc w:val="center"/>
      </w:pPr>
      <w:r>
        <w:t>Australian Charities and Not-for-profits Commission (Consequential and Transitional) Amendment (Reporting) Regulations 20</w:t>
      </w:r>
      <w:r w:rsidR="00C55955">
        <w:t>20</w:t>
      </w:r>
    </w:p>
    <w:p w14:paraId="691FCFBB"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4712F66" w14:textId="77777777" w:rsidR="00E4438C" w:rsidRPr="00647BB7" w:rsidRDefault="00E4438C" w:rsidP="003E1CE3">
      <w:pPr>
        <w:pStyle w:val="Heading3"/>
      </w:pPr>
      <w:r w:rsidRPr="00647BB7">
        <w:t>Overview of the Legislative Instrument</w:t>
      </w:r>
    </w:p>
    <w:p w14:paraId="05341634" w14:textId="546F5D2A" w:rsidR="00697D1B" w:rsidRPr="00647BB7" w:rsidRDefault="00697D1B" w:rsidP="00697D1B">
      <w:pPr>
        <w:spacing w:before="240"/>
      </w:pPr>
      <w:r>
        <w:t xml:space="preserve">The purpose of the </w:t>
      </w:r>
      <w:r w:rsidRPr="004F3C77">
        <w:rPr>
          <w:i/>
        </w:rPr>
        <w:t>Australian Charities and Not-for-profits Commission (Consequential a</w:t>
      </w:r>
      <w:r>
        <w:rPr>
          <w:i/>
        </w:rPr>
        <w:t>nd Transitional)</w:t>
      </w:r>
      <w:r w:rsidRPr="00DF1584">
        <w:rPr>
          <w:i/>
          <w:noProof/>
        </w:rPr>
        <w:t xml:space="preserve"> </w:t>
      </w:r>
      <w:r>
        <w:rPr>
          <w:i/>
          <w:noProof/>
        </w:rPr>
        <w:t>Amendment (Reporting)</w:t>
      </w:r>
      <w:r>
        <w:rPr>
          <w:i/>
        </w:rPr>
        <w:t xml:space="preserve"> Regulations 20</w:t>
      </w:r>
      <w:r w:rsidR="00C55955">
        <w:rPr>
          <w:i/>
        </w:rPr>
        <w:t>20</w:t>
      </w:r>
      <w:r>
        <w:t xml:space="preserve"> is to reduce the regulatory burden on entities registered with the </w:t>
      </w:r>
      <w:r w:rsidRPr="00051262">
        <w:t>Australian Charities and Not-for-profits Commission</w:t>
      </w:r>
      <w:r>
        <w:t>. It does this by extending a reporting concession provided by the</w:t>
      </w:r>
      <w:r w:rsidRPr="004F3C77">
        <w:rPr>
          <w:i/>
        </w:rPr>
        <w:t xml:space="preserve"> Australian Charities and Not-for-profits Commission (Consequential and Transitional) Act 2012</w:t>
      </w:r>
      <w:r>
        <w:t xml:space="preserve"> to the </w:t>
      </w:r>
      <w:r w:rsidR="00C03F97">
        <w:t>2019-20, 2020-21, 2021-22, 2022-23 and 2023-</w:t>
      </w:r>
      <w:r w:rsidR="00B4067B">
        <w:t>24</w:t>
      </w:r>
      <w:r w:rsidR="00B4067B" w:rsidRPr="001A4559">
        <w:t xml:space="preserve"> financial</w:t>
      </w:r>
      <w:r w:rsidRPr="001A4559">
        <w:t xml:space="preserve"> years.</w:t>
      </w:r>
    </w:p>
    <w:p w14:paraId="3A447A92" w14:textId="77777777" w:rsidR="00E4438C" w:rsidRPr="00647BB7" w:rsidRDefault="00E4438C" w:rsidP="003E1CE3">
      <w:pPr>
        <w:pStyle w:val="Heading3"/>
      </w:pPr>
      <w:r w:rsidRPr="00647BB7">
        <w:t>Human rights implications</w:t>
      </w:r>
    </w:p>
    <w:p w14:paraId="701EF6EC" w14:textId="77777777" w:rsidR="00E4438C" w:rsidRPr="00647BB7" w:rsidRDefault="00E4438C" w:rsidP="00647BB7">
      <w:pPr>
        <w:spacing w:before="240"/>
      </w:pPr>
      <w:r w:rsidRPr="00647BB7">
        <w:t>This Legislative Instrument does not engage any of the applicable rights or freedoms.</w:t>
      </w:r>
    </w:p>
    <w:p w14:paraId="6EF3AB4D" w14:textId="77777777" w:rsidR="00E4438C" w:rsidRPr="00647BB7" w:rsidRDefault="00E4438C" w:rsidP="003E1CE3">
      <w:pPr>
        <w:pStyle w:val="Heading3"/>
      </w:pPr>
      <w:r w:rsidRPr="00647BB7">
        <w:t>Conclusion</w:t>
      </w:r>
    </w:p>
    <w:p w14:paraId="14FF94A6" w14:textId="77777777" w:rsidR="00482B81" w:rsidRDefault="00E4438C" w:rsidP="00647BB7">
      <w:pPr>
        <w:spacing w:before="240"/>
      </w:pPr>
      <w:r w:rsidRPr="00647BB7">
        <w:t>This Legislative Instrument is compatible with human rights as it does not raise any human rights issues.</w:t>
      </w:r>
    </w:p>
    <w:p w14:paraId="2BF65888"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29E36" w14:textId="77777777" w:rsidR="00843D98" w:rsidRDefault="00843D98" w:rsidP="00954679">
      <w:pPr>
        <w:spacing w:before="0" w:after="0"/>
      </w:pPr>
      <w:r>
        <w:separator/>
      </w:r>
    </w:p>
  </w:endnote>
  <w:endnote w:type="continuationSeparator" w:id="0">
    <w:p w14:paraId="13628A72" w14:textId="77777777" w:rsidR="00843D98" w:rsidRDefault="00843D98" w:rsidP="00954679">
      <w:pPr>
        <w:spacing w:before="0" w:after="0"/>
      </w:pPr>
      <w:r>
        <w:continuationSeparator/>
      </w:r>
    </w:p>
  </w:endnote>
  <w:endnote w:type="continuationNotice" w:id="1">
    <w:p w14:paraId="420E4E02" w14:textId="77777777" w:rsidR="00F74B59" w:rsidRDefault="00F74B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D39DEC6" w14:textId="619264BA" w:rsidR="00843D98" w:rsidRDefault="00843D9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378AA">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378AA">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B939" w14:textId="77777777" w:rsidR="00843D98" w:rsidRDefault="00843D98" w:rsidP="00954679">
      <w:pPr>
        <w:spacing w:before="0" w:after="0"/>
      </w:pPr>
      <w:r>
        <w:separator/>
      </w:r>
    </w:p>
  </w:footnote>
  <w:footnote w:type="continuationSeparator" w:id="0">
    <w:p w14:paraId="6C210CA2" w14:textId="77777777" w:rsidR="00843D98" w:rsidRDefault="00843D98" w:rsidP="00954679">
      <w:pPr>
        <w:spacing w:before="0" w:after="0"/>
      </w:pPr>
      <w:r>
        <w:continuationSeparator/>
      </w:r>
    </w:p>
  </w:footnote>
  <w:footnote w:type="continuationNotice" w:id="1">
    <w:p w14:paraId="57BDA8CF" w14:textId="77777777" w:rsidR="00F74B59" w:rsidRDefault="00F74B5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F7"/>
    <w:rsid w:val="00013390"/>
    <w:rsid w:val="00016EA2"/>
    <w:rsid w:val="00066E7B"/>
    <w:rsid w:val="00076178"/>
    <w:rsid w:val="00095211"/>
    <w:rsid w:val="000B39A1"/>
    <w:rsid w:val="000C10DF"/>
    <w:rsid w:val="000C6935"/>
    <w:rsid w:val="000F528F"/>
    <w:rsid w:val="0010388E"/>
    <w:rsid w:val="00113B45"/>
    <w:rsid w:val="001B7535"/>
    <w:rsid w:val="001E6A74"/>
    <w:rsid w:val="001F41D0"/>
    <w:rsid w:val="00220F16"/>
    <w:rsid w:val="00230FF4"/>
    <w:rsid w:val="00246948"/>
    <w:rsid w:val="00254C5B"/>
    <w:rsid w:val="002A3BBA"/>
    <w:rsid w:val="002A7E1F"/>
    <w:rsid w:val="002B7B30"/>
    <w:rsid w:val="002C226C"/>
    <w:rsid w:val="003041FA"/>
    <w:rsid w:val="003171BD"/>
    <w:rsid w:val="003342CD"/>
    <w:rsid w:val="00335042"/>
    <w:rsid w:val="00362B70"/>
    <w:rsid w:val="00382C99"/>
    <w:rsid w:val="00392BBA"/>
    <w:rsid w:val="003954FD"/>
    <w:rsid w:val="003C7907"/>
    <w:rsid w:val="003D60D7"/>
    <w:rsid w:val="003E1CE3"/>
    <w:rsid w:val="003E3FBC"/>
    <w:rsid w:val="00462095"/>
    <w:rsid w:val="00482B81"/>
    <w:rsid w:val="00482D4C"/>
    <w:rsid w:val="004B0476"/>
    <w:rsid w:val="004B2941"/>
    <w:rsid w:val="004B3C0F"/>
    <w:rsid w:val="004C05E4"/>
    <w:rsid w:val="004E39E1"/>
    <w:rsid w:val="004F56D0"/>
    <w:rsid w:val="00503E44"/>
    <w:rsid w:val="00515283"/>
    <w:rsid w:val="00533926"/>
    <w:rsid w:val="0055675D"/>
    <w:rsid w:val="00566E8F"/>
    <w:rsid w:val="0057422E"/>
    <w:rsid w:val="005833BE"/>
    <w:rsid w:val="005D7D5A"/>
    <w:rsid w:val="005E4BAC"/>
    <w:rsid w:val="0060130D"/>
    <w:rsid w:val="0064129F"/>
    <w:rsid w:val="00647BB7"/>
    <w:rsid w:val="00680297"/>
    <w:rsid w:val="006873CE"/>
    <w:rsid w:val="00697D1B"/>
    <w:rsid w:val="006A0786"/>
    <w:rsid w:val="00710E94"/>
    <w:rsid w:val="00727D8A"/>
    <w:rsid w:val="00731FEA"/>
    <w:rsid w:val="00736F61"/>
    <w:rsid w:val="00742253"/>
    <w:rsid w:val="00763B6F"/>
    <w:rsid w:val="007662C7"/>
    <w:rsid w:val="00776306"/>
    <w:rsid w:val="007A55A7"/>
    <w:rsid w:val="007B1F10"/>
    <w:rsid w:val="007B335E"/>
    <w:rsid w:val="007E018D"/>
    <w:rsid w:val="007F1B71"/>
    <w:rsid w:val="00807E7D"/>
    <w:rsid w:val="00831675"/>
    <w:rsid w:val="00843D98"/>
    <w:rsid w:val="0088467C"/>
    <w:rsid w:val="00894579"/>
    <w:rsid w:val="008A5B67"/>
    <w:rsid w:val="008D16F7"/>
    <w:rsid w:val="008D7554"/>
    <w:rsid w:val="008E1427"/>
    <w:rsid w:val="008F3447"/>
    <w:rsid w:val="009124C2"/>
    <w:rsid w:val="009143A0"/>
    <w:rsid w:val="00936902"/>
    <w:rsid w:val="00954679"/>
    <w:rsid w:val="009557B6"/>
    <w:rsid w:val="009C6A1E"/>
    <w:rsid w:val="009E2F86"/>
    <w:rsid w:val="009F6FF7"/>
    <w:rsid w:val="00A12209"/>
    <w:rsid w:val="00A20895"/>
    <w:rsid w:val="00A36DF3"/>
    <w:rsid w:val="00A532DD"/>
    <w:rsid w:val="00A80BCF"/>
    <w:rsid w:val="00A8369C"/>
    <w:rsid w:val="00AA1689"/>
    <w:rsid w:val="00AA5770"/>
    <w:rsid w:val="00AC1D15"/>
    <w:rsid w:val="00AF0D06"/>
    <w:rsid w:val="00B00C18"/>
    <w:rsid w:val="00B07B0C"/>
    <w:rsid w:val="00B25563"/>
    <w:rsid w:val="00B26D48"/>
    <w:rsid w:val="00B4067B"/>
    <w:rsid w:val="00B42EE1"/>
    <w:rsid w:val="00B516EC"/>
    <w:rsid w:val="00B8293D"/>
    <w:rsid w:val="00B92478"/>
    <w:rsid w:val="00BA6188"/>
    <w:rsid w:val="00BD39E7"/>
    <w:rsid w:val="00BD61A2"/>
    <w:rsid w:val="00BE05B6"/>
    <w:rsid w:val="00BE484D"/>
    <w:rsid w:val="00BF40E3"/>
    <w:rsid w:val="00C03F97"/>
    <w:rsid w:val="00C37E05"/>
    <w:rsid w:val="00C55955"/>
    <w:rsid w:val="00C55D29"/>
    <w:rsid w:val="00C849B7"/>
    <w:rsid w:val="00CA0BE9"/>
    <w:rsid w:val="00CA138D"/>
    <w:rsid w:val="00CC7641"/>
    <w:rsid w:val="00CE2CD5"/>
    <w:rsid w:val="00D13794"/>
    <w:rsid w:val="00D24052"/>
    <w:rsid w:val="00D24386"/>
    <w:rsid w:val="00D31575"/>
    <w:rsid w:val="00D34626"/>
    <w:rsid w:val="00D34FB4"/>
    <w:rsid w:val="00D4257A"/>
    <w:rsid w:val="00D476E3"/>
    <w:rsid w:val="00D62665"/>
    <w:rsid w:val="00D82E47"/>
    <w:rsid w:val="00DA1757"/>
    <w:rsid w:val="00DC0CDE"/>
    <w:rsid w:val="00DC4D72"/>
    <w:rsid w:val="00E0624D"/>
    <w:rsid w:val="00E4438C"/>
    <w:rsid w:val="00E457F3"/>
    <w:rsid w:val="00E91A13"/>
    <w:rsid w:val="00EA4DD8"/>
    <w:rsid w:val="00EB16BB"/>
    <w:rsid w:val="00EB2AEF"/>
    <w:rsid w:val="00EB7E71"/>
    <w:rsid w:val="00F109D4"/>
    <w:rsid w:val="00F15EE9"/>
    <w:rsid w:val="00F378AA"/>
    <w:rsid w:val="00F47585"/>
    <w:rsid w:val="00F541B0"/>
    <w:rsid w:val="00F64FA6"/>
    <w:rsid w:val="00F74B59"/>
    <w:rsid w:val="00F80BEF"/>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384E6"/>
  <w15:docId w15:val="{AF72FEF3-0595-4677-ABE2-D00BD39F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7E"/>
    <w:rsid w:val="00C52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0B40EDE7744305BE0C60F52F5EBA6E">
    <w:name w:val="D20B40EDE7744305BE0C60F52F5EBA6E"/>
  </w:style>
  <w:style w:type="paragraph" w:customStyle="1" w:styleId="E3BF95412933460CAF355323F5DD19D9">
    <w:name w:val="E3BF95412933460CAF355323F5DD19D9"/>
  </w:style>
  <w:style w:type="paragraph" w:customStyle="1" w:styleId="C7FE59694C934DADAEB9F4FAF0037558">
    <w:name w:val="C7FE59694C934DADAEB9F4FAF0037558"/>
  </w:style>
  <w:style w:type="paragraph" w:customStyle="1" w:styleId="1B7B4C4DDDE144BF8E9279658B60A4DD">
    <w:name w:val="1B7B4C4DDDE144BF8E9279658B60A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2020RG-111-13194</_dlc_DocId>
    <_dlc_DocIdUrl xmlns="0f563589-9cf9-4143-b1eb-fb0534803d38">
      <Url>http://tweb/sites/rg/_layouts/DocIdRedir.aspx?ID=2020RG-111-13194</Url>
      <Description>2020RG-111-13194</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6232" ma:contentTypeDescription=" " ma:contentTypeScope="" ma:versionID="4786267383e695c4a35ff5d961bb745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schemas.microsoft.com/sharepoint/v4"/>
    <ds:schemaRef ds:uri="http://purl.org/dc/terms/"/>
    <ds:schemaRef ds:uri="http://schemas.microsoft.com/office/2006/documentManagement/types"/>
    <ds:schemaRef ds:uri="0f563589-9cf9-4143-b1eb-fb0534803d38"/>
    <ds:schemaRef ds:uri="http://purl.org/dc/elements/1.1/"/>
    <ds:schemaRef ds:uri="http://schemas.microsoft.com/office/infopath/2007/PartnerControls"/>
    <ds:schemaRef ds:uri="http://purl.org/dc/dcmitype/"/>
    <ds:schemaRef ds:uri="http://schemas.openxmlformats.org/package/2006/metadata/core-properties"/>
    <ds:schemaRef ds:uri="9f7bc583-7cbe-45b9-a2bd-8bbb6543b37e"/>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EB0B7C-D6C3-4341-93A9-7651A1661A67}">
  <ds:schemaRefs>
    <ds:schemaRef ds:uri="http://schemas.microsoft.com/sharepoint/events"/>
  </ds:schemaRefs>
</ds:datastoreItem>
</file>

<file path=customXml/itemProps5.xml><?xml version="1.0" encoding="utf-8"?>
<ds:datastoreItem xmlns:ds="http://schemas.openxmlformats.org/officeDocument/2006/customXml" ds:itemID="{FF8F6D52-7951-4135-8609-1CCCAEE7814A}"/>
</file>

<file path=customXml/itemProps6.xml><?xml version="1.0" encoding="utf-8"?>
<ds:datastoreItem xmlns:ds="http://schemas.openxmlformats.org/officeDocument/2006/customXml" ds:itemID="{6CD21552-286A-4B14-AC86-5C73B090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21</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Rizalar, Suna</dc:creator>
  <cp:lastModifiedBy>Anderson, Roslyn</cp:lastModifiedBy>
  <cp:revision>3</cp:revision>
  <cp:lastPrinted>2019-02-17T23:23:00Z</cp:lastPrinted>
  <dcterms:created xsi:type="dcterms:W3CDTF">2020-01-08T00:47:00Z</dcterms:created>
  <dcterms:modified xsi:type="dcterms:W3CDTF">2020-01-08T04:37:00Z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-1261299385</vt:i4>
  </property>
  <property fmtid="{D5CDD505-2E9C-101B-9397-08002B2CF9AE}" pid="3" name="_NewReviewCycle">
    <vt:lpwstr/>
  </property>
  <property fmtid="{D5CDD505-2E9C-101B-9397-08002B2CF9AE}" pid="4" name="_EmailSubject">
    <vt:lpwstr>EM ES FRI and EXCMP - ACNC transitional reporting extension [DLM=Sensitive:Legal]</vt:lpwstr>
  </property>
  <property fmtid="{D5CDD505-2E9C-101B-9397-08002B2CF9AE}" pid="5" name="_AuthorEmail">
    <vt:lpwstr>Phil.Bignell@TREASURY.GOV.AU</vt:lpwstr>
  </property>
  <property fmtid="{D5CDD505-2E9C-101B-9397-08002B2CF9AE}" pid="6" name="_AuthorEmailDisplayName">
    <vt:lpwstr>Bignell, Phil</vt:lpwstr>
  </property>
  <property fmtid="{D5CDD505-2E9C-101B-9397-08002B2CF9AE}" pid="7" name="ContentTypeId">
    <vt:lpwstr>0x01010036BB8DE7EC542E42A8B2E98CC20CB69700D5C18F41BA18FB44827A222ACD6776F5</vt:lpwstr>
  </property>
  <property fmtid="{D5CDD505-2E9C-101B-9397-08002B2CF9AE}" pid="8" name="_PreviousAdHocReviewCycleID">
    <vt:i4>-1533705720</vt:i4>
  </property>
  <property fmtid="{D5CDD505-2E9C-101B-9397-08002B2CF9AE}" pid="9" name="TSYRecordClass">
    <vt:lpwstr>11;#TSY RA-9237 - Destroy 5 years after action completed|9f1a030e-81bf-44c5-98eb-4d5d869a40d5</vt:lpwstr>
  </property>
  <property fmtid="{D5CDD505-2E9C-101B-9397-08002B2CF9AE}" pid="10" name="_dlc_DocIdItemGuid">
    <vt:lpwstr>43c3ca53-8d70-453e-a5f9-68c76a816859</vt:lpwstr>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ActiveItemUniqueId">
    <vt:lpwstr>{43c3ca53-8d70-453e-a5f9-68c76a816859}</vt:lpwstr>
  </property>
  <property fmtid="{D5CDD505-2E9C-101B-9397-08002B2CF9AE}" pid="16" name="RecordPoint_SubmissionDate">
    <vt:lpwstr/>
  </property>
  <property fmtid="{D5CDD505-2E9C-101B-9397-08002B2CF9AE}" pid="17" name="RecordPoint_RecordNumberSubmitted">
    <vt:lpwstr>R0002189875</vt:lpwstr>
  </property>
  <property fmtid="{D5CDD505-2E9C-101B-9397-08002B2CF9AE}" pid="18" name="RecordPoint_ActiveItemMoved">
    <vt:lpwstr>973943B0C2302D0780793FC8A3C441D2</vt:lpwstr>
  </property>
  <property fmtid="{D5CDD505-2E9C-101B-9397-08002B2CF9AE}" pid="19" name="RecordPoint_RecordFormat">
    <vt:lpwstr/>
  </property>
  <property fmtid="{D5CDD505-2E9C-101B-9397-08002B2CF9AE}" pid="20" name="RecordPoint_SubmissionCompleted">
    <vt:lpwstr>2020-01-31T09:48:55.5018145+11:00</vt:lpwstr>
  </property>
  <property fmtid="{D5CDD505-2E9C-101B-9397-08002B2CF9AE}" pid="21" name="_ReviewingToolsShownOnce">
    <vt:lpwstr/>
  </property>
  <property fmtid="{D5CDD505-2E9C-101B-9397-08002B2CF9AE}" pid="22" name="KWizComPasteSourceItemData">
    <vt:lpwstr>http://tweb/sites/rg/ldp/lmu|1a010be9-83b3-4740-abb7-452f2d1120fe|13194|DELETED</vt:lpwstr>
  </property>
  <property fmtid="{D5CDD505-2E9C-101B-9397-08002B2CF9AE}" pid="23" name="KWizComPasteProgress">
    <vt:lpwstr/>
  </property>
  <property fmtid="{D5CDD505-2E9C-101B-9397-08002B2CF9AE}" pid="25" name="_dlc_DocIdPersistID ">
    <vt:lpwstr>0</vt:lpwstr>
  </property>
  <property fmtid="{D5CDD505-2E9C-101B-9397-08002B2CF9AE}" pid="26" name="_dlc_DocIdPersistID">
    <vt:lpwstr>0</vt:lpwstr>
  </property>
</Properties>
</file>