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FC1E4" w14:textId="77777777" w:rsidR="00084CC4" w:rsidRPr="005F09F7" w:rsidRDefault="00084CC4" w:rsidP="00084CC4">
      <w:pPr>
        <w:pStyle w:val="Title"/>
      </w:pPr>
      <w:bookmarkStart w:id="0" w:name="_GoBack"/>
      <w:bookmarkEnd w:id="0"/>
      <w:r w:rsidRPr="00727908">
        <w:t>EXPLANATORY STATEMENT</w:t>
      </w:r>
    </w:p>
    <w:p w14:paraId="133E38E6" w14:textId="77777777" w:rsidR="00084CC4" w:rsidRPr="005F09F7" w:rsidRDefault="00084CC4" w:rsidP="00084CC4">
      <w:pPr>
        <w:pStyle w:val="Subtitle"/>
      </w:pPr>
      <w:r w:rsidRPr="001D2EB8">
        <w:t>Competition and Consumer Act 2010</w:t>
      </w:r>
    </w:p>
    <w:p w14:paraId="551986C7" w14:textId="3362F906" w:rsidR="00084CC4" w:rsidRPr="001D2EB8" w:rsidRDefault="00084CC4" w:rsidP="00084CC4">
      <w:pPr>
        <w:pStyle w:val="Subtitle"/>
      </w:pPr>
      <w:r w:rsidRPr="001D2EB8">
        <w:t xml:space="preserve">Competition and Consumer </w:t>
      </w:r>
      <w:r w:rsidR="00AD514C">
        <w:t xml:space="preserve">Legislation Amendment </w:t>
      </w:r>
      <w:r w:rsidRPr="001D2EB8">
        <w:t>(Electricity Retail) Regulations</w:t>
      </w:r>
      <w:r>
        <w:t xml:space="preserve"> </w:t>
      </w:r>
      <w:r w:rsidRPr="00C808D9">
        <w:t>20</w:t>
      </w:r>
      <w:r w:rsidR="004F6109">
        <w:t>20</w:t>
      </w:r>
    </w:p>
    <w:p w14:paraId="4F54551C" w14:textId="77777777" w:rsidR="00084CC4" w:rsidRPr="00893243" w:rsidRDefault="00084CC4" w:rsidP="00084CC4">
      <w:pPr>
        <w:pStyle w:val="Sub-subtitle"/>
        <w:rPr>
          <w:sz w:val="24"/>
        </w:rPr>
      </w:pPr>
      <w:r w:rsidRPr="00893243">
        <w:rPr>
          <w:sz w:val="24"/>
        </w:rPr>
        <w:t>(Issued by the authority of the Minister for Energy</w:t>
      </w:r>
      <w:r w:rsidR="00AD514C" w:rsidRPr="00893243">
        <w:rPr>
          <w:sz w:val="24"/>
        </w:rPr>
        <w:t xml:space="preserve"> and Emissions Reduction</w:t>
      </w:r>
      <w:r w:rsidRPr="00893243">
        <w:rPr>
          <w:sz w:val="24"/>
        </w:rPr>
        <w:t>)</w:t>
      </w:r>
    </w:p>
    <w:p w14:paraId="715204B0" w14:textId="77777777" w:rsidR="00084CC4" w:rsidRDefault="00084CC4" w:rsidP="00084CC4">
      <w:pPr>
        <w:pStyle w:val="Heading1"/>
      </w:pPr>
      <w:r>
        <w:t>Purpose and o</w:t>
      </w:r>
      <w:r w:rsidRPr="000D0E22">
        <w:t>peration</w:t>
      </w:r>
    </w:p>
    <w:p w14:paraId="0EBA51EF" w14:textId="76F83251" w:rsidR="002E4CAF" w:rsidRDefault="00084CC4" w:rsidP="00084CC4">
      <w:pPr>
        <w:spacing w:before="120"/>
      </w:pPr>
      <w:r w:rsidRPr="00EB638E">
        <w:t xml:space="preserve">The </w:t>
      </w:r>
      <w:r w:rsidR="00AD514C">
        <w:rPr>
          <w:i/>
        </w:rPr>
        <w:t>Competition and Consumer Legislation Amendment (Electricity Retail) Regulations 20</w:t>
      </w:r>
      <w:r w:rsidR="004F6109">
        <w:rPr>
          <w:i/>
        </w:rPr>
        <w:t>20</w:t>
      </w:r>
      <w:r w:rsidR="00AD514C">
        <w:rPr>
          <w:i/>
        </w:rPr>
        <w:t xml:space="preserve"> </w:t>
      </w:r>
      <w:r w:rsidR="00AD514C">
        <w:t>(the Regulations)</w:t>
      </w:r>
      <w:r w:rsidR="002E4CAF">
        <w:t>:</w:t>
      </w:r>
    </w:p>
    <w:p w14:paraId="31A9CD64" w14:textId="4A53CB79" w:rsidR="002E4CAF" w:rsidRDefault="00515AC7" w:rsidP="002E4CAF">
      <w:pPr>
        <w:pStyle w:val="ListBullet"/>
      </w:pPr>
      <w:r>
        <w:t>extend</w:t>
      </w:r>
      <w:r w:rsidR="00AD514C">
        <w:t xml:space="preserve"> the electricity </w:t>
      </w:r>
      <w:r w:rsidR="00DF3D3C">
        <w:t xml:space="preserve">retail code of </w:t>
      </w:r>
      <w:r>
        <w:t xml:space="preserve">conduct </w:t>
      </w:r>
      <w:r w:rsidR="00AD514C">
        <w:t xml:space="preserve">to </w:t>
      </w:r>
      <w:r>
        <w:t>small customers with solar photovoltaic (PV) systems</w:t>
      </w:r>
      <w:r w:rsidR="000E5392">
        <w:t>,</w:t>
      </w:r>
      <w:r>
        <w:t xml:space="preserve"> the cap on standing offer prices </w:t>
      </w:r>
      <w:r w:rsidR="00AD514C">
        <w:t xml:space="preserve">to </w:t>
      </w:r>
      <w:r w:rsidR="00E70907">
        <w:t xml:space="preserve">residential customers on </w:t>
      </w:r>
      <w:r w:rsidR="00AD514C">
        <w:t>flexible tariffs</w:t>
      </w:r>
      <w:r w:rsidR="00E70907">
        <w:t>,</w:t>
      </w:r>
      <w:r w:rsidR="00DF3D3C">
        <w:t xml:space="preserve"> </w:t>
      </w:r>
      <w:r w:rsidR="000E5392">
        <w:t xml:space="preserve">and the reference price comparison obligation to </w:t>
      </w:r>
      <w:r w:rsidR="00574806">
        <w:t>price variation notices</w:t>
      </w:r>
      <w:r w:rsidR="000E5392">
        <w:t xml:space="preserve"> </w:t>
      </w:r>
    </w:p>
    <w:p w14:paraId="4FE21A8E" w14:textId="388B389A" w:rsidR="002E4CAF" w:rsidRDefault="00DF3D3C" w:rsidP="002E4CAF">
      <w:pPr>
        <w:pStyle w:val="ListBullet"/>
      </w:pPr>
      <w:r>
        <w:t>impose new record-keeping requirement</w:t>
      </w:r>
      <w:r w:rsidR="00515AC7">
        <w:t>s</w:t>
      </w:r>
      <w:r>
        <w:t xml:space="preserve"> on </w:t>
      </w:r>
      <w:r w:rsidR="00484855">
        <w:t xml:space="preserve">electricity </w:t>
      </w:r>
      <w:r>
        <w:t>retailers</w:t>
      </w:r>
      <w:r w:rsidR="002E4CAF">
        <w:t xml:space="preserve"> and</w:t>
      </w:r>
    </w:p>
    <w:p w14:paraId="728AB4E4" w14:textId="2B702EBC" w:rsidR="00084CC4" w:rsidRDefault="00DF3D3C" w:rsidP="002E4CAF">
      <w:pPr>
        <w:pStyle w:val="ListBullet"/>
      </w:pPr>
      <w:r>
        <w:t>make other technical amendments to clarify the operation of the code</w:t>
      </w:r>
      <w:r w:rsidR="00084CC4">
        <w:t>.</w:t>
      </w:r>
      <w:r>
        <w:t xml:space="preserve"> </w:t>
      </w:r>
    </w:p>
    <w:p w14:paraId="4E4A90D4" w14:textId="00AA1381" w:rsidR="00762D3F" w:rsidRPr="000900EB" w:rsidRDefault="00762D3F" w:rsidP="00084CC4">
      <w:pPr>
        <w:spacing w:before="120"/>
      </w:pPr>
      <w:r>
        <w:t xml:space="preserve">The Regulations also </w:t>
      </w:r>
      <w:r w:rsidR="001A5DC4">
        <w:t xml:space="preserve">contain amendments that are consequential to the </w:t>
      </w:r>
      <w:r w:rsidR="00E90F55">
        <w:t xml:space="preserve">commencement </w:t>
      </w:r>
      <w:r w:rsidR="001A5DC4">
        <w:t xml:space="preserve">of Schedule 2 to the </w:t>
      </w:r>
      <w:r w:rsidR="001A5DC4">
        <w:rPr>
          <w:i/>
        </w:rPr>
        <w:t xml:space="preserve">Treasury Laws Amendment (Prohibiting Energy Market Misconduct) </w:t>
      </w:r>
      <w:r w:rsidR="004F6109">
        <w:rPr>
          <w:i/>
        </w:rPr>
        <w:t xml:space="preserve">Act </w:t>
      </w:r>
      <w:r w:rsidR="001A5DC4">
        <w:rPr>
          <w:i/>
        </w:rPr>
        <w:t>2019</w:t>
      </w:r>
      <w:r w:rsidR="000218E9">
        <w:rPr>
          <w:i/>
        </w:rPr>
        <w:t xml:space="preserve"> </w:t>
      </w:r>
      <w:r w:rsidR="000218E9">
        <w:t xml:space="preserve">(PEMM </w:t>
      </w:r>
      <w:r w:rsidR="004F6109">
        <w:t>Act</w:t>
      </w:r>
      <w:r w:rsidR="000218E9">
        <w:t>)</w:t>
      </w:r>
      <w:r w:rsidR="000900EB">
        <w:rPr>
          <w:rFonts w:cs="Times New Roman"/>
          <w:szCs w:val="24"/>
        </w:rPr>
        <w:t>.</w:t>
      </w:r>
    </w:p>
    <w:p w14:paraId="1DA2F48D" w14:textId="77777777" w:rsidR="00084CC4" w:rsidRDefault="00084CC4" w:rsidP="00084CC4">
      <w:pPr>
        <w:pStyle w:val="Heading1"/>
      </w:pPr>
      <w:r>
        <w:t>Background</w:t>
      </w:r>
    </w:p>
    <w:p w14:paraId="0F8C8F68" w14:textId="13453DA1" w:rsidR="00515ABF" w:rsidRDefault="00515ABF" w:rsidP="00084CC4">
      <w:pPr>
        <w:spacing w:before="120"/>
      </w:pPr>
      <w:r>
        <w:t>The electricity retail code of conduct</w:t>
      </w:r>
      <w:r w:rsidR="006C3C42">
        <w:t xml:space="preserve"> (the code) </w:t>
      </w:r>
      <w:r w:rsidR="000E5392">
        <w:t xml:space="preserve">is set out in Part 2 of the </w:t>
      </w:r>
      <w:r w:rsidR="000E5392" w:rsidRPr="00762D3F">
        <w:rPr>
          <w:i/>
          <w:szCs w:val="24"/>
        </w:rPr>
        <w:t xml:space="preserve">Competition and Consumer (Industry Code - </w:t>
      </w:r>
      <w:r w:rsidR="000E5392" w:rsidRPr="00762D3F">
        <w:rPr>
          <w:i/>
        </w:rPr>
        <w:t>Electricity Retail) Regulations 2019</w:t>
      </w:r>
      <w:r w:rsidR="000E5392">
        <w:rPr>
          <w:i/>
        </w:rPr>
        <w:t xml:space="preserve"> </w:t>
      </w:r>
      <w:r w:rsidR="000E5392">
        <w:t>(the Industry Code Regulations). The code</w:t>
      </w:r>
      <w:r>
        <w:t>:</w:t>
      </w:r>
    </w:p>
    <w:p w14:paraId="1E663584" w14:textId="17BAFEA1" w:rsidR="00515ABF" w:rsidRDefault="00515ABF" w:rsidP="00515ABF">
      <w:pPr>
        <w:pStyle w:val="ListBullet"/>
      </w:pPr>
      <w:r>
        <w:t xml:space="preserve">caps standing offer prices for </w:t>
      </w:r>
      <w:r w:rsidR="001A43F7">
        <w:t xml:space="preserve">small customers </w:t>
      </w:r>
      <w:r w:rsidR="00BA7D75">
        <w:t>(</w:t>
      </w:r>
      <w:r>
        <w:t xml:space="preserve">other than those with </w:t>
      </w:r>
      <w:r w:rsidR="00397D49">
        <w:t xml:space="preserve">a </w:t>
      </w:r>
      <w:r>
        <w:t>PV system</w:t>
      </w:r>
      <w:r w:rsidR="00397D49">
        <w:t>,</w:t>
      </w:r>
      <w:r>
        <w:t xml:space="preserve"> who </w:t>
      </w:r>
      <w:r w:rsidR="00397D49">
        <w:t>are on</w:t>
      </w:r>
      <w:r>
        <w:t xml:space="preserve"> a </w:t>
      </w:r>
      <w:r w:rsidR="00397D49">
        <w:t>flexible</w:t>
      </w:r>
      <w:r w:rsidR="001A43F7">
        <w:t>,</w:t>
      </w:r>
      <w:r w:rsidR="00397D49">
        <w:t xml:space="preserve"> </w:t>
      </w:r>
      <w:r>
        <w:t xml:space="preserve">demand </w:t>
      </w:r>
      <w:r w:rsidR="001A43F7">
        <w:t xml:space="preserve">or, in the case of small business customers, controlled load </w:t>
      </w:r>
      <w:r>
        <w:t xml:space="preserve">tariff </w:t>
      </w:r>
      <w:r w:rsidR="00397D49">
        <w:t xml:space="preserve">or </w:t>
      </w:r>
      <w:r w:rsidR="001A43F7">
        <w:t xml:space="preserve">who are </w:t>
      </w:r>
      <w:r>
        <w:t>supplied through a prepayment meter or an embedded network</w:t>
      </w:r>
      <w:r w:rsidR="00BA7D75">
        <w:t>)</w:t>
      </w:r>
    </w:p>
    <w:p w14:paraId="29135C89" w14:textId="72F084BB" w:rsidR="00397D49" w:rsidRDefault="00397D49" w:rsidP="00515ABF">
      <w:pPr>
        <w:pStyle w:val="ListBullet"/>
      </w:pPr>
      <w:r>
        <w:t xml:space="preserve">requires electricity retailers to compare </w:t>
      </w:r>
      <w:r w:rsidR="002E4CAF">
        <w:t xml:space="preserve">their </w:t>
      </w:r>
      <w:r>
        <w:t xml:space="preserve">prices for </w:t>
      </w:r>
      <w:r w:rsidR="003841C8">
        <w:t>small</w:t>
      </w:r>
      <w:r>
        <w:t xml:space="preserve"> customers with </w:t>
      </w:r>
      <w:r w:rsidR="002E4CAF">
        <w:t>the</w:t>
      </w:r>
      <w:r w:rsidR="007A5459">
        <w:t xml:space="preserve"> relevant</w:t>
      </w:r>
      <w:r>
        <w:t xml:space="preserve"> reference price determined by the Australian Energy Regulator (AER)</w:t>
      </w:r>
      <w:r w:rsidR="003E794F">
        <w:t xml:space="preserve"> and</w:t>
      </w:r>
    </w:p>
    <w:p w14:paraId="66D1C6A3" w14:textId="51502176" w:rsidR="003E794F" w:rsidRDefault="003E794F" w:rsidP="00515ABF">
      <w:pPr>
        <w:pStyle w:val="ListBullet"/>
      </w:pPr>
      <w:r>
        <w:t xml:space="preserve">prohibits the use of headline conditional discounts </w:t>
      </w:r>
      <w:r w:rsidR="003841C8">
        <w:t xml:space="preserve">and requires retailers to state the terms of any </w:t>
      </w:r>
      <w:r w:rsidR="00E70907">
        <w:t xml:space="preserve">non-headline </w:t>
      </w:r>
      <w:r w:rsidR="00BA7D75">
        <w:t xml:space="preserve">conditional </w:t>
      </w:r>
      <w:r w:rsidR="003841C8">
        <w:t>discounts clearly and conspicuously in any advertising material</w:t>
      </w:r>
      <w:r>
        <w:t>.</w:t>
      </w:r>
    </w:p>
    <w:p w14:paraId="18BE5760" w14:textId="4A5846C7" w:rsidR="003E794F" w:rsidRPr="003E794F" w:rsidRDefault="003E794F" w:rsidP="003E794F">
      <w:pPr>
        <w:spacing w:before="120"/>
      </w:pPr>
      <w:r>
        <w:t xml:space="preserve">The code is a mandatory industry code for the purposes of Part IVB of the </w:t>
      </w:r>
      <w:r>
        <w:rPr>
          <w:i/>
        </w:rPr>
        <w:t>Competition and Consumer Act 2010</w:t>
      </w:r>
      <w:r w:rsidR="00BA7D75">
        <w:rPr>
          <w:i/>
        </w:rPr>
        <w:t xml:space="preserve"> </w:t>
      </w:r>
      <w:r w:rsidR="00BA7D75">
        <w:t>(CCA)</w:t>
      </w:r>
      <w:r>
        <w:t xml:space="preserve">. </w:t>
      </w:r>
    </w:p>
    <w:p w14:paraId="592AB086" w14:textId="77777777" w:rsidR="00084CC4" w:rsidRDefault="00084CC4" w:rsidP="00084CC4">
      <w:pPr>
        <w:pStyle w:val="Heading1"/>
      </w:pPr>
      <w:r>
        <w:t>Incorporation</w:t>
      </w:r>
      <w:r>
        <w:rPr>
          <w:rStyle w:val="DraftingnotesChar"/>
        </w:rPr>
        <w:t xml:space="preserve"> </w:t>
      </w:r>
    </w:p>
    <w:p w14:paraId="55C2FCCA" w14:textId="6A648906" w:rsidR="00084CC4" w:rsidRDefault="00084CC4" w:rsidP="00084CC4">
      <w:pPr>
        <w:spacing w:before="120" w:after="120"/>
        <w:rPr>
          <w:rFonts w:cs="Times New Roman"/>
          <w:szCs w:val="24"/>
        </w:rPr>
      </w:pPr>
      <w:r>
        <w:rPr>
          <w:rFonts w:cs="Times New Roman"/>
          <w:szCs w:val="24"/>
        </w:rPr>
        <w:t>The code incorporates determinations made by the AER under Part 3 of the</w:t>
      </w:r>
      <w:r w:rsidR="00FA2936">
        <w:rPr>
          <w:rFonts w:cs="Times New Roman"/>
          <w:szCs w:val="24"/>
        </w:rPr>
        <w:t xml:space="preserve"> Industry Code Regulations</w:t>
      </w:r>
      <w:r>
        <w:rPr>
          <w:rFonts w:cs="Times New Roman"/>
          <w:szCs w:val="24"/>
        </w:rPr>
        <w:t xml:space="preserve">. These determinations are </w:t>
      </w:r>
      <w:r w:rsidRPr="008F4E25">
        <w:rPr>
          <w:rFonts w:cs="Times New Roman"/>
          <w:szCs w:val="24"/>
        </w:rPr>
        <w:t>disallowable</w:t>
      </w:r>
      <w:r>
        <w:rPr>
          <w:rFonts w:cs="Times New Roman"/>
          <w:szCs w:val="24"/>
        </w:rPr>
        <w:t xml:space="preserve"> legislative instruments and </w:t>
      </w:r>
      <w:r w:rsidR="003E794F">
        <w:rPr>
          <w:rFonts w:cs="Times New Roman"/>
          <w:szCs w:val="24"/>
        </w:rPr>
        <w:t>are</w:t>
      </w:r>
      <w:r>
        <w:rPr>
          <w:rFonts w:cs="Times New Roman"/>
          <w:szCs w:val="24"/>
        </w:rPr>
        <w:t xml:space="preserve"> registered on the Federal Register of Legislation. The determinations are incorporated as in force from time to time.</w:t>
      </w:r>
    </w:p>
    <w:p w14:paraId="3468B1BE" w14:textId="742239FE" w:rsidR="003E794F" w:rsidRDefault="00F6580D" w:rsidP="00084CC4">
      <w:pPr>
        <w:spacing w:before="120" w:after="120"/>
        <w:rPr>
          <w:rFonts w:cs="Times New Roman"/>
          <w:szCs w:val="24"/>
        </w:rPr>
      </w:pPr>
      <w:r>
        <w:rPr>
          <w:rFonts w:cs="Times New Roman"/>
          <w:szCs w:val="24"/>
        </w:rPr>
        <w:lastRenderedPageBreak/>
        <w:t xml:space="preserve">Part 3 of </w:t>
      </w:r>
      <w:r w:rsidR="00F8552D">
        <w:rPr>
          <w:rFonts w:cs="Times New Roman"/>
          <w:szCs w:val="24"/>
        </w:rPr>
        <w:t xml:space="preserve">Schedule </w:t>
      </w:r>
      <w:r>
        <w:rPr>
          <w:rFonts w:cs="Times New Roman"/>
          <w:szCs w:val="24"/>
        </w:rPr>
        <w:t>1</w:t>
      </w:r>
      <w:r w:rsidR="00F8552D">
        <w:rPr>
          <w:rFonts w:cs="Times New Roman"/>
          <w:szCs w:val="24"/>
        </w:rPr>
        <w:t xml:space="preserve"> to the Regulations make</w:t>
      </w:r>
      <w:r w:rsidR="00EB21EE">
        <w:rPr>
          <w:rFonts w:cs="Times New Roman"/>
          <w:szCs w:val="24"/>
        </w:rPr>
        <w:t>s</w:t>
      </w:r>
      <w:r w:rsidR="00F8552D">
        <w:rPr>
          <w:rFonts w:cs="Times New Roman"/>
          <w:szCs w:val="24"/>
        </w:rPr>
        <w:t xml:space="preserve"> the </w:t>
      </w:r>
      <w:r w:rsidR="00515F26">
        <w:rPr>
          <w:rFonts w:cs="Times New Roman"/>
          <w:szCs w:val="24"/>
        </w:rPr>
        <w:t>determinations non-disallowable legislative instruments</w:t>
      </w:r>
      <w:r w:rsidR="00F8552D">
        <w:rPr>
          <w:rFonts w:cs="Times New Roman"/>
          <w:szCs w:val="24"/>
        </w:rPr>
        <w:t>. The determinations</w:t>
      </w:r>
      <w:r w:rsidR="00515F26">
        <w:rPr>
          <w:rFonts w:cs="Times New Roman"/>
          <w:szCs w:val="24"/>
        </w:rPr>
        <w:t xml:space="preserve"> will continue to be </w:t>
      </w:r>
      <w:r w:rsidR="00062946">
        <w:rPr>
          <w:rFonts w:cs="Times New Roman"/>
          <w:szCs w:val="24"/>
        </w:rPr>
        <w:t xml:space="preserve">registered on the Federal Register of Legislation and be </w:t>
      </w:r>
      <w:r w:rsidR="00515F26">
        <w:rPr>
          <w:rFonts w:cs="Times New Roman"/>
          <w:szCs w:val="24"/>
        </w:rPr>
        <w:t>incorporated as in force from time to time.</w:t>
      </w:r>
      <w:r w:rsidR="003E794F">
        <w:rPr>
          <w:rFonts w:cs="Times New Roman"/>
          <w:szCs w:val="24"/>
        </w:rPr>
        <w:t xml:space="preserve"> </w:t>
      </w:r>
    </w:p>
    <w:p w14:paraId="2F779021" w14:textId="77777777" w:rsidR="00084CC4" w:rsidRDefault="00084CC4" w:rsidP="00084CC4">
      <w:pPr>
        <w:pStyle w:val="Heading1"/>
      </w:pPr>
      <w:r>
        <w:t>Authority</w:t>
      </w:r>
    </w:p>
    <w:p w14:paraId="18E10E1E" w14:textId="1D4C9143" w:rsidR="00084CC4" w:rsidRPr="00A37C64" w:rsidRDefault="00084CC4" w:rsidP="00084CC4">
      <w:r>
        <w:t>Paragraph 44AH(b) and section</w:t>
      </w:r>
      <w:r w:rsidR="00F8552D">
        <w:t>s</w:t>
      </w:r>
      <w:r>
        <w:t xml:space="preserve"> 51AE </w:t>
      </w:r>
      <w:r w:rsidR="00F8552D">
        <w:t xml:space="preserve">and 172 </w:t>
      </w:r>
      <w:r>
        <w:t xml:space="preserve">of </w:t>
      </w:r>
      <w:r w:rsidRPr="006745C3">
        <w:rPr>
          <w:rFonts w:cs="Times New Roman"/>
          <w:szCs w:val="24"/>
        </w:rPr>
        <w:t>the</w:t>
      </w:r>
      <w:r w:rsidR="00E70907">
        <w:rPr>
          <w:rFonts w:cs="Times New Roman"/>
          <w:szCs w:val="24"/>
        </w:rPr>
        <w:t xml:space="preserve"> CCA</w:t>
      </w:r>
      <w:r>
        <w:rPr>
          <w:i/>
        </w:rPr>
        <w:t xml:space="preserve"> </w:t>
      </w:r>
      <w:r>
        <w:rPr>
          <w:rFonts w:cs="Times New Roman"/>
          <w:szCs w:val="24"/>
        </w:rPr>
        <w:t>provide authority for the Regulations.</w:t>
      </w:r>
    </w:p>
    <w:p w14:paraId="0CE75D5C" w14:textId="77777777" w:rsidR="00084CC4" w:rsidRDefault="00084CC4" w:rsidP="00084CC4">
      <w:pPr>
        <w:pStyle w:val="Heading1"/>
      </w:pPr>
      <w:r>
        <w:t>Consultation</w:t>
      </w:r>
    </w:p>
    <w:p w14:paraId="55852C32" w14:textId="25157455" w:rsidR="008563FA" w:rsidRDefault="008563FA" w:rsidP="008563FA">
      <w:r>
        <w:t xml:space="preserve">An </w:t>
      </w:r>
      <w:r w:rsidRPr="002E6F92">
        <w:t xml:space="preserve">exposure draft of the Regulations was </w:t>
      </w:r>
      <w:r>
        <w:t xml:space="preserve">made available </w:t>
      </w:r>
      <w:r w:rsidRPr="002E6F92">
        <w:t>for public consultation between 2</w:t>
      </w:r>
      <w:r>
        <w:t>2 October 2019</w:t>
      </w:r>
      <w:r w:rsidRPr="002E6F92">
        <w:t xml:space="preserve"> and </w:t>
      </w:r>
      <w:r>
        <w:t xml:space="preserve">6 November </w:t>
      </w:r>
      <w:r w:rsidRPr="002E6F92">
        <w:t>2019.</w:t>
      </w:r>
      <w:r>
        <w:t xml:space="preserve"> A wide range of stakeholders, including retailers and energy peak bodies were directly informed of the opportunity to submit comments on the Regulations. Eleven submissions to the consultation process were </w:t>
      </w:r>
      <w:r w:rsidR="005467F8">
        <w:t>received</w:t>
      </w:r>
      <w:r>
        <w:t xml:space="preserve">, with one submission from an energy industry peak body, and the remainder from energy retailers. </w:t>
      </w:r>
    </w:p>
    <w:p w14:paraId="347F11A3" w14:textId="6AEE4B73" w:rsidR="00084CC4" w:rsidRDefault="00084CC4" w:rsidP="00084CC4">
      <w:pPr>
        <w:pStyle w:val="Heading1"/>
      </w:pPr>
      <w:r>
        <w:t>Human rights implications</w:t>
      </w:r>
    </w:p>
    <w:p w14:paraId="09D45E41" w14:textId="77777777" w:rsidR="00084CC4" w:rsidRDefault="00084CC4" w:rsidP="00084CC4">
      <w:pPr>
        <w:rPr>
          <w:rFonts w:cs="Times New Roman"/>
          <w:szCs w:val="24"/>
        </w:rPr>
      </w:pPr>
      <w:r>
        <w:t xml:space="preserve">The Regulations </w:t>
      </w:r>
      <w:r w:rsidRPr="00CA7BFE">
        <w:rPr>
          <w:rFonts w:cs="Times New Roman"/>
          <w:szCs w:val="24"/>
        </w:rPr>
        <w:t xml:space="preserve">are compatible with the human rights and freedoms recognised or declared in the international instruments listed in section 3 of the </w:t>
      </w:r>
      <w:r w:rsidRPr="00CA7BFE">
        <w:rPr>
          <w:rFonts w:cs="Times New Roman"/>
          <w:i/>
          <w:szCs w:val="24"/>
        </w:rPr>
        <w:t>Human Rights (Parliamentary Scrutiny) Act 2011</w:t>
      </w:r>
      <w:r>
        <w:rPr>
          <w:rFonts w:cs="Times New Roman"/>
          <w:szCs w:val="24"/>
        </w:rPr>
        <w:t>: see Attachment A.</w:t>
      </w:r>
    </w:p>
    <w:p w14:paraId="33309465" w14:textId="77777777" w:rsidR="00084CC4" w:rsidRPr="000E37FB" w:rsidRDefault="00084CC4" w:rsidP="00084CC4">
      <w:pPr>
        <w:pStyle w:val="Heading1"/>
      </w:pPr>
      <w:r w:rsidRPr="000E37FB">
        <w:t>Regulatory impact</w:t>
      </w:r>
    </w:p>
    <w:p w14:paraId="69B9A3AE" w14:textId="5DE17C5F" w:rsidR="00515F26" w:rsidRDefault="00515F26" w:rsidP="00515F26">
      <w:pPr>
        <w:spacing w:before="120" w:after="120"/>
        <w:rPr>
          <w:rFonts w:cs="Times New Roman"/>
          <w:szCs w:val="24"/>
        </w:rPr>
      </w:pPr>
      <w:r>
        <w:rPr>
          <w:rFonts w:cs="Times New Roman"/>
          <w:szCs w:val="24"/>
        </w:rPr>
        <w:t xml:space="preserve">It is estimated that the regulatory burden is likely to be </w:t>
      </w:r>
      <w:r w:rsidRPr="00BA7D75">
        <w:rPr>
          <w:rFonts w:cs="Times New Roman"/>
          <w:szCs w:val="24"/>
        </w:rPr>
        <w:t>minor</w:t>
      </w:r>
      <w:r>
        <w:rPr>
          <w:rFonts w:cs="Times New Roman"/>
          <w:szCs w:val="24"/>
        </w:rPr>
        <w:t xml:space="preserve"> (OBPR reference number </w:t>
      </w:r>
      <w:r w:rsidR="003841C8">
        <w:rPr>
          <w:rFonts w:cs="Times New Roman"/>
          <w:szCs w:val="24"/>
        </w:rPr>
        <w:t>25452</w:t>
      </w:r>
      <w:r>
        <w:rPr>
          <w:rFonts w:cs="Times New Roman"/>
          <w:szCs w:val="24"/>
        </w:rPr>
        <w:t xml:space="preserve">). </w:t>
      </w:r>
    </w:p>
    <w:p w14:paraId="11C944DF" w14:textId="77777777" w:rsidR="00534B27" w:rsidRDefault="00534B27">
      <w:pPr>
        <w:spacing w:after="0" w:line="240" w:lineRule="auto"/>
        <w:rPr>
          <w:rFonts w:cs="Times New Roman"/>
          <w:szCs w:val="24"/>
        </w:rPr>
      </w:pPr>
      <w:r>
        <w:rPr>
          <w:rFonts w:cs="Times New Roman"/>
          <w:szCs w:val="24"/>
        </w:rPr>
        <w:br w:type="page"/>
      </w:r>
    </w:p>
    <w:p w14:paraId="7163DFBF" w14:textId="747CB583" w:rsidR="00534B27" w:rsidRDefault="00534B27" w:rsidP="00C037A2">
      <w:pPr>
        <w:pStyle w:val="Heading1"/>
        <w:jc w:val="center"/>
      </w:pPr>
      <w:r>
        <w:lastRenderedPageBreak/>
        <w:t>Glossary</w:t>
      </w:r>
    </w:p>
    <w:p w14:paraId="1F8BA032" w14:textId="5430F03A" w:rsidR="00534B27" w:rsidRDefault="00534B27" w:rsidP="00243B60">
      <w:r>
        <w:t xml:space="preserve">The following </w:t>
      </w:r>
      <w:r w:rsidR="00E4760C">
        <w:t xml:space="preserve">terms, </w:t>
      </w:r>
      <w:r>
        <w:t>abbreviations and acronyms are used throughout this explanatory statement.</w:t>
      </w:r>
    </w:p>
    <w:tbl>
      <w:tblPr>
        <w:tblStyle w:val="TableGrid"/>
        <w:tblW w:w="0" w:type="auto"/>
        <w:tblLook w:val="04A0" w:firstRow="1" w:lastRow="0" w:firstColumn="1" w:lastColumn="0" w:noHBand="0" w:noVBand="1"/>
      </w:tblPr>
      <w:tblGrid>
        <w:gridCol w:w="2070"/>
        <w:gridCol w:w="7132"/>
      </w:tblGrid>
      <w:tr w:rsidR="00534B27" w14:paraId="261EC3F4" w14:textId="77777777" w:rsidTr="000B3262">
        <w:trPr>
          <w:cnfStyle w:val="100000000000" w:firstRow="1" w:lastRow="0" w:firstColumn="0" w:lastColumn="0" w:oddVBand="0" w:evenVBand="0" w:oddHBand="0" w:evenHBand="0" w:firstRowFirstColumn="0" w:firstRowLastColumn="0" w:lastRowFirstColumn="0" w:lastRowLastColumn="0"/>
        </w:trPr>
        <w:tc>
          <w:tcPr>
            <w:tcW w:w="2093" w:type="dxa"/>
          </w:tcPr>
          <w:p w14:paraId="4A8D50BE" w14:textId="77777777" w:rsidR="00534B27" w:rsidRPr="00534B27" w:rsidRDefault="00534B27" w:rsidP="00534B27">
            <w:pPr>
              <w:rPr>
                <w:b/>
                <w:i/>
              </w:rPr>
            </w:pPr>
            <w:r>
              <w:rPr>
                <w:b/>
                <w:i/>
              </w:rPr>
              <w:t>Abbreviation</w:t>
            </w:r>
          </w:p>
        </w:tc>
        <w:tc>
          <w:tcPr>
            <w:tcW w:w="7335" w:type="dxa"/>
          </w:tcPr>
          <w:p w14:paraId="2A5F53CE" w14:textId="77777777" w:rsidR="00534B27" w:rsidRPr="00534B27" w:rsidRDefault="00534B27" w:rsidP="00534B27">
            <w:pPr>
              <w:rPr>
                <w:b/>
                <w:i/>
              </w:rPr>
            </w:pPr>
            <w:r>
              <w:rPr>
                <w:b/>
                <w:i/>
              </w:rPr>
              <w:t>Definition</w:t>
            </w:r>
          </w:p>
        </w:tc>
      </w:tr>
      <w:tr w:rsidR="00135CC5" w14:paraId="63655B9D" w14:textId="77777777" w:rsidTr="000B3262">
        <w:trPr>
          <w:cnfStyle w:val="000000100000" w:firstRow="0" w:lastRow="0" w:firstColumn="0" w:lastColumn="0" w:oddVBand="0" w:evenVBand="0" w:oddHBand="1" w:evenHBand="0" w:firstRowFirstColumn="0" w:firstRowLastColumn="0" w:lastRowFirstColumn="0" w:lastRowLastColumn="0"/>
        </w:trPr>
        <w:tc>
          <w:tcPr>
            <w:tcW w:w="2093" w:type="dxa"/>
          </w:tcPr>
          <w:p w14:paraId="12B392C3" w14:textId="42788B86" w:rsidR="00135CC5" w:rsidRDefault="00135CC5" w:rsidP="00534B27">
            <w:r>
              <w:t>ACCC</w:t>
            </w:r>
          </w:p>
        </w:tc>
        <w:tc>
          <w:tcPr>
            <w:tcW w:w="7335" w:type="dxa"/>
          </w:tcPr>
          <w:p w14:paraId="0E11FEB7" w14:textId="538133BB" w:rsidR="00135CC5" w:rsidRDefault="00135CC5" w:rsidP="00534B27">
            <w:r>
              <w:t>Australian Competition and Consumer Commission</w:t>
            </w:r>
          </w:p>
        </w:tc>
      </w:tr>
      <w:tr w:rsidR="00534B27" w14:paraId="66D1D6F4" w14:textId="77777777" w:rsidTr="000B3262">
        <w:trPr>
          <w:cnfStyle w:val="000000010000" w:firstRow="0" w:lastRow="0" w:firstColumn="0" w:lastColumn="0" w:oddVBand="0" w:evenVBand="0" w:oddHBand="0" w:evenHBand="1" w:firstRowFirstColumn="0" w:firstRowLastColumn="0" w:lastRowFirstColumn="0" w:lastRowLastColumn="0"/>
        </w:trPr>
        <w:tc>
          <w:tcPr>
            <w:tcW w:w="2093" w:type="dxa"/>
          </w:tcPr>
          <w:p w14:paraId="05503160" w14:textId="77777777" w:rsidR="00534B27" w:rsidRDefault="00534B27" w:rsidP="00534B27">
            <w:r>
              <w:t>AER</w:t>
            </w:r>
          </w:p>
        </w:tc>
        <w:tc>
          <w:tcPr>
            <w:tcW w:w="7335" w:type="dxa"/>
          </w:tcPr>
          <w:p w14:paraId="7082D928" w14:textId="77777777" w:rsidR="00534B27" w:rsidRDefault="00534B27" w:rsidP="00534B27">
            <w:r>
              <w:t>Australian Energy Regulator</w:t>
            </w:r>
          </w:p>
        </w:tc>
      </w:tr>
      <w:tr w:rsidR="00BA7D75" w14:paraId="49C83649" w14:textId="77777777" w:rsidTr="000B3262">
        <w:trPr>
          <w:cnfStyle w:val="000000100000" w:firstRow="0" w:lastRow="0" w:firstColumn="0" w:lastColumn="0" w:oddVBand="0" w:evenVBand="0" w:oddHBand="1" w:evenHBand="0" w:firstRowFirstColumn="0" w:firstRowLastColumn="0" w:lastRowFirstColumn="0" w:lastRowLastColumn="0"/>
        </w:trPr>
        <w:tc>
          <w:tcPr>
            <w:tcW w:w="2093" w:type="dxa"/>
          </w:tcPr>
          <w:p w14:paraId="06731FEB" w14:textId="20D769EF" w:rsidR="00BA7D75" w:rsidRDefault="00BA7D75" w:rsidP="00534B27">
            <w:r>
              <w:t>CCA</w:t>
            </w:r>
          </w:p>
        </w:tc>
        <w:tc>
          <w:tcPr>
            <w:tcW w:w="7335" w:type="dxa"/>
          </w:tcPr>
          <w:p w14:paraId="099C3C76" w14:textId="0307C062" w:rsidR="00BA7D75" w:rsidRPr="00893243" w:rsidRDefault="00BA7D75" w:rsidP="00FA2936">
            <w:pPr>
              <w:rPr>
                <w:i/>
              </w:rPr>
            </w:pPr>
            <w:r>
              <w:rPr>
                <w:i/>
              </w:rPr>
              <w:t>Competition and Consumer Act 2010</w:t>
            </w:r>
          </w:p>
        </w:tc>
      </w:tr>
      <w:tr w:rsidR="0087544E" w14:paraId="5CECCB6B" w14:textId="77777777" w:rsidTr="000B3262">
        <w:trPr>
          <w:cnfStyle w:val="000000010000" w:firstRow="0" w:lastRow="0" w:firstColumn="0" w:lastColumn="0" w:oddVBand="0" w:evenVBand="0" w:oddHBand="0" w:evenHBand="1" w:firstRowFirstColumn="0" w:firstRowLastColumn="0" w:lastRowFirstColumn="0" w:lastRowLastColumn="0"/>
        </w:trPr>
        <w:tc>
          <w:tcPr>
            <w:tcW w:w="2093" w:type="dxa"/>
          </w:tcPr>
          <w:p w14:paraId="59F3EDB1" w14:textId="63F61491" w:rsidR="0087544E" w:rsidRDefault="0087544E" w:rsidP="00534B27">
            <w:r>
              <w:t>cap on standing offer prices</w:t>
            </w:r>
          </w:p>
        </w:tc>
        <w:tc>
          <w:tcPr>
            <w:tcW w:w="7335" w:type="dxa"/>
          </w:tcPr>
          <w:p w14:paraId="7DF28BDE" w14:textId="431CBA32" w:rsidR="0087544E" w:rsidRDefault="0087544E">
            <w:r>
              <w:t>the cap that applies to standing offer prices in accordance with section</w:t>
            </w:r>
            <w:r w:rsidR="005467F8">
              <w:t> </w:t>
            </w:r>
            <w:r>
              <w:t>10 of the Industry Code Regulations</w:t>
            </w:r>
          </w:p>
        </w:tc>
      </w:tr>
      <w:tr w:rsidR="00534B27" w14:paraId="04038AC7" w14:textId="77777777" w:rsidTr="000B3262">
        <w:trPr>
          <w:cnfStyle w:val="000000100000" w:firstRow="0" w:lastRow="0" w:firstColumn="0" w:lastColumn="0" w:oddVBand="0" w:evenVBand="0" w:oddHBand="1" w:evenHBand="0" w:firstRowFirstColumn="0" w:firstRowLastColumn="0" w:lastRowFirstColumn="0" w:lastRowLastColumn="0"/>
        </w:trPr>
        <w:tc>
          <w:tcPr>
            <w:tcW w:w="2093" w:type="dxa"/>
          </w:tcPr>
          <w:p w14:paraId="1B303F8F" w14:textId="77777777" w:rsidR="00534B27" w:rsidRDefault="00FA2936" w:rsidP="00534B27">
            <w:r>
              <w:t>code</w:t>
            </w:r>
          </w:p>
        </w:tc>
        <w:tc>
          <w:tcPr>
            <w:tcW w:w="7335" w:type="dxa"/>
          </w:tcPr>
          <w:p w14:paraId="25032086" w14:textId="77777777" w:rsidR="00534B27" w:rsidRDefault="00FA2936" w:rsidP="00FA2936">
            <w:r>
              <w:t>the electricity retail code of conduct set out in Part 2 of the Industry Code Regulations</w:t>
            </w:r>
          </w:p>
        </w:tc>
      </w:tr>
      <w:tr w:rsidR="00E4760C" w14:paraId="404E420F" w14:textId="77777777" w:rsidTr="000B3262">
        <w:trPr>
          <w:cnfStyle w:val="000000010000" w:firstRow="0" w:lastRow="0" w:firstColumn="0" w:lastColumn="0" w:oddVBand="0" w:evenVBand="0" w:oddHBand="0" w:evenHBand="1" w:firstRowFirstColumn="0" w:firstRowLastColumn="0" w:lastRowFirstColumn="0" w:lastRowLastColumn="0"/>
        </w:trPr>
        <w:tc>
          <w:tcPr>
            <w:tcW w:w="2093" w:type="dxa"/>
          </w:tcPr>
          <w:p w14:paraId="16EF9C75" w14:textId="77777777" w:rsidR="00E4760C" w:rsidRDefault="00E4760C" w:rsidP="00534B27">
            <w:r>
              <w:t>controlled load tariff</w:t>
            </w:r>
          </w:p>
        </w:tc>
        <w:tc>
          <w:tcPr>
            <w:tcW w:w="7335" w:type="dxa"/>
          </w:tcPr>
          <w:p w14:paraId="0151F5C5" w14:textId="77777777" w:rsidR="00E4760C" w:rsidRDefault="00E4760C" w:rsidP="00534B27">
            <w:pPr>
              <w:rPr>
                <w:szCs w:val="24"/>
              </w:rPr>
            </w:pPr>
            <w:r>
              <w:rPr>
                <w:szCs w:val="24"/>
              </w:rPr>
              <w:t>a tariff for supplying electricity for use only in specific appliances (such as a hot water system or pool pump)</w:t>
            </w:r>
          </w:p>
        </w:tc>
      </w:tr>
      <w:tr w:rsidR="00E4760C" w14:paraId="72BB47B9" w14:textId="77777777" w:rsidTr="000B3262">
        <w:trPr>
          <w:cnfStyle w:val="000000100000" w:firstRow="0" w:lastRow="0" w:firstColumn="0" w:lastColumn="0" w:oddVBand="0" w:evenVBand="0" w:oddHBand="1" w:evenHBand="0" w:firstRowFirstColumn="0" w:firstRowLastColumn="0" w:lastRowFirstColumn="0" w:lastRowLastColumn="0"/>
        </w:trPr>
        <w:tc>
          <w:tcPr>
            <w:tcW w:w="2093" w:type="dxa"/>
          </w:tcPr>
          <w:p w14:paraId="15491BD6" w14:textId="77777777" w:rsidR="00E4760C" w:rsidRDefault="00E4760C" w:rsidP="00534B27">
            <w:r>
              <w:t>flexible tariff</w:t>
            </w:r>
          </w:p>
        </w:tc>
        <w:tc>
          <w:tcPr>
            <w:tcW w:w="7335" w:type="dxa"/>
          </w:tcPr>
          <w:p w14:paraId="30BD8C47" w14:textId="20981A1C" w:rsidR="00E4760C" w:rsidRDefault="00E4760C">
            <w:pPr>
              <w:rPr>
                <w:szCs w:val="24"/>
              </w:rPr>
            </w:pPr>
            <w:r>
              <w:rPr>
                <w:szCs w:val="24"/>
              </w:rPr>
              <w:t>a tariff for supplying electricity that varies (wholly or partly) according to the time of day when the electricity is supplied</w:t>
            </w:r>
            <w:r w:rsidR="006B2C1B">
              <w:rPr>
                <w:szCs w:val="24"/>
              </w:rPr>
              <w:t xml:space="preserve"> (also known as a time-of-use tariff)</w:t>
            </w:r>
          </w:p>
        </w:tc>
      </w:tr>
      <w:tr w:rsidR="00534B27" w14:paraId="56268B2C" w14:textId="77777777" w:rsidTr="000B3262">
        <w:trPr>
          <w:cnfStyle w:val="000000010000" w:firstRow="0" w:lastRow="0" w:firstColumn="0" w:lastColumn="0" w:oddVBand="0" w:evenVBand="0" w:oddHBand="0" w:evenHBand="1" w:firstRowFirstColumn="0" w:firstRowLastColumn="0" w:lastRowFirstColumn="0" w:lastRowLastColumn="0"/>
        </w:trPr>
        <w:tc>
          <w:tcPr>
            <w:tcW w:w="2093" w:type="dxa"/>
          </w:tcPr>
          <w:p w14:paraId="15BB6C6F" w14:textId="77777777" w:rsidR="00534B27" w:rsidRDefault="00FA2936" w:rsidP="00534B27">
            <w:r>
              <w:t>Industry Code Regulations</w:t>
            </w:r>
          </w:p>
        </w:tc>
        <w:tc>
          <w:tcPr>
            <w:tcW w:w="7335" w:type="dxa"/>
          </w:tcPr>
          <w:p w14:paraId="523BAB46" w14:textId="0C28A8C3" w:rsidR="00534B27" w:rsidRDefault="00FA2936" w:rsidP="00534B27">
            <w:r w:rsidRPr="00762D3F">
              <w:rPr>
                <w:i/>
                <w:szCs w:val="24"/>
              </w:rPr>
              <w:t xml:space="preserve">Competition and Consumer (Industry Code - </w:t>
            </w:r>
            <w:r w:rsidRPr="00762D3F">
              <w:rPr>
                <w:i/>
              </w:rPr>
              <w:t>Electricity Retail) Regulations 2019</w:t>
            </w:r>
          </w:p>
        </w:tc>
      </w:tr>
      <w:tr w:rsidR="00243B60" w14:paraId="106D105A" w14:textId="77777777" w:rsidTr="000B3262">
        <w:trPr>
          <w:cnfStyle w:val="000000100000" w:firstRow="0" w:lastRow="0" w:firstColumn="0" w:lastColumn="0" w:oddVBand="0" w:evenVBand="0" w:oddHBand="1" w:evenHBand="0" w:firstRowFirstColumn="0" w:firstRowLastColumn="0" w:lastRowFirstColumn="0" w:lastRowLastColumn="0"/>
        </w:trPr>
        <w:tc>
          <w:tcPr>
            <w:tcW w:w="2093" w:type="dxa"/>
          </w:tcPr>
          <w:p w14:paraId="4D770DC0" w14:textId="5087F9EF" w:rsidR="00243B60" w:rsidRDefault="00243B60" w:rsidP="00243B60">
            <w:r>
              <w:t xml:space="preserve">model annual usage </w:t>
            </w:r>
          </w:p>
        </w:tc>
        <w:tc>
          <w:tcPr>
            <w:tcW w:w="7335" w:type="dxa"/>
          </w:tcPr>
          <w:p w14:paraId="6B575537" w14:textId="062E6FC7" w:rsidR="00243B60" w:rsidRDefault="00243B60" w:rsidP="00AC26DB">
            <w:r>
              <w:t xml:space="preserve">the amount, and timing or pattern of the supply, of electricity in a distribution region to a particular type of small customer determined by the AER under paragraph 16(1)(a) of the Industry Code Regulations </w:t>
            </w:r>
          </w:p>
        </w:tc>
      </w:tr>
      <w:tr w:rsidR="000218E9" w14:paraId="0733F18E" w14:textId="77777777" w:rsidTr="000B3262">
        <w:trPr>
          <w:cnfStyle w:val="000000010000" w:firstRow="0" w:lastRow="0" w:firstColumn="0" w:lastColumn="0" w:oddVBand="0" w:evenVBand="0" w:oddHBand="0" w:evenHBand="1" w:firstRowFirstColumn="0" w:firstRowLastColumn="0" w:lastRowFirstColumn="0" w:lastRowLastColumn="0"/>
        </w:trPr>
        <w:tc>
          <w:tcPr>
            <w:tcW w:w="2093" w:type="dxa"/>
          </w:tcPr>
          <w:p w14:paraId="46222A72" w14:textId="6017ACF9" w:rsidR="000218E9" w:rsidRDefault="000218E9" w:rsidP="00F6580D">
            <w:r>
              <w:t xml:space="preserve">PEMM </w:t>
            </w:r>
            <w:r w:rsidR="004F6109">
              <w:t>Act</w:t>
            </w:r>
          </w:p>
        </w:tc>
        <w:tc>
          <w:tcPr>
            <w:tcW w:w="7335" w:type="dxa"/>
          </w:tcPr>
          <w:p w14:paraId="27C33779" w14:textId="0753B549" w:rsidR="000218E9" w:rsidRDefault="000218E9" w:rsidP="00EB21EE">
            <w:r>
              <w:rPr>
                <w:i/>
              </w:rPr>
              <w:t xml:space="preserve">Treasury Laws Amendment (Prohibiting Energy Market Misconduct) </w:t>
            </w:r>
            <w:r w:rsidR="004F6109">
              <w:rPr>
                <w:i/>
              </w:rPr>
              <w:t xml:space="preserve">Act </w:t>
            </w:r>
            <w:r>
              <w:rPr>
                <w:i/>
              </w:rPr>
              <w:t>2019</w:t>
            </w:r>
          </w:p>
        </w:tc>
      </w:tr>
      <w:tr w:rsidR="00534B27" w14:paraId="605DDB85" w14:textId="77777777" w:rsidTr="000B3262">
        <w:trPr>
          <w:cnfStyle w:val="000000100000" w:firstRow="0" w:lastRow="0" w:firstColumn="0" w:lastColumn="0" w:oddVBand="0" w:evenVBand="0" w:oddHBand="1" w:evenHBand="0" w:firstRowFirstColumn="0" w:firstRowLastColumn="0" w:lastRowFirstColumn="0" w:lastRowLastColumn="0"/>
        </w:trPr>
        <w:tc>
          <w:tcPr>
            <w:tcW w:w="2093" w:type="dxa"/>
          </w:tcPr>
          <w:p w14:paraId="1FB602A9" w14:textId="77777777" w:rsidR="00534B27" w:rsidRDefault="000B3262" w:rsidP="00534B27">
            <w:r>
              <w:t>PV system</w:t>
            </w:r>
          </w:p>
        </w:tc>
        <w:tc>
          <w:tcPr>
            <w:tcW w:w="7335" w:type="dxa"/>
          </w:tcPr>
          <w:p w14:paraId="2490C18C" w14:textId="3727DE15" w:rsidR="00534B27" w:rsidRDefault="000B3262" w:rsidP="006B2C1B">
            <w:r>
              <w:t>a solar photovoltaic system</w:t>
            </w:r>
            <w:r w:rsidR="00171168">
              <w:t xml:space="preserve"> </w:t>
            </w:r>
            <w:r w:rsidR="006B2C1B">
              <w:t>(such as rooftop solar panels)</w:t>
            </w:r>
          </w:p>
        </w:tc>
      </w:tr>
      <w:tr w:rsidR="00171168" w14:paraId="67231013" w14:textId="77777777" w:rsidTr="000B3262">
        <w:trPr>
          <w:cnfStyle w:val="000000010000" w:firstRow="0" w:lastRow="0" w:firstColumn="0" w:lastColumn="0" w:oddVBand="0" w:evenVBand="0" w:oddHBand="0" w:evenHBand="1" w:firstRowFirstColumn="0" w:firstRowLastColumn="0" w:lastRowFirstColumn="0" w:lastRowLastColumn="0"/>
        </w:trPr>
        <w:tc>
          <w:tcPr>
            <w:tcW w:w="2093" w:type="dxa"/>
          </w:tcPr>
          <w:p w14:paraId="0BBB57FC" w14:textId="77777777" w:rsidR="00171168" w:rsidRDefault="00171168" w:rsidP="00534B27">
            <w:r>
              <w:t>reference price</w:t>
            </w:r>
          </w:p>
        </w:tc>
        <w:tc>
          <w:tcPr>
            <w:tcW w:w="7335" w:type="dxa"/>
          </w:tcPr>
          <w:p w14:paraId="2D2B09C8" w14:textId="4C818B1D" w:rsidR="00171168" w:rsidRPr="00171168" w:rsidRDefault="00171168" w:rsidP="002E4CAF">
            <w:pPr>
              <w:rPr>
                <w:i/>
              </w:rPr>
            </w:pPr>
            <w:r>
              <w:t xml:space="preserve">the price for supplying electricity in a particular distribution region to a particular type of small customer determined by the AER under </w:t>
            </w:r>
            <w:r w:rsidR="002E4CAF">
              <w:t>paragraph</w:t>
            </w:r>
            <w:r>
              <w:t> 16</w:t>
            </w:r>
            <w:r w:rsidR="002E4CAF">
              <w:t>(1)(b)</w:t>
            </w:r>
            <w:r>
              <w:t xml:space="preserve"> of the </w:t>
            </w:r>
            <w:r w:rsidR="00FA2936">
              <w:t>Industry Code Regulations</w:t>
            </w:r>
          </w:p>
        </w:tc>
      </w:tr>
      <w:tr w:rsidR="0087544E" w14:paraId="4CDDD100" w14:textId="77777777" w:rsidTr="000B3262">
        <w:trPr>
          <w:cnfStyle w:val="000000100000" w:firstRow="0" w:lastRow="0" w:firstColumn="0" w:lastColumn="0" w:oddVBand="0" w:evenVBand="0" w:oddHBand="1" w:evenHBand="0" w:firstRowFirstColumn="0" w:firstRowLastColumn="0" w:lastRowFirstColumn="0" w:lastRowLastColumn="0"/>
        </w:trPr>
        <w:tc>
          <w:tcPr>
            <w:tcW w:w="2093" w:type="dxa"/>
          </w:tcPr>
          <w:p w14:paraId="010B25AB" w14:textId="0138130D" w:rsidR="0087544E" w:rsidRDefault="0087544E" w:rsidP="00534B27">
            <w:r>
              <w:t>reference price comparison obligation</w:t>
            </w:r>
          </w:p>
        </w:tc>
        <w:tc>
          <w:tcPr>
            <w:tcW w:w="7335" w:type="dxa"/>
          </w:tcPr>
          <w:p w14:paraId="23B0B35E" w14:textId="033F336D" w:rsidR="0087544E" w:rsidRDefault="0087544E" w:rsidP="00534B27">
            <w:r>
              <w:t xml:space="preserve">the obligation that applies to </w:t>
            </w:r>
            <w:r w:rsidR="007A5459">
              <w:t xml:space="preserve">electricity </w:t>
            </w:r>
            <w:r>
              <w:t>retailers under section 12 of the Industry Code Regulations</w:t>
            </w:r>
          </w:p>
        </w:tc>
      </w:tr>
      <w:tr w:rsidR="00534B27" w14:paraId="4F61E502" w14:textId="77777777" w:rsidTr="000B3262">
        <w:trPr>
          <w:cnfStyle w:val="000000010000" w:firstRow="0" w:lastRow="0" w:firstColumn="0" w:lastColumn="0" w:oddVBand="0" w:evenVBand="0" w:oddHBand="0" w:evenHBand="1" w:firstRowFirstColumn="0" w:firstRowLastColumn="0" w:lastRowFirstColumn="0" w:lastRowLastColumn="0"/>
        </w:trPr>
        <w:tc>
          <w:tcPr>
            <w:tcW w:w="2093" w:type="dxa"/>
          </w:tcPr>
          <w:p w14:paraId="472CA19D" w14:textId="77777777" w:rsidR="00534B27" w:rsidRDefault="00FA2936" w:rsidP="00534B27">
            <w:r>
              <w:t>Regulations</w:t>
            </w:r>
          </w:p>
        </w:tc>
        <w:tc>
          <w:tcPr>
            <w:tcW w:w="7335" w:type="dxa"/>
          </w:tcPr>
          <w:p w14:paraId="1640CF6A" w14:textId="315E696B" w:rsidR="00534B27" w:rsidRDefault="00FA2936" w:rsidP="00F6580D">
            <w:r>
              <w:rPr>
                <w:i/>
              </w:rPr>
              <w:t>Competition and Consumer Legislation Amendment (Electricity Retail) Regulations 20</w:t>
            </w:r>
            <w:r w:rsidR="004F6109">
              <w:rPr>
                <w:i/>
              </w:rPr>
              <w:t>20</w:t>
            </w:r>
          </w:p>
        </w:tc>
      </w:tr>
      <w:tr w:rsidR="006B2C1B" w14:paraId="260D9C37" w14:textId="77777777" w:rsidTr="000B3262">
        <w:trPr>
          <w:cnfStyle w:val="000000100000" w:firstRow="0" w:lastRow="0" w:firstColumn="0" w:lastColumn="0" w:oddVBand="0" w:evenVBand="0" w:oddHBand="1" w:evenHBand="0" w:firstRowFirstColumn="0" w:firstRowLastColumn="0" w:lastRowFirstColumn="0" w:lastRowLastColumn="0"/>
        </w:trPr>
        <w:tc>
          <w:tcPr>
            <w:tcW w:w="2093" w:type="dxa"/>
          </w:tcPr>
          <w:p w14:paraId="658EF458" w14:textId="0CAFFCB4" w:rsidR="006B2C1B" w:rsidRDefault="006B2C1B" w:rsidP="00534B27">
            <w:r>
              <w:t>small customer</w:t>
            </w:r>
          </w:p>
        </w:tc>
        <w:tc>
          <w:tcPr>
            <w:tcW w:w="7335" w:type="dxa"/>
          </w:tcPr>
          <w:p w14:paraId="3840B933" w14:textId="083D88E8" w:rsidR="006B2C1B" w:rsidRDefault="006B2C1B" w:rsidP="00A34F64">
            <w:r>
              <w:t xml:space="preserve">a residential customer or a small business customer </w:t>
            </w:r>
            <w:r w:rsidR="00A34F64">
              <w:t>which uses less than 100 megawatt hours of electricity a year</w:t>
            </w:r>
          </w:p>
        </w:tc>
      </w:tr>
      <w:tr w:rsidR="006B2C1B" w14:paraId="7103B723" w14:textId="77777777" w:rsidTr="000B3262">
        <w:trPr>
          <w:cnfStyle w:val="000000010000" w:firstRow="0" w:lastRow="0" w:firstColumn="0" w:lastColumn="0" w:oddVBand="0" w:evenVBand="0" w:oddHBand="0" w:evenHBand="1" w:firstRowFirstColumn="0" w:firstRowLastColumn="0" w:lastRowFirstColumn="0" w:lastRowLastColumn="0"/>
        </w:trPr>
        <w:tc>
          <w:tcPr>
            <w:tcW w:w="2093" w:type="dxa"/>
          </w:tcPr>
          <w:p w14:paraId="217E56AD" w14:textId="7C5C0930" w:rsidR="006B2C1B" w:rsidRDefault="006B2C1B" w:rsidP="00534B27">
            <w:r>
              <w:lastRenderedPageBreak/>
              <w:t>standing offer prices</w:t>
            </w:r>
          </w:p>
        </w:tc>
        <w:tc>
          <w:tcPr>
            <w:tcW w:w="7335" w:type="dxa"/>
          </w:tcPr>
          <w:p w14:paraId="06CFE7FE" w14:textId="16DCFECE" w:rsidR="006B2C1B" w:rsidRDefault="006B2C1B" w:rsidP="006B2C1B">
            <w:r>
              <w:t>the prices that apply to the offers that an electricity retailer is required to make to small customers under State and Territory law, or that apply when electricity is supplied to a small customer otherwise than under a contract (for example, when the customer continues to be supplied with electricity after a contract has expired)</w:t>
            </w:r>
          </w:p>
        </w:tc>
      </w:tr>
    </w:tbl>
    <w:p w14:paraId="7FDF478E" w14:textId="33C91783" w:rsidR="00BA7D75" w:rsidRDefault="00BA7D75">
      <w:pPr>
        <w:spacing w:after="0" w:line="240" w:lineRule="auto"/>
        <w:rPr>
          <w:rFonts w:cs="Arial"/>
          <w:b/>
          <w:caps/>
        </w:rPr>
      </w:pPr>
      <w:r>
        <w:br w:type="page"/>
      </w:r>
    </w:p>
    <w:p w14:paraId="114C346F" w14:textId="0DFEF4AF" w:rsidR="00084CC4" w:rsidRDefault="00084CC4" w:rsidP="00084CC4">
      <w:pPr>
        <w:pStyle w:val="Heading1"/>
        <w:jc w:val="center"/>
      </w:pPr>
      <w:bookmarkStart w:id="1" w:name="_Hlk24635377"/>
      <w:r>
        <w:lastRenderedPageBreak/>
        <w:t xml:space="preserve">Details of the </w:t>
      </w:r>
      <w:r w:rsidRPr="00E255FA">
        <w:rPr>
          <w:i/>
          <w:szCs w:val="24"/>
        </w:rPr>
        <w:t xml:space="preserve">Competition and Consumer </w:t>
      </w:r>
      <w:r w:rsidR="008B4585">
        <w:rPr>
          <w:i/>
          <w:szCs w:val="24"/>
        </w:rPr>
        <w:t>Legislation Amendment (</w:t>
      </w:r>
      <w:r w:rsidRPr="00E255FA">
        <w:rPr>
          <w:i/>
        </w:rPr>
        <w:t xml:space="preserve">Electricity Retail) Regulations </w:t>
      </w:r>
      <w:r w:rsidRPr="00C808D9">
        <w:rPr>
          <w:i/>
        </w:rPr>
        <w:t>20</w:t>
      </w:r>
      <w:r w:rsidR="004F6109">
        <w:rPr>
          <w:i/>
        </w:rPr>
        <w:t>20</w:t>
      </w:r>
    </w:p>
    <w:bookmarkEnd w:id="1"/>
    <w:p w14:paraId="33844C4F" w14:textId="77777777" w:rsidR="00084CC4" w:rsidRPr="006745C3" w:rsidRDefault="00084CC4" w:rsidP="00084CC4">
      <w:pPr>
        <w:pStyle w:val="Heading2"/>
      </w:pPr>
      <w:r>
        <w:t>Section</w:t>
      </w:r>
      <w:r w:rsidRPr="006745C3">
        <w:t xml:space="preserve"> 1 – Name </w:t>
      </w:r>
    </w:p>
    <w:p w14:paraId="75703F33" w14:textId="08FD83A4" w:rsidR="00084CC4" w:rsidRPr="004356C7" w:rsidRDefault="00084CC4" w:rsidP="00084CC4">
      <w:pPr>
        <w:spacing w:before="240"/>
        <w:rPr>
          <w:rFonts w:cs="Times New Roman"/>
          <w:szCs w:val="24"/>
        </w:rPr>
      </w:pPr>
      <w:r w:rsidRPr="006745C3">
        <w:rPr>
          <w:rFonts w:cs="Times New Roman"/>
          <w:szCs w:val="24"/>
        </w:rPr>
        <w:t xml:space="preserve">This </w:t>
      </w:r>
      <w:r>
        <w:rPr>
          <w:rFonts w:cs="Times New Roman"/>
          <w:szCs w:val="24"/>
        </w:rPr>
        <w:t>section provides</w:t>
      </w:r>
      <w:r w:rsidRPr="006745C3">
        <w:rPr>
          <w:rFonts w:cs="Times New Roman"/>
          <w:szCs w:val="24"/>
        </w:rPr>
        <w:t xml:space="preserve"> </w:t>
      </w:r>
      <w:r>
        <w:rPr>
          <w:rFonts w:cs="Times New Roman"/>
          <w:szCs w:val="24"/>
        </w:rPr>
        <w:t xml:space="preserve">that </w:t>
      </w:r>
      <w:r w:rsidRPr="006745C3">
        <w:rPr>
          <w:rFonts w:cs="Times New Roman"/>
          <w:szCs w:val="24"/>
        </w:rPr>
        <w:t xml:space="preserve">the name of the </w:t>
      </w:r>
      <w:r>
        <w:rPr>
          <w:rFonts w:cs="Times New Roman"/>
          <w:szCs w:val="24"/>
        </w:rPr>
        <w:t xml:space="preserve">Regulations is </w:t>
      </w:r>
      <w:r w:rsidRPr="006745C3">
        <w:rPr>
          <w:rFonts w:cs="Times New Roman"/>
          <w:szCs w:val="24"/>
        </w:rPr>
        <w:t xml:space="preserve">the </w:t>
      </w:r>
      <w:r w:rsidRPr="005D7828">
        <w:rPr>
          <w:i/>
        </w:rPr>
        <w:t xml:space="preserve">Competition and Consumer </w:t>
      </w:r>
      <w:r w:rsidR="008B4585">
        <w:rPr>
          <w:i/>
        </w:rPr>
        <w:t xml:space="preserve">Legislation Amendment </w:t>
      </w:r>
      <w:r w:rsidRPr="005D7828">
        <w:rPr>
          <w:i/>
        </w:rPr>
        <w:t xml:space="preserve">(Electricity Retail) Regulations </w:t>
      </w:r>
      <w:r w:rsidRPr="00C808D9">
        <w:rPr>
          <w:i/>
        </w:rPr>
        <w:t>20</w:t>
      </w:r>
      <w:r w:rsidR="004F6109">
        <w:rPr>
          <w:i/>
        </w:rPr>
        <w:t>20</w:t>
      </w:r>
      <w:r w:rsidRPr="004356C7">
        <w:rPr>
          <w:rFonts w:cs="Times New Roman"/>
          <w:szCs w:val="24"/>
        </w:rPr>
        <w:t>.</w:t>
      </w:r>
    </w:p>
    <w:p w14:paraId="6E3572D2" w14:textId="77777777" w:rsidR="00084CC4" w:rsidRPr="006745C3" w:rsidRDefault="00084CC4" w:rsidP="00084CC4">
      <w:pPr>
        <w:pStyle w:val="Heading2"/>
      </w:pPr>
      <w:r>
        <w:t>Section</w:t>
      </w:r>
      <w:r w:rsidRPr="006745C3">
        <w:t xml:space="preserve"> </w:t>
      </w:r>
      <w:r>
        <w:t>2</w:t>
      </w:r>
      <w:r w:rsidRPr="006745C3">
        <w:t xml:space="preserve"> – Commencement</w:t>
      </w:r>
    </w:p>
    <w:p w14:paraId="1382E6B1" w14:textId="77777777" w:rsidR="00762D3F" w:rsidRDefault="00084CC4" w:rsidP="00084CC4">
      <w:pPr>
        <w:spacing w:before="240" w:after="100" w:afterAutospacing="1"/>
        <w:rPr>
          <w:rFonts w:cs="Times New Roman"/>
          <w:szCs w:val="24"/>
        </w:rPr>
      </w:pPr>
      <w:r w:rsidRPr="00E36A84">
        <w:rPr>
          <w:rFonts w:cs="Times New Roman"/>
          <w:szCs w:val="24"/>
        </w:rPr>
        <w:t xml:space="preserve">This section </w:t>
      </w:r>
      <w:r>
        <w:rPr>
          <w:rFonts w:cs="Times New Roman"/>
          <w:szCs w:val="24"/>
        </w:rPr>
        <w:t>provides that</w:t>
      </w:r>
      <w:r w:rsidR="00762D3F">
        <w:rPr>
          <w:rFonts w:cs="Times New Roman"/>
          <w:szCs w:val="24"/>
        </w:rPr>
        <w:t>:</w:t>
      </w:r>
    </w:p>
    <w:p w14:paraId="1FD8C648" w14:textId="6385268E" w:rsidR="00762D3F" w:rsidRDefault="004C4A2C" w:rsidP="00762D3F">
      <w:pPr>
        <w:pStyle w:val="ListBullet"/>
      </w:pPr>
      <w:r>
        <w:t xml:space="preserve">sections 1 to 4 and Schedule 1 to </w:t>
      </w:r>
      <w:r w:rsidR="00084CC4">
        <w:t>the Regulations</w:t>
      </w:r>
      <w:r>
        <w:t xml:space="preserve"> commence on the day after the Regulations are registered </w:t>
      </w:r>
    </w:p>
    <w:p w14:paraId="5A3B718D" w14:textId="26D68E77" w:rsidR="00762D3F" w:rsidRDefault="004C4A2C" w:rsidP="00762D3F">
      <w:pPr>
        <w:pStyle w:val="ListBullet"/>
      </w:pPr>
      <w:r>
        <w:t>Schedule 2 commences on 1 July 2020</w:t>
      </w:r>
      <w:r w:rsidR="00051011">
        <w:t>.</w:t>
      </w:r>
    </w:p>
    <w:p w14:paraId="0C8B566F" w14:textId="77777777" w:rsidR="00084CC4" w:rsidRPr="006745C3" w:rsidRDefault="00084CC4" w:rsidP="00084CC4">
      <w:pPr>
        <w:pStyle w:val="Heading2"/>
      </w:pPr>
      <w:r>
        <w:t>Section 3</w:t>
      </w:r>
      <w:r w:rsidRPr="006745C3">
        <w:t xml:space="preserve"> – Authority</w:t>
      </w:r>
    </w:p>
    <w:p w14:paraId="587FA5C8" w14:textId="54506378" w:rsidR="00084CC4" w:rsidRDefault="00084CC4" w:rsidP="00084CC4">
      <w:pPr>
        <w:spacing w:before="240"/>
        <w:rPr>
          <w:rFonts w:cs="Times New Roman"/>
          <w:szCs w:val="24"/>
        </w:rPr>
      </w:pPr>
      <w:r w:rsidRPr="006745C3">
        <w:rPr>
          <w:rFonts w:cs="Times New Roman"/>
          <w:szCs w:val="24"/>
        </w:rPr>
        <w:t>This s</w:t>
      </w:r>
      <w:r>
        <w:rPr>
          <w:rFonts w:cs="Times New Roman"/>
          <w:szCs w:val="24"/>
        </w:rPr>
        <w:t xml:space="preserve">ection provides that the Regulations are authorised by </w:t>
      </w:r>
      <w:r w:rsidRPr="006745C3">
        <w:rPr>
          <w:rFonts w:cs="Times New Roman"/>
          <w:szCs w:val="24"/>
        </w:rPr>
        <w:t xml:space="preserve">the </w:t>
      </w:r>
      <w:r w:rsidR="00D070B4" w:rsidRPr="00893243">
        <w:t>CCA</w:t>
      </w:r>
      <w:r w:rsidR="005B2970">
        <w:t xml:space="preserve">, in </w:t>
      </w:r>
      <w:r>
        <w:rPr>
          <w:rFonts w:cs="Times New Roman"/>
          <w:szCs w:val="24"/>
        </w:rPr>
        <w:t>particular</w:t>
      </w:r>
      <w:r w:rsidR="005B2970">
        <w:rPr>
          <w:rFonts w:cs="Times New Roman"/>
          <w:szCs w:val="24"/>
        </w:rPr>
        <w:t>,</w:t>
      </w:r>
      <w:r>
        <w:rPr>
          <w:rFonts w:cs="Times New Roman"/>
          <w:szCs w:val="24"/>
        </w:rPr>
        <w:t xml:space="preserve"> </w:t>
      </w:r>
      <w:r w:rsidR="005B2970">
        <w:rPr>
          <w:rFonts w:cs="Times New Roman"/>
          <w:szCs w:val="24"/>
        </w:rPr>
        <w:t>paragraph 44AH(b) and</w:t>
      </w:r>
      <w:r>
        <w:rPr>
          <w:rFonts w:cs="Times New Roman"/>
          <w:szCs w:val="24"/>
        </w:rPr>
        <w:t xml:space="preserve"> section</w:t>
      </w:r>
      <w:r w:rsidR="00F8552D">
        <w:rPr>
          <w:rFonts w:cs="Times New Roman"/>
          <w:szCs w:val="24"/>
        </w:rPr>
        <w:t>s</w:t>
      </w:r>
      <w:r>
        <w:rPr>
          <w:rFonts w:cs="Times New Roman"/>
          <w:szCs w:val="24"/>
        </w:rPr>
        <w:t xml:space="preserve"> 51AE</w:t>
      </w:r>
      <w:r w:rsidR="00FF21AB">
        <w:rPr>
          <w:rFonts w:cs="Times New Roman"/>
          <w:szCs w:val="24"/>
        </w:rPr>
        <w:t xml:space="preserve"> </w:t>
      </w:r>
      <w:r w:rsidR="00F8552D">
        <w:rPr>
          <w:rFonts w:cs="Times New Roman"/>
          <w:szCs w:val="24"/>
        </w:rPr>
        <w:t>and 172</w:t>
      </w:r>
      <w:r>
        <w:rPr>
          <w:rFonts w:cs="Times New Roman"/>
          <w:szCs w:val="24"/>
        </w:rPr>
        <w:t xml:space="preserve">.  </w:t>
      </w:r>
    </w:p>
    <w:p w14:paraId="3407D21B" w14:textId="77777777" w:rsidR="00084CC4" w:rsidRDefault="00084CC4" w:rsidP="00084CC4">
      <w:pPr>
        <w:pStyle w:val="Heading2"/>
      </w:pPr>
      <w:r>
        <w:t xml:space="preserve">Section 4 – </w:t>
      </w:r>
      <w:r w:rsidR="00FF21AB">
        <w:t>Schedules</w:t>
      </w:r>
    </w:p>
    <w:p w14:paraId="2B143797" w14:textId="77777777" w:rsidR="00084CC4" w:rsidRDefault="00084CC4" w:rsidP="00084CC4">
      <w:pPr>
        <w:spacing w:before="240"/>
        <w:rPr>
          <w:rFonts w:cs="Times New Roman"/>
          <w:szCs w:val="24"/>
        </w:rPr>
      </w:pPr>
      <w:r>
        <w:rPr>
          <w:rFonts w:cs="Times New Roman"/>
          <w:szCs w:val="24"/>
        </w:rPr>
        <w:t xml:space="preserve">This section </w:t>
      </w:r>
      <w:r w:rsidR="00FF21AB">
        <w:rPr>
          <w:rFonts w:cs="Times New Roman"/>
          <w:szCs w:val="24"/>
        </w:rPr>
        <w:t xml:space="preserve">provides that the </w:t>
      </w:r>
      <w:r w:rsidR="00FA2936">
        <w:rPr>
          <w:rFonts w:cs="Times New Roman"/>
          <w:szCs w:val="24"/>
        </w:rPr>
        <w:t xml:space="preserve">Industry Code Regulations </w:t>
      </w:r>
      <w:r w:rsidR="00534B27">
        <w:rPr>
          <w:rFonts w:cs="Times New Roman"/>
          <w:szCs w:val="24"/>
        </w:rPr>
        <w:t xml:space="preserve">and the </w:t>
      </w:r>
      <w:r w:rsidR="00534B27">
        <w:rPr>
          <w:rFonts w:cs="Times New Roman"/>
          <w:i/>
          <w:szCs w:val="24"/>
        </w:rPr>
        <w:t xml:space="preserve">Competition and Consumer Regulations 2010 </w:t>
      </w:r>
      <w:r w:rsidR="00FF21AB">
        <w:rPr>
          <w:rFonts w:cs="Times New Roman"/>
          <w:szCs w:val="24"/>
        </w:rPr>
        <w:t>are amended in accordance with the Schedules</w:t>
      </w:r>
      <w:r w:rsidR="00534B27">
        <w:rPr>
          <w:rFonts w:cs="Times New Roman"/>
          <w:szCs w:val="24"/>
        </w:rPr>
        <w:t xml:space="preserve"> to the Regulations</w:t>
      </w:r>
      <w:r>
        <w:rPr>
          <w:rFonts w:cs="Times New Roman"/>
          <w:szCs w:val="24"/>
        </w:rPr>
        <w:t xml:space="preserve">. </w:t>
      </w:r>
    </w:p>
    <w:p w14:paraId="41A57745" w14:textId="77777777" w:rsidR="00534B27" w:rsidRDefault="00534B27" w:rsidP="00084CC4">
      <w:pPr>
        <w:pStyle w:val="Heading2"/>
      </w:pPr>
      <w:r>
        <w:t>Schedule 1 – Amendments commencing day after registration</w:t>
      </w:r>
    </w:p>
    <w:p w14:paraId="03DD5CA0" w14:textId="4A31324C" w:rsidR="00534B27" w:rsidRDefault="00534B27" w:rsidP="00534B27">
      <w:pPr>
        <w:pStyle w:val="Heading3"/>
      </w:pPr>
      <w:r w:rsidRPr="00893243">
        <w:t xml:space="preserve">Part 1 – Solar </w:t>
      </w:r>
      <w:r w:rsidR="00D070B4">
        <w:t>photo</w:t>
      </w:r>
      <w:r w:rsidRPr="00893243">
        <w:t>voltaic units</w:t>
      </w:r>
    </w:p>
    <w:p w14:paraId="538AF656" w14:textId="77777777" w:rsidR="00062946" w:rsidRDefault="00534B27" w:rsidP="00A34F64">
      <w:r>
        <w:t>Part 1 of Schedule 1 extend</w:t>
      </w:r>
      <w:r w:rsidR="000218E9">
        <w:t>s</w:t>
      </w:r>
      <w:r>
        <w:t xml:space="preserve"> the code to </w:t>
      </w:r>
      <w:r w:rsidR="00171168">
        <w:t xml:space="preserve">small customers with PV systems. </w:t>
      </w:r>
      <w:r w:rsidR="00D070B4">
        <w:t xml:space="preserve">This means that </w:t>
      </w:r>
      <w:r w:rsidR="001E7610">
        <w:t xml:space="preserve">from 1 July 2020: </w:t>
      </w:r>
    </w:p>
    <w:p w14:paraId="0083F70B" w14:textId="4C3FF186" w:rsidR="00062946" w:rsidRDefault="00D070B4" w:rsidP="00D75317">
      <w:pPr>
        <w:pStyle w:val="ListBullet"/>
      </w:pPr>
      <w:r>
        <w:t xml:space="preserve">standing offer prices for small customers with PV systems will be capped in accordance with section 10 of the Industry Code Regulations </w:t>
      </w:r>
    </w:p>
    <w:p w14:paraId="47581FD4" w14:textId="61A92075" w:rsidR="00534B27" w:rsidRDefault="00D070B4" w:rsidP="00D75317">
      <w:pPr>
        <w:pStyle w:val="ListBullet"/>
      </w:pPr>
      <w:r>
        <w:t>electricity retailers must compare their prices for such customers with the relevant reference price determined by the AER.</w:t>
      </w:r>
    </w:p>
    <w:p w14:paraId="1AC9F560" w14:textId="77777777" w:rsidR="001D7EA8" w:rsidRDefault="001D7EA8" w:rsidP="001D7EA8">
      <w:pPr>
        <w:pStyle w:val="Heading4"/>
      </w:pPr>
      <w:r>
        <w:t>Item 1 – Subsection 2(1) (table item 2)</w:t>
      </w:r>
    </w:p>
    <w:p w14:paraId="50D72E81" w14:textId="3FD15F4B" w:rsidR="001D7EA8" w:rsidRDefault="001D7EA8" w:rsidP="001D7EA8">
      <w:r>
        <w:t xml:space="preserve">Item 1 </w:t>
      </w:r>
      <w:r w:rsidR="00A34F64">
        <w:t>amends</w:t>
      </w:r>
      <w:r>
        <w:t xml:space="preserve"> the commencement provision in the Industry Code Regulations to reflect the repeal of section 11 </w:t>
      </w:r>
      <w:r w:rsidR="00A34F64">
        <w:t>(made by item 5)</w:t>
      </w:r>
      <w:r>
        <w:t>.</w:t>
      </w:r>
    </w:p>
    <w:p w14:paraId="6A1FE167" w14:textId="77777777" w:rsidR="001D7EA8" w:rsidRDefault="001D7EA8" w:rsidP="001D7EA8">
      <w:pPr>
        <w:pStyle w:val="Heading4"/>
      </w:pPr>
      <w:r>
        <w:t>Item 2 – Paragraph 6(3)(c)</w:t>
      </w:r>
    </w:p>
    <w:p w14:paraId="641724C0" w14:textId="74D58EBA" w:rsidR="001D7EA8" w:rsidRDefault="001D7EA8" w:rsidP="001D7EA8">
      <w:r>
        <w:t xml:space="preserve">Item 2 </w:t>
      </w:r>
      <w:r w:rsidR="00A34F64">
        <w:t>amends</w:t>
      </w:r>
      <w:r>
        <w:t xml:space="preserve"> paragraph 6(3)(c) of the Industry Code Regulations to reflect the repeal of paragraph 6(3)(d)</w:t>
      </w:r>
      <w:r w:rsidR="00A34F64">
        <w:t xml:space="preserve"> (made by item 3)</w:t>
      </w:r>
      <w:r>
        <w:t>.</w:t>
      </w:r>
    </w:p>
    <w:p w14:paraId="66E9CF03" w14:textId="77777777" w:rsidR="001D7EA8" w:rsidRDefault="001D7EA8" w:rsidP="001D7EA8">
      <w:pPr>
        <w:pStyle w:val="Heading4"/>
      </w:pPr>
      <w:r>
        <w:lastRenderedPageBreak/>
        <w:t>Item 3 – Paragraph 6(3)(d)</w:t>
      </w:r>
    </w:p>
    <w:p w14:paraId="32B78A32" w14:textId="2B04C47E" w:rsidR="001D7EA8" w:rsidRDefault="001D7EA8" w:rsidP="001D7EA8">
      <w:r>
        <w:t xml:space="preserve">Item 3 deletes the existing carve out for </w:t>
      </w:r>
      <w:r w:rsidR="0053283F">
        <w:t xml:space="preserve">small customers with </w:t>
      </w:r>
      <w:r>
        <w:t xml:space="preserve">PV systems contained in paragraph 6(3)(d) of the Industry Code Regulations. In effect, for the purposes of the code, </w:t>
      </w:r>
      <w:r w:rsidR="00194176">
        <w:t>the</w:t>
      </w:r>
      <w:r>
        <w:t xml:space="preserve"> three types of small customers</w:t>
      </w:r>
      <w:r w:rsidR="00194176">
        <w:t xml:space="preserve"> </w:t>
      </w:r>
      <w:r w:rsidR="00F6580D">
        <w:t>will be</w:t>
      </w:r>
      <w:r>
        <w:t>:</w:t>
      </w:r>
    </w:p>
    <w:p w14:paraId="463D6D6A" w14:textId="77777777" w:rsidR="001D7EA8" w:rsidRDefault="001D7EA8" w:rsidP="001D7EA8">
      <w:pPr>
        <w:pStyle w:val="ListBullet"/>
      </w:pPr>
      <w:r>
        <w:t>residential customers with a controlled load tariff</w:t>
      </w:r>
      <w:r w:rsidR="00495B87">
        <w:t xml:space="preserve"> (irrespective of whether or not they have a PV system)</w:t>
      </w:r>
      <w:r>
        <w:t>, other than those on a demand tariff or who are supplied through a prepayment meter or embedded network</w:t>
      </w:r>
    </w:p>
    <w:p w14:paraId="3D9B5FC3" w14:textId="77777777" w:rsidR="001D7EA8" w:rsidRDefault="001D7EA8" w:rsidP="001D7EA8">
      <w:pPr>
        <w:pStyle w:val="ListBullet"/>
      </w:pPr>
      <w:r>
        <w:t>residential customers without a controlled load tariff</w:t>
      </w:r>
      <w:r w:rsidR="00495B87">
        <w:t xml:space="preserve"> (irrespective of whether or not they have a PV system)</w:t>
      </w:r>
      <w:r>
        <w:t>, other than those on a demand tariff or who are supplied through a prepayment meter or embedded network</w:t>
      </w:r>
    </w:p>
    <w:p w14:paraId="0CB59708" w14:textId="7D29B2BD" w:rsidR="001D7EA8" w:rsidRPr="001D7EA8" w:rsidRDefault="001D7EA8" w:rsidP="001D7EA8">
      <w:pPr>
        <w:pStyle w:val="ListBullet"/>
      </w:pPr>
      <w:r>
        <w:t>small business customers</w:t>
      </w:r>
      <w:r w:rsidR="00495B87">
        <w:t xml:space="preserve"> (irrespective of whether or not they have a PV system)</w:t>
      </w:r>
      <w:r>
        <w:t xml:space="preserve">, other than those on a </w:t>
      </w:r>
      <w:r w:rsidR="00C037A2">
        <w:t xml:space="preserve">controlled load, </w:t>
      </w:r>
      <w:r>
        <w:t xml:space="preserve">flexible or demand tariff </w:t>
      </w:r>
      <w:r w:rsidR="00E4760C">
        <w:t xml:space="preserve">or </w:t>
      </w:r>
      <w:r w:rsidR="00C037A2">
        <w:t xml:space="preserve">which </w:t>
      </w:r>
      <w:r w:rsidR="00E4760C">
        <w:t>are supplied through a prepayment meter or embedded network</w:t>
      </w:r>
      <w:r w:rsidR="00495B87">
        <w:t>.</w:t>
      </w:r>
    </w:p>
    <w:p w14:paraId="2D6FC38E" w14:textId="77777777" w:rsidR="00171168" w:rsidRDefault="00495B87" w:rsidP="00495B87">
      <w:pPr>
        <w:pStyle w:val="Heading4"/>
      </w:pPr>
      <w:r>
        <w:t>Item 4 – Section 8A</w:t>
      </w:r>
    </w:p>
    <w:p w14:paraId="33ADFA86" w14:textId="4F35878A" w:rsidR="00495B87" w:rsidRDefault="00495B87" w:rsidP="00495B87">
      <w:r>
        <w:t xml:space="preserve">Item 4 inserts new section 8A into the Industry Code Regulations. This section provides that, for the purposes of the Industry Code Regulations, any amount that an electricity retailer must pay (or credit) to a consumer for electricity generated by the consumer’s PV system must be disregarded. This means, for example, that </w:t>
      </w:r>
      <w:r w:rsidR="001E7610">
        <w:t xml:space="preserve">a retailer’s </w:t>
      </w:r>
      <w:r w:rsidR="0053283F">
        <w:t>solar feed-in tariffs do not need to be factored into the AER’s reference price determinations</w:t>
      </w:r>
      <w:r>
        <w:t>.</w:t>
      </w:r>
    </w:p>
    <w:p w14:paraId="3470BBA6" w14:textId="77777777" w:rsidR="00495B87" w:rsidRDefault="00495B87" w:rsidP="00495B87">
      <w:pPr>
        <w:pStyle w:val="Heading4"/>
      </w:pPr>
      <w:r>
        <w:t>Item 5 – Section 11</w:t>
      </w:r>
    </w:p>
    <w:p w14:paraId="63DBA864" w14:textId="4197A265" w:rsidR="00495B87" w:rsidRDefault="00495B87" w:rsidP="00495B87">
      <w:r>
        <w:t>Item 5 repeals section 11 of the Industry Code Regulations</w:t>
      </w:r>
      <w:r w:rsidR="00E414C3">
        <w:t xml:space="preserve">. Section 11 provides an alternative mechanism for extending the code to small customers with PV systems </w:t>
      </w:r>
      <w:r w:rsidR="009F7D60">
        <w:t xml:space="preserve">and </w:t>
      </w:r>
      <w:r w:rsidR="00E414C3">
        <w:t>is no longer required.</w:t>
      </w:r>
    </w:p>
    <w:p w14:paraId="7CD80367" w14:textId="77777777" w:rsidR="00E414C3" w:rsidRDefault="00E414C3" w:rsidP="00E414C3">
      <w:pPr>
        <w:pStyle w:val="Heading4"/>
      </w:pPr>
      <w:r>
        <w:t>Item 6 – Subsection 19(2)</w:t>
      </w:r>
    </w:p>
    <w:p w14:paraId="06078906" w14:textId="13FFFCA1" w:rsidR="00E414C3" w:rsidRDefault="00E414C3" w:rsidP="00E414C3">
      <w:r>
        <w:t xml:space="preserve">Item 6 </w:t>
      </w:r>
      <w:r w:rsidR="0087544E">
        <w:t>amends</w:t>
      </w:r>
      <w:r>
        <w:t xml:space="preserve"> the application provision in the Industry Code Regulations to reflect the repeal of section 11</w:t>
      </w:r>
      <w:r w:rsidR="0053283F">
        <w:t xml:space="preserve"> (made by item 5)</w:t>
      </w:r>
      <w:r>
        <w:t>.</w:t>
      </w:r>
    </w:p>
    <w:p w14:paraId="6A204F5E" w14:textId="77777777" w:rsidR="00E414C3" w:rsidRDefault="00E414C3" w:rsidP="00E414C3">
      <w:pPr>
        <w:pStyle w:val="Heading3"/>
      </w:pPr>
      <w:r>
        <w:t>Part 2 – Demand tariffs and flexible tariffs</w:t>
      </w:r>
    </w:p>
    <w:p w14:paraId="7491BF15" w14:textId="658F55DE" w:rsidR="00E414C3" w:rsidRDefault="00E414C3" w:rsidP="00E414C3">
      <w:r>
        <w:t>Part 2 of Schedule 1 extend</w:t>
      </w:r>
      <w:r w:rsidR="000218E9">
        <w:t>s</w:t>
      </w:r>
      <w:r>
        <w:t xml:space="preserve"> the cap on standing offer prices to flexible tariffs for residential customers and </w:t>
      </w:r>
      <w:r w:rsidR="000218E9">
        <w:t>clarifies</w:t>
      </w:r>
      <w:r>
        <w:t xml:space="preserve"> that a demand tariff is not a flexible tariff.</w:t>
      </w:r>
    </w:p>
    <w:p w14:paraId="165C8516" w14:textId="77777777" w:rsidR="00E414C3" w:rsidRDefault="00E414C3" w:rsidP="00E414C3">
      <w:pPr>
        <w:pStyle w:val="Heading4"/>
      </w:pPr>
      <w:r>
        <w:t>Item 7 – Section 5</w:t>
      </w:r>
    </w:p>
    <w:p w14:paraId="766A6B97" w14:textId="325260C9" w:rsidR="00E414C3" w:rsidRDefault="00E414C3" w:rsidP="00E414C3">
      <w:r>
        <w:t xml:space="preserve">Item 7 inserts a new definition of </w:t>
      </w:r>
      <w:r w:rsidR="0087544E">
        <w:t>‘</w:t>
      </w:r>
      <w:r>
        <w:t>demand tariff</w:t>
      </w:r>
      <w:r w:rsidR="0087544E">
        <w:t>’</w:t>
      </w:r>
      <w:r>
        <w:t xml:space="preserve"> in</w:t>
      </w:r>
      <w:r w:rsidR="00EA34FC">
        <w:t>to</w:t>
      </w:r>
      <w:r>
        <w:t xml:space="preserve"> section 5 of the Industry Code Regulations. In effect, a demand tariff is a tariff that includes a charge which reflects the maximum demand </w:t>
      </w:r>
      <w:r w:rsidR="00EA34FC">
        <w:t xml:space="preserve">(in kilowatts) </w:t>
      </w:r>
      <w:r>
        <w:t>the customer puts on the</w:t>
      </w:r>
      <w:r w:rsidR="00EA34FC">
        <w:t xml:space="preserve"> electricity</w:t>
      </w:r>
      <w:r>
        <w:t xml:space="preserve"> network </w:t>
      </w:r>
      <w:r w:rsidR="00EA34FC">
        <w:t xml:space="preserve">during the periods when </w:t>
      </w:r>
      <w:r w:rsidR="0053283F">
        <w:t>network-wide demand is highest</w:t>
      </w:r>
      <w:r w:rsidR="00EA34FC">
        <w:t xml:space="preserve"> (for example, </w:t>
      </w:r>
      <w:r>
        <w:t xml:space="preserve">between 5pm and 8pm on weeknights). </w:t>
      </w:r>
      <w:r w:rsidR="00012266">
        <w:t xml:space="preserve">A demand charge </w:t>
      </w:r>
      <w:r w:rsidR="000218E9">
        <w:t>is</w:t>
      </w:r>
      <w:r w:rsidR="00012266">
        <w:t xml:space="preserve"> usually in addition to a daily supply charge (which is a fixed amount) and a usage charge (which reflects the total amount of electricity the customer uses (in kilowatt hours) during </w:t>
      </w:r>
      <w:r w:rsidR="000218E9">
        <w:t>a</w:t>
      </w:r>
      <w:r w:rsidR="00012266">
        <w:t xml:space="preserve"> billing period).</w:t>
      </w:r>
    </w:p>
    <w:p w14:paraId="6BAE6E73" w14:textId="063535B6" w:rsidR="00012266" w:rsidRDefault="00012266" w:rsidP="00012266">
      <w:pPr>
        <w:pStyle w:val="Heading4"/>
      </w:pPr>
      <w:r>
        <w:lastRenderedPageBreak/>
        <w:t xml:space="preserve">Item 8 – </w:t>
      </w:r>
      <w:r w:rsidR="000F3507">
        <w:t>Section 5 (d</w:t>
      </w:r>
      <w:r>
        <w:t xml:space="preserve">efinition of </w:t>
      </w:r>
      <w:r w:rsidR="000F3507">
        <w:t>‘</w:t>
      </w:r>
      <w:r>
        <w:t>flexible tariff</w:t>
      </w:r>
      <w:r w:rsidR="000F3507">
        <w:t>’)</w:t>
      </w:r>
    </w:p>
    <w:p w14:paraId="1DD00F84" w14:textId="77777777" w:rsidR="00012266" w:rsidRDefault="00012266" w:rsidP="00012266">
      <w:r>
        <w:t xml:space="preserve">Item 8 amends the definition of ‘flexible tariff’ in section 5 of the Industry Code Regulations to clarify that a demand tariff is not a flexible tariff. </w:t>
      </w:r>
    </w:p>
    <w:p w14:paraId="51EFF76B" w14:textId="43BB0601" w:rsidR="00012266" w:rsidRDefault="00012266" w:rsidP="00012266">
      <w:pPr>
        <w:pStyle w:val="Heading4"/>
      </w:pPr>
      <w:r w:rsidRPr="00893243">
        <w:t>Item 9 –</w:t>
      </w:r>
      <w:r w:rsidR="00536584" w:rsidRPr="00893243">
        <w:t>P</w:t>
      </w:r>
      <w:r w:rsidRPr="00893243">
        <w:t>aragraph 6(3)(a)</w:t>
      </w:r>
    </w:p>
    <w:p w14:paraId="7DF3B41C" w14:textId="052C768C" w:rsidR="00012266" w:rsidRDefault="00012266" w:rsidP="00012266">
      <w:r>
        <w:t xml:space="preserve">Item 9 </w:t>
      </w:r>
      <w:r w:rsidR="007A5459">
        <w:t xml:space="preserve">amends paragraph 6(3)(a) of the Industry Code Regulations to clarify </w:t>
      </w:r>
      <w:r w:rsidR="00536584">
        <w:t xml:space="preserve">that </w:t>
      </w:r>
      <w:r w:rsidR="00D9381C">
        <w:t>the code does not apply to demand tariffs</w:t>
      </w:r>
      <w:r w:rsidR="00536584">
        <w:t xml:space="preserve"> (as defined in item 7)</w:t>
      </w:r>
      <w:r w:rsidR="00D9381C">
        <w:t>.</w:t>
      </w:r>
    </w:p>
    <w:p w14:paraId="09519A20" w14:textId="77777777" w:rsidR="00D9381C" w:rsidRDefault="00D9381C" w:rsidP="00D9381C">
      <w:pPr>
        <w:pStyle w:val="Heading4"/>
      </w:pPr>
      <w:r>
        <w:t>Item 10 – Subsection 10(1)</w:t>
      </w:r>
    </w:p>
    <w:p w14:paraId="1A926C28" w14:textId="713DD0C2" w:rsidR="00D9381C" w:rsidRDefault="00D9381C" w:rsidP="00D9381C">
      <w:r>
        <w:t xml:space="preserve">Item 10 amends subsection 10(1) of the Industry Code Regulations to extend the cap on standing offer prices to flexible tariffs for residential customers. </w:t>
      </w:r>
      <w:r w:rsidR="0053283F">
        <w:t>The cap continue</w:t>
      </w:r>
      <w:r w:rsidR="00194176">
        <w:t>s</w:t>
      </w:r>
      <w:r w:rsidR="0053283F">
        <w:t xml:space="preserve"> not to apply to flexible tariffs for small business customers.</w:t>
      </w:r>
    </w:p>
    <w:p w14:paraId="280114DD" w14:textId="37F76381" w:rsidR="007825C6" w:rsidRDefault="007825C6" w:rsidP="007825C6">
      <w:pPr>
        <w:pStyle w:val="Heading3"/>
      </w:pPr>
      <w:r>
        <w:t>Part 3 – Functions of the AER</w:t>
      </w:r>
    </w:p>
    <w:p w14:paraId="24F2A787" w14:textId="748496DD" w:rsidR="00F6580D" w:rsidRDefault="00F6580D" w:rsidP="00F6580D">
      <w:r>
        <w:t>Part 3</w:t>
      </w:r>
      <w:r w:rsidR="007825C6">
        <w:t xml:space="preserve"> of Schedule 1</w:t>
      </w:r>
      <w:r>
        <w:t xml:space="preserve"> makes the AER’s model annual usage</w:t>
      </w:r>
      <w:r w:rsidRPr="001F00D5">
        <w:t xml:space="preserve"> </w:t>
      </w:r>
      <w:r>
        <w:t>and reference price determinations non-disallowable legislative instruments</w:t>
      </w:r>
      <w:r w:rsidR="00EB21EE">
        <w:t xml:space="preserve"> and makes other amendments consequential to the commencement of Schedule 2 to the PEMM Act</w:t>
      </w:r>
      <w:r>
        <w:t xml:space="preserve">. </w:t>
      </w:r>
    </w:p>
    <w:p w14:paraId="0C11BAF1" w14:textId="77777777" w:rsidR="00F6580D" w:rsidRDefault="00F6580D" w:rsidP="00F6580D">
      <w:r>
        <w:t>A model annual usage determination specifies how much electricity the AER considers a representative small customer would consume in a year (and the pattern of that consumption); a reference price determination specifies the annual price the AER considers reasonable for that quantity. Different determinations are made for different types of customers and for each different distribution region. When making a reference price determination, the AER must have regard to a range of factors, including the principle that an electricity retailer should be able to make a reasonable profit in relation to supplying electricity in a region. This type of function is</w:t>
      </w:r>
      <w:r w:rsidRPr="000C2EF1">
        <w:t xml:space="preserve"> most suited to an independent economic regulator, </w:t>
      </w:r>
      <w:r>
        <w:t xml:space="preserve">and it is therefore appropriate that the </w:t>
      </w:r>
      <w:r w:rsidRPr="000C2EF1">
        <w:t>determination</w:t>
      </w:r>
      <w:r>
        <w:t>s</w:t>
      </w:r>
      <w:r w:rsidRPr="000C2EF1">
        <w:t xml:space="preserve"> </w:t>
      </w:r>
      <w:r>
        <w:t xml:space="preserve">are </w:t>
      </w:r>
      <w:r w:rsidRPr="000C2EF1">
        <w:t>non-disallowable.</w:t>
      </w:r>
      <w:r w:rsidRPr="000C2EF1" w:rsidDel="004E3CA2">
        <w:t xml:space="preserve"> </w:t>
      </w:r>
    </w:p>
    <w:p w14:paraId="1F3D5B50" w14:textId="1D9C9359" w:rsidR="00F6580D" w:rsidRDefault="00F6580D" w:rsidP="00F6580D">
      <w:r>
        <w:t xml:space="preserve">The determinations were initially made disallowable (subsection 16(5) of the Industry Code Regulations) to ensure that the code did not need to be remade each time the determinations were updated (as per subsection 14(2) of the </w:t>
      </w:r>
      <w:r w:rsidRPr="00BA7D75">
        <w:rPr>
          <w:i/>
        </w:rPr>
        <w:t>Legislation Act 2003</w:t>
      </w:r>
      <w:r>
        <w:t xml:space="preserve">). </w:t>
      </w:r>
      <w:r w:rsidR="00D07BAC">
        <w:t>The effect of s</w:t>
      </w:r>
      <w:r w:rsidR="007825C6">
        <w:t>ubsections 44AH(3) and 51AE(3) of the CCA</w:t>
      </w:r>
      <w:r w:rsidR="00D07BAC">
        <w:t xml:space="preserve"> (inserted by Schedule 2 to the PEMM Act)</w:t>
      </w:r>
      <w:r w:rsidR="007825C6">
        <w:t xml:space="preserve">, </w:t>
      </w:r>
      <w:r w:rsidR="00D07BAC">
        <w:t xml:space="preserve">together with </w:t>
      </w:r>
      <w:r>
        <w:t xml:space="preserve">the amendments made by Part </w:t>
      </w:r>
      <w:r w:rsidR="00D07BAC">
        <w:t>3</w:t>
      </w:r>
      <w:r>
        <w:t xml:space="preserve"> of Schedule </w:t>
      </w:r>
      <w:r w:rsidR="00D07BAC">
        <w:t>1</w:t>
      </w:r>
      <w:r>
        <w:t xml:space="preserve"> to the Regulations, is that the code can </w:t>
      </w:r>
      <w:r w:rsidR="00EB21EE">
        <w:t xml:space="preserve">now </w:t>
      </w:r>
      <w:r>
        <w:t>incorporate non-disallowable determinations as in force from time to time.</w:t>
      </w:r>
    </w:p>
    <w:p w14:paraId="0FE4C28A" w14:textId="77777777" w:rsidR="00F6580D" w:rsidRPr="000C2EF1" w:rsidRDefault="00F6580D" w:rsidP="00F6580D">
      <w:r>
        <w:t>Making the determinations non-disallowable is co</w:t>
      </w:r>
      <w:r w:rsidRPr="000C2EF1">
        <w:t>nsistent with the position that would apply in any event under s</w:t>
      </w:r>
      <w:r>
        <w:t>ubs</w:t>
      </w:r>
      <w:r w:rsidRPr="000C2EF1">
        <w:t>ection</w:t>
      </w:r>
      <w:r>
        <w:t> </w:t>
      </w:r>
      <w:r w:rsidRPr="000C2EF1">
        <w:t xml:space="preserve">44(1) of the </w:t>
      </w:r>
      <w:r w:rsidRPr="0073174D">
        <w:rPr>
          <w:i/>
        </w:rPr>
        <w:t>Legislation Act 2003</w:t>
      </w:r>
      <w:r w:rsidRPr="000C2EF1">
        <w:t xml:space="preserve"> (at least to the extent that the AER is an intergovernmental body within the meaning of that section, on account of it consisting of Commonwealth and State/Territory members and being established in accordance with an intergovernmental agreement (the Australian Energy Market Agreement) for the purposes of furthering an intergovernmental scheme (the national energy laws)). In particular, </w:t>
      </w:r>
      <w:r>
        <w:t>sub</w:t>
      </w:r>
      <w:r w:rsidRPr="000C2EF1">
        <w:t>section</w:t>
      </w:r>
      <w:r>
        <w:t> </w:t>
      </w:r>
      <w:r w:rsidRPr="000C2EF1">
        <w:t xml:space="preserve">44(1) provides that section 42 of the </w:t>
      </w:r>
      <w:r w:rsidRPr="0073174D">
        <w:rPr>
          <w:i/>
        </w:rPr>
        <w:t>Legislation Act 2003</w:t>
      </w:r>
      <w:r w:rsidRPr="000C2EF1">
        <w:t xml:space="preserve"> </w:t>
      </w:r>
      <w:r>
        <w:t xml:space="preserve">(which deals with the disallowance of legislative instruments) </w:t>
      </w:r>
      <w:r w:rsidRPr="000C2EF1">
        <w:t>does not apply in relation to a legislative instrument, or a provision of a legislative instrument, if the enabling legislation for the instrument (in this case,</w:t>
      </w:r>
      <w:r>
        <w:t xml:space="preserve"> Part 3 of</w:t>
      </w:r>
      <w:r w:rsidRPr="000C2EF1">
        <w:t xml:space="preserve"> the </w:t>
      </w:r>
      <w:r>
        <w:t>Industry Code Regulations</w:t>
      </w:r>
      <w:r w:rsidRPr="000C2EF1">
        <w:t>)</w:t>
      </w:r>
      <w:r>
        <w:t>:</w:t>
      </w:r>
      <w:r w:rsidRPr="000C2EF1">
        <w:t xml:space="preserve"> (a) facilitates the establishment or operation of an intergovernmental body or scheme involving the Commonwealth and one or more States </w:t>
      </w:r>
      <w:r w:rsidRPr="000C2EF1">
        <w:lastRenderedPageBreak/>
        <w:t xml:space="preserve">and (b) authorises the instrument to be made by the body or for the purposes of the body or scheme, unless the instrument is a regulation, or the enabling legislation or some other Act has the effect that the instrument is disallowable. </w:t>
      </w:r>
    </w:p>
    <w:p w14:paraId="5607DDA1" w14:textId="77777777" w:rsidR="00F6580D" w:rsidRDefault="00F6580D" w:rsidP="00F6580D">
      <w:r>
        <w:t xml:space="preserve">While the AER determinations will be non-disallowable, they will continue to be freely and easily accessible to the public on the Federal Register of Legislation. </w:t>
      </w:r>
    </w:p>
    <w:p w14:paraId="06CE5DDB" w14:textId="1B457B7D" w:rsidR="00F6580D" w:rsidRDefault="00F6580D" w:rsidP="00F6580D">
      <w:pPr>
        <w:pStyle w:val="Heading4"/>
      </w:pPr>
      <w:r>
        <w:t>Item 1</w:t>
      </w:r>
      <w:r w:rsidR="00D07BAC">
        <w:t>1</w:t>
      </w:r>
      <w:r>
        <w:t xml:space="preserve"> – Section 5 (definition of ‘model annual usage’)</w:t>
      </w:r>
    </w:p>
    <w:p w14:paraId="35F35168" w14:textId="1D584A59" w:rsidR="00F6580D" w:rsidRDefault="00F6580D" w:rsidP="00F6580D">
      <w:r>
        <w:t>Item 1</w:t>
      </w:r>
      <w:r w:rsidR="00D07BAC">
        <w:t>1</w:t>
      </w:r>
      <w:r>
        <w:t xml:space="preserve"> amends the definition of ‘model annual usage’ to reflect the repeal of section 18 of the Industry Code Regulations (made by item </w:t>
      </w:r>
      <w:r w:rsidR="00D07BAC">
        <w:t>1</w:t>
      </w:r>
      <w:r>
        <w:t>6).</w:t>
      </w:r>
    </w:p>
    <w:p w14:paraId="5286DB1F" w14:textId="5F290488" w:rsidR="00F6580D" w:rsidRDefault="00F6580D" w:rsidP="00F6580D">
      <w:pPr>
        <w:pStyle w:val="Heading4"/>
      </w:pPr>
      <w:r>
        <w:t xml:space="preserve">Item </w:t>
      </w:r>
      <w:r w:rsidR="00D07BAC">
        <w:t>1</w:t>
      </w:r>
      <w:r>
        <w:t>2 – Section 5 (definition of ‘reference price’)</w:t>
      </w:r>
    </w:p>
    <w:p w14:paraId="1A911406" w14:textId="64430551" w:rsidR="00F6580D" w:rsidRDefault="00F6580D" w:rsidP="00F6580D">
      <w:r>
        <w:t xml:space="preserve">Item </w:t>
      </w:r>
      <w:r w:rsidR="00D07BAC">
        <w:t>1</w:t>
      </w:r>
      <w:r>
        <w:t xml:space="preserve">2 amends the definition of ‘reference price’ to reflect the repeal of section 18 of the Industry Code Regulations (made by item </w:t>
      </w:r>
      <w:r w:rsidR="00D07BAC">
        <w:t>1</w:t>
      </w:r>
      <w:r>
        <w:t>6).</w:t>
      </w:r>
    </w:p>
    <w:p w14:paraId="4AB9E2E6" w14:textId="7A2FF18E" w:rsidR="00F6580D" w:rsidRDefault="00F6580D" w:rsidP="00F6580D">
      <w:pPr>
        <w:pStyle w:val="Heading4"/>
      </w:pPr>
      <w:r>
        <w:t xml:space="preserve">Item </w:t>
      </w:r>
      <w:r w:rsidR="00D07BAC">
        <w:t>1</w:t>
      </w:r>
      <w:r>
        <w:t>3 – Section 15</w:t>
      </w:r>
    </w:p>
    <w:p w14:paraId="58427EA6" w14:textId="776D2331" w:rsidR="00F6580D" w:rsidRPr="000F3507" w:rsidRDefault="00F6580D" w:rsidP="00F6580D">
      <w:r>
        <w:t xml:space="preserve">Item </w:t>
      </w:r>
      <w:r w:rsidR="00D07BAC">
        <w:t>1</w:t>
      </w:r>
      <w:r>
        <w:t xml:space="preserve">3 repeals section 15 of the Industry Code Regulations and splits it into two new sections. New section 14A provides that Part 3 of the Industry Code Regulations is made for the purposes of paragraph 44AH(1)(b) of the CCA. This reflects changes to the numbering of section 44AH </w:t>
      </w:r>
      <w:r w:rsidR="00D07BAC">
        <w:t>made by</w:t>
      </w:r>
      <w:r>
        <w:t xml:space="preserve"> Schedule 2 to the PEMM Act</w:t>
      </w:r>
      <w:r>
        <w:rPr>
          <w:i/>
        </w:rPr>
        <w:t xml:space="preserve">. </w:t>
      </w:r>
      <w:r>
        <w:t xml:space="preserve">New section 15 provides that the AER has the function of determining the matters required or permitted by the rest of Part 3 to be determined by the AER. </w:t>
      </w:r>
    </w:p>
    <w:p w14:paraId="0A019221" w14:textId="08C07EAD" w:rsidR="00F6580D" w:rsidRDefault="00F6580D" w:rsidP="00F6580D">
      <w:pPr>
        <w:pStyle w:val="Heading4"/>
      </w:pPr>
      <w:r>
        <w:t xml:space="preserve">Item </w:t>
      </w:r>
      <w:r w:rsidR="00D07BAC">
        <w:t>1</w:t>
      </w:r>
      <w:r>
        <w:t>4 – Subsection 16(5)</w:t>
      </w:r>
    </w:p>
    <w:p w14:paraId="794FBE12" w14:textId="7E0E6406" w:rsidR="00F6580D" w:rsidRDefault="00F6580D" w:rsidP="00F6580D">
      <w:r>
        <w:t xml:space="preserve">Item </w:t>
      </w:r>
      <w:r w:rsidR="00D07BAC">
        <w:t>1</w:t>
      </w:r>
      <w:r>
        <w:t xml:space="preserve">4 repeals subsection 16(5) of the Industry Code Regulations. The effect of this repeal, when read together with subsection 44AH(3) of the CCA, is that determinations made by the AER under Part 3 of the Industry Code Regulations are non-disallowable legislative instruments. </w:t>
      </w:r>
    </w:p>
    <w:p w14:paraId="033BC0B0" w14:textId="0920360A" w:rsidR="00F6580D" w:rsidRDefault="00F6580D" w:rsidP="00F6580D">
      <w:pPr>
        <w:pStyle w:val="Heading4"/>
      </w:pPr>
      <w:r>
        <w:t xml:space="preserve">Item </w:t>
      </w:r>
      <w:r w:rsidR="00D07BAC">
        <w:t>1</w:t>
      </w:r>
      <w:r>
        <w:t>5 – Paragraph 17(5)(b)</w:t>
      </w:r>
    </w:p>
    <w:p w14:paraId="265BD510" w14:textId="4869A008" w:rsidR="00F6580D" w:rsidRDefault="00F6580D" w:rsidP="00F6580D">
      <w:r>
        <w:t xml:space="preserve">Item </w:t>
      </w:r>
      <w:r w:rsidR="00D07BAC">
        <w:t>1</w:t>
      </w:r>
      <w:r>
        <w:t xml:space="preserve">5 amends paragraph 17(5)(b) of the Industry Code Regulations to reflect the amendments made by item </w:t>
      </w:r>
      <w:r w:rsidR="00D07BAC">
        <w:t>1</w:t>
      </w:r>
      <w:r>
        <w:t>4.</w:t>
      </w:r>
    </w:p>
    <w:p w14:paraId="2C099857" w14:textId="172D2DA6" w:rsidR="00F6580D" w:rsidRDefault="00F6580D" w:rsidP="00F6580D">
      <w:pPr>
        <w:pStyle w:val="Heading4"/>
      </w:pPr>
      <w:r>
        <w:t xml:space="preserve">Item </w:t>
      </w:r>
      <w:r w:rsidR="00D07BAC">
        <w:t>1</w:t>
      </w:r>
      <w:r>
        <w:t>6 – Section 18</w:t>
      </w:r>
    </w:p>
    <w:p w14:paraId="0725FDB4" w14:textId="2B23A887" w:rsidR="00F6580D" w:rsidRDefault="00F6580D" w:rsidP="00F6580D">
      <w:r>
        <w:t xml:space="preserve">Item </w:t>
      </w:r>
      <w:r w:rsidR="00D07BAC">
        <w:t>1</w:t>
      </w:r>
      <w:r>
        <w:t xml:space="preserve">6 repeals section 18 of the Industry Code Regulations to reflect the amendments made by item </w:t>
      </w:r>
      <w:r w:rsidR="00D07BAC">
        <w:t>1</w:t>
      </w:r>
      <w:r>
        <w:t>4.</w:t>
      </w:r>
    </w:p>
    <w:p w14:paraId="4AB153B0" w14:textId="59C53933" w:rsidR="00F6580D" w:rsidRDefault="00F6580D" w:rsidP="00F6580D">
      <w:pPr>
        <w:pStyle w:val="Heading4"/>
      </w:pPr>
      <w:r>
        <w:t>Item 1</w:t>
      </w:r>
      <w:r w:rsidR="00D07BAC">
        <w:t>7</w:t>
      </w:r>
      <w:r>
        <w:t xml:space="preserve"> – Regulation 7AA</w:t>
      </w:r>
      <w:r w:rsidR="00D07BAC">
        <w:t xml:space="preserve"> of the Competition and Consumer Regulations 2010</w:t>
      </w:r>
    </w:p>
    <w:p w14:paraId="0FE45910" w14:textId="6A2246DD" w:rsidR="00F6580D" w:rsidRPr="000A25E3" w:rsidRDefault="00F6580D" w:rsidP="00F6580D">
      <w:r>
        <w:t>Item 1</w:t>
      </w:r>
      <w:r w:rsidR="00D07BAC">
        <w:t>7</w:t>
      </w:r>
      <w:r>
        <w:t xml:space="preserve"> amends regulation 7AA of the </w:t>
      </w:r>
      <w:r>
        <w:rPr>
          <w:i/>
        </w:rPr>
        <w:t xml:space="preserve">Competition and Consumer Regulations 2010 </w:t>
      </w:r>
      <w:r>
        <w:t>to reflect the changes to the numbering of section 44AH of the CCA</w:t>
      </w:r>
      <w:r>
        <w:rPr>
          <w:i/>
        </w:rPr>
        <w:t xml:space="preserve"> </w:t>
      </w:r>
      <w:r>
        <w:t xml:space="preserve">made </w:t>
      </w:r>
      <w:r w:rsidR="00D07BAC">
        <w:t>by</w:t>
      </w:r>
      <w:r>
        <w:t xml:space="preserve"> Schedule 2 to the PEMM Act</w:t>
      </w:r>
      <w:r>
        <w:rPr>
          <w:i/>
        </w:rPr>
        <w:t>.</w:t>
      </w:r>
    </w:p>
    <w:p w14:paraId="7E4C0CA6" w14:textId="70F2DDB4" w:rsidR="00D9381C" w:rsidRDefault="00D9381C" w:rsidP="00D9381C">
      <w:pPr>
        <w:pStyle w:val="Heading3"/>
      </w:pPr>
      <w:r>
        <w:lastRenderedPageBreak/>
        <w:t xml:space="preserve">Part </w:t>
      </w:r>
      <w:r w:rsidR="00F6580D">
        <w:t>4</w:t>
      </w:r>
      <w:r>
        <w:t xml:space="preserve"> – Other amendments</w:t>
      </w:r>
    </w:p>
    <w:p w14:paraId="468E3F81" w14:textId="30302A9E" w:rsidR="00D9381C" w:rsidRDefault="00D9381C" w:rsidP="00D9381C">
      <w:pPr>
        <w:pStyle w:val="Heading4"/>
      </w:pPr>
      <w:r>
        <w:t>Item 1</w:t>
      </w:r>
      <w:r w:rsidR="00D07BAC">
        <w:t>8</w:t>
      </w:r>
      <w:r>
        <w:t xml:space="preserve"> – Paragraph 8(a)</w:t>
      </w:r>
    </w:p>
    <w:p w14:paraId="5A2713CD" w14:textId="42DFBC5A" w:rsidR="00D9381C" w:rsidRDefault="00D9381C" w:rsidP="00D9381C">
      <w:r>
        <w:t>Item 1</w:t>
      </w:r>
      <w:r w:rsidR="00D07BAC">
        <w:t>8</w:t>
      </w:r>
      <w:r>
        <w:t xml:space="preserve"> corrects a minor typographical error in paragraph 8(a) of the Industry Code Regulations.</w:t>
      </w:r>
    </w:p>
    <w:p w14:paraId="282F7471" w14:textId="1C499114" w:rsidR="00D9381C" w:rsidRDefault="00D9381C" w:rsidP="00D9381C">
      <w:pPr>
        <w:pStyle w:val="Heading3"/>
      </w:pPr>
      <w:r>
        <w:t xml:space="preserve">Part </w:t>
      </w:r>
      <w:r w:rsidR="00F6580D">
        <w:t>5</w:t>
      </w:r>
      <w:r>
        <w:t xml:space="preserve"> – Application of amendments</w:t>
      </w:r>
    </w:p>
    <w:p w14:paraId="3F92EC24" w14:textId="4D4F7193" w:rsidR="00D9381C" w:rsidRDefault="00D9381C" w:rsidP="00D9381C">
      <w:pPr>
        <w:pStyle w:val="Heading4"/>
      </w:pPr>
      <w:r>
        <w:t>Item 1</w:t>
      </w:r>
      <w:r w:rsidR="00D07BAC">
        <w:t>9</w:t>
      </w:r>
      <w:r>
        <w:t xml:space="preserve"> – Section 21</w:t>
      </w:r>
    </w:p>
    <w:p w14:paraId="4BE96483" w14:textId="4D0E7108" w:rsidR="00E90F55" w:rsidRDefault="00D9381C" w:rsidP="00D9381C">
      <w:r>
        <w:t>Item 1</w:t>
      </w:r>
      <w:r w:rsidR="00D07BAC">
        <w:t>9</w:t>
      </w:r>
      <w:r>
        <w:t xml:space="preserve"> inserts a new section 21 into the Industry Code Regulations dealing with the application of the amendments made by </w:t>
      </w:r>
      <w:r w:rsidR="00CE52B0">
        <w:t>Parts 1</w:t>
      </w:r>
      <w:r w:rsidR="00D07BAC">
        <w:t>,</w:t>
      </w:r>
      <w:r w:rsidR="00CE52B0">
        <w:t xml:space="preserve"> 2 </w:t>
      </w:r>
      <w:r w:rsidR="00D07BAC">
        <w:t xml:space="preserve">and 3 </w:t>
      </w:r>
      <w:r w:rsidR="00CE52B0">
        <w:t xml:space="preserve">of </w:t>
      </w:r>
      <w:r>
        <w:t xml:space="preserve">Schedule 1 to the Regulations. </w:t>
      </w:r>
    </w:p>
    <w:p w14:paraId="0279F9CC" w14:textId="48A3BD87" w:rsidR="00D9381C" w:rsidRDefault="00E90F55" w:rsidP="00D9381C">
      <w:r>
        <w:t>T</w:t>
      </w:r>
      <w:r w:rsidR="00D07BAC">
        <w:t>he amendments made by Parts 1 and 2</w:t>
      </w:r>
      <w:r w:rsidR="00CE52B0">
        <w:t xml:space="preserve"> </w:t>
      </w:r>
      <w:r>
        <w:t xml:space="preserve">of Schedule 1 </w:t>
      </w:r>
      <w:r w:rsidR="00CE52B0">
        <w:t>apply in relation to financial years starting on or after 1 July 2020</w:t>
      </w:r>
      <w:r w:rsidR="00CE67E4">
        <w:t xml:space="preserve">, and advertising that occurs </w:t>
      </w:r>
      <w:r w:rsidR="003807EE">
        <w:t xml:space="preserve">on or </w:t>
      </w:r>
      <w:r w:rsidR="00CE67E4">
        <w:t>after that date</w:t>
      </w:r>
      <w:r w:rsidR="00CE52B0">
        <w:t>.</w:t>
      </w:r>
      <w:r w:rsidR="00893243">
        <w:t xml:space="preserve"> This means, for instance, that the cap on standing offer prices for small customers with PV systems and residential customers on flexible tariffs applies from 1 July 2020. The AER may, however, make relevant determinations under Part 3 of the Industry Code Regulations from the day after the Regulations are registered (when Schedule 1 commences).</w:t>
      </w:r>
      <w:r>
        <w:t xml:space="preserve"> The timing requirements in subsection 17(1), paragraph 17(2)(b) and subsection 17(3) </w:t>
      </w:r>
      <w:r w:rsidR="0046459A">
        <w:t xml:space="preserve">of the Industry Code Regulations </w:t>
      </w:r>
      <w:r>
        <w:t>do not apply to the 2020-21 determinations. This is to accommodate the fact that the AER released its draft 2020-21 determinations before Schedule 1 to the Regulations commenced.</w:t>
      </w:r>
    </w:p>
    <w:p w14:paraId="6C077DF3" w14:textId="7EA38CC7" w:rsidR="00D07BAC" w:rsidRDefault="00D07BAC" w:rsidP="00D07BAC">
      <w:r>
        <w:t>The amendments made by Part 3 of Schedule 1 apply in relation to a determination made on or after the commencement of Schedule 1.</w:t>
      </w:r>
    </w:p>
    <w:p w14:paraId="1C70BCFC" w14:textId="77777777" w:rsidR="00CE52B0" w:rsidRDefault="00CE52B0" w:rsidP="00CE52B0">
      <w:pPr>
        <w:pStyle w:val="Heading2"/>
      </w:pPr>
      <w:r>
        <w:t>Schedule 2 – Amendments commencing 1 July 2020</w:t>
      </w:r>
    </w:p>
    <w:p w14:paraId="2C0EDA08" w14:textId="77777777" w:rsidR="00CE52B0" w:rsidRDefault="00CE52B0" w:rsidP="00CE52B0">
      <w:pPr>
        <w:pStyle w:val="Heading3"/>
      </w:pPr>
      <w:r>
        <w:t>Part 1 – Main amendments</w:t>
      </w:r>
    </w:p>
    <w:p w14:paraId="50CF1E27" w14:textId="206AEB15" w:rsidR="00CE52B0" w:rsidRDefault="00CE52B0" w:rsidP="00CE52B0">
      <w:r>
        <w:t xml:space="preserve">Part 1 of Schedule 2 </w:t>
      </w:r>
      <w:r w:rsidR="000C6100">
        <w:t xml:space="preserve">extends the reference price comparison obligation to </w:t>
      </w:r>
      <w:r w:rsidR="00B70FF8">
        <w:t xml:space="preserve">price variation notices </w:t>
      </w:r>
      <w:r w:rsidR="000C6100">
        <w:t xml:space="preserve">and imposes new record-keeping requirements on </w:t>
      </w:r>
      <w:r w:rsidR="00BC11AA">
        <w:t xml:space="preserve">electricity </w:t>
      </w:r>
      <w:r w:rsidR="000C6100">
        <w:t>retailers</w:t>
      </w:r>
      <w:r>
        <w:t>.</w:t>
      </w:r>
    </w:p>
    <w:p w14:paraId="58783456" w14:textId="5B841DC4" w:rsidR="006452F5" w:rsidRDefault="006452F5" w:rsidP="00CE52B0">
      <w:pPr>
        <w:pStyle w:val="Heading4"/>
      </w:pPr>
      <w:r>
        <w:t>Item 1 – Section 5 (after paragraph (</w:t>
      </w:r>
      <w:r w:rsidR="000B7EBB">
        <w:t>c</w:t>
      </w:r>
      <w:r>
        <w:t>) of the note</w:t>
      </w:r>
      <w:r w:rsidR="003807EE">
        <w:t xml:space="preserve"> to the heading</w:t>
      </w:r>
      <w:r>
        <w:t>)</w:t>
      </w:r>
    </w:p>
    <w:p w14:paraId="423078E0" w14:textId="40C94119" w:rsidR="006452F5" w:rsidRPr="00243B60" w:rsidRDefault="006452F5" w:rsidP="00893243">
      <w:r>
        <w:t xml:space="preserve">Item 1 </w:t>
      </w:r>
      <w:r w:rsidR="000B6A59">
        <w:t>amends</w:t>
      </w:r>
      <w:r>
        <w:t xml:space="preserve"> section </w:t>
      </w:r>
      <w:r w:rsidR="00077EB9">
        <w:t xml:space="preserve">5 </w:t>
      </w:r>
      <w:r>
        <w:t>of the Industry Code Regulations</w:t>
      </w:r>
      <w:r w:rsidR="000B6A59">
        <w:t xml:space="preserve"> to note </w:t>
      </w:r>
      <w:r>
        <w:t>that ‘</w:t>
      </w:r>
      <w:r w:rsidR="000B7EBB">
        <w:t xml:space="preserve">personal information’ </w:t>
      </w:r>
      <w:r>
        <w:t xml:space="preserve">has the meaning given in the CCA. </w:t>
      </w:r>
    </w:p>
    <w:p w14:paraId="34C48F51" w14:textId="0600B246" w:rsidR="00CE52B0" w:rsidRDefault="00CE52B0" w:rsidP="00CE52B0">
      <w:pPr>
        <w:pStyle w:val="Heading4"/>
      </w:pPr>
      <w:r>
        <w:t xml:space="preserve">Item </w:t>
      </w:r>
      <w:r w:rsidR="00D75317">
        <w:t>2</w:t>
      </w:r>
      <w:r>
        <w:t xml:space="preserve"> – Section 5</w:t>
      </w:r>
    </w:p>
    <w:p w14:paraId="73BAE566" w14:textId="6C86A7A5" w:rsidR="00CE52B0" w:rsidRDefault="00AF130E" w:rsidP="00CE52B0">
      <w:r>
        <w:t xml:space="preserve">Item </w:t>
      </w:r>
      <w:r w:rsidR="00D75317">
        <w:t>2</w:t>
      </w:r>
      <w:r>
        <w:t xml:space="preserve"> </w:t>
      </w:r>
      <w:r w:rsidR="00085A7E">
        <w:t xml:space="preserve">amends section </w:t>
      </w:r>
      <w:r w:rsidR="00077EB9">
        <w:t xml:space="preserve">5 </w:t>
      </w:r>
      <w:r w:rsidR="00085A7E">
        <w:t xml:space="preserve">of the Industry Code Regulations to signpost that ‘communicate’, in relation to </w:t>
      </w:r>
      <w:r w:rsidR="009F7D60">
        <w:t xml:space="preserve">electricity </w:t>
      </w:r>
      <w:r w:rsidR="00085A7E">
        <w:t>prices, has the meaning given by subsection</w:t>
      </w:r>
      <w:r w:rsidR="00077EB9">
        <w:t> </w:t>
      </w:r>
      <w:r w:rsidR="00085A7E">
        <w:t xml:space="preserve">12(2A). </w:t>
      </w:r>
      <w:r w:rsidR="001A5DC4">
        <w:t xml:space="preserve"> </w:t>
      </w:r>
    </w:p>
    <w:p w14:paraId="13FB0CAE" w14:textId="513238FA" w:rsidR="000B6A59" w:rsidRDefault="000B6A59" w:rsidP="0099609A">
      <w:pPr>
        <w:pStyle w:val="Heading4"/>
      </w:pPr>
      <w:r>
        <w:t xml:space="preserve">Item </w:t>
      </w:r>
      <w:r w:rsidR="00BC11AA">
        <w:t>3</w:t>
      </w:r>
      <w:r>
        <w:t xml:space="preserve"> – subsection 10(4)</w:t>
      </w:r>
    </w:p>
    <w:p w14:paraId="7E99C2B7" w14:textId="0EC0AAB0" w:rsidR="000B6A59" w:rsidRDefault="000B6A59" w:rsidP="0099609A">
      <w:r>
        <w:t xml:space="preserve">Item </w:t>
      </w:r>
      <w:r w:rsidR="00BC11AA">
        <w:t>3</w:t>
      </w:r>
      <w:r>
        <w:t xml:space="preserve"> inserts new subsection 10(4) into the Industry Code Regulations, requiring </w:t>
      </w:r>
      <w:r w:rsidR="007A5459">
        <w:t>an electricity retailer</w:t>
      </w:r>
      <w:r>
        <w:t xml:space="preserve"> to make a record demonstrating how it calculated </w:t>
      </w:r>
      <w:r w:rsidR="007A5459">
        <w:t>the total annual amount that a small customer of a particular type would pay for electricity at the retailer’s standing offer prices if the customer consumed electricity in accordance with the relevant AER model annual usage determination.</w:t>
      </w:r>
      <w:r w:rsidR="00243B60">
        <w:t xml:space="preserve"> The record must be kept for six years from the end of the relevant financial year.</w:t>
      </w:r>
    </w:p>
    <w:p w14:paraId="4496722A" w14:textId="187BB484" w:rsidR="00243B60" w:rsidRDefault="00243B60" w:rsidP="00243B60">
      <w:r>
        <w:lastRenderedPageBreak/>
        <w:t xml:space="preserve">A civil penalty of 300 penalty units applies for non-compliance with this requirement. This is the maximum penalty permitted for a civil penalty provision of an industry code (subsection 51AE(2) of the </w:t>
      </w:r>
      <w:r w:rsidRPr="0099609A">
        <w:t>CCA</w:t>
      </w:r>
      <w:r>
        <w:t>). The imposition of the maximum penalty is necessary to ensure compliance with subsection 10(4) and is in line with the penalties that apply to record-keeping requirements in other industry codes (such as the Horticulture Code of Conduct).</w:t>
      </w:r>
    </w:p>
    <w:p w14:paraId="5AA69E4E" w14:textId="1122A38A" w:rsidR="00243B60" w:rsidRDefault="00243B60" w:rsidP="00243B60">
      <w:pPr>
        <w:rPr>
          <w:rFonts w:cs="Times New Roman"/>
          <w:szCs w:val="24"/>
        </w:rPr>
      </w:pPr>
      <w:r>
        <w:t>The</w:t>
      </w:r>
      <w:r w:rsidR="00C90964">
        <w:t xml:space="preserve"> CCA</w:t>
      </w:r>
      <w:r>
        <w:rPr>
          <w:i/>
        </w:rPr>
        <w:t xml:space="preserve"> </w:t>
      </w:r>
      <w:r>
        <w:t xml:space="preserve">also permits the ACCC </w:t>
      </w:r>
      <w:r w:rsidRPr="00CA7BFE">
        <w:rPr>
          <w:rFonts w:cs="Times New Roman"/>
          <w:szCs w:val="24"/>
        </w:rPr>
        <w:t>to pursue other remedies against non-compliant retailers</w:t>
      </w:r>
      <w:r>
        <w:rPr>
          <w:rFonts w:cs="Times New Roman"/>
          <w:szCs w:val="24"/>
        </w:rPr>
        <w:t>, including the issue of infringement notices (sections 51ACC to 51ACJ) or</w:t>
      </w:r>
      <w:r w:rsidRPr="00CA7BFE">
        <w:rPr>
          <w:rFonts w:cs="Times New Roman"/>
          <w:szCs w:val="24"/>
        </w:rPr>
        <w:t xml:space="preserve"> public warning notice</w:t>
      </w:r>
      <w:r>
        <w:rPr>
          <w:rFonts w:cs="Times New Roman"/>
          <w:szCs w:val="24"/>
        </w:rPr>
        <w:t>s</w:t>
      </w:r>
      <w:r w:rsidRPr="00CA7BFE">
        <w:rPr>
          <w:rFonts w:cs="Times New Roman"/>
          <w:szCs w:val="24"/>
        </w:rPr>
        <w:t xml:space="preserve"> (section 51ADA)</w:t>
      </w:r>
      <w:r>
        <w:rPr>
          <w:rFonts w:cs="Times New Roman"/>
          <w:szCs w:val="24"/>
        </w:rPr>
        <w:t xml:space="preserve">, </w:t>
      </w:r>
      <w:r w:rsidRPr="00CA7BFE">
        <w:rPr>
          <w:rFonts w:cs="Times New Roman"/>
          <w:szCs w:val="24"/>
        </w:rPr>
        <w:t>injunctions (section 80), non-punitive orders, such as community service orders (section 86C) and other compensatory orders (section</w:t>
      </w:r>
      <w:r>
        <w:rPr>
          <w:rFonts w:cs="Times New Roman"/>
          <w:szCs w:val="24"/>
        </w:rPr>
        <w:t> </w:t>
      </w:r>
      <w:r w:rsidRPr="00CA7BFE">
        <w:rPr>
          <w:rFonts w:cs="Times New Roman"/>
          <w:szCs w:val="24"/>
        </w:rPr>
        <w:t>87). The ACCC can also accept administrative undertakings, under which a non-compliant retailer agree</w:t>
      </w:r>
      <w:r>
        <w:rPr>
          <w:rFonts w:cs="Times New Roman"/>
          <w:szCs w:val="24"/>
        </w:rPr>
        <w:t>s</w:t>
      </w:r>
      <w:r w:rsidRPr="00CA7BFE">
        <w:rPr>
          <w:rFonts w:cs="Times New Roman"/>
          <w:szCs w:val="24"/>
        </w:rPr>
        <w:t xml:space="preserve"> to remedy the harm caused by its conduct, accept responsibility for its actions and establish or review its compliance programs.</w:t>
      </w:r>
    </w:p>
    <w:p w14:paraId="5192AF3E" w14:textId="0359B33F" w:rsidR="000011F2" w:rsidRDefault="000011F2" w:rsidP="00243B60">
      <w:pPr>
        <w:rPr>
          <w:rFonts w:cs="Times New Roman"/>
          <w:szCs w:val="24"/>
        </w:rPr>
      </w:pPr>
      <w:r>
        <w:rPr>
          <w:rFonts w:cs="Times New Roman"/>
          <w:szCs w:val="24"/>
        </w:rPr>
        <w:t>Under section 51ADD of the CCA, if a corporation is required to keep, to generate or to publish information or a document under an applicable industry code, the ACCC can require the corporation to give that information or document to the ACCC for investigation and auditing purposes.</w:t>
      </w:r>
    </w:p>
    <w:p w14:paraId="41A057B4" w14:textId="1060C994" w:rsidR="00B934C6" w:rsidRDefault="00B934C6" w:rsidP="00B934C6">
      <w:pPr>
        <w:pStyle w:val="Heading4"/>
      </w:pPr>
      <w:r>
        <w:t xml:space="preserve">Item </w:t>
      </w:r>
      <w:r w:rsidR="00BC11AA">
        <w:t>4</w:t>
      </w:r>
      <w:r>
        <w:t xml:space="preserve"> – Subdivision B of Division of 2 of Part 2 (heading)</w:t>
      </w:r>
    </w:p>
    <w:p w14:paraId="2BDE1A25" w14:textId="6C21E99C" w:rsidR="00B934C6" w:rsidRDefault="00B934C6" w:rsidP="00B934C6">
      <w:r>
        <w:t xml:space="preserve">Item </w:t>
      </w:r>
      <w:r w:rsidR="00BC11AA">
        <w:t>4</w:t>
      </w:r>
      <w:r>
        <w:t xml:space="preserve"> </w:t>
      </w:r>
      <w:r w:rsidR="00E4168F">
        <w:t>amends</w:t>
      </w:r>
      <w:r>
        <w:t xml:space="preserve"> the heading of Subdivision B of Division 2 of Part 2 of the Industry Code Regulations</w:t>
      </w:r>
      <w:r w:rsidR="00E4168F">
        <w:t xml:space="preserve"> to reflect the new definition of ‘communicate’</w:t>
      </w:r>
      <w:r>
        <w:t>.</w:t>
      </w:r>
    </w:p>
    <w:p w14:paraId="328E4955" w14:textId="6C0C0460" w:rsidR="00B934C6" w:rsidRDefault="00B934C6" w:rsidP="00B934C6">
      <w:pPr>
        <w:pStyle w:val="Heading4"/>
      </w:pPr>
      <w:r>
        <w:t xml:space="preserve">Item </w:t>
      </w:r>
      <w:r w:rsidR="00BC11AA">
        <w:t>5</w:t>
      </w:r>
      <w:r>
        <w:t xml:space="preserve"> – Section 12 (heading)</w:t>
      </w:r>
    </w:p>
    <w:p w14:paraId="34A0A4FB" w14:textId="2410B6B6" w:rsidR="00B934C6" w:rsidRDefault="00B934C6" w:rsidP="00B934C6">
      <w:r>
        <w:t xml:space="preserve">Item </w:t>
      </w:r>
      <w:r w:rsidR="00BC11AA">
        <w:t>5</w:t>
      </w:r>
      <w:r>
        <w:t xml:space="preserve"> </w:t>
      </w:r>
      <w:r w:rsidR="00E4168F">
        <w:t>amends</w:t>
      </w:r>
      <w:r>
        <w:t xml:space="preserve"> the heading of section 12 of the Industry Code Regulations</w:t>
      </w:r>
      <w:r w:rsidR="00E4168F">
        <w:t xml:space="preserve"> to reflect the new definition of ‘communicate’.</w:t>
      </w:r>
    </w:p>
    <w:p w14:paraId="7957F211" w14:textId="303E23E2" w:rsidR="00B934C6" w:rsidRDefault="00B934C6" w:rsidP="00B934C6">
      <w:pPr>
        <w:pStyle w:val="Heading4"/>
      </w:pPr>
      <w:r>
        <w:t xml:space="preserve">Item </w:t>
      </w:r>
      <w:r w:rsidR="00BC11AA">
        <w:t>6</w:t>
      </w:r>
      <w:r>
        <w:t xml:space="preserve"> – Subsection 12(2)</w:t>
      </w:r>
    </w:p>
    <w:p w14:paraId="76DE33C4" w14:textId="78FDD2D2" w:rsidR="007F5FFD" w:rsidRDefault="00B934C6" w:rsidP="00F24583">
      <w:r>
        <w:t xml:space="preserve">Item </w:t>
      </w:r>
      <w:r w:rsidR="00BC11AA">
        <w:t>6</w:t>
      </w:r>
      <w:r>
        <w:t xml:space="preserve"> </w:t>
      </w:r>
      <w:r w:rsidR="00E4168F">
        <w:t>amends</w:t>
      </w:r>
      <w:r>
        <w:t xml:space="preserve"> subsection 12(2) of the Industry Code Regulations</w:t>
      </w:r>
      <w:r w:rsidR="00E4168F">
        <w:t xml:space="preserve"> to reflect the new definition of ‘communicate’</w:t>
      </w:r>
      <w:r w:rsidR="00FB2B9C">
        <w:t xml:space="preserve"> and inserts new subsection (2A), which define</w:t>
      </w:r>
      <w:r w:rsidR="00BC11AA">
        <w:t>s</w:t>
      </w:r>
      <w:r w:rsidR="00FB2B9C">
        <w:t xml:space="preserve"> that term</w:t>
      </w:r>
      <w:r>
        <w:t>.</w:t>
      </w:r>
      <w:r w:rsidR="00FB2B9C">
        <w:t xml:space="preserve"> </w:t>
      </w:r>
    </w:p>
    <w:p w14:paraId="52F328BE" w14:textId="3F162712" w:rsidR="007F5FFD" w:rsidRDefault="007440A5" w:rsidP="00F24583">
      <w:r>
        <w:t>A</w:t>
      </w:r>
      <w:r w:rsidR="007F5FFD">
        <w:t>n electricity</w:t>
      </w:r>
      <w:r>
        <w:t xml:space="preserve"> retailer ‘communicates’ its prices for supplying electricity in a particular distribution region to a small customer of a particular type if it</w:t>
      </w:r>
      <w:r w:rsidR="007F5FFD">
        <w:t>:</w:t>
      </w:r>
    </w:p>
    <w:p w14:paraId="4EB2A313" w14:textId="77777777" w:rsidR="007F5FFD" w:rsidRDefault="00FB2B9C" w:rsidP="00F24583">
      <w:pPr>
        <w:pStyle w:val="ListBullet"/>
      </w:pPr>
      <w:r>
        <w:t>advertise</w:t>
      </w:r>
      <w:r w:rsidR="007440A5">
        <w:t>s</w:t>
      </w:r>
      <w:r>
        <w:t xml:space="preserve"> or publish</w:t>
      </w:r>
      <w:r w:rsidR="007440A5">
        <w:t>es the</w:t>
      </w:r>
      <w:r>
        <w:t xml:space="preserve"> price</w:t>
      </w:r>
      <w:r w:rsidR="007440A5">
        <w:t>s</w:t>
      </w:r>
      <w:r>
        <w:t xml:space="preserve"> (for example, on a website)</w:t>
      </w:r>
    </w:p>
    <w:p w14:paraId="3B1DCE43" w14:textId="77777777" w:rsidR="007F5FFD" w:rsidRDefault="00FB2B9C" w:rsidP="00F24583">
      <w:pPr>
        <w:pStyle w:val="ListBullet"/>
      </w:pPr>
      <w:r>
        <w:t>offer</w:t>
      </w:r>
      <w:r w:rsidR="007440A5">
        <w:t>s</w:t>
      </w:r>
      <w:r>
        <w:t xml:space="preserve"> to supply electricity </w:t>
      </w:r>
      <w:r w:rsidR="007440A5">
        <w:t xml:space="preserve">in the region to the small customer at those </w:t>
      </w:r>
      <w:r>
        <w:t>price</w:t>
      </w:r>
      <w:r w:rsidR="007440A5">
        <w:t>s</w:t>
      </w:r>
      <w:r>
        <w:t xml:space="preserve"> (including over the phone or face to </w:t>
      </w:r>
      <w:r w:rsidR="007440A5">
        <w:t xml:space="preserve">face) or </w:t>
      </w:r>
    </w:p>
    <w:p w14:paraId="3A3F648D" w14:textId="61BD3D87" w:rsidR="00FB2B9C" w:rsidRPr="00FF425C" w:rsidRDefault="00BC11AA" w:rsidP="00F24583">
      <w:pPr>
        <w:pStyle w:val="ListBullet"/>
      </w:pPr>
      <w:r>
        <w:t>gives</w:t>
      </w:r>
      <w:r w:rsidR="00FB2B9C">
        <w:t xml:space="preserve"> a small customer </w:t>
      </w:r>
      <w:r w:rsidR="009F12F9">
        <w:t xml:space="preserve">written notice of </w:t>
      </w:r>
      <w:r w:rsidR="007F5FFD">
        <w:t>a change</w:t>
      </w:r>
      <w:r w:rsidR="00B70FF8">
        <w:t xml:space="preserve"> to the retailer’s prices</w:t>
      </w:r>
      <w:r w:rsidR="000160B1">
        <w:t xml:space="preserve"> (for example, a letter or email notifying the customer that the retailer’s prices have increased</w:t>
      </w:r>
      <w:r w:rsidR="00A8006F">
        <w:t xml:space="preserve"> or a benefit has ceased</w:t>
      </w:r>
      <w:r w:rsidR="000160B1">
        <w:t>)</w:t>
      </w:r>
      <w:r w:rsidR="00FB2B9C">
        <w:t>.</w:t>
      </w:r>
    </w:p>
    <w:p w14:paraId="28BCD703" w14:textId="3C8DB24F" w:rsidR="00FC748B" w:rsidRPr="00FC748B" w:rsidRDefault="00B70FF8" w:rsidP="00FC748B">
      <w:r>
        <w:t xml:space="preserve">A customer’s bill is not a ‘communication’ for these purposes, nor is a </w:t>
      </w:r>
      <w:r w:rsidR="000160B1">
        <w:t>message</w:t>
      </w:r>
      <w:r>
        <w:t xml:space="preserve"> informing a customer </w:t>
      </w:r>
      <w:r w:rsidR="000160B1">
        <w:t>of an over or underpayment.</w:t>
      </w:r>
    </w:p>
    <w:p w14:paraId="0E138A79" w14:textId="22FE4975" w:rsidR="00B934C6" w:rsidRDefault="00B934C6" w:rsidP="00B934C6">
      <w:pPr>
        <w:pStyle w:val="Heading4"/>
      </w:pPr>
      <w:r>
        <w:lastRenderedPageBreak/>
        <w:t xml:space="preserve">Item </w:t>
      </w:r>
      <w:r w:rsidR="00BC11AA">
        <w:t>7</w:t>
      </w:r>
      <w:r>
        <w:t xml:space="preserve"> – Subsection 12(3)</w:t>
      </w:r>
    </w:p>
    <w:p w14:paraId="58D90DD1" w14:textId="1054CF4B" w:rsidR="00B934C6" w:rsidRDefault="00B934C6" w:rsidP="00B934C6">
      <w:r>
        <w:t xml:space="preserve">Item </w:t>
      </w:r>
      <w:r w:rsidR="00BC11AA">
        <w:t>7</w:t>
      </w:r>
      <w:r>
        <w:t xml:space="preserve"> </w:t>
      </w:r>
      <w:r w:rsidR="00E4168F">
        <w:t>amends</w:t>
      </w:r>
      <w:r>
        <w:t xml:space="preserve"> subsection 12(3) of the Industry Code Regulation</w:t>
      </w:r>
      <w:r w:rsidR="008E7DEA">
        <w:t>s</w:t>
      </w:r>
      <w:r w:rsidR="00E4168F">
        <w:t xml:space="preserve"> to reflect the new definition of ‘communicate’</w:t>
      </w:r>
      <w:r>
        <w:t>.</w:t>
      </w:r>
    </w:p>
    <w:p w14:paraId="200A9AC4" w14:textId="20A13628" w:rsidR="00B934C6" w:rsidRDefault="00B934C6" w:rsidP="00B934C6">
      <w:pPr>
        <w:pStyle w:val="Heading4"/>
      </w:pPr>
      <w:r>
        <w:t xml:space="preserve">Item </w:t>
      </w:r>
      <w:r w:rsidR="00BC11AA">
        <w:t>8</w:t>
      </w:r>
      <w:r>
        <w:t xml:space="preserve"> – Paragraph 12(3)(b)</w:t>
      </w:r>
    </w:p>
    <w:p w14:paraId="4B81548A" w14:textId="63A76210" w:rsidR="00B934C6" w:rsidRDefault="00B934C6" w:rsidP="00B934C6">
      <w:r>
        <w:t xml:space="preserve">Item </w:t>
      </w:r>
      <w:r w:rsidR="00BC11AA">
        <w:t>8</w:t>
      </w:r>
      <w:r>
        <w:t xml:space="preserve"> </w:t>
      </w:r>
      <w:r w:rsidR="00E4168F">
        <w:t>amends</w:t>
      </w:r>
      <w:r>
        <w:t xml:space="preserve"> paragraph 12(3)(b) of the Industry Code Regulations</w:t>
      </w:r>
      <w:r w:rsidR="00E4168F">
        <w:t xml:space="preserve"> to reflect the new definition of ‘communicate’</w:t>
      </w:r>
      <w:r>
        <w:t>.</w:t>
      </w:r>
    </w:p>
    <w:p w14:paraId="0838E1BD" w14:textId="2769EF3C" w:rsidR="003176DB" w:rsidRDefault="003176DB" w:rsidP="003176DB">
      <w:pPr>
        <w:pStyle w:val="Heading4"/>
      </w:pPr>
      <w:r>
        <w:t xml:space="preserve">Item </w:t>
      </w:r>
      <w:r w:rsidR="00BC11AA">
        <w:t>9</w:t>
      </w:r>
      <w:r>
        <w:t xml:space="preserve"> – Subsection 12(4) (definition of ‘lowest possible price’)</w:t>
      </w:r>
    </w:p>
    <w:p w14:paraId="71412271" w14:textId="260B8819" w:rsidR="003176DB" w:rsidRPr="003176DB" w:rsidRDefault="003176DB" w:rsidP="003176DB">
      <w:r>
        <w:t xml:space="preserve">Item </w:t>
      </w:r>
      <w:r w:rsidR="00BC11AA">
        <w:t>9</w:t>
      </w:r>
      <w:r>
        <w:t xml:space="preserve"> </w:t>
      </w:r>
      <w:r w:rsidR="00E4168F">
        <w:t>amends</w:t>
      </w:r>
      <w:r>
        <w:t xml:space="preserve"> the definition of ‘lowest possible price’ in subsection 12(4) of the Industry Code Regulations</w:t>
      </w:r>
      <w:r w:rsidR="00E4168F">
        <w:t xml:space="preserve"> to reflect the new definition of ‘communicate’</w:t>
      </w:r>
      <w:r>
        <w:t>.</w:t>
      </w:r>
    </w:p>
    <w:p w14:paraId="3B94FE43" w14:textId="2370DC82" w:rsidR="00B934C6" w:rsidRDefault="003176DB" w:rsidP="00B934C6">
      <w:pPr>
        <w:pStyle w:val="Heading4"/>
      </w:pPr>
      <w:r>
        <w:t xml:space="preserve">Item </w:t>
      </w:r>
      <w:r w:rsidR="00D75317">
        <w:t>1</w:t>
      </w:r>
      <w:r w:rsidR="00BC11AA">
        <w:t>0</w:t>
      </w:r>
      <w:r>
        <w:t xml:space="preserve"> – Subsection 12(4) (note to the definition of ‘lowest possible price’)</w:t>
      </w:r>
    </w:p>
    <w:p w14:paraId="3A4C896A" w14:textId="3BC82E42" w:rsidR="003176DB" w:rsidRDefault="003176DB" w:rsidP="003176DB">
      <w:r>
        <w:t xml:space="preserve">Item </w:t>
      </w:r>
      <w:r w:rsidR="00D75317">
        <w:t>1</w:t>
      </w:r>
      <w:r w:rsidR="00BC11AA">
        <w:t>0</w:t>
      </w:r>
      <w:r>
        <w:t xml:space="preserve"> </w:t>
      </w:r>
      <w:r w:rsidR="00E4168F">
        <w:t>amends</w:t>
      </w:r>
      <w:r>
        <w:t xml:space="preserve"> the note to the definition of ‘lowest possible price’ in subsection 12(4) of the Industry Code Regulations</w:t>
      </w:r>
      <w:r w:rsidR="00E4168F">
        <w:t xml:space="preserve"> to reflect the new definition of ‘communicate’</w:t>
      </w:r>
      <w:r>
        <w:t>.</w:t>
      </w:r>
    </w:p>
    <w:p w14:paraId="40B21D8F" w14:textId="09A37B50" w:rsidR="003176DB" w:rsidRDefault="003176DB" w:rsidP="003176DB">
      <w:pPr>
        <w:pStyle w:val="Heading4"/>
      </w:pPr>
      <w:r>
        <w:t xml:space="preserve">Item </w:t>
      </w:r>
      <w:r w:rsidR="001A5DD5">
        <w:t>1</w:t>
      </w:r>
      <w:r w:rsidR="00BC11AA">
        <w:t>1</w:t>
      </w:r>
      <w:r>
        <w:t xml:space="preserve"> – Subsection 12(5)</w:t>
      </w:r>
    </w:p>
    <w:p w14:paraId="140314A5" w14:textId="5FBE5DAA" w:rsidR="003176DB" w:rsidRDefault="003176DB" w:rsidP="003176DB">
      <w:r>
        <w:t xml:space="preserve">Item </w:t>
      </w:r>
      <w:r w:rsidR="001A5DD5">
        <w:t>1</w:t>
      </w:r>
      <w:r w:rsidR="00BC11AA">
        <w:t>1</w:t>
      </w:r>
      <w:r>
        <w:t xml:space="preserve"> repeals subsection 12(5) of the Industry Code Regulations, effectively removing the requirement that</w:t>
      </w:r>
      <w:r w:rsidR="007A5459">
        <w:t xml:space="preserve"> electricity</w:t>
      </w:r>
      <w:r>
        <w:t xml:space="preserve"> retailers express the difference between the reference price and their unconditional </w:t>
      </w:r>
      <w:r w:rsidR="00E4168F">
        <w:t xml:space="preserve">and </w:t>
      </w:r>
      <w:r>
        <w:t>conditional price</w:t>
      </w:r>
      <w:r w:rsidR="00E4168F">
        <w:t>s</w:t>
      </w:r>
      <w:r>
        <w:t xml:space="preserve"> as a whole percentage, rounded up. </w:t>
      </w:r>
    </w:p>
    <w:p w14:paraId="2EAE5FAF" w14:textId="251C260A" w:rsidR="003176DB" w:rsidRDefault="003176DB" w:rsidP="003176DB">
      <w:pPr>
        <w:pStyle w:val="Heading4"/>
      </w:pPr>
      <w:r>
        <w:t xml:space="preserve">Item </w:t>
      </w:r>
      <w:r w:rsidR="001A5DD5">
        <w:t>1</w:t>
      </w:r>
      <w:r w:rsidR="00BC11AA">
        <w:t>2</w:t>
      </w:r>
      <w:r>
        <w:t xml:space="preserve"> – Subsections 12(6) and (7)</w:t>
      </w:r>
    </w:p>
    <w:p w14:paraId="7E040041" w14:textId="43EC1AF5" w:rsidR="003176DB" w:rsidRDefault="003176DB" w:rsidP="003176DB">
      <w:r>
        <w:t xml:space="preserve">Item </w:t>
      </w:r>
      <w:r w:rsidR="001A5DD5">
        <w:t>1</w:t>
      </w:r>
      <w:r w:rsidR="00BC11AA">
        <w:t>2</w:t>
      </w:r>
      <w:r>
        <w:t xml:space="preserve"> </w:t>
      </w:r>
      <w:r w:rsidR="00E4168F">
        <w:t>amends</w:t>
      </w:r>
      <w:r>
        <w:t xml:space="preserve"> subsection 12(6) and (7)</w:t>
      </w:r>
      <w:r w:rsidR="00E4168F" w:rsidRPr="00E4168F">
        <w:t xml:space="preserve"> </w:t>
      </w:r>
      <w:r w:rsidR="000317B5">
        <w:t xml:space="preserve">of the Industry Code Regulations </w:t>
      </w:r>
      <w:r w:rsidR="00E4168F">
        <w:t>to reflect the new definition of ‘communicate’</w:t>
      </w:r>
      <w:r>
        <w:t>.</w:t>
      </w:r>
    </w:p>
    <w:p w14:paraId="01357491" w14:textId="53D3143A" w:rsidR="003176DB" w:rsidRDefault="003176DB" w:rsidP="003176DB">
      <w:pPr>
        <w:pStyle w:val="Heading4"/>
      </w:pPr>
      <w:r>
        <w:t xml:space="preserve">Item </w:t>
      </w:r>
      <w:r w:rsidR="001A5DD5">
        <w:t>1</w:t>
      </w:r>
      <w:r w:rsidR="00BC11AA">
        <w:t>3</w:t>
      </w:r>
      <w:r>
        <w:t xml:space="preserve"> – </w:t>
      </w:r>
      <w:r w:rsidR="007C59B2">
        <w:t>Section 13A</w:t>
      </w:r>
    </w:p>
    <w:p w14:paraId="067F5754" w14:textId="63BBCC23" w:rsidR="004D76D6" w:rsidRDefault="003176DB" w:rsidP="003176DB">
      <w:r>
        <w:t xml:space="preserve">Item </w:t>
      </w:r>
      <w:r w:rsidR="001A5DD5">
        <w:t>1</w:t>
      </w:r>
      <w:r w:rsidR="00BC11AA">
        <w:t>3</w:t>
      </w:r>
      <w:r>
        <w:t xml:space="preserve"> inserts a new </w:t>
      </w:r>
      <w:r w:rsidR="007C59B2">
        <w:t>section 13A</w:t>
      </w:r>
      <w:r>
        <w:t xml:space="preserve"> into the Industry Code Regulations. This section </w:t>
      </w:r>
      <w:r w:rsidR="00C90964">
        <w:t xml:space="preserve">requires an </w:t>
      </w:r>
      <w:r w:rsidR="007A5459">
        <w:t xml:space="preserve">electricity </w:t>
      </w:r>
      <w:r>
        <w:t xml:space="preserve">retailer </w:t>
      </w:r>
      <w:r w:rsidR="0056610E">
        <w:t xml:space="preserve">to make and </w:t>
      </w:r>
      <w:r w:rsidR="004D76D6">
        <w:t xml:space="preserve">keep </w:t>
      </w:r>
      <w:r w:rsidR="00C90964">
        <w:t>a record of</w:t>
      </w:r>
      <w:r w:rsidR="004D76D6">
        <w:t>:</w:t>
      </w:r>
    </w:p>
    <w:p w14:paraId="23E81C60" w14:textId="611953A0" w:rsidR="004D76D6" w:rsidRDefault="00C90964" w:rsidP="00D75317">
      <w:pPr>
        <w:pStyle w:val="ListBullet"/>
      </w:pPr>
      <w:r>
        <w:t xml:space="preserve">the content of its communications or, where the communications involve the application of a template or script (for example, where a notice </w:t>
      </w:r>
      <w:r w:rsidR="00631A26">
        <w:t xml:space="preserve">to an individual small customer </w:t>
      </w:r>
      <w:r>
        <w:t xml:space="preserve">of an electricity price rise </w:t>
      </w:r>
      <w:r w:rsidR="003B6FA8">
        <w:t>is based on</w:t>
      </w:r>
      <w:r>
        <w:t xml:space="preserve"> a te</w:t>
      </w:r>
      <w:r w:rsidR="00631A26">
        <w:t>mplate</w:t>
      </w:r>
      <w:r w:rsidR="003B6FA8">
        <w:t xml:space="preserve"> notice</w:t>
      </w:r>
      <w:r w:rsidR="00631A26">
        <w:t>, or offers made to a particular small customer by telephone follow a sc</w:t>
      </w:r>
      <w:r w:rsidR="003B6FA8">
        <w:t>r</w:t>
      </w:r>
      <w:r w:rsidR="00631A26">
        <w:t>ipt)</w:t>
      </w:r>
      <w:r>
        <w:t>, a copy of that template or script</w:t>
      </w:r>
    </w:p>
    <w:p w14:paraId="62B4B8F6" w14:textId="23AA060E" w:rsidR="004D76D6" w:rsidRDefault="004D76D6" w:rsidP="00D75317">
      <w:pPr>
        <w:pStyle w:val="ListBullet"/>
      </w:pPr>
      <w:r>
        <w:t>t</w:t>
      </w:r>
      <w:r w:rsidR="007C59B2">
        <w:t>he date of the communication or, in the case of templates and scripts, the dates within which the template or script was used</w:t>
      </w:r>
    </w:p>
    <w:p w14:paraId="3212A589" w14:textId="6578823C" w:rsidR="004D76D6" w:rsidRDefault="004D76D6" w:rsidP="00D75317">
      <w:pPr>
        <w:pStyle w:val="ListBullet"/>
      </w:pPr>
      <w:r>
        <w:t>how the retailer calculated the difference between its prices and the reference price (as per subsection 12(3) of the Industry Code Regulations)</w:t>
      </w:r>
      <w:r w:rsidR="007C59B2">
        <w:t xml:space="preserve"> </w:t>
      </w:r>
      <w:r>
        <w:t>or estimated the total annual price payable by a small customer based on the customer’s individual circumstances (as per subsection 13(2) of the Industry Code Regulations).</w:t>
      </w:r>
    </w:p>
    <w:p w14:paraId="5B291BD3" w14:textId="531D5A4C" w:rsidR="004D76D6" w:rsidRDefault="004D76D6" w:rsidP="003176DB">
      <w:r>
        <w:t>The record is not required to contain any personal information about a particular customer.</w:t>
      </w:r>
    </w:p>
    <w:p w14:paraId="1800832B" w14:textId="26912BA1" w:rsidR="0056610E" w:rsidRDefault="0056610E" w:rsidP="003176DB">
      <w:r>
        <w:t xml:space="preserve">Records must be </w:t>
      </w:r>
      <w:r w:rsidR="004D76D6">
        <w:t xml:space="preserve">kept </w:t>
      </w:r>
      <w:r>
        <w:t xml:space="preserve">until 6 years after the end of the financial year to which the record relates. </w:t>
      </w:r>
    </w:p>
    <w:p w14:paraId="23C83843" w14:textId="3E7EB7D4" w:rsidR="00032558" w:rsidRDefault="0056610E" w:rsidP="003B6FA8">
      <w:r>
        <w:lastRenderedPageBreak/>
        <w:t>A civil penalty of 300 penalty units applies for non-compliance with this requirement. This is the maximum penalty permitted for a civil penalty provision of an industry code (subsection</w:t>
      </w:r>
      <w:r w:rsidR="000317B5">
        <w:t> </w:t>
      </w:r>
      <w:r>
        <w:t>51AE(2) of the</w:t>
      </w:r>
      <w:r w:rsidR="00032558">
        <w:t xml:space="preserve"> CCA</w:t>
      </w:r>
      <w:r>
        <w:t>). The imposition of the maximum penalty is necessary to ensure compliance with subsection 12(8) and is in line with the penalti</w:t>
      </w:r>
      <w:r w:rsidR="00135CC5">
        <w:t>es that apply to record-</w:t>
      </w:r>
      <w:r>
        <w:t>keeping requirements in other industry codes (such as the Horticulture Code of Conduct)</w:t>
      </w:r>
      <w:r w:rsidR="00135CC5">
        <w:t>.</w:t>
      </w:r>
    </w:p>
    <w:p w14:paraId="5F8F897A" w14:textId="77777777" w:rsidR="000160B1" w:rsidRDefault="000160B1" w:rsidP="000160B1">
      <w:pPr>
        <w:rPr>
          <w:rFonts w:cs="Times New Roman"/>
          <w:szCs w:val="24"/>
        </w:rPr>
      </w:pPr>
      <w:r>
        <w:t>The CCA</w:t>
      </w:r>
      <w:r>
        <w:rPr>
          <w:i/>
        </w:rPr>
        <w:t xml:space="preserve"> </w:t>
      </w:r>
      <w:r>
        <w:t xml:space="preserve">also permits the ACCC </w:t>
      </w:r>
      <w:r w:rsidRPr="00CA7BFE">
        <w:rPr>
          <w:rFonts w:cs="Times New Roman"/>
          <w:szCs w:val="24"/>
        </w:rPr>
        <w:t>to pursue other remedies against non-compliant retailers</w:t>
      </w:r>
      <w:r>
        <w:rPr>
          <w:rFonts w:cs="Times New Roman"/>
          <w:szCs w:val="24"/>
        </w:rPr>
        <w:t>, including the issue of infringement notices (sections 51ACC to 51ACJ) or</w:t>
      </w:r>
      <w:r w:rsidRPr="00CA7BFE">
        <w:rPr>
          <w:rFonts w:cs="Times New Roman"/>
          <w:szCs w:val="24"/>
        </w:rPr>
        <w:t xml:space="preserve"> public warning notice</w:t>
      </w:r>
      <w:r>
        <w:rPr>
          <w:rFonts w:cs="Times New Roman"/>
          <w:szCs w:val="24"/>
        </w:rPr>
        <w:t>s</w:t>
      </w:r>
      <w:r w:rsidRPr="00CA7BFE">
        <w:rPr>
          <w:rFonts w:cs="Times New Roman"/>
          <w:szCs w:val="24"/>
        </w:rPr>
        <w:t xml:space="preserve"> (section 51ADA)</w:t>
      </w:r>
      <w:r>
        <w:rPr>
          <w:rFonts w:cs="Times New Roman"/>
          <w:szCs w:val="24"/>
        </w:rPr>
        <w:t xml:space="preserve">, </w:t>
      </w:r>
      <w:r w:rsidRPr="00CA7BFE">
        <w:rPr>
          <w:rFonts w:cs="Times New Roman"/>
          <w:szCs w:val="24"/>
        </w:rPr>
        <w:t>injunctions (section 80), non-punitive orders, such as community service orders (section 86C) and other compensatory orders (section</w:t>
      </w:r>
      <w:r>
        <w:rPr>
          <w:rFonts w:cs="Times New Roman"/>
          <w:szCs w:val="24"/>
        </w:rPr>
        <w:t> </w:t>
      </w:r>
      <w:r w:rsidRPr="00CA7BFE">
        <w:rPr>
          <w:rFonts w:cs="Times New Roman"/>
          <w:szCs w:val="24"/>
        </w:rPr>
        <w:t>87). The ACCC can also accept administrative undertakings, under which a non-compliant retailer agree</w:t>
      </w:r>
      <w:r>
        <w:rPr>
          <w:rFonts w:cs="Times New Roman"/>
          <w:szCs w:val="24"/>
        </w:rPr>
        <w:t>s</w:t>
      </w:r>
      <w:r w:rsidRPr="00CA7BFE">
        <w:rPr>
          <w:rFonts w:cs="Times New Roman"/>
          <w:szCs w:val="24"/>
        </w:rPr>
        <w:t xml:space="preserve"> to remedy the harm caused by its conduct, accept responsibility for its actions and establish or review its compliance programs.</w:t>
      </w:r>
    </w:p>
    <w:p w14:paraId="5AEB2754" w14:textId="526D37D5" w:rsidR="000011F2" w:rsidRDefault="000011F2" w:rsidP="003B6FA8">
      <w:pPr>
        <w:rPr>
          <w:rFonts w:cs="Times New Roman"/>
          <w:szCs w:val="24"/>
        </w:rPr>
      </w:pPr>
      <w:r>
        <w:rPr>
          <w:rFonts w:cs="Times New Roman"/>
          <w:szCs w:val="24"/>
        </w:rPr>
        <w:t>Under section 51ADD of the CCA, if a corporation is required to keep, to generate or to publish information or a document under an applicable industry code, the ACCC can require the corporation to give that information or document to the ACCC for investigation and auditing purposes.</w:t>
      </w:r>
    </w:p>
    <w:p w14:paraId="6F277839" w14:textId="3693371A" w:rsidR="007A6976" w:rsidRDefault="007A6976" w:rsidP="00D75317">
      <w:pPr>
        <w:pStyle w:val="Heading4"/>
      </w:pPr>
      <w:r>
        <w:t xml:space="preserve">Item </w:t>
      </w:r>
      <w:r w:rsidR="001A5DD5">
        <w:t>1</w:t>
      </w:r>
      <w:r w:rsidR="00BC11AA">
        <w:t>4</w:t>
      </w:r>
      <w:r>
        <w:t xml:space="preserve"> – Before section 14</w:t>
      </w:r>
    </w:p>
    <w:p w14:paraId="63F958B9" w14:textId="48B5B8DC" w:rsidR="007A6976" w:rsidRPr="002C29A6" w:rsidRDefault="007A6976" w:rsidP="00813701">
      <w:r>
        <w:t xml:space="preserve">Item </w:t>
      </w:r>
      <w:r w:rsidR="001A5DD5">
        <w:t>1</w:t>
      </w:r>
      <w:r w:rsidR="00BC11AA">
        <w:t>4</w:t>
      </w:r>
      <w:r>
        <w:t xml:space="preserve"> inserts a new subheading before section 14 of the Industry Code Regulations.</w:t>
      </w:r>
    </w:p>
    <w:p w14:paraId="383154C4" w14:textId="3048D69B" w:rsidR="00135CC5" w:rsidRDefault="00135CC5" w:rsidP="00135CC5">
      <w:pPr>
        <w:pStyle w:val="Heading3"/>
      </w:pPr>
      <w:r>
        <w:t>Part 2 – Application of amendments</w:t>
      </w:r>
    </w:p>
    <w:p w14:paraId="755DB7B2" w14:textId="7E81B6A5" w:rsidR="00135CC5" w:rsidRDefault="000C694E" w:rsidP="000C694E">
      <w:pPr>
        <w:pStyle w:val="Heading4"/>
      </w:pPr>
      <w:r>
        <w:t xml:space="preserve">Item </w:t>
      </w:r>
      <w:r w:rsidR="001A5DD5">
        <w:t>1</w:t>
      </w:r>
      <w:r w:rsidR="00BC11AA">
        <w:t>5</w:t>
      </w:r>
      <w:r>
        <w:t xml:space="preserve"> – Section 22</w:t>
      </w:r>
    </w:p>
    <w:p w14:paraId="6CD0C3CC" w14:textId="5148D944" w:rsidR="000C694E" w:rsidRDefault="000C694E" w:rsidP="000C694E">
      <w:r>
        <w:t xml:space="preserve">Item </w:t>
      </w:r>
      <w:r w:rsidR="001A5DD5">
        <w:t>1</w:t>
      </w:r>
      <w:r w:rsidR="00BC11AA">
        <w:t>5</w:t>
      </w:r>
      <w:r>
        <w:t xml:space="preserve"> inserts a new section 22 into the Industry Code Regulations</w:t>
      </w:r>
      <w:r w:rsidRPr="000C694E">
        <w:t xml:space="preserve"> </w:t>
      </w:r>
      <w:r>
        <w:t>dealing with the application of the amendments made by Schedule 2 to the Regulations. In effect, those amendments apply in relation to financial years starting on or after 1 July 2020.</w:t>
      </w:r>
    </w:p>
    <w:p w14:paraId="7C13337E" w14:textId="77777777" w:rsidR="00084CC4" w:rsidRPr="00CA7BFE" w:rsidRDefault="00084CC4" w:rsidP="00084CC4">
      <w:pPr>
        <w:spacing w:before="120" w:after="120"/>
        <w:rPr>
          <w:rFonts w:cs="Times New Roman"/>
          <w:b/>
          <w:sz w:val="28"/>
          <w:szCs w:val="28"/>
        </w:rPr>
      </w:pPr>
      <w:r w:rsidRPr="00CA7BFE">
        <w:rPr>
          <w:rFonts w:cs="Times New Roman"/>
          <w:b/>
          <w:sz w:val="28"/>
          <w:szCs w:val="28"/>
        </w:rPr>
        <w:br w:type="page"/>
      </w:r>
    </w:p>
    <w:p w14:paraId="07AB6203" w14:textId="77777777" w:rsidR="00084CC4" w:rsidRDefault="00084CC4" w:rsidP="00084CC4">
      <w:pPr>
        <w:pStyle w:val="Heading1"/>
        <w:jc w:val="right"/>
      </w:pPr>
      <w:r>
        <w:lastRenderedPageBreak/>
        <w:t>Attachment A</w:t>
      </w:r>
    </w:p>
    <w:p w14:paraId="54DBBCAB" w14:textId="77777777" w:rsidR="00084CC4" w:rsidRPr="000E37FB" w:rsidRDefault="00084CC4" w:rsidP="00084CC4"/>
    <w:p w14:paraId="0CE1D313" w14:textId="77777777" w:rsidR="00084CC4" w:rsidRPr="00CA7BFE" w:rsidRDefault="00084CC4" w:rsidP="00084CC4">
      <w:pPr>
        <w:pStyle w:val="Title"/>
      </w:pPr>
      <w:r w:rsidRPr="00CA7BFE">
        <w:t>Statement of Compatibility with Human Rights</w:t>
      </w:r>
    </w:p>
    <w:p w14:paraId="4E6B4968" w14:textId="77777777" w:rsidR="00084CC4" w:rsidRPr="00CA7BFE" w:rsidRDefault="00084CC4" w:rsidP="00084CC4">
      <w:pPr>
        <w:pStyle w:val="Subtitle"/>
      </w:pPr>
      <w:r w:rsidRPr="00CA7BFE">
        <w:t>Prepared in accordance with Part 3 of the Human Rights (Parliamentary Scrutiny) Act 2011</w:t>
      </w:r>
    </w:p>
    <w:p w14:paraId="04EBFBE4" w14:textId="0E80001A" w:rsidR="00084CC4" w:rsidRPr="00CA7BFE" w:rsidRDefault="00084CC4" w:rsidP="00084CC4">
      <w:pPr>
        <w:pStyle w:val="Subtitle"/>
      </w:pPr>
      <w:r w:rsidRPr="00CA7BFE">
        <w:t xml:space="preserve">Competition and Consumer </w:t>
      </w:r>
      <w:r w:rsidR="00456B54">
        <w:t xml:space="preserve">Legislation Amendment </w:t>
      </w:r>
      <w:r w:rsidRPr="00CA7BFE">
        <w:t>(Electricity Retail) Regulations 20</w:t>
      </w:r>
      <w:r w:rsidR="004F6109">
        <w:t>20</w:t>
      </w:r>
    </w:p>
    <w:p w14:paraId="6C2B1CE3" w14:textId="77777777" w:rsidR="00084CC4" w:rsidRPr="00CA7BFE" w:rsidRDefault="00084CC4" w:rsidP="00084CC4">
      <w:pPr>
        <w:spacing w:before="240" w:after="240"/>
        <w:jc w:val="center"/>
        <w:rPr>
          <w:rFonts w:cs="Times New Roman"/>
          <w:szCs w:val="24"/>
        </w:rPr>
      </w:pPr>
      <w:r w:rsidRPr="00CA7BFE">
        <w:rPr>
          <w:rFonts w:cs="Times New Roman"/>
          <w:szCs w:val="24"/>
        </w:rPr>
        <w:t xml:space="preserve">The Regulations are compatible with the human rights and freedoms recognised or declared in the international instruments listed in section 3 of the </w:t>
      </w:r>
      <w:r w:rsidRPr="00CA7BFE">
        <w:rPr>
          <w:rFonts w:cs="Times New Roman"/>
          <w:i/>
          <w:szCs w:val="24"/>
        </w:rPr>
        <w:t>Human Rights (Parliamentary Scrutiny) Act 2011</w:t>
      </w:r>
      <w:r w:rsidRPr="00CA7BFE">
        <w:rPr>
          <w:rFonts w:cs="Times New Roman"/>
          <w:szCs w:val="24"/>
        </w:rPr>
        <w:t>.</w:t>
      </w:r>
    </w:p>
    <w:p w14:paraId="4D00201C" w14:textId="77777777" w:rsidR="00084CC4" w:rsidRPr="00CA7BFE" w:rsidRDefault="00084CC4" w:rsidP="00084CC4">
      <w:pPr>
        <w:pStyle w:val="Heading1"/>
      </w:pPr>
      <w:r w:rsidRPr="00CA7BFE">
        <w:t>Overview of the legislative instrument</w:t>
      </w:r>
    </w:p>
    <w:p w14:paraId="07D8A51D" w14:textId="5FE7330D" w:rsidR="00456B54" w:rsidRDefault="00456B54" w:rsidP="00456B54">
      <w:pPr>
        <w:spacing w:before="120"/>
      </w:pPr>
      <w:r>
        <w:t xml:space="preserve">The electricity retail code of conduct (the code) set out in Part 2 of the </w:t>
      </w:r>
      <w:r w:rsidRPr="00762D3F">
        <w:rPr>
          <w:i/>
          <w:szCs w:val="24"/>
        </w:rPr>
        <w:t xml:space="preserve">Competition and Consumer (Industry Code - </w:t>
      </w:r>
      <w:r w:rsidRPr="00762D3F">
        <w:rPr>
          <w:i/>
        </w:rPr>
        <w:t>Electricity Retail) Regulations 2019</w:t>
      </w:r>
      <w:r>
        <w:t>:</w:t>
      </w:r>
    </w:p>
    <w:p w14:paraId="5D5CEE82" w14:textId="5F90A13D" w:rsidR="009C7E3E" w:rsidRDefault="009C7E3E" w:rsidP="00456B54">
      <w:pPr>
        <w:pStyle w:val="ListBullet"/>
      </w:pPr>
      <w:r>
        <w:t>caps standing offer prices for small customers (other than those with a PV system, who are on a flexible, demand or, in the case of small business customers, controlled load tariff or who are supplied through a prepayment meter or an embedded network)</w:t>
      </w:r>
    </w:p>
    <w:p w14:paraId="3021E7BF" w14:textId="2DD14A6F" w:rsidR="00456B54" w:rsidRDefault="00456B54" w:rsidP="00456B54">
      <w:pPr>
        <w:pStyle w:val="ListBullet"/>
      </w:pPr>
      <w:r>
        <w:t xml:space="preserve">requires electricity retailers to compare advertised, published or offered prices for </w:t>
      </w:r>
      <w:r w:rsidR="00D34537">
        <w:t>small</w:t>
      </w:r>
      <w:r>
        <w:t xml:space="preserve"> customers with a reference price determined by the Australian Energy Regulator (AER) and</w:t>
      </w:r>
    </w:p>
    <w:p w14:paraId="1FC44FFF" w14:textId="569C5738" w:rsidR="00456B54" w:rsidRDefault="00666686" w:rsidP="00456B54">
      <w:pPr>
        <w:pStyle w:val="ListBullet"/>
      </w:pPr>
      <w:r>
        <w:t xml:space="preserve">prohibits the use of headline conditional discounts and requires retailers to state the terms of any non-headline </w:t>
      </w:r>
      <w:r w:rsidR="00FB1E9F">
        <w:t xml:space="preserve">conditional </w:t>
      </w:r>
      <w:r>
        <w:t>discounts clearly and conspicuously in any advertising material</w:t>
      </w:r>
      <w:r w:rsidR="00456B54">
        <w:t>.</w:t>
      </w:r>
    </w:p>
    <w:p w14:paraId="493DB9A9" w14:textId="77777777" w:rsidR="00456B54" w:rsidRPr="003E794F" w:rsidRDefault="00456B54" w:rsidP="00456B54">
      <w:pPr>
        <w:spacing w:before="120"/>
      </w:pPr>
      <w:r>
        <w:t xml:space="preserve">The code is a mandatory industry code for the purposes of Part IVB of the </w:t>
      </w:r>
      <w:r>
        <w:rPr>
          <w:i/>
        </w:rPr>
        <w:t>Competition and Consumer Act 2010</w:t>
      </w:r>
      <w:r>
        <w:t xml:space="preserve">. </w:t>
      </w:r>
    </w:p>
    <w:p w14:paraId="68B463F3" w14:textId="4A86790D" w:rsidR="007E2BE3" w:rsidRDefault="00456B54" w:rsidP="00456B54">
      <w:pPr>
        <w:spacing w:before="120"/>
      </w:pPr>
      <w:r w:rsidRPr="00EB638E">
        <w:t xml:space="preserve">The </w:t>
      </w:r>
      <w:r>
        <w:rPr>
          <w:i/>
        </w:rPr>
        <w:t>Competition and Consumer Legislation Amendment (Electricity Retail) Regulations 20</w:t>
      </w:r>
      <w:r w:rsidR="004F6109">
        <w:rPr>
          <w:i/>
        </w:rPr>
        <w:t>20</w:t>
      </w:r>
      <w:r>
        <w:rPr>
          <w:i/>
        </w:rPr>
        <w:t xml:space="preserve"> </w:t>
      </w:r>
      <w:r>
        <w:t>(the Regulations)</w:t>
      </w:r>
      <w:r w:rsidR="007E2BE3">
        <w:t>:</w:t>
      </w:r>
    </w:p>
    <w:p w14:paraId="6918DA59" w14:textId="52F64AE4" w:rsidR="007E2BE3" w:rsidRDefault="00456B54" w:rsidP="007E2BE3">
      <w:pPr>
        <w:pStyle w:val="ListBullet"/>
      </w:pPr>
      <w:r>
        <w:t xml:space="preserve">extend the code </w:t>
      </w:r>
      <w:r w:rsidRPr="00456B54">
        <w:t>to</w:t>
      </w:r>
      <w:r>
        <w:t xml:space="preserve"> small customers with PV systems, the cap on standing offer prices to </w:t>
      </w:r>
      <w:r w:rsidR="00FB1E9F">
        <w:t xml:space="preserve">residential customers on </w:t>
      </w:r>
      <w:r>
        <w:t xml:space="preserve">flexible tariffs and the reference price comparison obligation </w:t>
      </w:r>
      <w:r w:rsidRPr="00456B54">
        <w:t>to</w:t>
      </w:r>
      <w:r>
        <w:t xml:space="preserve"> </w:t>
      </w:r>
      <w:r w:rsidR="00223AB3">
        <w:t xml:space="preserve">price variation notices </w:t>
      </w:r>
    </w:p>
    <w:p w14:paraId="04567B52" w14:textId="416636D3" w:rsidR="007E2BE3" w:rsidRDefault="00456B54" w:rsidP="007E2BE3">
      <w:pPr>
        <w:pStyle w:val="ListBullet"/>
      </w:pPr>
      <w:r>
        <w:t xml:space="preserve">impose new record-keeping requirements on </w:t>
      </w:r>
      <w:r w:rsidR="009C7E3E">
        <w:t xml:space="preserve">electricity </w:t>
      </w:r>
      <w:r>
        <w:t xml:space="preserve">retailers and </w:t>
      </w:r>
    </w:p>
    <w:p w14:paraId="3BC2275F" w14:textId="04C5A899" w:rsidR="00456B54" w:rsidRDefault="00456B54" w:rsidP="007E2BE3">
      <w:pPr>
        <w:pStyle w:val="ListBullet"/>
      </w:pPr>
      <w:r>
        <w:t xml:space="preserve">make other technical amendments to clarify the operation of the code. </w:t>
      </w:r>
    </w:p>
    <w:p w14:paraId="7ECDF92E" w14:textId="3EDD6514" w:rsidR="007A6976" w:rsidRDefault="007A6976" w:rsidP="00456B54">
      <w:pPr>
        <w:spacing w:before="120"/>
      </w:pPr>
      <w:r>
        <w:t>The new record-keeping requirements do not require retailers to make records that contain any personal information about individuals.</w:t>
      </w:r>
    </w:p>
    <w:p w14:paraId="546B802C" w14:textId="34135EB8" w:rsidR="00456B54" w:rsidRPr="000900EB" w:rsidRDefault="00456B54" w:rsidP="00456B54">
      <w:pPr>
        <w:spacing w:before="120"/>
      </w:pPr>
      <w:r>
        <w:t xml:space="preserve">The Regulations also contain amendments that are consequential to the </w:t>
      </w:r>
      <w:r w:rsidR="00E90F55">
        <w:t xml:space="preserve">commencement </w:t>
      </w:r>
      <w:r>
        <w:t xml:space="preserve">of Schedule 2 to the </w:t>
      </w:r>
      <w:r>
        <w:rPr>
          <w:i/>
        </w:rPr>
        <w:t xml:space="preserve">Treasury Laws Amendment (Prohibiting Energy Market Misconduct) </w:t>
      </w:r>
      <w:r w:rsidR="004F6109">
        <w:rPr>
          <w:i/>
        </w:rPr>
        <w:t xml:space="preserve">Act </w:t>
      </w:r>
      <w:r>
        <w:rPr>
          <w:i/>
        </w:rPr>
        <w:t>2019</w:t>
      </w:r>
      <w:r>
        <w:rPr>
          <w:rFonts w:cs="Times New Roman"/>
          <w:szCs w:val="24"/>
        </w:rPr>
        <w:t>.</w:t>
      </w:r>
    </w:p>
    <w:p w14:paraId="21D05DE9" w14:textId="77777777" w:rsidR="00084CC4" w:rsidRPr="00547F8D" w:rsidRDefault="00084CC4" w:rsidP="00084CC4">
      <w:pPr>
        <w:pStyle w:val="Heading1"/>
      </w:pPr>
      <w:r w:rsidRPr="00547F8D">
        <w:lastRenderedPageBreak/>
        <w:t>Human rights implications</w:t>
      </w:r>
    </w:p>
    <w:p w14:paraId="51AF8B29" w14:textId="2595829F" w:rsidR="00084CC4" w:rsidRDefault="00084CC4" w:rsidP="00084CC4">
      <w:pPr>
        <w:spacing w:before="120" w:after="120"/>
        <w:rPr>
          <w:rFonts w:cs="Times New Roman"/>
          <w:szCs w:val="24"/>
        </w:rPr>
      </w:pPr>
      <w:r>
        <w:rPr>
          <w:rFonts w:cs="Times New Roman"/>
          <w:szCs w:val="24"/>
        </w:rPr>
        <w:t>The Regulations</w:t>
      </w:r>
      <w:r w:rsidRPr="00547F8D">
        <w:rPr>
          <w:rFonts w:cs="Times New Roman"/>
          <w:szCs w:val="24"/>
        </w:rPr>
        <w:t xml:space="preserve"> </w:t>
      </w:r>
      <w:r>
        <w:rPr>
          <w:rFonts w:cs="Times New Roman"/>
          <w:szCs w:val="24"/>
        </w:rPr>
        <w:t xml:space="preserve">regulate business conduct and </w:t>
      </w:r>
      <w:r w:rsidRPr="00547F8D">
        <w:rPr>
          <w:rFonts w:cs="Times New Roman"/>
          <w:szCs w:val="24"/>
        </w:rPr>
        <w:t xml:space="preserve">do </w:t>
      </w:r>
      <w:r>
        <w:rPr>
          <w:rFonts w:cs="Times New Roman"/>
          <w:szCs w:val="24"/>
        </w:rPr>
        <w:t xml:space="preserve">not </w:t>
      </w:r>
      <w:r w:rsidRPr="00547F8D">
        <w:rPr>
          <w:rFonts w:cs="Times New Roman"/>
          <w:szCs w:val="24"/>
        </w:rPr>
        <w:t>engage any of the applicable rights or freedoms.</w:t>
      </w:r>
      <w:r>
        <w:rPr>
          <w:rFonts w:cs="Times New Roman"/>
          <w:szCs w:val="24"/>
        </w:rPr>
        <w:t xml:space="preserve"> </w:t>
      </w:r>
    </w:p>
    <w:p w14:paraId="567A83BA" w14:textId="77777777" w:rsidR="00084CC4" w:rsidRPr="00547F8D" w:rsidRDefault="00084CC4" w:rsidP="00084CC4">
      <w:pPr>
        <w:pStyle w:val="Heading1"/>
      </w:pPr>
      <w:r w:rsidRPr="00547F8D">
        <w:t>Conclusion</w:t>
      </w:r>
    </w:p>
    <w:p w14:paraId="351C5CA0" w14:textId="77777777" w:rsidR="00084CC4" w:rsidRDefault="00084CC4" w:rsidP="00084CC4">
      <w:pPr>
        <w:spacing w:before="120" w:after="120"/>
        <w:rPr>
          <w:rFonts w:cs="Times New Roman"/>
          <w:szCs w:val="24"/>
        </w:rPr>
      </w:pPr>
      <w:r>
        <w:rPr>
          <w:rFonts w:cs="Times New Roman"/>
          <w:szCs w:val="24"/>
        </w:rPr>
        <w:t>The Regulations are</w:t>
      </w:r>
      <w:r w:rsidRPr="00547F8D">
        <w:rPr>
          <w:rFonts w:cs="Times New Roman"/>
          <w:szCs w:val="24"/>
        </w:rPr>
        <w:t xml:space="preserve"> compatible with human rights as </w:t>
      </w:r>
      <w:r>
        <w:rPr>
          <w:rFonts w:cs="Times New Roman"/>
          <w:szCs w:val="24"/>
        </w:rPr>
        <w:t>they</w:t>
      </w:r>
      <w:r w:rsidRPr="00547F8D">
        <w:rPr>
          <w:rFonts w:cs="Times New Roman"/>
          <w:szCs w:val="24"/>
        </w:rPr>
        <w:t xml:space="preserve"> do not raise any human rights issues.</w:t>
      </w:r>
    </w:p>
    <w:p w14:paraId="177FD1A2" w14:textId="77777777" w:rsidR="00484855" w:rsidRPr="00547F8D" w:rsidRDefault="00484855" w:rsidP="00484855">
      <w:pPr>
        <w:spacing w:before="120" w:after="120"/>
        <w:jc w:val="center"/>
        <w:rPr>
          <w:rFonts w:cs="Times New Roman"/>
          <w:szCs w:val="24"/>
        </w:rPr>
      </w:pPr>
    </w:p>
    <w:p w14:paraId="1D99FE42" w14:textId="77777777" w:rsidR="00484855" w:rsidRDefault="00484855" w:rsidP="00484855">
      <w:pPr>
        <w:spacing w:before="120" w:after="120"/>
        <w:jc w:val="center"/>
        <w:rPr>
          <w:rFonts w:cs="Times New Roman"/>
          <w:b/>
          <w:szCs w:val="24"/>
        </w:rPr>
      </w:pPr>
      <w:r>
        <w:rPr>
          <w:rFonts w:cs="Times New Roman"/>
          <w:b/>
          <w:szCs w:val="24"/>
        </w:rPr>
        <w:t>The Hon Angus Taylor MP</w:t>
      </w:r>
    </w:p>
    <w:p w14:paraId="37BBEB9D" w14:textId="77777777" w:rsidR="00484855" w:rsidRDefault="00484855" w:rsidP="00484855">
      <w:pPr>
        <w:spacing w:before="120" w:after="120"/>
        <w:jc w:val="center"/>
        <w:rPr>
          <w:rFonts w:cs="Times New Roman"/>
          <w:b/>
          <w:szCs w:val="24"/>
        </w:rPr>
      </w:pPr>
      <w:r>
        <w:rPr>
          <w:rFonts w:cs="Times New Roman"/>
          <w:b/>
          <w:szCs w:val="24"/>
        </w:rPr>
        <w:t>Minister for Energy and Emissions Reduction</w:t>
      </w:r>
    </w:p>
    <w:p w14:paraId="217819BB" w14:textId="77777777" w:rsidR="00484855" w:rsidRDefault="00484855">
      <w:pPr>
        <w:spacing w:before="120" w:after="120"/>
        <w:rPr>
          <w:rFonts w:cs="Times New Roman"/>
          <w:szCs w:val="24"/>
        </w:rPr>
      </w:pPr>
    </w:p>
    <w:sectPr w:rsidR="00484855" w:rsidSect="00FA4CF0">
      <w:headerReference w:type="even" r:id="rId11"/>
      <w:footerReference w:type="default" r:id="rId12"/>
      <w:footerReference w:type="first" r:id="rId13"/>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CE623" w14:textId="77777777" w:rsidR="00881041" w:rsidRDefault="00881041" w:rsidP="00A60185">
      <w:pPr>
        <w:spacing w:after="0" w:line="240" w:lineRule="auto"/>
      </w:pPr>
      <w:r>
        <w:separator/>
      </w:r>
    </w:p>
  </w:endnote>
  <w:endnote w:type="continuationSeparator" w:id="0">
    <w:p w14:paraId="15322E30" w14:textId="77777777" w:rsidR="00881041" w:rsidRDefault="00881041"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sdtContent>
      <w:p w14:paraId="564AA1AB" w14:textId="66730323" w:rsidR="007440A5" w:rsidRDefault="007440A5">
        <w:pPr>
          <w:pStyle w:val="Footer"/>
          <w:jc w:val="center"/>
        </w:pPr>
        <w:r>
          <w:rPr>
            <w:noProof/>
          </w:rPr>
          <w:fldChar w:fldCharType="begin"/>
        </w:r>
        <w:r>
          <w:rPr>
            <w:noProof/>
          </w:rPr>
          <w:instrText xml:space="preserve"> PAGE   \* MERGEFORMAT </w:instrText>
        </w:r>
        <w:r>
          <w:rPr>
            <w:noProof/>
          </w:rPr>
          <w:fldChar w:fldCharType="separate"/>
        </w:r>
        <w:r w:rsidR="00F43B07">
          <w:rPr>
            <w:noProof/>
          </w:rPr>
          <w:t>14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4DFE7" w14:textId="696E8E63" w:rsidR="00E90F55" w:rsidRDefault="00E90F55">
    <w:pPr>
      <w:pStyle w:val="Footer"/>
    </w:pPr>
  </w:p>
  <w:p w14:paraId="51595457" w14:textId="1D063767" w:rsidR="00E90F55" w:rsidRPr="004C56E2" w:rsidRDefault="00E90F55" w:rsidP="00EB21EE">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4AC0A" w14:textId="77777777" w:rsidR="00881041" w:rsidRDefault="00881041" w:rsidP="00A60185">
      <w:pPr>
        <w:spacing w:after="0" w:line="240" w:lineRule="auto"/>
      </w:pPr>
      <w:r>
        <w:separator/>
      </w:r>
    </w:p>
  </w:footnote>
  <w:footnote w:type="continuationSeparator" w:id="0">
    <w:p w14:paraId="0453473D" w14:textId="77777777" w:rsidR="00881041" w:rsidRDefault="00881041"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17F19" w14:textId="344B7112" w:rsidR="007440A5" w:rsidRDefault="007440A5">
    <w:pPr>
      <w:pStyle w:val="Header"/>
    </w:pPr>
  </w:p>
  <w:p w14:paraId="4D3D9841" w14:textId="77777777" w:rsidR="007440A5" w:rsidRDefault="007440A5">
    <w:pPr>
      <w:pStyle w:val="Header"/>
    </w:pPr>
  </w:p>
  <w:p w14:paraId="294FC93E" w14:textId="77777777" w:rsidR="007440A5" w:rsidRDefault="007440A5">
    <w:r w:rsidRPr="004C0AAB">
      <w:t>DRAFT  29-08-2019  02:33 PM  v</w:t>
    </w:r>
  </w:p>
  <w:p w14:paraId="5240FC87" w14:textId="77777777" w:rsidR="007440A5" w:rsidRDefault="007440A5">
    <w:r w:rsidRPr="00C037A2">
      <w:t>DRAFT  13-09-2019  12:36 PM  v3</w:t>
    </w:r>
  </w:p>
  <w:p w14:paraId="5C801AF4" w14:textId="6BAE3FB5" w:rsidR="007440A5" w:rsidRDefault="007440A5">
    <w:r w:rsidRPr="004B7950">
      <w:t>DRAFT  13-09-2019  02:33 PM  v3</w:t>
    </w:r>
    <w:r w:rsidRPr="004C0AAB">
      <w:t>2</w:t>
    </w:r>
  </w:p>
  <w:p w14:paraId="366B6FD7" w14:textId="158D64CF" w:rsidR="007440A5" w:rsidRDefault="007440A5" w:rsidP="002C29A6"/>
  <w:p w14:paraId="6C610BB3" w14:textId="07F7D5A7" w:rsidR="007440A5" w:rsidRDefault="007440A5"/>
  <w:p w14:paraId="49CC2569" w14:textId="37C3FA65" w:rsidR="00574806" w:rsidRDefault="00574806">
    <w:r w:rsidRPr="00574806">
      <w:t>DRAFT  08-11-2019  02:33 PM  v7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6076D4C"/>
    <w:multiLevelType w:val="hybridMultilevel"/>
    <w:tmpl w:val="084C87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811724"/>
    <w:multiLevelType w:val="hybridMultilevel"/>
    <w:tmpl w:val="CF4AEC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745BC2"/>
    <w:multiLevelType w:val="multilevel"/>
    <w:tmpl w:val="E5E89F92"/>
    <w:numStyleLink w:val="BulletList"/>
  </w:abstractNum>
  <w:abstractNum w:abstractNumId="4"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3283DA6"/>
    <w:multiLevelType w:val="hybridMultilevel"/>
    <w:tmpl w:val="D8FE0B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78D416D"/>
    <w:multiLevelType w:val="multilevel"/>
    <w:tmpl w:val="381848EC"/>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3877B3D"/>
    <w:multiLevelType w:val="hybridMultilevel"/>
    <w:tmpl w:val="5C6ACBA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5456429"/>
    <w:multiLevelType w:val="multilevel"/>
    <w:tmpl w:val="E898CC72"/>
    <w:numStyleLink w:val="KeyPoints"/>
  </w:abstractNum>
  <w:abstractNum w:abstractNumId="10" w15:restartNumberingAfterBreak="0">
    <w:nsid w:val="692A455B"/>
    <w:multiLevelType w:val="hybridMultilevel"/>
    <w:tmpl w:val="D8FE0B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F030604"/>
    <w:multiLevelType w:val="hybridMultilevel"/>
    <w:tmpl w:val="084C87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3" w15:restartNumberingAfterBreak="0">
    <w:nsid w:val="77611B77"/>
    <w:multiLevelType w:val="hybridMultilevel"/>
    <w:tmpl w:val="BF70C722"/>
    <w:lvl w:ilvl="0" w:tplc="0C090017">
      <w:start w:val="1"/>
      <w:numFmt w:val="lowerLetter"/>
      <w:lvlText w:val="%1)"/>
      <w:lvlJc w:val="left"/>
      <w:pPr>
        <w:ind w:left="778" w:hanging="360"/>
      </w:pPr>
    </w:lvl>
    <w:lvl w:ilvl="1" w:tplc="0C090019" w:tentative="1">
      <w:start w:val="1"/>
      <w:numFmt w:val="lowerLetter"/>
      <w:lvlText w:val="%2."/>
      <w:lvlJc w:val="left"/>
      <w:pPr>
        <w:ind w:left="1498" w:hanging="360"/>
      </w:pPr>
    </w:lvl>
    <w:lvl w:ilvl="2" w:tplc="0C09001B" w:tentative="1">
      <w:start w:val="1"/>
      <w:numFmt w:val="lowerRoman"/>
      <w:lvlText w:val="%3."/>
      <w:lvlJc w:val="right"/>
      <w:pPr>
        <w:ind w:left="2218" w:hanging="180"/>
      </w:pPr>
    </w:lvl>
    <w:lvl w:ilvl="3" w:tplc="0C09000F" w:tentative="1">
      <w:start w:val="1"/>
      <w:numFmt w:val="decimal"/>
      <w:lvlText w:val="%4."/>
      <w:lvlJc w:val="left"/>
      <w:pPr>
        <w:ind w:left="2938" w:hanging="360"/>
      </w:pPr>
    </w:lvl>
    <w:lvl w:ilvl="4" w:tplc="0C090019" w:tentative="1">
      <w:start w:val="1"/>
      <w:numFmt w:val="lowerLetter"/>
      <w:lvlText w:val="%5."/>
      <w:lvlJc w:val="left"/>
      <w:pPr>
        <w:ind w:left="3658" w:hanging="360"/>
      </w:pPr>
    </w:lvl>
    <w:lvl w:ilvl="5" w:tplc="0C09001B" w:tentative="1">
      <w:start w:val="1"/>
      <w:numFmt w:val="lowerRoman"/>
      <w:lvlText w:val="%6."/>
      <w:lvlJc w:val="right"/>
      <w:pPr>
        <w:ind w:left="4378" w:hanging="180"/>
      </w:pPr>
    </w:lvl>
    <w:lvl w:ilvl="6" w:tplc="0C09000F" w:tentative="1">
      <w:start w:val="1"/>
      <w:numFmt w:val="decimal"/>
      <w:lvlText w:val="%7."/>
      <w:lvlJc w:val="left"/>
      <w:pPr>
        <w:ind w:left="5098" w:hanging="360"/>
      </w:pPr>
    </w:lvl>
    <w:lvl w:ilvl="7" w:tplc="0C090019" w:tentative="1">
      <w:start w:val="1"/>
      <w:numFmt w:val="lowerLetter"/>
      <w:lvlText w:val="%8."/>
      <w:lvlJc w:val="left"/>
      <w:pPr>
        <w:ind w:left="5818" w:hanging="360"/>
      </w:pPr>
    </w:lvl>
    <w:lvl w:ilvl="8" w:tplc="0C09001B" w:tentative="1">
      <w:start w:val="1"/>
      <w:numFmt w:val="lowerRoman"/>
      <w:lvlText w:val="%9."/>
      <w:lvlJc w:val="right"/>
      <w:pPr>
        <w:ind w:left="6538" w:hanging="180"/>
      </w:pPr>
    </w:lvl>
  </w:abstractNum>
  <w:num w:numId="1">
    <w:abstractNumId w:val="12"/>
  </w:num>
  <w:num w:numId="2">
    <w:abstractNumId w:val="0"/>
  </w:num>
  <w:num w:numId="3">
    <w:abstractNumId w:val="6"/>
  </w:num>
  <w:num w:numId="4">
    <w:abstractNumId w:val="4"/>
  </w:num>
  <w:num w:numId="5">
    <w:abstractNumId w:val="9"/>
  </w:num>
  <w:num w:numId="6">
    <w:abstractNumId w:val="3"/>
  </w:num>
  <w:num w:numId="7">
    <w:abstractNumId w:val="11"/>
  </w:num>
  <w:num w:numId="8">
    <w:abstractNumId w:val="10"/>
  </w:num>
  <w:num w:numId="9">
    <w:abstractNumId w:val="8"/>
  </w:num>
  <w:num w:numId="10">
    <w:abstractNumId w:val="2"/>
  </w:num>
  <w:num w:numId="11">
    <w:abstractNumId w:val="13"/>
  </w:num>
  <w:num w:numId="12">
    <w:abstractNumId w:val="5"/>
  </w:num>
  <w:num w:numId="13">
    <w:abstractNumId w:val="1"/>
  </w:num>
  <w:num w:numId="14">
    <w:abstractNumId w:val="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ascii="Times New Roman" w:hAnsi="Times New Roman" w:cs="Times New Roman" w:hint="default"/>
          <w:b w:val="0"/>
          <w:i w:val="0"/>
          <w:color w:val="auto"/>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084CC4"/>
    <w:rsid w:val="000011F2"/>
    <w:rsid w:val="00004AEE"/>
    <w:rsid w:val="00005CAA"/>
    <w:rsid w:val="00010210"/>
    <w:rsid w:val="00012266"/>
    <w:rsid w:val="00012D66"/>
    <w:rsid w:val="00015ADA"/>
    <w:rsid w:val="000160B1"/>
    <w:rsid w:val="00020C99"/>
    <w:rsid w:val="000218E9"/>
    <w:rsid w:val="0002707B"/>
    <w:rsid w:val="000317B5"/>
    <w:rsid w:val="00032558"/>
    <w:rsid w:val="00051011"/>
    <w:rsid w:val="0005148E"/>
    <w:rsid w:val="00062946"/>
    <w:rsid w:val="00072C5A"/>
    <w:rsid w:val="000759E5"/>
    <w:rsid w:val="00077EB9"/>
    <w:rsid w:val="00084AC6"/>
    <w:rsid w:val="00084CC4"/>
    <w:rsid w:val="00085A7E"/>
    <w:rsid w:val="000873C6"/>
    <w:rsid w:val="000900EB"/>
    <w:rsid w:val="00091608"/>
    <w:rsid w:val="0009333C"/>
    <w:rsid w:val="0009704F"/>
    <w:rsid w:val="000A0F11"/>
    <w:rsid w:val="000A125A"/>
    <w:rsid w:val="000A25E3"/>
    <w:rsid w:val="000A57CD"/>
    <w:rsid w:val="000B3262"/>
    <w:rsid w:val="000B3758"/>
    <w:rsid w:val="000B6A59"/>
    <w:rsid w:val="000B7681"/>
    <w:rsid w:val="000B7B42"/>
    <w:rsid w:val="000B7EBB"/>
    <w:rsid w:val="000C02B7"/>
    <w:rsid w:val="000C2EF1"/>
    <w:rsid w:val="000C5100"/>
    <w:rsid w:val="000C5342"/>
    <w:rsid w:val="000C6100"/>
    <w:rsid w:val="000C694E"/>
    <w:rsid w:val="000C706A"/>
    <w:rsid w:val="000D2887"/>
    <w:rsid w:val="000D3252"/>
    <w:rsid w:val="000D6D63"/>
    <w:rsid w:val="000E0081"/>
    <w:rsid w:val="000E07CF"/>
    <w:rsid w:val="000E31C1"/>
    <w:rsid w:val="000E5392"/>
    <w:rsid w:val="000E53BB"/>
    <w:rsid w:val="000F2CF2"/>
    <w:rsid w:val="000F3507"/>
    <w:rsid w:val="000F5B34"/>
    <w:rsid w:val="00100BEF"/>
    <w:rsid w:val="00111326"/>
    <w:rsid w:val="0011498E"/>
    <w:rsid w:val="00117A45"/>
    <w:rsid w:val="001224AE"/>
    <w:rsid w:val="001337D4"/>
    <w:rsid w:val="0013402D"/>
    <w:rsid w:val="00135CC5"/>
    <w:rsid w:val="00147C12"/>
    <w:rsid w:val="001527A1"/>
    <w:rsid w:val="001530DC"/>
    <w:rsid w:val="00154989"/>
    <w:rsid w:val="00155A9F"/>
    <w:rsid w:val="00160262"/>
    <w:rsid w:val="00162E04"/>
    <w:rsid w:val="0016780A"/>
    <w:rsid w:val="00171168"/>
    <w:rsid w:val="001713FA"/>
    <w:rsid w:val="00173EBF"/>
    <w:rsid w:val="00175ED3"/>
    <w:rsid w:val="001842A2"/>
    <w:rsid w:val="00187FA8"/>
    <w:rsid w:val="00192F5E"/>
    <w:rsid w:val="00194176"/>
    <w:rsid w:val="00197772"/>
    <w:rsid w:val="001A43F7"/>
    <w:rsid w:val="001A51C8"/>
    <w:rsid w:val="001A5DC4"/>
    <w:rsid w:val="001A5DD5"/>
    <w:rsid w:val="001B4CA8"/>
    <w:rsid w:val="001B5EA1"/>
    <w:rsid w:val="001C4F3D"/>
    <w:rsid w:val="001D0CDC"/>
    <w:rsid w:val="001D1D82"/>
    <w:rsid w:val="001D7EA8"/>
    <w:rsid w:val="001E1182"/>
    <w:rsid w:val="001E7610"/>
    <w:rsid w:val="001F00D5"/>
    <w:rsid w:val="00202C90"/>
    <w:rsid w:val="00207D7E"/>
    <w:rsid w:val="002132E9"/>
    <w:rsid w:val="00213DE8"/>
    <w:rsid w:val="00216118"/>
    <w:rsid w:val="002209AB"/>
    <w:rsid w:val="00223AB3"/>
    <w:rsid w:val="002251E3"/>
    <w:rsid w:val="00227A95"/>
    <w:rsid w:val="002316BD"/>
    <w:rsid w:val="00243B60"/>
    <w:rsid w:val="002473FC"/>
    <w:rsid w:val="00252E3C"/>
    <w:rsid w:val="00262198"/>
    <w:rsid w:val="00285F1B"/>
    <w:rsid w:val="00292B81"/>
    <w:rsid w:val="002B18AE"/>
    <w:rsid w:val="002C1C93"/>
    <w:rsid w:val="002C29A6"/>
    <w:rsid w:val="002C5066"/>
    <w:rsid w:val="002C5813"/>
    <w:rsid w:val="002D4AAC"/>
    <w:rsid w:val="002E4CAF"/>
    <w:rsid w:val="002F045A"/>
    <w:rsid w:val="0030039D"/>
    <w:rsid w:val="0030326F"/>
    <w:rsid w:val="00310701"/>
    <w:rsid w:val="00315980"/>
    <w:rsid w:val="00316F7F"/>
    <w:rsid w:val="003176DB"/>
    <w:rsid w:val="003218E8"/>
    <w:rsid w:val="00325E34"/>
    <w:rsid w:val="00330DCE"/>
    <w:rsid w:val="00331E11"/>
    <w:rsid w:val="00334761"/>
    <w:rsid w:val="00337EBC"/>
    <w:rsid w:val="00341DCD"/>
    <w:rsid w:val="0034563E"/>
    <w:rsid w:val="003518D6"/>
    <w:rsid w:val="0035460C"/>
    <w:rsid w:val="003556BD"/>
    <w:rsid w:val="00357EF6"/>
    <w:rsid w:val="00365147"/>
    <w:rsid w:val="0036751E"/>
    <w:rsid w:val="0037016E"/>
    <w:rsid w:val="00372908"/>
    <w:rsid w:val="003807EE"/>
    <w:rsid w:val="00383020"/>
    <w:rsid w:val="003841C8"/>
    <w:rsid w:val="00394D7E"/>
    <w:rsid w:val="003975FD"/>
    <w:rsid w:val="00397D49"/>
    <w:rsid w:val="003B057D"/>
    <w:rsid w:val="003B60CC"/>
    <w:rsid w:val="003B6945"/>
    <w:rsid w:val="003B6FA8"/>
    <w:rsid w:val="003C1B25"/>
    <w:rsid w:val="003C2443"/>
    <w:rsid w:val="003C5DA3"/>
    <w:rsid w:val="003D4BCD"/>
    <w:rsid w:val="003D6C2B"/>
    <w:rsid w:val="003E01D8"/>
    <w:rsid w:val="003E2100"/>
    <w:rsid w:val="003E794F"/>
    <w:rsid w:val="003F6F5B"/>
    <w:rsid w:val="0040342D"/>
    <w:rsid w:val="0041192D"/>
    <w:rsid w:val="00413EE1"/>
    <w:rsid w:val="0042128E"/>
    <w:rsid w:val="00432B60"/>
    <w:rsid w:val="00440698"/>
    <w:rsid w:val="004540E2"/>
    <w:rsid w:val="00454454"/>
    <w:rsid w:val="00456B54"/>
    <w:rsid w:val="0046459A"/>
    <w:rsid w:val="00467924"/>
    <w:rsid w:val="004712A5"/>
    <w:rsid w:val="0047266F"/>
    <w:rsid w:val="00476D6B"/>
    <w:rsid w:val="00484855"/>
    <w:rsid w:val="00492C16"/>
    <w:rsid w:val="00495B87"/>
    <w:rsid w:val="00496BC2"/>
    <w:rsid w:val="004A0678"/>
    <w:rsid w:val="004A48A3"/>
    <w:rsid w:val="004B0D92"/>
    <w:rsid w:val="004B0EC0"/>
    <w:rsid w:val="004B66F1"/>
    <w:rsid w:val="004B7950"/>
    <w:rsid w:val="004C0AAB"/>
    <w:rsid w:val="004C3EA0"/>
    <w:rsid w:val="004C4A2C"/>
    <w:rsid w:val="004C56E2"/>
    <w:rsid w:val="004D0D6D"/>
    <w:rsid w:val="004D76D6"/>
    <w:rsid w:val="004F1785"/>
    <w:rsid w:val="004F29FD"/>
    <w:rsid w:val="004F6109"/>
    <w:rsid w:val="004F7169"/>
    <w:rsid w:val="00500D66"/>
    <w:rsid w:val="00513894"/>
    <w:rsid w:val="00514C8E"/>
    <w:rsid w:val="00515ABF"/>
    <w:rsid w:val="00515AC7"/>
    <w:rsid w:val="00515F26"/>
    <w:rsid w:val="00531DBF"/>
    <w:rsid w:val="0053283F"/>
    <w:rsid w:val="00534B27"/>
    <w:rsid w:val="00536584"/>
    <w:rsid w:val="00545759"/>
    <w:rsid w:val="00545BE0"/>
    <w:rsid w:val="005467F8"/>
    <w:rsid w:val="00546930"/>
    <w:rsid w:val="00554C6A"/>
    <w:rsid w:val="00562E85"/>
    <w:rsid w:val="0056332F"/>
    <w:rsid w:val="0056610E"/>
    <w:rsid w:val="005719B3"/>
    <w:rsid w:val="0057295E"/>
    <w:rsid w:val="00574806"/>
    <w:rsid w:val="00581C39"/>
    <w:rsid w:val="005903B6"/>
    <w:rsid w:val="005958CD"/>
    <w:rsid w:val="005A0247"/>
    <w:rsid w:val="005A126E"/>
    <w:rsid w:val="005A452F"/>
    <w:rsid w:val="005B140D"/>
    <w:rsid w:val="005B2970"/>
    <w:rsid w:val="005C1FEA"/>
    <w:rsid w:val="005C3495"/>
    <w:rsid w:val="005E3DFC"/>
    <w:rsid w:val="005E5942"/>
    <w:rsid w:val="005E60AF"/>
    <w:rsid w:val="005F1DEA"/>
    <w:rsid w:val="00607FC9"/>
    <w:rsid w:val="00622FE1"/>
    <w:rsid w:val="0062521C"/>
    <w:rsid w:val="00630A2B"/>
    <w:rsid w:val="00631A26"/>
    <w:rsid w:val="00632DC7"/>
    <w:rsid w:val="006357FB"/>
    <w:rsid w:val="006406FC"/>
    <w:rsid w:val="00640E57"/>
    <w:rsid w:val="006452F5"/>
    <w:rsid w:val="00646122"/>
    <w:rsid w:val="0065214F"/>
    <w:rsid w:val="00653E16"/>
    <w:rsid w:val="00657220"/>
    <w:rsid w:val="00657362"/>
    <w:rsid w:val="0066104B"/>
    <w:rsid w:val="00661354"/>
    <w:rsid w:val="006655EE"/>
    <w:rsid w:val="00666686"/>
    <w:rsid w:val="00667C10"/>
    <w:rsid w:val="00667EF4"/>
    <w:rsid w:val="00676FCA"/>
    <w:rsid w:val="00677177"/>
    <w:rsid w:val="0068612E"/>
    <w:rsid w:val="00687C92"/>
    <w:rsid w:val="0069534E"/>
    <w:rsid w:val="0069669C"/>
    <w:rsid w:val="006A1200"/>
    <w:rsid w:val="006A4F4E"/>
    <w:rsid w:val="006A6C23"/>
    <w:rsid w:val="006B14DB"/>
    <w:rsid w:val="006B21C4"/>
    <w:rsid w:val="006B2C1B"/>
    <w:rsid w:val="006C3C42"/>
    <w:rsid w:val="006C4A1A"/>
    <w:rsid w:val="006D0393"/>
    <w:rsid w:val="006D1A83"/>
    <w:rsid w:val="006E1CFE"/>
    <w:rsid w:val="006F10C4"/>
    <w:rsid w:val="006F40E9"/>
    <w:rsid w:val="006F4744"/>
    <w:rsid w:val="006F5603"/>
    <w:rsid w:val="006F7B87"/>
    <w:rsid w:val="00701400"/>
    <w:rsid w:val="007037CF"/>
    <w:rsid w:val="007167C0"/>
    <w:rsid w:val="00720481"/>
    <w:rsid w:val="00721CE5"/>
    <w:rsid w:val="0073174D"/>
    <w:rsid w:val="00733193"/>
    <w:rsid w:val="007440A5"/>
    <w:rsid w:val="00744DDA"/>
    <w:rsid w:val="00745E03"/>
    <w:rsid w:val="0075732A"/>
    <w:rsid w:val="007600F8"/>
    <w:rsid w:val="00760262"/>
    <w:rsid w:val="00762D3F"/>
    <w:rsid w:val="0076310C"/>
    <w:rsid w:val="0076744F"/>
    <w:rsid w:val="00767BCE"/>
    <w:rsid w:val="00767EFC"/>
    <w:rsid w:val="007707DE"/>
    <w:rsid w:val="00770B5D"/>
    <w:rsid w:val="007752F1"/>
    <w:rsid w:val="00776768"/>
    <w:rsid w:val="0078187A"/>
    <w:rsid w:val="007825C6"/>
    <w:rsid w:val="00794ED8"/>
    <w:rsid w:val="007A2573"/>
    <w:rsid w:val="007A5459"/>
    <w:rsid w:val="007A6976"/>
    <w:rsid w:val="007B106C"/>
    <w:rsid w:val="007B1A4E"/>
    <w:rsid w:val="007B3D05"/>
    <w:rsid w:val="007B5503"/>
    <w:rsid w:val="007C179C"/>
    <w:rsid w:val="007C59B2"/>
    <w:rsid w:val="007C6BB3"/>
    <w:rsid w:val="007D14B4"/>
    <w:rsid w:val="007D3AD7"/>
    <w:rsid w:val="007E24F6"/>
    <w:rsid w:val="007E2BE3"/>
    <w:rsid w:val="007F5FFD"/>
    <w:rsid w:val="00800F64"/>
    <w:rsid w:val="00801050"/>
    <w:rsid w:val="00802F0B"/>
    <w:rsid w:val="00810A67"/>
    <w:rsid w:val="00813701"/>
    <w:rsid w:val="00825F72"/>
    <w:rsid w:val="00833CF7"/>
    <w:rsid w:val="00834CDE"/>
    <w:rsid w:val="00842464"/>
    <w:rsid w:val="00845601"/>
    <w:rsid w:val="00855C5C"/>
    <w:rsid w:val="008563FA"/>
    <w:rsid w:val="008618B5"/>
    <w:rsid w:val="0087544E"/>
    <w:rsid w:val="00881041"/>
    <w:rsid w:val="00893243"/>
    <w:rsid w:val="008A0D9A"/>
    <w:rsid w:val="008A3C96"/>
    <w:rsid w:val="008B4019"/>
    <w:rsid w:val="008B4585"/>
    <w:rsid w:val="008B65C9"/>
    <w:rsid w:val="008C2D4A"/>
    <w:rsid w:val="008D3900"/>
    <w:rsid w:val="008D6E1D"/>
    <w:rsid w:val="008E7DEA"/>
    <w:rsid w:val="008F39B4"/>
    <w:rsid w:val="008F4162"/>
    <w:rsid w:val="008F6AFA"/>
    <w:rsid w:val="00903E02"/>
    <w:rsid w:val="00913175"/>
    <w:rsid w:val="00916EDB"/>
    <w:rsid w:val="00920861"/>
    <w:rsid w:val="00922B13"/>
    <w:rsid w:val="009242EF"/>
    <w:rsid w:val="00932291"/>
    <w:rsid w:val="00932861"/>
    <w:rsid w:val="0093408E"/>
    <w:rsid w:val="00942ED4"/>
    <w:rsid w:val="00952DDF"/>
    <w:rsid w:val="009610A3"/>
    <w:rsid w:val="00963B6A"/>
    <w:rsid w:val="00970950"/>
    <w:rsid w:val="009812D4"/>
    <w:rsid w:val="009920D8"/>
    <w:rsid w:val="009952F5"/>
    <w:rsid w:val="0099609A"/>
    <w:rsid w:val="009A6DB7"/>
    <w:rsid w:val="009B18AB"/>
    <w:rsid w:val="009B38BE"/>
    <w:rsid w:val="009C3D0F"/>
    <w:rsid w:val="009C7E3E"/>
    <w:rsid w:val="009E1B19"/>
    <w:rsid w:val="009F12F9"/>
    <w:rsid w:val="009F35E2"/>
    <w:rsid w:val="009F65F9"/>
    <w:rsid w:val="009F68BA"/>
    <w:rsid w:val="009F7D60"/>
    <w:rsid w:val="00A06277"/>
    <w:rsid w:val="00A079DC"/>
    <w:rsid w:val="00A111C2"/>
    <w:rsid w:val="00A338E7"/>
    <w:rsid w:val="00A34F64"/>
    <w:rsid w:val="00A35CAA"/>
    <w:rsid w:val="00A36E7F"/>
    <w:rsid w:val="00A41E65"/>
    <w:rsid w:val="00A437F4"/>
    <w:rsid w:val="00A43E0A"/>
    <w:rsid w:val="00A530C7"/>
    <w:rsid w:val="00A55F5B"/>
    <w:rsid w:val="00A60185"/>
    <w:rsid w:val="00A661EA"/>
    <w:rsid w:val="00A8006F"/>
    <w:rsid w:val="00A830E5"/>
    <w:rsid w:val="00A87135"/>
    <w:rsid w:val="00A93280"/>
    <w:rsid w:val="00A951EA"/>
    <w:rsid w:val="00AA2548"/>
    <w:rsid w:val="00AA58C4"/>
    <w:rsid w:val="00AA7003"/>
    <w:rsid w:val="00AB11C8"/>
    <w:rsid w:val="00AC08A8"/>
    <w:rsid w:val="00AC1F7A"/>
    <w:rsid w:val="00AC26DB"/>
    <w:rsid w:val="00AC5F9D"/>
    <w:rsid w:val="00AD514C"/>
    <w:rsid w:val="00AD56C8"/>
    <w:rsid w:val="00AD58F2"/>
    <w:rsid w:val="00AF130E"/>
    <w:rsid w:val="00B0512A"/>
    <w:rsid w:val="00B0529F"/>
    <w:rsid w:val="00B1418B"/>
    <w:rsid w:val="00B21195"/>
    <w:rsid w:val="00B24B22"/>
    <w:rsid w:val="00B25310"/>
    <w:rsid w:val="00B32F8F"/>
    <w:rsid w:val="00B3492A"/>
    <w:rsid w:val="00B54DE9"/>
    <w:rsid w:val="00B553EC"/>
    <w:rsid w:val="00B55E3F"/>
    <w:rsid w:val="00B63C1E"/>
    <w:rsid w:val="00B70FF8"/>
    <w:rsid w:val="00B85F3D"/>
    <w:rsid w:val="00B934C6"/>
    <w:rsid w:val="00B93DD0"/>
    <w:rsid w:val="00B97732"/>
    <w:rsid w:val="00BA65A8"/>
    <w:rsid w:val="00BA6D19"/>
    <w:rsid w:val="00BA7461"/>
    <w:rsid w:val="00BA7D75"/>
    <w:rsid w:val="00BA7DA9"/>
    <w:rsid w:val="00BC11AA"/>
    <w:rsid w:val="00BC4215"/>
    <w:rsid w:val="00BD1A6F"/>
    <w:rsid w:val="00BD1D13"/>
    <w:rsid w:val="00BE6D3C"/>
    <w:rsid w:val="00BE7852"/>
    <w:rsid w:val="00BF7CEE"/>
    <w:rsid w:val="00C037A2"/>
    <w:rsid w:val="00C03880"/>
    <w:rsid w:val="00C03F67"/>
    <w:rsid w:val="00C135CF"/>
    <w:rsid w:val="00C139A4"/>
    <w:rsid w:val="00C2683F"/>
    <w:rsid w:val="00C3184D"/>
    <w:rsid w:val="00C33A4F"/>
    <w:rsid w:val="00C4714E"/>
    <w:rsid w:val="00C51CCA"/>
    <w:rsid w:val="00C5504F"/>
    <w:rsid w:val="00C57B55"/>
    <w:rsid w:val="00C63376"/>
    <w:rsid w:val="00C74F97"/>
    <w:rsid w:val="00C8276E"/>
    <w:rsid w:val="00C842AC"/>
    <w:rsid w:val="00C90964"/>
    <w:rsid w:val="00C96688"/>
    <w:rsid w:val="00CA0723"/>
    <w:rsid w:val="00CB1690"/>
    <w:rsid w:val="00CB6F69"/>
    <w:rsid w:val="00CC4365"/>
    <w:rsid w:val="00CD11B0"/>
    <w:rsid w:val="00CE52B0"/>
    <w:rsid w:val="00CE6418"/>
    <w:rsid w:val="00CE67E4"/>
    <w:rsid w:val="00CE71C2"/>
    <w:rsid w:val="00CF34E9"/>
    <w:rsid w:val="00CF42D5"/>
    <w:rsid w:val="00CF4EDA"/>
    <w:rsid w:val="00D021CB"/>
    <w:rsid w:val="00D070B4"/>
    <w:rsid w:val="00D07BAC"/>
    <w:rsid w:val="00D10F1A"/>
    <w:rsid w:val="00D116F8"/>
    <w:rsid w:val="00D17596"/>
    <w:rsid w:val="00D21D54"/>
    <w:rsid w:val="00D22640"/>
    <w:rsid w:val="00D26D3A"/>
    <w:rsid w:val="00D34537"/>
    <w:rsid w:val="00D45EE3"/>
    <w:rsid w:val="00D50618"/>
    <w:rsid w:val="00D509E9"/>
    <w:rsid w:val="00D53B1C"/>
    <w:rsid w:val="00D6199C"/>
    <w:rsid w:val="00D75317"/>
    <w:rsid w:val="00D9381C"/>
    <w:rsid w:val="00D94484"/>
    <w:rsid w:val="00DA1B12"/>
    <w:rsid w:val="00DA3144"/>
    <w:rsid w:val="00DA54C9"/>
    <w:rsid w:val="00DA6739"/>
    <w:rsid w:val="00DA6CAE"/>
    <w:rsid w:val="00DB1A9E"/>
    <w:rsid w:val="00DB31D6"/>
    <w:rsid w:val="00DB4005"/>
    <w:rsid w:val="00DB448F"/>
    <w:rsid w:val="00DC34EB"/>
    <w:rsid w:val="00DF1E5B"/>
    <w:rsid w:val="00DF2275"/>
    <w:rsid w:val="00DF3D3C"/>
    <w:rsid w:val="00DF3F5E"/>
    <w:rsid w:val="00DF5653"/>
    <w:rsid w:val="00E0596E"/>
    <w:rsid w:val="00E06F66"/>
    <w:rsid w:val="00E356E5"/>
    <w:rsid w:val="00E36F81"/>
    <w:rsid w:val="00E414C3"/>
    <w:rsid w:val="00E4168F"/>
    <w:rsid w:val="00E45765"/>
    <w:rsid w:val="00E4760C"/>
    <w:rsid w:val="00E5098C"/>
    <w:rsid w:val="00E57FA8"/>
    <w:rsid w:val="00E60213"/>
    <w:rsid w:val="00E661B2"/>
    <w:rsid w:val="00E70907"/>
    <w:rsid w:val="00E74D29"/>
    <w:rsid w:val="00E83C74"/>
    <w:rsid w:val="00E83CEE"/>
    <w:rsid w:val="00E90F55"/>
    <w:rsid w:val="00E91F18"/>
    <w:rsid w:val="00E9226D"/>
    <w:rsid w:val="00E93260"/>
    <w:rsid w:val="00EA32AA"/>
    <w:rsid w:val="00EA34FC"/>
    <w:rsid w:val="00EA416C"/>
    <w:rsid w:val="00EA5941"/>
    <w:rsid w:val="00EB21EE"/>
    <w:rsid w:val="00EB60CE"/>
    <w:rsid w:val="00EB7D53"/>
    <w:rsid w:val="00EC149F"/>
    <w:rsid w:val="00EE3146"/>
    <w:rsid w:val="00EF50BB"/>
    <w:rsid w:val="00EF53FF"/>
    <w:rsid w:val="00F00192"/>
    <w:rsid w:val="00F01DF6"/>
    <w:rsid w:val="00F0340D"/>
    <w:rsid w:val="00F059A6"/>
    <w:rsid w:val="00F23756"/>
    <w:rsid w:val="00F24583"/>
    <w:rsid w:val="00F2523A"/>
    <w:rsid w:val="00F25FFA"/>
    <w:rsid w:val="00F310D2"/>
    <w:rsid w:val="00F36F3D"/>
    <w:rsid w:val="00F43B07"/>
    <w:rsid w:val="00F477BD"/>
    <w:rsid w:val="00F53491"/>
    <w:rsid w:val="00F60484"/>
    <w:rsid w:val="00F6580D"/>
    <w:rsid w:val="00F65A1C"/>
    <w:rsid w:val="00F66F50"/>
    <w:rsid w:val="00F82FF8"/>
    <w:rsid w:val="00F8330D"/>
    <w:rsid w:val="00F84305"/>
    <w:rsid w:val="00F8485C"/>
    <w:rsid w:val="00F8552D"/>
    <w:rsid w:val="00F87149"/>
    <w:rsid w:val="00F87FFE"/>
    <w:rsid w:val="00F954C9"/>
    <w:rsid w:val="00FA08E1"/>
    <w:rsid w:val="00FA2936"/>
    <w:rsid w:val="00FA4CF0"/>
    <w:rsid w:val="00FA4D11"/>
    <w:rsid w:val="00FA61AA"/>
    <w:rsid w:val="00FA69A4"/>
    <w:rsid w:val="00FB1279"/>
    <w:rsid w:val="00FB1495"/>
    <w:rsid w:val="00FB1E9F"/>
    <w:rsid w:val="00FB2B9C"/>
    <w:rsid w:val="00FB40E6"/>
    <w:rsid w:val="00FC748B"/>
    <w:rsid w:val="00FD1694"/>
    <w:rsid w:val="00FD7636"/>
    <w:rsid w:val="00FE3229"/>
    <w:rsid w:val="00FE5709"/>
    <w:rsid w:val="00FE74C3"/>
    <w:rsid w:val="00FF215C"/>
    <w:rsid w:val="00FF21AB"/>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E128C4"/>
  <w15:chartTrackingRefBased/>
  <w15:docId w15:val="{863763A1-195C-4BBB-8236-2B5E648E1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CC4"/>
    <w:pPr>
      <w:spacing w:after="200" w:line="276" w:lineRule="auto"/>
    </w:pPr>
    <w:rPr>
      <w:rFonts w:ascii="Times New Roman" w:eastAsiaTheme="minorHAnsi" w:hAnsi="Times New Roman" w:cstheme="minorBidi"/>
      <w:sz w:val="24"/>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Draftingnotes">
    <w:name w:val="Drafting notes"/>
    <w:basedOn w:val="Normal"/>
    <w:next w:val="Normal"/>
    <w:link w:val="DraftingnotesChar"/>
    <w:qFormat/>
    <w:rsid w:val="00084CC4"/>
    <w:pPr>
      <w:spacing w:after="120" w:line="240" w:lineRule="auto"/>
    </w:pPr>
    <w:rPr>
      <w:rFonts w:cs="Times New Roman"/>
      <w:i/>
      <w:color w:val="1F497D" w:themeColor="text2"/>
      <w:sz w:val="22"/>
      <w:szCs w:val="24"/>
    </w:rPr>
  </w:style>
  <w:style w:type="character" w:customStyle="1" w:styleId="DraftingnotesChar">
    <w:name w:val="Drafting notes Char"/>
    <w:basedOn w:val="DefaultParagraphFont"/>
    <w:link w:val="Draftingnotes"/>
    <w:rsid w:val="00084CC4"/>
    <w:rPr>
      <w:rFonts w:ascii="Times New Roman" w:eastAsiaTheme="minorHAnsi" w:hAnsi="Times New Roman"/>
      <w:i/>
      <w:color w:val="1F497D" w:themeColor="text2"/>
      <w:sz w:val="22"/>
      <w:szCs w:val="24"/>
      <w:lang w:eastAsia="en-US"/>
    </w:rPr>
  </w:style>
  <w:style w:type="paragraph" w:styleId="Title">
    <w:name w:val="Title"/>
    <w:basedOn w:val="Normal"/>
    <w:next w:val="Normal"/>
    <w:link w:val="TitleChar"/>
    <w:uiPriority w:val="10"/>
    <w:qFormat/>
    <w:rsid w:val="00084CC4"/>
    <w:pPr>
      <w:spacing w:after="240" w:line="240" w:lineRule="auto"/>
      <w:contextualSpacing/>
      <w:jc w:val="center"/>
    </w:pPr>
    <w:rPr>
      <w:rFonts w:eastAsiaTheme="majorEastAsia" w:cstheme="majorBidi"/>
      <w:b/>
      <w:caps/>
      <w:spacing w:val="-10"/>
      <w:kern w:val="28"/>
      <w:szCs w:val="56"/>
    </w:rPr>
  </w:style>
  <w:style w:type="character" w:customStyle="1" w:styleId="TitleChar">
    <w:name w:val="Title Char"/>
    <w:basedOn w:val="DefaultParagraphFont"/>
    <w:link w:val="Title"/>
    <w:uiPriority w:val="10"/>
    <w:rsid w:val="00084CC4"/>
    <w:rPr>
      <w:rFonts w:ascii="Times New Roman" w:eastAsiaTheme="majorEastAsia" w:hAnsi="Times New Roman" w:cstheme="majorBidi"/>
      <w:b/>
      <w:caps/>
      <w:spacing w:val="-10"/>
      <w:kern w:val="28"/>
      <w:sz w:val="24"/>
      <w:szCs w:val="56"/>
      <w:lang w:eastAsia="en-US"/>
    </w:rPr>
  </w:style>
  <w:style w:type="paragraph" w:styleId="Subtitle">
    <w:name w:val="Subtitle"/>
    <w:basedOn w:val="Normal"/>
    <w:next w:val="Normal"/>
    <w:link w:val="SubtitleChar"/>
    <w:uiPriority w:val="11"/>
    <w:qFormat/>
    <w:rsid w:val="00084CC4"/>
    <w:pPr>
      <w:spacing w:after="240" w:line="240" w:lineRule="auto"/>
      <w:jc w:val="center"/>
    </w:pPr>
    <w:rPr>
      <w:rFonts w:cs="Times New Roman"/>
      <w:i/>
      <w:szCs w:val="24"/>
    </w:rPr>
  </w:style>
  <w:style w:type="character" w:customStyle="1" w:styleId="SubtitleChar">
    <w:name w:val="Subtitle Char"/>
    <w:basedOn w:val="DefaultParagraphFont"/>
    <w:link w:val="Subtitle"/>
    <w:uiPriority w:val="11"/>
    <w:rsid w:val="00084CC4"/>
    <w:rPr>
      <w:rFonts w:ascii="Times New Roman" w:eastAsiaTheme="minorHAnsi" w:hAnsi="Times New Roman"/>
      <w:i/>
      <w:sz w:val="24"/>
      <w:szCs w:val="24"/>
      <w:lang w:eastAsia="en-US"/>
    </w:rPr>
  </w:style>
  <w:style w:type="paragraph" w:customStyle="1" w:styleId="Sub-subtitle">
    <w:name w:val="Sub-subtitle"/>
    <w:basedOn w:val="Normal"/>
    <w:link w:val="Sub-subtitleChar"/>
    <w:rsid w:val="00084CC4"/>
    <w:pPr>
      <w:spacing w:before="240" w:after="240"/>
      <w:jc w:val="center"/>
    </w:pPr>
    <w:rPr>
      <w:rFonts w:cs="Times New Roman"/>
      <w:sz w:val="22"/>
      <w:szCs w:val="24"/>
    </w:rPr>
  </w:style>
  <w:style w:type="character" w:customStyle="1" w:styleId="Sub-subtitleChar">
    <w:name w:val="Sub-subtitle Char"/>
    <w:basedOn w:val="DefaultParagraphFont"/>
    <w:link w:val="Sub-subtitle"/>
    <w:rsid w:val="00084CC4"/>
    <w:rPr>
      <w:rFonts w:ascii="Times New Roman" w:eastAsiaTheme="minorHAnsi" w:hAnsi="Times New Roman"/>
      <w:sz w:val="22"/>
      <w:szCs w:val="24"/>
      <w:lang w:eastAsia="en-US"/>
    </w:rPr>
  </w:style>
  <w:style w:type="character" w:styleId="CommentReference">
    <w:name w:val="annotation reference"/>
    <w:basedOn w:val="DefaultParagraphFont"/>
    <w:uiPriority w:val="99"/>
    <w:semiHidden/>
    <w:unhideWhenUsed/>
    <w:rsid w:val="00515F26"/>
    <w:rPr>
      <w:sz w:val="16"/>
      <w:szCs w:val="16"/>
    </w:rPr>
  </w:style>
  <w:style w:type="paragraph" w:styleId="CommentText">
    <w:name w:val="annotation text"/>
    <w:basedOn w:val="Normal"/>
    <w:link w:val="CommentTextChar"/>
    <w:uiPriority w:val="99"/>
    <w:semiHidden/>
    <w:unhideWhenUsed/>
    <w:rsid w:val="00515F26"/>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515F26"/>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D9381C"/>
    <w:rPr>
      <w:rFonts w:ascii="Times New Roman" w:hAnsi="Times New Roman"/>
      <w:b/>
      <w:bCs/>
    </w:rPr>
  </w:style>
  <w:style w:type="character" w:customStyle="1" w:styleId="CommentSubjectChar">
    <w:name w:val="Comment Subject Char"/>
    <w:basedOn w:val="CommentTextChar"/>
    <w:link w:val="CommentSubject"/>
    <w:uiPriority w:val="99"/>
    <w:semiHidden/>
    <w:rsid w:val="00D9381C"/>
    <w:rPr>
      <w:rFonts w:ascii="Times New Roman" w:eastAsiaTheme="minorHAnsi" w:hAnsi="Times New Roman" w:cstheme="minorBidi"/>
      <w:b/>
      <w:bCs/>
      <w:lang w:eastAsia="en-US"/>
    </w:rPr>
  </w:style>
  <w:style w:type="paragraph" w:customStyle="1" w:styleId="base-text-paragraph">
    <w:name w:val="base-text-paragraph"/>
    <w:basedOn w:val="Normal"/>
    <w:link w:val="base-text-paragraphChar"/>
    <w:qFormat/>
    <w:rsid w:val="000C2EF1"/>
    <w:pPr>
      <w:numPr>
        <w:ilvl w:val="1"/>
        <w:numId w:val="14"/>
      </w:numPr>
      <w:spacing w:before="120" w:after="120" w:line="240" w:lineRule="auto"/>
    </w:pPr>
    <w:rPr>
      <w:rFonts w:eastAsia="Times New Roman" w:cs="Times New Roman"/>
      <w:sz w:val="22"/>
      <w:szCs w:val="20"/>
      <w:lang w:eastAsia="en-AU"/>
    </w:rPr>
  </w:style>
  <w:style w:type="character" w:customStyle="1" w:styleId="base-text-paragraphChar">
    <w:name w:val="base-text-paragraph Char"/>
    <w:basedOn w:val="DefaultParagraphFont"/>
    <w:link w:val="base-text-paragraph"/>
    <w:rsid w:val="000C2EF1"/>
    <w:rPr>
      <w:rFonts w:ascii="Times New Roman" w:eastAsia="Times New Roman" w:hAnsi="Times New Roman"/>
      <w:sz w:val="22"/>
    </w:rPr>
  </w:style>
  <w:style w:type="paragraph" w:customStyle="1" w:styleId="ChapterHeading">
    <w:name w:val="Chapter Heading"/>
    <w:next w:val="Heading2"/>
    <w:rsid w:val="000C2EF1"/>
    <w:pPr>
      <w:numPr>
        <w:numId w:val="14"/>
      </w:numPr>
      <w:pBdr>
        <w:top w:val="single" w:sz="4" w:space="1" w:color="auto"/>
        <w:bottom w:val="single" w:sz="4" w:space="1" w:color="auto"/>
      </w:pBdr>
      <w:spacing w:before="240" w:after="360" w:line="260" w:lineRule="atLeast"/>
    </w:pPr>
    <w:rPr>
      <w:rFonts w:ascii="Helvetica" w:eastAsia="Times New Roman" w:hAnsi="Helvetica"/>
      <w:b/>
      <w:i/>
      <w:sz w:val="38"/>
    </w:rPr>
  </w:style>
  <w:style w:type="paragraph" w:customStyle="1" w:styleId="Diagram">
    <w:name w:val="Diagram"/>
    <w:basedOn w:val="Normal"/>
    <w:next w:val="Normal"/>
    <w:rsid w:val="000C2EF1"/>
    <w:pPr>
      <w:keepNext/>
      <w:numPr>
        <w:ilvl w:val="2"/>
        <w:numId w:val="14"/>
      </w:numPr>
      <w:tabs>
        <w:tab w:val="num" w:pos="1134"/>
      </w:tabs>
      <w:spacing w:after="0" w:line="240" w:lineRule="auto"/>
    </w:pPr>
    <w:rPr>
      <w:rFonts w:eastAsia="Times New Roman" w:cs="Times New Roman"/>
      <w:b/>
      <w:sz w:val="22"/>
      <w:szCs w:val="20"/>
      <w:lang w:eastAsia="en-AU"/>
    </w:rPr>
  </w:style>
  <w:style w:type="paragraph" w:customStyle="1" w:styleId="ExampleHeading">
    <w:name w:val="Example Heading"/>
    <w:basedOn w:val="Normal"/>
    <w:next w:val="Normal"/>
    <w:rsid w:val="000C2EF1"/>
    <w:pPr>
      <w:keepNext/>
      <w:numPr>
        <w:ilvl w:val="3"/>
        <w:numId w:val="14"/>
      </w:numPr>
      <w:tabs>
        <w:tab w:val="num" w:pos="1134"/>
      </w:tabs>
      <w:spacing w:before="120" w:after="120" w:line="240" w:lineRule="auto"/>
    </w:pPr>
    <w:rPr>
      <w:rFonts w:eastAsia="Times New Roman" w:cs="Times New Roman"/>
      <w:b/>
      <w:sz w:val="22"/>
      <w:szCs w:val="20"/>
      <w:lang w:eastAsia="en-AU"/>
    </w:rPr>
  </w:style>
  <w:style w:type="paragraph" w:customStyle="1" w:styleId="TableHeadingoutsidetable">
    <w:name w:val="Table Heading (outside table)"/>
    <w:basedOn w:val="Heading4"/>
    <w:rsid w:val="000C2EF1"/>
    <w:pPr>
      <w:numPr>
        <w:ilvl w:val="4"/>
        <w:numId w:val="14"/>
      </w:numPr>
      <w:tabs>
        <w:tab w:val="num" w:pos="1134"/>
      </w:tabs>
      <w:spacing w:before="120" w:line="240" w:lineRule="auto"/>
    </w:pPr>
    <w:rPr>
      <w:rFonts w:eastAsia="Times New Roman" w:cs="Times New Roman"/>
      <w:b/>
      <w:i w:val="0"/>
      <w:sz w:val="22"/>
      <w:szCs w:val="20"/>
      <w:lang w:eastAsia="en-AU"/>
    </w:rPr>
  </w:style>
  <w:style w:type="paragraph" w:styleId="Revision">
    <w:name w:val="Revision"/>
    <w:hidden/>
    <w:uiPriority w:val="99"/>
    <w:semiHidden/>
    <w:rsid w:val="00C33A4F"/>
    <w:rPr>
      <w:rFonts w:ascii="Times New Roman" w:eastAsiaTheme="minorHAnsi" w:hAnsi="Times New Roman" w:cstheme="minorBidi"/>
      <w:sz w:val="24"/>
      <w:szCs w:val="22"/>
      <w:lang w:eastAsia="en-US"/>
    </w:rPr>
  </w:style>
  <w:style w:type="paragraph" w:customStyle="1" w:styleId="PlainParagraph">
    <w:name w:val="Plain Paragraph"/>
    <w:aliases w:val="PP"/>
    <w:basedOn w:val="Normal"/>
    <w:link w:val="PlainParagraphChar"/>
    <w:qFormat/>
    <w:rsid w:val="00FB2B9C"/>
    <w:pPr>
      <w:spacing w:before="140" w:after="140" w:line="280" w:lineRule="atLeast"/>
    </w:pPr>
    <w:rPr>
      <w:rFonts w:ascii="Arial" w:eastAsia="Times New Roman" w:hAnsi="Arial" w:cs="Arial"/>
      <w:sz w:val="22"/>
      <w:lang w:eastAsia="en-AU"/>
    </w:rPr>
  </w:style>
  <w:style w:type="character" w:customStyle="1" w:styleId="PlainParagraphChar">
    <w:name w:val="Plain Paragraph Char"/>
    <w:aliases w:val="PP Char"/>
    <w:basedOn w:val="DefaultParagraphFont"/>
    <w:link w:val="PlainParagraph"/>
    <w:rsid w:val="00FB2B9C"/>
    <w:rPr>
      <w:rFonts w:eastAsia="Times New Roman"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51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BB2E300F5C9804A8295995D73260214" ma:contentTypeVersion="" ma:contentTypeDescription="PDMS Document Site Content Type" ma:contentTypeScope="" ma:versionID="2fccd0476be1f364d729f3549e9e4806">
  <xsd:schema xmlns:xsd="http://www.w3.org/2001/XMLSchema" xmlns:xs="http://www.w3.org/2001/XMLSchema" xmlns:p="http://schemas.microsoft.com/office/2006/metadata/properties" xmlns:ns2="A0C545CF-37C1-45C6-A831-FA82A63C82F8" targetNamespace="http://schemas.microsoft.com/office/2006/metadata/properties" ma:root="true" ma:fieldsID="388688f24e4b960e58f77e97416609ff" ns2:_="">
    <xsd:import namespace="A0C545CF-37C1-45C6-A831-FA82A63C82F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545CF-37C1-45C6-A831-FA82A63C82F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ecurityClassification xmlns="A0C545CF-37C1-45C6-A831-FA82A63C82F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DA3B5-39D1-46AC-9761-B81DA1688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545CF-37C1-45C6-A831-FA82A63C8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3.xml><?xml version="1.0" encoding="utf-8"?>
<ds:datastoreItem xmlns:ds="http://schemas.openxmlformats.org/officeDocument/2006/customXml" ds:itemID="{9BAD3DB7-147D-407B-B034-A63C38F3EB9D}">
  <ds:schemaRefs>
    <ds:schemaRef ds:uri="http://purl.org/dc/dcmitype/"/>
    <ds:schemaRef ds:uri="http://schemas.microsoft.com/office/infopath/2007/PartnerControls"/>
    <ds:schemaRef ds:uri="http://purl.org/dc/elements/1.1/"/>
    <ds:schemaRef ds:uri="http://schemas.microsoft.com/office/2006/metadata/properties"/>
    <ds:schemaRef ds:uri="A0C545CF-37C1-45C6-A831-FA82A63C82F8"/>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3455BFB-861C-4F52-95B1-6829EADA2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3957</Words>
  <Characters>22560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Code amendments - explanatory statement</vt:lpstr>
    </vt:vector>
  </TitlesOfParts>
  <Company>The Department of the Environment</Company>
  <LinksUpToDate>false</LinksUpToDate>
  <CharactersWithSpaces>26465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amendments - explanatory statement</dc:title>
  <dc:subject/>
  <dc:creator>Anna Lukeman</dc:creator>
  <cp:keywords/>
  <dc:description/>
  <cp:lastModifiedBy>Wade, Lisa</cp:lastModifiedBy>
  <cp:revision>2</cp:revision>
  <cp:lastPrinted>2019-11-19T23:10:00Z</cp:lastPrinted>
  <dcterms:created xsi:type="dcterms:W3CDTF">2020-02-06T06:22:00Z</dcterms:created>
  <dcterms:modified xsi:type="dcterms:W3CDTF">2020-02-06T06:22:00Z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Ref">
    <vt:lpwstr>Removed</vt:lpwstr>
  </property>
  <property fmtid="{D5CDD505-2E9C-101B-9397-08002B2CF9AE}" pid="3" name="LeadingLawyers">
    <vt:lpwstr>Removed</vt:lpwstr>
  </property>
  <property fmtid="{D5CDD505-2E9C-101B-9397-08002B2CF9AE}" pid="4" name="checkforsharepointfields">
    <vt:lpwstr>True</vt:lpwstr>
  </property>
  <property fmtid="{D5CDD505-2E9C-101B-9397-08002B2CF9AE}" pid="5" name="Template Filename">
    <vt:lpwstr/>
  </property>
  <property fmtid="{D5CDD505-2E9C-101B-9397-08002B2CF9AE}" pid="6" name="AGS Draft Text">
    <vt:lpwstr>DRAFT  08-11-2019  02:33 PM  v7</vt:lpwstr>
  </property>
  <property fmtid="{D5CDD505-2E9C-101B-9397-08002B2CF9AE}" pid="7" name="ContentTypeId">
    <vt:lpwstr>0x010100266966F133664895A6EE3632470D45F500DBB2E300F5C9804A8295995D73260214</vt:lpwstr>
  </property>
  <property fmtid="{D5CDD505-2E9C-101B-9397-08002B2CF9AE}" pid="8" name="RecordPoint_ActiveItemUniqueId">
    <vt:lpwstr>{bb32c3b4-dc3a-4641-852e-60d2e7a7e307}</vt:lpwstr>
  </property>
  <property fmtid="{D5CDD505-2E9C-101B-9397-08002B2CF9AE}" pid="9" name="RecordPoint_WorkflowType">
    <vt:lpwstr>ActiveSubmitStub</vt:lpwstr>
  </property>
  <property fmtid="{D5CDD505-2E9C-101B-9397-08002B2CF9AE}" pid="10" name="RecordPoint_ActiveItemListId">
    <vt:lpwstr>{d0228ed2-90a6-4b3b-9741-bdcd579034a6}</vt:lpwstr>
  </property>
  <property fmtid="{D5CDD505-2E9C-101B-9397-08002B2CF9AE}" pid="11" name="RecordPoint_ActiveItemWebId">
    <vt:lpwstr>{fea42d60-6fd5-4621-9e55-d26a2cfcb783}</vt:lpwstr>
  </property>
  <property fmtid="{D5CDD505-2E9C-101B-9397-08002B2CF9AE}" pid="12" name="RecordPoint_ActiveItemSiteId">
    <vt:lpwstr>{0042eda0-3729-4814-97c9-9936b3e1efdb}</vt:lpwstr>
  </property>
  <property fmtid="{D5CDD505-2E9C-101B-9397-08002B2CF9AE}" pid="13" name="RecordPoint_RecordNumberSubmitted">
    <vt:lpwstr>003155289</vt:lpwstr>
  </property>
  <property fmtid="{D5CDD505-2E9C-101B-9397-08002B2CF9AE}" pid="14" name="RecordPoint_SubmissionCompleted">
    <vt:lpwstr>2019-11-19T09:48:08.3704625+11:00</vt:lpwstr>
  </property>
  <property fmtid="{D5CDD505-2E9C-101B-9397-08002B2CF9AE}" pid="15" name="WSFooter">
    <vt:lpwstr>34842330</vt:lpwstr>
  </property>
</Properties>
</file>