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AFDD3" w14:textId="77777777" w:rsidR="00CB0D03" w:rsidRPr="00045CFC" w:rsidRDefault="00CB0D03" w:rsidP="00CB0D03">
      <w:pPr>
        <w:shd w:val="clear" w:color="auto" w:fill="FFFFFF"/>
        <w:spacing w:after="0"/>
        <w:jc w:val="left"/>
        <w:rPr>
          <w:rFonts w:ascii="Times New Roman" w:hAnsi="Times New Roman"/>
          <w:sz w:val="20"/>
          <w:szCs w:val="20"/>
        </w:rPr>
      </w:pPr>
      <w:r w:rsidRPr="000E1D61">
        <w:rPr>
          <w:rFonts w:ascii="Times New Roman" w:hAnsi="Times New Roman"/>
          <w:noProof/>
          <w:sz w:val="24"/>
          <w:lang w:eastAsia="en-AU"/>
        </w:rPr>
        <w:drawing>
          <wp:inline distT="0" distB="0" distL="0" distR="0" wp14:anchorId="3334A0F4" wp14:editId="050F810B">
            <wp:extent cx="1419225" cy="1104900"/>
            <wp:effectExtent l="0" t="0" r="9525" b="0"/>
            <wp:docPr id="2" name="Picture 2" descr="https://www.legislation.gov.au/Details/F2008L00465/Html/ConsolidatedARS32102008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gislation.gov.au/Details/F2008L00465/Html/ConsolidatedARS32102008_image00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87259" w14:textId="77777777" w:rsidR="00CB0D03" w:rsidRPr="00045CFC" w:rsidRDefault="00CB0D03" w:rsidP="00CB0D03">
      <w:pPr>
        <w:shd w:val="clear" w:color="auto" w:fill="FFFFFF"/>
        <w:spacing w:before="480" w:after="0"/>
        <w:jc w:val="left"/>
        <w:rPr>
          <w:rFonts w:cs="Arial"/>
          <w:b/>
          <w:bCs/>
          <w:sz w:val="40"/>
          <w:szCs w:val="40"/>
          <w:lang w:val="en-US"/>
        </w:rPr>
      </w:pPr>
      <w:r w:rsidRPr="00045CFC">
        <w:rPr>
          <w:rFonts w:cs="Arial"/>
          <w:b/>
          <w:bCs/>
          <w:sz w:val="40"/>
          <w:szCs w:val="40"/>
          <w:lang w:val="en-US"/>
        </w:rPr>
        <w:t xml:space="preserve">Financial Sector (Collection of Data) (reporting standard) determination No. </w:t>
      </w:r>
      <w:r>
        <w:rPr>
          <w:rFonts w:cs="Arial"/>
          <w:b/>
          <w:bCs/>
          <w:sz w:val="40"/>
          <w:szCs w:val="40"/>
          <w:lang w:val="en-US"/>
        </w:rPr>
        <w:t>1 of 2020</w:t>
      </w:r>
    </w:p>
    <w:p w14:paraId="47A7B359" w14:textId="77777777" w:rsidR="00CB0D03" w:rsidRPr="000E1D61" w:rsidRDefault="00CB0D03" w:rsidP="00CB0D03">
      <w:pPr>
        <w:shd w:val="clear" w:color="auto" w:fill="FFFFFF"/>
        <w:spacing w:before="48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Arial"/>
          <w:b/>
          <w:bCs/>
          <w:sz w:val="28"/>
          <w:szCs w:val="28"/>
          <w:lang w:val="en-US"/>
        </w:rPr>
        <w:t>Revocation of reporting standards applying to authorised deposit-taking institutions and registered financial corporations</w:t>
      </w:r>
    </w:p>
    <w:p w14:paraId="07983035" w14:textId="77777777" w:rsidR="00CB0D03" w:rsidRPr="00E80020" w:rsidRDefault="00CB0D03" w:rsidP="00CB0D03">
      <w:pPr>
        <w:pStyle w:val="ActTitle"/>
        <w:rPr>
          <w:color w:val="000000"/>
        </w:rPr>
      </w:pPr>
      <w:r>
        <w:rPr>
          <w:color w:val="000000"/>
        </w:rPr>
        <w:t>Financial Sector (Collection of Data) Act 2001</w:t>
      </w:r>
    </w:p>
    <w:p w14:paraId="747E10AE" w14:textId="77777777" w:rsidR="00CB0D03" w:rsidRDefault="00CB0D03" w:rsidP="00CB0D03">
      <w:pPr>
        <w:shd w:val="clear" w:color="auto" w:fill="FFFFFF"/>
        <w:spacing w:after="0"/>
        <w:rPr>
          <w:rFonts w:ascii="Times New Roman" w:hAnsi="Times New Roman"/>
          <w:sz w:val="24"/>
        </w:rPr>
      </w:pPr>
    </w:p>
    <w:p w14:paraId="2352E297" w14:textId="77777777" w:rsidR="00CB0D03" w:rsidRPr="00F5521D" w:rsidRDefault="00CB0D03" w:rsidP="00CB0D0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F5521D">
        <w:rPr>
          <w:rFonts w:ascii="Times New Roman" w:hAnsi="Times New Roman"/>
          <w:sz w:val="24"/>
          <w:szCs w:val="24"/>
        </w:rPr>
        <w:t xml:space="preserve">I, Alison Bliss, delegate of APRA, under paragraph 13(1)(a) of the </w:t>
      </w:r>
      <w:r w:rsidRPr="00F5521D">
        <w:rPr>
          <w:rFonts w:ascii="Times New Roman" w:hAnsi="Times New Roman"/>
          <w:i/>
          <w:iCs/>
          <w:sz w:val="24"/>
          <w:szCs w:val="24"/>
        </w:rPr>
        <w:t>Financial Sector (Collection of Data) Act 2001</w:t>
      </w:r>
      <w:r w:rsidRPr="00F5521D">
        <w:rPr>
          <w:rFonts w:ascii="Times New Roman" w:hAnsi="Times New Roman"/>
          <w:sz w:val="24"/>
          <w:szCs w:val="24"/>
        </w:rPr>
        <w:t xml:space="preserve"> (the Act) and subsection 33(3) of the </w:t>
      </w:r>
      <w:r w:rsidRPr="00F5521D">
        <w:rPr>
          <w:rFonts w:ascii="Times New Roman" w:hAnsi="Times New Roman"/>
          <w:i/>
          <w:iCs/>
          <w:sz w:val="24"/>
          <w:szCs w:val="24"/>
        </w:rPr>
        <w:t xml:space="preserve">Acts Interpretation Act 1901 </w:t>
      </w:r>
      <w:r w:rsidRPr="00F5521D">
        <w:rPr>
          <w:rFonts w:ascii="Times New Roman" w:hAnsi="Times New Roman"/>
          <w:sz w:val="24"/>
          <w:szCs w:val="24"/>
        </w:rPr>
        <w:t xml:space="preserve"> </w:t>
      </w:r>
      <w:r w:rsidRPr="00F5521D">
        <w:rPr>
          <w:rFonts w:ascii="Times New Roman" w:hAnsi="Times New Roman"/>
          <w:sz w:val="24"/>
          <w:szCs w:val="24"/>
          <w:lang w:val="en-US"/>
        </w:rPr>
        <w:t>REVOKE:</w:t>
      </w:r>
    </w:p>
    <w:p w14:paraId="3DCB8C9A" w14:textId="77777777" w:rsidR="00CB0D03" w:rsidRPr="00F5521D" w:rsidRDefault="00CB0D03" w:rsidP="00CB0D0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4DDD04E" w14:textId="77777777" w:rsidR="00CB0D03" w:rsidRPr="00F5521D" w:rsidRDefault="00CB0D03" w:rsidP="00CB0D03">
      <w:pPr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F5521D">
        <w:rPr>
          <w:rFonts w:ascii="Times New Roman" w:hAnsi="Times New Roman"/>
          <w:sz w:val="24"/>
          <w:szCs w:val="24"/>
          <w:lang w:val="en-US"/>
        </w:rPr>
        <w:t xml:space="preserve">Financial Sector (Collection of Data) (reporting standard) determination No. 14 of 2018, including </w:t>
      </w:r>
      <w:r w:rsidRPr="00F5521D">
        <w:rPr>
          <w:rFonts w:ascii="Times New Roman" w:hAnsi="Times New Roman"/>
          <w:i/>
          <w:sz w:val="24"/>
          <w:szCs w:val="24"/>
          <w:lang w:val="en-US"/>
        </w:rPr>
        <w:t xml:space="preserve">Reporting Standard ARS 320.0 Statement of Financial Position (Domestic Books) </w:t>
      </w:r>
      <w:r w:rsidRPr="00F5521D">
        <w:rPr>
          <w:rFonts w:ascii="Times New Roman" w:hAnsi="Times New Roman"/>
          <w:sz w:val="24"/>
          <w:szCs w:val="24"/>
          <w:lang w:val="en-US"/>
        </w:rPr>
        <w:t>made under that Determination;</w:t>
      </w:r>
    </w:p>
    <w:p w14:paraId="0C8D0A72" w14:textId="77777777" w:rsidR="00CB0D03" w:rsidRPr="00F5521D" w:rsidRDefault="00CB0D03" w:rsidP="00CB0D03">
      <w:pPr>
        <w:numPr>
          <w:ilvl w:val="0"/>
          <w:numId w:val="0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19D65D2E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F5521D">
        <w:rPr>
          <w:rFonts w:ascii="Times New Roman" w:hAnsi="Times New Roman"/>
          <w:sz w:val="24"/>
          <w:szCs w:val="24"/>
          <w:lang w:val="en-US"/>
        </w:rPr>
        <w:t xml:space="preserve">Financial Sector (Collection of Data) (reporting standard) determination No. 15 of 2018, including </w:t>
      </w:r>
      <w:r w:rsidRPr="00F5521D">
        <w:rPr>
          <w:rFonts w:ascii="Times New Roman" w:hAnsi="Times New Roman"/>
          <w:i/>
          <w:sz w:val="24"/>
          <w:szCs w:val="24"/>
          <w:lang w:val="en-US"/>
        </w:rPr>
        <w:t xml:space="preserve">Reporting Standard ARS 320.1 Debt Securities Held </w:t>
      </w:r>
      <w:r w:rsidRPr="00F5521D">
        <w:rPr>
          <w:rFonts w:ascii="Times New Roman" w:hAnsi="Times New Roman"/>
          <w:sz w:val="24"/>
          <w:szCs w:val="24"/>
          <w:lang w:val="en-US"/>
        </w:rPr>
        <w:t>made under that Determination;</w:t>
      </w:r>
    </w:p>
    <w:p w14:paraId="4FC1762A" w14:textId="77777777" w:rsidR="00CB0D03" w:rsidRPr="00F5521D" w:rsidRDefault="00CB0D03" w:rsidP="00CB0D03">
      <w:pPr>
        <w:numPr>
          <w:ilvl w:val="0"/>
          <w:numId w:val="0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BDF1BE6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F5521D">
        <w:rPr>
          <w:rFonts w:ascii="Times New Roman" w:hAnsi="Times New Roman"/>
          <w:sz w:val="24"/>
          <w:szCs w:val="24"/>
          <w:lang w:val="en-US"/>
        </w:rPr>
        <w:t xml:space="preserve">Financial Sector (Collection of Data) (reporting standard) determination No. 16 of 2018, including </w:t>
      </w:r>
      <w:r w:rsidRPr="00F5521D">
        <w:rPr>
          <w:rFonts w:ascii="Times New Roman" w:hAnsi="Times New Roman"/>
          <w:i/>
          <w:sz w:val="24"/>
          <w:szCs w:val="24"/>
          <w:lang w:val="en-US"/>
        </w:rPr>
        <w:t xml:space="preserve">Reporting Standard ARS 320.2 Equity Securities Held </w:t>
      </w:r>
      <w:r w:rsidRPr="00F5521D">
        <w:rPr>
          <w:rFonts w:ascii="Times New Roman" w:hAnsi="Times New Roman"/>
          <w:sz w:val="24"/>
          <w:szCs w:val="24"/>
          <w:lang w:val="en-US"/>
        </w:rPr>
        <w:t>made under that Determination;</w:t>
      </w:r>
    </w:p>
    <w:p w14:paraId="493E1CF2" w14:textId="77777777" w:rsidR="00CB0D03" w:rsidRPr="00F5521D" w:rsidRDefault="00CB0D03" w:rsidP="00CB0D03">
      <w:pPr>
        <w:numPr>
          <w:ilvl w:val="0"/>
          <w:numId w:val="0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6EE95A4F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F5521D">
        <w:rPr>
          <w:rFonts w:ascii="Times New Roman" w:hAnsi="Times New Roman"/>
          <w:sz w:val="24"/>
          <w:szCs w:val="24"/>
          <w:lang w:val="en-US"/>
        </w:rPr>
        <w:t xml:space="preserve">Financial Sector (Collection of Data) (reporting standard) determination No. 17 of 2018, including </w:t>
      </w:r>
      <w:r w:rsidRPr="00F5521D">
        <w:rPr>
          <w:rFonts w:ascii="Times New Roman" w:hAnsi="Times New Roman"/>
          <w:i/>
          <w:sz w:val="24"/>
          <w:szCs w:val="24"/>
          <w:lang w:val="en-US"/>
        </w:rPr>
        <w:t xml:space="preserve">Reporting Standard ARS 320.3 Debt Securities on Issue </w:t>
      </w:r>
      <w:r w:rsidRPr="00F5521D">
        <w:rPr>
          <w:rFonts w:ascii="Times New Roman" w:hAnsi="Times New Roman"/>
          <w:sz w:val="24"/>
          <w:szCs w:val="24"/>
          <w:lang w:val="en-US"/>
        </w:rPr>
        <w:t>made under that Determination;</w:t>
      </w:r>
    </w:p>
    <w:p w14:paraId="093A8635" w14:textId="77777777" w:rsidR="00CB0D03" w:rsidRPr="00F5521D" w:rsidRDefault="00CB0D03" w:rsidP="00CB0D03">
      <w:pPr>
        <w:numPr>
          <w:ilvl w:val="0"/>
          <w:numId w:val="0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253B5C53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F5521D">
        <w:rPr>
          <w:rFonts w:ascii="Times New Roman" w:hAnsi="Times New Roman"/>
          <w:sz w:val="24"/>
          <w:szCs w:val="24"/>
          <w:lang w:val="en-US"/>
        </w:rPr>
        <w:t xml:space="preserve">Financial Sector (Collection of Data) (reporting standard) determination No. 18 of 2018, including </w:t>
      </w:r>
      <w:r w:rsidRPr="00F5521D">
        <w:rPr>
          <w:rFonts w:ascii="Times New Roman" w:hAnsi="Times New Roman"/>
          <w:i/>
          <w:sz w:val="24"/>
          <w:szCs w:val="24"/>
          <w:lang w:val="en-US"/>
        </w:rPr>
        <w:t xml:space="preserve">Reporting Standard ARS 320.4 Bill Acceptances and Endorsements </w:t>
      </w:r>
      <w:r w:rsidRPr="00F5521D">
        <w:rPr>
          <w:rFonts w:ascii="Times New Roman" w:hAnsi="Times New Roman"/>
          <w:sz w:val="24"/>
          <w:szCs w:val="24"/>
          <w:lang w:val="en-US"/>
        </w:rPr>
        <w:t>made under that Determination;</w:t>
      </w:r>
    </w:p>
    <w:p w14:paraId="7151910D" w14:textId="77777777" w:rsidR="00CB0D03" w:rsidRPr="00F5521D" w:rsidRDefault="00CB0D03" w:rsidP="00CB0D03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613682B4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F5521D">
        <w:rPr>
          <w:rFonts w:ascii="Times New Roman" w:hAnsi="Times New Roman" w:cs="Times New Roman"/>
          <w:bCs/>
          <w:sz w:val="24"/>
          <w:szCs w:val="24"/>
        </w:rPr>
        <w:t xml:space="preserve">Financial Sector (Collection of Data) (reporting standard) determination No. 19 of 2018 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including </w:t>
      </w:r>
      <w:r w:rsidRPr="00F5521D">
        <w:rPr>
          <w:rFonts w:ascii="Times New Roman" w:hAnsi="Times New Roman" w:cs="Times New Roman"/>
          <w:bCs/>
          <w:i/>
          <w:sz w:val="24"/>
          <w:szCs w:val="24"/>
        </w:rPr>
        <w:t>Reporting Standard ARS 320.5 Securities Subject to Repurchase and Resale and Stock Lending and Borrowing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 made under that Determination;</w:t>
      </w:r>
    </w:p>
    <w:p w14:paraId="03410B49" w14:textId="77777777" w:rsidR="00CB0D03" w:rsidRPr="00F5521D" w:rsidRDefault="00CB0D03" w:rsidP="00CB0D03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715AA577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F552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Financial Sector (Collection of Data) (reporting standard) determination No. 20 of 2018 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including </w:t>
      </w:r>
      <w:r w:rsidRPr="00F5521D">
        <w:rPr>
          <w:rFonts w:ascii="Times New Roman" w:hAnsi="Times New Roman" w:cs="Times New Roman"/>
          <w:bCs/>
          <w:i/>
          <w:sz w:val="24"/>
          <w:szCs w:val="24"/>
        </w:rPr>
        <w:t>Reporting Standard ARS 320.8 Housing Loan Reconciliation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 made under that Determination;</w:t>
      </w:r>
    </w:p>
    <w:p w14:paraId="3D8ABE0B" w14:textId="77777777" w:rsidR="00CB0D03" w:rsidRPr="007C3B11" w:rsidRDefault="00CB0D03" w:rsidP="00CB0D03">
      <w:pPr>
        <w:numPr>
          <w:ilvl w:val="0"/>
          <w:numId w:val="0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0EA9877D" w14:textId="77777777" w:rsidR="00CB0D03" w:rsidRPr="00822792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AA1FDC">
        <w:rPr>
          <w:rFonts w:ascii="Times New Roman" w:hAnsi="Times New Roman"/>
          <w:sz w:val="24"/>
          <w:szCs w:val="24"/>
          <w:lang w:val="en-US"/>
        </w:rPr>
        <w:t xml:space="preserve">Financial Sector (Collection of Data) (reporting standard) determination No. 21 of 2018, including </w:t>
      </w:r>
      <w:r w:rsidRPr="00052E08">
        <w:rPr>
          <w:rFonts w:ascii="Times New Roman" w:hAnsi="Times New Roman"/>
          <w:i/>
          <w:sz w:val="24"/>
          <w:szCs w:val="24"/>
          <w:lang w:val="en-US"/>
        </w:rPr>
        <w:t xml:space="preserve">Reporting Standard ARS 320.9 Intra-Group Receivables and Payables </w:t>
      </w:r>
      <w:r w:rsidRPr="00822792">
        <w:rPr>
          <w:rFonts w:ascii="Times New Roman" w:hAnsi="Times New Roman"/>
          <w:sz w:val="24"/>
          <w:szCs w:val="24"/>
          <w:lang w:val="en-US"/>
        </w:rPr>
        <w:t>made under that Determination;</w:t>
      </w:r>
    </w:p>
    <w:p w14:paraId="18BF7192" w14:textId="77777777" w:rsidR="00CB0D03" w:rsidRPr="00822792" w:rsidRDefault="00CB0D03" w:rsidP="00CB0D03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0374B97F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F5521D">
        <w:rPr>
          <w:rFonts w:ascii="Times New Roman" w:hAnsi="Times New Roman" w:cs="Times New Roman"/>
          <w:bCs/>
          <w:sz w:val="24"/>
          <w:szCs w:val="24"/>
        </w:rPr>
        <w:t xml:space="preserve">Financial Sector (Collection of Data) (reporting standard) determination No. 29 of 2018 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including </w:t>
      </w:r>
      <w:r w:rsidRPr="00F5521D">
        <w:rPr>
          <w:rFonts w:ascii="Times New Roman" w:hAnsi="Times New Roman" w:cs="Times New Roman"/>
          <w:bCs/>
          <w:i/>
          <w:sz w:val="24"/>
          <w:szCs w:val="24"/>
        </w:rPr>
        <w:t>Reporting Standard ARS 331.0 Selected Revenues and Expenses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 made under that Determination;</w:t>
      </w:r>
    </w:p>
    <w:p w14:paraId="2FFCED3E" w14:textId="77777777" w:rsidR="00CB0D03" w:rsidRPr="007C3B11" w:rsidRDefault="00CB0D03" w:rsidP="00CB0D03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15262E88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EE22C9">
        <w:rPr>
          <w:rFonts w:ascii="Times New Roman" w:hAnsi="Times New Roman" w:cs="Times New Roman"/>
          <w:bCs/>
          <w:sz w:val="24"/>
          <w:szCs w:val="24"/>
        </w:rPr>
        <w:t xml:space="preserve">Financial Sector (Collection of Data) (reporting standard) determination No. 31 of 2018 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including </w:t>
      </w:r>
      <w:r w:rsidRPr="00F5521D">
        <w:rPr>
          <w:rFonts w:ascii="Times New Roman" w:hAnsi="Times New Roman" w:cs="Times New Roman"/>
          <w:bCs/>
          <w:i/>
          <w:sz w:val="24"/>
          <w:szCs w:val="24"/>
        </w:rPr>
        <w:t>Reporting Standard ARS 391.0 Commercial Finance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 made under that Determination;</w:t>
      </w:r>
    </w:p>
    <w:p w14:paraId="74D3C410" w14:textId="77777777" w:rsidR="00CB0D03" w:rsidRPr="007C3B11" w:rsidRDefault="00CB0D03" w:rsidP="00CB0D03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7B157D8A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EE22C9">
        <w:rPr>
          <w:rFonts w:ascii="Times New Roman" w:hAnsi="Times New Roman" w:cs="Times New Roman"/>
          <w:bCs/>
          <w:sz w:val="24"/>
          <w:szCs w:val="24"/>
        </w:rPr>
        <w:t xml:space="preserve">Financial Sector (Collection of Data) (reporting standard) determination No. 32 of 2018 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including </w:t>
      </w:r>
      <w:r w:rsidRPr="00F5521D">
        <w:rPr>
          <w:rFonts w:ascii="Times New Roman" w:hAnsi="Times New Roman" w:cs="Times New Roman"/>
          <w:bCs/>
          <w:i/>
          <w:sz w:val="24"/>
          <w:szCs w:val="24"/>
        </w:rPr>
        <w:t>Reporting Standard ARS 392.0 Housing Finance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 made under that Determination;</w:t>
      </w:r>
    </w:p>
    <w:p w14:paraId="027E0E59" w14:textId="77777777" w:rsidR="00CB0D03" w:rsidRPr="007C3B11" w:rsidRDefault="00CB0D03" w:rsidP="00CB0D03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38F91F82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EE22C9">
        <w:rPr>
          <w:rFonts w:ascii="Times New Roman" w:hAnsi="Times New Roman" w:cs="Times New Roman"/>
          <w:bCs/>
          <w:sz w:val="24"/>
          <w:szCs w:val="24"/>
        </w:rPr>
        <w:t xml:space="preserve">Financial Sector (Collection of Data) (reporting standard) determination No. 33 of 2018 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including </w:t>
      </w:r>
      <w:r w:rsidRPr="00F5521D">
        <w:rPr>
          <w:rFonts w:ascii="Times New Roman" w:hAnsi="Times New Roman" w:cs="Times New Roman"/>
          <w:bCs/>
          <w:i/>
          <w:sz w:val="24"/>
          <w:szCs w:val="24"/>
        </w:rPr>
        <w:t>Reporting Standard ARS 393.0 Lease Finance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 made under that Determination;</w:t>
      </w:r>
    </w:p>
    <w:p w14:paraId="483A9A64" w14:textId="77777777" w:rsidR="00CB0D03" w:rsidRPr="007C3B11" w:rsidRDefault="00CB0D03" w:rsidP="00CB0D03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0B41C8D8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EE22C9">
        <w:rPr>
          <w:rFonts w:ascii="Times New Roman" w:hAnsi="Times New Roman" w:cs="Times New Roman"/>
          <w:bCs/>
          <w:sz w:val="24"/>
          <w:szCs w:val="24"/>
        </w:rPr>
        <w:t xml:space="preserve">Financial Sector (Collection of Data) (reporting standard) determination No. 34 of 2018 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including </w:t>
      </w:r>
      <w:r w:rsidRPr="00F5521D">
        <w:rPr>
          <w:rFonts w:ascii="Times New Roman" w:hAnsi="Times New Roman" w:cs="Times New Roman"/>
          <w:bCs/>
          <w:i/>
          <w:sz w:val="24"/>
          <w:szCs w:val="24"/>
        </w:rPr>
        <w:t>Reporting Standard ARS 394.0 Personal Finance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 made under that Determination;</w:t>
      </w:r>
    </w:p>
    <w:p w14:paraId="75C2CA20" w14:textId="77777777" w:rsidR="00CB0D03" w:rsidRPr="007C3B11" w:rsidRDefault="00CB0D03" w:rsidP="00CB0D03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4CD12EA7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EE22C9">
        <w:rPr>
          <w:rFonts w:ascii="Times New Roman" w:hAnsi="Times New Roman" w:cs="Times New Roman"/>
          <w:bCs/>
          <w:sz w:val="24"/>
          <w:szCs w:val="24"/>
        </w:rPr>
        <w:t xml:space="preserve">Financial Sector (Collection of Data) (reporting standard) determination No. 35 of 2018 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including </w:t>
      </w:r>
      <w:r w:rsidRPr="00F5521D">
        <w:rPr>
          <w:rFonts w:ascii="Times New Roman" w:hAnsi="Times New Roman" w:cs="Times New Roman"/>
          <w:bCs/>
          <w:i/>
          <w:sz w:val="24"/>
          <w:szCs w:val="24"/>
        </w:rPr>
        <w:t>Reporting Standard ARS 395.0 Business Finance Statistics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 made under that Determination;</w:t>
      </w:r>
    </w:p>
    <w:p w14:paraId="0FF78E6B" w14:textId="77777777" w:rsidR="00CB0D03" w:rsidRPr="007C3B11" w:rsidRDefault="00CB0D03" w:rsidP="00CB0D03">
      <w:pPr>
        <w:numPr>
          <w:ilvl w:val="0"/>
          <w:numId w:val="0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271F58DE" w14:textId="77777777" w:rsidR="00CB0D03" w:rsidRPr="00822792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AA1FDC">
        <w:rPr>
          <w:rFonts w:ascii="Times New Roman" w:hAnsi="Times New Roman"/>
          <w:sz w:val="24"/>
          <w:szCs w:val="24"/>
          <w:lang w:val="en-US"/>
        </w:rPr>
        <w:t xml:space="preserve">Financial Sector (Collection of Data) (reporting standard) determination No. 36 of 2018, including </w:t>
      </w:r>
      <w:r w:rsidRPr="00AA1FDC">
        <w:rPr>
          <w:rFonts w:ascii="Times New Roman" w:hAnsi="Times New Roman"/>
          <w:i/>
          <w:sz w:val="24"/>
          <w:szCs w:val="24"/>
          <w:lang w:val="en-US"/>
        </w:rPr>
        <w:t>Reporting Standard RRS 320.0 S</w:t>
      </w:r>
      <w:r w:rsidRPr="00E55AF9">
        <w:rPr>
          <w:rFonts w:ascii="Times New Roman" w:hAnsi="Times New Roman"/>
          <w:i/>
          <w:sz w:val="24"/>
          <w:szCs w:val="24"/>
          <w:lang w:val="en-US"/>
        </w:rPr>
        <w:t>tatement of Financial Position</w:t>
      </w:r>
      <w:r w:rsidRPr="00052E0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52E08">
        <w:rPr>
          <w:rFonts w:ascii="Times New Roman" w:hAnsi="Times New Roman"/>
          <w:sz w:val="24"/>
          <w:szCs w:val="24"/>
          <w:lang w:val="en-US"/>
        </w:rPr>
        <w:t>made under that Determination;</w:t>
      </w:r>
    </w:p>
    <w:p w14:paraId="78A106C0" w14:textId="77777777" w:rsidR="00CB0D03" w:rsidRPr="00822792" w:rsidRDefault="00CB0D03" w:rsidP="00CB0D03">
      <w:pPr>
        <w:numPr>
          <w:ilvl w:val="0"/>
          <w:numId w:val="0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548CE63D" w14:textId="77777777" w:rsidR="00CB0D03" w:rsidRPr="00112CF7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822792">
        <w:rPr>
          <w:rFonts w:ascii="Times New Roman" w:hAnsi="Times New Roman"/>
          <w:sz w:val="24"/>
          <w:szCs w:val="24"/>
          <w:lang w:val="en-US"/>
        </w:rPr>
        <w:t xml:space="preserve">Financial Sector (Collection of Data) (reporting standard) determination No. 24 of 2016, including </w:t>
      </w:r>
      <w:r w:rsidRPr="00822792">
        <w:rPr>
          <w:rFonts w:ascii="Times New Roman" w:hAnsi="Times New Roman"/>
          <w:i/>
          <w:sz w:val="24"/>
          <w:szCs w:val="24"/>
          <w:lang w:val="en-US"/>
        </w:rPr>
        <w:t xml:space="preserve">Reporting Standard RRS 320.1 Debt Securities Held </w:t>
      </w:r>
      <w:r w:rsidRPr="00E259FA">
        <w:rPr>
          <w:rFonts w:ascii="Times New Roman" w:hAnsi="Times New Roman"/>
          <w:sz w:val="24"/>
          <w:szCs w:val="24"/>
          <w:lang w:val="en-US"/>
        </w:rPr>
        <w:t>made under that Determination;</w:t>
      </w:r>
    </w:p>
    <w:p w14:paraId="3C69A0FB" w14:textId="77777777" w:rsidR="00CB0D03" w:rsidRPr="00112CF7" w:rsidRDefault="00CB0D03" w:rsidP="00CB0D03">
      <w:pPr>
        <w:numPr>
          <w:ilvl w:val="0"/>
          <w:numId w:val="0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3B518976" w14:textId="77777777" w:rsidR="00CB0D03" w:rsidRPr="008A6AF3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112CF7">
        <w:rPr>
          <w:rFonts w:ascii="Times New Roman" w:hAnsi="Times New Roman"/>
          <w:sz w:val="24"/>
          <w:szCs w:val="24"/>
          <w:lang w:val="en-US"/>
        </w:rPr>
        <w:t>Financial Sector (Collection of Data) (reporting standard) determination No</w:t>
      </w:r>
      <w:r w:rsidRPr="008A6AF3">
        <w:rPr>
          <w:rFonts w:ascii="Times New Roman" w:hAnsi="Times New Roman"/>
          <w:sz w:val="24"/>
          <w:szCs w:val="24"/>
          <w:lang w:val="en-US"/>
        </w:rPr>
        <w:t xml:space="preserve">. 25 of 2016, including </w:t>
      </w:r>
      <w:r w:rsidRPr="008A6AF3">
        <w:rPr>
          <w:rFonts w:ascii="Times New Roman" w:hAnsi="Times New Roman"/>
          <w:i/>
          <w:sz w:val="24"/>
          <w:szCs w:val="24"/>
          <w:lang w:val="en-US"/>
        </w:rPr>
        <w:t xml:space="preserve">Reporting Standard RRS 320.2 Equity Securities Held </w:t>
      </w:r>
      <w:r w:rsidRPr="008A6AF3">
        <w:rPr>
          <w:rFonts w:ascii="Times New Roman" w:hAnsi="Times New Roman"/>
          <w:sz w:val="24"/>
          <w:szCs w:val="24"/>
          <w:lang w:val="en-US"/>
        </w:rPr>
        <w:t>made under that Determination;</w:t>
      </w:r>
    </w:p>
    <w:p w14:paraId="42134A42" w14:textId="77777777" w:rsidR="00CB0D03" w:rsidRPr="00392963" w:rsidRDefault="00CB0D03" w:rsidP="00CB0D03">
      <w:pPr>
        <w:numPr>
          <w:ilvl w:val="0"/>
          <w:numId w:val="0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7914B05F" w14:textId="77777777" w:rsidR="00CB0D03" w:rsidRPr="008020CA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8020CA">
        <w:rPr>
          <w:rFonts w:ascii="Times New Roman" w:hAnsi="Times New Roman"/>
          <w:sz w:val="24"/>
          <w:szCs w:val="24"/>
          <w:lang w:val="en-US"/>
        </w:rPr>
        <w:t xml:space="preserve">Financial Sector (Collection of Data) (reporting standard) determination No. 26 of 2016, including </w:t>
      </w:r>
      <w:r w:rsidRPr="008020CA">
        <w:rPr>
          <w:rFonts w:ascii="Times New Roman" w:hAnsi="Times New Roman"/>
          <w:i/>
          <w:sz w:val="24"/>
          <w:szCs w:val="24"/>
          <w:lang w:val="en-US"/>
        </w:rPr>
        <w:t xml:space="preserve">Reporting Standard RRS 320.3 Debt Securities on Issue </w:t>
      </w:r>
      <w:r w:rsidRPr="008020CA">
        <w:rPr>
          <w:rFonts w:ascii="Times New Roman" w:hAnsi="Times New Roman"/>
          <w:sz w:val="24"/>
          <w:szCs w:val="24"/>
          <w:lang w:val="en-US"/>
        </w:rPr>
        <w:t>made under that Determination;</w:t>
      </w:r>
    </w:p>
    <w:p w14:paraId="29BF2A05" w14:textId="77777777" w:rsidR="00CB0D03" w:rsidRPr="008020CA" w:rsidRDefault="00CB0D03" w:rsidP="00CB0D03">
      <w:pPr>
        <w:numPr>
          <w:ilvl w:val="0"/>
          <w:numId w:val="0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25BBBEE3" w14:textId="77777777" w:rsidR="00CB0D03" w:rsidRPr="008020CA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8020CA">
        <w:rPr>
          <w:rFonts w:ascii="Times New Roman" w:hAnsi="Times New Roman"/>
          <w:sz w:val="24"/>
          <w:szCs w:val="24"/>
          <w:lang w:val="en-US"/>
        </w:rPr>
        <w:lastRenderedPageBreak/>
        <w:t xml:space="preserve">Financial Sector (Collection of Data) (reporting standard) determination No. 27 of 2016, including </w:t>
      </w:r>
      <w:r w:rsidRPr="008020CA">
        <w:rPr>
          <w:rFonts w:ascii="Times New Roman" w:hAnsi="Times New Roman"/>
          <w:i/>
          <w:sz w:val="24"/>
          <w:szCs w:val="24"/>
          <w:lang w:val="en-US"/>
        </w:rPr>
        <w:t xml:space="preserve">Reporting Standard RRS 320.4 Bill Acceptances </w:t>
      </w:r>
      <w:r w:rsidRPr="008020CA">
        <w:rPr>
          <w:rFonts w:ascii="Times New Roman" w:hAnsi="Times New Roman"/>
          <w:sz w:val="24"/>
          <w:szCs w:val="24"/>
          <w:lang w:val="en-US"/>
        </w:rPr>
        <w:t>made under that Determination;</w:t>
      </w:r>
    </w:p>
    <w:p w14:paraId="2E96BF5E" w14:textId="77777777" w:rsidR="00CB0D03" w:rsidRPr="008020CA" w:rsidRDefault="00CB0D03" w:rsidP="00CB0D03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683835C3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F5521D">
        <w:rPr>
          <w:rFonts w:ascii="Times New Roman" w:hAnsi="Times New Roman" w:cs="Times New Roman"/>
          <w:bCs/>
          <w:sz w:val="24"/>
          <w:szCs w:val="24"/>
        </w:rPr>
        <w:t xml:space="preserve">Financial Sector (Collection of Data) (reporting standard) determination No. 28 of 2016 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including </w:t>
      </w:r>
      <w:r w:rsidRPr="00F5521D">
        <w:rPr>
          <w:rFonts w:ascii="Times New Roman" w:hAnsi="Times New Roman" w:cs="Times New Roman"/>
          <w:bCs/>
          <w:i/>
          <w:sz w:val="24"/>
          <w:szCs w:val="24"/>
        </w:rPr>
        <w:t>Reporting Standard RRS 320.5 Securities Subject to Repurchase and Resale and Stock Lending and Borrowing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 made under that Determination;</w:t>
      </w:r>
    </w:p>
    <w:p w14:paraId="4F737805" w14:textId="77777777" w:rsidR="00CB0D03" w:rsidRPr="00052E08" w:rsidRDefault="00CB0D03" w:rsidP="00CB0D03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1BD02D2A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F5521D">
        <w:rPr>
          <w:rFonts w:ascii="Times New Roman" w:hAnsi="Times New Roman" w:cs="Times New Roman"/>
          <w:bCs/>
          <w:sz w:val="24"/>
          <w:szCs w:val="24"/>
        </w:rPr>
        <w:t xml:space="preserve">Financial Sector (Collection of Data) (reporting standard) determination No. 29 of 2016 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including </w:t>
      </w:r>
      <w:r w:rsidRPr="00F5521D">
        <w:rPr>
          <w:rFonts w:ascii="Times New Roman" w:hAnsi="Times New Roman" w:cs="Times New Roman"/>
          <w:bCs/>
          <w:i/>
          <w:sz w:val="24"/>
          <w:szCs w:val="24"/>
        </w:rPr>
        <w:t>Reporting Standard RRS 331.0 Selected Revenues and Expenses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 made under that Determination;</w:t>
      </w:r>
    </w:p>
    <w:p w14:paraId="1C615377" w14:textId="77777777" w:rsidR="00CB0D03" w:rsidRPr="00052E08" w:rsidRDefault="00CB0D03" w:rsidP="00CB0D03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5CCBC057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F5521D">
        <w:rPr>
          <w:rFonts w:ascii="Times New Roman" w:hAnsi="Times New Roman" w:cs="Times New Roman"/>
          <w:bCs/>
          <w:sz w:val="24"/>
          <w:szCs w:val="24"/>
        </w:rPr>
        <w:t xml:space="preserve">Financial Sector (Collection of Data) (reporting standard) determination No. 31 of 2016 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including </w:t>
      </w:r>
      <w:r w:rsidRPr="00392963">
        <w:rPr>
          <w:rFonts w:ascii="Times New Roman" w:hAnsi="Times New Roman" w:cs="Times New Roman"/>
          <w:bCs/>
          <w:i/>
          <w:sz w:val="24"/>
          <w:szCs w:val="24"/>
        </w:rPr>
        <w:t>Reporting S</w:t>
      </w:r>
      <w:r w:rsidRPr="00F5521D">
        <w:rPr>
          <w:rFonts w:ascii="Times New Roman" w:hAnsi="Times New Roman" w:cs="Times New Roman"/>
          <w:bCs/>
          <w:i/>
          <w:sz w:val="24"/>
          <w:szCs w:val="24"/>
        </w:rPr>
        <w:t>tandard RRS 391.0 Commercial Finance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 made under that Determination;</w:t>
      </w:r>
    </w:p>
    <w:p w14:paraId="0F9EA7B8" w14:textId="77777777" w:rsidR="00CB0D03" w:rsidRPr="00052E08" w:rsidRDefault="00CB0D03" w:rsidP="00CB0D03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5494F6B7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F5521D">
        <w:rPr>
          <w:rFonts w:ascii="Times New Roman" w:hAnsi="Times New Roman" w:cs="Times New Roman"/>
          <w:bCs/>
          <w:sz w:val="24"/>
          <w:szCs w:val="24"/>
        </w:rPr>
        <w:t xml:space="preserve">Financial Sector (Collection of Data) (reporting standard) determination No. 32 of 2016 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including </w:t>
      </w:r>
      <w:r w:rsidRPr="00392963">
        <w:rPr>
          <w:rFonts w:ascii="Times New Roman" w:hAnsi="Times New Roman" w:cs="Times New Roman"/>
          <w:bCs/>
          <w:i/>
          <w:sz w:val="24"/>
          <w:szCs w:val="24"/>
        </w:rPr>
        <w:t>Reporting S</w:t>
      </w:r>
      <w:r w:rsidRPr="00F5521D">
        <w:rPr>
          <w:rFonts w:ascii="Times New Roman" w:hAnsi="Times New Roman" w:cs="Times New Roman"/>
          <w:bCs/>
          <w:i/>
          <w:sz w:val="24"/>
          <w:szCs w:val="24"/>
        </w:rPr>
        <w:t>tandard RRS 392.0 Housing Finance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 made under that Determination;</w:t>
      </w:r>
    </w:p>
    <w:p w14:paraId="71C99F26" w14:textId="77777777" w:rsidR="00CB0D03" w:rsidRPr="00052E08" w:rsidRDefault="00CB0D03" w:rsidP="00CB0D03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5EEB5862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F5521D">
        <w:rPr>
          <w:rFonts w:ascii="Times New Roman" w:hAnsi="Times New Roman" w:cs="Times New Roman"/>
          <w:bCs/>
          <w:sz w:val="24"/>
          <w:szCs w:val="24"/>
        </w:rPr>
        <w:t xml:space="preserve">Financial Sector (Collection of Data) (reporting standard) determination No. 33 of 2016 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including </w:t>
      </w:r>
      <w:r w:rsidRPr="00F5521D">
        <w:rPr>
          <w:rFonts w:ascii="Times New Roman" w:hAnsi="Times New Roman" w:cs="Times New Roman"/>
          <w:bCs/>
          <w:i/>
          <w:sz w:val="24"/>
          <w:szCs w:val="24"/>
        </w:rPr>
        <w:t xml:space="preserve">Reporting </w:t>
      </w:r>
      <w:r w:rsidRPr="00392963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Pr="00F5521D">
        <w:rPr>
          <w:rFonts w:ascii="Times New Roman" w:hAnsi="Times New Roman" w:cs="Times New Roman"/>
          <w:bCs/>
          <w:i/>
          <w:sz w:val="24"/>
          <w:szCs w:val="24"/>
        </w:rPr>
        <w:t>tandard RRS 393.0 Lease Finance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 made under that Determination; and</w:t>
      </w:r>
    </w:p>
    <w:p w14:paraId="05AA90E1" w14:textId="77777777" w:rsidR="00CB0D03" w:rsidRPr="00052E08" w:rsidRDefault="00CB0D03" w:rsidP="00CB0D03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7B84C314" w14:textId="77777777" w:rsidR="00CB0D03" w:rsidRPr="00F5521D" w:rsidRDefault="00CB0D03" w:rsidP="00CB0D03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F5521D">
        <w:rPr>
          <w:rFonts w:ascii="Times New Roman" w:hAnsi="Times New Roman" w:cs="Times New Roman"/>
          <w:bCs/>
          <w:sz w:val="24"/>
          <w:szCs w:val="24"/>
        </w:rPr>
        <w:t xml:space="preserve">Financial Sector (Collection of Data) (reporting standard) determination No. 34 of 2016 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including </w:t>
      </w:r>
      <w:r w:rsidRPr="00F5521D">
        <w:rPr>
          <w:rFonts w:ascii="Times New Roman" w:hAnsi="Times New Roman" w:cs="Times New Roman"/>
          <w:bCs/>
          <w:i/>
          <w:sz w:val="24"/>
          <w:szCs w:val="24"/>
        </w:rPr>
        <w:t>Reporting Standard RRS 394.0 Personal Finance</w:t>
      </w:r>
      <w:r w:rsidRPr="00392963">
        <w:rPr>
          <w:rFonts w:ascii="Times New Roman" w:hAnsi="Times New Roman" w:cs="Times New Roman"/>
          <w:bCs/>
          <w:sz w:val="24"/>
          <w:szCs w:val="24"/>
        </w:rPr>
        <w:t xml:space="preserve"> made under that Determination.</w:t>
      </w:r>
    </w:p>
    <w:p w14:paraId="2F3CD113" w14:textId="77777777" w:rsidR="00CB0D03" w:rsidRPr="00052E08" w:rsidRDefault="00CB0D03" w:rsidP="00CB0D0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B2D94A7" w14:textId="77777777" w:rsidR="00CB0D03" w:rsidRDefault="00CB0D03" w:rsidP="00CB0D03">
      <w:pPr>
        <w:shd w:val="clear" w:color="auto" w:fill="FFFFFF"/>
        <w:spacing w:after="0"/>
        <w:rPr>
          <w:rFonts w:ascii="Times New Roman" w:hAnsi="Times New Roman"/>
          <w:sz w:val="24"/>
          <w:lang w:val="en-US"/>
        </w:rPr>
      </w:pPr>
      <w:r w:rsidRPr="0028067E">
        <w:rPr>
          <w:rFonts w:ascii="Times New Roman" w:hAnsi="Times New Roman"/>
          <w:sz w:val="24"/>
          <w:lang w:val="en-US"/>
        </w:rPr>
        <w:t>Under</w:t>
      </w:r>
      <w:r w:rsidRPr="000E1D61">
        <w:rPr>
          <w:rFonts w:ascii="Times New Roman" w:hAnsi="Times New Roman"/>
          <w:sz w:val="24"/>
          <w:lang w:val="en-US"/>
        </w:rPr>
        <w:t xml:space="preserve"> section 15 of the Act, I DECLARE that the revoked reporting standard</w:t>
      </w:r>
      <w:r>
        <w:rPr>
          <w:rFonts w:ascii="Times New Roman" w:hAnsi="Times New Roman"/>
          <w:sz w:val="24"/>
          <w:lang w:val="en-US"/>
        </w:rPr>
        <w:t>s</w:t>
      </w:r>
      <w:r w:rsidRPr="000E1D61">
        <w:rPr>
          <w:rFonts w:ascii="Times New Roman" w:hAnsi="Times New Roman"/>
          <w:sz w:val="24"/>
          <w:lang w:val="en-US"/>
        </w:rPr>
        <w:t xml:space="preserve"> shall c</w:t>
      </w:r>
      <w:r>
        <w:rPr>
          <w:rFonts w:ascii="Times New Roman" w:hAnsi="Times New Roman"/>
          <w:sz w:val="24"/>
          <w:lang w:val="en-US"/>
        </w:rPr>
        <w:t xml:space="preserve">ease to apply on </w:t>
      </w:r>
      <w:r w:rsidRPr="000E1D61">
        <w:rPr>
          <w:rFonts w:ascii="Times New Roman" w:hAnsi="Times New Roman"/>
          <w:sz w:val="24"/>
          <w:lang w:val="en-US"/>
        </w:rPr>
        <w:t xml:space="preserve">the date of registration of this instrument on the Federal Register of </w:t>
      </w:r>
      <w:r>
        <w:rPr>
          <w:rFonts w:ascii="Times New Roman" w:hAnsi="Times New Roman"/>
          <w:sz w:val="24"/>
          <w:lang w:val="en-US"/>
        </w:rPr>
        <w:t>Legislation.</w:t>
      </w:r>
    </w:p>
    <w:p w14:paraId="2EACA0D6" w14:textId="77777777" w:rsidR="00CB0D03" w:rsidRDefault="00CB0D03" w:rsidP="00CB0D03">
      <w:pPr>
        <w:shd w:val="clear" w:color="auto" w:fill="FFFFFF"/>
        <w:spacing w:after="0"/>
        <w:rPr>
          <w:rFonts w:ascii="Times New Roman" w:hAnsi="Times New Roman"/>
          <w:sz w:val="24"/>
          <w:lang w:val="en-US"/>
        </w:rPr>
      </w:pPr>
    </w:p>
    <w:p w14:paraId="2FA3073D" w14:textId="77777777" w:rsidR="00CB0D03" w:rsidRDefault="00CB0D03" w:rsidP="00CB0D03">
      <w:pPr>
        <w:shd w:val="clear" w:color="auto" w:fill="FFFFFF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  <w:lang w:val="en-US"/>
        </w:rPr>
        <w:t xml:space="preserve">his instrument commences on the date of registration on the Federal Register of Legislation.  </w:t>
      </w:r>
    </w:p>
    <w:p w14:paraId="1C596C4E" w14:textId="77777777" w:rsidR="00CB0D03" w:rsidRDefault="00CB0D03" w:rsidP="00CB0D03">
      <w:pPr>
        <w:shd w:val="clear" w:color="auto" w:fill="FFFFFF"/>
        <w:spacing w:after="0"/>
        <w:rPr>
          <w:rFonts w:ascii="Times New Roman" w:hAnsi="Times New Roman"/>
          <w:sz w:val="24"/>
        </w:rPr>
      </w:pPr>
    </w:p>
    <w:p w14:paraId="2D9CA835" w14:textId="77777777" w:rsidR="00CB0D03" w:rsidRPr="000E1D61" w:rsidRDefault="00CB0D03" w:rsidP="00CB0D03">
      <w:pPr>
        <w:shd w:val="clear" w:color="auto" w:fill="FFFFFF"/>
        <w:spacing w:after="0"/>
        <w:rPr>
          <w:rFonts w:ascii="Times New Roman" w:hAnsi="Times New Roman"/>
          <w:sz w:val="24"/>
        </w:rPr>
      </w:pPr>
      <w:r w:rsidRPr="000E1D61">
        <w:rPr>
          <w:rFonts w:ascii="Times New Roman" w:hAnsi="Times New Roman"/>
          <w:sz w:val="24"/>
          <w:lang w:val="en-US"/>
        </w:rPr>
        <w:t>Dated</w:t>
      </w:r>
      <w:r w:rsidRPr="00BD099D">
        <w:rPr>
          <w:rFonts w:ascii="Times New Roman" w:hAnsi="Times New Roman"/>
          <w:sz w:val="24"/>
          <w:lang w:val="en-US"/>
        </w:rPr>
        <w:t xml:space="preserve">: </w:t>
      </w:r>
      <w:r w:rsidR="00BD099D" w:rsidRPr="00BD099D">
        <w:rPr>
          <w:rFonts w:ascii="Times New Roman" w:hAnsi="Times New Roman"/>
          <w:sz w:val="24"/>
          <w:lang w:val="en-US"/>
        </w:rPr>
        <w:t xml:space="preserve">4 February </w:t>
      </w:r>
      <w:r w:rsidRPr="00BD099D">
        <w:rPr>
          <w:rFonts w:ascii="Times New Roman" w:hAnsi="Times New Roman"/>
          <w:sz w:val="24"/>
          <w:lang w:val="en-US"/>
        </w:rPr>
        <w:t xml:space="preserve"> 2020</w:t>
      </w:r>
    </w:p>
    <w:p w14:paraId="6DEDB1BF" w14:textId="77777777" w:rsidR="00CB0D03" w:rsidRDefault="00CB0D03" w:rsidP="00CB0D03">
      <w:pPr>
        <w:shd w:val="clear" w:color="auto" w:fill="FFFFFF"/>
        <w:spacing w:after="0"/>
        <w:rPr>
          <w:rFonts w:ascii="Times New Roman" w:hAnsi="Times New Roman"/>
          <w:sz w:val="24"/>
          <w:lang w:val="en-US"/>
        </w:rPr>
      </w:pPr>
    </w:p>
    <w:p w14:paraId="52C8EAF1" w14:textId="77777777" w:rsidR="00CB0D03" w:rsidRDefault="00CB0D03" w:rsidP="00CB0D03">
      <w:pPr>
        <w:shd w:val="clear" w:color="auto" w:fill="FFFFFF"/>
        <w:spacing w:after="0"/>
        <w:rPr>
          <w:rFonts w:ascii="Times New Roman" w:hAnsi="Times New Roman"/>
          <w:sz w:val="24"/>
          <w:lang w:val="en-US"/>
        </w:rPr>
      </w:pPr>
    </w:p>
    <w:p w14:paraId="00E9F174" w14:textId="0489347F" w:rsidR="00CB0D03" w:rsidRDefault="00342F5F" w:rsidP="00CB0D03">
      <w:pPr>
        <w:shd w:val="clear" w:color="auto" w:fill="FFFFFF"/>
        <w:spacing w:after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[Signed]</w:t>
      </w:r>
      <w:bookmarkStart w:id="0" w:name="_GoBack"/>
      <w:bookmarkEnd w:id="0"/>
    </w:p>
    <w:p w14:paraId="29E090B6" w14:textId="77777777" w:rsidR="00CB0D03" w:rsidRDefault="00CB0D03" w:rsidP="00CB0D03">
      <w:pPr>
        <w:shd w:val="clear" w:color="auto" w:fill="FFFFFF"/>
        <w:spacing w:after="0"/>
        <w:rPr>
          <w:rFonts w:ascii="Times New Roman" w:hAnsi="Times New Roman"/>
          <w:sz w:val="24"/>
          <w:lang w:val="en-US"/>
        </w:rPr>
      </w:pPr>
    </w:p>
    <w:p w14:paraId="271C57FB" w14:textId="77777777" w:rsidR="00CB0D03" w:rsidRPr="000E1D61" w:rsidRDefault="00CB0D03" w:rsidP="00CB0D03">
      <w:pPr>
        <w:shd w:val="clear" w:color="auto" w:fill="FFFFFF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Alison Bliss</w:t>
      </w:r>
    </w:p>
    <w:p w14:paraId="05681091" w14:textId="77777777" w:rsidR="00CB0D03" w:rsidRPr="000E1D61" w:rsidRDefault="00CB0D03" w:rsidP="00CB0D03">
      <w:pPr>
        <w:shd w:val="clear" w:color="auto" w:fill="FFFFFF"/>
        <w:spacing w:after="0"/>
        <w:rPr>
          <w:rFonts w:ascii="Times New Roman" w:hAnsi="Times New Roman"/>
          <w:sz w:val="24"/>
        </w:rPr>
      </w:pPr>
      <w:r w:rsidRPr="000E1D61">
        <w:rPr>
          <w:rFonts w:ascii="Times New Roman" w:hAnsi="Times New Roman"/>
          <w:sz w:val="24"/>
          <w:lang w:val="en-US"/>
        </w:rPr>
        <w:t>General Manager</w:t>
      </w:r>
    </w:p>
    <w:p w14:paraId="04503461" w14:textId="77777777" w:rsidR="00CB0D03" w:rsidRDefault="00CB0D03" w:rsidP="00CB0D03">
      <w:pPr>
        <w:shd w:val="clear" w:color="auto" w:fill="FFFFFF"/>
        <w:spacing w:after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Cross-Industry Insights and Data Division</w:t>
      </w:r>
    </w:p>
    <w:p w14:paraId="13F610B8" w14:textId="77777777" w:rsidR="00CB0D03" w:rsidRPr="000E1D61" w:rsidRDefault="00CB0D03" w:rsidP="00CB0D03">
      <w:pPr>
        <w:shd w:val="clear" w:color="auto" w:fill="FFFFFF"/>
        <w:spacing w:after="0"/>
        <w:rPr>
          <w:rFonts w:ascii="Times New Roman" w:hAnsi="Times New Roman"/>
          <w:sz w:val="24"/>
        </w:rPr>
      </w:pPr>
    </w:p>
    <w:p w14:paraId="61EC29C3" w14:textId="77777777" w:rsidR="00CB0D03" w:rsidRPr="00045CFC" w:rsidRDefault="00CB0D03" w:rsidP="00CB0D03">
      <w:pPr>
        <w:shd w:val="clear" w:color="auto" w:fill="FFFFFF"/>
        <w:spacing w:after="0"/>
        <w:jc w:val="left"/>
        <w:rPr>
          <w:rFonts w:ascii="Times New Roman" w:hAnsi="Times New Roman"/>
          <w:b/>
          <w:sz w:val="19"/>
          <w:szCs w:val="19"/>
        </w:rPr>
      </w:pPr>
      <w:r w:rsidRPr="00045CFC">
        <w:rPr>
          <w:rFonts w:ascii="Times New Roman" w:hAnsi="Times New Roman"/>
          <w:b/>
          <w:sz w:val="24"/>
        </w:rPr>
        <w:t>Interpretation</w:t>
      </w:r>
    </w:p>
    <w:p w14:paraId="3C0B07E7" w14:textId="77777777" w:rsidR="00CB0D03" w:rsidRPr="000E1D61" w:rsidRDefault="00CB0D03" w:rsidP="00CB0D03">
      <w:pPr>
        <w:shd w:val="clear" w:color="auto" w:fill="FFFFFF"/>
        <w:spacing w:before="240" w:after="0"/>
        <w:jc w:val="left"/>
        <w:rPr>
          <w:rFonts w:ascii="Times New Roman" w:hAnsi="Times New Roman"/>
          <w:sz w:val="24"/>
        </w:rPr>
      </w:pPr>
      <w:r w:rsidRPr="000E1D61">
        <w:rPr>
          <w:rFonts w:ascii="Times New Roman" w:hAnsi="Times New Roman"/>
          <w:sz w:val="24"/>
        </w:rPr>
        <w:t>In this Determination</w:t>
      </w:r>
    </w:p>
    <w:p w14:paraId="0E3AF3DA" w14:textId="77777777" w:rsidR="00CB0D03" w:rsidRPr="000E1D61" w:rsidRDefault="00CB0D03" w:rsidP="00CB0D03">
      <w:pPr>
        <w:shd w:val="clear" w:color="auto" w:fill="FFFFFF"/>
        <w:spacing w:before="120" w:after="0"/>
        <w:jc w:val="left"/>
        <w:rPr>
          <w:rFonts w:ascii="Times New Roman" w:hAnsi="Times New Roman"/>
          <w:sz w:val="24"/>
        </w:rPr>
      </w:pPr>
      <w:r w:rsidRPr="000E1D61">
        <w:rPr>
          <w:rFonts w:ascii="Times New Roman" w:hAnsi="Times New Roman"/>
          <w:b/>
          <w:bCs/>
          <w:i/>
          <w:iCs/>
          <w:sz w:val="24"/>
        </w:rPr>
        <w:t xml:space="preserve">APRA </w:t>
      </w:r>
      <w:r w:rsidRPr="000E1D61">
        <w:rPr>
          <w:rFonts w:ascii="Times New Roman" w:hAnsi="Times New Roman"/>
          <w:sz w:val="24"/>
        </w:rPr>
        <w:t>means the Australian Prudential Regulation Authority.</w:t>
      </w:r>
    </w:p>
    <w:p w14:paraId="06A997E3" w14:textId="77777777" w:rsidR="00CB0D03" w:rsidRPr="000E1D61" w:rsidRDefault="00CB0D03" w:rsidP="00CB0D03">
      <w:pPr>
        <w:shd w:val="clear" w:color="auto" w:fill="FFFFFF"/>
        <w:spacing w:before="120" w:after="0"/>
        <w:jc w:val="left"/>
        <w:rPr>
          <w:rFonts w:ascii="Times New Roman" w:hAnsi="Times New Roman"/>
          <w:sz w:val="24"/>
        </w:rPr>
      </w:pPr>
      <w:r w:rsidRPr="000E1D61">
        <w:rPr>
          <w:rFonts w:ascii="Times New Roman" w:hAnsi="Times New Roman"/>
          <w:b/>
          <w:bCs/>
          <w:i/>
          <w:iCs/>
          <w:sz w:val="24"/>
        </w:rPr>
        <w:lastRenderedPageBreak/>
        <w:t xml:space="preserve">Federal Register of </w:t>
      </w:r>
      <w:r>
        <w:rPr>
          <w:rFonts w:ascii="Times New Roman" w:hAnsi="Times New Roman"/>
          <w:b/>
          <w:bCs/>
          <w:i/>
          <w:iCs/>
          <w:sz w:val="24"/>
        </w:rPr>
        <w:t>Legislation</w:t>
      </w:r>
      <w:r w:rsidRPr="000E1D61">
        <w:rPr>
          <w:rFonts w:ascii="Times New Roman" w:hAnsi="Times New Roman"/>
          <w:sz w:val="24"/>
        </w:rPr>
        <w:t xml:space="preserve"> means the register established under section </w:t>
      </w:r>
      <w:r>
        <w:rPr>
          <w:rFonts w:ascii="Times New Roman" w:hAnsi="Times New Roman"/>
          <w:sz w:val="24"/>
        </w:rPr>
        <w:t>15A</w:t>
      </w:r>
      <w:r w:rsidRPr="000E1D61">
        <w:rPr>
          <w:rFonts w:ascii="Times New Roman" w:hAnsi="Times New Roman"/>
          <w:sz w:val="24"/>
        </w:rPr>
        <w:t xml:space="preserve"> of the </w:t>
      </w:r>
      <w:r>
        <w:rPr>
          <w:rFonts w:ascii="Times New Roman" w:hAnsi="Times New Roman"/>
          <w:i/>
          <w:iCs/>
          <w:sz w:val="24"/>
        </w:rPr>
        <w:t>Legislation</w:t>
      </w:r>
      <w:r w:rsidRPr="000E1D61">
        <w:rPr>
          <w:rFonts w:ascii="Times New Roman" w:hAnsi="Times New Roman"/>
          <w:i/>
          <w:iCs/>
          <w:sz w:val="24"/>
        </w:rPr>
        <w:t xml:space="preserve"> Act 2003.</w:t>
      </w:r>
    </w:p>
    <w:sectPr w:rsidR="00CB0D03" w:rsidRPr="000E1D61" w:rsidSect="00C62913"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28941" w14:textId="77777777" w:rsidR="00CB0D03" w:rsidRPr="000D4EDE" w:rsidRDefault="00CB0D03" w:rsidP="000D4EDE">
      <w:r>
        <w:separator/>
      </w:r>
    </w:p>
  </w:endnote>
  <w:endnote w:type="continuationSeparator" w:id="0">
    <w:p w14:paraId="0B380984" w14:textId="77777777" w:rsidR="00CB0D03" w:rsidRPr="000D4EDE" w:rsidRDefault="00CB0D03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1D99F" w14:textId="77777777" w:rsidR="00CB0D03" w:rsidRPr="000D4EDE" w:rsidRDefault="00CB0D03" w:rsidP="000D4EDE">
      <w:r>
        <w:separator/>
      </w:r>
    </w:p>
  </w:footnote>
  <w:footnote w:type="continuationSeparator" w:id="0">
    <w:p w14:paraId="2C8BEACC" w14:textId="77777777" w:rsidR="00CB0D03" w:rsidRPr="000D4EDE" w:rsidRDefault="00CB0D03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C92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E93595"/>
    <w:multiLevelType w:val="multilevel"/>
    <w:tmpl w:val="44EEB5B2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73A5CAE"/>
    <w:multiLevelType w:val="multilevel"/>
    <w:tmpl w:val="845645BE"/>
    <w:lvl w:ilvl="0">
      <w:start w:val="1"/>
      <w:numFmt w:val="decimal"/>
      <w:pStyle w:val="Heading1Number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Numbers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Numbers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pStyle w:val="Heading4NoNumber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01F50AC"/>
    <w:multiLevelType w:val="multilevel"/>
    <w:tmpl w:val="AC5E151C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</w:abstractNum>
  <w:abstractNum w:abstractNumId="7" w15:restartNumberingAfterBreak="0">
    <w:nsid w:val="40FE1B54"/>
    <w:multiLevelType w:val="multilevel"/>
    <w:tmpl w:val="03EA69FC"/>
    <w:styleLink w:val="HeadingList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C5E7CF4"/>
    <w:multiLevelType w:val="hybridMultilevel"/>
    <w:tmpl w:val="5AE80A28"/>
    <w:lvl w:ilvl="0" w:tplc="286AC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E5588"/>
    <w:multiLevelType w:val="multilevel"/>
    <w:tmpl w:val="060A2B94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9B17A3F"/>
    <w:multiLevelType w:val="multilevel"/>
    <w:tmpl w:val="8EA00C60"/>
    <w:styleLink w:val="1ai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ist3"/>
      <w:lvlText w:val="%4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formatting="1" w:enforcement="0"/>
  <w:styleLockTheme/>
  <w:styleLockQFSet/>
  <w:defaultTabStop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03"/>
    <w:rsid w:val="00004ED1"/>
    <w:rsid w:val="00005D98"/>
    <w:rsid w:val="00005F96"/>
    <w:rsid w:val="00007262"/>
    <w:rsid w:val="00011C96"/>
    <w:rsid w:val="000141B9"/>
    <w:rsid w:val="00034A19"/>
    <w:rsid w:val="00036F9E"/>
    <w:rsid w:val="000413B3"/>
    <w:rsid w:val="000453D9"/>
    <w:rsid w:val="000573E5"/>
    <w:rsid w:val="00057B71"/>
    <w:rsid w:val="0007202C"/>
    <w:rsid w:val="00072B30"/>
    <w:rsid w:val="0007319C"/>
    <w:rsid w:val="000732AA"/>
    <w:rsid w:val="000767DD"/>
    <w:rsid w:val="0008011A"/>
    <w:rsid w:val="00084F8B"/>
    <w:rsid w:val="000851D0"/>
    <w:rsid w:val="00086D07"/>
    <w:rsid w:val="00086F71"/>
    <w:rsid w:val="00093915"/>
    <w:rsid w:val="000949AD"/>
    <w:rsid w:val="00095109"/>
    <w:rsid w:val="00096B0F"/>
    <w:rsid w:val="000A490E"/>
    <w:rsid w:val="000B04C5"/>
    <w:rsid w:val="000B63CA"/>
    <w:rsid w:val="000B752A"/>
    <w:rsid w:val="000C14D9"/>
    <w:rsid w:val="000C15C7"/>
    <w:rsid w:val="000D4EDE"/>
    <w:rsid w:val="000E2460"/>
    <w:rsid w:val="000E43AC"/>
    <w:rsid w:val="000E6E37"/>
    <w:rsid w:val="000F0E6F"/>
    <w:rsid w:val="001018A5"/>
    <w:rsid w:val="00106F56"/>
    <w:rsid w:val="00115A39"/>
    <w:rsid w:val="00117479"/>
    <w:rsid w:val="00123576"/>
    <w:rsid w:val="001241CB"/>
    <w:rsid w:val="00124B21"/>
    <w:rsid w:val="001327B8"/>
    <w:rsid w:val="0013471B"/>
    <w:rsid w:val="001352D4"/>
    <w:rsid w:val="00155789"/>
    <w:rsid w:val="00157C98"/>
    <w:rsid w:val="001653B6"/>
    <w:rsid w:val="00165BF6"/>
    <w:rsid w:val="00174B0F"/>
    <w:rsid w:val="0018235E"/>
    <w:rsid w:val="00184187"/>
    <w:rsid w:val="001A4EA4"/>
    <w:rsid w:val="001A664F"/>
    <w:rsid w:val="001B2DB7"/>
    <w:rsid w:val="001B3A9F"/>
    <w:rsid w:val="001D0C02"/>
    <w:rsid w:val="001D3D43"/>
    <w:rsid w:val="001E0F51"/>
    <w:rsid w:val="001E55BF"/>
    <w:rsid w:val="001F6E1A"/>
    <w:rsid w:val="001F780A"/>
    <w:rsid w:val="001F7917"/>
    <w:rsid w:val="00200613"/>
    <w:rsid w:val="00214883"/>
    <w:rsid w:val="002156F6"/>
    <w:rsid w:val="00220550"/>
    <w:rsid w:val="002301A2"/>
    <w:rsid w:val="00236C2D"/>
    <w:rsid w:val="002374B7"/>
    <w:rsid w:val="00240126"/>
    <w:rsid w:val="00241D16"/>
    <w:rsid w:val="00242384"/>
    <w:rsid w:val="0024304D"/>
    <w:rsid w:val="00244826"/>
    <w:rsid w:val="00247ACA"/>
    <w:rsid w:val="00252E6A"/>
    <w:rsid w:val="00255A20"/>
    <w:rsid w:val="0025782A"/>
    <w:rsid w:val="00263414"/>
    <w:rsid w:val="002661A6"/>
    <w:rsid w:val="00266C23"/>
    <w:rsid w:val="00277D6C"/>
    <w:rsid w:val="00286EAD"/>
    <w:rsid w:val="00292A60"/>
    <w:rsid w:val="0029389B"/>
    <w:rsid w:val="002A1894"/>
    <w:rsid w:val="002A2188"/>
    <w:rsid w:val="002A36F2"/>
    <w:rsid w:val="002A7D14"/>
    <w:rsid w:val="002B0913"/>
    <w:rsid w:val="002B28E4"/>
    <w:rsid w:val="002B7504"/>
    <w:rsid w:val="002C0D97"/>
    <w:rsid w:val="002C66D1"/>
    <w:rsid w:val="002C7065"/>
    <w:rsid w:val="002C7F4A"/>
    <w:rsid w:val="002D2804"/>
    <w:rsid w:val="002D4B6C"/>
    <w:rsid w:val="002D5274"/>
    <w:rsid w:val="002E1EE3"/>
    <w:rsid w:val="002F0135"/>
    <w:rsid w:val="002F0C2C"/>
    <w:rsid w:val="00300655"/>
    <w:rsid w:val="00303D18"/>
    <w:rsid w:val="00307ADD"/>
    <w:rsid w:val="00307E55"/>
    <w:rsid w:val="00312A66"/>
    <w:rsid w:val="003130CA"/>
    <w:rsid w:val="0032180D"/>
    <w:rsid w:val="003306A5"/>
    <w:rsid w:val="00342F5F"/>
    <w:rsid w:val="00355D40"/>
    <w:rsid w:val="00371AAC"/>
    <w:rsid w:val="00371F54"/>
    <w:rsid w:val="0037770C"/>
    <w:rsid w:val="00377C8B"/>
    <w:rsid w:val="00383A95"/>
    <w:rsid w:val="00385CA0"/>
    <w:rsid w:val="003A2733"/>
    <w:rsid w:val="003A3021"/>
    <w:rsid w:val="003A627E"/>
    <w:rsid w:val="003A79EE"/>
    <w:rsid w:val="003B6E16"/>
    <w:rsid w:val="003C180A"/>
    <w:rsid w:val="003C1E25"/>
    <w:rsid w:val="003D27CB"/>
    <w:rsid w:val="003D329D"/>
    <w:rsid w:val="003E6BF6"/>
    <w:rsid w:val="003F0F0D"/>
    <w:rsid w:val="0040173E"/>
    <w:rsid w:val="00435339"/>
    <w:rsid w:val="004410DC"/>
    <w:rsid w:val="0044447D"/>
    <w:rsid w:val="00450C67"/>
    <w:rsid w:val="00460CF7"/>
    <w:rsid w:val="00463FA8"/>
    <w:rsid w:val="00466648"/>
    <w:rsid w:val="00472CBC"/>
    <w:rsid w:val="004765B3"/>
    <w:rsid w:val="004843CA"/>
    <w:rsid w:val="00493DAA"/>
    <w:rsid w:val="00494335"/>
    <w:rsid w:val="00495A4C"/>
    <w:rsid w:val="004967A1"/>
    <w:rsid w:val="004B584E"/>
    <w:rsid w:val="004C1106"/>
    <w:rsid w:val="004C6D4B"/>
    <w:rsid w:val="004C766B"/>
    <w:rsid w:val="004D33E3"/>
    <w:rsid w:val="004D76C1"/>
    <w:rsid w:val="004D7C22"/>
    <w:rsid w:val="004E2269"/>
    <w:rsid w:val="004E451A"/>
    <w:rsid w:val="004F3339"/>
    <w:rsid w:val="004F72A2"/>
    <w:rsid w:val="004F78E5"/>
    <w:rsid w:val="005026D4"/>
    <w:rsid w:val="00503A51"/>
    <w:rsid w:val="00506774"/>
    <w:rsid w:val="00512309"/>
    <w:rsid w:val="00541D54"/>
    <w:rsid w:val="00542522"/>
    <w:rsid w:val="0054526E"/>
    <w:rsid w:val="00545CE1"/>
    <w:rsid w:val="005476B5"/>
    <w:rsid w:val="005549D7"/>
    <w:rsid w:val="005602DA"/>
    <w:rsid w:val="00562087"/>
    <w:rsid w:val="005678FC"/>
    <w:rsid w:val="0057138A"/>
    <w:rsid w:val="00573327"/>
    <w:rsid w:val="00592F64"/>
    <w:rsid w:val="005A3F63"/>
    <w:rsid w:val="005A59D0"/>
    <w:rsid w:val="005B073E"/>
    <w:rsid w:val="005B227F"/>
    <w:rsid w:val="005B7801"/>
    <w:rsid w:val="005C5891"/>
    <w:rsid w:val="005D04CC"/>
    <w:rsid w:val="005D5FAE"/>
    <w:rsid w:val="005E4BC9"/>
    <w:rsid w:val="005F29B7"/>
    <w:rsid w:val="005F583C"/>
    <w:rsid w:val="00606EB5"/>
    <w:rsid w:val="00606FC8"/>
    <w:rsid w:val="00616C90"/>
    <w:rsid w:val="00617FDA"/>
    <w:rsid w:val="0062116F"/>
    <w:rsid w:val="00623FD7"/>
    <w:rsid w:val="00626087"/>
    <w:rsid w:val="00634E4C"/>
    <w:rsid w:val="00636B8B"/>
    <w:rsid w:val="00641EAA"/>
    <w:rsid w:val="006427FE"/>
    <w:rsid w:val="006506C1"/>
    <w:rsid w:val="00657459"/>
    <w:rsid w:val="0065747A"/>
    <w:rsid w:val="00662E28"/>
    <w:rsid w:val="0066674D"/>
    <w:rsid w:val="00666A78"/>
    <w:rsid w:val="00676C12"/>
    <w:rsid w:val="0069375D"/>
    <w:rsid w:val="0069407C"/>
    <w:rsid w:val="0069574E"/>
    <w:rsid w:val="006969C0"/>
    <w:rsid w:val="006A1921"/>
    <w:rsid w:val="006A2303"/>
    <w:rsid w:val="006A2C82"/>
    <w:rsid w:val="006D2A45"/>
    <w:rsid w:val="006D315C"/>
    <w:rsid w:val="006D71B8"/>
    <w:rsid w:val="006E4272"/>
    <w:rsid w:val="006F145A"/>
    <w:rsid w:val="006F27CB"/>
    <w:rsid w:val="006F359B"/>
    <w:rsid w:val="006F5865"/>
    <w:rsid w:val="00701EC6"/>
    <w:rsid w:val="00706179"/>
    <w:rsid w:val="00714F78"/>
    <w:rsid w:val="007152B0"/>
    <w:rsid w:val="007170F7"/>
    <w:rsid w:val="00717589"/>
    <w:rsid w:val="00722F9F"/>
    <w:rsid w:val="007253B8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65749"/>
    <w:rsid w:val="00775AA0"/>
    <w:rsid w:val="007770FA"/>
    <w:rsid w:val="00791738"/>
    <w:rsid w:val="00791780"/>
    <w:rsid w:val="00792D37"/>
    <w:rsid w:val="007A0EB7"/>
    <w:rsid w:val="007B6871"/>
    <w:rsid w:val="007B7899"/>
    <w:rsid w:val="007C08B1"/>
    <w:rsid w:val="007C2CC2"/>
    <w:rsid w:val="007C38BD"/>
    <w:rsid w:val="007C79AA"/>
    <w:rsid w:val="007D31DA"/>
    <w:rsid w:val="007D72C5"/>
    <w:rsid w:val="007E525D"/>
    <w:rsid w:val="007F0323"/>
    <w:rsid w:val="007F379E"/>
    <w:rsid w:val="007F471C"/>
    <w:rsid w:val="00800C90"/>
    <w:rsid w:val="008125F8"/>
    <w:rsid w:val="008208A8"/>
    <w:rsid w:val="00826012"/>
    <w:rsid w:val="00834CE0"/>
    <w:rsid w:val="0084110F"/>
    <w:rsid w:val="00844B1D"/>
    <w:rsid w:val="00844F5C"/>
    <w:rsid w:val="00845843"/>
    <w:rsid w:val="00846D34"/>
    <w:rsid w:val="00863020"/>
    <w:rsid w:val="008637EC"/>
    <w:rsid w:val="00870BC6"/>
    <w:rsid w:val="00875DAD"/>
    <w:rsid w:val="00877B84"/>
    <w:rsid w:val="00877E5F"/>
    <w:rsid w:val="0088036D"/>
    <w:rsid w:val="00881155"/>
    <w:rsid w:val="00882892"/>
    <w:rsid w:val="00885A14"/>
    <w:rsid w:val="0088689B"/>
    <w:rsid w:val="00890FA0"/>
    <w:rsid w:val="008947BF"/>
    <w:rsid w:val="008A0CBE"/>
    <w:rsid w:val="008A1CA8"/>
    <w:rsid w:val="008A214D"/>
    <w:rsid w:val="008A72D2"/>
    <w:rsid w:val="008A74A3"/>
    <w:rsid w:val="008B6868"/>
    <w:rsid w:val="008B6D24"/>
    <w:rsid w:val="008C34F7"/>
    <w:rsid w:val="008C6A43"/>
    <w:rsid w:val="008D080C"/>
    <w:rsid w:val="008D1867"/>
    <w:rsid w:val="008D6437"/>
    <w:rsid w:val="008D6EDF"/>
    <w:rsid w:val="008E3EF5"/>
    <w:rsid w:val="008F33B5"/>
    <w:rsid w:val="00901414"/>
    <w:rsid w:val="00906799"/>
    <w:rsid w:val="00922193"/>
    <w:rsid w:val="00924152"/>
    <w:rsid w:val="0093194D"/>
    <w:rsid w:val="00934C3F"/>
    <w:rsid w:val="009417AE"/>
    <w:rsid w:val="00945B3F"/>
    <w:rsid w:val="00950DCB"/>
    <w:rsid w:val="00952D47"/>
    <w:rsid w:val="00952D4C"/>
    <w:rsid w:val="00960246"/>
    <w:rsid w:val="009720E1"/>
    <w:rsid w:val="00974F0E"/>
    <w:rsid w:val="00975CD7"/>
    <w:rsid w:val="00980CA1"/>
    <w:rsid w:val="00985E70"/>
    <w:rsid w:val="0098783B"/>
    <w:rsid w:val="00993C2B"/>
    <w:rsid w:val="009979F4"/>
    <w:rsid w:val="009A246D"/>
    <w:rsid w:val="009A45B2"/>
    <w:rsid w:val="009A5585"/>
    <w:rsid w:val="009A59D5"/>
    <w:rsid w:val="009B2CB7"/>
    <w:rsid w:val="009C2198"/>
    <w:rsid w:val="009D2DDD"/>
    <w:rsid w:val="009E0C10"/>
    <w:rsid w:val="009E4116"/>
    <w:rsid w:val="009E529F"/>
    <w:rsid w:val="00A10DA6"/>
    <w:rsid w:val="00A151E9"/>
    <w:rsid w:val="00A15DBB"/>
    <w:rsid w:val="00A259F2"/>
    <w:rsid w:val="00A2758A"/>
    <w:rsid w:val="00A33802"/>
    <w:rsid w:val="00A34ADD"/>
    <w:rsid w:val="00A37162"/>
    <w:rsid w:val="00A37E51"/>
    <w:rsid w:val="00A51E2D"/>
    <w:rsid w:val="00A5319F"/>
    <w:rsid w:val="00A533A9"/>
    <w:rsid w:val="00A53690"/>
    <w:rsid w:val="00A62D31"/>
    <w:rsid w:val="00A63380"/>
    <w:rsid w:val="00A8129D"/>
    <w:rsid w:val="00A82188"/>
    <w:rsid w:val="00A865C7"/>
    <w:rsid w:val="00A909CC"/>
    <w:rsid w:val="00A964A5"/>
    <w:rsid w:val="00A97E3B"/>
    <w:rsid w:val="00AA00CB"/>
    <w:rsid w:val="00AA20A1"/>
    <w:rsid w:val="00AA41F2"/>
    <w:rsid w:val="00AB039E"/>
    <w:rsid w:val="00AB4206"/>
    <w:rsid w:val="00AC7E54"/>
    <w:rsid w:val="00AE6A4E"/>
    <w:rsid w:val="00AE7B98"/>
    <w:rsid w:val="00AF129F"/>
    <w:rsid w:val="00B12DC9"/>
    <w:rsid w:val="00B13F84"/>
    <w:rsid w:val="00B14604"/>
    <w:rsid w:val="00B15ABA"/>
    <w:rsid w:val="00B20FA0"/>
    <w:rsid w:val="00B24DD4"/>
    <w:rsid w:val="00B34339"/>
    <w:rsid w:val="00B40B7D"/>
    <w:rsid w:val="00B42B2F"/>
    <w:rsid w:val="00B44900"/>
    <w:rsid w:val="00B467F6"/>
    <w:rsid w:val="00B472E1"/>
    <w:rsid w:val="00B52821"/>
    <w:rsid w:val="00B56C63"/>
    <w:rsid w:val="00B664C7"/>
    <w:rsid w:val="00B71170"/>
    <w:rsid w:val="00B80BCE"/>
    <w:rsid w:val="00B81524"/>
    <w:rsid w:val="00B81740"/>
    <w:rsid w:val="00B83542"/>
    <w:rsid w:val="00B85D7B"/>
    <w:rsid w:val="00B900EA"/>
    <w:rsid w:val="00B91069"/>
    <w:rsid w:val="00B92842"/>
    <w:rsid w:val="00BA2713"/>
    <w:rsid w:val="00BA2941"/>
    <w:rsid w:val="00BA4C61"/>
    <w:rsid w:val="00BA627A"/>
    <w:rsid w:val="00BB22FA"/>
    <w:rsid w:val="00BD099D"/>
    <w:rsid w:val="00BD12A1"/>
    <w:rsid w:val="00BD1D09"/>
    <w:rsid w:val="00BD7B83"/>
    <w:rsid w:val="00BF17C6"/>
    <w:rsid w:val="00BF6F09"/>
    <w:rsid w:val="00C00FDA"/>
    <w:rsid w:val="00C02EB9"/>
    <w:rsid w:val="00C0373C"/>
    <w:rsid w:val="00C04E4B"/>
    <w:rsid w:val="00C11531"/>
    <w:rsid w:val="00C11B56"/>
    <w:rsid w:val="00C14C04"/>
    <w:rsid w:val="00C1529E"/>
    <w:rsid w:val="00C16045"/>
    <w:rsid w:val="00C21E27"/>
    <w:rsid w:val="00C2332A"/>
    <w:rsid w:val="00C42EA5"/>
    <w:rsid w:val="00C62BF5"/>
    <w:rsid w:val="00C636DA"/>
    <w:rsid w:val="00C67E22"/>
    <w:rsid w:val="00C72271"/>
    <w:rsid w:val="00C72A17"/>
    <w:rsid w:val="00C81356"/>
    <w:rsid w:val="00C813CD"/>
    <w:rsid w:val="00C858D9"/>
    <w:rsid w:val="00C87DA0"/>
    <w:rsid w:val="00CA4E4D"/>
    <w:rsid w:val="00CA6FF9"/>
    <w:rsid w:val="00CB0D03"/>
    <w:rsid w:val="00CB4238"/>
    <w:rsid w:val="00CB5938"/>
    <w:rsid w:val="00CB5B27"/>
    <w:rsid w:val="00CC13F5"/>
    <w:rsid w:val="00CC1A64"/>
    <w:rsid w:val="00CC34EB"/>
    <w:rsid w:val="00CC66EA"/>
    <w:rsid w:val="00CD3C17"/>
    <w:rsid w:val="00CE1F9C"/>
    <w:rsid w:val="00CE2E48"/>
    <w:rsid w:val="00CF0184"/>
    <w:rsid w:val="00CF55F6"/>
    <w:rsid w:val="00CF59E0"/>
    <w:rsid w:val="00CF6672"/>
    <w:rsid w:val="00D021F7"/>
    <w:rsid w:val="00D069C7"/>
    <w:rsid w:val="00D078A2"/>
    <w:rsid w:val="00D21123"/>
    <w:rsid w:val="00D26BB7"/>
    <w:rsid w:val="00D367EB"/>
    <w:rsid w:val="00D36C91"/>
    <w:rsid w:val="00D41871"/>
    <w:rsid w:val="00D45954"/>
    <w:rsid w:val="00D461C2"/>
    <w:rsid w:val="00D61AAE"/>
    <w:rsid w:val="00D64CB8"/>
    <w:rsid w:val="00D720AE"/>
    <w:rsid w:val="00D72FD8"/>
    <w:rsid w:val="00D92A45"/>
    <w:rsid w:val="00D9697A"/>
    <w:rsid w:val="00DA3023"/>
    <w:rsid w:val="00DA4C48"/>
    <w:rsid w:val="00DA727D"/>
    <w:rsid w:val="00DB53A7"/>
    <w:rsid w:val="00DD170F"/>
    <w:rsid w:val="00DE0A8A"/>
    <w:rsid w:val="00DF2F8B"/>
    <w:rsid w:val="00DF6837"/>
    <w:rsid w:val="00DF68E4"/>
    <w:rsid w:val="00DF6E54"/>
    <w:rsid w:val="00E04228"/>
    <w:rsid w:val="00E04457"/>
    <w:rsid w:val="00E04BBC"/>
    <w:rsid w:val="00E10450"/>
    <w:rsid w:val="00E1478E"/>
    <w:rsid w:val="00E159D7"/>
    <w:rsid w:val="00E213AB"/>
    <w:rsid w:val="00E21653"/>
    <w:rsid w:val="00E21C9B"/>
    <w:rsid w:val="00E2414E"/>
    <w:rsid w:val="00E26830"/>
    <w:rsid w:val="00E26FAF"/>
    <w:rsid w:val="00E40B36"/>
    <w:rsid w:val="00E51672"/>
    <w:rsid w:val="00E522FC"/>
    <w:rsid w:val="00E55EE5"/>
    <w:rsid w:val="00E61784"/>
    <w:rsid w:val="00E625B3"/>
    <w:rsid w:val="00E64743"/>
    <w:rsid w:val="00E7257D"/>
    <w:rsid w:val="00E728CB"/>
    <w:rsid w:val="00E7336F"/>
    <w:rsid w:val="00E74F3B"/>
    <w:rsid w:val="00E76262"/>
    <w:rsid w:val="00E84A6B"/>
    <w:rsid w:val="00E92385"/>
    <w:rsid w:val="00E93F74"/>
    <w:rsid w:val="00E96DEA"/>
    <w:rsid w:val="00EA1585"/>
    <w:rsid w:val="00EA48AE"/>
    <w:rsid w:val="00EB09E2"/>
    <w:rsid w:val="00EB74A5"/>
    <w:rsid w:val="00EE0126"/>
    <w:rsid w:val="00EE0C89"/>
    <w:rsid w:val="00EE47FE"/>
    <w:rsid w:val="00EE50C6"/>
    <w:rsid w:val="00EE5D41"/>
    <w:rsid w:val="00EE699C"/>
    <w:rsid w:val="00EE766D"/>
    <w:rsid w:val="00EF2A15"/>
    <w:rsid w:val="00EF5BFD"/>
    <w:rsid w:val="00EF7B33"/>
    <w:rsid w:val="00F00470"/>
    <w:rsid w:val="00F01C6F"/>
    <w:rsid w:val="00F0509B"/>
    <w:rsid w:val="00F06EE2"/>
    <w:rsid w:val="00F074DC"/>
    <w:rsid w:val="00F15632"/>
    <w:rsid w:val="00F17535"/>
    <w:rsid w:val="00F20949"/>
    <w:rsid w:val="00F24F8F"/>
    <w:rsid w:val="00F303B2"/>
    <w:rsid w:val="00F307E0"/>
    <w:rsid w:val="00F34D63"/>
    <w:rsid w:val="00F57F7A"/>
    <w:rsid w:val="00F62D33"/>
    <w:rsid w:val="00F64AB3"/>
    <w:rsid w:val="00F6570B"/>
    <w:rsid w:val="00F67615"/>
    <w:rsid w:val="00F76C98"/>
    <w:rsid w:val="00F804CD"/>
    <w:rsid w:val="00F80750"/>
    <w:rsid w:val="00F85F59"/>
    <w:rsid w:val="00F86538"/>
    <w:rsid w:val="00F86717"/>
    <w:rsid w:val="00F86DD4"/>
    <w:rsid w:val="00F97C7A"/>
    <w:rsid w:val="00FA2909"/>
    <w:rsid w:val="00FA3CEC"/>
    <w:rsid w:val="00FB4CF2"/>
    <w:rsid w:val="00FC4845"/>
    <w:rsid w:val="00FC6B03"/>
    <w:rsid w:val="00FD06D5"/>
    <w:rsid w:val="00FD28FF"/>
    <w:rsid w:val="00FD68A1"/>
    <w:rsid w:val="00FE419E"/>
    <w:rsid w:val="00FF2484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73325B"/>
  <w15:chartTrackingRefBased/>
  <w15:docId w15:val="{8E8B9FA2-ED8E-4A0A-B699-35F3597D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7" w:unhideWhenUsed="1" w:qFormat="1"/>
    <w:lsdException w:name="List Bullet" w:unhideWhenUsed="1" w:qFormat="1"/>
    <w:lsdException w:name="List Number" w:qFormat="1"/>
    <w:lsdException w:name="List 2" w:semiHidden="1" w:uiPriority="17" w:unhideWhenUsed="1" w:qFormat="1"/>
    <w:lsdException w:name="List 3" w:semiHidden="1" w:uiPriority="17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6C1"/>
    <w:pPr>
      <w:numPr>
        <w:numId w:val="5"/>
      </w:numPr>
    </w:pPr>
  </w:style>
  <w:style w:type="paragraph" w:styleId="Heading1">
    <w:name w:val="heading 1"/>
    <w:basedOn w:val="Normal"/>
    <w:next w:val="Normal"/>
    <w:link w:val="Heading1Char"/>
    <w:uiPriority w:val="9"/>
    <w:qFormat/>
    <w:rsid w:val="00004ED1"/>
    <w:pPr>
      <w:keepNext/>
      <w:keepLines/>
      <w:numPr>
        <w:numId w:val="0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4ED1"/>
    <w:pPr>
      <w:keepNext/>
      <w:keepLines/>
      <w:numPr>
        <w:numId w:val="0"/>
      </w:numPr>
      <w:spacing w:before="36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529F"/>
    <w:pPr>
      <w:keepNext/>
      <w:keepLines/>
      <w:numPr>
        <w:numId w:val="0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04CC"/>
    <w:pPr>
      <w:keepNext/>
      <w:keepLines/>
      <w:numPr>
        <w:numId w:val="0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529F"/>
    <w:pPr>
      <w:keepNext/>
      <w:keepLines/>
      <w:numPr>
        <w:numId w:val="0"/>
      </w:numPr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22FC"/>
    <w:pPr>
      <w:keepNext/>
      <w:keepLines/>
      <w:numPr>
        <w:numId w:val="0"/>
      </w:numPr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7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ED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4ED1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29F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customStyle="1" w:styleId="CoverSubtitle">
    <w:name w:val="Cover Subtitle"/>
    <w:basedOn w:val="Normal"/>
    <w:next w:val="Normal"/>
    <w:uiPriority w:val="21"/>
    <w:semiHidden/>
    <w:locked/>
    <w:rsid w:val="00072B30"/>
    <w:pPr>
      <w:numPr>
        <w:numId w:val="0"/>
      </w:numPr>
      <w:spacing w:after="0"/>
    </w:pPr>
    <w:rPr>
      <w:rFonts w:asciiTheme="majorHAnsi" w:hAnsiTheme="majorHAnsi"/>
      <w:b/>
      <w:color w:val="000000" w:themeColor="text1"/>
      <w:sz w:val="48"/>
    </w:rPr>
  </w:style>
  <w:style w:type="paragraph" w:customStyle="1" w:styleId="SubHeadingNoTOC">
    <w:name w:val="Sub Heading (No TOC)"/>
    <w:basedOn w:val="Normal"/>
    <w:next w:val="Normal"/>
    <w:uiPriority w:val="9"/>
    <w:qFormat/>
    <w:rsid w:val="00F64AB3"/>
    <w:pPr>
      <w:keepNext/>
      <w:keepLines/>
      <w:numPr>
        <w:numId w:val="0"/>
      </w:numPr>
      <w:spacing w:before="240" w:after="120"/>
    </w:pPr>
    <w:rPr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D04C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ListBullet">
    <w:name w:val="List Bullet"/>
    <w:basedOn w:val="Normal"/>
    <w:uiPriority w:val="13"/>
    <w:qFormat/>
    <w:rsid w:val="00641EAA"/>
    <w:pPr>
      <w:numPr>
        <w:numId w:val="8"/>
      </w:numPr>
    </w:pPr>
  </w:style>
  <w:style w:type="paragraph" w:styleId="ListBullet2">
    <w:name w:val="List Bullet 2"/>
    <w:basedOn w:val="ListBullet"/>
    <w:uiPriority w:val="13"/>
    <w:qFormat/>
    <w:rsid w:val="00641EAA"/>
    <w:pPr>
      <w:numPr>
        <w:ilvl w:val="1"/>
      </w:numPr>
    </w:pPr>
  </w:style>
  <w:style w:type="paragraph" w:styleId="ListNumber">
    <w:name w:val="List Number"/>
    <w:basedOn w:val="Normal"/>
    <w:uiPriority w:val="15"/>
    <w:qFormat/>
    <w:rsid w:val="00662E28"/>
    <w:pPr>
      <w:numPr>
        <w:numId w:val="11"/>
      </w:numPr>
    </w:pPr>
  </w:style>
  <w:style w:type="paragraph" w:styleId="ListNumber2">
    <w:name w:val="List Number 2"/>
    <w:basedOn w:val="Normal"/>
    <w:uiPriority w:val="16"/>
    <w:qFormat/>
    <w:rsid w:val="00662E28"/>
    <w:pPr>
      <w:numPr>
        <w:ilvl w:val="1"/>
        <w:numId w:val="11"/>
      </w:numPr>
    </w:pPr>
  </w:style>
  <w:style w:type="numbering" w:customStyle="1" w:styleId="HeadingList">
    <w:name w:val="Heading List"/>
    <w:uiPriority w:val="99"/>
    <w:rsid w:val="001241CB"/>
    <w:pPr>
      <w:numPr>
        <w:numId w:val="6"/>
      </w:numPr>
    </w:pPr>
  </w:style>
  <w:style w:type="paragraph" w:styleId="ListNumber3">
    <w:name w:val="List Number 3"/>
    <w:basedOn w:val="Normal"/>
    <w:uiPriority w:val="16"/>
    <w:qFormat/>
    <w:rsid w:val="00662E28"/>
    <w:pPr>
      <w:numPr>
        <w:ilvl w:val="2"/>
        <w:numId w:val="11"/>
      </w:numPr>
    </w:pPr>
  </w:style>
  <w:style w:type="paragraph" w:styleId="Title">
    <w:name w:val="Title"/>
    <w:basedOn w:val="Normal"/>
    <w:next w:val="Normal"/>
    <w:link w:val="TitleChar"/>
    <w:uiPriority w:val="1"/>
    <w:rsid w:val="0057138A"/>
    <w:pPr>
      <w:numPr>
        <w:numId w:val="0"/>
      </w:numPr>
    </w:pPr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7138A"/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numbering" w:styleId="111111">
    <w:name w:val="Outline List 2"/>
    <w:basedOn w:val="NoList"/>
    <w:uiPriority w:val="99"/>
    <w:semiHidden/>
    <w:unhideWhenUsed/>
    <w:locked/>
    <w:rsid w:val="0046664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i/>
      <w:sz w:val="28"/>
    </w:rPr>
  </w:style>
  <w:style w:type="paragraph" w:styleId="TOCHeading">
    <w:name w:val="TOC Heading"/>
    <w:basedOn w:val="Heading1"/>
    <w:next w:val="Normal"/>
    <w:uiPriority w:val="38"/>
    <w:unhideWhenUsed/>
    <w:rsid w:val="000453D9"/>
    <w:pPr>
      <w:outlineLvl w:val="9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722F9F"/>
    <w:pPr>
      <w:numPr>
        <w:numId w:val="0"/>
      </w:numPr>
      <w:tabs>
        <w:tab w:val="right" w:pos="9639"/>
      </w:tabs>
      <w:spacing w:after="0" w:line="200" w:lineRule="exact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14F78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3"/>
    <w:qFormat/>
    <w:rsid w:val="00641EAA"/>
    <w:pPr>
      <w:numPr>
        <w:ilvl w:val="2"/>
        <w:numId w:val="8"/>
      </w:numPr>
    </w:pPr>
  </w:style>
  <w:style w:type="table" w:styleId="TableGrid">
    <w:name w:val="Table Grid"/>
    <w:basedOn w:val="TableNormal"/>
    <w:uiPriority w:val="59"/>
    <w:rsid w:val="00826012"/>
    <w:pPr>
      <w:spacing w:before="60" w:after="60"/>
      <w:jc w:val="left"/>
    </w:p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/>
        <w:color w:val="auto"/>
      </w:r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styleId="Caption">
    <w:name w:val="caption"/>
    <w:next w:val="Normal"/>
    <w:uiPriority w:val="34"/>
    <w:qFormat/>
    <w:rsid w:val="00F15632"/>
    <w:pPr>
      <w:spacing w:before="60" w:after="360"/>
    </w:pPr>
    <w:rPr>
      <w:bCs/>
      <w:i/>
      <w:sz w:val="16"/>
      <w:szCs w:val="18"/>
    </w:rPr>
  </w:style>
  <w:style w:type="paragraph" w:styleId="Header">
    <w:name w:val="header"/>
    <w:basedOn w:val="Normal"/>
    <w:link w:val="HeaderChar"/>
    <w:rsid w:val="00722F9F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3F74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0C10"/>
    <w:rPr>
      <w:noProof w:val="0"/>
      <w:color w:val="000000" w:themeColor="text1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A909CC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616C90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12169" w:themeColor="accent1"/>
        <w:left w:val="single" w:sz="2" w:space="10" w:color="012169" w:themeColor="accent1"/>
        <w:bottom w:val="single" w:sz="2" w:space="10" w:color="012169" w:themeColor="accent1"/>
        <w:right w:val="single" w:sz="2" w:space="10" w:color="012169" w:themeColor="accent1"/>
      </w:pBdr>
      <w:ind w:left="1152" w:right="1152"/>
    </w:pPr>
    <w:rPr>
      <w:rFonts w:asciiTheme="minorHAnsi" w:eastAsiaTheme="minorEastAsia" w:hAnsiTheme="minorHAnsi"/>
      <w:i/>
      <w:iCs/>
      <w:color w:val="01216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C7FE" w:themeFill="accent1" w:themeFillTint="33"/>
    </w:tcPr>
    <w:tblStylePr w:type="firstRow">
      <w:rPr>
        <w:b/>
        <w:bCs/>
      </w:rPr>
      <w:tblPr/>
      <w:tcPr>
        <w:shd w:val="clear" w:color="auto" w:fill="5E8F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8F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0FF" w:themeFill="accent2" w:themeFillTint="33"/>
    </w:tcPr>
    <w:tblStylePr w:type="firstRow">
      <w:rPr>
        <w:b/>
        <w:bCs/>
      </w:rPr>
      <w:tblPr/>
      <w:tcPr>
        <w:shd w:val="clear" w:color="auto" w:fill="8CE2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3" w:themeFillTint="33"/>
    </w:tcPr>
    <w:tblStylePr w:type="firstRow">
      <w:rPr>
        <w:b/>
        <w:bCs/>
      </w:rPr>
      <w:tblPr/>
      <w:tcPr>
        <w:shd w:val="clear" w:color="auto" w:fill="85C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4" w:themeFillTint="33"/>
    </w:tcPr>
    <w:tblStylePr w:type="firstRow">
      <w:rPr>
        <w:b/>
        <w:bCs/>
      </w:rPr>
      <w:tblPr/>
      <w:tcPr>
        <w:shd w:val="clear" w:color="auto" w:fill="D5DA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A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3E9" w:themeFill="accent5" w:themeFillTint="33"/>
    </w:tcPr>
    <w:tblStylePr w:type="firstRow">
      <w:rPr>
        <w:b/>
        <w:bCs/>
      </w:rPr>
      <w:tblPr/>
      <w:tcPr>
        <w:shd w:val="clear" w:color="auto" w:fill="B4C8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3FA" w:themeFill="accent6" w:themeFillTint="33"/>
    </w:tcPr>
    <w:tblStylePr w:type="firstRow">
      <w:rPr>
        <w:b/>
        <w:bCs/>
      </w:rPr>
      <w:tblPr/>
      <w:tcPr>
        <w:shd w:val="clear" w:color="auto" w:fill="C6E7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7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7E3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2F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shd w:val="clear" w:color="auto" w:fill="C5F0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8391" w:themeFill="accent4" w:themeFillShade="CC"/>
      </w:tcPr>
    </w:tblStylePr>
    <w:tblStylePr w:type="lastRow">
      <w:rPr>
        <w:b/>
        <w:bCs/>
        <w:color w:val="73839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shd w:val="clear" w:color="auto" w:fill="C2E3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3" w:themeFillShade="CC"/>
      </w:tcPr>
    </w:tblStylePr>
    <w:tblStylePr w:type="lastRow">
      <w:rPr>
        <w:b/>
        <w:bCs/>
        <w:color w:val="005B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shd w:val="clear" w:color="auto" w:fill="EAECEE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CF1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ACDE" w:themeFill="accent6" w:themeFillShade="CC"/>
      </w:tcPr>
    </w:tblStylePr>
    <w:tblStylePr w:type="lastRow">
      <w:rPr>
        <w:b/>
        <w:bCs/>
        <w:color w:val="35ACD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shd w:val="clear" w:color="auto" w:fill="D9E3E9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0F9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5D6F" w:themeFill="accent5" w:themeFillShade="CC"/>
      </w:tcPr>
    </w:tblStylePr>
    <w:tblStylePr w:type="lastRow">
      <w:rPr>
        <w:b/>
        <w:bCs/>
        <w:color w:val="3F5D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shd w:val="clear" w:color="auto" w:fill="E2F3FA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12169" w:themeColor="accent1"/>
        <w:bottom w:val="single" w:sz="4" w:space="0" w:color="012169" w:themeColor="accent1"/>
        <w:right w:val="single" w:sz="4" w:space="0" w:color="0121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3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E" w:themeColor="accent1" w:themeShade="99"/>
          <w:insideV w:val="nil"/>
        </w:tcBorders>
        <w:shd w:val="clear" w:color="auto" w:fill="0013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E" w:themeFill="accent1" w:themeFillShade="99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3773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A9E0" w:themeColor="accent2"/>
        <w:bottom w:val="single" w:sz="4" w:space="0" w:color="00A9E0" w:themeColor="accent2"/>
        <w:right w:val="single" w:sz="4" w:space="0" w:color="00A9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8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86" w:themeColor="accent2" w:themeShade="99"/>
          <w:insideV w:val="nil"/>
        </w:tcBorders>
        <w:shd w:val="clear" w:color="auto" w:fill="00658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86" w:themeFill="accent2" w:themeFillShade="99"/>
      </w:tcPr>
    </w:tblStylePr>
    <w:tblStylePr w:type="band1Vert">
      <w:tblPr/>
      <w:tcPr>
        <w:shd w:val="clear" w:color="auto" w:fill="8CE2FF" w:themeFill="accent2" w:themeFillTint="66"/>
      </w:tcPr>
    </w:tblStylePr>
    <w:tblStylePr w:type="band1Horz">
      <w:tblPr/>
      <w:tcPr>
        <w:shd w:val="clear" w:color="auto" w:fill="70DB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98A4AE" w:themeColor="accent4"/>
        <w:left w:val="single" w:sz="4" w:space="0" w:color="0072CE" w:themeColor="accent3"/>
        <w:bottom w:val="single" w:sz="4" w:space="0" w:color="0072CE" w:themeColor="accent3"/>
        <w:right w:val="single" w:sz="4" w:space="0" w:color="0072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3" w:themeShade="99"/>
          <w:insideV w:val="nil"/>
        </w:tcBorders>
        <w:shd w:val="clear" w:color="auto" w:fill="0044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3" w:themeFillShade="99"/>
      </w:tcPr>
    </w:tblStylePr>
    <w:tblStylePr w:type="band1Vert">
      <w:tblPr/>
      <w:tcPr>
        <w:shd w:val="clear" w:color="auto" w:fill="85C8FF" w:themeFill="accent3" w:themeFillTint="66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72CE" w:themeColor="accent3"/>
        <w:left w:val="single" w:sz="4" w:space="0" w:color="98A4AE" w:themeColor="accent4"/>
        <w:bottom w:val="single" w:sz="4" w:space="0" w:color="98A4AE" w:themeColor="accent4"/>
        <w:right w:val="single" w:sz="4" w:space="0" w:color="98A4A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62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626D" w:themeColor="accent4" w:themeShade="99"/>
          <w:insideV w:val="nil"/>
        </w:tcBorders>
        <w:shd w:val="clear" w:color="auto" w:fill="5662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26D" w:themeFill="accent4" w:themeFillShade="99"/>
      </w:tcPr>
    </w:tblStylePr>
    <w:tblStylePr w:type="band1Vert">
      <w:tblPr/>
      <w:tcPr>
        <w:shd w:val="clear" w:color="auto" w:fill="D5DADE" w:themeFill="accent4" w:themeFillTint="66"/>
      </w:tcPr>
    </w:tblStylePr>
    <w:tblStylePr w:type="band1Horz">
      <w:tblPr/>
      <w:tcPr>
        <w:shd w:val="clear" w:color="auto" w:fill="CBD1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1C5E8" w:themeColor="accent6"/>
        <w:left w:val="single" w:sz="4" w:space="0" w:color="4F758B" w:themeColor="accent5"/>
        <w:bottom w:val="single" w:sz="4" w:space="0" w:color="4F758B" w:themeColor="accent5"/>
        <w:right w:val="single" w:sz="4" w:space="0" w:color="4F75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6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653" w:themeColor="accent5" w:themeShade="99"/>
          <w:insideV w:val="nil"/>
        </w:tcBorders>
        <w:shd w:val="clear" w:color="auto" w:fill="2F46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653" w:themeFill="accent5" w:themeFillShade="99"/>
      </w:tcPr>
    </w:tblStylePr>
    <w:tblStylePr w:type="band1Vert">
      <w:tblPr/>
      <w:tcPr>
        <w:shd w:val="clear" w:color="auto" w:fill="B4C8D4" w:themeFill="accent5" w:themeFillTint="66"/>
      </w:tcPr>
    </w:tblStylePr>
    <w:tblStylePr w:type="band1Horz">
      <w:tblPr/>
      <w:tcPr>
        <w:shd w:val="clear" w:color="auto" w:fill="A2BB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4F758B" w:themeColor="accent5"/>
        <w:left w:val="single" w:sz="4" w:space="0" w:color="71C5E8" w:themeColor="accent6"/>
        <w:bottom w:val="single" w:sz="4" w:space="0" w:color="71C5E8" w:themeColor="accent6"/>
        <w:right w:val="single" w:sz="4" w:space="0" w:color="71C5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86B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86B2" w:themeColor="accent6" w:themeShade="99"/>
          <w:insideV w:val="nil"/>
        </w:tcBorders>
        <w:shd w:val="clear" w:color="auto" w:fill="1D86B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6B2" w:themeFill="accent6" w:themeFillShade="99"/>
      </w:tcPr>
    </w:tblStylePr>
    <w:tblStylePr w:type="band1Vert">
      <w:tblPr/>
      <w:tcPr>
        <w:shd w:val="clear" w:color="auto" w:fill="C6E7F5" w:themeFill="accent6" w:themeFillTint="66"/>
      </w:tcPr>
    </w:tblStylePr>
    <w:tblStylePr w:type="band1Horz">
      <w:tblPr/>
      <w:tcPr>
        <w:shd w:val="clear" w:color="auto" w:fill="B8E2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0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8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6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A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8A4A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52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B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75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A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76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1C5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6F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A6D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semiHidden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22F9F"/>
    <w:pPr>
      <w:numPr>
        <w:numId w:val="0"/>
      </w:num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73E5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355D40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0573E5"/>
    <w:rPr>
      <w:noProof w:val="0"/>
      <w:sz w:val="18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C0373C"/>
    <w:pPr>
      <w:numPr>
        <w:numId w:val="0"/>
      </w:numPr>
      <w:tabs>
        <w:tab w:val="left" w:pos="170"/>
      </w:tabs>
      <w:spacing w:after="120"/>
      <w:ind w:left="170" w:hanging="17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73C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E52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04ED1"/>
    <w:rPr>
      <w:rFonts w:asciiTheme="majorHAnsi" w:eastAsiaTheme="majorEastAsia" w:hAnsiTheme="majorHAns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C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C63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C6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1216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12169" w:themeColor="accent1"/>
      </w:pBdr>
      <w:spacing w:before="200" w:after="280"/>
      <w:ind w:left="936" w:right="936"/>
    </w:pPr>
    <w:rPr>
      <w:b/>
      <w:bCs/>
      <w:i/>
      <w:iCs/>
      <w:color w:val="0121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012169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A9E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1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  <w:shd w:val="clear" w:color="auto" w:fill="9BB9FE" w:themeFill="accent1" w:themeFillTint="3F"/>
      </w:tcPr>
    </w:tblStylePr>
    <w:tblStylePr w:type="band2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1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  <w:shd w:val="clear" w:color="auto" w:fill="B8EDFF" w:themeFill="accent2" w:themeFillTint="3F"/>
      </w:tcPr>
    </w:tblStylePr>
    <w:tblStylePr w:type="band2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1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  <w:shd w:val="clear" w:color="auto" w:fill="B3DDFF" w:themeFill="accent3" w:themeFillTint="3F"/>
      </w:tcPr>
    </w:tblStylePr>
    <w:tblStylePr w:type="band2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1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  <w:shd w:val="clear" w:color="auto" w:fill="E5E8EB" w:themeFill="accent4" w:themeFillTint="3F"/>
      </w:tcPr>
    </w:tblStylePr>
    <w:tblStylePr w:type="band2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1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  <w:shd w:val="clear" w:color="auto" w:fill="D0DDE4" w:themeFill="accent5" w:themeFillTint="3F"/>
      </w:tcPr>
    </w:tblStylePr>
    <w:tblStylePr w:type="band2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1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  <w:shd w:val="clear" w:color="auto" w:fill="DBF0F9" w:themeFill="accent6" w:themeFillTint="3F"/>
      </w:tcPr>
    </w:tblStylePr>
    <w:tblStylePr w:type="band2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00184E" w:themeColor="accent1" w:themeShade="BF"/>
    </w:r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007EA7" w:themeColor="accent2" w:themeShade="BF"/>
    </w:r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00559A" w:themeColor="accent3" w:themeShade="BF"/>
    </w:r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6B7B88" w:themeColor="accent4" w:themeShade="BF"/>
    </w:r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3B5767" w:themeColor="accent5" w:themeShade="BF"/>
    </w:r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26A6DC" w:themeColor="accent6" w:themeShade="BF"/>
    </w:r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7"/>
    <w:qFormat/>
    <w:rsid w:val="00A8129D"/>
    <w:pPr>
      <w:numPr>
        <w:ilvl w:val="1"/>
      </w:numPr>
    </w:pPr>
  </w:style>
  <w:style w:type="paragraph" w:styleId="List2">
    <w:name w:val="List 2"/>
    <w:basedOn w:val="Normal"/>
    <w:uiPriority w:val="17"/>
    <w:qFormat/>
    <w:rsid w:val="00A8129D"/>
    <w:pPr>
      <w:numPr>
        <w:ilvl w:val="2"/>
      </w:numPr>
    </w:pPr>
  </w:style>
  <w:style w:type="paragraph" w:styleId="List3">
    <w:name w:val="List 3"/>
    <w:basedOn w:val="Normal"/>
    <w:uiPriority w:val="17"/>
    <w:qFormat/>
    <w:rsid w:val="00A8129D"/>
    <w:pPr>
      <w:numPr>
        <w:ilvl w:val="3"/>
      </w:numPr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"/>
      </w:numPr>
      <w:contextualSpacing/>
    </w:pPr>
  </w:style>
  <w:style w:type="paragraph" w:styleId="ListParagraph">
    <w:name w:val="List Paragraph"/>
    <w:uiPriority w:val="17"/>
    <w:qFormat/>
    <w:rsid w:val="006D315C"/>
    <w:pPr>
      <w:tabs>
        <w:tab w:val="left" w:pos="425"/>
        <w:tab w:val="left" w:pos="851"/>
      </w:tabs>
      <w:ind w:left="425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  <w:insideV w:val="single" w:sz="8" w:space="0" w:color="0240CD" w:themeColor="accent1" w:themeTint="BF"/>
      </w:tblBorders>
    </w:tblPr>
    <w:tcPr>
      <w:shd w:val="clear" w:color="auto" w:fill="9BB9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4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  <w:insideV w:val="single" w:sz="8" w:space="0" w:color="28CAFF" w:themeColor="accent2" w:themeTint="BF"/>
      </w:tblBorders>
    </w:tblPr>
    <w:tcPr>
      <w:shd w:val="clear" w:color="auto" w:fill="B8E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C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  <w:insideV w:val="single" w:sz="8" w:space="0" w:color="1B99FF" w:themeColor="accent3" w:themeTint="BF"/>
      </w:tblBorders>
    </w:tblPr>
    <w:tcPr>
      <w:shd w:val="clear" w:color="auto" w:fill="B3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  <w:insideV w:val="single" w:sz="8" w:space="0" w:color="B1BAC2" w:themeColor="accent4" w:themeTint="BF"/>
      </w:tblBorders>
    </w:tblPr>
    <w:tcPr>
      <w:shd w:val="clear" w:color="auto" w:fill="E5E8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BA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  <w:insideV w:val="single" w:sz="8" w:space="0" w:color="7399AF" w:themeColor="accent5" w:themeTint="BF"/>
      </w:tblBorders>
    </w:tblPr>
    <w:tcPr>
      <w:shd w:val="clear" w:color="auto" w:fill="D0DD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99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  <w:insideV w:val="single" w:sz="8" w:space="0" w:color="94D3ED" w:themeColor="accent6" w:themeTint="BF"/>
      </w:tblBorders>
    </w:tblPr>
    <w:tcPr>
      <w:shd w:val="clear" w:color="auto" w:fill="DBF0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D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cPr>
      <w:shd w:val="clear" w:color="auto" w:fill="9BB9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3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7FE" w:themeFill="accent1" w:themeFillTint="33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tcBorders>
          <w:insideH w:val="single" w:sz="6" w:space="0" w:color="012169" w:themeColor="accent1"/>
          <w:insideV w:val="single" w:sz="6" w:space="0" w:color="012169" w:themeColor="accent1"/>
        </w:tcBorders>
        <w:shd w:val="clear" w:color="auto" w:fill="3773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cPr>
      <w:shd w:val="clear" w:color="auto" w:fill="B8E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0FF" w:themeFill="accent2" w:themeFillTint="33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tcBorders>
          <w:insideH w:val="single" w:sz="6" w:space="0" w:color="00A9E0" w:themeColor="accent2"/>
          <w:insideV w:val="single" w:sz="6" w:space="0" w:color="00A9E0" w:themeColor="accent2"/>
        </w:tcBorders>
        <w:shd w:val="clear" w:color="auto" w:fill="70D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cPr>
      <w:shd w:val="clear" w:color="auto" w:fill="B3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3" w:themeFillTint="33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tcBorders>
          <w:insideH w:val="single" w:sz="6" w:space="0" w:color="0072CE" w:themeColor="accent3"/>
          <w:insideV w:val="single" w:sz="6" w:space="0" w:color="0072CE" w:themeColor="accent3"/>
        </w:tcBorders>
        <w:shd w:val="clear" w:color="auto" w:fill="67B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cPr>
      <w:shd w:val="clear" w:color="auto" w:fill="E5E8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4" w:themeFillTint="33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tcBorders>
          <w:insideH w:val="single" w:sz="6" w:space="0" w:color="98A4AE" w:themeColor="accent4"/>
          <w:insideV w:val="single" w:sz="6" w:space="0" w:color="98A4AE" w:themeColor="accent4"/>
        </w:tcBorders>
        <w:shd w:val="clear" w:color="auto" w:fill="CBD1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cPr>
      <w:shd w:val="clear" w:color="auto" w:fill="D0DD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3E9" w:themeFill="accent5" w:themeFillTint="33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tcBorders>
          <w:insideH w:val="single" w:sz="6" w:space="0" w:color="4F758B" w:themeColor="accent5"/>
          <w:insideV w:val="single" w:sz="6" w:space="0" w:color="4F758B" w:themeColor="accent5"/>
        </w:tcBorders>
        <w:shd w:val="clear" w:color="auto" w:fill="A2BB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cPr>
      <w:shd w:val="clear" w:color="auto" w:fill="DBF0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6" w:themeFillTint="33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tcBorders>
          <w:insideH w:val="single" w:sz="6" w:space="0" w:color="71C5E8" w:themeColor="accent6"/>
          <w:insideV w:val="single" w:sz="6" w:space="0" w:color="71C5E8" w:themeColor="accent6"/>
        </w:tcBorders>
        <w:shd w:val="clear" w:color="auto" w:fill="B8E2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B9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73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73FD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B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8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1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1D6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D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B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BC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0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E2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E2F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2169" w:themeColor="accen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shd w:val="clear" w:color="auto" w:fill="9BB9FE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E0" w:themeColor="accent2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shd w:val="clear" w:color="auto" w:fill="B8ED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3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shd w:val="clear" w:color="auto" w:fill="B3DD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A4AE" w:themeColor="accent4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shd w:val="clear" w:color="auto" w:fill="E5E8EB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758B" w:themeColor="accent5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shd w:val="clear" w:color="auto" w:fill="D0DDE4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C5E8" w:themeColor="accent6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shd w:val="clear" w:color="auto" w:fill="DBF0F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21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1216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21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21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B9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A4A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A4A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A4A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8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75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75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75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D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1C5E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C5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C5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0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B9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8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D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F80750"/>
    <w:pPr>
      <w:spacing w:after="0"/>
    </w:pPr>
  </w:style>
  <w:style w:type="paragraph" w:styleId="NormalWeb">
    <w:name w:val="Normal (Web)"/>
    <w:basedOn w:val="Normal"/>
    <w:uiPriority w:val="20"/>
    <w:rsid w:val="00606FC8"/>
    <w:pPr>
      <w:numPr>
        <w:numId w:val="0"/>
      </w:numPr>
    </w:pPr>
    <w:rPr>
      <w:rFonts w:asciiTheme="minorHAnsi" w:hAnsiTheme="minorHAnsi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9"/>
    <w:qFormat/>
    <w:rsid w:val="005D04CC"/>
    <w:pPr>
      <w:numPr>
        <w:numId w:val="0"/>
      </w:numPr>
      <w:ind w:left="425" w:right="425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rsid w:val="005D04CC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</w:style>
  <w:style w:type="paragraph" w:styleId="Signature">
    <w:name w:val="Signature"/>
    <w:basedOn w:val="Normal"/>
    <w:link w:val="SignatureChar"/>
    <w:uiPriority w:val="29"/>
    <w:semiHidden/>
    <w:locked/>
    <w:rsid w:val="00F00470"/>
    <w:pPr>
      <w:numPr>
        <w:numId w:val="0"/>
      </w:numPr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uiPriority w:val="29"/>
    <w:semiHidden/>
    <w:rsid w:val="00EE50C6"/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A9E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21C9B"/>
    <w:pPr>
      <w:numPr>
        <w:numId w:val="0"/>
      </w:numPr>
      <w:tabs>
        <w:tab w:val="left" w:pos="851"/>
        <w:tab w:val="right" w:pos="9038"/>
      </w:tabs>
      <w:ind w:left="851" w:hanging="851"/>
      <w:jc w:val="left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i/>
      <w:sz w:val="2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b/>
      <w:sz w:val="24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21C9B"/>
    <w:pPr>
      <w:numPr>
        <w:numId w:val="0"/>
      </w:numPr>
      <w:tabs>
        <w:tab w:val="left" w:pos="851"/>
        <w:tab w:val="right" w:pos="9027"/>
      </w:tabs>
    </w:pPr>
    <w:rPr>
      <w:b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ai">
    <w:name w:val="Outline List 1"/>
    <w:basedOn w:val="NoList"/>
    <w:uiPriority w:val="99"/>
    <w:semiHidden/>
    <w:unhideWhenUsed/>
    <w:rsid w:val="00A8129D"/>
    <w:pPr>
      <w:numPr>
        <w:numId w:val="5"/>
      </w:numPr>
    </w:pPr>
  </w:style>
  <w:style w:type="numbering" w:customStyle="1" w:styleId="BulletList">
    <w:name w:val="Bullet List"/>
    <w:uiPriority w:val="99"/>
    <w:rsid w:val="00641EAA"/>
    <w:pPr>
      <w:numPr>
        <w:numId w:val="8"/>
      </w:numPr>
    </w:pPr>
  </w:style>
  <w:style w:type="paragraph" w:customStyle="1" w:styleId="Introduction">
    <w:name w:val="Introduction"/>
    <w:basedOn w:val="Normal"/>
    <w:uiPriority w:val="11"/>
    <w:semiHidden/>
    <w:qFormat/>
    <w:rsid w:val="00072B30"/>
    <w:pPr>
      <w:numPr>
        <w:numId w:val="0"/>
      </w:numPr>
    </w:pPr>
    <w:rPr>
      <w:b/>
      <w:color w:val="000000" w:themeColor="text1"/>
    </w:rPr>
  </w:style>
  <w:style w:type="table" w:styleId="TableGridLight">
    <w:name w:val="Grid Table Light"/>
    <w:aliases w:val="Hidden"/>
    <w:basedOn w:val="TableNormal"/>
    <w:uiPriority w:val="40"/>
    <w:locked/>
    <w:rsid w:val="00592F64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495A4C"/>
    <w:pPr>
      <w:numPr>
        <w:numId w:val="3"/>
      </w:numPr>
    </w:pPr>
  </w:style>
  <w:style w:type="paragraph" w:customStyle="1" w:styleId="AppendixHeading">
    <w:name w:val="Appendix Heading"/>
    <w:basedOn w:val="Heading1"/>
    <w:uiPriority w:val="10"/>
    <w:semiHidden/>
    <w:qFormat/>
    <w:rsid w:val="003A2733"/>
    <w:pPr>
      <w:numPr>
        <w:numId w:val="3"/>
      </w:numPr>
    </w:pPr>
  </w:style>
  <w:style w:type="paragraph" w:customStyle="1" w:styleId="AppendixSubHeading">
    <w:name w:val="Appendix Sub Heading"/>
    <w:basedOn w:val="Heading2"/>
    <w:uiPriority w:val="10"/>
    <w:semiHidden/>
    <w:qFormat/>
    <w:rsid w:val="003A2733"/>
  </w:style>
  <w:style w:type="paragraph" w:customStyle="1" w:styleId="Heading1Numbers">
    <w:name w:val="Heading 1 Numbers"/>
    <w:basedOn w:val="Heading1"/>
    <w:next w:val="Normal"/>
    <w:uiPriority w:val="9"/>
    <w:qFormat/>
    <w:rsid w:val="00BA627A"/>
    <w:pPr>
      <w:numPr>
        <w:numId w:val="10"/>
      </w:numPr>
    </w:pPr>
  </w:style>
  <w:style w:type="paragraph" w:customStyle="1" w:styleId="Heading2Numbers">
    <w:name w:val="Heading 2 Numbers"/>
    <w:basedOn w:val="Heading2"/>
    <w:next w:val="Normal"/>
    <w:uiPriority w:val="9"/>
    <w:qFormat/>
    <w:rsid w:val="00E61784"/>
    <w:pPr>
      <w:numPr>
        <w:ilvl w:val="1"/>
        <w:numId w:val="10"/>
      </w:numPr>
    </w:pPr>
    <w:rPr>
      <w:bCs w:val="0"/>
    </w:rPr>
  </w:style>
  <w:style w:type="paragraph" w:customStyle="1" w:styleId="Heading3Numbers">
    <w:name w:val="Heading 3 Numbers"/>
    <w:basedOn w:val="Heading3"/>
    <w:next w:val="Normal"/>
    <w:uiPriority w:val="9"/>
    <w:qFormat/>
    <w:rsid w:val="00BA627A"/>
    <w:pPr>
      <w:numPr>
        <w:ilvl w:val="2"/>
        <w:numId w:val="10"/>
      </w:numPr>
    </w:pPr>
  </w:style>
  <w:style w:type="paragraph" w:customStyle="1" w:styleId="Heading4NoNumber">
    <w:name w:val="Heading 4 No Number"/>
    <w:basedOn w:val="Heading4"/>
    <w:uiPriority w:val="9"/>
    <w:qFormat/>
    <w:rsid w:val="00BA627A"/>
    <w:pPr>
      <w:numPr>
        <w:ilvl w:val="3"/>
        <w:numId w:val="10"/>
      </w:numPr>
    </w:pPr>
  </w:style>
  <w:style w:type="paragraph" w:customStyle="1" w:styleId="JanusSeal">
    <w:name w:val="Janus Seal"/>
    <w:basedOn w:val="Normal"/>
    <w:uiPriority w:val="18"/>
    <w:qFormat/>
    <w:rsid w:val="00877B84"/>
    <w:pPr>
      <w:jc w:val="center"/>
    </w:pPr>
    <w:rPr>
      <w:b/>
      <w:color w:val="FF0000"/>
      <w:sz w:val="24"/>
    </w:rPr>
  </w:style>
  <w:style w:type="paragraph" w:customStyle="1" w:styleId="LetterCAPSTitle">
    <w:name w:val="Letter CAPS Title"/>
    <w:basedOn w:val="Normal"/>
    <w:uiPriority w:val="19"/>
    <w:qFormat/>
    <w:rsid w:val="00722F9F"/>
    <w:pPr>
      <w:numPr>
        <w:numId w:val="0"/>
      </w:numPr>
    </w:pPr>
    <w:rPr>
      <w:b/>
      <w:caps/>
      <w:shd w:val="clear" w:color="auto" w:fill="FFFFFF"/>
    </w:rPr>
  </w:style>
  <w:style w:type="table" w:styleId="PlainTable5">
    <w:name w:val="Plain Table 5"/>
    <w:basedOn w:val="TableNormal"/>
    <w:uiPriority w:val="45"/>
    <w:locked/>
    <w:rsid w:val="00F0509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overdate">
    <w:name w:val="Cover date"/>
    <w:basedOn w:val="Address"/>
    <w:uiPriority w:val="29"/>
    <w:semiHidden/>
    <w:qFormat/>
    <w:rsid w:val="00592F64"/>
  </w:style>
  <w:style w:type="paragraph" w:customStyle="1" w:styleId="Address">
    <w:name w:val="Address"/>
    <w:basedOn w:val="Normal"/>
    <w:uiPriority w:val="19"/>
    <w:qFormat/>
    <w:rsid w:val="00592F64"/>
    <w:pPr>
      <w:numPr>
        <w:numId w:val="0"/>
      </w:numPr>
      <w:spacing w:after="840"/>
      <w:contextualSpacing/>
    </w:pPr>
  </w:style>
  <w:style w:type="paragraph" w:customStyle="1" w:styleId="Sincerely">
    <w:name w:val="Sincerely"/>
    <w:basedOn w:val="Normal"/>
    <w:uiPriority w:val="29"/>
    <w:semiHidden/>
    <w:qFormat/>
    <w:rsid w:val="00592F64"/>
    <w:pPr>
      <w:numPr>
        <w:numId w:val="0"/>
      </w:numPr>
      <w:spacing w:before="720" w:after="600"/>
    </w:pPr>
  </w:style>
  <w:style w:type="paragraph" w:customStyle="1" w:styleId="Subject">
    <w:name w:val="Subject"/>
    <w:basedOn w:val="Normal"/>
    <w:uiPriority w:val="29"/>
    <w:semiHidden/>
    <w:qFormat/>
    <w:rsid w:val="00592F64"/>
    <w:pPr>
      <w:numPr>
        <w:numId w:val="0"/>
      </w:numPr>
      <w:spacing w:before="480" w:after="480"/>
    </w:pPr>
    <w:rPr>
      <w:b/>
    </w:rPr>
  </w:style>
  <w:style w:type="table" w:customStyle="1" w:styleId="TableOption2">
    <w:name w:val="Table Option 2"/>
    <w:basedOn w:val="TableGrid"/>
    <w:uiPriority w:val="99"/>
    <w:rsid w:val="00826012"/>
    <w:tblPr/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 w:val="0"/>
        <w:color w:val="auto"/>
      </w:rPr>
      <w:tblPr/>
      <w:tcPr>
        <w:shd w:val="clear" w:color="auto" w:fill="012169" w:themeFill="accent1"/>
      </w:tc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customStyle="1" w:styleId="TableHeading">
    <w:name w:val="Table Heading"/>
    <w:basedOn w:val="Normal"/>
    <w:next w:val="Normal"/>
    <w:uiPriority w:val="10"/>
    <w:qFormat/>
    <w:rsid w:val="004C766B"/>
    <w:pPr>
      <w:keepNext/>
      <w:numPr>
        <w:numId w:val="0"/>
      </w:numPr>
      <w:spacing w:before="240" w:after="120"/>
    </w:pPr>
    <w:rPr>
      <w:b/>
      <w:i/>
    </w:rPr>
  </w:style>
  <w:style w:type="paragraph" w:customStyle="1" w:styleId="NameTitleDivision">
    <w:name w:val="Name/Title/Division"/>
    <w:basedOn w:val="Normal"/>
    <w:uiPriority w:val="18"/>
    <w:qFormat/>
    <w:rsid w:val="000573E5"/>
    <w:pPr>
      <w:numPr>
        <w:numId w:val="0"/>
      </w:numPr>
      <w:contextualSpacing/>
    </w:pPr>
    <w:rPr>
      <w:i/>
    </w:rPr>
  </w:style>
  <w:style w:type="paragraph" w:customStyle="1" w:styleId="TableText">
    <w:name w:val="Table Text"/>
    <w:basedOn w:val="Normal"/>
    <w:uiPriority w:val="10"/>
    <w:qFormat/>
    <w:rsid w:val="009E529F"/>
    <w:pPr>
      <w:numPr>
        <w:numId w:val="0"/>
      </w:numPr>
      <w:spacing w:before="60" w:after="60"/>
      <w:jc w:val="left"/>
    </w:pPr>
  </w:style>
  <w:style w:type="paragraph" w:customStyle="1" w:styleId="Postscript">
    <w:name w:val="Postscript"/>
    <w:basedOn w:val="Normal"/>
    <w:uiPriority w:val="19"/>
    <w:qFormat/>
    <w:rsid w:val="00B40B7D"/>
    <w:pPr>
      <w:numPr>
        <w:numId w:val="0"/>
      </w:numPr>
    </w:pPr>
    <w:rPr>
      <w:sz w:val="20"/>
    </w:rPr>
  </w:style>
  <w:style w:type="paragraph" w:customStyle="1" w:styleId="ActTitle">
    <w:name w:val="Act Title"/>
    <w:basedOn w:val="Normal"/>
    <w:next w:val="Normal"/>
    <w:rsid w:val="00CB0D03"/>
    <w:pPr>
      <w:numPr>
        <w:numId w:val="0"/>
      </w:numPr>
      <w:pBdr>
        <w:bottom w:val="single" w:sz="4" w:space="3" w:color="auto"/>
      </w:pBdr>
      <w:spacing w:before="480"/>
      <w:jc w:val="left"/>
    </w:pPr>
    <w:rPr>
      <w:rFonts w:eastAsia="Times New Roman" w:cs="Times New Roman"/>
      <w:i/>
      <w:iCs/>
      <w:color w:val="auto"/>
      <w:sz w:val="2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RA">
      <a:dk1>
        <a:sysClr val="windowText" lastClr="000000"/>
      </a:dk1>
      <a:lt1>
        <a:sysClr val="window" lastClr="FFFFFF"/>
      </a:lt1>
      <a:dk2>
        <a:srgbClr val="012169"/>
      </a:dk2>
      <a:lt2>
        <a:srgbClr val="00A9E0"/>
      </a:lt2>
      <a:accent1>
        <a:srgbClr val="012169"/>
      </a:accent1>
      <a:accent2>
        <a:srgbClr val="00A9E0"/>
      </a:accent2>
      <a:accent3>
        <a:srgbClr val="0072CE"/>
      </a:accent3>
      <a:accent4>
        <a:srgbClr val="98A4AE"/>
      </a:accent4>
      <a:accent5>
        <a:srgbClr val="4F758B"/>
      </a:accent5>
      <a:accent6>
        <a:srgbClr val="71C5E8"/>
      </a:accent6>
      <a:hlink>
        <a:srgbClr val="0000FF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>Reporting standard development</TermName>
          <TermId>0d438fdb-7eb1-4ccc-8be5-4345f3abd880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>Legal instrument</TermName>
          <TermId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24</Value>
      <Value>83</Value>
      <Value>134</Value>
      <Value>233</Value>
      <Value>229</Value>
      <Value>26</Value>
      <Value>93</Value>
      <Value>58</Value>
      <Value>158</Value>
      <Value>4</Value>
      <Value>1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 xsi:nil="true"/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29ca90e3-c619-4296-b1bf-6e33e4d24a28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5JENXJJSCC7A-445999044-10982</_dlc_DocId>
    <_dlc_DocIdUrl xmlns="814d62cb-2db6-4c25-ab62-b9075facbc11">
      <Url>https://im/teams/LEGAL/_layouts/15/DocIdRedir.aspx?ID=5JENXJJSCC7A-445999044-10982</Url>
      <Description>5JENXJJSCC7A-445999044-10982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2FEC-196D-43E4-901E-3FC84995F6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C601BE-9F76-458F-BB8A-9D41A20B63F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620138C-6415-4F5C-9D76-71A85846F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D7EB1-5BF5-424A-ADDC-0B5872EAF05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14d62cb-2db6-4c25-ab62-b9075facbc1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4B21C12-7148-4F9C-A0BF-35EDD0335A6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C638BAC-AF19-4F09-AAF8-EE581F5C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4964</Characters>
  <Application>Microsoft Office Word</Application>
  <DocSecurity>0</DocSecurity>
  <Lines>130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FSCODA No 1 of 2020</vt:lpstr>
    </vt:vector>
  </TitlesOfParts>
  <Company>APRA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FSCODA No 1 of 2020</dc:title>
  <dc:subject/>
  <dc:creator>McKenna, Geoff</dc:creator>
  <cp:keywords>[SEC=UNCLASSIFIED]</cp:keywords>
  <dc:description/>
  <cp:lastModifiedBy>Li, Joanne</cp:lastModifiedBy>
  <cp:revision>2</cp:revision>
  <cp:lastPrinted>2020-02-05T23:01:00Z</cp:lastPrinted>
  <dcterms:created xsi:type="dcterms:W3CDTF">2020-02-10T07:05:00Z</dcterms:created>
  <dcterms:modified xsi:type="dcterms:W3CDTF">2020-02-10T07:05:00Z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DBF2C23E4BADD8D7D0B29BB6B332033121013C98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F684C0B7BD75EDBBF49597E2769A18418C560E8D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1C5BAE6EF6394411B32068B1FF090F3F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2020-02-10T06:58:42Z</vt:lpwstr>
  </property>
  <property fmtid="{D5CDD505-2E9C-101B-9397-08002B2CF9AE}" pid="19" name="PM_Hash_Version">
    <vt:lpwstr>2018.0</vt:lpwstr>
  </property>
  <property fmtid="{D5CDD505-2E9C-101B-9397-08002B2CF9AE}" pid="20" name="PM_Hash_Salt_Prev">
    <vt:lpwstr>CE2872D9DA3D07E0DF9A0B1C59934A02</vt:lpwstr>
  </property>
  <property fmtid="{D5CDD505-2E9C-101B-9397-08002B2CF9AE}" pid="21" name="PM_Hash_Salt">
    <vt:lpwstr>FDC0DCEAF4352C559CF218C91B6F0856</vt:lpwstr>
  </property>
  <property fmtid="{D5CDD505-2E9C-101B-9397-08002B2CF9AE}" pid="22" name="PM_SecurityClassification_Prev">
    <vt:lpwstr>UNCLASSIFIED</vt:lpwstr>
  </property>
  <property fmtid="{D5CDD505-2E9C-101B-9397-08002B2CF9AE}" pid="23" name="PM_Qualifier_Prev">
    <vt:lpwstr/>
  </property>
  <property fmtid="{D5CDD505-2E9C-101B-9397-08002B2CF9AE}" pid="24" name="ContentTypeId">
    <vt:lpwstr>0x0101008CA7A4F8331B45C7B0D3158B4994D0CA0200577EC0F5A1FBFC498F9A8436B963F8A6</vt:lpwstr>
  </property>
  <property fmtid="{D5CDD505-2E9C-101B-9397-08002B2CF9AE}" pid="25" name="APRAExternalOrganisation">
    <vt:lpwstr/>
  </property>
  <property fmtid="{D5CDD505-2E9C-101B-9397-08002B2CF9AE}" pid="26" name="APRAIRTR">
    <vt:lpwstr/>
  </property>
  <property fmtid="{D5CDD505-2E9C-101B-9397-08002B2CF9AE}" pid="27" name="APRAPeriod">
    <vt:lpwstr/>
  </property>
  <property fmtid="{D5CDD505-2E9C-101B-9397-08002B2CF9AE}" pid="28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</vt:lpwstr>
  </property>
  <property fmtid="{D5CDD505-2E9C-101B-9397-08002B2CF9AE}" pid="29" name="IT system type">
    <vt:lpwstr/>
  </property>
  <property fmtid="{D5CDD505-2E9C-101B-9397-08002B2CF9AE}" pid="30" name="APRACategory">
    <vt:lpwstr/>
  </property>
  <property fmtid="{D5CDD505-2E9C-101B-9397-08002B2CF9AE}" pid="31" name="APRAPRSG">
    <vt:lpwstr/>
  </property>
  <property fmtid="{D5CDD505-2E9C-101B-9397-08002B2CF9AE}" pid="32" name="APRAStatus">
    <vt:lpwstr>1;#Draft|0e1556d2-3fe8-443a-ada7-3620563b46b3</vt:lpwstr>
  </property>
  <property fmtid="{D5CDD505-2E9C-101B-9397-08002B2CF9AE}" pid="33" name="APRADocumentType">
    <vt:lpwstr>58;#Legal instrument|71fd6ed3-d6d6-4975-ba99-bfe45802e734</vt:lpwstr>
  </property>
  <property fmtid="{D5CDD505-2E9C-101B-9397-08002B2CF9AE}" pid="34" name="APRAActivity">
    <vt:lpwstr>233;#Reporting standard development|0d438fdb-7eb1-4ccc-8be5-4345f3abd880</vt:lpwstr>
  </property>
  <property fmtid="{D5CDD505-2E9C-101B-9397-08002B2CF9AE}" pid="35" name="APRAEntityAdviceSupport">
    <vt:lpwstr/>
  </property>
  <property fmtid="{D5CDD505-2E9C-101B-9397-08002B2CF9AE}" pid="36" name="APRALegislation">
    <vt:lpwstr/>
  </property>
  <property fmtid="{D5CDD505-2E9C-101B-9397-08002B2CF9AE}" pid="37" name="APRAYear">
    <vt:lpwstr>229;#2020|29ca90e3-c619-4296-b1bf-6e33e4d24a28</vt:lpwstr>
  </property>
  <property fmtid="{D5CDD505-2E9C-101B-9397-08002B2CF9AE}" pid="38" name="APRAIndustry">
    <vt:lpwstr/>
  </property>
  <property fmtid="{D5CDD505-2E9C-101B-9397-08002B2CF9AE}" pid="39" name="_dlc_DocIdItemGuid">
    <vt:lpwstr>836d115e-d8a7-48d4-aa84-fe757e2dd20f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{88691c01-5bbb-4215-adc0-66cb7065b0af}</vt:lpwstr>
  </property>
  <property fmtid="{D5CDD505-2E9C-101B-9397-08002B2CF9AE}" pid="42" name="RecordPoint_ActiveItemListId">
    <vt:lpwstr>{0e59e171-09d8-4401-800a-327154450cb3}</vt:lpwstr>
  </property>
  <property fmtid="{D5CDD505-2E9C-101B-9397-08002B2CF9AE}" pid="43" name="RecordPoint_ActiveItemUniqueId">
    <vt:lpwstr>{836d115e-d8a7-48d4-aa84-fe757e2dd20f}</vt:lpwstr>
  </property>
  <property fmtid="{D5CDD505-2E9C-101B-9397-08002B2CF9AE}" pid="44" name="RecordPoint_ActiveItemWebId">
    <vt:lpwstr>{75a71c27-8d66-4282-ae60-1bfc22a83be1}</vt:lpwstr>
  </property>
</Properties>
</file>