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74050" w14:textId="77777777" w:rsidR="00AC0690" w:rsidRDefault="006E3FFC" w:rsidP="006E3FFC">
      <w:pPr>
        <w:spacing w:after="0"/>
        <w:jc w:val="center"/>
        <w:rPr>
          <w:rFonts w:ascii="Times New Roman" w:hAnsi="Times New Roman" w:cs="Times New Roman"/>
          <w:b/>
          <w:sz w:val="24"/>
          <w:szCs w:val="24"/>
        </w:rPr>
      </w:pPr>
      <w:r>
        <w:rPr>
          <w:rFonts w:ascii="Times New Roman" w:hAnsi="Times New Roman" w:cs="Times New Roman"/>
          <w:b/>
          <w:sz w:val="24"/>
          <w:szCs w:val="24"/>
        </w:rPr>
        <w:t>EXPLANATORY STATEMENT</w:t>
      </w:r>
    </w:p>
    <w:p w14:paraId="5E7AFD59" w14:textId="77777777" w:rsidR="006E3FFC" w:rsidRDefault="006E3FFC" w:rsidP="006E3FFC">
      <w:pPr>
        <w:spacing w:after="0"/>
        <w:jc w:val="center"/>
        <w:rPr>
          <w:rFonts w:ascii="Times New Roman" w:hAnsi="Times New Roman" w:cs="Times New Roman"/>
          <w:b/>
          <w:sz w:val="24"/>
          <w:szCs w:val="24"/>
        </w:rPr>
      </w:pPr>
    </w:p>
    <w:p w14:paraId="2F5639B1" w14:textId="6BF2C497" w:rsidR="006E3FFC" w:rsidRDefault="006E3FFC" w:rsidP="006E3FFC">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Issue</w:t>
      </w:r>
      <w:r w:rsidR="006F409E">
        <w:rPr>
          <w:rFonts w:ascii="Times New Roman" w:hAnsi="Times New Roman" w:cs="Times New Roman"/>
          <w:sz w:val="24"/>
          <w:szCs w:val="24"/>
          <w:u w:val="single"/>
        </w:rPr>
        <w:t>d</w:t>
      </w:r>
      <w:r>
        <w:rPr>
          <w:rFonts w:ascii="Times New Roman" w:hAnsi="Times New Roman" w:cs="Times New Roman"/>
          <w:sz w:val="24"/>
          <w:szCs w:val="24"/>
          <w:u w:val="single"/>
        </w:rPr>
        <w:t xml:space="preserve"> by authority of the Minister for Veterans and Defence Personnel</w:t>
      </w:r>
    </w:p>
    <w:p w14:paraId="19F00688" w14:textId="77777777" w:rsidR="006E3FFC" w:rsidRDefault="006E3FFC" w:rsidP="006E3FFC">
      <w:pPr>
        <w:spacing w:after="0"/>
        <w:jc w:val="center"/>
        <w:rPr>
          <w:rFonts w:ascii="Times New Roman" w:hAnsi="Times New Roman" w:cs="Times New Roman"/>
          <w:sz w:val="24"/>
          <w:szCs w:val="24"/>
          <w:u w:val="single"/>
        </w:rPr>
      </w:pPr>
    </w:p>
    <w:p w14:paraId="283750F8" w14:textId="77777777" w:rsidR="006E3FFC" w:rsidRDefault="006E3FFC" w:rsidP="006E3FFC">
      <w:pPr>
        <w:spacing w:after="0"/>
        <w:jc w:val="center"/>
        <w:rPr>
          <w:rFonts w:ascii="Times New Roman" w:hAnsi="Times New Roman" w:cs="Times New Roman"/>
          <w:sz w:val="24"/>
          <w:szCs w:val="24"/>
          <w:u w:val="single"/>
        </w:rPr>
      </w:pPr>
    </w:p>
    <w:p w14:paraId="6D2A1175" w14:textId="77777777" w:rsidR="006E3FFC" w:rsidRDefault="006E3FFC" w:rsidP="006E3FFC">
      <w:pPr>
        <w:spacing w:after="0"/>
        <w:jc w:val="center"/>
        <w:rPr>
          <w:rFonts w:ascii="Times New Roman" w:hAnsi="Times New Roman" w:cs="Times New Roman"/>
          <w:sz w:val="24"/>
          <w:szCs w:val="24"/>
          <w:u w:val="single"/>
        </w:rPr>
      </w:pPr>
    </w:p>
    <w:p w14:paraId="01ECADC5" w14:textId="77777777" w:rsidR="006E3FFC" w:rsidRDefault="006E3FFC" w:rsidP="006E3FFC">
      <w:pPr>
        <w:spacing w:after="0"/>
        <w:jc w:val="center"/>
        <w:rPr>
          <w:rFonts w:ascii="Times New Roman" w:hAnsi="Times New Roman" w:cs="Times New Roman"/>
          <w:i/>
          <w:sz w:val="24"/>
          <w:szCs w:val="24"/>
        </w:rPr>
      </w:pPr>
      <w:r w:rsidRPr="006E3FFC">
        <w:rPr>
          <w:rFonts w:ascii="Times New Roman" w:hAnsi="Times New Roman" w:cs="Times New Roman"/>
          <w:sz w:val="24"/>
          <w:szCs w:val="24"/>
        </w:rPr>
        <w:t xml:space="preserve">Subject – </w:t>
      </w:r>
      <w:r w:rsidRPr="006E3FFC">
        <w:rPr>
          <w:rFonts w:ascii="Times New Roman" w:hAnsi="Times New Roman" w:cs="Times New Roman"/>
          <w:i/>
          <w:sz w:val="24"/>
          <w:szCs w:val="24"/>
        </w:rPr>
        <w:t>Defence Act 1903</w:t>
      </w:r>
    </w:p>
    <w:p w14:paraId="6FD30035" w14:textId="77777777" w:rsidR="006E3FFC" w:rsidRDefault="006E3FFC" w:rsidP="006E3FFC">
      <w:pPr>
        <w:spacing w:after="0"/>
        <w:jc w:val="center"/>
        <w:rPr>
          <w:rFonts w:ascii="Times New Roman" w:hAnsi="Times New Roman" w:cs="Times New Roman"/>
          <w:sz w:val="24"/>
          <w:szCs w:val="24"/>
        </w:rPr>
      </w:pPr>
    </w:p>
    <w:p w14:paraId="0CBBE074" w14:textId="3AB3F5BE" w:rsidR="006E3FFC" w:rsidRDefault="006E3FFC" w:rsidP="006E3FFC">
      <w:pPr>
        <w:spacing w:after="0"/>
        <w:jc w:val="center"/>
        <w:rPr>
          <w:rFonts w:ascii="Times New Roman" w:hAnsi="Times New Roman" w:cs="Times New Roman"/>
          <w:sz w:val="24"/>
          <w:szCs w:val="24"/>
        </w:rPr>
      </w:pPr>
      <w:r>
        <w:rPr>
          <w:rFonts w:ascii="Times New Roman" w:hAnsi="Times New Roman" w:cs="Times New Roman"/>
          <w:sz w:val="24"/>
          <w:szCs w:val="24"/>
        </w:rPr>
        <w:t>Defence Amendment (20</w:t>
      </w:r>
      <w:r w:rsidR="00A77CE1">
        <w:rPr>
          <w:rFonts w:ascii="Times New Roman" w:hAnsi="Times New Roman" w:cs="Times New Roman"/>
          <w:sz w:val="24"/>
          <w:szCs w:val="24"/>
        </w:rPr>
        <w:t>20</w:t>
      </w:r>
      <w:r>
        <w:rPr>
          <w:rFonts w:ascii="Times New Roman" w:hAnsi="Times New Roman" w:cs="Times New Roman"/>
          <w:sz w:val="24"/>
          <w:szCs w:val="24"/>
        </w:rPr>
        <w:t xml:space="preserve"> Measures No. 1) Regulations 20</w:t>
      </w:r>
      <w:r w:rsidR="00A77CE1">
        <w:rPr>
          <w:rFonts w:ascii="Times New Roman" w:hAnsi="Times New Roman" w:cs="Times New Roman"/>
          <w:sz w:val="24"/>
          <w:szCs w:val="24"/>
        </w:rPr>
        <w:t>20</w:t>
      </w:r>
    </w:p>
    <w:p w14:paraId="1E9E7B9D" w14:textId="77777777" w:rsidR="006E3FFC" w:rsidRDefault="006E3FFC" w:rsidP="006E3FFC">
      <w:pPr>
        <w:spacing w:after="0"/>
        <w:jc w:val="center"/>
        <w:rPr>
          <w:rFonts w:ascii="Times New Roman" w:hAnsi="Times New Roman" w:cs="Times New Roman"/>
          <w:sz w:val="24"/>
          <w:szCs w:val="24"/>
        </w:rPr>
      </w:pPr>
    </w:p>
    <w:p w14:paraId="40F8F5B9" w14:textId="77777777" w:rsidR="006E3FFC" w:rsidRDefault="006E3FFC" w:rsidP="006E3FFC">
      <w:pPr>
        <w:spacing w:after="0"/>
        <w:jc w:val="center"/>
        <w:rPr>
          <w:rFonts w:ascii="Times New Roman" w:hAnsi="Times New Roman" w:cs="Times New Roman"/>
          <w:sz w:val="24"/>
          <w:szCs w:val="24"/>
        </w:rPr>
      </w:pPr>
    </w:p>
    <w:p w14:paraId="29F7A32F" w14:textId="77777777" w:rsidR="006E3FFC" w:rsidRDefault="006E3FFC" w:rsidP="006E3FFC">
      <w:pPr>
        <w:pStyle w:val="ListParagraph"/>
        <w:numPr>
          <w:ilvl w:val="0"/>
          <w:numId w:val="1"/>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 xml:space="preserve">The </w:t>
      </w:r>
      <w:r w:rsidRPr="006E3FFC">
        <w:rPr>
          <w:rFonts w:ascii="Times New Roman" w:hAnsi="Times New Roman" w:cs="Times New Roman"/>
          <w:i/>
          <w:sz w:val="24"/>
          <w:szCs w:val="24"/>
        </w:rPr>
        <w:t>Defence Act 1903</w:t>
      </w:r>
      <w:r>
        <w:rPr>
          <w:rFonts w:ascii="Times New Roman" w:hAnsi="Times New Roman" w:cs="Times New Roman"/>
          <w:sz w:val="24"/>
          <w:szCs w:val="24"/>
        </w:rPr>
        <w:t xml:space="preserve"> (the Act) prescribes the control, administration, constitution and service of the Australian Defence Force</w:t>
      </w:r>
      <w:r w:rsidR="00107B85">
        <w:rPr>
          <w:rFonts w:ascii="Times New Roman" w:hAnsi="Times New Roman" w:cs="Times New Roman"/>
          <w:sz w:val="24"/>
          <w:szCs w:val="24"/>
        </w:rPr>
        <w:t xml:space="preserve"> (ADF)</w:t>
      </w:r>
      <w:r>
        <w:rPr>
          <w:rFonts w:ascii="Times New Roman" w:hAnsi="Times New Roman" w:cs="Times New Roman"/>
          <w:sz w:val="24"/>
          <w:szCs w:val="24"/>
        </w:rPr>
        <w:t>.</w:t>
      </w:r>
    </w:p>
    <w:p w14:paraId="1C3C07E9" w14:textId="77777777" w:rsidR="006E3FFC" w:rsidRDefault="006E3FFC" w:rsidP="006E3FFC">
      <w:pPr>
        <w:pStyle w:val="ListParagraph"/>
        <w:tabs>
          <w:tab w:val="left" w:pos="567"/>
        </w:tabs>
        <w:spacing w:after="0"/>
        <w:ind w:left="0"/>
        <w:rPr>
          <w:rFonts w:ascii="Times New Roman" w:hAnsi="Times New Roman" w:cs="Times New Roman"/>
          <w:sz w:val="24"/>
          <w:szCs w:val="24"/>
        </w:rPr>
      </w:pPr>
    </w:p>
    <w:p w14:paraId="46083436" w14:textId="56D735FE" w:rsidR="005C2901" w:rsidRDefault="006E7AF6" w:rsidP="006E3FFC">
      <w:pPr>
        <w:pStyle w:val="ListParagraph"/>
        <w:numPr>
          <w:ilvl w:val="0"/>
          <w:numId w:val="1"/>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 xml:space="preserve">The </w:t>
      </w:r>
      <w:r w:rsidRPr="00567A97">
        <w:rPr>
          <w:rFonts w:ascii="Times New Roman" w:hAnsi="Times New Roman" w:cs="Times New Roman"/>
          <w:i/>
          <w:sz w:val="24"/>
          <w:szCs w:val="24"/>
        </w:rPr>
        <w:t>Defence Regulation 2016</w:t>
      </w:r>
      <w:r>
        <w:rPr>
          <w:rFonts w:ascii="Times New Roman" w:hAnsi="Times New Roman" w:cs="Times New Roman"/>
          <w:sz w:val="24"/>
          <w:szCs w:val="24"/>
        </w:rPr>
        <w:t xml:space="preserve"> (the Regulation) is made under the Act. </w:t>
      </w:r>
      <w:r w:rsidR="005C2901">
        <w:rPr>
          <w:rFonts w:ascii="Times New Roman" w:hAnsi="Times New Roman" w:cs="Times New Roman"/>
          <w:sz w:val="24"/>
          <w:szCs w:val="24"/>
        </w:rPr>
        <w:t xml:space="preserve">The </w:t>
      </w:r>
      <w:r w:rsidR="005C2901" w:rsidRPr="00567A97">
        <w:rPr>
          <w:rFonts w:ascii="Times New Roman" w:hAnsi="Times New Roman" w:cs="Times New Roman"/>
          <w:i/>
          <w:sz w:val="24"/>
          <w:szCs w:val="24"/>
        </w:rPr>
        <w:t>Defence Amendment (20</w:t>
      </w:r>
      <w:r w:rsidR="00A77CE1">
        <w:rPr>
          <w:rFonts w:ascii="Times New Roman" w:hAnsi="Times New Roman" w:cs="Times New Roman"/>
          <w:i/>
          <w:sz w:val="24"/>
          <w:szCs w:val="24"/>
        </w:rPr>
        <w:t>20</w:t>
      </w:r>
      <w:r w:rsidR="005C2901" w:rsidRPr="00567A97">
        <w:rPr>
          <w:rFonts w:ascii="Times New Roman" w:hAnsi="Times New Roman" w:cs="Times New Roman"/>
          <w:i/>
          <w:sz w:val="24"/>
          <w:szCs w:val="24"/>
        </w:rPr>
        <w:t xml:space="preserve"> Measures No. 1) Regulations 20</w:t>
      </w:r>
      <w:r w:rsidR="00A77CE1">
        <w:rPr>
          <w:rFonts w:ascii="Times New Roman" w:hAnsi="Times New Roman" w:cs="Times New Roman"/>
          <w:i/>
          <w:sz w:val="24"/>
          <w:szCs w:val="24"/>
        </w:rPr>
        <w:t>20</w:t>
      </w:r>
      <w:r w:rsidR="005C2901">
        <w:rPr>
          <w:rFonts w:ascii="Times New Roman" w:hAnsi="Times New Roman" w:cs="Times New Roman"/>
          <w:sz w:val="24"/>
          <w:szCs w:val="24"/>
        </w:rPr>
        <w:t xml:space="preserve"> (the Amending Regulations) amends the Regulation.</w:t>
      </w:r>
    </w:p>
    <w:p w14:paraId="43C7C8CB" w14:textId="77777777" w:rsidR="005C2901" w:rsidRPr="005C2901" w:rsidRDefault="005C2901" w:rsidP="005C2901">
      <w:pPr>
        <w:pStyle w:val="ListParagraph"/>
        <w:rPr>
          <w:rFonts w:ascii="Times New Roman" w:hAnsi="Times New Roman" w:cs="Times New Roman"/>
          <w:sz w:val="24"/>
          <w:szCs w:val="24"/>
        </w:rPr>
      </w:pPr>
    </w:p>
    <w:p w14:paraId="626EF108" w14:textId="2BD25641" w:rsidR="005C2901" w:rsidRPr="005C2901" w:rsidRDefault="005C2901" w:rsidP="005C2901">
      <w:pPr>
        <w:pStyle w:val="ListParagraph"/>
        <w:tabs>
          <w:tab w:val="left" w:pos="567"/>
        </w:tabs>
        <w:spacing w:after="0"/>
        <w:ind w:left="0"/>
        <w:rPr>
          <w:rFonts w:ascii="Times New Roman" w:hAnsi="Times New Roman" w:cs="Times New Roman"/>
          <w:b/>
          <w:sz w:val="24"/>
          <w:szCs w:val="24"/>
        </w:rPr>
      </w:pPr>
      <w:r w:rsidRPr="005C2901">
        <w:rPr>
          <w:rFonts w:ascii="Times New Roman" w:hAnsi="Times New Roman" w:cs="Times New Roman"/>
          <w:b/>
          <w:sz w:val="24"/>
          <w:szCs w:val="24"/>
        </w:rPr>
        <w:t xml:space="preserve">Purpose of the </w:t>
      </w:r>
      <w:r w:rsidRPr="005C2901">
        <w:rPr>
          <w:rFonts w:ascii="Times New Roman" w:hAnsi="Times New Roman" w:cs="Times New Roman"/>
          <w:b/>
          <w:i/>
          <w:sz w:val="24"/>
          <w:szCs w:val="24"/>
        </w:rPr>
        <w:t>Defence Amendment (20</w:t>
      </w:r>
      <w:r w:rsidR="00A77CE1">
        <w:rPr>
          <w:rFonts w:ascii="Times New Roman" w:hAnsi="Times New Roman" w:cs="Times New Roman"/>
          <w:b/>
          <w:i/>
          <w:sz w:val="24"/>
          <w:szCs w:val="24"/>
        </w:rPr>
        <w:t>20</w:t>
      </w:r>
      <w:r w:rsidRPr="005C2901">
        <w:rPr>
          <w:rFonts w:ascii="Times New Roman" w:hAnsi="Times New Roman" w:cs="Times New Roman"/>
          <w:b/>
          <w:i/>
          <w:sz w:val="24"/>
          <w:szCs w:val="24"/>
        </w:rPr>
        <w:t xml:space="preserve"> Measures No. 1) Regulations 20</w:t>
      </w:r>
      <w:r w:rsidR="00A77CE1">
        <w:rPr>
          <w:rFonts w:ascii="Times New Roman" w:hAnsi="Times New Roman" w:cs="Times New Roman"/>
          <w:b/>
          <w:i/>
          <w:sz w:val="24"/>
          <w:szCs w:val="24"/>
        </w:rPr>
        <w:t>20</w:t>
      </w:r>
    </w:p>
    <w:p w14:paraId="55219F37" w14:textId="77777777" w:rsidR="005C2901" w:rsidRPr="005C2901" w:rsidRDefault="005C2901" w:rsidP="005C2901">
      <w:pPr>
        <w:pStyle w:val="ListParagraph"/>
        <w:rPr>
          <w:rFonts w:ascii="Times New Roman" w:hAnsi="Times New Roman" w:cs="Times New Roman"/>
          <w:sz w:val="24"/>
          <w:szCs w:val="24"/>
        </w:rPr>
      </w:pPr>
    </w:p>
    <w:p w14:paraId="05E5DC9F" w14:textId="77777777" w:rsidR="005C2901" w:rsidRDefault="006E7AF6" w:rsidP="002E5384">
      <w:pPr>
        <w:pStyle w:val="ListParagraph"/>
        <w:numPr>
          <w:ilvl w:val="0"/>
          <w:numId w:val="1"/>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Section 24 of the Regulation provides for early termination of</w:t>
      </w:r>
      <w:r w:rsidR="00464E52">
        <w:rPr>
          <w:rFonts w:ascii="Times New Roman" w:hAnsi="Times New Roman" w:cs="Times New Roman"/>
          <w:sz w:val="24"/>
          <w:szCs w:val="24"/>
        </w:rPr>
        <w:t xml:space="preserve"> service of ADF members </w:t>
      </w:r>
      <w:r w:rsidR="005C2901">
        <w:rPr>
          <w:rFonts w:ascii="Times New Roman" w:hAnsi="Times New Roman" w:cs="Times New Roman"/>
          <w:sz w:val="24"/>
          <w:szCs w:val="24"/>
        </w:rPr>
        <w:t>on several grounds</w:t>
      </w:r>
      <w:r w:rsidR="00464E52">
        <w:rPr>
          <w:rFonts w:ascii="Times New Roman" w:hAnsi="Times New Roman" w:cs="Times New Roman"/>
          <w:sz w:val="24"/>
          <w:szCs w:val="24"/>
        </w:rPr>
        <w:t xml:space="preserve">. </w:t>
      </w:r>
      <w:r w:rsidR="000366A8">
        <w:rPr>
          <w:rFonts w:ascii="Times New Roman" w:hAnsi="Times New Roman" w:cs="Times New Roman"/>
          <w:sz w:val="24"/>
          <w:szCs w:val="24"/>
        </w:rPr>
        <w:t>In most circumstances</w:t>
      </w:r>
      <w:r w:rsidR="00464E52">
        <w:rPr>
          <w:rFonts w:ascii="Times New Roman" w:hAnsi="Times New Roman" w:cs="Times New Roman"/>
          <w:sz w:val="24"/>
          <w:szCs w:val="24"/>
        </w:rPr>
        <w:t xml:space="preserve">, subsection 24(2) requires that an ADF member </w:t>
      </w:r>
      <w:r w:rsidR="005C2901">
        <w:rPr>
          <w:rFonts w:ascii="Times New Roman" w:hAnsi="Times New Roman" w:cs="Times New Roman"/>
          <w:sz w:val="24"/>
          <w:szCs w:val="24"/>
        </w:rPr>
        <w:t xml:space="preserve">must </w:t>
      </w:r>
      <w:r w:rsidR="00464E52">
        <w:rPr>
          <w:rFonts w:ascii="Times New Roman" w:hAnsi="Times New Roman" w:cs="Times New Roman"/>
          <w:sz w:val="24"/>
          <w:szCs w:val="24"/>
        </w:rPr>
        <w:t>be provided with at least 14 days written notice, and an opportunity to re</w:t>
      </w:r>
      <w:r w:rsidR="005C2901">
        <w:rPr>
          <w:rFonts w:ascii="Times New Roman" w:hAnsi="Times New Roman" w:cs="Times New Roman"/>
          <w:sz w:val="24"/>
          <w:szCs w:val="24"/>
        </w:rPr>
        <w:t>s</w:t>
      </w:r>
      <w:r w:rsidR="00464E52">
        <w:rPr>
          <w:rFonts w:ascii="Times New Roman" w:hAnsi="Times New Roman" w:cs="Times New Roman"/>
          <w:sz w:val="24"/>
          <w:szCs w:val="24"/>
        </w:rPr>
        <w:t xml:space="preserve">pond, before a decision is made to terminate the member’s service. </w:t>
      </w:r>
      <w:r w:rsidR="002E5384">
        <w:rPr>
          <w:rFonts w:ascii="Times New Roman" w:hAnsi="Times New Roman" w:cs="Times New Roman"/>
          <w:sz w:val="24"/>
          <w:szCs w:val="24"/>
        </w:rPr>
        <w:t>This is a statutory mechanism to provide ADF members with procedural fairness in relation to termination decisions.</w:t>
      </w:r>
      <w:r w:rsidR="002E5384" w:rsidRPr="002E5384">
        <w:rPr>
          <w:rFonts w:ascii="Times New Roman" w:hAnsi="Times New Roman" w:cs="Times New Roman"/>
          <w:sz w:val="24"/>
          <w:szCs w:val="24"/>
        </w:rPr>
        <w:t xml:space="preserve"> </w:t>
      </w:r>
      <w:r w:rsidR="002E5384">
        <w:rPr>
          <w:rFonts w:ascii="Times New Roman" w:hAnsi="Times New Roman" w:cs="Times New Roman"/>
          <w:sz w:val="24"/>
          <w:szCs w:val="24"/>
        </w:rPr>
        <w:t>Written notice is not required if the ADF member has failed to meet a condition of their appointment or enlistment, if the ADF member has been absent without leave for a continuous period of three months or more, or if the ADF member has not completed a period of probation in relation to the</w:t>
      </w:r>
      <w:r w:rsidR="00FC2AA0">
        <w:rPr>
          <w:rFonts w:ascii="Times New Roman" w:hAnsi="Times New Roman" w:cs="Times New Roman"/>
          <w:sz w:val="24"/>
          <w:szCs w:val="24"/>
        </w:rPr>
        <w:t>ir</w:t>
      </w:r>
      <w:r w:rsidR="002E5384">
        <w:rPr>
          <w:rFonts w:ascii="Times New Roman" w:hAnsi="Times New Roman" w:cs="Times New Roman"/>
          <w:sz w:val="24"/>
          <w:szCs w:val="24"/>
        </w:rPr>
        <w:t xml:space="preserve"> appointment or enlistment.</w:t>
      </w:r>
    </w:p>
    <w:p w14:paraId="5E4D78DB" w14:textId="77777777" w:rsidR="005C2901" w:rsidRDefault="005C2901" w:rsidP="005C2901">
      <w:pPr>
        <w:pStyle w:val="ListParagraph"/>
        <w:tabs>
          <w:tab w:val="left" w:pos="567"/>
        </w:tabs>
        <w:spacing w:after="0"/>
        <w:ind w:left="0"/>
        <w:rPr>
          <w:rFonts w:ascii="Times New Roman" w:hAnsi="Times New Roman" w:cs="Times New Roman"/>
          <w:sz w:val="24"/>
          <w:szCs w:val="24"/>
        </w:rPr>
      </w:pPr>
    </w:p>
    <w:p w14:paraId="5D225322" w14:textId="77777777" w:rsidR="00395C2C" w:rsidRDefault="00395C2C" w:rsidP="006E3FFC">
      <w:pPr>
        <w:pStyle w:val="ListParagraph"/>
        <w:numPr>
          <w:ilvl w:val="0"/>
          <w:numId w:val="1"/>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 xml:space="preserve">Generally speaking the requirement to provide 14 days written notice before making a termination decision is appropriate and desirable, ensuring fairness to individual ADF members and improving the quality of decisions. However, in some circumstances the 14 day delay before a decision can be made to terminate an ADF member’s service is detrimental to the ADF’s reputation and to the morale of ADF members. A delay in taking action following a criminal conviction can lead to a perception that the ADF is not serious about addressing misconduct by ADF members. </w:t>
      </w:r>
      <w:r w:rsidR="005C2901">
        <w:rPr>
          <w:rFonts w:ascii="Times New Roman" w:hAnsi="Times New Roman" w:cs="Times New Roman"/>
          <w:sz w:val="24"/>
          <w:szCs w:val="24"/>
        </w:rPr>
        <w:t xml:space="preserve">The Amending Regulations </w:t>
      </w:r>
      <w:r>
        <w:rPr>
          <w:rFonts w:ascii="Times New Roman" w:hAnsi="Times New Roman" w:cs="Times New Roman"/>
          <w:sz w:val="24"/>
          <w:szCs w:val="24"/>
        </w:rPr>
        <w:t xml:space="preserve">address this concern by </w:t>
      </w:r>
      <w:r w:rsidR="005C2901">
        <w:rPr>
          <w:rFonts w:ascii="Times New Roman" w:hAnsi="Times New Roman" w:cs="Times New Roman"/>
          <w:sz w:val="24"/>
          <w:szCs w:val="24"/>
        </w:rPr>
        <w:t>amend</w:t>
      </w:r>
      <w:r>
        <w:rPr>
          <w:rFonts w:ascii="Times New Roman" w:hAnsi="Times New Roman" w:cs="Times New Roman"/>
          <w:sz w:val="24"/>
          <w:szCs w:val="24"/>
        </w:rPr>
        <w:t>ing</w:t>
      </w:r>
      <w:r w:rsidR="005C2901">
        <w:rPr>
          <w:rFonts w:ascii="Times New Roman" w:hAnsi="Times New Roman" w:cs="Times New Roman"/>
          <w:sz w:val="24"/>
          <w:szCs w:val="24"/>
        </w:rPr>
        <w:t xml:space="preserve"> the Regulation to provide for </w:t>
      </w:r>
      <w:r>
        <w:rPr>
          <w:rFonts w:ascii="Times New Roman" w:hAnsi="Times New Roman" w:cs="Times New Roman"/>
          <w:sz w:val="24"/>
          <w:szCs w:val="24"/>
        </w:rPr>
        <w:t xml:space="preserve">two </w:t>
      </w:r>
      <w:r w:rsidR="005C2901">
        <w:rPr>
          <w:rFonts w:ascii="Times New Roman" w:hAnsi="Times New Roman" w:cs="Times New Roman"/>
          <w:sz w:val="24"/>
          <w:szCs w:val="24"/>
        </w:rPr>
        <w:t xml:space="preserve">additional circumstances when written notice is </w:t>
      </w:r>
      <w:r w:rsidR="005C2901" w:rsidRPr="005C2901">
        <w:rPr>
          <w:rFonts w:ascii="Times New Roman" w:hAnsi="Times New Roman" w:cs="Times New Roman"/>
          <w:b/>
          <w:i/>
          <w:sz w:val="24"/>
          <w:szCs w:val="24"/>
        </w:rPr>
        <w:t>not</w:t>
      </w:r>
      <w:r w:rsidR="005C2901">
        <w:rPr>
          <w:rFonts w:ascii="Times New Roman" w:hAnsi="Times New Roman" w:cs="Times New Roman"/>
          <w:sz w:val="24"/>
          <w:szCs w:val="24"/>
        </w:rPr>
        <w:t xml:space="preserve"> required before a decision is made to terminate an ADF member’s service. </w:t>
      </w:r>
    </w:p>
    <w:p w14:paraId="08DC1692" w14:textId="77777777" w:rsidR="00395C2C" w:rsidRPr="00395C2C" w:rsidRDefault="00395C2C" w:rsidP="00395C2C">
      <w:pPr>
        <w:pStyle w:val="ListParagraph"/>
        <w:rPr>
          <w:rFonts w:ascii="Times New Roman" w:hAnsi="Times New Roman" w:cs="Times New Roman"/>
          <w:sz w:val="24"/>
          <w:szCs w:val="24"/>
        </w:rPr>
      </w:pPr>
    </w:p>
    <w:p w14:paraId="7E5AA2FF" w14:textId="77777777" w:rsidR="006E3FFC" w:rsidRDefault="00395C2C" w:rsidP="006E3FFC">
      <w:pPr>
        <w:pStyle w:val="ListParagraph"/>
        <w:numPr>
          <w:ilvl w:val="0"/>
          <w:numId w:val="1"/>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W</w:t>
      </w:r>
      <w:r w:rsidR="005C2901">
        <w:rPr>
          <w:rFonts w:ascii="Times New Roman" w:hAnsi="Times New Roman" w:cs="Times New Roman"/>
          <w:sz w:val="24"/>
          <w:szCs w:val="24"/>
        </w:rPr>
        <w:t>ritten notice will no</w:t>
      </w:r>
      <w:r w:rsidR="00107B85">
        <w:rPr>
          <w:rFonts w:ascii="Times New Roman" w:hAnsi="Times New Roman" w:cs="Times New Roman"/>
          <w:sz w:val="24"/>
          <w:szCs w:val="24"/>
        </w:rPr>
        <w:t xml:space="preserve"> longer</w:t>
      </w:r>
      <w:r w:rsidR="005C2901">
        <w:rPr>
          <w:rFonts w:ascii="Times New Roman" w:hAnsi="Times New Roman" w:cs="Times New Roman"/>
          <w:sz w:val="24"/>
          <w:szCs w:val="24"/>
        </w:rPr>
        <w:t xml:space="preserve"> be required in the following circumstances:</w:t>
      </w:r>
    </w:p>
    <w:p w14:paraId="762C072C" w14:textId="77777777" w:rsidR="005C2901" w:rsidRPr="005C2901" w:rsidRDefault="005C2901" w:rsidP="005C2901">
      <w:pPr>
        <w:pStyle w:val="ListParagraph"/>
        <w:rPr>
          <w:rFonts w:ascii="Times New Roman" w:hAnsi="Times New Roman" w:cs="Times New Roman"/>
          <w:sz w:val="24"/>
          <w:szCs w:val="24"/>
        </w:rPr>
      </w:pPr>
    </w:p>
    <w:p w14:paraId="121C0A9D" w14:textId="77777777" w:rsidR="005C2901" w:rsidRDefault="005C2901" w:rsidP="005C2901">
      <w:pPr>
        <w:pStyle w:val="ListParagraph"/>
        <w:numPr>
          <w:ilvl w:val="1"/>
          <w:numId w:val="1"/>
        </w:numPr>
        <w:tabs>
          <w:tab w:val="left" w:pos="993"/>
        </w:tabs>
        <w:spacing w:after="0"/>
        <w:ind w:left="993" w:hanging="426"/>
        <w:rPr>
          <w:rFonts w:ascii="Times New Roman" w:hAnsi="Times New Roman" w:cs="Times New Roman"/>
          <w:sz w:val="24"/>
          <w:szCs w:val="24"/>
        </w:rPr>
      </w:pPr>
      <w:r>
        <w:rPr>
          <w:rFonts w:ascii="Times New Roman" w:hAnsi="Times New Roman" w:cs="Times New Roman"/>
          <w:sz w:val="24"/>
          <w:szCs w:val="24"/>
        </w:rPr>
        <w:t>The ADF member has been sentenced to imprisonment for an offence.</w:t>
      </w:r>
      <w:r w:rsidR="002E5384">
        <w:rPr>
          <w:rFonts w:ascii="Times New Roman" w:hAnsi="Times New Roman" w:cs="Times New Roman"/>
          <w:sz w:val="24"/>
          <w:szCs w:val="24"/>
        </w:rPr>
        <w:t xml:space="preserve"> In this case, the ADF member would have pleaded guilty to or been convicted of an offence </w:t>
      </w:r>
      <w:r w:rsidR="002E5384">
        <w:rPr>
          <w:rFonts w:ascii="Times New Roman" w:hAnsi="Times New Roman" w:cs="Times New Roman"/>
          <w:sz w:val="24"/>
          <w:szCs w:val="24"/>
        </w:rPr>
        <w:lastRenderedPageBreak/>
        <w:t>that is considered serious enough by a court to warrant a sentence of imprisonment. Provision of written notice, and providing 14 days for the member to respond, would be essentially meaningless in these circumstances</w:t>
      </w:r>
      <w:r w:rsidR="00107B85">
        <w:rPr>
          <w:rFonts w:ascii="Times New Roman" w:hAnsi="Times New Roman" w:cs="Times New Roman"/>
          <w:sz w:val="24"/>
          <w:szCs w:val="24"/>
        </w:rPr>
        <w:t xml:space="preserve">. However, a delay of 14 days before terminating an ADF member’s service in these circumstances could cause significant </w:t>
      </w:r>
      <w:r w:rsidR="00D526D9">
        <w:rPr>
          <w:rFonts w:ascii="Times New Roman" w:hAnsi="Times New Roman" w:cs="Times New Roman"/>
          <w:sz w:val="24"/>
          <w:szCs w:val="24"/>
        </w:rPr>
        <w:t xml:space="preserve">damage to ADF members’ morale and to the ADF’s reputation. </w:t>
      </w:r>
    </w:p>
    <w:p w14:paraId="58CFE49A" w14:textId="77777777" w:rsidR="005C2901" w:rsidRDefault="005C2901" w:rsidP="005C2901">
      <w:pPr>
        <w:pStyle w:val="ListParagraph"/>
        <w:tabs>
          <w:tab w:val="left" w:pos="993"/>
        </w:tabs>
        <w:spacing w:after="0"/>
        <w:ind w:left="993"/>
        <w:rPr>
          <w:rFonts w:ascii="Times New Roman" w:hAnsi="Times New Roman" w:cs="Times New Roman"/>
          <w:sz w:val="24"/>
          <w:szCs w:val="24"/>
        </w:rPr>
      </w:pPr>
    </w:p>
    <w:p w14:paraId="3A81D14C" w14:textId="78E03613" w:rsidR="005C2901" w:rsidRDefault="005C2901" w:rsidP="005C2901">
      <w:pPr>
        <w:pStyle w:val="ListParagraph"/>
        <w:numPr>
          <w:ilvl w:val="1"/>
          <w:numId w:val="1"/>
        </w:numPr>
        <w:tabs>
          <w:tab w:val="left" w:pos="993"/>
        </w:tabs>
        <w:spacing w:after="0"/>
        <w:ind w:left="993" w:hanging="426"/>
        <w:rPr>
          <w:rFonts w:ascii="Times New Roman" w:hAnsi="Times New Roman" w:cs="Times New Roman"/>
          <w:sz w:val="24"/>
          <w:szCs w:val="24"/>
        </w:rPr>
      </w:pPr>
      <w:r>
        <w:rPr>
          <w:rFonts w:ascii="Times New Roman" w:hAnsi="Times New Roman" w:cs="Times New Roman"/>
          <w:sz w:val="24"/>
          <w:szCs w:val="24"/>
        </w:rPr>
        <w:t>The A</w:t>
      </w:r>
      <w:r w:rsidR="00107B85">
        <w:rPr>
          <w:rFonts w:ascii="Times New Roman" w:hAnsi="Times New Roman" w:cs="Times New Roman"/>
          <w:sz w:val="24"/>
          <w:szCs w:val="24"/>
        </w:rPr>
        <w:t>DF</w:t>
      </w:r>
      <w:r>
        <w:rPr>
          <w:rFonts w:ascii="Times New Roman" w:hAnsi="Times New Roman" w:cs="Times New Roman"/>
          <w:sz w:val="24"/>
          <w:szCs w:val="24"/>
        </w:rPr>
        <w:t xml:space="preserve"> member has pleaded guilty to, or been convicted of, an offence</w:t>
      </w:r>
      <w:r w:rsidR="00867B6C">
        <w:rPr>
          <w:rFonts w:ascii="Times New Roman" w:hAnsi="Times New Roman" w:cs="Times New Roman"/>
          <w:sz w:val="24"/>
          <w:szCs w:val="24"/>
        </w:rPr>
        <w:t>,</w:t>
      </w:r>
      <w:r>
        <w:rPr>
          <w:rFonts w:ascii="Times New Roman" w:hAnsi="Times New Roman" w:cs="Times New Roman"/>
          <w:sz w:val="24"/>
          <w:szCs w:val="24"/>
        </w:rPr>
        <w:t xml:space="preserve"> and </w:t>
      </w:r>
      <w:r w:rsidR="002E5384">
        <w:rPr>
          <w:rFonts w:ascii="Times New Roman" w:hAnsi="Times New Roman" w:cs="Times New Roman"/>
          <w:sz w:val="24"/>
          <w:szCs w:val="24"/>
        </w:rPr>
        <w:t xml:space="preserve">the Chief of the Defence Force </w:t>
      </w:r>
      <w:r w:rsidR="00867B6C">
        <w:rPr>
          <w:rFonts w:ascii="Times New Roman" w:hAnsi="Times New Roman" w:cs="Times New Roman"/>
          <w:sz w:val="24"/>
          <w:szCs w:val="24"/>
        </w:rPr>
        <w:t xml:space="preserve">(CDF) </w:t>
      </w:r>
      <w:r w:rsidR="002E5384">
        <w:rPr>
          <w:rFonts w:ascii="Times New Roman" w:hAnsi="Times New Roman" w:cs="Times New Roman"/>
          <w:sz w:val="24"/>
          <w:szCs w:val="24"/>
        </w:rPr>
        <w:t>or a Service Chief is satisfied that it is not in the best interests of the Defence Force for notice to be given to the member.</w:t>
      </w:r>
      <w:r w:rsidR="00107B85">
        <w:rPr>
          <w:rFonts w:ascii="Times New Roman" w:hAnsi="Times New Roman" w:cs="Times New Roman"/>
          <w:sz w:val="24"/>
          <w:szCs w:val="24"/>
        </w:rPr>
        <w:t xml:space="preserve"> </w:t>
      </w:r>
      <w:r w:rsidR="00867B6C">
        <w:rPr>
          <w:rFonts w:ascii="Times New Roman" w:hAnsi="Times New Roman" w:cs="Times New Roman"/>
          <w:sz w:val="24"/>
          <w:szCs w:val="24"/>
        </w:rPr>
        <w:t>An example of when this circumstance might be relevant is when an ADF member has been convicted of an offence but there is a delay before the sentencing hearing. In rare cases, the nature of the offence or the circumstances of the offending may lead to an assessment that a 14 day delay before terminating the ADF member’s service would not be in the interests of the ADF. This assessment can only be made personally by the CDF or a Service Chief delegated by the CDF</w:t>
      </w:r>
      <w:r w:rsidR="00D76F4B">
        <w:rPr>
          <w:rFonts w:ascii="Times New Roman" w:hAnsi="Times New Roman" w:cs="Times New Roman"/>
          <w:sz w:val="24"/>
          <w:szCs w:val="24"/>
        </w:rPr>
        <w:t xml:space="preserve">. It is expected </w:t>
      </w:r>
      <w:r w:rsidR="00D526D9">
        <w:rPr>
          <w:rFonts w:ascii="Times New Roman" w:hAnsi="Times New Roman" w:cs="Times New Roman"/>
          <w:sz w:val="24"/>
          <w:szCs w:val="24"/>
        </w:rPr>
        <w:t>termination of an ADF member’s service without notice would in these circumstances be rare.</w:t>
      </w:r>
      <w:r w:rsidR="00867B6C">
        <w:rPr>
          <w:rFonts w:ascii="Times New Roman" w:hAnsi="Times New Roman" w:cs="Times New Roman"/>
          <w:sz w:val="24"/>
          <w:szCs w:val="24"/>
        </w:rPr>
        <w:t xml:space="preserve">  </w:t>
      </w:r>
    </w:p>
    <w:p w14:paraId="214712EC" w14:textId="77777777" w:rsidR="00022B77" w:rsidRPr="00022B77" w:rsidRDefault="00022B77" w:rsidP="00022B77">
      <w:pPr>
        <w:pStyle w:val="ListParagraph"/>
        <w:rPr>
          <w:rFonts w:ascii="Times New Roman" w:hAnsi="Times New Roman" w:cs="Times New Roman"/>
          <w:sz w:val="24"/>
          <w:szCs w:val="24"/>
        </w:rPr>
      </w:pPr>
    </w:p>
    <w:p w14:paraId="3EADB80F" w14:textId="77777777" w:rsidR="00464E52" w:rsidRDefault="00D76F4B" w:rsidP="006E3FFC">
      <w:pPr>
        <w:pStyle w:val="ListParagraph"/>
        <w:numPr>
          <w:ilvl w:val="0"/>
          <w:numId w:val="1"/>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 xml:space="preserve">The Amending Regulations also re-structure section 24 </w:t>
      </w:r>
      <w:r w:rsidR="00D526D9">
        <w:rPr>
          <w:rFonts w:ascii="Times New Roman" w:hAnsi="Times New Roman" w:cs="Times New Roman"/>
          <w:sz w:val="24"/>
          <w:szCs w:val="24"/>
        </w:rPr>
        <w:t>and the grounds for termination</w:t>
      </w:r>
      <w:r>
        <w:rPr>
          <w:rFonts w:ascii="Times New Roman" w:hAnsi="Times New Roman" w:cs="Times New Roman"/>
          <w:sz w:val="24"/>
          <w:szCs w:val="24"/>
        </w:rPr>
        <w:t xml:space="preserve">, to ensure that </w:t>
      </w:r>
      <w:r w:rsidR="00D526D9">
        <w:rPr>
          <w:rFonts w:ascii="Times New Roman" w:hAnsi="Times New Roman" w:cs="Times New Roman"/>
          <w:sz w:val="24"/>
          <w:szCs w:val="24"/>
        </w:rPr>
        <w:t>the Regulation</w:t>
      </w:r>
      <w:r>
        <w:rPr>
          <w:rFonts w:ascii="Times New Roman" w:hAnsi="Times New Roman" w:cs="Times New Roman"/>
          <w:sz w:val="24"/>
          <w:szCs w:val="24"/>
        </w:rPr>
        <w:t xml:space="preserve"> is completely clear when written notice is and is not required before making a decision to terminate a member’s service.</w:t>
      </w:r>
      <w:r w:rsidR="003806D8">
        <w:rPr>
          <w:rFonts w:ascii="Times New Roman" w:hAnsi="Times New Roman" w:cs="Times New Roman"/>
          <w:sz w:val="24"/>
          <w:szCs w:val="24"/>
        </w:rPr>
        <w:t xml:space="preserve"> There is no substantive change to the available grounds for termination.</w:t>
      </w:r>
    </w:p>
    <w:p w14:paraId="297AE680" w14:textId="77777777" w:rsidR="00D76F4B" w:rsidRDefault="00D76F4B" w:rsidP="00D76F4B">
      <w:pPr>
        <w:tabs>
          <w:tab w:val="left" w:pos="567"/>
        </w:tabs>
        <w:spacing w:after="0"/>
        <w:rPr>
          <w:rFonts w:ascii="Times New Roman" w:hAnsi="Times New Roman" w:cs="Times New Roman"/>
          <w:sz w:val="24"/>
          <w:szCs w:val="24"/>
        </w:rPr>
      </w:pPr>
    </w:p>
    <w:p w14:paraId="6AE9882D" w14:textId="26722B0F" w:rsidR="00D76F4B" w:rsidRDefault="00D76F4B" w:rsidP="00D76F4B">
      <w:pPr>
        <w:tabs>
          <w:tab w:val="left" w:pos="567"/>
        </w:tabs>
        <w:spacing w:after="0"/>
        <w:rPr>
          <w:rFonts w:ascii="Times New Roman" w:hAnsi="Times New Roman" w:cs="Times New Roman"/>
          <w:b/>
          <w:sz w:val="24"/>
          <w:szCs w:val="24"/>
        </w:rPr>
      </w:pPr>
      <w:r w:rsidRPr="00D76F4B">
        <w:rPr>
          <w:rFonts w:ascii="Times New Roman" w:hAnsi="Times New Roman" w:cs="Times New Roman"/>
          <w:b/>
          <w:sz w:val="24"/>
          <w:szCs w:val="24"/>
        </w:rPr>
        <w:t xml:space="preserve">Authority for </w:t>
      </w:r>
      <w:r>
        <w:rPr>
          <w:rFonts w:ascii="Times New Roman" w:hAnsi="Times New Roman" w:cs="Times New Roman"/>
          <w:b/>
          <w:sz w:val="24"/>
          <w:szCs w:val="24"/>
        </w:rPr>
        <w:t>Defence Amendment (20</w:t>
      </w:r>
      <w:r w:rsidR="00A77CE1">
        <w:rPr>
          <w:rFonts w:ascii="Times New Roman" w:hAnsi="Times New Roman" w:cs="Times New Roman"/>
          <w:b/>
          <w:sz w:val="24"/>
          <w:szCs w:val="24"/>
        </w:rPr>
        <w:t>20</w:t>
      </w:r>
      <w:r>
        <w:rPr>
          <w:rFonts w:ascii="Times New Roman" w:hAnsi="Times New Roman" w:cs="Times New Roman"/>
          <w:b/>
          <w:sz w:val="24"/>
          <w:szCs w:val="24"/>
        </w:rPr>
        <w:t xml:space="preserve"> Measures No. 1) Regulations 20</w:t>
      </w:r>
      <w:r w:rsidR="00A77CE1">
        <w:rPr>
          <w:rFonts w:ascii="Times New Roman" w:hAnsi="Times New Roman" w:cs="Times New Roman"/>
          <w:b/>
          <w:sz w:val="24"/>
          <w:szCs w:val="24"/>
        </w:rPr>
        <w:t>20</w:t>
      </w:r>
    </w:p>
    <w:p w14:paraId="1C1A11B9" w14:textId="77777777" w:rsidR="00D76F4B" w:rsidRDefault="00D76F4B" w:rsidP="00D76F4B">
      <w:pPr>
        <w:tabs>
          <w:tab w:val="left" w:pos="567"/>
        </w:tabs>
        <w:spacing w:after="0"/>
        <w:rPr>
          <w:rFonts w:ascii="Times New Roman" w:hAnsi="Times New Roman" w:cs="Times New Roman"/>
          <w:b/>
          <w:sz w:val="24"/>
          <w:szCs w:val="24"/>
        </w:rPr>
      </w:pPr>
    </w:p>
    <w:p w14:paraId="2F26A4EC" w14:textId="77777777" w:rsidR="00D76F4B" w:rsidRDefault="00567A97" w:rsidP="00567A97">
      <w:pPr>
        <w:pStyle w:val="ListParagraph"/>
        <w:numPr>
          <w:ilvl w:val="0"/>
          <w:numId w:val="1"/>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Paragraph 124(1)(a) of the Act provides that the Governor-General may make regulations not inconsistent with the Act, prescribing all matters which are required or permitted to be prescribed, or which are necessary or convenient to be prescribed, for securing the good government of the ADF, or for carrying out or giving effect to the Act, and in particular prescribing matters providing for and in relation to the enlistment, appointment, promotion, reduction in rank, retirement and discharge of members of the ADF.</w:t>
      </w:r>
    </w:p>
    <w:p w14:paraId="7891CCD8" w14:textId="77777777" w:rsidR="00567A97" w:rsidRDefault="00567A97" w:rsidP="00D76F4B">
      <w:pPr>
        <w:tabs>
          <w:tab w:val="left" w:pos="567"/>
        </w:tabs>
        <w:spacing w:after="0"/>
        <w:rPr>
          <w:rFonts w:ascii="Times New Roman" w:hAnsi="Times New Roman" w:cs="Times New Roman"/>
          <w:sz w:val="24"/>
          <w:szCs w:val="24"/>
        </w:rPr>
      </w:pPr>
    </w:p>
    <w:p w14:paraId="0C6C75E1" w14:textId="77777777" w:rsidR="00567A97" w:rsidRDefault="00567A97" w:rsidP="00567A97">
      <w:pPr>
        <w:pStyle w:val="ListParagraph"/>
        <w:numPr>
          <w:ilvl w:val="0"/>
          <w:numId w:val="1"/>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Subsection 33(3) of the Acts Interpretation Act 1901 provides that w</w:t>
      </w:r>
      <w:r w:rsidRPr="00567A97">
        <w:rPr>
          <w:rFonts w:ascii="Times New Roman" w:hAnsi="Times New Roman" w:cs="Times New Roman"/>
          <w:sz w:val="24"/>
          <w:szCs w:val="24"/>
        </w:rPr>
        <w:t>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7F2F282" w14:textId="77777777" w:rsidR="00567A97" w:rsidRDefault="00567A97" w:rsidP="00D76F4B">
      <w:pPr>
        <w:tabs>
          <w:tab w:val="left" w:pos="567"/>
        </w:tabs>
        <w:spacing w:after="0"/>
        <w:rPr>
          <w:rFonts w:ascii="Times New Roman" w:hAnsi="Times New Roman" w:cs="Times New Roman"/>
          <w:sz w:val="24"/>
          <w:szCs w:val="24"/>
        </w:rPr>
      </w:pPr>
    </w:p>
    <w:p w14:paraId="7E4E40C9" w14:textId="389923FE" w:rsidR="00567A97" w:rsidRPr="00567A97" w:rsidRDefault="00567A97" w:rsidP="00D76F4B">
      <w:pPr>
        <w:tabs>
          <w:tab w:val="left" w:pos="567"/>
        </w:tabs>
        <w:spacing w:after="0"/>
        <w:rPr>
          <w:rFonts w:ascii="Times New Roman" w:hAnsi="Times New Roman" w:cs="Times New Roman"/>
          <w:b/>
          <w:sz w:val="24"/>
          <w:szCs w:val="24"/>
        </w:rPr>
      </w:pPr>
      <w:r w:rsidRPr="00567A97">
        <w:rPr>
          <w:rFonts w:ascii="Times New Roman" w:hAnsi="Times New Roman" w:cs="Times New Roman"/>
          <w:b/>
          <w:sz w:val="24"/>
          <w:szCs w:val="24"/>
        </w:rPr>
        <w:t xml:space="preserve">Operation of the </w:t>
      </w:r>
      <w:r w:rsidRPr="00567A97">
        <w:rPr>
          <w:rFonts w:ascii="Times New Roman" w:hAnsi="Times New Roman" w:cs="Times New Roman"/>
          <w:b/>
          <w:i/>
          <w:sz w:val="24"/>
          <w:szCs w:val="24"/>
        </w:rPr>
        <w:t>Defence Amendment (20</w:t>
      </w:r>
      <w:r w:rsidR="00A77CE1">
        <w:rPr>
          <w:rFonts w:ascii="Times New Roman" w:hAnsi="Times New Roman" w:cs="Times New Roman"/>
          <w:b/>
          <w:i/>
          <w:sz w:val="24"/>
          <w:szCs w:val="24"/>
        </w:rPr>
        <w:t>20</w:t>
      </w:r>
      <w:r w:rsidRPr="00567A97">
        <w:rPr>
          <w:rFonts w:ascii="Times New Roman" w:hAnsi="Times New Roman" w:cs="Times New Roman"/>
          <w:b/>
          <w:i/>
          <w:sz w:val="24"/>
          <w:szCs w:val="24"/>
        </w:rPr>
        <w:t xml:space="preserve"> Measures No. 1) Regulations 20</w:t>
      </w:r>
      <w:r w:rsidR="00A77CE1">
        <w:rPr>
          <w:rFonts w:ascii="Times New Roman" w:hAnsi="Times New Roman" w:cs="Times New Roman"/>
          <w:b/>
          <w:i/>
          <w:sz w:val="24"/>
          <w:szCs w:val="24"/>
        </w:rPr>
        <w:t>20</w:t>
      </w:r>
    </w:p>
    <w:p w14:paraId="1B185DE0" w14:textId="77777777" w:rsidR="00567A97" w:rsidRDefault="00567A97" w:rsidP="00D76F4B">
      <w:pPr>
        <w:tabs>
          <w:tab w:val="left" w:pos="567"/>
        </w:tabs>
        <w:spacing w:after="0"/>
        <w:rPr>
          <w:rFonts w:ascii="Times New Roman" w:hAnsi="Times New Roman" w:cs="Times New Roman"/>
          <w:sz w:val="24"/>
          <w:szCs w:val="24"/>
        </w:rPr>
      </w:pPr>
    </w:p>
    <w:p w14:paraId="10D621C9" w14:textId="77777777" w:rsidR="00567A97" w:rsidRDefault="00567A97" w:rsidP="00567A97">
      <w:pPr>
        <w:pStyle w:val="ListParagraph"/>
        <w:numPr>
          <w:ilvl w:val="0"/>
          <w:numId w:val="1"/>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Attachment A provides a provision-by-provision description of the Amending Regulations.</w:t>
      </w:r>
    </w:p>
    <w:p w14:paraId="01DAD378" w14:textId="77777777" w:rsidR="00567A97" w:rsidRDefault="00567A97" w:rsidP="00567A97">
      <w:pPr>
        <w:pStyle w:val="ListParagraph"/>
        <w:tabs>
          <w:tab w:val="left" w:pos="567"/>
        </w:tabs>
        <w:spacing w:after="0"/>
        <w:ind w:left="0"/>
        <w:rPr>
          <w:rFonts w:ascii="Times New Roman" w:hAnsi="Times New Roman" w:cs="Times New Roman"/>
          <w:sz w:val="24"/>
          <w:szCs w:val="24"/>
        </w:rPr>
      </w:pPr>
    </w:p>
    <w:p w14:paraId="42EF65F4" w14:textId="77777777" w:rsidR="00477882" w:rsidRDefault="00477882" w:rsidP="00847E8F">
      <w:pPr>
        <w:pStyle w:val="ListParagraph"/>
        <w:keepNext/>
        <w:keepLines/>
        <w:tabs>
          <w:tab w:val="left" w:pos="567"/>
        </w:tabs>
        <w:spacing w:after="0"/>
        <w:ind w:left="0"/>
        <w:rPr>
          <w:rFonts w:ascii="Times New Roman" w:hAnsi="Times New Roman" w:cs="Times New Roman"/>
          <w:b/>
          <w:sz w:val="24"/>
          <w:szCs w:val="24"/>
        </w:rPr>
      </w:pPr>
      <w:r>
        <w:rPr>
          <w:rFonts w:ascii="Times New Roman" w:hAnsi="Times New Roman" w:cs="Times New Roman"/>
          <w:b/>
          <w:sz w:val="24"/>
          <w:szCs w:val="24"/>
        </w:rPr>
        <w:lastRenderedPageBreak/>
        <w:t>Regulatory impact statement</w:t>
      </w:r>
    </w:p>
    <w:p w14:paraId="752726CB" w14:textId="77777777" w:rsidR="00477882" w:rsidRDefault="00477882" w:rsidP="00847E8F">
      <w:pPr>
        <w:pStyle w:val="ListParagraph"/>
        <w:keepNext/>
        <w:keepLines/>
        <w:tabs>
          <w:tab w:val="left" w:pos="567"/>
        </w:tabs>
        <w:spacing w:after="0"/>
        <w:ind w:left="0"/>
        <w:rPr>
          <w:rFonts w:ascii="Times New Roman" w:hAnsi="Times New Roman" w:cs="Times New Roman"/>
          <w:b/>
          <w:sz w:val="24"/>
          <w:szCs w:val="24"/>
        </w:rPr>
      </w:pPr>
    </w:p>
    <w:p w14:paraId="7A0832D4" w14:textId="054BCDE4" w:rsidR="00477882" w:rsidRDefault="00477882" w:rsidP="00847E8F">
      <w:pPr>
        <w:pStyle w:val="ListParagraph"/>
        <w:keepNext/>
        <w:keepLines/>
        <w:numPr>
          <w:ilvl w:val="0"/>
          <w:numId w:val="1"/>
        </w:numPr>
        <w:tabs>
          <w:tab w:val="left" w:pos="567"/>
        </w:tabs>
        <w:spacing w:after="0"/>
        <w:ind w:left="0" w:firstLine="0"/>
        <w:rPr>
          <w:rFonts w:ascii="Times New Roman" w:hAnsi="Times New Roman" w:cs="Times New Roman"/>
          <w:sz w:val="24"/>
          <w:szCs w:val="24"/>
        </w:rPr>
      </w:pPr>
      <w:r w:rsidRPr="00477882">
        <w:rPr>
          <w:rFonts w:ascii="Times New Roman" w:hAnsi="Times New Roman" w:cs="Times New Roman"/>
          <w:sz w:val="24"/>
          <w:szCs w:val="24"/>
        </w:rPr>
        <w:t>The Office of Best Practice Regulation advised that no regulatory impact statement was required as the proposed changes do not appear to have any impact on the business or not-for-profit sectors</w:t>
      </w:r>
      <w:r>
        <w:rPr>
          <w:rFonts w:ascii="Times New Roman" w:hAnsi="Times New Roman" w:cs="Times New Roman"/>
          <w:sz w:val="24"/>
          <w:szCs w:val="24"/>
        </w:rPr>
        <w:t xml:space="preserve"> (reference OBPR ID </w:t>
      </w:r>
      <w:r w:rsidR="00BD17FB">
        <w:rPr>
          <w:rFonts w:ascii="Times New Roman" w:hAnsi="Times New Roman" w:cs="Times New Roman"/>
          <w:sz w:val="24"/>
          <w:szCs w:val="24"/>
        </w:rPr>
        <w:t>25299</w:t>
      </w:r>
      <w:r>
        <w:rPr>
          <w:rFonts w:ascii="Times New Roman" w:hAnsi="Times New Roman" w:cs="Times New Roman"/>
          <w:sz w:val="24"/>
          <w:szCs w:val="24"/>
        </w:rPr>
        <w:t>).</w:t>
      </w:r>
    </w:p>
    <w:p w14:paraId="2792DD3D" w14:textId="77777777" w:rsidR="00477882" w:rsidRPr="00477882" w:rsidRDefault="00477882" w:rsidP="00477882">
      <w:pPr>
        <w:pStyle w:val="ListParagraph"/>
        <w:tabs>
          <w:tab w:val="left" w:pos="567"/>
        </w:tabs>
        <w:spacing w:after="0"/>
        <w:ind w:left="0"/>
        <w:rPr>
          <w:rFonts w:ascii="Times New Roman" w:hAnsi="Times New Roman" w:cs="Times New Roman"/>
          <w:sz w:val="24"/>
          <w:szCs w:val="24"/>
        </w:rPr>
      </w:pPr>
    </w:p>
    <w:p w14:paraId="483E2821" w14:textId="77777777" w:rsidR="00567A97" w:rsidRPr="00567A97" w:rsidRDefault="00567A97" w:rsidP="00567A97">
      <w:pPr>
        <w:pStyle w:val="ListParagraph"/>
        <w:tabs>
          <w:tab w:val="left" w:pos="567"/>
        </w:tabs>
        <w:spacing w:after="0"/>
        <w:ind w:left="0"/>
        <w:rPr>
          <w:rFonts w:ascii="Times New Roman" w:hAnsi="Times New Roman" w:cs="Times New Roman"/>
          <w:b/>
          <w:sz w:val="24"/>
          <w:szCs w:val="24"/>
        </w:rPr>
      </w:pPr>
      <w:r w:rsidRPr="00567A97">
        <w:rPr>
          <w:rFonts w:ascii="Times New Roman" w:hAnsi="Times New Roman" w:cs="Times New Roman"/>
          <w:b/>
          <w:sz w:val="24"/>
          <w:szCs w:val="24"/>
        </w:rPr>
        <w:t>Legislative instrument</w:t>
      </w:r>
    </w:p>
    <w:p w14:paraId="139651F5" w14:textId="77777777" w:rsidR="00567A97" w:rsidRDefault="00567A97" w:rsidP="00567A97">
      <w:pPr>
        <w:pStyle w:val="ListParagraph"/>
        <w:tabs>
          <w:tab w:val="left" w:pos="567"/>
        </w:tabs>
        <w:spacing w:after="0"/>
        <w:ind w:left="0"/>
        <w:rPr>
          <w:rFonts w:ascii="Times New Roman" w:hAnsi="Times New Roman" w:cs="Times New Roman"/>
          <w:sz w:val="24"/>
          <w:szCs w:val="24"/>
        </w:rPr>
      </w:pPr>
    </w:p>
    <w:p w14:paraId="08D2E0ED" w14:textId="77777777" w:rsidR="00567A97" w:rsidRDefault="00567A97" w:rsidP="00567A97">
      <w:pPr>
        <w:pStyle w:val="ListParagraph"/>
        <w:numPr>
          <w:ilvl w:val="0"/>
          <w:numId w:val="1"/>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 xml:space="preserve">The Amending Regulations are a legislative instrument for the purposes of the </w:t>
      </w:r>
      <w:r w:rsidRPr="00567A97">
        <w:rPr>
          <w:rFonts w:ascii="Times New Roman" w:hAnsi="Times New Roman" w:cs="Times New Roman"/>
          <w:i/>
          <w:sz w:val="24"/>
          <w:szCs w:val="24"/>
        </w:rPr>
        <w:t>Legislation Act 2003</w:t>
      </w:r>
      <w:r>
        <w:rPr>
          <w:rFonts w:ascii="Times New Roman" w:hAnsi="Times New Roman" w:cs="Times New Roman"/>
          <w:sz w:val="24"/>
          <w:szCs w:val="24"/>
        </w:rPr>
        <w:t>.</w:t>
      </w:r>
    </w:p>
    <w:p w14:paraId="1D0B8B10" w14:textId="77777777" w:rsidR="00567A97" w:rsidRDefault="00567A97" w:rsidP="00567A97">
      <w:pPr>
        <w:tabs>
          <w:tab w:val="left" w:pos="567"/>
        </w:tabs>
        <w:spacing w:after="0"/>
        <w:rPr>
          <w:rFonts w:ascii="Times New Roman" w:hAnsi="Times New Roman" w:cs="Times New Roman"/>
          <w:sz w:val="24"/>
          <w:szCs w:val="24"/>
        </w:rPr>
      </w:pPr>
    </w:p>
    <w:p w14:paraId="5EE2A9AC" w14:textId="77777777" w:rsidR="00567A97" w:rsidRPr="008A74F5" w:rsidRDefault="00567A97" w:rsidP="00567A97">
      <w:pPr>
        <w:tabs>
          <w:tab w:val="left" w:pos="567"/>
        </w:tabs>
        <w:spacing w:after="0"/>
        <w:rPr>
          <w:rFonts w:ascii="Times New Roman" w:hAnsi="Times New Roman" w:cs="Times New Roman"/>
          <w:b/>
          <w:sz w:val="24"/>
          <w:szCs w:val="24"/>
        </w:rPr>
      </w:pPr>
      <w:r w:rsidRPr="008A74F5">
        <w:rPr>
          <w:rFonts w:ascii="Times New Roman" w:hAnsi="Times New Roman" w:cs="Times New Roman"/>
          <w:b/>
          <w:sz w:val="24"/>
          <w:szCs w:val="24"/>
        </w:rPr>
        <w:t>Commencement</w:t>
      </w:r>
    </w:p>
    <w:p w14:paraId="3894028D" w14:textId="77777777" w:rsidR="00567A97" w:rsidRDefault="00567A97" w:rsidP="00567A97">
      <w:pPr>
        <w:tabs>
          <w:tab w:val="left" w:pos="567"/>
        </w:tabs>
        <w:spacing w:after="0"/>
        <w:rPr>
          <w:rFonts w:ascii="Times New Roman" w:hAnsi="Times New Roman" w:cs="Times New Roman"/>
          <w:sz w:val="24"/>
          <w:szCs w:val="24"/>
        </w:rPr>
      </w:pPr>
    </w:p>
    <w:p w14:paraId="2132B79D" w14:textId="77777777" w:rsidR="00567A97" w:rsidRDefault="00477882" w:rsidP="00567A97">
      <w:pPr>
        <w:pStyle w:val="ListParagraph"/>
        <w:numPr>
          <w:ilvl w:val="0"/>
          <w:numId w:val="1"/>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The Amending Regulations commence on the day after the instrument is registered.</w:t>
      </w:r>
    </w:p>
    <w:p w14:paraId="31BAB417" w14:textId="77777777" w:rsidR="008A74F5" w:rsidRDefault="008A74F5" w:rsidP="008A74F5">
      <w:pPr>
        <w:tabs>
          <w:tab w:val="left" w:pos="567"/>
        </w:tabs>
        <w:spacing w:after="0"/>
        <w:rPr>
          <w:rFonts w:ascii="Times New Roman" w:hAnsi="Times New Roman" w:cs="Times New Roman"/>
          <w:sz w:val="24"/>
          <w:szCs w:val="24"/>
        </w:rPr>
      </w:pPr>
    </w:p>
    <w:p w14:paraId="629B96B8" w14:textId="77777777" w:rsidR="008A74F5" w:rsidRPr="008A74F5" w:rsidRDefault="008A74F5" w:rsidP="008A74F5">
      <w:pPr>
        <w:tabs>
          <w:tab w:val="left" w:pos="567"/>
        </w:tabs>
        <w:spacing w:after="0"/>
        <w:rPr>
          <w:rFonts w:ascii="Times New Roman" w:hAnsi="Times New Roman" w:cs="Times New Roman"/>
          <w:b/>
          <w:sz w:val="24"/>
          <w:szCs w:val="24"/>
        </w:rPr>
      </w:pPr>
      <w:r w:rsidRPr="008A74F5">
        <w:rPr>
          <w:rFonts w:ascii="Times New Roman" w:hAnsi="Times New Roman" w:cs="Times New Roman"/>
          <w:b/>
          <w:sz w:val="24"/>
          <w:szCs w:val="24"/>
        </w:rPr>
        <w:t>Consultation</w:t>
      </w:r>
    </w:p>
    <w:p w14:paraId="05F1EBD0" w14:textId="77777777" w:rsidR="008A74F5" w:rsidRDefault="008A74F5" w:rsidP="008A74F5">
      <w:pPr>
        <w:tabs>
          <w:tab w:val="left" w:pos="567"/>
        </w:tabs>
        <w:spacing w:after="0"/>
        <w:rPr>
          <w:rFonts w:ascii="Times New Roman" w:hAnsi="Times New Roman" w:cs="Times New Roman"/>
          <w:sz w:val="24"/>
          <w:szCs w:val="24"/>
        </w:rPr>
      </w:pPr>
    </w:p>
    <w:p w14:paraId="2CF02B4F" w14:textId="77777777" w:rsidR="008A74F5" w:rsidRPr="001F7586" w:rsidRDefault="008A74F5" w:rsidP="008A74F5">
      <w:pPr>
        <w:pStyle w:val="ListParagraph"/>
        <w:numPr>
          <w:ilvl w:val="0"/>
          <w:numId w:val="1"/>
        </w:numPr>
        <w:tabs>
          <w:tab w:val="left" w:pos="567"/>
        </w:tabs>
        <w:spacing w:after="0"/>
        <w:ind w:left="0" w:firstLine="0"/>
        <w:rPr>
          <w:rFonts w:ascii="Times New Roman" w:hAnsi="Times New Roman" w:cs="Times New Roman"/>
          <w:sz w:val="24"/>
          <w:szCs w:val="24"/>
        </w:rPr>
      </w:pPr>
      <w:r w:rsidRPr="001F7586">
        <w:rPr>
          <w:rFonts w:ascii="Times New Roman" w:hAnsi="Times New Roman" w:cs="Times New Roman"/>
          <w:sz w:val="24"/>
          <w:szCs w:val="24"/>
        </w:rPr>
        <w:t xml:space="preserve">There was extensive consultation in relation to the Amending Regulations within Defence. As the Amending Regulations only make a small change and will affect only a very small sub-set of ADF members, it was not considered necessary to consult further outside of Defence. </w:t>
      </w:r>
    </w:p>
    <w:p w14:paraId="14BA37A4" w14:textId="77777777" w:rsidR="008A74F5" w:rsidRDefault="008A74F5" w:rsidP="008A74F5">
      <w:pPr>
        <w:pStyle w:val="ListParagraph"/>
        <w:tabs>
          <w:tab w:val="left" w:pos="567"/>
        </w:tabs>
        <w:spacing w:after="0"/>
        <w:ind w:left="0"/>
        <w:rPr>
          <w:rFonts w:ascii="Times New Roman" w:hAnsi="Times New Roman" w:cs="Times New Roman"/>
          <w:sz w:val="24"/>
          <w:szCs w:val="24"/>
        </w:rPr>
      </w:pPr>
    </w:p>
    <w:p w14:paraId="46F53C0F" w14:textId="77777777" w:rsidR="008A74F5" w:rsidRDefault="008A74F5" w:rsidP="008A74F5">
      <w:pPr>
        <w:pStyle w:val="ListParagraph"/>
        <w:numPr>
          <w:ilvl w:val="0"/>
          <w:numId w:val="1"/>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The Amending Regulations were drafted by the Office of Parliamentary Counsel.</w:t>
      </w:r>
    </w:p>
    <w:p w14:paraId="490DEF1B" w14:textId="77777777" w:rsidR="008A74F5" w:rsidRPr="008A74F5" w:rsidRDefault="008A74F5" w:rsidP="008A74F5">
      <w:pPr>
        <w:pStyle w:val="ListParagraph"/>
        <w:rPr>
          <w:rFonts w:ascii="Times New Roman" w:hAnsi="Times New Roman" w:cs="Times New Roman"/>
          <w:sz w:val="24"/>
          <w:szCs w:val="24"/>
        </w:rPr>
      </w:pPr>
    </w:p>
    <w:p w14:paraId="369AA89D" w14:textId="77777777" w:rsidR="008A74F5" w:rsidRPr="008A74F5" w:rsidRDefault="008A74F5" w:rsidP="008A74F5">
      <w:pPr>
        <w:pStyle w:val="ListParagraph"/>
        <w:tabs>
          <w:tab w:val="left" w:pos="567"/>
        </w:tabs>
        <w:spacing w:after="0"/>
        <w:ind w:left="0"/>
        <w:rPr>
          <w:rFonts w:ascii="Times New Roman" w:hAnsi="Times New Roman" w:cs="Times New Roman"/>
          <w:b/>
          <w:sz w:val="24"/>
          <w:szCs w:val="24"/>
        </w:rPr>
      </w:pPr>
      <w:r w:rsidRPr="008A74F5">
        <w:rPr>
          <w:rFonts w:ascii="Times New Roman" w:hAnsi="Times New Roman" w:cs="Times New Roman"/>
          <w:b/>
          <w:sz w:val="24"/>
          <w:szCs w:val="24"/>
        </w:rPr>
        <w:t>Attachments</w:t>
      </w:r>
    </w:p>
    <w:p w14:paraId="664365A6" w14:textId="77777777" w:rsidR="008A74F5" w:rsidRDefault="008A74F5" w:rsidP="008A74F5">
      <w:pPr>
        <w:pStyle w:val="ListParagraph"/>
        <w:tabs>
          <w:tab w:val="left" w:pos="567"/>
        </w:tabs>
        <w:spacing w:after="0"/>
        <w:ind w:left="0"/>
        <w:rPr>
          <w:rFonts w:ascii="Times New Roman" w:hAnsi="Times New Roman" w:cs="Times New Roman"/>
          <w:sz w:val="24"/>
          <w:szCs w:val="24"/>
        </w:rPr>
      </w:pPr>
    </w:p>
    <w:p w14:paraId="429F909C" w14:textId="240CCD7D" w:rsidR="008A74F5" w:rsidRDefault="008A74F5" w:rsidP="008A74F5">
      <w:pPr>
        <w:pStyle w:val="ListParagraph"/>
        <w:tabs>
          <w:tab w:val="left" w:pos="567"/>
        </w:tabs>
        <w:spacing w:after="0"/>
        <w:ind w:left="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Provisions in Defence Amendment (20</w:t>
      </w:r>
      <w:r w:rsidR="00A77CE1">
        <w:rPr>
          <w:rFonts w:ascii="Times New Roman" w:hAnsi="Times New Roman" w:cs="Times New Roman"/>
          <w:sz w:val="24"/>
          <w:szCs w:val="24"/>
        </w:rPr>
        <w:t>20</w:t>
      </w:r>
      <w:r>
        <w:rPr>
          <w:rFonts w:ascii="Times New Roman" w:hAnsi="Times New Roman" w:cs="Times New Roman"/>
          <w:sz w:val="24"/>
          <w:szCs w:val="24"/>
        </w:rPr>
        <w:t xml:space="preserve"> Measures No. 1) Regulations 20</w:t>
      </w:r>
      <w:r w:rsidR="00A77CE1">
        <w:rPr>
          <w:rFonts w:ascii="Times New Roman" w:hAnsi="Times New Roman" w:cs="Times New Roman"/>
          <w:sz w:val="24"/>
          <w:szCs w:val="24"/>
        </w:rPr>
        <w:t>20</w:t>
      </w:r>
    </w:p>
    <w:p w14:paraId="7E7B7B72" w14:textId="77777777" w:rsidR="008A74F5" w:rsidRDefault="008A74F5" w:rsidP="008A74F5">
      <w:pPr>
        <w:pStyle w:val="ListParagraph"/>
        <w:tabs>
          <w:tab w:val="left" w:pos="567"/>
        </w:tabs>
        <w:spacing w:after="0"/>
        <w:ind w:left="0"/>
        <w:rPr>
          <w:rFonts w:ascii="Times New Roman" w:hAnsi="Times New Roman" w:cs="Times New Roman"/>
          <w:sz w:val="24"/>
          <w:szCs w:val="24"/>
        </w:rPr>
      </w:pPr>
    </w:p>
    <w:p w14:paraId="623BCF41" w14:textId="77777777" w:rsidR="008A74F5" w:rsidRDefault="008A74F5">
      <w:pPr>
        <w:rPr>
          <w:rFonts w:ascii="Times New Roman" w:hAnsi="Times New Roman" w:cs="Times New Roman"/>
          <w:sz w:val="24"/>
          <w:szCs w:val="24"/>
        </w:rPr>
      </w:pPr>
      <w:r>
        <w:rPr>
          <w:rFonts w:ascii="Times New Roman" w:hAnsi="Times New Roman" w:cs="Times New Roman"/>
          <w:sz w:val="24"/>
          <w:szCs w:val="24"/>
        </w:rPr>
        <w:br w:type="page"/>
      </w:r>
    </w:p>
    <w:p w14:paraId="2B8AE0C8" w14:textId="77777777" w:rsidR="008A74F5" w:rsidRDefault="008A74F5" w:rsidP="008A74F5">
      <w:pPr>
        <w:pStyle w:val="ListParagraph"/>
        <w:tabs>
          <w:tab w:val="left" w:pos="567"/>
        </w:tabs>
        <w:spacing w:after="0"/>
        <w:ind w:left="0"/>
        <w:jc w:val="center"/>
        <w:rPr>
          <w:rFonts w:ascii="Times New Roman" w:hAnsi="Times New Roman" w:cs="Times New Roman"/>
          <w:b/>
          <w:sz w:val="24"/>
          <w:szCs w:val="24"/>
        </w:rPr>
      </w:pPr>
      <w:r>
        <w:rPr>
          <w:rFonts w:ascii="Times New Roman" w:hAnsi="Times New Roman" w:cs="Times New Roman"/>
          <w:b/>
          <w:sz w:val="24"/>
          <w:szCs w:val="24"/>
        </w:rPr>
        <w:lastRenderedPageBreak/>
        <w:t>STATEMENT OF COMPATIBILITY WITH HUMAN RIGHTS</w:t>
      </w:r>
    </w:p>
    <w:p w14:paraId="09DE2F47" w14:textId="77777777" w:rsidR="008A74F5" w:rsidRDefault="008A74F5" w:rsidP="008A74F5">
      <w:pPr>
        <w:pStyle w:val="ListParagraph"/>
        <w:tabs>
          <w:tab w:val="left" w:pos="567"/>
        </w:tabs>
        <w:spacing w:after="0"/>
        <w:ind w:left="0"/>
        <w:jc w:val="center"/>
        <w:rPr>
          <w:rFonts w:ascii="Times New Roman" w:hAnsi="Times New Roman" w:cs="Times New Roman"/>
          <w:b/>
          <w:sz w:val="24"/>
          <w:szCs w:val="24"/>
        </w:rPr>
      </w:pPr>
    </w:p>
    <w:p w14:paraId="2BC8695F" w14:textId="77777777" w:rsidR="008A74F5" w:rsidRDefault="008A74F5" w:rsidP="008A74F5">
      <w:pPr>
        <w:pStyle w:val="ListParagraph"/>
        <w:tabs>
          <w:tab w:val="left" w:pos="567"/>
        </w:tabs>
        <w:spacing w:after="0"/>
        <w:ind w:left="0"/>
        <w:jc w:val="center"/>
        <w:rPr>
          <w:rFonts w:ascii="Times New Roman" w:hAnsi="Times New Roman" w:cs="Times New Roman"/>
          <w:sz w:val="24"/>
          <w:szCs w:val="24"/>
        </w:rPr>
      </w:pPr>
      <w:r>
        <w:rPr>
          <w:rFonts w:ascii="Times New Roman" w:hAnsi="Times New Roman" w:cs="Times New Roman"/>
          <w:sz w:val="24"/>
          <w:szCs w:val="24"/>
        </w:rPr>
        <w:t xml:space="preserve">Prepared in accordance with Part 3 of the </w:t>
      </w:r>
      <w:r w:rsidRPr="008A74F5">
        <w:rPr>
          <w:rFonts w:ascii="Times New Roman" w:hAnsi="Times New Roman" w:cs="Times New Roman"/>
          <w:i/>
          <w:sz w:val="24"/>
          <w:szCs w:val="24"/>
        </w:rPr>
        <w:t>Human Rights (Parliamentary Scrutiny) Act 2011</w:t>
      </w:r>
    </w:p>
    <w:p w14:paraId="427F2C4A" w14:textId="77777777" w:rsidR="008A74F5" w:rsidRDefault="008A74F5" w:rsidP="008A74F5">
      <w:pPr>
        <w:pStyle w:val="ListParagraph"/>
        <w:tabs>
          <w:tab w:val="left" w:pos="567"/>
        </w:tabs>
        <w:spacing w:after="0"/>
        <w:ind w:left="0"/>
        <w:jc w:val="center"/>
        <w:rPr>
          <w:rFonts w:ascii="Times New Roman" w:hAnsi="Times New Roman" w:cs="Times New Roman"/>
          <w:sz w:val="24"/>
          <w:szCs w:val="24"/>
        </w:rPr>
      </w:pPr>
    </w:p>
    <w:p w14:paraId="23D2F75D" w14:textId="77777777" w:rsidR="008A74F5" w:rsidRDefault="008A74F5" w:rsidP="008A74F5">
      <w:pPr>
        <w:pStyle w:val="ListParagraph"/>
        <w:tabs>
          <w:tab w:val="left" w:pos="567"/>
        </w:tabs>
        <w:spacing w:after="0"/>
        <w:ind w:left="0"/>
        <w:jc w:val="center"/>
        <w:rPr>
          <w:rFonts w:ascii="Times New Roman" w:hAnsi="Times New Roman" w:cs="Times New Roman"/>
          <w:sz w:val="24"/>
          <w:szCs w:val="24"/>
        </w:rPr>
      </w:pPr>
    </w:p>
    <w:p w14:paraId="6F687483" w14:textId="58D74D26" w:rsidR="008A74F5" w:rsidRPr="008A74F5" w:rsidRDefault="008A74F5" w:rsidP="008A74F5">
      <w:pPr>
        <w:pStyle w:val="ListParagraph"/>
        <w:tabs>
          <w:tab w:val="left" w:pos="567"/>
        </w:tabs>
        <w:spacing w:after="0"/>
        <w:ind w:left="0"/>
        <w:jc w:val="center"/>
        <w:rPr>
          <w:rFonts w:ascii="Times New Roman" w:hAnsi="Times New Roman" w:cs="Times New Roman"/>
          <w:b/>
          <w:sz w:val="24"/>
          <w:szCs w:val="24"/>
          <w:u w:val="single"/>
        </w:rPr>
      </w:pPr>
      <w:r w:rsidRPr="008A74F5">
        <w:rPr>
          <w:rFonts w:ascii="Times New Roman" w:hAnsi="Times New Roman" w:cs="Times New Roman"/>
          <w:b/>
          <w:sz w:val="24"/>
          <w:szCs w:val="24"/>
          <w:u w:val="single"/>
        </w:rPr>
        <w:t>Defence Amendment (20</w:t>
      </w:r>
      <w:r w:rsidR="00A77CE1">
        <w:rPr>
          <w:rFonts w:ascii="Times New Roman" w:hAnsi="Times New Roman" w:cs="Times New Roman"/>
          <w:b/>
          <w:sz w:val="24"/>
          <w:szCs w:val="24"/>
          <w:u w:val="single"/>
        </w:rPr>
        <w:t>20</w:t>
      </w:r>
      <w:r w:rsidRPr="008A74F5">
        <w:rPr>
          <w:rFonts w:ascii="Times New Roman" w:hAnsi="Times New Roman" w:cs="Times New Roman"/>
          <w:b/>
          <w:sz w:val="24"/>
          <w:szCs w:val="24"/>
          <w:u w:val="single"/>
        </w:rPr>
        <w:t xml:space="preserve"> Measures No. 1) Regulations 20</w:t>
      </w:r>
      <w:r w:rsidR="00A77CE1">
        <w:rPr>
          <w:rFonts w:ascii="Times New Roman" w:hAnsi="Times New Roman" w:cs="Times New Roman"/>
          <w:b/>
          <w:sz w:val="24"/>
          <w:szCs w:val="24"/>
          <w:u w:val="single"/>
        </w:rPr>
        <w:t>20</w:t>
      </w:r>
    </w:p>
    <w:p w14:paraId="154ABB9B" w14:textId="77777777" w:rsidR="008A74F5" w:rsidRDefault="008A74F5" w:rsidP="008A74F5">
      <w:pPr>
        <w:pStyle w:val="ListParagraph"/>
        <w:tabs>
          <w:tab w:val="left" w:pos="567"/>
        </w:tabs>
        <w:spacing w:after="0"/>
        <w:ind w:left="0"/>
        <w:jc w:val="center"/>
        <w:rPr>
          <w:rFonts w:ascii="Times New Roman" w:hAnsi="Times New Roman" w:cs="Times New Roman"/>
          <w:sz w:val="24"/>
          <w:szCs w:val="24"/>
        </w:rPr>
      </w:pPr>
    </w:p>
    <w:p w14:paraId="6F0BE014" w14:textId="77777777" w:rsidR="008A74F5" w:rsidRDefault="008A74F5" w:rsidP="001E6B6A">
      <w:pPr>
        <w:pStyle w:val="ListParagraph"/>
        <w:numPr>
          <w:ilvl w:val="0"/>
          <w:numId w:val="2"/>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 xml:space="preserve">These Regulations are compatible with the human rights and freedoms recognised or declared in the international instruments listed in </w:t>
      </w:r>
      <w:r w:rsidR="001E6B6A">
        <w:rPr>
          <w:rFonts w:ascii="Times New Roman" w:hAnsi="Times New Roman" w:cs="Times New Roman"/>
          <w:sz w:val="24"/>
          <w:szCs w:val="24"/>
        </w:rPr>
        <w:t xml:space="preserve">section 3 of the </w:t>
      </w:r>
      <w:r w:rsidR="001E6B6A" w:rsidRPr="001E6B6A">
        <w:rPr>
          <w:rFonts w:ascii="Times New Roman" w:hAnsi="Times New Roman" w:cs="Times New Roman"/>
          <w:i/>
          <w:sz w:val="24"/>
          <w:szCs w:val="24"/>
        </w:rPr>
        <w:t>Human Rights (Parliamentary Scrutiny) Act 2011</w:t>
      </w:r>
      <w:r w:rsidR="001E6B6A">
        <w:rPr>
          <w:rFonts w:ascii="Times New Roman" w:hAnsi="Times New Roman" w:cs="Times New Roman"/>
          <w:sz w:val="24"/>
          <w:szCs w:val="24"/>
        </w:rPr>
        <w:t>.</w:t>
      </w:r>
    </w:p>
    <w:p w14:paraId="35A05701" w14:textId="77777777" w:rsidR="001E6B6A" w:rsidRDefault="001E6B6A" w:rsidP="001E6B6A">
      <w:pPr>
        <w:pStyle w:val="ListParagraph"/>
        <w:tabs>
          <w:tab w:val="left" w:pos="567"/>
        </w:tabs>
        <w:spacing w:after="0"/>
        <w:ind w:left="0"/>
        <w:rPr>
          <w:rFonts w:ascii="Times New Roman" w:hAnsi="Times New Roman" w:cs="Times New Roman"/>
          <w:sz w:val="24"/>
          <w:szCs w:val="24"/>
        </w:rPr>
      </w:pPr>
    </w:p>
    <w:p w14:paraId="63367F07" w14:textId="77777777" w:rsidR="001E6B6A" w:rsidRPr="001E6B6A" w:rsidRDefault="001E6B6A" w:rsidP="001E6B6A">
      <w:pPr>
        <w:pStyle w:val="ListParagraph"/>
        <w:tabs>
          <w:tab w:val="left" w:pos="567"/>
        </w:tabs>
        <w:spacing w:after="0"/>
        <w:ind w:left="0"/>
        <w:rPr>
          <w:rFonts w:ascii="Times New Roman" w:hAnsi="Times New Roman" w:cs="Times New Roman"/>
          <w:b/>
          <w:sz w:val="24"/>
          <w:szCs w:val="24"/>
        </w:rPr>
      </w:pPr>
      <w:r w:rsidRPr="001E6B6A">
        <w:rPr>
          <w:rFonts w:ascii="Times New Roman" w:hAnsi="Times New Roman" w:cs="Times New Roman"/>
          <w:b/>
          <w:sz w:val="24"/>
          <w:szCs w:val="24"/>
        </w:rPr>
        <w:t>Overview of the Regulations</w:t>
      </w:r>
    </w:p>
    <w:p w14:paraId="3CB41C31" w14:textId="77777777" w:rsidR="001E6B6A" w:rsidRDefault="001E6B6A" w:rsidP="001E6B6A">
      <w:pPr>
        <w:pStyle w:val="ListParagraph"/>
        <w:tabs>
          <w:tab w:val="left" w:pos="567"/>
        </w:tabs>
        <w:spacing w:after="0"/>
        <w:ind w:left="0"/>
        <w:rPr>
          <w:rFonts w:ascii="Times New Roman" w:hAnsi="Times New Roman" w:cs="Times New Roman"/>
          <w:sz w:val="24"/>
          <w:szCs w:val="24"/>
        </w:rPr>
      </w:pPr>
    </w:p>
    <w:p w14:paraId="64AA45D0" w14:textId="58490C8B" w:rsidR="001E6B6A" w:rsidRDefault="001E6B6A" w:rsidP="001E6B6A">
      <w:pPr>
        <w:pStyle w:val="ListParagraph"/>
        <w:numPr>
          <w:ilvl w:val="0"/>
          <w:numId w:val="2"/>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 xml:space="preserve">The </w:t>
      </w:r>
      <w:r w:rsidRPr="001E6B6A">
        <w:rPr>
          <w:rFonts w:ascii="Times New Roman" w:hAnsi="Times New Roman" w:cs="Times New Roman"/>
          <w:i/>
          <w:sz w:val="24"/>
          <w:szCs w:val="24"/>
        </w:rPr>
        <w:t>Defence Amendment (20</w:t>
      </w:r>
      <w:r w:rsidR="00A77CE1">
        <w:rPr>
          <w:rFonts w:ascii="Times New Roman" w:hAnsi="Times New Roman" w:cs="Times New Roman"/>
          <w:i/>
          <w:sz w:val="24"/>
          <w:szCs w:val="24"/>
        </w:rPr>
        <w:t>20</w:t>
      </w:r>
      <w:r w:rsidRPr="001E6B6A">
        <w:rPr>
          <w:rFonts w:ascii="Times New Roman" w:hAnsi="Times New Roman" w:cs="Times New Roman"/>
          <w:i/>
          <w:sz w:val="24"/>
          <w:szCs w:val="24"/>
        </w:rPr>
        <w:t xml:space="preserve"> Measures No. 1) Regulations 20</w:t>
      </w:r>
      <w:r w:rsidR="00A77CE1">
        <w:rPr>
          <w:rFonts w:ascii="Times New Roman" w:hAnsi="Times New Roman" w:cs="Times New Roman"/>
          <w:i/>
          <w:sz w:val="24"/>
          <w:szCs w:val="24"/>
        </w:rPr>
        <w:t>20</w:t>
      </w:r>
      <w:r>
        <w:rPr>
          <w:rFonts w:ascii="Times New Roman" w:hAnsi="Times New Roman" w:cs="Times New Roman"/>
          <w:sz w:val="24"/>
          <w:szCs w:val="24"/>
        </w:rPr>
        <w:t xml:space="preserve"> (the Amending Regulations) amend the </w:t>
      </w:r>
      <w:r w:rsidRPr="001E6B6A">
        <w:rPr>
          <w:rFonts w:ascii="Times New Roman" w:hAnsi="Times New Roman" w:cs="Times New Roman"/>
          <w:i/>
          <w:sz w:val="24"/>
          <w:szCs w:val="24"/>
        </w:rPr>
        <w:t>Defence Regulation 2016</w:t>
      </w:r>
      <w:r>
        <w:rPr>
          <w:rFonts w:ascii="Times New Roman" w:hAnsi="Times New Roman" w:cs="Times New Roman"/>
          <w:sz w:val="24"/>
          <w:szCs w:val="24"/>
        </w:rPr>
        <w:t xml:space="preserve"> (the Regulation) to provide for additional circumstances when written notice is </w:t>
      </w:r>
      <w:r w:rsidRPr="001E6B6A">
        <w:rPr>
          <w:rFonts w:ascii="Times New Roman" w:hAnsi="Times New Roman" w:cs="Times New Roman"/>
          <w:b/>
          <w:i/>
          <w:sz w:val="24"/>
          <w:szCs w:val="24"/>
        </w:rPr>
        <w:t>not</w:t>
      </w:r>
      <w:r>
        <w:rPr>
          <w:rFonts w:ascii="Times New Roman" w:hAnsi="Times New Roman" w:cs="Times New Roman"/>
          <w:sz w:val="24"/>
          <w:szCs w:val="24"/>
        </w:rPr>
        <w:t xml:space="preserve"> required before a decision is made to terminate an AFD member’s service under section 24 of the Regulation.</w:t>
      </w:r>
    </w:p>
    <w:p w14:paraId="7345175F" w14:textId="77777777" w:rsidR="001E6B6A" w:rsidRDefault="001E6B6A" w:rsidP="001E6B6A">
      <w:pPr>
        <w:pStyle w:val="ListParagraph"/>
        <w:tabs>
          <w:tab w:val="left" w:pos="567"/>
        </w:tabs>
        <w:spacing w:after="0"/>
        <w:ind w:left="0"/>
        <w:rPr>
          <w:rFonts w:ascii="Times New Roman" w:hAnsi="Times New Roman" w:cs="Times New Roman"/>
          <w:sz w:val="24"/>
          <w:szCs w:val="24"/>
        </w:rPr>
      </w:pPr>
    </w:p>
    <w:p w14:paraId="3C9E9D69" w14:textId="77777777" w:rsidR="001E6B6A" w:rsidRDefault="001E6B6A" w:rsidP="001E6B6A">
      <w:pPr>
        <w:pStyle w:val="ListParagraph"/>
        <w:numPr>
          <w:ilvl w:val="0"/>
          <w:numId w:val="2"/>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 xml:space="preserve">Ordinarily, before a decision is made to terminate an ADF member’s service under section 24 of the Regulation, the member must be given 14 days written notice and an opportunity to respond. However, </w:t>
      </w:r>
      <w:r w:rsidR="00FC2AA0">
        <w:rPr>
          <w:rFonts w:ascii="Times New Roman" w:hAnsi="Times New Roman" w:cs="Times New Roman"/>
          <w:sz w:val="24"/>
          <w:szCs w:val="24"/>
        </w:rPr>
        <w:t>written notice is not required if the ADF member has failed to meet a condition of their appointment or enlistment, if the ADF member has been absent without leave for a continuous period of three months or more, or if the ADF member has not completed a period of probation in relation to their appointment or enlistment.</w:t>
      </w:r>
    </w:p>
    <w:p w14:paraId="2C098F66" w14:textId="77777777" w:rsidR="00FC2AA0" w:rsidRPr="00FC2AA0" w:rsidRDefault="00FC2AA0" w:rsidP="00FC2AA0">
      <w:pPr>
        <w:pStyle w:val="ListParagraph"/>
        <w:rPr>
          <w:rFonts w:ascii="Times New Roman" w:hAnsi="Times New Roman" w:cs="Times New Roman"/>
          <w:sz w:val="24"/>
          <w:szCs w:val="24"/>
        </w:rPr>
      </w:pPr>
    </w:p>
    <w:p w14:paraId="05CF161F" w14:textId="77777777" w:rsidR="00FC2AA0" w:rsidRDefault="00FC2AA0" w:rsidP="001E6B6A">
      <w:pPr>
        <w:pStyle w:val="ListParagraph"/>
        <w:numPr>
          <w:ilvl w:val="0"/>
          <w:numId w:val="2"/>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The Amending Regulations add two new circumstances when written notice will not be required before terminating an ADF member’s service:</w:t>
      </w:r>
    </w:p>
    <w:p w14:paraId="74906379" w14:textId="77777777" w:rsidR="00FC2AA0" w:rsidRPr="00FC2AA0" w:rsidRDefault="00FC2AA0" w:rsidP="00FC2AA0">
      <w:pPr>
        <w:pStyle w:val="ListParagraph"/>
        <w:rPr>
          <w:rFonts w:ascii="Times New Roman" w:hAnsi="Times New Roman" w:cs="Times New Roman"/>
          <w:sz w:val="24"/>
          <w:szCs w:val="24"/>
        </w:rPr>
      </w:pPr>
    </w:p>
    <w:p w14:paraId="62450C58" w14:textId="77777777" w:rsidR="00FC2AA0" w:rsidRDefault="00FC2AA0" w:rsidP="00FC2AA0">
      <w:pPr>
        <w:pStyle w:val="ListParagraph"/>
        <w:numPr>
          <w:ilvl w:val="1"/>
          <w:numId w:val="1"/>
        </w:numPr>
        <w:tabs>
          <w:tab w:val="left" w:pos="993"/>
        </w:tabs>
        <w:spacing w:after="0"/>
        <w:ind w:left="993" w:hanging="426"/>
        <w:rPr>
          <w:rFonts w:ascii="Times New Roman" w:hAnsi="Times New Roman" w:cs="Times New Roman"/>
          <w:sz w:val="24"/>
          <w:szCs w:val="24"/>
        </w:rPr>
      </w:pPr>
      <w:r>
        <w:rPr>
          <w:rFonts w:ascii="Times New Roman" w:hAnsi="Times New Roman" w:cs="Times New Roman"/>
          <w:sz w:val="24"/>
          <w:szCs w:val="24"/>
        </w:rPr>
        <w:t>The ADF member has been sentenced to imprisonment for an offence</w:t>
      </w:r>
      <w:r w:rsidR="00294828">
        <w:rPr>
          <w:rFonts w:ascii="Times New Roman" w:hAnsi="Times New Roman" w:cs="Times New Roman"/>
          <w:sz w:val="24"/>
          <w:szCs w:val="24"/>
        </w:rPr>
        <w:t xml:space="preserve"> (paragraph 24(3</w:t>
      </w:r>
      <w:proofErr w:type="gramStart"/>
      <w:r w:rsidR="00294828">
        <w:rPr>
          <w:rFonts w:ascii="Times New Roman" w:hAnsi="Times New Roman" w:cs="Times New Roman"/>
          <w:sz w:val="24"/>
          <w:szCs w:val="24"/>
        </w:rPr>
        <w:t>)(</w:t>
      </w:r>
      <w:proofErr w:type="gramEnd"/>
      <w:r w:rsidR="00294828">
        <w:rPr>
          <w:rFonts w:ascii="Times New Roman" w:hAnsi="Times New Roman" w:cs="Times New Roman"/>
          <w:sz w:val="24"/>
          <w:szCs w:val="24"/>
        </w:rPr>
        <w:t>b)(ii))</w:t>
      </w:r>
      <w:r>
        <w:rPr>
          <w:rFonts w:ascii="Times New Roman" w:hAnsi="Times New Roman" w:cs="Times New Roman"/>
          <w:sz w:val="24"/>
          <w:szCs w:val="24"/>
        </w:rPr>
        <w:t>.</w:t>
      </w:r>
    </w:p>
    <w:p w14:paraId="0DF781AF" w14:textId="77777777" w:rsidR="00FC2AA0" w:rsidRDefault="00FC2AA0" w:rsidP="00FC2AA0">
      <w:pPr>
        <w:pStyle w:val="ListParagraph"/>
        <w:tabs>
          <w:tab w:val="left" w:pos="993"/>
        </w:tabs>
        <w:spacing w:after="0"/>
        <w:ind w:left="993"/>
        <w:rPr>
          <w:rFonts w:ascii="Times New Roman" w:hAnsi="Times New Roman" w:cs="Times New Roman"/>
          <w:sz w:val="24"/>
          <w:szCs w:val="24"/>
        </w:rPr>
      </w:pPr>
    </w:p>
    <w:p w14:paraId="6B36D7C2" w14:textId="77777777" w:rsidR="00FC2AA0" w:rsidRDefault="00FC2AA0" w:rsidP="00FC2AA0">
      <w:pPr>
        <w:pStyle w:val="ListParagraph"/>
        <w:numPr>
          <w:ilvl w:val="1"/>
          <w:numId w:val="1"/>
        </w:numPr>
        <w:tabs>
          <w:tab w:val="left" w:pos="993"/>
        </w:tabs>
        <w:spacing w:after="0"/>
        <w:ind w:left="993" w:hanging="426"/>
        <w:rPr>
          <w:rFonts w:ascii="Times New Roman" w:hAnsi="Times New Roman" w:cs="Times New Roman"/>
          <w:sz w:val="24"/>
          <w:szCs w:val="24"/>
        </w:rPr>
      </w:pPr>
      <w:r>
        <w:rPr>
          <w:rFonts w:ascii="Times New Roman" w:hAnsi="Times New Roman" w:cs="Times New Roman"/>
          <w:sz w:val="24"/>
          <w:szCs w:val="24"/>
        </w:rPr>
        <w:t>The ADF member has pleaded guilty to, or been convicted of, an offence, and the Chief of the Defence Force (CDF) or a Service Chief is satisfied that it is not in the best interests of the Defence Force for notice to be given to the member</w:t>
      </w:r>
      <w:r w:rsidR="00294828">
        <w:rPr>
          <w:rFonts w:ascii="Times New Roman" w:hAnsi="Times New Roman" w:cs="Times New Roman"/>
          <w:sz w:val="24"/>
          <w:szCs w:val="24"/>
        </w:rPr>
        <w:t xml:space="preserve"> (paragraph 24(3)(c))</w:t>
      </w:r>
      <w:r w:rsidRPr="00FC2AA0">
        <w:rPr>
          <w:rFonts w:ascii="Times New Roman" w:hAnsi="Times New Roman" w:cs="Times New Roman"/>
          <w:sz w:val="24"/>
          <w:szCs w:val="24"/>
        </w:rPr>
        <w:t>.</w:t>
      </w:r>
    </w:p>
    <w:p w14:paraId="32002EBB" w14:textId="77777777" w:rsidR="00FC2AA0" w:rsidRDefault="00FC2AA0" w:rsidP="00FC2AA0">
      <w:pPr>
        <w:pStyle w:val="ListParagraph"/>
        <w:tabs>
          <w:tab w:val="left" w:pos="567"/>
        </w:tabs>
        <w:spacing w:after="0"/>
        <w:ind w:left="0"/>
        <w:rPr>
          <w:rFonts w:ascii="Times New Roman" w:hAnsi="Times New Roman" w:cs="Times New Roman"/>
          <w:sz w:val="24"/>
          <w:szCs w:val="24"/>
        </w:rPr>
      </w:pPr>
    </w:p>
    <w:p w14:paraId="4C0D7C26" w14:textId="77777777" w:rsidR="00FC2AA0" w:rsidRPr="00FC2AA0" w:rsidRDefault="00FC2AA0" w:rsidP="00FC2AA0">
      <w:pPr>
        <w:pStyle w:val="ListParagraph"/>
        <w:tabs>
          <w:tab w:val="left" w:pos="567"/>
        </w:tabs>
        <w:spacing w:after="0"/>
        <w:ind w:left="0"/>
        <w:rPr>
          <w:rFonts w:ascii="Times New Roman" w:hAnsi="Times New Roman" w:cs="Times New Roman"/>
          <w:b/>
          <w:sz w:val="24"/>
          <w:szCs w:val="24"/>
        </w:rPr>
      </w:pPr>
      <w:r w:rsidRPr="00FC2AA0">
        <w:rPr>
          <w:rFonts w:ascii="Times New Roman" w:hAnsi="Times New Roman" w:cs="Times New Roman"/>
          <w:b/>
          <w:sz w:val="24"/>
          <w:szCs w:val="24"/>
        </w:rPr>
        <w:t>Human rights implications</w:t>
      </w:r>
    </w:p>
    <w:p w14:paraId="3C608AD5" w14:textId="77777777" w:rsidR="00FC2AA0" w:rsidRDefault="00FC2AA0" w:rsidP="00FC2AA0">
      <w:pPr>
        <w:pStyle w:val="ListParagraph"/>
        <w:tabs>
          <w:tab w:val="left" w:pos="567"/>
        </w:tabs>
        <w:spacing w:after="0"/>
        <w:ind w:left="0"/>
        <w:rPr>
          <w:rFonts w:ascii="Times New Roman" w:hAnsi="Times New Roman" w:cs="Times New Roman"/>
          <w:sz w:val="24"/>
          <w:szCs w:val="24"/>
        </w:rPr>
      </w:pPr>
    </w:p>
    <w:p w14:paraId="5EBADCBA" w14:textId="77777777" w:rsidR="00FC2AA0" w:rsidRDefault="000366A8" w:rsidP="000366A8">
      <w:pPr>
        <w:pStyle w:val="ListParagraph"/>
        <w:numPr>
          <w:ilvl w:val="0"/>
          <w:numId w:val="2"/>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 xml:space="preserve">The Amending Regulations engage the </w:t>
      </w:r>
      <w:r w:rsidRPr="000366A8">
        <w:rPr>
          <w:rFonts w:ascii="Times New Roman" w:hAnsi="Times New Roman" w:cs="Times New Roman"/>
          <w:sz w:val="24"/>
          <w:szCs w:val="24"/>
        </w:rPr>
        <w:t>right to work and rights at work in Articles 6 and 7 of the International Covenant on Economic, Social and Cultural Rights (ICESCR)</w:t>
      </w:r>
      <w:r>
        <w:rPr>
          <w:rFonts w:ascii="Times New Roman" w:hAnsi="Times New Roman" w:cs="Times New Roman"/>
          <w:sz w:val="24"/>
          <w:szCs w:val="24"/>
        </w:rPr>
        <w:t>.</w:t>
      </w:r>
    </w:p>
    <w:p w14:paraId="41B2B31F" w14:textId="77777777" w:rsidR="000366A8" w:rsidRDefault="000366A8" w:rsidP="000366A8">
      <w:pPr>
        <w:pStyle w:val="ListParagraph"/>
        <w:tabs>
          <w:tab w:val="left" w:pos="567"/>
        </w:tabs>
        <w:spacing w:after="0"/>
        <w:ind w:left="0"/>
        <w:rPr>
          <w:rFonts w:ascii="Times New Roman" w:hAnsi="Times New Roman" w:cs="Times New Roman"/>
          <w:sz w:val="24"/>
          <w:szCs w:val="24"/>
        </w:rPr>
      </w:pPr>
    </w:p>
    <w:p w14:paraId="7F8E8725" w14:textId="77777777" w:rsidR="000366A8" w:rsidRPr="000366A8" w:rsidRDefault="000366A8" w:rsidP="00847E8F">
      <w:pPr>
        <w:pStyle w:val="ListParagraph"/>
        <w:keepNext/>
        <w:tabs>
          <w:tab w:val="left" w:pos="567"/>
        </w:tabs>
        <w:spacing w:after="0"/>
        <w:ind w:left="0"/>
        <w:rPr>
          <w:rFonts w:ascii="Times New Roman" w:hAnsi="Times New Roman" w:cs="Times New Roman"/>
          <w:i/>
          <w:sz w:val="24"/>
          <w:szCs w:val="24"/>
        </w:rPr>
      </w:pPr>
      <w:bookmarkStart w:id="0" w:name="_GoBack"/>
      <w:r w:rsidRPr="000366A8">
        <w:rPr>
          <w:rFonts w:ascii="Times New Roman" w:hAnsi="Times New Roman" w:cs="Times New Roman"/>
          <w:i/>
          <w:sz w:val="24"/>
          <w:szCs w:val="24"/>
        </w:rPr>
        <w:lastRenderedPageBreak/>
        <w:t>The right to work and rights at work</w:t>
      </w:r>
    </w:p>
    <w:p w14:paraId="19E3A34F" w14:textId="77777777" w:rsidR="000366A8" w:rsidRDefault="000366A8" w:rsidP="00847E8F">
      <w:pPr>
        <w:pStyle w:val="ListParagraph"/>
        <w:keepNext/>
        <w:tabs>
          <w:tab w:val="left" w:pos="567"/>
        </w:tabs>
        <w:spacing w:after="0"/>
        <w:ind w:left="0"/>
        <w:rPr>
          <w:rFonts w:ascii="Times New Roman" w:hAnsi="Times New Roman" w:cs="Times New Roman"/>
          <w:sz w:val="24"/>
          <w:szCs w:val="24"/>
        </w:rPr>
      </w:pPr>
    </w:p>
    <w:p w14:paraId="4CFCD3C2" w14:textId="77777777" w:rsidR="000366A8" w:rsidRPr="000366A8" w:rsidRDefault="000366A8" w:rsidP="00847E8F">
      <w:pPr>
        <w:pStyle w:val="ListParagraph"/>
        <w:keepNext/>
        <w:numPr>
          <w:ilvl w:val="0"/>
          <w:numId w:val="2"/>
        </w:numPr>
        <w:tabs>
          <w:tab w:val="left" w:pos="567"/>
        </w:tabs>
        <w:spacing w:after="0"/>
        <w:ind w:left="0" w:firstLine="0"/>
        <w:rPr>
          <w:rFonts w:ascii="Times New Roman" w:hAnsi="Times New Roman" w:cs="Times New Roman"/>
          <w:sz w:val="24"/>
          <w:szCs w:val="24"/>
        </w:rPr>
      </w:pPr>
      <w:r w:rsidRPr="000366A8">
        <w:rPr>
          <w:rFonts w:ascii="Times New Roman" w:hAnsi="Times New Roman" w:cs="Times New Roman"/>
          <w:sz w:val="24"/>
          <w:szCs w:val="24"/>
        </w:rPr>
        <w:t xml:space="preserve">Article 6 of the ICESCR recognises the right to work. Article 7 recognises the right to just and favourable conditions of work. </w:t>
      </w:r>
      <w:r w:rsidR="003806D8">
        <w:rPr>
          <w:rFonts w:ascii="Times New Roman" w:hAnsi="Times New Roman" w:cs="Times New Roman"/>
          <w:sz w:val="24"/>
          <w:szCs w:val="24"/>
        </w:rPr>
        <w:t xml:space="preserve">The right to work includes the right not to be unjustly deprived of work. </w:t>
      </w:r>
      <w:r w:rsidRPr="000366A8">
        <w:rPr>
          <w:rFonts w:ascii="Times New Roman" w:hAnsi="Times New Roman" w:cs="Times New Roman"/>
          <w:sz w:val="24"/>
          <w:szCs w:val="24"/>
        </w:rPr>
        <w:t>The United Nations Committee on Economic Social and Cultural Rights has stated that the right to work:</w:t>
      </w:r>
    </w:p>
    <w:p w14:paraId="1A548CF3" w14:textId="77777777" w:rsidR="000366A8" w:rsidRPr="000366A8" w:rsidRDefault="000366A8" w:rsidP="00847E8F">
      <w:pPr>
        <w:keepNext/>
        <w:tabs>
          <w:tab w:val="left" w:pos="567"/>
        </w:tabs>
        <w:spacing w:after="0"/>
        <w:rPr>
          <w:rFonts w:ascii="Times New Roman" w:hAnsi="Times New Roman" w:cs="Times New Roman"/>
          <w:sz w:val="24"/>
          <w:szCs w:val="24"/>
        </w:rPr>
      </w:pPr>
    </w:p>
    <w:bookmarkEnd w:id="0"/>
    <w:p w14:paraId="38B00717" w14:textId="77777777" w:rsidR="000366A8" w:rsidRDefault="000366A8" w:rsidP="000366A8">
      <w:pPr>
        <w:tabs>
          <w:tab w:val="left" w:pos="567"/>
        </w:tabs>
        <w:spacing w:after="0"/>
        <w:ind w:left="567"/>
        <w:rPr>
          <w:rFonts w:ascii="Times New Roman" w:hAnsi="Times New Roman" w:cs="Times New Roman"/>
          <w:sz w:val="24"/>
          <w:szCs w:val="24"/>
        </w:rPr>
      </w:pPr>
      <w:proofErr w:type="gramStart"/>
      <w:r w:rsidRPr="000366A8">
        <w:rPr>
          <w:rFonts w:ascii="Times New Roman" w:hAnsi="Times New Roman" w:cs="Times New Roman"/>
          <w:sz w:val="24"/>
          <w:szCs w:val="24"/>
        </w:rPr>
        <w:t>affirms</w:t>
      </w:r>
      <w:proofErr w:type="gramEnd"/>
      <w:r w:rsidRPr="000366A8">
        <w:rPr>
          <w:rFonts w:ascii="Times New Roman" w:hAnsi="Times New Roman" w:cs="Times New Roman"/>
          <w:sz w:val="24"/>
          <w:szCs w:val="24"/>
        </w:rPr>
        <w:t xml:space="preserve"> the obligation of State parties to assure individuals their right to freely chosen or accepted work, including the right not to be deprived of work unfairly. This definition underlines the fact that respect for the individual and his dignity is expressed through the freedom of the individual regarding his choice to work, while emphasising the importance of work for personal development as well as for social and economic inclusion.</w:t>
      </w:r>
    </w:p>
    <w:p w14:paraId="540CDBC4" w14:textId="77777777" w:rsidR="000366A8" w:rsidRDefault="000366A8" w:rsidP="000366A8">
      <w:pPr>
        <w:tabs>
          <w:tab w:val="left" w:pos="567"/>
        </w:tabs>
        <w:spacing w:after="0"/>
        <w:rPr>
          <w:rFonts w:ascii="Times New Roman" w:hAnsi="Times New Roman" w:cs="Times New Roman"/>
          <w:sz w:val="24"/>
          <w:szCs w:val="24"/>
        </w:rPr>
      </w:pPr>
    </w:p>
    <w:p w14:paraId="0C57C2F3" w14:textId="77777777" w:rsidR="00226382" w:rsidRDefault="00226382" w:rsidP="00282B1D">
      <w:pPr>
        <w:pStyle w:val="ListParagraph"/>
        <w:numPr>
          <w:ilvl w:val="0"/>
          <w:numId w:val="2"/>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The Amending Regulations could be seen as limiting the right to work of ADF members, as it provides, in limited circumstances, for termination of an ADF member’s service without written notice. However, to the extent, if any, that the Amending Regulations limits the right to work or rights at work, t</w:t>
      </w:r>
      <w:r w:rsidRPr="00226382">
        <w:rPr>
          <w:rFonts w:ascii="Times New Roman" w:hAnsi="Times New Roman" w:cs="Times New Roman"/>
          <w:sz w:val="24"/>
          <w:szCs w:val="24"/>
        </w:rPr>
        <w:t>he limitation is reasonable, necessary and proportionate in pursuit of a legitimate objective.</w:t>
      </w:r>
    </w:p>
    <w:p w14:paraId="1DDEA877" w14:textId="77777777" w:rsidR="00226382" w:rsidRDefault="00226382" w:rsidP="00226382">
      <w:pPr>
        <w:pStyle w:val="ListParagraph"/>
        <w:tabs>
          <w:tab w:val="left" w:pos="567"/>
        </w:tabs>
        <w:spacing w:after="0"/>
        <w:ind w:left="0"/>
        <w:rPr>
          <w:rFonts w:ascii="Times New Roman" w:hAnsi="Times New Roman" w:cs="Times New Roman"/>
          <w:sz w:val="24"/>
          <w:szCs w:val="24"/>
        </w:rPr>
      </w:pPr>
    </w:p>
    <w:p w14:paraId="01F19BF3" w14:textId="77777777" w:rsidR="00282B1D" w:rsidRPr="00282B1D" w:rsidRDefault="00282B1D" w:rsidP="00282B1D">
      <w:pPr>
        <w:pStyle w:val="ListParagraph"/>
        <w:numPr>
          <w:ilvl w:val="0"/>
          <w:numId w:val="2"/>
        </w:numPr>
        <w:tabs>
          <w:tab w:val="left" w:pos="567"/>
        </w:tabs>
        <w:spacing w:after="0"/>
        <w:ind w:left="0" w:firstLine="0"/>
        <w:rPr>
          <w:rFonts w:ascii="Times New Roman" w:hAnsi="Times New Roman" w:cs="Times New Roman"/>
          <w:sz w:val="24"/>
          <w:szCs w:val="24"/>
        </w:rPr>
      </w:pPr>
      <w:r w:rsidRPr="00282B1D">
        <w:rPr>
          <w:rFonts w:ascii="Times New Roman" w:hAnsi="Times New Roman" w:cs="Times New Roman"/>
          <w:sz w:val="24"/>
          <w:szCs w:val="24"/>
        </w:rPr>
        <w:t xml:space="preserve">Service in the </w:t>
      </w:r>
      <w:r>
        <w:rPr>
          <w:rFonts w:ascii="Times New Roman" w:hAnsi="Times New Roman" w:cs="Times New Roman"/>
          <w:sz w:val="24"/>
          <w:szCs w:val="24"/>
        </w:rPr>
        <w:t>ADF</w:t>
      </w:r>
      <w:r w:rsidRPr="00282B1D">
        <w:rPr>
          <w:rFonts w:ascii="Times New Roman" w:hAnsi="Times New Roman" w:cs="Times New Roman"/>
          <w:sz w:val="24"/>
          <w:szCs w:val="24"/>
        </w:rPr>
        <w:t xml:space="preserve"> is unique. The nature of the risks </w:t>
      </w:r>
      <w:r>
        <w:rPr>
          <w:rFonts w:ascii="Times New Roman" w:hAnsi="Times New Roman" w:cs="Times New Roman"/>
          <w:sz w:val="24"/>
          <w:szCs w:val="24"/>
        </w:rPr>
        <w:t>ADF</w:t>
      </w:r>
      <w:r w:rsidRPr="00282B1D">
        <w:rPr>
          <w:rFonts w:ascii="Times New Roman" w:hAnsi="Times New Roman" w:cs="Times New Roman"/>
          <w:sz w:val="24"/>
          <w:szCs w:val="24"/>
        </w:rPr>
        <w:t xml:space="preserve"> members face in combat and the authority to use armed force give rise to the essential nature of service in the </w:t>
      </w:r>
      <w:r>
        <w:rPr>
          <w:rFonts w:ascii="Times New Roman" w:hAnsi="Times New Roman" w:cs="Times New Roman"/>
          <w:sz w:val="24"/>
          <w:szCs w:val="24"/>
        </w:rPr>
        <w:t>ADF</w:t>
      </w:r>
      <w:r w:rsidRPr="00282B1D">
        <w:rPr>
          <w:rFonts w:ascii="Times New Roman" w:hAnsi="Times New Roman" w:cs="Times New Roman"/>
          <w:sz w:val="24"/>
          <w:szCs w:val="24"/>
        </w:rPr>
        <w:t xml:space="preserve">: while a person is a member of the </w:t>
      </w:r>
      <w:r>
        <w:rPr>
          <w:rFonts w:ascii="Times New Roman" w:hAnsi="Times New Roman" w:cs="Times New Roman"/>
          <w:sz w:val="24"/>
          <w:szCs w:val="24"/>
        </w:rPr>
        <w:t>ADF</w:t>
      </w:r>
      <w:r w:rsidRPr="00282B1D">
        <w:rPr>
          <w:rFonts w:ascii="Times New Roman" w:hAnsi="Times New Roman" w:cs="Times New Roman"/>
          <w:sz w:val="24"/>
          <w:szCs w:val="24"/>
        </w:rPr>
        <w:t xml:space="preserve">, they have a non-contractual and unlimited liability to serve. The system of command lies at the heart of service in the </w:t>
      </w:r>
      <w:r>
        <w:rPr>
          <w:rFonts w:ascii="Times New Roman" w:hAnsi="Times New Roman" w:cs="Times New Roman"/>
          <w:sz w:val="24"/>
          <w:szCs w:val="24"/>
        </w:rPr>
        <w:t>ADF</w:t>
      </w:r>
      <w:r w:rsidRPr="00282B1D">
        <w:rPr>
          <w:rFonts w:ascii="Times New Roman" w:hAnsi="Times New Roman" w:cs="Times New Roman"/>
          <w:sz w:val="24"/>
          <w:szCs w:val="24"/>
        </w:rPr>
        <w:t xml:space="preserve">. </w:t>
      </w:r>
      <w:r>
        <w:rPr>
          <w:rFonts w:ascii="Times New Roman" w:hAnsi="Times New Roman" w:cs="Times New Roman"/>
          <w:sz w:val="24"/>
          <w:szCs w:val="24"/>
        </w:rPr>
        <w:t>ADF</w:t>
      </w:r>
      <w:r w:rsidRPr="00282B1D">
        <w:rPr>
          <w:rFonts w:ascii="Times New Roman" w:hAnsi="Times New Roman" w:cs="Times New Roman"/>
          <w:sz w:val="24"/>
          <w:szCs w:val="24"/>
        </w:rPr>
        <w:t xml:space="preserve"> members must follow all lawful commands, including orders that involve considerable risk to their life. A member who fails to attend duty can be charged with an offence, and is liable to imprisonment. </w:t>
      </w:r>
      <w:r w:rsidR="00294828">
        <w:rPr>
          <w:rFonts w:ascii="Times New Roman" w:hAnsi="Times New Roman" w:cs="Times New Roman"/>
          <w:sz w:val="24"/>
          <w:szCs w:val="24"/>
        </w:rPr>
        <w:t xml:space="preserve">Morale and discipline of ADF members is essential. </w:t>
      </w:r>
      <w:r w:rsidRPr="00282B1D">
        <w:rPr>
          <w:rFonts w:ascii="Times New Roman" w:hAnsi="Times New Roman" w:cs="Times New Roman"/>
          <w:sz w:val="24"/>
          <w:szCs w:val="24"/>
        </w:rPr>
        <w:t xml:space="preserve">These </w:t>
      </w:r>
      <w:r w:rsidR="00294828">
        <w:rPr>
          <w:rFonts w:ascii="Times New Roman" w:hAnsi="Times New Roman" w:cs="Times New Roman"/>
          <w:sz w:val="24"/>
          <w:szCs w:val="24"/>
        </w:rPr>
        <w:t xml:space="preserve">and other </w:t>
      </w:r>
      <w:r w:rsidRPr="00282B1D">
        <w:rPr>
          <w:rFonts w:ascii="Times New Roman" w:hAnsi="Times New Roman" w:cs="Times New Roman"/>
          <w:sz w:val="24"/>
          <w:szCs w:val="24"/>
        </w:rPr>
        <w:t xml:space="preserve">differences from civilian employment are essential for the </w:t>
      </w:r>
      <w:r>
        <w:rPr>
          <w:rFonts w:ascii="Times New Roman" w:hAnsi="Times New Roman" w:cs="Times New Roman"/>
          <w:sz w:val="24"/>
          <w:szCs w:val="24"/>
        </w:rPr>
        <w:t>ADF</w:t>
      </w:r>
      <w:r w:rsidRPr="00282B1D">
        <w:rPr>
          <w:rFonts w:ascii="Times New Roman" w:hAnsi="Times New Roman" w:cs="Times New Roman"/>
          <w:sz w:val="24"/>
          <w:szCs w:val="24"/>
        </w:rPr>
        <w:t xml:space="preserve"> to successfully fulfil its mission as a professional and disciplined force operating in diverse environments.</w:t>
      </w:r>
      <w:r w:rsidR="00C619AB">
        <w:rPr>
          <w:rFonts w:ascii="Times New Roman" w:hAnsi="Times New Roman" w:cs="Times New Roman"/>
          <w:sz w:val="24"/>
          <w:szCs w:val="24"/>
        </w:rPr>
        <w:t xml:space="preserve"> </w:t>
      </w:r>
    </w:p>
    <w:p w14:paraId="2CF86E07" w14:textId="77777777" w:rsidR="00282B1D" w:rsidRPr="00282B1D" w:rsidRDefault="00282B1D" w:rsidP="00282B1D">
      <w:pPr>
        <w:tabs>
          <w:tab w:val="left" w:pos="567"/>
        </w:tabs>
        <w:spacing w:after="0"/>
        <w:rPr>
          <w:rFonts w:ascii="Times New Roman" w:hAnsi="Times New Roman" w:cs="Times New Roman"/>
          <w:sz w:val="24"/>
          <w:szCs w:val="24"/>
        </w:rPr>
      </w:pPr>
    </w:p>
    <w:p w14:paraId="51A1D797" w14:textId="4C875FCD" w:rsidR="00282B1D" w:rsidRDefault="00282B1D" w:rsidP="00282B1D">
      <w:pPr>
        <w:pStyle w:val="ListParagraph"/>
        <w:numPr>
          <w:ilvl w:val="0"/>
          <w:numId w:val="2"/>
        </w:numPr>
        <w:tabs>
          <w:tab w:val="left" w:pos="567"/>
        </w:tabs>
        <w:spacing w:after="0"/>
        <w:ind w:left="0" w:firstLine="0"/>
        <w:rPr>
          <w:rFonts w:ascii="Times New Roman" w:hAnsi="Times New Roman" w:cs="Times New Roman"/>
          <w:sz w:val="24"/>
          <w:szCs w:val="24"/>
        </w:rPr>
      </w:pPr>
      <w:r w:rsidRPr="00282B1D">
        <w:rPr>
          <w:rFonts w:ascii="Times New Roman" w:hAnsi="Times New Roman" w:cs="Times New Roman"/>
          <w:sz w:val="24"/>
          <w:szCs w:val="24"/>
        </w:rPr>
        <w:t xml:space="preserve">In this context, </w:t>
      </w:r>
      <w:r>
        <w:rPr>
          <w:rFonts w:ascii="Times New Roman" w:hAnsi="Times New Roman" w:cs="Times New Roman"/>
          <w:sz w:val="24"/>
          <w:szCs w:val="24"/>
        </w:rPr>
        <w:t xml:space="preserve">section 24 of the Regulation provides for early termination of service (service may also be terminated under the </w:t>
      </w:r>
      <w:r w:rsidRPr="00282B1D">
        <w:rPr>
          <w:rFonts w:ascii="Times New Roman" w:hAnsi="Times New Roman" w:cs="Times New Roman"/>
          <w:i/>
          <w:sz w:val="24"/>
          <w:szCs w:val="24"/>
        </w:rPr>
        <w:t>Defence Force Discipline Act 1982</w:t>
      </w:r>
      <w:r>
        <w:rPr>
          <w:rFonts w:ascii="Times New Roman" w:hAnsi="Times New Roman" w:cs="Times New Roman"/>
          <w:sz w:val="24"/>
          <w:szCs w:val="24"/>
        </w:rPr>
        <w:t xml:space="preserve"> or Part VIIIA of the </w:t>
      </w:r>
      <w:r w:rsidRPr="00282B1D">
        <w:rPr>
          <w:rFonts w:ascii="Times New Roman" w:hAnsi="Times New Roman" w:cs="Times New Roman"/>
          <w:i/>
          <w:sz w:val="24"/>
          <w:szCs w:val="24"/>
        </w:rPr>
        <w:t>Defence Act 1903</w:t>
      </w:r>
      <w:r>
        <w:rPr>
          <w:rFonts w:ascii="Times New Roman" w:hAnsi="Times New Roman" w:cs="Times New Roman"/>
          <w:sz w:val="24"/>
          <w:szCs w:val="24"/>
        </w:rPr>
        <w:t xml:space="preserve">). While at common law ADF members serve at the pleasure of the Crown, section 24 </w:t>
      </w:r>
      <w:r w:rsidR="00970B89">
        <w:rPr>
          <w:rFonts w:ascii="Times New Roman" w:hAnsi="Times New Roman" w:cs="Times New Roman"/>
          <w:sz w:val="24"/>
          <w:szCs w:val="24"/>
        </w:rPr>
        <w:t xml:space="preserve">enhances ADF members’ rights at work by </w:t>
      </w:r>
      <w:r>
        <w:rPr>
          <w:rFonts w:ascii="Times New Roman" w:hAnsi="Times New Roman" w:cs="Times New Roman"/>
          <w:sz w:val="24"/>
          <w:szCs w:val="24"/>
        </w:rPr>
        <w:t>provid</w:t>
      </w:r>
      <w:r w:rsidR="00970B89">
        <w:rPr>
          <w:rFonts w:ascii="Times New Roman" w:hAnsi="Times New Roman" w:cs="Times New Roman"/>
          <w:sz w:val="24"/>
          <w:szCs w:val="24"/>
        </w:rPr>
        <w:t>ing</w:t>
      </w:r>
      <w:r>
        <w:rPr>
          <w:rFonts w:ascii="Times New Roman" w:hAnsi="Times New Roman" w:cs="Times New Roman"/>
          <w:sz w:val="24"/>
          <w:szCs w:val="24"/>
        </w:rPr>
        <w:t xml:space="preserve"> for specific grounds for termination and a process that must be followed before deciding to terminate a member’s service. Section 24 </w:t>
      </w:r>
      <w:r w:rsidR="00294828">
        <w:rPr>
          <w:rFonts w:ascii="Times New Roman" w:hAnsi="Times New Roman" w:cs="Times New Roman"/>
          <w:sz w:val="24"/>
          <w:szCs w:val="24"/>
        </w:rPr>
        <w:t>strikes</w:t>
      </w:r>
      <w:r>
        <w:rPr>
          <w:rFonts w:ascii="Times New Roman" w:hAnsi="Times New Roman" w:cs="Times New Roman"/>
          <w:sz w:val="24"/>
          <w:szCs w:val="24"/>
        </w:rPr>
        <w:t xml:space="preserve"> a balance between the necessities of </w:t>
      </w:r>
      <w:r w:rsidR="00C619AB">
        <w:rPr>
          <w:rFonts w:ascii="Times New Roman" w:hAnsi="Times New Roman" w:cs="Times New Roman"/>
          <w:sz w:val="24"/>
          <w:szCs w:val="24"/>
        </w:rPr>
        <w:t>commanding</w:t>
      </w:r>
      <w:r>
        <w:rPr>
          <w:rFonts w:ascii="Times New Roman" w:hAnsi="Times New Roman" w:cs="Times New Roman"/>
          <w:sz w:val="24"/>
          <w:szCs w:val="24"/>
        </w:rPr>
        <w:t xml:space="preserve"> a professional and disciplined force, and the rights of individual ADF members.</w:t>
      </w:r>
    </w:p>
    <w:p w14:paraId="48D88C8E" w14:textId="77777777" w:rsidR="00282B1D" w:rsidRDefault="00282B1D" w:rsidP="00282B1D">
      <w:pPr>
        <w:tabs>
          <w:tab w:val="left" w:pos="567"/>
        </w:tabs>
        <w:spacing w:after="0"/>
        <w:rPr>
          <w:rFonts w:ascii="Times New Roman" w:hAnsi="Times New Roman" w:cs="Times New Roman"/>
          <w:sz w:val="24"/>
          <w:szCs w:val="24"/>
        </w:rPr>
      </w:pPr>
    </w:p>
    <w:p w14:paraId="3694EF1D" w14:textId="7DBC2810" w:rsidR="006F0B52" w:rsidRDefault="00970B89" w:rsidP="00282B1D">
      <w:pPr>
        <w:pStyle w:val="ListParagraph"/>
        <w:numPr>
          <w:ilvl w:val="0"/>
          <w:numId w:val="2"/>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The Amending Regulations insert two additional circumstances in which</w:t>
      </w:r>
      <w:r w:rsidR="006F0B52">
        <w:rPr>
          <w:rFonts w:ascii="Times New Roman" w:hAnsi="Times New Roman" w:cs="Times New Roman"/>
          <w:sz w:val="24"/>
          <w:szCs w:val="24"/>
        </w:rPr>
        <w:t xml:space="preserve"> an ADF member’s service can be terminated without 14 days written notice, relating to ADF members who have been found guilty of</w:t>
      </w:r>
      <w:r w:rsidR="00FE7AF1">
        <w:rPr>
          <w:rFonts w:ascii="Times New Roman" w:hAnsi="Times New Roman" w:cs="Times New Roman"/>
          <w:sz w:val="24"/>
          <w:szCs w:val="24"/>
        </w:rPr>
        <w:t>, or pleaded guilty to, an</w:t>
      </w:r>
      <w:r w:rsidR="006F0B52">
        <w:rPr>
          <w:rFonts w:ascii="Times New Roman" w:hAnsi="Times New Roman" w:cs="Times New Roman"/>
          <w:sz w:val="24"/>
          <w:szCs w:val="24"/>
        </w:rPr>
        <w:t xml:space="preserve"> offence.</w:t>
      </w:r>
    </w:p>
    <w:p w14:paraId="0AA608F9" w14:textId="77777777" w:rsidR="006F0B52" w:rsidRPr="006F0B52" w:rsidRDefault="006F0B52" w:rsidP="006F0B52">
      <w:pPr>
        <w:pStyle w:val="ListParagraph"/>
        <w:rPr>
          <w:rFonts w:ascii="Times New Roman" w:hAnsi="Times New Roman" w:cs="Times New Roman"/>
          <w:sz w:val="24"/>
          <w:szCs w:val="24"/>
        </w:rPr>
      </w:pPr>
    </w:p>
    <w:p w14:paraId="1EB2FF57" w14:textId="176B3812" w:rsidR="00294828" w:rsidRDefault="006F0B52" w:rsidP="00282B1D">
      <w:pPr>
        <w:pStyle w:val="ListParagraph"/>
        <w:numPr>
          <w:ilvl w:val="0"/>
          <w:numId w:val="2"/>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In the first case</w:t>
      </w:r>
      <w:r w:rsidR="00294828">
        <w:rPr>
          <w:rFonts w:ascii="Times New Roman" w:hAnsi="Times New Roman" w:cs="Times New Roman"/>
          <w:sz w:val="24"/>
          <w:szCs w:val="24"/>
        </w:rPr>
        <w:t xml:space="preserve"> (paragraph 24(3</w:t>
      </w:r>
      <w:proofErr w:type="gramStart"/>
      <w:r w:rsidR="00294828">
        <w:rPr>
          <w:rFonts w:ascii="Times New Roman" w:hAnsi="Times New Roman" w:cs="Times New Roman"/>
          <w:sz w:val="24"/>
          <w:szCs w:val="24"/>
        </w:rPr>
        <w:t>)(</w:t>
      </w:r>
      <w:proofErr w:type="gramEnd"/>
      <w:r w:rsidR="00294828">
        <w:rPr>
          <w:rFonts w:ascii="Times New Roman" w:hAnsi="Times New Roman" w:cs="Times New Roman"/>
          <w:sz w:val="24"/>
          <w:szCs w:val="24"/>
        </w:rPr>
        <w:t>b)(ii)</w:t>
      </w:r>
      <w:r w:rsidR="00127A40">
        <w:rPr>
          <w:rFonts w:ascii="Times New Roman" w:hAnsi="Times New Roman" w:cs="Times New Roman"/>
          <w:sz w:val="24"/>
          <w:szCs w:val="24"/>
        </w:rPr>
        <w:t>)</w:t>
      </w:r>
      <w:r>
        <w:rPr>
          <w:rFonts w:ascii="Times New Roman" w:hAnsi="Times New Roman" w:cs="Times New Roman"/>
          <w:sz w:val="24"/>
          <w:szCs w:val="24"/>
        </w:rPr>
        <w:t xml:space="preserve">, </w:t>
      </w:r>
      <w:r w:rsidR="00FE7AF1">
        <w:rPr>
          <w:rFonts w:ascii="Times New Roman" w:hAnsi="Times New Roman" w:cs="Times New Roman"/>
          <w:sz w:val="24"/>
          <w:szCs w:val="24"/>
        </w:rPr>
        <w:t>an</w:t>
      </w:r>
      <w:r>
        <w:rPr>
          <w:rFonts w:ascii="Times New Roman" w:hAnsi="Times New Roman" w:cs="Times New Roman"/>
          <w:sz w:val="24"/>
          <w:szCs w:val="24"/>
        </w:rPr>
        <w:t xml:space="preserve"> offence would have been serious enough to warrant a Court sentencing the ADF member to imprisonment. In these circumstances, </w:t>
      </w:r>
      <w:r>
        <w:rPr>
          <w:rFonts w:ascii="Times New Roman" w:hAnsi="Times New Roman" w:cs="Times New Roman"/>
          <w:sz w:val="24"/>
          <w:szCs w:val="24"/>
        </w:rPr>
        <w:lastRenderedPageBreak/>
        <w:t xml:space="preserve">provision of written notice is unlikely to make any practical difference to the outcome, but the </w:t>
      </w:r>
      <w:r w:rsidR="00127A40">
        <w:rPr>
          <w:rFonts w:ascii="Times New Roman" w:hAnsi="Times New Roman" w:cs="Times New Roman"/>
          <w:sz w:val="24"/>
          <w:szCs w:val="24"/>
        </w:rPr>
        <w:t>14 day delay</w:t>
      </w:r>
      <w:r>
        <w:rPr>
          <w:rFonts w:ascii="Times New Roman" w:hAnsi="Times New Roman" w:cs="Times New Roman"/>
          <w:sz w:val="24"/>
          <w:szCs w:val="24"/>
        </w:rPr>
        <w:t xml:space="preserve"> </w:t>
      </w:r>
      <w:r w:rsidR="00127A40">
        <w:rPr>
          <w:rFonts w:ascii="Times New Roman" w:hAnsi="Times New Roman" w:cs="Times New Roman"/>
          <w:sz w:val="24"/>
          <w:szCs w:val="24"/>
        </w:rPr>
        <w:t>could</w:t>
      </w:r>
      <w:r>
        <w:rPr>
          <w:rFonts w:ascii="Times New Roman" w:hAnsi="Times New Roman" w:cs="Times New Roman"/>
          <w:sz w:val="24"/>
          <w:szCs w:val="24"/>
        </w:rPr>
        <w:t xml:space="preserve"> have a considerable impact on the ADF’s reputation and the morale and discipline of serving ADF members. </w:t>
      </w:r>
    </w:p>
    <w:p w14:paraId="53FA8000" w14:textId="77777777" w:rsidR="00294828" w:rsidRPr="00294828" w:rsidRDefault="00294828" w:rsidP="00294828">
      <w:pPr>
        <w:pStyle w:val="ListParagraph"/>
        <w:rPr>
          <w:rFonts w:ascii="Times New Roman" w:hAnsi="Times New Roman" w:cs="Times New Roman"/>
          <w:sz w:val="24"/>
          <w:szCs w:val="24"/>
        </w:rPr>
      </w:pPr>
    </w:p>
    <w:p w14:paraId="4C0D6035" w14:textId="77777777" w:rsidR="00226382" w:rsidRDefault="00294828" w:rsidP="00294828">
      <w:pPr>
        <w:pStyle w:val="ListParagraph"/>
        <w:numPr>
          <w:ilvl w:val="0"/>
          <w:numId w:val="2"/>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 xml:space="preserve">In the second case (paragraph 24(3)(c)), </w:t>
      </w:r>
      <w:r w:rsidR="00127A40">
        <w:rPr>
          <w:rFonts w:ascii="Times New Roman" w:hAnsi="Times New Roman" w:cs="Times New Roman"/>
          <w:sz w:val="24"/>
          <w:szCs w:val="24"/>
        </w:rPr>
        <w:t>the CDF or a Service Chief must be</w:t>
      </w:r>
      <w:r>
        <w:rPr>
          <w:rFonts w:ascii="Times New Roman" w:hAnsi="Times New Roman" w:cs="Times New Roman"/>
          <w:sz w:val="24"/>
          <w:szCs w:val="24"/>
        </w:rPr>
        <w:t xml:space="preserve"> satisfied that providing 14 days written notice is not in the interests of the Defence Force. Reasons for something being or not being in the ‘interests of the Defence Force’ are outlined in section 6 of the Regulation, and include the morale, welfare and discipline of the ADF and the reputation and community standing of the ADF. An example of when this paragraph might be used is where an ADF member has been convicted of an offence but not yet sentenced. Its use would be rare</w:t>
      </w:r>
      <w:r w:rsidR="00226382">
        <w:rPr>
          <w:rFonts w:ascii="Times New Roman" w:hAnsi="Times New Roman" w:cs="Times New Roman"/>
          <w:sz w:val="24"/>
          <w:szCs w:val="24"/>
        </w:rPr>
        <w:t xml:space="preserve">, as it would only be available in a case where the nature of the offence or circumstances of the offending mean that a 14 day delay before deciding to terminate an ADF member’s service would not be in the interests of the Defence Force. Only the CDF or a Service Chief delegated by the CDF can decide to terminate without written notice for this reason, providing a practical </w:t>
      </w:r>
      <w:r w:rsidR="00127A40">
        <w:rPr>
          <w:rFonts w:ascii="Times New Roman" w:hAnsi="Times New Roman" w:cs="Times New Roman"/>
          <w:sz w:val="24"/>
          <w:szCs w:val="24"/>
        </w:rPr>
        <w:t>safeguard against the</w:t>
      </w:r>
      <w:r w:rsidR="00226382">
        <w:rPr>
          <w:rFonts w:ascii="Times New Roman" w:hAnsi="Times New Roman" w:cs="Times New Roman"/>
          <w:sz w:val="24"/>
          <w:szCs w:val="24"/>
        </w:rPr>
        <w:t xml:space="preserve"> possibility that this paragraph will be over-used or abused.</w:t>
      </w:r>
    </w:p>
    <w:p w14:paraId="3830B3C9" w14:textId="77777777" w:rsidR="00226382" w:rsidRPr="00226382" w:rsidRDefault="00226382" w:rsidP="00226382">
      <w:pPr>
        <w:pStyle w:val="ListParagraph"/>
        <w:rPr>
          <w:rFonts w:ascii="Times New Roman" w:hAnsi="Times New Roman" w:cs="Times New Roman"/>
          <w:sz w:val="24"/>
          <w:szCs w:val="24"/>
        </w:rPr>
      </w:pPr>
    </w:p>
    <w:p w14:paraId="3F6DFA64" w14:textId="77777777" w:rsidR="00226382" w:rsidRDefault="00226382" w:rsidP="00294828">
      <w:pPr>
        <w:pStyle w:val="ListParagraph"/>
        <w:numPr>
          <w:ilvl w:val="0"/>
          <w:numId w:val="2"/>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While the ‘hearing rule’ has been abrogated in these limited circumstances, other decision-making principles continue to apply, such as the rule against bias or the requirement for reasonableness.</w:t>
      </w:r>
    </w:p>
    <w:p w14:paraId="792B9608" w14:textId="77777777" w:rsidR="00226382" w:rsidRPr="00226382" w:rsidRDefault="00226382" w:rsidP="00226382">
      <w:pPr>
        <w:pStyle w:val="ListParagraph"/>
        <w:rPr>
          <w:rFonts w:ascii="Times New Roman" w:hAnsi="Times New Roman" w:cs="Times New Roman"/>
          <w:sz w:val="24"/>
          <w:szCs w:val="24"/>
        </w:rPr>
      </w:pPr>
    </w:p>
    <w:p w14:paraId="1827AA98" w14:textId="77777777" w:rsidR="00127A40" w:rsidRDefault="00127A40" w:rsidP="00226382">
      <w:pPr>
        <w:pStyle w:val="ListParagraph"/>
        <w:numPr>
          <w:ilvl w:val="0"/>
          <w:numId w:val="2"/>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Accordingly, the changes made to notice requirements by the Amending Regulations are reasonable, necessary and proportionate to the pursuit of a legitimate objective.</w:t>
      </w:r>
    </w:p>
    <w:p w14:paraId="44C83C18" w14:textId="77777777" w:rsidR="00127A40" w:rsidRDefault="00127A40" w:rsidP="00127A40">
      <w:pPr>
        <w:pStyle w:val="ListParagraph"/>
        <w:tabs>
          <w:tab w:val="left" w:pos="567"/>
        </w:tabs>
        <w:spacing w:after="0"/>
        <w:ind w:left="0"/>
        <w:rPr>
          <w:rFonts w:ascii="Times New Roman" w:hAnsi="Times New Roman" w:cs="Times New Roman"/>
          <w:sz w:val="24"/>
          <w:szCs w:val="24"/>
        </w:rPr>
      </w:pPr>
    </w:p>
    <w:p w14:paraId="50B64B5F" w14:textId="77777777" w:rsidR="00127A40" w:rsidRPr="00127A40" w:rsidRDefault="00127A40" w:rsidP="00127A40">
      <w:pPr>
        <w:pStyle w:val="ListParagraph"/>
        <w:tabs>
          <w:tab w:val="left" w:pos="567"/>
        </w:tabs>
        <w:spacing w:after="0"/>
        <w:ind w:left="0"/>
        <w:rPr>
          <w:rFonts w:ascii="Times New Roman" w:hAnsi="Times New Roman" w:cs="Times New Roman"/>
          <w:b/>
          <w:sz w:val="24"/>
          <w:szCs w:val="24"/>
        </w:rPr>
      </w:pPr>
      <w:r w:rsidRPr="00127A40">
        <w:rPr>
          <w:rFonts w:ascii="Times New Roman" w:hAnsi="Times New Roman" w:cs="Times New Roman"/>
          <w:b/>
          <w:sz w:val="24"/>
          <w:szCs w:val="24"/>
        </w:rPr>
        <w:t>Conclusion</w:t>
      </w:r>
    </w:p>
    <w:p w14:paraId="7C764F81" w14:textId="77777777" w:rsidR="00127A40" w:rsidRPr="00127A40" w:rsidRDefault="00127A40" w:rsidP="00127A40">
      <w:pPr>
        <w:pStyle w:val="ListParagraph"/>
        <w:rPr>
          <w:rFonts w:ascii="Times New Roman" w:hAnsi="Times New Roman" w:cs="Times New Roman"/>
          <w:sz w:val="24"/>
          <w:szCs w:val="24"/>
        </w:rPr>
      </w:pPr>
    </w:p>
    <w:p w14:paraId="61D4F974" w14:textId="77777777" w:rsidR="00294828" w:rsidRDefault="00127A40" w:rsidP="00226382">
      <w:pPr>
        <w:pStyle w:val="ListParagraph"/>
        <w:numPr>
          <w:ilvl w:val="0"/>
          <w:numId w:val="2"/>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The Amending Regulations are compatible with human rights. To the extent that the Amending Regulations may limit the right to work and rights at work, that limitation is in pursuit of a legitimate objective, and is reasonable and necessary to achieve that purpose.</w:t>
      </w:r>
    </w:p>
    <w:p w14:paraId="4272BF11" w14:textId="77777777" w:rsidR="00127A40" w:rsidRDefault="00127A40" w:rsidP="00127A40">
      <w:pPr>
        <w:tabs>
          <w:tab w:val="left" w:pos="567"/>
        </w:tabs>
        <w:spacing w:after="0"/>
        <w:rPr>
          <w:rFonts w:ascii="Times New Roman" w:hAnsi="Times New Roman" w:cs="Times New Roman"/>
          <w:sz w:val="24"/>
          <w:szCs w:val="24"/>
        </w:rPr>
      </w:pPr>
    </w:p>
    <w:p w14:paraId="4718C68B" w14:textId="77777777" w:rsidR="00127A40" w:rsidRDefault="00127A40" w:rsidP="00127A40">
      <w:pPr>
        <w:tabs>
          <w:tab w:val="left" w:pos="567"/>
        </w:tabs>
        <w:spacing w:after="0"/>
        <w:rPr>
          <w:rFonts w:ascii="Times New Roman" w:hAnsi="Times New Roman" w:cs="Times New Roman"/>
          <w:sz w:val="24"/>
          <w:szCs w:val="24"/>
        </w:rPr>
      </w:pPr>
    </w:p>
    <w:p w14:paraId="1C859465" w14:textId="77777777" w:rsidR="00127A40" w:rsidRDefault="00127A40" w:rsidP="00127A40">
      <w:pPr>
        <w:tabs>
          <w:tab w:val="left" w:pos="567"/>
        </w:tabs>
        <w:spacing w:after="0"/>
        <w:rPr>
          <w:rFonts w:ascii="Times New Roman" w:hAnsi="Times New Roman" w:cs="Times New Roman"/>
          <w:sz w:val="24"/>
          <w:szCs w:val="24"/>
        </w:rPr>
      </w:pPr>
    </w:p>
    <w:p w14:paraId="4B9AAE9F" w14:textId="77777777" w:rsidR="00127A40" w:rsidRPr="00127A40" w:rsidRDefault="00127A40" w:rsidP="00127A40">
      <w:pPr>
        <w:tabs>
          <w:tab w:val="left" w:pos="567"/>
        </w:tabs>
        <w:spacing w:after="0"/>
        <w:rPr>
          <w:rFonts w:ascii="Times New Roman" w:hAnsi="Times New Roman" w:cs="Times New Roman"/>
          <w:b/>
          <w:sz w:val="24"/>
          <w:szCs w:val="24"/>
        </w:rPr>
      </w:pPr>
      <w:r w:rsidRPr="00127A40">
        <w:rPr>
          <w:rFonts w:ascii="Times New Roman" w:hAnsi="Times New Roman" w:cs="Times New Roman"/>
          <w:b/>
          <w:sz w:val="24"/>
          <w:szCs w:val="24"/>
        </w:rPr>
        <w:t>Darren Chester</w:t>
      </w:r>
    </w:p>
    <w:p w14:paraId="0829F1FE" w14:textId="77777777" w:rsidR="00127A40" w:rsidRPr="00127A40" w:rsidRDefault="00127A40" w:rsidP="00127A40">
      <w:pPr>
        <w:tabs>
          <w:tab w:val="left" w:pos="567"/>
        </w:tabs>
        <w:spacing w:after="0"/>
        <w:rPr>
          <w:rFonts w:ascii="Times New Roman" w:hAnsi="Times New Roman" w:cs="Times New Roman"/>
          <w:b/>
          <w:sz w:val="24"/>
          <w:szCs w:val="24"/>
        </w:rPr>
      </w:pPr>
      <w:r w:rsidRPr="00127A40">
        <w:rPr>
          <w:rFonts w:ascii="Times New Roman" w:hAnsi="Times New Roman" w:cs="Times New Roman"/>
          <w:b/>
          <w:sz w:val="24"/>
          <w:szCs w:val="24"/>
        </w:rPr>
        <w:t>Minister for Veterans and Defence Personnel</w:t>
      </w:r>
    </w:p>
    <w:p w14:paraId="4C3543C9" w14:textId="77777777" w:rsidR="001E6B6A" w:rsidRDefault="001E6B6A" w:rsidP="001E6B6A">
      <w:pPr>
        <w:pStyle w:val="ListParagraph"/>
        <w:tabs>
          <w:tab w:val="left" w:pos="567"/>
        </w:tabs>
        <w:spacing w:after="0"/>
        <w:ind w:left="0"/>
        <w:rPr>
          <w:rFonts w:ascii="Times New Roman" w:hAnsi="Times New Roman" w:cs="Times New Roman"/>
          <w:sz w:val="24"/>
          <w:szCs w:val="24"/>
        </w:rPr>
      </w:pPr>
    </w:p>
    <w:p w14:paraId="32765DCC" w14:textId="77777777" w:rsidR="00477882" w:rsidRDefault="00477882" w:rsidP="00477882">
      <w:pPr>
        <w:tabs>
          <w:tab w:val="left" w:pos="567"/>
        </w:tabs>
        <w:spacing w:after="0"/>
        <w:rPr>
          <w:rFonts w:ascii="Times New Roman" w:hAnsi="Times New Roman" w:cs="Times New Roman"/>
          <w:sz w:val="24"/>
          <w:szCs w:val="24"/>
        </w:rPr>
      </w:pPr>
    </w:p>
    <w:p w14:paraId="01F9248B" w14:textId="77777777" w:rsidR="00477882" w:rsidRPr="00477882" w:rsidRDefault="00477882" w:rsidP="00477882">
      <w:pPr>
        <w:tabs>
          <w:tab w:val="left" w:pos="567"/>
        </w:tabs>
        <w:spacing w:after="0"/>
        <w:rPr>
          <w:rFonts w:ascii="Times New Roman" w:hAnsi="Times New Roman" w:cs="Times New Roman"/>
          <w:sz w:val="24"/>
          <w:szCs w:val="24"/>
        </w:rPr>
      </w:pPr>
    </w:p>
    <w:p w14:paraId="4DFB9C45" w14:textId="77777777" w:rsidR="00477882" w:rsidRPr="00567A97" w:rsidRDefault="00477882" w:rsidP="00477882">
      <w:pPr>
        <w:pStyle w:val="ListParagraph"/>
        <w:tabs>
          <w:tab w:val="left" w:pos="567"/>
        </w:tabs>
        <w:spacing w:after="0"/>
        <w:ind w:left="0"/>
        <w:rPr>
          <w:rFonts w:ascii="Times New Roman" w:hAnsi="Times New Roman" w:cs="Times New Roman"/>
          <w:sz w:val="24"/>
          <w:szCs w:val="24"/>
        </w:rPr>
      </w:pPr>
    </w:p>
    <w:p w14:paraId="48A6F09D" w14:textId="77777777" w:rsidR="00127A40" w:rsidRDefault="00127A40">
      <w:pPr>
        <w:rPr>
          <w:rFonts w:ascii="Times New Roman" w:hAnsi="Times New Roman" w:cs="Times New Roman"/>
          <w:sz w:val="24"/>
          <w:szCs w:val="24"/>
        </w:rPr>
      </w:pPr>
      <w:r>
        <w:rPr>
          <w:rFonts w:ascii="Times New Roman" w:hAnsi="Times New Roman" w:cs="Times New Roman"/>
          <w:sz w:val="24"/>
          <w:szCs w:val="24"/>
        </w:rPr>
        <w:br w:type="page"/>
      </w:r>
    </w:p>
    <w:p w14:paraId="476996F1" w14:textId="60BC2A78" w:rsidR="00567A97" w:rsidRDefault="009F55F2" w:rsidP="009F55F2">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ATTACHMENT A – PROVISIONS IN DEFENCE AMENDMENT (20</w:t>
      </w:r>
      <w:r w:rsidR="007D3F1F">
        <w:rPr>
          <w:rFonts w:ascii="Times New Roman" w:hAnsi="Times New Roman" w:cs="Times New Roman"/>
          <w:b/>
          <w:sz w:val="24"/>
          <w:szCs w:val="24"/>
        </w:rPr>
        <w:t>20</w:t>
      </w:r>
      <w:r>
        <w:rPr>
          <w:rFonts w:ascii="Times New Roman" w:hAnsi="Times New Roman" w:cs="Times New Roman"/>
          <w:b/>
          <w:sz w:val="24"/>
          <w:szCs w:val="24"/>
        </w:rPr>
        <w:t xml:space="preserve"> MEASURES NO. 1) REGULATIONS 20</w:t>
      </w:r>
      <w:r w:rsidR="007D3F1F">
        <w:rPr>
          <w:rFonts w:ascii="Times New Roman" w:hAnsi="Times New Roman" w:cs="Times New Roman"/>
          <w:b/>
          <w:sz w:val="24"/>
          <w:szCs w:val="24"/>
        </w:rPr>
        <w:t>20</w:t>
      </w:r>
    </w:p>
    <w:p w14:paraId="38D08892" w14:textId="77777777" w:rsidR="009F55F2" w:rsidRDefault="009F55F2" w:rsidP="009F55F2">
      <w:pPr>
        <w:tabs>
          <w:tab w:val="left" w:pos="567"/>
        </w:tabs>
        <w:spacing w:after="0"/>
        <w:jc w:val="center"/>
        <w:rPr>
          <w:rFonts w:ascii="Times New Roman" w:hAnsi="Times New Roman" w:cs="Times New Roman"/>
          <w:b/>
          <w:sz w:val="24"/>
          <w:szCs w:val="24"/>
        </w:rPr>
      </w:pPr>
    </w:p>
    <w:p w14:paraId="33142DE5" w14:textId="77777777" w:rsidR="00936FE5" w:rsidRPr="003E6958" w:rsidRDefault="00936FE5" w:rsidP="00936FE5">
      <w:pPr>
        <w:pStyle w:val="ListParagraph"/>
        <w:tabs>
          <w:tab w:val="left" w:pos="567"/>
        </w:tabs>
        <w:spacing w:after="0"/>
        <w:ind w:left="0"/>
        <w:rPr>
          <w:rFonts w:ascii="Times New Roman" w:hAnsi="Times New Roman" w:cs="Times New Roman"/>
          <w:b/>
          <w:sz w:val="24"/>
          <w:szCs w:val="24"/>
        </w:rPr>
      </w:pPr>
      <w:r w:rsidRPr="003E6958">
        <w:rPr>
          <w:rFonts w:ascii="Times New Roman" w:hAnsi="Times New Roman" w:cs="Times New Roman"/>
          <w:b/>
          <w:sz w:val="24"/>
          <w:szCs w:val="24"/>
        </w:rPr>
        <w:t>Section 1 – Name</w:t>
      </w:r>
    </w:p>
    <w:p w14:paraId="28317067" w14:textId="77777777" w:rsidR="00936FE5" w:rsidRDefault="00936FE5" w:rsidP="00936FE5">
      <w:pPr>
        <w:pStyle w:val="ListParagraph"/>
        <w:tabs>
          <w:tab w:val="left" w:pos="567"/>
        </w:tabs>
        <w:spacing w:after="0"/>
        <w:ind w:left="0"/>
        <w:rPr>
          <w:rFonts w:ascii="Times New Roman" w:hAnsi="Times New Roman" w:cs="Times New Roman"/>
          <w:sz w:val="24"/>
          <w:szCs w:val="24"/>
        </w:rPr>
      </w:pPr>
    </w:p>
    <w:p w14:paraId="0BB1DA77" w14:textId="2D93668C" w:rsidR="009F55F2" w:rsidRDefault="00936FE5" w:rsidP="009F55F2">
      <w:pPr>
        <w:pStyle w:val="ListParagraph"/>
        <w:numPr>
          <w:ilvl w:val="0"/>
          <w:numId w:val="3"/>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Section 1 provides for the Amending Regulations’ name: Defence Amendment (20</w:t>
      </w:r>
      <w:r w:rsidR="00A77CE1">
        <w:rPr>
          <w:rFonts w:ascii="Times New Roman" w:hAnsi="Times New Roman" w:cs="Times New Roman"/>
          <w:sz w:val="24"/>
          <w:szCs w:val="24"/>
        </w:rPr>
        <w:t>20</w:t>
      </w:r>
      <w:r>
        <w:rPr>
          <w:rFonts w:ascii="Times New Roman" w:hAnsi="Times New Roman" w:cs="Times New Roman"/>
          <w:sz w:val="24"/>
          <w:szCs w:val="24"/>
        </w:rPr>
        <w:t xml:space="preserve"> Measures No. 1) Regulations 20</w:t>
      </w:r>
      <w:r w:rsidR="00A77CE1">
        <w:rPr>
          <w:rFonts w:ascii="Times New Roman" w:hAnsi="Times New Roman" w:cs="Times New Roman"/>
          <w:sz w:val="24"/>
          <w:szCs w:val="24"/>
        </w:rPr>
        <w:t>20</w:t>
      </w:r>
      <w:r>
        <w:rPr>
          <w:rFonts w:ascii="Times New Roman" w:hAnsi="Times New Roman" w:cs="Times New Roman"/>
          <w:sz w:val="24"/>
          <w:szCs w:val="24"/>
        </w:rPr>
        <w:t>.</w:t>
      </w:r>
    </w:p>
    <w:p w14:paraId="4116BFCD" w14:textId="77777777" w:rsidR="00936FE5" w:rsidRDefault="00936FE5" w:rsidP="00936FE5">
      <w:pPr>
        <w:tabs>
          <w:tab w:val="left" w:pos="567"/>
        </w:tabs>
        <w:spacing w:after="0"/>
        <w:rPr>
          <w:rFonts w:ascii="Times New Roman" w:hAnsi="Times New Roman" w:cs="Times New Roman"/>
          <w:sz w:val="24"/>
          <w:szCs w:val="24"/>
        </w:rPr>
      </w:pPr>
    </w:p>
    <w:p w14:paraId="20C8FAA2" w14:textId="77777777" w:rsidR="00936FE5" w:rsidRPr="003E6958" w:rsidRDefault="00936FE5" w:rsidP="00936FE5">
      <w:pPr>
        <w:tabs>
          <w:tab w:val="left" w:pos="567"/>
        </w:tabs>
        <w:spacing w:after="0"/>
        <w:rPr>
          <w:rFonts w:ascii="Times New Roman" w:hAnsi="Times New Roman" w:cs="Times New Roman"/>
          <w:b/>
          <w:sz w:val="24"/>
          <w:szCs w:val="24"/>
        </w:rPr>
      </w:pPr>
      <w:r w:rsidRPr="003E6958">
        <w:rPr>
          <w:rFonts w:ascii="Times New Roman" w:hAnsi="Times New Roman" w:cs="Times New Roman"/>
          <w:b/>
          <w:sz w:val="24"/>
          <w:szCs w:val="24"/>
        </w:rPr>
        <w:t>Section 2 – Commencement</w:t>
      </w:r>
    </w:p>
    <w:p w14:paraId="5943E68D" w14:textId="77777777" w:rsidR="00936FE5" w:rsidRDefault="00936FE5" w:rsidP="00936FE5">
      <w:pPr>
        <w:tabs>
          <w:tab w:val="left" w:pos="567"/>
        </w:tabs>
        <w:spacing w:after="0"/>
        <w:rPr>
          <w:rFonts w:ascii="Times New Roman" w:hAnsi="Times New Roman" w:cs="Times New Roman"/>
          <w:sz w:val="24"/>
          <w:szCs w:val="24"/>
        </w:rPr>
      </w:pPr>
    </w:p>
    <w:p w14:paraId="1CF096ED" w14:textId="77777777" w:rsidR="00936FE5" w:rsidRPr="00936FE5" w:rsidRDefault="00936FE5" w:rsidP="00936FE5">
      <w:pPr>
        <w:pStyle w:val="ListParagraph"/>
        <w:numPr>
          <w:ilvl w:val="0"/>
          <w:numId w:val="3"/>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Section 2 provides for the whole of the instrument to commence the day after it is registered.</w:t>
      </w:r>
    </w:p>
    <w:p w14:paraId="54DAC48F" w14:textId="77777777" w:rsidR="00936FE5" w:rsidRDefault="00936FE5" w:rsidP="00936FE5">
      <w:pPr>
        <w:tabs>
          <w:tab w:val="left" w:pos="567"/>
        </w:tabs>
        <w:spacing w:after="0"/>
        <w:rPr>
          <w:rFonts w:ascii="Times New Roman" w:hAnsi="Times New Roman" w:cs="Times New Roman"/>
          <w:sz w:val="24"/>
          <w:szCs w:val="24"/>
        </w:rPr>
      </w:pPr>
    </w:p>
    <w:p w14:paraId="67B38035" w14:textId="77777777" w:rsidR="00936FE5" w:rsidRPr="003E6958" w:rsidRDefault="00936FE5" w:rsidP="00936FE5">
      <w:pPr>
        <w:tabs>
          <w:tab w:val="left" w:pos="567"/>
        </w:tabs>
        <w:spacing w:after="0"/>
        <w:rPr>
          <w:rFonts w:ascii="Times New Roman" w:hAnsi="Times New Roman" w:cs="Times New Roman"/>
          <w:b/>
          <w:sz w:val="24"/>
          <w:szCs w:val="24"/>
        </w:rPr>
      </w:pPr>
      <w:r w:rsidRPr="003E6958">
        <w:rPr>
          <w:rFonts w:ascii="Times New Roman" w:hAnsi="Times New Roman" w:cs="Times New Roman"/>
          <w:b/>
          <w:sz w:val="24"/>
          <w:szCs w:val="24"/>
        </w:rPr>
        <w:t>Section 3 – Authority</w:t>
      </w:r>
    </w:p>
    <w:p w14:paraId="6C4A5E6C" w14:textId="77777777" w:rsidR="00936FE5" w:rsidRDefault="00936FE5" w:rsidP="00936FE5">
      <w:pPr>
        <w:tabs>
          <w:tab w:val="left" w:pos="567"/>
        </w:tabs>
        <w:spacing w:after="0"/>
        <w:rPr>
          <w:rFonts w:ascii="Times New Roman" w:hAnsi="Times New Roman" w:cs="Times New Roman"/>
          <w:sz w:val="24"/>
          <w:szCs w:val="24"/>
        </w:rPr>
      </w:pPr>
    </w:p>
    <w:p w14:paraId="7C154805" w14:textId="77777777" w:rsidR="00936FE5" w:rsidRDefault="00936FE5" w:rsidP="00936FE5">
      <w:pPr>
        <w:pStyle w:val="ListParagraph"/>
        <w:numPr>
          <w:ilvl w:val="0"/>
          <w:numId w:val="3"/>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Section 3 provides that the Amending Regulations are made under the Defence Act 1903.</w:t>
      </w:r>
    </w:p>
    <w:p w14:paraId="5778F282" w14:textId="77777777" w:rsidR="00936FE5" w:rsidRDefault="00936FE5" w:rsidP="00936FE5">
      <w:pPr>
        <w:tabs>
          <w:tab w:val="left" w:pos="567"/>
        </w:tabs>
        <w:spacing w:after="0"/>
        <w:rPr>
          <w:rFonts w:ascii="Times New Roman" w:hAnsi="Times New Roman" w:cs="Times New Roman"/>
          <w:sz w:val="24"/>
          <w:szCs w:val="24"/>
        </w:rPr>
      </w:pPr>
    </w:p>
    <w:p w14:paraId="55FC4775" w14:textId="77777777" w:rsidR="00936FE5" w:rsidRPr="003E6958" w:rsidRDefault="00936FE5" w:rsidP="00936FE5">
      <w:pPr>
        <w:tabs>
          <w:tab w:val="left" w:pos="567"/>
        </w:tabs>
        <w:spacing w:after="0"/>
        <w:rPr>
          <w:rFonts w:ascii="Times New Roman" w:hAnsi="Times New Roman" w:cs="Times New Roman"/>
          <w:b/>
          <w:sz w:val="24"/>
          <w:szCs w:val="24"/>
        </w:rPr>
      </w:pPr>
      <w:r w:rsidRPr="003E6958">
        <w:rPr>
          <w:rFonts w:ascii="Times New Roman" w:hAnsi="Times New Roman" w:cs="Times New Roman"/>
          <w:b/>
          <w:sz w:val="24"/>
          <w:szCs w:val="24"/>
        </w:rPr>
        <w:t>Section 4 – Schedules</w:t>
      </w:r>
    </w:p>
    <w:p w14:paraId="4A4E325D" w14:textId="77777777" w:rsidR="00936FE5" w:rsidRDefault="00936FE5" w:rsidP="00936FE5">
      <w:pPr>
        <w:tabs>
          <w:tab w:val="left" w:pos="567"/>
        </w:tabs>
        <w:spacing w:after="0"/>
        <w:rPr>
          <w:rFonts w:ascii="Times New Roman" w:hAnsi="Times New Roman" w:cs="Times New Roman"/>
          <w:sz w:val="24"/>
          <w:szCs w:val="24"/>
        </w:rPr>
      </w:pPr>
    </w:p>
    <w:p w14:paraId="34EEF1FA" w14:textId="77777777" w:rsidR="00936FE5" w:rsidRDefault="00936FE5" w:rsidP="00936FE5">
      <w:pPr>
        <w:pStyle w:val="ListParagraph"/>
        <w:numPr>
          <w:ilvl w:val="0"/>
          <w:numId w:val="3"/>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Section 4 provides that instruments specified in a Sc</w:t>
      </w:r>
      <w:r w:rsidR="00947FC9">
        <w:rPr>
          <w:rFonts w:ascii="Times New Roman" w:hAnsi="Times New Roman" w:cs="Times New Roman"/>
          <w:sz w:val="24"/>
          <w:szCs w:val="24"/>
        </w:rPr>
        <w:t>he</w:t>
      </w:r>
      <w:r>
        <w:rPr>
          <w:rFonts w:ascii="Times New Roman" w:hAnsi="Times New Roman" w:cs="Times New Roman"/>
          <w:sz w:val="24"/>
          <w:szCs w:val="24"/>
        </w:rPr>
        <w:t>dule to the Amending Regulations are amended or repealed as set out in the Schedule. Other items in a Schedule to the Amending Regulations have effect according to their terms.</w:t>
      </w:r>
    </w:p>
    <w:p w14:paraId="4DC5D5A4" w14:textId="77777777" w:rsidR="00947FC9" w:rsidRDefault="00947FC9" w:rsidP="00947FC9">
      <w:pPr>
        <w:pStyle w:val="ListParagraph"/>
        <w:tabs>
          <w:tab w:val="left" w:pos="567"/>
        </w:tabs>
        <w:spacing w:after="0"/>
        <w:ind w:left="0"/>
        <w:rPr>
          <w:rFonts w:ascii="Times New Roman" w:hAnsi="Times New Roman" w:cs="Times New Roman"/>
          <w:sz w:val="24"/>
          <w:szCs w:val="24"/>
        </w:rPr>
      </w:pPr>
    </w:p>
    <w:p w14:paraId="39A1DBE8" w14:textId="77777777" w:rsidR="00947FC9" w:rsidRPr="003E6958" w:rsidRDefault="00947FC9" w:rsidP="00947FC9">
      <w:pPr>
        <w:pStyle w:val="ListParagraph"/>
        <w:tabs>
          <w:tab w:val="left" w:pos="567"/>
        </w:tabs>
        <w:spacing w:after="0"/>
        <w:ind w:left="0"/>
        <w:rPr>
          <w:rFonts w:ascii="Times New Roman" w:hAnsi="Times New Roman" w:cs="Times New Roman"/>
          <w:b/>
          <w:sz w:val="24"/>
          <w:szCs w:val="24"/>
          <w:u w:val="single"/>
        </w:rPr>
      </w:pPr>
      <w:r w:rsidRPr="003E6958">
        <w:rPr>
          <w:rFonts w:ascii="Times New Roman" w:hAnsi="Times New Roman" w:cs="Times New Roman"/>
          <w:b/>
          <w:sz w:val="24"/>
          <w:szCs w:val="24"/>
          <w:u w:val="single"/>
        </w:rPr>
        <w:t>Schedule 1 – Amendments</w:t>
      </w:r>
    </w:p>
    <w:p w14:paraId="117E1944" w14:textId="77777777" w:rsidR="00947FC9" w:rsidRDefault="00947FC9" w:rsidP="00947FC9">
      <w:pPr>
        <w:pStyle w:val="ListParagraph"/>
        <w:tabs>
          <w:tab w:val="left" w:pos="567"/>
        </w:tabs>
        <w:spacing w:after="0"/>
        <w:ind w:left="0"/>
        <w:rPr>
          <w:rFonts w:ascii="Times New Roman" w:hAnsi="Times New Roman" w:cs="Times New Roman"/>
          <w:sz w:val="24"/>
          <w:szCs w:val="24"/>
        </w:rPr>
      </w:pPr>
    </w:p>
    <w:p w14:paraId="2D9C1235" w14:textId="77777777" w:rsidR="00947FC9" w:rsidRDefault="00947FC9" w:rsidP="00936FE5">
      <w:pPr>
        <w:pStyle w:val="ListParagraph"/>
        <w:numPr>
          <w:ilvl w:val="0"/>
          <w:numId w:val="3"/>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Schedule 1 provides for amendments to the Defence Regulation 2016 (the Regulation), including changes to the meaning of ‘interests of the Defence Force’ in section 6, the termination provision in section 24, and the delegation provision in section 84, as well as the insertion of a transitional provision.</w:t>
      </w:r>
    </w:p>
    <w:p w14:paraId="57734030" w14:textId="77777777" w:rsidR="00947FC9" w:rsidRDefault="00947FC9" w:rsidP="00947FC9">
      <w:pPr>
        <w:pStyle w:val="ListParagraph"/>
        <w:tabs>
          <w:tab w:val="left" w:pos="567"/>
        </w:tabs>
        <w:spacing w:after="0"/>
        <w:ind w:left="0"/>
        <w:rPr>
          <w:rFonts w:ascii="Times New Roman" w:hAnsi="Times New Roman" w:cs="Times New Roman"/>
          <w:sz w:val="24"/>
          <w:szCs w:val="24"/>
        </w:rPr>
      </w:pPr>
    </w:p>
    <w:p w14:paraId="7B724F78" w14:textId="77777777" w:rsidR="00947FC9" w:rsidRPr="003E6958" w:rsidRDefault="003E6958" w:rsidP="003E6958">
      <w:pPr>
        <w:pStyle w:val="ListParagraph"/>
        <w:tabs>
          <w:tab w:val="left" w:pos="567"/>
        </w:tabs>
        <w:spacing w:after="0"/>
        <w:ind w:left="0"/>
        <w:rPr>
          <w:rFonts w:ascii="Times New Roman" w:hAnsi="Times New Roman" w:cs="Times New Roman"/>
          <w:b/>
          <w:sz w:val="24"/>
          <w:szCs w:val="24"/>
        </w:rPr>
      </w:pPr>
      <w:r w:rsidRPr="003E6958">
        <w:rPr>
          <w:rFonts w:ascii="Times New Roman" w:hAnsi="Times New Roman" w:cs="Times New Roman"/>
          <w:b/>
          <w:sz w:val="24"/>
          <w:szCs w:val="24"/>
        </w:rPr>
        <w:t>Item 1</w:t>
      </w:r>
    </w:p>
    <w:p w14:paraId="6B5FAD38" w14:textId="77777777" w:rsidR="003E6958" w:rsidRPr="003E6958" w:rsidRDefault="003E6958" w:rsidP="003E6958">
      <w:pPr>
        <w:pStyle w:val="ListParagraph"/>
        <w:rPr>
          <w:rFonts w:ascii="Times New Roman" w:hAnsi="Times New Roman" w:cs="Times New Roman"/>
          <w:sz w:val="24"/>
          <w:szCs w:val="24"/>
        </w:rPr>
      </w:pPr>
    </w:p>
    <w:p w14:paraId="50853CA5" w14:textId="29AC9061" w:rsidR="003E6958" w:rsidRDefault="003E6958" w:rsidP="00936FE5">
      <w:pPr>
        <w:pStyle w:val="ListParagraph"/>
        <w:numPr>
          <w:ilvl w:val="0"/>
          <w:numId w:val="3"/>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This item inserts a new paragraph in subsection 6(2), which provides reasons why something may be, or may not be, in the interests of the Defence Force. New paragraph 6(2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ca) provides for the additional reason of a member’s failure to meet one or more conditions of their enlistment, appointment or promotion. This language is taken from paragraph 24(1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d), which has now been repealed. Previously, failure to meet one or more conditions was a discrete ground for termination. Changes to re-structure section 24 of the Regulation mean that this ground is now subsumed into the ground that retention of the member is not in the interests of the Defence Force. Insertion of paragraph 6(2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ca) makes it absolutely clear that failure to meet a condition of appointment</w:t>
      </w:r>
      <w:r w:rsidR="001F7586">
        <w:rPr>
          <w:rFonts w:ascii="Times New Roman" w:hAnsi="Times New Roman" w:cs="Times New Roman"/>
          <w:sz w:val="24"/>
          <w:szCs w:val="24"/>
        </w:rPr>
        <w:t>,</w:t>
      </w:r>
      <w:r>
        <w:rPr>
          <w:rFonts w:ascii="Times New Roman" w:hAnsi="Times New Roman" w:cs="Times New Roman"/>
          <w:sz w:val="24"/>
          <w:szCs w:val="24"/>
        </w:rPr>
        <w:t xml:space="preserve"> enlistment </w:t>
      </w:r>
      <w:r w:rsidR="001F7586">
        <w:rPr>
          <w:rFonts w:ascii="Times New Roman" w:hAnsi="Times New Roman" w:cs="Times New Roman"/>
          <w:sz w:val="24"/>
          <w:szCs w:val="24"/>
        </w:rPr>
        <w:t xml:space="preserve">or promotion </w:t>
      </w:r>
      <w:r>
        <w:rPr>
          <w:rFonts w:ascii="Times New Roman" w:hAnsi="Times New Roman" w:cs="Times New Roman"/>
          <w:sz w:val="24"/>
          <w:szCs w:val="24"/>
        </w:rPr>
        <w:t>is encompassed by the phrase ‘interests of the Defence Force’.</w:t>
      </w:r>
    </w:p>
    <w:p w14:paraId="22747729" w14:textId="77777777" w:rsidR="003E6958" w:rsidRDefault="003E6958" w:rsidP="003E6958">
      <w:pPr>
        <w:pStyle w:val="ListParagraph"/>
        <w:tabs>
          <w:tab w:val="left" w:pos="567"/>
        </w:tabs>
        <w:spacing w:after="0"/>
        <w:ind w:left="0"/>
        <w:rPr>
          <w:rFonts w:ascii="Times New Roman" w:hAnsi="Times New Roman" w:cs="Times New Roman"/>
          <w:sz w:val="24"/>
          <w:szCs w:val="24"/>
        </w:rPr>
      </w:pPr>
    </w:p>
    <w:p w14:paraId="690C24FA" w14:textId="77777777" w:rsidR="003E6958" w:rsidRPr="003E6958" w:rsidRDefault="003E6958" w:rsidP="003E6958">
      <w:pPr>
        <w:pStyle w:val="ListParagraph"/>
        <w:tabs>
          <w:tab w:val="left" w:pos="567"/>
        </w:tabs>
        <w:spacing w:after="0"/>
        <w:ind w:left="0"/>
        <w:rPr>
          <w:rFonts w:ascii="Times New Roman" w:hAnsi="Times New Roman" w:cs="Times New Roman"/>
          <w:b/>
          <w:sz w:val="24"/>
          <w:szCs w:val="24"/>
        </w:rPr>
      </w:pPr>
      <w:r w:rsidRPr="003E6958">
        <w:rPr>
          <w:rFonts w:ascii="Times New Roman" w:hAnsi="Times New Roman" w:cs="Times New Roman"/>
          <w:b/>
          <w:sz w:val="24"/>
          <w:szCs w:val="24"/>
        </w:rPr>
        <w:lastRenderedPageBreak/>
        <w:t>Items 2 and 3</w:t>
      </w:r>
    </w:p>
    <w:p w14:paraId="11F376CC" w14:textId="77777777" w:rsidR="003E6958" w:rsidRDefault="003E6958" w:rsidP="003E6958">
      <w:pPr>
        <w:pStyle w:val="ListParagraph"/>
        <w:tabs>
          <w:tab w:val="left" w:pos="567"/>
        </w:tabs>
        <w:spacing w:after="0"/>
        <w:ind w:left="0"/>
        <w:rPr>
          <w:rFonts w:ascii="Times New Roman" w:hAnsi="Times New Roman" w:cs="Times New Roman"/>
          <w:sz w:val="24"/>
          <w:szCs w:val="24"/>
        </w:rPr>
      </w:pPr>
    </w:p>
    <w:p w14:paraId="442119C5" w14:textId="77777777" w:rsidR="003E6958" w:rsidRDefault="003E6958" w:rsidP="00936FE5">
      <w:pPr>
        <w:pStyle w:val="ListParagraph"/>
        <w:numPr>
          <w:ilvl w:val="0"/>
          <w:numId w:val="3"/>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These items remove the grounds for termination in paragraphs 24(1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d) and (e). </w:t>
      </w:r>
      <w:r w:rsidR="00BF00D3">
        <w:rPr>
          <w:rFonts w:ascii="Times New Roman" w:hAnsi="Times New Roman" w:cs="Times New Roman"/>
          <w:sz w:val="24"/>
          <w:szCs w:val="24"/>
        </w:rPr>
        <w:t>Paragraph 24(1</w:t>
      </w:r>
      <w:proofErr w:type="gramStart"/>
      <w:r w:rsidR="00BF00D3">
        <w:rPr>
          <w:rFonts w:ascii="Times New Roman" w:hAnsi="Times New Roman" w:cs="Times New Roman"/>
          <w:sz w:val="24"/>
          <w:szCs w:val="24"/>
        </w:rPr>
        <w:t>)(</w:t>
      </w:r>
      <w:proofErr w:type="gramEnd"/>
      <w:r w:rsidR="00BF00D3">
        <w:rPr>
          <w:rFonts w:ascii="Times New Roman" w:hAnsi="Times New Roman" w:cs="Times New Roman"/>
          <w:sz w:val="24"/>
          <w:szCs w:val="24"/>
        </w:rPr>
        <w:t xml:space="preserve">d) provided for termination on the ground that a member had failed to meet a condition of their appointment or enlistment, while paragraph 24(1)(e) provided for termination on the ground that a member had been absent without leave for a continuous period of three months or more.  </w:t>
      </w:r>
    </w:p>
    <w:p w14:paraId="44E6741B" w14:textId="77777777" w:rsidR="00BF00D3" w:rsidRDefault="00BF00D3" w:rsidP="00BF00D3">
      <w:pPr>
        <w:pStyle w:val="ListParagraph"/>
        <w:tabs>
          <w:tab w:val="left" w:pos="567"/>
        </w:tabs>
        <w:spacing w:after="0"/>
        <w:ind w:left="0"/>
        <w:rPr>
          <w:rFonts w:ascii="Times New Roman" w:hAnsi="Times New Roman" w:cs="Times New Roman"/>
          <w:sz w:val="24"/>
          <w:szCs w:val="24"/>
        </w:rPr>
      </w:pPr>
    </w:p>
    <w:p w14:paraId="58010BF8" w14:textId="77777777" w:rsidR="00BF00D3" w:rsidRDefault="00BF00D3" w:rsidP="00936FE5">
      <w:pPr>
        <w:pStyle w:val="ListParagraph"/>
        <w:numPr>
          <w:ilvl w:val="0"/>
          <w:numId w:val="3"/>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These two discrete grounds for termination are now subsumed in the more general ground that retention of the member is not in the interests of the Defence Force in paragraph 24(1)(c). These grounds were previously described separately because decisions to terminate on these grounds could be made without written notice. However, the notice requirement in section 24 has been re-structured by the Amending Regulations, so it is no longer necessary to maintain these two grounds for termination separately.</w:t>
      </w:r>
    </w:p>
    <w:p w14:paraId="3B3512F8" w14:textId="77777777" w:rsidR="00BF00D3" w:rsidRPr="00BF00D3" w:rsidRDefault="00BF00D3" w:rsidP="00BF00D3">
      <w:pPr>
        <w:pStyle w:val="ListParagraph"/>
        <w:rPr>
          <w:rFonts w:ascii="Times New Roman" w:hAnsi="Times New Roman" w:cs="Times New Roman"/>
          <w:sz w:val="24"/>
          <w:szCs w:val="24"/>
        </w:rPr>
      </w:pPr>
    </w:p>
    <w:p w14:paraId="7E2580D1" w14:textId="77777777" w:rsidR="00BF00D3" w:rsidRDefault="00BF00D3" w:rsidP="00FB5025">
      <w:pPr>
        <w:pStyle w:val="ListParagraph"/>
        <w:numPr>
          <w:ilvl w:val="0"/>
          <w:numId w:val="3"/>
        </w:numPr>
        <w:tabs>
          <w:tab w:val="left" w:pos="567"/>
        </w:tabs>
        <w:spacing w:after="0"/>
        <w:ind w:left="0" w:firstLine="0"/>
        <w:rPr>
          <w:rFonts w:ascii="Times New Roman" w:hAnsi="Times New Roman" w:cs="Times New Roman"/>
          <w:sz w:val="24"/>
          <w:szCs w:val="24"/>
        </w:rPr>
      </w:pPr>
      <w:r w:rsidRPr="00BF00D3">
        <w:rPr>
          <w:rFonts w:ascii="Times New Roman" w:hAnsi="Times New Roman" w:cs="Times New Roman"/>
          <w:sz w:val="24"/>
          <w:szCs w:val="24"/>
        </w:rPr>
        <w:t>There has been no substantive change to the available grounds for termination under section 24.</w:t>
      </w:r>
    </w:p>
    <w:p w14:paraId="7FCBD220" w14:textId="77777777" w:rsidR="00BF00D3" w:rsidRPr="00BF00D3" w:rsidRDefault="00BF00D3" w:rsidP="00BF00D3">
      <w:pPr>
        <w:pStyle w:val="ListParagraph"/>
        <w:rPr>
          <w:rFonts w:ascii="Times New Roman" w:hAnsi="Times New Roman" w:cs="Times New Roman"/>
          <w:sz w:val="24"/>
          <w:szCs w:val="24"/>
        </w:rPr>
      </w:pPr>
    </w:p>
    <w:p w14:paraId="49490DBC" w14:textId="77777777" w:rsidR="00BF00D3" w:rsidRDefault="00BF00D3" w:rsidP="00BF00D3">
      <w:pPr>
        <w:pStyle w:val="ListParagraph"/>
        <w:tabs>
          <w:tab w:val="left" w:pos="567"/>
        </w:tabs>
        <w:spacing w:after="0"/>
        <w:ind w:left="0"/>
        <w:rPr>
          <w:rFonts w:ascii="Times New Roman" w:hAnsi="Times New Roman" w:cs="Times New Roman"/>
          <w:b/>
          <w:sz w:val="24"/>
          <w:szCs w:val="24"/>
        </w:rPr>
      </w:pPr>
      <w:r w:rsidRPr="00BF00D3">
        <w:rPr>
          <w:rFonts w:ascii="Times New Roman" w:hAnsi="Times New Roman" w:cs="Times New Roman"/>
          <w:b/>
          <w:sz w:val="24"/>
          <w:szCs w:val="24"/>
        </w:rPr>
        <w:t>Item 4</w:t>
      </w:r>
    </w:p>
    <w:p w14:paraId="12A0C5BC" w14:textId="77777777" w:rsidR="00BF00D3" w:rsidRPr="00BF00D3" w:rsidRDefault="00BF00D3" w:rsidP="00BF00D3">
      <w:pPr>
        <w:pStyle w:val="ListParagraph"/>
        <w:tabs>
          <w:tab w:val="left" w:pos="567"/>
        </w:tabs>
        <w:spacing w:after="0"/>
        <w:ind w:left="0"/>
        <w:rPr>
          <w:rFonts w:ascii="Times New Roman" w:hAnsi="Times New Roman" w:cs="Times New Roman"/>
          <w:b/>
          <w:sz w:val="24"/>
          <w:szCs w:val="24"/>
        </w:rPr>
      </w:pPr>
    </w:p>
    <w:p w14:paraId="3CCE6802" w14:textId="77777777" w:rsidR="00BF00D3" w:rsidRDefault="00BF00D3" w:rsidP="00936FE5">
      <w:pPr>
        <w:pStyle w:val="ListParagraph"/>
        <w:numPr>
          <w:ilvl w:val="0"/>
          <w:numId w:val="3"/>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This item amends subsection 24(2) which provides for the requirement that a member must be given notice of a termination and at least 14 days to respond. Previously, this subsection required written notice only where termination was for the grounds in paragraphs 24(1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 (b) or (c). It was implicit that termination for the grounds in paragraphs 24(1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d) and (e) did not require written notice. </w:t>
      </w:r>
    </w:p>
    <w:p w14:paraId="5578DCBB" w14:textId="77777777" w:rsidR="00BF00D3" w:rsidRDefault="00BF00D3" w:rsidP="00BF00D3">
      <w:pPr>
        <w:pStyle w:val="ListParagraph"/>
        <w:tabs>
          <w:tab w:val="left" w:pos="567"/>
        </w:tabs>
        <w:spacing w:after="0"/>
        <w:ind w:left="0"/>
        <w:rPr>
          <w:rFonts w:ascii="Times New Roman" w:hAnsi="Times New Roman" w:cs="Times New Roman"/>
          <w:sz w:val="24"/>
          <w:szCs w:val="24"/>
        </w:rPr>
      </w:pPr>
    </w:p>
    <w:p w14:paraId="18B8E121" w14:textId="77777777" w:rsidR="00BF00D3" w:rsidRPr="00BF00D3" w:rsidRDefault="00BF00D3" w:rsidP="00135ADF">
      <w:pPr>
        <w:pStyle w:val="ListParagraph"/>
        <w:numPr>
          <w:ilvl w:val="0"/>
          <w:numId w:val="3"/>
        </w:numPr>
        <w:tabs>
          <w:tab w:val="left" w:pos="567"/>
        </w:tabs>
        <w:spacing w:after="0"/>
        <w:ind w:left="0" w:firstLine="0"/>
        <w:rPr>
          <w:rFonts w:ascii="Times New Roman" w:hAnsi="Times New Roman" w:cs="Times New Roman"/>
          <w:sz w:val="24"/>
          <w:szCs w:val="24"/>
        </w:rPr>
      </w:pPr>
      <w:r w:rsidRPr="00BF00D3">
        <w:rPr>
          <w:rFonts w:ascii="Times New Roman" w:hAnsi="Times New Roman" w:cs="Times New Roman"/>
          <w:sz w:val="24"/>
          <w:szCs w:val="24"/>
        </w:rPr>
        <w:t>New subsection 24(2) provides an absolute requirement for written notice and at least 14 days to respond no matter the ground for termination.</w:t>
      </w:r>
    </w:p>
    <w:p w14:paraId="07A177BF" w14:textId="77777777" w:rsidR="00BF00D3" w:rsidRDefault="00BF00D3" w:rsidP="00BF00D3">
      <w:pPr>
        <w:rPr>
          <w:rFonts w:ascii="Times New Roman" w:hAnsi="Times New Roman" w:cs="Times New Roman"/>
          <w:sz w:val="24"/>
          <w:szCs w:val="24"/>
        </w:rPr>
      </w:pPr>
    </w:p>
    <w:p w14:paraId="587B9C2C" w14:textId="77777777" w:rsidR="00BF00D3" w:rsidRPr="003D7B69" w:rsidRDefault="00BF00D3" w:rsidP="00BF00D3">
      <w:pPr>
        <w:rPr>
          <w:rFonts w:ascii="Times New Roman" w:hAnsi="Times New Roman" w:cs="Times New Roman"/>
          <w:b/>
          <w:sz w:val="24"/>
          <w:szCs w:val="24"/>
        </w:rPr>
      </w:pPr>
      <w:r w:rsidRPr="003D7B69">
        <w:rPr>
          <w:rFonts w:ascii="Times New Roman" w:hAnsi="Times New Roman" w:cs="Times New Roman"/>
          <w:b/>
          <w:sz w:val="24"/>
          <w:szCs w:val="24"/>
        </w:rPr>
        <w:t>Item 5</w:t>
      </w:r>
    </w:p>
    <w:p w14:paraId="19233042" w14:textId="77777777" w:rsidR="00BF00D3" w:rsidRDefault="003D7B69" w:rsidP="00936FE5">
      <w:pPr>
        <w:pStyle w:val="ListParagraph"/>
        <w:numPr>
          <w:ilvl w:val="0"/>
          <w:numId w:val="3"/>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This item replaces subsection 24(3), providing for the circumstances in which notice under subsection (2) is not required. This subsection effectively abrogates the ‘hearing rule’ in relation to termination decisions made in the circumstances outlined. Other decision-making principles, such as the rule against bias and the requirement for reasonableness, are unaffected.</w:t>
      </w:r>
    </w:p>
    <w:p w14:paraId="75FF1982" w14:textId="77777777" w:rsidR="003D7B69" w:rsidRDefault="003D7B69" w:rsidP="003D7B69">
      <w:pPr>
        <w:pStyle w:val="ListParagraph"/>
        <w:tabs>
          <w:tab w:val="left" w:pos="567"/>
        </w:tabs>
        <w:spacing w:after="0"/>
        <w:ind w:left="0"/>
        <w:rPr>
          <w:rFonts w:ascii="Times New Roman" w:hAnsi="Times New Roman" w:cs="Times New Roman"/>
          <w:sz w:val="24"/>
          <w:szCs w:val="24"/>
        </w:rPr>
      </w:pPr>
    </w:p>
    <w:p w14:paraId="56827FA5" w14:textId="77777777" w:rsidR="003D7B69" w:rsidRDefault="003D7B69" w:rsidP="00936FE5">
      <w:pPr>
        <w:pStyle w:val="ListParagraph"/>
        <w:numPr>
          <w:ilvl w:val="0"/>
          <w:numId w:val="3"/>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Paragraph 24(3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 provides that notice is not required if the member’s appointment or enlistment is subject to a probationary period that has not ended. This is substantially the same as previous subsection 24(3).</w:t>
      </w:r>
    </w:p>
    <w:p w14:paraId="6767BAAD" w14:textId="77777777" w:rsidR="003D7B69" w:rsidRPr="003D7B69" w:rsidRDefault="003D7B69" w:rsidP="003D7B69">
      <w:pPr>
        <w:pStyle w:val="ListParagraph"/>
        <w:rPr>
          <w:rFonts w:ascii="Times New Roman" w:hAnsi="Times New Roman" w:cs="Times New Roman"/>
          <w:sz w:val="24"/>
          <w:szCs w:val="24"/>
        </w:rPr>
      </w:pPr>
    </w:p>
    <w:p w14:paraId="1171619B" w14:textId="77777777" w:rsidR="003D7B69" w:rsidRDefault="003D7B69" w:rsidP="00936FE5">
      <w:pPr>
        <w:pStyle w:val="ListParagraph"/>
        <w:numPr>
          <w:ilvl w:val="0"/>
          <w:numId w:val="3"/>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lastRenderedPageBreak/>
        <w:t>Paragraph 24(3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b)(</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provides that notice is not required if the member has failed to meet a condition of their appointment or enlistment. This is substantially the same as the combined effect of previous paragraph 24(1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d) and subsection 24(2).</w:t>
      </w:r>
    </w:p>
    <w:p w14:paraId="45BA3A38" w14:textId="77777777" w:rsidR="003D7B69" w:rsidRPr="003D7B69" w:rsidRDefault="003D7B69" w:rsidP="003D7B69">
      <w:pPr>
        <w:pStyle w:val="ListParagraph"/>
        <w:rPr>
          <w:rFonts w:ascii="Times New Roman" w:hAnsi="Times New Roman" w:cs="Times New Roman"/>
          <w:sz w:val="24"/>
          <w:szCs w:val="24"/>
        </w:rPr>
      </w:pPr>
    </w:p>
    <w:p w14:paraId="1458580E" w14:textId="5C2BAA89" w:rsidR="003D7B69" w:rsidRDefault="003D7B69" w:rsidP="00936FE5">
      <w:pPr>
        <w:pStyle w:val="ListParagraph"/>
        <w:numPr>
          <w:ilvl w:val="0"/>
          <w:numId w:val="3"/>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Paragraph 24(3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b)(ii) provides that notice is not required if the member has been sentenced to imprisonment for an offence (whether or not the sentence has been suspended). This is a new circumstance in which notice is not required. It applies whenever the sentence </w:t>
      </w:r>
      <w:r w:rsidR="00FE7AF1">
        <w:rPr>
          <w:rFonts w:ascii="Times New Roman" w:hAnsi="Times New Roman" w:cs="Times New Roman"/>
          <w:sz w:val="24"/>
          <w:szCs w:val="24"/>
        </w:rPr>
        <w:t xml:space="preserve">is </w:t>
      </w:r>
      <w:r>
        <w:rPr>
          <w:rFonts w:ascii="Times New Roman" w:hAnsi="Times New Roman" w:cs="Times New Roman"/>
          <w:sz w:val="24"/>
          <w:szCs w:val="24"/>
        </w:rPr>
        <w:t>imprisonment, however that imprisonment is to be served. For example, it would include a situation where imprisonment is to be served by way of a home detention order.</w:t>
      </w:r>
    </w:p>
    <w:p w14:paraId="1C36BF2B" w14:textId="77777777" w:rsidR="003D7B69" w:rsidRPr="003D7B69" w:rsidRDefault="003D7B69" w:rsidP="003D7B69">
      <w:pPr>
        <w:pStyle w:val="ListParagraph"/>
        <w:rPr>
          <w:rFonts w:ascii="Times New Roman" w:hAnsi="Times New Roman" w:cs="Times New Roman"/>
          <w:sz w:val="24"/>
          <w:szCs w:val="24"/>
        </w:rPr>
      </w:pPr>
    </w:p>
    <w:p w14:paraId="7B50A34B" w14:textId="77777777" w:rsidR="003D7B69" w:rsidRDefault="003D7B69" w:rsidP="00936FE5">
      <w:pPr>
        <w:pStyle w:val="ListParagraph"/>
        <w:numPr>
          <w:ilvl w:val="0"/>
          <w:numId w:val="3"/>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Paragraph 24(3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b)(iii) provides that notice is not required if the member has been absent without leave for a continuous period of three months or more. This is substantially the same as the combined effect of previous paragraph 24(1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e) and subsection 24(2).</w:t>
      </w:r>
    </w:p>
    <w:p w14:paraId="5F9569CF" w14:textId="77777777" w:rsidR="003D7B69" w:rsidRPr="003D7B69" w:rsidRDefault="003D7B69" w:rsidP="003D7B69">
      <w:pPr>
        <w:pStyle w:val="ListParagraph"/>
        <w:rPr>
          <w:rFonts w:ascii="Times New Roman" w:hAnsi="Times New Roman" w:cs="Times New Roman"/>
          <w:sz w:val="24"/>
          <w:szCs w:val="24"/>
        </w:rPr>
      </w:pPr>
    </w:p>
    <w:p w14:paraId="020903E4" w14:textId="77777777" w:rsidR="003D7B69" w:rsidRPr="00936FE5" w:rsidRDefault="003D7B69" w:rsidP="00936FE5">
      <w:pPr>
        <w:pStyle w:val="ListParagraph"/>
        <w:numPr>
          <w:ilvl w:val="0"/>
          <w:numId w:val="3"/>
        </w:numPr>
        <w:tabs>
          <w:tab w:val="left" w:pos="567"/>
        </w:tabs>
        <w:spacing w:after="0"/>
        <w:ind w:left="0" w:firstLine="0"/>
        <w:rPr>
          <w:rFonts w:ascii="Times New Roman" w:hAnsi="Times New Roman" w:cs="Times New Roman"/>
          <w:sz w:val="24"/>
          <w:szCs w:val="24"/>
        </w:rPr>
      </w:pPr>
      <w:r>
        <w:rPr>
          <w:rFonts w:ascii="Times New Roman" w:hAnsi="Times New Roman" w:cs="Times New Roman"/>
          <w:sz w:val="24"/>
          <w:szCs w:val="24"/>
        </w:rPr>
        <w:t>Paragraph 24(3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c) provides that notice is not required if the member has pleaded guilty to or been convicted of an offence, and the Chief of the Defence Force (CDF) is satisfied that it is not in the interests for notice to be given to the member. This is a new circumstance in which notice is not required. </w:t>
      </w:r>
    </w:p>
    <w:p w14:paraId="2EE70591" w14:textId="77777777" w:rsidR="00936FE5" w:rsidRPr="00936FE5" w:rsidRDefault="00936FE5" w:rsidP="00936FE5">
      <w:pPr>
        <w:tabs>
          <w:tab w:val="left" w:pos="567"/>
        </w:tabs>
        <w:spacing w:after="0"/>
        <w:rPr>
          <w:rFonts w:ascii="Times New Roman" w:hAnsi="Times New Roman" w:cs="Times New Roman"/>
          <w:sz w:val="24"/>
          <w:szCs w:val="24"/>
        </w:rPr>
      </w:pPr>
    </w:p>
    <w:p w14:paraId="6FCD46F2" w14:textId="77777777" w:rsidR="00567A97" w:rsidRDefault="00567A97" w:rsidP="00D76F4B">
      <w:pPr>
        <w:tabs>
          <w:tab w:val="left" w:pos="567"/>
        </w:tabs>
        <w:spacing w:after="0"/>
        <w:rPr>
          <w:rFonts w:ascii="Times New Roman" w:hAnsi="Times New Roman" w:cs="Times New Roman"/>
          <w:sz w:val="24"/>
          <w:szCs w:val="24"/>
        </w:rPr>
      </w:pPr>
    </w:p>
    <w:p w14:paraId="31279665" w14:textId="77777777" w:rsidR="00567A97" w:rsidRDefault="00567A97" w:rsidP="00D76F4B">
      <w:pPr>
        <w:tabs>
          <w:tab w:val="left" w:pos="567"/>
        </w:tabs>
        <w:spacing w:after="0"/>
        <w:rPr>
          <w:rFonts w:ascii="Times New Roman" w:hAnsi="Times New Roman" w:cs="Times New Roman"/>
          <w:sz w:val="24"/>
          <w:szCs w:val="24"/>
        </w:rPr>
      </w:pPr>
    </w:p>
    <w:p w14:paraId="56C16A7F" w14:textId="77777777" w:rsidR="00567A97" w:rsidRPr="00D76F4B" w:rsidRDefault="00567A97" w:rsidP="00D76F4B">
      <w:pPr>
        <w:tabs>
          <w:tab w:val="left" w:pos="567"/>
        </w:tabs>
        <w:spacing w:after="0"/>
        <w:rPr>
          <w:rFonts w:ascii="Times New Roman" w:hAnsi="Times New Roman" w:cs="Times New Roman"/>
          <w:sz w:val="24"/>
          <w:szCs w:val="24"/>
        </w:rPr>
      </w:pPr>
    </w:p>
    <w:sectPr w:rsidR="00567A97" w:rsidRPr="00D76F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51FDD"/>
    <w:multiLevelType w:val="hybridMultilevel"/>
    <w:tmpl w:val="4FD88A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01D575C"/>
    <w:multiLevelType w:val="hybridMultilevel"/>
    <w:tmpl w:val="4FD88A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FB44D10"/>
    <w:multiLevelType w:val="hybridMultilevel"/>
    <w:tmpl w:val="4FD88A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FFC"/>
    <w:rsid w:val="00022B77"/>
    <w:rsid w:val="000366A8"/>
    <w:rsid w:val="00107B85"/>
    <w:rsid w:val="00127A40"/>
    <w:rsid w:val="001E6B6A"/>
    <w:rsid w:val="001F7586"/>
    <w:rsid w:val="00226382"/>
    <w:rsid w:val="00282B1D"/>
    <w:rsid w:val="00294828"/>
    <w:rsid w:val="002E5384"/>
    <w:rsid w:val="00341EC3"/>
    <w:rsid w:val="003806D8"/>
    <w:rsid w:val="00395C2C"/>
    <w:rsid w:val="003D7B69"/>
    <w:rsid w:val="003E6958"/>
    <w:rsid w:val="00464E52"/>
    <w:rsid w:val="00477882"/>
    <w:rsid w:val="00483270"/>
    <w:rsid w:val="00567A97"/>
    <w:rsid w:val="00595A02"/>
    <w:rsid w:val="005C2901"/>
    <w:rsid w:val="005F5F41"/>
    <w:rsid w:val="006E3FFC"/>
    <w:rsid w:val="006E7AF6"/>
    <w:rsid w:val="006F0B52"/>
    <w:rsid w:val="006F409E"/>
    <w:rsid w:val="00742104"/>
    <w:rsid w:val="007D3F1F"/>
    <w:rsid w:val="00847E8F"/>
    <w:rsid w:val="00867B6C"/>
    <w:rsid w:val="008A74F5"/>
    <w:rsid w:val="008C19EE"/>
    <w:rsid w:val="00936FE5"/>
    <w:rsid w:val="00947FC9"/>
    <w:rsid w:val="00970B89"/>
    <w:rsid w:val="009D277C"/>
    <w:rsid w:val="009F55F2"/>
    <w:rsid w:val="00A77CE1"/>
    <w:rsid w:val="00A9537D"/>
    <w:rsid w:val="00B406C4"/>
    <w:rsid w:val="00BD17FB"/>
    <w:rsid w:val="00BF00D3"/>
    <w:rsid w:val="00C619AB"/>
    <w:rsid w:val="00CD6F8C"/>
    <w:rsid w:val="00D13F89"/>
    <w:rsid w:val="00D526D9"/>
    <w:rsid w:val="00D76F4B"/>
    <w:rsid w:val="00EB11DE"/>
    <w:rsid w:val="00F43560"/>
    <w:rsid w:val="00FC2AA0"/>
    <w:rsid w:val="00FE7A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6241A"/>
  <w15:chartTrackingRefBased/>
  <w15:docId w15:val="{4C0263E5-F34A-4632-A128-9007F813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FFC"/>
    <w:pPr>
      <w:ind w:left="720"/>
      <w:contextualSpacing/>
    </w:pPr>
  </w:style>
  <w:style w:type="paragraph" w:customStyle="1" w:styleId="subsection">
    <w:name w:val="subsection"/>
    <w:basedOn w:val="Normal"/>
    <w:rsid w:val="006E3FF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6E3FF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6F4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09E"/>
    <w:rPr>
      <w:rFonts w:ascii="Segoe UI" w:hAnsi="Segoe UI" w:cs="Segoe UI"/>
      <w:sz w:val="18"/>
      <w:szCs w:val="18"/>
    </w:rPr>
  </w:style>
  <w:style w:type="character" w:styleId="CommentReference">
    <w:name w:val="annotation reference"/>
    <w:basedOn w:val="DefaultParagraphFont"/>
    <w:uiPriority w:val="99"/>
    <w:semiHidden/>
    <w:unhideWhenUsed/>
    <w:rsid w:val="006F409E"/>
    <w:rPr>
      <w:sz w:val="16"/>
      <w:szCs w:val="16"/>
    </w:rPr>
  </w:style>
  <w:style w:type="paragraph" w:styleId="CommentText">
    <w:name w:val="annotation text"/>
    <w:basedOn w:val="Normal"/>
    <w:link w:val="CommentTextChar"/>
    <w:uiPriority w:val="99"/>
    <w:semiHidden/>
    <w:unhideWhenUsed/>
    <w:rsid w:val="006F409E"/>
    <w:pPr>
      <w:spacing w:line="240" w:lineRule="auto"/>
    </w:pPr>
    <w:rPr>
      <w:sz w:val="20"/>
      <w:szCs w:val="20"/>
    </w:rPr>
  </w:style>
  <w:style w:type="character" w:customStyle="1" w:styleId="CommentTextChar">
    <w:name w:val="Comment Text Char"/>
    <w:basedOn w:val="DefaultParagraphFont"/>
    <w:link w:val="CommentText"/>
    <w:uiPriority w:val="99"/>
    <w:semiHidden/>
    <w:rsid w:val="006F409E"/>
    <w:rPr>
      <w:sz w:val="20"/>
      <w:szCs w:val="20"/>
    </w:rPr>
  </w:style>
  <w:style w:type="paragraph" w:styleId="CommentSubject">
    <w:name w:val="annotation subject"/>
    <w:basedOn w:val="CommentText"/>
    <w:next w:val="CommentText"/>
    <w:link w:val="CommentSubjectChar"/>
    <w:uiPriority w:val="99"/>
    <w:semiHidden/>
    <w:unhideWhenUsed/>
    <w:rsid w:val="006F409E"/>
    <w:rPr>
      <w:b/>
      <w:bCs/>
    </w:rPr>
  </w:style>
  <w:style w:type="character" w:customStyle="1" w:styleId="CommentSubjectChar">
    <w:name w:val="Comment Subject Char"/>
    <w:basedOn w:val="CommentTextChar"/>
    <w:link w:val="CommentSubject"/>
    <w:uiPriority w:val="99"/>
    <w:semiHidden/>
    <w:rsid w:val="006F40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33814">
      <w:bodyDiv w:val="1"/>
      <w:marLeft w:val="0"/>
      <w:marRight w:val="0"/>
      <w:marTop w:val="0"/>
      <w:marBottom w:val="0"/>
      <w:divBdr>
        <w:top w:val="none" w:sz="0" w:space="0" w:color="auto"/>
        <w:left w:val="none" w:sz="0" w:space="0" w:color="auto"/>
        <w:bottom w:val="none" w:sz="0" w:space="0" w:color="auto"/>
        <w:right w:val="none" w:sz="0" w:space="0" w:color="auto"/>
      </w:divBdr>
      <w:divsChild>
        <w:div w:id="615793417">
          <w:marLeft w:val="0"/>
          <w:marRight w:val="0"/>
          <w:marTop w:val="0"/>
          <w:marBottom w:val="0"/>
          <w:divBdr>
            <w:top w:val="none" w:sz="0" w:space="0" w:color="auto"/>
            <w:left w:val="none" w:sz="0" w:space="0" w:color="auto"/>
            <w:bottom w:val="none" w:sz="0" w:space="0" w:color="auto"/>
            <w:right w:val="none" w:sz="0" w:space="0" w:color="auto"/>
          </w:divBdr>
          <w:divsChild>
            <w:div w:id="574583106">
              <w:marLeft w:val="0"/>
              <w:marRight w:val="0"/>
              <w:marTop w:val="0"/>
              <w:marBottom w:val="0"/>
              <w:divBdr>
                <w:top w:val="none" w:sz="0" w:space="0" w:color="auto"/>
                <w:left w:val="none" w:sz="0" w:space="0" w:color="auto"/>
                <w:bottom w:val="none" w:sz="0" w:space="0" w:color="auto"/>
                <w:right w:val="none" w:sz="0" w:space="0" w:color="auto"/>
              </w:divBdr>
              <w:divsChild>
                <w:div w:id="1847480677">
                  <w:marLeft w:val="0"/>
                  <w:marRight w:val="0"/>
                  <w:marTop w:val="0"/>
                  <w:marBottom w:val="0"/>
                  <w:divBdr>
                    <w:top w:val="none" w:sz="0" w:space="0" w:color="auto"/>
                    <w:left w:val="none" w:sz="0" w:space="0" w:color="auto"/>
                    <w:bottom w:val="none" w:sz="0" w:space="0" w:color="auto"/>
                    <w:right w:val="none" w:sz="0" w:space="0" w:color="auto"/>
                  </w:divBdr>
                  <w:divsChild>
                    <w:div w:id="1890609185">
                      <w:marLeft w:val="0"/>
                      <w:marRight w:val="0"/>
                      <w:marTop w:val="0"/>
                      <w:marBottom w:val="0"/>
                      <w:divBdr>
                        <w:top w:val="none" w:sz="0" w:space="0" w:color="auto"/>
                        <w:left w:val="none" w:sz="0" w:space="0" w:color="auto"/>
                        <w:bottom w:val="none" w:sz="0" w:space="0" w:color="auto"/>
                        <w:right w:val="none" w:sz="0" w:space="0" w:color="auto"/>
                      </w:divBdr>
                      <w:divsChild>
                        <w:div w:id="1718894522">
                          <w:marLeft w:val="0"/>
                          <w:marRight w:val="0"/>
                          <w:marTop w:val="0"/>
                          <w:marBottom w:val="0"/>
                          <w:divBdr>
                            <w:top w:val="none" w:sz="0" w:space="0" w:color="auto"/>
                            <w:left w:val="none" w:sz="0" w:space="0" w:color="auto"/>
                            <w:bottom w:val="none" w:sz="0" w:space="0" w:color="auto"/>
                            <w:right w:val="none" w:sz="0" w:space="0" w:color="auto"/>
                          </w:divBdr>
                          <w:divsChild>
                            <w:div w:id="630290069">
                              <w:marLeft w:val="0"/>
                              <w:marRight w:val="0"/>
                              <w:marTop w:val="0"/>
                              <w:marBottom w:val="0"/>
                              <w:divBdr>
                                <w:top w:val="none" w:sz="0" w:space="0" w:color="auto"/>
                                <w:left w:val="none" w:sz="0" w:space="0" w:color="auto"/>
                                <w:bottom w:val="none" w:sz="0" w:space="0" w:color="auto"/>
                                <w:right w:val="none" w:sz="0" w:space="0" w:color="auto"/>
                              </w:divBdr>
                              <w:divsChild>
                                <w:div w:id="17896497">
                                  <w:marLeft w:val="0"/>
                                  <w:marRight w:val="0"/>
                                  <w:marTop w:val="0"/>
                                  <w:marBottom w:val="0"/>
                                  <w:divBdr>
                                    <w:top w:val="none" w:sz="0" w:space="0" w:color="auto"/>
                                    <w:left w:val="none" w:sz="0" w:space="0" w:color="auto"/>
                                    <w:bottom w:val="none" w:sz="0" w:space="0" w:color="auto"/>
                                    <w:right w:val="none" w:sz="0" w:space="0" w:color="auto"/>
                                  </w:divBdr>
                                  <w:divsChild>
                                    <w:div w:id="386954592">
                                      <w:marLeft w:val="0"/>
                                      <w:marRight w:val="0"/>
                                      <w:marTop w:val="0"/>
                                      <w:marBottom w:val="0"/>
                                      <w:divBdr>
                                        <w:top w:val="none" w:sz="0" w:space="0" w:color="auto"/>
                                        <w:left w:val="none" w:sz="0" w:space="0" w:color="auto"/>
                                        <w:bottom w:val="none" w:sz="0" w:space="0" w:color="auto"/>
                                        <w:right w:val="none" w:sz="0" w:space="0" w:color="auto"/>
                                      </w:divBdr>
                                      <w:divsChild>
                                        <w:div w:id="1502886213">
                                          <w:marLeft w:val="0"/>
                                          <w:marRight w:val="0"/>
                                          <w:marTop w:val="0"/>
                                          <w:marBottom w:val="0"/>
                                          <w:divBdr>
                                            <w:top w:val="none" w:sz="0" w:space="0" w:color="auto"/>
                                            <w:left w:val="none" w:sz="0" w:space="0" w:color="auto"/>
                                            <w:bottom w:val="none" w:sz="0" w:space="0" w:color="auto"/>
                                            <w:right w:val="none" w:sz="0" w:space="0" w:color="auto"/>
                                          </w:divBdr>
                                          <w:divsChild>
                                            <w:div w:id="1091586596">
                                              <w:marLeft w:val="0"/>
                                              <w:marRight w:val="0"/>
                                              <w:marTop w:val="0"/>
                                              <w:marBottom w:val="0"/>
                                              <w:divBdr>
                                                <w:top w:val="none" w:sz="0" w:space="0" w:color="auto"/>
                                                <w:left w:val="none" w:sz="0" w:space="0" w:color="auto"/>
                                                <w:bottom w:val="none" w:sz="0" w:space="0" w:color="auto"/>
                                                <w:right w:val="none" w:sz="0" w:space="0" w:color="auto"/>
                                              </w:divBdr>
                                              <w:divsChild>
                                                <w:div w:id="2020615382">
                                                  <w:marLeft w:val="0"/>
                                                  <w:marRight w:val="0"/>
                                                  <w:marTop w:val="0"/>
                                                  <w:marBottom w:val="0"/>
                                                  <w:divBdr>
                                                    <w:top w:val="none" w:sz="0" w:space="0" w:color="auto"/>
                                                    <w:left w:val="none" w:sz="0" w:space="0" w:color="auto"/>
                                                    <w:bottom w:val="none" w:sz="0" w:space="0" w:color="auto"/>
                                                    <w:right w:val="none" w:sz="0" w:space="0" w:color="auto"/>
                                                  </w:divBdr>
                                                  <w:divsChild>
                                                    <w:div w:id="703945344">
                                                      <w:marLeft w:val="0"/>
                                                      <w:marRight w:val="0"/>
                                                      <w:marTop w:val="0"/>
                                                      <w:marBottom w:val="0"/>
                                                      <w:divBdr>
                                                        <w:top w:val="none" w:sz="0" w:space="0" w:color="auto"/>
                                                        <w:left w:val="none" w:sz="0" w:space="0" w:color="auto"/>
                                                        <w:bottom w:val="none" w:sz="0" w:space="0" w:color="auto"/>
                                                        <w:right w:val="none" w:sz="0" w:space="0" w:color="auto"/>
                                                      </w:divBdr>
                                                      <w:divsChild>
                                                        <w:div w:id="156147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0989556">
      <w:bodyDiv w:val="1"/>
      <w:marLeft w:val="0"/>
      <w:marRight w:val="0"/>
      <w:marTop w:val="0"/>
      <w:marBottom w:val="0"/>
      <w:divBdr>
        <w:top w:val="none" w:sz="0" w:space="0" w:color="auto"/>
        <w:left w:val="none" w:sz="0" w:space="0" w:color="auto"/>
        <w:bottom w:val="none" w:sz="0" w:space="0" w:color="auto"/>
        <w:right w:val="none" w:sz="0" w:space="0" w:color="auto"/>
      </w:divBdr>
      <w:divsChild>
        <w:div w:id="761296147">
          <w:marLeft w:val="0"/>
          <w:marRight w:val="0"/>
          <w:marTop w:val="0"/>
          <w:marBottom w:val="0"/>
          <w:divBdr>
            <w:top w:val="none" w:sz="0" w:space="0" w:color="auto"/>
            <w:left w:val="none" w:sz="0" w:space="0" w:color="auto"/>
            <w:bottom w:val="none" w:sz="0" w:space="0" w:color="auto"/>
            <w:right w:val="none" w:sz="0" w:space="0" w:color="auto"/>
          </w:divBdr>
          <w:divsChild>
            <w:div w:id="1700200482">
              <w:marLeft w:val="0"/>
              <w:marRight w:val="0"/>
              <w:marTop w:val="0"/>
              <w:marBottom w:val="0"/>
              <w:divBdr>
                <w:top w:val="none" w:sz="0" w:space="0" w:color="auto"/>
                <w:left w:val="none" w:sz="0" w:space="0" w:color="auto"/>
                <w:bottom w:val="none" w:sz="0" w:space="0" w:color="auto"/>
                <w:right w:val="none" w:sz="0" w:space="0" w:color="auto"/>
              </w:divBdr>
              <w:divsChild>
                <w:div w:id="1448233885">
                  <w:marLeft w:val="0"/>
                  <w:marRight w:val="0"/>
                  <w:marTop w:val="0"/>
                  <w:marBottom w:val="0"/>
                  <w:divBdr>
                    <w:top w:val="none" w:sz="0" w:space="0" w:color="auto"/>
                    <w:left w:val="none" w:sz="0" w:space="0" w:color="auto"/>
                    <w:bottom w:val="none" w:sz="0" w:space="0" w:color="auto"/>
                    <w:right w:val="none" w:sz="0" w:space="0" w:color="auto"/>
                  </w:divBdr>
                  <w:divsChild>
                    <w:div w:id="2127112097">
                      <w:marLeft w:val="0"/>
                      <w:marRight w:val="0"/>
                      <w:marTop w:val="0"/>
                      <w:marBottom w:val="0"/>
                      <w:divBdr>
                        <w:top w:val="none" w:sz="0" w:space="0" w:color="auto"/>
                        <w:left w:val="none" w:sz="0" w:space="0" w:color="auto"/>
                        <w:bottom w:val="none" w:sz="0" w:space="0" w:color="auto"/>
                        <w:right w:val="none" w:sz="0" w:space="0" w:color="auto"/>
                      </w:divBdr>
                      <w:divsChild>
                        <w:div w:id="1199466850">
                          <w:marLeft w:val="0"/>
                          <w:marRight w:val="0"/>
                          <w:marTop w:val="0"/>
                          <w:marBottom w:val="0"/>
                          <w:divBdr>
                            <w:top w:val="none" w:sz="0" w:space="0" w:color="auto"/>
                            <w:left w:val="none" w:sz="0" w:space="0" w:color="auto"/>
                            <w:bottom w:val="none" w:sz="0" w:space="0" w:color="auto"/>
                            <w:right w:val="none" w:sz="0" w:space="0" w:color="auto"/>
                          </w:divBdr>
                          <w:divsChild>
                            <w:div w:id="1948267068">
                              <w:marLeft w:val="0"/>
                              <w:marRight w:val="0"/>
                              <w:marTop w:val="0"/>
                              <w:marBottom w:val="0"/>
                              <w:divBdr>
                                <w:top w:val="none" w:sz="0" w:space="0" w:color="auto"/>
                                <w:left w:val="none" w:sz="0" w:space="0" w:color="auto"/>
                                <w:bottom w:val="none" w:sz="0" w:space="0" w:color="auto"/>
                                <w:right w:val="none" w:sz="0" w:space="0" w:color="auto"/>
                              </w:divBdr>
                              <w:divsChild>
                                <w:div w:id="1948583692">
                                  <w:marLeft w:val="0"/>
                                  <w:marRight w:val="0"/>
                                  <w:marTop w:val="0"/>
                                  <w:marBottom w:val="0"/>
                                  <w:divBdr>
                                    <w:top w:val="none" w:sz="0" w:space="0" w:color="auto"/>
                                    <w:left w:val="none" w:sz="0" w:space="0" w:color="auto"/>
                                    <w:bottom w:val="none" w:sz="0" w:space="0" w:color="auto"/>
                                    <w:right w:val="none" w:sz="0" w:space="0" w:color="auto"/>
                                  </w:divBdr>
                                  <w:divsChild>
                                    <w:div w:id="868761394">
                                      <w:marLeft w:val="0"/>
                                      <w:marRight w:val="0"/>
                                      <w:marTop w:val="0"/>
                                      <w:marBottom w:val="0"/>
                                      <w:divBdr>
                                        <w:top w:val="none" w:sz="0" w:space="0" w:color="auto"/>
                                        <w:left w:val="none" w:sz="0" w:space="0" w:color="auto"/>
                                        <w:bottom w:val="none" w:sz="0" w:space="0" w:color="auto"/>
                                        <w:right w:val="none" w:sz="0" w:space="0" w:color="auto"/>
                                      </w:divBdr>
                                      <w:divsChild>
                                        <w:div w:id="2090617199">
                                          <w:marLeft w:val="0"/>
                                          <w:marRight w:val="0"/>
                                          <w:marTop w:val="0"/>
                                          <w:marBottom w:val="0"/>
                                          <w:divBdr>
                                            <w:top w:val="none" w:sz="0" w:space="0" w:color="auto"/>
                                            <w:left w:val="none" w:sz="0" w:space="0" w:color="auto"/>
                                            <w:bottom w:val="none" w:sz="0" w:space="0" w:color="auto"/>
                                            <w:right w:val="none" w:sz="0" w:space="0" w:color="auto"/>
                                          </w:divBdr>
                                          <w:divsChild>
                                            <w:div w:id="498622674">
                                              <w:marLeft w:val="0"/>
                                              <w:marRight w:val="0"/>
                                              <w:marTop w:val="0"/>
                                              <w:marBottom w:val="0"/>
                                              <w:divBdr>
                                                <w:top w:val="none" w:sz="0" w:space="0" w:color="auto"/>
                                                <w:left w:val="none" w:sz="0" w:space="0" w:color="auto"/>
                                                <w:bottom w:val="none" w:sz="0" w:space="0" w:color="auto"/>
                                                <w:right w:val="none" w:sz="0" w:space="0" w:color="auto"/>
                                              </w:divBdr>
                                              <w:divsChild>
                                                <w:div w:id="1075012062">
                                                  <w:marLeft w:val="0"/>
                                                  <w:marRight w:val="0"/>
                                                  <w:marTop w:val="0"/>
                                                  <w:marBottom w:val="0"/>
                                                  <w:divBdr>
                                                    <w:top w:val="none" w:sz="0" w:space="0" w:color="auto"/>
                                                    <w:left w:val="none" w:sz="0" w:space="0" w:color="auto"/>
                                                    <w:bottom w:val="none" w:sz="0" w:space="0" w:color="auto"/>
                                                    <w:right w:val="none" w:sz="0" w:space="0" w:color="auto"/>
                                                  </w:divBdr>
                                                  <w:divsChild>
                                                    <w:div w:id="1808401623">
                                                      <w:marLeft w:val="0"/>
                                                      <w:marRight w:val="0"/>
                                                      <w:marTop w:val="0"/>
                                                      <w:marBottom w:val="0"/>
                                                      <w:divBdr>
                                                        <w:top w:val="none" w:sz="0" w:space="0" w:color="auto"/>
                                                        <w:left w:val="none" w:sz="0" w:space="0" w:color="auto"/>
                                                        <w:bottom w:val="none" w:sz="0" w:space="0" w:color="auto"/>
                                                        <w:right w:val="none" w:sz="0" w:space="0" w:color="auto"/>
                                                      </w:divBdr>
                                                      <w:divsChild>
                                                        <w:div w:id="8400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86B30CD-DFE7-4DBE-BF02-00BDAFDD91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EF1A380F5F75349BD83B4609FFD3DA3" ma:contentTypeVersion="" ma:contentTypeDescription="PDMS Document Site Content Type" ma:contentTypeScope="" ma:versionID="1e00eec5184201c4d11af7c99ffcf68f">
  <xsd:schema xmlns:xsd="http://www.w3.org/2001/XMLSchema" xmlns:xs="http://www.w3.org/2001/XMLSchema" xmlns:p="http://schemas.microsoft.com/office/2006/metadata/properties" xmlns:ns2="886B30CD-DFE7-4DBE-BF02-00BDAFDD913D" targetNamespace="http://schemas.microsoft.com/office/2006/metadata/properties" ma:root="true" ma:fieldsID="5212c326c586f196bf8294ed19dc7c02" ns2:_="">
    <xsd:import namespace="886B30CD-DFE7-4DBE-BF02-00BDAFDD913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B30CD-DFE7-4DBE-BF02-00BDAFDD913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40C962-CE4E-4BFB-80A5-6E9B4FA68C0B}">
  <ds:schemaRefs>
    <ds:schemaRef ds:uri="http://schemas.microsoft.com/office/2006/metadata/properties"/>
    <ds:schemaRef ds:uri="http://schemas.microsoft.com/office/infopath/2007/PartnerControls"/>
    <ds:schemaRef ds:uri="886B30CD-DFE7-4DBE-BF02-00BDAFDD913D"/>
  </ds:schemaRefs>
</ds:datastoreItem>
</file>

<file path=customXml/itemProps2.xml><?xml version="1.0" encoding="utf-8"?>
<ds:datastoreItem xmlns:ds="http://schemas.openxmlformats.org/officeDocument/2006/customXml" ds:itemID="{47191060-D374-4EAA-AA31-18609EBE80EC}">
  <ds:schemaRefs>
    <ds:schemaRef ds:uri="http://schemas.microsoft.com/sharepoint/v3/contenttype/forms"/>
  </ds:schemaRefs>
</ds:datastoreItem>
</file>

<file path=customXml/itemProps3.xml><?xml version="1.0" encoding="utf-8"?>
<ds:datastoreItem xmlns:ds="http://schemas.openxmlformats.org/officeDocument/2006/customXml" ds:itemID="{11D0D4C9-0AB4-4B38-9531-45719E035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6B30CD-DFE7-4DBE-BF02-00BDAFDD9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806DD821</Template>
  <TotalTime>0</TotalTime>
  <Pages>9</Pages>
  <Words>2710</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Therese MS</dc:creator>
  <cp:keywords/>
  <dc:description/>
  <cp:lastModifiedBy>Urbani, Karen MS</cp:lastModifiedBy>
  <cp:revision>2</cp:revision>
  <dcterms:created xsi:type="dcterms:W3CDTF">2020-02-10T22:00:00Z</dcterms:created>
  <dcterms:modified xsi:type="dcterms:W3CDTF">2020-02-10T22:00:00Z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BN13414980</vt:lpwstr>
  </property>
  <property fmtid="{D5CDD505-2E9C-101B-9397-08002B2CF9AE}" pid="4" name="Objective-Title">
    <vt:lpwstr>Explanatory Statement - Defence Amendment - 2020 Measures No 1 - Regulations 2020</vt:lpwstr>
  </property>
  <property fmtid="{D5CDD505-2E9C-101B-9397-08002B2CF9AE}" pid="5" name="Objective-Comment">
    <vt:lpwstr/>
  </property>
  <property fmtid="{D5CDD505-2E9C-101B-9397-08002B2CF9AE}" pid="6" name="Objective-CreationStamp">
    <vt:filetime>2020-02-09T21:51:22Z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2020-02-10T00:05:14Z</vt:filetime>
  </property>
  <property fmtid="{D5CDD505-2E9C-101B-9397-08002B2CF9AE}" pid="10" name="Objective-ModificationStamp">
    <vt:filetime>2020-02-10T00:05:14Z</vt:filetime>
  </property>
  <property fmtid="{D5CDD505-2E9C-101B-9397-08002B2CF9AE}" pid="11" name="Objective-Owner">
    <vt:lpwstr>Holgate, Richard Mr 1</vt:lpwstr>
  </property>
  <property fmtid="{D5CDD505-2E9C-101B-9397-08002B2CF9AE}" pid="12" name="Objective-Path">
    <vt:lpwstr>Objective Global Folder - PROD:Defence Business Units:Chief Operating Officer Group:Defence People Group:People Policy &amp; Culture:PPEC : Personnel Policy and Employment Conditions:20 - Directorates:25 Military People Policy:02. Personnel Policy Topics:01. </vt:lpwstr>
  </property>
  <property fmtid="{D5CDD505-2E9C-101B-9397-08002B2CF9AE}" pid="13" name="Objective-Parent">
    <vt:lpwstr>Latest versions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i4>4</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0x010100266966F133664895A6EE3632470D45F500CEF1A380F5F75349BD83B4609FFD3DA3</vt:lpwstr>
  </property>
</Properties>
</file>