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7E9FE" w14:textId="77777777" w:rsidR="00F109D4" w:rsidRPr="00731FEA" w:rsidRDefault="00F109D4" w:rsidP="00647BB7">
      <w:pPr>
        <w:pStyle w:val="Heading1"/>
        <w:spacing w:after="360"/>
        <w:rPr>
          <w:rFonts w:ascii="Times New Roman" w:hAnsi="Times New Roman"/>
          <w:sz w:val="24"/>
          <w:szCs w:val="24"/>
        </w:rPr>
      </w:pPr>
      <w:r w:rsidRPr="00731FEA">
        <w:rPr>
          <w:rFonts w:ascii="Times New Roman" w:hAnsi="Times New Roman"/>
          <w:sz w:val="24"/>
          <w:szCs w:val="24"/>
        </w:rPr>
        <w:t>EXPLANATORY STATEMENT</w:t>
      </w:r>
    </w:p>
    <w:p w14:paraId="17188BF8" w14:textId="77777777" w:rsidR="007662C7" w:rsidRPr="00731FEA" w:rsidRDefault="00F109D4" w:rsidP="003E1CE3">
      <w:pPr>
        <w:pStyle w:val="Heading2"/>
        <w:jc w:val="center"/>
        <w:rPr>
          <w:sz w:val="24"/>
          <w:szCs w:val="24"/>
        </w:rPr>
      </w:pPr>
      <w:r w:rsidRPr="007B335E">
        <w:rPr>
          <w:sz w:val="24"/>
          <w:szCs w:val="24"/>
        </w:rPr>
        <w:t>Issued by authority of the</w:t>
      </w:r>
      <w:r w:rsidR="00076178" w:rsidRPr="00731FE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435951383"/>
          <w:placeholder>
            <w:docPart w:val="4DFE00FA86D54E839AEE55F69A9440AF"/>
          </w:placeholder>
          <w:dropDownList>
            <w:listItem w:value="Choose an item."/>
            <w:listItem w:displayText="Treasurer" w:value="Treasurer"/>
            <w:listItem w:displayText="Minister for Population, Cities and Urban Infrastructure" w:value="Minister for Population, Cities and Urban Infrastructure"/>
            <w:listItem w:displayText="Minister for Housing and Assistant Treasurer" w:value="Minister for Housing and Assistant Treasurer"/>
            <w:listItem w:displayText="Assistant Minister for Superannuation, Financial Services and Financial Technology" w:value="Assistant Minister for Superannuation, Financial Services and Financial Technology"/>
            <w:listItem w:displayText="Assistant Minister for Finance, Charities and Electoral Matters" w:value="Assistant Minister for Finance, Charities and Electoral Matters"/>
            <w:listItem w:displayText="Assistant Treasurer" w:value="Assistant Treasurer"/>
          </w:dropDownList>
        </w:sdtPr>
        <w:sdtEndPr/>
        <w:sdtContent>
          <w:r w:rsidR="00822138">
            <w:rPr>
              <w:sz w:val="24"/>
              <w:szCs w:val="24"/>
            </w:rPr>
            <w:t>Treasurer</w:t>
          </w:r>
        </w:sdtContent>
      </w:sdt>
    </w:p>
    <w:p w14:paraId="23BE62A4" w14:textId="77777777" w:rsidR="00F109D4" w:rsidRDefault="00822138" w:rsidP="00822138">
      <w:pPr>
        <w:spacing w:before="240" w:after="240"/>
        <w:jc w:val="center"/>
        <w:rPr>
          <w:i/>
        </w:rPr>
      </w:pPr>
      <w:r>
        <w:rPr>
          <w:i/>
        </w:rPr>
        <w:t>Competition and Consumer Act 2010</w:t>
      </w:r>
    </w:p>
    <w:p w14:paraId="59DAF43C" w14:textId="2B3F6609" w:rsidR="00F109D4" w:rsidRPr="00503E44" w:rsidRDefault="00822138" w:rsidP="00822138">
      <w:pPr>
        <w:tabs>
          <w:tab w:val="left" w:pos="1418"/>
        </w:tabs>
        <w:spacing w:before="0" w:after="240"/>
        <w:jc w:val="center"/>
        <w:rPr>
          <w:i/>
        </w:rPr>
      </w:pPr>
      <w:r>
        <w:rPr>
          <w:i/>
        </w:rPr>
        <w:t>Competition and Consumer (Price Inquiry–</w:t>
      </w:r>
      <w:r w:rsidRPr="00822138">
        <w:rPr>
          <w:i/>
        </w:rPr>
        <w:t>Digital Platforms</w:t>
      </w:r>
      <w:r>
        <w:rPr>
          <w:i/>
        </w:rPr>
        <w:t xml:space="preserve">) Direction </w:t>
      </w:r>
      <w:r w:rsidR="002326EA">
        <w:rPr>
          <w:i/>
        </w:rPr>
        <w:t>2020</w:t>
      </w:r>
    </w:p>
    <w:p w14:paraId="3FD886A7" w14:textId="7C92886A" w:rsidR="00F109D4" w:rsidRDefault="00C55D29" w:rsidP="00647BB7">
      <w:pPr>
        <w:spacing w:before="240"/>
      </w:pPr>
      <w:r w:rsidRPr="00503E44">
        <w:t xml:space="preserve">Section </w:t>
      </w:r>
      <w:r w:rsidR="00822138" w:rsidRPr="00822138">
        <w:t>95H</w:t>
      </w:r>
      <w:r w:rsidR="005E4BAC">
        <w:t xml:space="preserve"> </w:t>
      </w:r>
      <w:r w:rsidR="00F109D4" w:rsidRPr="00503E44">
        <w:t xml:space="preserve">of the </w:t>
      </w:r>
      <w:r w:rsidR="00822138" w:rsidRPr="00340238">
        <w:rPr>
          <w:i/>
        </w:rPr>
        <w:t>Competition and Consumer Act 2010</w:t>
      </w:r>
      <w:r w:rsidR="00822138" w:rsidRPr="00503E44">
        <w:t xml:space="preserve"> </w:t>
      </w:r>
      <w:r w:rsidR="00F109D4" w:rsidRPr="00503E44">
        <w:t xml:space="preserve">(the Act) provides that the </w:t>
      </w:r>
      <w:r w:rsidR="00822138">
        <w:t>Minister</w:t>
      </w:r>
      <w:r w:rsidR="00822138" w:rsidRPr="00503E44">
        <w:t xml:space="preserve"> </w:t>
      </w:r>
      <w:r w:rsidR="00F109D4" w:rsidRPr="00503E44">
        <w:t>may</w:t>
      </w:r>
      <w:r w:rsidR="00822138" w:rsidRPr="00822138">
        <w:t xml:space="preserve"> require the Australian Competition and Consumer Commission (ACCC) to hold an inquiry into a specified matter or matters.</w:t>
      </w:r>
    </w:p>
    <w:p w14:paraId="26E04E30" w14:textId="0D47C1BF" w:rsidR="00FD4530" w:rsidRDefault="00FD4530" w:rsidP="00FD4530">
      <w:pPr>
        <w:spacing w:before="240"/>
      </w:pPr>
      <w:r>
        <w:t xml:space="preserve">The </w:t>
      </w:r>
      <w:r w:rsidRPr="00340238">
        <w:rPr>
          <w:i/>
        </w:rPr>
        <w:t>Competition and Consumer (Price Inquiry–</w:t>
      </w:r>
      <w:r w:rsidRPr="00822138">
        <w:rPr>
          <w:i/>
        </w:rPr>
        <w:t>Digital Platforms</w:t>
      </w:r>
      <w:r>
        <w:rPr>
          <w:i/>
        </w:rPr>
        <w:t>)</w:t>
      </w:r>
      <w:r w:rsidRPr="00340238">
        <w:rPr>
          <w:i/>
        </w:rPr>
        <w:t xml:space="preserve"> Direction</w:t>
      </w:r>
      <w:r w:rsidR="001E4663">
        <w:rPr>
          <w:i/>
        </w:rPr>
        <w:t> </w:t>
      </w:r>
      <w:r w:rsidR="002326EA" w:rsidRPr="00340238">
        <w:rPr>
          <w:i/>
        </w:rPr>
        <w:t>20</w:t>
      </w:r>
      <w:r w:rsidR="002326EA">
        <w:rPr>
          <w:i/>
        </w:rPr>
        <w:t>20</w:t>
      </w:r>
      <w:r w:rsidR="002326EA">
        <w:t xml:space="preserve"> </w:t>
      </w:r>
      <w:r>
        <w:t>(the Direction) is made under subsection 95H(1) and provides a direction to the Chairperson of the ACCC requiring the ACCC to hold a price inquiry into the market</w:t>
      </w:r>
      <w:r w:rsidR="002B7355">
        <w:t>s</w:t>
      </w:r>
      <w:r>
        <w:t xml:space="preserve"> for </w:t>
      </w:r>
      <w:r w:rsidRPr="005E4C85">
        <w:t xml:space="preserve">the supply of </w:t>
      </w:r>
      <w:r>
        <w:t>digital platform services</w:t>
      </w:r>
      <w:r w:rsidRPr="005E4C85">
        <w:t>.</w:t>
      </w:r>
      <w:r w:rsidR="00F30698">
        <w:t xml:space="preserve"> </w:t>
      </w:r>
    </w:p>
    <w:p w14:paraId="0A20C4C9" w14:textId="1FC02905" w:rsidR="00F109D4" w:rsidRDefault="001B29E4" w:rsidP="00647BB7">
      <w:pPr>
        <w:spacing w:before="240"/>
      </w:pPr>
      <w:r>
        <w:t>The inquiry will support the Government’s commitment to promoting competition and good consumer outcomes in the market</w:t>
      </w:r>
      <w:r w:rsidR="002B7355">
        <w:t>s</w:t>
      </w:r>
      <w:r w:rsidR="00D602E0">
        <w:t xml:space="preserve"> for the supply of digital platform services</w:t>
      </w:r>
      <w:r>
        <w:t xml:space="preserve">, including </w:t>
      </w:r>
      <w:r w:rsidRPr="00A66D9C">
        <w:t xml:space="preserve">by </w:t>
      </w:r>
      <w:r w:rsidR="007B4DA4" w:rsidRPr="00A66D9C">
        <w:t xml:space="preserve">proactively </w:t>
      </w:r>
      <w:r w:rsidR="008F06F7" w:rsidRPr="00A66D9C">
        <w:t xml:space="preserve">investigating and </w:t>
      </w:r>
      <w:r w:rsidR="007B4DA4" w:rsidRPr="00A66D9C">
        <w:t xml:space="preserve">monitoring the </w:t>
      </w:r>
      <w:r w:rsidR="008F06F7" w:rsidRPr="00A66D9C">
        <w:t>factors that influence prices for the supply of digital platform services</w:t>
      </w:r>
      <w:r>
        <w:t xml:space="preserve">. As such, the Treasurer is requesting the ACCC </w:t>
      </w:r>
      <w:r w:rsidRPr="00F36434">
        <w:t xml:space="preserve">hold a </w:t>
      </w:r>
      <w:r>
        <w:t xml:space="preserve">price </w:t>
      </w:r>
      <w:r w:rsidRPr="00F36434">
        <w:t>inquiry</w:t>
      </w:r>
      <w:r>
        <w:t xml:space="preserve"> into the market</w:t>
      </w:r>
      <w:r w:rsidR="0042319B">
        <w:t>s</w:t>
      </w:r>
      <w:r>
        <w:t xml:space="preserve"> for the </w:t>
      </w:r>
      <w:r w:rsidRPr="005E4C85">
        <w:t xml:space="preserve">supply of </w:t>
      </w:r>
      <w:r w:rsidRPr="001B29E4">
        <w:t>digital platform services</w:t>
      </w:r>
      <w:r>
        <w:t>.</w:t>
      </w:r>
    </w:p>
    <w:p w14:paraId="11600394" w14:textId="110489FF" w:rsidR="008F06F7" w:rsidRDefault="008F06F7" w:rsidP="00647BB7">
      <w:pPr>
        <w:spacing w:before="240"/>
      </w:pPr>
      <w:r w:rsidRPr="008F06F7">
        <w:lastRenderedPageBreak/>
        <w:t>Part 1 of the Direction provides the machinery provisions of the instrument, including the definitions.</w:t>
      </w:r>
      <w:r w:rsidR="001A4670">
        <w:t xml:space="preserve"> </w:t>
      </w:r>
      <w:r w:rsidR="00A2703C">
        <w:t xml:space="preserve">To assist with understanding the scope of the definitions of </w:t>
      </w:r>
      <w:r w:rsidR="00A2703C" w:rsidRPr="00A2703C">
        <w:rPr>
          <w:b/>
          <w:i/>
        </w:rPr>
        <w:t>data brokers</w:t>
      </w:r>
      <w:r w:rsidR="00A2703C">
        <w:t xml:space="preserve"> and </w:t>
      </w:r>
      <w:r w:rsidR="00A2703C" w:rsidRPr="009D33FC">
        <w:rPr>
          <w:b/>
          <w:i/>
        </w:rPr>
        <w:t>digital content aggregation platforms</w:t>
      </w:r>
      <w:r w:rsidR="00A2703C">
        <w:t>, the following are e</w:t>
      </w:r>
      <w:r w:rsidR="001A4670">
        <w:t xml:space="preserve">xamples of </w:t>
      </w:r>
      <w:r w:rsidR="00575B0B">
        <w:t>supplier</w:t>
      </w:r>
      <w:r w:rsidR="009D33FC">
        <w:t>s</w:t>
      </w:r>
      <w:r w:rsidR="00575B0B">
        <w:t xml:space="preserve"> </w:t>
      </w:r>
      <w:r w:rsidR="00A2703C">
        <w:t xml:space="preserve">currently </w:t>
      </w:r>
      <w:r w:rsidR="00575B0B">
        <w:t xml:space="preserve">operating as </w:t>
      </w:r>
      <w:r w:rsidR="001A4670" w:rsidRPr="00A2703C">
        <w:t>data broker</w:t>
      </w:r>
      <w:r w:rsidR="009D33FC" w:rsidRPr="00A2703C">
        <w:t>s</w:t>
      </w:r>
      <w:r w:rsidR="00A2703C">
        <w:t>:</w:t>
      </w:r>
      <w:r w:rsidR="001A4670">
        <w:t xml:space="preserve"> Quantium, Experi</w:t>
      </w:r>
      <w:r w:rsidR="00B00D17">
        <w:t>an, Oracle, Data Republic and Ac</w:t>
      </w:r>
      <w:r w:rsidR="001A4670">
        <w:t xml:space="preserve">xiom. </w:t>
      </w:r>
      <w:r w:rsidR="004421D1">
        <w:t xml:space="preserve">The following are </w:t>
      </w:r>
      <w:r w:rsidR="00A2703C">
        <w:t>e</w:t>
      </w:r>
      <w:r w:rsidR="009D33FC">
        <w:t xml:space="preserve">xamples of </w:t>
      </w:r>
      <w:r w:rsidR="00065D4A">
        <w:t xml:space="preserve">current </w:t>
      </w:r>
      <w:r w:rsidR="009D33FC" w:rsidRPr="004421D1">
        <w:t>d</w:t>
      </w:r>
      <w:r w:rsidR="001A4670" w:rsidRPr="004421D1">
        <w:t>igital content aggregation platform</w:t>
      </w:r>
      <w:r w:rsidR="00575B0B" w:rsidRPr="004421D1">
        <w:t>s</w:t>
      </w:r>
      <w:r w:rsidR="004421D1">
        <w:t xml:space="preserve">: </w:t>
      </w:r>
      <w:r w:rsidR="00575B0B">
        <w:t xml:space="preserve">Google </w:t>
      </w:r>
      <w:bookmarkStart w:id="0" w:name="_GoBack"/>
      <w:bookmarkEnd w:id="0"/>
      <w:r w:rsidR="00575B0B">
        <w:t xml:space="preserve">News, Apple News </w:t>
      </w:r>
      <w:r w:rsidR="00A2703C">
        <w:t xml:space="preserve">and </w:t>
      </w:r>
      <w:r w:rsidR="001A4670">
        <w:t>Flipboard.</w:t>
      </w:r>
    </w:p>
    <w:p w14:paraId="45BFE24E" w14:textId="1ADCC102" w:rsidR="00660593" w:rsidRDefault="008F06F7" w:rsidP="00647BB7">
      <w:pPr>
        <w:spacing w:before="240"/>
      </w:pPr>
      <w:r w:rsidRPr="008F06F7">
        <w:t>Part 2 of the Direction provides the terms of reference for the inquiry and guidance on the matters to be taken into consideration.</w:t>
      </w:r>
      <w:r w:rsidR="00835C86">
        <w:t xml:space="preserve"> The </w:t>
      </w:r>
      <w:r w:rsidR="00660593">
        <w:t>inquiry</w:t>
      </w:r>
      <w:r w:rsidR="002D44D6">
        <w:t xml:space="preserve"> will </w:t>
      </w:r>
      <w:r w:rsidR="008135F5">
        <w:t>be held in relation to the specified</w:t>
      </w:r>
      <w:r w:rsidR="002D44D6">
        <w:t xml:space="preserve"> goods and services </w:t>
      </w:r>
      <w:r w:rsidR="008135F5">
        <w:t>within</w:t>
      </w:r>
      <w:r w:rsidR="00660593">
        <w:t xml:space="preserve"> the markets for the supply of digital platform services including</w:t>
      </w:r>
      <w:r w:rsidR="00835C86">
        <w:t>, digital advertising services supplied by digital platform services providers</w:t>
      </w:r>
      <w:r w:rsidR="002D44D6">
        <w:t>,</w:t>
      </w:r>
      <w:r w:rsidR="00835C86">
        <w:t xml:space="preserve"> and data collection, </w:t>
      </w:r>
      <w:r w:rsidR="00162400">
        <w:t xml:space="preserve">storage, </w:t>
      </w:r>
      <w:r w:rsidR="00835C86">
        <w:t>supply, processing and analysis services provided by digital platform service providers or data brokers</w:t>
      </w:r>
      <w:r w:rsidR="00065D4A">
        <w:t>.</w:t>
      </w:r>
    </w:p>
    <w:p w14:paraId="05F8AE92" w14:textId="5D9F5D01" w:rsidR="00EA1051" w:rsidRDefault="008F06F7" w:rsidP="00647BB7">
      <w:pPr>
        <w:spacing w:before="240"/>
      </w:pPr>
      <w:r w:rsidRPr="00EA1051">
        <w:t xml:space="preserve">The ACCC must </w:t>
      </w:r>
      <w:r w:rsidR="00835C86">
        <w:t xml:space="preserve">also </w:t>
      </w:r>
      <w:r w:rsidR="00EA1051">
        <w:t xml:space="preserve">regularly monitor </w:t>
      </w:r>
      <w:r w:rsidR="009D7E29">
        <w:t>the market</w:t>
      </w:r>
      <w:r w:rsidR="002B7355">
        <w:t>s</w:t>
      </w:r>
      <w:r w:rsidR="009D7E29">
        <w:t xml:space="preserve"> for the </w:t>
      </w:r>
      <w:r w:rsidR="009D7E29" w:rsidRPr="005E4C85">
        <w:t xml:space="preserve">supply of </w:t>
      </w:r>
      <w:r w:rsidR="009D7E29" w:rsidRPr="001B29E4">
        <w:t>digital platform services</w:t>
      </w:r>
      <w:r w:rsidR="009D7E29">
        <w:t xml:space="preserve"> </w:t>
      </w:r>
      <w:r w:rsidR="00EA1051">
        <w:t xml:space="preserve">for the intensity of competition amongst </w:t>
      </w:r>
      <w:r w:rsidR="009D7E29">
        <w:t>suppliers</w:t>
      </w:r>
      <w:r w:rsidR="00EA1051">
        <w:t>, market trends</w:t>
      </w:r>
      <w:r w:rsidR="00E45314">
        <w:t xml:space="preserve"> that may affect </w:t>
      </w:r>
      <w:r w:rsidR="002B7355">
        <w:t xml:space="preserve">suppliers’ </w:t>
      </w:r>
      <w:r w:rsidR="00E45314">
        <w:t>market power</w:t>
      </w:r>
      <w:r w:rsidR="0071411A">
        <w:t>, impact of innovation and technological changes,</w:t>
      </w:r>
      <w:r w:rsidR="00EA1051">
        <w:t xml:space="preserve"> and developments in overseas markets</w:t>
      </w:r>
      <w:r w:rsidR="00E45314">
        <w:t>.</w:t>
      </w:r>
      <w:r w:rsidR="001C0851">
        <w:t xml:space="preserve"> </w:t>
      </w:r>
    </w:p>
    <w:p w14:paraId="67CC770F" w14:textId="0C6233A3" w:rsidR="00A66D9C" w:rsidRDefault="00A66D9C" w:rsidP="00A66D9C">
      <w:pPr>
        <w:spacing w:before="240"/>
      </w:pPr>
      <w:r w:rsidRPr="00C20674">
        <w:t>The ACCC</w:t>
      </w:r>
      <w:r w:rsidR="007D4879">
        <w:t xml:space="preserve"> must</w:t>
      </w:r>
      <w:r w:rsidRPr="00C20674">
        <w:t xml:space="preserve"> </w:t>
      </w:r>
      <w:r w:rsidR="007D4879" w:rsidRPr="00FD1B74">
        <w:t xml:space="preserve">give the Treasurer an interim report on the inquiry by </w:t>
      </w:r>
      <w:r w:rsidR="00575B0B">
        <w:t>30 September </w:t>
      </w:r>
      <w:r w:rsidR="007D4879">
        <w:t xml:space="preserve">2020 </w:t>
      </w:r>
      <w:r w:rsidR="0002657D" w:rsidRPr="00C20674">
        <w:t xml:space="preserve">and </w:t>
      </w:r>
      <w:r w:rsidR="007D4879">
        <w:t>then</w:t>
      </w:r>
      <w:r w:rsidRPr="00C20674">
        <w:t xml:space="preserve"> </w:t>
      </w:r>
      <w:r w:rsidR="0002657D" w:rsidRPr="00C20674">
        <w:t xml:space="preserve">every six months on </w:t>
      </w:r>
      <w:r w:rsidR="00C20674" w:rsidRPr="00C20674">
        <w:t>observed changes since the last report and other relevant matters</w:t>
      </w:r>
      <w:r w:rsidRPr="00C20674">
        <w:t>.</w:t>
      </w:r>
      <w:r w:rsidR="007D4879">
        <w:t xml:space="preserve"> </w:t>
      </w:r>
      <w:r w:rsidR="007D4879" w:rsidRPr="00FD1B74">
        <w:t xml:space="preserve">The ACCC must provide a </w:t>
      </w:r>
      <w:r w:rsidR="007D4879">
        <w:t xml:space="preserve">final </w:t>
      </w:r>
      <w:r w:rsidR="007D4879" w:rsidRPr="00FD1B74">
        <w:t xml:space="preserve">report to the Treasurer by no later than </w:t>
      </w:r>
      <w:r w:rsidR="007D4879" w:rsidRPr="00C20674">
        <w:t>3</w:t>
      </w:r>
      <w:r w:rsidR="007D4879">
        <w:t>1 March</w:t>
      </w:r>
      <w:r w:rsidR="007D4879" w:rsidRPr="00C20674">
        <w:t xml:space="preserve"> 202</w:t>
      </w:r>
      <w:r w:rsidR="007D4879">
        <w:t>5</w:t>
      </w:r>
      <w:r w:rsidR="007D4879" w:rsidRPr="00C20674">
        <w:t>.</w:t>
      </w:r>
      <w:r w:rsidRPr="00C20674">
        <w:t xml:space="preserve"> </w:t>
      </w:r>
      <w:r w:rsidR="00C20674" w:rsidRPr="00C20674">
        <w:t xml:space="preserve">The ACCC must not release </w:t>
      </w:r>
      <w:r w:rsidR="000A3CBA">
        <w:t>an</w:t>
      </w:r>
      <w:r w:rsidR="00144333">
        <w:t>y</w:t>
      </w:r>
      <w:r w:rsidR="000A3CBA">
        <w:t xml:space="preserve"> interim</w:t>
      </w:r>
      <w:r w:rsidR="00C20674" w:rsidRPr="00C20674">
        <w:t xml:space="preserve"> report for public inspection until authorised by the Treasurer in writing.</w:t>
      </w:r>
    </w:p>
    <w:p w14:paraId="2A007496" w14:textId="77777777" w:rsidR="00A66D9C" w:rsidRDefault="00A66D9C" w:rsidP="00A66D9C">
      <w:pPr>
        <w:spacing w:before="240"/>
      </w:pPr>
      <w:r>
        <w:lastRenderedPageBreak/>
        <w:t xml:space="preserve">In accordance with section 17 of the </w:t>
      </w:r>
      <w:r w:rsidRPr="00F32A2D">
        <w:rPr>
          <w:i/>
          <w:iCs/>
        </w:rPr>
        <w:t>Legislation Act 2003</w:t>
      </w:r>
      <w:r w:rsidRPr="00F32A2D">
        <w:t>, the ACCC</w:t>
      </w:r>
      <w:r>
        <w:t xml:space="preserve"> has </w:t>
      </w:r>
      <w:r w:rsidRPr="00F32A2D">
        <w:t>been consulted on the terms of this Direction</w:t>
      </w:r>
      <w:r>
        <w:t>.</w:t>
      </w:r>
    </w:p>
    <w:p w14:paraId="6E8554D0" w14:textId="296570BF" w:rsidR="00A66D9C" w:rsidRDefault="00A66D9C" w:rsidP="00A66D9C">
      <w:pPr>
        <w:spacing w:before="240"/>
      </w:pPr>
      <w:r>
        <w:t>The Direction</w:t>
      </w:r>
      <w:r w:rsidRPr="00F32A2D">
        <w:t xml:space="preserve"> is a legislative instrument for the purposes of the </w:t>
      </w:r>
      <w:r w:rsidRPr="00F32A2D">
        <w:rPr>
          <w:i/>
          <w:iCs/>
        </w:rPr>
        <w:t>Legislation Act 2003</w:t>
      </w:r>
      <w:r w:rsidRPr="00F32A2D">
        <w:t xml:space="preserve">. However, the instrument is not disallowable and does not sunset (see </w:t>
      </w:r>
      <w:r w:rsidRPr="00F32A2D">
        <w:rPr>
          <w:i/>
          <w:iCs/>
        </w:rPr>
        <w:t>Legislation (Exemptions and Other Matters) Regulation 2015</w:t>
      </w:r>
      <w:r w:rsidRPr="00F32A2D">
        <w:t>).</w:t>
      </w:r>
    </w:p>
    <w:p w14:paraId="0C13A3DB" w14:textId="619E7FFA" w:rsidR="00A66D9C" w:rsidRDefault="00A66D9C" w:rsidP="00A66D9C">
      <w:pPr>
        <w:spacing w:before="240"/>
      </w:pPr>
      <w:r>
        <w:t>The Direction commences the day afte</w:t>
      </w:r>
      <w:r w:rsidR="00065D4A">
        <w:t>r the instrument is registered.</w:t>
      </w:r>
    </w:p>
    <w:p w14:paraId="360B7F04" w14:textId="0B6ACB74" w:rsidR="002C226C" w:rsidRDefault="00A66D9C" w:rsidP="000A3CBA">
      <w:pPr>
        <w:spacing w:before="240"/>
      </w:pPr>
      <w:r>
        <w:t xml:space="preserve">A statement of Compatibility with Human Rights is at </w:t>
      </w:r>
      <w:r w:rsidRPr="000A3CBA">
        <w:rPr>
          <w:u w:val="single"/>
        </w:rPr>
        <w:t>Attachment A</w:t>
      </w:r>
      <w:r>
        <w:t>.</w:t>
      </w:r>
    </w:p>
    <w:p w14:paraId="55017E54" w14:textId="77777777" w:rsidR="00EA4DD8" w:rsidRDefault="00EA4DD8" w:rsidP="00EA4DD8">
      <w:pPr>
        <w:spacing w:before="0" w:after="0"/>
        <w:rPr>
          <w:b/>
          <w:kern w:val="28"/>
        </w:rPr>
      </w:pPr>
      <w:r>
        <w:br w:type="page"/>
      </w:r>
    </w:p>
    <w:p w14:paraId="35583F92" w14:textId="56F4E63B" w:rsidR="007A55A7" w:rsidRDefault="007A55A7" w:rsidP="00013390">
      <w:pPr>
        <w:pageBreakBefore/>
        <w:spacing w:before="240"/>
        <w:jc w:val="right"/>
        <w:rPr>
          <w:b/>
          <w:u w:val="single"/>
        </w:rPr>
      </w:pPr>
      <w:r w:rsidRPr="007B335E">
        <w:rPr>
          <w:b/>
          <w:u w:val="single"/>
        </w:rPr>
        <w:lastRenderedPageBreak/>
        <w:t xml:space="preserve">ATTACHMENT </w:t>
      </w:r>
      <w:r w:rsidR="00A66D9C">
        <w:rPr>
          <w:b/>
          <w:u w:val="single"/>
        </w:rPr>
        <w:t>A</w:t>
      </w:r>
    </w:p>
    <w:p w14:paraId="158BA2D4" w14:textId="77777777" w:rsidR="00E4438C" w:rsidRPr="00462095" w:rsidRDefault="00E4438C" w:rsidP="003E1CE3">
      <w:pPr>
        <w:pStyle w:val="Heading3"/>
      </w:pPr>
      <w:r w:rsidRPr="00462095">
        <w:t>Statement of Compatibility with Human Rights</w:t>
      </w:r>
    </w:p>
    <w:p w14:paraId="28F249E0" w14:textId="77777777" w:rsidR="00E4438C" w:rsidRPr="00647BB7" w:rsidRDefault="00E4438C" w:rsidP="00AC1D15">
      <w:pPr>
        <w:spacing w:before="240"/>
        <w:jc w:val="center"/>
        <w:rPr>
          <w:i/>
        </w:rPr>
      </w:pPr>
      <w:r w:rsidRPr="00647BB7">
        <w:rPr>
          <w:i/>
        </w:rPr>
        <w:t>Prepared in accordance with Part 3 of the Human Rights (Parliamentary Scrutiny) Act 2011</w:t>
      </w:r>
    </w:p>
    <w:p w14:paraId="7208EC51" w14:textId="4D590BC3" w:rsidR="00E4438C" w:rsidRPr="00647BB7" w:rsidRDefault="00920A47" w:rsidP="00920A47">
      <w:pPr>
        <w:pStyle w:val="Heading3"/>
        <w:jc w:val="center"/>
      </w:pPr>
      <w:r>
        <w:t>Competition and Consumer (Price Inquiry</w:t>
      </w:r>
      <w:r w:rsidRPr="00193DA3">
        <w:rPr>
          <w:b w:val="0"/>
        </w:rPr>
        <w:t>–</w:t>
      </w:r>
      <w:r w:rsidRPr="00920A47">
        <w:t>Digital Platforms</w:t>
      </w:r>
      <w:r w:rsidRPr="00193DA3">
        <w:t>)</w:t>
      </w:r>
      <w:r>
        <w:t xml:space="preserve"> </w:t>
      </w:r>
      <w:r w:rsidR="001E4663">
        <w:t>Direction </w:t>
      </w:r>
      <w:r w:rsidR="002326EA">
        <w:t>2020</w:t>
      </w:r>
    </w:p>
    <w:p w14:paraId="5B5EC660" w14:textId="77777777" w:rsidR="00E4438C" w:rsidRPr="00647BB7" w:rsidRDefault="00E4438C" w:rsidP="00647BB7">
      <w:pPr>
        <w:spacing w:before="240"/>
      </w:pPr>
      <w:r w:rsidRPr="00647BB7">
        <w:t xml:space="preserve">This Legislative Instrument is compatible with the human rights and freedoms recognised or declared in the international instruments listed in section 3 of the </w:t>
      </w:r>
      <w:r w:rsidRPr="00647BB7">
        <w:rPr>
          <w:i/>
        </w:rPr>
        <w:t>Human Rights (Parliamentary Scrutiny) Act 2011</w:t>
      </w:r>
      <w:r w:rsidRPr="00647BB7">
        <w:t>.</w:t>
      </w:r>
    </w:p>
    <w:p w14:paraId="5DED40E4" w14:textId="77777777" w:rsidR="00E4438C" w:rsidRPr="00647BB7" w:rsidRDefault="00E4438C" w:rsidP="003E1CE3">
      <w:pPr>
        <w:pStyle w:val="Heading3"/>
      </w:pPr>
      <w:r w:rsidRPr="00647BB7">
        <w:t>Overview of the Legislative Instrument</w:t>
      </w:r>
    </w:p>
    <w:p w14:paraId="148C16B0" w14:textId="77777777" w:rsidR="00920A47" w:rsidRDefault="00920A47" w:rsidP="00920A47">
      <w:pPr>
        <w:spacing w:before="240"/>
      </w:pPr>
      <w:r>
        <w:t>Section 95H of the</w:t>
      </w:r>
      <w:r w:rsidRPr="002658BB">
        <w:t xml:space="preserve"> </w:t>
      </w:r>
      <w:r w:rsidRPr="002658BB">
        <w:rPr>
          <w:i/>
          <w:iCs/>
        </w:rPr>
        <w:t>Competition and Consumer Act 2010</w:t>
      </w:r>
      <w:r w:rsidRPr="002658BB">
        <w:t xml:space="preserve"> (the Act) provides that the Minister may </w:t>
      </w:r>
      <w:r>
        <w:t>require</w:t>
      </w:r>
      <w:r w:rsidRPr="002658BB">
        <w:t xml:space="preserve"> the Australian Competition and Consumer Commission (ACCC) </w:t>
      </w:r>
      <w:r>
        <w:t>to hold</w:t>
      </w:r>
      <w:r w:rsidRPr="002658BB">
        <w:t xml:space="preserve"> an inquiry into a specified matter or matters.</w:t>
      </w:r>
    </w:p>
    <w:p w14:paraId="5D4F1B4D" w14:textId="0FD295BF" w:rsidR="00920A47" w:rsidRPr="00193DA3" w:rsidRDefault="00920A47" w:rsidP="00920A47">
      <w:pPr>
        <w:spacing w:before="240"/>
        <w:rPr>
          <w:highlight w:val="yellow"/>
        </w:rPr>
      </w:pPr>
      <w:r>
        <w:t xml:space="preserve">The </w:t>
      </w:r>
      <w:r w:rsidRPr="003A56E9">
        <w:rPr>
          <w:i/>
          <w:iCs/>
        </w:rPr>
        <w:t>Competition and Consumer (Price Inquiry–</w:t>
      </w:r>
      <w:r w:rsidRPr="00920A47">
        <w:rPr>
          <w:i/>
        </w:rPr>
        <w:t>Digital Platforms</w:t>
      </w:r>
      <w:r w:rsidRPr="003A56E9">
        <w:rPr>
          <w:i/>
          <w:iCs/>
        </w:rPr>
        <w:t xml:space="preserve">) </w:t>
      </w:r>
      <w:r w:rsidR="001E4663">
        <w:rPr>
          <w:i/>
          <w:iCs/>
        </w:rPr>
        <w:t>Direction </w:t>
      </w:r>
      <w:r w:rsidR="002326EA" w:rsidRPr="005E4C85">
        <w:rPr>
          <w:i/>
          <w:iCs/>
        </w:rPr>
        <w:t>20</w:t>
      </w:r>
      <w:r w:rsidR="002326EA">
        <w:rPr>
          <w:i/>
          <w:iCs/>
        </w:rPr>
        <w:t>20</w:t>
      </w:r>
      <w:r w:rsidR="002326EA" w:rsidRPr="005E4C85">
        <w:rPr>
          <w:i/>
          <w:iCs/>
        </w:rPr>
        <w:t xml:space="preserve"> </w:t>
      </w:r>
      <w:r w:rsidRPr="005E4C85">
        <w:t>(the Direction) is a direction to the Chairperson of the AC</w:t>
      </w:r>
      <w:r>
        <w:t>CC to hold a price inquiry into</w:t>
      </w:r>
      <w:r w:rsidRPr="005E4C85">
        <w:t xml:space="preserve"> </w:t>
      </w:r>
      <w:r>
        <w:t>the market</w:t>
      </w:r>
      <w:r w:rsidR="002B7355">
        <w:t>s</w:t>
      </w:r>
      <w:r>
        <w:t xml:space="preserve"> for </w:t>
      </w:r>
      <w:r w:rsidRPr="005E4C85">
        <w:t xml:space="preserve">the </w:t>
      </w:r>
      <w:r w:rsidRPr="00D331A2">
        <w:t xml:space="preserve">supply of </w:t>
      </w:r>
      <w:r w:rsidRPr="00920A47">
        <w:t>digital platform services</w:t>
      </w:r>
      <w:r w:rsidRPr="005E4C85">
        <w:t>.</w:t>
      </w:r>
    </w:p>
    <w:p w14:paraId="71DF59DE" w14:textId="67ACE840" w:rsidR="00E4438C" w:rsidRPr="00647BB7" w:rsidRDefault="00920A47" w:rsidP="00920A47">
      <w:pPr>
        <w:spacing w:before="240"/>
      </w:pPr>
      <w:r>
        <w:t>The Direction sets out the terms of reference for the inquiry</w:t>
      </w:r>
      <w:r w:rsidR="000A3CBA">
        <w:t>.</w:t>
      </w:r>
    </w:p>
    <w:p w14:paraId="2087A132" w14:textId="77777777" w:rsidR="00E4438C" w:rsidRPr="00647BB7" w:rsidRDefault="00E4438C" w:rsidP="003E1CE3">
      <w:pPr>
        <w:pStyle w:val="Heading3"/>
      </w:pPr>
      <w:r w:rsidRPr="00647BB7">
        <w:t>Human rights implications</w:t>
      </w:r>
    </w:p>
    <w:p w14:paraId="0E3FC546" w14:textId="77777777" w:rsidR="00E4438C" w:rsidRPr="00647BB7" w:rsidRDefault="00E4438C" w:rsidP="00647BB7">
      <w:pPr>
        <w:spacing w:before="240"/>
      </w:pPr>
      <w:r w:rsidRPr="00647BB7">
        <w:t>This Legislative Instrument does not engage any of the applicable rights or freedoms.</w:t>
      </w:r>
    </w:p>
    <w:p w14:paraId="3F7FB432" w14:textId="77777777" w:rsidR="00E4438C" w:rsidRPr="00647BB7" w:rsidRDefault="00E4438C" w:rsidP="003E1CE3">
      <w:pPr>
        <w:pStyle w:val="Heading3"/>
      </w:pPr>
      <w:r w:rsidRPr="00647BB7">
        <w:lastRenderedPageBreak/>
        <w:t>Conclusion</w:t>
      </w:r>
    </w:p>
    <w:p w14:paraId="630E6209" w14:textId="0E3D8AD7" w:rsidR="00482B81" w:rsidRPr="00EA4DD8" w:rsidRDefault="00E4438C" w:rsidP="00065D4A">
      <w:pPr>
        <w:spacing w:before="240"/>
      </w:pPr>
      <w:r w:rsidRPr="00647BB7">
        <w:t>This Legislative Instrument is compatible with human rights as it does not raise any human rights issues.</w:t>
      </w:r>
    </w:p>
    <w:sectPr w:rsidR="00482B81" w:rsidRPr="00EA4DD8" w:rsidSect="00392BBA">
      <w:footerReference w:type="default" r:id="rId13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A4BC6" w14:textId="77777777" w:rsidR="00822138" w:rsidRDefault="00822138" w:rsidP="00954679">
      <w:pPr>
        <w:spacing w:before="0" w:after="0"/>
      </w:pPr>
      <w:r>
        <w:separator/>
      </w:r>
    </w:p>
  </w:endnote>
  <w:endnote w:type="continuationSeparator" w:id="0">
    <w:p w14:paraId="09999EB5" w14:textId="77777777" w:rsidR="00822138" w:rsidRDefault="00822138" w:rsidP="0095467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61996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C6759" w14:textId="279D7361" w:rsidR="00954679" w:rsidRDefault="00954679" w:rsidP="00013390">
            <w:pPr>
              <w:pStyle w:val="Footer"/>
              <w:jc w:val="right"/>
            </w:pP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PAGE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B00D17">
              <w:rPr>
                <w:bCs/>
                <w:noProof/>
              </w:rPr>
              <w:t>1</w:t>
            </w:r>
            <w:r w:rsidRPr="00954679">
              <w:rPr>
                <w:bCs/>
                <w:szCs w:val="24"/>
              </w:rPr>
              <w:fldChar w:fldCharType="end"/>
            </w:r>
            <w:r w:rsidRPr="00954679">
              <w:t xml:space="preserve"> of </w:t>
            </w: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NUMPAGES 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B00D17">
              <w:rPr>
                <w:bCs/>
                <w:noProof/>
              </w:rPr>
              <w:t>3</w:t>
            </w:r>
            <w:r w:rsidRPr="00954679">
              <w:rPr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5A536" w14:textId="77777777" w:rsidR="00822138" w:rsidRDefault="00822138" w:rsidP="00954679">
      <w:pPr>
        <w:spacing w:before="0" w:after="0"/>
      </w:pPr>
      <w:r>
        <w:separator/>
      </w:r>
    </w:p>
  </w:footnote>
  <w:footnote w:type="continuationSeparator" w:id="0">
    <w:p w14:paraId="6F7FE753" w14:textId="77777777" w:rsidR="00822138" w:rsidRDefault="00822138" w:rsidP="0095467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76E2C"/>
    <w:multiLevelType w:val="multilevel"/>
    <w:tmpl w:val="51CEC5B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C7552C0"/>
    <w:multiLevelType w:val="singleLevel"/>
    <w:tmpl w:val="BBF66F10"/>
    <w:lvl w:ilvl="0">
      <w:start w:val="1"/>
      <w:numFmt w:val="bullet"/>
      <w:pStyle w:val="Dot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" w15:restartNumberingAfterBreak="0">
    <w:nsid w:val="67A43C0B"/>
    <w:multiLevelType w:val="multilevel"/>
    <w:tmpl w:val="045CA2A8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138"/>
    <w:rsid w:val="00013390"/>
    <w:rsid w:val="00016EA2"/>
    <w:rsid w:val="0002657D"/>
    <w:rsid w:val="00034627"/>
    <w:rsid w:val="00063854"/>
    <w:rsid w:val="00065D4A"/>
    <w:rsid w:val="00076178"/>
    <w:rsid w:val="00095211"/>
    <w:rsid w:val="000A23BC"/>
    <w:rsid w:val="000A3CBA"/>
    <w:rsid w:val="000B39A1"/>
    <w:rsid w:val="000C10DF"/>
    <w:rsid w:val="000C6935"/>
    <w:rsid w:val="00113B45"/>
    <w:rsid w:val="00136506"/>
    <w:rsid w:val="00144333"/>
    <w:rsid w:val="00162400"/>
    <w:rsid w:val="00190A51"/>
    <w:rsid w:val="001A4670"/>
    <w:rsid w:val="001B29E4"/>
    <w:rsid w:val="001B7535"/>
    <w:rsid w:val="001C0851"/>
    <w:rsid w:val="001E1736"/>
    <w:rsid w:val="001E4663"/>
    <w:rsid w:val="001E6A74"/>
    <w:rsid w:val="001F41D0"/>
    <w:rsid w:val="00220F16"/>
    <w:rsid w:val="002326EA"/>
    <w:rsid w:val="002538A7"/>
    <w:rsid w:val="00254C5B"/>
    <w:rsid w:val="002938EC"/>
    <w:rsid w:val="002A7E1F"/>
    <w:rsid w:val="002B7355"/>
    <w:rsid w:val="002C226C"/>
    <w:rsid w:val="002D44D6"/>
    <w:rsid w:val="003041FA"/>
    <w:rsid w:val="00324C37"/>
    <w:rsid w:val="003342CD"/>
    <w:rsid w:val="00335042"/>
    <w:rsid w:val="00362B70"/>
    <w:rsid w:val="00392BBA"/>
    <w:rsid w:val="003954FD"/>
    <w:rsid w:val="003C7907"/>
    <w:rsid w:val="003D60D7"/>
    <w:rsid w:val="003E1CE3"/>
    <w:rsid w:val="0042319B"/>
    <w:rsid w:val="004421D1"/>
    <w:rsid w:val="00462095"/>
    <w:rsid w:val="00464077"/>
    <w:rsid w:val="00482B81"/>
    <w:rsid w:val="00482D4C"/>
    <w:rsid w:val="004B3C0F"/>
    <w:rsid w:val="004C05E4"/>
    <w:rsid w:val="004E39E1"/>
    <w:rsid w:val="004F56D0"/>
    <w:rsid w:val="00503E44"/>
    <w:rsid w:val="00515283"/>
    <w:rsid w:val="00533926"/>
    <w:rsid w:val="00547010"/>
    <w:rsid w:val="0055675D"/>
    <w:rsid w:val="00566E8F"/>
    <w:rsid w:val="0057422E"/>
    <w:rsid w:val="00575B0B"/>
    <w:rsid w:val="005833BE"/>
    <w:rsid w:val="005D7D5A"/>
    <w:rsid w:val="005E4BAC"/>
    <w:rsid w:val="0060130D"/>
    <w:rsid w:val="00620396"/>
    <w:rsid w:val="00631DA0"/>
    <w:rsid w:val="0064129F"/>
    <w:rsid w:val="00647BB7"/>
    <w:rsid w:val="00656BF8"/>
    <w:rsid w:val="00660593"/>
    <w:rsid w:val="00680297"/>
    <w:rsid w:val="006873CE"/>
    <w:rsid w:val="006A0786"/>
    <w:rsid w:val="006B3D01"/>
    <w:rsid w:val="006E20ED"/>
    <w:rsid w:val="006F7911"/>
    <w:rsid w:val="00710E94"/>
    <w:rsid w:val="0071411A"/>
    <w:rsid w:val="00720C76"/>
    <w:rsid w:val="00727D8A"/>
    <w:rsid w:val="00731FEA"/>
    <w:rsid w:val="00736F61"/>
    <w:rsid w:val="00742253"/>
    <w:rsid w:val="007662C7"/>
    <w:rsid w:val="00776306"/>
    <w:rsid w:val="007A55A7"/>
    <w:rsid w:val="007B1F10"/>
    <w:rsid w:val="007B335E"/>
    <w:rsid w:val="007B4DA4"/>
    <w:rsid w:val="007D4879"/>
    <w:rsid w:val="007E018D"/>
    <w:rsid w:val="007F1B71"/>
    <w:rsid w:val="00807E7D"/>
    <w:rsid w:val="008135F5"/>
    <w:rsid w:val="00822138"/>
    <w:rsid w:val="00831675"/>
    <w:rsid w:val="00835C86"/>
    <w:rsid w:val="00873DD4"/>
    <w:rsid w:val="0088467C"/>
    <w:rsid w:val="00894579"/>
    <w:rsid w:val="008A5B67"/>
    <w:rsid w:val="008D16F7"/>
    <w:rsid w:val="008E1427"/>
    <w:rsid w:val="008F06F7"/>
    <w:rsid w:val="009143A0"/>
    <w:rsid w:val="00920A47"/>
    <w:rsid w:val="0093481D"/>
    <w:rsid w:val="00936902"/>
    <w:rsid w:val="00941FC4"/>
    <w:rsid w:val="00954679"/>
    <w:rsid w:val="009A6286"/>
    <w:rsid w:val="009C6A1E"/>
    <w:rsid w:val="009D33FC"/>
    <w:rsid w:val="009D7E29"/>
    <w:rsid w:val="009E2F86"/>
    <w:rsid w:val="009E6416"/>
    <w:rsid w:val="00A12209"/>
    <w:rsid w:val="00A2703C"/>
    <w:rsid w:val="00A301AD"/>
    <w:rsid w:val="00A36DF3"/>
    <w:rsid w:val="00A532DD"/>
    <w:rsid w:val="00A66D9C"/>
    <w:rsid w:val="00A80BCF"/>
    <w:rsid w:val="00A819AE"/>
    <w:rsid w:val="00A8369C"/>
    <w:rsid w:val="00AA044E"/>
    <w:rsid w:val="00AA1689"/>
    <w:rsid w:val="00AA5770"/>
    <w:rsid w:val="00AC1D15"/>
    <w:rsid w:val="00B00D17"/>
    <w:rsid w:val="00B07B0C"/>
    <w:rsid w:val="00B25563"/>
    <w:rsid w:val="00B26D48"/>
    <w:rsid w:val="00B42EE1"/>
    <w:rsid w:val="00B7757B"/>
    <w:rsid w:val="00B8293D"/>
    <w:rsid w:val="00B92478"/>
    <w:rsid w:val="00BA6188"/>
    <w:rsid w:val="00BD61A2"/>
    <w:rsid w:val="00BE484D"/>
    <w:rsid w:val="00C20674"/>
    <w:rsid w:val="00C37E05"/>
    <w:rsid w:val="00C55D29"/>
    <w:rsid w:val="00C63472"/>
    <w:rsid w:val="00CA0BE9"/>
    <w:rsid w:val="00CA138D"/>
    <w:rsid w:val="00CC7641"/>
    <w:rsid w:val="00D13794"/>
    <w:rsid w:val="00D24052"/>
    <w:rsid w:val="00D24386"/>
    <w:rsid w:val="00D31575"/>
    <w:rsid w:val="00D34626"/>
    <w:rsid w:val="00D34FB4"/>
    <w:rsid w:val="00D4257A"/>
    <w:rsid w:val="00D602E0"/>
    <w:rsid w:val="00D62665"/>
    <w:rsid w:val="00D82E47"/>
    <w:rsid w:val="00D85349"/>
    <w:rsid w:val="00DC0CDE"/>
    <w:rsid w:val="00DC4D72"/>
    <w:rsid w:val="00E0624D"/>
    <w:rsid w:val="00E4438C"/>
    <w:rsid w:val="00E45314"/>
    <w:rsid w:val="00E457F3"/>
    <w:rsid w:val="00E604E5"/>
    <w:rsid w:val="00E665C8"/>
    <w:rsid w:val="00EA1051"/>
    <w:rsid w:val="00EA4DD8"/>
    <w:rsid w:val="00EB2AEF"/>
    <w:rsid w:val="00EB7E71"/>
    <w:rsid w:val="00F03323"/>
    <w:rsid w:val="00F109D4"/>
    <w:rsid w:val="00F15EE9"/>
    <w:rsid w:val="00F30698"/>
    <w:rsid w:val="00F405DF"/>
    <w:rsid w:val="00F47585"/>
    <w:rsid w:val="00F52D21"/>
    <w:rsid w:val="00F80412"/>
    <w:rsid w:val="00F85E6F"/>
    <w:rsid w:val="00FD4530"/>
    <w:rsid w:val="00FD675B"/>
    <w:rsid w:val="00FE04E4"/>
    <w:rsid w:val="00FE73F9"/>
    <w:rsid w:val="00FF1057"/>
    <w:rsid w:val="00FF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20CE2FE"/>
  <w15:docId w15:val="{3E640C0D-184B-4758-B9E9-7251EAD9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30D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qFormat/>
    <w:rsid w:val="00A12209"/>
    <w:pPr>
      <w:keepNext/>
      <w:spacing w:before="240" w:after="60"/>
      <w:jc w:val="center"/>
      <w:outlineLvl w:val="0"/>
    </w:pPr>
    <w:rPr>
      <w:rFonts w:ascii="Arial Bold" w:hAnsi="Arial Bold"/>
      <w:b/>
      <w:kern w:val="28"/>
      <w:sz w:val="28"/>
      <w:u w:val="single"/>
    </w:rPr>
  </w:style>
  <w:style w:type="paragraph" w:styleId="Heading2">
    <w:name w:val="heading 2"/>
    <w:basedOn w:val="Normal"/>
    <w:next w:val="Normal"/>
    <w:qFormat/>
    <w:rsid w:val="00A12209"/>
    <w:pPr>
      <w:keepNext/>
      <w:spacing w:before="240" w:after="60"/>
      <w:outlineLvl w:val="1"/>
    </w:pPr>
    <w:rPr>
      <w:b/>
      <w:sz w:val="28"/>
      <w:u w:val="single"/>
    </w:rPr>
  </w:style>
  <w:style w:type="paragraph" w:styleId="Heading3">
    <w:name w:val="heading 3"/>
    <w:basedOn w:val="Heading2"/>
    <w:next w:val="base-text-paragraph"/>
    <w:link w:val="Heading3Char"/>
    <w:qFormat/>
    <w:rsid w:val="003E1CE3"/>
    <w:pPr>
      <w:tabs>
        <w:tab w:val="left" w:pos="1987"/>
      </w:tabs>
      <w:spacing w:after="120"/>
      <w:outlineLvl w:val="2"/>
    </w:pPr>
    <w:rPr>
      <w:kern w:val="28"/>
      <w:sz w:val="24"/>
      <w:u w:val="none"/>
    </w:rPr>
  </w:style>
  <w:style w:type="paragraph" w:styleId="Heading4">
    <w:name w:val="heading 4"/>
    <w:basedOn w:val="Heading3"/>
    <w:next w:val="base-text-paragraph"/>
    <w:qFormat/>
    <w:rsid w:val="00E4438C"/>
    <w:pPr>
      <w:spacing w:before="12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2BBA"/>
    <w:pPr>
      <w:jc w:val="center"/>
    </w:pPr>
    <w:rPr>
      <w:b/>
    </w:rPr>
  </w:style>
  <w:style w:type="paragraph" w:styleId="BodyText">
    <w:name w:val="Body Text"/>
    <w:basedOn w:val="Normal"/>
    <w:rsid w:val="00392BBA"/>
  </w:style>
  <w:style w:type="paragraph" w:styleId="BodyText2">
    <w:name w:val="Body Text 2"/>
    <w:basedOn w:val="Normal"/>
    <w:rsid w:val="00392BBA"/>
    <w:rPr>
      <w:u w:val="single"/>
    </w:rPr>
  </w:style>
  <w:style w:type="paragraph" w:customStyle="1" w:styleId="Dotpoint">
    <w:name w:val="Dot point"/>
    <w:basedOn w:val="Normal"/>
    <w:rsid w:val="00392BBA"/>
    <w:pPr>
      <w:numPr>
        <w:numId w:val="1"/>
      </w:numPr>
      <w:tabs>
        <w:tab w:val="clear" w:pos="360"/>
        <w:tab w:val="num" w:pos="709"/>
        <w:tab w:val="left" w:pos="851"/>
      </w:tabs>
      <w:ind w:left="709" w:hanging="283"/>
    </w:pPr>
  </w:style>
  <w:style w:type="paragraph" w:styleId="TableofAuthorities">
    <w:name w:val="table of authorities"/>
    <w:basedOn w:val="Normal"/>
    <w:next w:val="Normal"/>
    <w:semiHidden/>
    <w:rsid w:val="00392BBA"/>
    <w:pPr>
      <w:ind w:left="200" w:hanging="200"/>
    </w:pPr>
  </w:style>
  <w:style w:type="paragraph" w:customStyle="1" w:styleId="base-text-paragraph">
    <w:name w:val="base-text-paragraph"/>
    <w:rsid w:val="00392BBA"/>
    <w:pPr>
      <w:tabs>
        <w:tab w:val="left" w:pos="1987"/>
      </w:tabs>
      <w:spacing w:before="120" w:after="120"/>
      <w:ind w:left="1140"/>
    </w:pPr>
    <w:rPr>
      <w:sz w:val="24"/>
    </w:rPr>
  </w:style>
  <w:style w:type="paragraph" w:customStyle="1" w:styleId="Default">
    <w:name w:val="Default"/>
    <w:link w:val="DefaultChar"/>
    <w:rsid w:val="005833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2DD"/>
    <w:rPr>
      <w:color w:val="0000FF" w:themeColor="hyperlink"/>
      <w:u w:val="single"/>
    </w:rPr>
  </w:style>
  <w:style w:type="paragraph" w:customStyle="1" w:styleId="Bullet">
    <w:name w:val="Bullet"/>
    <w:basedOn w:val="Normal"/>
    <w:link w:val="BulletChar"/>
    <w:rsid w:val="00E0624D"/>
    <w:pPr>
      <w:numPr>
        <w:numId w:val="2"/>
      </w:numPr>
      <w:spacing w:before="240"/>
    </w:pPr>
    <w:rPr>
      <w:szCs w:val="23"/>
    </w:rPr>
  </w:style>
  <w:style w:type="character" w:customStyle="1" w:styleId="DefaultChar">
    <w:name w:val="Default Char"/>
    <w:basedOn w:val="DefaultParagraphFont"/>
    <w:link w:val="Default"/>
    <w:rsid w:val="00E0624D"/>
    <w:rPr>
      <w:color w:val="000000"/>
      <w:sz w:val="24"/>
      <w:szCs w:val="24"/>
    </w:rPr>
  </w:style>
  <w:style w:type="character" w:customStyle="1" w:styleId="BulletChar">
    <w:name w:val="Bullet Char"/>
    <w:basedOn w:val="DefaultChar"/>
    <w:link w:val="Bullet"/>
    <w:rsid w:val="00E0624D"/>
    <w:rPr>
      <w:color w:val="000000"/>
      <w:sz w:val="24"/>
      <w:szCs w:val="23"/>
    </w:rPr>
  </w:style>
  <w:style w:type="paragraph" w:customStyle="1" w:styleId="Dash">
    <w:name w:val="Dash"/>
    <w:basedOn w:val="Normal"/>
    <w:link w:val="DashChar"/>
    <w:rsid w:val="00E0624D"/>
    <w:pPr>
      <w:numPr>
        <w:ilvl w:val="1"/>
        <w:numId w:val="2"/>
      </w:numPr>
      <w:spacing w:before="240"/>
    </w:pPr>
    <w:rPr>
      <w:szCs w:val="23"/>
    </w:rPr>
  </w:style>
  <w:style w:type="character" w:customStyle="1" w:styleId="DashChar">
    <w:name w:val="Dash Char"/>
    <w:basedOn w:val="DefaultChar"/>
    <w:link w:val="Dash"/>
    <w:rsid w:val="00E0624D"/>
    <w:rPr>
      <w:color w:val="000000"/>
      <w:sz w:val="24"/>
      <w:szCs w:val="23"/>
    </w:rPr>
  </w:style>
  <w:style w:type="paragraph" w:customStyle="1" w:styleId="DoubleDot">
    <w:name w:val="Double Dot"/>
    <w:basedOn w:val="Normal"/>
    <w:link w:val="DoubleDotChar"/>
    <w:rsid w:val="00E0624D"/>
    <w:pPr>
      <w:numPr>
        <w:ilvl w:val="2"/>
        <w:numId w:val="2"/>
      </w:numPr>
      <w:spacing w:before="240"/>
    </w:pPr>
    <w:rPr>
      <w:szCs w:val="23"/>
    </w:rPr>
  </w:style>
  <w:style w:type="character" w:customStyle="1" w:styleId="DoubleDotChar">
    <w:name w:val="Double Dot Char"/>
    <w:basedOn w:val="DefaultChar"/>
    <w:link w:val="DoubleDot"/>
    <w:rsid w:val="00E0624D"/>
    <w:rPr>
      <w:color w:val="000000"/>
      <w:sz w:val="24"/>
      <w:szCs w:val="23"/>
    </w:rPr>
  </w:style>
  <w:style w:type="character" w:styleId="PlaceholderText">
    <w:name w:val="Placeholder Text"/>
    <w:basedOn w:val="DefaultParagraphFont"/>
    <w:uiPriority w:val="99"/>
    <w:semiHidden/>
    <w:rsid w:val="00A122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0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E1CE3"/>
    <w:rPr>
      <w:b/>
      <w:kern w:val="28"/>
      <w:sz w:val="24"/>
    </w:rPr>
  </w:style>
  <w:style w:type="paragraph" w:styleId="Header">
    <w:name w:val="header"/>
    <w:basedOn w:val="Normal"/>
    <w:link w:val="Head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5467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5467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4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BA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4B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BA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802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Sub-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DFE00FA86D54E839AEE55F69A944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C57BC-7032-479E-8476-8EA0CDBCF680}"/>
      </w:docPartPr>
      <w:docPartBody>
        <w:p w:rsidR="001506D7" w:rsidRDefault="001506D7">
          <w:pPr>
            <w:pStyle w:val="4DFE00FA86D54E839AEE55F69A9440AF"/>
          </w:pPr>
          <w:r w:rsidRPr="003C7907">
            <w:rPr>
              <w:rStyle w:val="PlaceholderText"/>
              <w:sz w:val="24"/>
              <w:szCs w:val="24"/>
            </w:rPr>
            <w:t>Select a Minister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6D7"/>
    <w:rsid w:val="0015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DFE00FA86D54E839AEE55F69A9440AF">
    <w:name w:val="4DFE00FA86D54E839AEE55F69A9440AF"/>
  </w:style>
  <w:style w:type="paragraph" w:customStyle="1" w:styleId="637003B29C7B424CA6B26C8417F2ECC3">
    <w:name w:val="637003B29C7B424CA6B26C8417F2ECC3"/>
  </w:style>
  <w:style w:type="paragraph" w:customStyle="1" w:styleId="9C086B0373B7441689819F89191254B6">
    <w:name w:val="9C086B0373B7441689819F89191254B6"/>
  </w:style>
  <w:style w:type="paragraph" w:customStyle="1" w:styleId="502A90920138463C8755F44CA8F88147">
    <w:name w:val="502A90920138463C8755F44CA8F881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2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26498" ma:contentTypeDescription=" " ma:contentTypeScope="" ma:versionID="a002e6c88c61bfa0edce36d28b76f5aa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e075020021329a76efb76bd10c493362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IconOverlay xmlns="http://schemas.microsoft.com/sharepoint/v4" xsi:nil="true"/>
    <TaxCatchAll xmlns="0f563589-9cf9-4143-b1eb-fb0534803d38">
      <Value>11</Value>
    </TaxCatchAll>
    <_dlc_DocId xmlns="0f563589-9cf9-4143-b1eb-fb0534803d38">2020RG-111-13549</_dlc_DocId>
    <_dlc_DocIdUrl xmlns="0f563589-9cf9-4143-b1eb-fb0534803d38">
      <Url>http://tweb/sites/rg/ldp/lmu/_layouts/15/DocIdRedir.aspx?ID=2020RG-111-13549</Url>
      <Description>2020RG-111-13549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C95AF-DC3D-454D-876B-A90DFB6AC3F1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579FF88E-D635-4FF2-8859-B7D6236E5AC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3ADCA49-E86E-4B95-8BFF-D49540FC8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E07210-1BFA-44C2-84D3-51F40554627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6278533-3486-40E5-9013-DD26FD164D39}">
  <ds:schemaRefs>
    <ds:schemaRef ds:uri="0f563589-9cf9-4143-b1eb-fb0534803d38"/>
    <ds:schemaRef ds:uri="http://purl.org/dc/elements/1.1/"/>
    <ds:schemaRef ds:uri="http://schemas.microsoft.com/office/2006/metadata/properties"/>
    <ds:schemaRef ds:uri="http://schemas.microsoft.com/sharepoint/v3"/>
    <ds:schemaRef ds:uri="9f7bc583-7cbe-45b9-a2bd-8bbb6543b37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sharepoint/v4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245FD62B-5D69-458F-8AF4-F3794C4F6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Sub-ES.dotx</Template>
  <TotalTime>844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MEMORANDUM</vt:lpstr>
    </vt:vector>
  </TitlesOfParts>
  <Company>Treasury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MEMORANDUM</dc:title>
  <dc:creator>sumitideo</dc:creator>
  <cp:lastModifiedBy>Osborne, Lea</cp:lastModifiedBy>
  <cp:revision>39</cp:revision>
  <cp:lastPrinted>2020-02-05T04:06:00Z</cp:lastPrinted>
  <dcterms:created xsi:type="dcterms:W3CDTF">2019-11-05T00:06:00Z</dcterms:created>
  <dcterms:modified xsi:type="dcterms:W3CDTF">2020-02-14T03:26:00Z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-1533705720</vt:i4>
  </property>
  <property fmtid="{D5CDD505-2E9C-101B-9397-08002B2CF9AE}" pid="3" name="_NewReviewCycle">
    <vt:lpwstr/>
  </property>
  <property fmtid="{D5CDD505-2E9C-101B-9397-08002B2CF9AE}" pid="4" name="_EmailSubject">
    <vt:lpwstr>Templates Assist job attachments [SEC=UNCLASSIFIED]</vt:lpwstr>
  </property>
  <property fmtid="{D5CDD505-2E9C-101B-9397-08002B2CF9AE}" pid="5" name="_AuthorEmail">
    <vt:lpwstr>Lea.Osborne@TREASURY.GOV.AU</vt:lpwstr>
  </property>
  <property fmtid="{D5CDD505-2E9C-101B-9397-08002B2CF9AE}" pid="6" name="_AuthorEmailDisplayName">
    <vt:lpwstr>Osborne, Lea</vt:lpwstr>
  </property>
  <property fmtid="{D5CDD505-2E9C-101B-9397-08002B2CF9AE}" pid="7" name="ContentTypeId">
    <vt:lpwstr>0x01010036BB8DE7EC542E42A8B2E98CC20CB69700D5C18F41BA18FB44827A222ACD6776F5</vt:lpwstr>
  </property>
  <property fmtid="{D5CDD505-2E9C-101B-9397-08002B2CF9AE}" pid="8" name="TSYRecordClass">
    <vt:lpwstr>11;#TSY RA-9237 - Destroy 5 years after action completed|9f1a030e-81bf-44c5-98eb-4d5d869a40d5</vt:lpwstr>
  </property>
  <property fmtid="{D5CDD505-2E9C-101B-9397-08002B2CF9AE}" pid="9" name="_dlc_DocIdItemGuid">
    <vt:lpwstr>05d78dd4-8b3d-47ae-b53c-b69a52be6d3a</vt:lpwstr>
  </property>
  <property fmtid="{D5CDD505-2E9C-101B-9397-08002B2CF9AE}" pid="10" name="_PreviousAdHocReviewCycleID">
    <vt:i4>1180105450</vt:i4>
  </property>
  <property fmtid="{D5CDD505-2E9C-101B-9397-08002B2CF9AE}" pid="11" name="_ReviewingToolsShownOnce">
    <vt:lpwstr/>
  </property>
  <property fmtid="{D5CDD505-2E9C-101B-9397-08002B2CF9AE}" pid="12" name="RecordPoint_WorkflowType">
    <vt:lpwstr>ActiveSubmitStub</vt:lpwstr>
  </property>
  <property fmtid="{D5CDD505-2E9C-101B-9397-08002B2CF9AE}" pid="13" name="RecordPoint_ActiveItemUniqueId">
    <vt:lpwstr>{05d78dd4-8b3d-47ae-b53c-b69a52be6d3a}</vt:lpwstr>
  </property>
  <property fmtid="{D5CDD505-2E9C-101B-9397-08002B2CF9AE}" pid="14" name="RecordPoint_ActiveItemWebId">
    <vt:lpwstr>{2602612e-a30f-4de0-b9eb-e01e73dc8005}</vt:lpwstr>
  </property>
  <property fmtid="{D5CDD505-2E9C-101B-9397-08002B2CF9AE}" pid="15" name="RecordPoint_ActiveItemSiteId">
    <vt:lpwstr>{5b52b9a5-e5b2-4521-8814-a1e24ca2869d}</vt:lpwstr>
  </property>
  <property fmtid="{D5CDD505-2E9C-101B-9397-08002B2CF9AE}" pid="16" name="RecordPoint_ActiveItemListId">
    <vt:lpwstr>{1a010be9-83b3-4740-abb7-452f2d1120fe}</vt:lpwstr>
  </property>
  <property fmtid="{D5CDD505-2E9C-101B-9397-08002B2CF9AE}" pid="17" name="RecordPoint_RecordNumberSubmitted">
    <vt:lpwstr>R0002217260</vt:lpwstr>
  </property>
  <property fmtid="{D5CDD505-2E9C-101B-9397-08002B2CF9AE}" pid="18" name="RecordPoint_SubmissionCompleted">
    <vt:lpwstr>2020-02-07T14:23:48.9884100+11:00</vt:lpwstr>
  </property>
  <property fmtid="{D5CDD505-2E9C-101B-9397-08002B2CF9AE}" pid="19" name="RecordPoint_SubmissionDate">
    <vt:lpwstr/>
  </property>
  <property fmtid="{D5CDD505-2E9C-101B-9397-08002B2CF9AE}" pid="20" name="RecordPoint_ActiveItemMoved">
    <vt:lpwstr/>
  </property>
  <property fmtid="{D5CDD505-2E9C-101B-9397-08002B2CF9AE}" pid="21" name="RecordPoint_RecordFormat">
    <vt:lpwstr/>
  </property>
</Properties>
</file>