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E5" w:rsidRPr="00E81E7A" w:rsidRDefault="005C07E5">
      <w:pPr>
        <w:pStyle w:val="Heading1"/>
        <w:spacing w:line="360" w:lineRule="auto"/>
      </w:pPr>
      <w:r w:rsidRPr="00E81E7A">
        <w:t>EXPLANATORY STATEMENT</w:t>
      </w:r>
    </w:p>
    <w:p w:rsidR="001D091B" w:rsidRPr="00E81E7A" w:rsidRDefault="001D091B" w:rsidP="004A7AF8">
      <w:pPr>
        <w:pStyle w:val="Heading2"/>
        <w:spacing w:before="120" w:after="240" w:line="360" w:lineRule="auto"/>
        <w:ind w:left="0" w:firstLine="0"/>
      </w:pPr>
      <w:r w:rsidRPr="00E81E7A">
        <w:rPr>
          <w:i/>
        </w:rPr>
        <w:t>Migration Regulations 1994</w:t>
      </w:r>
    </w:p>
    <w:p w:rsidR="001D091B" w:rsidRPr="00E81E7A" w:rsidRDefault="00E81E7A" w:rsidP="001D091B">
      <w:pPr>
        <w:spacing w:after="120" w:line="360" w:lineRule="auto"/>
        <w:ind w:hanging="23"/>
        <w:jc w:val="center"/>
        <w:rPr>
          <w:i/>
          <w:sz w:val="24"/>
        </w:rPr>
      </w:pPr>
      <w:r w:rsidRPr="00E81E7A">
        <w:rPr>
          <w:b/>
          <w:sz w:val="24"/>
        </w:rPr>
        <w:t>Migration (LIN 20/051: Arrangements for certain Business Skills visas) Instrument 2020</w:t>
      </w:r>
    </w:p>
    <w:p w:rsidR="001D091B" w:rsidRPr="004A7AF8" w:rsidRDefault="001D091B" w:rsidP="004A7AF8">
      <w:pPr>
        <w:spacing w:after="240" w:line="360" w:lineRule="auto"/>
        <w:ind w:hanging="23"/>
        <w:jc w:val="center"/>
        <w:rPr>
          <w:i/>
        </w:rPr>
      </w:pPr>
      <w:r w:rsidRPr="004A7AF8">
        <w:rPr>
          <w:i/>
        </w:rPr>
        <w:t>(</w:t>
      </w:r>
      <w:proofErr w:type="spellStart"/>
      <w:proofErr w:type="gramStart"/>
      <w:r w:rsidR="00E81E7A" w:rsidRPr="004A7AF8">
        <w:rPr>
          <w:i/>
        </w:rPr>
        <w:t>subregulation</w:t>
      </w:r>
      <w:proofErr w:type="spellEnd"/>
      <w:proofErr w:type="gramEnd"/>
      <w:r w:rsidR="00E81E7A" w:rsidRPr="004A7AF8">
        <w:rPr>
          <w:i/>
        </w:rPr>
        <w:t xml:space="preserve"> 2.07(5)</w:t>
      </w:r>
      <w:r w:rsidRPr="004A7AF8">
        <w:rPr>
          <w:i/>
        </w:rPr>
        <w:t>)</w:t>
      </w:r>
    </w:p>
    <w:p w:rsidR="001D091B" w:rsidRPr="00265A65" w:rsidRDefault="00AB5757" w:rsidP="004A7AF8">
      <w:pPr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>
        <w:rPr>
          <w:sz w:val="24"/>
        </w:rPr>
        <w:t>The</w:t>
      </w:r>
      <w:r w:rsidR="00DB634D">
        <w:rPr>
          <w:sz w:val="24"/>
        </w:rPr>
        <w:t xml:space="preserve"> i</w:t>
      </w:r>
      <w:r w:rsidR="001D091B">
        <w:rPr>
          <w:sz w:val="24"/>
        </w:rPr>
        <w:t>nstrument</w:t>
      </w:r>
      <w:r w:rsidR="00DB634D">
        <w:rPr>
          <w:sz w:val="24"/>
        </w:rPr>
        <w:t>,</w:t>
      </w:r>
      <w:r w:rsidR="001D091B">
        <w:rPr>
          <w:sz w:val="24"/>
        </w:rPr>
        <w:t xml:space="preserve"> </w:t>
      </w:r>
      <w:r w:rsidR="00265A65">
        <w:rPr>
          <w:sz w:val="24"/>
        </w:rPr>
        <w:t>LIN 20/051</w:t>
      </w:r>
      <w:r w:rsidR="00DB634D" w:rsidRPr="00265A65">
        <w:rPr>
          <w:sz w:val="24"/>
        </w:rPr>
        <w:t>,</w:t>
      </w:r>
      <w:r w:rsidR="001D091B" w:rsidRPr="00265A65">
        <w:rPr>
          <w:sz w:val="24"/>
        </w:rPr>
        <w:t xml:space="preserve"> is made under </w:t>
      </w:r>
      <w:proofErr w:type="spellStart"/>
      <w:r w:rsidR="00265A65" w:rsidRPr="00265A65">
        <w:rPr>
          <w:sz w:val="24"/>
        </w:rPr>
        <w:t>subregulation</w:t>
      </w:r>
      <w:proofErr w:type="spellEnd"/>
      <w:r w:rsidR="00265A65" w:rsidRPr="00265A65">
        <w:rPr>
          <w:sz w:val="24"/>
        </w:rPr>
        <w:t xml:space="preserve"> 2.07(5)</w:t>
      </w:r>
      <w:r w:rsidR="001D091B" w:rsidRPr="00265A65">
        <w:rPr>
          <w:sz w:val="24"/>
        </w:rPr>
        <w:t xml:space="preserve"> of the </w:t>
      </w:r>
      <w:r w:rsidR="001D091B" w:rsidRPr="00265A65">
        <w:rPr>
          <w:i/>
          <w:sz w:val="24"/>
        </w:rPr>
        <w:t>Migration Regulations 1994</w:t>
      </w:r>
      <w:r w:rsidR="001D091B" w:rsidRPr="00265A65">
        <w:rPr>
          <w:sz w:val="24"/>
        </w:rPr>
        <w:t xml:space="preserve"> (the Regulations)</w:t>
      </w:r>
      <w:r w:rsidR="00265A65" w:rsidRPr="00265A65">
        <w:rPr>
          <w:sz w:val="24"/>
        </w:rPr>
        <w:t>.</w:t>
      </w:r>
    </w:p>
    <w:p w:rsidR="001D091B" w:rsidRDefault="00D86035" w:rsidP="0070165E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>In accordance with</w:t>
      </w:r>
      <w:r w:rsidRPr="00193A68">
        <w:rPr>
          <w:sz w:val="24"/>
          <w:szCs w:val="24"/>
        </w:rPr>
        <w:t xml:space="preserve"> subsection 33(3) of the </w:t>
      </w:r>
      <w:r w:rsidRPr="00193A68">
        <w:rPr>
          <w:i/>
          <w:sz w:val="24"/>
          <w:szCs w:val="24"/>
        </w:rPr>
        <w:t>Acts Interpretation Act 1901</w:t>
      </w:r>
      <w:r>
        <w:rPr>
          <w:sz w:val="24"/>
          <w:szCs w:val="24"/>
        </w:rPr>
        <w:t xml:space="preserve"> (the AIA), t</w:t>
      </w:r>
      <w:r w:rsidR="00EC2CC3">
        <w:rPr>
          <w:sz w:val="24"/>
        </w:rPr>
        <w:t>he i</w:t>
      </w:r>
      <w:r w:rsidR="001D091B" w:rsidRPr="00193A68">
        <w:rPr>
          <w:sz w:val="24"/>
        </w:rPr>
        <w:t xml:space="preserve">nstrument </w:t>
      </w:r>
      <w:r w:rsidR="001D091B" w:rsidRPr="00E14E98">
        <w:rPr>
          <w:sz w:val="24"/>
        </w:rPr>
        <w:t>repeals</w:t>
      </w:r>
      <w:r w:rsidR="001D091B" w:rsidRPr="00193A68">
        <w:rPr>
          <w:sz w:val="24"/>
        </w:rPr>
        <w:t xml:space="preserve"> </w:t>
      </w:r>
      <w:r w:rsidR="004A7AF8" w:rsidRPr="004A7AF8">
        <w:rPr>
          <w:i/>
          <w:sz w:val="24"/>
        </w:rPr>
        <w:t>Migration (LIN 19/189: Arrangements for certain Business Skills Visas) Instrument 2019</w:t>
      </w:r>
      <w:r w:rsidR="004A7AF8">
        <w:rPr>
          <w:sz w:val="24"/>
        </w:rPr>
        <w:t xml:space="preserve"> </w:t>
      </w:r>
      <w:r w:rsidR="001D091B" w:rsidRPr="00D86035">
        <w:rPr>
          <w:sz w:val="24"/>
        </w:rPr>
        <w:t>(</w:t>
      </w:r>
      <w:r w:rsidRPr="00D86035">
        <w:rPr>
          <w:sz w:val="24"/>
        </w:rPr>
        <w:t>F2019L01230</w:t>
      </w:r>
      <w:r w:rsidR="001D091B">
        <w:rPr>
          <w:sz w:val="24"/>
        </w:rPr>
        <w:t>) made</w:t>
      </w:r>
      <w:r w:rsidR="000E1254">
        <w:rPr>
          <w:sz w:val="24"/>
        </w:rPr>
        <w:t xml:space="preserve"> under</w:t>
      </w:r>
      <w:r w:rsidR="001D091B">
        <w:rPr>
          <w:sz w:val="24"/>
        </w:rPr>
        <w:t xml:space="preserve"> </w:t>
      </w:r>
      <w:proofErr w:type="spellStart"/>
      <w:r w:rsidRPr="00D86035">
        <w:rPr>
          <w:sz w:val="24"/>
        </w:rPr>
        <w:t>subregulation</w:t>
      </w:r>
      <w:proofErr w:type="spellEnd"/>
      <w:r w:rsidRPr="00D86035">
        <w:rPr>
          <w:sz w:val="24"/>
        </w:rPr>
        <w:t xml:space="preserve"> 2.07(5)</w:t>
      </w:r>
      <w:r>
        <w:rPr>
          <w:sz w:val="24"/>
        </w:rPr>
        <w:t xml:space="preserve"> of the Regulations</w:t>
      </w:r>
      <w:r w:rsidR="001D091B">
        <w:rPr>
          <w:sz w:val="24"/>
          <w:szCs w:val="24"/>
        </w:rPr>
        <w:t>.</w:t>
      </w:r>
      <w:r w:rsidR="001D091B" w:rsidRPr="00193A68">
        <w:rPr>
          <w:sz w:val="24"/>
          <w:szCs w:val="24"/>
        </w:rPr>
        <w:t xml:space="preserve"> </w:t>
      </w:r>
      <w:r w:rsidR="001D091B">
        <w:rPr>
          <w:sz w:val="24"/>
          <w:szCs w:val="24"/>
        </w:rPr>
        <w:t xml:space="preserve">Subsection 33(3) of the AIA </w:t>
      </w:r>
      <w:r w:rsidR="001D091B" w:rsidRPr="00193A68">
        <w:rPr>
          <w:sz w:val="24"/>
          <w:szCs w:val="24"/>
        </w:rPr>
        <w:t xml:space="preserve">states </w:t>
      </w:r>
      <w:r w:rsidR="001D091B">
        <w:rPr>
          <w:sz w:val="24"/>
          <w:szCs w:val="24"/>
        </w:rPr>
        <w:t xml:space="preserve">that </w:t>
      </w:r>
      <w:r w:rsidR="001D091B" w:rsidRPr="00193A68">
        <w:rPr>
          <w:sz w:val="24"/>
          <w:szCs w:val="24"/>
        </w:rPr>
        <w:t xml:space="preserve">where an Act confers a power to make, grant or issue any instrument of a legislative or administrative character, the power shall be construed as including a power exercisable in the like manner and subject to the like conditions </w:t>
      </w:r>
      <w:r w:rsidR="001D091B" w:rsidRPr="00641022">
        <w:rPr>
          <w:sz w:val="24"/>
          <w:szCs w:val="24"/>
        </w:rPr>
        <w:t>(if any) to repeal, rescind, revoke, amend, or vary any such instrument</w:t>
      </w:r>
      <w:r w:rsidR="001D091B">
        <w:rPr>
          <w:sz w:val="24"/>
          <w:szCs w:val="24"/>
        </w:rPr>
        <w:t>.</w:t>
      </w:r>
    </w:p>
    <w:p w:rsidR="00917961" w:rsidRPr="00917961" w:rsidRDefault="00EC2CC3" w:rsidP="004A7AF8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>The i</w:t>
      </w:r>
      <w:r w:rsidR="001D091B" w:rsidRPr="00193A68">
        <w:rPr>
          <w:sz w:val="24"/>
        </w:rPr>
        <w:t xml:space="preserve">nstrument operates to </w:t>
      </w:r>
      <w:r w:rsidR="00917961">
        <w:rPr>
          <w:sz w:val="24"/>
        </w:rPr>
        <w:t>specify the approved form for making a valid application for the following visa classes: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Business Skills Business Talent (Permanent) (Class EA) visa</w:t>
      </w:r>
      <w:r>
        <w:rPr>
          <w:sz w:val="24"/>
        </w:rPr>
        <w:t>;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Business Skills (Permanent) (Class EC) visa</w:t>
      </w:r>
      <w:r>
        <w:rPr>
          <w:sz w:val="24"/>
        </w:rPr>
        <w:t>;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Business Skills (Provisional) (Class EB) visa</w:t>
      </w:r>
      <w:r>
        <w:rPr>
          <w:sz w:val="24"/>
        </w:rPr>
        <w:t>;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Business Skills (Residence) (Class DF) visa</w:t>
      </w:r>
      <w:r>
        <w:rPr>
          <w:sz w:val="24"/>
        </w:rPr>
        <w:t>;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Distinguished Talent (Migrant) (Class AL) visa</w:t>
      </w:r>
      <w:r>
        <w:rPr>
          <w:sz w:val="24"/>
        </w:rPr>
        <w:t>;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Distinguished Talent (Residence) (Class BX) visa</w:t>
      </w:r>
      <w:r>
        <w:rPr>
          <w:sz w:val="24"/>
        </w:rPr>
        <w:t>;</w:t>
      </w:r>
    </w:p>
    <w:p w:rsidR="00917961" w:rsidRDefault="00917961" w:rsidP="004A7AF8">
      <w:pPr>
        <w:numPr>
          <w:ilvl w:val="1"/>
          <w:numId w:val="9"/>
        </w:numPr>
        <w:spacing w:before="120" w:line="360" w:lineRule="auto"/>
        <w:ind w:left="1134" w:hanging="567"/>
        <w:jc w:val="both"/>
        <w:rPr>
          <w:sz w:val="24"/>
        </w:rPr>
      </w:pPr>
      <w:r w:rsidRPr="00917961">
        <w:rPr>
          <w:sz w:val="24"/>
        </w:rPr>
        <w:t>Business Skill</w:t>
      </w:r>
      <w:r>
        <w:rPr>
          <w:sz w:val="24"/>
        </w:rPr>
        <w:t>s (Provisional) (Class UR) visa.</w:t>
      </w:r>
    </w:p>
    <w:p w:rsidR="00917961" w:rsidRPr="00917961" w:rsidRDefault="00917961" w:rsidP="004A7AF8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</w:rPr>
      </w:pPr>
      <w:r>
        <w:rPr>
          <w:sz w:val="24"/>
        </w:rPr>
        <w:t>The instrument also operates to specify the place for lodgement and the manner in which an application must be made to ensure a valid application is made for the relevant visa class.</w:t>
      </w:r>
    </w:p>
    <w:p w:rsidR="00193A68" w:rsidRPr="00CE15AE" w:rsidRDefault="005C07E5" w:rsidP="004A7AF8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193A68">
        <w:rPr>
          <w:sz w:val="24"/>
        </w:rPr>
        <w:t xml:space="preserve">The purpose of the </w:t>
      </w:r>
      <w:r w:rsidR="009D0462">
        <w:rPr>
          <w:sz w:val="24"/>
        </w:rPr>
        <w:t>i</w:t>
      </w:r>
      <w:r w:rsidRPr="00193A68">
        <w:rPr>
          <w:sz w:val="24"/>
        </w:rPr>
        <w:t xml:space="preserve">nstrument is to </w:t>
      </w:r>
      <w:r w:rsidR="009C1FBE">
        <w:rPr>
          <w:sz w:val="24"/>
        </w:rPr>
        <w:t xml:space="preserve">specify an additional approved form, place and manner for Distinguished Talent (Migrant) (Class AL) </w:t>
      </w:r>
      <w:r w:rsidR="004A7AF8">
        <w:rPr>
          <w:sz w:val="24"/>
        </w:rPr>
        <w:t xml:space="preserve">visa </w:t>
      </w:r>
      <w:r w:rsidR="009C1FBE">
        <w:rPr>
          <w:sz w:val="24"/>
        </w:rPr>
        <w:t xml:space="preserve">and Distinguished Talent (Residence) (Class BX) visa (Distinguished Talent visa) applicants. </w:t>
      </w:r>
      <w:r w:rsidR="00CE15AE">
        <w:rPr>
          <w:sz w:val="24"/>
        </w:rPr>
        <w:t xml:space="preserve">A Distinguished Talent visa </w:t>
      </w:r>
      <w:r w:rsidR="00CE15AE">
        <w:rPr>
          <w:sz w:val="24"/>
        </w:rPr>
        <w:lastRenderedPageBreak/>
        <w:t xml:space="preserve">applicant may make their application using Form </w:t>
      </w:r>
      <w:r w:rsidR="0001701A" w:rsidRPr="0001701A">
        <w:rPr>
          <w:sz w:val="24"/>
        </w:rPr>
        <w:t>47DT</w:t>
      </w:r>
      <w:r w:rsidR="00CE15AE">
        <w:rPr>
          <w:sz w:val="24"/>
        </w:rPr>
        <w:t xml:space="preserve"> (Internet) as an internet application. This is in addition to the ability of Distinguished Talent visa applicants to make their application using Form 47SV by post, courier or </w:t>
      </w:r>
      <w:r w:rsidR="00917961">
        <w:rPr>
          <w:sz w:val="24"/>
        </w:rPr>
        <w:t xml:space="preserve">using </w:t>
      </w:r>
      <w:r w:rsidR="00CE15AE">
        <w:rPr>
          <w:sz w:val="24"/>
        </w:rPr>
        <w:t xml:space="preserve">the Global Talent contact form available </w:t>
      </w:r>
      <w:r w:rsidR="00CE15AE" w:rsidRPr="00B769E3">
        <w:rPr>
          <w:sz w:val="24"/>
          <w:szCs w:val="24"/>
        </w:rPr>
        <w:t>at the followin</w:t>
      </w:r>
      <w:bookmarkStart w:id="0" w:name="_GoBack"/>
      <w:bookmarkEnd w:id="0"/>
      <w:r w:rsidR="00CE15AE" w:rsidRPr="00B769E3">
        <w:rPr>
          <w:sz w:val="24"/>
          <w:szCs w:val="24"/>
        </w:rPr>
        <w:t xml:space="preserve">g address: </w:t>
      </w:r>
      <w:hyperlink r:id="rId7" w:history="1">
        <w:r w:rsidR="00CE15AE" w:rsidRPr="00B769E3">
          <w:rPr>
            <w:rStyle w:val="Hyperlink"/>
            <w:sz w:val="24"/>
            <w:szCs w:val="24"/>
          </w:rPr>
          <w:t>https://immi.homeaffairs.com.au/global-talent-contact-form</w:t>
        </w:r>
      </w:hyperlink>
      <w:r w:rsidR="00CE15AE" w:rsidRPr="00B769E3">
        <w:rPr>
          <w:sz w:val="24"/>
          <w:szCs w:val="24"/>
        </w:rPr>
        <w:t>.</w:t>
      </w:r>
      <w:r w:rsidR="00163833">
        <w:rPr>
          <w:sz w:val="24"/>
          <w:szCs w:val="24"/>
        </w:rPr>
        <w:t xml:space="preserve"> Distinguished Talent visa applicants will therefore have more options in which to lodge an application</w:t>
      </w:r>
      <w:r w:rsidR="004A7AF8">
        <w:rPr>
          <w:sz w:val="24"/>
          <w:szCs w:val="24"/>
        </w:rPr>
        <w:t xml:space="preserve"> for a visa</w:t>
      </w:r>
      <w:r w:rsidR="00163833">
        <w:rPr>
          <w:sz w:val="24"/>
          <w:szCs w:val="24"/>
        </w:rPr>
        <w:t xml:space="preserve">, providing an additional benefit to </w:t>
      </w:r>
      <w:r w:rsidR="004A7AF8">
        <w:rPr>
          <w:sz w:val="24"/>
          <w:szCs w:val="24"/>
        </w:rPr>
        <w:t xml:space="preserve">these </w:t>
      </w:r>
      <w:r w:rsidR="00163833">
        <w:rPr>
          <w:sz w:val="24"/>
          <w:szCs w:val="24"/>
        </w:rPr>
        <w:t xml:space="preserve">applicants. </w:t>
      </w:r>
    </w:p>
    <w:p w:rsidR="00193A68" w:rsidRPr="00B769E3" w:rsidRDefault="00D86035" w:rsidP="004A7AF8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B769E3">
        <w:rPr>
          <w:sz w:val="24"/>
          <w:szCs w:val="24"/>
        </w:rPr>
        <w:t xml:space="preserve">In </w:t>
      </w:r>
      <w:r w:rsidRPr="00B769E3">
        <w:rPr>
          <w:sz w:val="24"/>
        </w:rPr>
        <w:t>accordance</w:t>
      </w:r>
      <w:r w:rsidRPr="00B769E3">
        <w:rPr>
          <w:sz w:val="24"/>
          <w:szCs w:val="24"/>
        </w:rPr>
        <w:t xml:space="preserve"> with paragraph 15J(2)(e) of the </w:t>
      </w:r>
      <w:r w:rsidRPr="00B769E3">
        <w:rPr>
          <w:i/>
          <w:sz w:val="24"/>
          <w:szCs w:val="24"/>
        </w:rPr>
        <w:t>Legislation Act 2003</w:t>
      </w:r>
      <w:r w:rsidRPr="00B769E3">
        <w:rPr>
          <w:sz w:val="24"/>
          <w:szCs w:val="24"/>
        </w:rPr>
        <w:t>, external  consultation was not necessary as the change was of a minor or machinery nature and does not substantially alter existing arrangements</w:t>
      </w:r>
      <w:r w:rsidR="004A7AF8">
        <w:rPr>
          <w:sz w:val="24"/>
          <w:szCs w:val="24"/>
        </w:rPr>
        <w:t xml:space="preserve"> made by the previous instrument LIN 19/189</w:t>
      </w:r>
      <w:r w:rsidRPr="00B769E3">
        <w:rPr>
          <w:sz w:val="24"/>
          <w:szCs w:val="24"/>
        </w:rPr>
        <w:t xml:space="preserve">. </w:t>
      </w:r>
      <w:r w:rsidR="009C1FBE" w:rsidRPr="00B769E3">
        <w:rPr>
          <w:sz w:val="24"/>
          <w:szCs w:val="24"/>
        </w:rPr>
        <w:t>Distinguished Talent</w:t>
      </w:r>
      <w:r w:rsidR="00FE2AA3" w:rsidRPr="00B769E3">
        <w:rPr>
          <w:sz w:val="24"/>
          <w:szCs w:val="24"/>
        </w:rPr>
        <w:t xml:space="preserve"> visa applicants can continue to make their application using Form 47SV by post</w:t>
      </w:r>
      <w:r w:rsidR="009C1FBE" w:rsidRPr="00B769E3">
        <w:rPr>
          <w:sz w:val="24"/>
          <w:szCs w:val="24"/>
        </w:rPr>
        <w:t>,</w:t>
      </w:r>
      <w:r w:rsidR="00FE2AA3" w:rsidRPr="00B769E3">
        <w:rPr>
          <w:sz w:val="24"/>
          <w:szCs w:val="24"/>
        </w:rPr>
        <w:t xml:space="preserve"> courier</w:t>
      </w:r>
      <w:r w:rsidR="009C1FBE" w:rsidRPr="00B769E3">
        <w:rPr>
          <w:sz w:val="24"/>
          <w:szCs w:val="24"/>
        </w:rPr>
        <w:t xml:space="preserve"> or </w:t>
      </w:r>
      <w:r w:rsidR="00917961">
        <w:rPr>
          <w:sz w:val="24"/>
          <w:szCs w:val="24"/>
        </w:rPr>
        <w:t xml:space="preserve">using </w:t>
      </w:r>
      <w:r w:rsidR="009C1FBE" w:rsidRPr="00B769E3">
        <w:rPr>
          <w:sz w:val="24"/>
          <w:szCs w:val="24"/>
        </w:rPr>
        <w:t>the Global Talent contact form</w:t>
      </w:r>
      <w:r w:rsidR="004A7AF8">
        <w:rPr>
          <w:sz w:val="24"/>
          <w:szCs w:val="24"/>
        </w:rPr>
        <w:t xml:space="preserve"> under LIN 20/051</w:t>
      </w:r>
      <w:r w:rsidR="00CE15AE">
        <w:rPr>
          <w:sz w:val="24"/>
          <w:szCs w:val="24"/>
        </w:rPr>
        <w:t>.</w:t>
      </w:r>
    </w:p>
    <w:p w:rsidR="00193A68" w:rsidRPr="00874D05" w:rsidRDefault="00546F77" w:rsidP="004A7AF8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193A68">
        <w:rPr>
          <w:sz w:val="24"/>
          <w:szCs w:val="24"/>
        </w:rPr>
        <w:t xml:space="preserve">The Office of Best Practice Regulation </w:t>
      </w:r>
      <w:r w:rsidR="000D246E">
        <w:rPr>
          <w:sz w:val="24"/>
          <w:szCs w:val="24"/>
        </w:rPr>
        <w:t xml:space="preserve">(OBPR) </w:t>
      </w:r>
      <w:r w:rsidRPr="00193A68">
        <w:rPr>
          <w:sz w:val="24"/>
          <w:szCs w:val="24"/>
        </w:rPr>
        <w:t>has advised that a Regulat</w:t>
      </w:r>
      <w:r w:rsidR="00911D5A" w:rsidRPr="00193A68">
        <w:rPr>
          <w:sz w:val="24"/>
          <w:szCs w:val="24"/>
        </w:rPr>
        <w:t>ory</w:t>
      </w:r>
      <w:r w:rsidRPr="00193A68">
        <w:rPr>
          <w:sz w:val="24"/>
          <w:szCs w:val="24"/>
        </w:rPr>
        <w:t xml:space="preserve"> Impact </w:t>
      </w:r>
      <w:r w:rsidRPr="00416C00">
        <w:rPr>
          <w:sz w:val="24"/>
          <w:szCs w:val="24"/>
        </w:rPr>
        <w:t>Statement is not required (OB</w:t>
      </w:r>
      <w:r w:rsidRPr="00193A68">
        <w:rPr>
          <w:sz w:val="24"/>
          <w:szCs w:val="24"/>
        </w:rPr>
        <w:t xml:space="preserve">PR </w:t>
      </w:r>
      <w:r w:rsidRPr="00874D05">
        <w:rPr>
          <w:sz w:val="24"/>
          <w:szCs w:val="24"/>
        </w:rPr>
        <w:t xml:space="preserve">Reference </w:t>
      </w:r>
      <w:r w:rsidR="00874D05" w:rsidRPr="00874D05">
        <w:rPr>
          <w:sz w:val="24"/>
          <w:szCs w:val="24"/>
        </w:rPr>
        <w:t>25932</w:t>
      </w:r>
      <w:r w:rsidRPr="00874D05">
        <w:rPr>
          <w:sz w:val="24"/>
          <w:szCs w:val="24"/>
        </w:rPr>
        <w:t>)</w:t>
      </w:r>
      <w:r w:rsidR="000B29BF" w:rsidRPr="00874D05">
        <w:rPr>
          <w:sz w:val="24"/>
          <w:szCs w:val="24"/>
        </w:rPr>
        <w:t>.</w:t>
      </w:r>
    </w:p>
    <w:p w:rsidR="001841F7" w:rsidRPr="00D86035" w:rsidRDefault="00D86035" w:rsidP="004A7AF8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i/>
          <w:sz w:val="24"/>
          <w:szCs w:val="24"/>
        </w:rPr>
      </w:pPr>
      <w:r w:rsidRPr="00D86035">
        <w:rPr>
          <w:sz w:val="24"/>
          <w:szCs w:val="24"/>
        </w:rPr>
        <w:t xml:space="preserve">The </w:t>
      </w:r>
      <w:r w:rsidRPr="0001701A">
        <w:rPr>
          <w:sz w:val="24"/>
          <w:szCs w:val="24"/>
        </w:rPr>
        <w:t xml:space="preserve">officer (Senior Executive Service, Band </w:t>
      </w:r>
      <w:r w:rsidR="0001701A" w:rsidRPr="0001701A">
        <w:rPr>
          <w:sz w:val="24"/>
          <w:szCs w:val="24"/>
        </w:rPr>
        <w:t>One</w:t>
      </w:r>
      <w:r w:rsidRPr="0001701A">
        <w:rPr>
          <w:sz w:val="24"/>
          <w:szCs w:val="24"/>
        </w:rPr>
        <w:t xml:space="preserve">, </w:t>
      </w:r>
      <w:r w:rsidR="004E49E4" w:rsidRPr="004E49E4">
        <w:rPr>
          <w:sz w:val="24"/>
          <w:szCs w:val="24"/>
        </w:rPr>
        <w:t>Skilled and Family Visa Program Branch</w:t>
      </w:r>
      <w:r w:rsidR="0001701A" w:rsidRPr="0001701A">
        <w:rPr>
          <w:sz w:val="24"/>
          <w:szCs w:val="24"/>
        </w:rPr>
        <w:t>, Immigration Programs</w:t>
      </w:r>
      <w:r w:rsidRPr="0001701A">
        <w:rPr>
          <w:sz w:val="24"/>
          <w:szCs w:val="24"/>
        </w:rPr>
        <w:t xml:space="preserve"> Division) who made</w:t>
      </w:r>
      <w:r w:rsidRPr="00D86035">
        <w:rPr>
          <w:sz w:val="24"/>
          <w:szCs w:val="24"/>
        </w:rPr>
        <w:t xml:space="preserve"> the instrument was delegated the powers required to make the instrument in the </w:t>
      </w:r>
      <w:r w:rsidRPr="00416C00">
        <w:rPr>
          <w:i/>
          <w:sz w:val="24"/>
          <w:szCs w:val="24"/>
        </w:rPr>
        <w:t>Instrument Making Powers (Minister) Instrument 2019/228</w:t>
      </w:r>
      <w:r w:rsidRPr="00D86035">
        <w:rPr>
          <w:sz w:val="24"/>
          <w:szCs w:val="24"/>
        </w:rPr>
        <w:t xml:space="preserve">, signed on </w:t>
      </w:r>
      <w:r>
        <w:rPr>
          <w:sz w:val="24"/>
          <w:szCs w:val="24"/>
        </w:rPr>
        <w:t>12 September</w:t>
      </w:r>
      <w:r w:rsidRPr="00D86035">
        <w:rPr>
          <w:sz w:val="24"/>
          <w:szCs w:val="24"/>
        </w:rPr>
        <w:t xml:space="preserve"> 2019.</w:t>
      </w:r>
    </w:p>
    <w:p w:rsidR="002A06A8" w:rsidRPr="00416C00" w:rsidRDefault="002A06A8" w:rsidP="004A7AF8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4"/>
          <w:szCs w:val="24"/>
        </w:rPr>
      </w:pPr>
      <w:r w:rsidRPr="00416C00">
        <w:rPr>
          <w:sz w:val="24"/>
          <w:szCs w:val="24"/>
        </w:rPr>
        <w:t xml:space="preserve">Under </w:t>
      </w:r>
      <w:r w:rsidR="00416C00">
        <w:rPr>
          <w:sz w:val="24"/>
          <w:szCs w:val="24"/>
        </w:rPr>
        <w:t xml:space="preserve">item 20 of the table in </w:t>
      </w:r>
      <w:r w:rsidRPr="00416C00">
        <w:rPr>
          <w:sz w:val="24"/>
          <w:szCs w:val="24"/>
        </w:rPr>
        <w:t xml:space="preserve">section 10 of the </w:t>
      </w:r>
      <w:r w:rsidRPr="00416C00">
        <w:rPr>
          <w:i/>
          <w:sz w:val="24"/>
          <w:szCs w:val="24"/>
        </w:rPr>
        <w:t>Legislation (Exemptions and Other Matters) Regulation 2015</w:t>
      </w:r>
      <w:r w:rsidRPr="00416C00">
        <w:rPr>
          <w:sz w:val="24"/>
          <w:szCs w:val="24"/>
        </w:rPr>
        <w:t xml:space="preserve">, the </w:t>
      </w:r>
      <w:r w:rsidR="005F686B" w:rsidRPr="00416C00">
        <w:rPr>
          <w:sz w:val="24"/>
          <w:szCs w:val="24"/>
        </w:rPr>
        <w:t>i</w:t>
      </w:r>
      <w:r w:rsidRPr="00416C00">
        <w:rPr>
          <w:sz w:val="24"/>
          <w:szCs w:val="24"/>
        </w:rPr>
        <w:t>nstrument is exempt from disallowance and therefore a Statement of Compatibility with Human Rights is not required.</w:t>
      </w:r>
    </w:p>
    <w:p w:rsidR="005C07E5" w:rsidRPr="004D6A29" w:rsidRDefault="00D86035" w:rsidP="004A7AF8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D86035">
        <w:rPr>
          <w:sz w:val="24"/>
          <w:szCs w:val="24"/>
        </w:rPr>
        <w:t xml:space="preserve">The Instrument commences </w:t>
      </w:r>
      <w:r w:rsidR="00B22E20">
        <w:rPr>
          <w:sz w:val="24"/>
          <w:szCs w:val="24"/>
        </w:rPr>
        <w:t>on 29 February 2020.</w:t>
      </w:r>
    </w:p>
    <w:sectPr w:rsidR="005C07E5" w:rsidRPr="004D6A29" w:rsidSect="00C85D16">
      <w:headerReference w:type="default" r:id="rId8"/>
      <w:pgSz w:w="11906" w:h="16838"/>
      <w:pgMar w:top="1560" w:right="1416" w:bottom="1134" w:left="1418" w:header="426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D8" w:rsidRDefault="00F21AD8">
      <w:r>
        <w:separator/>
      </w:r>
    </w:p>
  </w:endnote>
  <w:endnote w:type="continuationSeparator" w:id="0">
    <w:p w:rsidR="00F21AD8" w:rsidRDefault="00F2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D8" w:rsidRDefault="00F21AD8">
      <w:r>
        <w:separator/>
      </w:r>
    </w:p>
  </w:footnote>
  <w:footnote w:type="continuationSeparator" w:id="0">
    <w:p w:rsidR="00F21AD8" w:rsidRDefault="00F2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1B" w:rsidRPr="004A7AF8" w:rsidRDefault="00E81E7A" w:rsidP="001D091B">
    <w:pPr>
      <w:pStyle w:val="Header"/>
      <w:jc w:val="right"/>
      <w:rPr>
        <w:rFonts w:ascii="Times New Roman" w:hAnsi="Times New Roman"/>
        <w:sz w:val="16"/>
        <w:szCs w:val="16"/>
      </w:rPr>
    </w:pPr>
    <w:r w:rsidRPr="004A7AF8">
      <w:rPr>
        <w:rFonts w:ascii="Times New Roman" w:hAnsi="Times New Roman"/>
        <w:sz w:val="16"/>
        <w:szCs w:val="16"/>
      </w:rPr>
      <w:t>LIN 20/051</w:t>
    </w:r>
  </w:p>
  <w:p w:rsidR="00546F77" w:rsidRPr="001D091B" w:rsidRDefault="00546F77" w:rsidP="001D0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7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12DE8"/>
    <w:rsid w:val="0001701A"/>
    <w:rsid w:val="00025B5D"/>
    <w:rsid w:val="000371B3"/>
    <w:rsid w:val="0008110A"/>
    <w:rsid w:val="000904AF"/>
    <w:rsid w:val="000B29BF"/>
    <w:rsid w:val="000D1E10"/>
    <w:rsid w:val="000D246E"/>
    <w:rsid w:val="000E1254"/>
    <w:rsid w:val="000E442C"/>
    <w:rsid w:val="000F0A84"/>
    <w:rsid w:val="000F4BFC"/>
    <w:rsid w:val="00115919"/>
    <w:rsid w:val="00162BD5"/>
    <w:rsid w:val="00163833"/>
    <w:rsid w:val="001841F7"/>
    <w:rsid w:val="00193A68"/>
    <w:rsid w:val="001C5BF3"/>
    <w:rsid w:val="001D091B"/>
    <w:rsid w:val="001D0DD5"/>
    <w:rsid w:val="001D2FBD"/>
    <w:rsid w:val="001E219C"/>
    <w:rsid w:val="001F04E7"/>
    <w:rsid w:val="001F4EC7"/>
    <w:rsid w:val="00215DF3"/>
    <w:rsid w:val="00231FFD"/>
    <w:rsid w:val="00236827"/>
    <w:rsid w:val="00244AA0"/>
    <w:rsid w:val="00253CAF"/>
    <w:rsid w:val="00260E4C"/>
    <w:rsid w:val="00265A65"/>
    <w:rsid w:val="0026747D"/>
    <w:rsid w:val="0027119B"/>
    <w:rsid w:val="002A06A8"/>
    <w:rsid w:val="002B7AF6"/>
    <w:rsid w:val="002C1AFB"/>
    <w:rsid w:val="002C53C4"/>
    <w:rsid w:val="00302251"/>
    <w:rsid w:val="00330F55"/>
    <w:rsid w:val="003348B8"/>
    <w:rsid w:val="0036537A"/>
    <w:rsid w:val="00397982"/>
    <w:rsid w:val="003A53F3"/>
    <w:rsid w:val="003C5137"/>
    <w:rsid w:val="00416C00"/>
    <w:rsid w:val="00417400"/>
    <w:rsid w:val="00430906"/>
    <w:rsid w:val="00465BCD"/>
    <w:rsid w:val="00474812"/>
    <w:rsid w:val="004A7AF8"/>
    <w:rsid w:val="004C4B3E"/>
    <w:rsid w:val="004C6E73"/>
    <w:rsid w:val="004D6A29"/>
    <w:rsid w:val="004E49E4"/>
    <w:rsid w:val="004F5740"/>
    <w:rsid w:val="00542D46"/>
    <w:rsid w:val="00546F77"/>
    <w:rsid w:val="005527D7"/>
    <w:rsid w:val="00554524"/>
    <w:rsid w:val="00567814"/>
    <w:rsid w:val="005B2BF1"/>
    <w:rsid w:val="005C07E5"/>
    <w:rsid w:val="005E22A3"/>
    <w:rsid w:val="005F686B"/>
    <w:rsid w:val="00610658"/>
    <w:rsid w:val="006146DA"/>
    <w:rsid w:val="00641022"/>
    <w:rsid w:val="0064639B"/>
    <w:rsid w:val="00671004"/>
    <w:rsid w:val="006C1428"/>
    <w:rsid w:val="006C22B0"/>
    <w:rsid w:val="006C508E"/>
    <w:rsid w:val="0070010D"/>
    <w:rsid w:val="0070165E"/>
    <w:rsid w:val="007030F4"/>
    <w:rsid w:val="0071413D"/>
    <w:rsid w:val="00715E24"/>
    <w:rsid w:val="007369BE"/>
    <w:rsid w:val="007E0AFF"/>
    <w:rsid w:val="00823E14"/>
    <w:rsid w:val="00843107"/>
    <w:rsid w:val="00854256"/>
    <w:rsid w:val="00874D05"/>
    <w:rsid w:val="008C3954"/>
    <w:rsid w:val="00911D5A"/>
    <w:rsid w:val="00917961"/>
    <w:rsid w:val="0094678B"/>
    <w:rsid w:val="00971B3A"/>
    <w:rsid w:val="009B2428"/>
    <w:rsid w:val="009C1FBE"/>
    <w:rsid w:val="009D0462"/>
    <w:rsid w:val="009E3B49"/>
    <w:rsid w:val="00A03F71"/>
    <w:rsid w:val="00A31178"/>
    <w:rsid w:val="00A31276"/>
    <w:rsid w:val="00A40F42"/>
    <w:rsid w:val="00A4261F"/>
    <w:rsid w:val="00A905C6"/>
    <w:rsid w:val="00A9347E"/>
    <w:rsid w:val="00AB5757"/>
    <w:rsid w:val="00AE32B0"/>
    <w:rsid w:val="00AE3D02"/>
    <w:rsid w:val="00B06C27"/>
    <w:rsid w:val="00B22E20"/>
    <w:rsid w:val="00B70E55"/>
    <w:rsid w:val="00B769E3"/>
    <w:rsid w:val="00B95124"/>
    <w:rsid w:val="00B97255"/>
    <w:rsid w:val="00BC008B"/>
    <w:rsid w:val="00BE62F6"/>
    <w:rsid w:val="00BF2A49"/>
    <w:rsid w:val="00BF3D6A"/>
    <w:rsid w:val="00BF4868"/>
    <w:rsid w:val="00BF6A03"/>
    <w:rsid w:val="00C048BE"/>
    <w:rsid w:val="00C6050B"/>
    <w:rsid w:val="00C85D16"/>
    <w:rsid w:val="00CB5977"/>
    <w:rsid w:val="00CD3E97"/>
    <w:rsid w:val="00CE15AE"/>
    <w:rsid w:val="00D22275"/>
    <w:rsid w:val="00D263E5"/>
    <w:rsid w:val="00D60CC8"/>
    <w:rsid w:val="00D838FF"/>
    <w:rsid w:val="00D85646"/>
    <w:rsid w:val="00D86035"/>
    <w:rsid w:val="00DA476A"/>
    <w:rsid w:val="00DA4B5B"/>
    <w:rsid w:val="00DB634D"/>
    <w:rsid w:val="00DC344E"/>
    <w:rsid w:val="00E1110E"/>
    <w:rsid w:val="00E2158B"/>
    <w:rsid w:val="00E3263F"/>
    <w:rsid w:val="00E3297D"/>
    <w:rsid w:val="00E32FDC"/>
    <w:rsid w:val="00E472C4"/>
    <w:rsid w:val="00E81E7A"/>
    <w:rsid w:val="00E8404A"/>
    <w:rsid w:val="00EC0201"/>
    <w:rsid w:val="00EC2CC3"/>
    <w:rsid w:val="00ED27C4"/>
    <w:rsid w:val="00EF4C7D"/>
    <w:rsid w:val="00F20E05"/>
    <w:rsid w:val="00F21AD8"/>
    <w:rsid w:val="00F336E2"/>
    <w:rsid w:val="00F64AC1"/>
    <w:rsid w:val="00F85B02"/>
    <w:rsid w:val="00FE019F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431D91"/>
  <w15:chartTrackingRefBased/>
  <w15:docId w15:val="{06EDFAC0-EC8D-432E-99BC-2283BCF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rsid w:val="001D091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76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mi.homeaffairs.com.au/global-talent-contac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Grace LIM</cp:lastModifiedBy>
  <cp:revision>4</cp:revision>
  <cp:lastPrinted>2020-02-06T07:19:00Z</cp:lastPrinted>
  <dcterms:created xsi:type="dcterms:W3CDTF">2020-02-05T23:07:00Z</dcterms:created>
  <dcterms:modified xsi:type="dcterms:W3CDTF">2020-02-06T23:26:00Z</dcterms:modified>
</cp:coreProperties>
</file>