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9EAD9" w14:textId="77777777" w:rsidR="00715914" w:rsidRPr="005F1388" w:rsidRDefault="00DA186E" w:rsidP="00715914">
      <w:pPr>
        <w:rPr>
          <w:sz w:val="28"/>
        </w:rPr>
      </w:pPr>
      <w:r>
        <w:rPr>
          <w:noProof/>
          <w:lang w:eastAsia="en-AU"/>
        </w:rPr>
        <w:drawing>
          <wp:inline distT="0" distB="0" distL="0" distR="0" wp14:anchorId="6A04E0F6" wp14:editId="583738B3">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B334BD7" w14:textId="77777777" w:rsidR="00715914" w:rsidRPr="00E500D4" w:rsidRDefault="00715914" w:rsidP="00715914">
      <w:pPr>
        <w:rPr>
          <w:sz w:val="19"/>
        </w:rPr>
      </w:pPr>
    </w:p>
    <w:p w14:paraId="29F15C1C" w14:textId="12BFD5CE" w:rsidR="00554826" w:rsidRPr="00E500D4" w:rsidRDefault="00F27EA5" w:rsidP="00554826">
      <w:pPr>
        <w:pStyle w:val="ShortT"/>
      </w:pPr>
      <w:r w:rsidRPr="00F27EA5">
        <w:t>Migration</w:t>
      </w:r>
      <w:r w:rsidR="00554826" w:rsidRPr="00DA182D">
        <w:t xml:space="preserve"> </w:t>
      </w:r>
      <w:r w:rsidR="00554826">
        <w:t>(</w:t>
      </w:r>
      <w:r w:rsidR="00593FA6">
        <w:t>LIN 20/</w:t>
      </w:r>
      <w:r w:rsidR="00BE783A">
        <w:t>102</w:t>
      </w:r>
      <w:r w:rsidR="00593FA6">
        <w:t xml:space="preserve">: </w:t>
      </w:r>
      <w:r w:rsidR="00F867EC">
        <w:t>Arrangements for S</w:t>
      </w:r>
      <w:r w:rsidR="00D42CAB">
        <w:t xml:space="preserve">tudent </w:t>
      </w:r>
      <w:r w:rsidR="00F867EC">
        <w:t xml:space="preserve">(Temporary) (Class TU) </w:t>
      </w:r>
      <w:r w:rsidR="00D42CAB">
        <w:t>v</w:t>
      </w:r>
      <w:r>
        <w:t>isa applications</w:t>
      </w:r>
      <w:r w:rsidR="00554826">
        <w:t xml:space="preserve">) </w:t>
      </w:r>
      <w:r w:rsidR="00F867EC">
        <w:t xml:space="preserve">Instrument </w:t>
      </w:r>
      <w:r>
        <w:t>2020</w:t>
      </w:r>
    </w:p>
    <w:p w14:paraId="2B677251" w14:textId="1E2C9687" w:rsidR="00554826" w:rsidRPr="00DA182D" w:rsidRDefault="00554826" w:rsidP="00554826">
      <w:pPr>
        <w:pStyle w:val="SignCoverPageStart"/>
        <w:spacing w:before="240"/>
        <w:ind w:right="91"/>
        <w:rPr>
          <w:szCs w:val="22"/>
        </w:rPr>
      </w:pPr>
      <w:r w:rsidRPr="00DA182D">
        <w:rPr>
          <w:szCs w:val="22"/>
        </w:rPr>
        <w:t xml:space="preserve">I, </w:t>
      </w:r>
      <w:r w:rsidR="00D34057" w:rsidRPr="00C36398">
        <w:rPr>
          <w:szCs w:val="22"/>
        </w:rPr>
        <w:t>Michael Willard</w:t>
      </w:r>
      <w:r w:rsidR="00D34057" w:rsidRPr="00FA2358">
        <w:rPr>
          <w:szCs w:val="22"/>
        </w:rPr>
        <w:t xml:space="preserve">, Delegate of the Minister for </w:t>
      </w:r>
      <w:r w:rsidR="00D34057" w:rsidRPr="00FA2358">
        <w:t>Immigration, Citizenship, Migrant Services and Multicultural Affairs</w:t>
      </w:r>
      <w:r w:rsidRPr="00DA182D">
        <w:rPr>
          <w:szCs w:val="22"/>
        </w:rPr>
        <w:t xml:space="preserve">, </w:t>
      </w:r>
      <w:r>
        <w:rPr>
          <w:szCs w:val="22"/>
        </w:rPr>
        <w:t xml:space="preserve">make the following </w:t>
      </w:r>
      <w:r w:rsidR="00D42CAB">
        <w:rPr>
          <w:szCs w:val="22"/>
        </w:rPr>
        <w:t>arrangement</w:t>
      </w:r>
      <w:r w:rsidRPr="00DA182D">
        <w:rPr>
          <w:szCs w:val="22"/>
        </w:rPr>
        <w:t>.</w:t>
      </w:r>
    </w:p>
    <w:p w14:paraId="3A996697" w14:textId="6B76127D" w:rsidR="00554826" w:rsidRPr="00001A63" w:rsidRDefault="00554826" w:rsidP="00D42CAB">
      <w:pPr>
        <w:keepNext/>
        <w:spacing w:before="300" w:line="240" w:lineRule="atLeast"/>
        <w:ind w:left="3402" w:right="397" w:hanging="3402"/>
        <w:jc w:val="both"/>
        <w:rPr>
          <w:szCs w:val="22"/>
        </w:rPr>
      </w:pPr>
      <w:r>
        <w:rPr>
          <w:szCs w:val="22"/>
        </w:rPr>
        <w:t>Dated</w:t>
      </w:r>
      <w:r w:rsidR="00A01BB1">
        <w:rPr>
          <w:szCs w:val="22"/>
        </w:rPr>
        <w:t xml:space="preserve">         24 February</w:t>
      </w:r>
      <w:bookmarkStart w:id="0" w:name="_GoBack"/>
      <w:bookmarkEnd w:id="0"/>
      <w:r w:rsidRPr="00001A63">
        <w:rPr>
          <w:szCs w:val="22"/>
        </w:rPr>
        <w:tab/>
      </w:r>
      <w:r w:rsidR="00D42CAB">
        <w:rPr>
          <w:szCs w:val="22"/>
        </w:rPr>
        <w:t>2020</w:t>
      </w:r>
    </w:p>
    <w:p w14:paraId="2A018E8A" w14:textId="72524052" w:rsidR="00554826" w:rsidRDefault="00D34057" w:rsidP="00554826">
      <w:pPr>
        <w:keepNext/>
        <w:tabs>
          <w:tab w:val="left" w:pos="3402"/>
        </w:tabs>
        <w:spacing w:before="1440" w:line="300" w:lineRule="atLeast"/>
        <w:ind w:right="397"/>
        <w:rPr>
          <w:b/>
          <w:szCs w:val="22"/>
        </w:rPr>
      </w:pPr>
      <w:r w:rsidRPr="00CF3E6F">
        <w:rPr>
          <w:szCs w:val="22"/>
        </w:rPr>
        <w:t>Michael Willard</w:t>
      </w:r>
      <w:r w:rsidR="00554826" w:rsidRPr="00A75FE9">
        <w:rPr>
          <w:szCs w:val="22"/>
        </w:rPr>
        <w:t xml:space="preserve"> </w:t>
      </w:r>
    </w:p>
    <w:p w14:paraId="607BC07A" w14:textId="77777777" w:rsidR="00D34057" w:rsidRPr="00D34057" w:rsidRDefault="00D42CAB" w:rsidP="00554826">
      <w:pPr>
        <w:pStyle w:val="SignCoverPageEnd"/>
        <w:ind w:right="91"/>
        <w:rPr>
          <w:sz w:val="22"/>
        </w:rPr>
      </w:pPr>
      <w:r w:rsidRPr="00D34057">
        <w:rPr>
          <w:sz w:val="22"/>
        </w:rPr>
        <w:t xml:space="preserve">Senior Executive Service, Band Two, </w:t>
      </w:r>
    </w:p>
    <w:p w14:paraId="5EC4D0F6" w14:textId="1A985532" w:rsidR="00D34057" w:rsidRPr="00D34057" w:rsidRDefault="00C36398" w:rsidP="00554826">
      <w:pPr>
        <w:pStyle w:val="SignCoverPageEnd"/>
        <w:ind w:right="91"/>
        <w:rPr>
          <w:sz w:val="22"/>
        </w:rPr>
      </w:pPr>
      <w:r>
        <w:rPr>
          <w:sz w:val="22"/>
        </w:rPr>
        <w:t xml:space="preserve">Immigration </w:t>
      </w:r>
      <w:r w:rsidR="00D34057" w:rsidRPr="00D34057">
        <w:rPr>
          <w:sz w:val="22"/>
        </w:rPr>
        <w:t>and Community Protection Policy Division</w:t>
      </w:r>
    </w:p>
    <w:p w14:paraId="18C61C40" w14:textId="73F31CF0" w:rsidR="00554826" w:rsidRPr="008E0027" w:rsidRDefault="00D34057" w:rsidP="00554826">
      <w:pPr>
        <w:pStyle w:val="SignCoverPageEnd"/>
        <w:ind w:right="91"/>
        <w:rPr>
          <w:sz w:val="22"/>
        </w:rPr>
      </w:pPr>
      <w:r w:rsidRPr="00D34057">
        <w:rPr>
          <w:sz w:val="22"/>
        </w:rPr>
        <w:t xml:space="preserve">Department of Home Affairs </w:t>
      </w:r>
    </w:p>
    <w:p w14:paraId="03368E1B" w14:textId="77777777" w:rsidR="00554826" w:rsidRDefault="00554826" w:rsidP="00554826"/>
    <w:p w14:paraId="5EF666E4" w14:textId="77777777" w:rsidR="00554826" w:rsidRPr="00ED79B6" w:rsidRDefault="00554826" w:rsidP="00554826"/>
    <w:p w14:paraId="2DD624CE" w14:textId="77777777" w:rsidR="00F6696E" w:rsidRDefault="00F6696E" w:rsidP="00F6696E"/>
    <w:p w14:paraId="0B4EB381" w14:textId="77777777" w:rsidR="00F6696E" w:rsidRDefault="00F6696E" w:rsidP="00F6696E">
      <w:pPr>
        <w:sectPr w:rsidR="00F6696E" w:rsidSect="00D42CAB">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2234" w:right="1797" w:bottom="1440" w:left="1797" w:header="720" w:footer="989" w:gutter="0"/>
          <w:pgNumType w:start="1"/>
          <w:cols w:space="708"/>
          <w:docGrid w:linePitch="360"/>
        </w:sectPr>
      </w:pPr>
    </w:p>
    <w:p w14:paraId="04B828E7" w14:textId="77777777" w:rsidR="00F867EC" w:rsidRDefault="00715914" w:rsidP="00AE57EF">
      <w:pPr>
        <w:outlineLvl w:val="0"/>
        <w:rPr>
          <w:noProof/>
        </w:rPr>
      </w:pPr>
      <w:r w:rsidRPr="007A1328">
        <w:rPr>
          <w:sz w:val="36"/>
        </w:rPr>
        <w:lastRenderedPageBreak/>
        <w:t>Contents</w:t>
      </w:r>
      <w:r w:rsidR="00B418CB">
        <w:rPr>
          <w:rFonts w:eastAsia="Times New Roman" w:cs="Times New Roman"/>
          <w:kern w:val="28"/>
          <w:sz w:val="18"/>
          <w:lang w:eastAsia="en-AU"/>
        </w:rPr>
        <w:fldChar w:fldCharType="begin"/>
      </w:r>
      <w:r w:rsidR="00B418CB">
        <w:instrText xml:space="preserve"> TOC \o "1-9" </w:instrText>
      </w:r>
      <w:r w:rsidR="00B418CB">
        <w:rPr>
          <w:rFonts w:eastAsia="Times New Roman" w:cs="Times New Roman"/>
          <w:kern w:val="28"/>
          <w:sz w:val="18"/>
          <w:lang w:eastAsia="en-AU"/>
        </w:rPr>
        <w:fldChar w:fldCharType="separate"/>
      </w:r>
    </w:p>
    <w:p w14:paraId="2805C624" w14:textId="125FD987" w:rsidR="00F867EC" w:rsidRDefault="00F867EC">
      <w:pPr>
        <w:pStyle w:val="TOC6"/>
        <w:rPr>
          <w:rFonts w:asciiTheme="minorHAnsi" w:eastAsiaTheme="minorEastAsia" w:hAnsiTheme="minorHAnsi" w:cstheme="minorBidi"/>
          <w:b w:val="0"/>
          <w:noProof/>
          <w:kern w:val="0"/>
          <w:sz w:val="22"/>
          <w:szCs w:val="22"/>
        </w:rPr>
      </w:pPr>
      <w:r w:rsidRPr="00C939A0">
        <w:rPr>
          <w:noProof/>
        </w:rPr>
        <w:t>Part 1—Preliminary</w:t>
      </w:r>
      <w:r>
        <w:rPr>
          <w:noProof/>
        </w:rPr>
        <w:tab/>
      </w:r>
      <w:r>
        <w:rPr>
          <w:noProof/>
        </w:rPr>
        <w:fldChar w:fldCharType="begin"/>
      </w:r>
      <w:r>
        <w:rPr>
          <w:noProof/>
        </w:rPr>
        <w:instrText xml:space="preserve"> PAGEREF _Toc32909052 \h </w:instrText>
      </w:r>
      <w:r>
        <w:rPr>
          <w:noProof/>
        </w:rPr>
      </w:r>
      <w:r>
        <w:rPr>
          <w:noProof/>
        </w:rPr>
        <w:fldChar w:fldCharType="separate"/>
      </w:r>
      <w:r w:rsidR="00C511DF">
        <w:rPr>
          <w:noProof/>
        </w:rPr>
        <w:t>1</w:t>
      </w:r>
      <w:r>
        <w:rPr>
          <w:noProof/>
        </w:rPr>
        <w:fldChar w:fldCharType="end"/>
      </w:r>
    </w:p>
    <w:p w14:paraId="008F0A9B" w14:textId="71C4ACC5" w:rsidR="00F867EC" w:rsidRDefault="00F867EC">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_Toc32909053 \h </w:instrText>
      </w:r>
      <w:r>
        <w:rPr>
          <w:noProof/>
        </w:rPr>
      </w:r>
      <w:r>
        <w:rPr>
          <w:noProof/>
        </w:rPr>
        <w:fldChar w:fldCharType="separate"/>
      </w:r>
      <w:r w:rsidR="00C511DF">
        <w:rPr>
          <w:noProof/>
        </w:rPr>
        <w:t>1</w:t>
      </w:r>
      <w:r>
        <w:rPr>
          <w:noProof/>
        </w:rPr>
        <w:fldChar w:fldCharType="end"/>
      </w:r>
    </w:p>
    <w:p w14:paraId="0A968047" w14:textId="20E4CC4C" w:rsidR="00F867EC" w:rsidRDefault="00F867EC">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_Toc32909054 \h </w:instrText>
      </w:r>
      <w:r>
        <w:rPr>
          <w:noProof/>
        </w:rPr>
      </w:r>
      <w:r>
        <w:rPr>
          <w:noProof/>
        </w:rPr>
        <w:fldChar w:fldCharType="separate"/>
      </w:r>
      <w:r w:rsidR="00C511DF">
        <w:rPr>
          <w:noProof/>
        </w:rPr>
        <w:t>1</w:t>
      </w:r>
      <w:r>
        <w:rPr>
          <w:noProof/>
        </w:rPr>
        <w:fldChar w:fldCharType="end"/>
      </w:r>
    </w:p>
    <w:p w14:paraId="4AC3DE76" w14:textId="7A5AAF10" w:rsidR="00F867EC" w:rsidRDefault="00F867EC">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_Toc32909055 \h </w:instrText>
      </w:r>
      <w:r>
        <w:rPr>
          <w:noProof/>
        </w:rPr>
      </w:r>
      <w:r>
        <w:rPr>
          <w:noProof/>
        </w:rPr>
        <w:fldChar w:fldCharType="separate"/>
      </w:r>
      <w:r w:rsidR="00C511DF">
        <w:rPr>
          <w:noProof/>
        </w:rPr>
        <w:t>1</w:t>
      </w:r>
      <w:r>
        <w:rPr>
          <w:noProof/>
        </w:rPr>
        <w:fldChar w:fldCharType="end"/>
      </w:r>
    </w:p>
    <w:p w14:paraId="573A42D3" w14:textId="4E77BCE4" w:rsidR="00F867EC" w:rsidRDefault="00F867EC">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_Toc32909056 \h </w:instrText>
      </w:r>
      <w:r>
        <w:rPr>
          <w:noProof/>
        </w:rPr>
      </w:r>
      <w:r>
        <w:rPr>
          <w:noProof/>
        </w:rPr>
        <w:fldChar w:fldCharType="separate"/>
      </w:r>
      <w:r w:rsidR="00C511DF">
        <w:rPr>
          <w:noProof/>
        </w:rPr>
        <w:t>1</w:t>
      </w:r>
      <w:r>
        <w:rPr>
          <w:noProof/>
        </w:rPr>
        <w:fldChar w:fldCharType="end"/>
      </w:r>
    </w:p>
    <w:p w14:paraId="712274A9" w14:textId="3D5F0DBF" w:rsidR="00F867EC" w:rsidRDefault="00F867EC">
      <w:pPr>
        <w:pStyle w:val="TOC5"/>
        <w:rPr>
          <w:rFonts w:asciiTheme="minorHAnsi" w:eastAsiaTheme="minorEastAsia" w:hAnsiTheme="minorHAnsi" w:cstheme="minorBidi"/>
          <w:noProof/>
          <w:kern w:val="0"/>
          <w:sz w:val="22"/>
          <w:szCs w:val="22"/>
        </w:rPr>
      </w:pPr>
      <w:r>
        <w:rPr>
          <w:noProof/>
        </w:rPr>
        <w:t>5  Schedules</w:t>
      </w:r>
      <w:r>
        <w:rPr>
          <w:noProof/>
        </w:rPr>
        <w:tab/>
      </w:r>
      <w:r>
        <w:rPr>
          <w:noProof/>
        </w:rPr>
        <w:fldChar w:fldCharType="begin"/>
      </w:r>
      <w:r>
        <w:rPr>
          <w:noProof/>
        </w:rPr>
        <w:instrText xml:space="preserve"> PAGEREF _Toc32909057 \h </w:instrText>
      </w:r>
      <w:r>
        <w:rPr>
          <w:noProof/>
        </w:rPr>
      </w:r>
      <w:r>
        <w:rPr>
          <w:noProof/>
        </w:rPr>
        <w:fldChar w:fldCharType="separate"/>
      </w:r>
      <w:r w:rsidR="00C511DF">
        <w:rPr>
          <w:noProof/>
        </w:rPr>
        <w:t>2</w:t>
      </w:r>
      <w:r>
        <w:rPr>
          <w:noProof/>
        </w:rPr>
        <w:fldChar w:fldCharType="end"/>
      </w:r>
    </w:p>
    <w:p w14:paraId="51E279B2" w14:textId="3247F65F" w:rsidR="00F867EC" w:rsidRDefault="00F867EC">
      <w:pPr>
        <w:pStyle w:val="TOC6"/>
        <w:rPr>
          <w:rFonts w:asciiTheme="minorHAnsi" w:eastAsiaTheme="minorEastAsia" w:hAnsiTheme="minorHAnsi" w:cstheme="minorBidi"/>
          <w:b w:val="0"/>
          <w:noProof/>
          <w:kern w:val="0"/>
          <w:sz w:val="22"/>
          <w:szCs w:val="22"/>
        </w:rPr>
      </w:pPr>
      <w:r w:rsidRPr="00C939A0">
        <w:rPr>
          <w:noProof/>
        </w:rPr>
        <w:t>Part 2—Arrangements for the Class TU visa</w:t>
      </w:r>
      <w:r>
        <w:rPr>
          <w:noProof/>
        </w:rPr>
        <w:tab/>
      </w:r>
      <w:r>
        <w:rPr>
          <w:noProof/>
        </w:rPr>
        <w:fldChar w:fldCharType="begin"/>
      </w:r>
      <w:r>
        <w:rPr>
          <w:noProof/>
        </w:rPr>
        <w:instrText xml:space="preserve"> PAGEREF _Toc32909058 \h </w:instrText>
      </w:r>
      <w:r>
        <w:rPr>
          <w:noProof/>
        </w:rPr>
      </w:r>
      <w:r>
        <w:rPr>
          <w:noProof/>
        </w:rPr>
        <w:fldChar w:fldCharType="separate"/>
      </w:r>
      <w:r w:rsidR="00C511DF">
        <w:rPr>
          <w:noProof/>
        </w:rPr>
        <w:t>3</w:t>
      </w:r>
      <w:r>
        <w:rPr>
          <w:noProof/>
        </w:rPr>
        <w:fldChar w:fldCharType="end"/>
      </w:r>
    </w:p>
    <w:p w14:paraId="786376B4" w14:textId="1AE6D0D1" w:rsidR="00F867EC" w:rsidRDefault="00F867EC">
      <w:pPr>
        <w:pStyle w:val="TOC5"/>
        <w:rPr>
          <w:rFonts w:asciiTheme="minorHAnsi" w:eastAsiaTheme="minorEastAsia" w:hAnsiTheme="minorHAnsi" w:cstheme="minorBidi"/>
          <w:noProof/>
          <w:kern w:val="0"/>
          <w:sz w:val="22"/>
          <w:szCs w:val="22"/>
        </w:rPr>
      </w:pPr>
      <w:r>
        <w:rPr>
          <w:noProof/>
        </w:rPr>
        <w:t>6  Form and manner of making visa applications</w:t>
      </w:r>
      <w:r>
        <w:rPr>
          <w:noProof/>
        </w:rPr>
        <w:tab/>
      </w:r>
      <w:r>
        <w:rPr>
          <w:noProof/>
        </w:rPr>
        <w:fldChar w:fldCharType="begin"/>
      </w:r>
      <w:r>
        <w:rPr>
          <w:noProof/>
        </w:rPr>
        <w:instrText xml:space="preserve"> PAGEREF _Toc32909059 \h </w:instrText>
      </w:r>
      <w:r>
        <w:rPr>
          <w:noProof/>
        </w:rPr>
      </w:r>
      <w:r>
        <w:rPr>
          <w:noProof/>
        </w:rPr>
        <w:fldChar w:fldCharType="separate"/>
      </w:r>
      <w:r w:rsidR="00C511DF">
        <w:rPr>
          <w:noProof/>
        </w:rPr>
        <w:t>3</w:t>
      </w:r>
      <w:r>
        <w:rPr>
          <w:noProof/>
        </w:rPr>
        <w:fldChar w:fldCharType="end"/>
      </w:r>
    </w:p>
    <w:p w14:paraId="1ACDDDD1" w14:textId="3C983FF3" w:rsidR="00F867EC" w:rsidRDefault="00F867EC">
      <w:pPr>
        <w:pStyle w:val="TOC6"/>
        <w:rPr>
          <w:rFonts w:asciiTheme="minorHAnsi" w:eastAsiaTheme="minorEastAsia" w:hAnsiTheme="minorHAnsi" w:cstheme="minorBidi"/>
          <w:b w:val="0"/>
          <w:noProof/>
          <w:kern w:val="0"/>
          <w:sz w:val="22"/>
          <w:szCs w:val="22"/>
        </w:rPr>
      </w:pPr>
      <w:r>
        <w:rPr>
          <w:noProof/>
        </w:rPr>
        <w:t>Schedule 1—Forms required for applications to be made for Class TU visas.</w:t>
      </w:r>
      <w:r>
        <w:rPr>
          <w:noProof/>
        </w:rPr>
        <w:tab/>
      </w:r>
      <w:r>
        <w:rPr>
          <w:noProof/>
        </w:rPr>
        <w:fldChar w:fldCharType="begin"/>
      </w:r>
      <w:r>
        <w:rPr>
          <w:noProof/>
        </w:rPr>
        <w:instrText xml:space="preserve"> PAGEREF _Toc32909060 \h </w:instrText>
      </w:r>
      <w:r>
        <w:rPr>
          <w:noProof/>
        </w:rPr>
      </w:r>
      <w:r>
        <w:rPr>
          <w:noProof/>
        </w:rPr>
        <w:fldChar w:fldCharType="separate"/>
      </w:r>
      <w:r w:rsidR="00C511DF">
        <w:rPr>
          <w:noProof/>
        </w:rPr>
        <w:t>4</w:t>
      </w:r>
      <w:r>
        <w:rPr>
          <w:noProof/>
        </w:rPr>
        <w:fldChar w:fldCharType="end"/>
      </w:r>
    </w:p>
    <w:p w14:paraId="66C3494E" w14:textId="44F95424" w:rsidR="00F867EC" w:rsidRDefault="00F867EC">
      <w:pPr>
        <w:pStyle w:val="TOC6"/>
        <w:rPr>
          <w:rFonts w:asciiTheme="minorHAnsi" w:eastAsiaTheme="minorEastAsia" w:hAnsiTheme="minorHAnsi" w:cstheme="minorBidi"/>
          <w:b w:val="0"/>
          <w:noProof/>
          <w:kern w:val="0"/>
          <w:sz w:val="22"/>
          <w:szCs w:val="22"/>
        </w:rPr>
      </w:pPr>
      <w:r>
        <w:rPr>
          <w:noProof/>
        </w:rPr>
        <w:t>Schedule 2—Repeal</w:t>
      </w:r>
      <w:r>
        <w:rPr>
          <w:noProof/>
        </w:rPr>
        <w:tab/>
      </w:r>
      <w:r>
        <w:rPr>
          <w:noProof/>
        </w:rPr>
        <w:fldChar w:fldCharType="begin"/>
      </w:r>
      <w:r>
        <w:rPr>
          <w:noProof/>
        </w:rPr>
        <w:instrText xml:space="preserve"> PAGEREF _Toc32909061 \h </w:instrText>
      </w:r>
      <w:r>
        <w:rPr>
          <w:noProof/>
        </w:rPr>
      </w:r>
      <w:r>
        <w:rPr>
          <w:noProof/>
        </w:rPr>
        <w:fldChar w:fldCharType="separate"/>
      </w:r>
      <w:r w:rsidR="00C511DF">
        <w:rPr>
          <w:noProof/>
        </w:rPr>
        <w:t>5</w:t>
      </w:r>
      <w:r>
        <w:rPr>
          <w:noProof/>
        </w:rPr>
        <w:fldChar w:fldCharType="end"/>
      </w:r>
    </w:p>
    <w:p w14:paraId="6CE01FE2" w14:textId="0F15E8AA" w:rsidR="00F867EC" w:rsidRDefault="00F867EC">
      <w:pPr>
        <w:pStyle w:val="TOC9"/>
        <w:rPr>
          <w:rFonts w:asciiTheme="minorHAnsi" w:eastAsiaTheme="minorEastAsia" w:hAnsiTheme="minorHAnsi" w:cstheme="minorBidi"/>
          <w:i w:val="0"/>
          <w:noProof/>
          <w:kern w:val="0"/>
          <w:sz w:val="22"/>
          <w:szCs w:val="22"/>
        </w:rPr>
      </w:pPr>
      <w:r>
        <w:rPr>
          <w:noProof/>
        </w:rPr>
        <w:t>Arrangements for Student Visa Applicants 2017/011</w:t>
      </w:r>
      <w:r>
        <w:rPr>
          <w:noProof/>
        </w:rPr>
        <w:tab/>
      </w:r>
      <w:r>
        <w:rPr>
          <w:noProof/>
        </w:rPr>
        <w:fldChar w:fldCharType="begin"/>
      </w:r>
      <w:r>
        <w:rPr>
          <w:noProof/>
        </w:rPr>
        <w:instrText xml:space="preserve"> PAGEREF _Toc32909062 \h </w:instrText>
      </w:r>
      <w:r>
        <w:rPr>
          <w:noProof/>
        </w:rPr>
      </w:r>
      <w:r>
        <w:rPr>
          <w:noProof/>
        </w:rPr>
        <w:fldChar w:fldCharType="separate"/>
      </w:r>
      <w:r w:rsidR="00C511DF">
        <w:rPr>
          <w:noProof/>
        </w:rPr>
        <w:t>5</w:t>
      </w:r>
      <w:r>
        <w:rPr>
          <w:noProof/>
        </w:rPr>
        <w:fldChar w:fldCharType="end"/>
      </w:r>
    </w:p>
    <w:p w14:paraId="26E9C68E" w14:textId="637E0C2C" w:rsidR="00F6696E" w:rsidRDefault="00B418CB" w:rsidP="00F6696E">
      <w:pPr>
        <w:outlineLvl w:val="0"/>
      </w:pPr>
      <w:r>
        <w:fldChar w:fldCharType="end"/>
      </w:r>
    </w:p>
    <w:p w14:paraId="7172FBA4" w14:textId="77777777" w:rsidR="00F6696E" w:rsidRPr="00A802BC" w:rsidRDefault="00F6696E" w:rsidP="00F6696E">
      <w:pPr>
        <w:outlineLvl w:val="0"/>
        <w:rPr>
          <w:sz w:val="20"/>
        </w:rPr>
      </w:pPr>
    </w:p>
    <w:p w14:paraId="632CBC69" w14:textId="77777777" w:rsidR="00F6696E" w:rsidRDefault="00F6696E" w:rsidP="00F6696E">
      <w:pPr>
        <w:sectPr w:rsidR="00F6696E" w:rsidSect="00A87A58">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063DF663" w14:textId="77777777" w:rsidR="00F2159A" w:rsidRPr="00F76CCC" w:rsidRDefault="00F2159A" w:rsidP="00F2159A">
      <w:pPr>
        <w:pStyle w:val="ActHead6"/>
        <w:rPr>
          <w:rStyle w:val="CharSectno"/>
          <w:rFonts w:ascii="Times New Roman" w:hAnsi="Times New Roman"/>
          <w:szCs w:val="32"/>
        </w:rPr>
      </w:pPr>
      <w:bookmarkStart w:id="1" w:name="_Toc31810981"/>
      <w:bookmarkStart w:id="2" w:name="_Toc32909052"/>
      <w:bookmarkStart w:id="3" w:name="_Toc474404031"/>
      <w:r w:rsidRPr="00F76CCC">
        <w:rPr>
          <w:rFonts w:ascii="Times New Roman" w:hAnsi="Times New Roman"/>
        </w:rPr>
        <w:lastRenderedPageBreak/>
        <w:t xml:space="preserve">Part </w:t>
      </w:r>
      <w:r>
        <w:rPr>
          <w:rFonts w:ascii="Times New Roman" w:hAnsi="Times New Roman"/>
        </w:rPr>
        <w:t>1—Preliminary</w:t>
      </w:r>
      <w:bookmarkEnd w:id="1"/>
      <w:bookmarkEnd w:id="2"/>
    </w:p>
    <w:p w14:paraId="4644EF78" w14:textId="0E3F1385" w:rsidR="00554826" w:rsidRPr="00554826" w:rsidRDefault="00554826" w:rsidP="00554826">
      <w:pPr>
        <w:pStyle w:val="ActHead5"/>
      </w:pPr>
      <w:bookmarkStart w:id="4" w:name="_Toc32909053"/>
      <w:bookmarkEnd w:id="3"/>
      <w:r w:rsidRPr="00554826">
        <w:t>1  Name</w:t>
      </w:r>
      <w:bookmarkEnd w:id="4"/>
    </w:p>
    <w:p w14:paraId="5DA3BAF0" w14:textId="4BCBBA24" w:rsidR="00554826" w:rsidRDefault="00554826" w:rsidP="00D42CAB">
      <w:pPr>
        <w:pStyle w:val="subsection"/>
        <w:numPr>
          <w:ilvl w:val="0"/>
          <w:numId w:val="14"/>
        </w:numPr>
        <w:tabs>
          <w:tab w:val="clear" w:pos="1021"/>
        </w:tabs>
        <w:ind w:left="1134" w:hanging="567"/>
      </w:pPr>
      <w:r w:rsidRPr="009C2562">
        <w:t xml:space="preserve">This </w:t>
      </w:r>
      <w:r>
        <w:t xml:space="preserve">instrument </w:t>
      </w:r>
      <w:r w:rsidRPr="009C2562">
        <w:t xml:space="preserve">is the </w:t>
      </w:r>
      <w:bookmarkStart w:id="5" w:name="BKCheck15B_3"/>
      <w:bookmarkEnd w:id="5"/>
      <w:r w:rsidR="00D42CAB" w:rsidRPr="00D42CAB">
        <w:rPr>
          <w:i/>
        </w:rPr>
        <w:t>Migration (</w:t>
      </w:r>
      <w:r w:rsidR="00BE783A">
        <w:rPr>
          <w:i/>
        </w:rPr>
        <w:t>LIN 20/102</w:t>
      </w:r>
      <w:r w:rsidR="00593FA6">
        <w:rPr>
          <w:i/>
        </w:rPr>
        <w:t xml:space="preserve">: </w:t>
      </w:r>
      <w:r w:rsidR="00F867EC">
        <w:rPr>
          <w:i/>
        </w:rPr>
        <w:t xml:space="preserve">Arrangements for </w:t>
      </w:r>
      <w:r w:rsidR="00D42CAB" w:rsidRPr="00D42CAB">
        <w:rPr>
          <w:i/>
        </w:rPr>
        <w:t>Student</w:t>
      </w:r>
      <w:r w:rsidR="00F867EC">
        <w:rPr>
          <w:i/>
        </w:rPr>
        <w:t xml:space="preserve"> (Temporary) (Class TU)</w:t>
      </w:r>
      <w:r w:rsidR="00D42CAB" w:rsidRPr="00D42CAB">
        <w:rPr>
          <w:i/>
        </w:rPr>
        <w:t xml:space="preserve"> visa applications) </w:t>
      </w:r>
      <w:r w:rsidR="00F867EC">
        <w:rPr>
          <w:i/>
        </w:rPr>
        <w:t xml:space="preserve">Instrument </w:t>
      </w:r>
      <w:r w:rsidR="00D42CAB" w:rsidRPr="00D42CAB">
        <w:rPr>
          <w:i/>
        </w:rPr>
        <w:t>2020</w:t>
      </w:r>
      <w:r w:rsidRPr="009C2562">
        <w:t>.</w:t>
      </w:r>
    </w:p>
    <w:p w14:paraId="6D477C0D" w14:textId="6B0B12C7" w:rsidR="00D42CAB" w:rsidRDefault="00D42CAB" w:rsidP="00D42CAB">
      <w:pPr>
        <w:pStyle w:val="subsection"/>
        <w:numPr>
          <w:ilvl w:val="0"/>
          <w:numId w:val="14"/>
        </w:numPr>
        <w:tabs>
          <w:tab w:val="clear" w:pos="1021"/>
        </w:tabs>
        <w:ind w:left="1134" w:hanging="567"/>
      </w:pPr>
      <w:r>
        <w:t>This instr</w:t>
      </w:r>
      <w:r w:rsidR="00BE783A">
        <w:t>ument may be cited as LIN 20/102</w:t>
      </w:r>
      <w:r>
        <w:t>.</w:t>
      </w:r>
    </w:p>
    <w:p w14:paraId="186CDF0E" w14:textId="6818F616" w:rsidR="00F867EC" w:rsidRPr="00F867EC" w:rsidRDefault="00F867EC" w:rsidP="00F867EC">
      <w:pPr>
        <w:pStyle w:val="ActHead5"/>
      </w:pPr>
      <w:bookmarkStart w:id="6" w:name="_Toc32909054"/>
      <w:r>
        <w:t>2</w:t>
      </w:r>
      <w:r w:rsidRPr="00554826">
        <w:t xml:space="preserve">  </w:t>
      </w:r>
      <w:r>
        <w:t>Commencement</w:t>
      </w:r>
      <w:bookmarkEnd w:id="6"/>
    </w:p>
    <w:p w14:paraId="3C149FDA" w14:textId="30DFDD57" w:rsidR="00D42CAB" w:rsidRPr="00F867EC" w:rsidRDefault="00D42CAB" w:rsidP="00F867EC">
      <w:pPr>
        <w:pStyle w:val="subsection"/>
        <w:tabs>
          <w:tab w:val="clear" w:pos="1021"/>
          <w:tab w:val="right" w:pos="1134"/>
        </w:tabs>
        <w:ind w:firstLine="0"/>
      </w:pPr>
      <w:r w:rsidRPr="00D42CAB">
        <w:t xml:space="preserve">This instrument commences on </w:t>
      </w:r>
      <w:r w:rsidR="009D24C3">
        <w:t>the day after it is registered on the Federal Register of Legislation.</w:t>
      </w:r>
    </w:p>
    <w:p w14:paraId="7E454675" w14:textId="77777777" w:rsidR="00554826" w:rsidRPr="00554826" w:rsidRDefault="00554826" w:rsidP="00554826">
      <w:pPr>
        <w:pStyle w:val="ActHead5"/>
      </w:pPr>
      <w:bookmarkStart w:id="7" w:name="_Toc32909055"/>
      <w:r w:rsidRPr="00554826">
        <w:t>3  Authority</w:t>
      </w:r>
      <w:bookmarkEnd w:id="7"/>
    </w:p>
    <w:p w14:paraId="42ACF5A8" w14:textId="77777777" w:rsidR="00554826" w:rsidRPr="009C2562" w:rsidRDefault="00554826" w:rsidP="00D42CAB">
      <w:pPr>
        <w:pStyle w:val="subsection"/>
        <w:tabs>
          <w:tab w:val="clear" w:pos="1021"/>
          <w:tab w:val="right" w:pos="1134"/>
        </w:tabs>
        <w:ind w:firstLine="0"/>
      </w:pPr>
      <w:r w:rsidRPr="009C2562">
        <w:t xml:space="preserve">This instrument is made under </w:t>
      </w:r>
      <w:r w:rsidR="00D42CAB">
        <w:t xml:space="preserve">subregulation 2.07(5) of the </w:t>
      </w:r>
      <w:r w:rsidR="00D42CAB" w:rsidRPr="00D42CAB">
        <w:rPr>
          <w:i/>
        </w:rPr>
        <w:t>Migration Regulations 1994</w:t>
      </w:r>
      <w:r w:rsidR="00D42CAB">
        <w:t>.</w:t>
      </w:r>
    </w:p>
    <w:p w14:paraId="00591151" w14:textId="77777777" w:rsidR="00554826" w:rsidRPr="00554826" w:rsidRDefault="00554826" w:rsidP="00554826">
      <w:pPr>
        <w:pStyle w:val="ActHead5"/>
      </w:pPr>
      <w:bookmarkStart w:id="8" w:name="_Toc32909056"/>
      <w:r w:rsidRPr="00554826">
        <w:t>4  Definitions</w:t>
      </w:r>
      <w:bookmarkEnd w:id="8"/>
    </w:p>
    <w:p w14:paraId="73F9F763" w14:textId="6FC9A625" w:rsidR="00554826" w:rsidRPr="009C2562" w:rsidRDefault="00554826" w:rsidP="00554826">
      <w:pPr>
        <w:pStyle w:val="notetext"/>
      </w:pPr>
      <w:r w:rsidRPr="009C2562">
        <w:t>Note:</w:t>
      </w:r>
      <w:r w:rsidRPr="009C2562">
        <w:tab/>
        <w:t>A number of expressions used in this instrument are defined i</w:t>
      </w:r>
      <w:r w:rsidRPr="00593FA6">
        <w:t>n</w:t>
      </w:r>
      <w:r w:rsidR="001546BB">
        <w:t xml:space="preserve"> subsection</w:t>
      </w:r>
      <w:r w:rsidR="00593FA6">
        <w:t xml:space="preserve"> </w:t>
      </w:r>
      <w:r w:rsidR="001546BB">
        <w:t>5(1) of the Act</w:t>
      </w:r>
      <w:r w:rsidRPr="009C2562">
        <w:t>, including the following:</w:t>
      </w:r>
    </w:p>
    <w:p w14:paraId="57947C30" w14:textId="77777777" w:rsidR="00554826" w:rsidRPr="009C2562" w:rsidRDefault="00554826" w:rsidP="00554826">
      <w:pPr>
        <w:pStyle w:val="notepara"/>
      </w:pPr>
      <w:r w:rsidRPr="009C2562">
        <w:t>(a)</w:t>
      </w:r>
      <w:r w:rsidRPr="009C2562">
        <w:tab/>
      </w:r>
      <w:r w:rsidR="00D42CAB" w:rsidRPr="00E678F9">
        <w:rPr>
          <w:b/>
          <w:i/>
        </w:rPr>
        <w:t>outside Australia</w:t>
      </w:r>
      <w:r w:rsidRPr="00593FA6">
        <w:t>;</w:t>
      </w:r>
    </w:p>
    <w:p w14:paraId="766D22F6" w14:textId="77777777" w:rsidR="00554826" w:rsidRPr="009C2562" w:rsidRDefault="00554826" w:rsidP="00554826">
      <w:pPr>
        <w:pStyle w:val="notepara"/>
      </w:pPr>
      <w:r w:rsidRPr="009C2562">
        <w:t>(b)</w:t>
      </w:r>
      <w:r w:rsidRPr="009C2562">
        <w:tab/>
      </w:r>
      <w:r w:rsidR="00D42CAB" w:rsidRPr="00E678F9">
        <w:rPr>
          <w:b/>
          <w:i/>
        </w:rPr>
        <w:t>in Australia</w:t>
      </w:r>
      <w:r>
        <w:t>.</w:t>
      </w:r>
    </w:p>
    <w:p w14:paraId="53E33C4A" w14:textId="77777777" w:rsidR="00554826" w:rsidRPr="009C2562" w:rsidRDefault="00554826" w:rsidP="00593FA6">
      <w:pPr>
        <w:pStyle w:val="subsection"/>
        <w:tabs>
          <w:tab w:val="clear" w:pos="1021"/>
          <w:tab w:val="right" w:pos="1134"/>
        </w:tabs>
        <w:ind w:firstLine="0"/>
      </w:pPr>
      <w:r w:rsidRPr="009C2562">
        <w:t>In this instrument:</w:t>
      </w:r>
    </w:p>
    <w:p w14:paraId="55875EBC" w14:textId="77777777" w:rsidR="00DB64D9" w:rsidRPr="008A712B" w:rsidRDefault="00DB64D9" w:rsidP="00DB64D9">
      <w:pPr>
        <w:pStyle w:val="Definition"/>
        <w:spacing w:line="276" w:lineRule="auto"/>
      </w:pPr>
      <w:r>
        <w:rPr>
          <w:b/>
          <w:i/>
        </w:rPr>
        <w:t>Act</w:t>
      </w:r>
      <w:r>
        <w:t xml:space="preserve"> means </w:t>
      </w:r>
      <w:r w:rsidRPr="008A712B">
        <w:rPr>
          <w:i/>
        </w:rPr>
        <w:t>Migration Act 1958</w:t>
      </w:r>
    </w:p>
    <w:p w14:paraId="6A172E5B" w14:textId="77777777" w:rsidR="008F12D9" w:rsidRDefault="008F12D9" w:rsidP="008F12D9">
      <w:pPr>
        <w:pStyle w:val="Definition"/>
      </w:pPr>
      <w:r>
        <w:rPr>
          <w:b/>
          <w:i/>
        </w:rPr>
        <w:t>authorising email</w:t>
      </w:r>
      <w:r w:rsidRPr="009C2562">
        <w:t xml:space="preserve"> means</w:t>
      </w:r>
      <w:r>
        <w:t xml:space="preserve"> an email sent by an officer of the department, authorising an applicant to make an application in a different place or a different manner.</w:t>
      </w:r>
    </w:p>
    <w:p w14:paraId="4F8CC5B6" w14:textId="447A01D4" w:rsidR="00D42CAB" w:rsidRPr="003F4A3D" w:rsidRDefault="00D42CAB" w:rsidP="00554826">
      <w:pPr>
        <w:pStyle w:val="Definition"/>
        <w:rPr>
          <w:b/>
        </w:rPr>
      </w:pPr>
      <w:r>
        <w:rPr>
          <w:b/>
          <w:i/>
        </w:rPr>
        <w:t xml:space="preserve">Class TU visa </w:t>
      </w:r>
      <w:r w:rsidRPr="00D42CAB">
        <w:t xml:space="preserve">means </w:t>
      </w:r>
      <w:r>
        <w:t>Student (Temporary) (Class TU) visa.</w:t>
      </w:r>
    </w:p>
    <w:p w14:paraId="6689C75C" w14:textId="1481B902" w:rsidR="00D42CAB" w:rsidRDefault="00D42CAB" w:rsidP="00554826">
      <w:pPr>
        <w:pStyle w:val="Definition"/>
      </w:pPr>
      <w:r>
        <w:rPr>
          <w:b/>
          <w:i/>
        </w:rPr>
        <w:t xml:space="preserve">Department </w:t>
      </w:r>
      <w:r>
        <w:t>means Department of Home Affairs</w:t>
      </w:r>
      <w:r w:rsidR="003F4A3D">
        <w:t>.</w:t>
      </w:r>
    </w:p>
    <w:p w14:paraId="01D610A8" w14:textId="4707A6C7" w:rsidR="003B3D9C" w:rsidRPr="00D42CAB" w:rsidRDefault="003B3D9C" w:rsidP="003B3D9C">
      <w:pPr>
        <w:pStyle w:val="Definition"/>
      </w:pPr>
      <w:r w:rsidRPr="00B55CC9">
        <w:rPr>
          <w:b/>
          <w:i/>
          <w:lang w:val="en"/>
        </w:rPr>
        <w:t xml:space="preserve">PHEIC </w:t>
      </w:r>
      <w:r>
        <w:rPr>
          <w:lang w:val="en"/>
        </w:rPr>
        <w:t>means Public Health Emergency of International Concern designated by the W</w:t>
      </w:r>
      <w:r w:rsidR="00DB64D9">
        <w:t>orld</w:t>
      </w:r>
      <w:r w:rsidRPr="00B55CC9">
        <w:t xml:space="preserve"> Health Organisation</w:t>
      </w:r>
      <w:r w:rsidR="001546BB">
        <w:t>.</w:t>
      </w:r>
    </w:p>
    <w:p w14:paraId="1019C497" w14:textId="283C271F" w:rsidR="007D7D63" w:rsidRDefault="007D7D63" w:rsidP="007D7D63">
      <w:pPr>
        <w:pStyle w:val="Definition"/>
        <w:spacing w:line="276" w:lineRule="auto"/>
      </w:pPr>
      <w:r>
        <w:rPr>
          <w:b/>
          <w:i/>
        </w:rPr>
        <w:t>reapplying</w:t>
      </w:r>
      <w:r w:rsidRPr="00B66570">
        <w:rPr>
          <w:b/>
          <w:i/>
        </w:rPr>
        <w:t xml:space="preserve"> applicant</w:t>
      </w:r>
      <w:r>
        <w:t xml:space="preserve"> means an applicant:</w:t>
      </w:r>
    </w:p>
    <w:p w14:paraId="47978F00" w14:textId="77777777" w:rsidR="007D7D63" w:rsidRDefault="007D7D63" w:rsidP="007D7D63">
      <w:pPr>
        <w:pStyle w:val="Definition"/>
        <w:numPr>
          <w:ilvl w:val="0"/>
          <w:numId w:val="25"/>
        </w:numPr>
        <w:spacing w:before="120" w:line="276" w:lineRule="auto"/>
        <w:ind w:left="1701" w:hanging="567"/>
      </w:pPr>
      <w:r>
        <w:t xml:space="preserve">whose </w:t>
      </w:r>
      <w:r w:rsidRPr="002B20B5">
        <w:t>Subclass 500 visa or Subclass 590 visa</w:t>
      </w:r>
      <w:r>
        <w:t xml:space="preserve"> was cancelled under paragraph 116(1)(e) of the Act as a result of the risk, in relation to a relevant PHEIC, to the health, safety or good order the Australian community, </w:t>
      </w:r>
      <w:r w:rsidRPr="003A1C87">
        <w:t>or a segm</w:t>
      </w:r>
      <w:r>
        <w:t xml:space="preserve">ent of the Australian community; and </w:t>
      </w:r>
    </w:p>
    <w:p w14:paraId="1C55CB0B" w14:textId="77777777" w:rsidR="007D7D63" w:rsidRPr="001546BB" w:rsidRDefault="007D7D63" w:rsidP="007D7D63">
      <w:pPr>
        <w:pStyle w:val="Definition"/>
        <w:numPr>
          <w:ilvl w:val="0"/>
          <w:numId w:val="25"/>
        </w:numPr>
        <w:spacing w:before="120" w:line="276" w:lineRule="auto"/>
        <w:ind w:left="1701" w:hanging="567"/>
      </w:pPr>
      <w:r>
        <w:t xml:space="preserve">who is seeking to apply for a </w:t>
      </w:r>
      <w:r w:rsidRPr="00B04970">
        <w:t>Subclass 500 visa or Subclass 590 visa</w:t>
      </w:r>
      <w:r>
        <w:rPr>
          <w:b/>
          <w:i/>
        </w:rPr>
        <w:t xml:space="preserve"> </w:t>
      </w:r>
      <w:r>
        <w:t>.</w:t>
      </w:r>
    </w:p>
    <w:p w14:paraId="4EB1F202" w14:textId="14602499" w:rsidR="00554826" w:rsidRPr="003F4A3D" w:rsidRDefault="00D42CAB" w:rsidP="00554826">
      <w:pPr>
        <w:pStyle w:val="Definition"/>
      </w:pPr>
      <w:r>
        <w:rPr>
          <w:b/>
          <w:i/>
        </w:rPr>
        <w:t xml:space="preserve">Regulations </w:t>
      </w:r>
      <w:r w:rsidR="00554826" w:rsidRPr="009C2562">
        <w:t xml:space="preserve">means the </w:t>
      </w:r>
      <w:r w:rsidRPr="00D42CAB">
        <w:rPr>
          <w:i/>
        </w:rPr>
        <w:t>Migration Regulations 1994</w:t>
      </w:r>
      <w:r w:rsidR="003F4A3D">
        <w:t>.</w:t>
      </w:r>
    </w:p>
    <w:p w14:paraId="55F01221" w14:textId="2485D945" w:rsidR="003F4A3D" w:rsidRPr="002B20B5" w:rsidRDefault="003F4A3D" w:rsidP="003F4A3D">
      <w:pPr>
        <w:pStyle w:val="Definition"/>
        <w:spacing w:line="276" w:lineRule="auto"/>
      </w:pPr>
      <w:r>
        <w:rPr>
          <w:b/>
          <w:i/>
        </w:rPr>
        <w:lastRenderedPageBreak/>
        <w:t xml:space="preserve">relevant </w:t>
      </w:r>
      <w:r w:rsidRPr="00B55CC9">
        <w:rPr>
          <w:b/>
          <w:i/>
          <w:lang w:val="en"/>
        </w:rPr>
        <w:t>PHEIC</w:t>
      </w:r>
      <w:r>
        <w:rPr>
          <w:b/>
          <w:i/>
          <w:lang w:val="en"/>
        </w:rPr>
        <w:t xml:space="preserve"> </w:t>
      </w:r>
      <w:r>
        <w:rPr>
          <w:lang w:val="en"/>
        </w:rPr>
        <w:t xml:space="preserve">means the PHEIC on the basis of which a subsequent applicant’s </w:t>
      </w:r>
      <w:r w:rsidR="00D46DFF" w:rsidRPr="002B20B5">
        <w:t xml:space="preserve">Subclass 500 visa or Subclass 590 </w:t>
      </w:r>
      <w:r>
        <w:rPr>
          <w:lang w:val="en"/>
        </w:rPr>
        <w:t>visa was cancelled</w:t>
      </w:r>
      <w:r w:rsidR="001546BB">
        <w:rPr>
          <w:lang w:val="en"/>
        </w:rPr>
        <w:t>.</w:t>
      </w:r>
    </w:p>
    <w:p w14:paraId="1B9E0B8C" w14:textId="77777777" w:rsidR="00554826" w:rsidRPr="00554826" w:rsidRDefault="00554826" w:rsidP="00554826">
      <w:pPr>
        <w:pStyle w:val="ActHead5"/>
      </w:pPr>
      <w:bookmarkStart w:id="9" w:name="_Toc454781205"/>
      <w:bookmarkStart w:id="10" w:name="_Toc32909057"/>
      <w:r w:rsidRPr="00554826">
        <w:t>5  Schedules</w:t>
      </w:r>
      <w:bookmarkEnd w:id="9"/>
      <w:bookmarkEnd w:id="10"/>
    </w:p>
    <w:p w14:paraId="192DC504" w14:textId="77777777" w:rsidR="00554826" w:rsidRDefault="00593FA6" w:rsidP="00593FA6">
      <w:pPr>
        <w:pStyle w:val="subsection"/>
        <w:tabs>
          <w:tab w:val="clear" w:pos="1021"/>
          <w:tab w:val="right" w:pos="1134"/>
        </w:tabs>
        <w:ind w:firstLine="0"/>
      </w:pPr>
      <w:r>
        <w:t>The</w:t>
      </w:r>
      <w:r w:rsidR="00554826" w:rsidRPr="006065DA">
        <w:t xml:space="preserve"> instrument specified in Schedule</w:t>
      </w:r>
      <w:r>
        <w:t xml:space="preserve"> 2</w:t>
      </w:r>
      <w:r w:rsidR="00554826" w:rsidRPr="006065DA">
        <w:t xml:space="preserve"> to this instrument is repealed as set out in the applicable items in the Schedule concerned, and any other item in a Schedule to this instrument has effect according to its terms.</w:t>
      </w:r>
    </w:p>
    <w:p w14:paraId="0BEBE50D" w14:textId="77777777" w:rsidR="00801D25" w:rsidRDefault="00801D25">
      <w:pPr>
        <w:spacing w:line="240" w:lineRule="auto"/>
        <w:rPr>
          <w:rFonts w:eastAsia="Times New Roman" w:cs="Times New Roman"/>
          <w:lang w:eastAsia="en-AU"/>
        </w:rPr>
      </w:pPr>
      <w:r>
        <w:br w:type="page"/>
      </w:r>
    </w:p>
    <w:p w14:paraId="0591ECBB" w14:textId="4C1FC859" w:rsidR="00F2159A" w:rsidRPr="00F76CCC" w:rsidRDefault="00F2159A" w:rsidP="00F2159A">
      <w:pPr>
        <w:pStyle w:val="ActHead6"/>
        <w:rPr>
          <w:rStyle w:val="CharSectno"/>
          <w:rFonts w:ascii="Times New Roman" w:hAnsi="Times New Roman"/>
          <w:szCs w:val="32"/>
        </w:rPr>
      </w:pPr>
      <w:bookmarkStart w:id="11" w:name="_Toc31810987"/>
      <w:bookmarkStart w:id="12" w:name="_Toc32909058"/>
      <w:r w:rsidRPr="00F76CCC">
        <w:rPr>
          <w:rFonts w:ascii="Times New Roman" w:hAnsi="Times New Roman"/>
        </w:rPr>
        <w:lastRenderedPageBreak/>
        <w:t>Part 2</w:t>
      </w:r>
      <w:r>
        <w:rPr>
          <w:rFonts w:ascii="Times New Roman" w:hAnsi="Times New Roman"/>
        </w:rPr>
        <w:t>—Arrangements for the Class TU visa</w:t>
      </w:r>
      <w:bookmarkEnd w:id="11"/>
      <w:bookmarkEnd w:id="12"/>
    </w:p>
    <w:p w14:paraId="73BED8D8" w14:textId="63DC972D" w:rsidR="00554826" w:rsidRPr="00801D25" w:rsidRDefault="00554826" w:rsidP="00554826">
      <w:pPr>
        <w:pStyle w:val="ActHead5"/>
      </w:pPr>
      <w:bookmarkStart w:id="13" w:name="_Toc32909059"/>
      <w:r w:rsidRPr="00801D25">
        <w:t xml:space="preserve">6  </w:t>
      </w:r>
      <w:r w:rsidR="00593FA6" w:rsidRPr="00801D25">
        <w:t>Form and manner of making visa applications</w:t>
      </w:r>
      <w:bookmarkEnd w:id="13"/>
    </w:p>
    <w:p w14:paraId="7B91CE5A" w14:textId="77777777" w:rsidR="00801D25" w:rsidRPr="00801D25" w:rsidRDefault="00801D25" w:rsidP="00FA07A1">
      <w:pPr>
        <w:pStyle w:val="subsection"/>
        <w:numPr>
          <w:ilvl w:val="0"/>
          <w:numId w:val="15"/>
        </w:numPr>
        <w:tabs>
          <w:tab w:val="clear" w:pos="1021"/>
          <w:tab w:val="left" w:pos="1134"/>
        </w:tabs>
        <w:ind w:left="1140" w:hanging="573"/>
      </w:pPr>
      <w:r w:rsidRPr="00801D25">
        <w:t>This section:</w:t>
      </w:r>
    </w:p>
    <w:p w14:paraId="23A64483" w14:textId="77777777" w:rsidR="00801D25" w:rsidRPr="00801D25" w:rsidRDefault="00801D25" w:rsidP="00FA07A1">
      <w:pPr>
        <w:pStyle w:val="subsection"/>
        <w:numPr>
          <w:ilvl w:val="0"/>
          <w:numId w:val="16"/>
        </w:numPr>
        <w:tabs>
          <w:tab w:val="clear" w:pos="1021"/>
        </w:tabs>
        <w:spacing w:before="120"/>
        <w:ind w:left="1701" w:hanging="567"/>
      </w:pPr>
      <w:r w:rsidRPr="00801D25">
        <w:t xml:space="preserve">is made for the purposes of item 1222 of Schedule 1 to the Regulations; and </w:t>
      </w:r>
    </w:p>
    <w:p w14:paraId="3C9F2C22" w14:textId="77777777" w:rsidR="00801D25" w:rsidRPr="00801D25" w:rsidRDefault="00801D25" w:rsidP="00FA07A1">
      <w:pPr>
        <w:pStyle w:val="subsection"/>
        <w:numPr>
          <w:ilvl w:val="0"/>
          <w:numId w:val="16"/>
        </w:numPr>
        <w:tabs>
          <w:tab w:val="clear" w:pos="1021"/>
        </w:tabs>
        <w:spacing w:before="120"/>
        <w:ind w:left="1701" w:hanging="567"/>
      </w:pPr>
      <w:r w:rsidRPr="00801D25">
        <w:t>applies to an application for a Class TU visa.:</w:t>
      </w:r>
    </w:p>
    <w:p w14:paraId="416CE653" w14:textId="16EF775F" w:rsidR="005978B1" w:rsidRDefault="00801D25" w:rsidP="00FA07A1">
      <w:pPr>
        <w:pStyle w:val="subsection"/>
        <w:numPr>
          <w:ilvl w:val="0"/>
          <w:numId w:val="15"/>
        </w:numPr>
        <w:tabs>
          <w:tab w:val="clear" w:pos="1021"/>
          <w:tab w:val="left" w:pos="1134"/>
        </w:tabs>
        <w:spacing w:after="120"/>
        <w:ind w:left="1140" w:hanging="573"/>
      </w:pPr>
      <w:r w:rsidRPr="00801D25">
        <w:t xml:space="preserve">The approved internet form </w:t>
      </w:r>
      <w:r w:rsidR="009617B4">
        <w:t xml:space="preserve">is </w:t>
      </w:r>
      <w:r w:rsidR="00FA07A1">
        <w:t>specified in Column 3</w:t>
      </w:r>
      <w:r w:rsidR="00FA07A1" w:rsidRPr="00FA07A1">
        <w:t xml:space="preserve"> </w:t>
      </w:r>
      <w:r w:rsidR="00FA07A1">
        <w:t xml:space="preserve">of the table in Schedule 1 </w:t>
      </w:r>
      <w:r w:rsidRPr="00801D25">
        <w:t xml:space="preserve">for </w:t>
      </w:r>
      <w:r w:rsidR="00FA07A1">
        <w:t xml:space="preserve">the applicants mentioned in Column 2 of the table for that item, who are </w:t>
      </w:r>
      <w:r w:rsidRPr="00801D25">
        <w:t xml:space="preserve">making </w:t>
      </w:r>
      <w:r w:rsidR="005978B1">
        <w:t xml:space="preserve">an application for the </w:t>
      </w:r>
      <w:r w:rsidR="00FA07A1">
        <w:t>visas mentioned in Column 1 of the table for that item.</w:t>
      </w:r>
    </w:p>
    <w:p w14:paraId="09CCCD0E" w14:textId="77777777" w:rsidR="00801D25" w:rsidRDefault="00801D25" w:rsidP="00FA07A1">
      <w:pPr>
        <w:pStyle w:val="subsection"/>
        <w:tabs>
          <w:tab w:val="clear" w:pos="1021"/>
          <w:tab w:val="left" w:pos="1137"/>
        </w:tabs>
        <w:spacing w:before="240"/>
        <w:ind w:left="1140" w:firstLine="0"/>
        <w:rPr>
          <w:i/>
        </w:rPr>
      </w:pPr>
      <w:r w:rsidRPr="00801D25">
        <w:rPr>
          <w:i/>
        </w:rPr>
        <w:t>Different way of making visa applications</w:t>
      </w:r>
    </w:p>
    <w:p w14:paraId="10E34FD4" w14:textId="4EB87157" w:rsidR="00721FD3" w:rsidRDefault="005978B1" w:rsidP="00721FD3">
      <w:pPr>
        <w:pStyle w:val="paragraph"/>
        <w:numPr>
          <w:ilvl w:val="0"/>
          <w:numId w:val="15"/>
        </w:numPr>
        <w:tabs>
          <w:tab w:val="clear" w:pos="1531"/>
        </w:tabs>
        <w:spacing w:before="180"/>
      </w:pPr>
      <w:r>
        <w:t>Subject to subsection (4)</w:t>
      </w:r>
      <w:r w:rsidR="003F4AC8">
        <w:t xml:space="preserve"> or subsection (5)</w:t>
      </w:r>
      <w:r>
        <w:t>, a</w:t>
      </w:r>
      <w:r w:rsidR="00801D25">
        <w:t xml:space="preserve"> visa application may be made other tha</w:t>
      </w:r>
      <w:r w:rsidR="00721FD3">
        <w:t xml:space="preserve">n as an internet application if </w:t>
      </w:r>
      <w:r>
        <w:t>a departmental email is sent by</w:t>
      </w:r>
      <w:r w:rsidR="00E457BA">
        <w:t xml:space="preserve"> an authorised officer of</w:t>
      </w:r>
      <w:r>
        <w:t xml:space="preserve"> the department</w:t>
      </w:r>
      <w:r w:rsidR="00721FD3">
        <w:t xml:space="preserve"> and that email</w:t>
      </w:r>
      <w:r w:rsidR="00FA07A1">
        <w:t xml:space="preserve"> (the </w:t>
      </w:r>
      <w:r w:rsidR="00FA07A1" w:rsidRPr="00FA07A1">
        <w:rPr>
          <w:i/>
        </w:rPr>
        <w:t>authorising email</w:t>
      </w:r>
      <w:r w:rsidR="00FA07A1">
        <w:t>)</w:t>
      </w:r>
      <w:r w:rsidR="00721FD3">
        <w:t>:</w:t>
      </w:r>
    </w:p>
    <w:p w14:paraId="7B7A4543" w14:textId="77777777" w:rsidR="00721FD3" w:rsidRDefault="005978B1" w:rsidP="00FA07A1">
      <w:pPr>
        <w:pStyle w:val="paragraph"/>
        <w:numPr>
          <w:ilvl w:val="0"/>
          <w:numId w:val="18"/>
        </w:numPr>
        <w:tabs>
          <w:tab w:val="clear" w:pos="1531"/>
        </w:tabs>
        <w:spacing w:before="120"/>
        <w:ind w:left="1701" w:hanging="567"/>
      </w:pPr>
      <w:r>
        <w:t>authoris</w:t>
      </w:r>
      <w:r w:rsidR="00721FD3">
        <w:t>es</w:t>
      </w:r>
      <w:r>
        <w:t xml:space="preserve"> the u</w:t>
      </w:r>
      <w:r w:rsidR="004E5230">
        <w:t>se of</w:t>
      </w:r>
      <w:r w:rsidR="00721FD3">
        <w:t xml:space="preserve"> non-internet form</w:t>
      </w:r>
      <w:r w:rsidR="004E5230">
        <w:t>s specified in Column 4</w:t>
      </w:r>
      <w:r w:rsidR="004E5230" w:rsidRPr="00FA07A1">
        <w:t xml:space="preserve"> </w:t>
      </w:r>
      <w:r w:rsidR="004E5230">
        <w:t xml:space="preserve">of the table in Schedule 1 </w:t>
      </w:r>
      <w:r w:rsidR="004E5230" w:rsidRPr="00801D25">
        <w:t xml:space="preserve">for </w:t>
      </w:r>
      <w:r w:rsidR="004E5230">
        <w:t xml:space="preserve">an applicant mentioned in Column 2 of the table for that item, who are </w:t>
      </w:r>
      <w:r w:rsidR="004E5230" w:rsidRPr="00801D25">
        <w:t xml:space="preserve">making </w:t>
      </w:r>
      <w:r w:rsidR="004E5230">
        <w:t>an application for the visa mentioned in Column 1 of the table for that item</w:t>
      </w:r>
      <w:r w:rsidR="004E5230" w:rsidRPr="004E5230">
        <w:t xml:space="preserve"> </w:t>
      </w:r>
      <w:r w:rsidR="00721FD3">
        <w:t xml:space="preserve">; and </w:t>
      </w:r>
    </w:p>
    <w:p w14:paraId="1CC025F6" w14:textId="77777777" w:rsidR="005978B1" w:rsidRDefault="00721FD3" w:rsidP="00FA07A1">
      <w:pPr>
        <w:pStyle w:val="paragraph"/>
        <w:numPr>
          <w:ilvl w:val="0"/>
          <w:numId w:val="18"/>
        </w:numPr>
        <w:tabs>
          <w:tab w:val="clear" w:pos="1531"/>
        </w:tabs>
        <w:spacing w:before="120" w:after="120"/>
        <w:ind w:left="1701" w:hanging="567"/>
      </w:pPr>
      <w:r>
        <w:t xml:space="preserve">includes </w:t>
      </w:r>
      <w:r w:rsidR="005978B1">
        <w:t xml:space="preserve">the </w:t>
      </w:r>
      <w:r w:rsidR="00EE69DA" w:rsidRPr="00801D25">
        <w:t xml:space="preserve">approved </w:t>
      </w:r>
      <w:r w:rsidR="00EE69DA">
        <w:t>non-</w:t>
      </w:r>
      <w:r w:rsidR="00EE69DA" w:rsidRPr="00801D25">
        <w:t>internet form</w:t>
      </w:r>
      <w:r w:rsidR="004E5230">
        <w:t>s mentioned in paragraph (a)</w:t>
      </w:r>
      <w:r w:rsidR="00EE69DA">
        <w:t>.</w:t>
      </w:r>
    </w:p>
    <w:p w14:paraId="127D0358" w14:textId="712AA5FE" w:rsidR="00FA07A1" w:rsidRDefault="00E457BA" w:rsidP="00D34057">
      <w:pPr>
        <w:pStyle w:val="paragraph"/>
        <w:numPr>
          <w:ilvl w:val="0"/>
          <w:numId w:val="15"/>
        </w:numPr>
        <w:tabs>
          <w:tab w:val="clear" w:pos="1531"/>
        </w:tabs>
        <w:spacing w:before="240"/>
        <w:ind w:left="1140" w:hanging="573"/>
      </w:pPr>
      <w:r>
        <w:t>Subject to subsection (5), i</w:t>
      </w:r>
      <w:r w:rsidR="004E5230">
        <w:t xml:space="preserve">f the visa application is </w:t>
      </w:r>
      <w:r w:rsidR="00721FD3">
        <w:t>made other than as an internet application</w:t>
      </w:r>
      <w:r w:rsidR="00FA07A1">
        <w:t>:</w:t>
      </w:r>
    </w:p>
    <w:p w14:paraId="60F60A8D" w14:textId="77777777" w:rsidR="00721FD3" w:rsidRDefault="00721FD3" w:rsidP="00FA07A1">
      <w:pPr>
        <w:pStyle w:val="paragraph"/>
        <w:numPr>
          <w:ilvl w:val="0"/>
          <w:numId w:val="19"/>
        </w:numPr>
        <w:tabs>
          <w:tab w:val="clear" w:pos="1531"/>
        </w:tabs>
        <w:spacing w:before="120"/>
        <w:ind w:left="1701" w:hanging="567"/>
      </w:pPr>
      <w:r>
        <w:t xml:space="preserve">the applicant must submit the </w:t>
      </w:r>
      <w:r w:rsidR="004E5230">
        <w:t xml:space="preserve">approved </w:t>
      </w:r>
      <w:r>
        <w:t xml:space="preserve">form according to the directions specified in the </w:t>
      </w:r>
      <w:r w:rsidR="00FA07A1">
        <w:t xml:space="preserve">authorising </w:t>
      </w:r>
      <w:r>
        <w:t>email</w:t>
      </w:r>
      <w:r w:rsidR="00FA07A1">
        <w:t>; and</w:t>
      </w:r>
    </w:p>
    <w:p w14:paraId="59FFBD48" w14:textId="77777777" w:rsidR="00FA07A1" w:rsidRDefault="00FA07A1" w:rsidP="00FA07A1">
      <w:pPr>
        <w:pStyle w:val="paragraph"/>
        <w:numPr>
          <w:ilvl w:val="0"/>
          <w:numId w:val="19"/>
        </w:numPr>
        <w:tabs>
          <w:tab w:val="clear" w:pos="1531"/>
        </w:tabs>
        <w:spacing w:before="120"/>
        <w:ind w:left="1701" w:hanging="567"/>
      </w:pPr>
      <w:r>
        <w:t>a copy of the authorising email must be attached to the application; and</w:t>
      </w:r>
    </w:p>
    <w:p w14:paraId="430D48E0" w14:textId="77777777" w:rsidR="00FA07A1" w:rsidRDefault="00FA07A1" w:rsidP="00FA07A1">
      <w:pPr>
        <w:pStyle w:val="paragraph"/>
        <w:numPr>
          <w:ilvl w:val="0"/>
          <w:numId w:val="19"/>
        </w:numPr>
        <w:tabs>
          <w:tab w:val="clear" w:pos="1531"/>
        </w:tabs>
        <w:spacing w:before="120"/>
        <w:ind w:left="1701" w:hanging="567"/>
      </w:pPr>
      <w:r>
        <w:t>the application must be submitted before midnight (AEST or AESDT when applicable) on the day following the date on which the authorising email was sent by an officer of the Department; and</w:t>
      </w:r>
    </w:p>
    <w:p w14:paraId="6FB18B6B" w14:textId="77777777" w:rsidR="00FA07A1" w:rsidRPr="00B25306" w:rsidRDefault="00FA07A1" w:rsidP="00FA07A1">
      <w:pPr>
        <w:pStyle w:val="paragraph"/>
        <w:numPr>
          <w:ilvl w:val="0"/>
          <w:numId w:val="19"/>
        </w:numPr>
        <w:tabs>
          <w:tab w:val="clear" w:pos="1531"/>
        </w:tabs>
        <w:spacing w:before="120"/>
        <w:ind w:left="1701" w:hanging="567"/>
      </w:pPr>
      <w:r>
        <w:t xml:space="preserve">if the applicant is outside Australia, </w:t>
      </w:r>
      <w:r w:rsidRPr="00FA07A1">
        <w:t>the authorised application may also be made at a diplomatic, consular or migration office maintained by or on behalf of the Commonwealth outside Australia.</w:t>
      </w:r>
    </w:p>
    <w:p w14:paraId="33BCF0ED" w14:textId="77777777" w:rsidR="00A5217C" w:rsidRDefault="00A5217C" w:rsidP="00D34057">
      <w:pPr>
        <w:pStyle w:val="paragraphsub"/>
        <w:numPr>
          <w:ilvl w:val="0"/>
          <w:numId w:val="15"/>
        </w:numPr>
        <w:spacing w:before="240"/>
        <w:ind w:left="1140" w:hanging="573"/>
      </w:pPr>
      <w:r>
        <w:t>If the visa application is made by an applicant mentioned in item 4 of the table in Schedule 1:</w:t>
      </w:r>
    </w:p>
    <w:p w14:paraId="72737BF3" w14:textId="77777777" w:rsidR="00A5217C" w:rsidRDefault="00A5217C" w:rsidP="00A5217C">
      <w:pPr>
        <w:pStyle w:val="paragraph"/>
        <w:numPr>
          <w:ilvl w:val="0"/>
          <w:numId w:val="27"/>
        </w:numPr>
        <w:tabs>
          <w:tab w:val="clear" w:pos="1531"/>
        </w:tabs>
        <w:spacing w:before="120"/>
        <w:ind w:left="1701" w:hanging="567"/>
      </w:pPr>
      <w:r>
        <w:t>the applicant must submit the approved form according to the directions specified in the authorising email; and</w:t>
      </w:r>
    </w:p>
    <w:p w14:paraId="3E5EB994" w14:textId="747A2BE5" w:rsidR="00554826" w:rsidRDefault="00A5217C" w:rsidP="00A5217C">
      <w:pPr>
        <w:pStyle w:val="paragraph"/>
        <w:numPr>
          <w:ilvl w:val="0"/>
          <w:numId w:val="27"/>
        </w:numPr>
        <w:tabs>
          <w:tab w:val="clear" w:pos="1531"/>
        </w:tabs>
        <w:spacing w:before="120"/>
        <w:ind w:left="1701" w:hanging="567"/>
      </w:pPr>
      <w:r>
        <w:t>a copy of the authorising email must be attached to the application.</w:t>
      </w:r>
      <w:r w:rsidR="00554826">
        <w:br w:type="page"/>
      </w:r>
    </w:p>
    <w:p w14:paraId="53023E54" w14:textId="77777777" w:rsidR="00D6537E" w:rsidRDefault="004E1307" w:rsidP="00D6537E">
      <w:pPr>
        <w:pStyle w:val="ActHead6"/>
      </w:pPr>
      <w:bookmarkStart w:id="14" w:name="_Toc32909060"/>
      <w:r>
        <w:lastRenderedPageBreak/>
        <w:t xml:space="preserve">Schedule </w:t>
      </w:r>
      <w:r w:rsidR="00D6537E" w:rsidRPr="004E1307">
        <w:t>1—</w:t>
      </w:r>
      <w:r w:rsidR="00EE69DA">
        <w:t>Forms required for applications to be made for Class TU visas.</w:t>
      </w:r>
      <w:bookmarkEnd w:id="14"/>
    </w:p>
    <w:p w14:paraId="181DF502" w14:textId="77777777" w:rsidR="00EE69DA" w:rsidRPr="00EE69DA" w:rsidRDefault="00EE69DA" w:rsidP="00EE69DA">
      <w:pPr>
        <w:pStyle w:val="ActHead7"/>
        <w:ind w:left="0" w:firstLine="0"/>
        <w:rPr>
          <w:sz w:val="20"/>
        </w:rPr>
      </w:pPr>
    </w:p>
    <w:tbl>
      <w:tblPr>
        <w:tblW w:w="907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838"/>
        <w:gridCol w:w="2268"/>
        <w:gridCol w:w="1843"/>
        <w:gridCol w:w="2410"/>
      </w:tblGrid>
      <w:tr w:rsidR="00EE69DA" w:rsidRPr="00883023" w14:paraId="382DB74B" w14:textId="77777777" w:rsidTr="00EE69DA">
        <w:trPr>
          <w:tblHeader/>
        </w:trPr>
        <w:tc>
          <w:tcPr>
            <w:tcW w:w="9073" w:type="dxa"/>
            <w:gridSpan w:val="5"/>
            <w:tcBorders>
              <w:top w:val="single" w:sz="12" w:space="0" w:color="auto"/>
              <w:bottom w:val="single" w:sz="6" w:space="0" w:color="auto"/>
            </w:tcBorders>
          </w:tcPr>
          <w:p w14:paraId="504D150F" w14:textId="77777777" w:rsidR="00EE69DA" w:rsidRPr="00883023" w:rsidRDefault="00EE69DA" w:rsidP="00EE69DA">
            <w:pPr>
              <w:pStyle w:val="TableHeading"/>
            </w:pPr>
            <w:r>
              <w:t>Approved Forms</w:t>
            </w:r>
          </w:p>
        </w:tc>
      </w:tr>
      <w:tr w:rsidR="00EE69DA" w:rsidRPr="00883023" w14:paraId="281AE95B" w14:textId="77777777" w:rsidTr="00EE69DA">
        <w:trPr>
          <w:tblHeader/>
        </w:trPr>
        <w:tc>
          <w:tcPr>
            <w:tcW w:w="714" w:type="dxa"/>
            <w:tcBorders>
              <w:top w:val="single" w:sz="6" w:space="0" w:color="auto"/>
              <w:bottom w:val="single" w:sz="12" w:space="0" w:color="auto"/>
            </w:tcBorders>
            <w:shd w:val="clear" w:color="auto" w:fill="auto"/>
          </w:tcPr>
          <w:p w14:paraId="4CDD7FBA" w14:textId="77777777" w:rsidR="00EE69DA" w:rsidRPr="00883023" w:rsidRDefault="00EE69DA" w:rsidP="00DA001D">
            <w:pPr>
              <w:pStyle w:val="TableHeading"/>
            </w:pPr>
          </w:p>
          <w:p w14:paraId="6879E759" w14:textId="77777777" w:rsidR="00EE69DA" w:rsidRPr="00883023" w:rsidRDefault="00EE69DA" w:rsidP="00DA001D">
            <w:pPr>
              <w:pStyle w:val="TableHeading"/>
            </w:pPr>
            <w:r w:rsidRPr="00883023">
              <w:t>Item</w:t>
            </w:r>
          </w:p>
        </w:tc>
        <w:tc>
          <w:tcPr>
            <w:tcW w:w="1838" w:type="dxa"/>
            <w:tcBorders>
              <w:top w:val="single" w:sz="6" w:space="0" w:color="auto"/>
              <w:bottom w:val="single" w:sz="12" w:space="0" w:color="auto"/>
            </w:tcBorders>
            <w:shd w:val="clear" w:color="auto" w:fill="auto"/>
          </w:tcPr>
          <w:p w14:paraId="27AD26F0" w14:textId="77777777" w:rsidR="00EE69DA" w:rsidRPr="00883023" w:rsidRDefault="00EE69DA" w:rsidP="00DA001D">
            <w:pPr>
              <w:pStyle w:val="TableHeading"/>
            </w:pPr>
            <w:r w:rsidRPr="00883023">
              <w:t>Column 1</w:t>
            </w:r>
          </w:p>
          <w:p w14:paraId="38BB845A" w14:textId="77777777" w:rsidR="00EE69DA" w:rsidRPr="00883023" w:rsidRDefault="00EE69DA" w:rsidP="00DA001D">
            <w:pPr>
              <w:pStyle w:val="TableHeading"/>
            </w:pPr>
            <w:r>
              <w:t>Subclass of visa</w:t>
            </w:r>
          </w:p>
        </w:tc>
        <w:tc>
          <w:tcPr>
            <w:tcW w:w="2268" w:type="dxa"/>
            <w:tcBorders>
              <w:top w:val="single" w:sz="6" w:space="0" w:color="auto"/>
              <w:bottom w:val="single" w:sz="12" w:space="0" w:color="auto"/>
            </w:tcBorders>
          </w:tcPr>
          <w:p w14:paraId="0CD14F42" w14:textId="77777777" w:rsidR="00EE69DA" w:rsidRDefault="00EE69DA" w:rsidP="00DA001D">
            <w:pPr>
              <w:pStyle w:val="TableHeading"/>
            </w:pPr>
            <w:r>
              <w:t>Column 2</w:t>
            </w:r>
          </w:p>
          <w:p w14:paraId="54DA534B" w14:textId="77777777" w:rsidR="00EE69DA" w:rsidRPr="00EE69DA" w:rsidRDefault="00EE69DA" w:rsidP="00EE69DA">
            <w:pPr>
              <w:pStyle w:val="Tabletext"/>
              <w:rPr>
                <w:b/>
              </w:rPr>
            </w:pPr>
            <w:r w:rsidRPr="00EE69DA">
              <w:rPr>
                <w:b/>
              </w:rPr>
              <w:t>Applicant</w:t>
            </w:r>
          </w:p>
        </w:tc>
        <w:tc>
          <w:tcPr>
            <w:tcW w:w="1843" w:type="dxa"/>
            <w:tcBorders>
              <w:top w:val="single" w:sz="6" w:space="0" w:color="auto"/>
              <w:bottom w:val="single" w:sz="12" w:space="0" w:color="auto"/>
            </w:tcBorders>
          </w:tcPr>
          <w:p w14:paraId="56BA468D" w14:textId="77777777" w:rsidR="00EE69DA" w:rsidRPr="00EE69DA" w:rsidRDefault="00EE69DA" w:rsidP="00DA001D">
            <w:pPr>
              <w:pStyle w:val="TableHeading"/>
            </w:pPr>
            <w:r>
              <w:t>Column 3</w:t>
            </w:r>
          </w:p>
          <w:p w14:paraId="4331750D" w14:textId="77777777" w:rsidR="00EE69DA" w:rsidRPr="00EE69DA" w:rsidRDefault="00EE69DA" w:rsidP="00EE69DA">
            <w:pPr>
              <w:pStyle w:val="Tabletext"/>
              <w:rPr>
                <w:b/>
              </w:rPr>
            </w:pPr>
            <w:r w:rsidRPr="00EE69DA">
              <w:rPr>
                <w:b/>
              </w:rPr>
              <w:t>Approved Internet Forms</w:t>
            </w:r>
          </w:p>
        </w:tc>
        <w:tc>
          <w:tcPr>
            <w:tcW w:w="2410" w:type="dxa"/>
            <w:tcBorders>
              <w:top w:val="single" w:sz="6" w:space="0" w:color="auto"/>
              <w:bottom w:val="single" w:sz="12" w:space="0" w:color="auto"/>
            </w:tcBorders>
            <w:shd w:val="clear" w:color="auto" w:fill="auto"/>
          </w:tcPr>
          <w:p w14:paraId="5B6447CA" w14:textId="77777777" w:rsidR="00EE69DA" w:rsidRPr="00883023" w:rsidRDefault="00EE69DA" w:rsidP="00DA001D">
            <w:pPr>
              <w:pStyle w:val="TableHeading"/>
            </w:pPr>
            <w:r w:rsidRPr="00883023">
              <w:t xml:space="preserve">Column </w:t>
            </w:r>
            <w:r>
              <w:t>4</w:t>
            </w:r>
          </w:p>
          <w:p w14:paraId="312308F2" w14:textId="77777777" w:rsidR="00EE69DA" w:rsidRPr="00883023" w:rsidRDefault="00EE69DA" w:rsidP="00DA001D">
            <w:pPr>
              <w:pStyle w:val="TableHeading"/>
            </w:pPr>
            <w:r>
              <w:t>Approved Non - Internet Forms</w:t>
            </w:r>
          </w:p>
        </w:tc>
      </w:tr>
      <w:tr w:rsidR="00EE69DA" w:rsidRPr="00883023" w14:paraId="4175056D" w14:textId="77777777" w:rsidTr="00EE69DA">
        <w:tc>
          <w:tcPr>
            <w:tcW w:w="714" w:type="dxa"/>
            <w:tcBorders>
              <w:top w:val="single" w:sz="12" w:space="0" w:color="auto"/>
              <w:bottom w:val="single" w:sz="2" w:space="0" w:color="auto"/>
            </w:tcBorders>
            <w:shd w:val="clear" w:color="auto" w:fill="auto"/>
          </w:tcPr>
          <w:p w14:paraId="2B771FCD" w14:textId="77777777" w:rsidR="00EE69DA" w:rsidRPr="00883023" w:rsidRDefault="00EE69DA" w:rsidP="00DA001D">
            <w:pPr>
              <w:pStyle w:val="Tabletext"/>
            </w:pPr>
            <w:r w:rsidRPr="00883023">
              <w:t>1</w:t>
            </w:r>
          </w:p>
        </w:tc>
        <w:tc>
          <w:tcPr>
            <w:tcW w:w="1838" w:type="dxa"/>
            <w:tcBorders>
              <w:top w:val="single" w:sz="12" w:space="0" w:color="auto"/>
              <w:bottom w:val="single" w:sz="2" w:space="0" w:color="auto"/>
            </w:tcBorders>
            <w:shd w:val="clear" w:color="auto" w:fill="auto"/>
          </w:tcPr>
          <w:p w14:paraId="140BC9DA" w14:textId="77777777" w:rsidR="00EE69DA" w:rsidRPr="00883023" w:rsidRDefault="00EE69DA" w:rsidP="00DA001D">
            <w:pPr>
              <w:pStyle w:val="Tabletext"/>
            </w:pPr>
            <w:r>
              <w:t xml:space="preserve">Subclass 500 (Student) </w:t>
            </w:r>
          </w:p>
        </w:tc>
        <w:tc>
          <w:tcPr>
            <w:tcW w:w="2268" w:type="dxa"/>
            <w:tcBorders>
              <w:top w:val="single" w:sz="12" w:space="0" w:color="auto"/>
              <w:bottom w:val="single" w:sz="2" w:space="0" w:color="auto"/>
            </w:tcBorders>
          </w:tcPr>
          <w:p w14:paraId="234B6386" w14:textId="77777777" w:rsidR="00EE69DA" w:rsidRDefault="00EE69DA" w:rsidP="00DA001D">
            <w:pPr>
              <w:pStyle w:val="Tabletext"/>
            </w:pPr>
            <w:r>
              <w:t>An Applicant who:</w:t>
            </w:r>
          </w:p>
          <w:p w14:paraId="1E35CF6B" w14:textId="0868B9EB" w:rsidR="00EE69DA" w:rsidRDefault="00EE69DA" w:rsidP="00EE69DA">
            <w:pPr>
              <w:pStyle w:val="Tabletext"/>
            </w:pPr>
            <w:r w:rsidRPr="00EE69DA">
              <w:t>(a</w:t>
            </w:r>
            <w:r>
              <w:t xml:space="preserve">) at the time of </w:t>
            </w:r>
            <w:r w:rsidR="003B3D9C">
              <w:t>application</w:t>
            </w:r>
            <w:r>
              <w:t xml:space="preserve"> is under 18 years of Age; and</w:t>
            </w:r>
          </w:p>
          <w:p w14:paraId="1162F724" w14:textId="77777777" w:rsidR="00EE69DA" w:rsidRDefault="00EE69DA" w:rsidP="00EE69DA">
            <w:pPr>
              <w:pStyle w:val="Tabletext"/>
            </w:pPr>
            <w:r>
              <w:t>(b) intends to reside with a parent, a person who has custody of the applicant, or a suitable relative</w:t>
            </w:r>
          </w:p>
        </w:tc>
        <w:tc>
          <w:tcPr>
            <w:tcW w:w="1843" w:type="dxa"/>
            <w:tcBorders>
              <w:top w:val="single" w:sz="12" w:space="0" w:color="auto"/>
              <w:bottom w:val="single" w:sz="2" w:space="0" w:color="auto"/>
            </w:tcBorders>
          </w:tcPr>
          <w:p w14:paraId="1CAFED8E" w14:textId="77777777" w:rsidR="00EE69DA" w:rsidRDefault="00EE69DA" w:rsidP="00DA001D">
            <w:pPr>
              <w:pStyle w:val="Tabletext"/>
            </w:pPr>
            <w:r>
              <w:t>157A</w:t>
            </w:r>
            <w:r w:rsidR="004E5230">
              <w:t xml:space="preserve"> </w:t>
            </w:r>
            <w:r>
              <w:t>(internet</w:t>
            </w:r>
            <w:r w:rsidR="004E5230">
              <w:t>)</w:t>
            </w:r>
            <w:r>
              <w:t xml:space="preserve"> with 157N</w:t>
            </w:r>
          </w:p>
        </w:tc>
        <w:tc>
          <w:tcPr>
            <w:tcW w:w="2410" w:type="dxa"/>
            <w:tcBorders>
              <w:top w:val="single" w:sz="12" w:space="0" w:color="auto"/>
              <w:bottom w:val="single" w:sz="2" w:space="0" w:color="auto"/>
            </w:tcBorders>
            <w:shd w:val="clear" w:color="auto" w:fill="auto"/>
          </w:tcPr>
          <w:p w14:paraId="24393362" w14:textId="77777777" w:rsidR="00EE69DA" w:rsidRPr="00883023" w:rsidRDefault="00EE69DA" w:rsidP="00DA001D">
            <w:pPr>
              <w:pStyle w:val="Tabletext"/>
            </w:pPr>
            <w:r>
              <w:t>157A with 157N</w:t>
            </w:r>
          </w:p>
        </w:tc>
      </w:tr>
      <w:tr w:rsidR="00EE69DA" w:rsidRPr="00883023" w14:paraId="17681C94" w14:textId="77777777" w:rsidTr="00EE69DA">
        <w:tc>
          <w:tcPr>
            <w:tcW w:w="714" w:type="dxa"/>
            <w:tcBorders>
              <w:top w:val="single" w:sz="2" w:space="0" w:color="auto"/>
              <w:bottom w:val="single" w:sz="12" w:space="0" w:color="auto"/>
            </w:tcBorders>
            <w:shd w:val="clear" w:color="auto" w:fill="auto"/>
          </w:tcPr>
          <w:p w14:paraId="415E03BC" w14:textId="77777777" w:rsidR="00EE69DA" w:rsidRPr="00883023" w:rsidRDefault="00EE69DA" w:rsidP="00DA001D">
            <w:pPr>
              <w:pStyle w:val="Tabletext"/>
            </w:pPr>
            <w:r>
              <w:t>2</w:t>
            </w:r>
          </w:p>
        </w:tc>
        <w:tc>
          <w:tcPr>
            <w:tcW w:w="1838" w:type="dxa"/>
            <w:tcBorders>
              <w:top w:val="single" w:sz="2" w:space="0" w:color="auto"/>
              <w:bottom w:val="single" w:sz="12" w:space="0" w:color="auto"/>
            </w:tcBorders>
            <w:shd w:val="clear" w:color="auto" w:fill="auto"/>
          </w:tcPr>
          <w:p w14:paraId="4EC214AB" w14:textId="77777777" w:rsidR="00EE69DA" w:rsidRDefault="00EE69DA" w:rsidP="00DA001D">
            <w:pPr>
              <w:pStyle w:val="Tabletext"/>
            </w:pPr>
            <w:r>
              <w:t>Subclass 500 (Student)</w:t>
            </w:r>
          </w:p>
        </w:tc>
        <w:tc>
          <w:tcPr>
            <w:tcW w:w="2268" w:type="dxa"/>
            <w:tcBorders>
              <w:top w:val="single" w:sz="2" w:space="0" w:color="auto"/>
              <w:bottom w:val="single" w:sz="12" w:space="0" w:color="auto"/>
            </w:tcBorders>
          </w:tcPr>
          <w:p w14:paraId="069FC801" w14:textId="77777777" w:rsidR="00EE69DA" w:rsidRDefault="00EE69DA" w:rsidP="00DA001D">
            <w:pPr>
              <w:pStyle w:val="Tabletext"/>
            </w:pPr>
            <w:r>
              <w:t>For applicants who do not meet the criteria in item 1</w:t>
            </w:r>
          </w:p>
        </w:tc>
        <w:tc>
          <w:tcPr>
            <w:tcW w:w="1843" w:type="dxa"/>
            <w:tcBorders>
              <w:top w:val="single" w:sz="2" w:space="0" w:color="auto"/>
              <w:bottom w:val="single" w:sz="12" w:space="0" w:color="auto"/>
            </w:tcBorders>
          </w:tcPr>
          <w:p w14:paraId="3AC886B6" w14:textId="77777777" w:rsidR="00EE69DA" w:rsidRDefault="00EE69DA" w:rsidP="00DA001D">
            <w:pPr>
              <w:pStyle w:val="Tabletext"/>
            </w:pPr>
            <w:r>
              <w:t>157A (internet)</w:t>
            </w:r>
          </w:p>
        </w:tc>
        <w:tc>
          <w:tcPr>
            <w:tcW w:w="2410" w:type="dxa"/>
            <w:tcBorders>
              <w:top w:val="single" w:sz="2" w:space="0" w:color="auto"/>
              <w:bottom w:val="single" w:sz="12" w:space="0" w:color="auto"/>
            </w:tcBorders>
            <w:shd w:val="clear" w:color="auto" w:fill="auto"/>
          </w:tcPr>
          <w:p w14:paraId="39E4BE5F" w14:textId="77777777" w:rsidR="00EE69DA" w:rsidRDefault="00EE69DA" w:rsidP="00DA001D">
            <w:pPr>
              <w:pStyle w:val="Tabletext"/>
            </w:pPr>
            <w:r>
              <w:t>157A</w:t>
            </w:r>
          </w:p>
        </w:tc>
      </w:tr>
      <w:tr w:rsidR="00EE69DA" w:rsidRPr="00883023" w14:paraId="45B4CE9E" w14:textId="77777777" w:rsidTr="00B55CC9">
        <w:tc>
          <w:tcPr>
            <w:tcW w:w="714" w:type="dxa"/>
            <w:tcBorders>
              <w:top w:val="single" w:sz="2" w:space="0" w:color="auto"/>
              <w:bottom w:val="single" w:sz="2" w:space="0" w:color="auto"/>
            </w:tcBorders>
            <w:shd w:val="clear" w:color="auto" w:fill="auto"/>
          </w:tcPr>
          <w:p w14:paraId="5E694D8E" w14:textId="37FC229B" w:rsidR="00EE69DA" w:rsidRPr="00883023" w:rsidRDefault="003B3D9C" w:rsidP="00DA001D">
            <w:pPr>
              <w:pStyle w:val="Tabletext"/>
            </w:pPr>
            <w:r>
              <w:t>3</w:t>
            </w:r>
          </w:p>
        </w:tc>
        <w:tc>
          <w:tcPr>
            <w:tcW w:w="1838" w:type="dxa"/>
            <w:tcBorders>
              <w:top w:val="single" w:sz="2" w:space="0" w:color="auto"/>
              <w:bottom w:val="single" w:sz="2" w:space="0" w:color="auto"/>
            </w:tcBorders>
            <w:shd w:val="clear" w:color="auto" w:fill="auto"/>
          </w:tcPr>
          <w:p w14:paraId="08D13A7F" w14:textId="77777777" w:rsidR="00EE69DA" w:rsidRPr="00883023" w:rsidRDefault="00EE69DA" w:rsidP="00DA001D">
            <w:pPr>
              <w:pStyle w:val="Tabletext"/>
            </w:pPr>
            <w:r>
              <w:t xml:space="preserve">Subclass 590 (Student Guardian) </w:t>
            </w:r>
          </w:p>
        </w:tc>
        <w:tc>
          <w:tcPr>
            <w:tcW w:w="2268" w:type="dxa"/>
            <w:tcBorders>
              <w:top w:val="single" w:sz="2" w:space="0" w:color="auto"/>
              <w:bottom w:val="single" w:sz="2" w:space="0" w:color="auto"/>
            </w:tcBorders>
          </w:tcPr>
          <w:p w14:paraId="5DBDE1EB" w14:textId="77777777" w:rsidR="00EE69DA" w:rsidRDefault="004E5230" w:rsidP="00DA001D">
            <w:pPr>
              <w:pStyle w:val="Tabletext"/>
            </w:pPr>
            <w:r>
              <w:t>Any applicant</w:t>
            </w:r>
          </w:p>
        </w:tc>
        <w:tc>
          <w:tcPr>
            <w:tcW w:w="1843" w:type="dxa"/>
            <w:tcBorders>
              <w:top w:val="single" w:sz="2" w:space="0" w:color="auto"/>
              <w:bottom w:val="single" w:sz="2" w:space="0" w:color="auto"/>
            </w:tcBorders>
          </w:tcPr>
          <w:p w14:paraId="5890CEA9" w14:textId="77777777" w:rsidR="00EE69DA" w:rsidRDefault="004E5230" w:rsidP="00DA001D">
            <w:pPr>
              <w:pStyle w:val="Tabletext"/>
            </w:pPr>
            <w:r>
              <w:t>157G (internet) with 157N</w:t>
            </w:r>
          </w:p>
        </w:tc>
        <w:tc>
          <w:tcPr>
            <w:tcW w:w="2410" w:type="dxa"/>
            <w:tcBorders>
              <w:top w:val="single" w:sz="2" w:space="0" w:color="auto"/>
              <w:bottom w:val="single" w:sz="2" w:space="0" w:color="auto"/>
            </w:tcBorders>
            <w:shd w:val="clear" w:color="auto" w:fill="auto"/>
          </w:tcPr>
          <w:p w14:paraId="4654FE83" w14:textId="77777777" w:rsidR="00EE69DA" w:rsidRPr="00883023" w:rsidRDefault="00EE69DA" w:rsidP="00DA001D">
            <w:pPr>
              <w:pStyle w:val="Tabletext"/>
            </w:pPr>
            <w:r>
              <w:t>157G with 157N</w:t>
            </w:r>
          </w:p>
        </w:tc>
      </w:tr>
      <w:tr w:rsidR="003B3D9C" w:rsidRPr="00883023" w14:paraId="07E2E9F4" w14:textId="77777777" w:rsidTr="00DA001D">
        <w:tc>
          <w:tcPr>
            <w:tcW w:w="714" w:type="dxa"/>
            <w:tcBorders>
              <w:top w:val="single" w:sz="2" w:space="0" w:color="auto"/>
              <w:bottom w:val="single" w:sz="12" w:space="0" w:color="auto"/>
            </w:tcBorders>
            <w:shd w:val="clear" w:color="auto" w:fill="auto"/>
          </w:tcPr>
          <w:p w14:paraId="5E85B6F7" w14:textId="4A06C1C6" w:rsidR="003B3D9C" w:rsidRDefault="003B3D9C" w:rsidP="00DA001D">
            <w:pPr>
              <w:pStyle w:val="Tabletext"/>
            </w:pPr>
            <w:r>
              <w:t>4</w:t>
            </w:r>
          </w:p>
        </w:tc>
        <w:tc>
          <w:tcPr>
            <w:tcW w:w="1838" w:type="dxa"/>
            <w:tcBorders>
              <w:top w:val="single" w:sz="2" w:space="0" w:color="auto"/>
              <w:bottom w:val="single" w:sz="12" w:space="0" w:color="auto"/>
            </w:tcBorders>
            <w:shd w:val="clear" w:color="auto" w:fill="auto"/>
          </w:tcPr>
          <w:p w14:paraId="4AC902B0" w14:textId="77777777" w:rsidR="003B3D9C" w:rsidRDefault="003B3D9C" w:rsidP="00DA001D">
            <w:pPr>
              <w:pStyle w:val="Tabletext"/>
            </w:pPr>
            <w:r>
              <w:t>Subclass 500 (Student) and Subclass 590 (Student Guardian)</w:t>
            </w:r>
          </w:p>
        </w:tc>
        <w:tc>
          <w:tcPr>
            <w:tcW w:w="2268" w:type="dxa"/>
            <w:tcBorders>
              <w:top w:val="single" w:sz="2" w:space="0" w:color="auto"/>
              <w:bottom w:val="single" w:sz="12" w:space="0" w:color="auto"/>
            </w:tcBorders>
          </w:tcPr>
          <w:p w14:paraId="230E0728" w14:textId="5207568A" w:rsidR="00B64352" w:rsidRDefault="003F4A3D" w:rsidP="00B64352">
            <w:pPr>
              <w:pStyle w:val="Tabletext"/>
            </w:pPr>
            <w:r>
              <w:t>The applicant</w:t>
            </w:r>
            <w:r w:rsidR="00D46DFF">
              <w:t xml:space="preserve"> who</w:t>
            </w:r>
            <w:r w:rsidR="00B64352">
              <w:t>:</w:t>
            </w:r>
          </w:p>
          <w:p w14:paraId="205ECCA9" w14:textId="4A93F97A" w:rsidR="00F1004E" w:rsidRDefault="00F1004E" w:rsidP="00B64352">
            <w:pPr>
              <w:pStyle w:val="Tabletext"/>
            </w:pPr>
            <w:r>
              <w:t>(a) is in Australia</w:t>
            </w:r>
            <w:r w:rsidR="008F12D9">
              <w:t>; and</w:t>
            </w:r>
          </w:p>
          <w:p w14:paraId="47547591" w14:textId="277AABC6" w:rsidR="003F4A3D" w:rsidRDefault="00B64352" w:rsidP="00B64352">
            <w:pPr>
              <w:pStyle w:val="Tabletext"/>
            </w:pPr>
            <w:r>
              <w:t>(</w:t>
            </w:r>
            <w:r w:rsidR="00A5217C">
              <w:t>b</w:t>
            </w:r>
            <w:r>
              <w:t>)</w:t>
            </w:r>
            <w:r w:rsidR="003F4A3D">
              <w:t xml:space="preserve"> is a </w:t>
            </w:r>
            <w:r w:rsidR="007D7D63">
              <w:t>reapplying</w:t>
            </w:r>
            <w:r w:rsidR="003F4A3D">
              <w:t xml:space="preserve"> applicant; and</w:t>
            </w:r>
          </w:p>
          <w:p w14:paraId="6C915AF2" w14:textId="4C87DC4E" w:rsidR="00DB64D9" w:rsidRDefault="008F12D9" w:rsidP="002A291D">
            <w:pPr>
              <w:pStyle w:val="Tabletext"/>
            </w:pPr>
            <w:r>
              <w:t>(c</w:t>
            </w:r>
            <w:r w:rsidR="003A28E2">
              <w:t xml:space="preserve">) </w:t>
            </w:r>
            <w:r w:rsidR="00B64352">
              <w:t xml:space="preserve">makes an </w:t>
            </w:r>
            <w:r w:rsidR="00DB64D9">
              <w:t xml:space="preserve">application for the </w:t>
            </w:r>
            <w:r w:rsidR="00B64352">
              <w:t xml:space="preserve">Subclass 500 visa or the Subclass 590 visa </w:t>
            </w:r>
            <w:r w:rsidR="00DB64D9">
              <w:t xml:space="preserve">no later than 3 months after the </w:t>
            </w:r>
            <w:r w:rsidR="00F1004E">
              <w:t>cancellation</w:t>
            </w:r>
            <w:r w:rsidR="00D46DFF">
              <w:t xml:space="preserve"> of the applicant</w:t>
            </w:r>
            <w:r w:rsidR="003A1C87">
              <w:t>’</w:t>
            </w:r>
            <w:r w:rsidR="00D46DFF">
              <w:t>s Subclass 500 visa or the Subclass 590 visa</w:t>
            </w:r>
            <w:r w:rsidR="00DB64D9">
              <w:t>.</w:t>
            </w:r>
          </w:p>
        </w:tc>
        <w:tc>
          <w:tcPr>
            <w:tcW w:w="1843" w:type="dxa"/>
            <w:tcBorders>
              <w:top w:val="single" w:sz="2" w:space="0" w:color="auto"/>
              <w:bottom w:val="single" w:sz="12" w:space="0" w:color="auto"/>
            </w:tcBorders>
          </w:tcPr>
          <w:p w14:paraId="1F5AE748" w14:textId="374B9B9D" w:rsidR="003B3D9C" w:rsidRDefault="009D24C3" w:rsidP="00DA001D">
            <w:pPr>
              <w:pStyle w:val="Tabletext"/>
            </w:pPr>
            <w:r>
              <w:t>Not applicable</w:t>
            </w:r>
          </w:p>
        </w:tc>
        <w:tc>
          <w:tcPr>
            <w:tcW w:w="2410" w:type="dxa"/>
            <w:tcBorders>
              <w:top w:val="single" w:sz="2" w:space="0" w:color="auto"/>
              <w:bottom w:val="single" w:sz="12" w:space="0" w:color="auto"/>
            </w:tcBorders>
            <w:shd w:val="clear" w:color="auto" w:fill="auto"/>
          </w:tcPr>
          <w:p w14:paraId="7D678840" w14:textId="1E383B76" w:rsidR="003B3D9C" w:rsidRDefault="009D6334" w:rsidP="00DA001D">
            <w:pPr>
              <w:pStyle w:val="Tabletext"/>
            </w:pPr>
            <w:r>
              <w:t>1543</w:t>
            </w:r>
          </w:p>
        </w:tc>
      </w:tr>
    </w:tbl>
    <w:p w14:paraId="446753DF" w14:textId="77777777" w:rsidR="00554826" w:rsidRPr="00554826" w:rsidRDefault="00554826" w:rsidP="00554826"/>
    <w:p w14:paraId="4B096EFF" w14:textId="77777777" w:rsidR="00554826" w:rsidRDefault="00554826">
      <w:pPr>
        <w:spacing w:line="240" w:lineRule="auto"/>
      </w:pPr>
      <w:r>
        <w:br w:type="page"/>
      </w:r>
    </w:p>
    <w:p w14:paraId="43F41670" w14:textId="12A9CED4" w:rsidR="00593FA6" w:rsidRPr="004E1307" w:rsidRDefault="00593FA6" w:rsidP="00593FA6">
      <w:pPr>
        <w:pStyle w:val="ActHead6"/>
      </w:pPr>
      <w:bookmarkStart w:id="15" w:name="_Toc32909061"/>
      <w:bookmarkStart w:id="16" w:name="_Toc454512520"/>
      <w:r>
        <w:lastRenderedPageBreak/>
        <w:t>Schedule 2</w:t>
      </w:r>
      <w:r w:rsidRPr="004E1307">
        <w:t>—</w:t>
      </w:r>
      <w:r w:rsidR="00910855">
        <w:t>Repeal</w:t>
      </w:r>
      <w:bookmarkEnd w:id="15"/>
    </w:p>
    <w:p w14:paraId="3E874520" w14:textId="77777777" w:rsidR="00DB6EF5" w:rsidRPr="00DB6EF5" w:rsidRDefault="00DB6EF5" w:rsidP="00DB6EF5">
      <w:pPr>
        <w:pStyle w:val="ActHead9"/>
      </w:pPr>
      <w:bookmarkStart w:id="17" w:name="_Toc32909062"/>
      <w:r w:rsidRPr="00DB6EF5">
        <w:t>Arrangements for Student Visa Applicants 2017/011</w:t>
      </w:r>
      <w:bookmarkEnd w:id="17"/>
    </w:p>
    <w:p w14:paraId="6673B56A" w14:textId="77777777" w:rsidR="00DB6EF5" w:rsidRDefault="00DB6EF5" w:rsidP="00DB6EF5">
      <w:pPr>
        <w:pStyle w:val="ItemHead"/>
      </w:pPr>
      <w:r w:rsidRPr="00B1728A">
        <w:t xml:space="preserve">1  </w:t>
      </w:r>
      <w:r>
        <w:t>The whole of the instrument</w:t>
      </w:r>
    </w:p>
    <w:p w14:paraId="000386B8" w14:textId="77777777" w:rsidR="00DB6EF5" w:rsidRDefault="00DB6EF5" w:rsidP="00DB6EF5">
      <w:pPr>
        <w:pStyle w:val="Item"/>
      </w:pPr>
      <w:r>
        <w:t xml:space="preserve">According to section 33(3) of the </w:t>
      </w:r>
      <w:r w:rsidRPr="00DB6EF5">
        <w:rPr>
          <w:i/>
        </w:rPr>
        <w:t>Acts Interpretation Act 1901</w:t>
      </w:r>
      <w:r>
        <w:t xml:space="preserve">, the instrument is repealed. </w:t>
      </w:r>
    </w:p>
    <w:p w14:paraId="19093706" w14:textId="77777777" w:rsidR="00EE69DA" w:rsidRPr="00EE69DA" w:rsidRDefault="00EE69DA" w:rsidP="00EE69DA">
      <w:pPr>
        <w:pStyle w:val="ItemHead"/>
      </w:pPr>
    </w:p>
    <w:bookmarkEnd w:id="16"/>
    <w:sectPr w:rsidR="00EE69DA" w:rsidRPr="00EE69DA" w:rsidSect="008C2EAC">
      <w:headerReference w:type="even" r:id="rId20"/>
      <w:headerReference w:type="default" r:id="rId21"/>
      <w:footerReference w:type="even" r:id="rId22"/>
      <w:footerReference w:type="default" r:id="rId23"/>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F2A5A" w14:textId="77777777" w:rsidR="00F27EA5" w:rsidRDefault="00F27EA5" w:rsidP="00715914">
      <w:pPr>
        <w:spacing w:line="240" w:lineRule="auto"/>
      </w:pPr>
      <w:r>
        <w:separator/>
      </w:r>
    </w:p>
  </w:endnote>
  <w:endnote w:type="continuationSeparator" w:id="0">
    <w:p w14:paraId="1859FE4E" w14:textId="77777777" w:rsidR="00F27EA5" w:rsidRDefault="00F27EA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6F043"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7302E6FF" w14:textId="77777777" w:rsidTr="00B33709">
      <w:tc>
        <w:tcPr>
          <w:tcW w:w="709" w:type="dxa"/>
          <w:tcBorders>
            <w:top w:val="nil"/>
            <w:left w:val="nil"/>
            <w:bottom w:val="nil"/>
            <w:right w:val="nil"/>
          </w:tcBorders>
        </w:tcPr>
        <w:p w14:paraId="1FDC24AA"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5B775E01" w14:textId="65528BED"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511DF">
            <w:rPr>
              <w:i/>
              <w:noProof/>
              <w:sz w:val="18"/>
            </w:rPr>
            <w:t>Migration (LIN 20/102: Arrangements for Student (Temporary) (Class TU) visa applications) Instrument 2020</w:t>
          </w:r>
          <w:r w:rsidRPr="004E1307">
            <w:rPr>
              <w:i/>
              <w:sz w:val="18"/>
            </w:rPr>
            <w:fldChar w:fldCharType="end"/>
          </w:r>
        </w:p>
      </w:tc>
      <w:tc>
        <w:tcPr>
          <w:tcW w:w="1383" w:type="dxa"/>
          <w:tcBorders>
            <w:top w:val="nil"/>
            <w:left w:val="nil"/>
            <w:bottom w:val="nil"/>
            <w:right w:val="nil"/>
          </w:tcBorders>
        </w:tcPr>
        <w:p w14:paraId="0D5E3AD0" w14:textId="77777777" w:rsidR="0072147A" w:rsidRDefault="0072147A" w:rsidP="00A369E3">
          <w:pPr>
            <w:spacing w:line="0" w:lineRule="atLeast"/>
            <w:jc w:val="right"/>
            <w:rPr>
              <w:sz w:val="18"/>
            </w:rPr>
          </w:pPr>
        </w:p>
      </w:tc>
    </w:tr>
    <w:tr w:rsidR="0072147A" w14:paraId="1EB2C261"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164AFA2" w14:textId="77777777" w:rsidR="0072147A" w:rsidRDefault="0072147A" w:rsidP="00A369E3">
          <w:pPr>
            <w:jc w:val="right"/>
            <w:rPr>
              <w:sz w:val="18"/>
            </w:rPr>
          </w:pPr>
        </w:p>
      </w:tc>
    </w:tr>
  </w:tbl>
  <w:p w14:paraId="4AD7C5A0"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D6DCC"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72147A" w14:paraId="1BD358BF" w14:textId="77777777" w:rsidTr="00A369E3">
      <w:tc>
        <w:tcPr>
          <w:tcW w:w="1384" w:type="dxa"/>
          <w:tcBorders>
            <w:top w:val="nil"/>
            <w:left w:val="nil"/>
            <w:bottom w:val="nil"/>
            <w:right w:val="nil"/>
          </w:tcBorders>
        </w:tcPr>
        <w:p w14:paraId="104A1D87" w14:textId="77777777" w:rsidR="0072147A" w:rsidRDefault="0072147A" w:rsidP="00A369E3">
          <w:pPr>
            <w:spacing w:line="0" w:lineRule="atLeast"/>
            <w:rPr>
              <w:sz w:val="18"/>
            </w:rPr>
          </w:pPr>
        </w:p>
      </w:tc>
      <w:tc>
        <w:tcPr>
          <w:tcW w:w="6379" w:type="dxa"/>
          <w:tcBorders>
            <w:top w:val="nil"/>
            <w:left w:val="nil"/>
            <w:bottom w:val="nil"/>
            <w:right w:val="nil"/>
          </w:tcBorders>
        </w:tcPr>
        <w:p w14:paraId="065B859C" w14:textId="028EC6F8"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01BB1">
            <w:rPr>
              <w:i/>
              <w:noProof/>
              <w:sz w:val="18"/>
            </w:rPr>
            <w:t>Migration (LIN 20/102: Arrangements for Student (Temporary) (Class TU) visa applications) Instrument 2020</w:t>
          </w:r>
          <w:r w:rsidRPr="004E1307">
            <w:rPr>
              <w:i/>
              <w:sz w:val="18"/>
            </w:rPr>
            <w:fldChar w:fldCharType="end"/>
          </w:r>
        </w:p>
      </w:tc>
      <w:tc>
        <w:tcPr>
          <w:tcW w:w="709" w:type="dxa"/>
          <w:tcBorders>
            <w:top w:val="nil"/>
            <w:left w:val="nil"/>
            <w:bottom w:val="nil"/>
            <w:right w:val="nil"/>
          </w:tcBorders>
        </w:tcPr>
        <w:p w14:paraId="002162AE" w14:textId="07F66A7A"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01BB1">
            <w:rPr>
              <w:i/>
              <w:noProof/>
              <w:sz w:val="18"/>
            </w:rPr>
            <w:t>1</w:t>
          </w:r>
          <w:r w:rsidRPr="00ED79B6">
            <w:rPr>
              <w:i/>
              <w:sz w:val="18"/>
            </w:rPr>
            <w:fldChar w:fldCharType="end"/>
          </w:r>
        </w:p>
      </w:tc>
    </w:tr>
    <w:tr w:rsidR="0072147A" w14:paraId="27559D0A"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6005F52" w14:textId="77777777" w:rsidR="0072147A" w:rsidRDefault="0072147A" w:rsidP="00A369E3">
          <w:pPr>
            <w:rPr>
              <w:sz w:val="18"/>
            </w:rPr>
          </w:pPr>
        </w:p>
      </w:tc>
    </w:tr>
  </w:tbl>
  <w:p w14:paraId="1A7650B7"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20009"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4AA50C70" w14:textId="77777777" w:rsidTr="00B33709">
      <w:tc>
        <w:tcPr>
          <w:tcW w:w="1384" w:type="dxa"/>
          <w:tcBorders>
            <w:top w:val="nil"/>
            <w:left w:val="nil"/>
            <w:bottom w:val="nil"/>
            <w:right w:val="nil"/>
          </w:tcBorders>
        </w:tcPr>
        <w:p w14:paraId="6DD80A32" w14:textId="77777777" w:rsidR="0072147A" w:rsidRDefault="0072147A" w:rsidP="00A369E3">
          <w:pPr>
            <w:spacing w:line="0" w:lineRule="atLeast"/>
            <w:rPr>
              <w:sz w:val="18"/>
            </w:rPr>
          </w:pPr>
        </w:p>
      </w:tc>
      <w:tc>
        <w:tcPr>
          <w:tcW w:w="6379" w:type="dxa"/>
          <w:tcBorders>
            <w:top w:val="nil"/>
            <w:left w:val="nil"/>
            <w:bottom w:val="nil"/>
            <w:right w:val="nil"/>
          </w:tcBorders>
        </w:tcPr>
        <w:p w14:paraId="140C1175"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2E06818F" w14:textId="77777777" w:rsidR="0072147A" w:rsidRDefault="0072147A" w:rsidP="00A369E3">
          <w:pPr>
            <w:spacing w:line="0" w:lineRule="atLeast"/>
            <w:jc w:val="right"/>
            <w:rPr>
              <w:sz w:val="18"/>
            </w:rPr>
          </w:pPr>
        </w:p>
      </w:tc>
    </w:tr>
  </w:tbl>
  <w:p w14:paraId="38DAF516"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FFFF7"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F6696E" w14:paraId="673E56A2" w14:textId="77777777" w:rsidTr="00A87A58">
      <w:tc>
        <w:tcPr>
          <w:tcW w:w="365" w:type="pct"/>
        </w:tcPr>
        <w:p w14:paraId="093B9B3F" w14:textId="77777777"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4EBF84AC" w14:textId="1DEB139C"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511DF">
            <w:rPr>
              <w:i/>
              <w:noProof/>
              <w:sz w:val="18"/>
            </w:rPr>
            <w:t>Migration (LIN 20/102: Arrangements for Student (Temporary) (Class TU) visa applications) Instrument 2020</w:t>
          </w:r>
          <w:r w:rsidRPr="004E1307">
            <w:rPr>
              <w:i/>
              <w:sz w:val="18"/>
            </w:rPr>
            <w:fldChar w:fldCharType="end"/>
          </w:r>
        </w:p>
      </w:tc>
      <w:tc>
        <w:tcPr>
          <w:tcW w:w="947" w:type="pct"/>
        </w:tcPr>
        <w:p w14:paraId="24518A96" w14:textId="77777777" w:rsidR="00F6696E" w:rsidRDefault="00F6696E" w:rsidP="000850AC">
          <w:pPr>
            <w:spacing w:line="0" w:lineRule="atLeast"/>
            <w:jc w:val="right"/>
            <w:rPr>
              <w:sz w:val="18"/>
            </w:rPr>
          </w:pPr>
        </w:p>
      </w:tc>
    </w:tr>
    <w:tr w:rsidR="00F6696E" w14:paraId="3F4E3EDD" w14:textId="77777777" w:rsidTr="00A87A58">
      <w:tc>
        <w:tcPr>
          <w:tcW w:w="5000" w:type="pct"/>
          <w:gridSpan w:val="3"/>
        </w:tcPr>
        <w:p w14:paraId="5D8E8341" w14:textId="77777777" w:rsidR="00F6696E" w:rsidRDefault="00F6696E" w:rsidP="000850AC">
          <w:pPr>
            <w:jc w:val="right"/>
            <w:rPr>
              <w:sz w:val="18"/>
            </w:rPr>
          </w:pPr>
        </w:p>
      </w:tc>
    </w:tr>
  </w:tbl>
  <w:p w14:paraId="37CE6D7E" w14:textId="77777777" w:rsidR="00F6696E" w:rsidRPr="00ED79B6" w:rsidRDefault="00F6696E"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36046"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3018B715" w14:textId="77777777" w:rsidTr="00A87A58">
      <w:tc>
        <w:tcPr>
          <w:tcW w:w="947" w:type="pct"/>
        </w:tcPr>
        <w:p w14:paraId="57F12536" w14:textId="77777777" w:rsidR="00F6696E" w:rsidRDefault="00F6696E" w:rsidP="000850AC">
          <w:pPr>
            <w:spacing w:line="0" w:lineRule="atLeast"/>
            <w:rPr>
              <w:sz w:val="18"/>
            </w:rPr>
          </w:pPr>
        </w:p>
      </w:tc>
      <w:tc>
        <w:tcPr>
          <w:tcW w:w="3688" w:type="pct"/>
        </w:tcPr>
        <w:p w14:paraId="592D62E8" w14:textId="7B544744"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01BB1">
            <w:rPr>
              <w:i/>
              <w:noProof/>
              <w:sz w:val="18"/>
            </w:rPr>
            <w:t>Migration (LIN 20/102: Arrangements for Student (Temporary) (Class TU) visa applications) Instrument 2020</w:t>
          </w:r>
          <w:r w:rsidRPr="004E1307">
            <w:rPr>
              <w:i/>
              <w:sz w:val="18"/>
            </w:rPr>
            <w:fldChar w:fldCharType="end"/>
          </w:r>
        </w:p>
      </w:tc>
      <w:tc>
        <w:tcPr>
          <w:tcW w:w="365" w:type="pct"/>
        </w:tcPr>
        <w:p w14:paraId="3D383366" w14:textId="6BBFD4AD"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01BB1">
            <w:rPr>
              <w:i/>
              <w:noProof/>
              <w:sz w:val="18"/>
            </w:rPr>
            <w:t>i</w:t>
          </w:r>
          <w:r w:rsidRPr="00ED79B6">
            <w:rPr>
              <w:i/>
              <w:sz w:val="18"/>
            </w:rPr>
            <w:fldChar w:fldCharType="end"/>
          </w:r>
        </w:p>
      </w:tc>
    </w:tr>
    <w:tr w:rsidR="00F6696E" w14:paraId="59E3CF6E" w14:textId="77777777" w:rsidTr="00A87A58">
      <w:tc>
        <w:tcPr>
          <w:tcW w:w="5000" w:type="pct"/>
          <w:gridSpan w:val="3"/>
        </w:tcPr>
        <w:p w14:paraId="3F34711A" w14:textId="77777777" w:rsidR="00F6696E" w:rsidRDefault="00F6696E" w:rsidP="000850AC">
          <w:pPr>
            <w:rPr>
              <w:sz w:val="18"/>
            </w:rPr>
          </w:pPr>
        </w:p>
      </w:tc>
    </w:tr>
  </w:tbl>
  <w:p w14:paraId="139998C3" w14:textId="77777777" w:rsidR="00F6696E" w:rsidRPr="00ED79B6" w:rsidRDefault="00F6696E" w:rsidP="003278F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A5704"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723FCC22" w14:textId="77777777" w:rsidTr="00A87A58">
      <w:tc>
        <w:tcPr>
          <w:tcW w:w="365" w:type="pct"/>
        </w:tcPr>
        <w:p w14:paraId="62F936AD" w14:textId="77777777"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42CAB">
            <w:rPr>
              <w:i/>
              <w:noProof/>
              <w:sz w:val="18"/>
            </w:rPr>
            <w:t>6</w:t>
          </w:r>
          <w:r w:rsidRPr="00ED79B6">
            <w:rPr>
              <w:i/>
              <w:sz w:val="18"/>
            </w:rPr>
            <w:fldChar w:fldCharType="end"/>
          </w:r>
        </w:p>
      </w:tc>
      <w:tc>
        <w:tcPr>
          <w:tcW w:w="3688" w:type="pct"/>
        </w:tcPr>
        <w:p w14:paraId="0DB37F5D" w14:textId="53210B40"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511DF">
            <w:rPr>
              <w:i/>
              <w:noProof/>
              <w:sz w:val="18"/>
            </w:rPr>
            <w:t>Migration (LIN 20/102: Arrangements for Student (Temporary) (Class TU) visa applications) Instrument 2020</w:t>
          </w:r>
          <w:r w:rsidRPr="004E1307">
            <w:rPr>
              <w:i/>
              <w:sz w:val="18"/>
            </w:rPr>
            <w:fldChar w:fldCharType="end"/>
          </w:r>
        </w:p>
      </w:tc>
      <w:tc>
        <w:tcPr>
          <w:tcW w:w="947" w:type="pct"/>
        </w:tcPr>
        <w:p w14:paraId="3A29D792" w14:textId="77777777" w:rsidR="008C2EAC" w:rsidRDefault="008C2EAC" w:rsidP="000850AC">
          <w:pPr>
            <w:spacing w:line="0" w:lineRule="atLeast"/>
            <w:jc w:val="right"/>
            <w:rPr>
              <w:sz w:val="18"/>
            </w:rPr>
          </w:pPr>
        </w:p>
      </w:tc>
    </w:tr>
    <w:tr w:rsidR="008C2EAC" w14:paraId="22F7D1C0" w14:textId="77777777" w:rsidTr="00A87A58">
      <w:tc>
        <w:tcPr>
          <w:tcW w:w="5000" w:type="pct"/>
          <w:gridSpan w:val="3"/>
        </w:tcPr>
        <w:p w14:paraId="14873B3A" w14:textId="77777777" w:rsidR="008C2EAC" w:rsidRDefault="008C2EAC" w:rsidP="000850AC">
          <w:pPr>
            <w:jc w:val="right"/>
            <w:rPr>
              <w:sz w:val="18"/>
            </w:rPr>
          </w:pPr>
        </w:p>
      </w:tc>
    </w:tr>
  </w:tbl>
  <w:p w14:paraId="183676A3" w14:textId="77777777" w:rsidR="008C2EAC" w:rsidRPr="00ED79B6" w:rsidRDefault="008C2EAC" w:rsidP="000A6C6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63878"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5B1485BC" w14:textId="77777777" w:rsidTr="00A87A58">
      <w:tc>
        <w:tcPr>
          <w:tcW w:w="947" w:type="pct"/>
        </w:tcPr>
        <w:p w14:paraId="1B312724" w14:textId="77777777" w:rsidR="008C2EAC" w:rsidRDefault="008C2EAC" w:rsidP="000850AC">
          <w:pPr>
            <w:spacing w:line="0" w:lineRule="atLeast"/>
            <w:rPr>
              <w:sz w:val="18"/>
            </w:rPr>
          </w:pPr>
        </w:p>
      </w:tc>
      <w:tc>
        <w:tcPr>
          <w:tcW w:w="3688" w:type="pct"/>
        </w:tcPr>
        <w:p w14:paraId="47B757DC" w14:textId="38CBA179"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01BB1">
            <w:rPr>
              <w:i/>
              <w:noProof/>
              <w:sz w:val="18"/>
            </w:rPr>
            <w:t>Migration (LIN 20/102: Arrangements for Student (Temporary) (Class TU) visa applications) Instrument 2020</w:t>
          </w:r>
          <w:r w:rsidRPr="004E1307">
            <w:rPr>
              <w:i/>
              <w:sz w:val="18"/>
            </w:rPr>
            <w:fldChar w:fldCharType="end"/>
          </w:r>
        </w:p>
      </w:tc>
      <w:tc>
        <w:tcPr>
          <w:tcW w:w="365" w:type="pct"/>
        </w:tcPr>
        <w:p w14:paraId="5FB26D35" w14:textId="1867BE93"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01BB1">
            <w:rPr>
              <w:i/>
              <w:noProof/>
              <w:sz w:val="18"/>
            </w:rPr>
            <w:t>5</w:t>
          </w:r>
          <w:r w:rsidRPr="00ED79B6">
            <w:rPr>
              <w:i/>
              <w:sz w:val="18"/>
            </w:rPr>
            <w:fldChar w:fldCharType="end"/>
          </w:r>
        </w:p>
      </w:tc>
    </w:tr>
    <w:tr w:rsidR="008C2EAC" w14:paraId="7624949F" w14:textId="77777777" w:rsidTr="00A87A58">
      <w:tc>
        <w:tcPr>
          <w:tcW w:w="5000" w:type="pct"/>
          <w:gridSpan w:val="3"/>
        </w:tcPr>
        <w:p w14:paraId="3D5B6453" w14:textId="77777777" w:rsidR="008C2EAC" w:rsidRDefault="008C2EAC" w:rsidP="000850AC">
          <w:pPr>
            <w:rPr>
              <w:sz w:val="18"/>
            </w:rPr>
          </w:pPr>
        </w:p>
      </w:tc>
    </w:tr>
  </w:tbl>
  <w:p w14:paraId="74669B1C" w14:textId="77777777" w:rsidR="008C2EAC" w:rsidRPr="00ED79B6" w:rsidRDefault="008C2EAC" w:rsidP="003278F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1089D" w14:textId="77777777" w:rsidR="00F27EA5" w:rsidRDefault="00F27EA5" w:rsidP="00715914">
      <w:pPr>
        <w:spacing w:line="240" w:lineRule="auto"/>
      </w:pPr>
      <w:r>
        <w:separator/>
      </w:r>
    </w:p>
  </w:footnote>
  <w:footnote w:type="continuationSeparator" w:id="0">
    <w:p w14:paraId="3E05C825" w14:textId="77777777" w:rsidR="00F27EA5" w:rsidRDefault="00F27EA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C9C4A"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275FD"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22ACA" w14:textId="77777777" w:rsidR="00D42CAB" w:rsidRDefault="00D42CAB" w:rsidP="00D42CAB">
    <w:pPr>
      <w:pStyle w:val="Header"/>
      <w:tabs>
        <w:tab w:val="clear" w:pos="4150"/>
        <w:tab w:val="clear" w:pos="8307"/>
        <w:tab w:val="left" w:pos="4785"/>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0F1A5" w14:textId="77777777"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C6B6C" w14:textId="3A5E2D2A" w:rsidR="00F6696E" w:rsidRPr="00BE783A" w:rsidRDefault="00F6696E" w:rsidP="00BE783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9698A" w14:textId="77777777" w:rsidR="00F6696E" w:rsidRPr="00ED79B6" w:rsidRDefault="00F6696E"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AAAA9" w14:textId="77777777" w:rsidR="004E1307" w:rsidRDefault="004E1307" w:rsidP="00715914">
    <w:pPr>
      <w:rPr>
        <w:sz w:val="20"/>
      </w:rPr>
    </w:pPr>
  </w:p>
  <w:p w14:paraId="0861D1DE" w14:textId="77777777" w:rsidR="004E1307" w:rsidRDefault="004E1307" w:rsidP="00715914">
    <w:pPr>
      <w:rPr>
        <w:sz w:val="20"/>
      </w:rPr>
    </w:pPr>
  </w:p>
  <w:p w14:paraId="2BBCD52B" w14:textId="77777777" w:rsidR="004E1307" w:rsidRPr="007A1328" w:rsidRDefault="004E1307" w:rsidP="00715914">
    <w:pPr>
      <w:rPr>
        <w:sz w:val="20"/>
      </w:rPr>
    </w:pPr>
  </w:p>
  <w:p w14:paraId="064A89D9" w14:textId="77777777" w:rsidR="004E1307" w:rsidRPr="007A1328" w:rsidRDefault="004E1307" w:rsidP="00715914">
    <w:pPr>
      <w:rPr>
        <w:b/>
        <w:sz w:val="24"/>
      </w:rPr>
    </w:pPr>
  </w:p>
  <w:p w14:paraId="7496F849" w14:textId="77777777" w:rsidR="004E1307" w:rsidRPr="007A1328" w:rsidRDefault="004E1307" w:rsidP="00D6537E">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CC86E" w14:textId="77777777" w:rsidR="004E1307" w:rsidRPr="007A1328" w:rsidRDefault="004E1307" w:rsidP="00715914">
    <w:pPr>
      <w:jc w:val="right"/>
      <w:rPr>
        <w:sz w:val="20"/>
      </w:rPr>
    </w:pPr>
  </w:p>
  <w:p w14:paraId="7B11F15C" w14:textId="77777777" w:rsidR="004E1307" w:rsidRPr="007A1328" w:rsidRDefault="004E1307" w:rsidP="00715914">
    <w:pPr>
      <w:jc w:val="right"/>
      <w:rPr>
        <w:b/>
        <w:sz w:val="24"/>
      </w:rPr>
    </w:pPr>
  </w:p>
  <w:p w14:paraId="7A65489C"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ED293E"/>
    <w:multiLevelType w:val="hybridMultilevel"/>
    <w:tmpl w:val="DFA8B5B0"/>
    <w:lvl w:ilvl="0" w:tplc="817627D8">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36D4DA6"/>
    <w:multiLevelType w:val="hybridMultilevel"/>
    <w:tmpl w:val="866442CC"/>
    <w:lvl w:ilvl="0" w:tplc="40D202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7743784"/>
    <w:multiLevelType w:val="hybridMultilevel"/>
    <w:tmpl w:val="3C889CBE"/>
    <w:lvl w:ilvl="0" w:tplc="DE2CD87A">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15:restartNumberingAfterBreak="0">
    <w:nsid w:val="280F00BC"/>
    <w:multiLevelType w:val="hybridMultilevel"/>
    <w:tmpl w:val="02E8FE24"/>
    <w:lvl w:ilvl="0" w:tplc="C9683036">
      <w:start w:val="1"/>
      <w:numFmt w:val="lowerLetter"/>
      <w:lvlText w:val="(%1)"/>
      <w:lvlJc w:val="left"/>
      <w:pPr>
        <w:ind w:left="1647" w:hanging="360"/>
      </w:pPr>
      <w:rPr>
        <w:rFonts w:hint="default"/>
      </w:rPr>
    </w:lvl>
    <w:lvl w:ilvl="1" w:tplc="0C090019" w:tentative="1">
      <w:start w:val="1"/>
      <w:numFmt w:val="lowerLetter"/>
      <w:lvlText w:val="%2."/>
      <w:lvlJc w:val="left"/>
      <w:pPr>
        <w:ind w:left="2367" w:hanging="360"/>
      </w:pPr>
    </w:lvl>
    <w:lvl w:ilvl="2" w:tplc="0C09001B" w:tentative="1">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16" w15:restartNumberingAfterBreak="0">
    <w:nsid w:val="2A2474D2"/>
    <w:multiLevelType w:val="hybridMultilevel"/>
    <w:tmpl w:val="507E5414"/>
    <w:lvl w:ilvl="0" w:tplc="E3D4EC1A">
      <w:start w:val="1"/>
      <w:numFmt w:val="lowerLetter"/>
      <w:lvlText w:val="(%1)"/>
      <w:lvlJc w:val="left"/>
      <w:pPr>
        <w:ind w:left="1647" w:hanging="360"/>
      </w:pPr>
      <w:rPr>
        <w:rFonts w:hint="default"/>
      </w:rPr>
    </w:lvl>
    <w:lvl w:ilvl="1" w:tplc="0C090019" w:tentative="1">
      <w:start w:val="1"/>
      <w:numFmt w:val="lowerLetter"/>
      <w:lvlText w:val="%2."/>
      <w:lvlJc w:val="left"/>
      <w:pPr>
        <w:ind w:left="2367" w:hanging="360"/>
      </w:pPr>
    </w:lvl>
    <w:lvl w:ilvl="2" w:tplc="0C09001B" w:tentative="1">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17" w15:restartNumberingAfterBreak="0">
    <w:nsid w:val="361F7499"/>
    <w:multiLevelType w:val="hybridMultilevel"/>
    <w:tmpl w:val="1D04A5EA"/>
    <w:lvl w:ilvl="0" w:tplc="4F48E4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E75908"/>
    <w:multiLevelType w:val="hybridMultilevel"/>
    <w:tmpl w:val="704445EA"/>
    <w:lvl w:ilvl="0" w:tplc="CC045D72">
      <w:start w:val="1"/>
      <w:numFmt w:val="lowerLetter"/>
      <w:lvlText w:val="(%1)"/>
      <w:lvlJc w:val="left"/>
      <w:pPr>
        <w:ind w:left="1497" w:hanging="360"/>
      </w:pPr>
      <w:rPr>
        <w:rFonts w:hint="default"/>
      </w:rPr>
    </w:lvl>
    <w:lvl w:ilvl="1" w:tplc="0C090019" w:tentative="1">
      <w:start w:val="1"/>
      <w:numFmt w:val="lowerLetter"/>
      <w:lvlText w:val="%2."/>
      <w:lvlJc w:val="left"/>
      <w:pPr>
        <w:ind w:left="2217" w:hanging="360"/>
      </w:pPr>
    </w:lvl>
    <w:lvl w:ilvl="2" w:tplc="0C09001B" w:tentative="1">
      <w:start w:val="1"/>
      <w:numFmt w:val="lowerRoman"/>
      <w:lvlText w:val="%3."/>
      <w:lvlJc w:val="right"/>
      <w:pPr>
        <w:ind w:left="2937" w:hanging="180"/>
      </w:pPr>
    </w:lvl>
    <w:lvl w:ilvl="3" w:tplc="0C09000F" w:tentative="1">
      <w:start w:val="1"/>
      <w:numFmt w:val="decimal"/>
      <w:lvlText w:val="%4."/>
      <w:lvlJc w:val="left"/>
      <w:pPr>
        <w:ind w:left="3657" w:hanging="360"/>
      </w:pPr>
    </w:lvl>
    <w:lvl w:ilvl="4" w:tplc="0C090019" w:tentative="1">
      <w:start w:val="1"/>
      <w:numFmt w:val="lowerLetter"/>
      <w:lvlText w:val="%5."/>
      <w:lvlJc w:val="left"/>
      <w:pPr>
        <w:ind w:left="4377" w:hanging="360"/>
      </w:pPr>
    </w:lvl>
    <w:lvl w:ilvl="5" w:tplc="0C09001B" w:tentative="1">
      <w:start w:val="1"/>
      <w:numFmt w:val="lowerRoman"/>
      <w:lvlText w:val="%6."/>
      <w:lvlJc w:val="right"/>
      <w:pPr>
        <w:ind w:left="5097" w:hanging="180"/>
      </w:pPr>
    </w:lvl>
    <w:lvl w:ilvl="6" w:tplc="0C09000F" w:tentative="1">
      <w:start w:val="1"/>
      <w:numFmt w:val="decimal"/>
      <w:lvlText w:val="%7."/>
      <w:lvlJc w:val="left"/>
      <w:pPr>
        <w:ind w:left="5817" w:hanging="360"/>
      </w:pPr>
    </w:lvl>
    <w:lvl w:ilvl="7" w:tplc="0C090019" w:tentative="1">
      <w:start w:val="1"/>
      <w:numFmt w:val="lowerLetter"/>
      <w:lvlText w:val="%8."/>
      <w:lvlJc w:val="left"/>
      <w:pPr>
        <w:ind w:left="6537" w:hanging="360"/>
      </w:pPr>
    </w:lvl>
    <w:lvl w:ilvl="8" w:tplc="0C09001B" w:tentative="1">
      <w:start w:val="1"/>
      <w:numFmt w:val="lowerRoman"/>
      <w:lvlText w:val="%9."/>
      <w:lvlJc w:val="right"/>
      <w:pPr>
        <w:ind w:left="7257" w:hanging="180"/>
      </w:pPr>
    </w:lvl>
  </w:abstractNum>
  <w:abstractNum w:abstractNumId="19" w15:restartNumberingAfterBreak="0">
    <w:nsid w:val="38986184"/>
    <w:multiLevelType w:val="hybridMultilevel"/>
    <w:tmpl w:val="E954D0D0"/>
    <w:lvl w:ilvl="0" w:tplc="220A65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9B18E6"/>
    <w:multiLevelType w:val="hybridMultilevel"/>
    <w:tmpl w:val="FAF41742"/>
    <w:lvl w:ilvl="0" w:tplc="BA225B1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58FB6E4E"/>
    <w:multiLevelType w:val="hybridMultilevel"/>
    <w:tmpl w:val="B8F636D2"/>
    <w:lvl w:ilvl="0" w:tplc="97D673F4">
      <w:start w:val="1"/>
      <w:numFmt w:val="decimal"/>
      <w:lvlText w:val="(%1)"/>
      <w:lvlJc w:val="left"/>
      <w:pPr>
        <w:ind w:left="1137" w:hanging="57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3" w15:restartNumberingAfterBreak="0">
    <w:nsid w:val="68985613"/>
    <w:multiLevelType w:val="hybridMultilevel"/>
    <w:tmpl w:val="7DB89E36"/>
    <w:lvl w:ilvl="0" w:tplc="F754EEF2">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4" w15:restartNumberingAfterBreak="0">
    <w:nsid w:val="6DBC2529"/>
    <w:multiLevelType w:val="hybridMultilevel"/>
    <w:tmpl w:val="507E5414"/>
    <w:lvl w:ilvl="0" w:tplc="E3D4EC1A">
      <w:start w:val="1"/>
      <w:numFmt w:val="lowerLetter"/>
      <w:lvlText w:val="(%1)"/>
      <w:lvlJc w:val="left"/>
      <w:pPr>
        <w:ind w:left="1647" w:hanging="360"/>
      </w:pPr>
      <w:rPr>
        <w:rFonts w:hint="default"/>
      </w:rPr>
    </w:lvl>
    <w:lvl w:ilvl="1" w:tplc="0C090019" w:tentative="1">
      <w:start w:val="1"/>
      <w:numFmt w:val="lowerLetter"/>
      <w:lvlText w:val="%2."/>
      <w:lvlJc w:val="left"/>
      <w:pPr>
        <w:ind w:left="2367" w:hanging="360"/>
      </w:pPr>
    </w:lvl>
    <w:lvl w:ilvl="2" w:tplc="0C09001B" w:tentative="1">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25" w15:restartNumberingAfterBreak="0">
    <w:nsid w:val="78A82400"/>
    <w:multiLevelType w:val="hybridMultilevel"/>
    <w:tmpl w:val="0226E3C2"/>
    <w:lvl w:ilvl="0" w:tplc="F07A3A32">
      <w:start w:val="1"/>
      <w:numFmt w:val="lowerLetter"/>
      <w:lvlText w:val="(%1)"/>
      <w:lvlJc w:val="left"/>
      <w:pPr>
        <w:ind w:left="1647" w:hanging="360"/>
      </w:pPr>
      <w:rPr>
        <w:rFonts w:hint="default"/>
      </w:rPr>
    </w:lvl>
    <w:lvl w:ilvl="1" w:tplc="0C090019" w:tentative="1">
      <w:start w:val="1"/>
      <w:numFmt w:val="lowerLetter"/>
      <w:lvlText w:val="%2."/>
      <w:lvlJc w:val="left"/>
      <w:pPr>
        <w:ind w:left="2367" w:hanging="360"/>
      </w:pPr>
    </w:lvl>
    <w:lvl w:ilvl="2" w:tplc="0C09001B" w:tentative="1">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26" w15:restartNumberingAfterBreak="0">
    <w:nsid w:val="7E236680"/>
    <w:multiLevelType w:val="hybridMultilevel"/>
    <w:tmpl w:val="3BAA695C"/>
    <w:lvl w:ilvl="0" w:tplc="0F9ACF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0"/>
  </w:num>
  <w:num w:numId="13">
    <w:abstractNumId w:val="12"/>
  </w:num>
  <w:num w:numId="14">
    <w:abstractNumId w:val="14"/>
  </w:num>
  <w:num w:numId="15">
    <w:abstractNumId w:val="22"/>
  </w:num>
  <w:num w:numId="16">
    <w:abstractNumId w:val="18"/>
  </w:num>
  <w:num w:numId="17">
    <w:abstractNumId w:val="25"/>
  </w:num>
  <w:num w:numId="18">
    <w:abstractNumId w:val="15"/>
  </w:num>
  <w:num w:numId="19">
    <w:abstractNumId w:val="24"/>
  </w:num>
  <w:num w:numId="20">
    <w:abstractNumId w:val="17"/>
  </w:num>
  <w:num w:numId="21">
    <w:abstractNumId w:val="19"/>
  </w:num>
  <w:num w:numId="22">
    <w:abstractNumId w:val="26"/>
  </w:num>
  <w:num w:numId="23">
    <w:abstractNumId w:val="13"/>
  </w:num>
  <w:num w:numId="24">
    <w:abstractNumId w:val="20"/>
  </w:num>
  <w:num w:numId="25">
    <w:abstractNumId w:val="11"/>
  </w:num>
  <w:num w:numId="26">
    <w:abstractNumId w:val="23"/>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EA5"/>
    <w:rsid w:val="00004174"/>
    <w:rsid w:val="00004470"/>
    <w:rsid w:val="000136AF"/>
    <w:rsid w:val="000258B1"/>
    <w:rsid w:val="00040A89"/>
    <w:rsid w:val="000437C1"/>
    <w:rsid w:val="0004455A"/>
    <w:rsid w:val="0005365D"/>
    <w:rsid w:val="000614BF"/>
    <w:rsid w:val="0006709C"/>
    <w:rsid w:val="00074376"/>
    <w:rsid w:val="000754CF"/>
    <w:rsid w:val="000978F5"/>
    <w:rsid w:val="000A5D00"/>
    <w:rsid w:val="000B15CD"/>
    <w:rsid w:val="000B35EB"/>
    <w:rsid w:val="000D05EF"/>
    <w:rsid w:val="000E2261"/>
    <w:rsid w:val="000E78B7"/>
    <w:rsid w:val="000F21C1"/>
    <w:rsid w:val="0010745C"/>
    <w:rsid w:val="00132CEB"/>
    <w:rsid w:val="001339B0"/>
    <w:rsid w:val="00142B62"/>
    <w:rsid w:val="001441B7"/>
    <w:rsid w:val="001509DD"/>
    <w:rsid w:val="001516CB"/>
    <w:rsid w:val="00152336"/>
    <w:rsid w:val="001546BB"/>
    <w:rsid w:val="00157B8B"/>
    <w:rsid w:val="0016140E"/>
    <w:rsid w:val="00166C2F"/>
    <w:rsid w:val="001809D7"/>
    <w:rsid w:val="0019014B"/>
    <w:rsid w:val="001939E1"/>
    <w:rsid w:val="00194C3E"/>
    <w:rsid w:val="00195382"/>
    <w:rsid w:val="001B2CB6"/>
    <w:rsid w:val="001C61C5"/>
    <w:rsid w:val="001C69C4"/>
    <w:rsid w:val="001D37EF"/>
    <w:rsid w:val="001E3590"/>
    <w:rsid w:val="001E7407"/>
    <w:rsid w:val="001F5D5E"/>
    <w:rsid w:val="001F6219"/>
    <w:rsid w:val="001F6CD4"/>
    <w:rsid w:val="00206C4D"/>
    <w:rsid w:val="00215AF1"/>
    <w:rsid w:val="002253F6"/>
    <w:rsid w:val="002321E8"/>
    <w:rsid w:val="00232984"/>
    <w:rsid w:val="0024010F"/>
    <w:rsid w:val="00240749"/>
    <w:rsid w:val="00243018"/>
    <w:rsid w:val="002564A4"/>
    <w:rsid w:val="0026736C"/>
    <w:rsid w:val="002715E0"/>
    <w:rsid w:val="00281308"/>
    <w:rsid w:val="00284719"/>
    <w:rsid w:val="00297ECB"/>
    <w:rsid w:val="002A291D"/>
    <w:rsid w:val="002A7BCF"/>
    <w:rsid w:val="002C3FD1"/>
    <w:rsid w:val="002D043A"/>
    <w:rsid w:val="002D266B"/>
    <w:rsid w:val="002D6224"/>
    <w:rsid w:val="00304F8B"/>
    <w:rsid w:val="00335BC6"/>
    <w:rsid w:val="00340C3E"/>
    <w:rsid w:val="003415D3"/>
    <w:rsid w:val="00344338"/>
    <w:rsid w:val="00344701"/>
    <w:rsid w:val="00352B0F"/>
    <w:rsid w:val="00360459"/>
    <w:rsid w:val="003767E2"/>
    <w:rsid w:val="0038049F"/>
    <w:rsid w:val="003A1C87"/>
    <w:rsid w:val="003A28E2"/>
    <w:rsid w:val="003B3D9C"/>
    <w:rsid w:val="003C6231"/>
    <w:rsid w:val="003D0BFE"/>
    <w:rsid w:val="003D5700"/>
    <w:rsid w:val="003E341B"/>
    <w:rsid w:val="003E4D00"/>
    <w:rsid w:val="003F2F02"/>
    <w:rsid w:val="003F4A3D"/>
    <w:rsid w:val="003F4AC8"/>
    <w:rsid w:val="004116CD"/>
    <w:rsid w:val="00417EB9"/>
    <w:rsid w:val="00424CA9"/>
    <w:rsid w:val="004276DF"/>
    <w:rsid w:val="00431E9B"/>
    <w:rsid w:val="004379E3"/>
    <w:rsid w:val="0044015E"/>
    <w:rsid w:val="0044291A"/>
    <w:rsid w:val="00467661"/>
    <w:rsid w:val="00472DBE"/>
    <w:rsid w:val="00474A19"/>
    <w:rsid w:val="00477830"/>
    <w:rsid w:val="00487764"/>
    <w:rsid w:val="00496F97"/>
    <w:rsid w:val="004B6C48"/>
    <w:rsid w:val="004C4E59"/>
    <w:rsid w:val="004C6809"/>
    <w:rsid w:val="004E063A"/>
    <w:rsid w:val="004E1307"/>
    <w:rsid w:val="004E5230"/>
    <w:rsid w:val="004E7BEC"/>
    <w:rsid w:val="00505D3D"/>
    <w:rsid w:val="00506AF6"/>
    <w:rsid w:val="00516B8D"/>
    <w:rsid w:val="005303C8"/>
    <w:rsid w:val="00537FBC"/>
    <w:rsid w:val="00554826"/>
    <w:rsid w:val="00562877"/>
    <w:rsid w:val="00584811"/>
    <w:rsid w:val="00585784"/>
    <w:rsid w:val="00593AA6"/>
    <w:rsid w:val="00593FA6"/>
    <w:rsid w:val="00594161"/>
    <w:rsid w:val="00594749"/>
    <w:rsid w:val="005978B1"/>
    <w:rsid w:val="005A65D5"/>
    <w:rsid w:val="005B4067"/>
    <w:rsid w:val="005C3F41"/>
    <w:rsid w:val="005D1D92"/>
    <w:rsid w:val="005D2D09"/>
    <w:rsid w:val="00600219"/>
    <w:rsid w:val="00604F2A"/>
    <w:rsid w:val="00620076"/>
    <w:rsid w:val="00627E0A"/>
    <w:rsid w:val="0065488B"/>
    <w:rsid w:val="00670EA1"/>
    <w:rsid w:val="00677CC2"/>
    <w:rsid w:val="0068744B"/>
    <w:rsid w:val="006905DE"/>
    <w:rsid w:val="0069207B"/>
    <w:rsid w:val="0069645B"/>
    <w:rsid w:val="006A154F"/>
    <w:rsid w:val="006A437B"/>
    <w:rsid w:val="006B5789"/>
    <w:rsid w:val="006B6F33"/>
    <w:rsid w:val="006C30C5"/>
    <w:rsid w:val="006C7F8C"/>
    <w:rsid w:val="006E2E1C"/>
    <w:rsid w:val="006E6246"/>
    <w:rsid w:val="006E69C2"/>
    <w:rsid w:val="006E6DCC"/>
    <w:rsid w:val="006F318F"/>
    <w:rsid w:val="0070017E"/>
    <w:rsid w:val="00700B2C"/>
    <w:rsid w:val="007050A2"/>
    <w:rsid w:val="00713084"/>
    <w:rsid w:val="00714F20"/>
    <w:rsid w:val="0071590F"/>
    <w:rsid w:val="00715914"/>
    <w:rsid w:val="0072147A"/>
    <w:rsid w:val="00721FD3"/>
    <w:rsid w:val="00723791"/>
    <w:rsid w:val="00731E00"/>
    <w:rsid w:val="007440B7"/>
    <w:rsid w:val="007500C8"/>
    <w:rsid w:val="00756272"/>
    <w:rsid w:val="00762D38"/>
    <w:rsid w:val="007715C9"/>
    <w:rsid w:val="00771613"/>
    <w:rsid w:val="00774EDD"/>
    <w:rsid w:val="007757EC"/>
    <w:rsid w:val="00783E89"/>
    <w:rsid w:val="00793915"/>
    <w:rsid w:val="007C2253"/>
    <w:rsid w:val="007C3390"/>
    <w:rsid w:val="007D7911"/>
    <w:rsid w:val="007D7D63"/>
    <w:rsid w:val="007E163D"/>
    <w:rsid w:val="007E30F9"/>
    <w:rsid w:val="007E667A"/>
    <w:rsid w:val="007F28C9"/>
    <w:rsid w:val="007F51B2"/>
    <w:rsid w:val="007F69AF"/>
    <w:rsid w:val="00801D25"/>
    <w:rsid w:val="008040DD"/>
    <w:rsid w:val="008117E9"/>
    <w:rsid w:val="00824498"/>
    <w:rsid w:val="00826BD1"/>
    <w:rsid w:val="00854D0B"/>
    <w:rsid w:val="00856A31"/>
    <w:rsid w:val="00860B4E"/>
    <w:rsid w:val="00867B37"/>
    <w:rsid w:val="008754D0"/>
    <w:rsid w:val="00875D13"/>
    <w:rsid w:val="008855C9"/>
    <w:rsid w:val="00886456"/>
    <w:rsid w:val="00896176"/>
    <w:rsid w:val="008A46E1"/>
    <w:rsid w:val="008A4F43"/>
    <w:rsid w:val="008B2706"/>
    <w:rsid w:val="008C2EAC"/>
    <w:rsid w:val="008D0EE0"/>
    <w:rsid w:val="008E0027"/>
    <w:rsid w:val="008E6067"/>
    <w:rsid w:val="008F12D9"/>
    <w:rsid w:val="008F54E7"/>
    <w:rsid w:val="00903422"/>
    <w:rsid w:val="00910855"/>
    <w:rsid w:val="009254C3"/>
    <w:rsid w:val="00932377"/>
    <w:rsid w:val="00941236"/>
    <w:rsid w:val="00943FD5"/>
    <w:rsid w:val="00947D5A"/>
    <w:rsid w:val="009532A5"/>
    <w:rsid w:val="009545BD"/>
    <w:rsid w:val="009617B4"/>
    <w:rsid w:val="00964CF0"/>
    <w:rsid w:val="00977806"/>
    <w:rsid w:val="00982242"/>
    <w:rsid w:val="009868E9"/>
    <w:rsid w:val="009900A3"/>
    <w:rsid w:val="009C3413"/>
    <w:rsid w:val="009D24C3"/>
    <w:rsid w:val="009D6334"/>
    <w:rsid w:val="00A01BB1"/>
    <w:rsid w:val="00A0441E"/>
    <w:rsid w:val="00A12128"/>
    <w:rsid w:val="00A22C98"/>
    <w:rsid w:val="00A231E2"/>
    <w:rsid w:val="00A255E0"/>
    <w:rsid w:val="00A369E3"/>
    <w:rsid w:val="00A5217C"/>
    <w:rsid w:val="00A57600"/>
    <w:rsid w:val="00A64912"/>
    <w:rsid w:val="00A70A74"/>
    <w:rsid w:val="00A75FE9"/>
    <w:rsid w:val="00AD53CC"/>
    <w:rsid w:val="00AD5641"/>
    <w:rsid w:val="00AE57EF"/>
    <w:rsid w:val="00AF06CF"/>
    <w:rsid w:val="00B07CDB"/>
    <w:rsid w:val="00B16A31"/>
    <w:rsid w:val="00B17DFD"/>
    <w:rsid w:val="00B25306"/>
    <w:rsid w:val="00B27831"/>
    <w:rsid w:val="00B308B0"/>
    <w:rsid w:val="00B308FE"/>
    <w:rsid w:val="00B33709"/>
    <w:rsid w:val="00B33B3C"/>
    <w:rsid w:val="00B36392"/>
    <w:rsid w:val="00B418CB"/>
    <w:rsid w:val="00B47444"/>
    <w:rsid w:val="00B50ADC"/>
    <w:rsid w:val="00B55CC9"/>
    <w:rsid w:val="00B566B1"/>
    <w:rsid w:val="00B63834"/>
    <w:rsid w:val="00B64352"/>
    <w:rsid w:val="00B80199"/>
    <w:rsid w:val="00B83204"/>
    <w:rsid w:val="00B856E7"/>
    <w:rsid w:val="00B877D4"/>
    <w:rsid w:val="00BA220B"/>
    <w:rsid w:val="00BA3A57"/>
    <w:rsid w:val="00BB1533"/>
    <w:rsid w:val="00BB4E1A"/>
    <w:rsid w:val="00BC015E"/>
    <w:rsid w:val="00BC76AC"/>
    <w:rsid w:val="00BD0ECB"/>
    <w:rsid w:val="00BE2155"/>
    <w:rsid w:val="00BE719A"/>
    <w:rsid w:val="00BE720A"/>
    <w:rsid w:val="00BE783A"/>
    <w:rsid w:val="00BF0D73"/>
    <w:rsid w:val="00BF2465"/>
    <w:rsid w:val="00C16619"/>
    <w:rsid w:val="00C25E7F"/>
    <w:rsid w:val="00C2746F"/>
    <w:rsid w:val="00C323D6"/>
    <w:rsid w:val="00C324A0"/>
    <w:rsid w:val="00C36398"/>
    <w:rsid w:val="00C42BF8"/>
    <w:rsid w:val="00C50043"/>
    <w:rsid w:val="00C511DF"/>
    <w:rsid w:val="00C54E66"/>
    <w:rsid w:val="00C7573B"/>
    <w:rsid w:val="00C97A54"/>
    <w:rsid w:val="00CA5B23"/>
    <w:rsid w:val="00CB602E"/>
    <w:rsid w:val="00CB7E90"/>
    <w:rsid w:val="00CC1C1D"/>
    <w:rsid w:val="00CE051D"/>
    <w:rsid w:val="00CE1335"/>
    <w:rsid w:val="00CE493D"/>
    <w:rsid w:val="00CF07FA"/>
    <w:rsid w:val="00CF0BB2"/>
    <w:rsid w:val="00CF3EE8"/>
    <w:rsid w:val="00D13441"/>
    <w:rsid w:val="00D150E7"/>
    <w:rsid w:val="00D34057"/>
    <w:rsid w:val="00D42CAB"/>
    <w:rsid w:val="00D46DFF"/>
    <w:rsid w:val="00D52DC2"/>
    <w:rsid w:val="00D53BCC"/>
    <w:rsid w:val="00D54C9E"/>
    <w:rsid w:val="00D6537E"/>
    <w:rsid w:val="00D70DFB"/>
    <w:rsid w:val="00D766DF"/>
    <w:rsid w:val="00D8206C"/>
    <w:rsid w:val="00D91F10"/>
    <w:rsid w:val="00DA186E"/>
    <w:rsid w:val="00DA4116"/>
    <w:rsid w:val="00DB251C"/>
    <w:rsid w:val="00DB4630"/>
    <w:rsid w:val="00DB64D9"/>
    <w:rsid w:val="00DB6EF5"/>
    <w:rsid w:val="00DC4F88"/>
    <w:rsid w:val="00DE107C"/>
    <w:rsid w:val="00DF2388"/>
    <w:rsid w:val="00E05704"/>
    <w:rsid w:val="00E338EF"/>
    <w:rsid w:val="00E457BA"/>
    <w:rsid w:val="00E544BB"/>
    <w:rsid w:val="00E678F9"/>
    <w:rsid w:val="00E74DC7"/>
    <w:rsid w:val="00E8075A"/>
    <w:rsid w:val="00E940D8"/>
    <w:rsid w:val="00E94D5E"/>
    <w:rsid w:val="00EA7100"/>
    <w:rsid w:val="00EA7F9F"/>
    <w:rsid w:val="00EB1274"/>
    <w:rsid w:val="00EB1811"/>
    <w:rsid w:val="00ED2BB6"/>
    <w:rsid w:val="00ED34E1"/>
    <w:rsid w:val="00ED3B8D"/>
    <w:rsid w:val="00EE5E36"/>
    <w:rsid w:val="00EE69DA"/>
    <w:rsid w:val="00EE6BEC"/>
    <w:rsid w:val="00EF2E3A"/>
    <w:rsid w:val="00F02C7C"/>
    <w:rsid w:val="00F072A7"/>
    <w:rsid w:val="00F078DC"/>
    <w:rsid w:val="00F1004E"/>
    <w:rsid w:val="00F2159A"/>
    <w:rsid w:val="00F27EA5"/>
    <w:rsid w:val="00F32BA8"/>
    <w:rsid w:val="00F32EE0"/>
    <w:rsid w:val="00F349F1"/>
    <w:rsid w:val="00F4350D"/>
    <w:rsid w:val="00F479C4"/>
    <w:rsid w:val="00F567F7"/>
    <w:rsid w:val="00F60364"/>
    <w:rsid w:val="00F6696E"/>
    <w:rsid w:val="00F73BD6"/>
    <w:rsid w:val="00F83989"/>
    <w:rsid w:val="00F85099"/>
    <w:rsid w:val="00F867EC"/>
    <w:rsid w:val="00F9379C"/>
    <w:rsid w:val="00F9632C"/>
    <w:rsid w:val="00FA07A1"/>
    <w:rsid w:val="00FA1E52"/>
    <w:rsid w:val="00FA64AE"/>
    <w:rsid w:val="00FB5A08"/>
    <w:rsid w:val="00FC6A80"/>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9DDA946"/>
  <w15:docId w15:val="{0DA61859-E8F5-461B-ABAC-E1AF9F1C4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721FD3"/>
    <w:rPr>
      <w:sz w:val="16"/>
      <w:szCs w:val="16"/>
    </w:rPr>
  </w:style>
  <w:style w:type="paragraph" w:styleId="CommentText">
    <w:name w:val="annotation text"/>
    <w:basedOn w:val="Normal"/>
    <w:link w:val="CommentTextChar"/>
    <w:uiPriority w:val="99"/>
    <w:unhideWhenUsed/>
    <w:rsid w:val="00721FD3"/>
    <w:pPr>
      <w:spacing w:line="240" w:lineRule="auto"/>
    </w:pPr>
    <w:rPr>
      <w:sz w:val="20"/>
    </w:rPr>
  </w:style>
  <w:style w:type="character" w:customStyle="1" w:styleId="CommentTextChar">
    <w:name w:val="Comment Text Char"/>
    <w:basedOn w:val="DefaultParagraphFont"/>
    <w:link w:val="CommentText"/>
    <w:uiPriority w:val="99"/>
    <w:rsid w:val="00721FD3"/>
  </w:style>
  <w:style w:type="paragraph" w:styleId="CommentSubject">
    <w:name w:val="annotation subject"/>
    <w:basedOn w:val="CommentText"/>
    <w:next w:val="CommentText"/>
    <w:link w:val="CommentSubjectChar"/>
    <w:uiPriority w:val="99"/>
    <w:semiHidden/>
    <w:unhideWhenUsed/>
    <w:rsid w:val="00721FD3"/>
    <w:rPr>
      <w:b/>
      <w:bCs/>
    </w:rPr>
  </w:style>
  <w:style w:type="character" w:customStyle="1" w:styleId="CommentSubjectChar">
    <w:name w:val="Comment Subject Char"/>
    <w:basedOn w:val="CommentTextChar"/>
    <w:link w:val="CommentSubject"/>
    <w:uiPriority w:val="99"/>
    <w:semiHidden/>
    <w:rsid w:val="00721F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G:\legal\LegServLEG\5%20-%20LEGISLATIVE%20INSTRUMENTS\00.%20Admin\1.%20Templates\Template%20-%20principal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EAD40-01E7-41EE-A961-205AB6D6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principal_instrument</Template>
  <TotalTime>0</TotalTime>
  <Pages>7</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HUNTER</dc:creator>
  <cp:lastModifiedBy>Jayde KOMINIARSKI</cp:lastModifiedBy>
  <cp:revision>2</cp:revision>
  <cp:lastPrinted>2020-02-18T22:44:00Z</cp:lastPrinted>
  <dcterms:created xsi:type="dcterms:W3CDTF">2020-02-23T23:30:00Z</dcterms:created>
  <dcterms:modified xsi:type="dcterms:W3CDTF">2020-02-23T23:30:00Z</dcterms:modified>
</cp:coreProperties>
</file>