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20" w14:textId="202C8894" w:rsidR="00FA6784" w:rsidRPr="00AC7EC6" w:rsidRDefault="00971394" w:rsidP="0050466D">
      <w:pPr>
        <w:jc w:val="center"/>
        <w:rPr>
          <w:b/>
          <w:bCs/>
          <w:szCs w:val="24"/>
          <w:lang w:eastAsia="en-US"/>
        </w:rPr>
      </w:pPr>
      <w:r w:rsidRPr="00AC7EC6">
        <w:rPr>
          <w:b/>
          <w:bCs/>
          <w:szCs w:val="24"/>
          <w:lang w:eastAsia="en-US"/>
        </w:rPr>
        <w:t xml:space="preserve">EXPLANATORY </w:t>
      </w:r>
      <w:r w:rsidR="00450AAD">
        <w:rPr>
          <w:b/>
          <w:bCs/>
          <w:szCs w:val="24"/>
          <w:lang w:eastAsia="en-US"/>
        </w:rPr>
        <w:t>STATEMENT</w:t>
      </w:r>
    </w:p>
    <w:p w14:paraId="7DCDD807" w14:textId="0CC9EAC3" w:rsidR="00971394" w:rsidRDefault="00971394" w:rsidP="0050466D">
      <w:pPr>
        <w:jc w:val="center"/>
        <w:rPr>
          <w:sz w:val="22"/>
          <w:szCs w:val="22"/>
          <w:highlight w:val="yellow"/>
        </w:rPr>
      </w:pPr>
    </w:p>
    <w:p w14:paraId="393FE3AD" w14:textId="3C2E4901" w:rsidR="006903CD" w:rsidRPr="007D21B4" w:rsidRDefault="006903CD" w:rsidP="0050466D">
      <w:pPr>
        <w:jc w:val="center"/>
        <w:rPr>
          <w:sz w:val="22"/>
          <w:szCs w:val="22"/>
        </w:rPr>
      </w:pPr>
      <w:r w:rsidRPr="007D21B4">
        <w:rPr>
          <w:sz w:val="22"/>
          <w:szCs w:val="22"/>
        </w:rPr>
        <w:t>Issued by the Authority of the Minister for Health</w:t>
      </w:r>
    </w:p>
    <w:p w14:paraId="5FD1622B" w14:textId="77777777" w:rsidR="006903CD" w:rsidRPr="00AC7EC6" w:rsidRDefault="006903CD" w:rsidP="0050466D">
      <w:pPr>
        <w:jc w:val="center"/>
        <w:rPr>
          <w:sz w:val="22"/>
          <w:szCs w:val="22"/>
          <w:highlight w:val="yellow"/>
        </w:rPr>
      </w:pPr>
    </w:p>
    <w:p w14:paraId="19E66CF3" w14:textId="11D1B913" w:rsidR="006903CD" w:rsidRDefault="006903CD" w:rsidP="006903C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color w:val="000000"/>
          <w:shd w:val="clear" w:color="auto" w:fill="FFFFFF"/>
        </w:rPr>
      </w:pPr>
      <w:r w:rsidRPr="00543382">
        <w:rPr>
          <w:i/>
          <w:color w:val="000000"/>
          <w:shd w:val="clear" w:color="auto" w:fill="FFFFFF"/>
        </w:rPr>
        <w:t>Health Insurance Act 1973</w:t>
      </w:r>
    </w:p>
    <w:p w14:paraId="35B5BD42" w14:textId="77777777" w:rsidR="006903CD" w:rsidRPr="00543382" w:rsidRDefault="006903CD" w:rsidP="006903C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color w:val="000000"/>
          <w:shd w:val="clear" w:color="auto" w:fill="FFFFFF"/>
        </w:rPr>
      </w:pPr>
    </w:p>
    <w:p w14:paraId="4C964DC9" w14:textId="65758714" w:rsidR="007F21C2" w:rsidRPr="00AC7EC6" w:rsidRDefault="00AC7EC6" w:rsidP="007D21B4">
      <w:pPr>
        <w:ind w:right="-483"/>
        <w:jc w:val="center"/>
        <w:rPr>
          <w:i/>
          <w:szCs w:val="24"/>
        </w:rPr>
      </w:pPr>
      <w:r w:rsidRPr="00AC7EC6">
        <w:rPr>
          <w:i/>
          <w:szCs w:val="24"/>
        </w:rPr>
        <w:t>Health Insurance Legislation Amendment (Intensive Care and Emergency Medicine) Regulations 2020</w:t>
      </w:r>
    </w:p>
    <w:p w14:paraId="0C3F7CAB" w14:textId="77777777" w:rsidR="00450AAD" w:rsidRPr="00AC7EC6" w:rsidRDefault="00450AAD" w:rsidP="0050466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highlight w:val="yellow"/>
          <w:shd w:val="clear" w:color="auto" w:fill="FFFFFF"/>
        </w:rPr>
      </w:pPr>
    </w:p>
    <w:p w14:paraId="31FEA5B0" w14:textId="77777777" w:rsidR="00971394" w:rsidRPr="00AC7EC6" w:rsidRDefault="00971394" w:rsidP="00971394">
      <w:pPr>
        <w:rPr>
          <w:szCs w:val="24"/>
          <w:lang w:eastAsia="en-US"/>
        </w:rPr>
      </w:pPr>
      <w:r w:rsidRPr="00AC7EC6">
        <w:rPr>
          <w:szCs w:val="24"/>
        </w:rPr>
        <w:t xml:space="preserve">The </w:t>
      </w:r>
      <w:r w:rsidRPr="00AC7EC6">
        <w:rPr>
          <w:i/>
          <w:szCs w:val="24"/>
        </w:rPr>
        <w:t>Health Insurance Act</w:t>
      </w:r>
      <w:r w:rsidRPr="00AC7EC6">
        <w:rPr>
          <w:szCs w:val="24"/>
        </w:rPr>
        <w:t xml:space="preserve"> </w:t>
      </w:r>
      <w:r w:rsidRPr="00AC7EC6">
        <w:rPr>
          <w:i/>
          <w:szCs w:val="24"/>
        </w:rPr>
        <w:t xml:space="preserve">1973 </w:t>
      </w:r>
      <w:r w:rsidRPr="00AC7EC6">
        <w:rPr>
          <w:szCs w:val="24"/>
          <w:lang w:eastAsia="en-US"/>
        </w:rPr>
        <w:t>(the Act) sets out the principles and definitions governing the Medicare Benefits Schedule (MBS). The Act provides for payments by way of medical benefits and for other purposes.</w:t>
      </w:r>
    </w:p>
    <w:p w14:paraId="7BF99FBA" w14:textId="77777777" w:rsidR="00971394" w:rsidRPr="00AC7EC6" w:rsidRDefault="00971394" w:rsidP="0050466D">
      <w:pPr>
        <w:ind w:right="-483"/>
        <w:rPr>
          <w:szCs w:val="24"/>
          <w:highlight w:val="yellow"/>
        </w:rPr>
      </w:pPr>
    </w:p>
    <w:p w14:paraId="0B440AEB" w14:textId="5D8F683A" w:rsidR="001E11BE" w:rsidRPr="00AC7EC6" w:rsidRDefault="001E11BE" w:rsidP="0050466D">
      <w:pPr>
        <w:ind w:right="-483"/>
        <w:rPr>
          <w:szCs w:val="24"/>
        </w:rPr>
      </w:pPr>
      <w:r w:rsidRPr="00AC7EC6">
        <w:rPr>
          <w:szCs w:val="24"/>
        </w:rPr>
        <w:t>Subsection 133(1) of the Act provides that the Governor-General may make regulations, not inconsistent with the Act, prescribing all matters required or permitted by the Act to be prescribed, or necessary or convenient to be prescribed for carrying out or giving effect to the Act.</w:t>
      </w:r>
    </w:p>
    <w:p w14:paraId="4C639BFB" w14:textId="77777777" w:rsidR="001E11BE" w:rsidRPr="007D21B4" w:rsidRDefault="001E11BE" w:rsidP="0050466D">
      <w:pPr>
        <w:ind w:right="-483"/>
        <w:rPr>
          <w:rStyle w:val="IntenseReference"/>
          <w:b w:val="0"/>
          <w:bCs w:val="0"/>
          <w:i w:val="0"/>
          <w:smallCaps w:val="0"/>
          <w:color w:val="auto"/>
          <w:szCs w:val="24"/>
          <w:highlight w:val="yellow"/>
        </w:rPr>
      </w:pPr>
    </w:p>
    <w:p w14:paraId="2463D862" w14:textId="77777777" w:rsidR="001E11BE" w:rsidRPr="00AC7EC6" w:rsidRDefault="001E11BE" w:rsidP="0050466D">
      <w:pPr>
        <w:ind w:right="-483"/>
        <w:rPr>
          <w:szCs w:val="24"/>
        </w:rPr>
      </w:pPr>
      <w:r w:rsidRPr="00AC7EC6">
        <w:rPr>
          <w:szCs w:val="24"/>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14:paraId="2570E62B" w14:textId="77777777" w:rsidR="001E11BE" w:rsidRPr="00AC7EC6" w:rsidRDefault="001E11BE" w:rsidP="0050466D">
      <w:pPr>
        <w:rPr>
          <w:szCs w:val="24"/>
          <w:highlight w:val="yellow"/>
        </w:rPr>
      </w:pPr>
    </w:p>
    <w:p w14:paraId="773ACCCB" w14:textId="7CD3F2E0" w:rsidR="001E11BE" w:rsidRPr="00AC7EC6" w:rsidRDefault="001E11BE" w:rsidP="0050466D">
      <w:pPr>
        <w:rPr>
          <w:szCs w:val="24"/>
        </w:rPr>
      </w:pPr>
      <w:r w:rsidRPr="00AC7EC6">
        <w:rPr>
          <w:szCs w:val="24"/>
        </w:rPr>
        <w:t xml:space="preserve">Subsections 4(1) and 4AA(1) of the Act </w:t>
      </w:r>
      <w:r w:rsidR="00B96449" w:rsidRPr="00AC7EC6">
        <w:rPr>
          <w:szCs w:val="24"/>
        </w:rPr>
        <w:t xml:space="preserve">provide </w:t>
      </w:r>
      <w:r w:rsidRPr="00AC7EC6">
        <w:rPr>
          <w:szCs w:val="24"/>
        </w:rPr>
        <w:t>that regulations may prescribe tables of medical</w:t>
      </w:r>
      <w:r w:rsidR="00910C0B" w:rsidRPr="00AC7EC6">
        <w:rPr>
          <w:szCs w:val="24"/>
        </w:rPr>
        <w:t xml:space="preserve"> </w:t>
      </w:r>
      <w:r w:rsidRPr="00AC7EC6">
        <w:rPr>
          <w:szCs w:val="24"/>
        </w:rPr>
        <w:t xml:space="preserve">and diagnostic imaging services which set out items of services, the fees applicable for each item, and rules for interpreting the tables. The </w:t>
      </w:r>
      <w:r w:rsidRPr="00AC7EC6">
        <w:rPr>
          <w:i/>
          <w:szCs w:val="24"/>
        </w:rPr>
        <w:t xml:space="preserve">Health Insurance (General Medical Services Table) Regulations 2019 </w:t>
      </w:r>
      <w:r w:rsidRPr="00AC7EC6">
        <w:rPr>
          <w:szCs w:val="24"/>
        </w:rPr>
        <w:t xml:space="preserve">(GMST) and the </w:t>
      </w:r>
      <w:r w:rsidRPr="00AC7EC6">
        <w:rPr>
          <w:i/>
          <w:szCs w:val="24"/>
        </w:rPr>
        <w:t xml:space="preserve">Health Insurance (Diagnostic Imaging Services Table) Regulations 2019 </w:t>
      </w:r>
      <w:r w:rsidRPr="00AC7EC6">
        <w:rPr>
          <w:szCs w:val="24"/>
        </w:rPr>
        <w:t xml:space="preserve">(DIST) currently prescribe such tables.  </w:t>
      </w:r>
    </w:p>
    <w:p w14:paraId="3782B479" w14:textId="77777777" w:rsidR="00275A67" w:rsidRPr="00C709A0" w:rsidRDefault="00275A67" w:rsidP="0050466D"/>
    <w:p w14:paraId="7DAD7677" w14:textId="2A962604" w:rsidR="006903CD" w:rsidRPr="00C709A0" w:rsidRDefault="006903CD" w:rsidP="00AC7EC6">
      <w:pPr>
        <w:contextualSpacing/>
        <w:rPr>
          <w:b/>
        </w:rPr>
      </w:pPr>
      <w:r w:rsidRPr="00C709A0">
        <w:rPr>
          <w:b/>
        </w:rPr>
        <w:t>Purpose</w:t>
      </w:r>
    </w:p>
    <w:p w14:paraId="4DBA5764" w14:textId="6E921784" w:rsidR="004E4CB3" w:rsidRPr="00C709A0" w:rsidRDefault="00AC7EC6" w:rsidP="00AC7EC6">
      <w:pPr>
        <w:contextualSpacing/>
      </w:pPr>
      <w:r w:rsidRPr="00C709A0">
        <w:t xml:space="preserve">The purpose of the </w:t>
      </w:r>
      <w:r w:rsidRPr="00C709A0">
        <w:rPr>
          <w:i/>
        </w:rPr>
        <w:t>Health Insurance Legislation Amendment (Intensive Care and Emergency Medicine) Regulations 2020</w:t>
      </w:r>
      <w:r w:rsidRPr="00C709A0">
        <w:t xml:space="preserve"> (the Regulations) is to amend the GMST and the DIST from 1 March 2020</w:t>
      </w:r>
      <w:r w:rsidR="004E4CB3" w:rsidRPr="00C709A0">
        <w:t>.</w:t>
      </w:r>
    </w:p>
    <w:p w14:paraId="2175B358" w14:textId="77777777" w:rsidR="004E4CB3" w:rsidRPr="00A449CC" w:rsidRDefault="004E4CB3" w:rsidP="00AC7EC6">
      <w:pPr>
        <w:contextualSpacing/>
        <w:rPr>
          <w:highlight w:val="yellow"/>
        </w:rPr>
      </w:pPr>
    </w:p>
    <w:p w14:paraId="489F965A" w14:textId="345F06AD" w:rsidR="004E4CB3" w:rsidRDefault="004E4CB3" w:rsidP="00AC7EC6">
      <w:pPr>
        <w:contextualSpacing/>
      </w:pPr>
      <w:r w:rsidRPr="00C709A0">
        <w:t xml:space="preserve">The Regulations implement the Government’s response to recommendations from the MBS Review Taskforce (the Taskforce) on intensive care and emergency items, as announced in the 2019-20 Budget under the </w:t>
      </w:r>
      <w:r w:rsidRPr="00C709A0">
        <w:rPr>
          <w:i/>
        </w:rPr>
        <w:t xml:space="preserve">Guaranteeing Medicare — Medicare Benefits Schedule Review — response to Taskforce recommendations </w:t>
      </w:r>
      <w:r w:rsidRPr="00C709A0">
        <w:t>measure.</w:t>
      </w:r>
    </w:p>
    <w:p w14:paraId="6D15E508" w14:textId="5BAB5CF0" w:rsidR="004E4CB3" w:rsidRDefault="004E4CB3" w:rsidP="00AC7EC6">
      <w:pPr>
        <w:contextualSpacing/>
      </w:pPr>
    </w:p>
    <w:p w14:paraId="74A31ACA" w14:textId="50786D12" w:rsidR="00A449CC" w:rsidRPr="00C709A0" w:rsidRDefault="00A449CC" w:rsidP="00A449CC">
      <w:pPr>
        <w:contextualSpacing/>
      </w:pPr>
      <w:r w:rsidRPr="00C709A0">
        <w:t>The Taskforce found the existing MBS-funded intensive care and emergency medicine arrangements were complex and the fee structure did not adequately reflect the additional skill, time and risks associated with treating complex patients. The Taskforce recommended to Government that the intensive care and emergency medicine</w:t>
      </w:r>
      <w:r w:rsidR="00EB05EF">
        <w:t xml:space="preserve"> items</w:t>
      </w:r>
      <w:r w:rsidRPr="00C709A0">
        <w:t xml:space="preserve"> be restructured to reflect contemporary clinical practice.</w:t>
      </w:r>
    </w:p>
    <w:p w14:paraId="3047BD6E" w14:textId="77777777" w:rsidR="00A449CC" w:rsidRPr="00A449CC" w:rsidRDefault="00A449CC" w:rsidP="00A449CC">
      <w:pPr>
        <w:contextualSpacing/>
        <w:rPr>
          <w:highlight w:val="cyan"/>
        </w:rPr>
      </w:pPr>
    </w:p>
    <w:p w14:paraId="4B3AFD27" w14:textId="77777777" w:rsidR="00A449CC" w:rsidRPr="00C709A0" w:rsidRDefault="00A449CC" w:rsidP="00A449CC">
      <w:pPr>
        <w:contextualSpacing/>
      </w:pPr>
      <w:r w:rsidRPr="00C709A0">
        <w:t>Schedules 1 to 4 of the Regulations amend the GMST and the DIST to implement the Government’s response to the recommendations from 1 March 2020. This includes:</w:t>
      </w:r>
    </w:p>
    <w:p w14:paraId="310E92FE" w14:textId="77777777" w:rsidR="00A449CC" w:rsidRPr="00C709A0" w:rsidRDefault="00A449CC" w:rsidP="00A449CC">
      <w:pPr>
        <w:contextualSpacing/>
      </w:pPr>
    </w:p>
    <w:p w14:paraId="1729DB3D" w14:textId="77777777" w:rsidR="00A449CC" w:rsidRPr="00F14860" w:rsidRDefault="00A449CC" w:rsidP="00A449CC">
      <w:pPr>
        <w:rPr>
          <w:u w:val="single"/>
        </w:rPr>
      </w:pPr>
      <w:r w:rsidRPr="00F14860">
        <w:rPr>
          <w:u w:val="single"/>
        </w:rPr>
        <w:t>Emergency medicine</w:t>
      </w:r>
    </w:p>
    <w:p w14:paraId="3BCC7925" w14:textId="5D9EBEA9" w:rsidR="00A449CC" w:rsidRPr="00F14860" w:rsidRDefault="00F14860" w:rsidP="00A449CC">
      <w:r w:rsidRPr="00F14860">
        <w:t>Schedule 1 of t</w:t>
      </w:r>
      <w:r w:rsidR="00A449CC" w:rsidRPr="00F14860">
        <w:t>he Regulations remove</w:t>
      </w:r>
      <w:r w:rsidRPr="00F14860">
        <w:t>s</w:t>
      </w:r>
      <w:r w:rsidR="00A449CC" w:rsidRPr="00F14860">
        <w:t xml:space="preserve"> the existing emergency medicine attendance items in Group A21 of the GMST and replace</w:t>
      </w:r>
      <w:r>
        <w:t>s</w:t>
      </w:r>
      <w:r w:rsidR="00A449CC" w:rsidRPr="00F14860">
        <w:t xml:space="preserve"> them with a new schedule of items. This includes the introduction of:</w:t>
      </w:r>
    </w:p>
    <w:p w14:paraId="1C54F6DF" w14:textId="2A35369F" w:rsidR="00A449CC" w:rsidRPr="00F14860" w:rsidRDefault="00A449CC" w:rsidP="00C709A0">
      <w:pPr>
        <w:pStyle w:val="ListParagraph"/>
        <w:numPr>
          <w:ilvl w:val="0"/>
          <w:numId w:val="24"/>
        </w:numPr>
      </w:pPr>
      <w:r w:rsidRPr="00F14860">
        <w:lastRenderedPageBreak/>
        <w:t>a new subgroup of attendance items to reflect the level of professional involvement an emergency medicine service requires. The attendance services have been differentiated by clinical complexity</w:t>
      </w:r>
      <w:r w:rsidR="00E141B1">
        <w:t xml:space="preserve"> and the age of patients;</w:t>
      </w:r>
    </w:p>
    <w:p w14:paraId="556B3BCC" w14:textId="74E34A89" w:rsidR="00A449CC" w:rsidRPr="00F14860" w:rsidRDefault="00C709A0" w:rsidP="00A449CC">
      <w:pPr>
        <w:pStyle w:val="ListParagraph"/>
        <w:numPr>
          <w:ilvl w:val="0"/>
          <w:numId w:val="24"/>
        </w:numPr>
        <w:rPr>
          <w:b/>
        </w:rPr>
      </w:pPr>
      <w:r w:rsidRPr="00F14860">
        <w:t xml:space="preserve">new </w:t>
      </w:r>
      <w:r w:rsidR="00A449CC" w:rsidRPr="00F14860">
        <w:t>items for emergency medicine services performed by medical practitioners to encourage more doctors to gain emergency attendance experience and improve their capabilities. The fee for these items are 75% of the equivalent service performed by an</w:t>
      </w:r>
      <w:r w:rsidR="00E141B1">
        <w:t xml:space="preserve"> emergency medicine specialist; and</w:t>
      </w:r>
    </w:p>
    <w:p w14:paraId="726270AB" w14:textId="139AD427" w:rsidR="00F14860" w:rsidRPr="00EB05EF" w:rsidRDefault="00EB05EF" w:rsidP="00A449CC">
      <w:pPr>
        <w:pStyle w:val="ListParagraph"/>
        <w:numPr>
          <w:ilvl w:val="0"/>
          <w:numId w:val="24"/>
        </w:numPr>
        <w:rPr>
          <w:b/>
        </w:rPr>
      </w:pPr>
      <w:r>
        <w:rPr>
          <w:szCs w:val="24"/>
        </w:rPr>
        <w:t xml:space="preserve">new </w:t>
      </w:r>
      <w:r w:rsidR="008A29CB">
        <w:rPr>
          <w:szCs w:val="24"/>
        </w:rPr>
        <w:t xml:space="preserve">attendance </w:t>
      </w:r>
      <w:r>
        <w:rPr>
          <w:szCs w:val="24"/>
        </w:rPr>
        <w:t>items for goals of care services</w:t>
      </w:r>
      <w:r w:rsidR="008A29CB">
        <w:rPr>
          <w:szCs w:val="24"/>
        </w:rPr>
        <w:t xml:space="preserve">, performed </w:t>
      </w:r>
      <w:r w:rsidR="00E141B1">
        <w:rPr>
          <w:szCs w:val="24"/>
        </w:rPr>
        <w:t>by</w:t>
      </w:r>
      <w:r w:rsidR="008A29CB">
        <w:rPr>
          <w:szCs w:val="24"/>
        </w:rPr>
        <w:t xml:space="preserve"> medical practitioner</w:t>
      </w:r>
      <w:r w:rsidR="00E141B1">
        <w:rPr>
          <w:szCs w:val="24"/>
        </w:rPr>
        <w:t>s</w:t>
      </w:r>
      <w:r w:rsidR="008A29CB">
        <w:rPr>
          <w:szCs w:val="24"/>
        </w:rPr>
        <w:t xml:space="preserve"> in emergency medicine,</w:t>
      </w:r>
      <w:r>
        <w:rPr>
          <w:szCs w:val="24"/>
        </w:rPr>
        <w:t xml:space="preserve"> </w:t>
      </w:r>
      <w:r w:rsidR="00F14860" w:rsidRPr="00EB05EF">
        <w:rPr>
          <w:szCs w:val="24"/>
        </w:rPr>
        <w:t>to support gravely ill patients to make informed decisions regarding treatment of their medical condition.</w:t>
      </w:r>
    </w:p>
    <w:p w14:paraId="78A3F2E7" w14:textId="77777777" w:rsidR="00F14860" w:rsidRDefault="00F14860" w:rsidP="00F14860">
      <w:pPr>
        <w:rPr>
          <w:szCs w:val="24"/>
        </w:rPr>
      </w:pPr>
    </w:p>
    <w:p w14:paraId="5EF7115A" w14:textId="289FDA5D" w:rsidR="00F14860" w:rsidRPr="00F14860" w:rsidRDefault="00F14860" w:rsidP="00F14860">
      <w:r w:rsidRPr="00F14860">
        <w:rPr>
          <w:szCs w:val="24"/>
        </w:rPr>
        <w:t xml:space="preserve">Schedule 1 of the Regulations will also </w:t>
      </w:r>
      <w:r>
        <w:rPr>
          <w:szCs w:val="24"/>
        </w:rPr>
        <w:t xml:space="preserve">insert </w:t>
      </w:r>
      <w:r w:rsidRPr="00F14860">
        <w:t xml:space="preserve">a new subgroup of treatment and therapeutic services which are commonly performed in emergency medicine to simplify the claiming arrangements for patients and doctors. </w:t>
      </w:r>
    </w:p>
    <w:p w14:paraId="58C9E98F" w14:textId="5D3F99B3" w:rsidR="00A449CC" w:rsidRPr="00F14860" w:rsidRDefault="00A449CC" w:rsidP="00F14860">
      <w:pPr>
        <w:rPr>
          <w:b/>
        </w:rPr>
      </w:pPr>
    </w:p>
    <w:p w14:paraId="5511FF25" w14:textId="77777777" w:rsidR="00A449CC" w:rsidRPr="00F14860" w:rsidRDefault="00A449CC" w:rsidP="00A449CC">
      <w:pPr>
        <w:rPr>
          <w:u w:val="single"/>
        </w:rPr>
      </w:pPr>
      <w:r w:rsidRPr="00F14860">
        <w:rPr>
          <w:u w:val="single"/>
        </w:rPr>
        <w:t>Intensive Care</w:t>
      </w:r>
    </w:p>
    <w:p w14:paraId="6B86B252" w14:textId="392F102B" w:rsidR="008A29CB" w:rsidRDefault="00A449CC" w:rsidP="007A2184">
      <w:pPr>
        <w:rPr>
          <w:szCs w:val="24"/>
        </w:rPr>
      </w:pPr>
      <w:r w:rsidRPr="00EB05EF">
        <w:rPr>
          <w:szCs w:val="24"/>
        </w:rPr>
        <w:t>Schedule</w:t>
      </w:r>
      <w:r w:rsidR="007A2184">
        <w:rPr>
          <w:szCs w:val="24"/>
        </w:rPr>
        <w:t>s</w:t>
      </w:r>
      <w:r w:rsidR="00F14860" w:rsidRPr="00EB05EF">
        <w:rPr>
          <w:szCs w:val="24"/>
        </w:rPr>
        <w:t xml:space="preserve"> 2</w:t>
      </w:r>
      <w:r w:rsidR="007A2184">
        <w:rPr>
          <w:szCs w:val="24"/>
        </w:rPr>
        <w:t xml:space="preserve"> and 3</w:t>
      </w:r>
      <w:r w:rsidR="00F14860" w:rsidRPr="00EB05EF">
        <w:rPr>
          <w:szCs w:val="24"/>
        </w:rPr>
        <w:t xml:space="preserve"> </w:t>
      </w:r>
      <w:r w:rsidRPr="00EB05EF">
        <w:rPr>
          <w:szCs w:val="24"/>
        </w:rPr>
        <w:t>of the Regulations amend the GMST</w:t>
      </w:r>
      <w:r w:rsidR="00F14860" w:rsidRPr="00EB05EF">
        <w:rPr>
          <w:szCs w:val="24"/>
        </w:rPr>
        <w:t xml:space="preserve"> and the DIST</w:t>
      </w:r>
      <w:r w:rsidRPr="00EB05EF">
        <w:rPr>
          <w:szCs w:val="24"/>
        </w:rPr>
        <w:t xml:space="preserve"> to </w:t>
      </w:r>
      <w:r w:rsidR="00EB05EF">
        <w:rPr>
          <w:szCs w:val="24"/>
        </w:rPr>
        <w:t>makes changes to intensive care services</w:t>
      </w:r>
      <w:r w:rsidR="007A2184">
        <w:rPr>
          <w:szCs w:val="24"/>
        </w:rPr>
        <w:t>.</w:t>
      </w:r>
    </w:p>
    <w:p w14:paraId="145ACBC8" w14:textId="77777777" w:rsidR="007A2184" w:rsidRDefault="007A2184" w:rsidP="007A2184">
      <w:pPr>
        <w:rPr>
          <w:szCs w:val="24"/>
        </w:rPr>
      </w:pPr>
    </w:p>
    <w:p w14:paraId="7A486E20" w14:textId="7AAFB62F" w:rsidR="007A2184" w:rsidRDefault="007A2184" w:rsidP="007A2184">
      <w:pPr>
        <w:rPr>
          <w:szCs w:val="24"/>
        </w:rPr>
      </w:pPr>
      <w:r w:rsidRPr="00A85C82">
        <w:rPr>
          <w:szCs w:val="24"/>
        </w:rPr>
        <w:t xml:space="preserve">Schedule 2 of the Regulations </w:t>
      </w:r>
      <w:r>
        <w:rPr>
          <w:szCs w:val="24"/>
        </w:rPr>
        <w:t>will change</w:t>
      </w:r>
      <w:r w:rsidRPr="00A85C82">
        <w:rPr>
          <w:szCs w:val="24"/>
        </w:rPr>
        <w:t xml:space="preserve"> the intensive care procedural services in subgroup 9 of Group T1 of the GMST to </w:t>
      </w:r>
      <w:r w:rsidR="00E54E91" w:rsidRPr="00E54E91">
        <w:rPr>
          <w:szCs w:val="24"/>
        </w:rPr>
        <w:t xml:space="preserve">better describe </w:t>
      </w:r>
      <w:r w:rsidR="00E54E91">
        <w:rPr>
          <w:szCs w:val="24"/>
        </w:rPr>
        <w:t xml:space="preserve">and </w:t>
      </w:r>
      <w:r w:rsidRPr="00A85C82">
        <w:rPr>
          <w:szCs w:val="24"/>
        </w:rPr>
        <w:t xml:space="preserve">reflect contemporary </w:t>
      </w:r>
      <w:r>
        <w:rPr>
          <w:szCs w:val="24"/>
        </w:rPr>
        <w:t xml:space="preserve">clinical practice. It will also make a change to the DIST to prevent an ultrasound service from being co-claimed with the </w:t>
      </w:r>
      <w:r w:rsidRPr="00101EAC">
        <w:rPr>
          <w:szCs w:val="24"/>
        </w:rPr>
        <w:t xml:space="preserve">catheterisation </w:t>
      </w:r>
      <w:r>
        <w:rPr>
          <w:szCs w:val="24"/>
        </w:rPr>
        <w:t>and cannulation items (</w:t>
      </w:r>
      <w:r w:rsidRPr="00101EAC">
        <w:rPr>
          <w:szCs w:val="24"/>
        </w:rPr>
        <w:t>13815, 13</w:t>
      </w:r>
      <w:r>
        <w:rPr>
          <w:szCs w:val="24"/>
        </w:rPr>
        <w:t xml:space="preserve">832, </w:t>
      </w:r>
      <w:r w:rsidR="00E54E91" w:rsidRPr="00E54E91">
        <w:rPr>
          <w:szCs w:val="24"/>
        </w:rPr>
        <w:t xml:space="preserve">13840 </w:t>
      </w:r>
      <w:r>
        <w:rPr>
          <w:szCs w:val="24"/>
        </w:rPr>
        <w:t>or 13842) of the GMST.</w:t>
      </w:r>
    </w:p>
    <w:p w14:paraId="47B5C3DA" w14:textId="77777777" w:rsidR="007A2184" w:rsidRDefault="007A2184" w:rsidP="007A2184">
      <w:pPr>
        <w:rPr>
          <w:szCs w:val="24"/>
        </w:rPr>
      </w:pPr>
    </w:p>
    <w:p w14:paraId="23275059" w14:textId="73C3E6CA" w:rsidR="007A2184" w:rsidRPr="00D22DB9" w:rsidRDefault="007A2184" w:rsidP="007A2184">
      <w:pPr>
        <w:rPr>
          <w:szCs w:val="24"/>
        </w:rPr>
      </w:pPr>
      <w:r>
        <w:rPr>
          <w:szCs w:val="24"/>
        </w:rPr>
        <w:t xml:space="preserve">Schedule 3 of the </w:t>
      </w:r>
      <w:r w:rsidRPr="00A85C82">
        <w:rPr>
          <w:szCs w:val="24"/>
        </w:rPr>
        <w:t xml:space="preserve">Regulations </w:t>
      </w:r>
      <w:r w:rsidR="008035EC">
        <w:rPr>
          <w:szCs w:val="24"/>
        </w:rPr>
        <w:t>will</w:t>
      </w:r>
      <w:r>
        <w:rPr>
          <w:szCs w:val="24"/>
        </w:rPr>
        <w:t xml:space="preserve"> list a </w:t>
      </w:r>
      <w:r w:rsidRPr="00A85C82">
        <w:rPr>
          <w:szCs w:val="24"/>
        </w:rPr>
        <w:t>new attendance item (13899) for a goals of care service, performed by a specialist in intensive care, to support gravely ill patients to make informed decisions regarding treatment of their medical condition.</w:t>
      </w:r>
    </w:p>
    <w:p w14:paraId="78D4E7A2" w14:textId="77777777" w:rsidR="007A2184" w:rsidRPr="00EB05EF" w:rsidRDefault="007A2184" w:rsidP="007A2184">
      <w:pPr>
        <w:rPr>
          <w:b/>
        </w:rPr>
      </w:pPr>
    </w:p>
    <w:p w14:paraId="33CAF63A" w14:textId="77777777" w:rsidR="008035EC" w:rsidRPr="00D22DB9" w:rsidRDefault="008035EC" w:rsidP="008035EC">
      <w:pPr>
        <w:rPr>
          <w:szCs w:val="24"/>
          <w:u w:val="single"/>
        </w:rPr>
      </w:pPr>
      <w:r w:rsidRPr="00D22DB9">
        <w:rPr>
          <w:szCs w:val="24"/>
          <w:u w:val="single"/>
        </w:rPr>
        <w:t>Minor or consequential</w:t>
      </w:r>
      <w:r>
        <w:rPr>
          <w:szCs w:val="24"/>
          <w:u w:val="single"/>
        </w:rPr>
        <w:t xml:space="preserve"> changes</w:t>
      </w:r>
    </w:p>
    <w:p w14:paraId="2E76135F" w14:textId="0E296587" w:rsidR="00A449CC" w:rsidRPr="00A20EA4" w:rsidRDefault="00A20EA4" w:rsidP="00A449CC">
      <w:pPr>
        <w:rPr>
          <w:szCs w:val="24"/>
        </w:rPr>
      </w:pPr>
      <w:r w:rsidRPr="00A20EA4">
        <w:rPr>
          <w:szCs w:val="24"/>
        </w:rPr>
        <w:t xml:space="preserve">The Regulations will also </w:t>
      </w:r>
      <w:r w:rsidR="00A449CC" w:rsidRPr="00A20EA4">
        <w:rPr>
          <w:szCs w:val="24"/>
        </w:rPr>
        <w:t>make minor or consequential changes to the MBS from 1 March 2020:</w:t>
      </w:r>
    </w:p>
    <w:p w14:paraId="02D1F0B1" w14:textId="2F96CC1B" w:rsidR="00A449CC" w:rsidRPr="00A20EA4" w:rsidRDefault="00A449CC" w:rsidP="00A449CC">
      <w:pPr>
        <w:numPr>
          <w:ilvl w:val="0"/>
          <w:numId w:val="26"/>
        </w:numPr>
        <w:contextualSpacing/>
      </w:pPr>
      <w:r w:rsidRPr="00A20EA4">
        <w:t>Schedule 4 of the Regulations remove item 14200, a gastric procedure to treat patients who have ingested poison. The Taskforce recommended that the gastric lavage proc</w:t>
      </w:r>
      <w:r w:rsidR="002B5BDC">
        <w:t>edure (commonly known as ‘stoma</w:t>
      </w:r>
      <w:r w:rsidRPr="00A20EA4">
        <w:t>ch pumping’) should be removed from the MBS as it no longer reflects best clinical practice. The Government accepted this recommendation in the 2019-20 Budget</w:t>
      </w:r>
      <w:r w:rsidR="00E141B1">
        <w:t xml:space="preserve"> as part of the </w:t>
      </w:r>
      <w:r w:rsidR="00E141B1" w:rsidRPr="00C709A0">
        <w:rPr>
          <w:i/>
        </w:rPr>
        <w:t xml:space="preserve">Guaranteeing Medicare — Medicare Benefits Schedule Review — response to Taskforce recommendations </w:t>
      </w:r>
      <w:r w:rsidR="00E141B1">
        <w:t>measure</w:t>
      </w:r>
      <w:r w:rsidRPr="00A20EA4">
        <w:t xml:space="preserve">. </w:t>
      </w:r>
    </w:p>
    <w:p w14:paraId="4B0B6D39" w14:textId="13F52B55" w:rsidR="00A449CC" w:rsidRPr="00A20EA4" w:rsidRDefault="00A449CC" w:rsidP="00A449CC">
      <w:pPr>
        <w:numPr>
          <w:ilvl w:val="0"/>
          <w:numId w:val="26"/>
        </w:numPr>
        <w:contextualSpacing/>
      </w:pPr>
      <w:r w:rsidRPr="00A20EA4">
        <w:t>MBS item 41501 is a diagnostic test for patients suffering pro</w:t>
      </w:r>
      <w:r w:rsidR="00A20EA4">
        <w:t>blems with their voice or throat</w:t>
      </w:r>
      <w:r w:rsidRPr="00A20EA4">
        <w:t xml:space="preserve"> (known as stroboscopy). Schedule 5 of the Regulations make a small amendment to the item to clarify that patients with malignant vocal fold lesions are eligible for the service. There is no change to existing policy.</w:t>
      </w:r>
    </w:p>
    <w:p w14:paraId="1832AFBF" w14:textId="77777777" w:rsidR="00A449CC" w:rsidRDefault="00A449CC" w:rsidP="00AC7EC6">
      <w:pPr>
        <w:contextualSpacing/>
      </w:pPr>
    </w:p>
    <w:p w14:paraId="60B8438C" w14:textId="7F8CE3DD" w:rsidR="004A2C3C" w:rsidRPr="007D21B4" w:rsidRDefault="004A2C3C" w:rsidP="00310A3B">
      <w:pPr>
        <w:rPr>
          <w:b/>
        </w:rPr>
      </w:pPr>
      <w:r w:rsidRPr="00C709A0">
        <w:rPr>
          <w:b/>
        </w:rPr>
        <w:t>Consultation</w:t>
      </w:r>
    </w:p>
    <w:p w14:paraId="66FE8BEA" w14:textId="75892633" w:rsidR="00310A3B" w:rsidRPr="00C709A0" w:rsidRDefault="00310A3B" w:rsidP="00310A3B">
      <w:r w:rsidRPr="00C709A0">
        <w:t xml:space="preserve">The MBS Review </w:t>
      </w:r>
      <w:r w:rsidR="00A449CC" w:rsidRPr="00C709A0">
        <w:t>is</w:t>
      </w:r>
      <w:r w:rsidRPr="00C709A0">
        <w:t xml:space="preserve"> conducted by expert committees and working groups focusing on specific areas of the MBS. The Taskforce endorsed r</w:t>
      </w:r>
      <w:r w:rsidR="00C709A0" w:rsidRPr="00C709A0">
        <w:t xml:space="preserve">eports were released for public </w:t>
      </w:r>
      <w:r w:rsidRPr="00C709A0">
        <w:t xml:space="preserve">comment prior to finalisation of the Taskforce recommendations to Government. </w:t>
      </w:r>
    </w:p>
    <w:p w14:paraId="7D02BDD2" w14:textId="77777777" w:rsidR="00310A3B" w:rsidRPr="00C709A0" w:rsidRDefault="00310A3B" w:rsidP="00310A3B"/>
    <w:p w14:paraId="4E4A826C" w14:textId="54DB7DF0" w:rsidR="00310A3B" w:rsidRPr="00C709A0" w:rsidRDefault="00310A3B" w:rsidP="00310A3B">
      <w:r w:rsidRPr="00C709A0">
        <w:lastRenderedPageBreak/>
        <w:t xml:space="preserve">An Implementation Liaison Group </w:t>
      </w:r>
      <w:r w:rsidR="00C709A0" w:rsidRPr="00C709A0">
        <w:t xml:space="preserve">(ILG) </w:t>
      </w:r>
      <w:r w:rsidRPr="00C709A0">
        <w:t xml:space="preserve">involving representatives of emergency medicine and intensive care doctors was consulted during development of the Regulations. The ILG included representatives of the Australian Medical Association, the </w:t>
      </w:r>
      <w:r w:rsidRPr="00C709A0">
        <w:rPr>
          <w:bCs/>
        </w:rPr>
        <w:t>College</w:t>
      </w:r>
      <w:r w:rsidRPr="00C709A0">
        <w:t xml:space="preserve"> of </w:t>
      </w:r>
      <w:r w:rsidRPr="00C709A0">
        <w:rPr>
          <w:bCs/>
        </w:rPr>
        <w:t>Intensive Care Medicine</w:t>
      </w:r>
      <w:r w:rsidRPr="00C709A0">
        <w:t xml:space="preserve"> of </w:t>
      </w:r>
      <w:r w:rsidRPr="00C709A0">
        <w:rPr>
          <w:bCs/>
        </w:rPr>
        <w:t>Australia and New Zealand, the Australian and New Zealand Intensive Care Society, and the Australasian College for Emergency Medicine.</w:t>
      </w:r>
    </w:p>
    <w:p w14:paraId="1D9EAA50" w14:textId="77777777" w:rsidR="00E91EC6" w:rsidRDefault="00E91EC6" w:rsidP="00AC7EC6">
      <w:pPr>
        <w:contextualSpacing/>
      </w:pPr>
    </w:p>
    <w:p w14:paraId="5EC4BF33" w14:textId="7230E0BA" w:rsidR="007F21C2" w:rsidRPr="00AC7EC6" w:rsidRDefault="007F21C2" w:rsidP="0050466D">
      <w:pPr>
        <w:rPr>
          <w:szCs w:val="24"/>
        </w:rPr>
      </w:pPr>
      <w:r w:rsidRPr="00AC7EC6">
        <w:rPr>
          <w:szCs w:val="24"/>
        </w:rPr>
        <w:t xml:space="preserve">Details of the </w:t>
      </w:r>
      <w:r w:rsidR="00F233FE" w:rsidRPr="00AC7EC6">
        <w:rPr>
          <w:szCs w:val="24"/>
        </w:rPr>
        <w:t>Regulations</w:t>
      </w:r>
      <w:r w:rsidRPr="00AC7EC6">
        <w:rPr>
          <w:szCs w:val="24"/>
        </w:rPr>
        <w:t xml:space="preserve"> are set out in the </w:t>
      </w:r>
      <w:r w:rsidRPr="00AC7EC6">
        <w:rPr>
          <w:szCs w:val="24"/>
          <w:u w:val="single"/>
        </w:rPr>
        <w:t>Attachment</w:t>
      </w:r>
      <w:r w:rsidRPr="00AC7EC6">
        <w:rPr>
          <w:szCs w:val="24"/>
        </w:rPr>
        <w:t>.</w:t>
      </w:r>
    </w:p>
    <w:p w14:paraId="5D679EB5" w14:textId="77777777" w:rsidR="00F233FE" w:rsidRPr="00AC7EC6" w:rsidRDefault="00F233FE" w:rsidP="0050466D">
      <w:pPr>
        <w:pStyle w:val="BodyText"/>
        <w:rPr>
          <w:b w:val="0"/>
          <w:szCs w:val="24"/>
          <w:highlight w:val="yellow"/>
        </w:rPr>
      </w:pPr>
    </w:p>
    <w:p w14:paraId="721B8CF5" w14:textId="582A4192" w:rsidR="00F233FE" w:rsidRPr="00AC7EC6" w:rsidRDefault="008E1E03" w:rsidP="0050466D">
      <w:pPr>
        <w:rPr>
          <w:szCs w:val="24"/>
        </w:rPr>
      </w:pPr>
      <w:r w:rsidRPr="00AC7EC6">
        <w:rPr>
          <w:szCs w:val="24"/>
        </w:rPr>
        <w:t>The Act specifies no conditions which need to be met before the power to make the Regulations may be exercised.</w:t>
      </w:r>
    </w:p>
    <w:p w14:paraId="77C01876" w14:textId="77777777" w:rsidR="008E1E03" w:rsidRPr="00AC7EC6" w:rsidRDefault="008E1E03" w:rsidP="0050466D">
      <w:pPr>
        <w:rPr>
          <w:szCs w:val="24"/>
          <w:highlight w:val="yellow"/>
        </w:rPr>
      </w:pPr>
    </w:p>
    <w:p w14:paraId="362DF13A" w14:textId="096C9A96" w:rsidR="007F21C2" w:rsidRPr="00AC7EC6" w:rsidRDefault="007F21C2" w:rsidP="0050466D">
      <w:pPr>
        <w:rPr>
          <w:szCs w:val="24"/>
        </w:rPr>
      </w:pPr>
      <w:r w:rsidRPr="00AC7EC6">
        <w:rPr>
          <w:szCs w:val="24"/>
        </w:rPr>
        <w:t xml:space="preserve">The </w:t>
      </w:r>
      <w:r w:rsidR="00F233FE" w:rsidRPr="00AC7EC6">
        <w:rPr>
          <w:szCs w:val="24"/>
        </w:rPr>
        <w:t>Regulations are</w:t>
      </w:r>
      <w:r w:rsidRPr="00AC7EC6">
        <w:rPr>
          <w:szCs w:val="24"/>
        </w:rPr>
        <w:t xml:space="preserve"> a legislative instrument for the purposes of the </w:t>
      </w:r>
      <w:r w:rsidRPr="00AC7EC6">
        <w:rPr>
          <w:i/>
        </w:rPr>
        <w:t>Legislation Act 2003</w:t>
      </w:r>
      <w:r w:rsidRPr="00AC7EC6">
        <w:rPr>
          <w:szCs w:val="24"/>
        </w:rPr>
        <w:t>.</w:t>
      </w:r>
    </w:p>
    <w:p w14:paraId="04B535C8" w14:textId="2C96C600" w:rsidR="00A712BB" w:rsidRPr="00AC7EC6" w:rsidRDefault="00A712BB" w:rsidP="0050466D">
      <w:pPr>
        <w:rPr>
          <w:szCs w:val="24"/>
        </w:rPr>
      </w:pPr>
    </w:p>
    <w:p w14:paraId="2F36AD9E" w14:textId="57FA6932" w:rsidR="00A712BB" w:rsidRPr="00AC7EC6" w:rsidRDefault="004E4CA2" w:rsidP="0050466D">
      <w:pPr>
        <w:rPr>
          <w:szCs w:val="24"/>
        </w:rPr>
      </w:pPr>
      <w:r w:rsidRPr="00AC7EC6">
        <w:rPr>
          <w:szCs w:val="24"/>
        </w:rPr>
        <w:t xml:space="preserve">The Regulations commence </w:t>
      </w:r>
      <w:r w:rsidR="00A712BB" w:rsidRPr="00AC7EC6">
        <w:rPr>
          <w:szCs w:val="24"/>
        </w:rPr>
        <w:t xml:space="preserve">on 1 </w:t>
      </w:r>
      <w:r w:rsidR="00AC7EC6" w:rsidRPr="00AC7EC6">
        <w:rPr>
          <w:szCs w:val="24"/>
        </w:rPr>
        <w:t>March 2020.</w:t>
      </w:r>
    </w:p>
    <w:p w14:paraId="1ED2B93B" w14:textId="45EC7E75" w:rsidR="00F95764" w:rsidRPr="00AC7EC6" w:rsidRDefault="00F95764" w:rsidP="0050466D">
      <w:pPr>
        <w:rPr>
          <w:szCs w:val="24"/>
        </w:rPr>
      </w:pPr>
    </w:p>
    <w:p w14:paraId="08D8CDEB" w14:textId="400CE7C3" w:rsidR="00A712BB" w:rsidRPr="00AC7EC6" w:rsidRDefault="00B43F8C" w:rsidP="007D21B4">
      <w:pPr>
        <w:jc w:val="right"/>
        <w:rPr>
          <w:szCs w:val="24"/>
        </w:rPr>
      </w:pPr>
      <w:r w:rsidRPr="00AC7EC6">
        <w:rPr>
          <w:szCs w:val="24"/>
          <w:u w:val="single"/>
        </w:rPr>
        <w:t>Authority</w:t>
      </w:r>
      <w:r w:rsidRPr="00AC7EC6">
        <w:rPr>
          <w:szCs w:val="24"/>
        </w:rPr>
        <w:t xml:space="preserve">:     Subsection 133(1) of the </w:t>
      </w:r>
      <w:r w:rsidRPr="00AC7EC6">
        <w:rPr>
          <w:i/>
          <w:szCs w:val="24"/>
        </w:rPr>
        <w:t>Health Insurance Act 1973</w:t>
      </w:r>
    </w:p>
    <w:p w14:paraId="64DF1BC6" w14:textId="4B2E8C91" w:rsidR="004E4CA2" w:rsidRPr="00AC7EC6" w:rsidRDefault="004E4CA2" w:rsidP="001938D6">
      <w:pPr>
        <w:ind w:left="2160" w:firstLine="720"/>
        <w:rPr>
          <w:b/>
          <w:szCs w:val="24"/>
          <w:highlight w:val="yellow"/>
        </w:rPr>
      </w:pPr>
      <w:r w:rsidRPr="00AC7EC6">
        <w:rPr>
          <w:b/>
          <w:szCs w:val="24"/>
          <w:highlight w:val="yellow"/>
        </w:rPr>
        <w:br w:type="page"/>
      </w:r>
    </w:p>
    <w:p w14:paraId="4055306F" w14:textId="77777777" w:rsidR="00F11F26" w:rsidRPr="00CC1FE1" w:rsidRDefault="00F11F26" w:rsidP="00F11F26">
      <w:pPr>
        <w:spacing w:line="276" w:lineRule="auto"/>
        <w:jc w:val="right"/>
        <w:rPr>
          <w:b/>
          <w:szCs w:val="24"/>
        </w:rPr>
      </w:pPr>
      <w:r w:rsidRPr="00CC1FE1">
        <w:rPr>
          <w:b/>
          <w:szCs w:val="24"/>
        </w:rPr>
        <w:lastRenderedPageBreak/>
        <w:t>ATTACHMENT</w:t>
      </w:r>
    </w:p>
    <w:p w14:paraId="1F2FE8DE" w14:textId="77777777" w:rsidR="00F11F26" w:rsidRPr="00CC1FE1" w:rsidRDefault="00F11F26" w:rsidP="00F11F26">
      <w:pPr>
        <w:spacing w:line="276" w:lineRule="auto"/>
        <w:jc w:val="right"/>
        <w:rPr>
          <w:b/>
          <w:szCs w:val="24"/>
        </w:rPr>
      </w:pPr>
    </w:p>
    <w:p w14:paraId="0C055EA0" w14:textId="77777777" w:rsidR="00F11F26" w:rsidRPr="00CC1FE1" w:rsidRDefault="00F11F26" w:rsidP="00F11F26">
      <w:pPr>
        <w:pStyle w:val="BodyText"/>
        <w:rPr>
          <w:i/>
          <w:szCs w:val="24"/>
        </w:rPr>
      </w:pPr>
      <w:r w:rsidRPr="00CC1FE1">
        <w:rPr>
          <w:szCs w:val="24"/>
        </w:rPr>
        <w:t xml:space="preserve">Details of the </w:t>
      </w:r>
      <w:r w:rsidRPr="00CC1FE1">
        <w:rPr>
          <w:bCs/>
          <w:i/>
          <w:szCs w:val="24"/>
        </w:rPr>
        <w:t>Health Insurance Legislation Amendment (Intensive Care and Emergency Medicine) Regulations 2020</w:t>
      </w:r>
    </w:p>
    <w:p w14:paraId="450BC8A9" w14:textId="77777777" w:rsidR="00F11F26" w:rsidRPr="00AC7EC6" w:rsidRDefault="00F11F26" w:rsidP="00F11F26">
      <w:pPr>
        <w:pStyle w:val="BodyText"/>
        <w:rPr>
          <w:b w:val="0"/>
          <w:i/>
          <w:szCs w:val="24"/>
          <w:highlight w:val="yellow"/>
        </w:rPr>
      </w:pPr>
    </w:p>
    <w:p w14:paraId="701DDF7F" w14:textId="77777777" w:rsidR="00F11F26" w:rsidRPr="00A449CC" w:rsidRDefault="00F11F26" w:rsidP="00F11F26">
      <w:pPr>
        <w:pStyle w:val="BodyText"/>
        <w:rPr>
          <w:b w:val="0"/>
          <w:szCs w:val="24"/>
          <w:u w:val="single"/>
        </w:rPr>
      </w:pPr>
      <w:r w:rsidRPr="00A449CC">
        <w:rPr>
          <w:b w:val="0"/>
          <w:szCs w:val="24"/>
          <w:u w:val="single"/>
        </w:rPr>
        <w:t xml:space="preserve">Section 1 – Name </w:t>
      </w:r>
    </w:p>
    <w:p w14:paraId="4513FEC0" w14:textId="77777777" w:rsidR="00F11F26" w:rsidRPr="00CC1FE1" w:rsidRDefault="00F11F26" w:rsidP="00F11F26">
      <w:pPr>
        <w:pStyle w:val="BodyText"/>
        <w:rPr>
          <w:b w:val="0"/>
          <w:szCs w:val="24"/>
          <w:u w:val="single"/>
        </w:rPr>
      </w:pPr>
    </w:p>
    <w:p w14:paraId="2B20F015" w14:textId="4890D563" w:rsidR="00F11F26" w:rsidRPr="00CC1FE1" w:rsidRDefault="00F11F26" w:rsidP="00F11F26">
      <w:pPr>
        <w:pStyle w:val="BodyText"/>
        <w:rPr>
          <w:b w:val="0"/>
          <w:bCs/>
          <w:i/>
          <w:szCs w:val="24"/>
        </w:rPr>
      </w:pPr>
      <w:r w:rsidRPr="00CC1FE1">
        <w:rPr>
          <w:b w:val="0"/>
          <w:szCs w:val="24"/>
        </w:rPr>
        <w:t>This section provide</w:t>
      </w:r>
      <w:r w:rsidR="009845D5">
        <w:rPr>
          <w:b w:val="0"/>
          <w:szCs w:val="24"/>
        </w:rPr>
        <w:t>s</w:t>
      </w:r>
      <w:r w:rsidRPr="00CC1FE1">
        <w:rPr>
          <w:b w:val="0"/>
          <w:szCs w:val="24"/>
        </w:rPr>
        <w:t xml:space="preserve"> </w:t>
      </w:r>
      <w:r w:rsidR="00A449CC">
        <w:rPr>
          <w:b w:val="0"/>
          <w:szCs w:val="24"/>
        </w:rPr>
        <w:t>that the instrument</w:t>
      </w:r>
      <w:r w:rsidRPr="00CC1FE1">
        <w:rPr>
          <w:b w:val="0"/>
          <w:szCs w:val="24"/>
        </w:rPr>
        <w:t xml:space="preserve"> </w:t>
      </w:r>
      <w:r w:rsidR="00A449CC">
        <w:rPr>
          <w:b w:val="0"/>
          <w:szCs w:val="24"/>
        </w:rPr>
        <w:t>is the</w:t>
      </w:r>
      <w:r w:rsidRPr="00CC1FE1">
        <w:rPr>
          <w:b w:val="0"/>
          <w:szCs w:val="24"/>
        </w:rPr>
        <w:t xml:space="preserve"> </w:t>
      </w:r>
      <w:r w:rsidRPr="00CC1FE1">
        <w:rPr>
          <w:b w:val="0"/>
          <w:bCs/>
          <w:i/>
          <w:szCs w:val="24"/>
        </w:rPr>
        <w:t>Health Insurance Legislation Amendment (Intensive Care and Emergency Medicine) Regulations 2020</w:t>
      </w:r>
      <w:r w:rsidR="00A449CC">
        <w:rPr>
          <w:b w:val="0"/>
          <w:bCs/>
          <w:i/>
          <w:szCs w:val="24"/>
        </w:rPr>
        <w:t xml:space="preserve"> </w:t>
      </w:r>
      <w:r w:rsidR="00A449CC">
        <w:rPr>
          <w:b w:val="0"/>
          <w:bCs/>
          <w:szCs w:val="24"/>
        </w:rPr>
        <w:t>(the Regulations)</w:t>
      </w:r>
      <w:r w:rsidRPr="00CC1FE1">
        <w:rPr>
          <w:b w:val="0"/>
          <w:bCs/>
          <w:i/>
          <w:szCs w:val="24"/>
        </w:rPr>
        <w:t>.</w:t>
      </w:r>
    </w:p>
    <w:p w14:paraId="29A7116C" w14:textId="77777777" w:rsidR="00F11F26" w:rsidRPr="00AC7EC6" w:rsidRDefault="00F11F26" w:rsidP="00F11F26">
      <w:pPr>
        <w:pStyle w:val="BodyText"/>
        <w:rPr>
          <w:highlight w:val="yellow"/>
        </w:rPr>
      </w:pPr>
    </w:p>
    <w:p w14:paraId="09543421" w14:textId="77777777" w:rsidR="00F11F26" w:rsidRPr="00A449CC" w:rsidRDefault="00F11F26" w:rsidP="00F11F26">
      <w:pPr>
        <w:pStyle w:val="BodyText"/>
        <w:rPr>
          <w:b w:val="0"/>
          <w:szCs w:val="24"/>
          <w:u w:val="single"/>
        </w:rPr>
      </w:pPr>
      <w:r w:rsidRPr="00A449CC">
        <w:rPr>
          <w:b w:val="0"/>
          <w:szCs w:val="24"/>
          <w:u w:val="single"/>
        </w:rPr>
        <w:t xml:space="preserve">Section 2 – Commencement </w:t>
      </w:r>
    </w:p>
    <w:p w14:paraId="7E608BEF" w14:textId="77777777" w:rsidR="00F11F26" w:rsidRPr="00A449CC" w:rsidRDefault="00F11F26" w:rsidP="00F11F26">
      <w:pPr>
        <w:pStyle w:val="BodyText"/>
        <w:rPr>
          <w:b w:val="0"/>
          <w:szCs w:val="24"/>
          <w:u w:val="single"/>
        </w:rPr>
      </w:pPr>
    </w:p>
    <w:p w14:paraId="58E547A2" w14:textId="508DBD91" w:rsidR="00F11F26" w:rsidRPr="00A449CC" w:rsidRDefault="00F11F26" w:rsidP="00F11F26">
      <w:pPr>
        <w:pStyle w:val="BodyText"/>
        <w:rPr>
          <w:b w:val="0"/>
          <w:szCs w:val="24"/>
        </w:rPr>
      </w:pPr>
      <w:r w:rsidRPr="00A449CC">
        <w:rPr>
          <w:b w:val="0"/>
          <w:szCs w:val="24"/>
        </w:rPr>
        <w:t>This section provide</w:t>
      </w:r>
      <w:r w:rsidR="009845D5" w:rsidRPr="00A449CC">
        <w:rPr>
          <w:b w:val="0"/>
          <w:szCs w:val="24"/>
        </w:rPr>
        <w:t>s</w:t>
      </w:r>
      <w:r w:rsidRPr="00A449CC">
        <w:rPr>
          <w:b w:val="0"/>
          <w:szCs w:val="24"/>
        </w:rPr>
        <w:t xml:space="preserve"> that the Regulations commence on 1 March 2020.</w:t>
      </w:r>
    </w:p>
    <w:p w14:paraId="6EF9FCC6" w14:textId="77777777" w:rsidR="00F11F26" w:rsidRPr="00A449CC" w:rsidRDefault="00F11F26" w:rsidP="00F11F26">
      <w:pPr>
        <w:pStyle w:val="BodyText"/>
        <w:rPr>
          <w:b w:val="0"/>
          <w:szCs w:val="24"/>
          <w:highlight w:val="yellow"/>
        </w:rPr>
      </w:pPr>
    </w:p>
    <w:p w14:paraId="0763197D" w14:textId="77777777" w:rsidR="00F11F26" w:rsidRPr="00A449CC" w:rsidRDefault="00F11F26" w:rsidP="00F11F26">
      <w:pPr>
        <w:pStyle w:val="BodyText"/>
        <w:rPr>
          <w:b w:val="0"/>
          <w:szCs w:val="24"/>
          <w:u w:val="single"/>
        </w:rPr>
      </w:pPr>
      <w:r w:rsidRPr="00A449CC">
        <w:rPr>
          <w:b w:val="0"/>
          <w:szCs w:val="24"/>
          <w:u w:val="single"/>
        </w:rPr>
        <w:t>Section 3 – Authority</w:t>
      </w:r>
    </w:p>
    <w:p w14:paraId="7FD59710" w14:textId="77777777" w:rsidR="00F11F26" w:rsidRPr="00A449CC" w:rsidRDefault="00F11F26" w:rsidP="00F11F26">
      <w:pPr>
        <w:pStyle w:val="BodyText"/>
        <w:rPr>
          <w:b w:val="0"/>
          <w:szCs w:val="24"/>
          <w:u w:val="single"/>
        </w:rPr>
      </w:pPr>
    </w:p>
    <w:p w14:paraId="40114C08" w14:textId="293EA872" w:rsidR="00F11F26" w:rsidRPr="00A449CC" w:rsidRDefault="00F11F26" w:rsidP="00F11F26">
      <w:pPr>
        <w:pStyle w:val="BodyText"/>
        <w:rPr>
          <w:b w:val="0"/>
        </w:rPr>
      </w:pPr>
      <w:r w:rsidRPr="00A449CC">
        <w:rPr>
          <w:b w:val="0"/>
        </w:rPr>
        <w:t>This section provide</w:t>
      </w:r>
      <w:r w:rsidR="009845D5" w:rsidRPr="00A449CC">
        <w:rPr>
          <w:b w:val="0"/>
        </w:rPr>
        <w:t>s</w:t>
      </w:r>
      <w:r w:rsidRPr="00A449CC">
        <w:rPr>
          <w:b w:val="0"/>
        </w:rPr>
        <w:t xml:space="preserve"> that the Regulations </w:t>
      </w:r>
      <w:r w:rsidR="009845D5" w:rsidRPr="00A449CC">
        <w:rPr>
          <w:b w:val="0"/>
        </w:rPr>
        <w:t>are</w:t>
      </w:r>
      <w:r w:rsidRPr="00A449CC">
        <w:rPr>
          <w:b w:val="0"/>
        </w:rPr>
        <w:t xml:space="preserve"> made under the </w:t>
      </w:r>
      <w:r w:rsidRPr="00A449CC">
        <w:rPr>
          <w:b w:val="0"/>
          <w:i/>
        </w:rPr>
        <w:t>Health Insurance Act 1973</w:t>
      </w:r>
      <w:r w:rsidRPr="00A449CC">
        <w:rPr>
          <w:b w:val="0"/>
        </w:rPr>
        <w:t>.</w:t>
      </w:r>
    </w:p>
    <w:p w14:paraId="729E9543" w14:textId="77777777" w:rsidR="00F11F26" w:rsidRPr="00A449CC" w:rsidRDefault="00F11F26" w:rsidP="00F11F26">
      <w:pPr>
        <w:pStyle w:val="BodyText"/>
        <w:rPr>
          <w:b w:val="0"/>
          <w:highlight w:val="yellow"/>
        </w:rPr>
      </w:pPr>
    </w:p>
    <w:p w14:paraId="48D11AAF" w14:textId="77777777" w:rsidR="00F11F26" w:rsidRPr="00A449CC" w:rsidRDefault="00F11F26" w:rsidP="00F11F26">
      <w:pPr>
        <w:pStyle w:val="BodyText"/>
        <w:rPr>
          <w:b w:val="0"/>
          <w:szCs w:val="24"/>
          <w:u w:val="single"/>
        </w:rPr>
      </w:pPr>
      <w:r w:rsidRPr="00A449CC">
        <w:rPr>
          <w:b w:val="0"/>
          <w:szCs w:val="24"/>
          <w:u w:val="single"/>
        </w:rPr>
        <w:t>Section 4 – Schedules</w:t>
      </w:r>
    </w:p>
    <w:p w14:paraId="18F9826B" w14:textId="77777777" w:rsidR="00F11F26" w:rsidRPr="00CC1FE1" w:rsidRDefault="00F11F26" w:rsidP="00F11F26">
      <w:pPr>
        <w:pStyle w:val="BodyText"/>
        <w:rPr>
          <w:b w:val="0"/>
          <w:szCs w:val="24"/>
          <w:u w:val="single"/>
        </w:rPr>
      </w:pPr>
    </w:p>
    <w:p w14:paraId="370D0A5B" w14:textId="611EAFC2" w:rsidR="00F11F26" w:rsidRPr="00CC1FE1" w:rsidRDefault="00F11F26" w:rsidP="00F11F26">
      <w:pPr>
        <w:pStyle w:val="BodyText"/>
        <w:rPr>
          <w:b w:val="0"/>
          <w:szCs w:val="24"/>
        </w:rPr>
      </w:pPr>
      <w:r w:rsidRPr="00CC1FE1">
        <w:rPr>
          <w:b w:val="0"/>
          <w:szCs w:val="24"/>
        </w:rPr>
        <w:t>This section provide</w:t>
      </w:r>
      <w:r w:rsidR="009845D5">
        <w:rPr>
          <w:b w:val="0"/>
          <w:szCs w:val="24"/>
        </w:rPr>
        <w:t>s</w:t>
      </w:r>
      <w:r w:rsidRPr="00CC1FE1">
        <w:rPr>
          <w:b w:val="0"/>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0A53037A" w14:textId="77777777" w:rsidR="00F11F26" w:rsidRPr="00AC7EC6" w:rsidRDefault="00F11F26" w:rsidP="00F11F26">
      <w:pPr>
        <w:pStyle w:val="BodyText"/>
        <w:rPr>
          <w:b w:val="0"/>
          <w:szCs w:val="24"/>
          <w:highlight w:val="yellow"/>
          <w:u w:val="single"/>
        </w:rPr>
      </w:pPr>
    </w:p>
    <w:p w14:paraId="2DB91E90" w14:textId="77777777" w:rsidR="00F11F26" w:rsidRPr="00BE4664" w:rsidRDefault="00F11F26" w:rsidP="00F11F26">
      <w:pPr>
        <w:tabs>
          <w:tab w:val="num" w:pos="1080"/>
          <w:tab w:val="center" w:pos="4153"/>
          <w:tab w:val="right" w:pos="8306"/>
        </w:tabs>
        <w:rPr>
          <w:b/>
          <w:u w:val="single"/>
        </w:rPr>
      </w:pPr>
      <w:r w:rsidRPr="00BE4664">
        <w:rPr>
          <w:b/>
          <w:u w:val="single"/>
        </w:rPr>
        <w:t>Schedule 1 – Emergency Medicine</w:t>
      </w:r>
    </w:p>
    <w:p w14:paraId="31D6397A" w14:textId="77777777" w:rsidR="00F11F26" w:rsidRPr="00BE4664" w:rsidRDefault="00F11F26" w:rsidP="00F11F26">
      <w:pPr>
        <w:shd w:val="clear" w:color="auto" w:fill="FFFFFF"/>
        <w:contextualSpacing/>
      </w:pPr>
    </w:p>
    <w:p w14:paraId="0267DBE2" w14:textId="775D948C" w:rsidR="00F11F26" w:rsidRPr="00A449CC" w:rsidRDefault="00F11F26" w:rsidP="00A449CC">
      <w:pPr>
        <w:pStyle w:val="ListParagraph"/>
        <w:numPr>
          <w:ilvl w:val="0"/>
          <w:numId w:val="32"/>
        </w:numPr>
        <w:shd w:val="clear" w:color="auto" w:fill="FFFFFF"/>
        <w:rPr>
          <w:b/>
          <w:i/>
        </w:rPr>
      </w:pPr>
      <w:r w:rsidRPr="00A449CC">
        <w:rPr>
          <w:b/>
        </w:rPr>
        <w:t>Amend</w:t>
      </w:r>
      <w:r w:rsidR="004A2C3C" w:rsidRPr="00A449CC">
        <w:rPr>
          <w:b/>
        </w:rPr>
        <w:t>ments to</w:t>
      </w:r>
      <w:r w:rsidR="00A449CC">
        <w:rPr>
          <w:b/>
        </w:rPr>
        <w:t xml:space="preserve"> the</w:t>
      </w:r>
      <w:r w:rsidRPr="00A449CC">
        <w:rPr>
          <w:b/>
        </w:rPr>
        <w:t xml:space="preserve"> </w:t>
      </w:r>
      <w:r w:rsidRPr="00A449CC">
        <w:rPr>
          <w:b/>
          <w:i/>
        </w:rPr>
        <w:t>Health Insurance (General Medical Services Table) Regulations 2019</w:t>
      </w:r>
    </w:p>
    <w:p w14:paraId="656B296B" w14:textId="77777777" w:rsidR="00F11F26" w:rsidRPr="00BE4664" w:rsidRDefault="00F11F26" w:rsidP="00F11F26">
      <w:pPr>
        <w:shd w:val="clear" w:color="auto" w:fill="FFFFFF"/>
        <w:contextualSpacing/>
      </w:pPr>
    </w:p>
    <w:p w14:paraId="198EDA21" w14:textId="77777777" w:rsidR="004A2C3C" w:rsidRPr="00FC44BD" w:rsidRDefault="004A2C3C" w:rsidP="004A2C3C">
      <w:pPr>
        <w:shd w:val="clear" w:color="auto" w:fill="FFFFFF"/>
        <w:contextualSpacing/>
        <w:rPr>
          <w:b/>
        </w:rPr>
      </w:pPr>
      <w:r w:rsidRPr="00FC44BD">
        <w:rPr>
          <w:b/>
        </w:rPr>
        <w:t>Items [1] to [2] –</w:t>
      </w:r>
      <w:r>
        <w:rPr>
          <w:b/>
        </w:rPr>
        <w:t xml:space="preserve"> A</w:t>
      </w:r>
      <w:r w:rsidRPr="00FC44BD">
        <w:rPr>
          <w:b/>
        </w:rPr>
        <w:t>mendments to subclauses 1.2.4(1) and 1.2.5(1)</w:t>
      </w:r>
    </w:p>
    <w:p w14:paraId="1852D9DD" w14:textId="6908021A" w:rsidR="004A2C3C" w:rsidRPr="00FC44BD" w:rsidRDefault="004A2C3C" w:rsidP="004A2C3C">
      <w:pPr>
        <w:shd w:val="clear" w:color="auto" w:fill="FFFFFF"/>
        <w:contextualSpacing/>
        <w:rPr>
          <w:b/>
        </w:rPr>
      </w:pPr>
      <w:r w:rsidRPr="00FC44BD">
        <w:t>These amendments make consequential amendment</w:t>
      </w:r>
      <w:r>
        <w:t>s</w:t>
      </w:r>
      <w:r w:rsidRPr="00FC44BD">
        <w:t xml:space="preserve"> to clauses 1.2.4 and 1.2.5 of the GMST by removing references to emergency medicine items in Group A21 which </w:t>
      </w:r>
      <w:r w:rsidR="00357A4B">
        <w:t>is</w:t>
      </w:r>
      <w:r w:rsidRPr="00FC44BD">
        <w:t xml:space="preserve"> deleted (refer to amendment 4 in Schedule 1).</w:t>
      </w:r>
      <w:r w:rsidRPr="00FC44BD">
        <w:br/>
      </w:r>
    </w:p>
    <w:p w14:paraId="3D7CBDC4" w14:textId="77777777" w:rsidR="004A2C3C" w:rsidRPr="00FC44BD" w:rsidRDefault="004A2C3C" w:rsidP="004A2C3C">
      <w:pPr>
        <w:shd w:val="clear" w:color="auto" w:fill="FFFFFF"/>
        <w:contextualSpacing/>
        <w:rPr>
          <w:b/>
        </w:rPr>
      </w:pPr>
      <w:r w:rsidRPr="00FC44BD">
        <w:rPr>
          <w:b/>
        </w:rPr>
        <w:t xml:space="preserve">Item [3] – </w:t>
      </w:r>
      <w:r>
        <w:rPr>
          <w:b/>
        </w:rPr>
        <w:t>A</w:t>
      </w:r>
      <w:r w:rsidRPr="00FC44BD">
        <w:rPr>
          <w:b/>
        </w:rPr>
        <w:t>mendment to s</w:t>
      </w:r>
      <w:r>
        <w:rPr>
          <w:b/>
        </w:rPr>
        <w:t>ubclauses 1.2.5(1) and 1.2.6(1)</w:t>
      </w:r>
    </w:p>
    <w:p w14:paraId="7588D0CE" w14:textId="13FF6C80" w:rsidR="004A2C3C" w:rsidRPr="00FC44BD" w:rsidRDefault="004A2C3C" w:rsidP="004A2C3C">
      <w:pPr>
        <w:shd w:val="clear" w:color="auto" w:fill="FFFFFF"/>
        <w:contextualSpacing/>
      </w:pPr>
      <w:r w:rsidRPr="00FC44BD">
        <w:t>This amendment include</w:t>
      </w:r>
      <w:r w:rsidR="006943A6">
        <w:t>s</w:t>
      </w:r>
      <w:r w:rsidRPr="00FC44BD">
        <w:t xml:space="preserve"> the new intensive care medicine </w:t>
      </w:r>
      <w:r>
        <w:t>services</w:t>
      </w:r>
      <w:r w:rsidRPr="00FC44BD">
        <w:t xml:space="preserve"> (</w:t>
      </w:r>
      <w:r>
        <w:t xml:space="preserve">items </w:t>
      </w:r>
      <w:r w:rsidRPr="00FC44BD">
        <w:t xml:space="preserve">14255 to 14288 in Schedule 2) in clauses 1.2.5 and 1.2.6 of the GMST. </w:t>
      </w:r>
    </w:p>
    <w:p w14:paraId="1CBF6F6A" w14:textId="77777777" w:rsidR="004A2C3C" w:rsidRPr="00FC44BD" w:rsidRDefault="004A2C3C" w:rsidP="004A2C3C">
      <w:pPr>
        <w:shd w:val="clear" w:color="auto" w:fill="FFFFFF"/>
        <w:contextualSpacing/>
      </w:pPr>
    </w:p>
    <w:p w14:paraId="772203A8" w14:textId="77777777" w:rsidR="004A2C3C" w:rsidRDefault="004A2C3C" w:rsidP="004A2C3C">
      <w:pPr>
        <w:shd w:val="clear" w:color="auto" w:fill="FFFFFF"/>
        <w:contextualSpacing/>
      </w:pPr>
      <w:r w:rsidRPr="00FC44BD">
        <w:t xml:space="preserve">Clause 1.2.5 of the GMST provides that medical practitioners must personally attend the service which must be performed on </w:t>
      </w:r>
      <w:r>
        <w:t xml:space="preserve">a </w:t>
      </w:r>
      <w:r w:rsidRPr="00FC44BD">
        <w:t>single patient on a single occasion. Clause 1.2.6 of the GMST provides that medical practitioners must personally attend the service. This applies regardless if the medical practitioner, or a person on behalf of the medical practitioner, performs the service</w:t>
      </w:r>
      <w:r w:rsidRPr="002110D5">
        <w:t>.</w:t>
      </w:r>
    </w:p>
    <w:p w14:paraId="6EF32F2D" w14:textId="77777777" w:rsidR="004A2C3C" w:rsidRDefault="004A2C3C" w:rsidP="004A2C3C">
      <w:pPr>
        <w:shd w:val="clear" w:color="auto" w:fill="FFFFFF"/>
        <w:contextualSpacing/>
        <w:rPr>
          <w:b/>
          <w:highlight w:val="yellow"/>
        </w:rPr>
      </w:pPr>
    </w:p>
    <w:p w14:paraId="0265C7F7" w14:textId="77777777" w:rsidR="004A2C3C" w:rsidRPr="00947FCB" w:rsidRDefault="004A2C3C" w:rsidP="004A2C3C">
      <w:pPr>
        <w:shd w:val="clear" w:color="auto" w:fill="FFFFFF"/>
        <w:contextualSpacing/>
        <w:rPr>
          <w:b/>
        </w:rPr>
      </w:pPr>
      <w:r w:rsidRPr="00FC44BD">
        <w:rPr>
          <w:b/>
        </w:rPr>
        <w:t xml:space="preserve">Item [4] – </w:t>
      </w:r>
      <w:r>
        <w:rPr>
          <w:b/>
        </w:rPr>
        <w:t>R</w:t>
      </w:r>
      <w:r w:rsidRPr="00FC44BD">
        <w:rPr>
          <w:b/>
        </w:rPr>
        <w:t>epeal and substitute Division 2.15</w:t>
      </w:r>
    </w:p>
    <w:p w14:paraId="15B4F087" w14:textId="10162C01" w:rsidR="004A2C3C" w:rsidRPr="006A19BF" w:rsidRDefault="004A2C3C" w:rsidP="004A2C3C">
      <w:pPr>
        <w:shd w:val="clear" w:color="auto" w:fill="FFFFFF"/>
        <w:contextualSpacing/>
      </w:pPr>
      <w:r>
        <w:t>This amendment repeal</w:t>
      </w:r>
      <w:r w:rsidR="006943A6">
        <w:t>s</w:t>
      </w:r>
      <w:r>
        <w:t xml:space="preserve"> Division 2.15, which contains the existing emergency medicine items, and replace</w:t>
      </w:r>
      <w:r w:rsidR="006943A6">
        <w:t>s</w:t>
      </w:r>
      <w:r>
        <w:t xml:space="preserve"> it with </w:t>
      </w:r>
      <w:r w:rsidRPr="006A19BF">
        <w:t xml:space="preserve">a new schedule of </w:t>
      </w:r>
      <w:r>
        <w:t xml:space="preserve">emergency medicine </w:t>
      </w:r>
      <w:r w:rsidRPr="006A19BF">
        <w:t>items</w:t>
      </w:r>
      <w:r>
        <w:t xml:space="preserve"> (21 items in total). </w:t>
      </w:r>
      <w:r w:rsidRPr="006A19BF">
        <w:t>This include</w:t>
      </w:r>
      <w:r w:rsidR="006943A6">
        <w:t>s</w:t>
      </w:r>
      <w:r w:rsidRPr="006A19BF">
        <w:t xml:space="preserve"> the introduction of</w:t>
      </w:r>
      <w:r>
        <w:t xml:space="preserve"> </w:t>
      </w:r>
      <w:r w:rsidRPr="006A19BF">
        <w:t>new attendance items (5001 to 5036) to reflect the level of professional involvement an emergency medicine service requires. The attendance services have been differentiated by:</w:t>
      </w:r>
    </w:p>
    <w:p w14:paraId="597C1B73" w14:textId="77777777" w:rsidR="004A2C3C" w:rsidRDefault="004A2C3C" w:rsidP="004A2C3C">
      <w:pPr>
        <w:pStyle w:val="ListParagraph"/>
        <w:numPr>
          <w:ilvl w:val="0"/>
          <w:numId w:val="28"/>
        </w:numPr>
      </w:pPr>
      <w:r>
        <w:lastRenderedPageBreak/>
        <w:t xml:space="preserve">the complexity of the medical-decision making; </w:t>
      </w:r>
    </w:p>
    <w:p w14:paraId="0935E24C" w14:textId="77777777" w:rsidR="004A2C3C" w:rsidRDefault="004A2C3C" w:rsidP="004A2C3C">
      <w:pPr>
        <w:pStyle w:val="ListParagraph"/>
        <w:numPr>
          <w:ilvl w:val="0"/>
          <w:numId w:val="28"/>
        </w:numPr>
      </w:pPr>
      <w:r>
        <w:t>the age of patients; and</w:t>
      </w:r>
    </w:p>
    <w:p w14:paraId="73373714" w14:textId="77777777" w:rsidR="004A2C3C" w:rsidRPr="00633AD8" w:rsidRDefault="004A2C3C" w:rsidP="004A2C3C">
      <w:pPr>
        <w:pStyle w:val="ListParagraph"/>
        <w:numPr>
          <w:ilvl w:val="0"/>
          <w:numId w:val="28"/>
        </w:numPr>
        <w:rPr>
          <w:b/>
        </w:rPr>
      </w:pPr>
      <w:r>
        <w:t xml:space="preserve">the type of doctor who performs the service (medical practitioner or specialist in emergency medicine). </w:t>
      </w:r>
    </w:p>
    <w:p w14:paraId="2848E052" w14:textId="77777777" w:rsidR="004A2C3C" w:rsidRDefault="004A2C3C" w:rsidP="004A2C3C"/>
    <w:p w14:paraId="0ED26C8E" w14:textId="4874D6D3" w:rsidR="004A2C3C" w:rsidRPr="00633AD8" w:rsidRDefault="004A2C3C" w:rsidP="004A2C3C">
      <w:r>
        <w:t xml:space="preserve">The Regulations list </w:t>
      </w:r>
      <w:r w:rsidRPr="00633AD8">
        <w:t xml:space="preserve">emergency medicine services performed by medical practitioners to encourage more doctors to gain emergency </w:t>
      </w:r>
      <w:r>
        <w:t>medicine</w:t>
      </w:r>
      <w:r w:rsidRPr="00633AD8">
        <w:t xml:space="preserve"> experience and improve their capabilities. The </w:t>
      </w:r>
      <w:r>
        <w:t>fee</w:t>
      </w:r>
      <w:r w:rsidRPr="00633AD8">
        <w:t xml:space="preserve"> for these items </w:t>
      </w:r>
      <w:r w:rsidR="00357A4B">
        <w:t>is</w:t>
      </w:r>
      <w:r w:rsidRPr="00633AD8">
        <w:t xml:space="preserve"> 75% of the equivalent service performed by an emergency medicine specialist. </w:t>
      </w:r>
    </w:p>
    <w:p w14:paraId="399B30FE" w14:textId="77777777" w:rsidR="004A2C3C" w:rsidRDefault="004A2C3C" w:rsidP="004A2C3C"/>
    <w:p w14:paraId="11B35CF6" w14:textId="5D0C7B4A" w:rsidR="004A2C3C" w:rsidRDefault="004A2C3C" w:rsidP="004A2C3C">
      <w:r>
        <w:t xml:space="preserve">The new attendance items are intended to be inclusive of medical tasks which are integral to emergency attendance services. </w:t>
      </w:r>
      <w:r w:rsidRPr="00B20246">
        <w:t xml:space="preserve">The Taskforce advised that services such as electrocardiograms, resuscitation </w:t>
      </w:r>
      <w:r>
        <w:t>of</w:t>
      </w:r>
      <w:r w:rsidRPr="00B20246">
        <w:t xml:space="preserve"> </w:t>
      </w:r>
      <w:r>
        <w:t xml:space="preserve">less than 30 </w:t>
      </w:r>
      <w:r w:rsidRPr="00B20246">
        <w:t xml:space="preserve">minutes, in-dwelling urinary catheterisation, venous and arterial blood gas sampling, and point-of-care ultrasounds </w:t>
      </w:r>
      <w:r w:rsidR="009845D5">
        <w:t>are</w:t>
      </w:r>
      <w:r w:rsidRPr="00B20246">
        <w:t xml:space="preserve"> expected to be performed under </w:t>
      </w:r>
      <w:r>
        <w:t>the new</w:t>
      </w:r>
      <w:r w:rsidRPr="00B20246">
        <w:t xml:space="preserve"> attendance </w:t>
      </w:r>
      <w:r>
        <w:t xml:space="preserve">items. </w:t>
      </w:r>
    </w:p>
    <w:p w14:paraId="2902174B" w14:textId="77777777" w:rsidR="004A2C3C" w:rsidRDefault="004A2C3C" w:rsidP="004A2C3C"/>
    <w:p w14:paraId="50446E7D" w14:textId="46267964" w:rsidR="004A2C3C" w:rsidRDefault="004A2C3C" w:rsidP="004A2C3C">
      <w:r>
        <w:t xml:space="preserve">The Regulations also introduce attendance items for the preparation of goals of care for a “gravely ill patient lacking current goals of care” (refer to </w:t>
      </w:r>
      <w:r w:rsidRPr="00724EBB">
        <w:t xml:space="preserve">amendment 5 </w:t>
      </w:r>
      <w:r>
        <w:t>in</w:t>
      </w:r>
      <w:r w:rsidRPr="00724EBB">
        <w:t xml:space="preserve"> Schedule 3).</w:t>
      </w:r>
      <w:r>
        <w:t xml:space="preserve"> The goals of care services include:</w:t>
      </w:r>
    </w:p>
    <w:p w14:paraId="6C4F8DDF" w14:textId="77777777" w:rsidR="004A2C3C" w:rsidRDefault="004A2C3C" w:rsidP="004A2C3C">
      <w:pPr>
        <w:pStyle w:val="ListParagraph"/>
        <w:numPr>
          <w:ilvl w:val="0"/>
          <w:numId w:val="29"/>
        </w:numPr>
      </w:pPr>
      <w:r>
        <w:t xml:space="preserve">Services to be performed in conjunction with, or after, the new attendance services. This includes item 5039 for emergency medicine specialists and item 5042 for medical practitioners. The Taskforce advised that a lower fee would be appropriate for these services as it is expected the doctor would have performed the attendance service on the patient, and would be familiar with the patient’s medical issue and circumstances. </w:t>
      </w:r>
    </w:p>
    <w:p w14:paraId="43028365" w14:textId="77777777" w:rsidR="004A2C3C" w:rsidRDefault="004A2C3C" w:rsidP="004A2C3C">
      <w:pPr>
        <w:pStyle w:val="ListParagraph"/>
        <w:numPr>
          <w:ilvl w:val="0"/>
          <w:numId w:val="29"/>
        </w:numPr>
      </w:pPr>
      <w:r>
        <w:t xml:space="preserve">Services that are not to be performed in conjunction with, or after, the new attendance services. This includes item 5041 for emergency medicine specialists and item 5044 for medical practitioners. The Taskforce advised that an increased fee would be appropriate for these services as the doctor would not be familiar with the patient’s medical issues and circumstances. </w:t>
      </w:r>
      <w:r>
        <w:br/>
      </w:r>
    </w:p>
    <w:p w14:paraId="52779C5F" w14:textId="77777777" w:rsidR="004A2C3C" w:rsidRPr="000A485C" w:rsidRDefault="004A2C3C" w:rsidP="004A2C3C">
      <w:r w:rsidRPr="00227491">
        <w:t>A goals of care service involves a comprehensive evaluation of the patient’s issues (including medical, psychological, social and other issues), discussing options for the c</w:t>
      </w:r>
      <w:r>
        <w:t xml:space="preserve">are of the patient, including </w:t>
      </w:r>
      <w:r w:rsidRPr="00876E63">
        <w:t>alternatives to intensive or escalated</w:t>
      </w:r>
      <w:r w:rsidRPr="00227491">
        <w:t xml:space="preserve"> care, and developing an agreed plan </w:t>
      </w:r>
      <w:r>
        <w:t xml:space="preserve">with the patient (or surrogate decision-maker). The Taskforce recommended introducing goals of care in </w:t>
      </w:r>
      <w:r w:rsidRPr="000A485C">
        <w:t xml:space="preserve">response to feedback that medical decisions for gravely ill patients are often made without providing sufficient information to patients and their families about the alternatives available to them. </w:t>
      </w:r>
      <w:r w:rsidRPr="000A485C">
        <w:br/>
      </w:r>
    </w:p>
    <w:p w14:paraId="51B6CAD1" w14:textId="5E0CC69D" w:rsidR="004A2C3C" w:rsidRPr="000A485C" w:rsidRDefault="004A2C3C" w:rsidP="004A2C3C">
      <w:r w:rsidRPr="000A485C">
        <w:t xml:space="preserve">Patients </w:t>
      </w:r>
      <w:r w:rsidR="006943A6">
        <w:t>are</w:t>
      </w:r>
      <w:r w:rsidRPr="000A485C">
        <w:t xml:space="preserve"> eligible for a goals of care </w:t>
      </w:r>
      <w:r w:rsidR="007D0D4B">
        <w:t xml:space="preserve">service </w:t>
      </w:r>
      <w:r w:rsidRPr="000A485C">
        <w:t xml:space="preserve">if no record can be found of an existing goals of care. Patients who have a record are also eligible if their condition has changed to the point </w:t>
      </w:r>
      <w:r>
        <w:t xml:space="preserve">the record does not reflect the patient’s current medical condition, and it is reasonable for new goals of care to be developed. </w:t>
      </w:r>
      <w:r w:rsidRPr="000A485C">
        <w:t>The limitation on eligibility was considered appropriate by the Taskforce as it is preferable for patients to have an existing goals of care with their usual doctor.</w:t>
      </w:r>
    </w:p>
    <w:p w14:paraId="6C8F99C0" w14:textId="77777777" w:rsidR="004A2C3C" w:rsidRDefault="004A2C3C" w:rsidP="004A2C3C"/>
    <w:p w14:paraId="5C0A552E" w14:textId="77777777" w:rsidR="004A2C3C" w:rsidRPr="00EB3348" w:rsidRDefault="004A2C3C" w:rsidP="004A2C3C">
      <w:pPr>
        <w:shd w:val="clear" w:color="auto" w:fill="FFFFFF"/>
        <w:contextualSpacing/>
      </w:pPr>
      <w:r w:rsidRPr="00FC44BD">
        <w:rPr>
          <w:b/>
        </w:rPr>
        <w:t>Item [5] – Amendment to heading of Subgroup 13 of Group T1</w:t>
      </w:r>
    </w:p>
    <w:p w14:paraId="1372BE6C" w14:textId="4E0C5789" w:rsidR="004A2C3C" w:rsidRDefault="004A2C3C" w:rsidP="004A2C3C">
      <w:pPr>
        <w:shd w:val="clear" w:color="auto" w:fill="FFFFFF"/>
        <w:contextualSpacing/>
      </w:pPr>
      <w:r w:rsidRPr="00EB3348">
        <w:t>This amendment make</w:t>
      </w:r>
      <w:r w:rsidR="006943A6">
        <w:t>s</w:t>
      </w:r>
      <w:r w:rsidRPr="00EB3348">
        <w:t xml:space="preserve"> a consequential change to the heading of Subgroup 13 in Group T1 of the GMST to avoid confusing it with new Subgroup 14</w:t>
      </w:r>
      <w:r>
        <w:t xml:space="preserve"> (refer to </w:t>
      </w:r>
      <w:r w:rsidRPr="00EB3348">
        <w:t xml:space="preserve">amendment </w:t>
      </w:r>
      <w:r>
        <w:t xml:space="preserve">6 in </w:t>
      </w:r>
      <w:r>
        <w:lastRenderedPageBreak/>
        <w:t>Schedule 1)</w:t>
      </w:r>
      <w:r w:rsidRPr="00EB3348">
        <w:t>.</w:t>
      </w:r>
      <w:r>
        <w:t xml:space="preserve"> </w:t>
      </w:r>
      <w:r>
        <w:br/>
      </w:r>
    </w:p>
    <w:p w14:paraId="3400009D" w14:textId="77777777" w:rsidR="004A2C3C" w:rsidRPr="00A7661F" w:rsidRDefault="004A2C3C" w:rsidP="004A2C3C">
      <w:pPr>
        <w:shd w:val="clear" w:color="auto" w:fill="FFFFFF"/>
        <w:contextualSpacing/>
        <w:rPr>
          <w:b/>
        </w:rPr>
      </w:pPr>
      <w:r w:rsidRPr="00FC44BD">
        <w:rPr>
          <w:b/>
        </w:rPr>
        <w:t>Item [6] – Insert new Subgroup 14 in Group T1</w:t>
      </w:r>
    </w:p>
    <w:p w14:paraId="7F245688" w14:textId="77777777" w:rsidR="004A2C3C" w:rsidRDefault="004A2C3C" w:rsidP="004A2C3C">
      <w:pPr>
        <w:shd w:val="clear" w:color="auto" w:fill="FFFFFF"/>
        <w:contextualSpacing/>
      </w:pPr>
      <w:r>
        <w:t xml:space="preserve">In its review of emergency medicine, the Taskforce found the arrangements were administratively complex and confusing for patients and doctors. It found significant variation in the services which were being claimed for episodes of emergency medicine, with more than 100 different items being claimed. </w:t>
      </w:r>
      <w:r w:rsidRPr="00721E69">
        <w:t xml:space="preserve">The </w:t>
      </w:r>
      <w:r>
        <w:t>Taskforce recommended a new subgroup of therapeutic and procedural items be introduced to simplify the existing arrangements for doctors and patients.</w:t>
      </w:r>
    </w:p>
    <w:p w14:paraId="301894E5" w14:textId="77777777" w:rsidR="004A2C3C" w:rsidRDefault="004A2C3C" w:rsidP="004A2C3C">
      <w:pPr>
        <w:shd w:val="clear" w:color="auto" w:fill="FFFFFF"/>
        <w:contextualSpacing/>
      </w:pPr>
    </w:p>
    <w:p w14:paraId="3A14E7D7" w14:textId="3EEEBD90" w:rsidR="004A2C3C" w:rsidRDefault="004A2C3C" w:rsidP="004A2C3C">
      <w:pPr>
        <w:shd w:val="clear" w:color="auto" w:fill="FFFFFF"/>
        <w:contextualSpacing/>
      </w:pPr>
      <w:r>
        <w:t xml:space="preserve">This amendment </w:t>
      </w:r>
      <w:r w:rsidRPr="00A7661F">
        <w:t>insert</w:t>
      </w:r>
      <w:r w:rsidR="006943A6">
        <w:t>s</w:t>
      </w:r>
      <w:r w:rsidRPr="00A7661F">
        <w:t xml:space="preserve"> a new </w:t>
      </w:r>
      <w:r>
        <w:t>subgroup</w:t>
      </w:r>
      <w:r w:rsidRPr="00A7661F">
        <w:t xml:space="preserve"> of therapeutic and procedural</w:t>
      </w:r>
      <w:r>
        <w:t xml:space="preserve"> </w:t>
      </w:r>
      <w:r w:rsidRPr="005245AA">
        <w:t>services</w:t>
      </w:r>
      <w:r>
        <w:t xml:space="preserve"> </w:t>
      </w:r>
      <w:r w:rsidRPr="005245AA">
        <w:t>(18 items in</w:t>
      </w:r>
      <w:r>
        <w:t xml:space="preserve"> total) which are </w:t>
      </w:r>
      <w:r w:rsidRPr="00A7661F">
        <w:t>commonly performed in emergency medicine</w:t>
      </w:r>
      <w:r>
        <w:t xml:space="preserve">. </w:t>
      </w:r>
      <w:r w:rsidRPr="00CB7DE8">
        <w:t xml:space="preserve">The </w:t>
      </w:r>
      <w:r>
        <w:t xml:space="preserve">new </w:t>
      </w:r>
      <w:r w:rsidRPr="00CB7DE8">
        <w:t xml:space="preserve">items reflect the significant additional professional involvement associated with issues or tasks that may be performed in an </w:t>
      </w:r>
      <w:r>
        <w:t>emergency department</w:t>
      </w:r>
      <w:r w:rsidRPr="00CB7DE8">
        <w:t xml:space="preserve"> context, but that are not a standard component of </w:t>
      </w:r>
      <w:r>
        <w:t>the attendance items (refer to amendment 4 in Schedule 1)</w:t>
      </w:r>
      <w:r w:rsidRPr="00CB7DE8">
        <w:t xml:space="preserve">. </w:t>
      </w:r>
    </w:p>
    <w:p w14:paraId="4F0EE3FE" w14:textId="77777777" w:rsidR="004A2C3C" w:rsidRDefault="004A2C3C" w:rsidP="004A2C3C">
      <w:pPr>
        <w:shd w:val="clear" w:color="auto" w:fill="FFFFFF"/>
        <w:contextualSpacing/>
      </w:pPr>
    </w:p>
    <w:p w14:paraId="094D6CA8" w14:textId="77777777" w:rsidR="004A2C3C" w:rsidRDefault="004A2C3C" w:rsidP="004A2C3C">
      <w:pPr>
        <w:shd w:val="clear" w:color="auto" w:fill="FFFFFF"/>
        <w:contextualSpacing/>
      </w:pPr>
      <w:r w:rsidRPr="00CB7DE8">
        <w:t xml:space="preserve">Specifically, items </w:t>
      </w:r>
      <w:r>
        <w:t>in Subgroup 14 include:</w:t>
      </w:r>
    </w:p>
    <w:p w14:paraId="7A4E134A" w14:textId="77777777" w:rsidR="004A2C3C" w:rsidRDefault="004A2C3C" w:rsidP="004A2C3C">
      <w:pPr>
        <w:pStyle w:val="ListParagraph"/>
        <w:numPr>
          <w:ilvl w:val="0"/>
          <w:numId w:val="30"/>
        </w:numPr>
        <w:shd w:val="clear" w:color="auto" w:fill="FFFFFF"/>
      </w:pPr>
      <w:r w:rsidRPr="00CB7DE8">
        <w:t>resuscitation (</w:t>
      </w:r>
      <w:r>
        <w:t>for at least 30 minutes)</w:t>
      </w:r>
      <w:r w:rsidRPr="00CB7DE8">
        <w:t>, minor</w:t>
      </w:r>
      <w:r>
        <w:t xml:space="preserve"> </w:t>
      </w:r>
      <w:r w:rsidRPr="00CB7DE8">
        <w:t>p</w:t>
      </w:r>
      <w:r>
        <w:t>rocedures, procedures and fracture/</w:t>
      </w:r>
      <w:r w:rsidRPr="00CB7DE8">
        <w:t xml:space="preserve">dislocation management </w:t>
      </w:r>
      <w:r>
        <w:t>services, anaesthesia services and emergent intubation/airway management, which are to be performed in conjunction with an emergency medicine attendance service in Group A21.</w:t>
      </w:r>
    </w:p>
    <w:p w14:paraId="2046E8CF" w14:textId="77777777" w:rsidR="004A2C3C" w:rsidRDefault="004A2C3C" w:rsidP="004A2C3C">
      <w:pPr>
        <w:pStyle w:val="ListParagraph"/>
        <w:numPr>
          <w:ilvl w:val="0"/>
          <w:numId w:val="30"/>
        </w:numPr>
        <w:shd w:val="clear" w:color="auto" w:fill="FFFFFF"/>
      </w:pPr>
      <w:r w:rsidRPr="00CB7DE8">
        <w:t>chemical or physical restraints</w:t>
      </w:r>
      <w:r>
        <w:t xml:space="preserve">, which can be performed as a standalone service or in conjunction with an emergency medicine attendance service in Group A21, </w:t>
      </w:r>
      <w:r w:rsidRPr="007B7879">
        <w:t xml:space="preserve">where an acute severe behavioural disturbance necessitates involuntary management with a team based approach </w:t>
      </w:r>
      <w:r>
        <w:t xml:space="preserve">or one-on-one care </w:t>
      </w:r>
      <w:r w:rsidRPr="007B7879">
        <w:t>to ensure the safety of the patient.</w:t>
      </w:r>
    </w:p>
    <w:p w14:paraId="5B5E0877" w14:textId="77777777" w:rsidR="004A2C3C" w:rsidRDefault="004A2C3C" w:rsidP="004A2C3C"/>
    <w:p w14:paraId="4177B112" w14:textId="376B405A" w:rsidR="004A2C3C" w:rsidRPr="00251872" w:rsidRDefault="004A2C3C" w:rsidP="004A2C3C">
      <w:r>
        <w:t xml:space="preserve">It is important to note that the new items cover the most common procedural and therapeutic services but are not intended to cover all possible services performed in emergency medicine. As such, doctors </w:t>
      </w:r>
      <w:r w:rsidR="009845D5">
        <w:t xml:space="preserve">are </w:t>
      </w:r>
      <w:r>
        <w:t xml:space="preserve">not be restricted from performing other procedural and therapeutic items on the GMST for emergency medicine services, where clinically relevant. </w:t>
      </w:r>
    </w:p>
    <w:p w14:paraId="27D0D256" w14:textId="77777777" w:rsidR="004A2C3C" w:rsidRDefault="004A2C3C" w:rsidP="004A2C3C">
      <w:pPr>
        <w:shd w:val="clear" w:color="auto" w:fill="FFFFFF"/>
        <w:contextualSpacing/>
      </w:pPr>
    </w:p>
    <w:p w14:paraId="1121FC12" w14:textId="77777777" w:rsidR="004A2C3C" w:rsidRPr="00FC44BD" w:rsidRDefault="004A2C3C" w:rsidP="004A2C3C">
      <w:pPr>
        <w:shd w:val="clear" w:color="auto" w:fill="FFFFFF"/>
        <w:contextualSpacing/>
        <w:rPr>
          <w:b/>
        </w:rPr>
      </w:pPr>
      <w:r w:rsidRPr="00FC44BD">
        <w:rPr>
          <w:b/>
        </w:rPr>
        <w:t>Item [7]</w:t>
      </w:r>
      <w:r>
        <w:rPr>
          <w:b/>
        </w:rPr>
        <w:t xml:space="preserve"> – D</w:t>
      </w:r>
      <w:r w:rsidRPr="00FC44BD">
        <w:rPr>
          <w:b/>
        </w:rPr>
        <w:t>efinition of “problem focussed history”</w:t>
      </w:r>
    </w:p>
    <w:p w14:paraId="5FCFF54F" w14:textId="0974D76C" w:rsidR="004A2C3C" w:rsidRPr="008254CE" w:rsidRDefault="004A2C3C" w:rsidP="004A2C3C">
      <w:pPr>
        <w:shd w:val="clear" w:color="auto" w:fill="FFFFFF"/>
        <w:contextualSpacing/>
      </w:pPr>
      <w:r w:rsidRPr="00FC44BD">
        <w:t>This amendment make</w:t>
      </w:r>
      <w:r w:rsidR="006943A6">
        <w:t>s</w:t>
      </w:r>
      <w:r w:rsidRPr="00FC44BD">
        <w:t xml:space="preserve"> a consequential amendment to remove a definition which was only used for the purpose of emergency medicine items 501, 503, 507, which </w:t>
      </w:r>
      <w:r w:rsidR="006943A6">
        <w:t>are now</w:t>
      </w:r>
      <w:r w:rsidRPr="00FC44BD">
        <w:t xml:space="preserve"> deleted by the Regulations (refer to amendment 4 in Schedule 1).</w:t>
      </w:r>
    </w:p>
    <w:p w14:paraId="4802CF6F" w14:textId="77777777" w:rsidR="004A2C3C" w:rsidRPr="008254CE" w:rsidRDefault="004A2C3C" w:rsidP="004A2C3C">
      <w:pPr>
        <w:shd w:val="clear" w:color="auto" w:fill="FFFFFF"/>
        <w:contextualSpacing/>
      </w:pPr>
    </w:p>
    <w:p w14:paraId="2EDCB934" w14:textId="77777777" w:rsidR="004A2C3C" w:rsidRPr="008254CE" w:rsidRDefault="004A2C3C" w:rsidP="004A2C3C">
      <w:pPr>
        <w:shd w:val="clear" w:color="auto" w:fill="FFFFFF"/>
        <w:contextualSpacing/>
        <w:rPr>
          <w:b/>
        </w:rPr>
      </w:pPr>
      <w:r w:rsidRPr="00FC44BD">
        <w:rPr>
          <w:b/>
        </w:rPr>
        <w:t>Item [8]</w:t>
      </w:r>
      <w:r>
        <w:rPr>
          <w:b/>
        </w:rPr>
        <w:t xml:space="preserve"> –</w:t>
      </w:r>
      <w:r w:rsidRPr="00FC44BD">
        <w:rPr>
          <w:b/>
        </w:rPr>
        <w:t xml:space="preserve"> </w:t>
      </w:r>
      <w:r>
        <w:rPr>
          <w:b/>
        </w:rPr>
        <w:t>D</w:t>
      </w:r>
      <w:r w:rsidRPr="00FC44BD">
        <w:rPr>
          <w:b/>
        </w:rPr>
        <w:t>efinition of “recognised emergency department”</w:t>
      </w:r>
    </w:p>
    <w:p w14:paraId="64B9DE99" w14:textId="3AF74978" w:rsidR="004A2C3C" w:rsidRPr="0067386C" w:rsidRDefault="004A2C3C" w:rsidP="004A2C3C">
      <w:pPr>
        <w:shd w:val="clear" w:color="auto" w:fill="FFFFFF"/>
        <w:contextualSpacing/>
      </w:pPr>
      <w:r w:rsidRPr="008254CE">
        <w:t xml:space="preserve">This </w:t>
      </w:r>
      <w:r>
        <w:t xml:space="preserve">amendment </w:t>
      </w:r>
      <w:r w:rsidRPr="008254CE">
        <w:t>make</w:t>
      </w:r>
      <w:r w:rsidR="006943A6">
        <w:t>s</w:t>
      </w:r>
      <w:r w:rsidRPr="008254CE">
        <w:t xml:space="preserve"> a consequential amendment to the definition of “recognised emergency department” to include the meaning of the term in clause 3.1, rather than refer to the meaning given by clause 2.15.1. There </w:t>
      </w:r>
      <w:r w:rsidR="006943A6">
        <w:t>is</w:t>
      </w:r>
      <w:r w:rsidRPr="008254CE">
        <w:t xml:space="preserve"> no change to what a “recognised emergency department” is.</w:t>
      </w:r>
    </w:p>
    <w:p w14:paraId="499D8433" w14:textId="77777777" w:rsidR="004A2C3C" w:rsidRDefault="004A2C3C" w:rsidP="004A2C3C">
      <w:pPr>
        <w:shd w:val="clear" w:color="auto" w:fill="FFFFFF"/>
        <w:contextualSpacing/>
        <w:rPr>
          <w:highlight w:val="yellow"/>
        </w:rPr>
      </w:pPr>
    </w:p>
    <w:p w14:paraId="3AE57297" w14:textId="77777777" w:rsidR="004A2C3C" w:rsidRDefault="004A2C3C" w:rsidP="004A2C3C">
      <w:pPr>
        <w:shd w:val="clear" w:color="auto" w:fill="FFFFFF"/>
        <w:contextualSpacing/>
        <w:rPr>
          <w:highlight w:val="yellow"/>
        </w:rPr>
      </w:pPr>
    </w:p>
    <w:p w14:paraId="0F69F170" w14:textId="77777777" w:rsidR="004A2C3C" w:rsidRPr="00665E73" w:rsidRDefault="004A2C3C" w:rsidP="004A2C3C">
      <w:pPr>
        <w:tabs>
          <w:tab w:val="num" w:pos="1080"/>
          <w:tab w:val="center" w:pos="4153"/>
          <w:tab w:val="right" w:pos="8306"/>
        </w:tabs>
        <w:rPr>
          <w:b/>
          <w:u w:val="single"/>
        </w:rPr>
      </w:pPr>
      <w:r>
        <w:rPr>
          <w:b/>
          <w:u w:val="single"/>
        </w:rPr>
        <w:t>Schedule 2</w:t>
      </w:r>
      <w:r w:rsidRPr="00665E73">
        <w:rPr>
          <w:b/>
          <w:u w:val="single"/>
        </w:rPr>
        <w:t xml:space="preserve">– </w:t>
      </w:r>
      <w:r>
        <w:rPr>
          <w:b/>
          <w:u w:val="single"/>
        </w:rPr>
        <w:t>Intensive Care</w:t>
      </w:r>
    </w:p>
    <w:p w14:paraId="6E5FFC59" w14:textId="77777777" w:rsidR="004A2C3C" w:rsidRPr="001B7689" w:rsidRDefault="004A2C3C" w:rsidP="004A2C3C">
      <w:pPr>
        <w:shd w:val="clear" w:color="auto" w:fill="FFFFFF"/>
        <w:contextualSpacing/>
        <w:rPr>
          <w:highlight w:val="yellow"/>
        </w:rPr>
      </w:pPr>
    </w:p>
    <w:p w14:paraId="7360D80B" w14:textId="1EF5E442" w:rsidR="004A2C3C" w:rsidRPr="00CA6619" w:rsidRDefault="006943A6" w:rsidP="004A2C3C">
      <w:pPr>
        <w:pStyle w:val="ListParagraph"/>
        <w:numPr>
          <w:ilvl w:val="0"/>
          <w:numId w:val="31"/>
        </w:numPr>
        <w:shd w:val="clear" w:color="auto" w:fill="FFFFFF"/>
      </w:pPr>
      <w:r>
        <w:rPr>
          <w:b/>
        </w:rPr>
        <w:t>A</w:t>
      </w:r>
      <w:r w:rsidR="004A2C3C" w:rsidRPr="00FC44BD">
        <w:rPr>
          <w:b/>
        </w:rPr>
        <w:t>mend</w:t>
      </w:r>
      <w:r w:rsidR="004A2C3C">
        <w:rPr>
          <w:b/>
        </w:rPr>
        <w:t>ments to</w:t>
      </w:r>
      <w:r w:rsidR="004A2C3C" w:rsidRPr="00FC44BD">
        <w:rPr>
          <w:b/>
        </w:rPr>
        <w:t xml:space="preserve"> the </w:t>
      </w:r>
      <w:r w:rsidR="004A2C3C" w:rsidRPr="00FB237A">
        <w:rPr>
          <w:b/>
          <w:i/>
        </w:rPr>
        <w:t xml:space="preserve">Health Insurance (Diagnostic Imaging Services Table) Regulations 2019 </w:t>
      </w:r>
    </w:p>
    <w:p w14:paraId="654D059F" w14:textId="77777777" w:rsidR="004A2C3C" w:rsidRDefault="004A2C3C" w:rsidP="004A2C3C">
      <w:pPr>
        <w:shd w:val="clear" w:color="auto" w:fill="FFFFFF"/>
        <w:contextualSpacing/>
        <w:rPr>
          <w:b/>
        </w:rPr>
      </w:pPr>
    </w:p>
    <w:p w14:paraId="56DD86B1" w14:textId="77777777" w:rsidR="004A2C3C" w:rsidRPr="00BE4664" w:rsidRDefault="004A2C3C" w:rsidP="004A2C3C">
      <w:pPr>
        <w:shd w:val="clear" w:color="auto" w:fill="FFFFFF"/>
        <w:contextualSpacing/>
        <w:rPr>
          <w:b/>
        </w:rPr>
      </w:pPr>
      <w:r w:rsidRPr="00FB237A">
        <w:rPr>
          <w:b/>
        </w:rPr>
        <w:t>Item [1] – Insert clause 2.1.2A</w:t>
      </w:r>
    </w:p>
    <w:p w14:paraId="0B851DA7" w14:textId="77777777" w:rsidR="004A2C3C" w:rsidRPr="008E5D0A" w:rsidRDefault="004A2C3C" w:rsidP="004A2C3C">
      <w:pPr>
        <w:shd w:val="clear" w:color="auto" w:fill="FFFFFF"/>
        <w:contextualSpacing/>
      </w:pPr>
      <w:r w:rsidRPr="008E5D0A">
        <w:lastRenderedPageBreak/>
        <w:t xml:space="preserve">Cannulation and catheterisation </w:t>
      </w:r>
      <w:r>
        <w:t>are</w:t>
      </w:r>
      <w:r w:rsidRPr="008E5D0A">
        <w:t xml:space="preserve"> procedure</w:t>
      </w:r>
      <w:r>
        <w:t>s</w:t>
      </w:r>
      <w:r w:rsidRPr="008E5D0A">
        <w:t xml:space="preserve"> that involve inserting a tube (‘catheter’ or ‘cannula’) into a blood vessel</w:t>
      </w:r>
      <w:r>
        <w:t>, vein or artery</w:t>
      </w:r>
      <w:r w:rsidRPr="008E5D0A">
        <w:t>. This tube allows fluids to be delivered, blood to be drawn</w:t>
      </w:r>
      <w:r>
        <w:t>,</w:t>
      </w:r>
      <w:r w:rsidRPr="008E5D0A">
        <w:t xml:space="preserve"> or blood pressure to be measure.</w:t>
      </w:r>
    </w:p>
    <w:p w14:paraId="0CCF51FC" w14:textId="77777777" w:rsidR="004A2C3C" w:rsidRPr="008E5D0A" w:rsidRDefault="004A2C3C" w:rsidP="004A2C3C">
      <w:pPr>
        <w:shd w:val="clear" w:color="auto" w:fill="FFFFFF"/>
        <w:contextualSpacing/>
      </w:pPr>
    </w:p>
    <w:p w14:paraId="0888DA83" w14:textId="77777777" w:rsidR="004A2C3C" w:rsidRPr="008E5D0A" w:rsidRDefault="004A2C3C" w:rsidP="004A2C3C">
      <w:pPr>
        <w:shd w:val="clear" w:color="auto" w:fill="FFFFFF"/>
        <w:contextualSpacing/>
      </w:pPr>
      <w:r w:rsidRPr="008E5D0A">
        <w:t xml:space="preserve">The tube can be inserted with or without ultrasound guidance. Ultrasound guidance </w:t>
      </w:r>
      <w:r>
        <w:t xml:space="preserve">assists the doctor to guide the tube into position by identifying </w:t>
      </w:r>
      <w:r w:rsidRPr="008E5D0A">
        <w:t>structures beneath the skin</w:t>
      </w:r>
      <w:r>
        <w:t xml:space="preserve">, such as </w:t>
      </w:r>
      <w:r w:rsidRPr="008E5D0A">
        <w:t>blood vessels, nerves and muscles</w:t>
      </w:r>
      <w:r>
        <w:br/>
      </w:r>
    </w:p>
    <w:p w14:paraId="05337C48" w14:textId="3FDE83F1" w:rsidR="004A2C3C" w:rsidRDefault="004A2C3C" w:rsidP="004A2C3C">
      <w:pPr>
        <w:shd w:val="clear" w:color="auto" w:fill="FFFFFF"/>
        <w:contextualSpacing/>
      </w:pPr>
      <w:r w:rsidRPr="008E5D0A">
        <w:t xml:space="preserve">The Taskforce recommended that </w:t>
      </w:r>
      <w:r>
        <w:t xml:space="preserve">the descriptors of cathertisation item 13815 and cannulation items 13832, </w:t>
      </w:r>
      <w:r w:rsidR="00E54E91" w:rsidRPr="00E54E91">
        <w:t>13840</w:t>
      </w:r>
      <w:r w:rsidR="00E54E91">
        <w:t xml:space="preserve"> </w:t>
      </w:r>
      <w:r>
        <w:t xml:space="preserve">and 13842 </w:t>
      </w:r>
      <w:r w:rsidRPr="008E5D0A">
        <w:t xml:space="preserve">be </w:t>
      </w:r>
      <w:r>
        <w:t>changed</w:t>
      </w:r>
      <w:r w:rsidRPr="008E5D0A">
        <w:t xml:space="preserve"> to convey the expectation that ultrasound guidance should be used</w:t>
      </w:r>
      <w:r>
        <w:t>,</w:t>
      </w:r>
      <w:r w:rsidRPr="008E5D0A">
        <w:t xml:space="preserve"> where clinically appropriate. In modern practice, the use of ultrasound guidance is considered best practice</w:t>
      </w:r>
      <w:r>
        <w:t xml:space="preserve"> in most circumstances</w:t>
      </w:r>
      <w:r w:rsidRPr="008E5D0A">
        <w:t xml:space="preserve"> and an integral component of c</w:t>
      </w:r>
      <w:r>
        <w:t xml:space="preserve">annulation and catheterisation. </w:t>
      </w:r>
    </w:p>
    <w:p w14:paraId="23337B79" w14:textId="77777777" w:rsidR="004A2C3C" w:rsidRDefault="004A2C3C" w:rsidP="004A2C3C">
      <w:pPr>
        <w:shd w:val="clear" w:color="auto" w:fill="FFFFFF"/>
        <w:contextualSpacing/>
      </w:pPr>
    </w:p>
    <w:p w14:paraId="091495F8" w14:textId="44596455" w:rsidR="004A2C3C" w:rsidRPr="008E5D0A" w:rsidRDefault="004A2C3C" w:rsidP="004A2C3C">
      <w:pPr>
        <w:shd w:val="clear" w:color="auto" w:fill="FFFFFF"/>
        <w:contextualSpacing/>
      </w:pPr>
      <w:r w:rsidRPr="008E5D0A">
        <w:t xml:space="preserve">Where </w:t>
      </w:r>
      <w:r>
        <w:t xml:space="preserve">items </w:t>
      </w:r>
      <w:r w:rsidRPr="008E5D0A">
        <w:t>13815</w:t>
      </w:r>
      <w:r>
        <w:t xml:space="preserve">, </w:t>
      </w:r>
      <w:r w:rsidRPr="008E5D0A">
        <w:t xml:space="preserve">13832, </w:t>
      </w:r>
      <w:r w:rsidR="00E54E91" w:rsidRPr="00E54E91">
        <w:t>13840</w:t>
      </w:r>
      <w:r w:rsidR="00E54E91">
        <w:t xml:space="preserve"> </w:t>
      </w:r>
      <w:r>
        <w:t>or</w:t>
      </w:r>
      <w:r w:rsidRPr="008E5D0A">
        <w:t xml:space="preserve"> 13842</w:t>
      </w:r>
      <w:r>
        <w:t xml:space="preserve"> of the GMST</w:t>
      </w:r>
      <w:r w:rsidRPr="008E5D0A">
        <w:t xml:space="preserve"> </w:t>
      </w:r>
      <w:r>
        <w:t>are</w:t>
      </w:r>
      <w:r w:rsidRPr="008E5D0A">
        <w:t xml:space="preserve"> performed with ultrasound, </w:t>
      </w:r>
      <w:r>
        <w:t xml:space="preserve">the Taskforce recommended that </w:t>
      </w:r>
      <w:r w:rsidRPr="008E5D0A">
        <w:t xml:space="preserve">a service in the </w:t>
      </w:r>
      <w:r>
        <w:t>DIST</w:t>
      </w:r>
      <w:r w:rsidRPr="008E5D0A">
        <w:t xml:space="preserve"> table should not be claimed.</w:t>
      </w:r>
      <w:r>
        <w:t xml:space="preserve"> This amendment implement</w:t>
      </w:r>
      <w:r w:rsidR="006943A6">
        <w:t>s</w:t>
      </w:r>
      <w:r>
        <w:t xml:space="preserve"> that recommendation by inserting clause 2.1.2A in the DIST.</w:t>
      </w:r>
    </w:p>
    <w:p w14:paraId="75CA09BB" w14:textId="77777777" w:rsidR="004A2C3C" w:rsidRPr="00BE4664" w:rsidRDefault="004A2C3C" w:rsidP="004A2C3C">
      <w:pPr>
        <w:shd w:val="clear" w:color="auto" w:fill="FFFFFF"/>
        <w:contextualSpacing/>
      </w:pPr>
    </w:p>
    <w:p w14:paraId="62E44571" w14:textId="280553C8" w:rsidR="004A2C3C" w:rsidRPr="00A449CC" w:rsidRDefault="004A2C3C" w:rsidP="00A449CC">
      <w:pPr>
        <w:pStyle w:val="ListParagraph"/>
        <w:numPr>
          <w:ilvl w:val="0"/>
          <w:numId w:val="31"/>
        </w:numPr>
        <w:shd w:val="clear" w:color="auto" w:fill="FFFFFF"/>
        <w:rPr>
          <w:b/>
          <w:i/>
        </w:rPr>
      </w:pPr>
      <w:r w:rsidRPr="00A449CC">
        <w:rPr>
          <w:b/>
        </w:rPr>
        <w:t>Amend</w:t>
      </w:r>
      <w:r w:rsidR="006943A6" w:rsidRPr="00A449CC">
        <w:rPr>
          <w:b/>
        </w:rPr>
        <w:t>ment to</w:t>
      </w:r>
      <w:r w:rsidRPr="00A449CC">
        <w:rPr>
          <w:b/>
        </w:rPr>
        <w:t xml:space="preserve"> the </w:t>
      </w:r>
      <w:r w:rsidRPr="00A449CC">
        <w:rPr>
          <w:b/>
          <w:i/>
        </w:rPr>
        <w:t>Health Insurance (General Medical Services Table) Regulations 2019</w:t>
      </w:r>
    </w:p>
    <w:p w14:paraId="6A48D94A" w14:textId="77777777" w:rsidR="004A2C3C" w:rsidRPr="00BE4664" w:rsidRDefault="004A2C3C" w:rsidP="004A2C3C">
      <w:pPr>
        <w:shd w:val="clear" w:color="auto" w:fill="FFFFFF"/>
        <w:contextualSpacing/>
        <w:rPr>
          <w:b/>
        </w:rPr>
      </w:pPr>
    </w:p>
    <w:p w14:paraId="07C4D28A" w14:textId="77777777" w:rsidR="004A2C3C" w:rsidRPr="00BE4664" w:rsidRDefault="004A2C3C" w:rsidP="004A2C3C">
      <w:pPr>
        <w:shd w:val="clear" w:color="auto" w:fill="FFFFFF"/>
        <w:contextualSpacing/>
        <w:rPr>
          <w:b/>
        </w:rPr>
      </w:pPr>
      <w:r w:rsidRPr="00E42802">
        <w:rPr>
          <w:b/>
        </w:rPr>
        <w:t>Item [2] – Amendment to item 13815</w:t>
      </w:r>
    </w:p>
    <w:p w14:paraId="24CDA5C4" w14:textId="374C16AF" w:rsidR="004A2C3C" w:rsidRPr="00BE4664" w:rsidRDefault="004A2C3C" w:rsidP="004A2C3C">
      <w:pPr>
        <w:shd w:val="clear" w:color="auto" w:fill="FFFFFF"/>
        <w:contextualSpacing/>
      </w:pPr>
      <w:r>
        <w:t>This amendment clarif</w:t>
      </w:r>
      <w:r w:rsidR="006943A6">
        <w:t>ies</w:t>
      </w:r>
      <w:r>
        <w:t xml:space="preserve"> the requirements of cathertisation item 13815 (refer to amendment 1 in Schedule 2). </w:t>
      </w:r>
    </w:p>
    <w:p w14:paraId="005D1B6F" w14:textId="77777777" w:rsidR="004A2C3C" w:rsidRPr="00BE4664" w:rsidRDefault="004A2C3C" w:rsidP="004A2C3C">
      <w:pPr>
        <w:shd w:val="clear" w:color="auto" w:fill="FFFFFF"/>
        <w:contextualSpacing/>
      </w:pPr>
    </w:p>
    <w:p w14:paraId="0EF232E4" w14:textId="35D455AB" w:rsidR="004A2C3C" w:rsidRPr="00BE4664" w:rsidRDefault="004A2C3C" w:rsidP="004A2C3C">
      <w:pPr>
        <w:shd w:val="clear" w:color="auto" w:fill="FFFFFF"/>
        <w:contextualSpacing/>
        <w:rPr>
          <w:b/>
        </w:rPr>
      </w:pPr>
      <w:r w:rsidRPr="00E42802">
        <w:rPr>
          <w:b/>
        </w:rPr>
        <w:t xml:space="preserve">Item [3] – Insert </w:t>
      </w:r>
      <w:r w:rsidR="00293E79" w:rsidRPr="00293E79">
        <w:rPr>
          <w:b/>
        </w:rPr>
        <w:t>items 13832, 13834, 13835, 13837 and 13838</w:t>
      </w:r>
    </w:p>
    <w:p w14:paraId="4C8A574B" w14:textId="77777777" w:rsidR="00E54E91" w:rsidRDefault="004A2C3C" w:rsidP="004A2C3C">
      <w:pPr>
        <w:shd w:val="clear" w:color="auto" w:fill="FFFFFF"/>
        <w:contextualSpacing/>
      </w:pPr>
      <w:r>
        <w:t>This amendment list</w:t>
      </w:r>
      <w:r w:rsidR="006943A6">
        <w:t>s</w:t>
      </w:r>
      <w:r>
        <w:t xml:space="preserve"> new items </w:t>
      </w:r>
      <w:r w:rsidR="00E54E91" w:rsidRPr="00E54E91">
        <w:t xml:space="preserve">(13832, 13834, 13835, 13837 and 13838) </w:t>
      </w:r>
      <w:r w:rsidRPr="00A56B55">
        <w:t>for extracorporeal life support</w:t>
      </w:r>
      <w:r>
        <w:t xml:space="preserve">, as recommended by the Taskforce. </w:t>
      </w:r>
    </w:p>
    <w:p w14:paraId="2178EB04" w14:textId="77777777" w:rsidR="00E54E91" w:rsidRDefault="00E54E91" w:rsidP="004A2C3C">
      <w:pPr>
        <w:shd w:val="clear" w:color="auto" w:fill="FFFFFF"/>
        <w:contextualSpacing/>
      </w:pPr>
    </w:p>
    <w:p w14:paraId="7C9705D4" w14:textId="331B3840" w:rsidR="004A2C3C" w:rsidRPr="00A56B55" w:rsidRDefault="004A2C3C" w:rsidP="004A2C3C">
      <w:pPr>
        <w:shd w:val="clear" w:color="auto" w:fill="FFFFFF"/>
        <w:contextualSpacing/>
      </w:pPr>
      <w:r w:rsidRPr="00A56B55">
        <w:t xml:space="preserve">These services </w:t>
      </w:r>
      <w:r w:rsidR="006943A6">
        <w:t>were</w:t>
      </w:r>
      <w:r w:rsidRPr="00A56B55">
        <w:t xml:space="preserve"> being performed under items 13851 and 13854</w:t>
      </w:r>
      <w:r w:rsidRPr="00A56B55">
        <w:rPr>
          <w:i/>
        </w:rPr>
        <w:t xml:space="preserve"> </w:t>
      </w:r>
      <w:r w:rsidRPr="00A56B55">
        <w:t xml:space="preserve">which </w:t>
      </w:r>
      <w:r w:rsidR="00734438">
        <w:t>are</w:t>
      </w:r>
      <w:r w:rsidRPr="00A56B55">
        <w:t xml:space="preserve"> restricted to the management of ventricular assist devices</w:t>
      </w:r>
      <w:r w:rsidRPr="00A56B55">
        <w:rPr>
          <w:b/>
        </w:rPr>
        <w:t xml:space="preserve"> </w:t>
      </w:r>
      <w:r w:rsidRPr="00A56B55">
        <w:t>only from 1 March 2020</w:t>
      </w:r>
      <w:r w:rsidR="009B52E6">
        <w:t xml:space="preserve"> (refer to amendment 4</w:t>
      </w:r>
      <w:r>
        <w:t xml:space="preserve"> in Schedule 2)</w:t>
      </w:r>
      <w:r w:rsidRPr="00A56B55">
        <w:t>.</w:t>
      </w:r>
    </w:p>
    <w:p w14:paraId="48C79CA5" w14:textId="77777777" w:rsidR="004A2C3C" w:rsidRDefault="004A2C3C" w:rsidP="004A2C3C">
      <w:pPr>
        <w:shd w:val="clear" w:color="auto" w:fill="FFFFFF"/>
        <w:contextualSpacing/>
      </w:pPr>
    </w:p>
    <w:p w14:paraId="2CD130F2" w14:textId="39776EF8" w:rsidR="004A2C3C" w:rsidRPr="00BE4664" w:rsidRDefault="004A2C3C" w:rsidP="004A2C3C">
      <w:pPr>
        <w:shd w:val="clear" w:color="auto" w:fill="FFFFFF"/>
        <w:contextualSpacing/>
      </w:pPr>
      <w:r>
        <w:t>This amendment clarif</w:t>
      </w:r>
      <w:r w:rsidR="006943A6">
        <w:t>ies</w:t>
      </w:r>
      <w:r>
        <w:t xml:space="preserve"> that the </w:t>
      </w:r>
      <w:r w:rsidR="00E54E91">
        <w:t xml:space="preserve">new </w:t>
      </w:r>
      <w:r w:rsidR="00E54E91" w:rsidRPr="00E54E91">
        <w:t xml:space="preserve">peripheral </w:t>
      </w:r>
      <w:r w:rsidR="00E54E91">
        <w:t>cannulation item</w:t>
      </w:r>
      <w:r>
        <w:t xml:space="preserve"> </w:t>
      </w:r>
      <w:r w:rsidR="00E54E91" w:rsidRPr="00E54E91">
        <w:t xml:space="preserve">for veno-arterial cardiopulmonary extracorporeal life support </w:t>
      </w:r>
      <w:r w:rsidR="00E54E91">
        <w:t>(item</w:t>
      </w:r>
      <w:r>
        <w:t xml:space="preserve"> 13832) should include ultrasound image guidance, where appropriate (refer to amendment 1 in Schedule 2). </w:t>
      </w:r>
    </w:p>
    <w:p w14:paraId="704F86EF" w14:textId="77777777" w:rsidR="004A2C3C" w:rsidRPr="00BE4664" w:rsidRDefault="004A2C3C" w:rsidP="004A2C3C">
      <w:pPr>
        <w:shd w:val="clear" w:color="auto" w:fill="FFFFFF"/>
        <w:contextualSpacing/>
      </w:pPr>
    </w:p>
    <w:p w14:paraId="17098B94" w14:textId="12808B49" w:rsidR="004A2C3C" w:rsidRPr="00BE4664" w:rsidRDefault="008969C1" w:rsidP="004A2C3C">
      <w:pPr>
        <w:shd w:val="clear" w:color="auto" w:fill="FFFFFF"/>
        <w:contextualSpacing/>
        <w:rPr>
          <w:b/>
        </w:rPr>
      </w:pPr>
      <w:r>
        <w:rPr>
          <w:b/>
        </w:rPr>
        <w:t>Item [4</w:t>
      </w:r>
      <w:r w:rsidR="004A2C3C" w:rsidRPr="002564D7">
        <w:rPr>
          <w:b/>
        </w:rPr>
        <w:t xml:space="preserve">] – </w:t>
      </w:r>
      <w:r w:rsidR="00E54E91" w:rsidRPr="00E54E91">
        <w:rPr>
          <w:b/>
        </w:rPr>
        <w:t xml:space="preserve">Insert item 13840, </w:t>
      </w:r>
      <w:r w:rsidR="004A2C3C" w:rsidRPr="002564D7">
        <w:rPr>
          <w:b/>
        </w:rPr>
        <w:t>am</w:t>
      </w:r>
      <w:r w:rsidR="004A2C3C" w:rsidRPr="00E42802">
        <w:rPr>
          <w:b/>
        </w:rPr>
        <w:t xml:space="preserve">end items </w:t>
      </w:r>
      <w:r>
        <w:rPr>
          <w:b/>
        </w:rPr>
        <w:t>13842,</w:t>
      </w:r>
      <w:r w:rsidRPr="00E42802">
        <w:rPr>
          <w:b/>
        </w:rPr>
        <w:t xml:space="preserve"> </w:t>
      </w:r>
      <w:r w:rsidR="004A2C3C" w:rsidRPr="00E42802">
        <w:rPr>
          <w:b/>
        </w:rPr>
        <w:t>1384</w:t>
      </w:r>
      <w:r w:rsidR="004F72A0">
        <w:rPr>
          <w:b/>
        </w:rPr>
        <w:t>8</w:t>
      </w:r>
      <w:r w:rsidR="004A2C3C" w:rsidRPr="00E42802">
        <w:rPr>
          <w:b/>
        </w:rPr>
        <w:t>, 13851 and 1385</w:t>
      </w:r>
      <w:r w:rsidR="004F72A0">
        <w:rPr>
          <w:b/>
        </w:rPr>
        <w:t>4</w:t>
      </w:r>
      <w:r w:rsidR="00E54E91">
        <w:rPr>
          <w:b/>
        </w:rPr>
        <w:t>, repeal item 13847</w:t>
      </w:r>
    </w:p>
    <w:p w14:paraId="643C7465" w14:textId="77777777" w:rsidR="004A2C3C" w:rsidRDefault="004A2C3C" w:rsidP="004A2C3C">
      <w:pPr>
        <w:shd w:val="clear" w:color="auto" w:fill="FFFFFF"/>
        <w:contextualSpacing/>
      </w:pPr>
      <w:r w:rsidRPr="009E70A7">
        <w:t>Items 13847 and 13848 are for the management of counterpulsation by intraaortic balloon. Although the items are for the same service, the items have a differential fee for services performed on the first day (item 13847) to services performed on the second and subsequent days (item 13848).</w:t>
      </w:r>
    </w:p>
    <w:p w14:paraId="7E4A3967" w14:textId="77777777" w:rsidR="004A2C3C" w:rsidRDefault="004A2C3C" w:rsidP="004A2C3C">
      <w:pPr>
        <w:shd w:val="clear" w:color="auto" w:fill="FFFFFF"/>
        <w:contextualSpacing/>
      </w:pPr>
    </w:p>
    <w:p w14:paraId="00892825" w14:textId="27A5D3DC" w:rsidR="004A2C3C" w:rsidRDefault="004A2C3C" w:rsidP="004A2C3C">
      <w:pPr>
        <w:shd w:val="clear" w:color="auto" w:fill="FFFFFF"/>
        <w:contextualSpacing/>
      </w:pPr>
      <w:r w:rsidRPr="009E70A7">
        <w:t>The Taskforce recommended removing this distinction as there is no significant difference in the amount of clinical input required on the first day to subsequent days in terms of management of counterpulsation by intraaortic balloon</w:t>
      </w:r>
      <w:r>
        <w:t>. This amendment repeal</w:t>
      </w:r>
      <w:r w:rsidR="004F72A0">
        <w:t>s</w:t>
      </w:r>
      <w:r>
        <w:t xml:space="preserve"> item 13847 and amend 13848 to allow for it to be performed each day. Doctors who insert</w:t>
      </w:r>
      <w:r w:rsidRPr="006752DD">
        <w:t xml:space="preserve"> an intraaortic balloon pump</w:t>
      </w:r>
      <w:r>
        <w:t xml:space="preserve"> should claim item </w:t>
      </w:r>
      <w:r w:rsidRPr="006752DD">
        <w:t>38609</w:t>
      </w:r>
      <w:r>
        <w:t xml:space="preserve"> in the GMST, which is not affected by the Regulations.</w:t>
      </w:r>
    </w:p>
    <w:p w14:paraId="28D5D382" w14:textId="77777777" w:rsidR="004A2C3C" w:rsidRDefault="004A2C3C" w:rsidP="004A2C3C">
      <w:pPr>
        <w:shd w:val="clear" w:color="auto" w:fill="FFFFFF"/>
        <w:contextualSpacing/>
      </w:pPr>
    </w:p>
    <w:p w14:paraId="2E1FE152" w14:textId="77777777" w:rsidR="004A2C3C" w:rsidRDefault="004A2C3C" w:rsidP="004A2C3C">
      <w:pPr>
        <w:shd w:val="clear" w:color="auto" w:fill="FFFFFF"/>
        <w:contextualSpacing/>
      </w:pPr>
      <w:r w:rsidRPr="006752DD">
        <w:lastRenderedPageBreak/>
        <w:t xml:space="preserve">Items 13851 and 13854 were originally introduced to cover management of ventricular assist devices, which is a mechanical pump which assists the heart to circulate blood. The Taskforce found that the items are also being performed for extracorporeal membrane oxygenation, which is the use of an external device to provide temporary life support </w:t>
      </w:r>
      <w:r>
        <w:t>for</w:t>
      </w:r>
      <w:r w:rsidRPr="006752DD">
        <w:t xml:space="preserve"> </w:t>
      </w:r>
      <w:r>
        <w:t xml:space="preserve">a </w:t>
      </w:r>
      <w:r w:rsidRPr="006752DD">
        <w:t>person whose heart and lungs are not functioning adequately to sustain life, due to the wording of the descriptors.</w:t>
      </w:r>
    </w:p>
    <w:p w14:paraId="1813C385" w14:textId="77777777" w:rsidR="004A2C3C" w:rsidRDefault="004A2C3C" w:rsidP="004A2C3C">
      <w:pPr>
        <w:shd w:val="clear" w:color="auto" w:fill="FFFFFF"/>
        <w:contextualSpacing/>
      </w:pPr>
    </w:p>
    <w:p w14:paraId="49409467" w14:textId="7557DDC6" w:rsidR="004A2C3C" w:rsidRDefault="004A2C3C" w:rsidP="004A2C3C">
      <w:pPr>
        <w:shd w:val="clear" w:color="auto" w:fill="FFFFFF"/>
        <w:contextualSpacing/>
        <w:rPr>
          <w:highlight w:val="yellow"/>
        </w:rPr>
      </w:pPr>
      <w:r>
        <w:t>T</w:t>
      </w:r>
      <w:r w:rsidRPr="006752DD">
        <w:t>he Taskforce recommended amending i</w:t>
      </w:r>
      <w:r>
        <w:t>tems 13851 and 13854 to limit</w:t>
      </w:r>
      <w:r w:rsidRPr="006752DD">
        <w:t xml:space="preserve"> their use to the management of ventricular assist devices</w:t>
      </w:r>
      <w:r>
        <w:t>,</w:t>
      </w:r>
      <w:r w:rsidRPr="006752DD">
        <w:t xml:space="preserve"> and listing new items for extracorporeal life support</w:t>
      </w:r>
      <w:r>
        <w:t>. This amendment make</w:t>
      </w:r>
      <w:r w:rsidR="004F72A0">
        <w:t>s</w:t>
      </w:r>
      <w:r>
        <w:t xml:space="preserve"> the Taskforce changes to items 13851 and 13851 (refer to amendment 3 in Schedule 2 for the new </w:t>
      </w:r>
      <w:r w:rsidRPr="00A56B55">
        <w:t>extracorporeal life support</w:t>
      </w:r>
      <w:r>
        <w:t xml:space="preserve"> items).</w:t>
      </w:r>
      <w:r>
        <w:br/>
      </w:r>
    </w:p>
    <w:p w14:paraId="46E3EC84" w14:textId="704DFAA1" w:rsidR="008969C1" w:rsidRDefault="00E54E91" w:rsidP="004A2C3C">
      <w:pPr>
        <w:shd w:val="clear" w:color="auto" w:fill="FFFFFF"/>
        <w:contextualSpacing/>
        <w:rPr>
          <w:highlight w:val="yellow"/>
        </w:rPr>
      </w:pPr>
      <w:r w:rsidRPr="00E54E91">
        <w:t xml:space="preserve">This amendment </w:t>
      </w:r>
      <w:r>
        <w:t>will</w:t>
      </w:r>
      <w:r w:rsidRPr="00E54E91">
        <w:t xml:space="preserve"> also clarify that the requir</w:t>
      </w:r>
      <w:r>
        <w:t>ements of the cannulation items</w:t>
      </w:r>
      <w:r w:rsidRPr="00E54E91">
        <w:t xml:space="preserve"> (13840 and 13842) include ultrasound image guidance, where appropriate (refer to proposed amendment 1 in Schedule 2).</w:t>
      </w:r>
    </w:p>
    <w:p w14:paraId="35D2F582" w14:textId="26F19DA3" w:rsidR="008969C1" w:rsidRDefault="008969C1" w:rsidP="004A2C3C">
      <w:pPr>
        <w:shd w:val="clear" w:color="auto" w:fill="FFFFFF"/>
        <w:contextualSpacing/>
        <w:rPr>
          <w:highlight w:val="yellow"/>
        </w:rPr>
      </w:pPr>
    </w:p>
    <w:p w14:paraId="1E394F3B" w14:textId="77777777" w:rsidR="00FD0F50" w:rsidRDefault="00FD0F50" w:rsidP="004A2C3C">
      <w:pPr>
        <w:shd w:val="clear" w:color="auto" w:fill="FFFFFF"/>
        <w:contextualSpacing/>
        <w:rPr>
          <w:highlight w:val="yellow"/>
        </w:rPr>
      </w:pPr>
    </w:p>
    <w:p w14:paraId="4571B002" w14:textId="77777777" w:rsidR="004A2C3C" w:rsidRPr="00D36B14" w:rsidRDefault="004A2C3C" w:rsidP="004A2C3C">
      <w:pPr>
        <w:shd w:val="clear" w:color="auto" w:fill="FFFFFF"/>
        <w:contextualSpacing/>
        <w:rPr>
          <w:b/>
          <w:u w:val="single"/>
        </w:rPr>
      </w:pPr>
      <w:r w:rsidRPr="00D36B14">
        <w:rPr>
          <w:b/>
          <w:u w:val="single"/>
        </w:rPr>
        <w:t>Schedule 3 – Goals of care preparation for intensive care</w:t>
      </w:r>
    </w:p>
    <w:p w14:paraId="357A1239" w14:textId="77777777" w:rsidR="004A2C3C" w:rsidRPr="001B7689" w:rsidRDefault="004A2C3C" w:rsidP="004A2C3C">
      <w:pPr>
        <w:shd w:val="clear" w:color="auto" w:fill="FFFFFF"/>
        <w:contextualSpacing/>
        <w:rPr>
          <w:highlight w:val="yellow"/>
        </w:rPr>
      </w:pPr>
    </w:p>
    <w:p w14:paraId="2719D1DA" w14:textId="4684B889" w:rsidR="004A2C3C" w:rsidRPr="00501050" w:rsidRDefault="004F72A0" w:rsidP="004A2C3C">
      <w:pPr>
        <w:pStyle w:val="ListParagraph"/>
        <w:numPr>
          <w:ilvl w:val="0"/>
          <w:numId w:val="31"/>
        </w:numPr>
        <w:shd w:val="clear" w:color="auto" w:fill="FFFFFF"/>
        <w:rPr>
          <w:b/>
          <w:i/>
        </w:rPr>
      </w:pPr>
      <w:r>
        <w:rPr>
          <w:b/>
        </w:rPr>
        <w:t>A</w:t>
      </w:r>
      <w:r w:rsidR="004A2C3C" w:rsidRPr="00501050">
        <w:rPr>
          <w:b/>
        </w:rPr>
        <w:t>mend</w:t>
      </w:r>
      <w:r w:rsidR="004A2C3C">
        <w:rPr>
          <w:b/>
        </w:rPr>
        <w:t>ments to the</w:t>
      </w:r>
      <w:r w:rsidR="004A2C3C" w:rsidRPr="00501050">
        <w:rPr>
          <w:b/>
        </w:rPr>
        <w:t xml:space="preserve"> </w:t>
      </w:r>
      <w:r w:rsidR="004A2C3C" w:rsidRPr="00501050">
        <w:rPr>
          <w:b/>
          <w:i/>
        </w:rPr>
        <w:t>Health Insurance (General Medical Services Table) Regulations 2019</w:t>
      </w:r>
    </w:p>
    <w:p w14:paraId="24945411" w14:textId="77777777" w:rsidR="004A2C3C" w:rsidRPr="002A1003" w:rsidRDefault="004A2C3C" w:rsidP="004A2C3C">
      <w:pPr>
        <w:shd w:val="clear" w:color="auto" w:fill="FFFFFF"/>
        <w:contextualSpacing/>
      </w:pPr>
    </w:p>
    <w:p w14:paraId="6969C8AB" w14:textId="77777777" w:rsidR="004A2C3C" w:rsidRPr="002A1003" w:rsidRDefault="004A2C3C" w:rsidP="004A2C3C">
      <w:pPr>
        <w:shd w:val="clear" w:color="auto" w:fill="FFFFFF"/>
        <w:contextualSpacing/>
        <w:rPr>
          <w:b/>
        </w:rPr>
      </w:pPr>
      <w:r w:rsidRPr="002A1003">
        <w:rPr>
          <w:b/>
        </w:rPr>
        <w:t xml:space="preserve">Item </w:t>
      </w:r>
      <w:r>
        <w:rPr>
          <w:b/>
        </w:rPr>
        <w:t>[</w:t>
      </w:r>
      <w:r w:rsidRPr="002A1003">
        <w:rPr>
          <w:b/>
        </w:rPr>
        <w:t>1</w:t>
      </w:r>
      <w:r>
        <w:rPr>
          <w:b/>
        </w:rPr>
        <w:t>]</w:t>
      </w:r>
      <w:r w:rsidRPr="002A1003">
        <w:rPr>
          <w:b/>
        </w:rPr>
        <w:t xml:space="preserve"> </w:t>
      </w:r>
      <w:r>
        <w:rPr>
          <w:b/>
        </w:rPr>
        <w:t>–</w:t>
      </w:r>
      <w:r w:rsidRPr="002A1003">
        <w:rPr>
          <w:b/>
        </w:rPr>
        <w:t xml:space="preserve"> </w:t>
      </w:r>
      <w:r>
        <w:rPr>
          <w:b/>
        </w:rPr>
        <w:t>Amendment to subclause 1.2.4(1)</w:t>
      </w:r>
    </w:p>
    <w:p w14:paraId="1A4446AD" w14:textId="44C97D99" w:rsidR="004A2C3C" w:rsidRPr="002A1003" w:rsidRDefault="004A2C3C" w:rsidP="004A2C3C">
      <w:pPr>
        <w:shd w:val="clear" w:color="auto" w:fill="FFFFFF"/>
        <w:contextualSpacing/>
      </w:pPr>
      <w:r w:rsidRPr="002A1003">
        <w:t>This amendment include</w:t>
      </w:r>
      <w:r w:rsidR="004F72A0">
        <w:t>s</w:t>
      </w:r>
      <w:r w:rsidRPr="002A1003">
        <w:t xml:space="preserve"> the new intensive care goals of care </w:t>
      </w:r>
      <w:r>
        <w:t>service</w:t>
      </w:r>
      <w:r w:rsidRPr="002A1003">
        <w:t xml:space="preserve"> (</w:t>
      </w:r>
      <w:r>
        <w:t xml:space="preserve">item </w:t>
      </w:r>
      <w:r w:rsidRPr="002A1003">
        <w:t xml:space="preserve">13899) in clauses 1.2.4 of the GMST. </w:t>
      </w:r>
    </w:p>
    <w:p w14:paraId="48582CAB" w14:textId="77777777" w:rsidR="004A2C3C" w:rsidRPr="002A1003" w:rsidRDefault="004A2C3C" w:rsidP="004A2C3C">
      <w:pPr>
        <w:shd w:val="clear" w:color="auto" w:fill="FFFFFF"/>
        <w:contextualSpacing/>
      </w:pPr>
    </w:p>
    <w:p w14:paraId="79B68372" w14:textId="77777777" w:rsidR="004A2C3C" w:rsidRPr="002A1003" w:rsidRDefault="004A2C3C" w:rsidP="004A2C3C">
      <w:pPr>
        <w:shd w:val="clear" w:color="auto" w:fill="FFFFFF"/>
        <w:contextualSpacing/>
      </w:pPr>
      <w:r w:rsidRPr="002A1003">
        <w:t>Clause 1.2.4 of the GMST lists the requirements of a professional attendance service, including: evaluation of patient’s condition; formulating a plan of management, giving advice, providing advice to other authorised persons on the pat</w:t>
      </w:r>
      <w:r>
        <w:t xml:space="preserve">ient’s condition and treatment; </w:t>
      </w:r>
      <w:r w:rsidRPr="002A1003">
        <w:t xml:space="preserve">providing preventative healthcare and recording clinical notes. </w:t>
      </w:r>
    </w:p>
    <w:p w14:paraId="69DD98C2" w14:textId="77777777" w:rsidR="004A2C3C" w:rsidRPr="001B7689" w:rsidRDefault="004A2C3C" w:rsidP="004A2C3C">
      <w:pPr>
        <w:shd w:val="clear" w:color="auto" w:fill="FFFFFF"/>
        <w:contextualSpacing/>
        <w:rPr>
          <w:highlight w:val="yellow"/>
        </w:rPr>
      </w:pPr>
    </w:p>
    <w:p w14:paraId="753A3D7D" w14:textId="77777777" w:rsidR="004A2C3C" w:rsidRPr="0041558E" w:rsidRDefault="004A2C3C" w:rsidP="004A2C3C">
      <w:pPr>
        <w:shd w:val="clear" w:color="auto" w:fill="FFFFFF"/>
        <w:contextualSpacing/>
        <w:rPr>
          <w:b/>
        </w:rPr>
      </w:pPr>
      <w:r w:rsidRPr="0041558E">
        <w:rPr>
          <w:b/>
        </w:rPr>
        <w:t>Item [2] – Amendment to subclauses 1.2.5(1) and 1.2.6(1)</w:t>
      </w:r>
    </w:p>
    <w:p w14:paraId="5655DDA5" w14:textId="4AA63D42" w:rsidR="004A2C3C" w:rsidRDefault="004A2C3C" w:rsidP="004A2C3C">
      <w:pPr>
        <w:shd w:val="clear" w:color="auto" w:fill="FFFFFF"/>
        <w:contextualSpacing/>
      </w:pPr>
      <w:r>
        <w:t>This amendment include</w:t>
      </w:r>
      <w:r w:rsidR="004F72A0">
        <w:t>s</w:t>
      </w:r>
      <w:r>
        <w:t xml:space="preserve"> item </w:t>
      </w:r>
      <w:r w:rsidRPr="002A1003">
        <w:t>13899</w:t>
      </w:r>
      <w:r>
        <w:t xml:space="preserve"> in clauses 1.2.5 and 1.2.6 of the GMST. </w:t>
      </w:r>
      <w:r w:rsidRPr="00B92A4B">
        <w:t xml:space="preserve">Clause 1.2.5 of the GMST provides that medical practitioners must personally attend the service which must be performed on </w:t>
      </w:r>
      <w:r>
        <w:t xml:space="preserve">a </w:t>
      </w:r>
      <w:r w:rsidRPr="00B92A4B">
        <w:t>single patient on a single occasion</w:t>
      </w:r>
      <w:r w:rsidRPr="002110D5">
        <w:t xml:space="preserve">. Clause 1.2.6 of the </w:t>
      </w:r>
      <w:r w:rsidR="002068E1">
        <w:t>GMST</w:t>
      </w:r>
      <w:r w:rsidRPr="002110D5">
        <w:t xml:space="preserve"> provides that medical practitioners must personally attend the service. This applies regardless if the medical practitioner, or a person on behalf of the medical practitioner, performs the service.</w:t>
      </w:r>
    </w:p>
    <w:p w14:paraId="3724D8E3" w14:textId="77777777" w:rsidR="004A2C3C" w:rsidRDefault="004A2C3C" w:rsidP="004A2C3C">
      <w:pPr>
        <w:shd w:val="clear" w:color="auto" w:fill="FFFFFF"/>
        <w:contextualSpacing/>
        <w:rPr>
          <w:highlight w:val="yellow"/>
        </w:rPr>
      </w:pPr>
    </w:p>
    <w:p w14:paraId="1BA13D0E" w14:textId="77777777" w:rsidR="004A2C3C" w:rsidRPr="00E70C64" w:rsidRDefault="004A2C3C" w:rsidP="004A2C3C">
      <w:pPr>
        <w:shd w:val="clear" w:color="auto" w:fill="FFFFFF"/>
        <w:contextualSpacing/>
      </w:pPr>
      <w:r w:rsidRPr="00E70C64">
        <w:rPr>
          <w:b/>
        </w:rPr>
        <w:t>Item [3] – Insert clause 2.38.10</w:t>
      </w:r>
    </w:p>
    <w:p w14:paraId="13B00B98" w14:textId="57921E86" w:rsidR="004A2C3C" w:rsidRDefault="004A2C3C" w:rsidP="004A2C3C">
      <w:pPr>
        <w:shd w:val="clear" w:color="auto" w:fill="FFFFFF"/>
        <w:contextualSpacing/>
      </w:pPr>
      <w:r w:rsidRPr="00E70C64">
        <w:t>This amendment prevent</w:t>
      </w:r>
      <w:r w:rsidR="004F72A0">
        <w:t>s</w:t>
      </w:r>
      <w:r w:rsidRPr="00E70C64">
        <w:t xml:space="preserve"> an intensive care specialist from performing a goals of care </w:t>
      </w:r>
      <w:r>
        <w:t>service under item</w:t>
      </w:r>
      <w:r w:rsidRPr="00E70C64">
        <w:t xml:space="preserve"> 13899 (refer to amendment 4 in Schedule 3) on the same </w:t>
      </w:r>
      <w:r>
        <w:t xml:space="preserve">patient on the same </w:t>
      </w:r>
      <w:r w:rsidRPr="00E70C64">
        <w:t xml:space="preserve">day as </w:t>
      </w:r>
      <w:r>
        <w:t xml:space="preserve">a </w:t>
      </w:r>
      <w:r w:rsidRPr="00E70C64">
        <w:t>service for the management</w:t>
      </w:r>
      <w:r>
        <w:t xml:space="preserve"> of a patient in intensive care.</w:t>
      </w:r>
      <w:r>
        <w:rPr>
          <w:highlight w:val="yellow"/>
        </w:rPr>
        <w:br/>
      </w:r>
    </w:p>
    <w:p w14:paraId="63B980F6" w14:textId="77777777" w:rsidR="004A2C3C" w:rsidRPr="00E70C64" w:rsidRDefault="004A2C3C" w:rsidP="004A2C3C">
      <w:pPr>
        <w:shd w:val="clear" w:color="auto" w:fill="FFFFFF"/>
        <w:contextualSpacing/>
      </w:pPr>
      <w:r w:rsidRPr="00E70C64">
        <w:rPr>
          <w:b/>
        </w:rPr>
        <w:t>Item [</w:t>
      </w:r>
      <w:r>
        <w:rPr>
          <w:b/>
        </w:rPr>
        <w:t>4</w:t>
      </w:r>
      <w:r w:rsidRPr="00E70C64">
        <w:rPr>
          <w:b/>
        </w:rPr>
        <w:t xml:space="preserve">] – </w:t>
      </w:r>
      <w:r>
        <w:rPr>
          <w:b/>
        </w:rPr>
        <w:t>Insert item 13899</w:t>
      </w:r>
    </w:p>
    <w:p w14:paraId="5E9546CA" w14:textId="2B8EBA35" w:rsidR="004A2C3C" w:rsidRDefault="004A2C3C" w:rsidP="004A2C3C">
      <w:r w:rsidRPr="00494017">
        <w:t>This amendment introduce</w:t>
      </w:r>
      <w:r w:rsidR="004F72A0">
        <w:t>s</w:t>
      </w:r>
      <w:r w:rsidRPr="00494017">
        <w:t xml:space="preserve"> a</w:t>
      </w:r>
      <w:r>
        <w:t>n</w:t>
      </w:r>
      <w:r w:rsidRPr="00494017">
        <w:t xml:space="preserve"> attendance item for the preparation of goals of care for a “gravely ill patient lacking current goals of care” (refer to amendment 5 in Schedule 3) by an intensive care specialist.</w:t>
      </w:r>
    </w:p>
    <w:p w14:paraId="1FC9A307" w14:textId="77777777" w:rsidR="004A2C3C" w:rsidRPr="00494017" w:rsidRDefault="004A2C3C" w:rsidP="004A2C3C"/>
    <w:p w14:paraId="15800FBF" w14:textId="77777777" w:rsidR="004A2C3C" w:rsidRPr="00494017" w:rsidRDefault="004A2C3C" w:rsidP="004A2C3C">
      <w:pPr>
        <w:rPr>
          <w:highlight w:val="green"/>
        </w:rPr>
      </w:pPr>
      <w:r w:rsidRPr="00494017">
        <w:t xml:space="preserve">A goals of care service involves a comprehensive evaluation of the patient’s issues (including medical, psychological, social and other issues), discussing options for the care </w:t>
      </w:r>
      <w:r w:rsidRPr="00494017">
        <w:lastRenderedPageBreak/>
        <w:t xml:space="preserve">of the patient, including alternatives to intensive or escalated care, and developing an agreed plan with the patient (or surrogate decision-maker). The Taskforce recommended introducing goals of care in response to feedback that medical decisions for gravely ill patients are often made without providing sufficient information to patients and their families about the alternatives available to them. </w:t>
      </w:r>
      <w:r w:rsidRPr="00494017">
        <w:rPr>
          <w:highlight w:val="green"/>
        </w:rPr>
        <w:br/>
      </w:r>
    </w:p>
    <w:p w14:paraId="6CE8E1CF" w14:textId="5FC0485C" w:rsidR="004A2C3C" w:rsidRPr="00494017" w:rsidRDefault="004A2C3C" w:rsidP="004A2C3C">
      <w:r w:rsidRPr="00494017">
        <w:t xml:space="preserve">Patients </w:t>
      </w:r>
      <w:r w:rsidR="004F72A0">
        <w:t>are</w:t>
      </w:r>
      <w:r w:rsidRPr="00494017">
        <w:t xml:space="preserve"> eligible for a goals of care </w:t>
      </w:r>
      <w:r w:rsidR="007D0D4B">
        <w:t xml:space="preserve">service </w:t>
      </w:r>
      <w:r w:rsidRPr="00494017">
        <w:t xml:space="preserve">if no record can be found of an existing goals of care. </w:t>
      </w:r>
      <w:r w:rsidRPr="000A485C">
        <w:t xml:space="preserve">Patients who have a record are also eligible if their condition has changed to the point </w:t>
      </w:r>
      <w:r>
        <w:t xml:space="preserve">the record does not reflect the patient’s current medical condition, and it is reasonable for new goals of care to be developed. </w:t>
      </w:r>
      <w:r w:rsidRPr="00494017">
        <w:t>The limitation on eligibility was considered appropriate by the Taskforce as it is preferable for patients to have an existing goals of care with their usual doctor.</w:t>
      </w:r>
    </w:p>
    <w:p w14:paraId="3D2BB0B8" w14:textId="77777777" w:rsidR="004A2C3C" w:rsidRPr="00494017" w:rsidRDefault="004A2C3C" w:rsidP="004A2C3C">
      <w:pPr>
        <w:shd w:val="clear" w:color="auto" w:fill="FFFFFF"/>
        <w:contextualSpacing/>
        <w:rPr>
          <w:b/>
          <w:highlight w:val="green"/>
        </w:rPr>
      </w:pPr>
    </w:p>
    <w:p w14:paraId="502759AF" w14:textId="77777777" w:rsidR="004A2C3C" w:rsidRDefault="004A2C3C" w:rsidP="004A2C3C">
      <w:pPr>
        <w:shd w:val="clear" w:color="auto" w:fill="FFFFFF"/>
        <w:contextualSpacing/>
      </w:pPr>
      <w:r w:rsidRPr="00494017">
        <w:t xml:space="preserve">The goals of care item is to be performed outside an intensive care unit. </w:t>
      </w:r>
      <w:r>
        <w:t>This reflects the Taskforce advice that, where it is appropriate for an intensive care specialist to develop a goals of care with a patient, it should be developed prior to admission to an intensive care unit to better support patient decision making and potentially reduce unnecessary or undesirable treatment.</w:t>
      </w:r>
    </w:p>
    <w:p w14:paraId="10A87C6C" w14:textId="77777777" w:rsidR="004A2C3C" w:rsidRDefault="004A2C3C" w:rsidP="004A2C3C">
      <w:pPr>
        <w:shd w:val="clear" w:color="auto" w:fill="FFFFFF"/>
        <w:contextualSpacing/>
      </w:pPr>
    </w:p>
    <w:p w14:paraId="2AB9F9A7" w14:textId="77777777" w:rsidR="004A2C3C" w:rsidRPr="00E70C64" w:rsidRDefault="004A2C3C" w:rsidP="004A2C3C">
      <w:pPr>
        <w:shd w:val="clear" w:color="auto" w:fill="FFFFFF"/>
        <w:contextualSpacing/>
      </w:pPr>
      <w:r w:rsidRPr="00E70C64">
        <w:rPr>
          <w:b/>
        </w:rPr>
        <w:t>Item [</w:t>
      </w:r>
      <w:r>
        <w:rPr>
          <w:b/>
        </w:rPr>
        <w:t>5</w:t>
      </w:r>
      <w:r w:rsidRPr="00E70C64">
        <w:rPr>
          <w:b/>
        </w:rPr>
        <w:t xml:space="preserve">] – </w:t>
      </w:r>
      <w:r>
        <w:rPr>
          <w:b/>
        </w:rPr>
        <w:t>Insert two definitions for goals of care</w:t>
      </w:r>
    </w:p>
    <w:p w14:paraId="3BAB3AE8" w14:textId="6793A5A9" w:rsidR="004A2C3C" w:rsidRDefault="004A2C3C" w:rsidP="004A2C3C">
      <w:pPr>
        <w:shd w:val="clear" w:color="auto" w:fill="FFFFFF"/>
        <w:contextualSpacing/>
        <w:rPr>
          <w:b/>
        </w:rPr>
      </w:pPr>
      <w:r w:rsidRPr="00493B0D">
        <w:t>This amendment insert</w:t>
      </w:r>
      <w:r w:rsidR="004F72A0">
        <w:t>s</w:t>
      </w:r>
      <w:r w:rsidRPr="00493B0D">
        <w:t xml:space="preserve"> two new definitions which have meaning for the new emergency medicine (refer to amendment 3 in Schedule 1) and intensive care (refer to amendment 4 in Schedule 3)</w:t>
      </w:r>
      <w:r>
        <w:t xml:space="preserve"> goals of care services.</w:t>
      </w:r>
      <w:r w:rsidRPr="00494017">
        <w:rPr>
          <w:b/>
        </w:rPr>
        <w:br/>
      </w:r>
    </w:p>
    <w:p w14:paraId="32FFBBCF" w14:textId="77777777" w:rsidR="004A2C3C" w:rsidRDefault="004A2C3C" w:rsidP="004A2C3C">
      <w:pPr>
        <w:shd w:val="clear" w:color="auto" w:fill="FFFFFF"/>
        <w:contextualSpacing/>
        <w:rPr>
          <w:b/>
        </w:rPr>
      </w:pPr>
    </w:p>
    <w:p w14:paraId="17D4D2C3" w14:textId="77777777" w:rsidR="004A2C3C" w:rsidRPr="00133B21" w:rsidRDefault="004A2C3C" w:rsidP="004A2C3C">
      <w:pPr>
        <w:shd w:val="clear" w:color="auto" w:fill="FFFFFF"/>
        <w:contextualSpacing/>
        <w:rPr>
          <w:b/>
          <w:u w:val="single"/>
        </w:rPr>
      </w:pPr>
      <w:r w:rsidRPr="00133B21">
        <w:rPr>
          <w:b/>
          <w:u w:val="single"/>
        </w:rPr>
        <w:t>Schedule 4 – Gastric lavage</w:t>
      </w:r>
    </w:p>
    <w:p w14:paraId="5AA63F28" w14:textId="77777777" w:rsidR="004A2C3C" w:rsidRPr="00133B21" w:rsidRDefault="004A2C3C" w:rsidP="004A2C3C">
      <w:pPr>
        <w:shd w:val="clear" w:color="auto" w:fill="FFFFFF"/>
        <w:contextualSpacing/>
        <w:rPr>
          <w:b/>
        </w:rPr>
      </w:pPr>
    </w:p>
    <w:p w14:paraId="36D1C3D7" w14:textId="095B0691" w:rsidR="004A2C3C" w:rsidRPr="00133B21" w:rsidRDefault="004F72A0" w:rsidP="004A2C3C">
      <w:pPr>
        <w:pStyle w:val="ListParagraph"/>
        <w:numPr>
          <w:ilvl w:val="0"/>
          <w:numId w:val="31"/>
        </w:numPr>
        <w:shd w:val="clear" w:color="auto" w:fill="FFFFFF"/>
        <w:rPr>
          <w:b/>
          <w:i/>
        </w:rPr>
      </w:pPr>
      <w:r>
        <w:rPr>
          <w:b/>
        </w:rPr>
        <w:t>A</w:t>
      </w:r>
      <w:r w:rsidR="004A2C3C" w:rsidRPr="00133B21">
        <w:rPr>
          <w:b/>
        </w:rPr>
        <w:t xml:space="preserve">mendments to the </w:t>
      </w:r>
      <w:r w:rsidR="004A2C3C" w:rsidRPr="00133B21">
        <w:rPr>
          <w:b/>
          <w:i/>
        </w:rPr>
        <w:t>Health Insurance (General Medical Services Table) Regulations 2019</w:t>
      </w:r>
    </w:p>
    <w:p w14:paraId="2852CE92" w14:textId="77777777" w:rsidR="004A2C3C" w:rsidRPr="001B7689" w:rsidRDefault="004A2C3C" w:rsidP="004A2C3C">
      <w:pPr>
        <w:shd w:val="clear" w:color="auto" w:fill="FFFFFF"/>
        <w:contextualSpacing/>
        <w:rPr>
          <w:highlight w:val="yellow"/>
        </w:rPr>
      </w:pPr>
    </w:p>
    <w:p w14:paraId="0BCB8B1D" w14:textId="36DA4430" w:rsidR="004A2C3C" w:rsidRPr="003C0CFD" w:rsidRDefault="004A2C3C" w:rsidP="004A2C3C">
      <w:pPr>
        <w:shd w:val="clear" w:color="auto" w:fill="FFFFFF"/>
        <w:contextualSpacing/>
      </w:pPr>
      <w:r w:rsidRPr="003C0CFD">
        <w:t>Item 14200 is a therapeutic procedure to treat patients who have ingested poison. The Taskforce recommended that the gastric lavage procedure (commonly known as ‘</w:t>
      </w:r>
      <w:r w:rsidR="00E72C47">
        <w:t>stomach</w:t>
      </w:r>
      <w:r w:rsidRPr="003C0CFD">
        <w:t xml:space="preserve"> pumping’) should be removed as it no longer reflects best clinical practice. </w:t>
      </w:r>
    </w:p>
    <w:p w14:paraId="1AA4835F" w14:textId="77777777" w:rsidR="004A2C3C" w:rsidRPr="003C0CFD" w:rsidRDefault="004A2C3C" w:rsidP="004A2C3C">
      <w:pPr>
        <w:shd w:val="clear" w:color="auto" w:fill="FFFFFF"/>
        <w:contextualSpacing/>
      </w:pPr>
    </w:p>
    <w:p w14:paraId="345090F4" w14:textId="076A195A" w:rsidR="004A2C3C" w:rsidRPr="003C0CFD" w:rsidRDefault="004A2C3C" w:rsidP="004A2C3C">
      <w:pPr>
        <w:shd w:val="clear" w:color="auto" w:fill="FFFFFF"/>
        <w:contextualSpacing/>
      </w:pPr>
      <w:r w:rsidRPr="003C0CFD">
        <w:t>These amendments repeal item 14200 and make other consequential amendments in the GMST.</w:t>
      </w:r>
    </w:p>
    <w:p w14:paraId="11D5B863" w14:textId="77777777" w:rsidR="004A2C3C" w:rsidRDefault="004A2C3C" w:rsidP="004A2C3C">
      <w:pPr>
        <w:shd w:val="clear" w:color="auto" w:fill="FFFFFF"/>
        <w:rPr>
          <w:highlight w:val="yellow"/>
        </w:rPr>
      </w:pPr>
    </w:p>
    <w:p w14:paraId="4F0F55FA" w14:textId="77777777" w:rsidR="004A2C3C" w:rsidRPr="001B7689" w:rsidRDefault="004A2C3C" w:rsidP="004A2C3C">
      <w:pPr>
        <w:shd w:val="clear" w:color="auto" w:fill="FFFFFF"/>
        <w:rPr>
          <w:highlight w:val="yellow"/>
        </w:rPr>
      </w:pPr>
    </w:p>
    <w:p w14:paraId="1A623183" w14:textId="77777777" w:rsidR="004A2C3C" w:rsidRPr="003C0CFD" w:rsidRDefault="004A2C3C" w:rsidP="004A2C3C">
      <w:pPr>
        <w:shd w:val="clear" w:color="auto" w:fill="FFFFFF"/>
        <w:rPr>
          <w:b/>
          <w:u w:val="single"/>
        </w:rPr>
      </w:pPr>
      <w:r w:rsidRPr="003C0CFD">
        <w:rPr>
          <w:b/>
          <w:u w:val="single"/>
        </w:rPr>
        <w:t>Schedule 5 – Videostroboscopy</w:t>
      </w:r>
    </w:p>
    <w:p w14:paraId="44123253" w14:textId="77777777" w:rsidR="004A2C3C" w:rsidRPr="003C0CFD" w:rsidRDefault="004A2C3C" w:rsidP="004A2C3C">
      <w:pPr>
        <w:shd w:val="clear" w:color="auto" w:fill="FFFFFF"/>
        <w:contextualSpacing/>
      </w:pPr>
    </w:p>
    <w:p w14:paraId="09217BCA" w14:textId="715C88B7" w:rsidR="004A2C3C" w:rsidRPr="003C0CFD" w:rsidRDefault="004F72A0" w:rsidP="004A2C3C">
      <w:pPr>
        <w:pStyle w:val="ListParagraph"/>
        <w:numPr>
          <w:ilvl w:val="0"/>
          <w:numId w:val="31"/>
        </w:numPr>
        <w:shd w:val="clear" w:color="auto" w:fill="FFFFFF"/>
        <w:rPr>
          <w:b/>
          <w:i/>
        </w:rPr>
      </w:pPr>
      <w:r>
        <w:rPr>
          <w:b/>
        </w:rPr>
        <w:t>A</w:t>
      </w:r>
      <w:r w:rsidR="004A2C3C" w:rsidRPr="003C0CFD">
        <w:rPr>
          <w:b/>
        </w:rPr>
        <w:t>mendments</w:t>
      </w:r>
      <w:r>
        <w:rPr>
          <w:b/>
        </w:rPr>
        <w:t xml:space="preserve"> to the</w:t>
      </w:r>
      <w:r w:rsidR="004A2C3C" w:rsidRPr="003C0CFD">
        <w:rPr>
          <w:b/>
        </w:rPr>
        <w:t xml:space="preserve"> </w:t>
      </w:r>
      <w:r w:rsidR="004A2C3C" w:rsidRPr="003C0CFD">
        <w:rPr>
          <w:b/>
          <w:i/>
        </w:rPr>
        <w:t>Health Insurance (General Medical Services Table) Regulations 2019</w:t>
      </w:r>
    </w:p>
    <w:p w14:paraId="64969B7E" w14:textId="77777777" w:rsidR="004A2C3C" w:rsidRPr="003C0CFD" w:rsidRDefault="004A2C3C" w:rsidP="004A2C3C">
      <w:pPr>
        <w:shd w:val="clear" w:color="auto" w:fill="FFFFFF"/>
        <w:contextualSpacing/>
      </w:pPr>
    </w:p>
    <w:p w14:paraId="00D829F0" w14:textId="477FF371" w:rsidR="004A2C3C" w:rsidRPr="003C0CFD" w:rsidRDefault="004A2C3C" w:rsidP="004A2C3C">
      <w:pPr>
        <w:shd w:val="clear" w:color="auto" w:fill="FFFFFF"/>
        <w:contextualSpacing/>
      </w:pPr>
      <w:r w:rsidRPr="003C0CFD">
        <w:t xml:space="preserve">On 1 November 2019, Schedule 1 of the </w:t>
      </w:r>
      <w:r w:rsidRPr="003C0CFD">
        <w:rPr>
          <w:i/>
        </w:rPr>
        <w:t xml:space="preserve">Health Insurance Legislation Amendment (2019 Measures No. 1) Regulations 2019 </w:t>
      </w:r>
      <w:r w:rsidRPr="003C0CFD">
        <w:t>commenced. Item 66 of that Schedule inserted into the GMST a new item 41501 for examination of glottal cycles and vibratory characteristics by videostroboscopy for a number of conditions listed under paragraphs (a) to (e). This amendment clarif</w:t>
      </w:r>
      <w:r w:rsidR="009845D5">
        <w:t>ies</w:t>
      </w:r>
      <w:r w:rsidRPr="003C0CFD">
        <w:t xml:space="preserve"> that patients with malignant vocal fold lesions are eligible for the service under paragraph (b). The amendment is for clarification only and there is no change to existing policy.</w:t>
      </w:r>
      <w:r w:rsidRPr="003C0CFD">
        <w:br/>
      </w:r>
    </w:p>
    <w:p w14:paraId="66211529" w14:textId="11683A65" w:rsidR="006903CD" w:rsidRPr="00C26C25" w:rsidRDefault="006903CD" w:rsidP="006903CD">
      <w:pPr>
        <w:jc w:val="center"/>
        <w:rPr>
          <w:b/>
          <w:sz w:val="28"/>
          <w:szCs w:val="28"/>
        </w:rPr>
      </w:pPr>
      <w:bookmarkStart w:id="0" w:name="_GoBack"/>
      <w:bookmarkEnd w:id="0"/>
      <w:r w:rsidRPr="00C26C25">
        <w:rPr>
          <w:b/>
          <w:sz w:val="28"/>
          <w:szCs w:val="28"/>
        </w:rPr>
        <w:lastRenderedPageBreak/>
        <w:t>Statement of Compatibility with Human Rights</w:t>
      </w:r>
      <w:r w:rsidR="00FF637D">
        <w:rPr>
          <w:b/>
          <w:sz w:val="28"/>
          <w:szCs w:val="28"/>
        </w:rPr>
        <w:br/>
      </w:r>
    </w:p>
    <w:p w14:paraId="1E35B4CA" w14:textId="77777777" w:rsidR="006903CD" w:rsidRPr="00C26C25" w:rsidRDefault="006903CD" w:rsidP="006903CD">
      <w:pPr>
        <w:jc w:val="center"/>
        <w:rPr>
          <w:szCs w:val="24"/>
        </w:rPr>
      </w:pPr>
      <w:r w:rsidRPr="00C26C25">
        <w:rPr>
          <w:i/>
          <w:szCs w:val="24"/>
        </w:rPr>
        <w:t>Prepared in accordance with Part 3 of the Human Rights (Parliamentary Scrutiny) Act 2011</w:t>
      </w:r>
    </w:p>
    <w:p w14:paraId="0D657CA2" w14:textId="77777777" w:rsidR="006903CD" w:rsidRPr="00C26C25" w:rsidRDefault="006903CD" w:rsidP="006903CD">
      <w:pPr>
        <w:jc w:val="center"/>
        <w:rPr>
          <w:szCs w:val="24"/>
        </w:rPr>
      </w:pPr>
    </w:p>
    <w:p w14:paraId="096AFEC3" w14:textId="77777777" w:rsidR="006903CD" w:rsidRPr="00C26C25" w:rsidRDefault="006903CD" w:rsidP="006903CD">
      <w:pPr>
        <w:jc w:val="center"/>
        <w:rPr>
          <w:b/>
          <w:i/>
          <w:iCs/>
        </w:rPr>
      </w:pPr>
      <w:r w:rsidRPr="00C26C25">
        <w:rPr>
          <w:b/>
          <w:bCs/>
          <w:i/>
          <w:iCs/>
        </w:rPr>
        <w:t>Health Insurance Legislation Amendment (Intensive Care and Emergency Medicine) Regulations 2020</w:t>
      </w:r>
    </w:p>
    <w:p w14:paraId="68BC433F" w14:textId="77777777" w:rsidR="006903CD" w:rsidRPr="00C26C25" w:rsidRDefault="006903CD" w:rsidP="006903CD">
      <w:pPr>
        <w:jc w:val="center"/>
        <w:rPr>
          <w:b/>
          <w:i/>
          <w:szCs w:val="24"/>
        </w:rPr>
      </w:pPr>
    </w:p>
    <w:p w14:paraId="196CC1DF" w14:textId="77777777" w:rsidR="006903CD" w:rsidRPr="00C26C25" w:rsidRDefault="006903CD" w:rsidP="006903CD">
      <w:pPr>
        <w:jc w:val="center"/>
        <w:rPr>
          <w:szCs w:val="24"/>
        </w:rPr>
      </w:pPr>
      <w:r w:rsidRPr="00C26C25">
        <w:rPr>
          <w:szCs w:val="24"/>
        </w:rPr>
        <w:t xml:space="preserve">This Disallowable Legislative Instrument is compatible with the human rights and freedoms recognised or declared in the international instruments listed in section 3 of the </w:t>
      </w:r>
      <w:r w:rsidRPr="00C26C25">
        <w:rPr>
          <w:i/>
          <w:szCs w:val="24"/>
        </w:rPr>
        <w:t>Human Rights (Parliamentary Scrutiny) Act 2011</w:t>
      </w:r>
      <w:r w:rsidRPr="00C26C25">
        <w:rPr>
          <w:szCs w:val="24"/>
        </w:rPr>
        <w:t>.</w:t>
      </w:r>
    </w:p>
    <w:p w14:paraId="7C5656C2" w14:textId="77777777" w:rsidR="006903CD" w:rsidRPr="00C26C25" w:rsidRDefault="006903CD" w:rsidP="006903CD">
      <w:pPr>
        <w:jc w:val="center"/>
        <w:rPr>
          <w:szCs w:val="24"/>
          <w:highlight w:val="yellow"/>
        </w:rPr>
      </w:pPr>
    </w:p>
    <w:p w14:paraId="174B4D03" w14:textId="77777777" w:rsidR="006903CD" w:rsidRPr="00C26C25" w:rsidRDefault="006903CD" w:rsidP="006903CD">
      <w:pPr>
        <w:rPr>
          <w:b/>
          <w:szCs w:val="24"/>
        </w:rPr>
      </w:pPr>
      <w:r w:rsidRPr="00C26C25">
        <w:rPr>
          <w:b/>
          <w:szCs w:val="24"/>
        </w:rPr>
        <w:t>Overview of the Determination</w:t>
      </w:r>
    </w:p>
    <w:p w14:paraId="5D180BCF" w14:textId="77777777" w:rsidR="008D6D0E" w:rsidRPr="00C709A0" w:rsidRDefault="008D6D0E" w:rsidP="008D6D0E">
      <w:pPr>
        <w:spacing w:before="100" w:beforeAutospacing="1" w:after="100" w:afterAutospacing="1"/>
      </w:pPr>
      <w:r w:rsidRPr="00C709A0">
        <w:t xml:space="preserve">The purpose of the </w:t>
      </w:r>
      <w:r w:rsidRPr="00C709A0">
        <w:rPr>
          <w:i/>
        </w:rPr>
        <w:t>Health Insurance Legislation Amendment (Intensive Care and Emergency Medicine) Regulations 2020</w:t>
      </w:r>
      <w:r w:rsidRPr="00C709A0">
        <w:t xml:space="preserve"> (the Regulations) is to amend the GMST and the DIST from 1 March 2020.</w:t>
      </w:r>
    </w:p>
    <w:p w14:paraId="0B0F2C30" w14:textId="74FEEF7E" w:rsidR="008D6D0E" w:rsidRDefault="008D6D0E" w:rsidP="008D6D0E">
      <w:pPr>
        <w:spacing w:before="100" w:beforeAutospacing="1" w:after="100" w:afterAutospacing="1"/>
      </w:pPr>
      <w:r w:rsidRPr="00C709A0">
        <w:t xml:space="preserve">The Regulations implement the Government’s response to recommendations from the MBS Review Taskforce (the Taskforce) on intensive care and emergency items, as announced in the 2019-20 Budget under the </w:t>
      </w:r>
      <w:r w:rsidRPr="00C709A0">
        <w:rPr>
          <w:i/>
        </w:rPr>
        <w:t xml:space="preserve">Guaranteeing Medicare — Medicare Benefits Schedule Review — response to Taskforce recommendations </w:t>
      </w:r>
      <w:r w:rsidRPr="00C709A0">
        <w:t>measure.</w:t>
      </w:r>
    </w:p>
    <w:p w14:paraId="1A37533C" w14:textId="77777777" w:rsidR="008D6D0E" w:rsidRPr="00C709A0" w:rsidRDefault="008D6D0E" w:rsidP="008D6D0E">
      <w:pPr>
        <w:spacing w:before="100" w:beforeAutospacing="1" w:after="100" w:afterAutospacing="1"/>
      </w:pPr>
      <w:r w:rsidRPr="00C709A0">
        <w:t>The Taskforce found the existing MBS-funded intensive care and emergency medicine arrangements were complex and the fee structure did not adequately reflect the additional skill, time and risks associated with treating complex patients. The Taskforce recommended to Government that the intensive care and emergency medicine be restructured to reflect contemporary clinical practice.</w:t>
      </w:r>
    </w:p>
    <w:p w14:paraId="4E2FC4B4" w14:textId="77777777" w:rsidR="006903CD" w:rsidRPr="00C26C25" w:rsidRDefault="006903CD" w:rsidP="00886660">
      <w:pPr>
        <w:shd w:val="clear" w:color="auto" w:fill="FFFFFF"/>
        <w:spacing w:before="100" w:beforeAutospacing="1" w:after="100" w:afterAutospacing="1"/>
        <w:rPr>
          <w:szCs w:val="24"/>
          <w:lang w:val="en-US"/>
        </w:rPr>
      </w:pPr>
      <w:r w:rsidRPr="00C26C25">
        <w:rPr>
          <w:b/>
          <w:bCs/>
          <w:szCs w:val="24"/>
        </w:rPr>
        <w:t>Human rights implications</w:t>
      </w:r>
    </w:p>
    <w:p w14:paraId="1999F95F" w14:textId="77777777" w:rsidR="006903CD" w:rsidRPr="00C26C25" w:rsidRDefault="006903CD" w:rsidP="00886660">
      <w:pPr>
        <w:shd w:val="clear" w:color="auto" w:fill="FFFFFF"/>
        <w:spacing w:before="100" w:beforeAutospacing="1" w:after="100" w:afterAutospacing="1"/>
        <w:rPr>
          <w:szCs w:val="24"/>
        </w:rPr>
      </w:pPr>
      <w:r w:rsidRPr="00C26C25">
        <w:rPr>
          <w:szCs w:val="24"/>
        </w:rPr>
        <w:t>The Regulations engage Articles 9 and 12 of the International Covenant on Economic Social and Cultural Rights (ICESCR), specifically the rights to health and social security.</w:t>
      </w:r>
    </w:p>
    <w:p w14:paraId="43006C08" w14:textId="77777777" w:rsidR="006903CD" w:rsidRPr="00C26C25" w:rsidRDefault="006903CD" w:rsidP="006903CD">
      <w:pPr>
        <w:shd w:val="clear" w:color="auto" w:fill="FFFFFF"/>
        <w:rPr>
          <w:szCs w:val="24"/>
          <w:lang w:val="en-US"/>
        </w:rPr>
      </w:pPr>
    </w:p>
    <w:p w14:paraId="023D436E" w14:textId="77777777" w:rsidR="006903CD" w:rsidRPr="00C26C25" w:rsidRDefault="006903CD" w:rsidP="006903CD">
      <w:pPr>
        <w:shd w:val="clear" w:color="auto" w:fill="FFFFFF"/>
        <w:rPr>
          <w:i/>
          <w:szCs w:val="24"/>
          <w:lang w:val="en-US"/>
        </w:rPr>
      </w:pPr>
      <w:r w:rsidRPr="00C26C25">
        <w:rPr>
          <w:i/>
          <w:iCs/>
          <w:szCs w:val="24"/>
        </w:rPr>
        <w:t>The Right to Health</w:t>
      </w:r>
    </w:p>
    <w:p w14:paraId="0350823F" w14:textId="77777777" w:rsidR="006903CD" w:rsidRPr="00C26C25" w:rsidRDefault="006903CD" w:rsidP="006903CD">
      <w:pPr>
        <w:shd w:val="clear" w:color="auto" w:fill="FFFFFF"/>
        <w:spacing w:before="100" w:beforeAutospacing="1" w:after="100" w:afterAutospacing="1"/>
        <w:rPr>
          <w:szCs w:val="24"/>
          <w:lang w:val="en-US"/>
        </w:rPr>
      </w:pPr>
      <w:r w:rsidRPr="00C26C25">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42A14F9B" w14:textId="77777777" w:rsidR="006903CD" w:rsidRPr="00C26C25" w:rsidRDefault="006903CD" w:rsidP="006903CD">
      <w:pPr>
        <w:shd w:val="clear" w:color="auto" w:fill="FFFFFF"/>
        <w:spacing w:before="100" w:beforeAutospacing="1" w:after="100" w:afterAutospacing="1"/>
        <w:rPr>
          <w:szCs w:val="24"/>
          <w:lang w:val="en-US"/>
        </w:rPr>
      </w:pPr>
      <w:r w:rsidRPr="00C26C25">
        <w:rPr>
          <w:szCs w:val="24"/>
        </w:rPr>
        <w:t xml:space="preserve">The Committee reports that the </w:t>
      </w:r>
      <w:r w:rsidRPr="00C26C25">
        <w:rPr>
          <w:i/>
          <w:iCs/>
          <w:szCs w:val="24"/>
        </w:rPr>
        <w:t>‘highest attainable standard of health’</w:t>
      </w:r>
      <w:r w:rsidRPr="00C26C25">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4177B7EF" w14:textId="77777777" w:rsidR="006903CD" w:rsidRPr="00C26C25" w:rsidRDefault="006903CD" w:rsidP="006903CD">
      <w:pPr>
        <w:shd w:val="clear" w:color="auto" w:fill="FFFFFF"/>
        <w:spacing w:before="100" w:beforeAutospacing="1"/>
        <w:rPr>
          <w:szCs w:val="24"/>
          <w:lang w:val="en-US"/>
        </w:rPr>
      </w:pPr>
      <w:r w:rsidRPr="00C26C25">
        <w:rPr>
          <w:i/>
          <w:iCs/>
          <w:szCs w:val="24"/>
        </w:rPr>
        <w:t xml:space="preserve">The Right to Social Security </w:t>
      </w:r>
    </w:p>
    <w:p w14:paraId="396D7259" w14:textId="77777777" w:rsidR="00A449CC" w:rsidRDefault="006903CD" w:rsidP="006903CD">
      <w:pPr>
        <w:shd w:val="clear" w:color="auto" w:fill="FFFFFF"/>
        <w:spacing w:before="100" w:beforeAutospacing="1" w:after="100" w:afterAutospacing="1"/>
        <w:rPr>
          <w:szCs w:val="24"/>
          <w:lang w:val="en-US"/>
        </w:rPr>
      </w:pPr>
      <w:r w:rsidRPr="00C26C25">
        <w:rPr>
          <w:szCs w:val="24"/>
        </w:rPr>
        <w:lastRenderedPageBreak/>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03063D51" w14:textId="536088D0" w:rsidR="006903CD" w:rsidRPr="00C26C25" w:rsidRDefault="006903CD" w:rsidP="006903CD">
      <w:pPr>
        <w:shd w:val="clear" w:color="auto" w:fill="FFFFFF"/>
        <w:spacing w:before="100" w:beforeAutospacing="1" w:after="100" w:afterAutospacing="1"/>
        <w:rPr>
          <w:szCs w:val="24"/>
          <w:lang w:val="en-US"/>
        </w:rPr>
      </w:pPr>
      <w:r w:rsidRPr="00C26C25">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16B0A52" w14:textId="77777777" w:rsidR="006903CD" w:rsidRPr="00C26C25" w:rsidRDefault="006903CD" w:rsidP="006903CD">
      <w:pPr>
        <w:shd w:val="clear" w:color="auto" w:fill="FFFFFF"/>
        <w:spacing w:before="100" w:beforeAutospacing="1"/>
        <w:rPr>
          <w:szCs w:val="24"/>
          <w:lang w:val="en-US"/>
        </w:rPr>
      </w:pPr>
      <w:r w:rsidRPr="00C26C25">
        <w:rPr>
          <w:szCs w:val="24"/>
          <w:u w:val="single"/>
        </w:rPr>
        <w:t xml:space="preserve">Analysis </w:t>
      </w:r>
    </w:p>
    <w:p w14:paraId="2277A09E" w14:textId="77777777" w:rsidR="006903CD" w:rsidRPr="00C26C25" w:rsidRDefault="006903CD" w:rsidP="006903CD">
      <w:pPr>
        <w:shd w:val="clear" w:color="auto" w:fill="FFFFFF"/>
        <w:spacing w:before="100" w:beforeAutospacing="1" w:after="100" w:afterAutospacing="1"/>
        <w:rPr>
          <w:szCs w:val="24"/>
          <w:lang w:val="en-US"/>
        </w:rPr>
      </w:pPr>
      <w:r w:rsidRPr="00C26C25">
        <w:rPr>
          <w:szCs w:val="24"/>
        </w:rPr>
        <w:t>The Regulations will maintain or advance rights to health and social security by ensuring access to publicly subsidised health services which are clinically effective and cost-effective.   </w:t>
      </w:r>
    </w:p>
    <w:p w14:paraId="62599A0C" w14:textId="77777777" w:rsidR="006903CD" w:rsidRPr="00C26C25" w:rsidRDefault="006903CD" w:rsidP="006903CD">
      <w:pPr>
        <w:shd w:val="clear" w:color="auto" w:fill="FFFFFF"/>
        <w:spacing w:before="100" w:beforeAutospacing="1" w:after="100" w:afterAutospacing="1" w:line="276" w:lineRule="auto"/>
        <w:rPr>
          <w:szCs w:val="24"/>
          <w:lang w:val="en-US"/>
        </w:rPr>
      </w:pPr>
      <w:r w:rsidRPr="00C26C25">
        <w:rPr>
          <w:b/>
          <w:bCs/>
          <w:szCs w:val="24"/>
        </w:rPr>
        <w:t>Conclusion</w:t>
      </w:r>
    </w:p>
    <w:p w14:paraId="2277B798" w14:textId="77777777" w:rsidR="006903CD" w:rsidRPr="00C26C25" w:rsidRDefault="006903CD" w:rsidP="006903CD">
      <w:pPr>
        <w:shd w:val="clear" w:color="auto" w:fill="FFFFFF"/>
        <w:spacing w:before="100" w:beforeAutospacing="1" w:after="100" w:afterAutospacing="1"/>
        <w:rPr>
          <w:szCs w:val="24"/>
          <w:lang w:val="en-US"/>
        </w:rPr>
      </w:pPr>
      <w:r w:rsidRPr="00C26C25">
        <w:rPr>
          <w:szCs w:val="24"/>
        </w:rPr>
        <w:t xml:space="preserve">The Regulations are compatible with human rights as they maintain the right to health and the right to social security. </w:t>
      </w:r>
    </w:p>
    <w:p w14:paraId="3B65041B" w14:textId="5C3BC571" w:rsidR="006903CD" w:rsidRPr="00C26C25" w:rsidRDefault="006903CD" w:rsidP="00A449CC">
      <w:pPr>
        <w:shd w:val="clear" w:color="auto" w:fill="FFFFFF"/>
        <w:spacing w:before="100" w:beforeAutospacing="1" w:after="100" w:afterAutospacing="1" w:line="276" w:lineRule="auto"/>
        <w:jc w:val="center"/>
        <w:rPr>
          <w:szCs w:val="24"/>
          <w:lang w:val="en-US"/>
        </w:rPr>
      </w:pPr>
      <w:r w:rsidRPr="00C26C25">
        <w:rPr>
          <w:b/>
          <w:bCs/>
          <w:szCs w:val="24"/>
        </w:rPr>
        <w:t>Greg Hunt</w:t>
      </w:r>
      <w:r w:rsidR="00A449CC">
        <w:rPr>
          <w:szCs w:val="24"/>
          <w:lang w:val="en-US"/>
        </w:rPr>
        <w:br/>
      </w:r>
      <w:r w:rsidRPr="00C26C25">
        <w:rPr>
          <w:b/>
          <w:bCs/>
          <w:szCs w:val="24"/>
        </w:rPr>
        <w:t xml:space="preserve">Minister for Health </w:t>
      </w:r>
    </w:p>
    <w:p w14:paraId="77534736" w14:textId="77777777" w:rsidR="00D919A7" w:rsidRDefault="00D919A7" w:rsidP="00CC1FE1">
      <w:pPr>
        <w:pStyle w:val="Header"/>
        <w:tabs>
          <w:tab w:val="num" w:pos="1080"/>
        </w:tabs>
        <w:rPr>
          <w:b/>
          <w:sz w:val="28"/>
          <w:szCs w:val="28"/>
        </w:rPr>
      </w:pPr>
    </w:p>
    <w:sectPr w:rsidR="00D919A7" w:rsidSect="00A449CC">
      <w:headerReference w:type="even" r:id="rId11"/>
      <w:headerReference w:type="default" r:id="rId12"/>
      <w:footerReference w:type="default" r:id="rId13"/>
      <w:headerReference w:type="first" r:id="rId14"/>
      <w:footerReference w:type="first" r:id="rId15"/>
      <w:pgSz w:w="11906" w:h="16838"/>
      <w:pgMar w:top="1276" w:right="1558" w:bottom="1440" w:left="1440" w:header="720" w:footer="720"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E6967" w14:textId="77777777" w:rsidR="00154286" w:rsidRDefault="00154286">
      <w:r>
        <w:separator/>
      </w:r>
    </w:p>
  </w:endnote>
  <w:endnote w:type="continuationSeparator" w:id="0">
    <w:p w14:paraId="647F3DF3" w14:textId="77777777" w:rsidR="00154286" w:rsidRDefault="0015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8D29D" w14:textId="76D583E3" w:rsidR="00154286" w:rsidRDefault="00154286" w:rsidP="00A449CC">
    <w:pPr>
      <w:pStyle w:val="Footer"/>
    </w:pPr>
  </w:p>
  <w:p w14:paraId="106D38B8" w14:textId="77777777" w:rsidR="00154286" w:rsidRDefault="00154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2325F" w14:textId="26BA6AE0" w:rsidR="00154286" w:rsidRDefault="00154286">
    <w:pPr>
      <w:pStyle w:val="Footer"/>
      <w:jc w:val="center"/>
    </w:pPr>
  </w:p>
  <w:p w14:paraId="4348C0AF" w14:textId="77777777" w:rsidR="00154286" w:rsidRDefault="00154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BA062" w14:textId="77777777" w:rsidR="00154286" w:rsidRDefault="00154286">
      <w:r>
        <w:separator/>
      </w:r>
    </w:p>
  </w:footnote>
  <w:footnote w:type="continuationSeparator" w:id="0">
    <w:p w14:paraId="2E04948A" w14:textId="77777777" w:rsidR="00154286" w:rsidRDefault="00154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54286" w:rsidRDefault="00154286"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54286" w:rsidRDefault="00154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193801"/>
      <w:docPartObj>
        <w:docPartGallery w:val="Page Numbers (Top of Page)"/>
        <w:docPartUnique/>
      </w:docPartObj>
    </w:sdtPr>
    <w:sdtEndPr>
      <w:rPr>
        <w:noProof/>
      </w:rPr>
    </w:sdtEndPr>
    <w:sdtContent>
      <w:p w14:paraId="6E1E2F91" w14:textId="23A6E41E" w:rsidR="00A449CC" w:rsidRDefault="00A449CC">
        <w:pPr>
          <w:pStyle w:val="Header"/>
          <w:jc w:val="center"/>
        </w:pPr>
        <w:r>
          <w:fldChar w:fldCharType="begin"/>
        </w:r>
        <w:r>
          <w:instrText xml:space="preserve"> PAGE   \* MERGEFORMAT </w:instrText>
        </w:r>
        <w:r>
          <w:fldChar w:fldCharType="separate"/>
        </w:r>
        <w:r w:rsidR="00F62FE9">
          <w:rPr>
            <w:noProof/>
          </w:rPr>
          <w:t>11</w:t>
        </w:r>
        <w:r>
          <w:rPr>
            <w:noProof/>
          </w:rPr>
          <w:fldChar w:fldCharType="end"/>
        </w:r>
      </w:p>
    </w:sdtContent>
  </w:sdt>
  <w:p w14:paraId="2412D17B" w14:textId="77777777" w:rsidR="00154286" w:rsidRDefault="00154286" w:rsidP="00E23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342876"/>
      <w:docPartObj>
        <w:docPartGallery w:val="Page Numbers (Top of Page)"/>
        <w:docPartUnique/>
      </w:docPartObj>
    </w:sdtPr>
    <w:sdtEndPr>
      <w:rPr>
        <w:noProof/>
      </w:rPr>
    </w:sdtEndPr>
    <w:sdtContent>
      <w:p w14:paraId="624937CE" w14:textId="37B2CB5A" w:rsidR="00A449CC" w:rsidRDefault="00A449CC">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2412D17D" w14:textId="77777777" w:rsidR="00154286" w:rsidRDefault="00154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4EEB"/>
    <w:multiLevelType w:val="hybridMultilevel"/>
    <w:tmpl w:val="ADA6285C"/>
    <w:lvl w:ilvl="0" w:tplc="9A646BEA">
      <w:start w:val="1"/>
      <w:numFmt w:val="bullet"/>
      <w:lvlText w:val=""/>
      <w:lvlJc w:val="left"/>
      <w:pPr>
        <w:ind w:left="720" w:hanging="360"/>
      </w:pPr>
      <w:rPr>
        <w:rFonts w:ascii="Symbol" w:hAnsi="Symbol" w:hint="default"/>
      </w:rPr>
    </w:lvl>
    <w:lvl w:ilvl="1" w:tplc="471457BE" w:tentative="1">
      <w:start w:val="1"/>
      <w:numFmt w:val="bullet"/>
      <w:lvlText w:val="o"/>
      <w:lvlJc w:val="left"/>
      <w:pPr>
        <w:ind w:left="1440" w:hanging="360"/>
      </w:pPr>
      <w:rPr>
        <w:rFonts w:ascii="Courier New" w:hAnsi="Courier New" w:cs="Courier New" w:hint="default"/>
      </w:rPr>
    </w:lvl>
    <w:lvl w:ilvl="2" w:tplc="A5F4FC0C" w:tentative="1">
      <w:start w:val="1"/>
      <w:numFmt w:val="bullet"/>
      <w:lvlText w:val=""/>
      <w:lvlJc w:val="left"/>
      <w:pPr>
        <w:ind w:left="2160" w:hanging="360"/>
      </w:pPr>
      <w:rPr>
        <w:rFonts w:ascii="Wingdings" w:hAnsi="Wingdings" w:hint="default"/>
      </w:rPr>
    </w:lvl>
    <w:lvl w:ilvl="3" w:tplc="12F82DB4" w:tentative="1">
      <w:start w:val="1"/>
      <w:numFmt w:val="bullet"/>
      <w:lvlText w:val=""/>
      <w:lvlJc w:val="left"/>
      <w:pPr>
        <w:ind w:left="2880" w:hanging="360"/>
      </w:pPr>
      <w:rPr>
        <w:rFonts w:ascii="Symbol" w:hAnsi="Symbol" w:hint="default"/>
      </w:rPr>
    </w:lvl>
    <w:lvl w:ilvl="4" w:tplc="9ABEF78E" w:tentative="1">
      <w:start w:val="1"/>
      <w:numFmt w:val="bullet"/>
      <w:lvlText w:val="o"/>
      <w:lvlJc w:val="left"/>
      <w:pPr>
        <w:ind w:left="3600" w:hanging="360"/>
      </w:pPr>
      <w:rPr>
        <w:rFonts w:ascii="Courier New" w:hAnsi="Courier New" w:cs="Courier New" w:hint="default"/>
      </w:rPr>
    </w:lvl>
    <w:lvl w:ilvl="5" w:tplc="B4D84F8A" w:tentative="1">
      <w:start w:val="1"/>
      <w:numFmt w:val="bullet"/>
      <w:lvlText w:val=""/>
      <w:lvlJc w:val="left"/>
      <w:pPr>
        <w:ind w:left="4320" w:hanging="360"/>
      </w:pPr>
      <w:rPr>
        <w:rFonts w:ascii="Wingdings" w:hAnsi="Wingdings" w:hint="default"/>
      </w:rPr>
    </w:lvl>
    <w:lvl w:ilvl="6" w:tplc="D1E00240" w:tentative="1">
      <w:start w:val="1"/>
      <w:numFmt w:val="bullet"/>
      <w:lvlText w:val=""/>
      <w:lvlJc w:val="left"/>
      <w:pPr>
        <w:ind w:left="5040" w:hanging="360"/>
      </w:pPr>
      <w:rPr>
        <w:rFonts w:ascii="Symbol" w:hAnsi="Symbol" w:hint="default"/>
      </w:rPr>
    </w:lvl>
    <w:lvl w:ilvl="7" w:tplc="BA8C307E" w:tentative="1">
      <w:start w:val="1"/>
      <w:numFmt w:val="bullet"/>
      <w:lvlText w:val="o"/>
      <w:lvlJc w:val="left"/>
      <w:pPr>
        <w:ind w:left="5760" w:hanging="360"/>
      </w:pPr>
      <w:rPr>
        <w:rFonts w:ascii="Courier New" w:hAnsi="Courier New" w:cs="Courier New" w:hint="default"/>
      </w:rPr>
    </w:lvl>
    <w:lvl w:ilvl="8" w:tplc="B41ADC3E" w:tentative="1">
      <w:start w:val="1"/>
      <w:numFmt w:val="bullet"/>
      <w:lvlText w:val=""/>
      <w:lvlJc w:val="left"/>
      <w:pPr>
        <w:ind w:left="6480" w:hanging="360"/>
      </w:pPr>
      <w:rPr>
        <w:rFonts w:ascii="Wingdings" w:hAnsi="Wingdings" w:hint="default"/>
      </w:rPr>
    </w:lvl>
  </w:abstractNum>
  <w:abstractNum w:abstractNumId="1" w15:restartNumberingAfterBreak="0">
    <w:nsid w:val="0722589D"/>
    <w:multiLevelType w:val="hybridMultilevel"/>
    <w:tmpl w:val="CD943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8E06DD"/>
    <w:multiLevelType w:val="hybridMultilevel"/>
    <w:tmpl w:val="E7425A3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F556225"/>
    <w:multiLevelType w:val="hybridMultilevel"/>
    <w:tmpl w:val="1CF2C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6D0DAE"/>
    <w:multiLevelType w:val="hybridMultilevel"/>
    <w:tmpl w:val="ED743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E20B9E"/>
    <w:multiLevelType w:val="hybridMultilevel"/>
    <w:tmpl w:val="E078E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2C20CD"/>
    <w:multiLevelType w:val="hybridMultilevel"/>
    <w:tmpl w:val="1512D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89641F"/>
    <w:multiLevelType w:val="hybridMultilevel"/>
    <w:tmpl w:val="A3EE8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76598E"/>
    <w:multiLevelType w:val="hybridMultilevel"/>
    <w:tmpl w:val="B96C1E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21CC4A12"/>
    <w:multiLevelType w:val="hybridMultilevel"/>
    <w:tmpl w:val="A61AAB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3B7507"/>
    <w:multiLevelType w:val="hybridMultilevel"/>
    <w:tmpl w:val="CFBA8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86016D"/>
    <w:multiLevelType w:val="hybridMultilevel"/>
    <w:tmpl w:val="C26E718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6216828"/>
    <w:multiLevelType w:val="hybridMultilevel"/>
    <w:tmpl w:val="1736C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583A2E"/>
    <w:multiLevelType w:val="hybridMultilevel"/>
    <w:tmpl w:val="830A8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FE1A26"/>
    <w:multiLevelType w:val="hybridMultilevel"/>
    <w:tmpl w:val="D2743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796C9E"/>
    <w:multiLevelType w:val="hybridMultilevel"/>
    <w:tmpl w:val="688E6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1CD54A9"/>
    <w:multiLevelType w:val="hybridMultilevel"/>
    <w:tmpl w:val="18F6E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EC00C1"/>
    <w:multiLevelType w:val="hybridMultilevel"/>
    <w:tmpl w:val="4C5E26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FFC5E4E"/>
    <w:multiLevelType w:val="hybridMultilevel"/>
    <w:tmpl w:val="2A7E6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4C7ACC"/>
    <w:multiLevelType w:val="hybridMultilevel"/>
    <w:tmpl w:val="64D6C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966E4D"/>
    <w:multiLevelType w:val="hybridMultilevel"/>
    <w:tmpl w:val="A7027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115FBD"/>
    <w:multiLevelType w:val="hybridMultilevel"/>
    <w:tmpl w:val="483216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340F02"/>
    <w:multiLevelType w:val="hybridMultilevel"/>
    <w:tmpl w:val="18CA7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B07B15"/>
    <w:multiLevelType w:val="hybridMultilevel"/>
    <w:tmpl w:val="69488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F846B7"/>
    <w:multiLevelType w:val="hybridMultilevel"/>
    <w:tmpl w:val="170216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565507D"/>
    <w:multiLevelType w:val="hybridMultilevel"/>
    <w:tmpl w:val="0E3457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B40575"/>
    <w:multiLevelType w:val="hybridMultilevel"/>
    <w:tmpl w:val="0FD4B7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551342"/>
    <w:multiLevelType w:val="hybridMultilevel"/>
    <w:tmpl w:val="E716D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3A4B4F"/>
    <w:multiLevelType w:val="hybridMultilevel"/>
    <w:tmpl w:val="A0CAD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BC2F34"/>
    <w:multiLevelType w:val="hybridMultilevel"/>
    <w:tmpl w:val="1166F8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9743941"/>
    <w:multiLevelType w:val="hybridMultilevel"/>
    <w:tmpl w:val="7B04B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4546B5"/>
    <w:multiLevelType w:val="hybridMultilevel"/>
    <w:tmpl w:val="8B2A518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30"/>
  </w:num>
  <w:num w:numId="3">
    <w:abstractNumId w:val="18"/>
  </w:num>
  <w:num w:numId="4">
    <w:abstractNumId w:val="32"/>
  </w:num>
  <w:num w:numId="5">
    <w:abstractNumId w:val="9"/>
  </w:num>
  <w:num w:numId="6">
    <w:abstractNumId w:val="26"/>
  </w:num>
  <w:num w:numId="7">
    <w:abstractNumId w:val="17"/>
  </w:num>
  <w:num w:numId="8">
    <w:abstractNumId w:val="27"/>
  </w:num>
  <w:num w:numId="9">
    <w:abstractNumId w:val="12"/>
  </w:num>
  <w:num w:numId="10">
    <w:abstractNumId w:val="2"/>
  </w:num>
  <w:num w:numId="11">
    <w:abstractNumId w:val="15"/>
  </w:num>
  <w:num w:numId="12">
    <w:abstractNumId w:val="5"/>
  </w:num>
  <w:num w:numId="13">
    <w:abstractNumId w:val="25"/>
  </w:num>
  <w:num w:numId="14">
    <w:abstractNumId w:val="20"/>
  </w:num>
  <w:num w:numId="15">
    <w:abstractNumId w:val="10"/>
  </w:num>
  <w:num w:numId="16">
    <w:abstractNumId w:val="21"/>
  </w:num>
  <w:num w:numId="17">
    <w:abstractNumId w:val="13"/>
  </w:num>
  <w:num w:numId="18">
    <w:abstractNumId w:val="1"/>
  </w:num>
  <w:num w:numId="19">
    <w:abstractNumId w:val="3"/>
  </w:num>
  <w:num w:numId="20">
    <w:abstractNumId w:val="24"/>
  </w:num>
  <w:num w:numId="21">
    <w:abstractNumId w:val="19"/>
  </w:num>
  <w:num w:numId="22">
    <w:abstractNumId w:val="16"/>
  </w:num>
  <w:num w:numId="23">
    <w:abstractNumId w:val="0"/>
  </w:num>
  <w:num w:numId="24">
    <w:abstractNumId w:val="22"/>
  </w:num>
  <w:num w:numId="25">
    <w:abstractNumId w:val="4"/>
  </w:num>
  <w:num w:numId="26">
    <w:abstractNumId w:val="29"/>
  </w:num>
  <w:num w:numId="27">
    <w:abstractNumId w:val="6"/>
  </w:num>
  <w:num w:numId="28">
    <w:abstractNumId w:val="7"/>
  </w:num>
  <w:num w:numId="29">
    <w:abstractNumId w:val="31"/>
  </w:num>
  <w:num w:numId="30">
    <w:abstractNumId w:val="14"/>
  </w:num>
  <w:num w:numId="31">
    <w:abstractNumId w:val="23"/>
  </w:num>
  <w:num w:numId="32">
    <w:abstractNumId w:val="28"/>
  </w:num>
  <w:num w:numId="3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DEE"/>
    <w:rsid w:val="00001CCE"/>
    <w:rsid w:val="00003B66"/>
    <w:rsid w:val="00003CCA"/>
    <w:rsid w:val="00003D66"/>
    <w:rsid w:val="0000441D"/>
    <w:rsid w:val="00004E17"/>
    <w:rsid w:val="00005906"/>
    <w:rsid w:val="00007B65"/>
    <w:rsid w:val="00007E21"/>
    <w:rsid w:val="00012737"/>
    <w:rsid w:val="00014639"/>
    <w:rsid w:val="00014B38"/>
    <w:rsid w:val="00014E40"/>
    <w:rsid w:val="0001557D"/>
    <w:rsid w:val="0001614F"/>
    <w:rsid w:val="00016774"/>
    <w:rsid w:val="000173B5"/>
    <w:rsid w:val="000202EF"/>
    <w:rsid w:val="000203B4"/>
    <w:rsid w:val="0002158F"/>
    <w:rsid w:val="0002176A"/>
    <w:rsid w:val="00021D27"/>
    <w:rsid w:val="00021EFA"/>
    <w:rsid w:val="00024158"/>
    <w:rsid w:val="00024B52"/>
    <w:rsid w:val="00025169"/>
    <w:rsid w:val="00025F64"/>
    <w:rsid w:val="0002704E"/>
    <w:rsid w:val="0002713A"/>
    <w:rsid w:val="0002728B"/>
    <w:rsid w:val="00027830"/>
    <w:rsid w:val="000319EF"/>
    <w:rsid w:val="00031D51"/>
    <w:rsid w:val="00033034"/>
    <w:rsid w:val="000337CB"/>
    <w:rsid w:val="00034E86"/>
    <w:rsid w:val="0003591F"/>
    <w:rsid w:val="00036EDF"/>
    <w:rsid w:val="00041849"/>
    <w:rsid w:val="0004426E"/>
    <w:rsid w:val="00044A2A"/>
    <w:rsid w:val="000509BA"/>
    <w:rsid w:val="00050F4C"/>
    <w:rsid w:val="0005224B"/>
    <w:rsid w:val="00052DB6"/>
    <w:rsid w:val="0005533C"/>
    <w:rsid w:val="00063242"/>
    <w:rsid w:val="000640CF"/>
    <w:rsid w:val="0006470E"/>
    <w:rsid w:val="00064BA4"/>
    <w:rsid w:val="000651E1"/>
    <w:rsid w:val="00067F59"/>
    <w:rsid w:val="000710DD"/>
    <w:rsid w:val="0007187A"/>
    <w:rsid w:val="000727E0"/>
    <w:rsid w:val="00073983"/>
    <w:rsid w:val="00073BC9"/>
    <w:rsid w:val="00076C34"/>
    <w:rsid w:val="00076FE3"/>
    <w:rsid w:val="00080116"/>
    <w:rsid w:val="0008053E"/>
    <w:rsid w:val="00081188"/>
    <w:rsid w:val="00081C37"/>
    <w:rsid w:val="00082D11"/>
    <w:rsid w:val="00084FBF"/>
    <w:rsid w:val="0009436D"/>
    <w:rsid w:val="00094E4B"/>
    <w:rsid w:val="0009514A"/>
    <w:rsid w:val="00095D0C"/>
    <w:rsid w:val="000969EF"/>
    <w:rsid w:val="000A17AF"/>
    <w:rsid w:val="000A199B"/>
    <w:rsid w:val="000A31F2"/>
    <w:rsid w:val="000A424E"/>
    <w:rsid w:val="000A45BE"/>
    <w:rsid w:val="000A467F"/>
    <w:rsid w:val="000A6D18"/>
    <w:rsid w:val="000A6FB3"/>
    <w:rsid w:val="000A7B9B"/>
    <w:rsid w:val="000B0C6E"/>
    <w:rsid w:val="000B19BF"/>
    <w:rsid w:val="000B25E0"/>
    <w:rsid w:val="000B3452"/>
    <w:rsid w:val="000B36DF"/>
    <w:rsid w:val="000B500D"/>
    <w:rsid w:val="000B7CA9"/>
    <w:rsid w:val="000C04B2"/>
    <w:rsid w:val="000C1226"/>
    <w:rsid w:val="000C12EE"/>
    <w:rsid w:val="000C3D8A"/>
    <w:rsid w:val="000C4121"/>
    <w:rsid w:val="000C46E6"/>
    <w:rsid w:val="000C4B3D"/>
    <w:rsid w:val="000C5BA2"/>
    <w:rsid w:val="000C5BC6"/>
    <w:rsid w:val="000C6797"/>
    <w:rsid w:val="000C6FF8"/>
    <w:rsid w:val="000C7FE1"/>
    <w:rsid w:val="000D1325"/>
    <w:rsid w:val="000D1A87"/>
    <w:rsid w:val="000D2300"/>
    <w:rsid w:val="000D3B79"/>
    <w:rsid w:val="000D73C0"/>
    <w:rsid w:val="000D7803"/>
    <w:rsid w:val="000E0C55"/>
    <w:rsid w:val="000E0C87"/>
    <w:rsid w:val="000E0F43"/>
    <w:rsid w:val="000E1ACD"/>
    <w:rsid w:val="000E1EB3"/>
    <w:rsid w:val="000E3444"/>
    <w:rsid w:val="000E4AFA"/>
    <w:rsid w:val="000E534F"/>
    <w:rsid w:val="000E66FA"/>
    <w:rsid w:val="000E7163"/>
    <w:rsid w:val="000F14A0"/>
    <w:rsid w:val="000F1575"/>
    <w:rsid w:val="000F1714"/>
    <w:rsid w:val="000F249E"/>
    <w:rsid w:val="000F2AFC"/>
    <w:rsid w:val="000F353F"/>
    <w:rsid w:val="000F37A0"/>
    <w:rsid w:val="000F5E76"/>
    <w:rsid w:val="000F6853"/>
    <w:rsid w:val="000F7CA8"/>
    <w:rsid w:val="001000CE"/>
    <w:rsid w:val="00104751"/>
    <w:rsid w:val="0010617D"/>
    <w:rsid w:val="00106763"/>
    <w:rsid w:val="001068B6"/>
    <w:rsid w:val="00107F36"/>
    <w:rsid w:val="0011066E"/>
    <w:rsid w:val="00111854"/>
    <w:rsid w:val="00113B2E"/>
    <w:rsid w:val="00114251"/>
    <w:rsid w:val="00115CB6"/>
    <w:rsid w:val="00120766"/>
    <w:rsid w:val="00121189"/>
    <w:rsid w:val="00121A66"/>
    <w:rsid w:val="00126E32"/>
    <w:rsid w:val="00130BF2"/>
    <w:rsid w:val="001310D8"/>
    <w:rsid w:val="00132087"/>
    <w:rsid w:val="00134871"/>
    <w:rsid w:val="00134B27"/>
    <w:rsid w:val="00135795"/>
    <w:rsid w:val="00135D0D"/>
    <w:rsid w:val="001400C4"/>
    <w:rsid w:val="00140B23"/>
    <w:rsid w:val="00141323"/>
    <w:rsid w:val="00141E8C"/>
    <w:rsid w:val="00143943"/>
    <w:rsid w:val="00145918"/>
    <w:rsid w:val="00145D25"/>
    <w:rsid w:val="00145DED"/>
    <w:rsid w:val="001519E4"/>
    <w:rsid w:val="00152304"/>
    <w:rsid w:val="00153D99"/>
    <w:rsid w:val="00154286"/>
    <w:rsid w:val="00154FC4"/>
    <w:rsid w:val="0015521F"/>
    <w:rsid w:val="00157751"/>
    <w:rsid w:val="00161063"/>
    <w:rsid w:val="001637F2"/>
    <w:rsid w:val="00163F69"/>
    <w:rsid w:val="001641C0"/>
    <w:rsid w:val="001647B7"/>
    <w:rsid w:val="00165E23"/>
    <w:rsid w:val="0016646C"/>
    <w:rsid w:val="00167DA1"/>
    <w:rsid w:val="00167EC6"/>
    <w:rsid w:val="0017187F"/>
    <w:rsid w:val="001734C9"/>
    <w:rsid w:val="00174E96"/>
    <w:rsid w:val="00176E05"/>
    <w:rsid w:val="001770D9"/>
    <w:rsid w:val="0017759F"/>
    <w:rsid w:val="0018012F"/>
    <w:rsid w:val="00180742"/>
    <w:rsid w:val="00180BD1"/>
    <w:rsid w:val="00181B3E"/>
    <w:rsid w:val="00181F74"/>
    <w:rsid w:val="00182F72"/>
    <w:rsid w:val="00183C10"/>
    <w:rsid w:val="0018422D"/>
    <w:rsid w:val="0018451D"/>
    <w:rsid w:val="00185DF9"/>
    <w:rsid w:val="001865F8"/>
    <w:rsid w:val="001867EA"/>
    <w:rsid w:val="00187EE5"/>
    <w:rsid w:val="001900B5"/>
    <w:rsid w:val="00190FC9"/>
    <w:rsid w:val="0019289B"/>
    <w:rsid w:val="001929C3"/>
    <w:rsid w:val="001938D6"/>
    <w:rsid w:val="0019464A"/>
    <w:rsid w:val="00194FF5"/>
    <w:rsid w:val="00195A6A"/>
    <w:rsid w:val="00196492"/>
    <w:rsid w:val="001964FE"/>
    <w:rsid w:val="001965DA"/>
    <w:rsid w:val="0019711F"/>
    <w:rsid w:val="001978CE"/>
    <w:rsid w:val="001A21F8"/>
    <w:rsid w:val="001A30B1"/>
    <w:rsid w:val="001A4BE2"/>
    <w:rsid w:val="001A578B"/>
    <w:rsid w:val="001A5BC0"/>
    <w:rsid w:val="001A5D71"/>
    <w:rsid w:val="001A7249"/>
    <w:rsid w:val="001A7EF8"/>
    <w:rsid w:val="001B0111"/>
    <w:rsid w:val="001B2ADE"/>
    <w:rsid w:val="001B3714"/>
    <w:rsid w:val="001B5ED9"/>
    <w:rsid w:val="001B602D"/>
    <w:rsid w:val="001B66AF"/>
    <w:rsid w:val="001B7092"/>
    <w:rsid w:val="001B7F67"/>
    <w:rsid w:val="001C1B86"/>
    <w:rsid w:val="001C261D"/>
    <w:rsid w:val="001C35BC"/>
    <w:rsid w:val="001C5E52"/>
    <w:rsid w:val="001C5FC1"/>
    <w:rsid w:val="001C6713"/>
    <w:rsid w:val="001D65D6"/>
    <w:rsid w:val="001D6B46"/>
    <w:rsid w:val="001D778A"/>
    <w:rsid w:val="001D7D62"/>
    <w:rsid w:val="001D7DF6"/>
    <w:rsid w:val="001E014D"/>
    <w:rsid w:val="001E10DC"/>
    <w:rsid w:val="001E11BE"/>
    <w:rsid w:val="001E2D6D"/>
    <w:rsid w:val="001E3B02"/>
    <w:rsid w:val="001E5391"/>
    <w:rsid w:val="001E5787"/>
    <w:rsid w:val="001E579F"/>
    <w:rsid w:val="001E57BC"/>
    <w:rsid w:val="001E5DE7"/>
    <w:rsid w:val="001E63F3"/>
    <w:rsid w:val="001E68D2"/>
    <w:rsid w:val="001E7C25"/>
    <w:rsid w:val="001F0923"/>
    <w:rsid w:val="001F108B"/>
    <w:rsid w:val="001F1F27"/>
    <w:rsid w:val="001F3079"/>
    <w:rsid w:val="001F75F3"/>
    <w:rsid w:val="00200145"/>
    <w:rsid w:val="002003CA"/>
    <w:rsid w:val="002003F7"/>
    <w:rsid w:val="00200971"/>
    <w:rsid w:val="0020245D"/>
    <w:rsid w:val="00203952"/>
    <w:rsid w:val="00203F23"/>
    <w:rsid w:val="00204413"/>
    <w:rsid w:val="002068E1"/>
    <w:rsid w:val="002077EB"/>
    <w:rsid w:val="00210EE7"/>
    <w:rsid w:val="002111BB"/>
    <w:rsid w:val="00213177"/>
    <w:rsid w:val="002133A4"/>
    <w:rsid w:val="00215191"/>
    <w:rsid w:val="0021595A"/>
    <w:rsid w:val="00216C44"/>
    <w:rsid w:val="00217EBF"/>
    <w:rsid w:val="00220EE3"/>
    <w:rsid w:val="00221C4B"/>
    <w:rsid w:val="002227DF"/>
    <w:rsid w:val="0022342C"/>
    <w:rsid w:val="0022384B"/>
    <w:rsid w:val="00225B50"/>
    <w:rsid w:val="00225D8E"/>
    <w:rsid w:val="00225EA1"/>
    <w:rsid w:val="002264F4"/>
    <w:rsid w:val="00226F98"/>
    <w:rsid w:val="002322A8"/>
    <w:rsid w:val="0023311C"/>
    <w:rsid w:val="00233348"/>
    <w:rsid w:val="00233B85"/>
    <w:rsid w:val="00233BEB"/>
    <w:rsid w:val="00236DF2"/>
    <w:rsid w:val="0024152E"/>
    <w:rsid w:val="00242974"/>
    <w:rsid w:val="0024351D"/>
    <w:rsid w:val="0024406A"/>
    <w:rsid w:val="00244D84"/>
    <w:rsid w:val="00247818"/>
    <w:rsid w:val="00250061"/>
    <w:rsid w:val="00250414"/>
    <w:rsid w:val="00250642"/>
    <w:rsid w:val="00251E4A"/>
    <w:rsid w:val="00251F50"/>
    <w:rsid w:val="00252E91"/>
    <w:rsid w:val="00253E30"/>
    <w:rsid w:val="0025493F"/>
    <w:rsid w:val="00254E5D"/>
    <w:rsid w:val="0025509E"/>
    <w:rsid w:val="00257E4D"/>
    <w:rsid w:val="00262865"/>
    <w:rsid w:val="00263279"/>
    <w:rsid w:val="002643FC"/>
    <w:rsid w:val="00264790"/>
    <w:rsid w:val="00264D62"/>
    <w:rsid w:val="00265275"/>
    <w:rsid w:val="002671DA"/>
    <w:rsid w:val="00267B8E"/>
    <w:rsid w:val="00270055"/>
    <w:rsid w:val="00273717"/>
    <w:rsid w:val="00273BB7"/>
    <w:rsid w:val="00274073"/>
    <w:rsid w:val="0027545F"/>
    <w:rsid w:val="00275A67"/>
    <w:rsid w:val="0027610D"/>
    <w:rsid w:val="00281918"/>
    <w:rsid w:val="00282571"/>
    <w:rsid w:val="00282B79"/>
    <w:rsid w:val="00282C2A"/>
    <w:rsid w:val="00284483"/>
    <w:rsid w:val="00285256"/>
    <w:rsid w:val="002872B5"/>
    <w:rsid w:val="00287AEF"/>
    <w:rsid w:val="00287B08"/>
    <w:rsid w:val="00290B98"/>
    <w:rsid w:val="00290F80"/>
    <w:rsid w:val="00293E79"/>
    <w:rsid w:val="002944D4"/>
    <w:rsid w:val="00295167"/>
    <w:rsid w:val="00296763"/>
    <w:rsid w:val="00296E1C"/>
    <w:rsid w:val="0029737E"/>
    <w:rsid w:val="00297AD0"/>
    <w:rsid w:val="002A0CC8"/>
    <w:rsid w:val="002A3243"/>
    <w:rsid w:val="002A5CDF"/>
    <w:rsid w:val="002A68B3"/>
    <w:rsid w:val="002A6B78"/>
    <w:rsid w:val="002B2055"/>
    <w:rsid w:val="002B2AC5"/>
    <w:rsid w:val="002B2E78"/>
    <w:rsid w:val="002B49DE"/>
    <w:rsid w:val="002B4E4D"/>
    <w:rsid w:val="002B5085"/>
    <w:rsid w:val="002B53D3"/>
    <w:rsid w:val="002B5BDC"/>
    <w:rsid w:val="002B6D15"/>
    <w:rsid w:val="002B7177"/>
    <w:rsid w:val="002C4F5B"/>
    <w:rsid w:val="002C54A1"/>
    <w:rsid w:val="002C59F8"/>
    <w:rsid w:val="002C5DCD"/>
    <w:rsid w:val="002C767A"/>
    <w:rsid w:val="002D03AB"/>
    <w:rsid w:val="002D04E2"/>
    <w:rsid w:val="002D103E"/>
    <w:rsid w:val="002D23E3"/>
    <w:rsid w:val="002D2A4E"/>
    <w:rsid w:val="002D3283"/>
    <w:rsid w:val="002D5294"/>
    <w:rsid w:val="002D56FC"/>
    <w:rsid w:val="002D5DFC"/>
    <w:rsid w:val="002D5E92"/>
    <w:rsid w:val="002D6269"/>
    <w:rsid w:val="002D629A"/>
    <w:rsid w:val="002E0751"/>
    <w:rsid w:val="002E12C3"/>
    <w:rsid w:val="002E13E2"/>
    <w:rsid w:val="002E3493"/>
    <w:rsid w:val="002E35BF"/>
    <w:rsid w:val="002E4810"/>
    <w:rsid w:val="002E5F5C"/>
    <w:rsid w:val="002E6FD5"/>
    <w:rsid w:val="002E7D88"/>
    <w:rsid w:val="002F0434"/>
    <w:rsid w:val="002F1707"/>
    <w:rsid w:val="002F2F33"/>
    <w:rsid w:val="002F3A26"/>
    <w:rsid w:val="002F3C7E"/>
    <w:rsid w:val="002F449C"/>
    <w:rsid w:val="002F4CD2"/>
    <w:rsid w:val="002F4EE9"/>
    <w:rsid w:val="002F6069"/>
    <w:rsid w:val="002F7549"/>
    <w:rsid w:val="002F767C"/>
    <w:rsid w:val="00300EFB"/>
    <w:rsid w:val="00301D49"/>
    <w:rsid w:val="00302114"/>
    <w:rsid w:val="003025C7"/>
    <w:rsid w:val="00302F5C"/>
    <w:rsid w:val="00304080"/>
    <w:rsid w:val="00304F64"/>
    <w:rsid w:val="00310A3B"/>
    <w:rsid w:val="0031124D"/>
    <w:rsid w:val="00312ED1"/>
    <w:rsid w:val="00313554"/>
    <w:rsid w:val="003146FF"/>
    <w:rsid w:val="00317B55"/>
    <w:rsid w:val="003204C0"/>
    <w:rsid w:val="0032155B"/>
    <w:rsid w:val="003239D0"/>
    <w:rsid w:val="00324554"/>
    <w:rsid w:val="00324908"/>
    <w:rsid w:val="0033493D"/>
    <w:rsid w:val="00335AE6"/>
    <w:rsid w:val="00337DE1"/>
    <w:rsid w:val="00340BDB"/>
    <w:rsid w:val="00340E39"/>
    <w:rsid w:val="00341145"/>
    <w:rsid w:val="003412CB"/>
    <w:rsid w:val="003515B9"/>
    <w:rsid w:val="0035214B"/>
    <w:rsid w:val="003527D6"/>
    <w:rsid w:val="00352BEB"/>
    <w:rsid w:val="00353351"/>
    <w:rsid w:val="00353622"/>
    <w:rsid w:val="00356345"/>
    <w:rsid w:val="00357625"/>
    <w:rsid w:val="00357A4B"/>
    <w:rsid w:val="00357CD8"/>
    <w:rsid w:val="0036105C"/>
    <w:rsid w:val="00361ADE"/>
    <w:rsid w:val="00363306"/>
    <w:rsid w:val="003647D0"/>
    <w:rsid w:val="0036495A"/>
    <w:rsid w:val="00366A5F"/>
    <w:rsid w:val="00366C2C"/>
    <w:rsid w:val="00367440"/>
    <w:rsid w:val="00370BE6"/>
    <w:rsid w:val="00371067"/>
    <w:rsid w:val="00371F67"/>
    <w:rsid w:val="00372EDA"/>
    <w:rsid w:val="00374C32"/>
    <w:rsid w:val="00375E39"/>
    <w:rsid w:val="003760ED"/>
    <w:rsid w:val="003775D7"/>
    <w:rsid w:val="00380CBA"/>
    <w:rsid w:val="00381278"/>
    <w:rsid w:val="0038127E"/>
    <w:rsid w:val="00384080"/>
    <w:rsid w:val="003840C0"/>
    <w:rsid w:val="00386C22"/>
    <w:rsid w:val="003876E6"/>
    <w:rsid w:val="00391AFA"/>
    <w:rsid w:val="003937EF"/>
    <w:rsid w:val="003938B0"/>
    <w:rsid w:val="00393E9B"/>
    <w:rsid w:val="00394456"/>
    <w:rsid w:val="00395942"/>
    <w:rsid w:val="00397A97"/>
    <w:rsid w:val="00397DFA"/>
    <w:rsid w:val="003A115C"/>
    <w:rsid w:val="003A25C5"/>
    <w:rsid w:val="003A280D"/>
    <w:rsid w:val="003A3BFC"/>
    <w:rsid w:val="003A4EB7"/>
    <w:rsid w:val="003A5A70"/>
    <w:rsid w:val="003A5F7F"/>
    <w:rsid w:val="003A6230"/>
    <w:rsid w:val="003A6299"/>
    <w:rsid w:val="003B1976"/>
    <w:rsid w:val="003B27BA"/>
    <w:rsid w:val="003B366C"/>
    <w:rsid w:val="003B38C1"/>
    <w:rsid w:val="003B59A9"/>
    <w:rsid w:val="003B6B63"/>
    <w:rsid w:val="003B7C31"/>
    <w:rsid w:val="003C02D4"/>
    <w:rsid w:val="003C1391"/>
    <w:rsid w:val="003C19C1"/>
    <w:rsid w:val="003C37E3"/>
    <w:rsid w:val="003C484A"/>
    <w:rsid w:val="003C4CBD"/>
    <w:rsid w:val="003C546B"/>
    <w:rsid w:val="003C7719"/>
    <w:rsid w:val="003D0427"/>
    <w:rsid w:val="003D08EF"/>
    <w:rsid w:val="003D0FBD"/>
    <w:rsid w:val="003D2A6D"/>
    <w:rsid w:val="003D7AA8"/>
    <w:rsid w:val="003E005B"/>
    <w:rsid w:val="003E04DA"/>
    <w:rsid w:val="003E1249"/>
    <w:rsid w:val="003E1D75"/>
    <w:rsid w:val="003E3544"/>
    <w:rsid w:val="003E35A8"/>
    <w:rsid w:val="003E77CB"/>
    <w:rsid w:val="003F43C9"/>
    <w:rsid w:val="003F47FD"/>
    <w:rsid w:val="003F4B52"/>
    <w:rsid w:val="003F4C60"/>
    <w:rsid w:val="003F639D"/>
    <w:rsid w:val="003F718C"/>
    <w:rsid w:val="003F73BA"/>
    <w:rsid w:val="003F73F0"/>
    <w:rsid w:val="00401423"/>
    <w:rsid w:val="00403056"/>
    <w:rsid w:val="00403105"/>
    <w:rsid w:val="00404F11"/>
    <w:rsid w:val="004052E8"/>
    <w:rsid w:val="00405890"/>
    <w:rsid w:val="00405EF4"/>
    <w:rsid w:val="0041028C"/>
    <w:rsid w:val="00411365"/>
    <w:rsid w:val="0041237F"/>
    <w:rsid w:val="00412B6C"/>
    <w:rsid w:val="0041439E"/>
    <w:rsid w:val="00414613"/>
    <w:rsid w:val="00415B19"/>
    <w:rsid w:val="0041767B"/>
    <w:rsid w:val="00420205"/>
    <w:rsid w:val="004205DD"/>
    <w:rsid w:val="00420F59"/>
    <w:rsid w:val="00421D5F"/>
    <w:rsid w:val="00422831"/>
    <w:rsid w:val="00424197"/>
    <w:rsid w:val="00425F40"/>
    <w:rsid w:val="004265AA"/>
    <w:rsid w:val="00426A8D"/>
    <w:rsid w:val="00427CB7"/>
    <w:rsid w:val="00430861"/>
    <w:rsid w:val="00432D4D"/>
    <w:rsid w:val="00433DCE"/>
    <w:rsid w:val="0043405A"/>
    <w:rsid w:val="004355AA"/>
    <w:rsid w:val="00437B1B"/>
    <w:rsid w:val="004405B8"/>
    <w:rsid w:val="00440C3F"/>
    <w:rsid w:val="004412FE"/>
    <w:rsid w:val="00441339"/>
    <w:rsid w:val="004417A2"/>
    <w:rsid w:val="00442F9D"/>
    <w:rsid w:val="00444EDF"/>
    <w:rsid w:val="004456A4"/>
    <w:rsid w:val="00445A6D"/>
    <w:rsid w:val="00446A6B"/>
    <w:rsid w:val="00450AAD"/>
    <w:rsid w:val="0045189C"/>
    <w:rsid w:val="004534CA"/>
    <w:rsid w:val="004606F7"/>
    <w:rsid w:val="004636B4"/>
    <w:rsid w:val="00464099"/>
    <w:rsid w:val="004641DC"/>
    <w:rsid w:val="00464AC7"/>
    <w:rsid w:val="00464E8D"/>
    <w:rsid w:val="004669A4"/>
    <w:rsid w:val="00466A5B"/>
    <w:rsid w:val="0046799A"/>
    <w:rsid w:val="004723D2"/>
    <w:rsid w:val="0047494B"/>
    <w:rsid w:val="00475A85"/>
    <w:rsid w:val="00476F13"/>
    <w:rsid w:val="00480561"/>
    <w:rsid w:val="004806B3"/>
    <w:rsid w:val="00481E5E"/>
    <w:rsid w:val="004828A9"/>
    <w:rsid w:val="004849DE"/>
    <w:rsid w:val="00484A65"/>
    <w:rsid w:val="00484E4F"/>
    <w:rsid w:val="0048759F"/>
    <w:rsid w:val="004876DF"/>
    <w:rsid w:val="00492341"/>
    <w:rsid w:val="00492DBE"/>
    <w:rsid w:val="00494FE0"/>
    <w:rsid w:val="004962CC"/>
    <w:rsid w:val="00496BD2"/>
    <w:rsid w:val="00497023"/>
    <w:rsid w:val="00497EC1"/>
    <w:rsid w:val="004A0313"/>
    <w:rsid w:val="004A0A89"/>
    <w:rsid w:val="004A0BE6"/>
    <w:rsid w:val="004A2249"/>
    <w:rsid w:val="004A26E0"/>
    <w:rsid w:val="004A2C3C"/>
    <w:rsid w:val="004A4A2C"/>
    <w:rsid w:val="004A5199"/>
    <w:rsid w:val="004A524A"/>
    <w:rsid w:val="004A56D3"/>
    <w:rsid w:val="004A6B0F"/>
    <w:rsid w:val="004B064D"/>
    <w:rsid w:val="004B1124"/>
    <w:rsid w:val="004B1ECE"/>
    <w:rsid w:val="004B27F3"/>
    <w:rsid w:val="004B376A"/>
    <w:rsid w:val="004B38C8"/>
    <w:rsid w:val="004B3C12"/>
    <w:rsid w:val="004B47F6"/>
    <w:rsid w:val="004B5C2E"/>
    <w:rsid w:val="004B6C48"/>
    <w:rsid w:val="004B7CB9"/>
    <w:rsid w:val="004C0974"/>
    <w:rsid w:val="004C10BA"/>
    <w:rsid w:val="004C1122"/>
    <w:rsid w:val="004C13F5"/>
    <w:rsid w:val="004C1B6B"/>
    <w:rsid w:val="004C27EB"/>
    <w:rsid w:val="004C2FC6"/>
    <w:rsid w:val="004C357A"/>
    <w:rsid w:val="004C37D3"/>
    <w:rsid w:val="004C405B"/>
    <w:rsid w:val="004C5B35"/>
    <w:rsid w:val="004C68D1"/>
    <w:rsid w:val="004C6AE7"/>
    <w:rsid w:val="004C72E8"/>
    <w:rsid w:val="004C75DE"/>
    <w:rsid w:val="004D03E3"/>
    <w:rsid w:val="004D04DF"/>
    <w:rsid w:val="004D0C56"/>
    <w:rsid w:val="004D1BF4"/>
    <w:rsid w:val="004D2ECB"/>
    <w:rsid w:val="004D480B"/>
    <w:rsid w:val="004D6074"/>
    <w:rsid w:val="004D7821"/>
    <w:rsid w:val="004D7C80"/>
    <w:rsid w:val="004E0BC2"/>
    <w:rsid w:val="004E10C5"/>
    <w:rsid w:val="004E22A7"/>
    <w:rsid w:val="004E39E6"/>
    <w:rsid w:val="004E4CA2"/>
    <w:rsid w:val="004E4CB3"/>
    <w:rsid w:val="004E5D45"/>
    <w:rsid w:val="004E71DC"/>
    <w:rsid w:val="004E78D4"/>
    <w:rsid w:val="004E7983"/>
    <w:rsid w:val="004E7F40"/>
    <w:rsid w:val="004E7F97"/>
    <w:rsid w:val="004F1563"/>
    <w:rsid w:val="004F20B0"/>
    <w:rsid w:val="004F236D"/>
    <w:rsid w:val="004F60F0"/>
    <w:rsid w:val="004F6135"/>
    <w:rsid w:val="004F72A0"/>
    <w:rsid w:val="004F7682"/>
    <w:rsid w:val="005012BC"/>
    <w:rsid w:val="00501856"/>
    <w:rsid w:val="00502156"/>
    <w:rsid w:val="00502277"/>
    <w:rsid w:val="005042B5"/>
    <w:rsid w:val="0050466D"/>
    <w:rsid w:val="00504933"/>
    <w:rsid w:val="00505C67"/>
    <w:rsid w:val="0050625D"/>
    <w:rsid w:val="00510A4F"/>
    <w:rsid w:val="005119E9"/>
    <w:rsid w:val="005120A7"/>
    <w:rsid w:val="00512A65"/>
    <w:rsid w:val="005130BE"/>
    <w:rsid w:val="00513744"/>
    <w:rsid w:val="005140F2"/>
    <w:rsid w:val="00516787"/>
    <w:rsid w:val="0051709B"/>
    <w:rsid w:val="0052165A"/>
    <w:rsid w:val="00521802"/>
    <w:rsid w:val="00523B99"/>
    <w:rsid w:val="0052403F"/>
    <w:rsid w:val="0052430B"/>
    <w:rsid w:val="00525D51"/>
    <w:rsid w:val="00532CD3"/>
    <w:rsid w:val="005345A9"/>
    <w:rsid w:val="00534D8A"/>
    <w:rsid w:val="00534E57"/>
    <w:rsid w:val="00535742"/>
    <w:rsid w:val="00536AC6"/>
    <w:rsid w:val="00537502"/>
    <w:rsid w:val="0054004F"/>
    <w:rsid w:val="005412BE"/>
    <w:rsid w:val="00542913"/>
    <w:rsid w:val="00542ABE"/>
    <w:rsid w:val="00542EE5"/>
    <w:rsid w:val="005440E4"/>
    <w:rsid w:val="005444FD"/>
    <w:rsid w:val="005452CD"/>
    <w:rsid w:val="00545434"/>
    <w:rsid w:val="00546DB4"/>
    <w:rsid w:val="005474A5"/>
    <w:rsid w:val="00547D82"/>
    <w:rsid w:val="005504B4"/>
    <w:rsid w:val="005506CD"/>
    <w:rsid w:val="00550DAB"/>
    <w:rsid w:val="00552105"/>
    <w:rsid w:val="0055354D"/>
    <w:rsid w:val="005540AC"/>
    <w:rsid w:val="00554543"/>
    <w:rsid w:val="005555B8"/>
    <w:rsid w:val="0056131F"/>
    <w:rsid w:val="005642D9"/>
    <w:rsid w:val="005644E3"/>
    <w:rsid w:val="00564C2B"/>
    <w:rsid w:val="00564C37"/>
    <w:rsid w:val="00564D84"/>
    <w:rsid w:val="00566B65"/>
    <w:rsid w:val="005702E1"/>
    <w:rsid w:val="00570F2B"/>
    <w:rsid w:val="0057258C"/>
    <w:rsid w:val="00573651"/>
    <w:rsid w:val="00573790"/>
    <w:rsid w:val="00573C5B"/>
    <w:rsid w:val="00574E71"/>
    <w:rsid w:val="00575414"/>
    <w:rsid w:val="00576A4C"/>
    <w:rsid w:val="0058095C"/>
    <w:rsid w:val="00580AA6"/>
    <w:rsid w:val="00580AEA"/>
    <w:rsid w:val="005811D8"/>
    <w:rsid w:val="0058134C"/>
    <w:rsid w:val="00581904"/>
    <w:rsid w:val="00582B3F"/>
    <w:rsid w:val="00582D04"/>
    <w:rsid w:val="00583643"/>
    <w:rsid w:val="00585309"/>
    <w:rsid w:val="005857E8"/>
    <w:rsid w:val="005858CB"/>
    <w:rsid w:val="00585B1F"/>
    <w:rsid w:val="0058699E"/>
    <w:rsid w:val="00586CE9"/>
    <w:rsid w:val="00590B04"/>
    <w:rsid w:val="00592F78"/>
    <w:rsid w:val="00594EB6"/>
    <w:rsid w:val="005960D0"/>
    <w:rsid w:val="00597201"/>
    <w:rsid w:val="0059798F"/>
    <w:rsid w:val="00597EC9"/>
    <w:rsid w:val="005A02C8"/>
    <w:rsid w:val="005A0300"/>
    <w:rsid w:val="005A163F"/>
    <w:rsid w:val="005A3D73"/>
    <w:rsid w:val="005A3D8D"/>
    <w:rsid w:val="005A445D"/>
    <w:rsid w:val="005A6F15"/>
    <w:rsid w:val="005B00DC"/>
    <w:rsid w:val="005B0AB3"/>
    <w:rsid w:val="005B0EA3"/>
    <w:rsid w:val="005B1B0A"/>
    <w:rsid w:val="005B238D"/>
    <w:rsid w:val="005B453E"/>
    <w:rsid w:val="005B5062"/>
    <w:rsid w:val="005B5F95"/>
    <w:rsid w:val="005B6234"/>
    <w:rsid w:val="005B7596"/>
    <w:rsid w:val="005C21EA"/>
    <w:rsid w:val="005C2A0E"/>
    <w:rsid w:val="005C3BD2"/>
    <w:rsid w:val="005C4A91"/>
    <w:rsid w:val="005C4E03"/>
    <w:rsid w:val="005C5824"/>
    <w:rsid w:val="005C6118"/>
    <w:rsid w:val="005D0DF1"/>
    <w:rsid w:val="005D3575"/>
    <w:rsid w:val="005D3B77"/>
    <w:rsid w:val="005D3CED"/>
    <w:rsid w:val="005D538F"/>
    <w:rsid w:val="005D63D9"/>
    <w:rsid w:val="005D68D1"/>
    <w:rsid w:val="005E293A"/>
    <w:rsid w:val="005E49E7"/>
    <w:rsid w:val="005E56FE"/>
    <w:rsid w:val="005E62D6"/>
    <w:rsid w:val="005E6A82"/>
    <w:rsid w:val="005E7398"/>
    <w:rsid w:val="005F04DC"/>
    <w:rsid w:val="005F0F6C"/>
    <w:rsid w:val="005F1A7F"/>
    <w:rsid w:val="005F1F44"/>
    <w:rsid w:val="005F39F7"/>
    <w:rsid w:val="005F416C"/>
    <w:rsid w:val="006010E1"/>
    <w:rsid w:val="00601165"/>
    <w:rsid w:val="006022A2"/>
    <w:rsid w:val="00607971"/>
    <w:rsid w:val="00611A4E"/>
    <w:rsid w:val="006122C0"/>
    <w:rsid w:val="0061281D"/>
    <w:rsid w:val="00613C46"/>
    <w:rsid w:val="00613EF5"/>
    <w:rsid w:val="00616889"/>
    <w:rsid w:val="00617F77"/>
    <w:rsid w:val="0062186B"/>
    <w:rsid w:val="00622FC8"/>
    <w:rsid w:val="00623004"/>
    <w:rsid w:val="00626A36"/>
    <w:rsid w:val="00627C91"/>
    <w:rsid w:val="00630769"/>
    <w:rsid w:val="00635031"/>
    <w:rsid w:val="006369D4"/>
    <w:rsid w:val="00636C51"/>
    <w:rsid w:val="00636D74"/>
    <w:rsid w:val="00636DEC"/>
    <w:rsid w:val="006407FA"/>
    <w:rsid w:val="0064164F"/>
    <w:rsid w:val="0064179E"/>
    <w:rsid w:val="00641A46"/>
    <w:rsid w:val="006427B2"/>
    <w:rsid w:val="00642BEB"/>
    <w:rsid w:val="00642D08"/>
    <w:rsid w:val="00647426"/>
    <w:rsid w:val="00647590"/>
    <w:rsid w:val="00650975"/>
    <w:rsid w:val="006526F5"/>
    <w:rsid w:val="00652D1E"/>
    <w:rsid w:val="00653F49"/>
    <w:rsid w:val="006546F7"/>
    <w:rsid w:val="0065701A"/>
    <w:rsid w:val="00657702"/>
    <w:rsid w:val="006619F5"/>
    <w:rsid w:val="00661A76"/>
    <w:rsid w:val="006621B8"/>
    <w:rsid w:val="006629F9"/>
    <w:rsid w:val="006639F0"/>
    <w:rsid w:val="0066562D"/>
    <w:rsid w:val="00667995"/>
    <w:rsid w:val="00670998"/>
    <w:rsid w:val="00672050"/>
    <w:rsid w:val="00673872"/>
    <w:rsid w:val="00674A34"/>
    <w:rsid w:val="00680470"/>
    <w:rsid w:val="0068208A"/>
    <w:rsid w:val="006848BA"/>
    <w:rsid w:val="00684928"/>
    <w:rsid w:val="00685515"/>
    <w:rsid w:val="0068642A"/>
    <w:rsid w:val="00686568"/>
    <w:rsid w:val="006903CD"/>
    <w:rsid w:val="006915AC"/>
    <w:rsid w:val="006943A6"/>
    <w:rsid w:val="00694C76"/>
    <w:rsid w:val="00694F4A"/>
    <w:rsid w:val="00695DBD"/>
    <w:rsid w:val="00695EAD"/>
    <w:rsid w:val="006A029B"/>
    <w:rsid w:val="006A17A1"/>
    <w:rsid w:val="006A403A"/>
    <w:rsid w:val="006A4DB3"/>
    <w:rsid w:val="006A61C5"/>
    <w:rsid w:val="006B0F31"/>
    <w:rsid w:val="006B13BC"/>
    <w:rsid w:val="006B1B74"/>
    <w:rsid w:val="006B1E16"/>
    <w:rsid w:val="006B26FC"/>
    <w:rsid w:val="006B32FE"/>
    <w:rsid w:val="006B3959"/>
    <w:rsid w:val="006B4B58"/>
    <w:rsid w:val="006B5E7C"/>
    <w:rsid w:val="006B6925"/>
    <w:rsid w:val="006C026A"/>
    <w:rsid w:val="006C138D"/>
    <w:rsid w:val="006C3807"/>
    <w:rsid w:val="006C7491"/>
    <w:rsid w:val="006C761B"/>
    <w:rsid w:val="006C76B5"/>
    <w:rsid w:val="006D03ED"/>
    <w:rsid w:val="006D2B37"/>
    <w:rsid w:val="006D3D81"/>
    <w:rsid w:val="006D46A1"/>
    <w:rsid w:val="006D4812"/>
    <w:rsid w:val="006D4AA4"/>
    <w:rsid w:val="006D54FB"/>
    <w:rsid w:val="006D5816"/>
    <w:rsid w:val="006D5AE7"/>
    <w:rsid w:val="006D627E"/>
    <w:rsid w:val="006D62D4"/>
    <w:rsid w:val="006E1A62"/>
    <w:rsid w:val="006E320C"/>
    <w:rsid w:val="006E3D84"/>
    <w:rsid w:val="006E527B"/>
    <w:rsid w:val="006E5C6B"/>
    <w:rsid w:val="006E6377"/>
    <w:rsid w:val="006E6640"/>
    <w:rsid w:val="006E696D"/>
    <w:rsid w:val="006E6BBF"/>
    <w:rsid w:val="006E7529"/>
    <w:rsid w:val="006F2836"/>
    <w:rsid w:val="006F2E4F"/>
    <w:rsid w:val="006F5CDC"/>
    <w:rsid w:val="006F6EC2"/>
    <w:rsid w:val="0070058D"/>
    <w:rsid w:val="00701EC4"/>
    <w:rsid w:val="00702854"/>
    <w:rsid w:val="00704585"/>
    <w:rsid w:val="00704A1A"/>
    <w:rsid w:val="00705833"/>
    <w:rsid w:val="00705924"/>
    <w:rsid w:val="00705C09"/>
    <w:rsid w:val="00705F1C"/>
    <w:rsid w:val="00707B77"/>
    <w:rsid w:val="00707B8E"/>
    <w:rsid w:val="00707CE9"/>
    <w:rsid w:val="00710055"/>
    <w:rsid w:val="007103BC"/>
    <w:rsid w:val="0071184F"/>
    <w:rsid w:val="00712189"/>
    <w:rsid w:val="007134A2"/>
    <w:rsid w:val="00713FB2"/>
    <w:rsid w:val="007172BE"/>
    <w:rsid w:val="00717B45"/>
    <w:rsid w:val="007202C4"/>
    <w:rsid w:val="00720FC6"/>
    <w:rsid w:val="00722047"/>
    <w:rsid w:val="0072331C"/>
    <w:rsid w:val="00725F6C"/>
    <w:rsid w:val="00726CFA"/>
    <w:rsid w:val="0072758A"/>
    <w:rsid w:val="007304D5"/>
    <w:rsid w:val="00730965"/>
    <w:rsid w:val="00731FE9"/>
    <w:rsid w:val="007334EB"/>
    <w:rsid w:val="00733599"/>
    <w:rsid w:val="00734438"/>
    <w:rsid w:val="00735753"/>
    <w:rsid w:val="00735CCC"/>
    <w:rsid w:val="007368DC"/>
    <w:rsid w:val="00736AC9"/>
    <w:rsid w:val="00741948"/>
    <w:rsid w:val="00741A4E"/>
    <w:rsid w:val="00742E97"/>
    <w:rsid w:val="007452E0"/>
    <w:rsid w:val="00745BD4"/>
    <w:rsid w:val="00746970"/>
    <w:rsid w:val="00750378"/>
    <w:rsid w:val="007505FB"/>
    <w:rsid w:val="007524B0"/>
    <w:rsid w:val="0075263D"/>
    <w:rsid w:val="00752997"/>
    <w:rsid w:val="007533EC"/>
    <w:rsid w:val="0075625A"/>
    <w:rsid w:val="00757618"/>
    <w:rsid w:val="00762606"/>
    <w:rsid w:val="00762B45"/>
    <w:rsid w:val="0076544A"/>
    <w:rsid w:val="00767402"/>
    <w:rsid w:val="0077044D"/>
    <w:rsid w:val="0077194F"/>
    <w:rsid w:val="007719E4"/>
    <w:rsid w:val="007730E9"/>
    <w:rsid w:val="00773CFE"/>
    <w:rsid w:val="00774454"/>
    <w:rsid w:val="00774ABF"/>
    <w:rsid w:val="00776E17"/>
    <w:rsid w:val="00780DD4"/>
    <w:rsid w:val="00782D07"/>
    <w:rsid w:val="007848FC"/>
    <w:rsid w:val="007859F8"/>
    <w:rsid w:val="00786842"/>
    <w:rsid w:val="00790EF3"/>
    <w:rsid w:val="00791384"/>
    <w:rsid w:val="0079191B"/>
    <w:rsid w:val="00791C27"/>
    <w:rsid w:val="00792332"/>
    <w:rsid w:val="0079239C"/>
    <w:rsid w:val="0079270E"/>
    <w:rsid w:val="007934F3"/>
    <w:rsid w:val="007936D7"/>
    <w:rsid w:val="00795A80"/>
    <w:rsid w:val="00796464"/>
    <w:rsid w:val="00796F15"/>
    <w:rsid w:val="007A0403"/>
    <w:rsid w:val="007A12F5"/>
    <w:rsid w:val="007A2184"/>
    <w:rsid w:val="007A4089"/>
    <w:rsid w:val="007A4CE4"/>
    <w:rsid w:val="007A5936"/>
    <w:rsid w:val="007A5B55"/>
    <w:rsid w:val="007A5F41"/>
    <w:rsid w:val="007A5FEC"/>
    <w:rsid w:val="007B08D1"/>
    <w:rsid w:val="007B161A"/>
    <w:rsid w:val="007B29C6"/>
    <w:rsid w:val="007B37E0"/>
    <w:rsid w:val="007B4EAA"/>
    <w:rsid w:val="007B790F"/>
    <w:rsid w:val="007C0532"/>
    <w:rsid w:val="007C20FA"/>
    <w:rsid w:val="007C27D3"/>
    <w:rsid w:val="007C2C95"/>
    <w:rsid w:val="007C30F6"/>
    <w:rsid w:val="007C66E1"/>
    <w:rsid w:val="007C767F"/>
    <w:rsid w:val="007C79FB"/>
    <w:rsid w:val="007D0D4B"/>
    <w:rsid w:val="007D21B4"/>
    <w:rsid w:val="007D3891"/>
    <w:rsid w:val="007D4584"/>
    <w:rsid w:val="007D4A14"/>
    <w:rsid w:val="007D5365"/>
    <w:rsid w:val="007E0017"/>
    <w:rsid w:val="007E0D9D"/>
    <w:rsid w:val="007E1F01"/>
    <w:rsid w:val="007E3EAF"/>
    <w:rsid w:val="007E4B14"/>
    <w:rsid w:val="007E4B4C"/>
    <w:rsid w:val="007E7ABF"/>
    <w:rsid w:val="007F0907"/>
    <w:rsid w:val="007F0D24"/>
    <w:rsid w:val="007F10B5"/>
    <w:rsid w:val="007F1C81"/>
    <w:rsid w:val="007F21C2"/>
    <w:rsid w:val="007F5E05"/>
    <w:rsid w:val="007F6ABA"/>
    <w:rsid w:val="0080144C"/>
    <w:rsid w:val="008035EC"/>
    <w:rsid w:val="00804708"/>
    <w:rsid w:val="00804A98"/>
    <w:rsid w:val="00805995"/>
    <w:rsid w:val="00805C3A"/>
    <w:rsid w:val="008061B8"/>
    <w:rsid w:val="008061DB"/>
    <w:rsid w:val="008078CF"/>
    <w:rsid w:val="00810C5E"/>
    <w:rsid w:val="008111FC"/>
    <w:rsid w:val="008129B1"/>
    <w:rsid w:val="00817A12"/>
    <w:rsid w:val="0082200A"/>
    <w:rsid w:val="00822092"/>
    <w:rsid w:val="0082437E"/>
    <w:rsid w:val="008259FD"/>
    <w:rsid w:val="00825B2C"/>
    <w:rsid w:val="00825D67"/>
    <w:rsid w:val="00826C1C"/>
    <w:rsid w:val="00831A63"/>
    <w:rsid w:val="0083200D"/>
    <w:rsid w:val="00832E86"/>
    <w:rsid w:val="00833BAB"/>
    <w:rsid w:val="00833FCC"/>
    <w:rsid w:val="0083562D"/>
    <w:rsid w:val="008356E6"/>
    <w:rsid w:val="008360AA"/>
    <w:rsid w:val="00836856"/>
    <w:rsid w:val="00837412"/>
    <w:rsid w:val="00837C4F"/>
    <w:rsid w:val="00840877"/>
    <w:rsid w:val="0084180A"/>
    <w:rsid w:val="0084197A"/>
    <w:rsid w:val="00841EDA"/>
    <w:rsid w:val="00843425"/>
    <w:rsid w:val="008443D0"/>
    <w:rsid w:val="00845708"/>
    <w:rsid w:val="00846239"/>
    <w:rsid w:val="00846484"/>
    <w:rsid w:val="008470DE"/>
    <w:rsid w:val="00847459"/>
    <w:rsid w:val="008478EE"/>
    <w:rsid w:val="00851580"/>
    <w:rsid w:val="00852FB1"/>
    <w:rsid w:val="00853B60"/>
    <w:rsid w:val="008544F9"/>
    <w:rsid w:val="0085475F"/>
    <w:rsid w:val="00855470"/>
    <w:rsid w:val="00855C39"/>
    <w:rsid w:val="00856225"/>
    <w:rsid w:val="0085681C"/>
    <w:rsid w:val="00860010"/>
    <w:rsid w:val="008604B1"/>
    <w:rsid w:val="008609B1"/>
    <w:rsid w:val="008609E6"/>
    <w:rsid w:val="00863F8F"/>
    <w:rsid w:val="008645C4"/>
    <w:rsid w:val="008645F8"/>
    <w:rsid w:val="00866EA6"/>
    <w:rsid w:val="00867884"/>
    <w:rsid w:val="00867AC8"/>
    <w:rsid w:val="00867F0B"/>
    <w:rsid w:val="008708EB"/>
    <w:rsid w:val="00872AD7"/>
    <w:rsid w:val="008734F5"/>
    <w:rsid w:val="00875104"/>
    <w:rsid w:val="008751CD"/>
    <w:rsid w:val="008774D2"/>
    <w:rsid w:val="00880497"/>
    <w:rsid w:val="00880E40"/>
    <w:rsid w:val="00880F49"/>
    <w:rsid w:val="00880FEB"/>
    <w:rsid w:val="00881981"/>
    <w:rsid w:val="00881CBA"/>
    <w:rsid w:val="0088225D"/>
    <w:rsid w:val="0088313C"/>
    <w:rsid w:val="00883771"/>
    <w:rsid w:val="00883C9D"/>
    <w:rsid w:val="00883EFE"/>
    <w:rsid w:val="00886660"/>
    <w:rsid w:val="008869CA"/>
    <w:rsid w:val="00887E65"/>
    <w:rsid w:val="00887E8F"/>
    <w:rsid w:val="008905BA"/>
    <w:rsid w:val="008911FA"/>
    <w:rsid w:val="0089513F"/>
    <w:rsid w:val="00895699"/>
    <w:rsid w:val="008969C1"/>
    <w:rsid w:val="008977A0"/>
    <w:rsid w:val="00897AD8"/>
    <w:rsid w:val="008A153F"/>
    <w:rsid w:val="008A25F3"/>
    <w:rsid w:val="008A29CB"/>
    <w:rsid w:val="008A2B90"/>
    <w:rsid w:val="008A54A9"/>
    <w:rsid w:val="008A5912"/>
    <w:rsid w:val="008A6188"/>
    <w:rsid w:val="008A7735"/>
    <w:rsid w:val="008A79C6"/>
    <w:rsid w:val="008B11D4"/>
    <w:rsid w:val="008B28F2"/>
    <w:rsid w:val="008B3A89"/>
    <w:rsid w:val="008B444F"/>
    <w:rsid w:val="008B4FFF"/>
    <w:rsid w:val="008B683E"/>
    <w:rsid w:val="008C0EF7"/>
    <w:rsid w:val="008C11A2"/>
    <w:rsid w:val="008C20F7"/>
    <w:rsid w:val="008C5F1C"/>
    <w:rsid w:val="008C7D12"/>
    <w:rsid w:val="008D06D8"/>
    <w:rsid w:val="008D0984"/>
    <w:rsid w:val="008D1B01"/>
    <w:rsid w:val="008D25D7"/>
    <w:rsid w:val="008D2A83"/>
    <w:rsid w:val="008D2D7B"/>
    <w:rsid w:val="008D2D98"/>
    <w:rsid w:val="008D44EB"/>
    <w:rsid w:val="008D67AF"/>
    <w:rsid w:val="008D6D0E"/>
    <w:rsid w:val="008D6F0F"/>
    <w:rsid w:val="008E1E03"/>
    <w:rsid w:val="008E1E45"/>
    <w:rsid w:val="008E3E1A"/>
    <w:rsid w:val="008E4039"/>
    <w:rsid w:val="008E7151"/>
    <w:rsid w:val="008F120B"/>
    <w:rsid w:val="008F1AA9"/>
    <w:rsid w:val="008F2D0F"/>
    <w:rsid w:val="008F3ED5"/>
    <w:rsid w:val="008F7C5B"/>
    <w:rsid w:val="00901B83"/>
    <w:rsid w:val="009049C0"/>
    <w:rsid w:val="00906257"/>
    <w:rsid w:val="009069D6"/>
    <w:rsid w:val="00910C0B"/>
    <w:rsid w:val="00910EF6"/>
    <w:rsid w:val="00911001"/>
    <w:rsid w:val="00911731"/>
    <w:rsid w:val="00912380"/>
    <w:rsid w:val="009124F6"/>
    <w:rsid w:val="00912BC1"/>
    <w:rsid w:val="00913B67"/>
    <w:rsid w:val="00915B08"/>
    <w:rsid w:val="00916953"/>
    <w:rsid w:val="00916EEC"/>
    <w:rsid w:val="0092164E"/>
    <w:rsid w:val="00921856"/>
    <w:rsid w:val="00921DD1"/>
    <w:rsid w:val="009225FE"/>
    <w:rsid w:val="00922764"/>
    <w:rsid w:val="00923D31"/>
    <w:rsid w:val="00923F94"/>
    <w:rsid w:val="00924BDB"/>
    <w:rsid w:val="00926DD3"/>
    <w:rsid w:val="0092705D"/>
    <w:rsid w:val="00931ADA"/>
    <w:rsid w:val="00932C51"/>
    <w:rsid w:val="00932E56"/>
    <w:rsid w:val="009346CD"/>
    <w:rsid w:val="00935308"/>
    <w:rsid w:val="0093549D"/>
    <w:rsid w:val="009361FD"/>
    <w:rsid w:val="009372FA"/>
    <w:rsid w:val="009406D2"/>
    <w:rsid w:val="00940F17"/>
    <w:rsid w:val="009414C5"/>
    <w:rsid w:val="00942689"/>
    <w:rsid w:val="009427F2"/>
    <w:rsid w:val="00944F64"/>
    <w:rsid w:val="00945CE1"/>
    <w:rsid w:val="009462C7"/>
    <w:rsid w:val="009467A8"/>
    <w:rsid w:val="00951A0B"/>
    <w:rsid w:val="00953383"/>
    <w:rsid w:val="0095350A"/>
    <w:rsid w:val="00955683"/>
    <w:rsid w:val="009574A8"/>
    <w:rsid w:val="00963F5F"/>
    <w:rsid w:val="009648F3"/>
    <w:rsid w:val="00964D68"/>
    <w:rsid w:val="00965025"/>
    <w:rsid w:val="009654C8"/>
    <w:rsid w:val="00967E51"/>
    <w:rsid w:val="00971039"/>
    <w:rsid w:val="00971394"/>
    <w:rsid w:val="00971B7B"/>
    <w:rsid w:val="00971D3B"/>
    <w:rsid w:val="009722EF"/>
    <w:rsid w:val="00972D48"/>
    <w:rsid w:val="0097515C"/>
    <w:rsid w:val="00975E68"/>
    <w:rsid w:val="00976ABA"/>
    <w:rsid w:val="00977A95"/>
    <w:rsid w:val="009812FA"/>
    <w:rsid w:val="00982385"/>
    <w:rsid w:val="00982585"/>
    <w:rsid w:val="009845D5"/>
    <w:rsid w:val="009857AA"/>
    <w:rsid w:val="00985DC9"/>
    <w:rsid w:val="00985FA9"/>
    <w:rsid w:val="00987A99"/>
    <w:rsid w:val="009902F7"/>
    <w:rsid w:val="00990BCF"/>
    <w:rsid w:val="0099448D"/>
    <w:rsid w:val="00994ECD"/>
    <w:rsid w:val="00995A06"/>
    <w:rsid w:val="00995C33"/>
    <w:rsid w:val="009A222A"/>
    <w:rsid w:val="009A26CA"/>
    <w:rsid w:val="009A2DDB"/>
    <w:rsid w:val="009A6FE7"/>
    <w:rsid w:val="009B0285"/>
    <w:rsid w:val="009B1FD2"/>
    <w:rsid w:val="009B3AEB"/>
    <w:rsid w:val="009B44A9"/>
    <w:rsid w:val="009B52E6"/>
    <w:rsid w:val="009B7AE2"/>
    <w:rsid w:val="009C0610"/>
    <w:rsid w:val="009C20ED"/>
    <w:rsid w:val="009C210D"/>
    <w:rsid w:val="009C2D83"/>
    <w:rsid w:val="009C3EB5"/>
    <w:rsid w:val="009C42BD"/>
    <w:rsid w:val="009C444B"/>
    <w:rsid w:val="009C5688"/>
    <w:rsid w:val="009D299D"/>
    <w:rsid w:val="009D33F9"/>
    <w:rsid w:val="009D3773"/>
    <w:rsid w:val="009D4931"/>
    <w:rsid w:val="009D499D"/>
    <w:rsid w:val="009D5C03"/>
    <w:rsid w:val="009D61B3"/>
    <w:rsid w:val="009D6652"/>
    <w:rsid w:val="009D6EF4"/>
    <w:rsid w:val="009D6F9C"/>
    <w:rsid w:val="009D72AA"/>
    <w:rsid w:val="009D7484"/>
    <w:rsid w:val="009E2AEA"/>
    <w:rsid w:val="009E3183"/>
    <w:rsid w:val="009E36E1"/>
    <w:rsid w:val="009E3783"/>
    <w:rsid w:val="009E3A89"/>
    <w:rsid w:val="009E3EA3"/>
    <w:rsid w:val="009E3ED4"/>
    <w:rsid w:val="009E658C"/>
    <w:rsid w:val="009F0715"/>
    <w:rsid w:val="009F1615"/>
    <w:rsid w:val="009F45FE"/>
    <w:rsid w:val="009F5B74"/>
    <w:rsid w:val="009F6717"/>
    <w:rsid w:val="009F7900"/>
    <w:rsid w:val="00A011A1"/>
    <w:rsid w:val="00A01F6A"/>
    <w:rsid w:val="00A0321B"/>
    <w:rsid w:val="00A045CA"/>
    <w:rsid w:val="00A04DC3"/>
    <w:rsid w:val="00A0597B"/>
    <w:rsid w:val="00A05DAD"/>
    <w:rsid w:val="00A06FB4"/>
    <w:rsid w:val="00A0745A"/>
    <w:rsid w:val="00A101EB"/>
    <w:rsid w:val="00A14878"/>
    <w:rsid w:val="00A166DD"/>
    <w:rsid w:val="00A167FE"/>
    <w:rsid w:val="00A16C1B"/>
    <w:rsid w:val="00A1707B"/>
    <w:rsid w:val="00A1739A"/>
    <w:rsid w:val="00A17694"/>
    <w:rsid w:val="00A17F2C"/>
    <w:rsid w:val="00A20EA4"/>
    <w:rsid w:val="00A21597"/>
    <w:rsid w:val="00A22372"/>
    <w:rsid w:val="00A232B9"/>
    <w:rsid w:val="00A238DE"/>
    <w:rsid w:val="00A23F0A"/>
    <w:rsid w:val="00A32038"/>
    <w:rsid w:val="00A33893"/>
    <w:rsid w:val="00A344C3"/>
    <w:rsid w:val="00A34C9A"/>
    <w:rsid w:val="00A34D89"/>
    <w:rsid w:val="00A34EB0"/>
    <w:rsid w:val="00A41364"/>
    <w:rsid w:val="00A41F72"/>
    <w:rsid w:val="00A42C74"/>
    <w:rsid w:val="00A44708"/>
    <w:rsid w:val="00A449CC"/>
    <w:rsid w:val="00A44A25"/>
    <w:rsid w:val="00A50D6B"/>
    <w:rsid w:val="00A54891"/>
    <w:rsid w:val="00A54CA1"/>
    <w:rsid w:val="00A5586E"/>
    <w:rsid w:val="00A56516"/>
    <w:rsid w:val="00A61A1F"/>
    <w:rsid w:val="00A62031"/>
    <w:rsid w:val="00A65D80"/>
    <w:rsid w:val="00A672A7"/>
    <w:rsid w:val="00A712BB"/>
    <w:rsid w:val="00A714DD"/>
    <w:rsid w:val="00A73044"/>
    <w:rsid w:val="00A7379C"/>
    <w:rsid w:val="00A73A13"/>
    <w:rsid w:val="00A73CF1"/>
    <w:rsid w:val="00A75C9A"/>
    <w:rsid w:val="00A76AC8"/>
    <w:rsid w:val="00A81320"/>
    <w:rsid w:val="00A835D4"/>
    <w:rsid w:val="00A853D1"/>
    <w:rsid w:val="00A8550A"/>
    <w:rsid w:val="00A85AA3"/>
    <w:rsid w:val="00A85C37"/>
    <w:rsid w:val="00A86302"/>
    <w:rsid w:val="00A86C58"/>
    <w:rsid w:val="00A90EE0"/>
    <w:rsid w:val="00A9123D"/>
    <w:rsid w:val="00A918D2"/>
    <w:rsid w:val="00A91DC0"/>
    <w:rsid w:val="00A91EEC"/>
    <w:rsid w:val="00A92534"/>
    <w:rsid w:val="00A927C4"/>
    <w:rsid w:val="00A92BCA"/>
    <w:rsid w:val="00A930C2"/>
    <w:rsid w:val="00A93B9E"/>
    <w:rsid w:val="00AA0254"/>
    <w:rsid w:val="00AA0F9E"/>
    <w:rsid w:val="00AA2734"/>
    <w:rsid w:val="00AA274F"/>
    <w:rsid w:val="00AA3015"/>
    <w:rsid w:val="00AA3E46"/>
    <w:rsid w:val="00AA401A"/>
    <w:rsid w:val="00AA4399"/>
    <w:rsid w:val="00AA4D97"/>
    <w:rsid w:val="00AA4D9E"/>
    <w:rsid w:val="00AA59AF"/>
    <w:rsid w:val="00AB04F6"/>
    <w:rsid w:val="00AB05D5"/>
    <w:rsid w:val="00AB0E8F"/>
    <w:rsid w:val="00AB2611"/>
    <w:rsid w:val="00AB285C"/>
    <w:rsid w:val="00AB35DC"/>
    <w:rsid w:val="00AB419D"/>
    <w:rsid w:val="00AB52D0"/>
    <w:rsid w:val="00AC046B"/>
    <w:rsid w:val="00AC04EB"/>
    <w:rsid w:val="00AC1707"/>
    <w:rsid w:val="00AC1A5D"/>
    <w:rsid w:val="00AC1E16"/>
    <w:rsid w:val="00AC1EDB"/>
    <w:rsid w:val="00AC2CBD"/>
    <w:rsid w:val="00AC3A0C"/>
    <w:rsid w:val="00AC3EEC"/>
    <w:rsid w:val="00AC50EE"/>
    <w:rsid w:val="00AC54F8"/>
    <w:rsid w:val="00AC57A5"/>
    <w:rsid w:val="00AC5D4C"/>
    <w:rsid w:val="00AC681D"/>
    <w:rsid w:val="00AC6FF1"/>
    <w:rsid w:val="00AC715F"/>
    <w:rsid w:val="00AC7EC6"/>
    <w:rsid w:val="00AD0F67"/>
    <w:rsid w:val="00AD1A30"/>
    <w:rsid w:val="00AD3544"/>
    <w:rsid w:val="00AD3565"/>
    <w:rsid w:val="00AD700A"/>
    <w:rsid w:val="00AD7E8E"/>
    <w:rsid w:val="00AE0F81"/>
    <w:rsid w:val="00AE136A"/>
    <w:rsid w:val="00AE330D"/>
    <w:rsid w:val="00AE5858"/>
    <w:rsid w:val="00AE7239"/>
    <w:rsid w:val="00AF134A"/>
    <w:rsid w:val="00AF166B"/>
    <w:rsid w:val="00AF200B"/>
    <w:rsid w:val="00AF3563"/>
    <w:rsid w:val="00AF366A"/>
    <w:rsid w:val="00AF3BCE"/>
    <w:rsid w:val="00AF421C"/>
    <w:rsid w:val="00AF5C05"/>
    <w:rsid w:val="00AF7622"/>
    <w:rsid w:val="00B00238"/>
    <w:rsid w:val="00B019A9"/>
    <w:rsid w:val="00B03218"/>
    <w:rsid w:val="00B03273"/>
    <w:rsid w:val="00B039EC"/>
    <w:rsid w:val="00B07ADB"/>
    <w:rsid w:val="00B07EFF"/>
    <w:rsid w:val="00B10984"/>
    <w:rsid w:val="00B110B5"/>
    <w:rsid w:val="00B11FF9"/>
    <w:rsid w:val="00B14C3A"/>
    <w:rsid w:val="00B14ED3"/>
    <w:rsid w:val="00B154D3"/>
    <w:rsid w:val="00B1552B"/>
    <w:rsid w:val="00B15662"/>
    <w:rsid w:val="00B167A2"/>
    <w:rsid w:val="00B174E3"/>
    <w:rsid w:val="00B230A1"/>
    <w:rsid w:val="00B275C4"/>
    <w:rsid w:val="00B2772E"/>
    <w:rsid w:val="00B27A5B"/>
    <w:rsid w:val="00B316E7"/>
    <w:rsid w:val="00B32A4E"/>
    <w:rsid w:val="00B3375C"/>
    <w:rsid w:val="00B3398C"/>
    <w:rsid w:val="00B3435C"/>
    <w:rsid w:val="00B34BDE"/>
    <w:rsid w:val="00B34EF9"/>
    <w:rsid w:val="00B3578F"/>
    <w:rsid w:val="00B35DAD"/>
    <w:rsid w:val="00B36D34"/>
    <w:rsid w:val="00B36EB3"/>
    <w:rsid w:val="00B41AE8"/>
    <w:rsid w:val="00B42D98"/>
    <w:rsid w:val="00B43F8C"/>
    <w:rsid w:val="00B445D0"/>
    <w:rsid w:val="00B45C4D"/>
    <w:rsid w:val="00B4659D"/>
    <w:rsid w:val="00B53FF2"/>
    <w:rsid w:val="00B54620"/>
    <w:rsid w:val="00B5466C"/>
    <w:rsid w:val="00B5511A"/>
    <w:rsid w:val="00B55CDD"/>
    <w:rsid w:val="00B56E4F"/>
    <w:rsid w:val="00B63345"/>
    <w:rsid w:val="00B63A7A"/>
    <w:rsid w:val="00B64984"/>
    <w:rsid w:val="00B652B0"/>
    <w:rsid w:val="00B70AC3"/>
    <w:rsid w:val="00B70B26"/>
    <w:rsid w:val="00B70D13"/>
    <w:rsid w:val="00B7119B"/>
    <w:rsid w:val="00B71CF1"/>
    <w:rsid w:val="00B72847"/>
    <w:rsid w:val="00B73A3D"/>
    <w:rsid w:val="00B74168"/>
    <w:rsid w:val="00B746F1"/>
    <w:rsid w:val="00B748AE"/>
    <w:rsid w:val="00B75653"/>
    <w:rsid w:val="00B75D53"/>
    <w:rsid w:val="00B75DB2"/>
    <w:rsid w:val="00B7681E"/>
    <w:rsid w:val="00B77955"/>
    <w:rsid w:val="00B81EB1"/>
    <w:rsid w:val="00B832A3"/>
    <w:rsid w:val="00B83AFF"/>
    <w:rsid w:val="00B84886"/>
    <w:rsid w:val="00B84958"/>
    <w:rsid w:val="00B85F0D"/>
    <w:rsid w:val="00B86A9F"/>
    <w:rsid w:val="00B910E8"/>
    <w:rsid w:val="00B92839"/>
    <w:rsid w:val="00B93137"/>
    <w:rsid w:val="00B9328C"/>
    <w:rsid w:val="00B94CD8"/>
    <w:rsid w:val="00B9595D"/>
    <w:rsid w:val="00B95D58"/>
    <w:rsid w:val="00B96449"/>
    <w:rsid w:val="00B96F16"/>
    <w:rsid w:val="00B97A54"/>
    <w:rsid w:val="00BA0974"/>
    <w:rsid w:val="00BA3CCD"/>
    <w:rsid w:val="00BA3D73"/>
    <w:rsid w:val="00BA58AC"/>
    <w:rsid w:val="00BA5D5A"/>
    <w:rsid w:val="00BA654D"/>
    <w:rsid w:val="00BA67DC"/>
    <w:rsid w:val="00BA69CB"/>
    <w:rsid w:val="00BA7C49"/>
    <w:rsid w:val="00BB00BA"/>
    <w:rsid w:val="00BB112B"/>
    <w:rsid w:val="00BB14DD"/>
    <w:rsid w:val="00BB1529"/>
    <w:rsid w:val="00BB1B81"/>
    <w:rsid w:val="00BB1CDA"/>
    <w:rsid w:val="00BB25B1"/>
    <w:rsid w:val="00BB2CD8"/>
    <w:rsid w:val="00BB4114"/>
    <w:rsid w:val="00BB49CB"/>
    <w:rsid w:val="00BB5D4D"/>
    <w:rsid w:val="00BB6375"/>
    <w:rsid w:val="00BC459E"/>
    <w:rsid w:val="00BC4AAE"/>
    <w:rsid w:val="00BC5DCD"/>
    <w:rsid w:val="00BC626B"/>
    <w:rsid w:val="00BC7397"/>
    <w:rsid w:val="00BD0628"/>
    <w:rsid w:val="00BD304A"/>
    <w:rsid w:val="00BD6A6D"/>
    <w:rsid w:val="00BD6D9C"/>
    <w:rsid w:val="00BD7FD9"/>
    <w:rsid w:val="00BE1022"/>
    <w:rsid w:val="00BE1BE6"/>
    <w:rsid w:val="00BE283F"/>
    <w:rsid w:val="00BE2ECA"/>
    <w:rsid w:val="00BE2EFA"/>
    <w:rsid w:val="00BE3768"/>
    <w:rsid w:val="00BE4074"/>
    <w:rsid w:val="00BE5947"/>
    <w:rsid w:val="00BE597C"/>
    <w:rsid w:val="00BE6870"/>
    <w:rsid w:val="00BE71FD"/>
    <w:rsid w:val="00BE7B19"/>
    <w:rsid w:val="00BF23A6"/>
    <w:rsid w:val="00BF3B3D"/>
    <w:rsid w:val="00BF564D"/>
    <w:rsid w:val="00BF591D"/>
    <w:rsid w:val="00BF5A87"/>
    <w:rsid w:val="00BF6341"/>
    <w:rsid w:val="00BF65F3"/>
    <w:rsid w:val="00BF7DC0"/>
    <w:rsid w:val="00C0045E"/>
    <w:rsid w:val="00C00FC7"/>
    <w:rsid w:val="00C00FD8"/>
    <w:rsid w:val="00C05E84"/>
    <w:rsid w:val="00C05EBC"/>
    <w:rsid w:val="00C073E4"/>
    <w:rsid w:val="00C07C34"/>
    <w:rsid w:val="00C1375A"/>
    <w:rsid w:val="00C13962"/>
    <w:rsid w:val="00C145C2"/>
    <w:rsid w:val="00C154E6"/>
    <w:rsid w:val="00C158B5"/>
    <w:rsid w:val="00C16A92"/>
    <w:rsid w:val="00C16E23"/>
    <w:rsid w:val="00C2082B"/>
    <w:rsid w:val="00C20DBA"/>
    <w:rsid w:val="00C21605"/>
    <w:rsid w:val="00C227DF"/>
    <w:rsid w:val="00C22C20"/>
    <w:rsid w:val="00C26622"/>
    <w:rsid w:val="00C27213"/>
    <w:rsid w:val="00C32EFA"/>
    <w:rsid w:val="00C33771"/>
    <w:rsid w:val="00C3394C"/>
    <w:rsid w:val="00C3411B"/>
    <w:rsid w:val="00C34230"/>
    <w:rsid w:val="00C3661B"/>
    <w:rsid w:val="00C41202"/>
    <w:rsid w:val="00C42112"/>
    <w:rsid w:val="00C435EB"/>
    <w:rsid w:val="00C44B76"/>
    <w:rsid w:val="00C44D13"/>
    <w:rsid w:val="00C45768"/>
    <w:rsid w:val="00C45E5D"/>
    <w:rsid w:val="00C4692B"/>
    <w:rsid w:val="00C46A0C"/>
    <w:rsid w:val="00C473F7"/>
    <w:rsid w:val="00C501E5"/>
    <w:rsid w:val="00C504A7"/>
    <w:rsid w:val="00C5100A"/>
    <w:rsid w:val="00C51884"/>
    <w:rsid w:val="00C549BC"/>
    <w:rsid w:val="00C56251"/>
    <w:rsid w:val="00C5667B"/>
    <w:rsid w:val="00C56A65"/>
    <w:rsid w:val="00C56FE0"/>
    <w:rsid w:val="00C6072B"/>
    <w:rsid w:val="00C6094D"/>
    <w:rsid w:val="00C61B33"/>
    <w:rsid w:val="00C62733"/>
    <w:rsid w:val="00C62FDC"/>
    <w:rsid w:val="00C67460"/>
    <w:rsid w:val="00C679DA"/>
    <w:rsid w:val="00C709A0"/>
    <w:rsid w:val="00C71019"/>
    <w:rsid w:val="00C724F5"/>
    <w:rsid w:val="00C73066"/>
    <w:rsid w:val="00C73399"/>
    <w:rsid w:val="00C737AB"/>
    <w:rsid w:val="00C7417F"/>
    <w:rsid w:val="00C743D2"/>
    <w:rsid w:val="00C75722"/>
    <w:rsid w:val="00C75A94"/>
    <w:rsid w:val="00C77A1F"/>
    <w:rsid w:val="00C77C0D"/>
    <w:rsid w:val="00C80647"/>
    <w:rsid w:val="00C80836"/>
    <w:rsid w:val="00C820EB"/>
    <w:rsid w:val="00C8277B"/>
    <w:rsid w:val="00C83772"/>
    <w:rsid w:val="00C84DDE"/>
    <w:rsid w:val="00C85162"/>
    <w:rsid w:val="00C874E5"/>
    <w:rsid w:val="00C87864"/>
    <w:rsid w:val="00C90EAC"/>
    <w:rsid w:val="00C917FD"/>
    <w:rsid w:val="00C93988"/>
    <w:rsid w:val="00C93D01"/>
    <w:rsid w:val="00C9453E"/>
    <w:rsid w:val="00C958FA"/>
    <w:rsid w:val="00C96958"/>
    <w:rsid w:val="00C96A6B"/>
    <w:rsid w:val="00CA1F34"/>
    <w:rsid w:val="00CA29DC"/>
    <w:rsid w:val="00CA2AFF"/>
    <w:rsid w:val="00CA62C0"/>
    <w:rsid w:val="00CA73CB"/>
    <w:rsid w:val="00CA7980"/>
    <w:rsid w:val="00CA79BB"/>
    <w:rsid w:val="00CB2C02"/>
    <w:rsid w:val="00CB4161"/>
    <w:rsid w:val="00CB43A2"/>
    <w:rsid w:val="00CB6CBA"/>
    <w:rsid w:val="00CB6DE1"/>
    <w:rsid w:val="00CB759F"/>
    <w:rsid w:val="00CB7730"/>
    <w:rsid w:val="00CC12A0"/>
    <w:rsid w:val="00CC1FE1"/>
    <w:rsid w:val="00CC26A8"/>
    <w:rsid w:val="00CC2D16"/>
    <w:rsid w:val="00CC3C4C"/>
    <w:rsid w:val="00CC3E30"/>
    <w:rsid w:val="00CC4CED"/>
    <w:rsid w:val="00CC630B"/>
    <w:rsid w:val="00CC6EBB"/>
    <w:rsid w:val="00CD4480"/>
    <w:rsid w:val="00CD4A21"/>
    <w:rsid w:val="00CD6C40"/>
    <w:rsid w:val="00CE1A40"/>
    <w:rsid w:val="00CE1D6D"/>
    <w:rsid w:val="00CE3A6F"/>
    <w:rsid w:val="00CE63F9"/>
    <w:rsid w:val="00CF0A31"/>
    <w:rsid w:val="00CF1E87"/>
    <w:rsid w:val="00CF240F"/>
    <w:rsid w:val="00CF34FA"/>
    <w:rsid w:val="00CF4A86"/>
    <w:rsid w:val="00CF4B5F"/>
    <w:rsid w:val="00CF4FAD"/>
    <w:rsid w:val="00CF5830"/>
    <w:rsid w:val="00CF5C15"/>
    <w:rsid w:val="00CF6201"/>
    <w:rsid w:val="00CF6B2F"/>
    <w:rsid w:val="00D05CAA"/>
    <w:rsid w:val="00D06129"/>
    <w:rsid w:val="00D063F4"/>
    <w:rsid w:val="00D114E6"/>
    <w:rsid w:val="00D1198D"/>
    <w:rsid w:val="00D14302"/>
    <w:rsid w:val="00D15F17"/>
    <w:rsid w:val="00D161BE"/>
    <w:rsid w:val="00D162D9"/>
    <w:rsid w:val="00D259FD"/>
    <w:rsid w:val="00D26692"/>
    <w:rsid w:val="00D30230"/>
    <w:rsid w:val="00D304AF"/>
    <w:rsid w:val="00D30F03"/>
    <w:rsid w:val="00D33180"/>
    <w:rsid w:val="00D34E5E"/>
    <w:rsid w:val="00D35495"/>
    <w:rsid w:val="00D37966"/>
    <w:rsid w:val="00D4044B"/>
    <w:rsid w:val="00D4046C"/>
    <w:rsid w:val="00D41D2D"/>
    <w:rsid w:val="00D42638"/>
    <w:rsid w:val="00D44316"/>
    <w:rsid w:val="00D448E6"/>
    <w:rsid w:val="00D4494A"/>
    <w:rsid w:val="00D44D3B"/>
    <w:rsid w:val="00D44EB2"/>
    <w:rsid w:val="00D4743F"/>
    <w:rsid w:val="00D5065B"/>
    <w:rsid w:val="00D5088D"/>
    <w:rsid w:val="00D50BE3"/>
    <w:rsid w:val="00D51CBC"/>
    <w:rsid w:val="00D5274F"/>
    <w:rsid w:val="00D53F77"/>
    <w:rsid w:val="00D548E4"/>
    <w:rsid w:val="00D56338"/>
    <w:rsid w:val="00D565F8"/>
    <w:rsid w:val="00D56ABB"/>
    <w:rsid w:val="00D571B1"/>
    <w:rsid w:val="00D577CA"/>
    <w:rsid w:val="00D57944"/>
    <w:rsid w:val="00D57EFC"/>
    <w:rsid w:val="00D602E0"/>
    <w:rsid w:val="00D63EFF"/>
    <w:rsid w:val="00D64096"/>
    <w:rsid w:val="00D644BD"/>
    <w:rsid w:val="00D65500"/>
    <w:rsid w:val="00D65F8F"/>
    <w:rsid w:val="00D664A9"/>
    <w:rsid w:val="00D66520"/>
    <w:rsid w:val="00D67085"/>
    <w:rsid w:val="00D671E2"/>
    <w:rsid w:val="00D67E0A"/>
    <w:rsid w:val="00D70862"/>
    <w:rsid w:val="00D738DF"/>
    <w:rsid w:val="00D7566A"/>
    <w:rsid w:val="00D7576D"/>
    <w:rsid w:val="00D77C2B"/>
    <w:rsid w:val="00D80B26"/>
    <w:rsid w:val="00D81F44"/>
    <w:rsid w:val="00D8407D"/>
    <w:rsid w:val="00D85008"/>
    <w:rsid w:val="00D85968"/>
    <w:rsid w:val="00D869A8"/>
    <w:rsid w:val="00D86DAD"/>
    <w:rsid w:val="00D87426"/>
    <w:rsid w:val="00D8754D"/>
    <w:rsid w:val="00D87CA7"/>
    <w:rsid w:val="00D909CB"/>
    <w:rsid w:val="00D913FE"/>
    <w:rsid w:val="00D9172B"/>
    <w:rsid w:val="00D919A7"/>
    <w:rsid w:val="00D92412"/>
    <w:rsid w:val="00D92717"/>
    <w:rsid w:val="00D93E05"/>
    <w:rsid w:val="00D9515D"/>
    <w:rsid w:val="00DA1252"/>
    <w:rsid w:val="00DA27D5"/>
    <w:rsid w:val="00DA3A08"/>
    <w:rsid w:val="00DA4715"/>
    <w:rsid w:val="00DA50AC"/>
    <w:rsid w:val="00DA5FA9"/>
    <w:rsid w:val="00DA62DF"/>
    <w:rsid w:val="00DA7439"/>
    <w:rsid w:val="00DA7F6C"/>
    <w:rsid w:val="00DB0DA9"/>
    <w:rsid w:val="00DB108A"/>
    <w:rsid w:val="00DC1776"/>
    <w:rsid w:val="00DC2144"/>
    <w:rsid w:val="00DC25C2"/>
    <w:rsid w:val="00DC33A5"/>
    <w:rsid w:val="00DC4340"/>
    <w:rsid w:val="00DC6F5E"/>
    <w:rsid w:val="00DC7898"/>
    <w:rsid w:val="00DD19F8"/>
    <w:rsid w:val="00DD1C70"/>
    <w:rsid w:val="00DD3239"/>
    <w:rsid w:val="00DD463A"/>
    <w:rsid w:val="00DD5C6F"/>
    <w:rsid w:val="00DD5D91"/>
    <w:rsid w:val="00DE07E4"/>
    <w:rsid w:val="00DE0877"/>
    <w:rsid w:val="00DE0FF8"/>
    <w:rsid w:val="00DE169A"/>
    <w:rsid w:val="00DE1DF2"/>
    <w:rsid w:val="00DE3EBF"/>
    <w:rsid w:val="00DE54A1"/>
    <w:rsid w:val="00DE6D39"/>
    <w:rsid w:val="00DE7345"/>
    <w:rsid w:val="00DE75C1"/>
    <w:rsid w:val="00DF1265"/>
    <w:rsid w:val="00DF1FD4"/>
    <w:rsid w:val="00DF24F4"/>
    <w:rsid w:val="00DF50EE"/>
    <w:rsid w:val="00DF51CA"/>
    <w:rsid w:val="00DF5581"/>
    <w:rsid w:val="00DF7501"/>
    <w:rsid w:val="00DF7936"/>
    <w:rsid w:val="00E0267E"/>
    <w:rsid w:val="00E04B6F"/>
    <w:rsid w:val="00E05243"/>
    <w:rsid w:val="00E13833"/>
    <w:rsid w:val="00E141B1"/>
    <w:rsid w:val="00E16A92"/>
    <w:rsid w:val="00E17001"/>
    <w:rsid w:val="00E17406"/>
    <w:rsid w:val="00E20AE5"/>
    <w:rsid w:val="00E20F00"/>
    <w:rsid w:val="00E21297"/>
    <w:rsid w:val="00E2243F"/>
    <w:rsid w:val="00E22C78"/>
    <w:rsid w:val="00E23A38"/>
    <w:rsid w:val="00E23B6B"/>
    <w:rsid w:val="00E24591"/>
    <w:rsid w:val="00E2572B"/>
    <w:rsid w:val="00E265A0"/>
    <w:rsid w:val="00E266DE"/>
    <w:rsid w:val="00E311F5"/>
    <w:rsid w:val="00E31262"/>
    <w:rsid w:val="00E339DD"/>
    <w:rsid w:val="00E34BF8"/>
    <w:rsid w:val="00E35B1E"/>
    <w:rsid w:val="00E370C6"/>
    <w:rsid w:val="00E4250F"/>
    <w:rsid w:val="00E44A7E"/>
    <w:rsid w:val="00E45097"/>
    <w:rsid w:val="00E4509A"/>
    <w:rsid w:val="00E46A7E"/>
    <w:rsid w:val="00E46CE8"/>
    <w:rsid w:val="00E51559"/>
    <w:rsid w:val="00E548DB"/>
    <w:rsid w:val="00E54E91"/>
    <w:rsid w:val="00E552BD"/>
    <w:rsid w:val="00E55649"/>
    <w:rsid w:val="00E56A50"/>
    <w:rsid w:val="00E5798A"/>
    <w:rsid w:val="00E57A3E"/>
    <w:rsid w:val="00E605A2"/>
    <w:rsid w:val="00E62790"/>
    <w:rsid w:val="00E628D9"/>
    <w:rsid w:val="00E6389C"/>
    <w:rsid w:val="00E639EB"/>
    <w:rsid w:val="00E63ADA"/>
    <w:rsid w:val="00E640E0"/>
    <w:rsid w:val="00E645F6"/>
    <w:rsid w:val="00E64C5F"/>
    <w:rsid w:val="00E6628E"/>
    <w:rsid w:val="00E664F4"/>
    <w:rsid w:val="00E67366"/>
    <w:rsid w:val="00E70355"/>
    <w:rsid w:val="00E72037"/>
    <w:rsid w:val="00E72855"/>
    <w:rsid w:val="00E72C47"/>
    <w:rsid w:val="00E73636"/>
    <w:rsid w:val="00E7377F"/>
    <w:rsid w:val="00E738C6"/>
    <w:rsid w:val="00E74710"/>
    <w:rsid w:val="00E74C1D"/>
    <w:rsid w:val="00E756F4"/>
    <w:rsid w:val="00E7581D"/>
    <w:rsid w:val="00E80439"/>
    <w:rsid w:val="00E81B2F"/>
    <w:rsid w:val="00E844ED"/>
    <w:rsid w:val="00E85810"/>
    <w:rsid w:val="00E85B0A"/>
    <w:rsid w:val="00E85F9D"/>
    <w:rsid w:val="00E90558"/>
    <w:rsid w:val="00E909CD"/>
    <w:rsid w:val="00E91EC6"/>
    <w:rsid w:val="00E92248"/>
    <w:rsid w:val="00E92935"/>
    <w:rsid w:val="00E92BD1"/>
    <w:rsid w:val="00E935A1"/>
    <w:rsid w:val="00E93FB6"/>
    <w:rsid w:val="00E9456E"/>
    <w:rsid w:val="00E95832"/>
    <w:rsid w:val="00EA1715"/>
    <w:rsid w:val="00EA18CD"/>
    <w:rsid w:val="00EA31FD"/>
    <w:rsid w:val="00EA4349"/>
    <w:rsid w:val="00EA4EE4"/>
    <w:rsid w:val="00EA5A32"/>
    <w:rsid w:val="00EB05EF"/>
    <w:rsid w:val="00EB2F51"/>
    <w:rsid w:val="00EB37D1"/>
    <w:rsid w:val="00EB3BF0"/>
    <w:rsid w:val="00EB601D"/>
    <w:rsid w:val="00EB6CCD"/>
    <w:rsid w:val="00EC0273"/>
    <w:rsid w:val="00EC07BF"/>
    <w:rsid w:val="00EC25BA"/>
    <w:rsid w:val="00EC35E3"/>
    <w:rsid w:val="00EC362E"/>
    <w:rsid w:val="00ED0AD5"/>
    <w:rsid w:val="00ED1861"/>
    <w:rsid w:val="00ED1DE2"/>
    <w:rsid w:val="00ED1F31"/>
    <w:rsid w:val="00ED3630"/>
    <w:rsid w:val="00ED42ED"/>
    <w:rsid w:val="00ED7140"/>
    <w:rsid w:val="00ED77E5"/>
    <w:rsid w:val="00ED78F5"/>
    <w:rsid w:val="00EE026E"/>
    <w:rsid w:val="00EE2321"/>
    <w:rsid w:val="00EE3C59"/>
    <w:rsid w:val="00EE51BC"/>
    <w:rsid w:val="00EE5B70"/>
    <w:rsid w:val="00EE66B6"/>
    <w:rsid w:val="00EE7220"/>
    <w:rsid w:val="00EE7B48"/>
    <w:rsid w:val="00EF0AFA"/>
    <w:rsid w:val="00EF38E5"/>
    <w:rsid w:val="00EF5C33"/>
    <w:rsid w:val="00EF629C"/>
    <w:rsid w:val="00EF6AB8"/>
    <w:rsid w:val="00EF7C6E"/>
    <w:rsid w:val="00F012F4"/>
    <w:rsid w:val="00F015EA"/>
    <w:rsid w:val="00F015FF"/>
    <w:rsid w:val="00F01632"/>
    <w:rsid w:val="00F0546E"/>
    <w:rsid w:val="00F0625D"/>
    <w:rsid w:val="00F0672D"/>
    <w:rsid w:val="00F072E1"/>
    <w:rsid w:val="00F079F9"/>
    <w:rsid w:val="00F11185"/>
    <w:rsid w:val="00F111B3"/>
    <w:rsid w:val="00F11AFA"/>
    <w:rsid w:val="00F11DDA"/>
    <w:rsid w:val="00F11F26"/>
    <w:rsid w:val="00F12E98"/>
    <w:rsid w:val="00F14860"/>
    <w:rsid w:val="00F14DDA"/>
    <w:rsid w:val="00F15284"/>
    <w:rsid w:val="00F15F67"/>
    <w:rsid w:val="00F1605C"/>
    <w:rsid w:val="00F169CB"/>
    <w:rsid w:val="00F207AB"/>
    <w:rsid w:val="00F2161A"/>
    <w:rsid w:val="00F21724"/>
    <w:rsid w:val="00F2198A"/>
    <w:rsid w:val="00F21A81"/>
    <w:rsid w:val="00F21CC1"/>
    <w:rsid w:val="00F22347"/>
    <w:rsid w:val="00F22D61"/>
    <w:rsid w:val="00F2324D"/>
    <w:rsid w:val="00F233FE"/>
    <w:rsid w:val="00F23768"/>
    <w:rsid w:val="00F240FA"/>
    <w:rsid w:val="00F2428F"/>
    <w:rsid w:val="00F2474F"/>
    <w:rsid w:val="00F25075"/>
    <w:rsid w:val="00F25CBA"/>
    <w:rsid w:val="00F27444"/>
    <w:rsid w:val="00F317CA"/>
    <w:rsid w:val="00F319F3"/>
    <w:rsid w:val="00F31BFB"/>
    <w:rsid w:val="00F323E7"/>
    <w:rsid w:val="00F324D2"/>
    <w:rsid w:val="00F32A56"/>
    <w:rsid w:val="00F32FA4"/>
    <w:rsid w:val="00F335E4"/>
    <w:rsid w:val="00F35361"/>
    <w:rsid w:val="00F35509"/>
    <w:rsid w:val="00F358C3"/>
    <w:rsid w:val="00F35FB9"/>
    <w:rsid w:val="00F3781E"/>
    <w:rsid w:val="00F413D8"/>
    <w:rsid w:val="00F42100"/>
    <w:rsid w:val="00F42A9B"/>
    <w:rsid w:val="00F436AE"/>
    <w:rsid w:val="00F45470"/>
    <w:rsid w:val="00F45CEC"/>
    <w:rsid w:val="00F464FE"/>
    <w:rsid w:val="00F465F9"/>
    <w:rsid w:val="00F47621"/>
    <w:rsid w:val="00F52CF2"/>
    <w:rsid w:val="00F557D5"/>
    <w:rsid w:val="00F570AB"/>
    <w:rsid w:val="00F57A71"/>
    <w:rsid w:val="00F60A1A"/>
    <w:rsid w:val="00F6185E"/>
    <w:rsid w:val="00F61C28"/>
    <w:rsid w:val="00F61E69"/>
    <w:rsid w:val="00F62FE9"/>
    <w:rsid w:val="00F633B7"/>
    <w:rsid w:val="00F645F1"/>
    <w:rsid w:val="00F6591A"/>
    <w:rsid w:val="00F65C51"/>
    <w:rsid w:val="00F7054D"/>
    <w:rsid w:val="00F70D35"/>
    <w:rsid w:val="00F71BF0"/>
    <w:rsid w:val="00F7546C"/>
    <w:rsid w:val="00F75B8B"/>
    <w:rsid w:val="00F76EC7"/>
    <w:rsid w:val="00F77B00"/>
    <w:rsid w:val="00F80C9D"/>
    <w:rsid w:val="00F83B6F"/>
    <w:rsid w:val="00F84470"/>
    <w:rsid w:val="00F857BC"/>
    <w:rsid w:val="00F869BF"/>
    <w:rsid w:val="00F90273"/>
    <w:rsid w:val="00F90BD0"/>
    <w:rsid w:val="00F92F25"/>
    <w:rsid w:val="00F938F0"/>
    <w:rsid w:val="00F93ACB"/>
    <w:rsid w:val="00F93C4F"/>
    <w:rsid w:val="00F9407E"/>
    <w:rsid w:val="00F95764"/>
    <w:rsid w:val="00F95994"/>
    <w:rsid w:val="00F973ED"/>
    <w:rsid w:val="00FA03C0"/>
    <w:rsid w:val="00FA49C5"/>
    <w:rsid w:val="00FA4E5B"/>
    <w:rsid w:val="00FA54A0"/>
    <w:rsid w:val="00FA596F"/>
    <w:rsid w:val="00FA5BD2"/>
    <w:rsid w:val="00FA6175"/>
    <w:rsid w:val="00FA6784"/>
    <w:rsid w:val="00FA7E00"/>
    <w:rsid w:val="00FB1780"/>
    <w:rsid w:val="00FB35C6"/>
    <w:rsid w:val="00FB4C5A"/>
    <w:rsid w:val="00FB56A1"/>
    <w:rsid w:val="00FB5BFA"/>
    <w:rsid w:val="00FB6F79"/>
    <w:rsid w:val="00FC0C09"/>
    <w:rsid w:val="00FC10F6"/>
    <w:rsid w:val="00FC120A"/>
    <w:rsid w:val="00FC4892"/>
    <w:rsid w:val="00FC61D1"/>
    <w:rsid w:val="00FC66B8"/>
    <w:rsid w:val="00FC7C25"/>
    <w:rsid w:val="00FD0F50"/>
    <w:rsid w:val="00FD1C2E"/>
    <w:rsid w:val="00FD2AAA"/>
    <w:rsid w:val="00FD3574"/>
    <w:rsid w:val="00FD602D"/>
    <w:rsid w:val="00FD60D2"/>
    <w:rsid w:val="00FD63E6"/>
    <w:rsid w:val="00FD6A7D"/>
    <w:rsid w:val="00FD6FC9"/>
    <w:rsid w:val="00FE02C2"/>
    <w:rsid w:val="00FE23A0"/>
    <w:rsid w:val="00FE2D34"/>
    <w:rsid w:val="00FE3222"/>
    <w:rsid w:val="00FE3427"/>
    <w:rsid w:val="00FE5A15"/>
    <w:rsid w:val="00FE624A"/>
    <w:rsid w:val="00FF26F6"/>
    <w:rsid w:val="00FF2A2E"/>
    <w:rsid w:val="00FF35E2"/>
    <w:rsid w:val="00FF637D"/>
    <w:rsid w:val="00FF6FB6"/>
    <w:rsid w:val="00FF7464"/>
    <w:rsid w:val="00FF7848"/>
    <w:rsid w:val="00FF7D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412D11F"/>
  <w15:docId w15:val="{B25E55DB-B4B7-4C3B-8E84-A7741C3B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122"/>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Bullet Point,Bullet point,Bulletr List Paragraph,Content descriptions,FooterText,L,List Bullet 1,List Bullet Cab,List Paragraph2,List Paragraph21,Listeafsnit1,リスト段落,列"/>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Bullet Point Char,Bullet point Char,Bulletr List Paragraph Char,Content descriptions Char,FooterText Char,L Char,List Bullet 1 Char,列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paragraph">
    <w:name w:val="paragraph"/>
    <w:basedOn w:val="Normal"/>
    <w:rsid w:val="003D08EF"/>
    <w:pPr>
      <w:spacing w:before="100" w:beforeAutospacing="1" w:after="100" w:afterAutospacing="1"/>
    </w:pPr>
    <w:rPr>
      <w:szCs w:val="24"/>
    </w:rPr>
  </w:style>
  <w:style w:type="paragraph" w:customStyle="1" w:styleId="paragraphsub">
    <w:name w:val="paragraphsub"/>
    <w:basedOn w:val="Normal"/>
    <w:rsid w:val="003D08EF"/>
    <w:pPr>
      <w:spacing w:before="100" w:beforeAutospacing="1" w:after="100" w:afterAutospacing="1"/>
    </w:pPr>
    <w:rPr>
      <w:szCs w:val="24"/>
    </w:rPr>
  </w:style>
  <w:style w:type="paragraph" w:customStyle="1" w:styleId="a3s">
    <w:name w:val="a3s"/>
    <w:basedOn w:val="Normal"/>
    <w:rsid w:val="00BF7DC0"/>
    <w:pPr>
      <w:spacing w:before="100" w:beforeAutospacing="1" w:after="100" w:afterAutospacing="1"/>
    </w:pPr>
    <w:rPr>
      <w:szCs w:val="24"/>
    </w:rPr>
  </w:style>
  <w:style w:type="character" w:styleId="FollowedHyperlink">
    <w:name w:val="FollowedHyperlink"/>
    <w:basedOn w:val="DefaultParagraphFont"/>
    <w:uiPriority w:val="99"/>
    <w:semiHidden/>
    <w:unhideWhenUsed/>
    <w:rsid w:val="00A238DE"/>
    <w:rPr>
      <w:color w:val="800080" w:themeColor="followedHyperlink"/>
      <w:u w:val="single"/>
    </w:rPr>
  </w:style>
  <w:style w:type="paragraph" w:customStyle="1" w:styleId="notedraft">
    <w:name w:val="note(draft)"/>
    <w:aliases w:val="nd"/>
    <w:basedOn w:val="Normal"/>
    <w:rsid w:val="00D304AF"/>
    <w:pPr>
      <w:spacing w:before="240"/>
      <w:ind w:left="284" w:hanging="284"/>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70">
      <w:bodyDiv w:val="1"/>
      <w:marLeft w:val="0"/>
      <w:marRight w:val="0"/>
      <w:marTop w:val="0"/>
      <w:marBottom w:val="0"/>
      <w:divBdr>
        <w:top w:val="none" w:sz="0" w:space="0" w:color="auto"/>
        <w:left w:val="none" w:sz="0" w:space="0" w:color="auto"/>
        <w:bottom w:val="none" w:sz="0" w:space="0" w:color="auto"/>
        <w:right w:val="none" w:sz="0" w:space="0" w:color="auto"/>
      </w:divBdr>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254755373">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369767992">
      <w:bodyDiv w:val="1"/>
      <w:marLeft w:val="0"/>
      <w:marRight w:val="0"/>
      <w:marTop w:val="0"/>
      <w:marBottom w:val="0"/>
      <w:divBdr>
        <w:top w:val="none" w:sz="0" w:space="0" w:color="auto"/>
        <w:left w:val="none" w:sz="0" w:space="0" w:color="auto"/>
        <w:bottom w:val="none" w:sz="0" w:space="0" w:color="auto"/>
        <w:right w:val="none" w:sz="0" w:space="0" w:color="auto"/>
      </w:divBdr>
      <w:divsChild>
        <w:div w:id="294260380">
          <w:marLeft w:val="0"/>
          <w:marRight w:val="0"/>
          <w:marTop w:val="0"/>
          <w:marBottom w:val="0"/>
          <w:divBdr>
            <w:top w:val="none" w:sz="0" w:space="0" w:color="auto"/>
            <w:left w:val="none" w:sz="0" w:space="0" w:color="auto"/>
            <w:bottom w:val="none" w:sz="0" w:space="0" w:color="auto"/>
            <w:right w:val="none" w:sz="0" w:space="0" w:color="auto"/>
          </w:divBdr>
          <w:divsChild>
            <w:div w:id="926156838">
              <w:marLeft w:val="0"/>
              <w:marRight w:val="0"/>
              <w:marTop w:val="0"/>
              <w:marBottom w:val="0"/>
              <w:divBdr>
                <w:top w:val="none" w:sz="0" w:space="0" w:color="auto"/>
                <w:left w:val="none" w:sz="0" w:space="0" w:color="auto"/>
                <w:bottom w:val="none" w:sz="0" w:space="0" w:color="auto"/>
                <w:right w:val="none" w:sz="0" w:space="0" w:color="auto"/>
              </w:divBdr>
              <w:divsChild>
                <w:div w:id="1596401041">
                  <w:marLeft w:val="0"/>
                  <w:marRight w:val="0"/>
                  <w:marTop w:val="0"/>
                  <w:marBottom w:val="0"/>
                  <w:divBdr>
                    <w:top w:val="none" w:sz="0" w:space="0" w:color="auto"/>
                    <w:left w:val="none" w:sz="0" w:space="0" w:color="auto"/>
                    <w:bottom w:val="none" w:sz="0" w:space="0" w:color="auto"/>
                    <w:right w:val="none" w:sz="0" w:space="0" w:color="auto"/>
                  </w:divBdr>
                  <w:divsChild>
                    <w:div w:id="1139764407">
                      <w:marLeft w:val="0"/>
                      <w:marRight w:val="0"/>
                      <w:marTop w:val="0"/>
                      <w:marBottom w:val="0"/>
                      <w:divBdr>
                        <w:top w:val="none" w:sz="0" w:space="0" w:color="auto"/>
                        <w:left w:val="none" w:sz="0" w:space="0" w:color="auto"/>
                        <w:bottom w:val="none" w:sz="0" w:space="0" w:color="auto"/>
                        <w:right w:val="none" w:sz="0" w:space="0" w:color="auto"/>
                      </w:divBdr>
                      <w:divsChild>
                        <w:div w:id="1233735610">
                          <w:marLeft w:val="0"/>
                          <w:marRight w:val="0"/>
                          <w:marTop w:val="0"/>
                          <w:marBottom w:val="0"/>
                          <w:divBdr>
                            <w:top w:val="none" w:sz="0" w:space="0" w:color="auto"/>
                            <w:left w:val="none" w:sz="0" w:space="0" w:color="auto"/>
                            <w:bottom w:val="none" w:sz="0" w:space="0" w:color="auto"/>
                            <w:right w:val="none" w:sz="0" w:space="0" w:color="auto"/>
                          </w:divBdr>
                          <w:divsChild>
                            <w:div w:id="864173602">
                              <w:marLeft w:val="0"/>
                              <w:marRight w:val="0"/>
                              <w:marTop w:val="0"/>
                              <w:marBottom w:val="0"/>
                              <w:divBdr>
                                <w:top w:val="none" w:sz="0" w:space="0" w:color="auto"/>
                                <w:left w:val="none" w:sz="0" w:space="0" w:color="auto"/>
                                <w:bottom w:val="none" w:sz="0" w:space="0" w:color="auto"/>
                                <w:right w:val="none" w:sz="0" w:space="0" w:color="auto"/>
                              </w:divBdr>
                              <w:divsChild>
                                <w:div w:id="538396815">
                                  <w:marLeft w:val="0"/>
                                  <w:marRight w:val="0"/>
                                  <w:marTop w:val="0"/>
                                  <w:marBottom w:val="0"/>
                                  <w:divBdr>
                                    <w:top w:val="none" w:sz="0" w:space="0" w:color="auto"/>
                                    <w:left w:val="none" w:sz="0" w:space="0" w:color="auto"/>
                                    <w:bottom w:val="none" w:sz="0" w:space="0" w:color="auto"/>
                                    <w:right w:val="none" w:sz="0" w:space="0" w:color="auto"/>
                                  </w:divBdr>
                                  <w:divsChild>
                                    <w:div w:id="582835090">
                                      <w:marLeft w:val="0"/>
                                      <w:marRight w:val="0"/>
                                      <w:marTop w:val="0"/>
                                      <w:marBottom w:val="0"/>
                                      <w:divBdr>
                                        <w:top w:val="none" w:sz="0" w:space="0" w:color="auto"/>
                                        <w:left w:val="none" w:sz="0" w:space="0" w:color="auto"/>
                                        <w:bottom w:val="none" w:sz="0" w:space="0" w:color="auto"/>
                                        <w:right w:val="none" w:sz="0" w:space="0" w:color="auto"/>
                                      </w:divBdr>
                                      <w:divsChild>
                                        <w:div w:id="731082967">
                                          <w:marLeft w:val="0"/>
                                          <w:marRight w:val="0"/>
                                          <w:marTop w:val="0"/>
                                          <w:marBottom w:val="0"/>
                                          <w:divBdr>
                                            <w:top w:val="none" w:sz="0" w:space="0" w:color="auto"/>
                                            <w:left w:val="none" w:sz="0" w:space="0" w:color="auto"/>
                                            <w:bottom w:val="none" w:sz="0" w:space="0" w:color="auto"/>
                                            <w:right w:val="none" w:sz="0" w:space="0" w:color="auto"/>
                                          </w:divBdr>
                                          <w:divsChild>
                                            <w:div w:id="1098598960">
                                              <w:marLeft w:val="0"/>
                                              <w:marRight w:val="0"/>
                                              <w:marTop w:val="0"/>
                                              <w:marBottom w:val="0"/>
                                              <w:divBdr>
                                                <w:top w:val="none" w:sz="0" w:space="0" w:color="auto"/>
                                                <w:left w:val="none" w:sz="0" w:space="0" w:color="auto"/>
                                                <w:bottom w:val="none" w:sz="0" w:space="0" w:color="auto"/>
                                                <w:right w:val="none" w:sz="0" w:space="0" w:color="auto"/>
                                              </w:divBdr>
                                              <w:divsChild>
                                                <w:div w:id="1833371153">
                                                  <w:marLeft w:val="0"/>
                                                  <w:marRight w:val="0"/>
                                                  <w:marTop w:val="0"/>
                                                  <w:marBottom w:val="0"/>
                                                  <w:divBdr>
                                                    <w:top w:val="none" w:sz="0" w:space="0" w:color="auto"/>
                                                    <w:left w:val="none" w:sz="0" w:space="0" w:color="auto"/>
                                                    <w:bottom w:val="none" w:sz="0" w:space="0" w:color="auto"/>
                                                    <w:right w:val="none" w:sz="0" w:space="0" w:color="auto"/>
                                                  </w:divBdr>
                                                  <w:divsChild>
                                                    <w:div w:id="1606570726">
                                                      <w:marLeft w:val="0"/>
                                                      <w:marRight w:val="0"/>
                                                      <w:marTop w:val="0"/>
                                                      <w:marBottom w:val="0"/>
                                                      <w:divBdr>
                                                        <w:top w:val="none" w:sz="0" w:space="0" w:color="auto"/>
                                                        <w:left w:val="none" w:sz="0" w:space="0" w:color="auto"/>
                                                        <w:bottom w:val="none" w:sz="0" w:space="0" w:color="auto"/>
                                                        <w:right w:val="none" w:sz="0" w:space="0" w:color="auto"/>
                                                      </w:divBdr>
                                                      <w:divsChild>
                                                        <w:div w:id="7496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6340252">
      <w:bodyDiv w:val="1"/>
      <w:marLeft w:val="0"/>
      <w:marRight w:val="0"/>
      <w:marTop w:val="0"/>
      <w:marBottom w:val="0"/>
      <w:divBdr>
        <w:top w:val="none" w:sz="0" w:space="0" w:color="auto"/>
        <w:left w:val="none" w:sz="0" w:space="0" w:color="auto"/>
        <w:bottom w:val="none" w:sz="0" w:space="0" w:color="auto"/>
        <w:right w:val="none" w:sz="0" w:space="0" w:color="auto"/>
      </w:divBdr>
      <w:divsChild>
        <w:div w:id="537819008">
          <w:marLeft w:val="0"/>
          <w:marRight w:val="0"/>
          <w:marTop w:val="0"/>
          <w:marBottom w:val="0"/>
          <w:divBdr>
            <w:top w:val="none" w:sz="0" w:space="0" w:color="auto"/>
            <w:left w:val="none" w:sz="0" w:space="0" w:color="auto"/>
            <w:bottom w:val="none" w:sz="0" w:space="0" w:color="auto"/>
            <w:right w:val="none" w:sz="0" w:space="0" w:color="auto"/>
          </w:divBdr>
          <w:divsChild>
            <w:div w:id="1637250968">
              <w:marLeft w:val="0"/>
              <w:marRight w:val="0"/>
              <w:marTop w:val="0"/>
              <w:marBottom w:val="0"/>
              <w:divBdr>
                <w:top w:val="none" w:sz="0" w:space="0" w:color="auto"/>
                <w:left w:val="none" w:sz="0" w:space="0" w:color="auto"/>
                <w:bottom w:val="none" w:sz="0" w:space="0" w:color="auto"/>
                <w:right w:val="none" w:sz="0" w:space="0" w:color="auto"/>
              </w:divBdr>
              <w:divsChild>
                <w:div w:id="381904642">
                  <w:marLeft w:val="0"/>
                  <w:marRight w:val="0"/>
                  <w:marTop w:val="0"/>
                  <w:marBottom w:val="0"/>
                  <w:divBdr>
                    <w:top w:val="none" w:sz="0" w:space="0" w:color="auto"/>
                    <w:left w:val="none" w:sz="0" w:space="0" w:color="auto"/>
                    <w:bottom w:val="none" w:sz="0" w:space="0" w:color="auto"/>
                    <w:right w:val="none" w:sz="0" w:space="0" w:color="auto"/>
                  </w:divBdr>
                  <w:divsChild>
                    <w:div w:id="1368095726">
                      <w:marLeft w:val="0"/>
                      <w:marRight w:val="0"/>
                      <w:marTop w:val="0"/>
                      <w:marBottom w:val="0"/>
                      <w:divBdr>
                        <w:top w:val="none" w:sz="0" w:space="0" w:color="auto"/>
                        <w:left w:val="none" w:sz="0" w:space="0" w:color="auto"/>
                        <w:bottom w:val="none" w:sz="0" w:space="0" w:color="auto"/>
                        <w:right w:val="none" w:sz="0" w:space="0" w:color="auto"/>
                      </w:divBdr>
                      <w:divsChild>
                        <w:div w:id="1925602186">
                          <w:marLeft w:val="0"/>
                          <w:marRight w:val="0"/>
                          <w:marTop w:val="0"/>
                          <w:marBottom w:val="0"/>
                          <w:divBdr>
                            <w:top w:val="none" w:sz="0" w:space="0" w:color="auto"/>
                            <w:left w:val="none" w:sz="0" w:space="0" w:color="auto"/>
                            <w:bottom w:val="none" w:sz="0" w:space="0" w:color="auto"/>
                            <w:right w:val="none" w:sz="0" w:space="0" w:color="auto"/>
                          </w:divBdr>
                          <w:divsChild>
                            <w:div w:id="1973437865">
                              <w:marLeft w:val="0"/>
                              <w:marRight w:val="0"/>
                              <w:marTop w:val="0"/>
                              <w:marBottom w:val="0"/>
                              <w:divBdr>
                                <w:top w:val="none" w:sz="0" w:space="0" w:color="auto"/>
                                <w:left w:val="none" w:sz="0" w:space="0" w:color="auto"/>
                                <w:bottom w:val="none" w:sz="0" w:space="0" w:color="auto"/>
                                <w:right w:val="none" w:sz="0" w:space="0" w:color="auto"/>
                              </w:divBdr>
                              <w:divsChild>
                                <w:div w:id="822283194">
                                  <w:marLeft w:val="0"/>
                                  <w:marRight w:val="0"/>
                                  <w:marTop w:val="0"/>
                                  <w:marBottom w:val="0"/>
                                  <w:divBdr>
                                    <w:top w:val="none" w:sz="0" w:space="0" w:color="auto"/>
                                    <w:left w:val="none" w:sz="0" w:space="0" w:color="auto"/>
                                    <w:bottom w:val="none" w:sz="0" w:space="0" w:color="auto"/>
                                    <w:right w:val="none" w:sz="0" w:space="0" w:color="auto"/>
                                  </w:divBdr>
                                  <w:divsChild>
                                    <w:div w:id="390662840">
                                      <w:marLeft w:val="0"/>
                                      <w:marRight w:val="0"/>
                                      <w:marTop w:val="0"/>
                                      <w:marBottom w:val="0"/>
                                      <w:divBdr>
                                        <w:top w:val="none" w:sz="0" w:space="0" w:color="auto"/>
                                        <w:left w:val="none" w:sz="0" w:space="0" w:color="auto"/>
                                        <w:bottom w:val="none" w:sz="0" w:space="0" w:color="auto"/>
                                        <w:right w:val="none" w:sz="0" w:space="0" w:color="auto"/>
                                      </w:divBdr>
                                      <w:divsChild>
                                        <w:div w:id="854734265">
                                          <w:marLeft w:val="0"/>
                                          <w:marRight w:val="0"/>
                                          <w:marTop w:val="0"/>
                                          <w:marBottom w:val="0"/>
                                          <w:divBdr>
                                            <w:top w:val="none" w:sz="0" w:space="0" w:color="auto"/>
                                            <w:left w:val="none" w:sz="0" w:space="0" w:color="auto"/>
                                            <w:bottom w:val="none" w:sz="0" w:space="0" w:color="auto"/>
                                            <w:right w:val="none" w:sz="0" w:space="0" w:color="auto"/>
                                          </w:divBdr>
                                          <w:divsChild>
                                            <w:div w:id="1898317772">
                                              <w:marLeft w:val="0"/>
                                              <w:marRight w:val="0"/>
                                              <w:marTop w:val="0"/>
                                              <w:marBottom w:val="0"/>
                                              <w:divBdr>
                                                <w:top w:val="none" w:sz="0" w:space="0" w:color="auto"/>
                                                <w:left w:val="none" w:sz="0" w:space="0" w:color="auto"/>
                                                <w:bottom w:val="none" w:sz="0" w:space="0" w:color="auto"/>
                                                <w:right w:val="none" w:sz="0" w:space="0" w:color="auto"/>
                                              </w:divBdr>
                                              <w:divsChild>
                                                <w:div w:id="1501509969">
                                                  <w:marLeft w:val="0"/>
                                                  <w:marRight w:val="0"/>
                                                  <w:marTop w:val="0"/>
                                                  <w:marBottom w:val="0"/>
                                                  <w:divBdr>
                                                    <w:top w:val="none" w:sz="0" w:space="0" w:color="auto"/>
                                                    <w:left w:val="none" w:sz="0" w:space="0" w:color="auto"/>
                                                    <w:bottom w:val="none" w:sz="0" w:space="0" w:color="auto"/>
                                                    <w:right w:val="none" w:sz="0" w:space="0" w:color="auto"/>
                                                  </w:divBdr>
                                                  <w:divsChild>
                                                    <w:div w:id="1790778936">
                                                      <w:marLeft w:val="0"/>
                                                      <w:marRight w:val="0"/>
                                                      <w:marTop w:val="0"/>
                                                      <w:marBottom w:val="0"/>
                                                      <w:divBdr>
                                                        <w:top w:val="none" w:sz="0" w:space="0" w:color="auto"/>
                                                        <w:left w:val="none" w:sz="0" w:space="0" w:color="auto"/>
                                                        <w:bottom w:val="none" w:sz="0" w:space="0" w:color="auto"/>
                                                        <w:right w:val="none" w:sz="0" w:space="0" w:color="auto"/>
                                                      </w:divBdr>
                                                      <w:divsChild>
                                                        <w:div w:id="59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734164719">
      <w:bodyDiv w:val="1"/>
      <w:marLeft w:val="0"/>
      <w:marRight w:val="0"/>
      <w:marTop w:val="0"/>
      <w:marBottom w:val="0"/>
      <w:divBdr>
        <w:top w:val="none" w:sz="0" w:space="0" w:color="auto"/>
        <w:left w:val="none" w:sz="0" w:space="0" w:color="auto"/>
        <w:bottom w:val="none" w:sz="0" w:space="0" w:color="auto"/>
        <w:right w:val="none" w:sz="0" w:space="0" w:color="auto"/>
      </w:divBdr>
      <w:divsChild>
        <w:div w:id="1698458699">
          <w:marLeft w:val="0"/>
          <w:marRight w:val="0"/>
          <w:marTop w:val="0"/>
          <w:marBottom w:val="0"/>
          <w:divBdr>
            <w:top w:val="none" w:sz="0" w:space="0" w:color="auto"/>
            <w:left w:val="none" w:sz="0" w:space="0" w:color="auto"/>
            <w:bottom w:val="none" w:sz="0" w:space="0" w:color="auto"/>
            <w:right w:val="none" w:sz="0" w:space="0" w:color="auto"/>
          </w:divBdr>
          <w:divsChild>
            <w:div w:id="1117069814">
              <w:marLeft w:val="0"/>
              <w:marRight w:val="0"/>
              <w:marTop w:val="0"/>
              <w:marBottom w:val="0"/>
              <w:divBdr>
                <w:top w:val="none" w:sz="0" w:space="0" w:color="auto"/>
                <w:left w:val="none" w:sz="0" w:space="0" w:color="auto"/>
                <w:bottom w:val="none" w:sz="0" w:space="0" w:color="auto"/>
                <w:right w:val="none" w:sz="0" w:space="0" w:color="auto"/>
              </w:divBdr>
              <w:divsChild>
                <w:div w:id="2079089205">
                  <w:marLeft w:val="0"/>
                  <w:marRight w:val="0"/>
                  <w:marTop w:val="0"/>
                  <w:marBottom w:val="0"/>
                  <w:divBdr>
                    <w:top w:val="none" w:sz="0" w:space="0" w:color="auto"/>
                    <w:left w:val="none" w:sz="0" w:space="0" w:color="auto"/>
                    <w:bottom w:val="none" w:sz="0" w:space="0" w:color="auto"/>
                    <w:right w:val="none" w:sz="0" w:space="0" w:color="auto"/>
                  </w:divBdr>
                  <w:divsChild>
                    <w:div w:id="2047097203">
                      <w:marLeft w:val="0"/>
                      <w:marRight w:val="0"/>
                      <w:marTop w:val="0"/>
                      <w:marBottom w:val="0"/>
                      <w:divBdr>
                        <w:top w:val="none" w:sz="0" w:space="0" w:color="auto"/>
                        <w:left w:val="none" w:sz="0" w:space="0" w:color="auto"/>
                        <w:bottom w:val="none" w:sz="0" w:space="0" w:color="auto"/>
                        <w:right w:val="none" w:sz="0" w:space="0" w:color="auto"/>
                      </w:divBdr>
                      <w:divsChild>
                        <w:div w:id="970208059">
                          <w:marLeft w:val="0"/>
                          <w:marRight w:val="0"/>
                          <w:marTop w:val="0"/>
                          <w:marBottom w:val="0"/>
                          <w:divBdr>
                            <w:top w:val="none" w:sz="0" w:space="0" w:color="auto"/>
                            <w:left w:val="none" w:sz="0" w:space="0" w:color="auto"/>
                            <w:bottom w:val="none" w:sz="0" w:space="0" w:color="auto"/>
                            <w:right w:val="none" w:sz="0" w:space="0" w:color="auto"/>
                          </w:divBdr>
                          <w:divsChild>
                            <w:div w:id="1758015052">
                              <w:marLeft w:val="0"/>
                              <w:marRight w:val="0"/>
                              <w:marTop w:val="0"/>
                              <w:marBottom w:val="0"/>
                              <w:divBdr>
                                <w:top w:val="none" w:sz="0" w:space="0" w:color="auto"/>
                                <w:left w:val="none" w:sz="0" w:space="0" w:color="auto"/>
                                <w:bottom w:val="none" w:sz="0" w:space="0" w:color="auto"/>
                                <w:right w:val="none" w:sz="0" w:space="0" w:color="auto"/>
                              </w:divBdr>
                              <w:divsChild>
                                <w:div w:id="1625312077">
                                  <w:marLeft w:val="0"/>
                                  <w:marRight w:val="0"/>
                                  <w:marTop w:val="0"/>
                                  <w:marBottom w:val="0"/>
                                  <w:divBdr>
                                    <w:top w:val="none" w:sz="0" w:space="0" w:color="auto"/>
                                    <w:left w:val="none" w:sz="0" w:space="0" w:color="auto"/>
                                    <w:bottom w:val="none" w:sz="0" w:space="0" w:color="auto"/>
                                    <w:right w:val="none" w:sz="0" w:space="0" w:color="auto"/>
                                  </w:divBdr>
                                  <w:divsChild>
                                    <w:div w:id="2108498288">
                                      <w:marLeft w:val="0"/>
                                      <w:marRight w:val="0"/>
                                      <w:marTop w:val="0"/>
                                      <w:marBottom w:val="0"/>
                                      <w:divBdr>
                                        <w:top w:val="none" w:sz="0" w:space="0" w:color="auto"/>
                                        <w:left w:val="none" w:sz="0" w:space="0" w:color="auto"/>
                                        <w:bottom w:val="none" w:sz="0" w:space="0" w:color="auto"/>
                                        <w:right w:val="none" w:sz="0" w:space="0" w:color="auto"/>
                                      </w:divBdr>
                                      <w:divsChild>
                                        <w:div w:id="724182459">
                                          <w:marLeft w:val="0"/>
                                          <w:marRight w:val="0"/>
                                          <w:marTop w:val="0"/>
                                          <w:marBottom w:val="0"/>
                                          <w:divBdr>
                                            <w:top w:val="none" w:sz="0" w:space="0" w:color="auto"/>
                                            <w:left w:val="none" w:sz="0" w:space="0" w:color="auto"/>
                                            <w:bottom w:val="none" w:sz="0" w:space="0" w:color="auto"/>
                                            <w:right w:val="none" w:sz="0" w:space="0" w:color="auto"/>
                                          </w:divBdr>
                                          <w:divsChild>
                                            <w:div w:id="1234781270">
                                              <w:marLeft w:val="0"/>
                                              <w:marRight w:val="0"/>
                                              <w:marTop w:val="0"/>
                                              <w:marBottom w:val="0"/>
                                              <w:divBdr>
                                                <w:top w:val="none" w:sz="0" w:space="0" w:color="auto"/>
                                                <w:left w:val="none" w:sz="0" w:space="0" w:color="auto"/>
                                                <w:bottom w:val="none" w:sz="0" w:space="0" w:color="auto"/>
                                                <w:right w:val="none" w:sz="0" w:space="0" w:color="auto"/>
                                              </w:divBdr>
                                              <w:divsChild>
                                                <w:div w:id="288049886">
                                                  <w:marLeft w:val="0"/>
                                                  <w:marRight w:val="0"/>
                                                  <w:marTop w:val="0"/>
                                                  <w:marBottom w:val="0"/>
                                                  <w:divBdr>
                                                    <w:top w:val="none" w:sz="0" w:space="0" w:color="auto"/>
                                                    <w:left w:val="none" w:sz="0" w:space="0" w:color="auto"/>
                                                    <w:bottom w:val="none" w:sz="0" w:space="0" w:color="auto"/>
                                                    <w:right w:val="none" w:sz="0" w:space="0" w:color="auto"/>
                                                  </w:divBdr>
                                                  <w:divsChild>
                                                    <w:div w:id="1157725260">
                                                      <w:marLeft w:val="0"/>
                                                      <w:marRight w:val="0"/>
                                                      <w:marTop w:val="0"/>
                                                      <w:marBottom w:val="0"/>
                                                      <w:divBdr>
                                                        <w:top w:val="none" w:sz="0" w:space="0" w:color="auto"/>
                                                        <w:left w:val="none" w:sz="0" w:space="0" w:color="auto"/>
                                                        <w:bottom w:val="none" w:sz="0" w:space="0" w:color="auto"/>
                                                        <w:right w:val="none" w:sz="0" w:space="0" w:color="auto"/>
                                                      </w:divBdr>
                                                      <w:divsChild>
                                                        <w:div w:id="78422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2124329">
      <w:bodyDiv w:val="1"/>
      <w:marLeft w:val="0"/>
      <w:marRight w:val="0"/>
      <w:marTop w:val="0"/>
      <w:marBottom w:val="0"/>
      <w:divBdr>
        <w:top w:val="none" w:sz="0" w:space="0" w:color="auto"/>
        <w:left w:val="none" w:sz="0" w:space="0" w:color="auto"/>
        <w:bottom w:val="none" w:sz="0" w:space="0" w:color="auto"/>
        <w:right w:val="none" w:sz="0" w:space="0" w:color="auto"/>
      </w:divBdr>
    </w:div>
    <w:div w:id="1003782128">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129740770">
      <w:bodyDiv w:val="1"/>
      <w:marLeft w:val="0"/>
      <w:marRight w:val="0"/>
      <w:marTop w:val="0"/>
      <w:marBottom w:val="0"/>
      <w:divBdr>
        <w:top w:val="none" w:sz="0" w:space="0" w:color="auto"/>
        <w:left w:val="none" w:sz="0" w:space="0" w:color="auto"/>
        <w:bottom w:val="none" w:sz="0" w:space="0" w:color="auto"/>
        <w:right w:val="none" w:sz="0" w:space="0" w:color="auto"/>
      </w:divBdr>
    </w:div>
    <w:div w:id="1289704003">
      <w:bodyDiv w:val="1"/>
      <w:marLeft w:val="0"/>
      <w:marRight w:val="0"/>
      <w:marTop w:val="0"/>
      <w:marBottom w:val="0"/>
      <w:divBdr>
        <w:top w:val="none" w:sz="0" w:space="0" w:color="auto"/>
        <w:left w:val="none" w:sz="0" w:space="0" w:color="auto"/>
        <w:bottom w:val="none" w:sz="0" w:space="0" w:color="auto"/>
        <w:right w:val="none" w:sz="0" w:space="0" w:color="auto"/>
      </w:divBdr>
      <w:divsChild>
        <w:div w:id="481972505">
          <w:marLeft w:val="0"/>
          <w:marRight w:val="0"/>
          <w:marTop w:val="0"/>
          <w:marBottom w:val="0"/>
          <w:divBdr>
            <w:top w:val="none" w:sz="0" w:space="0" w:color="auto"/>
            <w:left w:val="none" w:sz="0" w:space="0" w:color="auto"/>
            <w:bottom w:val="none" w:sz="0" w:space="0" w:color="auto"/>
            <w:right w:val="none" w:sz="0" w:space="0" w:color="auto"/>
          </w:divBdr>
          <w:divsChild>
            <w:div w:id="531118094">
              <w:marLeft w:val="0"/>
              <w:marRight w:val="0"/>
              <w:marTop w:val="0"/>
              <w:marBottom w:val="0"/>
              <w:divBdr>
                <w:top w:val="none" w:sz="0" w:space="0" w:color="auto"/>
                <w:left w:val="none" w:sz="0" w:space="0" w:color="auto"/>
                <w:bottom w:val="none" w:sz="0" w:space="0" w:color="auto"/>
                <w:right w:val="none" w:sz="0" w:space="0" w:color="auto"/>
              </w:divBdr>
              <w:divsChild>
                <w:div w:id="1990481086">
                  <w:marLeft w:val="0"/>
                  <w:marRight w:val="0"/>
                  <w:marTop w:val="0"/>
                  <w:marBottom w:val="0"/>
                  <w:divBdr>
                    <w:top w:val="none" w:sz="0" w:space="0" w:color="auto"/>
                    <w:left w:val="none" w:sz="0" w:space="0" w:color="auto"/>
                    <w:bottom w:val="none" w:sz="0" w:space="0" w:color="auto"/>
                    <w:right w:val="none" w:sz="0" w:space="0" w:color="auto"/>
                  </w:divBdr>
                  <w:divsChild>
                    <w:div w:id="967660076">
                      <w:marLeft w:val="0"/>
                      <w:marRight w:val="0"/>
                      <w:marTop w:val="0"/>
                      <w:marBottom w:val="0"/>
                      <w:divBdr>
                        <w:top w:val="none" w:sz="0" w:space="0" w:color="auto"/>
                        <w:left w:val="none" w:sz="0" w:space="0" w:color="auto"/>
                        <w:bottom w:val="none" w:sz="0" w:space="0" w:color="auto"/>
                        <w:right w:val="none" w:sz="0" w:space="0" w:color="auto"/>
                      </w:divBdr>
                      <w:divsChild>
                        <w:div w:id="500970431">
                          <w:marLeft w:val="0"/>
                          <w:marRight w:val="0"/>
                          <w:marTop w:val="0"/>
                          <w:marBottom w:val="0"/>
                          <w:divBdr>
                            <w:top w:val="none" w:sz="0" w:space="0" w:color="auto"/>
                            <w:left w:val="none" w:sz="0" w:space="0" w:color="auto"/>
                            <w:bottom w:val="none" w:sz="0" w:space="0" w:color="auto"/>
                            <w:right w:val="none" w:sz="0" w:space="0" w:color="auto"/>
                          </w:divBdr>
                          <w:divsChild>
                            <w:div w:id="339967926">
                              <w:marLeft w:val="0"/>
                              <w:marRight w:val="0"/>
                              <w:marTop w:val="0"/>
                              <w:marBottom w:val="0"/>
                              <w:divBdr>
                                <w:top w:val="none" w:sz="0" w:space="0" w:color="auto"/>
                                <w:left w:val="none" w:sz="0" w:space="0" w:color="auto"/>
                                <w:bottom w:val="none" w:sz="0" w:space="0" w:color="auto"/>
                                <w:right w:val="none" w:sz="0" w:space="0" w:color="auto"/>
                              </w:divBdr>
                              <w:divsChild>
                                <w:div w:id="1759523464">
                                  <w:marLeft w:val="0"/>
                                  <w:marRight w:val="0"/>
                                  <w:marTop w:val="0"/>
                                  <w:marBottom w:val="0"/>
                                  <w:divBdr>
                                    <w:top w:val="none" w:sz="0" w:space="0" w:color="auto"/>
                                    <w:left w:val="none" w:sz="0" w:space="0" w:color="auto"/>
                                    <w:bottom w:val="none" w:sz="0" w:space="0" w:color="auto"/>
                                    <w:right w:val="none" w:sz="0" w:space="0" w:color="auto"/>
                                  </w:divBdr>
                                  <w:divsChild>
                                    <w:div w:id="1475566231">
                                      <w:marLeft w:val="0"/>
                                      <w:marRight w:val="0"/>
                                      <w:marTop w:val="0"/>
                                      <w:marBottom w:val="0"/>
                                      <w:divBdr>
                                        <w:top w:val="none" w:sz="0" w:space="0" w:color="auto"/>
                                        <w:left w:val="none" w:sz="0" w:space="0" w:color="auto"/>
                                        <w:bottom w:val="none" w:sz="0" w:space="0" w:color="auto"/>
                                        <w:right w:val="none" w:sz="0" w:space="0" w:color="auto"/>
                                      </w:divBdr>
                                      <w:divsChild>
                                        <w:div w:id="663319352">
                                          <w:marLeft w:val="0"/>
                                          <w:marRight w:val="0"/>
                                          <w:marTop w:val="0"/>
                                          <w:marBottom w:val="0"/>
                                          <w:divBdr>
                                            <w:top w:val="none" w:sz="0" w:space="0" w:color="auto"/>
                                            <w:left w:val="none" w:sz="0" w:space="0" w:color="auto"/>
                                            <w:bottom w:val="none" w:sz="0" w:space="0" w:color="auto"/>
                                            <w:right w:val="none" w:sz="0" w:space="0" w:color="auto"/>
                                          </w:divBdr>
                                          <w:divsChild>
                                            <w:div w:id="721683430">
                                              <w:marLeft w:val="0"/>
                                              <w:marRight w:val="0"/>
                                              <w:marTop w:val="0"/>
                                              <w:marBottom w:val="0"/>
                                              <w:divBdr>
                                                <w:top w:val="none" w:sz="0" w:space="0" w:color="auto"/>
                                                <w:left w:val="none" w:sz="0" w:space="0" w:color="auto"/>
                                                <w:bottom w:val="none" w:sz="0" w:space="0" w:color="auto"/>
                                                <w:right w:val="none" w:sz="0" w:space="0" w:color="auto"/>
                                              </w:divBdr>
                                              <w:divsChild>
                                                <w:div w:id="824509691">
                                                  <w:marLeft w:val="0"/>
                                                  <w:marRight w:val="0"/>
                                                  <w:marTop w:val="0"/>
                                                  <w:marBottom w:val="0"/>
                                                  <w:divBdr>
                                                    <w:top w:val="none" w:sz="0" w:space="0" w:color="auto"/>
                                                    <w:left w:val="none" w:sz="0" w:space="0" w:color="auto"/>
                                                    <w:bottom w:val="none" w:sz="0" w:space="0" w:color="auto"/>
                                                    <w:right w:val="none" w:sz="0" w:space="0" w:color="auto"/>
                                                  </w:divBdr>
                                                  <w:divsChild>
                                                    <w:div w:id="910384079">
                                                      <w:marLeft w:val="0"/>
                                                      <w:marRight w:val="0"/>
                                                      <w:marTop w:val="0"/>
                                                      <w:marBottom w:val="0"/>
                                                      <w:divBdr>
                                                        <w:top w:val="none" w:sz="0" w:space="0" w:color="auto"/>
                                                        <w:left w:val="none" w:sz="0" w:space="0" w:color="auto"/>
                                                        <w:bottom w:val="none" w:sz="0" w:space="0" w:color="auto"/>
                                                        <w:right w:val="none" w:sz="0" w:space="0" w:color="auto"/>
                                                      </w:divBdr>
                                                      <w:divsChild>
                                                        <w:div w:id="2927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3897261">
      <w:bodyDiv w:val="1"/>
      <w:marLeft w:val="0"/>
      <w:marRight w:val="0"/>
      <w:marTop w:val="0"/>
      <w:marBottom w:val="0"/>
      <w:divBdr>
        <w:top w:val="none" w:sz="0" w:space="0" w:color="auto"/>
        <w:left w:val="none" w:sz="0" w:space="0" w:color="auto"/>
        <w:bottom w:val="none" w:sz="0" w:space="0" w:color="auto"/>
        <w:right w:val="none" w:sz="0" w:space="0" w:color="auto"/>
      </w:divBdr>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799378890">
      <w:bodyDiv w:val="1"/>
      <w:marLeft w:val="0"/>
      <w:marRight w:val="0"/>
      <w:marTop w:val="0"/>
      <w:marBottom w:val="0"/>
      <w:divBdr>
        <w:top w:val="none" w:sz="0" w:space="0" w:color="auto"/>
        <w:left w:val="none" w:sz="0" w:space="0" w:color="auto"/>
        <w:bottom w:val="none" w:sz="0" w:space="0" w:color="auto"/>
        <w:right w:val="none" w:sz="0" w:space="0" w:color="auto"/>
      </w:divBdr>
    </w:div>
    <w:div w:id="1943104139">
      <w:bodyDiv w:val="1"/>
      <w:marLeft w:val="0"/>
      <w:marRight w:val="0"/>
      <w:marTop w:val="0"/>
      <w:marBottom w:val="0"/>
      <w:divBdr>
        <w:top w:val="none" w:sz="0" w:space="0" w:color="auto"/>
        <w:left w:val="none" w:sz="0" w:space="0" w:color="auto"/>
        <w:bottom w:val="none" w:sz="0" w:space="0" w:color="auto"/>
        <w:right w:val="none" w:sz="0" w:space="0" w:color="auto"/>
      </w:divBdr>
      <w:divsChild>
        <w:div w:id="1092504414">
          <w:marLeft w:val="0"/>
          <w:marRight w:val="0"/>
          <w:marTop w:val="0"/>
          <w:marBottom w:val="0"/>
          <w:divBdr>
            <w:top w:val="none" w:sz="0" w:space="0" w:color="auto"/>
            <w:left w:val="none" w:sz="0" w:space="0" w:color="auto"/>
            <w:bottom w:val="none" w:sz="0" w:space="0" w:color="auto"/>
            <w:right w:val="none" w:sz="0" w:space="0" w:color="auto"/>
          </w:divBdr>
          <w:divsChild>
            <w:div w:id="680817620">
              <w:marLeft w:val="0"/>
              <w:marRight w:val="0"/>
              <w:marTop w:val="0"/>
              <w:marBottom w:val="0"/>
              <w:divBdr>
                <w:top w:val="none" w:sz="0" w:space="0" w:color="auto"/>
                <w:left w:val="none" w:sz="0" w:space="0" w:color="auto"/>
                <w:bottom w:val="none" w:sz="0" w:space="0" w:color="auto"/>
                <w:right w:val="none" w:sz="0" w:space="0" w:color="auto"/>
              </w:divBdr>
              <w:divsChild>
                <w:div w:id="27728285">
                  <w:marLeft w:val="0"/>
                  <w:marRight w:val="0"/>
                  <w:marTop w:val="0"/>
                  <w:marBottom w:val="0"/>
                  <w:divBdr>
                    <w:top w:val="none" w:sz="0" w:space="0" w:color="auto"/>
                    <w:left w:val="none" w:sz="0" w:space="0" w:color="auto"/>
                    <w:bottom w:val="none" w:sz="0" w:space="0" w:color="auto"/>
                    <w:right w:val="none" w:sz="0" w:space="0" w:color="auto"/>
                  </w:divBdr>
                  <w:divsChild>
                    <w:div w:id="1616910741">
                      <w:marLeft w:val="0"/>
                      <w:marRight w:val="0"/>
                      <w:marTop w:val="0"/>
                      <w:marBottom w:val="0"/>
                      <w:divBdr>
                        <w:top w:val="none" w:sz="0" w:space="0" w:color="auto"/>
                        <w:left w:val="none" w:sz="0" w:space="0" w:color="auto"/>
                        <w:bottom w:val="none" w:sz="0" w:space="0" w:color="auto"/>
                        <w:right w:val="none" w:sz="0" w:space="0" w:color="auto"/>
                      </w:divBdr>
                      <w:divsChild>
                        <w:div w:id="1992057375">
                          <w:marLeft w:val="0"/>
                          <w:marRight w:val="0"/>
                          <w:marTop w:val="0"/>
                          <w:marBottom w:val="0"/>
                          <w:divBdr>
                            <w:top w:val="none" w:sz="0" w:space="0" w:color="auto"/>
                            <w:left w:val="none" w:sz="0" w:space="0" w:color="auto"/>
                            <w:bottom w:val="none" w:sz="0" w:space="0" w:color="auto"/>
                            <w:right w:val="none" w:sz="0" w:space="0" w:color="auto"/>
                          </w:divBdr>
                          <w:divsChild>
                            <w:div w:id="1401558324">
                              <w:marLeft w:val="0"/>
                              <w:marRight w:val="0"/>
                              <w:marTop w:val="0"/>
                              <w:marBottom w:val="0"/>
                              <w:divBdr>
                                <w:top w:val="none" w:sz="0" w:space="0" w:color="auto"/>
                                <w:left w:val="none" w:sz="0" w:space="0" w:color="auto"/>
                                <w:bottom w:val="none" w:sz="0" w:space="0" w:color="auto"/>
                                <w:right w:val="none" w:sz="0" w:space="0" w:color="auto"/>
                              </w:divBdr>
                              <w:divsChild>
                                <w:div w:id="1280337522">
                                  <w:marLeft w:val="0"/>
                                  <w:marRight w:val="0"/>
                                  <w:marTop w:val="0"/>
                                  <w:marBottom w:val="0"/>
                                  <w:divBdr>
                                    <w:top w:val="none" w:sz="0" w:space="0" w:color="auto"/>
                                    <w:left w:val="none" w:sz="0" w:space="0" w:color="auto"/>
                                    <w:bottom w:val="none" w:sz="0" w:space="0" w:color="auto"/>
                                    <w:right w:val="none" w:sz="0" w:space="0" w:color="auto"/>
                                  </w:divBdr>
                                  <w:divsChild>
                                    <w:div w:id="70736300">
                                      <w:marLeft w:val="0"/>
                                      <w:marRight w:val="0"/>
                                      <w:marTop w:val="0"/>
                                      <w:marBottom w:val="0"/>
                                      <w:divBdr>
                                        <w:top w:val="none" w:sz="0" w:space="0" w:color="auto"/>
                                        <w:left w:val="none" w:sz="0" w:space="0" w:color="auto"/>
                                        <w:bottom w:val="none" w:sz="0" w:space="0" w:color="auto"/>
                                        <w:right w:val="none" w:sz="0" w:space="0" w:color="auto"/>
                                      </w:divBdr>
                                      <w:divsChild>
                                        <w:div w:id="1310398506">
                                          <w:marLeft w:val="0"/>
                                          <w:marRight w:val="0"/>
                                          <w:marTop w:val="0"/>
                                          <w:marBottom w:val="0"/>
                                          <w:divBdr>
                                            <w:top w:val="none" w:sz="0" w:space="0" w:color="auto"/>
                                            <w:left w:val="none" w:sz="0" w:space="0" w:color="auto"/>
                                            <w:bottom w:val="none" w:sz="0" w:space="0" w:color="auto"/>
                                            <w:right w:val="none" w:sz="0" w:space="0" w:color="auto"/>
                                          </w:divBdr>
                                          <w:divsChild>
                                            <w:div w:id="1021518419">
                                              <w:marLeft w:val="0"/>
                                              <w:marRight w:val="0"/>
                                              <w:marTop w:val="0"/>
                                              <w:marBottom w:val="0"/>
                                              <w:divBdr>
                                                <w:top w:val="none" w:sz="0" w:space="0" w:color="auto"/>
                                                <w:left w:val="none" w:sz="0" w:space="0" w:color="auto"/>
                                                <w:bottom w:val="none" w:sz="0" w:space="0" w:color="auto"/>
                                                <w:right w:val="none" w:sz="0" w:space="0" w:color="auto"/>
                                              </w:divBdr>
                                              <w:divsChild>
                                                <w:div w:id="793788659">
                                                  <w:marLeft w:val="0"/>
                                                  <w:marRight w:val="0"/>
                                                  <w:marTop w:val="0"/>
                                                  <w:marBottom w:val="0"/>
                                                  <w:divBdr>
                                                    <w:top w:val="none" w:sz="0" w:space="0" w:color="auto"/>
                                                    <w:left w:val="none" w:sz="0" w:space="0" w:color="auto"/>
                                                    <w:bottom w:val="none" w:sz="0" w:space="0" w:color="auto"/>
                                                    <w:right w:val="none" w:sz="0" w:space="0" w:color="auto"/>
                                                  </w:divBdr>
                                                  <w:divsChild>
                                                    <w:div w:id="282926573">
                                                      <w:marLeft w:val="0"/>
                                                      <w:marRight w:val="0"/>
                                                      <w:marTop w:val="0"/>
                                                      <w:marBottom w:val="0"/>
                                                      <w:divBdr>
                                                        <w:top w:val="none" w:sz="0" w:space="0" w:color="auto"/>
                                                        <w:left w:val="none" w:sz="0" w:space="0" w:color="auto"/>
                                                        <w:bottom w:val="none" w:sz="0" w:space="0" w:color="auto"/>
                                                        <w:right w:val="none" w:sz="0" w:space="0" w:color="auto"/>
                                                      </w:divBdr>
                                                      <w:divsChild>
                                                        <w:div w:id="9604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003207">
      <w:bodyDiv w:val="1"/>
      <w:marLeft w:val="0"/>
      <w:marRight w:val="0"/>
      <w:marTop w:val="0"/>
      <w:marBottom w:val="0"/>
      <w:divBdr>
        <w:top w:val="none" w:sz="0" w:space="0" w:color="auto"/>
        <w:left w:val="none" w:sz="0" w:space="0" w:color="auto"/>
        <w:bottom w:val="none" w:sz="0" w:space="0" w:color="auto"/>
        <w:right w:val="none" w:sz="0" w:space="0" w:color="auto"/>
      </w:divBdr>
    </w:div>
    <w:div w:id="2125037317">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2.xml><?xml version="1.0" encoding="utf-8"?>
<ds:datastoreItem xmlns:ds="http://schemas.openxmlformats.org/officeDocument/2006/customXml" ds:itemID="{2B13C29E-D991-4DB9-A13E-7C1AA632889D}">
  <ds:schemaRefs>
    <ds:schemaRef ds:uri="http://schemas.microsoft.com/office/2006/documentManagement/types"/>
    <ds:schemaRef ds:uri="http://purl.org/dc/terms/"/>
    <ds:schemaRef ds:uri="http://schemas.openxmlformats.org/package/2006/metadata/core-properties"/>
    <ds:schemaRef ds:uri="8bd9498f-fa43-4ae2-8bb2-4c55a71680ad"/>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AA9192-AB94-4251-85E0-82E25652F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3981</Words>
  <Characters>22698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3</cp:revision>
  <cp:lastPrinted>2020-01-16T21:36:00Z</cp:lastPrinted>
  <dcterms:created xsi:type="dcterms:W3CDTF">2020-01-22T06:02:00Z</dcterms:created>
  <dcterms:modified xsi:type="dcterms:W3CDTF">2020-02-24T00:55:00Z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