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34232" w14:textId="77777777" w:rsidR="00182714" w:rsidRDefault="008653D3">
      <w:pPr>
        <w:pStyle w:val="BodyText"/>
        <w:spacing w:before="0"/>
        <w:ind w:left="3290" w:firstLine="0"/>
        <w:rPr>
          <w:rFonts w:ascii="Times New Roman"/>
          <w:sz w:val="20"/>
        </w:rPr>
      </w:pPr>
      <w:bookmarkStart w:id="0" w:name="_GoBack"/>
      <w:bookmarkEnd w:id="0"/>
      <w:r>
        <w:rPr>
          <w:rFonts w:ascii="Times New Roman"/>
          <w:noProof/>
          <w:sz w:val="20"/>
          <w:lang w:eastAsia="en-AU"/>
        </w:rPr>
        <w:drawing>
          <wp:inline distT="0" distB="0" distL="0" distR="0" wp14:anchorId="4756BBD6" wp14:editId="6570EA77">
            <wp:extent cx="2110149" cy="8444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10149" cy="844486"/>
                    </a:xfrm>
                    <a:prstGeom prst="rect">
                      <a:avLst/>
                    </a:prstGeom>
                  </pic:spPr>
                </pic:pic>
              </a:graphicData>
            </a:graphic>
          </wp:inline>
        </w:drawing>
      </w:r>
    </w:p>
    <w:p w14:paraId="0F4F5288" w14:textId="77777777" w:rsidR="00182714" w:rsidRDefault="008653D3">
      <w:pPr>
        <w:pStyle w:val="BodyText"/>
        <w:spacing w:before="3"/>
        <w:ind w:left="0" w:firstLine="0"/>
        <w:rPr>
          <w:rFonts w:ascii="Times New Roman"/>
          <w:sz w:val="15"/>
        </w:rPr>
      </w:pPr>
      <w:r>
        <w:rPr>
          <w:noProof/>
          <w:lang w:eastAsia="en-AU"/>
        </w:rPr>
        <mc:AlternateContent>
          <mc:Choice Requires="wps">
            <w:drawing>
              <wp:anchor distT="0" distB="0" distL="0" distR="0" simplePos="0" relativeHeight="251658240" behindDoc="1" locked="0" layoutInCell="1" allowOverlap="1" wp14:anchorId="37DFBC62" wp14:editId="1D4ADDAF">
                <wp:simplePos x="0" y="0"/>
                <wp:positionH relativeFrom="page">
                  <wp:posOffset>895985</wp:posOffset>
                </wp:positionH>
                <wp:positionV relativeFrom="paragraph">
                  <wp:posOffset>141605</wp:posOffset>
                </wp:positionV>
                <wp:extent cx="5768340" cy="0"/>
                <wp:effectExtent l="10160" t="7620" r="12700" b="1143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30D706"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1.15pt" to="524.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" strokeweight=".72pt">
                <w10:wrap type="topAndBottom" anchorx="page"/>
              </v:line>
            </w:pict>
          </mc:Fallback>
        </mc:AlternateContent>
      </w:r>
    </w:p>
    <w:p w14:paraId="711DE121" w14:textId="5F709CF3" w:rsidR="00182714" w:rsidRPr="00FA7B28" w:rsidRDefault="008653D3" w:rsidP="00FA7B28">
      <w:pPr>
        <w:spacing w:before="70" w:line="242" w:lineRule="auto"/>
        <w:ind w:left="460" w:right="2152"/>
        <w:rPr>
          <w:rFonts w:ascii="Arial Black"/>
          <w:sz w:val="28"/>
          <w:szCs w:val="28"/>
        </w:rPr>
      </w:pPr>
      <w:r w:rsidRPr="0003137F">
        <w:rPr>
          <w:rFonts w:ascii="Arial Black"/>
          <w:sz w:val="28"/>
          <w:szCs w:val="28"/>
        </w:rPr>
        <w:t xml:space="preserve">Explanatory Statement: Remuneration Tribunal Amendment Determination (No. </w:t>
      </w:r>
      <w:r w:rsidR="009260F1">
        <w:rPr>
          <w:rFonts w:ascii="Arial Black"/>
          <w:sz w:val="28"/>
          <w:szCs w:val="28"/>
        </w:rPr>
        <w:t>1</w:t>
      </w:r>
      <w:r w:rsidR="003555FA" w:rsidRPr="006C2046">
        <w:rPr>
          <w:rFonts w:ascii="Arial Black"/>
          <w:sz w:val="28"/>
          <w:szCs w:val="28"/>
        </w:rPr>
        <w:t>) 20</w:t>
      </w:r>
      <w:r w:rsidR="009260F1">
        <w:rPr>
          <w:rFonts w:ascii="Arial Black"/>
          <w:sz w:val="28"/>
          <w:szCs w:val="28"/>
        </w:rPr>
        <w:t>20</w:t>
      </w:r>
    </w:p>
    <w:p w14:paraId="225291E5" w14:textId="77777777" w:rsidR="00182714" w:rsidRDefault="008653D3">
      <w:pPr>
        <w:pStyle w:val="BodyText"/>
        <w:spacing w:before="1"/>
        <w:ind w:left="0" w:firstLine="0"/>
        <w:rPr>
          <w:rFonts w:ascii="Arial Black"/>
          <w:sz w:val="8"/>
        </w:rPr>
      </w:pPr>
      <w:r>
        <w:rPr>
          <w:noProof/>
          <w:lang w:eastAsia="en-AU"/>
        </w:rPr>
        <mc:AlternateContent>
          <mc:Choice Requires="wps">
            <w:drawing>
              <wp:anchor distT="0" distB="0" distL="0" distR="0" simplePos="0" relativeHeight="251659264" behindDoc="1" locked="0" layoutInCell="1" allowOverlap="1" wp14:anchorId="5C27537F" wp14:editId="6BBB0F91">
                <wp:simplePos x="0" y="0"/>
                <wp:positionH relativeFrom="page">
                  <wp:posOffset>895985</wp:posOffset>
                </wp:positionH>
                <wp:positionV relativeFrom="paragraph">
                  <wp:posOffset>100965</wp:posOffset>
                </wp:positionV>
                <wp:extent cx="5768340" cy="0"/>
                <wp:effectExtent l="10160" t="12065" r="12700" b="698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B5D5C4"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7.95pt" to="524.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" strokeweight=".48pt">
                <w10:wrap type="topAndBottom" anchorx="page"/>
              </v:line>
            </w:pict>
          </mc:Fallback>
        </mc:AlternateContent>
      </w:r>
    </w:p>
    <w:p w14:paraId="54B3CF0A" w14:textId="77777777" w:rsidR="00182714" w:rsidRPr="00C3603A" w:rsidRDefault="008653D3">
      <w:pPr>
        <w:pStyle w:val="ListParagraph"/>
        <w:numPr>
          <w:ilvl w:val="0"/>
          <w:numId w:val="2"/>
        </w:numPr>
        <w:tabs>
          <w:tab w:val="left" w:pos="884"/>
          <w:tab w:val="left" w:pos="885"/>
        </w:tabs>
        <w:spacing w:before="88" w:line="276" w:lineRule="auto"/>
        <w:ind w:right="369"/>
      </w:pPr>
      <w:r w:rsidRPr="00C3603A">
        <w:t xml:space="preserve">The </w:t>
      </w:r>
      <w:r w:rsidRPr="00C3603A">
        <w:rPr>
          <w:i/>
          <w:iCs/>
        </w:rPr>
        <w:t xml:space="preserve">Remuneration Tribunal Act 1973 </w:t>
      </w:r>
      <w:r w:rsidRPr="00C3603A">
        <w:t>(the Act) establishes the Remuneration Tribunal (the Tribunal) as an independent statutory authority responsible for reporting on and determining the remuneration, allowances and entitlements of key Commonwealth office holders. These include Judges of Federal Courts and most full-time and part-time holders of public offices, including Specified Statutory Offices. An additional function of the Tribunal is to determine a classification structure for Principal Executive Offices and the terms and conditions applicable to each classification within the structure.</w:t>
      </w:r>
    </w:p>
    <w:p w14:paraId="111A8C1A" w14:textId="77777777" w:rsidR="00182714" w:rsidRPr="00C3603A" w:rsidRDefault="008653D3">
      <w:pPr>
        <w:pStyle w:val="Heading1"/>
      </w:pPr>
      <w:r w:rsidRPr="00C3603A">
        <w:t>Consultation</w:t>
      </w:r>
    </w:p>
    <w:p w14:paraId="427D7047" w14:textId="77777777" w:rsidR="00182714" w:rsidRPr="00C3603A" w:rsidRDefault="008653D3">
      <w:pPr>
        <w:pStyle w:val="ListParagraph"/>
        <w:numPr>
          <w:ilvl w:val="0"/>
          <w:numId w:val="2"/>
        </w:numPr>
        <w:tabs>
          <w:tab w:val="left" w:pos="884"/>
          <w:tab w:val="left" w:pos="886"/>
        </w:tabs>
        <w:spacing w:before="160" w:line="276" w:lineRule="auto"/>
        <w:ind w:right="882"/>
      </w:pPr>
      <w:r w:rsidRPr="00C3603A">
        <w:t>Section 11 of the Act advises that in the performance of its functions the Tribunal:</w:t>
      </w:r>
    </w:p>
    <w:p w14:paraId="61491B6C" w14:textId="77777777" w:rsidR="00182714" w:rsidRPr="00C3603A" w:rsidRDefault="008653D3">
      <w:pPr>
        <w:pStyle w:val="ListParagraph"/>
        <w:numPr>
          <w:ilvl w:val="1"/>
          <w:numId w:val="2"/>
        </w:numPr>
        <w:tabs>
          <w:tab w:val="left" w:pos="1309"/>
          <w:tab w:val="left" w:pos="1310"/>
        </w:tabs>
        <w:spacing w:before="120"/>
        <w:ind w:hanging="424"/>
      </w:pPr>
      <w:r w:rsidRPr="00C3603A">
        <w:t>may inform itself in such manner as it thinks fit;</w:t>
      </w:r>
    </w:p>
    <w:p w14:paraId="4CADF0F3" w14:textId="77777777" w:rsidR="00182714" w:rsidRPr="00C3603A" w:rsidRDefault="008653D3">
      <w:pPr>
        <w:pStyle w:val="ListParagraph"/>
        <w:numPr>
          <w:ilvl w:val="1"/>
          <w:numId w:val="2"/>
        </w:numPr>
        <w:tabs>
          <w:tab w:val="left" w:pos="1309"/>
          <w:tab w:val="left" w:pos="1310"/>
        </w:tabs>
        <w:spacing w:before="40"/>
        <w:ind w:hanging="424"/>
      </w:pPr>
      <w:r w:rsidRPr="00C3603A">
        <w:t>may receive written or oral statements;</w:t>
      </w:r>
    </w:p>
    <w:p w14:paraId="480177A3" w14:textId="77777777" w:rsidR="00182714" w:rsidRPr="00C3603A" w:rsidRDefault="008653D3">
      <w:pPr>
        <w:pStyle w:val="ListParagraph"/>
        <w:numPr>
          <w:ilvl w:val="1"/>
          <w:numId w:val="2"/>
        </w:numPr>
        <w:tabs>
          <w:tab w:val="left" w:pos="1309"/>
          <w:tab w:val="left" w:pos="1310"/>
        </w:tabs>
        <w:spacing w:before="37"/>
        <w:ind w:hanging="424"/>
      </w:pPr>
      <w:r w:rsidRPr="00C3603A">
        <w:t>is not required to conduct any proceeding in a formal manner; and</w:t>
      </w:r>
    </w:p>
    <w:p w14:paraId="7B578E7D" w14:textId="77777777" w:rsidR="00182714" w:rsidRPr="00C3603A" w:rsidRDefault="008653D3">
      <w:pPr>
        <w:pStyle w:val="ListParagraph"/>
        <w:numPr>
          <w:ilvl w:val="1"/>
          <w:numId w:val="2"/>
        </w:numPr>
        <w:tabs>
          <w:tab w:val="left" w:pos="1309"/>
          <w:tab w:val="left" w:pos="1310"/>
        </w:tabs>
        <w:spacing w:before="38"/>
        <w:ind w:hanging="424"/>
      </w:pPr>
      <w:r w:rsidRPr="00C3603A">
        <w:t>is not bound by the rules of evidence.</w:t>
      </w:r>
    </w:p>
    <w:p w14:paraId="69024F4A" w14:textId="77777777" w:rsidR="00182714" w:rsidRPr="00C3603A" w:rsidRDefault="008653D3">
      <w:pPr>
        <w:pStyle w:val="ListParagraph"/>
        <w:numPr>
          <w:ilvl w:val="0"/>
          <w:numId w:val="2"/>
        </w:numPr>
        <w:tabs>
          <w:tab w:val="left" w:pos="887"/>
          <w:tab w:val="left" w:pos="888"/>
        </w:tabs>
        <w:spacing w:before="158" w:line="276" w:lineRule="auto"/>
        <w:ind w:left="887" w:right="358" w:hanging="427"/>
      </w:pPr>
      <w:r w:rsidRPr="00C3603A">
        <w:t>The Tribunal normally receives submissions on remuneration from a Portfolio Minister, or a Secretary, program manager or employing body (in respect of a Principal Executive Office) with responsibility for the relevant office(s). The Tribunal will normally seek the views of the relevant Portfolio Minister prior to determining remuneration for an office.</w:t>
      </w:r>
    </w:p>
    <w:p w14:paraId="18A8A9B8" w14:textId="77777777" w:rsidR="00182714" w:rsidRPr="00C3603A" w:rsidRDefault="008653D3">
      <w:pPr>
        <w:pStyle w:val="ListParagraph"/>
        <w:numPr>
          <w:ilvl w:val="0"/>
          <w:numId w:val="2"/>
        </w:numPr>
        <w:tabs>
          <w:tab w:val="left" w:pos="887"/>
          <w:tab w:val="left" w:pos="888"/>
        </w:tabs>
        <w:spacing w:before="121" w:line="276" w:lineRule="auto"/>
        <w:ind w:left="887" w:right="499" w:hanging="427"/>
      </w:pPr>
      <w:r w:rsidRPr="00C3603A">
        <w:t>The Tribunal may reach a decision based on the information provided in the submission and other publicly available information such as portfolio budget statements, annual reports, corporate plans, legislation and media releases. On occasion it may wish to meet with relevant parties or seek further information from the relevant minister or person making the submission.</w:t>
      </w:r>
    </w:p>
    <w:p w14:paraId="1983B789" w14:textId="77777777" w:rsidR="00182714" w:rsidRPr="00C3603A" w:rsidRDefault="008653D3">
      <w:pPr>
        <w:pStyle w:val="ListParagraph"/>
        <w:numPr>
          <w:ilvl w:val="0"/>
          <w:numId w:val="2"/>
        </w:numPr>
        <w:tabs>
          <w:tab w:val="left" w:pos="885"/>
          <w:tab w:val="left" w:pos="886"/>
        </w:tabs>
        <w:spacing w:before="118" w:line="276" w:lineRule="auto"/>
        <w:ind w:right="468"/>
      </w:pPr>
      <w:r w:rsidRPr="00C3603A">
        <w:t>Amongst other relevant matters in deliberating on appropriate remuneration for an office the Tribunal informs itself on:</w:t>
      </w:r>
    </w:p>
    <w:p w14:paraId="6D24C561" w14:textId="77777777" w:rsidR="00182714" w:rsidRPr="00C3603A" w:rsidRDefault="008653D3">
      <w:pPr>
        <w:pStyle w:val="ListParagraph"/>
        <w:numPr>
          <w:ilvl w:val="1"/>
          <w:numId w:val="2"/>
        </w:numPr>
        <w:tabs>
          <w:tab w:val="left" w:pos="1310"/>
          <w:tab w:val="left" w:pos="1311"/>
        </w:tabs>
        <w:ind w:left="1310"/>
      </w:pPr>
      <w:r w:rsidRPr="00C3603A">
        <w:t>the main functions, responsibilities and accountabilities of the office;</w:t>
      </w:r>
    </w:p>
    <w:p w14:paraId="36B50670" w14:textId="77777777" w:rsidR="00182714" w:rsidRPr="00C3603A" w:rsidRDefault="008653D3">
      <w:pPr>
        <w:pStyle w:val="ListParagraph"/>
        <w:numPr>
          <w:ilvl w:val="1"/>
          <w:numId w:val="2"/>
        </w:numPr>
        <w:tabs>
          <w:tab w:val="left" w:pos="1310"/>
          <w:tab w:val="left" w:pos="1311"/>
        </w:tabs>
        <w:spacing w:before="38"/>
        <w:ind w:left="1310"/>
      </w:pPr>
      <w:r w:rsidRPr="00C3603A">
        <w:t>the organisational structure, budget and workforce;</w:t>
      </w:r>
    </w:p>
    <w:p w14:paraId="59C4B540" w14:textId="77777777" w:rsidR="00182714" w:rsidRPr="00C3603A" w:rsidRDefault="008653D3">
      <w:pPr>
        <w:pStyle w:val="ListParagraph"/>
        <w:numPr>
          <w:ilvl w:val="1"/>
          <w:numId w:val="2"/>
        </w:numPr>
        <w:tabs>
          <w:tab w:val="left" w:pos="1309"/>
          <w:tab w:val="left" w:pos="1311"/>
        </w:tabs>
        <w:spacing w:before="40" w:line="273" w:lineRule="auto"/>
        <w:ind w:left="1310" w:right="557"/>
      </w:pPr>
      <w:r w:rsidRPr="00C3603A">
        <w:t>the requisite characteristics, skills or qualifications required of the office holder(s); and</w:t>
      </w:r>
    </w:p>
    <w:p w14:paraId="6A6A4BCA" w14:textId="77777777" w:rsidR="00182714" w:rsidRPr="00C3603A" w:rsidRDefault="008653D3">
      <w:pPr>
        <w:pStyle w:val="ListParagraph"/>
        <w:numPr>
          <w:ilvl w:val="1"/>
          <w:numId w:val="2"/>
        </w:numPr>
        <w:tabs>
          <w:tab w:val="left" w:pos="1309"/>
          <w:tab w:val="left" w:pos="1311"/>
        </w:tabs>
        <w:spacing w:before="2"/>
        <w:ind w:left="1310"/>
      </w:pPr>
      <w:r w:rsidRPr="00C3603A">
        <w:t>the remuneration of similar, comparator, offices within its jurisdiction.</w:t>
      </w:r>
    </w:p>
    <w:p w14:paraId="0AEA61AC" w14:textId="77777777" w:rsidR="00182714" w:rsidRDefault="00182714">
      <w:pPr>
        <w:sectPr w:rsidR="00182714" w:rsidSect="005862A0">
          <w:type w:val="continuous"/>
          <w:pgSz w:w="11910" w:h="16840"/>
          <w:pgMar w:top="860" w:right="1080" w:bottom="280" w:left="980" w:header="720" w:footer="720" w:gutter="0"/>
          <w:cols w:space="720"/>
        </w:sectPr>
      </w:pPr>
    </w:p>
    <w:p w14:paraId="0422445F" w14:textId="42A5A070" w:rsidR="00C02EEE" w:rsidRPr="00277901" w:rsidRDefault="00206FB6" w:rsidP="00C02EEE">
      <w:pPr>
        <w:spacing w:before="120"/>
        <w:ind w:left="460"/>
        <w:rPr>
          <w:i/>
          <w:iCs/>
        </w:rPr>
      </w:pPr>
      <w:r>
        <w:rPr>
          <w:i/>
          <w:iCs/>
        </w:rPr>
        <w:lastRenderedPageBreak/>
        <w:t>Chief Executive Officer, Services Australia</w:t>
      </w:r>
    </w:p>
    <w:p w14:paraId="718906B2" w14:textId="6A850C0F" w:rsidR="002E4378" w:rsidRDefault="002E4378" w:rsidP="00206FB6">
      <w:pPr>
        <w:pStyle w:val="ListParagraph"/>
        <w:numPr>
          <w:ilvl w:val="0"/>
          <w:numId w:val="2"/>
        </w:numPr>
        <w:tabs>
          <w:tab w:val="left" w:pos="884"/>
          <w:tab w:val="left" w:pos="885"/>
        </w:tabs>
        <w:spacing w:before="122" w:line="276" w:lineRule="auto"/>
        <w:ind w:right="425"/>
      </w:pPr>
      <w:r>
        <w:t>O</w:t>
      </w:r>
      <w:r w:rsidRPr="00206FB6">
        <w:t>n 13 January 2020</w:t>
      </w:r>
      <w:r>
        <w:t>,</w:t>
      </w:r>
      <w:r w:rsidRPr="00206FB6">
        <w:t xml:space="preserve"> </w:t>
      </w:r>
      <w:r>
        <w:t>t</w:t>
      </w:r>
      <w:r w:rsidR="00206FB6" w:rsidRPr="00206FB6">
        <w:t>he Hon Stuart Robert MP, Minister for Government Services, wrote to the Tribunal seeking a determination of remuneration</w:t>
      </w:r>
      <w:r w:rsidR="003C7A0A">
        <w:t xml:space="preserve"> and travel</w:t>
      </w:r>
      <w:r>
        <w:t xml:space="preserve"> tier</w:t>
      </w:r>
      <w:r w:rsidR="00206FB6" w:rsidRPr="00206FB6">
        <w:t xml:space="preserve"> for the new office of the Chief Executive Officer (CEO) of Services Australia, a new executive agency i</w:t>
      </w:r>
      <w:r w:rsidR="003C7A0A">
        <w:t>n the Social Services portfolio</w:t>
      </w:r>
      <w:r w:rsidR="00C02EEE">
        <w:t>.</w:t>
      </w:r>
      <w:r w:rsidR="003C7A0A">
        <w:t xml:space="preserve"> </w:t>
      </w:r>
      <w:r>
        <w:t xml:space="preserve"> </w:t>
      </w:r>
      <w:r w:rsidR="003C7A0A">
        <w:t>The submission provided information on the role and responsibilities of the CEO.</w:t>
      </w:r>
    </w:p>
    <w:p w14:paraId="1D44FEBE" w14:textId="23251F55" w:rsidR="009260F1" w:rsidRPr="0019205B" w:rsidRDefault="009260F1" w:rsidP="009260F1">
      <w:pPr>
        <w:tabs>
          <w:tab w:val="left" w:pos="884"/>
          <w:tab w:val="left" w:pos="885"/>
        </w:tabs>
        <w:spacing w:before="122" w:line="276" w:lineRule="auto"/>
        <w:ind w:left="460" w:right="425"/>
        <w:rPr>
          <w:i/>
        </w:rPr>
      </w:pPr>
      <w:r>
        <w:rPr>
          <w:i/>
        </w:rPr>
        <w:t xml:space="preserve">Coordinator-General, National Drought and North Queensland Flood Response </w:t>
      </w:r>
      <w:r w:rsidR="002E4378">
        <w:rPr>
          <w:i/>
        </w:rPr>
        <w:t xml:space="preserve">and </w:t>
      </w:r>
      <w:r>
        <w:rPr>
          <w:i/>
        </w:rPr>
        <w:t>Recovery Agency</w:t>
      </w:r>
    </w:p>
    <w:p w14:paraId="157EEB0D" w14:textId="51181F21" w:rsidR="00A059BC" w:rsidRDefault="00A059BC">
      <w:pPr>
        <w:pStyle w:val="ListParagraph"/>
        <w:numPr>
          <w:ilvl w:val="0"/>
          <w:numId w:val="2"/>
        </w:numPr>
        <w:tabs>
          <w:tab w:val="left" w:pos="884"/>
          <w:tab w:val="left" w:pos="885"/>
        </w:tabs>
        <w:spacing w:before="122" w:line="276" w:lineRule="auto"/>
        <w:ind w:right="425"/>
      </w:pPr>
      <w:r>
        <w:t>On 5 December</w:t>
      </w:r>
      <w:r w:rsidR="002E4378">
        <w:t xml:space="preserve"> 2020, the Prime Minister,</w:t>
      </w:r>
      <w:r>
        <w:t xml:space="preserve"> the Hon Scott Morrison MP, announced the</w:t>
      </w:r>
      <w:r w:rsidRPr="000E6157">
        <w:t xml:space="preserve"> remit of the North Queensland Livestock Industry Recovery Agency </w:t>
      </w:r>
      <w:r>
        <w:t xml:space="preserve">has been </w:t>
      </w:r>
      <w:r w:rsidRPr="00A059BC">
        <w:t>expanded to include drought</w:t>
      </w:r>
      <w:r>
        <w:t>.</w:t>
      </w:r>
      <w:r w:rsidR="002E4378">
        <w:t xml:space="preserve">  </w:t>
      </w:r>
      <w:r>
        <w:t xml:space="preserve">On the same day the </w:t>
      </w:r>
      <w:r w:rsidRPr="003C7A0A">
        <w:t xml:space="preserve">Governor General of the </w:t>
      </w:r>
      <w:r>
        <w:t>Commonwealth signed an order renaming the agency as the National Drought and North Queensland Flood Response and Recovery Agency and the agency head as Coordinator</w:t>
      </w:r>
      <w:r w:rsidR="00F57404">
        <w:t>-</w:t>
      </w:r>
      <w:r>
        <w:t>General.</w:t>
      </w:r>
    </w:p>
    <w:p w14:paraId="311FFB0B" w14:textId="77777777" w:rsidR="00390F17" w:rsidRPr="00AF107E" w:rsidRDefault="00390F17" w:rsidP="00390F17">
      <w:pPr>
        <w:tabs>
          <w:tab w:val="left" w:pos="884"/>
          <w:tab w:val="left" w:pos="885"/>
        </w:tabs>
        <w:spacing w:before="122" w:line="276" w:lineRule="auto"/>
        <w:ind w:left="460" w:right="425"/>
        <w:rPr>
          <w:i/>
        </w:rPr>
      </w:pPr>
      <w:r w:rsidRPr="00AF107E">
        <w:rPr>
          <w:i/>
        </w:rPr>
        <w:t>Chief Executive Officer, Innovation and Science Australia</w:t>
      </w:r>
    </w:p>
    <w:p w14:paraId="65C6393B" w14:textId="2E018C71" w:rsidR="00390F17" w:rsidRPr="00A059BC" w:rsidRDefault="00390F17">
      <w:pPr>
        <w:pStyle w:val="ListParagraph"/>
        <w:numPr>
          <w:ilvl w:val="0"/>
          <w:numId w:val="2"/>
        </w:numPr>
        <w:tabs>
          <w:tab w:val="left" w:pos="884"/>
          <w:tab w:val="left" w:pos="885"/>
        </w:tabs>
        <w:spacing w:before="122" w:line="276" w:lineRule="auto"/>
        <w:ind w:right="425"/>
      </w:pPr>
      <w:r>
        <w:t>Dr Charlie Day’s appointment has now ceased.  The amendments remove provisions specific to Dr Day.</w:t>
      </w:r>
    </w:p>
    <w:p w14:paraId="10C9B0D3" w14:textId="77777777" w:rsidR="00B73DE4" w:rsidRPr="000E6157" w:rsidRDefault="00B73DE4" w:rsidP="00B73DE4">
      <w:pPr>
        <w:tabs>
          <w:tab w:val="left" w:pos="884"/>
          <w:tab w:val="left" w:pos="885"/>
        </w:tabs>
        <w:spacing w:before="122" w:line="276" w:lineRule="auto"/>
        <w:ind w:left="460" w:right="425"/>
        <w:rPr>
          <w:i/>
        </w:rPr>
      </w:pPr>
      <w:r>
        <w:rPr>
          <w:i/>
        </w:rPr>
        <w:t>Integrity Commissioner, Australian Commission for Law Enforcement Integrity</w:t>
      </w:r>
    </w:p>
    <w:p w14:paraId="24913CBC" w14:textId="77777777" w:rsidR="00B73DE4" w:rsidRDefault="00B73DE4" w:rsidP="00B73DE4">
      <w:pPr>
        <w:pStyle w:val="ListParagraph"/>
        <w:numPr>
          <w:ilvl w:val="0"/>
          <w:numId w:val="2"/>
        </w:numPr>
        <w:tabs>
          <w:tab w:val="left" w:pos="884"/>
          <w:tab w:val="left" w:pos="885"/>
        </w:tabs>
        <w:spacing w:before="122" w:line="276" w:lineRule="auto"/>
        <w:ind w:right="425"/>
      </w:pPr>
      <w:r>
        <w:t>Mr Michael Griffin’s appointment has now ceased.  The amendments remove Mr Griffin’s accommodation and reunion fares assistance.</w:t>
      </w:r>
    </w:p>
    <w:p w14:paraId="73B60F7A" w14:textId="77777777" w:rsidR="00B73DE4" w:rsidRPr="000E6157" w:rsidRDefault="00B73DE4" w:rsidP="00B73DE4">
      <w:pPr>
        <w:tabs>
          <w:tab w:val="left" w:pos="884"/>
          <w:tab w:val="left" w:pos="885"/>
        </w:tabs>
        <w:spacing w:before="122" w:line="276" w:lineRule="auto"/>
        <w:ind w:left="460" w:right="425"/>
        <w:rPr>
          <w:i/>
        </w:rPr>
      </w:pPr>
      <w:r w:rsidRPr="000E6157">
        <w:rPr>
          <w:i/>
        </w:rPr>
        <w:t>Chief Scientist</w:t>
      </w:r>
    </w:p>
    <w:p w14:paraId="2A7CAB0A" w14:textId="6602F7AF" w:rsidR="00B73DE4" w:rsidRDefault="007B49DE" w:rsidP="008B7BBD">
      <w:pPr>
        <w:pStyle w:val="ListParagraph"/>
        <w:numPr>
          <w:ilvl w:val="0"/>
          <w:numId w:val="2"/>
        </w:numPr>
        <w:tabs>
          <w:tab w:val="left" w:pos="884"/>
          <w:tab w:val="left" w:pos="885"/>
        </w:tabs>
        <w:spacing w:before="122" w:line="276" w:lineRule="auto"/>
        <w:ind w:right="425"/>
      </w:pPr>
      <w:r>
        <w:t xml:space="preserve">On 12 December 2019, Dr Heather Smith, Secretary of the Department of Industry, Innovation and Science, wrote to the Tribunal advising that the Chief Scientist, Dr Alan </w:t>
      </w:r>
      <w:proofErr w:type="spellStart"/>
      <w:r>
        <w:t>Finkel’s</w:t>
      </w:r>
      <w:proofErr w:type="spellEnd"/>
      <w:r>
        <w:t xml:space="preserve"> AO, appointment had b</w:t>
      </w:r>
      <w:r w:rsidR="008B7BBD">
        <w:t>een extended until 31 </w:t>
      </w:r>
      <w:r>
        <w:t>December 2020.  Dr Smith sought the Tribunal</w:t>
      </w:r>
      <w:r w:rsidR="00A50379">
        <w:t>’</w:t>
      </w:r>
      <w:r>
        <w:t xml:space="preserve">s </w:t>
      </w:r>
      <w:r w:rsidR="008B7BBD">
        <w:t>agreement to the continuation of accommodation assistance for the Chief Scientist</w:t>
      </w:r>
      <w:r w:rsidR="00A50379">
        <w:t>, consistent with its Relational Assistance Guidelines</w:t>
      </w:r>
      <w:r w:rsidR="008B7BBD">
        <w:t xml:space="preserve">.  The submission </w:t>
      </w:r>
      <w:r w:rsidR="00A50379">
        <w:t>confirmed</w:t>
      </w:r>
      <w:r w:rsidR="008B7BBD">
        <w:t xml:space="preserve"> that the office holder’s circumstances had not changed.  </w:t>
      </w:r>
      <w:r w:rsidR="00B73DE4">
        <w:t>The amount of assistance has not changed.</w:t>
      </w:r>
    </w:p>
    <w:p w14:paraId="70358E63" w14:textId="655DEFCA" w:rsidR="003F742B" w:rsidRPr="000E6157" w:rsidRDefault="00937258" w:rsidP="000E6157">
      <w:pPr>
        <w:tabs>
          <w:tab w:val="left" w:pos="884"/>
          <w:tab w:val="left" w:pos="885"/>
        </w:tabs>
        <w:spacing w:before="122" w:line="276" w:lineRule="auto"/>
        <w:ind w:left="460" w:right="425"/>
        <w:rPr>
          <w:i/>
        </w:rPr>
      </w:pPr>
      <w:r>
        <w:rPr>
          <w:i/>
        </w:rPr>
        <w:t xml:space="preserve">Chief Executive Officer, </w:t>
      </w:r>
      <w:r w:rsidR="003F742B" w:rsidRPr="000E6157">
        <w:rPr>
          <w:i/>
        </w:rPr>
        <w:t>Northern Australian Infrastructure Facility</w:t>
      </w:r>
    </w:p>
    <w:p w14:paraId="3EA98959" w14:textId="1A8A8674" w:rsidR="003F742B" w:rsidRDefault="002E4378" w:rsidP="003F742B">
      <w:pPr>
        <w:pStyle w:val="ListParagraph"/>
        <w:numPr>
          <w:ilvl w:val="0"/>
          <w:numId w:val="2"/>
        </w:numPr>
        <w:tabs>
          <w:tab w:val="left" w:pos="884"/>
          <w:tab w:val="left" w:pos="885"/>
        </w:tabs>
        <w:spacing w:before="122" w:line="276" w:lineRule="auto"/>
        <w:ind w:right="425"/>
      </w:pPr>
      <w:r>
        <w:t xml:space="preserve">On 2 December 2019, </w:t>
      </w:r>
      <w:r w:rsidR="003F742B">
        <w:t xml:space="preserve">Senator the Hon Matthew Canavan, Minister for Resources and Northern Australia, wrote to the Tribunal seeking accommodation and reunion fares assistance for Mr Christopher Wade, the proposed CEO of Northern Australia Infrastructure Facility.  </w:t>
      </w:r>
      <w:r w:rsidR="005769A8">
        <w:t>The submission provided information on the office holder’s circumstances, consistent with the Tribunal’s Relocation Assistance Guidelines.</w:t>
      </w:r>
    </w:p>
    <w:p w14:paraId="6646252E" w14:textId="6E7F458F" w:rsidR="006A1B87" w:rsidRPr="000E6157" w:rsidRDefault="006A1B87" w:rsidP="000E6157">
      <w:pPr>
        <w:tabs>
          <w:tab w:val="left" w:pos="884"/>
          <w:tab w:val="left" w:pos="885"/>
        </w:tabs>
        <w:spacing w:before="122" w:line="276" w:lineRule="auto"/>
        <w:ind w:left="460" w:right="425"/>
        <w:rPr>
          <w:i/>
        </w:rPr>
      </w:pPr>
      <w:r w:rsidRPr="000E6157">
        <w:rPr>
          <w:i/>
        </w:rPr>
        <w:t>Chief Executive Officer, Australian Pesticides and Veterinary Medicines Authority</w:t>
      </w:r>
    </w:p>
    <w:p w14:paraId="4F9343AF" w14:textId="5A671F34" w:rsidR="006A1B87" w:rsidRDefault="006A1B87" w:rsidP="006A1B87">
      <w:pPr>
        <w:pStyle w:val="ListParagraph"/>
        <w:numPr>
          <w:ilvl w:val="0"/>
          <w:numId w:val="2"/>
        </w:numPr>
        <w:tabs>
          <w:tab w:val="left" w:pos="884"/>
          <w:tab w:val="left" w:pos="885"/>
        </w:tabs>
        <w:spacing w:before="122" w:line="276" w:lineRule="auto"/>
        <w:ind w:right="425"/>
      </w:pPr>
      <w:r>
        <w:t>Dr Chris Parker’s entitlement to accommodation assistance ceased on 31</w:t>
      </w:r>
      <w:r w:rsidR="008B7BBD">
        <w:t> </w:t>
      </w:r>
      <w:r>
        <w:t xml:space="preserve">December 2019.  </w:t>
      </w:r>
      <w:r w:rsidR="00991BA3">
        <w:t>The Tribunal received advice from officials in the</w:t>
      </w:r>
      <w:r w:rsidR="00991BA3" w:rsidRPr="00991BA3">
        <w:rPr>
          <w:i/>
        </w:rPr>
        <w:t xml:space="preserve"> </w:t>
      </w:r>
      <w:r w:rsidR="00991BA3" w:rsidRPr="00991BA3">
        <w:t>Australian Pesticides and Veterinary Medicines Authority</w:t>
      </w:r>
      <w:r w:rsidR="00991BA3">
        <w:t xml:space="preserve"> that an extension of accommodation assistance would not be sought. </w:t>
      </w:r>
      <w:r w:rsidR="00991BA3" w:rsidRPr="00991BA3">
        <w:t xml:space="preserve"> </w:t>
      </w:r>
      <w:r w:rsidRPr="00991BA3">
        <w:t>The</w:t>
      </w:r>
      <w:r>
        <w:t xml:space="preserve"> amendments remove Dr Parker’s accommodation </w:t>
      </w:r>
      <w:r w:rsidR="005F2595">
        <w:t>assistance.</w:t>
      </w:r>
    </w:p>
    <w:p w14:paraId="79370C5E" w14:textId="0C9E0937" w:rsidR="005F2595" w:rsidRPr="000E6157" w:rsidRDefault="008B7BBD" w:rsidP="000E6157">
      <w:pPr>
        <w:tabs>
          <w:tab w:val="left" w:pos="884"/>
          <w:tab w:val="left" w:pos="885"/>
        </w:tabs>
        <w:spacing w:before="122" w:line="276" w:lineRule="auto"/>
        <w:ind w:left="460" w:right="425"/>
        <w:rPr>
          <w:i/>
        </w:rPr>
      </w:pPr>
      <w:r>
        <w:rPr>
          <w:i/>
        </w:rPr>
        <w:br w:type="column"/>
      </w:r>
      <w:r w:rsidR="005F2595" w:rsidRPr="000E6157">
        <w:rPr>
          <w:i/>
        </w:rPr>
        <w:lastRenderedPageBreak/>
        <w:t>Anti-Doping Rule Violation Panel</w:t>
      </w:r>
    </w:p>
    <w:p w14:paraId="733023AD" w14:textId="5E0306CE" w:rsidR="008B7BBD" w:rsidRPr="00F84558" w:rsidRDefault="008B7BBD" w:rsidP="007E45E0">
      <w:pPr>
        <w:pStyle w:val="ListParagraph"/>
        <w:numPr>
          <w:ilvl w:val="0"/>
          <w:numId w:val="2"/>
        </w:numPr>
        <w:tabs>
          <w:tab w:val="left" w:pos="884"/>
          <w:tab w:val="left" w:pos="885"/>
        </w:tabs>
        <w:spacing w:before="122" w:line="276" w:lineRule="auto"/>
        <w:ind w:right="425"/>
      </w:pPr>
      <w:r w:rsidRPr="00F84558">
        <w:t xml:space="preserve">In </w:t>
      </w:r>
      <w:r w:rsidR="001A5F1C" w:rsidRPr="00F84558">
        <w:t>November</w:t>
      </w:r>
      <w:r w:rsidRPr="00F84558">
        <w:t> 2019, the Tribunal received advice from the Department</w:t>
      </w:r>
      <w:r w:rsidR="001A5F1C" w:rsidRPr="00F84558">
        <w:t xml:space="preserve"> of Health</w:t>
      </w:r>
      <w:r w:rsidRPr="00F84558">
        <w:t xml:space="preserve"> that the </w:t>
      </w:r>
      <w:r w:rsidR="001A5F1C" w:rsidRPr="00F84558">
        <w:t>Anti-Doping Rule Violation Panel</w:t>
      </w:r>
      <w:r w:rsidRPr="00F84558">
        <w:t xml:space="preserve"> had been </w:t>
      </w:r>
      <w:r w:rsidR="001A5F1C" w:rsidRPr="00F84558">
        <w:t xml:space="preserve">abolished </w:t>
      </w:r>
      <w:r w:rsidR="00F84558" w:rsidRPr="00F84558">
        <w:t xml:space="preserve">by updates to the </w:t>
      </w:r>
      <w:r w:rsidR="00F84558" w:rsidRPr="00F84558">
        <w:rPr>
          <w:i/>
        </w:rPr>
        <w:t xml:space="preserve">Australian Sports Anti-Doping Authority Act 2006 </w:t>
      </w:r>
      <w:r w:rsidR="001A5F1C" w:rsidRPr="00F84558">
        <w:t>in 201</w:t>
      </w:r>
      <w:r w:rsidR="00F84558" w:rsidRPr="00F84558">
        <w:t>7</w:t>
      </w:r>
      <w:r w:rsidR="001A5F1C" w:rsidRPr="00F84558">
        <w:t>.</w:t>
      </w:r>
    </w:p>
    <w:p w14:paraId="2421FBFF" w14:textId="33EA1801" w:rsidR="005F2595" w:rsidRPr="000E6157" w:rsidRDefault="005F2595" w:rsidP="000E6157">
      <w:pPr>
        <w:tabs>
          <w:tab w:val="left" w:pos="884"/>
          <w:tab w:val="left" w:pos="885"/>
        </w:tabs>
        <w:spacing w:before="122" w:line="276" w:lineRule="auto"/>
        <w:ind w:left="460" w:right="425"/>
        <w:rPr>
          <w:i/>
        </w:rPr>
      </w:pPr>
      <w:r w:rsidRPr="000E6157">
        <w:rPr>
          <w:i/>
        </w:rPr>
        <w:t>Anti-Doping Research Program</w:t>
      </w:r>
      <w:r>
        <w:rPr>
          <w:i/>
        </w:rPr>
        <w:t xml:space="preserve"> Panel</w:t>
      </w:r>
    </w:p>
    <w:p w14:paraId="4EDCCFB6" w14:textId="26388CC2" w:rsidR="001A5F1C" w:rsidRDefault="001A5F1C" w:rsidP="001A5F1C">
      <w:pPr>
        <w:pStyle w:val="ListParagraph"/>
        <w:numPr>
          <w:ilvl w:val="0"/>
          <w:numId w:val="2"/>
        </w:numPr>
        <w:tabs>
          <w:tab w:val="left" w:pos="884"/>
          <w:tab w:val="left" w:pos="885"/>
        </w:tabs>
        <w:spacing w:before="122" w:line="276" w:lineRule="auto"/>
        <w:ind w:right="425"/>
      </w:pPr>
      <w:r>
        <w:t>In August</w:t>
      </w:r>
      <w:r w:rsidRPr="17B164D5">
        <w:t> </w:t>
      </w:r>
      <w:r>
        <w:t xml:space="preserve">2019, the Tribunal received advice from the Department of Health that the </w:t>
      </w:r>
      <w:r w:rsidRPr="001A5F1C">
        <w:t>Anti-Doping Research Program Panel</w:t>
      </w:r>
      <w:r>
        <w:t xml:space="preserve"> had been abolished in 2014 as part of the whole of Government position to rationalise the number of non-statutory committees.  The panel was not established under legislation.</w:t>
      </w:r>
    </w:p>
    <w:p w14:paraId="4F1C0905" w14:textId="229CDCB4" w:rsidR="005F2595" w:rsidRPr="000E6157" w:rsidRDefault="005F2595" w:rsidP="001A5F1C">
      <w:pPr>
        <w:pStyle w:val="ListParagraph"/>
        <w:numPr>
          <w:ilvl w:val="0"/>
          <w:numId w:val="2"/>
        </w:numPr>
        <w:tabs>
          <w:tab w:val="left" w:pos="884"/>
          <w:tab w:val="left" w:pos="885"/>
        </w:tabs>
        <w:spacing w:before="122" w:line="276" w:lineRule="auto"/>
        <w:ind w:right="425"/>
        <w:rPr>
          <w:i/>
        </w:rPr>
      </w:pPr>
      <w:r w:rsidRPr="000E6157">
        <w:rPr>
          <w:i/>
        </w:rPr>
        <w:t>Medical Training Review Panel</w:t>
      </w:r>
    </w:p>
    <w:p w14:paraId="3449C219" w14:textId="315FBAE4" w:rsidR="005F2595" w:rsidRPr="0006168F" w:rsidRDefault="001A5F1C" w:rsidP="0006168F">
      <w:pPr>
        <w:pStyle w:val="ListParagraph"/>
        <w:numPr>
          <w:ilvl w:val="0"/>
          <w:numId w:val="2"/>
        </w:numPr>
        <w:tabs>
          <w:tab w:val="left" w:pos="884"/>
          <w:tab w:val="left" w:pos="885"/>
        </w:tabs>
        <w:spacing w:before="122" w:line="276" w:lineRule="auto"/>
        <w:ind w:right="425"/>
        <w:rPr>
          <w:i/>
          <w:iCs/>
        </w:rPr>
      </w:pPr>
      <w:r>
        <w:t>In August</w:t>
      </w:r>
      <w:r w:rsidRPr="17B164D5">
        <w:t> </w:t>
      </w:r>
      <w:r>
        <w:t xml:space="preserve">2019, the Tribunal received advice from the Department of Health that the Medical Training Review Panel had been abolished by updates to the </w:t>
      </w:r>
      <w:r>
        <w:rPr>
          <w:i/>
        </w:rPr>
        <w:t>Health Insurance Act 1973</w:t>
      </w:r>
      <w:r w:rsidR="001D0060">
        <w:t xml:space="preserve">, </w:t>
      </w:r>
      <w:r>
        <w:t>which commenced on 1 August 2017.</w:t>
      </w:r>
    </w:p>
    <w:p w14:paraId="4C8E918B" w14:textId="1EC61BE4" w:rsidR="00182714" w:rsidRPr="003C7A0A" w:rsidRDefault="008653D3" w:rsidP="003C7A0A">
      <w:pPr>
        <w:tabs>
          <w:tab w:val="left" w:pos="884"/>
          <w:tab w:val="left" w:pos="885"/>
        </w:tabs>
        <w:spacing w:before="120" w:line="276" w:lineRule="auto"/>
        <w:ind w:left="460" w:right="425"/>
        <w:rPr>
          <w:b/>
        </w:rPr>
      </w:pPr>
      <w:r w:rsidRPr="003C7A0A">
        <w:rPr>
          <w:b/>
        </w:rPr>
        <w:t>Retrospectivity</w:t>
      </w:r>
    </w:p>
    <w:p w14:paraId="147268FA" w14:textId="77777777" w:rsidR="00182714" w:rsidRPr="00C3603A" w:rsidRDefault="008653D3" w:rsidP="005862A0">
      <w:pPr>
        <w:pStyle w:val="ListParagraph"/>
        <w:numPr>
          <w:ilvl w:val="0"/>
          <w:numId w:val="2"/>
        </w:numPr>
        <w:tabs>
          <w:tab w:val="left" w:pos="886"/>
        </w:tabs>
        <w:spacing w:before="122" w:line="276" w:lineRule="auto"/>
        <w:ind w:right="425"/>
      </w:pPr>
      <w:r w:rsidRPr="00C3603A">
        <w:t xml:space="preserve">Any retrospective application of this determination is in accordance with subsection 12(2) of the </w:t>
      </w:r>
      <w:r w:rsidRPr="00C3603A">
        <w:rPr>
          <w:i/>
          <w:iCs/>
        </w:rPr>
        <w:t xml:space="preserve">Legislation Act 2003 </w:t>
      </w:r>
      <w:r w:rsidRPr="00C3603A">
        <w:t>as it does not affect the rights of a person (other than the Commonwealth or an authority of the Commonwealth) to that person’s disadvantage, nor does it impose any liability on such a person.</w:t>
      </w:r>
    </w:p>
    <w:p w14:paraId="0431EC61" w14:textId="5BAB75DE" w:rsidR="00182714" w:rsidRPr="00C3603A" w:rsidRDefault="008653D3" w:rsidP="005862A0">
      <w:pPr>
        <w:pStyle w:val="Heading1"/>
        <w:spacing w:before="121"/>
      </w:pPr>
      <w:r w:rsidRPr="00C3603A">
        <w:t>The power to repeal, rescind and revoke, amend and vary</w:t>
      </w:r>
    </w:p>
    <w:p w14:paraId="1D26D3BC" w14:textId="08BC2A48" w:rsidR="000078DD" w:rsidRPr="00C3603A" w:rsidRDefault="008653D3" w:rsidP="005862A0">
      <w:pPr>
        <w:pStyle w:val="ListParagraph"/>
        <w:numPr>
          <w:ilvl w:val="0"/>
          <w:numId w:val="2"/>
        </w:numPr>
        <w:tabs>
          <w:tab w:val="left" w:pos="885"/>
        </w:tabs>
        <w:spacing w:before="122" w:line="276" w:lineRule="auto"/>
        <w:ind w:right="425"/>
      </w:pPr>
      <w:r w:rsidRPr="00C3603A">
        <w:t xml:space="preserve">Under subsection 33(3) of the </w:t>
      </w:r>
      <w:r w:rsidRPr="00A8093D">
        <w:rPr>
          <w:i/>
        </w:rPr>
        <w:t>Acts Interpretation Act 1901</w:t>
      </w:r>
      <w:r w:rsidRPr="00C3603A">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0899711" w14:textId="77777777" w:rsidR="00182714" w:rsidRPr="00C3603A" w:rsidRDefault="008653D3" w:rsidP="00A15936">
      <w:pPr>
        <w:pStyle w:val="Heading1"/>
        <w:spacing w:before="121"/>
      </w:pPr>
      <w:r w:rsidRPr="00C3603A">
        <w:t>Details of the determination are as follows:</w:t>
      </w:r>
    </w:p>
    <w:p w14:paraId="29753C99" w14:textId="77777777" w:rsidR="00182714" w:rsidRPr="00C3603A" w:rsidRDefault="008653D3" w:rsidP="005862A0">
      <w:pPr>
        <w:pStyle w:val="ListParagraph"/>
        <w:numPr>
          <w:ilvl w:val="0"/>
          <w:numId w:val="2"/>
        </w:numPr>
        <w:tabs>
          <w:tab w:val="left" w:pos="885"/>
        </w:tabs>
        <w:spacing w:before="181"/>
      </w:pPr>
      <w:r w:rsidRPr="00C3603A">
        <w:t>Section 1 specifies the name of the instrument.</w:t>
      </w:r>
    </w:p>
    <w:p w14:paraId="11A26FC2" w14:textId="77777777" w:rsidR="00182714" w:rsidRPr="00C3603A" w:rsidRDefault="008653D3" w:rsidP="005862A0">
      <w:pPr>
        <w:pStyle w:val="ListParagraph"/>
        <w:numPr>
          <w:ilvl w:val="0"/>
          <w:numId w:val="2"/>
        </w:numPr>
        <w:tabs>
          <w:tab w:val="left" w:pos="885"/>
        </w:tabs>
        <w:spacing w:before="160"/>
      </w:pPr>
      <w:r w:rsidRPr="00C3603A">
        <w:t>Section 2 specifies when the instrument commences.</w:t>
      </w:r>
    </w:p>
    <w:p w14:paraId="1FA62578" w14:textId="77777777" w:rsidR="00182714" w:rsidRPr="00C3603A" w:rsidRDefault="008653D3" w:rsidP="005862A0">
      <w:pPr>
        <w:pStyle w:val="ListParagraph"/>
        <w:numPr>
          <w:ilvl w:val="0"/>
          <w:numId w:val="2"/>
        </w:numPr>
        <w:tabs>
          <w:tab w:val="left" w:pos="885"/>
        </w:tabs>
        <w:spacing w:before="160"/>
      </w:pPr>
      <w:r w:rsidRPr="00C3603A">
        <w:t>Section 3 specifies the authority for the instrument.</w:t>
      </w:r>
    </w:p>
    <w:p w14:paraId="43F824B7" w14:textId="77777777" w:rsidR="00182714" w:rsidRPr="00C3603A" w:rsidRDefault="008653D3" w:rsidP="005862A0">
      <w:pPr>
        <w:pStyle w:val="ListParagraph"/>
        <w:numPr>
          <w:ilvl w:val="0"/>
          <w:numId w:val="2"/>
        </w:numPr>
        <w:tabs>
          <w:tab w:val="left" w:pos="885"/>
        </w:tabs>
        <w:spacing w:before="160" w:line="276" w:lineRule="auto"/>
        <w:ind w:right="832"/>
      </w:pPr>
      <w:r w:rsidRPr="00C3603A">
        <w:t>Section 4 outlines the effect of instruments specified in a Schedule to the instrument.</w:t>
      </w:r>
    </w:p>
    <w:p w14:paraId="21A55C32" w14:textId="77777777" w:rsidR="00182714" w:rsidRPr="00C3603A" w:rsidRDefault="008653D3" w:rsidP="005862A0">
      <w:pPr>
        <w:pStyle w:val="ListParagraph"/>
        <w:numPr>
          <w:ilvl w:val="0"/>
          <w:numId w:val="2"/>
        </w:numPr>
        <w:tabs>
          <w:tab w:val="left" w:pos="884"/>
        </w:tabs>
        <w:spacing w:line="278" w:lineRule="auto"/>
        <w:ind w:right="692"/>
      </w:pPr>
      <w:r w:rsidRPr="00C3603A">
        <w:t>Schedule 1 sets out the amendments made to the instruments specified in Schedule 1.</w:t>
      </w:r>
    </w:p>
    <w:p w14:paraId="386FC0E1" w14:textId="79E914C9" w:rsidR="00AC0D3B" w:rsidRDefault="00652A2F" w:rsidP="00AC0D3B">
      <w:pPr>
        <w:pStyle w:val="Heading1"/>
        <w:spacing w:before="117"/>
        <w:ind w:left="459"/>
      </w:pPr>
      <w:r>
        <w:br w:type="column"/>
      </w:r>
      <w:r w:rsidR="00AC0D3B" w:rsidRPr="00CA1E2C">
        <w:lastRenderedPageBreak/>
        <w:t>SCHEDULE 1—AMENDMENTS</w:t>
      </w:r>
    </w:p>
    <w:p w14:paraId="723F8540" w14:textId="28D1C410" w:rsidR="00C662A9" w:rsidRPr="00CA1E2C" w:rsidRDefault="00206FB6" w:rsidP="00C662A9">
      <w:pPr>
        <w:pStyle w:val="Heading1"/>
        <w:spacing w:before="121"/>
      </w:pPr>
      <w:r>
        <w:t>Part 1</w:t>
      </w:r>
      <w:r w:rsidR="00C662A9">
        <w:t>—Main amendments</w:t>
      </w:r>
    </w:p>
    <w:p w14:paraId="0CD4E3B6" w14:textId="77777777" w:rsidR="00206FB6" w:rsidRDefault="00206FB6" w:rsidP="00206FB6">
      <w:pPr>
        <w:pStyle w:val="Heading2"/>
      </w:pPr>
      <w:r w:rsidRPr="00CA1E2C">
        <w:t>Remuneration Tribunal (Remuneration and Allowances for Holders of Full-time Public Office) Determination 201</w:t>
      </w:r>
      <w:r>
        <w:t>9</w:t>
      </w:r>
    </w:p>
    <w:p w14:paraId="315FEB87" w14:textId="193C05BA" w:rsidR="00C662A9" w:rsidRDefault="00206FB6" w:rsidP="00296BA6">
      <w:pPr>
        <w:pStyle w:val="ListParagraph"/>
        <w:numPr>
          <w:ilvl w:val="0"/>
          <w:numId w:val="2"/>
        </w:numPr>
        <w:tabs>
          <w:tab w:val="left" w:pos="884"/>
        </w:tabs>
        <w:spacing w:before="121" w:line="276" w:lineRule="auto"/>
        <w:ind w:right="12"/>
      </w:pPr>
      <w:r>
        <w:t>Item 1</w:t>
      </w:r>
      <w:r w:rsidR="00C662A9">
        <w:t xml:space="preserve"> </w:t>
      </w:r>
      <w:r w:rsidR="00312C04">
        <w:t>sets</w:t>
      </w:r>
      <w:r w:rsidR="00C662A9">
        <w:t xml:space="preserve"> remuneration and travel tier for </w:t>
      </w:r>
      <w:r w:rsidR="00380DC3">
        <w:t xml:space="preserve">the </w:t>
      </w:r>
      <w:r w:rsidR="00D56FE0">
        <w:t xml:space="preserve">office of </w:t>
      </w:r>
      <w:r>
        <w:t>Chief Executive Officer of Services Australia</w:t>
      </w:r>
      <w:r w:rsidR="00C662A9">
        <w:t>.</w:t>
      </w:r>
    </w:p>
    <w:p w14:paraId="2EB46758" w14:textId="77F639A3" w:rsidR="00B46EC2" w:rsidRDefault="00B46EC2" w:rsidP="00296BA6">
      <w:pPr>
        <w:pStyle w:val="ListParagraph"/>
        <w:numPr>
          <w:ilvl w:val="0"/>
          <w:numId w:val="2"/>
        </w:numPr>
        <w:tabs>
          <w:tab w:val="left" w:pos="884"/>
        </w:tabs>
        <w:spacing w:before="121" w:line="276" w:lineRule="auto"/>
        <w:ind w:right="12"/>
      </w:pPr>
      <w:r>
        <w:t>Item 2 inserts remuneration, travel tier and special provisions for the Coordinator-General of the National Drought and North Queensland Flood Response and Recovery Agency</w:t>
      </w:r>
      <w:r w:rsidR="00AA40E7">
        <w:t>.</w:t>
      </w:r>
    </w:p>
    <w:p w14:paraId="3C0E21E5" w14:textId="5BA80BF6" w:rsidR="00AA40E7" w:rsidRDefault="00AA40E7" w:rsidP="00296BA6">
      <w:pPr>
        <w:pStyle w:val="ListParagraph"/>
        <w:numPr>
          <w:ilvl w:val="0"/>
          <w:numId w:val="2"/>
        </w:numPr>
        <w:tabs>
          <w:tab w:val="left" w:pos="884"/>
        </w:tabs>
        <w:spacing w:before="121" w:line="276" w:lineRule="auto"/>
        <w:ind w:right="12"/>
      </w:pPr>
      <w:r>
        <w:t>Item 3 removes the North Queensland Livestock Industry Recovery Agency.</w:t>
      </w:r>
    </w:p>
    <w:p w14:paraId="58DFD3CD" w14:textId="373B4E5B" w:rsidR="00DC78E0" w:rsidRDefault="00DC78E0" w:rsidP="00296BA6">
      <w:pPr>
        <w:pStyle w:val="ListParagraph"/>
        <w:numPr>
          <w:ilvl w:val="0"/>
          <w:numId w:val="2"/>
        </w:numPr>
        <w:tabs>
          <w:tab w:val="left" w:pos="884"/>
        </w:tabs>
        <w:spacing w:before="121" w:line="276" w:lineRule="auto"/>
        <w:ind w:right="12"/>
      </w:pPr>
      <w:r>
        <w:t xml:space="preserve">Item 4 removes the special provisions </w:t>
      </w:r>
      <w:r w:rsidR="008B38D5">
        <w:t>for the office of</w:t>
      </w:r>
      <w:r w:rsidR="0041792C">
        <w:t xml:space="preserve"> Chief Executive Officer, Innovation and Science Australia</w:t>
      </w:r>
      <w:r>
        <w:t>.</w:t>
      </w:r>
    </w:p>
    <w:p w14:paraId="5810A13C" w14:textId="39646AFF" w:rsidR="00DC78E0" w:rsidRDefault="00DC78E0" w:rsidP="00296BA6">
      <w:pPr>
        <w:pStyle w:val="ListParagraph"/>
        <w:numPr>
          <w:ilvl w:val="0"/>
          <w:numId w:val="2"/>
        </w:numPr>
        <w:tabs>
          <w:tab w:val="left" w:pos="884"/>
        </w:tabs>
        <w:spacing w:before="121" w:line="276" w:lineRule="auto"/>
        <w:ind w:right="12"/>
      </w:pPr>
      <w:r>
        <w:t>Item 5 changes the office and agency name from Chief Executive Officer, North Queensland Livestock Recovery Agency to Coordinator-General, National Drought and North Queensland Flood Response and Recovery Agency.</w:t>
      </w:r>
    </w:p>
    <w:p w14:paraId="5C6997B8" w14:textId="36B94C06" w:rsidR="00832C9F" w:rsidRDefault="00832C9F" w:rsidP="00296BA6">
      <w:pPr>
        <w:pStyle w:val="ListParagraph"/>
        <w:numPr>
          <w:ilvl w:val="0"/>
          <w:numId w:val="2"/>
        </w:numPr>
        <w:tabs>
          <w:tab w:val="left" w:pos="884"/>
        </w:tabs>
        <w:spacing w:before="121" w:line="276" w:lineRule="auto"/>
        <w:ind w:right="12"/>
      </w:pPr>
      <w:r>
        <w:t xml:space="preserve">Item 6 removes the </w:t>
      </w:r>
      <w:r w:rsidR="004A7E36">
        <w:t>additional fixed loading</w:t>
      </w:r>
      <w:r>
        <w:t xml:space="preserve"> for Dr Charlie Day</w:t>
      </w:r>
      <w:r w:rsidR="0041792C">
        <w:t>, former Chief Executive Officer, Innovation and Science Australia</w:t>
      </w:r>
      <w:r>
        <w:t>.</w:t>
      </w:r>
    </w:p>
    <w:p w14:paraId="5FA1B410" w14:textId="1C641416" w:rsidR="00832C9F" w:rsidRDefault="00832C9F" w:rsidP="00296BA6">
      <w:pPr>
        <w:pStyle w:val="ListParagraph"/>
        <w:numPr>
          <w:ilvl w:val="0"/>
          <w:numId w:val="2"/>
        </w:numPr>
        <w:tabs>
          <w:tab w:val="left" w:pos="884"/>
        </w:tabs>
        <w:spacing w:before="121" w:line="276" w:lineRule="auto"/>
        <w:ind w:right="12"/>
      </w:pPr>
      <w:r>
        <w:t>Item 7 removes accommodation assistance for Mr Michael Griffin</w:t>
      </w:r>
      <w:r w:rsidR="0041792C">
        <w:t>, former Integrity Commissioner, Australian Commission for Law Enforcement Integrity</w:t>
      </w:r>
      <w:r>
        <w:t xml:space="preserve"> and Dr Charlie Day</w:t>
      </w:r>
      <w:r w:rsidR="0041792C">
        <w:t>, former Chief Executive Officer, Innovation and Science Australia</w:t>
      </w:r>
      <w:r>
        <w:t>.</w:t>
      </w:r>
    </w:p>
    <w:p w14:paraId="5C59B4EF" w14:textId="5E0E8CD4" w:rsidR="0029252D" w:rsidRDefault="0029252D" w:rsidP="0029252D">
      <w:pPr>
        <w:pStyle w:val="ListParagraph"/>
        <w:numPr>
          <w:ilvl w:val="0"/>
          <w:numId w:val="2"/>
        </w:numPr>
        <w:tabs>
          <w:tab w:val="left" w:pos="884"/>
        </w:tabs>
        <w:spacing w:before="121" w:line="276" w:lineRule="auto"/>
        <w:ind w:right="12"/>
      </w:pPr>
      <w:r>
        <w:t xml:space="preserve">Item 8 inserts the cessation date for accommodation assistance previously determined by the Tribunal for Dr Alan </w:t>
      </w:r>
      <w:proofErr w:type="spellStart"/>
      <w:r>
        <w:t>Finkel</w:t>
      </w:r>
      <w:proofErr w:type="spellEnd"/>
      <w:r>
        <w:t>, Chief Scientist.</w:t>
      </w:r>
    </w:p>
    <w:p w14:paraId="6F3D8591" w14:textId="74BB6E14" w:rsidR="00760D2C" w:rsidRDefault="00760D2C" w:rsidP="0029252D">
      <w:pPr>
        <w:pStyle w:val="ListParagraph"/>
        <w:numPr>
          <w:ilvl w:val="0"/>
          <w:numId w:val="2"/>
        </w:numPr>
        <w:tabs>
          <w:tab w:val="left" w:pos="884"/>
        </w:tabs>
        <w:spacing w:before="121" w:line="276" w:lineRule="auto"/>
        <w:ind w:right="12"/>
      </w:pPr>
      <w:r>
        <w:t>Item 9 inserts accommodation assistance for Mr Christopher Wade, Chief Executive Officer</w:t>
      </w:r>
      <w:r w:rsidR="0041792C">
        <w:t xml:space="preserve">, </w:t>
      </w:r>
      <w:r>
        <w:t>Norther</w:t>
      </w:r>
      <w:r w:rsidR="0041792C">
        <w:t>n</w:t>
      </w:r>
      <w:r>
        <w:t xml:space="preserve"> Australia Infrastructure Facility.</w:t>
      </w:r>
    </w:p>
    <w:p w14:paraId="7207A33F" w14:textId="32266F0A" w:rsidR="00AA40E7" w:rsidRDefault="00AA40E7" w:rsidP="004A7E36">
      <w:pPr>
        <w:pStyle w:val="ListParagraph"/>
        <w:numPr>
          <w:ilvl w:val="0"/>
          <w:numId w:val="2"/>
        </w:numPr>
        <w:tabs>
          <w:tab w:val="left" w:pos="884"/>
        </w:tabs>
        <w:spacing w:before="121" w:line="276" w:lineRule="auto"/>
        <w:ind w:right="12"/>
      </w:pPr>
      <w:r>
        <w:t>Item 10 removes accommodation assistance for Dr Chris Parker, Chief Executive Officer, Australian Pesticides and Veterinary Medicines Authority.</w:t>
      </w:r>
    </w:p>
    <w:p w14:paraId="5770E076" w14:textId="054FE269" w:rsidR="00AA40E7" w:rsidRDefault="00AA40E7" w:rsidP="00AA40E7">
      <w:pPr>
        <w:pStyle w:val="ListParagraph"/>
        <w:numPr>
          <w:ilvl w:val="0"/>
          <w:numId w:val="2"/>
        </w:numPr>
        <w:tabs>
          <w:tab w:val="left" w:pos="884"/>
        </w:tabs>
        <w:spacing w:before="121" w:line="276" w:lineRule="auto"/>
        <w:ind w:right="12"/>
      </w:pPr>
      <w:r>
        <w:t>Item 11 removes reunion fares assistance for Dr Charlie Day, former Chief Executive Officer, Innovation and Science Australia.</w:t>
      </w:r>
    </w:p>
    <w:p w14:paraId="10E22BA8" w14:textId="7C97453A" w:rsidR="005769A8" w:rsidRDefault="005769A8" w:rsidP="00296BA6">
      <w:pPr>
        <w:pStyle w:val="ListParagraph"/>
        <w:numPr>
          <w:ilvl w:val="0"/>
          <w:numId w:val="2"/>
        </w:numPr>
        <w:tabs>
          <w:tab w:val="left" w:pos="884"/>
        </w:tabs>
        <w:spacing w:before="121" w:line="276" w:lineRule="auto"/>
        <w:ind w:right="12"/>
      </w:pPr>
      <w:r>
        <w:t xml:space="preserve">Item </w:t>
      </w:r>
      <w:r w:rsidR="00AA40E7">
        <w:t>12</w:t>
      </w:r>
      <w:r>
        <w:t xml:space="preserve"> inserts reunion fares assistance for</w:t>
      </w:r>
      <w:r w:rsidR="004A7E36">
        <w:t xml:space="preserve"> Mr Christopher Wade, Chief </w:t>
      </w:r>
      <w:r>
        <w:t>Executive Officer, Northern Australia Infrastructure Facility.</w:t>
      </w:r>
    </w:p>
    <w:p w14:paraId="16F5EB73" w14:textId="6FA14FCB" w:rsidR="006A1B87" w:rsidRDefault="006A1B87" w:rsidP="00296BA6">
      <w:pPr>
        <w:pStyle w:val="ListParagraph"/>
        <w:numPr>
          <w:ilvl w:val="0"/>
          <w:numId w:val="2"/>
        </w:numPr>
        <w:tabs>
          <w:tab w:val="left" w:pos="884"/>
        </w:tabs>
        <w:spacing w:before="121" w:line="276" w:lineRule="auto"/>
        <w:ind w:right="12"/>
      </w:pPr>
      <w:r>
        <w:t xml:space="preserve">Item </w:t>
      </w:r>
      <w:r w:rsidR="00AA40E7">
        <w:t>13</w:t>
      </w:r>
      <w:r>
        <w:t xml:space="preserve"> removes reunion fares assistance for Mr Michael Griffin, former Integrity Commissioner, Australian Commission for Law Enforcement Integrity.</w:t>
      </w:r>
    </w:p>
    <w:p w14:paraId="7AD5EE65" w14:textId="75397B70" w:rsidR="00BD3660" w:rsidRDefault="00BD3660" w:rsidP="00296BA6">
      <w:pPr>
        <w:pStyle w:val="ListParagraph"/>
        <w:numPr>
          <w:ilvl w:val="0"/>
          <w:numId w:val="2"/>
        </w:numPr>
        <w:tabs>
          <w:tab w:val="left" w:pos="884"/>
        </w:tabs>
        <w:spacing w:before="121" w:line="276" w:lineRule="auto"/>
        <w:ind w:right="12"/>
      </w:pPr>
      <w:r>
        <w:t xml:space="preserve">Item 14 </w:t>
      </w:r>
      <w:r w:rsidR="004A7E36">
        <w:t>sets the commencement date for the provision specified in item 1</w:t>
      </w:r>
      <w:r>
        <w:t>.</w:t>
      </w:r>
    </w:p>
    <w:p w14:paraId="357EC0F5" w14:textId="235FBE46" w:rsidR="005F2595" w:rsidRPr="000E6157" w:rsidRDefault="005F2595" w:rsidP="000E6157">
      <w:pPr>
        <w:tabs>
          <w:tab w:val="left" w:pos="884"/>
        </w:tabs>
        <w:spacing w:before="121" w:line="276" w:lineRule="auto"/>
        <w:ind w:left="460" w:right="12"/>
        <w:rPr>
          <w:b/>
          <w:bCs/>
          <w:i/>
        </w:rPr>
      </w:pPr>
      <w:r w:rsidRPr="000E6157">
        <w:rPr>
          <w:b/>
          <w:bCs/>
          <w:i/>
        </w:rPr>
        <w:t>Remuneration Tribunal (Remuneration and Allowances for Holders of Part-time Public Office) Determination 2019</w:t>
      </w:r>
    </w:p>
    <w:p w14:paraId="2C48F22A" w14:textId="20B78247" w:rsidR="005F2595" w:rsidRDefault="005F2595" w:rsidP="00296BA6">
      <w:pPr>
        <w:pStyle w:val="ListParagraph"/>
        <w:numPr>
          <w:ilvl w:val="0"/>
          <w:numId w:val="2"/>
        </w:numPr>
        <w:tabs>
          <w:tab w:val="left" w:pos="884"/>
        </w:tabs>
        <w:spacing w:before="121" w:line="276" w:lineRule="auto"/>
        <w:ind w:right="12"/>
      </w:pPr>
      <w:r>
        <w:t>Item 1</w:t>
      </w:r>
      <w:r w:rsidR="00C77AFF">
        <w:t>5</w:t>
      </w:r>
      <w:r>
        <w:t xml:space="preserve"> removes the Anti-Doping Rule Violation Panel.</w:t>
      </w:r>
    </w:p>
    <w:p w14:paraId="2A20279C" w14:textId="3B0DAB32" w:rsidR="005F2595" w:rsidRDefault="005F2595" w:rsidP="00296BA6">
      <w:pPr>
        <w:pStyle w:val="ListParagraph"/>
        <w:numPr>
          <w:ilvl w:val="0"/>
          <w:numId w:val="2"/>
        </w:numPr>
        <w:tabs>
          <w:tab w:val="left" w:pos="884"/>
        </w:tabs>
        <w:spacing w:before="121" w:line="276" w:lineRule="auto"/>
        <w:ind w:right="12"/>
      </w:pPr>
      <w:r>
        <w:t>Item 1</w:t>
      </w:r>
      <w:r w:rsidR="00C77AFF">
        <w:t>6</w:t>
      </w:r>
      <w:r>
        <w:t xml:space="preserve"> removes the Anti-Doping Research Program Panel.</w:t>
      </w:r>
    </w:p>
    <w:p w14:paraId="6BD61817" w14:textId="166D68FF" w:rsidR="005F2595" w:rsidRDefault="005F2595" w:rsidP="00296BA6">
      <w:pPr>
        <w:pStyle w:val="ListParagraph"/>
        <w:numPr>
          <w:ilvl w:val="0"/>
          <w:numId w:val="2"/>
        </w:numPr>
        <w:tabs>
          <w:tab w:val="left" w:pos="884"/>
        </w:tabs>
        <w:spacing w:before="121" w:line="276" w:lineRule="auto"/>
        <w:ind w:right="12"/>
      </w:pPr>
      <w:r>
        <w:t>Item 1</w:t>
      </w:r>
      <w:r w:rsidR="00C77AFF">
        <w:t>7</w:t>
      </w:r>
      <w:r>
        <w:t xml:space="preserve"> removes the Medical Training Review Panel.</w:t>
      </w:r>
    </w:p>
    <w:p w14:paraId="7C7FE219" w14:textId="0156F999" w:rsidR="00182714" w:rsidRDefault="008653D3" w:rsidP="00847DD5">
      <w:pPr>
        <w:tabs>
          <w:tab w:val="left" w:pos="884"/>
        </w:tabs>
        <w:spacing w:before="121" w:line="276" w:lineRule="auto"/>
        <w:ind w:left="460" w:right="12"/>
        <w:sectPr w:rsidR="00182714" w:rsidSect="001C0AFA">
          <w:footerReference w:type="default" r:id="rId13"/>
          <w:pgSz w:w="11910" w:h="16840"/>
          <w:pgMar w:top="1135" w:right="995" w:bottom="780" w:left="980" w:header="0" w:footer="597" w:gutter="0"/>
          <w:cols w:space="720"/>
        </w:sectPr>
      </w:pPr>
      <w:r w:rsidRPr="00206FB6">
        <w:rPr>
          <w:b/>
          <w:bCs/>
        </w:rPr>
        <w:t xml:space="preserve">Authority: </w:t>
      </w:r>
      <w:r>
        <w:t xml:space="preserve">subsections 7(3) and (4) </w:t>
      </w:r>
      <w:r w:rsidR="00C533EE" w:rsidRPr="00206FB6">
        <w:rPr>
          <w:i/>
          <w:iCs/>
        </w:rPr>
        <w:t xml:space="preserve">Remuneration </w:t>
      </w:r>
      <w:r w:rsidR="00847DD5">
        <w:rPr>
          <w:i/>
          <w:iCs/>
        </w:rPr>
        <w:t>Tribunal Act 197</w:t>
      </w:r>
      <w:r w:rsidR="00677B83">
        <w:rPr>
          <w:i/>
          <w:iCs/>
        </w:rPr>
        <w:t>3</w:t>
      </w:r>
    </w:p>
    <w:p w14:paraId="322EB545" w14:textId="57CE5455" w:rsidR="00182714" w:rsidRPr="00FA7B28" w:rsidRDefault="008653D3" w:rsidP="00FA7B28">
      <w:pPr>
        <w:pStyle w:val="BodyText"/>
        <w:tabs>
          <w:tab w:val="left" w:pos="3195"/>
        </w:tabs>
        <w:spacing w:before="3"/>
        <w:ind w:left="0" w:firstLine="0"/>
        <w:jc w:val="center"/>
        <w:rPr>
          <w:b/>
          <w:bCs/>
        </w:rPr>
      </w:pPr>
      <w:r w:rsidRPr="006C2046">
        <w:rPr>
          <w:b/>
          <w:bCs/>
        </w:rPr>
        <w:t>Statement of Compatibility with Human Rights</w:t>
      </w:r>
    </w:p>
    <w:p w14:paraId="44ECF56D" w14:textId="77777777" w:rsidR="00182714" w:rsidRDefault="00182714">
      <w:pPr>
        <w:pStyle w:val="BodyText"/>
        <w:spacing w:before="8"/>
        <w:ind w:left="0" w:firstLine="0"/>
        <w:rPr>
          <w:b/>
          <w:sz w:val="19"/>
        </w:rPr>
      </w:pPr>
    </w:p>
    <w:p w14:paraId="5668A2F1" w14:textId="77777777" w:rsidR="00580B0C" w:rsidRPr="00FA7B28" w:rsidRDefault="00580B0C">
      <w:pPr>
        <w:ind w:left="142" w:right="863"/>
        <w:rPr>
          <w:i/>
          <w:iCs/>
        </w:rPr>
      </w:pPr>
      <w:r w:rsidRPr="006C2046">
        <w:rPr>
          <w:i/>
          <w:iCs/>
        </w:rPr>
        <w:t>Prepared in accordance with Part 3 of the Human Rights (Parliamentary Scrutiny) Act</w:t>
      </w:r>
      <w:r w:rsidRPr="006C2046">
        <w:rPr>
          <w:i/>
          <w:iCs/>
          <w:spacing w:val="-19"/>
        </w:rPr>
        <w:t xml:space="preserve"> </w:t>
      </w:r>
      <w:r w:rsidRPr="006C2046">
        <w:rPr>
          <w:i/>
          <w:iCs/>
        </w:rPr>
        <w:t>2011.</w:t>
      </w:r>
    </w:p>
    <w:p w14:paraId="073FCACD" w14:textId="3B5EE158" w:rsidR="00580B0C" w:rsidRDefault="00580B0C" w:rsidP="2528B3AD">
      <w:pPr>
        <w:pStyle w:val="Heading1"/>
        <w:spacing w:before="120"/>
        <w:ind w:left="1115" w:hanging="973"/>
      </w:pPr>
      <w:r>
        <w:t xml:space="preserve">Remuneration Tribunal Amendment Determination (No. </w:t>
      </w:r>
      <w:r w:rsidR="00CB12C8">
        <w:t>6</w:t>
      </w:r>
      <w:r>
        <w:t>) 2019</w:t>
      </w:r>
    </w:p>
    <w:p w14:paraId="3553C662" w14:textId="77777777" w:rsidR="00580B0C" w:rsidRPr="00FA7B28" w:rsidRDefault="00580B0C" w:rsidP="00FA7B28">
      <w:pPr>
        <w:spacing w:before="122"/>
        <w:ind w:left="142" w:right="458"/>
        <w:rPr>
          <w:i/>
          <w:iCs/>
        </w:rPr>
      </w:pPr>
      <w:r>
        <w:t xml:space="preserve">This Legislative Instrument is compatible with the human rights and freedoms recognised or declared in the international instruments listed in section 3 of the </w:t>
      </w:r>
      <w:r w:rsidRPr="006C2046">
        <w:rPr>
          <w:i/>
          <w:iCs/>
        </w:rPr>
        <w:t>Human Rights (Parliamentary Scrutiny) Act 2011.</w:t>
      </w:r>
    </w:p>
    <w:p w14:paraId="69EE6202" w14:textId="77777777" w:rsidR="00580B0C" w:rsidRDefault="00580B0C" w:rsidP="2528B3AD">
      <w:pPr>
        <w:pStyle w:val="Heading1"/>
        <w:ind w:left="112"/>
      </w:pPr>
      <w:r>
        <w:t>Overview of the Legislative Instrument</w:t>
      </w:r>
    </w:p>
    <w:p w14:paraId="7932E0B5" w14:textId="77777777" w:rsidR="00580B0C" w:rsidRDefault="00580B0C" w:rsidP="2528B3AD">
      <w:pPr>
        <w:pStyle w:val="BodyText"/>
        <w:ind w:left="112" w:firstLine="0"/>
      </w:pPr>
      <w:r>
        <w:t>This determination amends principal determinations:</w:t>
      </w:r>
    </w:p>
    <w:p w14:paraId="06D36FF6" w14:textId="0C5DD8B7" w:rsidR="005A3E94" w:rsidRDefault="00580B0C" w:rsidP="00FA7B28">
      <w:pPr>
        <w:pStyle w:val="ListParagraph"/>
        <w:numPr>
          <w:ilvl w:val="0"/>
          <w:numId w:val="1"/>
        </w:numPr>
        <w:tabs>
          <w:tab w:val="left" w:pos="709"/>
        </w:tabs>
        <w:spacing w:before="124" w:line="237" w:lineRule="auto"/>
        <w:ind w:left="426" w:right="331"/>
        <w:rPr>
          <w:i/>
          <w:iCs/>
        </w:rPr>
      </w:pPr>
      <w:r w:rsidRPr="006C2046">
        <w:rPr>
          <w:i/>
          <w:iCs/>
        </w:rPr>
        <w:t>Remuneration Tribunal (Remuneration and Allowances for Holders of Full-Time Public Office) Determination</w:t>
      </w:r>
      <w:r w:rsidRPr="006C2046">
        <w:rPr>
          <w:i/>
          <w:iCs/>
          <w:spacing w:val="-4"/>
        </w:rPr>
        <w:t xml:space="preserve"> </w:t>
      </w:r>
      <w:r w:rsidRPr="006C2046">
        <w:rPr>
          <w:i/>
          <w:iCs/>
        </w:rPr>
        <w:t>2019;</w:t>
      </w:r>
      <w:r w:rsidR="009304B6">
        <w:rPr>
          <w:i/>
          <w:iCs/>
        </w:rPr>
        <w:t>and</w:t>
      </w:r>
    </w:p>
    <w:p w14:paraId="2465B174" w14:textId="3EF88B3A" w:rsidR="00D56FE0" w:rsidRDefault="00580B0C" w:rsidP="005E18C4">
      <w:pPr>
        <w:pStyle w:val="ListParagraph"/>
        <w:numPr>
          <w:ilvl w:val="0"/>
          <w:numId w:val="1"/>
        </w:numPr>
        <w:tabs>
          <w:tab w:val="left" w:pos="709"/>
        </w:tabs>
        <w:spacing w:before="0"/>
        <w:ind w:left="426" w:right="273"/>
        <w:rPr>
          <w:i/>
          <w:iCs/>
        </w:rPr>
      </w:pPr>
      <w:r w:rsidRPr="00C3603A">
        <w:rPr>
          <w:i/>
          <w:iCs/>
        </w:rPr>
        <w:t>Remuneration Tribunal (Remuneration and Allowances for Holders of Part-Time Public Office) Determination 2019</w:t>
      </w:r>
      <w:r w:rsidR="005A3E94">
        <w:rPr>
          <w:i/>
          <w:iCs/>
        </w:rPr>
        <w:t>.</w:t>
      </w:r>
    </w:p>
    <w:p w14:paraId="60B3E00D" w14:textId="6FA7424A" w:rsidR="00EE4DE4" w:rsidRDefault="00580B0C" w:rsidP="00EE4DE4">
      <w:pPr>
        <w:pStyle w:val="BodyText"/>
        <w:ind w:left="112" w:firstLine="0"/>
      </w:pPr>
      <w:r>
        <w:t>The determination:</w:t>
      </w:r>
      <w:r w:rsidR="00EE4DE4" w:rsidRPr="00EE4DE4">
        <w:t xml:space="preserve"> </w:t>
      </w:r>
    </w:p>
    <w:p w14:paraId="52F5162D" w14:textId="5AF29D9B" w:rsidR="00874D34" w:rsidRDefault="00874D34" w:rsidP="00EE4DE4">
      <w:pPr>
        <w:pStyle w:val="BodyText"/>
        <w:numPr>
          <w:ilvl w:val="0"/>
          <w:numId w:val="6"/>
        </w:numPr>
        <w:spacing w:before="116"/>
      </w:pPr>
      <w:r>
        <w:t xml:space="preserve">sets </w:t>
      </w:r>
      <w:r w:rsidR="00CE1E29">
        <w:t xml:space="preserve">the </w:t>
      </w:r>
      <w:r>
        <w:t>remuneration</w:t>
      </w:r>
      <w:r w:rsidR="0096124E">
        <w:t xml:space="preserve"> and</w:t>
      </w:r>
      <w:r>
        <w:t xml:space="preserve"> travel tier</w:t>
      </w:r>
      <w:r w:rsidR="00293EDE">
        <w:t xml:space="preserve"> for</w:t>
      </w:r>
      <w:r>
        <w:t xml:space="preserve"> </w:t>
      </w:r>
      <w:r w:rsidR="0096124E">
        <w:t xml:space="preserve">the office of </w:t>
      </w:r>
      <w:r w:rsidR="004E2B7A">
        <w:t xml:space="preserve">Chief Executive Officer of </w:t>
      </w:r>
      <w:r w:rsidR="009304B6">
        <w:t xml:space="preserve">Services Australia </w:t>
      </w:r>
      <w:r w:rsidR="00E24B5D">
        <w:t>in the full time office jurisdiction</w:t>
      </w:r>
      <w:r>
        <w:t>;</w:t>
      </w:r>
    </w:p>
    <w:p w14:paraId="44BC091A" w14:textId="142853D9" w:rsidR="0058342D" w:rsidRDefault="0058342D" w:rsidP="00EE4DE4">
      <w:pPr>
        <w:pStyle w:val="BodyText"/>
        <w:numPr>
          <w:ilvl w:val="0"/>
          <w:numId w:val="6"/>
        </w:numPr>
        <w:spacing w:before="116"/>
      </w:pPr>
      <w:r>
        <w:t>removes all references to the Chief Executive Officer, North Queensland Livestock Industry Recovery Agency and replaces those references with Coordinator-General, National Drought and North Queensland Flood Response and Recovery Agency;</w:t>
      </w:r>
    </w:p>
    <w:p w14:paraId="513DA8C9" w14:textId="250405E2" w:rsidR="00AF4457" w:rsidRDefault="00AF4457" w:rsidP="00AF4457">
      <w:pPr>
        <w:pStyle w:val="BodyText"/>
        <w:numPr>
          <w:ilvl w:val="0"/>
          <w:numId w:val="6"/>
        </w:numPr>
        <w:spacing w:before="116"/>
      </w:pPr>
      <w:r>
        <w:t>removes all reference to an additional fixed loading, accommodation and reunion fares assistance for Dr Charlie Day, former Chief Executive Officer, Innovation and Science Australia;</w:t>
      </w:r>
    </w:p>
    <w:p w14:paraId="29869C01" w14:textId="5D1BE718" w:rsidR="0059147A" w:rsidRDefault="0059147A" w:rsidP="00EE4DE4">
      <w:pPr>
        <w:pStyle w:val="BodyText"/>
        <w:numPr>
          <w:ilvl w:val="0"/>
          <w:numId w:val="6"/>
        </w:numPr>
        <w:spacing w:before="116"/>
      </w:pPr>
      <w:r>
        <w:t>removes all reference to accommodation and reunion fares assistance for Mr</w:t>
      </w:r>
      <w:r w:rsidR="00277CE9">
        <w:t> </w:t>
      </w:r>
      <w:r>
        <w:t>Michael</w:t>
      </w:r>
      <w:r w:rsidR="00277CE9">
        <w:t> </w:t>
      </w:r>
      <w:r>
        <w:t>Griffin, former Integrity Commissioner, Australian Commission for Law Enforcement Integrity</w:t>
      </w:r>
      <w:r w:rsidR="00AF7C4E">
        <w:t>;</w:t>
      </w:r>
    </w:p>
    <w:p w14:paraId="2B5CFD75" w14:textId="77777777" w:rsidR="00AF4457" w:rsidRDefault="00AF4457" w:rsidP="00AF4457">
      <w:pPr>
        <w:pStyle w:val="BodyText"/>
        <w:numPr>
          <w:ilvl w:val="0"/>
          <w:numId w:val="6"/>
        </w:numPr>
        <w:spacing w:before="116"/>
      </w:pPr>
      <w:r>
        <w:t xml:space="preserve">clarifies the cessation date for accommodation assistance for Dr Alan </w:t>
      </w:r>
      <w:proofErr w:type="spellStart"/>
      <w:r>
        <w:t>Finkel</w:t>
      </w:r>
      <w:proofErr w:type="spellEnd"/>
      <w:r>
        <w:t>, Chief Scientist;</w:t>
      </w:r>
    </w:p>
    <w:p w14:paraId="6186FEB7" w14:textId="035E4DEB" w:rsidR="00AF4457" w:rsidRDefault="00AF4457" w:rsidP="00AF4457">
      <w:pPr>
        <w:pStyle w:val="BodyText"/>
        <w:numPr>
          <w:ilvl w:val="0"/>
          <w:numId w:val="6"/>
        </w:numPr>
        <w:spacing w:before="116"/>
      </w:pPr>
      <w:r>
        <w:t>sets accommodation and reunion fares assistance for Mr Christopher Wade, Chief Executive Officer, Northern Australia Infrastructure Facility;</w:t>
      </w:r>
    </w:p>
    <w:p w14:paraId="6D941D2D" w14:textId="14C30D24" w:rsidR="0059147A" w:rsidRDefault="0059147A" w:rsidP="00EE4DE4">
      <w:pPr>
        <w:pStyle w:val="BodyText"/>
        <w:numPr>
          <w:ilvl w:val="0"/>
          <w:numId w:val="6"/>
        </w:numPr>
        <w:spacing w:before="116"/>
      </w:pPr>
      <w:r>
        <w:t>removes all reference to accommodation assistance for Dr Chris Parker, Chief Executive Officer, Australian Pesticides and Veterinary Medicines Authority</w:t>
      </w:r>
      <w:r w:rsidR="00AF7C4E">
        <w:t>;</w:t>
      </w:r>
    </w:p>
    <w:p w14:paraId="61C5A667" w14:textId="42A20D98" w:rsidR="0059147A" w:rsidRDefault="0059147A" w:rsidP="00EE4DE4">
      <w:pPr>
        <w:pStyle w:val="BodyText"/>
        <w:numPr>
          <w:ilvl w:val="0"/>
          <w:numId w:val="6"/>
        </w:numPr>
        <w:spacing w:before="116"/>
      </w:pPr>
      <w:r>
        <w:t>removes all reference to the Anti-Doping Rule Violation Panel that is no longer in operation;</w:t>
      </w:r>
    </w:p>
    <w:p w14:paraId="5DF04C45" w14:textId="2884A7E4" w:rsidR="0059147A" w:rsidRDefault="00AF7C4E" w:rsidP="00EE4DE4">
      <w:pPr>
        <w:pStyle w:val="BodyText"/>
        <w:numPr>
          <w:ilvl w:val="0"/>
          <w:numId w:val="6"/>
        </w:numPr>
        <w:spacing w:before="116"/>
      </w:pPr>
      <w:r>
        <w:t>removes all reference to the Anti-Doping Research Program Panel that is no longer in operation;</w:t>
      </w:r>
    </w:p>
    <w:p w14:paraId="4FE1D0E7" w14:textId="1FD56256" w:rsidR="00AF7C4E" w:rsidRDefault="00AF7C4E" w:rsidP="00EE4DE4">
      <w:pPr>
        <w:pStyle w:val="BodyText"/>
        <w:numPr>
          <w:ilvl w:val="0"/>
          <w:numId w:val="6"/>
        </w:numPr>
        <w:spacing w:before="116"/>
      </w:pPr>
      <w:r>
        <w:t>removes all reference to the Medical Training Review Panel that is no longer in operation.</w:t>
      </w:r>
    </w:p>
    <w:p w14:paraId="1D40028F" w14:textId="2BF5CD64" w:rsidR="00182714" w:rsidRDefault="00580B0C">
      <w:pPr>
        <w:pStyle w:val="BodyText"/>
        <w:ind w:left="114" w:right="606" w:firstLine="0"/>
      </w:pPr>
      <w:r>
        <w:t>The instrument maintains the principle of fair, and current, remuneration for work performed.</w:t>
      </w:r>
    </w:p>
    <w:p w14:paraId="3BAEF1C1" w14:textId="77777777" w:rsidR="00182714" w:rsidRDefault="00182714">
      <w:pPr>
        <w:pStyle w:val="BodyText"/>
        <w:spacing w:before="9"/>
        <w:ind w:left="0" w:firstLine="0"/>
        <w:rPr>
          <w:sz w:val="19"/>
        </w:rPr>
      </w:pPr>
    </w:p>
    <w:p w14:paraId="417D4FBB" w14:textId="77777777" w:rsidR="00182714" w:rsidRDefault="008653D3">
      <w:pPr>
        <w:pStyle w:val="Heading1"/>
        <w:spacing w:before="0"/>
        <w:ind w:left="114"/>
      </w:pPr>
      <w:r>
        <w:t>Human rights implications</w:t>
      </w:r>
    </w:p>
    <w:p w14:paraId="7F2F7091" w14:textId="73AB7DE8" w:rsidR="006372BD" w:rsidRDefault="008653D3">
      <w:pPr>
        <w:pStyle w:val="BodyText"/>
        <w:spacing w:before="122"/>
        <w:ind w:left="114" w:firstLine="0"/>
      </w:pPr>
      <w:r>
        <w:t>This Legislative Instrument does not engage any of the applicable rights or freedoms.</w:t>
      </w:r>
      <w:r w:rsidR="00EE4DE4">
        <w:t xml:space="preserve"> </w:t>
      </w:r>
    </w:p>
    <w:p w14:paraId="69B10927" w14:textId="77777777" w:rsidR="00182714" w:rsidRDefault="00182714">
      <w:pPr>
        <w:pStyle w:val="BodyText"/>
        <w:spacing w:before="8"/>
        <w:ind w:left="0" w:firstLine="0"/>
        <w:rPr>
          <w:sz w:val="19"/>
        </w:rPr>
      </w:pPr>
    </w:p>
    <w:p w14:paraId="47B901CC" w14:textId="77777777" w:rsidR="00182714" w:rsidRDefault="008653D3">
      <w:pPr>
        <w:pStyle w:val="Heading1"/>
        <w:spacing w:before="0"/>
        <w:ind w:left="114"/>
      </w:pPr>
      <w:r>
        <w:t>Conclusion</w:t>
      </w:r>
    </w:p>
    <w:p w14:paraId="1F86C6C7" w14:textId="77777777" w:rsidR="00182714" w:rsidRDefault="008653D3">
      <w:pPr>
        <w:pStyle w:val="BodyText"/>
        <w:ind w:left="114" w:right="410" w:firstLine="0"/>
      </w:pPr>
      <w:r>
        <w:t>This Legislative Instrument is compatible with human rights as it does not raise any human rights issues.</w:t>
      </w:r>
    </w:p>
    <w:p w14:paraId="108487B4" w14:textId="4B40DBCA" w:rsidR="00182714" w:rsidRDefault="008653D3">
      <w:pPr>
        <w:pStyle w:val="Heading1"/>
        <w:spacing w:before="120"/>
        <w:ind w:left="3282"/>
      </w:pPr>
      <w:r>
        <w:t>The Remuneration Tribunal</w:t>
      </w:r>
    </w:p>
    <w:sectPr w:rsidR="00182714" w:rsidSect="00847DD5">
      <w:pgSz w:w="11910" w:h="16840"/>
      <w:pgMar w:top="851" w:right="853" w:bottom="280" w:left="980" w:header="0" w:footer="8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08D54" w14:textId="77777777" w:rsidR="005E2309" w:rsidRDefault="005E2309">
      <w:r>
        <w:separator/>
      </w:r>
    </w:p>
  </w:endnote>
  <w:endnote w:type="continuationSeparator" w:id="0">
    <w:p w14:paraId="650E9641" w14:textId="77777777" w:rsidR="005E2309" w:rsidRDefault="005E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1010" w14:textId="77777777" w:rsidR="00182714" w:rsidRDefault="008653D3">
    <w:pPr>
      <w:pStyle w:val="BodyText"/>
      <w:spacing w:before="0" w:line="14" w:lineRule="auto"/>
      <w:ind w:left="0" w:firstLine="0"/>
      <w:rPr>
        <w:sz w:val="20"/>
      </w:rPr>
    </w:pPr>
    <w:r>
      <w:rPr>
        <w:noProof/>
        <w:lang w:eastAsia="en-AU"/>
      </w:rPr>
      <mc:AlternateContent>
        <mc:Choice Requires="wps">
          <w:drawing>
            <wp:anchor distT="0" distB="0" distL="114300" distR="114300" simplePos="0" relativeHeight="251657728" behindDoc="1" locked="0" layoutInCell="1" allowOverlap="1" wp14:anchorId="6E4C5146" wp14:editId="00D6EF35">
              <wp:simplePos x="0" y="0"/>
              <wp:positionH relativeFrom="page">
                <wp:posOffset>3722370</wp:posOffset>
              </wp:positionH>
              <wp:positionV relativeFrom="page">
                <wp:posOffset>10173970</wp:posOffset>
              </wp:positionV>
              <wp:extent cx="114300" cy="165735"/>
              <wp:effectExtent l="0" t="1270" r="190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C28AE" w14:textId="2AE1CDB8" w:rsidR="00182714" w:rsidRDefault="008653D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F923DD">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pt;margin-top:801.1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" filled="f" stroked="f">
              <v:textbox inset="0,0,0,0">
                <w:txbxContent>
                  <w:p w14:paraId="337C28AE" w14:textId="2AE1CDB8" w:rsidR="00182714" w:rsidRDefault="008653D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F923DD">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C9870" w14:textId="77777777" w:rsidR="005E2309" w:rsidRDefault="005E2309">
      <w:r>
        <w:separator/>
      </w:r>
    </w:p>
  </w:footnote>
  <w:footnote w:type="continuationSeparator" w:id="0">
    <w:p w14:paraId="31173144" w14:textId="77777777" w:rsidR="005E2309" w:rsidRDefault="005E2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D206D61E"/>
    <w:lvl w:ilvl="0">
      <w:start w:val="1"/>
      <w:numFmt w:val="decimal"/>
      <w:lvlText w:val="%1."/>
      <w:lvlJc w:val="left"/>
      <w:pPr>
        <w:ind w:left="562" w:hanging="425"/>
      </w:pPr>
      <w:rPr>
        <w:rFonts w:ascii="Verdana" w:hAnsi="Verdana" w:cs="Verdana"/>
        <w:b w:val="0"/>
        <w:bCs w:val="0"/>
        <w:i w:val="0"/>
        <w:w w:val="99"/>
        <w:sz w:val="20"/>
        <w:szCs w:val="20"/>
      </w:rPr>
    </w:lvl>
    <w:lvl w:ilvl="1">
      <w:numFmt w:val="bullet"/>
      <w:lvlText w:val=""/>
      <w:lvlJc w:val="left"/>
      <w:pPr>
        <w:ind w:left="986" w:hanging="425"/>
      </w:pPr>
      <w:rPr>
        <w:rFonts w:ascii="Symbol" w:hAnsi="Symbol"/>
        <w:b w:val="0"/>
        <w:w w:val="99"/>
        <w:sz w:val="20"/>
      </w:rPr>
    </w:lvl>
    <w:lvl w:ilvl="2">
      <w:numFmt w:val="bullet"/>
      <w:lvlText w:val="•"/>
      <w:lvlJc w:val="left"/>
      <w:pPr>
        <w:ind w:left="1951" w:hanging="425"/>
      </w:pPr>
    </w:lvl>
    <w:lvl w:ilvl="3">
      <w:numFmt w:val="bullet"/>
      <w:lvlText w:val="•"/>
      <w:lvlJc w:val="left"/>
      <w:pPr>
        <w:ind w:left="2923" w:hanging="425"/>
      </w:pPr>
    </w:lvl>
    <w:lvl w:ilvl="4">
      <w:numFmt w:val="bullet"/>
      <w:lvlText w:val="•"/>
      <w:lvlJc w:val="left"/>
      <w:pPr>
        <w:ind w:left="3895" w:hanging="425"/>
      </w:pPr>
    </w:lvl>
    <w:lvl w:ilvl="5">
      <w:numFmt w:val="bullet"/>
      <w:lvlText w:val="•"/>
      <w:lvlJc w:val="left"/>
      <w:pPr>
        <w:ind w:left="4867" w:hanging="425"/>
      </w:pPr>
    </w:lvl>
    <w:lvl w:ilvl="6">
      <w:numFmt w:val="bullet"/>
      <w:lvlText w:val="•"/>
      <w:lvlJc w:val="left"/>
      <w:pPr>
        <w:ind w:left="5839" w:hanging="425"/>
      </w:pPr>
    </w:lvl>
    <w:lvl w:ilvl="7">
      <w:numFmt w:val="bullet"/>
      <w:lvlText w:val="•"/>
      <w:lvlJc w:val="left"/>
      <w:pPr>
        <w:ind w:left="6810" w:hanging="425"/>
      </w:pPr>
    </w:lvl>
    <w:lvl w:ilvl="8">
      <w:numFmt w:val="bullet"/>
      <w:lvlText w:val="•"/>
      <w:lvlJc w:val="left"/>
      <w:pPr>
        <w:ind w:left="7782" w:hanging="425"/>
      </w:pPr>
    </w:lvl>
  </w:abstractNum>
  <w:abstractNum w:abstractNumId="1">
    <w:nsid w:val="05397E4D"/>
    <w:multiLevelType w:val="hybridMultilevel"/>
    <w:tmpl w:val="12EEAB3C"/>
    <w:lvl w:ilvl="0" w:tplc="FD764978">
      <w:start w:val="1"/>
      <w:numFmt w:val="decimal"/>
      <w:lvlText w:val="%1."/>
      <w:lvlJc w:val="left"/>
      <w:pPr>
        <w:ind w:left="885" w:hanging="425"/>
      </w:pPr>
      <w:rPr>
        <w:rFonts w:ascii="Verdana" w:eastAsia="Verdana" w:hAnsi="Verdana" w:cs="Verdana"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2">
    <w:nsid w:val="0F113784"/>
    <w:multiLevelType w:val="hybridMultilevel"/>
    <w:tmpl w:val="C2908D9C"/>
    <w:lvl w:ilvl="0" w:tplc="FD764978">
      <w:start w:val="1"/>
      <w:numFmt w:val="decimal"/>
      <w:lvlText w:val="%1."/>
      <w:lvlJc w:val="left"/>
      <w:pPr>
        <w:ind w:left="885" w:hanging="425"/>
      </w:pPr>
      <w:rPr>
        <w:rFonts w:ascii="Verdana" w:eastAsia="Verdana" w:hAnsi="Verdana" w:cs="Verdana"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3">
    <w:nsid w:val="104C6D75"/>
    <w:multiLevelType w:val="hybridMultilevel"/>
    <w:tmpl w:val="01240FA2"/>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4">
    <w:nsid w:val="1D155FFC"/>
    <w:multiLevelType w:val="hybridMultilevel"/>
    <w:tmpl w:val="18F268C6"/>
    <w:lvl w:ilvl="0" w:tplc="E7B2469A">
      <w:start w:val="1"/>
      <w:numFmt w:val="decimal"/>
      <w:lvlText w:val="%1."/>
      <w:lvlJc w:val="left"/>
      <w:pPr>
        <w:ind w:left="885" w:hanging="425"/>
      </w:pPr>
      <w:rPr>
        <w:rFonts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5">
    <w:nsid w:val="252C36F4"/>
    <w:multiLevelType w:val="hybridMultilevel"/>
    <w:tmpl w:val="F02A438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6">
    <w:nsid w:val="2EA36701"/>
    <w:multiLevelType w:val="hybridMultilevel"/>
    <w:tmpl w:val="570273A4"/>
    <w:lvl w:ilvl="0" w:tplc="6B18DF1C">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7">
    <w:nsid w:val="46DA65E9"/>
    <w:multiLevelType w:val="hybridMultilevel"/>
    <w:tmpl w:val="EA460ED8"/>
    <w:lvl w:ilvl="0" w:tplc="918C30B4">
      <w:start w:val="1"/>
      <w:numFmt w:val="decimal"/>
      <w:lvlText w:val="%1."/>
      <w:lvlJc w:val="left"/>
      <w:pPr>
        <w:ind w:left="885" w:hanging="425"/>
      </w:pPr>
      <w:rPr>
        <w:rFonts w:ascii="Verdana" w:eastAsia="Verdana" w:hAnsi="Verdana" w:cs="Verdana" w:hint="default"/>
        <w:i w:val="0"/>
        <w:spacing w:val="-2"/>
        <w:w w:val="100"/>
        <w:sz w:val="22"/>
        <w:szCs w:val="22"/>
      </w:rPr>
    </w:lvl>
    <w:lvl w:ilvl="1" w:tplc="A3C40A34">
      <w:numFmt w:val="bullet"/>
      <w:lvlText w:val=""/>
      <w:lvlJc w:val="left"/>
      <w:pPr>
        <w:ind w:left="1309" w:hanging="425"/>
      </w:pPr>
      <w:rPr>
        <w:rFonts w:ascii="Symbol" w:eastAsia="Symbol" w:hAnsi="Symbol" w:cs="Symbol" w:hint="default"/>
        <w:w w:val="100"/>
        <w:sz w:val="22"/>
        <w:szCs w:val="22"/>
      </w:rPr>
    </w:lvl>
    <w:lvl w:ilvl="2" w:tplc="A7A869F6">
      <w:numFmt w:val="bullet"/>
      <w:lvlText w:val="•"/>
      <w:lvlJc w:val="left"/>
      <w:pPr>
        <w:ind w:left="1320" w:hanging="425"/>
      </w:pPr>
      <w:rPr>
        <w:rFonts w:hint="default"/>
      </w:rPr>
    </w:lvl>
    <w:lvl w:ilvl="3" w:tplc="5F0CCA32">
      <w:numFmt w:val="bullet"/>
      <w:lvlText w:val="•"/>
      <w:lvlJc w:val="left"/>
      <w:pPr>
        <w:ind w:left="2385" w:hanging="425"/>
      </w:pPr>
      <w:rPr>
        <w:rFonts w:hint="default"/>
      </w:rPr>
    </w:lvl>
    <w:lvl w:ilvl="4" w:tplc="745EDEA6">
      <w:numFmt w:val="bullet"/>
      <w:lvlText w:val="•"/>
      <w:lvlJc w:val="left"/>
      <w:pPr>
        <w:ind w:left="3451" w:hanging="425"/>
      </w:pPr>
      <w:rPr>
        <w:rFonts w:hint="default"/>
      </w:rPr>
    </w:lvl>
    <w:lvl w:ilvl="5" w:tplc="271A53CE">
      <w:numFmt w:val="bullet"/>
      <w:lvlText w:val="•"/>
      <w:lvlJc w:val="left"/>
      <w:pPr>
        <w:ind w:left="4517" w:hanging="425"/>
      </w:pPr>
      <w:rPr>
        <w:rFonts w:hint="default"/>
      </w:rPr>
    </w:lvl>
    <w:lvl w:ilvl="6" w:tplc="8A58EE7A">
      <w:numFmt w:val="bullet"/>
      <w:lvlText w:val="•"/>
      <w:lvlJc w:val="left"/>
      <w:pPr>
        <w:ind w:left="5583" w:hanging="425"/>
      </w:pPr>
      <w:rPr>
        <w:rFonts w:hint="default"/>
      </w:rPr>
    </w:lvl>
    <w:lvl w:ilvl="7" w:tplc="5B9C0172">
      <w:numFmt w:val="bullet"/>
      <w:lvlText w:val="•"/>
      <w:lvlJc w:val="left"/>
      <w:pPr>
        <w:ind w:left="6649" w:hanging="425"/>
      </w:pPr>
      <w:rPr>
        <w:rFonts w:hint="default"/>
      </w:rPr>
    </w:lvl>
    <w:lvl w:ilvl="8" w:tplc="CD4C5C14">
      <w:numFmt w:val="bullet"/>
      <w:lvlText w:val="•"/>
      <w:lvlJc w:val="left"/>
      <w:pPr>
        <w:ind w:left="7714" w:hanging="425"/>
      </w:pPr>
      <w:rPr>
        <w:rFonts w:hint="default"/>
      </w:rPr>
    </w:lvl>
  </w:abstractNum>
  <w:abstractNum w:abstractNumId="8">
    <w:nsid w:val="4BBC40C7"/>
    <w:multiLevelType w:val="hybridMultilevel"/>
    <w:tmpl w:val="8FCE5CB4"/>
    <w:lvl w:ilvl="0" w:tplc="E196FC6A">
      <w:numFmt w:val="bullet"/>
      <w:lvlText w:val=""/>
      <w:lvlJc w:val="left"/>
      <w:pPr>
        <w:ind w:left="833" w:hanging="361"/>
      </w:pPr>
      <w:rPr>
        <w:rFonts w:ascii="Symbol" w:eastAsia="Symbol" w:hAnsi="Symbol" w:cs="Symbol" w:hint="default"/>
        <w:w w:val="100"/>
        <w:sz w:val="22"/>
        <w:szCs w:val="22"/>
      </w:rPr>
    </w:lvl>
    <w:lvl w:ilvl="1" w:tplc="2C668F5C">
      <w:numFmt w:val="bullet"/>
      <w:lvlText w:val="•"/>
      <w:lvlJc w:val="left"/>
      <w:pPr>
        <w:ind w:left="1740" w:hanging="361"/>
      </w:pPr>
      <w:rPr>
        <w:rFonts w:hint="default"/>
      </w:rPr>
    </w:lvl>
    <w:lvl w:ilvl="2" w:tplc="4984E190">
      <w:numFmt w:val="bullet"/>
      <w:lvlText w:val="•"/>
      <w:lvlJc w:val="left"/>
      <w:pPr>
        <w:ind w:left="2641" w:hanging="361"/>
      </w:pPr>
      <w:rPr>
        <w:rFonts w:hint="default"/>
      </w:rPr>
    </w:lvl>
    <w:lvl w:ilvl="3" w:tplc="DFF07D78">
      <w:numFmt w:val="bullet"/>
      <w:lvlText w:val="•"/>
      <w:lvlJc w:val="left"/>
      <w:pPr>
        <w:ind w:left="3541" w:hanging="361"/>
      </w:pPr>
      <w:rPr>
        <w:rFonts w:hint="default"/>
      </w:rPr>
    </w:lvl>
    <w:lvl w:ilvl="4" w:tplc="E74E33CA">
      <w:numFmt w:val="bullet"/>
      <w:lvlText w:val="•"/>
      <w:lvlJc w:val="left"/>
      <w:pPr>
        <w:ind w:left="4442" w:hanging="361"/>
      </w:pPr>
      <w:rPr>
        <w:rFonts w:hint="default"/>
      </w:rPr>
    </w:lvl>
    <w:lvl w:ilvl="5" w:tplc="18C20E90">
      <w:numFmt w:val="bullet"/>
      <w:lvlText w:val="•"/>
      <w:lvlJc w:val="left"/>
      <w:pPr>
        <w:ind w:left="5343" w:hanging="361"/>
      </w:pPr>
      <w:rPr>
        <w:rFonts w:hint="default"/>
      </w:rPr>
    </w:lvl>
    <w:lvl w:ilvl="6" w:tplc="2C063F0C">
      <w:numFmt w:val="bullet"/>
      <w:lvlText w:val="•"/>
      <w:lvlJc w:val="left"/>
      <w:pPr>
        <w:ind w:left="6243" w:hanging="361"/>
      </w:pPr>
      <w:rPr>
        <w:rFonts w:hint="default"/>
      </w:rPr>
    </w:lvl>
    <w:lvl w:ilvl="7" w:tplc="2374854A">
      <w:numFmt w:val="bullet"/>
      <w:lvlText w:val="•"/>
      <w:lvlJc w:val="left"/>
      <w:pPr>
        <w:ind w:left="7144" w:hanging="361"/>
      </w:pPr>
      <w:rPr>
        <w:rFonts w:hint="default"/>
      </w:rPr>
    </w:lvl>
    <w:lvl w:ilvl="8" w:tplc="CDDC2B60">
      <w:numFmt w:val="bullet"/>
      <w:lvlText w:val="•"/>
      <w:lvlJc w:val="left"/>
      <w:pPr>
        <w:ind w:left="8045" w:hanging="361"/>
      </w:pPr>
      <w:rPr>
        <w:rFonts w:hint="default"/>
      </w:rPr>
    </w:lvl>
  </w:abstractNum>
  <w:abstractNum w:abstractNumId="9">
    <w:nsid w:val="58AA3457"/>
    <w:multiLevelType w:val="hybridMultilevel"/>
    <w:tmpl w:val="F1D4E0D4"/>
    <w:lvl w:ilvl="0" w:tplc="6B18DF1C">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0">
    <w:nsid w:val="5A355E08"/>
    <w:multiLevelType w:val="hybridMultilevel"/>
    <w:tmpl w:val="E7E60C00"/>
    <w:lvl w:ilvl="0" w:tplc="E7B2469A">
      <w:start w:val="1"/>
      <w:numFmt w:val="decimal"/>
      <w:lvlText w:val="%1."/>
      <w:lvlJc w:val="left"/>
      <w:pPr>
        <w:ind w:left="885" w:hanging="425"/>
      </w:pPr>
      <w:rPr>
        <w:rFonts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1">
    <w:nsid w:val="5B9E0C8D"/>
    <w:multiLevelType w:val="hybridMultilevel"/>
    <w:tmpl w:val="97AE7DF0"/>
    <w:lvl w:ilvl="0" w:tplc="0C090001">
      <w:start w:val="1"/>
      <w:numFmt w:val="bullet"/>
      <w:lvlText w:val=""/>
      <w:lvlJc w:val="left"/>
      <w:pPr>
        <w:ind w:left="429" w:hanging="360"/>
      </w:pPr>
      <w:rPr>
        <w:rFonts w:ascii="Symbol" w:hAnsi="Symbol" w:hint="default"/>
      </w:rPr>
    </w:lvl>
    <w:lvl w:ilvl="1" w:tplc="0C090003" w:tentative="1">
      <w:start w:val="1"/>
      <w:numFmt w:val="bullet"/>
      <w:lvlText w:val="o"/>
      <w:lvlJc w:val="left"/>
      <w:pPr>
        <w:ind w:left="1149" w:hanging="360"/>
      </w:pPr>
      <w:rPr>
        <w:rFonts w:ascii="Courier New" w:hAnsi="Courier New" w:cs="Courier New" w:hint="default"/>
      </w:rPr>
    </w:lvl>
    <w:lvl w:ilvl="2" w:tplc="0C090005" w:tentative="1">
      <w:start w:val="1"/>
      <w:numFmt w:val="bullet"/>
      <w:lvlText w:val=""/>
      <w:lvlJc w:val="left"/>
      <w:pPr>
        <w:ind w:left="1869" w:hanging="360"/>
      </w:pPr>
      <w:rPr>
        <w:rFonts w:ascii="Wingdings" w:hAnsi="Wingdings" w:hint="default"/>
      </w:rPr>
    </w:lvl>
    <w:lvl w:ilvl="3" w:tplc="0C090001" w:tentative="1">
      <w:start w:val="1"/>
      <w:numFmt w:val="bullet"/>
      <w:lvlText w:val=""/>
      <w:lvlJc w:val="left"/>
      <w:pPr>
        <w:ind w:left="2589" w:hanging="360"/>
      </w:pPr>
      <w:rPr>
        <w:rFonts w:ascii="Symbol" w:hAnsi="Symbol" w:hint="default"/>
      </w:rPr>
    </w:lvl>
    <w:lvl w:ilvl="4" w:tplc="0C090003" w:tentative="1">
      <w:start w:val="1"/>
      <w:numFmt w:val="bullet"/>
      <w:lvlText w:val="o"/>
      <w:lvlJc w:val="left"/>
      <w:pPr>
        <w:ind w:left="3309" w:hanging="360"/>
      </w:pPr>
      <w:rPr>
        <w:rFonts w:ascii="Courier New" w:hAnsi="Courier New" w:cs="Courier New" w:hint="default"/>
      </w:rPr>
    </w:lvl>
    <w:lvl w:ilvl="5" w:tplc="0C090005" w:tentative="1">
      <w:start w:val="1"/>
      <w:numFmt w:val="bullet"/>
      <w:lvlText w:val=""/>
      <w:lvlJc w:val="left"/>
      <w:pPr>
        <w:ind w:left="4029" w:hanging="360"/>
      </w:pPr>
      <w:rPr>
        <w:rFonts w:ascii="Wingdings" w:hAnsi="Wingdings" w:hint="default"/>
      </w:rPr>
    </w:lvl>
    <w:lvl w:ilvl="6" w:tplc="0C090001" w:tentative="1">
      <w:start w:val="1"/>
      <w:numFmt w:val="bullet"/>
      <w:lvlText w:val=""/>
      <w:lvlJc w:val="left"/>
      <w:pPr>
        <w:ind w:left="4749" w:hanging="360"/>
      </w:pPr>
      <w:rPr>
        <w:rFonts w:ascii="Symbol" w:hAnsi="Symbol" w:hint="default"/>
      </w:rPr>
    </w:lvl>
    <w:lvl w:ilvl="7" w:tplc="0C090003" w:tentative="1">
      <w:start w:val="1"/>
      <w:numFmt w:val="bullet"/>
      <w:lvlText w:val="o"/>
      <w:lvlJc w:val="left"/>
      <w:pPr>
        <w:ind w:left="5469" w:hanging="360"/>
      </w:pPr>
      <w:rPr>
        <w:rFonts w:ascii="Courier New" w:hAnsi="Courier New" w:cs="Courier New" w:hint="default"/>
      </w:rPr>
    </w:lvl>
    <w:lvl w:ilvl="8" w:tplc="0C090005" w:tentative="1">
      <w:start w:val="1"/>
      <w:numFmt w:val="bullet"/>
      <w:lvlText w:val=""/>
      <w:lvlJc w:val="left"/>
      <w:pPr>
        <w:ind w:left="6189" w:hanging="360"/>
      </w:pPr>
      <w:rPr>
        <w:rFonts w:ascii="Wingdings" w:hAnsi="Wingdings" w:hint="default"/>
      </w:rPr>
    </w:lvl>
  </w:abstractNum>
  <w:abstractNum w:abstractNumId="12">
    <w:nsid w:val="5E67556F"/>
    <w:multiLevelType w:val="hybridMultilevel"/>
    <w:tmpl w:val="8744CB10"/>
    <w:lvl w:ilvl="0" w:tplc="B02AEA12">
      <w:start w:val="1"/>
      <w:numFmt w:val="decimal"/>
      <w:lvlText w:val="%1."/>
      <w:lvlJc w:val="left"/>
      <w:pPr>
        <w:ind w:left="885" w:hanging="425"/>
      </w:pPr>
      <w:rPr>
        <w:rFonts w:hint="default"/>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3">
    <w:nsid w:val="631B4748"/>
    <w:multiLevelType w:val="hybridMultilevel"/>
    <w:tmpl w:val="604CDE5C"/>
    <w:lvl w:ilvl="0" w:tplc="0C09000F">
      <w:start w:val="1"/>
      <w:numFmt w:val="decimal"/>
      <w:lvlText w:val="%1."/>
      <w:lvlJc w:val="left"/>
      <w:pPr>
        <w:ind w:left="885" w:hanging="425"/>
      </w:pPr>
      <w:rPr>
        <w:rFonts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4">
    <w:nsid w:val="6A5F1B99"/>
    <w:multiLevelType w:val="hybridMultilevel"/>
    <w:tmpl w:val="CAEA326E"/>
    <w:lvl w:ilvl="0" w:tplc="0C090001">
      <w:start w:val="1"/>
      <w:numFmt w:val="bullet"/>
      <w:lvlText w:val=""/>
      <w:lvlJc w:val="left"/>
      <w:pPr>
        <w:ind w:left="885" w:hanging="425"/>
      </w:pPr>
      <w:rPr>
        <w:rFonts w:ascii="Symbol" w:hAnsi="Symbol"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5">
    <w:nsid w:val="6EED3AB8"/>
    <w:multiLevelType w:val="hybridMultilevel"/>
    <w:tmpl w:val="C40EDD22"/>
    <w:lvl w:ilvl="0" w:tplc="FFFFFFFF">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6">
    <w:nsid w:val="7C42469C"/>
    <w:multiLevelType w:val="hybridMultilevel"/>
    <w:tmpl w:val="1A2C5FF6"/>
    <w:lvl w:ilvl="0" w:tplc="C2DC092C">
      <w:start w:val="1"/>
      <w:numFmt w:val="decimal"/>
      <w:lvlText w:val="%1."/>
      <w:lvlJc w:val="left"/>
      <w:pPr>
        <w:ind w:left="1180" w:hanging="360"/>
      </w:pPr>
      <w:rPr>
        <w:rFonts w:hint="default"/>
        <w:u w:color="FF0000"/>
      </w:r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num w:numId="1">
    <w:abstractNumId w:val="8"/>
  </w:num>
  <w:num w:numId="2">
    <w:abstractNumId w:val="6"/>
  </w:num>
  <w:num w:numId="3">
    <w:abstractNumId w:val="2"/>
  </w:num>
  <w:num w:numId="4">
    <w:abstractNumId w:val="1"/>
  </w:num>
  <w:num w:numId="5">
    <w:abstractNumId w:val="7"/>
  </w:num>
  <w:num w:numId="6">
    <w:abstractNumId w:val="11"/>
  </w:num>
  <w:num w:numId="7">
    <w:abstractNumId w:val="13"/>
  </w:num>
  <w:num w:numId="8">
    <w:abstractNumId w:val="5"/>
  </w:num>
  <w:num w:numId="9">
    <w:abstractNumId w:val="4"/>
  </w:num>
  <w:num w:numId="10">
    <w:abstractNumId w:val="0"/>
  </w:num>
  <w:num w:numId="11">
    <w:abstractNumId w:val="14"/>
  </w:num>
  <w:num w:numId="12">
    <w:abstractNumId w:val="10"/>
  </w:num>
  <w:num w:numId="13">
    <w:abstractNumId w:val="12"/>
  </w:num>
  <w:num w:numId="14">
    <w:abstractNumId w:val="3"/>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14"/>
    <w:rsid w:val="00003E98"/>
    <w:rsid w:val="00005D7A"/>
    <w:rsid w:val="00006994"/>
    <w:rsid w:val="00007843"/>
    <w:rsid w:val="000078DD"/>
    <w:rsid w:val="00012854"/>
    <w:rsid w:val="00013D6E"/>
    <w:rsid w:val="00025E5C"/>
    <w:rsid w:val="0003137F"/>
    <w:rsid w:val="00032063"/>
    <w:rsid w:val="00034AE1"/>
    <w:rsid w:val="000410B3"/>
    <w:rsid w:val="000452F7"/>
    <w:rsid w:val="00051F09"/>
    <w:rsid w:val="00053B88"/>
    <w:rsid w:val="0006168F"/>
    <w:rsid w:val="000752A2"/>
    <w:rsid w:val="0009197A"/>
    <w:rsid w:val="00091C39"/>
    <w:rsid w:val="000A3584"/>
    <w:rsid w:val="000A4FA9"/>
    <w:rsid w:val="000A56A8"/>
    <w:rsid w:val="000B0263"/>
    <w:rsid w:val="000B3E81"/>
    <w:rsid w:val="000B4DD2"/>
    <w:rsid w:val="000C765C"/>
    <w:rsid w:val="000D1A87"/>
    <w:rsid w:val="000D2101"/>
    <w:rsid w:val="000D34B2"/>
    <w:rsid w:val="000D787F"/>
    <w:rsid w:val="000E05B1"/>
    <w:rsid w:val="000E10F3"/>
    <w:rsid w:val="000E1C8C"/>
    <w:rsid w:val="000E28BC"/>
    <w:rsid w:val="000E6157"/>
    <w:rsid w:val="000E6FD4"/>
    <w:rsid w:val="000F63F4"/>
    <w:rsid w:val="00103E35"/>
    <w:rsid w:val="0011178C"/>
    <w:rsid w:val="0011256B"/>
    <w:rsid w:val="0012096C"/>
    <w:rsid w:val="0012592B"/>
    <w:rsid w:val="00125EA0"/>
    <w:rsid w:val="001320F7"/>
    <w:rsid w:val="0015724B"/>
    <w:rsid w:val="00162798"/>
    <w:rsid w:val="00163E73"/>
    <w:rsid w:val="00164E8F"/>
    <w:rsid w:val="001742C0"/>
    <w:rsid w:val="001749DE"/>
    <w:rsid w:val="00182714"/>
    <w:rsid w:val="001859EC"/>
    <w:rsid w:val="0019477D"/>
    <w:rsid w:val="001A2DE3"/>
    <w:rsid w:val="001A5F1C"/>
    <w:rsid w:val="001B1349"/>
    <w:rsid w:val="001B6B3A"/>
    <w:rsid w:val="001C066C"/>
    <w:rsid w:val="001C0AFA"/>
    <w:rsid w:val="001C30AC"/>
    <w:rsid w:val="001C4AB2"/>
    <w:rsid w:val="001D0060"/>
    <w:rsid w:val="001D238F"/>
    <w:rsid w:val="001F3C40"/>
    <w:rsid w:val="00206FB6"/>
    <w:rsid w:val="00210210"/>
    <w:rsid w:val="00222944"/>
    <w:rsid w:val="002276F8"/>
    <w:rsid w:val="0023493E"/>
    <w:rsid w:val="0024678C"/>
    <w:rsid w:val="00247509"/>
    <w:rsid w:val="0025184F"/>
    <w:rsid w:val="002519CB"/>
    <w:rsid w:val="00252F11"/>
    <w:rsid w:val="0025612D"/>
    <w:rsid w:val="002576F5"/>
    <w:rsid w:val="00260085"/>
    <w:rsid w:val="00260800"/>
    <w:rsid w:val="00262FBE"/>
    <w:rsid w:val="00271DDF"/>
    <w:rsid w:val="00277901"/>
    <w:rsid w:val="00277CE9"/>
    <w:rsid w:val="00280811"/>
    <w:rsid w:val="002828B0"/>
    <w:rsid w:val="00287C45"/>
    <w:rsid w:val="0029252D"/>
    <w:rsid w:val="00293EDE"/>
    <w:rsid w:val="00294931"/>
    <w:rsid w:val="0029563E"/>
    <w:rsid w:val="00296BA6"/>
    <w:rsid w:val="002A45C9"/>
    <w:rsid w:val="002B1544"/>
    <w:rsid w:val="002B5C09"/>
    <w:rsid w:val="002C0E2F"/>
    <w:rsid w:val="002C1338"/>
    <w:rsid w:val="002C2AE8"/>
    <w:rsid w:val="002C5414"/>
    <w:rsid w:val="002C777C"/>
    <w:rsid w:val="002D3B87"/>
    <w:rsid w:val="002D60EB"/>
    <w:rsid w:val="002E0555"/>
    <w:rsid w:val="002E1EE9"/>
    <w:rsid w:val="002E4378"/>
    <w:rsid w:val="00302EE3"/>
    <w:rsid w:val="00307DCF"/>
    <w:rsid w:val="00312C04"/>
    <w:rsid w:val="0031450B"/>
    <w:rsid w:val="0031472F"/>
    <w:rsid w:val="00322A05"/>
    <w:rsid w:val="003255CE"/>
    <w:rsid w:val="00334B37"/>
    <w:rsid w:val="00337A3E"/>
    <w:rsid w:val="00341B1F"/>
    <w:rsid w:val="00344565"/>
    <w:rsid w:val="003469B8"/>
    <w:rsid w:val="0034706A"/>
    <w:rsid w:val="003555FA"/>
    <w:rsid w:val="00360A92"/>
    <w:rsid w:val="003618B0"/>
    <w:rsid w:val="00367FBE"/>
    <w:rsid w:val="00371DA0"/>
    <w:rsid w:val="00380DC3"/>
    <w:rsid w:val="00387A1F"/>
    <w:rsid w:val="00390F17"/>
    <w:rsid w:val="003964AF"/>
    <w:rsid w:val="003A5383"/>
    <w:rsid w:val="003A77B9"/>
    <w:rsid w:val="003B5829"/>
    <w:rsid w:val="003B7B49"/>
    <w:rsid w:val="003C2A75"/>
    <w:rsid w:val="003C2C8A"/>
    <w:rsid w:val="003C643C"/>
    <w:rsid w:val="003C7A0A"/>
    <w:rsid w:val="003E13F7"/>
    <w:rsid w:val="003E3233"/>
    <w:rsid w:val="003E5860"/>
    <w:rsid w:val="003F742B"/>
    <w:rsid w:val="00411C0E"/>
    <w:rsid w:val="0041792C"/>
    <w:rsid w:val="00433694"/>
    <w:rsid w:val="00440780"/>
    <w:rsid w:val="0045143E"/>
    <w:rsid w:val="004663A9"/>
    <w:rsid w:val="0048272C"/>
    <w:rsid w:val="0048349F"/>
    <w:rsid w:val="00485596"/>
    <w:rsid w:val="004A1794"/>
    <w:rsid w:val="004A2616"/>
    <w:rsid w:val="004A6EB9"/>
    <w:rsid w:val="004A7E36"/>
    <w:rsid w:val="004C2485"/>
    <w:rsid w:val="004C3D7C"/>
    <w:rsid w:val="004C4148"/>
    <w:rsid w:val="004E1F67"/>
    <w:rsid w:val="004E2B7A"/>
    <w:rsid w:val="004E56FE"/>
    <w:rsid w:val="004E5A05"/>
    <w:rsid w:val="004E74DD"/>
    <w:rsid w:val="004F08D6"/>
    <w:rsid w:val="004F6260"/>
    <w:rsid w:val="004F64A5"/>
    <w:rsid w:val="005037EB"/>
    <w:rsid w:val="0051649D"/>
    <w:rsid w:val="0053301F"/>
    <w:rsid w:val="00534257"/>
    <w:rsid w:val="00541A7E"/>
    <w:rsid w:val="005468BA"/>
    <w:rsid w:val="00553AB4"/>
    <w:rsid w:val="00553DF5"/>
    <w:rsid w:val="00562DF5"/>
    <w:rsid w:val="00572395"/>
    <w:rsid w:val="005769A8"/>
    <w:rsid w:val="00577C1A"/>
    <w:rsid w:val="00580B0C"/>
    <w:rsid w:val="0058342D"/>
    <w:rsid w:val="0058360F"/>
    <w:rsid w:val="005862A0"/>
    <w:rsid w:val="00586B61"/>
    <w:rsid w:val="0059147A"/>
    <w:rsid w:val="005915B6"/>
    <w:rsid w:val="005A3E94"/>
    <w:rsid w:val="005A67C5"/>
    <w:rsid w:val="005A7431"/>
    <w:rsid w:val="005B3F97"/>
    <w:rsid w:val="005B61A5"/>
    <w:rsid w:val="005C3E73"/>
    <w:rsid w:val="005E2309"/>
    <w:rsid w:val="005E252A"/>
    <w:rsid w:val="005E5A17"/>
    <w:rsid w:val="005E7501"/>
    <w:rsid w:val="005F09E4"/>
    <w:rsid w:val="005F2595"/>
    <w:rsid w:val="005F780A"/>
    <w:rsid w:val="00604A99"/>
    <w:rsid w:val="00606191"/>
    <w:rsid w:val="00617B10"/>
    <w:rsid w:val="00617E54"/>
    <w:rsid w:val="0062043F"/>
    <w:rsid w:val="006259A2"/>
    <w:rsid w:val="00632BF5"/>
    <w:rsid w:val="006372BD"/>
    <w:rsid w:val="00643B5E"/>
    <w:rsid w:val="00643C0A"/>
    <w:rsid w:val="00643C65"/>
    <w:rsid w:val="00652A2F"/>
    <w:rsid w:val="0066545C"/>
    <w:rsid w:val="00674464"/>
    <w:rsid w:val="00677B83"/>
    <w:rsid w:val="0068773B"/>
    <w:rsid w:val="006904AB"/>
    <w:rsid w:val="006A1B87"/>
    <w:rsid w:val="006A2CB6"/>
    <w:rsid w:val="006A559F"/>
    <w:rsid w:val="006B2CE1"/>
    <w:rsid w:val="006B4A63"/>
    <w:rsid w:val="006B530F"/>
    <w:rsid w:val="006B7A1E"/>
    <w:rsid w:val="006B7C5A"/>
    <w:rsid w:val="006C2046"/>
    <w:rsid w:val="006C2DD8"/>
    <w:rsid w:val="006D39AF"/>
    <w:rsid w:val="006D58E5"/>
    <w:rsid w:val="006D7CF2"/>
    <w:rsid w:val="006E0EF5"/>
    <w:rsid w:val="006E2BCC"/>
    <w:rsid w:val="006E323B"/>
    <w:rsid w:val="006F1434"/>
    <w:rsid w:val="006F54BA"/>
    <w:rsid w:val="006F6F2E"/>
    <w:rsid w:val="00702ABF"/>
    <w:rsid w:val="007031F4"/>
    <w:rsid w:val="00707503"/>
    <w:rsid w:val="0071382B"/>
    <w:rsid w:val="00720ADF"/>
    <w:rsid w:val="00725A8C"/>
    <w:rsid w:val="00735CC2"/>
    <w:rsid w:val="00736480"/>
    <w:rsid w:val="007465EB"/>
    <w:rsid w:val="00750BD0"/>
    <w:rsid w:val="00752F4E"/>
    <w:rsid w:val="00753C30"/>
    <w:rsid w:val="007609E6"/>
    <w:rsid w:val="00760D2C"/>
    <w:rsid w:val="00763690"/>
    <w:rsid w:val="00763A5D"/>
    <w:rsid w:val="007722BC"/>
    <w:rsid w:val="00781C0A"/>
    <w:rsid w:val="007829FF"/>
    <w:rsid w:val="00783ED3"/>
    <w:rsid w:val="00792CB7"/>
    <w:rsid w:val="00793E01"/>
    <w:rsid w:val="0079648E"/>
    <w:rsid w:val="007A07BB"/>
    <w:rsid w:val="007A236E"/>
    <w:rsid w:val="007A2471"/>
    <w:rsid w:val="007A37F5"/>
    <w:rsid w:val="007B04FB"/>
    <w:rsid w:val="007B0826"/>
    <w:rsid w:val="007B49DE"/>
    <w:rsid w:val="007B7A52"/>
    <w:rsid w:val="007D1392"/>
    <w:rsid w:val="007E3982"/>
    <w:rsid w:val="007E46DC"/>
    <w:rsid w:val="007E7E88"/>
    <w:rsid w:val="0080265E"/>
    <w:rsid w:val="00803766"/>
    <w:rsid w:val="00806176"/>
    <w:rsid w:val="0080721E"/>
    <w:rsid w:val="008137F2"/>
    <w:rsid w:val="00816D45"/>
    <w:rsid w:val="008206BC"/>
    <w:rsid w:val="00821697"/>
    <w:rsid w:val="008221A2"/>
    <w:rsid w:val="0082785F"/>
    <w:rsid w:val="00830DCD"/>
    <w:rsid w:val="00832C9F"/>
    <w:rsid w:val="00832D8B"/>
    <w:rsid w:val="00834BFD"/>
    <w:rsid w:val="008465EF"/>
    <w:rsid w:val="00847DD5"/>
    <w:rsid w:val="00861DAD"/>
    <w:rsid w:val="008653D3"/>
    <w:rsid w:val="008666F3"/>
    <w:rsid w:val="00870761"/>
    <w:rsid w:val="00874D34"/>
    <w:rsid w:val="00877BAE"/>
    <w:rsid w:val="008A1A8E"/>
    <w:rsid w:val="008A2339"/>
    <w:rsid w:val="008A2FB2"/>
    <w:rsid w:val="008A48B6"/>
    <w:rsid w:val="008B38D5"/>
    <w:rsid w:val="008B7BBD"/>
    <w:rsid w:val="008C2506"/>
    <w:rsid w:val="008C5926"/>
    <w:rsid w:val="008C6BD4"/>
    <w:rsid w:val="008D3667"/>
    <w:rsid w:val="008E4CEC"/>
    <w:rsid w:val="008E782C"/>
    <w:rsid w:val="008E7CB9"/>
    <w:rsid w:val="008F6855"/>
    <w:rsid w:val="009046B0"/>
    <w:rsid w:val="0090478C"/>
    <w:rsid w:val="009110CE"/>
    <w:rsid w:val="00917200"/>
    <w:rsid w:val="00920DB2"/>
    <w:rsid w:val="00921E4B"/>
    <w:rsid w:val="00924800"/>
    <w:rsid w:val="00924AB1"/>
    <w:rsid w:val="009260F1"/>
    <w:rsid w:val="009304B6"/>
    <w:rsid w:val="00936226"/>
    <w:rsid w:val="00937258"/>
    <w:rsid w:val="00945491"/>
    <w:rsid w:val="009458E5"/>
    <w:rsid w:val="00945A69"/>
    <w:rsid w:val="00954288"/>
    <w:rsid w:val="0096124E"/>
    <w:rsid w:val="0097717F"/>
    <w:rsid w:val="00977AE5"/>
    <w:rsid w:val="00987090"/>
    <w:rsid w:val="00991BA3"/>
    <w:rsid w:val="009956F2"/>
    <w:rsid w:val="009A0067"/>
    <w:rsid w:val="009A2F9E"/>
    <w:rsid w:val="009B0687"/>
    <w:rsid w:val="009C135F"/>
    <w:rsid w:val="009C2C85"/>
    <w:rsid w:val="009D0C6D"/>
    <w:rsid w:val="009D1F51"/>
    <w:rsid w:val="009E65F4"/>
    <w:rsid w:val="009F13E2"/>
    <w:rsid w:val="009F1604"/>
    <w:rsid w:val="00A010C8"/>
    <w:rsid w:val="00A0502D"/>
    <w:rsid w:val="00A059BC"/>
    <w:rsid w:val="00A074CE"/>
    <w:rsid w:val="00A111B0"/>
    <w:rsid w:val="00A124EA"/>
    <w:rsid w:val="00A125FD"/>
    <w:rsid w:val="00A1377F"/>
    <w:rsid w:val="00A1435F"/>
    <w:rsid w:val="00A15936"/>
    <w:rsid w:val="00A16FB5"/>
    <w:rsid w:val="00A21878"/>
    <w:rsid w:val="00A4493F"/>
    <w:rsid w:val="00A50379"/>
    <w:rsid w:val="00A506A7"/>
    <w:rsid w:val="00A54AF6"/>
    <w:rsid w:val="00A6591A"/>
    <w:rsid w:val="00A74508"/>
    <w:rsid w:val="00A77A97"/>
    <w:rsid w:val="00A8093D"/>
    <w:rsid w:val="00A865A7"/>
    <w:rsid w:val="00AA275A"/>
    <w:rsid w:val="00AA40E7"/>
    <w:rsid w:val="00AA6F8A"/>
    <w:rsid w:val="00AB7593"/>
    <w:rsid w:val="00AC0D3B"/>
    <w:rsid w:val="00AD6043"/>
    <w:rsid w:val="00AE7623"/>
    <w:rsid w:val="00AF4457"/>
    <w:rsid w:val="00AF7C4E"/>
    <w:rsid w:val="00B06FD4"/>
    <w:rsid w:val="00B11306"/>
    <w:rsid w:val="00B117D5"/>
    <w:rsid w:val="00B126A1"/>
    <w:rsid w:val="00B200D8"/>
    <w:rsid w:val="00B20C88"/>
    <w:rsid w:val="00B22B20"/>
    <w:rsid w:val="00B253F7"/>
    <w:rsid w:val="00B31C82"/>
    <w:rsid w:val="00B3253F"/>
    <w:rsid w:val="00B349D8"/>
    <w:rsid w:val="00B360B4"/>
    <w:rsid w:val="00B36D17"/>
    <w:rsid w:val="00B46EC2"/>
    <w:rsid w:val="00B5271B"/>
    <w:rsid w:val="00B61339"/>
    <w:rsid w:val="00B613E1"/>
    <w:rsid w:val="00B61F00"/>
    <w:rsid w:val="00B636B9"/>
    <w:rsid w:val="00B654CE"/>
    <w:rsid w:val="00B71A80"/>
    <w:rsid w:val="00B720DD"/>
    <w:rsid w:val="00B73DE4"/>
    <w:rsid w:val="00B83242"/>
    <w:rsid w:val="00BA202A"/>
    <w:rsid w:val="00BA2F9E"/>
    <w:rsid w:val="00BA5000"/>
    <w:rsid w:val="00BA69A7"/>
    <w:rsid w:val="00BA701F"/>
    <w:rsid w:val="00BB23D0"/>
    <w:rsid w:val="00BC288C"/>
    <w:rsid w:val="00BC2C6D"/>
    <w:rsid w:val="00BD14DA"/>
    <w:rsid w:val="00BD3660"/>
    <w:rsid w:val="00BE14A2"/>
    <w:rsid w:val="00BE3EB9"/>
    <w:rsid w:val="00BE56FC"/>
    <w:rsid w:val="00BE6272"/>
    <w:rsid w:val="00BE773D"/>
    <w:rsid w:val="00BF5832"/>
    <w:rsid w:val="00C00FF6"/>
    <w:rsid w:val="00C02EEE"/>
    <w:rsid w:val="00C120C6"/>
    <w:rsid w:val="00C13C54"/>
    <w:rsid w:val="00C14018"/>
    <w:rsid w:val="00C264DB"/>
    <w:rsid w:val="00C3603A"/>
    <w:rsid w:val="00C479B4"/>
    <w:rsid w:val="00C47D60"/>
    <w:rsid w:val="00C533EE"/>
    <w:rsid w:val="00C635D0"/>
    <w:rsid w:val="00C662A9"/>
    <w:rsid w:val="00C77AFF"/>
    <w:rsid w:val="00C77B94"/>
    <w:rsid w:val="00C961FC"/>
    <w:rsid w:val="00CA0FB0"/>
    <w:rsid w:val="00CA1E2C"/>
    <w:rsid w:val="00CA60EA"/>
    <w:rsid w:val="00CB0238"/>
    <w:rsid w:val="00CB12C8"/>
    <w:rsid w:val="00CB4C1B"/>
    <w:rsid w:val="00CD049C"/>
    <w:rsid w:val="00CD4500"/>
    <w:rsid w:val="00CE1E29"/>
    <w:rsid w:val="00CE3779"/>
    <w:rsid w:val="00CE5C7A"/>
    <w:rsid w:val="00CE7D6D"/>
    <w:rsid w:val="00CF558B"/>
    <w:rsid w:val="00D03B52"/>
    <w:rsid w:val="00D05369"/>
    <w:rsid w:val="00D06384"/>
    <w:rsid w:val="00D06E07"/>
    <w:rsid w:val="00D176F1"/>
    <w:rsid w:val="00D230D6"/>
    <w:rsid w:val="00D23458"/>
    <w:rsid w:val="00D25567"/>
    <w:rsid w:val="00D25804"/>
    <w:rsid w:val="00D2720E"/>
    <w:rsid w:val="00D51365"/>
    <w:rsid w:val="00D52AFB"/>
    <w:rsid w:val="00D5492F"/>
    <w:rsid w:val="00D557DB"/>
    <w:rsid w:val="00D55D2D"/>
    <w:rsid w:val="00D56B7F"/>
    <w:rsid w:val="00D56FE0"/>
    <w:rsid w:val="00D7040D"/>
    <w:rsid w:val="00DB0A46"/>
    <w:rsid w:val="00DB1CB5"/>
    <w:rsid w:val="00DC1338"/>
    <w:rsid w:val="00DC3AF7"/>
    <w:rsid w:val="00DC78E0"/>
    <w:rsid w:val="00E16E44"/>
    <w:rsid w:val="00E21665"/>
    <w:rsid w:val="00E23644"/>
    <w:rsid w:val="00E24B5D"/>
    <w:rsid w:val="00E31B39"/>
    <w:rsid w:val="00E330FA"/>
    <w:rsid w:val="00E43EDA"/>
    <w:rsid w:val="00E50DD2"/>
    <w:rsid w:val="00E60B3C"/>
    <w:rsid w:val="00E61FD2"/>
    <w:rsid w:val="00E71E49"/>
    <w:rsid w:val="00E760EF"/>
    <w:rsid w:val="00E7766C"/>
    <w:rsid w:val="00E77AFD"/>
    <w:rsid w:val="00E814B3"/>
    <w:rsid w:val="00E82D38"/>
    <w:rsid w:val="00E82E96"/>
    <w:rsid w:val="00E86436"/>
    <w:rsid w:val="00E8657B"/>
    <w:rsid w:val="00E919C8"/>
    <w:rsid w:val="00E93224"/>
    <w:rsid w:val="00E944AF"/>
    <w:rsid w:val="00E94579"/>
    <w:rsid w:val="00E94BEC"/>
    <w:rsid w:val="00EA5555"/>
    <w:rsid w:val="00EA77B6"/>
    <w:rsid w:val="00EB0756"/>
    <w:rsid w:val="00EB2F71"/>
    <w:rsid w:val="00EB3EE0"/>
    <w:rsid w:val="00EB49C2"/>
    <w:rsid w:val="00EE4DE4"/>
    <w:rsid w:val="00EF3F00"/>
    <w:rsid w:val="00EF4080"/>
    <w:rsid w:val="00F00D41"/>
    <w:rsid w:val="00F0173F"/>
    <w:rsid w:val="00F065C6"/>
    <w:rsid w:val="00F0708B"/>
    <w:rsid w:val="00F074C1"/>
    <w:rsid w:val="00F142F7"/>
    <w:rsid w:val="00F17D61"/>
    <w:rsid w:val="00F350C5"/>
    <w:rsid w:val="00F43AE8"/>
    <w:rsid w:val="00F465AB"/>
    <w:rsid w:val="00F51E77"/>
    <w:rsid w:val="00F53ECC"/>
    <w:rsid w:val="00F57404"/>
    <w:rsid w:val="00F63067"/>
    <w:rsid w:val="00F65CC2"/>
    <w:rsid w:val="00F6610F"/>
    <w:rsid w:val="00F7605E"/>
    <w:rsid w:val="00F83742"/>
    <w:rsid w:val="00F84558"/>
    <w:rsid w:val="00F87924"/>
    <w:rsid w:val="00F907C4"/>
    <w:rsid w:val="00F923DD"/>
    <w:rsid w:val="00FA2617"/>
    <w:rsid w:val="00FA655C"/>
    <w:rsid w:val="00FA7B28"/>
    <w:rsid w:val="00FA7D12"/>
    <w:rsid w:val="00FB2035"/>
    <w:rsid w:val="00FC3D01"/>
    <w:rsid w:val="00FE3164"/>
    <w:rsid w:val="00FE3878"/>
    <w:rsid w:val="00FE4D15"/>
    <w:rsid w:val="00FE6BB3"/>
    <w:rsid w:val="00FE6E3D"/>
    <w:rsid w:val="00FF166A"/>
    <w:rsid w:val="00FF20A8"/>
    <w:rsid w:val="00FF4EF8"/>
    <w:rsid w:val="00FF5452"/>
    <w:rsid w:val="00FF55E1"/>
    <w:rsid w:val="17B164D5"/>
    <w:rsid w:val="22636C03"/>
    <w:rsid w:val="2528B3AD"/>
    <w:rsid w:val="50798D5D"/>
    <w:rsid w:val="50A0C963"/>
    <w:rsid w:val="54C0E68E"/>
    <w:rsid w:val="5A77764A"/>
    <w:rsid w:val="5E5A7E79"/>
    <w:rsid w:val="6E190FB7"/>
    <w:rsid w:val="72F60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43F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AU"/>
    </w:rPr>
  </w:style>
  <w:style w:type="paragraph" w:styleId="Heading1">
    <w:name w:val="heading 1"/>
    <w:basedOn w:val="Normal"/>
    <w:uiPriority w:val="1"/>
    <w:qFormat/>
    <w:pPr>
      <w:spacing w:before="119"/>
      <w:ind w:left="460"/>
      <w:outlineLvl w:val="0"/>
    </w:pPr>
    <w:rPr>
      <w:b/>
      <w:bCs/>
    </w:rPr>
  </w:style>
  <w:style w:type="paragraph" w:styleId="Heading2">
    <w:name w:val="heading 2"/>
    <w:basedOn w:val="Normal"/>
    <w:uiPriority w:val="1"/>
    <w:qFormat/>
    <w:pPr>
      <w:spacing w:before="119"/>
      <w:ind w:left="458" w:right="81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84" w:hanging="425"/>
    </w:pPr>
  </w:style>
  <w:style w:type="paragraph" w:styleId="ListParagraph">
    <w:name w:val="List Paragraph"/>
    <w:basedOn w:val="Normal"/>
    <w:uiPriority w:val="1"/>
    <w:qFormat/>
    <w:pPr>
      <w:spacing w:before="119"/>
      <w:ind w:left="884" w:hanging="42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5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D3"/>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7E3982"/>
    <w:rPr>
      <w:sz w:val="16"/>
      <w:szCs w:val="16"/>
    </w:rPr>
  </w:style>
  <w:style w:type="paragraph" w:styleId="CommentText">
    <w:name w:val="annotation text"/>
    <w:basedOn w:val="Normal"/>
    <w:link w:val="CommentTextChar"/>
    <w:uiPriority w:val="99"/>
    <w:semiHidden/>
    <w:unhideWhenUsed/>
    <w:rsid w:val="007E3982"/>
    <w:rPr>
      <w:sz w:val="20"/>
      <w:szCs w:val="20"/>
    </w:rPr>
  </w:style>
  <w:style w:type="character" w:customStyle="1" w:styleId="CommentTextChar">
    <w:name w:val="Comment Text Char"/>
    <w:basedOn w:val="DefaultParagraphFont"/>
    <w:link w:val="CommentText"/>
    <w:uiPriority w:val="99"/>
    <w:semiHidden/>
    <w:rsid w:val="007E3982"/>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E3982"/>
    <w:rPr>
      <w:b/>
      <w:bCs/>
    </w:rPr>
  </w:style>
  <w:style w:type="character" w:customStyle="1" w:styleId="CommentSubjectChar">
    <w:name w:val="Comment Subject Char"/>
    <w:basedOn w:val="CommentTextChar"/>
    <w:link w:val="CommentSubject"/>
    <w:uiPriority w:val="99"/>
    <w:semiHidden/>
    <w:rsid w:val="007E3982"/>
    <w:rPr>
      <w:rFonts w:ascii="Verdana" w:eastAsia="Verdana" w:hAnsi="Verdana" w:cs="Verdana"/>
      <w:b/>
      <w:bCs/>
      <w:sz w:val="20"/>
      <w:szCs w:val="20"/>
    </w:rPr>
  </w:style>
  <w:style w:type="paragraph" w:styleId="Revision">
    <w:name w:val="Revision"/>
    <w:hidden/>
    <w:uiPriority w:val="99"/>
    <w:semiHidden/>
    <w:rsid w:val="00411C0E"/>
    <w:pPr>
      <w:widowControl/>
      <w:autoSpaceDE/>
      <w:autoSpaceDN/>
    </w:pPr>
    <w:rPr>
      <w:rFonts w:ascii="Verdana" w:eastAsia="Verdana" w:hAnsi="Verdana" w:cs="Verdana"/>
      <w:lang w:val="en-AU"/>
    </w:rPr>
  </w:style>
  <w:style w:type="character" w:styleId="Hyperlink">
    <w:name w:val="Hyperlink"/>
    <w:basedOn w:val="DefaultParagraphFont"/>
    <w:uiPriority w:val="99"/>
    <w:unhideWhenUsed/>
    <w:rsid w:val="00553DF5"/>
    <w:rPr>
      <w:rFonts w:cs="Times New Roman"/>
      <w:color w:val="0000FF" w:themeColor="hyperlink"/>
      <w:u w:val="single"/>
    </w:rPr>
  </w:style>
  <w:style w:type="paragraph" w:customStyle="1" w:styleId="subsection">
    <w:name w:val="subsection"/>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828B0"/>
    <w:pPr>
      <w:tabs>
        <w:tab w:val="center" w:pos="4513"/>
        <w:tab w:val="right" w:pos="9026"/>
      </w:tabs>
    </w:pPr>
  </w:style>
  <w:style w:type="character" w:customStyle="1" w:styleId="HeaderChar">
    <w:name w:val="Header Char"/>
    <w:basedOn w:val="DefaultParagraphFont"/>
    <w:link w:val="Header"/>
    <w:uiPriority w:val="99"/>
    <w:rsid w:val="002828B0"/>
    <w:rPr>
      <w:rFonts w:ascii="Verdana" w:eastAsia="Verdana" w:hAnsi="Verdana" w:cs="Verdana"/>
      <w:lang w:val="en-AU"/>
    </w:rPr>
  </w:style>
  <w:style w:type="paragraph" w:styleId="Footer">
    <w:name w:val="footer"/>
    <w:basedOn w:val="Normal"/>
    <w:link w:val="FooterChar"/>
    <w:uiPriority w:val="99"/>
    <w:unhideWhenUsed/>
    <w:rsid w:val="002828B0"/>
    <w:pPr>
      <w:tabs>
        <w:tab w:val="center" w:pos="4513"/>
        <w:tab w:val="right" w:pos="9026"/>
      </w:tabs>
    </w:pPr>
  </w:style>
  <w:style w:type="character" w:customStyle="1" w:styleId="FooterChar">
    <w:name w:val="Footer Char"/>
    <w:basedOn w:val="DefaultParagraphFont"/>
    <w:link w:val="Footer"/>
    <w:uiPriority w:val="99"/>
    <w:rsid w:val="002828B0"/>
    <w:rPr>
      <w:rFonts w:ascii="Verdana" w:eastAsia="Verdana" w:hAnsi="Verdana" w:cs="Verdana"/>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AU"/>
    </w:rPr>
  </w:style>
  <w:style w:type="paragraph" w:styleId="Heading1">
    <w:name w:val="heading 1"/>
    <w:basedOn w:val="Normal"/>
    <w:uiPriority w:val="1"/>
    <w:qFormat/>
    <w:pPr>
      <w:spacing w:before="119"/>
      <w:ind w:left="460"/>
      <w:outlineLvl w:val="0"/>
    </w:pPr>
    <w:rPr>
      <w:b/>
      <w:bCs/>
    </w:rPr>
  </w:style>
  <w:style w:type="paragraph" w:styleId="Heading2">
    <w:name w:val="heading 2"/>
    <w:basedOn w:val="Normal"/>
    <w:uiPriority w:val="1"/>
    <w:qFormat/>
    <w:pPr>
      <w:spacing w:before="119"/>
      <w:ind w:left="458" w:right="81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84" w:hanging="425"/>
    </w:pPr>
  </w:style>
  <w:style w:type="paragraph" w:styleId="ListParagraph">
    <w:name w:val="List Paragraph"/>
    <w:basedOn w:val="Normal"/>
    <w:uiPriority w:val="1"/>
    <w:qFormat/>
    <w:pPr>
      <w:spacing w:before="119"/>
      <w:ind w:left="884" w:hanging="42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5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D3"/>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7E3982"/>
    <w:rPr>
      <w:sz w:val="16"/>
      <w:szCs w:val="16"/>
    </w:rPr>
  </w:style>
  <w:style w:type="paragraph" w:styleId="CommentText">
    <w:name w:val="annotation text"/>
    <w:basedOn w:val="Normal"/>
    <w:link w:val="CommentTextChar"/>
    <w:uiPriority w:val="99"/>
    <w:semiHidden/>
    <w:unhideWhenUsed/>
    <w:rsid w:val="007E3982"/>
    <w:rPr>
      <w:sz w:val="20"/>
      <w:szCs w:val="20"/>
    </w:rPr>
  </w:style>
  <w:style w:type="character" w:customStyle="1" w:styleId="CommentTextChar">
    <w:name w:val="Comment Text Char"/>
    <w:basedOn w:val="DefaultParagraphFont"/>
    <w:link w:val="CommentText"/>
    <w:uiPriority w:val="99"/>
    <w:semiHidden/>
    <w:rsid w:val="007E3982"/>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E3982"/>
    <w:rPr>
      <w:b/>
      <w:bCs/>
    </w:rPr>
  </w:style>
  <w:style w:type="character" w:customStyle="1" w:styleId="CommentSubjectChar">
    <w:name w:val="Comment Subject Char"/>
    <w:basedOn w:val="CommentTextChar"/>
    <w:link w:val="CommentSubject"/>
    <w:uiPriority w:val="99"/>
    <w:semiHidden/>
    <w:rsid w:val="007E3982"/>
    <w:rPr>
      <w:rFonts w:ascii="Verdana" w:eastAsia="Verdana" w:hAnsi="Verdana" w:cs="Verdana"/>
      <w:b/>
      <w:bCs/>
      <w:sz w:val="20"/>
      <w:szCs w:val="20"/>
    </w:rPr>
  </w:style>
  <w:style w:type="paragraph" w:styleId="Revision">
    <w:name w:val="Revision"/>
    <w:hidden/>
    <w:uiPriority w:val="99"/>
    <w:semiHidden/>
    <w:rsid w:val="00411C0E"/>
    <w:pPr>
      <w:widowControl/>
      <w:autoSpaceDE/>
      <w:autoSpaceDN/>
    </w:pPr>
    <w:rPr>
      <w:rFonts w:ascii="Verdana" w:eastAsia="Verdana" w:hAnsi="Verdana" w:cs="Verdana"/>
      <w:lang w:val="en-AU"/>
    </w:rPr>
  </w:style>
  <w:style w:type="character" w:styleId="Hyperlink">
    <w:name w:val="Hyperlink"/>
    <w:basedOn w:val="DefaultParagraphFont"/>
    <w:uiPriority w:val="99"/>
    <w:unhideWhenUsed/>
    <w:rsid w:val="00553DF5"/>
    <w:rPr>
      <w:rFonts w:cs="Times New Roman"/>
      <w:color w:val="0000FF" w:themeColor="hyperlink"/>
      <w:u w:val="single"/>
    </w:rPr>
  </w:style>
  <w:style w:type="paragraph" w:customStyle="1" w:styleId="subsection">
    <w:name w:val="subsection"/>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828B0"/>
    <w:pPr>
      <w:tabs>
        <w:tab w:val="center" w:pos="4513"/>
        <w:tab w:val="right" w:pos="9026"/>
      </w:tabs>
    </w:pPr>
  </w:style>
  <w:style w:type="character" w:customStyle="1" w:styleId="HeaderChar">
    <w:name w:val="Header Char"/>
    <w:basedOn w:val="DefaultParagraphFont"/>
    <w:link w:val="Header"/>
    <w:uiPriority w:val="99"/>
    <w:rsid w:val="002828B0"/>
    <w:rPr>
      <w:rFonts w:ascii="Verdana" w:eastAsia="Verdana" w:hAnsi="Verdana" w:cs="Verdana"/>
      <w:lang w:val="en-AU"/>
    </w:rPr>
  </w:style>
  <w:style w:type="paragraph" w:styleId="Footer">
    <w:name w:val="footer"/>
    <w:basedOn w:val="Normal"/>
    <w:link w:val="FooterChar"/>
    <w:uiPriority w:val="99"/>
    <w:unhideWhenUsed/>
    <w:rsid w:val="002828B0"/>
    <w:pPr>
      <w:tabs>
        <w:tab w:val="center" w:pos="4513"/>
        <w:tab w:val="right" w:pos="9026"/>
      </w:tabs>
    </w:pPr>
  </w:style>
  <w:style w:type="character" w:customStyle="1" w:styleId="FooterChar">
    <w:name w:val="Footer Char"/>
    <w:basedOn w:val="DefaultParagraphFont"/>
    <w:link w:val="Footer"/>
    <w:uiPriority w:val="99"/>
    <w:rsid w:val="002828B0"/>
    <w:rPr>
      <w:rFonts w:ascii="Verdana" w:eastAsia="Verdana" w:hAnsi="Verdana" w:cs="Verdan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99528">
      <w:bodyDiv w:val="1"/>
      <w:marLeft w:val="0"/>
      <w:marRight w:val="0"/>
      <w:marTop w:val="0"/>
      <w:marBottom w:val="0"/>
      <w:divBdr>
        <w:top w:val="none" w:sz="0" w:space="0" w:color="auto"/>
        <w:left w:val="none" w:sz="0" w:space="0" w:color="auto"/>
        <w:bottom w:val="none" w:sz="0" w:space="0" w:color="auto"/>
        <w:right w:val="none" w:sz="0" w:space="0" w:color="auto"/>
      </w:divBdr>
      <w:divsChild>
        <w:div w:id="1386175776">
          <w:marLeft w:val="0"/>
          <w:marRight w:val="0"/>
          <w:marTop w:val="0"/>
          <w:marBottom w:val="0"/>
          <w:divBdr>
            <w:top w:val="none" w:sz="0" w:space="0" w:color="auto"/>
            <w:left w:val="none" w:sz="0" w:space="0" w:color="auto"/>
            <w:bottom w:val="none" w:sz="0" w:space="0" w:color="auto"/>
            <w:right w:val="none" w:sz="0" w:space="0" w:color="auto"/>
          </w:divBdr>
          <w:divsChild>
            <w:div w:id="1114053065">
              <w:marLeft w:val="0"/>
              <w:marRight w:val="0"/>
              <w:marTop w:val="0"/>
              <w:marBottom w:val="0"/>
              <w:divBdr>
                <w:top w:val="none" w:sz="0" w:space="0" w:color="auto"/>
                <w:left w:val="none" w:sz="0" w:space="0" w:color="auto"/>
                <w:bottom w:val="none" w:sz="0" w:space="0" w:color="auto"/>
                <w:right w:val="none" w:sz="0" w:space="0" w:color="auto"/>
              </w:divBdr>
              <w:divsChild>
                <w:div w:id="85658129">
                  <w:marLeft w:val="0"/>
                  <w:marRight w:val="0"/>
                  <w:marTop w:val="0"/>
                  <w:marBottom w:val="0"/>
                  <w:divBdr>
                    <w:top w:val="none" w:sz="0" w:space="0" w:color="auto"/>
                    <w:left w:val="none" w:sz="0" w:space="0" w:color="auto"/>
                    <w:bottom w:val="none" w:sz="0" w:space="0" w:color="auto"/>
                    <w:right w:val="none" w:sz="0" w:space="0" w:color="auto"/>
                  </w:divBdr>
                  <w:divsChild>
                    <w:div w:id="1462379906">
                      <w:marLeft w:val="0"/>
                      <w:marRight w:val="0"/>
                      <w:marTop w:val="0"/>
                      <w:marBottom w:val="0"/>
                      <w:divBdr>
                        <w:top w:val="none" w:sz="0" w:space="0" w:color="auto"/>
                        <w:left w:val="none" w:sz="0" w:space="0" w:color="auto"/>
                        <w:bottom w:val="none" w:sz="0" w:space="0" w:color="auto"/>
                        <w:right w:val="none" w:sz="0" w:space="0" w:color="auto"/>
                      </w:divBdr>
                      <w:divsChild>
                        <w:div w:id="383068719">
                          <w:marLeft w:val="0"/>
                          <w:marRight w:val="0"/>
                          <w:marTop w:val="0"/>
                          <w:marBottom w:val="0"/>
                          <w:divBdr>
                            <w:top w:val="none" w:sz="0" w:space="0" w:color="auto"/>
                            <w:left w:val="none" w:sz="0" w:space="0" w:color="auto"/>
                            <w:bottom w:val="none" w:sz="0" w:space="0" w:color="auto"/>
                            <w:right w:val="none" w:sz="0" w:space="0" w:color="auto"/>
                          </w:divBdr>
                          <w:divsChild>
                            <w:div w:id="14619940">
                              <w:marLeft w:val="0"/>
                              <w:marRight w:val="0"/>
                              <w:marTop w:val="0"/>
                              <w:marBottom w:val="0"/>
                              <w:divBdr>
                                <w:top w:val="none" w:sz="0" w:space="0" w:color="auto"/>
                                <w:left w:val="none" w:sz="0" w:space="0" w:color="auto"/>
                                <w:bottom w:val="none" w:sz="0" w:space="0" w:color="auto"/>
                                <w:right w:val="none" w:sz="0" w:space="0" w:color="auto"/>
                              </w:divBdr>
                              <w:divsChild>
                                <w:div w:id="552347460">
                                  <w:marLeft w:val="0"/>
                                  <w:marRight w:val="0"/>
                                  <w:marTop w:val="0"/>
                                  <w:marBottom w:val="0"/>
                                  <w:divBdr>
                                    <w:top w:val="none" w:sz="0" w:space="0" w:color="auto"/>
                                    <w:left w:val="none" w:sz="0" w:space="0" w:color="auto"/>
                                    <w:bottom w:val="none" w:sz="0" w:space="0" w:color="auto"/>
                                    <w:right w:val="none" w:sz="0" w:space="0" w:color="auto"/>
                                  </w:divBdr>
                                  <w:divsChild>
                                    <w:div w:id="72703667">
                                      <w:marLeft w:val="0"/>
                                      <w:marRight w:val="0"/>
                                      <w:marTop w:val="0"/>
                                      <w:marBottom w:val="0"/>
                                      <w:divBdr>
                                        <w:top w:val="none" w:sz="0" w:space="0" w:color="auto"/>
                                        <w:left w:val="none" w:sz="0" w:space="0" w:color="auto"/>
                                        <w:bottom w:val="none" w:sz="0" w:space="0" w:color="auto"/>
                                        <w:right w:val="none" w:sz="0" w:space="0" w:color="auto"/>
                                      </w:divBdr>
                                      <w:divsChild>
                                        <w:div w:id="1479884558">
                                          <w:marLeft w:val="0"/>
                                          <w:marRight w:val="0"/>
                                          <w:marTop w:val="0"/>
                                          <w:marBottom w:val="0"/>
                                          <w:divBdr>
                                            <w:top w:val="none" w:sz="0" w:space="0" w:color="auto"/>
                                            <w:left w:val="none" w:sz="0" w:space="0" w:color="auto"/>
                                            <w:bottom w:val="none" w:sz="0" w:space="0" w:color="auto"/>
                                            <w:right w:val="none" w:sz="0" w:space="0" w:color="auto"/>
                                          </w:divBdr>
                                          <w:divsChild>
                                            <w:div w:id="687175937">
                                              <w:marLeft w:val="0"/>
                                              <w:marRight w:val="0"/>
                                              <w:marTop w:val="0"/>
                                              <w:marBottom w:val="0"/>
                                              <w:divBdr>
                                                <w:top w:val="none" w:sz="0" w:space="0" w:color="auto"/>
                                                <w:left w:val="none" w:sz="0" w:space="0" w:color="auto"/>
                                                <w:bottom w:val="none" w:sz="0" w:space="0" w:color="auto"/>
                                                <w:right w:val="none" w:sz="0" w:space="0" w:color="auto"/>
                                              </w:divBdr>
                                              <w:divsChild>
                                                <w:div w:id="585264060">
                                                  <w:marLeft w:val="0"/>
                                                  <w:marRight w:val="0"/>
                                                  <w:marTop w:val="0"/>
                                                  <w:marBottom w:val="0"/>
                                                  <w:divBdr>
                                                    <w:top w:val="none" w:sz="0" w:space="0" w:color="auto"/>
                                                    <w:left w:val="none" w:sz="0" w:space="0" w:color="auto"/>
                                                    <w:bottom w:val="none" w:sz="0" w:space="0" w:color="auto"/>
                                                    <w:right w:val="none" w:sz="0" w:space="0" w:color="auto"/>
                                                  </w:divBdr>
                                                  <w:divsChild>
                                                    <w:div w:id="930115623">
                                                      <w:marLeft w:val="0"/>
                                                      <w:marRight w:val="0"/>
                                                      <w:marTop w:val="0"/>
                                                      <w:marBottom w:val="0"/>
                                                      <w:divBdr>
                                                        <w:top w:val="none" w:sz="0" w:space="0" w:color="auto"/>
                                                        <w:left w:val="none" w:sz="0" w:space="0" w:color="auto"/>
                                                        <w:bottom w:val="none" w:sz="0" w:space="0" w:color="auto"/>
                                                        <w:right w:val="none" w:sz="0" w:space="0" w:color="auto"/>
                                                      </w:divBdr>
                                                      <w:divsChild>
                                                        <w:div w:id="7629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MCNotes xmlns="34fc8afc-7472-45e8-bbd1-faca779056d1" xsi:nil="true"/>
    <mc5611b894cf49d8aeeb8ebf39dc09bc xmlns="34fc8afc-7472-45e8-bbd1-faca779056d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34fc8afc-7472-45e8-bbd1-faca779056d1">SHD20-6136</ShareHubID>
    <TaxCatchAll xmlns="34fc8afc-7472-45e8-bbd1-faca779056d1">
      <Value>3</Value>
    </TaxCatchAll>
    <jd1c641577414dfdab1686c9d5d0dbd0 xmlns="34fc8afc-7472-45e8-bbd1-faca779056d1">
      <Terms xmlns="http://schemas.microsoft.com/office/infopath/2007/PartnerControls"/>
    </jd1c641577414dfdab1686c9d5d0dbd0>
    <NonRecordJustification xmlns="685f9fda-bd71-4433-b331-92feb9553089">None</NonRecordJustification>
    <SharedWithUsers xmlns="34fc8afc-7472-45e8-bbd1-faca779056d1">
      <UserInfo>
        <DisplayName>Lyn WOJTASZAK</DisplayName>
        <AccountId>48</AccountId>
        <AccountType/>
      </UserInfo>
      <UserInfo>
        <DisplayName>Sophie CARTWRIGHT</DisplayName>
        <AccountId>53</AccountId>
        <AccountType/>
      </UserInfo>
      <UserInfo>
        <DisplayName>Donna TAIT</DisplayName>
        <AccountId>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BB5694627831849AB70D5C02B4CD650" ma:contentTypeVersion="6" ma:contentTypeDescription="ShareHub Document" ma:contentTypeScope="" ma:versionID="764b8f0c186ea2ac046e7f4eebc507a0">
  <xsd:schema xmlns:xsd="http://www.w3.org/2001/XMLSchema" xmlns:xs="http://www.w3.org/2001/XMLSchema" xmlns:p="http://schemas.microsoft.com/office/2006/metadata/properties" xmlns:ns1="34fc8afc-7472-45e8-bbd1-faca779056d1" xmlns:ns3="685f9fda-bd71-4433-b331-92feb9553089" targetNamespace="http://schemas.microsoft.com/office/2006/metadata/properties" ma:root="true" ma:fieldsID="7e909ff3babdad43369153148ea86c7f" ns1:_="" ns3:_="">
    <xsd:import namespace="34fc8afc-7472-45e8-bbd1-faca779056d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c8afc-7472-45e8-bbd1-faca779056d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5c4160-954b-4b0e-9a10-761d01a7dd72}" ma:internalName="TaxCatchAll" ma:showField="CatchAllData"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5c4160-954b-4b0e-9a10-761d01a7dd72}" ma:internalName="TaxCatchAllLabel" ma:readOnly="true" ma:showField="CatchAllDataLabel"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E1957-EAB0-41F3-AFA1-D02C5EC39228}">
  <ds:schemaRefs>
    <ds:schemaRef ds:uri="http://schemas.microsoft.com/sharepoint/v3/contenttype/forms"/>
  </ds:schemaRefs>
</ds:datastoreItem>
</file>

<file path=customXml/itemProps2.xml><?xml version="1.0" encoding="utf-8"?>
<ds:datastoreItem xmlns:ds="http://schemas.openxmlformats.org/officeDocument/2006/customXml" ds:itemID="{E048255C-C5ED-4C90-8956-9E087D936474}">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685f9fda-bd71-4433-b331-92feb9553089"/>
    <ds:schemaRef ds:uri="http://purl.org/dc/terms/"/>
    <ds:schemaRef ds:uri="http://purl.org/dc/elements/1.1/"/>
    <ds:schemaRef ds:uri="http://schemas.openxmlformats.org/package/2006/metadata/core-properties"/>
    <ds:schemaRef ds:uri="34fc8afc-7472-45e8-bbd1-faca779056d1"/>
  </ds:schemaRefs>
</ds:datastoreItem>
</file>

<file path=customXml/itemProps3.xml><?xml version="1.0" encoding="utf-8"?>
<ds:datastoreItem xmlns:ds="http://schemas.openxmlformats.org/officeDocument/2006/customXml" ds:itemID="{3FDF7C56-0F0A-4F28-9C78-529550AF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c8afc-7472-45e8-bbd1-faca779056d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1D82E-C022-4F5F-885D-AFD49769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1896</Words>
  <Characters>9843</Characters>
  <Application>Microsoft Office Word</Application>
  <DocSecurity>4</DocSecurity>
  <Lines>289</Lines>
  <Paragraphs>170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ROPER,Sophie</dc:creator>
  <cp:lastModifiedBy>Conduit, Nikki</cp:lastModifiedBy>
  <cp:revision>2</cp:revision>
  <cp:lastPrinted>2019-10-30T03:45:00Z</cp:lastPrinted>
  <dcterms:created xsi:type="dcterms:W3CDTF">2020-09-22T07:30:00Z</dcterms:created>
  <dcterms:modified xsi:type="dcterms:W3CDTF">2020-09-22T07:30:00Z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Acrobat PDFMaker 19 for Word</vt:lpwstr>
  </property>
  <property fmtid="{D5CDD505-2E9C-101B-9397-08002B2CF9AE}" pid="4" name="LastSaved">
    <vt:filetime>2018-11-09T00:00:00Z</vt:filetime>
  </property>
  <property fmtid="{D5CDD505-2E9C-101B-9397-08002B2CF9AE}" pid="5" name="ContentTypeId">
    <vt:lpwstr>0x0101002825A64A6E1845A99A9D8EE8A5686ECB002BB5694627831849AB70D5C02B4CD650</vt:lpwstr>
  </property>
  <property fmtid="{D5CDD505-2E9C-101B-9397-08002B2CF9AE}" pid="6" name="HPRMSecurityLevel">
    <vt:lpwstr>3;#OFFICIAL|11463c70-78df-4e3b-b0ff-f66cd3cb26ec</vt:lpwstr>
  </property>
  <property fmtid="{D5CDD505-2E9C-101B-9397-08002B2CF9AE}" pid="7" name="HPRMSecurityCaveat">
    <vt:lpwstr/>
  </property>
</Properties>
</file>