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CC83" w14:textId="618BE95E" w:rsidR="00976332" w:rsidRPr="004D5A79" w:rsidRDefault="00976332" w:rsidP="00976332">
      <w:pPr>
        <w:pStyle w:val="Heading"/>
        <w:spacing w:before="120"/>
        <w:jc w:val="center"/>
        <w:rPr>
          <w:rFonts w:ascii="Times New Roman" w:hAnsi="Times New Roman"/>
          <w:sz w:val="24"/>
          <w:szCs w:val="24"/>
        </w:rPr>
      </w:pPr>
      <w:bookmarkStart w:id="0" w:name="_GoBack"/>
      <w:bookmarkEnd w:id="0"/>
      <w:r w:rsidRPr="004D5A79">
        <w:rPr>
          <w:rFonts w:ascii="Times New Roman" w:hAnsi="Times New Roman"/>
          <w:sz w:val="24"/>
          <w:szCs w:val="24"/>
        </w:rPr>
        <w:t xml:space="preserve">Banking (prudential standard) </w:t>
      </w:r>
      <w:r w:rsidRPr="00F26790">
        <w:rPr>
          <w:rFonts w:ascii="Times New Roman" w:hAnsi="Times New Roman"/>
          <w:sz w:val="24"/>
          <w:szCs w:val="24"/>
        </w:rPr>
        <w:t>determination</w:t>
      </w:r>
      <w:r w:rsidRPr="004D5A79">
        <w:rPr>
          <w:rFonts w:ascii="Times New Roman" w:hAnsi="Times New Roman"/>
          <w:sz w:val="24"/>
          <w:szCs w:val="24"/>
        </w:rPr>
        <w:t xml:space="preserve"> No. </w:t>
      </w:r>
      <w:r w:rsidR="00563F24" w:rsidRPr="00F26790">
        <w:rPr>
          <w:rFonts w:ascii="Times New Roman" w:hAnsi="Times New Roman"/>
          <w:sz w:val="24"/>
          <w:szCs w:val="24"/>
        </w:rPr>
        <w:t>3</w:t>
      </w:r>
      <w:r w:rsidRPr="004D5A79">
        <w:rPr>
          <w:rFonts w:ascii="Times New Roman" w:hAnsi="Times New Roman"/>
          <w:sz w:val="24"/>
          <w:szCs w:val="24"/>
        </w:rPr>
        <w:t xml:space="preserve"> of 2020</w:t>
      </w:r>
    </w:p>
    <w:p w14:paraId="4247969B" w14:textId="77777777" w:rsidR="00976332" w:rsidRPr="004D5A79" w:rsidRDefault="00976332" w:rsidP="00976332">
      <w:pPr>
        <w:pStyle w:val="Heading"/>
        <w:tabs>
          <w:tab w:val="left" w:pos="360"/>
        </w:tabs>
        <w:spacing w:before="120"/>
        <w:jc w:val="center"/>
        <w:rPr>
          <w:rFonts w:ascii="Times New Roman" w:hAnsi="Times New Roman"/>
          <w:sz w:val="24"/>
          <w:szCs w:val="24"/>
          <w:u w:val="single"/>
        </w:rPr>
      </w:pPr>
      <w:bookmarkStart w:id="1" w:name="bkInstrumentSubTitle"/>
      <w:bookmarkEnd w:id="1"/>
      <w:r w:rsidRPr="004D5A79">
        <w:rPr>
          <w:rFonts w:ascii="Times New Roman" w:hAnsi="Times New Roman"/>
          <w:sz w:val="24"/>
          <w:szCs w:val="24"/>
          <w:u w:val="single"/>
        </w:rPr>
        <w:t>EXPLANATORY STATEMENT</w:t>
      </w:r>
    </w:p>
    <w:p w14:paraId="4F698A0E" w14:textId="77777777" w:rsidR="00976332" w:rsidRPr="004D5A79" w:rsidRDefault="00976332" w:rsidP="00976332">
      <w:pPr>
        <w:pStyle w:val="Heading"/>
        <w:spacing w:before="120"/>
        <w:jc w:val="center"/>
        <w:rPr>
          <w:rFonts w:ascii="Times New Roman" w:hAnsi="Times New Roman"/>
          <w:sz w:val="24"/>
          <w:szCs w:val="24"/>
        </w:rPr>
      </w:pPr>
      <w:r w:rsidRPr="004D5A79">
        <w:rPr>
          <w:rFonts w:ascii="Times New Roman" w:hAnsi="Times New Roman"/>
          <w:sz w:val="24"/>
          <w:szCs w:val="24"/>
        </w:rPr>
        <w:t>Prepared by the Australian Prudential Regulation Authority (APRA)</w:t>
      </w:r>
    </w:p>
    <w:p w14:paraId="1EE21B72" w14:textId="77777777" w:rsidR="00976332" w:rsidRPr="004D5A79" w:rsidRDefault="00976332" w:rsidP="00976332">
      <w:pPr>
        <w:pStyle w:val="Heading"/>
        <w:tabs>
          <w:tab w:val="left" w:pos="360"/>
        </w:tabs>
        <w:spacing w:before="120"/>
        <w:jc w:val="center"/>
        <w:rPr>
          <w:rFonts w:ascii="Times New Roman" w:hAnsi="Times New Roman"/>
          <w:b w:val="0"/>
          <w:sz w:val="24"/>
          <w:szCs w:val="24"/>
        </w:rPr>
      </w:pPr>
      <w:r w:rsidRPr="004D5A79">
        <w:rPr>
          <w:rFonts w:ascii="Times New Roman" w:hAnsi="Times New Roman"/>
          <w:b w:val="0"/>
          <w:i/>
          <w:sz w:val="24"/>
          <w:szCs w:val="24"/>
        </w:rPr>
        <w:t>Banking Act 1959</w:t>
      </w:r>
      <w:r w:rsidRPr="004D5A79">
        <w:rPr>
          <w:rFonts w:ascii="Times New Roman" w:hAnsi="Times New Roman"/>
          <w:b w:val="0"/>
          <w:sz w:val="24"/>
          <w:szCs w:val="24"/>
        </w:rPr>
        <w:t xml:space="preserve">, </w:t>
      </w:r>
      <w:r w:rsidRPr="004D5A79">
        <w:rPr>
          <w:rFonts w:ascii="Times New Roman" w:hAnsi="Times New Roman"/>
          <w:b w:val="0"/>
          <w:color w:val="000000"/>
          <w:sz w:val="24"/>
          <w:szCs w:val="24"/>
        </w:rPr>
        <w:t>section 11AF</w:t>
      </w:r>
    </w:p>
    <w:p w14:paraId="67450E33" w14:textId="77777777" w:rsidR="0012246A" w:rsidRPr="004D5A79" w:rsidRDefault="0012246A" w:rsidP="00976332">
      <w:pPr>
        <w:widowControl w:val="0"/>
        <w:spacing w:after="240" w:line="240" w:lineRule="auto"/>
        <w:jc w:val="both"/>
        <w:rPr>
          <w:rFonts w:ascii="Times New Roman" w:hAnsi="Times New Roman" w:cs="Times New Roman"/>
          <w:sz w:val="24"/>
          <w:szCs w:val="24"/>
        </w:rPr>
      </w:pPr>
      <w:bookmarkStart w:id="2" w:name="bkAct"/>
      <w:bookmarkStart w:id="3" w:name="bkExplanatory"/>
      <w:bookmarkEnd w:id="2"/>
      <w:bookmarkEnd w:id="3"/>
    </w:p>
    <w:p w14:paraId="368AF072" w14:textId="77777777" w:rsidR="00976332" w:rsidRPr="004D5A79" w:rsidRDefault="00976332" w:rsidP="00976332">
      <w:pPr>
        <w:widowControl w:val="0"/>
        <w:spacing w:after="240" w:line="240" w:lineRule="auto"/>
        <w:jc w:val="both"/>
        <w:rPr>
          <w:rFonts w:ascii="Times New Roman" w:hAnsi="Times New Roman" w:cs="Times New Roman"/>
          <w:sz w:val="24"/>
          <w:szCs w:val="24"/>
        </w:rPr>
      </w:pPr>
      <w:r w:rsidRPr="004D5A79">
        <w:rPr>
          <w:rFonts w:ascii="Times New Roman" w:hAnsi="Times New Roman" w:cs="Times New Roman"/>
          <w:sz w:val="24"/>
          <w:szCs w:val="24"/>
        </w:rPr>
        <w:t xml:space="preserve">Under subsection 11AF(1) of the </w:t>
      </w:r>
      <w:r w:rsidRPr="004D5A79">
        <w:rPr>
          <w:rFonts w:ascii="Times New Roman" w:hAnsi="Times New Roman" w:cs="Times New Roman"/>
          <w:i/>
          <w:sz w:val="24"/>
          <w:szCs w:val="24"/>
        </w:rPr>
        <w:t>Banking Act 1959</w:t>
      </w:r>
      <w:r w:rsidRPr="004D5A79">
        <w:rPr>
          <w:rFonts w:ascii="Times New Roman" w:hAnsi="Times New Roman" w:cs="Times New Roman"/>
          <w:sz w:val="24"/>
          <w:szCs w:val="24"/>
        </w:rPr>
        <w:t xml:space="preserve"> (the</w:t>
      </w:r>
      <w:r w:rsidRPr="004D5A79">
        <w:rPr>
          <w:rFonts w:ascii="Times New Roman" w:hAnsi="Times New Roman" w:cs="Times New Roman"/>
          <w:b/>
          <w:i/>
          <w:sz w:val="24"/>
          <w:szCs w:val="24"/>
        </w:rPr>
        <w:t xml:space="preserve"> </w:t>
      </w:r>
      <w:r w:rsidRPr="00F26790">
        <w:rPr>
          <w:rFonts w:ascii="Times New Roman" w:hAnsi="Times New Roman" w:cs="Times New Roman"/>
          <w:b/>
          <w:sz w:val="24"/>
          <w:szCs w:val="24"/>
        </w:rPr>
        <w:t>Act</w:t>
      </w:r>
      <w:r w:rsidRPr="004D5A79">
        <w:rPr>
          <w:rFonts w:ascii="Times New Roman" w:hAnsi="Times New Roman" w:cs="Times New Roman"/>
          <w:sz w:val="24"/>
          <w:szCs w:val="24"/>
        </w:rPr>
        <w:t>), APRA has the power to determine standards (</w:t>
      </w:r>
      <w:r w:rsidRPr="00F26790">
        <w:rPr>
          <w:rFonts w:ascii="Times New Roman" w:hAnsi="Times New Roman" w:cs="Times New Roman"/>
          <w:b/>
          <w:sz w:val="24"/>
          <w:szCs w:val="24"/>
        </w:rPr>
        <w:t>prudential standards</w:t>
      </w:r>
      <w:r w:rsidRPr="004D5A79">
        <w:rPr>
          <w:rFonts w:ascii="Times New Roman" w:hAnsi="Times New Roman" w:cs="Times New Roman"/>
          <w:sz w:val="24"/>
          <w:szCs w:val="24"/>
        </w:rPr>
        <w:t>), in writing, in relation to prudential matters to be complied with by authorised deposit-taking institutions (</w:t>
      </w:r>
      <w:r w:rsidRPr="00F26790">
        <w:rPr>
          <w:rFonts w:ascii="Times New Roman" w:hAnsi="Times New Roman" w:cs="Times New Roman"/>
          <w:b/>
          <w:sz w:val="24"/>
          <w:szCs w:val="24"/>
        </w:rPr>
        <w:t>ADIs</w:t>
      </w:r>
      <w:r w:rsidRPr="004D5A79">
        <w:rPr>
          <w:rFonts w:ascii="Times New Roman" w:hAnsi="Times New Roman" w:cs="Times New Roman"/>
          <w:sz w:val="24"/>
          <w:szCs w:val="24"/>
        </w:rPr>
        <w:t>) and authorised non-operating holding companies (</w:t>
      </w:r>
      <w:r w:rsidRPr="00F26790">
        <w:rPr>
          <w:rFonts w:ascii="Times New Roman" w:hAnsi="Times New Roman" w:cs="Times New Roman"/>
          <w:b/>
          <w:sz w:val="24"/>
          <w:szCs w:val="24"/>
        </w:rPr>
        <w:t>authorised NOHCs</w:t>
      </w:r>
      <w:r w:rsidRPr="004D5A79">
        <w:rPr>
          <w:rFonts w:ascii="Times New Roman" w:hAnsi="Times New Roman" w:cs="Times New Roman"/>
          <w:sz w:val="24"/>
          <w:szCs w:val="24"/>
        </w:rPr>
        <w:t>). Under subsection 11AF(3) of the Act, APRA may, in writing, vary or revoke a prudential standard.</w:t>
      </w:r>
    </w:p>
    <w:p w14:paraId="7015F0D3" w14:textId="23F47869" w:rsidR="00976332" w:rsidRPr="004D5A79" w:rsidRDefault="00976332" w:rsidP="00F26790">
      <w:pPr>
        <w:spacing w:after="240" w:line="240" w:lineRule="auto"/>
        <w:jc w:val="both"/>
        <w:rPr>
          <w:rFonts w:ascii="Times New Roman" w:hAnsi="Times New Roman" w:cs="Times New Roman"/>
          <w:sz w:val="24"/>
          <w:szCs w:val="24"/>
        </w:rPr>
      </w:pPr>
      <w:r w:rsidRPr="004D5A79">
        <w:rPr>
          <w:rFonts w:ascii="Times New Roman" w:hAnsi="Times New Roman" w:cs="Times New Roman"/>
          <w:sz w:val="24"/>
          <w:szCs w:val="24"/>
        </w:rPr>
        <w:t>On</w:t>
      </w:r>
      <w:r w:rsidR="00F26790">
        <w:rPr>
          <w:rFonts w:ascii="Times New Roman" w:hAnsi="Times New Roman" w:cs="Times New Roman"/>
          <w:sz w:val="24"/>
          <w:szCs w:val="24"/>
        </w:rPr>
        <w:t xml:space="preserve"> </w:t>
      </w:r>
      <w:r w:rsidR="002A6F6C">
        <w:rPr>
          <w:rFonts w:ascii="Times New Roman" w:hAnsi="Times New Roman" w:cs="Times New Roman"/>
          <w:sz w:val="24"/>
          <w:szCs w:val="24"/>
        </w:rPr>
        <w:t>27 February 2020</w:t>
      </w:r>
      <w:r w:rsidR="00672456" w:rsidRPr="004D5A79">
        <w:rPr>
          <w:rFonts w:ascii="Times New Roman" w:hAnsi="Times New Roman" w:cs="Times New Roman"/>
          <w:sz w:val="24"/>
          <w:szCs w:val="24"/>
        </w:rPr>
        <w:t xml:space="preserve">, </w:t>
      </w:r>
      <w:r w:rsidRPr="004D5A79">
        <w:rPr>
          <w:rFonts w:ascii="Times New Roman" w:hAnsi="Times New Roman" w:cs="Times New Roman"/>
          <w:sz w:val="24"/>
          <w:szCs w:val="24"/>
        </w:rPr>
        <w:t xml:space="preserve">APRA made Banking (prudential standard) determination No. </w:t>
      </w:r>
      <w:r w:rsidR="00563F24" w:rsidRPr="00F26790">
        <w:rPr>
          <w:rFonts w:ascii="Times New Roman" w:hAnsi="Times New Roman" w:cs="Times New Roman"/>
          <w:sz w:val="24"/>
          <w:szCs w:val="24"/>
        </w:rPr>
        <w:t>3</w:t>
      </w:r>
      <w:r w:rsidRPr="004D5A79">
        <w:rPr>
          <w:rFonts w:ascii="Times New Roman" w:hAnsi="Times New Roman" w:cs="Times New Roman"/>
          <w:sz w:val="24"/>
          <w:szCs w:val="24"/>
        </w:rPr>
        <w:t xml:space="preserve"> of 20</w:t>
      </w:r>
      <w:r w:rsidR="00C25FA1" w:rsidRPr="004D5A79">
        <w:rPr>
          <w:rFonts w:ascii="Times New Roman" w:hAnsi="Times New Roman" w:cs="Times New Roman"/>
          <w:sz w:val="24"/>
          <w:szCs w:val="24"/>
        </w:rPr>
        <w:t>20</w:t>
      </w:r>
      <w:r w:rsidRPr="004D5A79">
        <w:rPr>
          <w:rFonts w:ascii="Times New Roman" w:hAnsi="Times New Roman" w:cs="Times New Roman"/>
          <w:sz w:val="24"/>
          <w:szCs w:val="24"/>
        </w:rPr>
        <w:t xml:space="preserve"> (the instrument), which revokes </w:t>
      </w:r>
      <w:r w:rsidRPr="004D5A79">
        <w:rPr>
          <w:rFonts w:ascii="Times New Roman" w:hAnsi="Times New Roman" w:cs="Times New Roman"/>
          <w:i/>
          <w:sz w:val="24"/>
          <w:szCs w:val="24"/>
        </w:rPr>
        <w:t xml:space="preserve">Prudential Standard APS </w:t>
      </w:r>
      <w:r w:rsidR="00C25FA1" w:rsidRPr="004D5A79">
        <w:rPr>
          <w:rFonts w:ascii="Times New Roman" w:hAnsi="Times New Roman" w:cs="Times New Roman"/>
          <w:i/>
          <w:sz w:val="24"/>
          <w:szCs w:val="24"/>
        </w:rPr>
        <w:t>220 Credit Quality</w:t>
      </w:r>
      <w:r w:rsidRPr="004D5A79">
        <w:rPr>
          <w:rFonts w:ascii="Times New Roman" w:hAnsi="Times New Roman" w:cs="Times New Roman"/>
          <w:i/>
          <w:sz w:val="24"/>
          <w:szCs w:val="24"/>
        </w:rPr>
        <w:t xml:space="preserve"> </w:t>
      </w:r>
      <w:r w:rsidRPr="004D5A79">
        <w:rPr>
          <w:rFonts w:ascii="Times New Roman" w:hAnsi="Times New Roman" w:cs="Times New Roman"/>
          <w:sz w:val="24"/>
          <w:szCs w:val="24"/>
        </w:rPr>
        <w:t>made under Banking (prudential standard) determination No.</w:t>
      </w:r>
      <w:r w:rsidR="00672456" w:rsidRPr="004D5A79">
        <w:rPr>
          <w:rFonts w:ascii="Times New Roman" w:hAnsi="Times New Roman" w:cs="Times New Roman"/>
          <w:sz w:val="24"/>
          <w:szCs w:val="24"/>
        </w:rPr>
        <w:t xml:space="preserve"> </w:t>
      </w:r>
      <w:r w:rsidR="004C10F8" w:rsidRPr="004D5A79">
        <w:rPr>
          <w:rFonts w:ascii="Times New Roman" w:hAnsi="Times New Roman" w:cs="Times New Roman"/>
          <w:sz w:val="24"/>
          <w:szCs w:val="24"/>
        </w:rPr>
        <w:t>8</w:t>
      </w:r>
      <w:r w:rsidRPr="004D5A79">
        <w:rPr>
          <w:rFonts w:ascii="Times New Roman" w:hAnsi="Times New Roman" w:cs="Times New Roman"/>
          <w:sz w:val="24"/>
          <w:szCs w:val="24"/>
        </w:rPr>
        <w:t xml:space="preserve"> of </w:t>
      </w:r>
      <w:r w:rsidR="004C10F8" w:rsidRPr="004D5A79">
        <w:rPr>
          <w:rFonts w:ascii="Times New Roman" w:hAnsi="Times New Roman" w:cs="Times New Roman"/>
          <w:sz w:val="24"/>
          <w:szCs w:val="24"/>
        </w:rPr>
        <w:t>2014</w:t>
      </w:r>
      <w:r w:rsidRPr="004D5A79">
        <w:rPr>
          <w:rFonts w:ascii="Times New Roman" w:hAnsi="Times New Roman" w:cs="Times New Roman"/>
          <w:sz w:val="24"/>
          <w:szCs w:val="24"/>
        </w:rPr>
        <w:t xml:space="preserve"> and determine</w:t>
      </w:r>
      <w:r w:rsidR="004C10F8" w:rsidRPr="004D5A79">
        <w:rPr>
          <w:rFonts w:ascii="Times New Roman" w:hAnsi="Times New Roman" w:cs="Times New Roman"/>
          <w:sz w:val="24"/>
          <w:szCs w:val="24"/>
        </w:rPr>
        <w:t>s</w:t>
      </w:r>
      <w:r w:rsidRPr="004D5A79">
        <w:rPr>
          <w:rFonts w:ascii="Times New Roman" w:hAnsi="Times New Roman" w:cs="Times New Roman"/>
          <w:sz w:val="24"/>
          <w:szCs w:val="24"/>
        </w:rPr>
        <w:t xml:space="preserve"> </w:t>
      </w:r>
      <w:r w:rsidRPr="004D5A79">
        <w:rPr>
          <w:rFonts w:ascii="Times New Roman" w:hAnsi="Times New Roman" w:cs="Times New Roman"/>
          <w:i/>
          <w:sz w:val="24"/>
          <w:szCs w:val="24"/>
        </w:rPr>
        <w:t xml:space="preserve">Prudential Standard APS </w:t>
      </w:r>
      <w:r w:rsidR="00C25FA1" w:rsidRPr="004D5A79">
        <w:rPr>
          <w:rFonts w:ascii="Times New Roman" w:hAnsi="Times New Roman" w:cs="Times New Roman"/>
          <w:i/>
          <w:sz w:val="24"/>
          <w:szCs w:val="24"/>
        </w:rPr>
        <w:t>220</w:t>
      </w:r>
      <w:r w:rsidRPr="004D5A79">
        <w:rPr>
          <w:rFonts w:ascii="Times New Roman" w:hAnsi="Times New Roman" w:cs="Times New Roman"/>
          <w:i/>
          <w:sz w:val="24"/>
          <w:szCs w:val="24"/>
        </w:rPr>
        <w:t xml:space="preserve"> </w:t>
      </w:r>
      <w:r w:rsidR="00C25FA1" w:rsidRPr="004D5A79">
        <w:rPr>
          <w:rFonts w:ascii="Times New Roman" w:hAnsi="Times New Roman" w:cs="Times New Roman"/>
          <w:i/>
          <w:sz w:val="24"/>
          <w:szCs w:val="24"/>
        </w:rPr>
        <w:t>Credit Risk Management</w:t>
      </w:r>
      <w:r w:rsidRPr="004D5A79">
        <w:rPr>
          <w:rFonts w:ascii="Times New Roman" w:hAnsi="Times New Roman" w:cs="Times New Roman"/>
          <w:i/>
          <w:sz w:val="24"/>
          <w:szCs w:val="24"/>
        </w:rPr>
        <w:t xml:space="preserve"> </w:t>
      </w:r>
      <w:r w:rsidRPr="004D5A79">
        <w:rPr>
          <w:rFonts w:ascii="Times New Roman" w:hAnsi="Times New Roman" w:cs="Times New Roman"/>
          <w:sz w:val="24"/>
          <w:szCs w:val="24"/>
        </w:rPr>
        <w:t xml:space="preserve">(APS </w:t>
      </w:r>
      <w:r w:rsidR="00C25FA1" w:rsidRPr="004D5A79">
        <w:rPr>
          <w:rFonts w:ascii="Times New Roman" w:hAnsi="Times New Roman" w:cs="Times New Roman"/>
          <w:sz w:val="24"/>
          <w:szCs w:val="24"/>
        </w:rPr>
        <w:t>220</w:t>
      </w:r>
      <w:r w:rsidRPr="004D5A79">
        <w:rPr>
          <w:rFonts w:ascii="Times New Roman" w:hAnsi="Times New Roman" w:cs="Times New Roman"/>
          <w:sz w:val="24"/>
          <w:szCs w:val="24"/>
        </w:rPr>
        <w:t>)</w:t>
      </w:r>
      <w:r w:rsidR="00C25FA1" w:rsidRPr="004D5A79">
        <w:rPr>
          <w:rFonts w:ascii="Times New Roman" w:hAnsi="Times New Roman" w:cs="Times New Roman"/>
          <w:sz w:val="24"/>
          <w:szCs w:val="24"/>
        </w:rPr>
        <w:t>.</w:t>
      </w:r>
    </w:p>
    <w:p w14:paraId="14C4CC29" w14:textId="555D97F5" w:rsidR="00976332" w:rsidRPr="004D5A79" w:rsidRDefault="00976332" w:rsidP="00976332">
      <w:pPr>
        <w:widowControl w:val="0"/>
        <w:spacing w:after="240" w:line="240" w:lineRule="auto"/>
        <w:jc w:val="both"/>
        <w:rPr>
          <w:rFonts w:ascii="Times New Roman" w:hAnsi="Times New Roman" w:cs="Times New Roman"/>
          <w:sz w:val="24"/>
          <w:szCs w:val="24"/>
        </w:rPr>
      </w:pPr>
      <w:r w:rsidRPr="004D5A79">
        <w:rPr>
          <w:rFonts w:ascii="Times New Roman" w:hAnsi="Times New Roman" w:cs="Times New Roman"/>
          <w:sz w:val="24"/>
          <w:szCs w:val="24"/>
        </w:rPr>
        <w:t>The instrument commence</w:t>
      </w:r>
      <w:r w:rsidR="00510C0E" w:rsidRPr="004D5A79">
        <w:rPr>
          <w:rFonts w:ascii="Times New Roman" w:hAnsi="Times New Roman" w:cs="Times New Roman"/>
          <w:sz w:val="24"/>
          <w:szCs w:val="24"/>
        </w:rPr>
        <w:t>s</w:t>
      </w:r>
      <w:r w:rsidRPr="004D5A79">
        <w:rPr>
          <w:rFonts w:ascii="Times New Roman" w:hAnsi="Times New Roman" w:cs="Times New Roman"/>
          <w:sz w:val="24"/>
          <w:szCs w:val="24"/>
        </w:rPr>
        <w:t xml:space="preserve"> on 1 January 20</w:t>
      </w:r>
      <w:r w:rsidR="00C25FA1" w:rsidRPr="004D5A79">
        <w:rPr>
          <w:rFonts w:ascii="Times New Roman" w:hAnsi="Times New Roman" w:cs="Times New Roman"/>
          <w:sz w:val="24"/>
          <w:szCs w:val="24"/>
        </w:rPr>
        <w:t>21</w:t>
      </w:r>
      <w:r w:rsidRPr="004D5A79">
        <w:rPr>
          <w:rFonts w:ascii="Times New Roman" w:hAnsi="Times New Roman" w:cs="Times New Roman"/>
          <w:sz w:val="24"/>
          <w:szCs w:val="24"/>
        </w:rPr>
        <w:t>.</w:t>
      </w:r>
    </w:p>
    <w:p w14:paraId="26D38409" w14:textId="77777777" w:rsidR="00197A23" w:rsidRPr="004D5A79" w:rsidRDefault="00197A23" w:rsidP="0012246A">
      <w:pPr>
        <w:pStyle w:val="ListParagraph"/>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Background</w:t>
      </w:r>
    </w:p>
    <w:p w14:paraId="7377287F" w14:textId="3EE8997B"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lastRenderedPageBreak/>
        <w:t>APRA’s mandate is to ensure the safety and soundness of prudentially regulated financial institutions so that they can meet their financial promises to depositors, policyholders and fund members within a stable, efficient and competitive financial system.</w:t>
      </w:r>
    </w:p>
    <w:p w14:paraId="3D599309" w14:textId="54B16A20"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carries out this mandate through a multi-layered prudential framework that encompasses licensing and supervision of institutions. In the case of the banking industry, APRA is empowered under the </w:t>
      </w:r>
      <w:r w:rsidR="00111DAB" w:rsidRPr="00F26790">
        <w:rPr>
          <w:rFonts w:ascii="Times New Roman" w:hAnsi="Times New Roman" w:cs="Times New Roman"/>
          <w:sz w:val="24"/>
          <w:szCs w:val="24"/>
          <w:lang w:eastAsia="en-US"/>
        </w:rPr>
        <w:t>Act</w:t>
      </w:r>
      <w:r w:rsidRPr="004D5A79">
        <w:rPr>
          <w:rFonts w:ascii="Times New Roman" w:hAnsi="Times New Roman" w:cs="Times New Roman"/>
          <w:sz w:val="24"/>
          <w:szCs w:val="24"/>
          <w:lang w:eastAsia="en-US"/>
        </w:rPr>
        <w:t xml:space="preserve"> to issue legally binding prudential standards that set out specific prudential requirements with which ADIs must comply. These standards are supported by prudential practice guides (PPGs), which clarify APRA’s expectations with regard to prudential requirements.</w:t>
      </w:r>
    </w:p>
    <w:p w14:paraId="306AA6B3" w14:textId="77777777"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regularly reviews its regulatory regime and amends its prudential requirements as a result of a number of factors including:</w:t>
      </w:r>
    </w:p>
    <w:p w14:paraId="0689E01F" w14:textId="17C30B37"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international developments;</w:t>
      </w:r>
    </w:p>
    <w:p w14:paraId="7267B67D" w14:textId="22AD9B7A"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changes in financial market conditions or changes in risk management practices, in response to identified weaknesses in the prudential framework; and</w:t>
      </w:r>
    </w:p>
    <w:p w14:paraId="3050F643" w14:textId="1EC8BE5E" w:rsidR="00C25FA1" w:rsidRPr="004D5A79" w:rsidRDefault="00C25FA1" w:rsidP="00C25FA1">
      <w:pPr>
        <w:pStyle w:val="ListParagraph"/>
        <w:numPr>
          <w:ilvl w:val="0"/>
          <w:numId w:val="41"/>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to reduce potential negative impacts of emerging industry issues.</w:t>
      </w:r>
    </w:p>
    <w:p w14:paraId="5285346B" w14:textId="1D26F49B" w:rsidR="00C25FA1" w:rsidRPr="004D5A79" w:rsidRDefault="00C25FA1" w:rsidP="00C25FA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One of the key components of APRA’s prudential framework is the prudential standard that relates to an ADI’s credit risk management.</w:t>
      </w:r>
    </w:p>
    <w:p w14:paraId="5B38BD31" w14:textId="1E9E57E0" w:rsidR="00C25FA1" w:rsidRPr="004D5A79" w:rsidRDefault="00C25FA1" w:rsidP="00C25FA1">
      <w:pPr>
        <w:spacing w:after="240" w:line="240" w:lineRule="auto"/>
        <w:jc w:val="both"/>
        <w:rPr>
          <w:rFonts w:ascii="Times New Roman" w:hAnsi="Times New Roman" w:cs="Times New Roman"/>
          <w:sz w:val="24"/>
          <w:szCs w:val="24"/>
        </w:rPr>
      </w:pPr>
      <w:r w:rsidRPr="004D5A79">
        <w:rPr>
          <w:rFonts w:ascii="Times New Roman" w:hAnsi="Times New Roman" w:cs="Times New Roman"/>
          <w:i/>
          <w:sz w:val="24"/>
          <w:szCs w:val="24"/>
        </w:rPr>
        <w:lastRenderedPageBreak/>
        <w:t xml:space="preserve">Prudential Standard </w:t>
      </w:r>
      <w:r w:rsidRPr="004E5A3D">
        <w:rPr>
          <w:rFonts w:ascii="Times New Roman" w:hAnsi="Times New Roman" w:cs="Times New Roman"/>
          <w:i/>
          <w:sz w:val="24"/>
          <w:szCs w:val="24"/>
        </w:rPr>
        <w:t>APS 220</w:t>
      </w:r>
      <w:r w:rsidRPr="004D5A79">
        <w:rPr>
          <w:rFonts w:ascii="Times New Roman" w:hAnsi="Times New Roman" w:cs="Times New Roman"/>
          <w:i/>
          <w:sz w:val="24"/>
          <w:szCs w:val="24"/>
        </w:rPr>
        <w:t xml:space="preserve"> Credit Quality</w:t>
      </w:r>
      <w:r w:rsidRPr="004D5A79">
        <w:rPr>
          <w:rFonts w:ascii="Times New Roman" w:hAnsi="Times New Roman" w:cs="Times New Roman"/>
          <w:sz w:val="24"/>
          <w:szCs w:val="24"/>
        </w:rPr>
        <w:t xml:space="preserve"> requires an ADI to control credit risk by adopting prudent credit risk management policies and procedures. These policies and procedures must apply, in particular, to the recognition, measurement and reporting of, and provisioning for, impaired exposures (e.g. bad loans).</w:t>
      </w:r>
    </w:p>
    <w:p w14:paraId="26D3840B" w14:textId="3C093450" w:rsidR="0074166D"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While financial institutions have faced difficulties over the years for a multitude of reasons, </w:t>
      </w:r>
      <w:r w:rsidR="00822890" w:rsidRPr="004D5A79">
        <w:rPr>
          <w:rFonts w:ascii="Times New Roman" w:hAnsi="Times New Roman" w:cs="Times New Roman"/>
          <w:sz w:val="24"/>
          <w:szCs w:val="24"/>
          <w:lang w:eastAsia="en-US"/>
        </w:rPr>
        <w:t xml:space="preserve">a </w:t>
      </w:r>
      <w:r w:rsidRPr="004D5A79">
        <w:rPr>
          <w:rFonts w:ascii="Times New Roman" w:hAnsi="Times New Roman" w:cs="Times New Roman"/>
          <w:sz w:val="24"/>
          <w:szCs w:val="24"/>
          <w:lang w:eastAsia="en-US"/>
        </w:rPr>
        <w:t xml:space="preserve">major cause of banking problems globally continues to be related to lax credit standards for borrowers, poor portfolio risk management, or a lack of attention to changes in economic or other circumstances that can lead to a deterioration in the credit standing of a bank’s </w:t>
      </w:r>
      <w:r w:rsidR="003001E7" w:rsidRPr="004D5A79">
        <w:rPr>
          <w:rFonts w:ascii="Times New Roman" w:hAnsi="Times New Roman" w:cs="Times New Roman"/>
          <w:sz w:val="24"/>
          <w:szCs w:val="24"/>
          <w:lang w:eastAsia="en-US"/>
        </w:rPr>
        <w:t>borrowers</w:t>
      </w:r>
      <w:r w:rsidRPr="004D5A79">
        <w:rPr>
          <w:rFonts w:ascii="Times New Roman" w:hAnsi="Times New Roman" w:cs="Times New Roman"/>
          <w:sz w:val="24"/>
          <w:szCs w:val="24"/>
          <w:lang w:eastAsia="en-US"/>
        </w:rPr>
        <w:t>.</w:t>
      </w:r>
    </w:p>
    <w:p w14:paraId="26D3840C" w14:textId="51845306" w:rsidR="0074166D"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Credit risk is most simply defined as the potential that a borrower will fail to meet its obligations in accordance with agreed terms. ADIs need to manage the credit risk inherent in the entire </w:t>
      </w:r>
      <w:r w:rsidR="003001E7" w:rsidRPr="004D5A79">
        <w:rPr>
          <w:rFonts w:ascii="Times New Roman" w:hAnsi="Times New Roman" w:cs="Times New Roman"/>
          <w:sz w:val="24"/>
          <w:szCs w:val="24"/>
          <w:lang w:eastAsia="en-US"/>
        </w:rPr>
        <w:t xml:space="preserve">credit </w:t>
      </w:r>
      <w:r w:rsidRPr="004D5A79">
        <w:rPr>
          <w:rFonts w:ascii="Times New Roman" w:hAnsi="Times New Roman" w:cs="Times New Roman"/>
          <w:sz w:val="24"/>
          <w:szCs w:val="24"/>
          <w:lang w:eastAsia="en-US"/>
        </w:rPr>
        <w:t xml:space="preserve">portfolio as well as the </w:t>
      </w:r>
      <w:r w:rsidR="003001E7" w:rsidRPr="004D5A79">
        <w:rPr>
          <w:rFonts w:ascii="Times New Roman" w:hAnsi="Times New Roman" w:cs="Times New Roman"/>
          <w:sz w:val="24"/>
          <w:szCs w:val="24"/>
          <w:lang w:eastAsia="en-US"/>
        </w:rPr>
        <w:t xml:space="preserve">credit </w:t>
      </w:r>
      <w:r w:rsidRPr="004D5A79">
        <w:rPr>
          <w:rFonts w:ascii="Times New Roman" w:hAnsi="Times New Roman" w:cs="Times New Roman"/>
          <w:sz w:val="24"/>
          <w:szCs w:val="24"/>
          <w:lang w:eastAsia="en-US"/>
        </w:rPr>
        <w:t xml:space="preserve">risk in individual exposures or transactions. ADIs also </w:t>
      </w:r>
      <w:r w:rsidR="003001E7" w:rsidRPr="004D5A79">
        <w:rPr>
          <w:rFonts w:ascii="Times New Roman" w:hAnsi="Times New Roman" w:cs="Times New Roman"/>
          <w:sz w:val="24"/>
          <w:szCs w:val="24"/>
          <w:lang w:eastAsia="en-US"/>
        </w:rPr>
        <w:t xml:space="preserve">need to </w:t>
      </w:r>
      <w:r w:rsidRPr="004D5A79">
        <w:rPr>
          <w:rFonts w:ascii="Times New Roman" w:hAnsi="Times New Roman" w:cs="Times New Roman"/>
          <w:sz w:val="24"/>
          <w:szCs w:val="24"/>
          <w:lang w:eastAsia="en-US"/>
        </w:rPr>
        <w:t>consider the relationships between credit risk and other risks</w:t>
      </w:r>
      <w:r w:rsidR="003001E7" w:rsidRPr="004D5A79">
        <w:rPr>
          <w:rFonts w:ascii="Times New Roman" w:hAnsi="Times New Roman" w:cs="Times New Roman"/>
          <w:sz w:val="24"/>
          <w:szCs w:val="24"/>
          <w:lang w:eastAsia="en-US"/>
        </w:rPr>
        <w:t xml:space="preserve"> they may face</w:t>
      </w:r>
      <w:r w:rsidRPr="004D5A79">
        <w:rPr>
          <w:rFonts w:ascii="Times New Roman" w:hAnsi="Times New Roman" w:cs="Times New Roman"/>
          <w:sz w:val="24"/>
          <w:szCs w:val="24"/>
          <w:lang w:eastAsia="en-US"/>
        </w:rPr>
        <w:t>. The effective management of credit risk is a critical component of a comprehensive approach to risk management and essential to the long-term safety and soundness of an ADI.</w:t>
      </w:r>
    </w:p>
    <w:p w14:paraId="26D3840E" w14:textId="58E5A3FE" w:rsidR="00247811" w:rsidRPr="004D5A79" w:rsidRDefault="0074166D"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For most ADIs, loans</w:t>
      </w:r>
      <w:r w:rsidR="0012246A" w:rsidRPr="004D5A79">
        <w:rPr>
          <w:rFonts w:ascii="Times New Roman" w:hAnsi="Times New Roman" w:cs="Times New Roman"/>
          <w:sz w:val="24"/>
          <w:szCs w:val="24"/>
          <w:lang w:eastAsia="en-US"/>
        </w:rPr>
        <w:t xml:space="preserve"> a</w:t>
      </w:r>
      <w:r w:rsidRPr="004D5A79">
        <w:rPr>
          <w:rFonts w:ascii="Times New Roman" w:hAnsi="Times New Roman" w:cs="Times New Roman"/>
          <w:sz w:val="24"/>
          <w:szCs w:val="24"/>
          <w:lang w:eastAsia="en-US"/>
        </w:rPr>
        <w:t xml:space="preserve">re the largest and most obvious source of credit risk; however, other sources of credit risk exist throughout the activities of an ADI, including in the banking book and in the trading book. </w:t>
      </w:r>
      <w:r w:rsidR="00247811" w:rsidRPr="004D5A79">
        <w:rPr>
          <w:rFonts w:ascii="Times New Roman" w:hAnsi="Times New Roman" w:cs="Times New Roman"/>
          <w:sz w:val="24"/>
          <w:szCs w:val="24"/>
          <w:lang w:eastAsia="en-US"/>
        </w:rPr>
        <w:t>ADIs</w:t>
      </w:r>
      <w:r w:rsidRPr="004D5A79">
        <w:rPr>
          <w:rFonts w:ascii="Times New Roman" w:hAnsi="Times New Roman" w:cs="Times New Roman"/>
          <w:sz w:val="24"/>
          <w:szCs w:val="24"/>
          <w:lang w:eastAsia="en-US"/>
        </w:rPr>
        <w:t xml:space="preserve"> </w:t>
      </w:r>
      <w:r w:rsidR="00247811" w:rsidRPr="004D5A79">
        <w:rPr>
          <w:rFonts w:ascii="Times New Roman" w:hAnsi="Times New Roman" w:cs="Times New Roman"/>
          <w:sz w:val="24"/>
          <w:szCs w:val="24"/>
          <w:lang w:eastAsia="en-US"/>
        </w:rPr>
        <w:t>may face</w:t>
      </w:r>
      <w:r w:rsidRPr="004D5A79">
        <w:rPr>
          <w:rFonts w:ascii="Times New Roman" w:hAnsi="Times New Roman" w:cs="Times New Roman"/>
          <w:sz w:val="24"/>
          <w:szCs w:val="24"/>
          <w:lang w:eastAsia="en-US"/>
        </w:rPr>
        <w:t xml:space="preserve"> credit risk in various financial instruments other than loans, including acceptances, inter</w:t>
      </w:r>
      <w:r w:rsidR="00247811" w:rsidRPr="004D5A79">
        <w:rPr>
          <w:rFonts w:ascii="Times New Roman" w:hAnsi="Times New Roman" w:cs="Times New Roman"/>
          <w:sz w:val="24"/>
          <w:szCs w:val="24"/>
          <w:lang w:eastAsia="en-US"/>
        </w:rPr>
        <w:t>-</w:t>
      </w:r>
      <w:r w:rsidRPr="004D5A79">
        <w:rPr>
          <w:rFonts w:ascii="Times New Roman" w:hAnsi="Times New Roman" w:cs="Times New Roman"/>
          <w:sz w:val="24"/>
          <w:szCs w:val="24"/>
          <w:lang w:eastAsia="en-US"/>
        </w:rPr>
        <w:t>bank transac</w:t>
      </w:r>
      <w:r w:rsidRPr="004D5A79">
        <w:rPr>
          <w:rFonts w:ascii="Times New Roman" w:hAnsi="Times New Roman" w:cs="Times New Roman"/>
          <w:sz w:val="24"/>
          <w:szCs w:val="24"/>
          <w:lang w:eastAsia="en-US"/>
        </w:rPr>
        <w:lastRenderedPageBreak/>
        <w:t>tions, trade financing, foreign exchange transactions, financial futures, swaps, bonds, equities, options, and in the extension of commitments and guarantees, and the settlement of transactions.</w:t>
      </w:r>
      <w:r w:rsidR="004C10F8" w:rsidRPr="004D5A79">
        <w:rPr>
          <w:rFonts w:ascii="Times New Roman" w:hAnsi="Times New Roman" w:cs="Times New Roman"/>
          <w:sz w:val="24"/>
          <w:szCs w:val="24"/>
          <w:lang w:eastAsia="en-US"/>
        </w:rPr>
        <w:t xml:space="preserve"> </w:t>
      </w:r>
    </w:p>
    <w:p w14:paraId="1E28D228" w14:textId="3DD90A25" w:rsidR="0012246A" w:rsidRPr="004D5A79" w:rsidRDefault="00C466A5"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i/>
          <w:sz w:val="24"/>
          <w:szCs w:val="24"/>
        </w:rPr>
        <w:t xml:space="preserve">Prudential Standard </w:t>
      </w:r>
      <w:r w:rsidRPr="007C6AF8">
        <w:rPr>
          <w:rFonts w:ascii="Times New Roman" w:hAnsi="Times New Roman" w:cs="Times New Roman"/>
          <w:i/>
          <w:sz w:val="24"/>
          <w:szCs w:val="24"/>
        </w:rPr>
        <w:t>APS 220</w:t>
      </w:r>
      <w:r w:rsidRPr="004D5A79">
        <w:rPr>
          <w:rFonts w:ascii="Times New Roman" w:hAnsi="Times New Roman" w:cs="Times New Roman"/>
          <w:i/>
          <w:sz w:val="24"/>
          <w:szCs w:val="24"/>
        </w:rPr>
        <w:t xml:space="preserve"> Credit Quality</w:t>
      </w:r>
      <w:r w:rsidRPr="004D5A79">
        <w:rPr>
          <w:rFonts w:ascii="Times New Roman" w:hAnsi="Times New Roman" w:cs="Times New Roman"/>
          <w:sz w:val="24"/>
          <w:szCs w:val="24"/>
          <w:lang w:eastAsia="en-US"/>
        </w:rPr>
        <w:t xml:space="preserve"> </w:t>
      </w:r>
      <w:r w:rsidR="0012246A" w:rsidRPr="004D5A79">
        <w:rPr>
          <w:rFonts w:ascii="Times New Roman" w:hAnsi="Times New Roman" w:cs="Times New Roman"/>
          <w:sz w:val="24"/>
          <w:szCs w:val="24"/>
          <w:lang w:eastAsia="en-US"/>
        </w:rPr>
        <w:t xml:space="preserve">has not had a significant update since 2006 and there is a need to modernise the standard. While </w:t>
      </w:r>
      <w:r w:rsidRPr="004D5A79">
        <w:rPr>
          <w:rFonts w:ascii="Times New Roman" w:hAnsi="Times New Roman" w:cs="Times New Roman"/>
          <w:sz w:val="24"/>
          <w:szCs w:val="24"/>
          <w:lang w:eastAsia="en-US"/>
        </w:rPr>
        <w:t xml:space="preserve">the standard </w:t>
      </w:r>
      <w:r w:rsidR="0012246A" w:rsidRPr="004D5A79">
        <w:rPr>
          <w:rFonts w:ascii="Times New Roman" w:hAnsi="Times New Roman" w:cs="Times New Roman"/>
          <w:sz w:val="24"/>
          <w:szCs w:val="24"/>
          <w:lang w:eastAsia="en-US"/>
        </w:rPr>
        <w:t xml:space="preserve">covers classification of exposures and provisioning requirements in detail, there is less emphasis on credit standards, and the on-going monitoring and management of an ADI’s credit portfolio over the full credit life cycle (this cycle starts with the first contact with a potential borrower and continues through </w:t>
      </w:r>
      <w:r w:rsidR="00672859">
        <w:rPr>
          <w:rFonts w:ascii="Times New Roman" w:hAnsi="Times New Roman" w:cs="Times New Roman"/>
          <w:sz w:val="24"/>
          <w:szCs w:val="24"/>
          <w:lang w:eastAsia="en-US"/>
        </w:rPr>
        <w:t xml:space="preserve">to </w:t>
      </w:r>
      <w:r w:rsidR="0012246A" w:rsidRPr="004D5A79">
        <w:rPr>
          <w:rFonts w:ascii="Times New Roman" w:hAnsi="Times New Roman" w:cs="Times New Roman"/>
          <w:sz w:val="24"/>
          <w:szCs w:val="24"/>
          <w:lang w:eastAsia="en-US"/>
        </w:rPr>
        <w:t>their final payment). Over time</w:t>
      </w:r>
      <w:r w:rsidR="00897C76">
        <w:rPr>
          <w:rFonts w:ascii="Times New Roman" w:hAnsi="Times New Roman" w:cs="Times New Roman"/>
          <w:sz w:val="24"/>
          <w:szCs w:val="24"/>
          <w:lang w:eastAsia="en-US"/>
        </w:rPr>
        <w:t>,</w:t>
      </w:r>
      <w:r w:rsidR="0012246A" w:rsidRPr="004D5A79">
        <w:rPr>
          <w:rFonts w:ascii="Times New Roman" w:hAnsi="Times New Roman" w:cs="Times New Roman"/>
          <w:sz w:val="24"/>
          <w:szCs w:val="24"/>
          <w:lang w:eastAsia="en-US"/>
        </w:rPr>
        <w:t xml:space="preserve"> credit risk management practices have also evolved to include more sophisticated analytical techniques and information systems.</w:t>
      </w:r>
    </w:p>
    <w:p w14:paraId="0B66E420" w14:textId="77777777" w:rsidR="00E71019" w:rsidRPr="004D5A79" w:rsidRDefault="00E71019" w:rsidP="00E71019">
      <w:pPr>
        <w:spacing w:after="240" w:line="240" w:lineRule="auto"/>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t>APRA has observed deficiencies in credit risk management. APRA’s supervisory review of residential mortgage exposures revealed, for example, concerns regarding many ADIs' assessments of potential borrowers' ability to service a loan. As part of its work on residential mortgage lending, APRA also highlighted the importance of Board oversight of evolving risks, including the need for increased Board understanding and monitoring of risks within the credit portfolio.</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1"/>
      </w:r>
      <w:r w:rsidRPr="004D5A79">
        <w:rPr>
          <w:rFonts w:ascii="Times New Roman" w:eastAsiaTheme="minorHAnsi" w:hAnsi="Times New Roman" w:cs="Times New Roman"/>
          <w:sz w:val="24"/>
          <w:szCs w:val="24"/>
          <w:lang w:val="en-GB" w:eastAsia="en-US"/>
        </w:rPr>
        <w:t xml:space="preserve"> </w:t>
      </w:r>
    </w:p>
    <w:p w14:paraId="054A6310" w14:textId="77777777" w:rsidR="00E71019" w:rsidRPr="004D5A79" w:rsidRDefault="00E71019" w:rsidP="00E71019">
      <w:pPr>
        <w:spacing w:after="240" w:line="240" w:lineRule="auto"/>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lastRenderedPageBreak/>
        <w:t>APRA's recent review of commercial property lending practices also noted an erosion of credit standards due to competitive pressures. The ability of the Board and senior management of an ADI to fully understand and challenge the risk profile of lending have often been hampered by inadequate data, poor monitoring and incomplete portfolio controls.</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2"/>
      </w:r>
    </w:p>
    <w:p w14:paraId="11C72293" w14:textId="597FC613" w:rsidR="00E71019" w:rsidRPr="004D5A79" w:rsidRDefault="00E71019" w:rsidP="00E71019">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Credit standards are critical in driving credit quality, yet best practice expectations on credit risk management (including the outcomes of APRA’s recent reviews of credit standards) are largely absent from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 220</w:t>
      </w:r>
      <w:r w:rsidR="00C466A5" w:rsidRPr="004D5A79">
        <w:rPr>
          <w:rFonts w:ascii="Times New Roman" w:hAnsi="Times New Roman" w:cs="Times New Roman"/>
          <w:i/>
          <w:sz w:val="24"/>
          <w:szCs w:val="24"/>
        </w:rPr>
        <w:t xml:space="preserve"> Credit Quality.</w:t>
      </w:r>
      <w:r w:rsidR="00C466A5" w:rsidRPr="004D5A79">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 xml:space="preserve">Although APRA’s previous pronouncements on credit risk remain relevant, these APRA letters and prudential practice guides (i.e. </w:t>
      </w:r>
      <w:r w:rsidRPr="004D5A79">
        <w:rPr>
          <w:rFonts w:ascii="Times New Roman" w:hAnsi="Times New Roman" w:cs="Times New Roman"/>
          <w:i/>
          <w:sz w:val="24"/>
          <w:szCs w:val="24"/>
          <w:lang w:eastAsia="en-US"/>
        </w:rPr>
        <w:t xml:space="preserve">Prudential Practice Guide APG 223 Residential Mortgage Lending </w:t>
      </w:r>
      <w:r w:rsidRPr="004D5A79">
        <w:rPr>
          <w:rFonts w:ascii="Times New Roman" w:hAnsi="Times New Roman" w:cs="Times New Roman"/>
          <w:sz w:val="24"/>
          <w:szCs w:val="24"/>
          <w:lang w:eastAsia="en-US"/>
        </w:rPr>
        <w:t>(APG 223)) do not create enforceable requirements.</w:t>
      </w:r>
      <w:r w:rsidR="00AD0DF4" w:rsidRPr="004D5A79">
        <w:rPr>
          <w:rStyle w:val="FootnoteReference"/>
          <w:rFonts w:ascii="Times New Roman" w:hAnsi="Times New Roman" w:cs="Times New Roman"/>
          <w:sz w:val="24"/>
          <w:szCs w:val="24"/>
          <w:lang w:eastAsia="en-US"/>
        </w:rPr>
        <w:footnoteReference w:id="3"/>
      </w:r>
    </w:p>
    <w:p w14:paraId="1F861900" w14:textId="6CE58E75" w:rsidR="00E71019" w:rsidRPr="004D5A79" w:rsidRDefault="00E71019" w:rsidP="00E71019">
      <w:pPr>
        <w:spacing w:after="240" w:line="240" w:lineRule="auto"/>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t xml:space="preserve">The final report of the </w:t>
      </w:r>
      <w:r w:rsidRPr="004D5A79">
        <w:rPr>
          <w:rFonts w:ascii="Times New Roman" w:eastAsiaTheme="minorHAnsi" w:hAnsi="Times New Roman" w:cs="Times New Roman"/>
          <w:i/>
          <w:sz w:val="24"/>
          <w:szCs w:val="24"/>
          <w:lang w:val="en-GB" w:eastAsia="en-US"/>
        </w:rPr>
        <w:t>Royal Commission into Misconduct in the Banking, Superannuation and Financial Services Industry</w:t>
      </w:r>
      <w:r w:rsidRPr="004D5A79">
        <w:rPr>
          <w:rFonts w:ascii="Times New Roman" w:eastAsiaTheme="minorHAnsi" w:hAnsi="Times New Roman" w:cs="Times New Roman"/>
          <w:sz w:val="24"/>
          <w:szCs w:val="24"/>
          <w:lang w:val="en-GB" w:eastAsia="en-US"/>
        </w:rPr>
        <w:t xml:space="preserve"> also </w:t>
      </w:r>
      <w:r w:rsidRPr="004D5A79">
        <w:rPr>
          <w:rFonts w:ascii="Times New Roman" w:eastAsiaTheme="minorHAnsi" w:hAnsi="Times New Roman" w:cs="Times New Roman"/>
          <w:sz w:val="24"/>
          <w:szCs w:val="24"/>
          <w:lang w:val="en-GB" w:eastAsia="en-US"/>
        </w:rPr>
        <w:lastRenderedPageBreak/>
        <w:t xml:space="preserve">identified a range of areas where the regulation and supervision of financial institutions should be strengthened. </w:t>
      </w:r>
    </w:p>
    <w:p w14:paraId="7679E64B" w14:textId="618F735D" w:rsidR="00E71019" w:rsidRPr="004D5A79" w:rsidRDefault="00E71019" w:rsidP="00E71019">
      <w:pPr>
        <w:spacing w:after="240" w:line="240" w:lineRule="auto"/>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sz w:val="24"/>
          <w:szCs w:val="24"/>
          <w:lang w:val="en-GB" w:eastAsia="en-US"/>
        </w:rPr>
        <w:t xml:space="preserve">In particular, the Royal Commission recommended that APRA amend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 220</w:t>
      </w:r>
      <w:r w:rsidR="00C466A5" w:rsidRPr="004D5A79">
        <w:rPr>
          <w:rFonts w:ascii="Times New Roman" w:hAnsi="Times New Roman" w:cs="Times New Roman"/>
          <w:i/>
          <w:sz w:val="24"/>
          <w:szCs w:val="24"/>
        </w:rPr>
        <w:t xml:space="preserve"> Credit Quality</w:t>
      </w:r>
      <w:r w:rsidR="00C466A5" w:rsidRPr="004D5A79">
        <w:rPr>
          <w:rFonts w:ascii="Times New Roman" w:eastAsiaTheme="minorHAnsi" w:hAnsi="Times New Roman" w:cs="Times New Roman"/>
          <w:sz w:val="24"/>
          <w:szCs w:val="24"/>
          <w:lang w:val="en-GB" w:eastAsia="en-US"/>
        </w:rPr>
        <w:t xml:space="preserve"> </w:t>
      </w:r>
      <w:r w:rsidRPr="004D5A79">
        <w:rPr>
          <w:rFonts w:ascii="Times New Roman" w:eastAsiaTheme="minorHAnsi" w:hAnsi="Times New Roman" w:cs="Times New Roman"/>
          <w:sz w:val="24"/>
          <w:szCs w:val="24"/>
          <w:lang w:val="en-GB" w:eastAsia="en-US"/>
        </w:rPr>
        <w:t xml:space="preserve">to require that internal appraisals of the value of land taken or to be taken as security by ADIs should be independent of loan origination, loan processing and loan decision processes; and provide for valuation of agricultural land in a manner that will recognise, to the extent possible: the likelihood of external events </w:t>
      </w:r>
      <w:r w:rsidR="009A2AB0">
        <w:rPr>
          <w:rFonts w:ascii="Times New Roman" w:eastAsiaTheme="minorHAnsi" w:hAnsi="Times New Roman" w:cs="Times New Roman"/>
          <w:sz w:val="24"/>
          <w:szCs w:val="24"/>
          <w:lang w:val="en-GB" w:eastAsia="en-US"/>
        </w:rPr>
        <w:t xml:space="preserve">(e.g. drought, fire and flood) </w:t>
      </w:r>
      <w:r w:rsidRPr="004D5A79">
        <w:rPr>
          <w:rFonts w:ascii="Times New Roman" w:eastAsiaTheme="minorHAnsi" w:hAnsi="Times New Roman" w:cs="Times New Roman"/>
          <w:sz w:val="24"/>
          <w:szCs w:val="24"/>
          <w:lang w:val="en-GB" w:eastAsia="en-US"/>
        </w:rPr>
        <w:t>affecting its realisable value; and the time that may be taken to realise the land at a reasonable price affecting its realisable value.</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4"/>
      </w:r>
      <w:r w:rsidRPr="004D5A79">
        <w:rPr>
          <w:rFonts w:ascii="Times New Roman" w:eastAsiaTheme="minorHAnsi" w:hAnsi="Times New Roman" w:cs="Times New Roman"/>
          <w:sz w:val="24"/>
          <w:szCs w:val="24"/>
          <w:lang w:val="en-GB" w:eastAsia="en-US"/>
        </w:rPr>
        <w:t xml:space="preserve"> </w:t>
      </w:r>
      <w:r w:rsidR="00C95FF9" w:rsidRPr="004D5A79">
        <w:rPr>
          <w:rFonts w:ascii="Times New Roman" w:eastAsiaTheme="minorHAnsi" w:hAnsi="Times New Roman" w:cs="Times New Roman"/>
          <w:sz w:val="24"/>
          <w:szCs w:val="24"/>
          <w:lang w:val="en-GB" w:eastAsia="en-US"/>
        </w:rPr>
        <w:t>The prudential standard</w:t>
      </w:r>
      <w:r w:rsidRPr="004D5A79">
        <w:rPr>
          <w:rFonts w:ascii="Times New Roman" w:eastAsiaTheme="minorHAnsi" w:hAnsi="Times New Roman" w:cs="Times New Roman"/>
          <w:sz w:val="24"/>
          <w:szCs w:val="24"/>
          <w:lang w:val="en-GB" w:eastAsia="en-US"/>
        </w:rPr>
        <w:t xml:space="preserve"> needs to be updated to include the recommendation relevant to</w:t>
      </w:r>
      <w:r w:rsidR="001D3D9C" w:rsidRPr="004D5A79">
        <w:rPr>
          <w:rFonts w:ascii="Times New Roman" w:eastAsiaTheme="minorHAnsi" w:hAnsi="Times New Roman" w:cs="Times New Roman"/>
          <w:sz w:val="24"/>
          <w:szCs w:val="24"/>
          <w:lang w:val="en-GB" w:eastAsia="en-US"/>
        </w:rPr>
        <w:t xml:space="preserve"> the standard </w:t>
      </w:r>
      <w:r w:rsidRPr="004D5A79">
        <w:rPr>
          <w:rFonts w:ascii="Times New Roman" w:eastAsiaTheme="minorHAnsi" w:hAnsi="Times New Roman" w:cs="Times New Roman"/>
          <w:sz w:val="24"/>
          <w:szCs w:val="24"/>
          <w:lang w:val="en-GB" w:eastAsia="en-US"/>
        </w:rPr>
        <w:t>regarding the valuation of collateral taken by ADIs.</w:t>
      </w:r>
    </w:p>
    <w:p w14:paraId="3D84CE85" w14:textId="2236B505" w:rsidR="00E71019" w:rsidRPr="004D5A79" w:rsidRDefault="00E71019" w:rsidP="00E71019">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Further,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 220</w:t>
      </w:r>
      <w:r w:rsidR="00C466A5" w:rsidRPr="004D5A79">
        <w:rPr>
          <w:rFonts w:ascii="Times New Roman" w:hAnsi="Times New Roman" w:cs="Times New Roman"/>
          <w:i/>
          <w:sz w:val="24"/>
          <w:szCs w:val="24"/>
        </w:rPr>
        <w:t xml:space="preserve"> Credit Quality</w:t>
      </w:r>
      <w:r w:rsidR="00C466A5" w:rsidRPr="004D5A79">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 xml:space="preserve">does not reflect recent international supervisory guidance on two important definitions of credit quality, namely “non-performing exposures” and “forbearance”. The definitions promote harmonisation in the </w:t>
      </w:r>
      <w:r w:rsidRPr="004D5A79">
        <w:rPr>
          <w:rFonts w:ascii="Times New Roman" w:hAnsi="Times New Roman" w:cs="Times New Roman"/>
          <w:sz w:val="24"/>
          <w:szCs w:val="24"/>
          <w:lang w:eastAsia="en-US"/>
        </w:rPr>
        <w:lastRenderedPageBreak/>
        <w:t>measurement and application of credit quality, thereby fostering consistency and comparability in supervisory reporting</w:t>
      </w:r>
      <w:r w:rsidRPr="004D5A79">
        <w:rPr>
          <w:rFonts w:ascii="Times New Roman" w:eastAsiaTheme="minorHAnsi" w:hAnsi="Times New Roman" w:cs="Times New Roman"/>
          <w:sz w:val="24"/>
          <w:szCs w:val="24"/>
          <w:lang w:eastAsia="en-US"/>
        </w:rPr>
        <w:t>.</w:t>
      </w:r>
      <w:r w:rsidRPr="004D5A79">
        <w:rPr>
          <w:rFonts w:ascii="Times New Roman" w:eastAsiaTheme="minorHAnsi" w:hAnsi="Times New Roman" w:cs="Times New Roman"/>
          <w:color w:val="595959" w:themeColor="text1" w:themeTint="A6"/>
          <w:sz w:val="24"/>
          <w:szCs w:val="24"/>
          <w:vertAlign w:val="superscript"/>
          <w:lang w:eastAsia="en-US"/>
        </w:rPr>
        <w:footnoteReference w:id="5"/>
      </w:r>
      <w:r w:rsidR="001D3D9C" w:rsidRPr="004D5A79">
        <w:rPr>
          <w:rFonts w:ascii="Times New Roman" w:eastAsiaTheme="minorHAnsi" w:hAnsi="Times New Roman" w:cs="Times New Roman"/>
          <w:sz w:val="24"/>
          <w:szCs w:val="24"/>
          <w:lang w:eastAsia="en-US"/>
        </w:rPr>
        <w:t xml:space="preserve"> </w:t>
      </w:r>
    </w:p>
    <w:p w14:paraId="2AF3A726" w14:textId="7631D4D5" w:rsidR="00E71019" w:rsidRPr="004D5A79" w:rsidRDefault="00E71019" w:rsidP="00E71019">
      <w:pPr>
        <w:spacing w:after="240" w:line="240" w:lineRule="auto"/>
        <w:jc w:val="both"/>
        <w:rPr>
          <w:rFonts w:ascii="Times New Roman" w:eastAsiaTheme="minorHAnsi" w:hAnsi="Times New Roman" w:cs="Times New Roman"/>
          <w:sz w:val="24"/>
          <w:szCs w:val="24"/>
          <w:lang w:val="en-GB" w:eastAsia="en-US"/>
        </w:rPr>
      </w:pPr>
      <w:r w:rsidRPr="004D5A79">
        <w:rPr>
          <w:rFonts w:ascii="Times New Roman" w:eastAsiaTheme="minorHAnsi" w:hAnsi="Times New Roman" w:cs="Times New Roman"/>
          <w:i/>
          <w:sz w:val="24"/>
          <w:szCs w:val="24"/>
          <w:lang w:val="en-GB" w:eastAsia="en-US"/>
        </w:rPr>
        <w:t>Australian Accounting Standard AASB 9 Financial Instruments</w:t>
      </w:r>
      <w:r w:rsidRPr="004D5A79">
        <w:rPr>
          <w:rFonts w:ascii="Times New Roman" w:eastAsiaTheme="minorHAnsi" w:hAnsi="Times New Roman" w:cs="Times New Roman"/>
          <w:sz w:val="24"/>
          <w:szCs w:val="24"/>
          <w:lang w:val="en-GB" w:eastAsia="en-US"/>
        </w:rPr>
        <w:t xml:space="preserve"> (AASB 9) applies for reporting periods beginning on or after 1 January 2018. AASB 9 provides for a forward-looking and expected loss approach to provisioning for credit losses whereas the previous accounting standard provided for an incurred loss approach.</w:t>
      </w:r>
      <w:r w:rsidRPr="004D5A79">
        <w:rPr>
          <w:rFonts w:ascii="Times New Roman" w:eastAsiaTheme="minorHAnsi" w:hAnsi="Times New Roman" w:cs="Times New Roman"/>
          <w:color w:val="595959" w:themeColor="text1" w:themeTint="A6"/>
          <w:sz w:val="24"/>
          <w:szCs w:val="24"/>
          <w:vertAlign w:val="superscript"/>
          <w:lang w:val="en-GB" w:eastAsia="en-US"/>
        </w:rPr>
        <w:footnoteReference w:id="6"/>
      </w:r>
      <w:r w:rsidRPr="004D5A79">
        <w:rPr>
          <w:rFonts w:ascii="Times New Roman" w:eastAsiaTheme="minorHAnsi" w:hAnsi="Times New Roman" w:cs="Times New Roman"/>
          <w:sz w:val="24"/>
          <w:szCs w:val="24"/>
          <w:lang w:val="en-GB" w:eastAsia="en-US"/>
        </w:rPr>
        <w:t xml:space="preserve">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 220</w:t>
      </w:r>
      <w:r w:rsidR="00C466A5" w:rsidRPr="004D5A79">
        <w:rPr>
          <w:rFonts w:ascii="Times New Roman" w:hAnsi="Times New Roman" w:cs="Times New Roman"/>
          <w:i/>
          <w:sz w:val="24"/>
          <w:szCs w:val="24"/>
        </w:rPr>
        <w:t xml:space="preserve"> Credit Quality</w:t>
      </w:r>
      <w:r w:rsidR="00C466A5" w:rsidRPr="004D5A79">
        <w:rPr>
          <w:rFonts w:ascii="Times New Roman" w:eastAsiaTheme="minorHAnsi" w:hAnsi="Times New Roman" w:cs="Times New Roman"/>
          <w:sz w:val="24"/>
          <w:szCs w:val="24"/>
          <w:lang w:val="en-GB" w:eastAsia="en-US"/>
        </w:rPr>
        <w:t xml:space="preserve"> </w:t>
      </w:r>
      <w:r w:rsidRPr="004D5A79">
        <w:rPr>
          <w:rFonts w:ascii="Times New Roman" w:eastAsiaTheme="minorHAnsi" w:hAnsi="Times New Roman" w:cs="Times New Roman"/>
          <w:sz w:val="24"/>
          <w:szCs w:val="24"/>
          <w:lang w:val="en-GB" w:eastAsia="en-US"/>
        </w:rPr>
        <w:t>is out of date in this area, as it reflects concepts and terminology commensurate with an accounting incurred loss approach.</w:t>
      </w:r>
    </w:p>
    <w:p w14:paraId="080AA574" w14:textId="77777777" w:rsidR="0012246A" w:rsidRPr="004D5A79" w:rsidRDefault="0012246A" w:rsidP="0012246A">
      <w:pPr>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Purpose and operation of the instruments</w:t>
      </w:r>
    </w:p>
    <w:p w14:paraId="1B7A1A23" w14:textId="1ED6E6FE" w:rsidR="0012246A" w:rsidRPr="004D5A79" w:rsidRDefault="0012246A" w:rsidP="0012246A">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i/>
          <w:sz w:val="24"/>
          <w:szCs w:val="24"/>
          <w:lang w:eastAsia="en-US"/>
        </w:rPr>
        <w:t>Banking (prudential standard) determination No</w:t>
      </w:r>
      <w:r w:rsidRPr="009A2AB0">
        <w:rPr>
          <w:rFonts w:ascii="Times New Roman" w:hAnsi="Times New Roman" w:cs="Times New Roman"/>
          <w:sz w:val="24"/>
          <w:szCs w:val="24"/>
          <w:lang w:eastAsia="en-US"/>
        </w:rPr>
        <w:t xml:space="preserve"> </w:t>
      </w:r>
      <w:r w:rsidR="00563F24" w:rsidRPr="009A2AB0">
        <w:rPr>
          <w:rFonts w:ascii="Times New Roman" w:hAnsi="Times New Roman" w:cs="Times New Roman"/>
          <w:sz w:val="24"/>
          <w:szCs w:val="24"/>
          <w:lang w:eastAsia="en-US"/>
        </w:rPr>
        <w:t>3</w:t>
      </w:r>
      <w:r w:rsidRPr="004D5A79">
        <w:rPr>
          <w:rFonts w:ascii="Times New Roman" w:hAnsi="Times New Roman" w:cs="Times New Roman"/>
          <w:i/>
          <w:sz w:val="24"/>
          <w:szCs w:val="24"/>
          <w:lang w:eastAsia="en-US"/>
        </w:rPr>
        <w:t xml:space="preserve"> </w:t>
      </w:r>
      <w:r w:rsidRPr="004D5A79">
        <w:rPr>
          <w:rFonts w:ascii="Times New Roman" w:hAnsi="Times New Roman" w:cs="Times New Roman"/>
          <w:sz w:val="24"/>
          <w:szCs w:val="24"/>
          <w:lang w:eastAsia="en-US"/>
        </w:rPr>
        <w:t>of 2020</w:t>
      </w:r>
    </w:p>
    <w:p w14:paraId="3C0F2572" w14:textId="7E27773E" w:rsidR="0012246A" w:rsidRDefault="0012246A" w:rsidP="0012246A">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The purpose of the instrument is to revoke </w:t>
      </w:r>
      <w:r w:rsidR="00C466A5" w:rsidRPr="004D5A79">
        <w:rPr>
          <w:rFonts w:ascii="Times New Roman" w:hAnsi="Times New Roman" w:cs="Times New Roman"/>
          <w:i/>
          <w:sz w:val="24"/>
          <w:szCs w:val="24"/>
        </w:rPr>
        <w:t xml:space="preserve">Prudential Standard </w:t>
      </w:r>
      <w:r w:rsidR="00C466A5" w:rsidRPr="007C6AF8">
        <w:rPr>
          <w:rFonts w:ascii="Times New Roman" w:hAnsi="Times New Roman" w:cs="Times New Roman"/>
          <w:i/>
          <w:sz w:val="24"/>
          <w:szCs w:val="24"/>
        </w:rPr>
        <w:t>APS 220</w:t>
      </w:r>
      <w:r w:rsidR="00C466A5" w:rsidRPr="004D5A79">
        <w:rPr>
          <w:rFonts w:ascii="Times New Roman" w:hAnsi="Times New Roman" w:cs="Times New Roman"/>
          <w:i/>
          <w:sz w:val="24"/>
          <w:szCs w:val="24"/>
        </w:rPr>
        <w:t xml:space="preserve"> Credit Quality</w:t>
      </w:r>
      <w:r w:rsidR="00C466A5" w:rsidRPr="004D5A79">
        <w:rPr>
          <w:rFonts w:ascii="Times New Roman" w:hAnsi="Times New Roman" w:cs="Times New Roman"/>
          <w:sz w:val="24"/>
          <w:szCs w:val="24"/>
          <w:lang w:eastAsia="en-US"/>
        </w:rPr>
        <w:t xml:space="preserve"> </w:t>
      </w:r>
      <w:r w:rsidRPr="004D5A79">
        <w:rPr>
          <w:rFonts w:ascii="Times New Roman" w:hAnsi="Times New Roman" w:cs="Times New Roman"/>
          <w:sz w:val="24"/>
          <w:szCs w:val="24"/>
          <w:lang w:eastAsia="en-US"/>
        </w:rPr>
        <w:t xml:space="preserve">and to replace it with a new version of </w:t>
      </w:r>
      <w:r w:rsidR="00C466A5" w:rsidRPr="004D5A79">
        <w:rPr>
          <w:rFonts w:ascii="Times New Roman" w:hAnsi="Times New Roman" w:cs="Times New Roman"/>
          <w:sz w:val="24"/>
          <w:szCs w:val="24"/>
          <w:lang w:eastAsia="en-US"/>
        </w:rPr>
        <w:t xml:space="preserve">the </w:t>
      </w:r>
      <w:r w:rsidR="00C466A5" w:rsidRPr="004D5A79">
        <w:rPr>
          <w:rFonts w:ascii="Times New Roman" w:hAnsi="Times New Roman" w:cs="Times New Roman"/>
          <w:sz w:val="24"/>
          <w:szCs w:val="24"/>
          <w:lang w:eastAsia="en-US"/>
        </w:rPr>
        <w:lastRenderedPageBreak/>
        <w:t xml:space="preserve">standard. The new version of the standard has been renamed </w:t>
      </w:r>
      <w:r w:rsidR="007514F9" w:rsidRPr="004D5A79">
        <w:rPr>
          <w:rFonts w:ascii="Times New Roman" w:hAnsi="Times New Roman" w:cs="Times New Roman"/>
          <w:i/>
          <w:sz w:val="24"/>
          <w:szCs w:val="24"/>
          <w:lang w:eastAsia="en-US"/>
        </w:rPr>
        <w:t xml:space="preserve">Prudential Standard APS 220 </w:t>
      </w:r>
      <w:r w:rsidR="00C466A5" w:rsidRPr="004D5A79">
        <w:rPr>
          <w:rFonts w:ascii="Times New Roman" w:hAnsi="Times New Roman" w:cs="Times New Roman"/>
          <w:i/>
          <w:sz w:val="24"/>
          <w:szCs w:val="24"/>
          <w:lang w:eastAsia="en-US"/>
        </w:rPr>
        <w:t>Credit Risk Management</w:t>
      </w:r>
      <w:r w:rsidR="00C466A5" w:rsidRPr="004D5A79">
        <w:rPr>
          <w:rFonts w:ascii="Times New Roman" w:hAnsi="Times New Roman" w:cs="Times New Roman"/>
          <w:sz w:val="24"/>
          <w:szCs w:val="24"/>
          <w:lang w:eastAsia="en-US"/>
        </w:rPr>
        <w:t xml:space="preserve"> to better reflect the </w:t>
      </w:r>
      <w:r w:rsidR="007C6AF8">
        <w:rPr>
          <w:rFonts w:ascii="Times New Roman" w:hAnsi="Times New Roman" w:cs="Times New Roman"/>
          <w:sz w:val="24"/>
          <w:szCs w:val="24"/>
          <w:lang w:eastAsia="en-US"/>
        </w:rPr>
        <w:t>focu</w:t>
      </w:r>
      <w:r w:rsidR="001E5DC0">
        <w:rPr>
          <w:rFonts w:ascii="Times New Roman" w:hAnsi="Times New Roman" w:cs="Times New Roman"/>
          <w:sz w:val="24"/>
          <w:szCs w:val="24"/>
          <w:lang w:eastAsia="en-US"/>
        </w:rPr>
        <w:t xml:space="preserve">s of the </w:t>
      </w:r>
      <w:r w:rsidR="00C466A5" w:rsidRPr="004D5A79">
        <w:rPr>
          <w:rFonts w:ascii="Times New Roman" w:hAnsi="Times New Roman" w:cs="Times New Roman"/>
          <w:sz w:val="24"/>
          <w:szCs w:val="24"/>
          <w:lang w:eastAsia="en-US"/>
        </w:rPr>
        <w:t>standard.</w:t>
      </w:r>
    </w:p>
    <w:p w14:paraId="67FE5725" w14:textId="4F0B57D2" w:rsidR="00C619BC" w:rsidRPr="00C619BC" w:rsidRDefault="00C619BC" w:rsidP="0012246A">
      <w:pPr>
        <w:spacing w:after="240" w:line="240" w:lineRule="auto"/>
        <w:jc w:val="both"/>
        <w:rPr>
          <w:rFonts w:ascii="Times New Roman" w:hAnsi="Times New Roman" w:cs="Times New Roman"/>
          <w:sz w:val="24"/>
          <w:lang w:eastAsia="en-US"/>
        </w:rPr>
      </w:pPr>
      <w:r w:rsidRPr="00F26790">
        <w:rPr>
          <w:rFonts w:ascii="Times New Roman" w:hAnsi="Times New Roman" w:cs="Times New Roman"/>
          <w:color w:val="000000"/>
          <w:sz w:val="24"/>
        </w:rPr>
        <w:t>Where</w:t>
      </w:r>
      <w:r w:rsidR="00FA0493" w:rsidRPr="00FA0493">
        <w:rPr>
          <w:rFonts w:ascii="Times New Roman" w:hAnsi="Times New Roman" w:cs="Times New Roman"/>
          <w:color w:val="000000"/>
          <w:sz w:val="24"/>
        </w:rPr>
        <w:t xml:space="preserve"> APS 220</w:t>
      </w:r>
      <w:r w:rsidRPr="00F26790">
        <w:rPr>
          <w:rFonts w:ascii="Times New Roman" w:hAnsi="Times New Roman" w:cs="Times New Roman"/>
          <w:color w:val="000000"/>
          <w:sz w:val="24"/>
        </w:rPr>
        <w:t xml:space="preserve"> refers to an Act, Regulation or prudential standard, this is a reference to the document as it exists from time to time, and which is available on the Federal Register of Legislation at </w:t>
      </w:r>
      <w:hyperlink r:id="rId14" w:history="1">
        <w:r w:rsidRPr="00F26790">
          <w:rPr>
            <w:rStyle w:val="Hyperlink"/>
            <w:rFonts w:ascii="Times New Roman" w:hAnsi="Times New Roman" w:cs="Times New Roman"/>
            <w:color w:val="0F569E"/>
            <w:sz w:val="24"/>
          </w:rPr>
          <w:t>www.legislation.gov.au</w:t>
        </w:r>
      </w:hyperlink>
      <w:r w:rsidRPr="00F26790">
        <w:rPr>
          <w:rFonts w:ascii="Times New Roman" w:hAnsi="Times New Roman" w:cs="Times New Roman"/>
          <w:color w:val="000000"/>
          <w:sz w:val="24"/>
        </w:rPr>
        <w:t>.</w:t>
      </w:r>
    </w:p>
    <w:p w14:paraId="4B89ABCD" w14:textId="1C1E3B79" w:rsidR="00A94F7C" w:rsidRPr="00F26790" w:rsidRDefault="00A94F7C" w:rsidP="00F26790">
      <w:pPr>
        <w:spacing w:after="240" w:line="240" w:lineRule="auto"/>
        <w:jc w:val="both"/>
        <w:rPr>
          <w:rFonts w:ascii="Times New Roman" w:hAnsi="Times New Roman"/>
          <w:sz w:val="24"/>
          <w:szCs w:val="24"/>
          <w:lang w:eastAsia="en-US"/>
        </w:rPr>
      </w:pPr>
      <w:r w:rsidRPr="00A94F7C">
        <w:rPr>
          <w:rFonts w:ascii="Times New Roman" w:hAnsi="Times New Roman" w:cs="Times New Roman"/>
          <w:sz w:val="24"/>
          <w:szCs w:val="24"/>
          <w:lang w:eastAsia="en-US"/>
        </w:rPr>
        <w:t>APS 220</w:t>
      </w:r>
      <w:r w:rsidRPr="00F26790">
        <w:rPr>
          <w:rFonts w:ascii="Times New Roman" w:hAnsi="Times New Roman" w:cs="Times New Roman"/>
          <w:sz w:val="24"/>
          <w:szCs w:val="24"/>
          <w:lang w:eastAsia="en-US"/>
        </w:rPr>
        <w:t xml:space="preserve"> provides for APRA to exercise various discretions. Decisions made by APRA exercising those discretions are not subject to merits review. This is because these decisions are preliminary decisions that may facilitate or lead to substantive decisions which are subject to merits review.</w:t>
      </w:r>
    </w:p>
    <w:p w14:paraId="7B90A83E" w14:textId="77777777" w:rsidR="00A94F7C" w:rsidRDefault="00A94F7C" w:rsidP="00F26790">
      <w:pPr>
        <w:pStyle w:val="heading0"/>
        <w:spacing w:before="0" w:beforeAutospacing="0" w:after="0" w:afterAutospacing="0"/>
        <w:jc w:val="both"/>
        <w:rPr>
          <w:rFonts w:ascii="&amp;quot" w:hAnsi="&amp;quot"/>
          <w:color w:val="000000"/>
        </w:rPr>
      </w:pPr>
      <w:r>
        <w:rPr>
          <w:rFonts w:ascii="&amp;quot" w:hAnsi="&amp;quot"/>
          <w:color w:val="000000"/>
        </w:rPr>
        <w:t xml:space="preserve">A breach of a prudential standard is a breach of the Act, as section 11AG of the Act provides that ADIs must comply with applicable prudential standards. However, there are no penalties prescribed for breach of a prudential standard. Instead, an ADI’s breach of a provision in the Act is grounds for APRA to make further, substantive decisions under the Act in relation to the ADI. Those decisions are: </w:t>
      </w:r>
    </w:p>
    <w:p w14:paraId="25F1BAD4" w14:textId="77777777" w:rsidR="009A2AB0" w:rsidRDefault="009A2AB0" w:rsidP="00F26790">
      <w:pPr>
        <w:pStyle w:val="heading0"/>
        <w:spacing w:before="0" w:beforeAutospacing="0" w:after="0" w:afterAutospacing="0"/>
        <w:jc w:val="both"/>
        <w:rPr>
          <w:rFonts w:ascii="&amp;quot" w:hAnsi="&amp;quot"/>
          <w:b/>
          <w:bCs/>
          <w:color w:val="000000"/>
          <w:sz w:val="26"/>
          <w:szCs w:val="26"/>
        </w:rPr>
      </w:pPr>
    </w:p>
    <w:p w14:paraId="66F1345B" w14:textId="77777777" w:rsidR="00A94F7C" w:rsidRDefault="00A94F7C" w:rsidP="00F26790">
      <w:pPr>
        <w:pStyle w:val="heading0"/>
        <w:numPr>
          <w:ilvl w:val="0"/>
          <w:numId w:val="46"/>
        </w:numPr>
        <w:spacing w:before="0" w:beforeAutospacing="0" w:after="0" w:afterAutospacing="0"/>
        <w:jc w:val="both"/>
        <w:rPr>
          <w:rFonts w:ascii="&amp;quot" w:hAnsi="&amp;quot"/>
          <w:b/>
          <w:bCs/>
          <w:color w:val="000000"/>
          <w:sz w:val="26"/>
          <w:szCs w:val="26"/>
        </w:rPr>
      </w:pPr>
      <w:r>
        <w:rPr>
          <w:rFonts w:ascii="&amp;quot" w:hAnsi="&amp;quot"/>
          <w:color w:val="000000"/>
        </w:rPr>
        <w:t>to revoke an authority to carry on banking business (section 9A of the Act); and</w:t>
      </w:r>
    </w:p>
    <w:p w14:paraId="68BFC7FD" w14:textId="4E7283D0" w:rsidR="00A94F7C" w:rsidRPr="00F26790" w:rsidRDefault="00A94F7C" w:rsidP="00F26790">
      <w:pPr>
        <w:pStyle w:val="heading0"/>
        <w:numPr>
          <w:ilvl w:val="0"/>
          <w:numId w:val="46"/>
        </w:numPr>
        <w:spacing w:before="0" w:beforeAutospacing="0" w:after="0" w:afterAutospacing="0"/>
        <w:jc w:val="both"/>
        <w:rPr>
          <w:rFonts w:ascii="&amp;quot" w:hAnsi="&amp;quot"/>
          <w:b/>
          <w:bCs/>
          <w:color w:val="000000"/>
          <w:sz w:val="26"/>
          <w:szCs w:val="26"/>
        </w:rPr>
      </w:pPr>
      <w:r w:rsidRPr="00A94F7C">
        <w:rPr>
          <w:rFonts w:ascii="&amp;quot" w:hAnsi="&amp;quot"/>
          <w:color w:val="000000"/>
        </w:rPr>
        <w:t>to issue a direction to the ADI, including a direction to comply with the whole or part of a prudential standard (section 11CA of the Act).</w:t>
      </w:r>
    </w:p>
    <w:p w14:paraId="1A37ACF7" w14:textId="77777777" w:rsidR="00A94F7C" w:rsidRPr="00A94F7C" w:rsidRDefault="00A94F7C" w:rsidP="00F26790">
      <w:pPr>
        <w:pStyle w:val="heading0"/>
        <w:spacing w:before="0" w:beforeAutospacing="0" w:after="0" w:afterAutospacing="0"/>
        <w:ind w:left="720"/>
        <w:jc w:val="both"/>
        <w:rPr>
          <w:rFonts w:ascii="&amp;quot" w:hAnsi="&amp;quot"/>
          <w:b/>
          <w:bCs/>
          <w:color w:val="000000"/>
          <w:sz w:val="26"/>
          <w:szCs w:val="26"/>
        </w:rPr>
      </w:pPr>
    </w:p>
    <w:p w14:paraId="3A811B58" w14:textId="7DE04451" w:rsidR="002361E1" w:rsidRPr="004D5A79" w:rsidRDefault="00A94F7C" w:rsidP="00A94F7C">
      <w:pPr>
        <w:spacing w:after="240" w:line="240" w:lineRule="auto"/>
        <w:jc w:val="both"/>
        <w:rPr>
          <w:rFonts w:ascii="Times New Roman" w:hAnsi="Times New Roman" w:cs="Times New Roman"/>
          <w:sz w:val="24"/>
          <w:szCs w:val="24"/>
          <w:lang w:eastAsia="en-US"/>
        </w:rPr>
      </w:pPr>
      <w:r w:rsidRPr="00F26790">
        <w:rPr>
          <w:rFonts w:ascii="Times New Roman" w:hAnsi="Times New Roman" w:cs="Times New Roman"/>
          <w:sz w:val="24"/>
          <w:szCs w:val="24"/>
          <w:lang w:eastAsia="en-US"/>
        </w:rPr>
        <w:lastRenderedPageBreak/>
        <w:t>It is only at this stage that an ADI is exposed to a penalty: loss of its authority under section 9A or 50 penalty units if it breaches the direction (section 11CG of the Act). The subsequent substantive decisions by APRA to impose a direction or revoke an authority are subject to merits review. In nearly all case</w:t>
      </w:r>
      <w:bookmarkStart w:id="4" w:name="_ftnref1"/>
      <w:bookmarkEnd w:id="4"/>
      <w:r w:rsidRPr="00A94F7C">
        <w:rPr>
          <w:rFonts w:ascii="Times New Roman" w:hAnsi="Times New Roman" w:cs="Times New Roman"/>
          <w:sz w:val="24"/>
          <w:szCs w:val="24"/>
          <w:lang w:eastAsia="en-US"/>
        </w:rPr>
        <w:t>s</w:t>
      </w:r>
      <w:r>
        <w:rPr>
          <w:rStyle w:val="FootnoteReference"/>
          <w:rFonts w:cs="Times New Roman"/>
          <w:szCs w:val="24"/>
          <w:lang w:eastAsia="en-US"/>
        </w:rPr>
        <w:footnoteReference w:id="7"/>
      </w:r>
      <w:r w:rsidRPr="00F26790">
        <w:rPr>
          <w:rFonts w:ascii="Times New Roman" w:hAnsi="Times New Roman" w:cs="Times New Roman"/>
          <w:sz w:val="24"/>
          <w:szCs w:val="24"/>
          <w:lang w:eastAsia="en-US"/>
        </w:rPr>
        <w:t xml:space="preserve"> the decision is preceded by a full consultation with the ADI to raise any concerns it may have in relation to the decision.</w:t>
      </w:r>
    </w:p>
    <w:p w14:paraId="26D38415" w14:textId="220767D9" w:rsidR="00197A23" w:rsidRPr="004D5A79" w:rsidRDefault="00E71019" w:rsidP="00E71019">
      <w:pPr>
        <w:pStyle w:val="ListParagraph"/>
        <w:numPr>
          <w:ilvl w:val="0"/>
          <w:numId w:val="43"/>
        </w:numPr>
        <w:spacing w:after="240" w:line="240" w:lineRule="auto"/>
        <w:ind w:left="567" w:hanging="567"/>
        <w:jc w:val="both"/>
        <w:rPr>
          <w:rFonts w:ascii="Times New Roman" w:hAnsi="Times New Roman" w:cs="Times New Roman"/>
          <w:b/>
          <w:sz w:val="24"/>
          <w:szCs w:val="24"/>
          <w:lang w:eastAsia="en-US"/>
        </w:rPr>
      </w:pPr>
      <w:r w:rsidRPr="004D5A79">
        <w:rPr>
          <w:rFonts w:ascii="Times New Roman" w:hAnsi="Times New Roman" w:cs="Times New Roman"/>
          <w:b/>
          <w:sz w:val="24"/>
          <w:szCs w:val="24"/>
          <w:lang w:eastAsia="en-US"/>
        </w:rPr>
        <w:t>Consultation</w:t>
      </w:r>
    </w:p>
    <w:p w14:paraId="26D38416" w14:textId="2F33F0DA" w:rsidR="00197A23" w:rsidRPr="004D5A79" w:rsidRDefault="00E71019" w:rsidP="00976332">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has undertaken public consultation in revising its credit risk management framework.</w:t>
      </w:r>
      <w:r w:rsidR="00095D01" w:rsidRPr="004D5A79">
        <w:rPr>
          <w:rFonts w:ascii="Times New Roman" w:hAnsi="Times New Roman" w:cs="Times New Roman"/>
          <w:sz w:val="24"/>
          <w:szCs w:val="24"/>
          <w:lang w:eastAsia="en-US"/>
        </w:rPr>
        <w:t xml:space="preserve"> </w:t>
      </w:r>
      <w:r w:rsidR="00E17281" w:rsidRPr="004D5A79">
        <w:rPr>
          <w:rFonts w:ascii="Times New Roman" w:hAnsi="Times New Roman" w:cs="Times New Roman"/>
          <w:sz w:val="24"/>
          <w:szCs w:val="24"/>
          <w:lang w:eastAsia="en-US"/>
        </w:rPr>
        <w:t xml:space="preserve">In March 2019, </w:t>
      </w:r>
      <w:r w:rsidR="00095D01" w:rsidRPr="004D5A79">
        <w:rPr>
          <w:rFonts w:ascii="Times New Roman" w:hAnsi="Times New Roman" w:cs="Times New Roman"/>
          <w:sz w:val="24"/>
          <w:szCs w:val="24"/>
          <w:lang w:eastAsia="en-US"/>
        </w:rPr>
        <w:t xml:space="preserve">APRA released a </w:t>
      </w:r>
      <w:r w:rsidR="00247811" w:rsidRPr="004D5A79">
        <w:rPr>
          <w:rFonts w:ascii="Times New Roman" w:hAnsi="Times New Roman" w:cs="Times New Roman"/>
          <w:sz w:val="24"/>
          <w:szCs w:val="24"/>
          <w:lang w:eastAsia="en-US"/>
        </w:rPr>
        <w:t>Discussion Paper</w:t>
      </w:r>
      <w:r w:rsidR="00095D01" w:rsidRPr="004D5A79">
        <w:rPr>
          <w:rFonts w:ascii="Times New Roman" w:hAnsi="Times New Roman" w:cs="Times New Roman"/>
          <w:sz w:val="24"/>
          <w:szCs w:val="24"/>
          <w:lang w:eastAsia="en-US"/>
        </w:rPr>
        <w:t xml:space="preserve"> and draft revised prudential standard outlining the key proposals</w:t>
      </w:r>
      <w:r w:rsidR="00592F34" w:rsidRPr="004D5A79">
        <w:rPr>
          <w:rFonts w:ascii="Times New Roman" w:hAnsi="Times New Roman" w:cs="Times New Roman"/>
          <w:sz w:val="24"/>
          <w:szCs w:val="24"/>
          <w:lang w:eastAsia="en-US"/>
        </w:rPr>
        <w:t>.</w:t>
      </w:r>
      <w:r w:rsidR="0021219A" w:rsidRPr="004D5A79">
        <w:rPr>
          <w:rStyle w:val="FootnoteReference"/>
          <w:rFonts w:ascii="Times New Roman" w:hAnsi="Times New Roman" w:cs="Times New Roman"/>
          <w:sz w:val="24"/>
          <w:szCs w:val="24"/>
          <w:lang w:eastAsia="en-US"/>
        </w:rPr>
        <w:footnoteReference w:id="8"/>
      </w:r>
    </w:p>
    <w:p w14:paraId="132F4FDE" w14:textId="4B168191" w:rsidR="00095D01" w:rsidRPr="004D5A79" w:rsidRDefault="007514F9" w:rsidP="00095D0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received fifteen submissions to its proposals. </w:t>
      </w:r>
      <w:r w:rsidR="00095D01" w:rsidRPr="004D5A79">
        <w:rPr>
          <w:rFonts w:ascii="Times New Roman" w:hAnsi="Times New Roman" w:cs="Times New Roman"/>
          <w:sz w:val="24"/>
          <w:szCs w:val="24"/>
          <w:lang w:eastAsia="en-US"/>
        </w:rPr>
        <w:t xml:space="preserve">Submissions were broadly supportive of the proposed reforms. However, some submissions sought clarification of the role of the Board and senior management in credit risk management and the application of the </w:t>
      </w:r>
      <w:r w:rsidR="00095D01" w:rsidRPr="004D5A79">
        <w:rPr>
          <w:rFonts w:ascii="Times New Roman" w:hAnsi="Times New Roman" w:cs="Times New Roman"/>
          <w:sz w:val="24"/>
          <w:szCs w:val="24"/>
          <w:lang w:eastAsia="en-US"/>
        </w:rPr>
        <w:lastRenderedPageBreak/>
        <w:t xml:space="preserve">proposed credit standards for certain types of lending. Respondents also raised </w:t>
      </w:r>
      <w:r w:rsidR="00510C0E" w:rsidRPr="004D5A79">
        <w:rPr>
          <w:rFonts w:ascii="Times New Roman" w:hAnsi="Times New Roman" w:cs="Times New Roman"/>
          <w:sz w:val="24"/>
          <w:szCs w:val="24"/>
          <w:lang w:eastAsia="en-US"/>
        </w:rPr>
        <w:t>issues</w:t>
      </w:r>
      <w:r w:rsidR="00095D01" w:rsidRPr="004D5A79">
        <w:rPr>
          <w:rFonts w:ascii="Times New Roman" w:hAnsi="Times New Roman" w:cs="Times New Roman"/>
          <w:sz w:val="24"/>
          <w:szCs w:val="24"/>
          <w:lang w:eastAsia="en-US"/>
        </w:rPr>
        <w:t xml:space="preserve"> regarding the proposed valuation of collateral and asset classification requirements.</w:t>
      </w:r>
    </w:p>
    <w:p w14:paraId="0988C555" w14:textId="1EBEBA41" w:rsidR="00E71019" w:rsidRPr="004D5A79" w:rsidRDefault="00095D01" w:rsidP="00095D01">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APRA amended its initial proposals in a number of areas following consideration of the issues raised in submissions</w:t>
      </w:r>
      <w:r w:rsidR="00E17281" w:rsidRPr="004D5A79">
        <w:rPr>
          <w:rFonts w:ascii="Times New Roman" w:hAnsi="Times New Roman" w:cs="Times New Roman"/>
          <w:sz w:val="24"/>
          <w:szCs w:val="24"/>
          <w:lang w:eastAsia="en-US"/>
        </w:rPr>
        <w:t>.</w:t>
      </w:r>
      <w:r w:rsidR="00E17281" w:rsidRPr="004D5A79">
        <w:rPr>
          <w:rStyle w:val="FootnoteReference"/>
          <w:rFonts w:ascii="Times New Roman" w:hAnsi="Times New Roman" w:cs="Times New Roman"/>
          <w:sz w:val="24"/>
          <w:szCs w:val="24"/>
          <w:lang w:eastAsia="en-US"/>
        </w:rPr>
        <w:footnoteReference w:id="9"/>
      </w:r>
      <w:r w:rsidRPr="004D5A79">
        <w:rPr>
          <w:rFonts w:ascii="Times New Roman" w:hAnsi="Times New Roman" w:cs="Times New Roman"/>
          <w:sz w:val="24"/>
          <w:szCs w:val="24"/>
          <w:lang w:eastAsia="en-US"/>
        </w:rPr>
        <w:t xml:space="preserve"> </w:t>
      </w:r>
    </w:p>
    <w:p w14:paraId="23002977" w14:textId="6B5EEDC5" w:rsidR="00DC74D3" w:rsidRPr="004D5A79" w:rsidRDefault="00DC74D3" w:rsidP="00DC74D3">
      <w:pPr>
        <w:pStyle w:val="Heading"/>
        <w:tabs>
          <w:tab w:val="left" w:pos="360"/>
        </w:tabs>
        <w:spacing w:after="240"/>
        <w:rPr>
          <w:rFonts w:ascii="Times New Roman" w:hAnsi="Times New Roman"/>
          <w:b w:val="0"/>
          <w:sz w:val="24"/>
          <w:szCs w:val="24"/>
        </w:rPr>
      </w:pPr>
      <w:r w:rsidRPr="004D5A79">
        <w:rPr>
          <w:rFonts w:ascii="Times New Roman" w:hAnsi="Times New Roman"/>
          <w:b w:val="0"/>
          <w:sz w:val="24"/>
          <w:szCs w:val="24"/>
        </w:rPr>
        <w:t>Information concerning consultation on the making of the instrument is contained in APR</w:t>
      </w:r>
      <w:r w:rsidR="005C7A7C" w:rsidRPr="004D5A79">
        <w:rPr>
          <w:rFonts w:ascii="Times New Roman" w:hAnsi="Times New Roman"/>
          <w:b w:val="0"/>
          <w:sz w:val="24"/>
          <w:szCs w:val="24"/>
        </w:rPr>
        <w:t xml:space="preserve">A’s </w:t>
      </w:r>
      <w:r w:rsidR="00405B1C" w:rsidRPr="004D5A79">
        <w:rPr>
          <w:rFonts w:ascii="Times New Roman" w:hAnsi="Times New Roman"/>
          <w:b w:val="0"/>
          <w:sz w:val="24"/>
          <w:szCs w:val="24"/>
        </w:rPr>
        <w:t xml:space="preserve">discussion </w:t>
      </w:r>
      <w:r w:rsidR="005C7A7C" w:rsidRPr="004D5A79">
        <w:rPr>
          <w:rFonts w:ascii="Times New Roman" w:hAnsi="Times New Roman"/>
          <w:b w:val="0"/>
          <w:sz w:val="24"/>
          <w:szCs w:val="24"/>
        </w:rPr>
        <w:t>and response to submissions papers</w:t>
      </w:r>
      <w:r w:rsidRPr="004D5A79">
        <w:rPr>
          <w:rFonts w:ascii="Times New Roman" w:hAnsi="Times New Roman"/>
          <w:b w:val="0"/>
          <w:sz w:val="24"/>
          <w:szCs w:val="24"/>
        </w:rPr>
        <w:t>.</w:t>
      </w:r>
    </w:p>
    <w:p w14:paraId="2BC84579" w14:textId="0525ABFE" w:rsidR="00997550" w:rsidRPr="004D5A79" w:rsidRDefault="00997550" w:rsidP="00997550">
      <w:pPr>
        <w:spacing w:after="240" w:line="240" w:lineRule="auto"/>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It is important to financial safety and financial stability that ADIs adopt prudent credit standards and are appropriately managing credit risk over the full credit life cycle. The final revised APS 220:</w:t>
      </w:r>
    </w:p>
    <w:p w14:paraId="3D1DEEFA" w14:textId="77777777" w:rsidR="00997550" w:rsidRPr="004D5A79" w:rsidRDefault="00997550" w:rsidP="00997550">
      <w:pPr>
        <w:pStyle w:val="ListParagraph"/>
        <w:numPr>
          <w:ilvl w:val="0"/>
          <w:numId w:val="36"/>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includes best practice credit risk management expectations, including prudent credit standards and the Royal Commission recommendation relevant to APS 220 regarding the valuation of land;</w:t>
      </w:r>
    </w:p>
    <w:p w14:paraId="4065B341" w14:textId="24807399" w:rsidR="00997550" w:rsidRPr="004D5A79" w:rsidRDefault="00997550" w:rsidP="00997550">
      <w:pPr>
        <w:pStyle w:val="ListParagraph"/>
        <w:numPr>
          <w:ilvl w:val="0"/>
          <w:numId w:val="36"/>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t>reflects concepts and terminology commensurate with the new accounting standard</w:t>
      </w:r>
      <w:r w:rsidR="000310C9">
        <w:rPr>
          <w:rFonts w:ascii="Times New Roman" w:hAnsi="Times New Roman" w:cs="Times New Roman"/>
          <w:sz w:val="24"/>
          <w:szCs w:val="24"/>
          <w:lang w:eastAsia="en-US"/>
        </w:rPr>
        <w:t xml:space="preserve"> AASB 9</w:t>
      </w:r>
      <w:r w:rsidRPr="004D5A79">
        <w:rPr>
          <w:rFonts w:ascii="Times New Roman" w:hAnsi="Times New Roman" w:cs="Times New Roman"/>
          <w:sz w:val="24"/>
          <w:szCs w:val="24"/>
          <w:lang w:eastAsia="en-US"/>
        </w:rPr>
        <w:t>; and</w:t>
      </w:r>
    </w:p>
    <w:p w14:paraId="189A9491" w14:textId="77777777" w:rsidR="00997550" w:rsidRPr="004D5A79" w:rsidRDefault="00997550" w:rsidP="00997550">
      <w:pPr>
        <w:pStyle w:val="ListParagraph"/>
        <w:numPr>
          <w:ilvl w:val="0"/>
          <w:numId w:val="36"/>
        </w:numPr>
        <w:spacing w:after="240" w:line="240" w:lineRule="auto"/>
        <w:ind w:left="567" w:hanging="567"/>
        <w:jc w:val="both"/>
        <w:rPr>
          <w:rFonts w:ascii="Times New Roman" w:hAnsi="Times New Roman" w:cs="Times New Roman"/>
          <w:sz w:val="24"/>
          <w:szCs w:val="24"/>
          <w:lang w:eastAsia="en-US"/>
        </w:rPr>
      </w:pPr>
      <w:r w:rsidRPr="004D5A79">
        <w:rPr>
          <w:rFonts w:ascii="Times New Roman" w:hAnsi="Times New Roman" w:cs="Times New Roman"/>
          <w:sz w:val="24"/>
          <w:szCs w:val="24"/>
          <w:lang w:eastAsia="en-US"/>
        </w:rPr>
        <w:lastRenderedPageBreak/>
        <w:t>provides a consistent basis for international comparison of ADIs’ credit risk.</w:t>
      </w:r>
    </w:p>
    <w:p w14:paraId="6A70E045" w14:textId="5CD45008" w:rsidR="00510C0E" w:rsidRPr="004D5A79" w:rsidRDefault="00510C0E" w:rsidP="00510C0E">
      <w:pPr>
        <w:pStyle w:val="Heading"/>
        <w:numPr>
          <w:ilvl w:val="0"/>
          <w:numId w:val="43"/>
        </w:numPr>
        <w:tabs>
          <w:tab w:val="left" w:pos="360"/>
        </w:tabs>
        <w:spacing w:after="240"/>
        <w:ind w:left="567" w:hanging="567"/>
        <w:rPr>
          <w:rFonts w:ascii="Times New Roman" w:hAnsi="Times New Roman"/>
          <w:sz w:val="24"/>
          <w:szCs w:val="24"/>
        </w:rPr>
      </w:pPr>
      <w:r w:rsidRPr="004D5A79">
        <w:rPr>
          <w:rFonts w:ascii="Times New Roman" w:hAnsi="Times New Roman"/>
          <w:sz w:val="24"/>
          <w:szCs w:val="24"/>
        </w:rPr>
        <w:t>Regulation Impact Statement</w:t>
      </w:r>
    </w:p>
    <w:p w14:paraId="0758A717" w14:textId="39757975" w:rsidR="00510C0E" w:rsidRPr="004D5A79" w:rsidRDefault="00510C0E" w:rsidP="00510C0E">
      <w:pPr>
        <w:spacing w:after="240" w:line="240" w:lineRule="auto"/>
        <w:rPr>
          <w:rFonts w:ascii="Times New Roman" w:hAnsi="Times New Roman" w:cs="Times New Roman"/>
          <w:sz w:val="24"/>
          <w:szCs w:val="24"/>
          <w:lang w:eastAsia="en-US"/>
        </w:rPr>
      </w:pPr>
      <w:r w:rsidRPr="004D5A79">
        <w:rPr>
          <w:rFonts w:ascii="Times New Roman" w:hAnsi="Times New Roman" w:cs="Times New Roman"/>
          <w:sz w:val="24"/>
          <w:szCs w:val="24"/>
          <w:lang w:eastAsia="en-US"/>
        </w:rPr>
        <w:t xml:space="preserve">APRA undertook an independent review of revisions to the </w:t>
      </w:r>
      <w:r w:rsidR="007514F9" w:rsidRPr="004D5A79">
        <w:rPr>
          <w:rFonts w:ascii="Times New Roman" w:hAnsi="Times New Roman" w:cs="Times New Roman"/>
          <w:sz w:val="24"/>
          <w:szCs w:val="24"/>
          <w:lang w:eastAsia="en-US"/>
        </w:rPr>
        <w:t xml:space="preserve">credit risk management </w:t>
      </w:r>
      <w:r w:rsidRPr="004D5A79">
        <w:rPr>
          <w:rFonts w:ascii="Times New Roman" w:hAnsi="Times New Roman" w:cs="Times New Roman"/>
          <w:sz w:val="24"/>
          <w:szCs w:val="24"/>
          <w:lang w:eastAsia="en-US"/>
        </w:rPr>
        <w:t xml:space="preserve">framework and </w:t>
      </w:r>
      <w:r w:rsidR="00334BE0">
        <w:rPr>
          <w:rFonts w:ascii="Times New Roman" w:hAnsi="Times New Roman" w:cs="Times New Roman"/>
          <w:sz w:val="24"/>
          <w:szCs w:val="24"/>
          <w:lang w:eastAsia="en-US"/>
        </w:rPr>
        <w:t xml:space="preserve">has </w:t>
      </w:r>
      <w:r w:rsidRPr="004D5A79">
        <w:rPr>
          <w:rFonts w:ascii="Times New Roman" w:hAnsi="Times New Roman" w:cs="Times New Roman"/>
          <w:sz w:val="24"/>
          <w:szCs w:val="24"/>
          <w:lang w:eastAsia="en-US"/>
        </w:rPr>
        <w:t xml:space="preserve">followed a process and analysis equivalent to a Regulatory Impact Statement (RIS). Regulatory costs detailed in the RIS </w:t>
      </w:r>
      <w:r w:rsidR="005B705D" w:rsidRPr="004D5A79">
        <w:rPr>
          <w:rFonts w:ascii="Times New Roman" w:hAnsi="Times New Roman" w:cs="Times New Roman"/>
          <w:sz w:val="24"/>
          <w:szCs w:val="24"/>
          <w:lang w:eastAsia="en-US"/>
        </w:rPr>
        <w:t>were</w:t>
      </w:r>
      <w:r w:rsidRPr="004D5A79">
        <w:rPr>
          <w:rFonts w:ascii="Times New Roman" w:hAnsi="Times New Roman" w:cs="Times New Roman"/>
          <w:sz w:val="24"/>
          <w:szCs w:val="24"/>
          <w:lang w:eastAsia="en-US"/>
        </w:rPr>
        <w:t xml:space="preserve"> agreed with the Office of Best Practice Regulation.</w:t>
      </w:r>
    </w:p>
    <w:p w14:paraId="23DC0AAB" w14:textId="6AC158EA" w:rsidR="00510C0E" w:rsidRPr="004D5A79" w:rsidRDefault="00510C0E" w:rsidP="005B705D">
      <w:pPr>
        <w:pStyle w:val="Heading"/>
        <w:tabs>
          <w:tab w:val="left" w:pos="360"/>
        </w:tabs>
        <w:spacing w:after="240"/>
        <w:rPr>
          <w:rFonts w:ascii="Times New Roman" w:hAnsi="Times New Roman"/>
          <w:b w:val="0"/>
          <w:sz w:val="24"/>
          <w:szCs w:val="24"/>
        </w:rPr>
      </w:pPr>
      <w:r w:rsidRPr="004D5A79">
        <w:rPr>
          <w:rFonts w:ascii="Times New Roman" w:hAnsi="Times New Roman"/>
          <w:b w:val="0"/>
          <w:sz w:val="24"/>
          <w:szCs w:val="24"/>
        </w:rPr>
        <w:t xml:space="preserve">The documents </w:t>
      </w:r>
      <w:r w:rsidR="00C960CB">
        <w:rPr>
          <w:rFonts w:ascii="Times New Roman" w:hAnsi="Times New Roman"/>
          <w:b w:val="0"/>
          <w:sz w:val="24"/>
          <w:szCs w:val="24"/>
        </w:rPr>
        <w:t xml:space="preserve">evidencing this process </w:t>
      </w:r>
      <w:r w:rsidR="005B705D" w:rsidRPr="004D5A79">
        <w:rPr>
          <w:rFonts w:ascii="Times New Roman" w:hAnsi="Times New Roman"/>
          <w:b w:val="0"/>
          <w:sz w:val="24"/>
          <w:szCs w:val="24"/>
        </w:rPr>
        <w:t xml:space="preserve">(i.e. contained in the APRA discussion and response to submissions papers) </w:t>
      </w:r>
      <w:r w:rsidRPr="004D5A79">
        <w:rPr>
          <w:rFonts w:ascii="Times New Roman" w:hAnsi="Times New Roman"/>
          <w:b w:val="0"/>
          <w:sz w:val="24"/>
          <w:szCs w:val="24"/>
        </w:rPr>
        <w:t>have been lodged as supporting material.</w:t>
      </w:r>
    </w:p>
    <w:p w14:paraId="61D7EE4B" w14:textId="77777777" w:rsidR="00510C0E" w:rsidRPr="004D5A79" w:rsidRDefault="00510C0E" w:rsidP="00510C0E">
      <w:pPr>
        <w:pStyle w:val="Heading"/>
        <w:tabs>
          <w:tab w:val="left" w:pos="360"/>
        </w:tabs>
        <w:spacing w:after="240"/>
        <w:rPr>
          <w:rFonts w:ascii="Times New Roman" w:hAnsi="Times New Roman"/>
          <w:sz w:val="24"/>
          <w:szCs w:val="24"/>
        </w:rPr>
      </w:pPr>
      <w:r w:rsidRPr="004D5A79">
        <w:rPr>
          <w:rFonts w:ascii="Times New Roman" w:hAnsi="Times New Roman"/>
          <w:sz w:val="24"/>
          <w:szCs w:val="24"/>
        </w:rPr>
        <w:t>5.</w:t>
      </w:r>
      <w:r w:rsidRPr="004D5A79">
        <w:rPr>
          <w:rFonts w:ascii="Times New Roman" w:hAnsi="Times New Roman"/>
          <w:sz w:val="24"/>
          <w:szCs w:val="24"/>
        </w:rPr>
        <w:tab/>
        <w:t>Statement of compatibility prepared in accordance with Part 3 of the Human Rights (Parliamentary Scrutiny) Act 2011</w:t>
      </w:r>
    </w:p>
    <w:p w14:paraId="33DD8C56" w14:textId="167CF9ED" w:rsidR="00510C0E" w:rsidRPr="004D5A79" w:rsidRDefault="00510C0E" w:rsidP="00510C0E">
      <w:pPr>
        <w:pStyle w:val="Heading"/>
        <w:spacing w:after="240"/>
        <w:rPr>
          <w:rFonts w:ascii="Times New Roman" w:hAnsi="Times New Roman"/>
          <w:b w:val="0"/>
          <w:sz w:val="24"/>
          <w:szCs w:val="24"/>
        </w:rPr>
      </w:pPr>
      <w:r w:rsidRPr="004D5A79">
        <w:rPr>
          <w:rFonts w:ascii="Times New Roman" w:hAnsi="Times New Roman"/>
          <w:b w:val="0"/>
          <w:sz w:val="24"/>
          <w:szCs w:val="24"/>
        </w:rPr>
        <w:t xml:space="preserve">A </w:t>
      </w:r>
      <w:r w:rsidR="00694CE8">
        <w:rPr>
          <w:rFonts w:ascii="Times New Roman" w:hAnsi="Times New Roman"/>
          <w:b w:val="0"/>
          <w:sz w:val="24"/>
          <w:szCs w:val="24"/>
        </w:rPr>
        <w:t>s</w:t>
      </w:r>
      <w:r w:rsidRPr="004D5A79">
        <w:rPr>
          <w:rFonts w:ascii="Times New Roman" w:hAnsi="Times New Roman"/>
          <w:b w:val="0"/>
          <w:sz w:val="24"/>
          <w:szCs w:val="24"/>
        </w:rPr>
        <w:t xml:space="preserve">tatement of compatibility prepared in accordance with Part 3 of the </w:t>
      </w:r>
      <w:r w:rsidRPr="004D5A79">
        <w:rPr>
          <w:rFonts w:ascii="Times New Roman" w:hAnsi="Times New Roman"/>
          <w:b w:val="0"/>
          <w:i/>
          <w:sz w:val="24"/>
          <w:szCs w:val="24"/>
        </w:rPr>
        <w:t>Human Rights (Parliamentary Scrutiny) Act 2011</w:t>
      </w:r>
      <w:r w:rsidRPr="004D5A79">
        <w:rPr>
          <w:rFonts w:ascii="Times New Roman" w:hAnsi="Times New Roman"/>
          <w:b w:val="0"/>
          <w:sz w:val="24"/>
          <w:szCs w:val="24"/>
        </w:rPr>
        <w:t xml:space="preserve"> is provided at Attachment A to this Explanatory Statement.</w:t>
      </w:r>
    </w:p>
    <w:p w14:paraId="5D729207" w14:textId="77777777" w:rsidR="00B75A8B" w:rsidRPr="004D5A79" w:rsidRDefault="00B75A8B" w:rsidP="00B75A8B">
      <w:pPr>
        <w:spacing w:after="360"/>
        <w:outlineLvl w:val="0"/>
        <w:rPr>
          <w:rFonts w:ascii="Times New Roman" w:hAnsi="Times New Roman"/>
          <w:sz w:val="24"/>
          <w:szCs w:val="24"/>
          <w:u w:val="single"/>
        </w:rPr>
      </w:pPr>
      <w:r>
        <w:rPr>
          <w:rFonts w:ascii="Times New Roman" w:hAnsi="Times New Roman"/>
          <w:b/>
          <w:sz w:val="24"/>
          <w:szCs w:val="24"/>
        </w:rPr>
        <w:br w:type="page"/>
      </w:r>
      <w:r w:rsidRPr="004D5A79">
        <w:rPr>
          <w:rFonts w:ascii="Times New Roman" w:hAnsi="Times New Roman"/>
          <w:sz w:val="24"/>
          <w:szCs w:val="24"/>
          <w:u w:val="single"/>
        </w:rPr>
        <w:lastRenderedPageBreak/>
        <w:t>ATTACHMENT A</w:t>
      </w:r>
    </w:p>
    <w:p w14:paraId="0F58F628"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b/>
          <w:bCs/>
          <w:sz w:val="24"/>
          <w:szCs w:val="24"/>
        </w:rPr>
        <w:t>Statement of Compatibility with Human Rights</w:t>
      </w:r>
    </w:p>
    <w:p w14:paraId="62E80750" w14:textId="77777777" w:rsidR="00B75A8B" w:rsidRPr="004D5A79" w:rsidRDefault="00B75A8B" w:rsidP="00B75A8B">
      <w:pPr>
        <w:shd w:val="clear" w:color="auto" w:fill="FFFFFF"/>
        <w:spacing w:before="100" w:beforeAutospacing="1" w:after="240"/>
        <w:jc w:val="center"/>
        <w:rPr>
          <w:rFonts w:ascii="Times New Roman" w:hAnsi="Times New Roman"/>
          <w:sz w:val="24"/>
          <w:szCs w:val="24"/>
          <w:lang w:val="en-US"/>
        </w:rPr>
      </w:pPr>
      <w:r w:rsidRPr="004D5A79">
        <w:rPr>
          <w:rFonts w:ascii="Times New Roman" w:hAnsi="Times New Roman"/>
          <w:sz w:val="24"/>
          <w:szCs w:val="24"/>
        </w:rPr>
        <w:t xml:space="preserve">Prepared in accordance with Part 3 of the </w:t>
      </w:r>
      <w:r w:rsidRPr="004D5A79">
        <w:rPr>
          <w:rFonts w:ascii="Times New Roman" w:hAnsi="Times New Roman"/>
          <w:i/>
          <w:iCs/>
          <w:sz w:val="24"/>
          <w:szCs w:val="24"/>
        </w:rPr>
        <w:t>Human Rights (Parliamentary Scrutiny) Act 2011</w:t>
      </w:r>
    </w:p>
    <w:p w14:paraId="7A6D7D66" w14:textId="5AFB4493" w:rsidR="00B75A8B" w:rsidRPr="004D5A79" w:rsidRDefault="00B75A8B" w:rsidP="00B75A8B">
      <w:pPr>
        <w:shd w:val="clear" w:color="auto" w:fill="FFFFFF"/>
        <w:spacing w:before="100" w:beforeAutospacing="1" w:after="240"/>
        <w:jc w:val="center"/>
        <w:rPr>
          <w:rFonts w:ascii="Times New Roman" w:hAnsi="Times New Roman"/>
          <w:b/>
          <w:bCs/>
          <w:sz w:val="24"/>
          <w:szCs w:val="24"/>
        </w:rPr>
      </w:pPr>
      <w:r w:rsidRPr="004D5A79">
        <w:rPr>
          <w:rFonts w:ascii="Times New Roman" w:hAnsi="Times New Roman"/>
          <w:b/>
          <w:bCs/>
          <w:sz w:val="24"/>
          <w:szCs w:val="24"/>
        </w:rPr>
        <w:t xml:space="preserve">Banking (prudential standard) determination No. </w:t>
      </w:r>
      <w:r w:rsidR="007B2167">
        <w:rPr>
          <w:rFonts w:ascii="Times New Roman" w:hAnsi="Times New Roman"/>
          <w:b/>
          <w:bCs/>
          <w:color w:val="FF0000"/>
          <w:sz w:val="24"/>
          <w:szCs w:val="24"/>
        </w:rPr>
        <w:t>3</w:t>
      </w:r>
      <w:r w:rsidR="007B2167" w:rsidRPr="004D5A79">
        <w:rPr>
          <w:rFonts w:ascii="Times New Roman" w:hAnsi="Times New Roman"/>
          <w:b/>
          <w:bCs/>
          <w:sz w:val="24"/>
          <w:szCs w:val="24"/>
        </w:rPr>
        <w:t xml:space="preserve"> </w:t>
      </w:r>
      <w:r w:rsidRPr="004D5A79">
        <w:rPr>
          <w:rFonts w:ascii="Times New Roman" w:hAnsi="Times New Roman"/>
          <w:b/>
          <w:bCs/>
          <w:sz w:val="24"/>
          <w:szCs w:val="24"/>
        </w:rPr>
        <w:t>of 2020</w:t>
      </w:r>
    </w:p>
    <w:p w14:paraId="55709D20"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4D5A79">
        <w:rPr>
          <w:rFonts w:ascii="Times New Roman" w:hAnsi="Times New Roman"/>
          <w:i/>
          <w:iCs/>
          <w:sz w:val="24"/>
          <w:szCs w:val="24"/>
        </w:rPr>
        <w:t>Human Rights (Parliamentary Scrutiny) Act 2011</w:t>
      </w:r>
      <w:r w:rsidRPr="004D5A79">
        <w:rPr>
          <w:rFonts w:ascii="Times New Roman" w:hAnsi="Times New Roman"/>
          <w:sz w:val="24"/>
          <w:szCs w:val="24"/>
        </w:rPr>
        <w:t xml:space="preserve"> (HRPS Act).</w:t>
      </w:r>
    </w:p>
    <w:p w14:paraId="5C48C431"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Overview of the Legislative Instruments</w:t>
      </w:r>
    </w:p>
    <w:p w14:paraId="086D76CE" w14:textId="507E7BF1" w:rsidR="00B75A8B" w:rsidRPr="004D5A79" w:rsidRDefault="00B75A8B" w:rsidP="00F2124C">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purpose of the instrument </w:t>
      </w:r>
      <w:r w:rsidR="00F2124C">
        <w:rPr>
          <w:rFonts w:ascii="Times New Roman" w:hAnsi="Times New Roman"/>
          <w:sz w:val="24"/>
          <w:szCs w:val="24"/>
        </w:rPr>
        <w:t xml:space="preserve">is </w:t>
      </w:r>
      <w:r w:rsidRPr="004D5A79">
        <w:rPr>
          <w:rFonts w:ascii="Times New Roman" w:hAnsi="Times New Roman"/>
          <w:sz w:val="24"/>
          <w:szCs w:val="24"/>
        </w:rPr>
        <w:t xml:space="preserve">to revoke </w:t>
      </w:r>
      <w:r w:rsidRPr="004D5A79">
        <w:rPr>
          <w:rFonts w:ascii="Times New Roman" w:hAnsi="Times New Roman"/>
          <w:i/>
          <w:sz w:val="24"/>
          <w:szCs w:val="24"/>
        </w:rPr>
        <w:t xml:space="preserve">Prudential Standard APS </w:t>
      </w:r>
      <w:r w:rsidR="004D5A79" w:rsidRPr="004D5A79">
        <w:rPr>
          <w:rFonts w:ascii="Times New Roman" w:hAnsi="Times New Roman"/>
          <w:i/>
          <w:sz w:val="24"/>
          <w:szCs w:val="24"/>
        </w:rPr>
        <w:t xml:space="preserve">220 Credit Quality </w:t>
      </w:r>
      <w:r w:rsidRPr="004D5A79">
        <w:rPr>
          <w:rFonts w:ascii="Times New Roman" w:hAnsi="Times New Roman"/>
          <w:sz w:val="24"/>
          <w:szCs w:val="24"/>
        </w:rPr>
        <w:t>determined by APRA in 201</w:t>
      </w:r>
      <w:r w:rsidR="004D5A79" w:rsidRPr="004D5A79">
        <w:rPr>
          <w:rFonts w:ascii="Times New Roman" w:hAnsi="Times New Roman"/>
          <w:sz w:val="24"/>
          <w:szCs w:val="24"/>
        </w:rPr>
        <w:t>4</w:t>
      </w:r>
      <w:r w:rsidRPr="004D5A79">
        <w:rPr>
          <w:rFonts w:ascii="Times New Roman" w:hAnsi="Times New Roman"/>
          <w:sz w:val="24"/>
          <w:szCs w:val="24"/>
        </w:rPr>
        <w:t>;</w:t>
      </w:r>
      <w:r w:rsidR="004D5A79" w:rsidRPr="004D5A79">
        <w:rPr>
          <w:rFonts w:ascii="Times New Roman" w:hAnsi="Times New Roman"/>
          <w:sz w:val="24"/>
          <w:szCs w:val="24"/>
        </w:rPr>
        <w:t xml:space="preserve"> </w:t>
      </w:r>
      <w:r w:rsidRPr="004D5A79">
        <w:rPr>
          <w:rFonts w:ascii="Times New Roman" w:hAnsi="Times New Roman"/>
          <w:sz w:val="24"/>
          <w:szCs w:val="24"/>
        </w:rPr>
        <w:t>and</w:t>
      </w:r>
      <w:r w:rsidR="004D5A79" w:rsidRPr="004D5A79">
        <w:rPr>
          <w:rFonts w:ascii="Times New Roman" w:hAnsi="Times New Roman"/>
          <w:sz w:val="24"/>
          <w:szCs w:val="24"/>
        </w:rPr>
        <w:t xml:space="preserve"> </w:t>
      </w:r>
      <w:r w:rsidRPr="004D5A79">
        <w:rPr>
          <w:rFonts w:ascii="Times New Roman" w:hAnsi="Times New Roman"/>
          <w:sz w:val="24"/>
          <w:szCs w:val="24"/>
        </w:rPr>
        <w:t xml:space="preserve">replace it with a new </w:t>
      </w:r>
      <w:r w:rsidRPr="004D5A79">
        <w:rPr>
          <w:rFonts w:ascii="Times New Roman" w:hAnsi="Times New Roman"/>
          <w:i/>
          <w:sz w:val="24"/>
          <w:szCs w:val="24"/>
        </w:rPr>
        <w:t xml:space="preserve">Prudential Standard APS </w:t>
      </w:r>
      <w:r w:rsidR="004D5A79" w:rsidRPr="004D5A79">
        <w:rPr>
          <w:rFonts w:ascii="Times New Roman" w:hAnsi="Times New Roman"/>
          <w:i/>
          <w:sz w:val="24"/>
          <w:szCs w:val="24"/>
        </w:rPr>
        <w:t>220 Credit Risk Management</w:t>
      </w:r>
      <w:r w:rsidRPr="004D5A79">
        <w:rPr>
          <w:rFonts w:ascii="Times New Roman" w:hAnsi="Times New Roman"/>
          <w:sz w:val="24"/>
          <w:szCs w:val="24"/>
        </w:rPr>
        <w:t>.</w:t>
      </w:r>
    </w:p>
    <w:p w14:paraId="6A7377BA" w14:textId="7482B04A" w:rsidR="00B75A8B" w:rsidRPr="004D5A79"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new APS </w:t>
      </w:r>
      <w:r w:rsidR="004D5A79" w:rsidRPr="004D5A79">
        <w:rPr>
          <w:rFonts w:ascii="Times New Roman" w:hAnsi="Times New Roman"/>
          <w:sz w:val="24"/>
          <w:szCs w:val="24"/>
        </w:rPr>
        <w:t>220</w:t>
      </w:r>
      <w:r w:rsidRPr="004D5A79">
        <w:rPr>
          <w:rFonts w:ascii="Times New Roman" w:hAnsi="Times New Roman"/>
          <w:sz w:val="24"/>
          <w:szCs w:val="24"/>
        </w:rPr>
        <w:t xml:space="preserve"> replaces the previous APS </w:t>
      </w:r>
      <w:r w:rsidR="004D5A79" w:rsidRPr="004D5A79">
        <w:rPr>
          <w:rFonts w:ascii="Times New Roman" w:hAnsi="Times New Roman"/>
          <w:sz w:val="24"/>
          <w:szCs w:val="24"/>
        </w:rPr>
        <w:t>220</w:t>
      </w:r>
      <w:r w:rsidRPr="004D5A79">
        <w:rPr>
          <w:rFonts w:ascii="Times New Roman" w:hAnsi="Times New Roman"/>
          <w:sz w:val="24"/>
          <w:szCs w:val="24"/>
        </w:rPr>
        <w:t xml:space="preserve"> to</w:t>
      </w:r>
      <w:r w:rsidR="00505CA3">
        <w:rPr>
          <w:rFonts w:ascii="Times New Roman" w:hAnsi="Times New Roman"/>
          <w:sz w:val="24"/>
          <w:szCs w:val="24"/>
        </w:rPr>
        <w:t>:</w:t>
      </w:r>
      <w:r w:rsidRPr="004D5A79">
        <w:rPr>
          <w:rFonts w:ascii="Times New Roman" w:hAnsi="Times New Roman"/>
          <w:sz w:val="24"/>
          <w:szCs w:val="24"/>
        </w:rPr>
        <w:t xml:space="preserve"> </w:t>
      </w:r>
      <w:r w:rsidR="004D5A79" w:rsidRPr="004D5A79">
        <w:rPr>
          <w:rFonts w:ascii="Times New Roman" w:hAnsi="Times New Roman"/>
          <w:sz w:val="24"/>
          <w:szCs w:val="24"/>
        </w:rPr>
        <w:t>include best practice credit risk management expectations, including prudent credit standards</w:t>
      </w:r>
      <w:r w:rsidR="00505CA3">
        <w:rPr>
          <w:rFonts w:ascii="Times New Roman" w:hAnsi="Times New Roman"/>
          <w:sz w:val="24"/>
          <w:szCs w:val="24"/>
        </w:rPr>
        <w:t>;</w:t>
      </w:r>
      <w:r w:rsidR="00F2124C">
        <w:rPr>
          <w:rFonts w:ascii="Times New Roman" w:hAnsi="Times New Roman"/>
          <w:sz w:val="24"/>
          <w:szCs w:val="24"/>
        </w:rPr>
        <w:t xml:space="preserve"> </w:t>
      </w:r>
      <w:r w:rsidR="00505CA3">
        <w:rPr>
          <w:rFonts w:ascii="Times New Roman" w:hAnsi="Times New Roman"/>
          <w:sz w:val="24"/>
          <w:szCs w:val="24"/>
        </w:rPr>
        <w:t xml:space="preserve">include </w:t>
      </w:r>
      <w:r w:rsidR="004D5A79" w:rsidRPr="004D5A79">
        <w:rPr>
          <w:rFonts w:ascii="Times New Roman" w:hAnsi="Times New Roman"/>
          <w:sz w:val="24"/>
          <w:szCs w:val="24"/>
        </w:rPr>
        <w:t>the Royal Commission recommendation relevant to APS 220 regarding the valuation of land; reflect concepts and terminology commensurate with the new accounting standard</w:t>
      </w:r>
      <w:r w:rsidR="00D104E9">
        <w:rPr>
          <w:rFonts w:ascii="Times New Roman" w:hAnsi="Times New Roman"/>
          <w:sz w:val="24"/>
          <w:szCs w:val="24"/>
        </w:rPr>
        <w:t xml:space="preserve"> AASB9</w:t>
      </w:r>
      <w:r w:rsidR="004D5A79" w:rsidRPr="004D5A79">
        <w:rPr>
          <w:rFonts w:ascii="Times New Roman" w:hAnsi="Times New Roman"/>
          <w:sz w:val="24"/>
          <w:szCs w:val="24"/>
        </w:rPr>
        <w:t>; and provide a consistent basis for international comparison of ADIs’ credit risk.</w:t>
      </w:r>
    </w:p>
    <w:p w14:paraId="6AC511EE" w14:textId="77777777" w:rsidR="00B75A8B" w:rsidRPr="004D5A79" w:rsidRDefault="00B75A8B" w:rsidP="004D5A79">
      <w:pPr>
        <w:keepNext/>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lastRenderedPageBreak/>
        <w:t>Human rights implications</w:t>
      </w:r>
    </w:p>
    <w:p w14:paraId="254DBEDD" w14:textId="43A63E1F" w:rsidR="00B75A8B" w:rsidRPr="004D5A79" w:rsidRDefault="00B75A8B" w:rsidP="004D5A79">
      <w:pPr>
        <w:keepNext/>
        <w:shd w:val="clear" w:color="auto" w:fill="FFFFFF"/>
        <w:spacing w:after="240" w:line="240" w:lineRule="auto"/>
        <w:jc w:val="both"/>
        <w:rPr>
          <w:rFonts w:ascii="Times New Roman" w:hAnsi="Times New Roman"/>
          <w:sz w:val="24"/>
          <w:szCs w:val="24"/>
        </w:rPr>
      </w:pPr>
      <w:r w:rsidRPr="004D5A79">
        <w:rPr>
          <w:rFonts w:ascii="Times New Roman" w:hAnsi="Times New Roman"/>
          <w:sz w:val="24"/>
          <w:szCs w:val="24"/>
        </w:rPr>
        <w:t xml:space="preserve">APRA has assessed the instrument and is of the view that </w:t>
      </w:r>
      <w:r w:rsidR="004D5A79" w:rsidRPr="004D5A79">
        <w:rPr>
          <w:rFonts w:ascii="Times New Roman" w:hAnsi="Times New Roman"/>
          <w:sz w:val="24"/>
          <w:szCs w:val="24"/>
        </w:rPr>
        <w:t xml:space="preserve">it </w:t>
      </w:r>
      <w:r w:rsidRPr="004D5A79">
        <w:rPr>
          <w:rFonts w:ascii="Times New Roman" w:hAnsi="Times New Roman"/>
          <w:sz w:val="24"/>
          <w:szCs w:val="24"/>
        </w:rPr>
        <w:t>do</w:t>
      </w:r>
      <w:r w:rsidR="004D5A79" w:rsidRPr="004D5A79">
        <w:rPr>
          <w:rFonts w:ascii="Times New Roman" w:hAnsi="Times New Roman"/>
          <w:sz w:val="24"/>
          <w:szCs w:val="24"/>
        </w:rPr>
        <w:t>es</w:t>
      </w:r>
      <w:r w:rsidRPr="004D5A79">
        <w:rPr>
          <w:rFonts w:ascii="Times New Roman" w:hAnsi="Times New Roman"/>
          <w:sz w:val="24"/>
          <w:szCs w:val="24"/>
        </w:rPr>
        <w:t xml:space="preserve"> not engage any of the applicable rights or freedoms recognised or declared in the international instruments listed in section 3 of the HRPS Act. Accordingly, in APRA’s assessment, the instrument </w:t>
      </w:r>
      <w:r w:rsidR="004D5A79" w:rsidRPr="004D5A79">
        <w:rPr>
          <w:rFonts w:ascii="Times New Roman" w:hAnsi="Times New Roman"/>
          <w:sz w:val="24"/>
          <w:szCs w:val="24"/>
        </w:rPr>
        <w:t xml:space="preserve">is </w:t>
      </w:r>
      <w:r w:rsidRPr="004D5A79">
        <w:rPr>
          <w:rFonts w:ascii="Times New Roman" w:hAnsi="Times New Roman"/>
          <w:sz w:val="24"/>
          <w:szCs w:val="24"/>
        </w:rPr>
        <w:t>compatible with human rights.</w:t>
      </w:r>
    </w:p>
    <w:p w14:paraId="329FF13D" w14:textId="77777777" w:rsidR="00B75A8B" w:rsidRPr="004D5A79" w:rsidRDefault="00B75A8B" w:rsidP="004D5A79">
      <w:pPr>
        <w:shd w:val="clear" w:color="auto" w:fill="FFFFFF"/>
        <w:spacing w:after="240" w:line="240" w:lineRule="auto"/>
        <w:jc w:val="both"/>
        <w:rPr>
          <w:rFonts w:ascii="Times New Roman" w:hAnsi="Times New Roman"/>
          <w:sz w:val="24"/>
          <w:szCs w:val="24"/>
          <w:lang w:val="en-US"/>
        </w:rPr>
      </w:pPr>
      <w:r w:rsidRPr="004D5A79">
        <w:rPr>
          <w:rFonts w:ascii="Times New Roman" w:hAnsi="Times New Roman"/>
          <w:b/>
          <w:bCs/>
          <w:sz w:val="24"/>
          <w:szCs w:val="24"/>
        </w:rPr>
        <w:t>Conclusion</w:t>
      </w:r>
    </w:p>
    <w:p w14:paraId="3CF6798B" w14:textId="54B1EE82" w:rsidR="00B75A8B" w:rsidRPr="004D5A79" w:rsidRDefault="00B75A8B" w:rsidP="004D5A79">
      <w:pPr>
        <w:spacing w:after="240" w:line="240" w:lineRule="auto"/>
        <w:jc w:val="both"/>
        <w:rPr>
          <w:rFonts w:ascii="Times New Roman" w:hAnsi="Times New Roman"/>
          <w:sz w:val="24"/>
          <w:szCs w:val="24"/>
        </w:rPr>
      </w:pPr>
      <w:r w:rsidRPr="004D5A79">
        <w:rPr>
          <w:rFonts w:ascii="Times New Roman" w:hAnsi="Times New Roman"/>
          <w:sz w:val="24"/>
          <w:szCs w:val="24"/>
        </w:rPr>
        <w:t xml:space="preserve">The </w:t>
      </w:r>
      <w:r w:rsidR="004D5A79" w:rsidRPr="004D5A79">
        <w:rPr>
          <w:rFonts w:ascii="Times New Roman" w:hAnsi="Times New Roman"/>
          <w:sz w:val="24"/>
          <w:szCs w:val="24"/>
        </w:rPr>
        <w:t xml:space="preserve">instrument is </w:t>
      </w:r>
      <w:r w:rsidRPr="004D5A79">
        <w:rPr>
          <w:rFonts w:ascii="Times New Roman" w:hAnsi="Times New Roman"/>
          <w:sz w:val="24"/>
          <w:szCs w:val="24"/>
        </w:rPr>
        <w:t xml:space="preserve">compatible with human rights as </w:t>
      </w:r>
      <w:r w:rsidR="00505CA3">
        <w:rPr>
          <w:rFonts w:ascii="Times New Roman" w:hAnsi="Times New Roman"/>
          <w:sz w:val="24"/>
          <w:szCs w:val="24"/>
        </w:rPr>
        <w:t>it</w:t>
      </w:r>
      <w:r w:rsidRPr="004D5A79">
        <w:rPr>
          <w:rFonts w:ascii="Times New Roman" w:hAnsi="Times New Roman"/>
          <w:sz w:val="24"/>
          <w:szCs w:val="24"/>
        </w:rPr>
        <w:t xml:space="preserve"> do</w:t>
      </w:r>
      <w:r w:rsidR="00505CA3">
        <w:rPr>
          <w:rFonts w:ascii="Times New Roman" w:hAnsi="Times New Roman"/>
          <w:sz w:val="24"/>
          <w:szCs w:val="24"/>
        </w:rPr>
        <w:t>es</w:t>
      </w:r>
      <w:r w:rsidRPr="004D5A79">
        <w:rPr>
          <w:rFonts w:ascii="Times New Roman" w:hAnsi="Times New Roman"/>
          <w:sz w:val="24"/>
          <w:szCs w:val="24"/>
        </w:rPr>
        <w:t xml:space="preserve"> not raise any human rights issues.</w:t>
      </w:r>
    </w:p>
    <w:p w14:paraId="56A18ECE" w14:textId="77777777" w:rsidR="00B75A8B" w:rsidRPr="00FA5345" w:rsidRDefault="00B75A8B" w:rsidP="00B75A8B">
      <w:pPr>
        <w:spacing w:after="240"/>
      </w:pPr>
    </w:p>
    <w:p w14:paraId="752CCA14" w14:textId="29EAE745" w:rsidR="00B75A8B" w:rsidRDefault="00B75A8B">
      <w:pPr>
        <w:spacing w:after="120" w:line="288" w:lineRule="auto"/>
        <w:rPr>
          <w:rFonts w:ascii="Times New Roman" w:eastAsia="Times New Roman" w:hAnsi="Times New Roman" w:cs="Times New Roman"/>
          <w:sz w:val="24"/>
          <w:szCs w:val="24"/>
        </w:rPr>
      </w:pPr>
    </w:p>
    <w:sectPr w:rsidR="00B75A8B" w:rsidSect="00C62913">
      <w:headerReference w:type="default" r:id="rId15"/>
      <w:head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38486" w14:textId="77777777" w:rsidR="006E1272" w:rsidRDefault="006E1272" w:rsidP="007A463E">
      <w:pPr>
        <w:spacing w:after="0" w:line="240" w:lineRule="auto"/>
      </w:pPr>
      <w:r>
        <w:separator/>
      </w:r>
    </w:p>
    <w:p w14:paraId="26D38487" w14:textId="77777777" w:rsidR="006E1272" w:rsidRDefault="006E1272"/>
  </w:endnote>
  <w:endnote w:type="continuationSeparator" w:id="0">
    <w:p w14:paraId="26D38488" w14:textId="77777777" w:rsidR="006E1272" w:rsidRDefault="006E1272" w:rsidP="007A463E">
      <w:pPr>
        <w:spacing w:after="0" w:line="240" w:lineRule="auto"/>
      </w:pPr>
      <w:r>
        <w:continuationSeparator/>
      </w:r>
    </w:p>
    <w:p w14:paraId="26D38489" w14:textId="77777777" w:rsidR="006E1272" w:rsidRDefault="006E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amp;quo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38482" w14:textId="77777777" w:rsidR="006E1272" w:rsidRDefault="006E1272" w:rsidP="007A463E">
      <w:pPr>
        <w:spacing w:after="0" w:line="240" w:lineRule="auto"/>
      </w:pPr>
      <w:r>
        <w:separator/>
      </w:r>
    </w:p>
    <w:p w14:paraId="26D38483" w14:textId="77777777" w:rsidR="006E1272" w:rsidRDefault="006E1272"/>
  </w:footnote>
  <w:footnote w:type="continuationSeparator" w:id="0">
    <w:p w14:paraId="26D38484" w14:textId="77777777" w:rsidR="006E1272" w:rsidRDefault="006E1272" w:rsidP="007A463E">
      <w:pPr>
        <w:spacing w:after="0" w:line="240" w:lineRule="auto"/>
      </w:pPr>
      <w:r>
        <w:continuationSeparator/>
      </w:r>
    </w:p>
    <w:p w14:paraId="26D38485" w14:textId="77777777" w:rsidR="006E1272" w:rsidRDefault="006E1272"/>
  </w:footnote>
  <w:footnote w:id="1">
    <w:p w14:paraId="606026AF" w14:textId="761E80A0" w:rsidR="00E71019" w:rsidRPr="00AD0DF4" w:rsidRDefault="00E71019" w:rsidP="00E71019">
      <w:pPr>
        <w:pStyle w:val="FootnoteText"/>
        <w:rPr>
          <w:rFonts w:ascii="Times New Roman" w:hAnsi="Times New Roman" w:cs="Times New Roman"/>
          <w:sz w:val="20"/>
          <w:szCs w:val="20"/>
        </w:rPr>
      </w:pPr>
      <w:r w:rsidRPr="00AD0DF4">
        <w:rPr>
          <w:rStyle w:val="FootnoteReference"/>
          <w:rFonts w:ascii="Times New Roman" w:hAnsi="Times New Roman" w:cs="Times New Roman"/>
          <w:sz w:val="20"/>
          <w:szCs w:val="20"/>
        </w:rPr>
        <w:footnoteRef/>
      </w:r>
      <w:r w:rsidRPr="00AD0DF4">
        <w:rPr>
          <w:rFonts w:ascii="Times New Roman" w:hAnsi="Times New Roman" w:cs="Times New Roman"/>
          <w:sz w:val="20"/>
          <w:szCs w:val="20"/>
        </w:rPr>
        <w:t xml:space="preserve"> </w:t>
      </w:r>
      <w:r w:rsidRPr="00AD0DF4">
        <w:rPr>
          <w:rStyle w:val="file3"/>
          <w:rFonts w:ascii="Times New Roman" w:hAnsi="Times New Roman" w:cs="Times New Roman"/>
          <w:sz w:val="20"/>
          <w:szCs w:val="20"/>
          <w:specVanish w:val="0"/>
        </w:rPr>
        <w:t xml:space="preserve">APRA Letter: </w:t>
      </w:r>
      <w:r w:rsidRPr="00AD0DF4">
        <w:rPr>
          <w:rStyle w:val="file3"/>
          <w:rFonts w:ascii="Times New Roman" w:hAnsi="Times New Roman" w:cs="Times New Roman"/>
          <w:i/>
          <w:sz w:val="20"/>
          <w:szCs w:val="20"/>
          <w:specVanish w:val="0"/>
        </w:rPr>
        <w:t>Reinforcing sound residential mortgage lending practices, 9 December 2014</w:t>
      </w:r>
      <w:r w:rsidRPr="00AD0DF4">
        <w:rPr>
          <w:rStyle w:val="file3"/>
          <w:rFonts w:ascii="Times New Roman" w:hAnsi="Times New Roman" w:cs="Times New Roman"/>
          <w:sz w:val="20"/>
          <w:szCs w:val="20"/>
          <w:specVanish w:val="0"/>
        </w:rPr>
        <w:t xml:space="preserve">; APRA Letter: </w:t>
      </w:r>
      <w:r w:rsidRPr="00AD0DF4">
        <w:rPr>
          <w:rStyle w:val="file3"/>
          <w:rFonts w:ascii="Times New Roman" w:hAnsi="Times New Roman" w:cs="Times New Roman"/>
          <w:i/>
          <w:sz w:val="20"/>
          <w:szCs w:val="20"/>
          <w:specVanish w:val="0"/>
        </w:rPr>
        <w:t>Further measures to reinforce sound residential mortgage lending practices, 31 March 2017</w:t>
      </w:r>
      <w:r w:rsidRPr="00AD0DF4">
        <w:rPr>
          <w:rStyle w:val="file3"/>
          <w:rFonts w:ascii="Times New Roman" w:hAnsi="Times New Roman" w:cs="Times New Roman"/>
          <w:sz w:val="20"/>
          <w:szCs w:val="20"/>
          <w:specVanish w:val="0"/>
        </w:rPr>
        <w:t xml:space="preserve">; and </w:t>
      </w:r>
      <w:r w:rsidRPr="00AD0DF4">
        <w:rPr>
          <w:rFonts w:ascii="Times New Roman" w:hAnsi="Times New Roman" w:cs="Times New Roman"/>
          <w:sz w:val="20"/>
          <w:szCs w:val="20"/>
        </w:rPr>
        <w:t xml:space="preserve">APRA </w:t>
      </w:r>
      <w:hyperlink r:id="rId1" w:history="1">
        <w:r w:rsidRPr="00AD0DF4">
          <w:rPr>
            <w:rStyle w:val="file3"/>
            <w:rFonts w:ascii="Times New Roman" w:hAnsi="Times New Roman" w:cs="Times New Roman"/>
            <w:bCs/>
            <w:i/>
            <w:sz w:val="20"/>
            <w:szCs w:val="20"/>
            <w:specVanish w:val="0"/>
          </w:rPr>
          <w:t>Letter: Embedding sound residential mortgage lending practices</w:t>
        </w:r>
      </w:hyperlink>
      <w:r w:rsidRPr="00AD0DF4">
        <w:rPr>
          <w:rStyle w:val="file3"/>
          <w:rFonts w:ascii="Times New Roman" w:hAnsi="Times New Roman" w:cs="Times New Roman"/>
          <w:i/>
          <w:sz w:val="20"/>
          <w:szCs w:val="20"/>
          <w:specVanish w:val="0"/>
        </w:rPr>
        <w:t>, 26 April 2018</w:t>
      </w:r>
      <w:r w:rsidRPr="00AD0DF4">
        <w:rPr>
          <w:rStyle w:val="file3"/>
          <w:rFonts w:ascii="Times New Roman" w:hAnsi="Times New Roman" w:cs="Times New Roman"/>
          <w:sz w:val="20"/>
          <w:szCs w:val="20"/>
          <w:specVanish w:val="0"/>
        </w:rPr>
        <w:t xml:space="preserve">. </w:t>
      </w:r>
      <w:r w:rsidR="00AD0DF4" w:rsidRPr="00AD0DF4">
        <w:rPr>
          <w:rStyle w:val="file3"/>
          <w:rFonts w:ascii="Times New Roman" w:hAnsi="Times New Roman" w:cs="Times New Roman"/>
          <w:sz w:val="20"/>
          <w:szCs w:val="20"/>
          <w:specVanish w:val="0"/>
        </w:rPr>
        <w:t xml:space="preserve">APRA letters are available on APRA’s website. </w:t>
      </w:r>
    </w:p>
  </w:footnote>
  <w:footnote w:id="2">
    <w:p w14:paraId="63B8E528" w14:textId="77777777" w:rsidR="00E71019" w:rsidRPr="00AD0DF4" w:rsidRDefault="00E71019" w:rsidP="00E71019">
      <w:pPr>
        <w:pStyle w:val="FootnoteText"/>
        <w:rPr>
          <w:rFonts w:ascii="Times New Roman" w:hAnsi="Times New Roman" w:cs="Times New Roman"/>
          <w:sz w:val="20"/>
          <w:szCs w:val="20"/>
        </w:rPr>
      </w:pPr>
      <w:r w:rsidRPr="00AD0DF4">
        <w:rPr>
          <w:rStyle w:val="FootnoteReference"/>
          <w:rFonts w:ascii="Times New Roman" w:hAnsi="Times New Roman" w:cs="Times New Roman"/>
          <w:sz w:val="20"/>
          <w:szCs w:val="20"/>
        </w:rPr>
        <w:footnoteRef/>
      </w:r>
      <w:r w:rsidRPr="00AD0DF4">
        <w:rPr>
          <w:rFonts w:ascii="Times New Roman" w:hAnsi="Times New Roman" w:cs="Times New Roman"/>
          <w:sz w:val="20"/>
          <w:szCs w:val="20"/>
        </w:rPr>
        <w:t xml:space="preserve"> APRA Letter: </w:t>
      </w:r>
      <w:r w:rsidRPr="00AD0DF4">
        <w:rPr>
          <w:rFonts w:ascii="Times New Roman" w:hAnsi="Times New Roman" w:cs="Times New Roman"/>
          <w:i/>
          <w:sz w:val="20"/>
          <w:szCs w:val="20"/>
        </w:rPr>
        <w:t>Commercial property lending - thematic review considerations, 7 March 2017</w:t>
      </w:r>
      <w:r w:rsidRPr="00AD0DF4">
        <w:rPr>
          <w:rFonts w:ascii="Times New Roman" w:hAnsi="Times New Roman" w:cs="Times New Roman"/>
          <w:sz w:val="20"/>
          <w:szCs w:val="20"/>
        </w:rPr>
        <w:t>.</w:t>
      </w:r>
    </w:p>
  </w:footnote>
  <w:footnote w:id="3">
    <w:p w14:paraId="41FC3FA8" w14:textId="71F0A606" w:rsidR="00AD0DF4" w:rsidRPr="00AD0DF4" w:rsidRDefault="00AD0DF4">
      <w:pPr>
        <w:pStyle w:val="FootnoteText"/>
        <w:rPr>
          <w:rFonts w:ascii="Times New Roman" w:hAnsi="Times New Roman" w:cs="Times New Roman"/>
        </w:rPr>
      </w:pPr>
      <w:r w:rsidRPr="00AD0DF4">
        <w:rPr>
          <w:rStyle w:val="FootnoteReference"/>
          <w:rFonts w:ascii="Times New Roman" w:hAnsi="Times New Roman" w:cs="Times New Roman"/>
          <w:sz w:val="20"/>
          <w:szCs w:val="20"/>
        </w:rPr>
        <w:footnoteRef/>
      </w:r>
      <w:r w:rsidRPr="00AD0DF4">
        <w:rPr>
          <w:rFonts w:ascii="Times New Roman" w:hAnsi="Times New Roman" w:cs="Times New Roman"/>
          <w:sz w:val="20"/>
          <w:szCs w:val="20"/>
        </w:rPr>
        <w:t xml:space="preserve"> </w:t>
      </w:r>
      <w:r w:rsidRPr="00AD0DF4">
        <w:rPr>
          <w:rFonts w:ascii="Times New Roman" w:hAnsi="Times New Roman" w:cs="Times New Roman"/>
          <w:i/>
          <w:sz w:val="20"/>
          <w:szCs w:val="20"/>
        </w:rPr>
        <w:t>Prudential Practice Guide APG 223 Residential Mortgage Lending</w:t>
      </w:r>
      <w:r w:rsidRPr="00AD0DF4">
        <w:rPr>
          <w:rFonts w:ascii="Times New Roman" w:hAnsi="Times New Roman" w:cs="Times New Roman"/>
          <w:sz w:val="20"/>
          <w:szCs w:val="20"/>
        </w:rPr>
        <w:t xml:space="preserve"> (APG 223) is available on APRA’s website.</w:t>
      </w:r>
    </w:p>
  </w:footnote>
  <w:footnote w:id="4">
    <w:p w14:paraId="473C2AB7" w14:textId="6239FC2B" w:rsidR="00E71019" w:rsidRPr="00086A16" w:rsidRDefault="00E71019"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Recommendation 1.12 - Valuations of land, </w:t>
      </w:r>
      <w:r w:rsidRPr="00095D01">
        <w:rPr>
          <w:rFonts w:ascii="Times New Roman" w:hAnsi="Times New Roman" w:cs="Times New Roman"/>
          <w:i/>
          <w:sz w:val="20"/>
          <w:szCs w:val="20"/>
        </w:rPr>
        <w:t>The Final Report of the Royal Commission into Misconduct in the Banking, Superannuation and Financial Services Industry</w:t>
      </w:r>
      <w:r w:rsidR="00E17281">
        <w:rPr>
          <w:rFonts w:ascii="Times New Roman" w:hAnsi="Times New Roman" w:cs="Times New Roman"/>
          <w:i/>
          <w:sz w:val="20"/>
          <w:szCs w:val="20"/>
        </w:rPr>
        <w:t>.</w:t>
      </w:r>
      <w:r w:rsidR="00086A16">
        <w:rPr>
          <w:rFonts w:ascii="Times New Roman" w:hAnsi="Times New Roman" w:cs="Times New Roman"/>
          <w:i/>
          <w:sz w:val="20"/>
          <w:szCs w:val="20"/>
        </w:rPr>
        <w:t xml:space="preserve"> </w:t>
      </w:r>
      <w:r w:rsidR="00086A16" w:rsidRPr="00086A16">
        <w:rPr>
          <w:rFonts w:ascii="Times New Roman" w:hAnsi="Times New Roman" w:cs="Times New Roman"/>
          <w:sz w:val="20"/>
          <w:szCs w:val="20"/>
        </w:rPr>
        <w:t xml:space="preserve">The Final Report is available on the Treasury website.  </w:t>
      </w:r>
    </w:p>
  </w:footnote>
  <w:footnote w:id="5">
    <w:p w14:paraId="6A3F79A2" w14:textId="42AA26EC" w:rsidR="00E71019" w:rsidRPr="00095D01" w:rsidRDefault="00E71019"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w:t>
      </w:r>
      <w:r w:rsidRPr="00F2124C">
        <w:rPr>
          <w:rFonts w:ascii="Times New Roman" w:hAnsi="Times New Roman" w:cs="Times New Roman"/>
          <w:i/>
          <w:sz w:val="20"/>
          <w:szCs w:val="20"/>
        </w:rPr>
        <w:t>Basel Committee guidance on the prudential treatment of problem assets - definitions of non-performing exposures and forbearance, April 2017</w:t>
      </w:r>
      <w:r w:rsidR="00E17281">
        <w:rPr>
          <w:rFonts w:ascii="Times New Roman" w:hAnsi="Times New Roman" w:cs="Times New Roman"/>
          <w:sz w:val="20"/>
          <w:szCs w:val="20"/>
        </w:rPr>
        <w:t>.</w:t>
      </w:r>
      <w:r w:rsidR="00086A16" w:rsidRPr="00086A16">
        <w:t xml:space="preserve"> </w:t>
      </w:r>
      <w:r w:rsidR="00086A16" w:rsidRPr="00086A16">
        <w:rPr>
          <w:rFonts w:ascii="Times New Roman" w:hAnsi="Times New Roman" w:cs="Times New Roman"/>
          <w:sz w:val="20"/>
          <w:szCs w:val="20"/>
        </w:rPr>
        <w:t>Basel Committee guidance</w:t>
      </w:r>
      <w:r w:rsidR="00086A16">
        <w:rPr>
          <w:rFonts w:ascii="Times New Roman" w:hAnsi="Times New Roman" w:cs="Times New Roman"/>
          <w:sz w:val="20"/>
          <w:szCs w:val="20"/>
        </w:rPr>
        <w:t xml:space="preserve"> is available on the </w:t>
      </w:r>
      <w:r w:rsidR="00086A16" w:rsidRPr="00086A16">
        <w:rPr>
          <w:rFonts w:ascii="Times New Roman" w:hAnsi="Times New Roman" w:cs="Times New Roman"/>
          <w:sz w:val="20"/>
          <w:szCs w:val="20"/>
        </w:rPr>
        <w:t>Bank for International Settlements</w:t>
      </w:r>
      <w:r w:rsidR="00086A16">
        <w:rPr>
          <w:rFonts w:ascii="Times New Roman" w:hAnsi="Times New Roman" w:cs="Times New Roman"/>
          <w:sz w:val="20"/>
          <w:szCs w:val="20"/>
        </w:rPr>
        <w:t xml:space="preserve"> website.</w:t>
      </w:r>
    </w:p>
  </w:footnote>
  <w:footnote w:id="6">
    <w:p w14:paraId="202A1CD0" w14:textId="697E50D4" w:rsidR="00E71019" w:rsidRPr="00095D01" w:rsidRDefault="00E71019" w:rsidP="00E71019">
      <w:pPr>
        <w:pStyle w:val="FootnoteText"/>
        <w:rPr>
          <w:rFonts w:ascii="Times New Roman" w:hAnsi="Times New Roman" w:cs="Times New Roman"/>
          <w:sz w:val="20"/>
          <w:szCs w:val="20"/>
        </w:rPr>
      </w:pPr>
      <w:r w:rsidRPr="00095D01">
        <w:rPr>
          <w:rStyle w:val="FootnoteReference"/>
          <w:rFonts w:ascii="Times New Roman" w:hAnsi="Times New Roman" w:cs="Times New Roman"/>
          <w:sz w:val="20"/>
          <w:szCs w:val="20"/>
        </w:rPr>
        <w:footnoteRef/>
      </w:r>
      <w:r w:rsidRPr="00095D01">
        <w:rPr>
          <w:rFonts w:ascii="Times New Roman" w:hAnsi="Times New Roman" w:cs="Times New Roman"/>
          <w:sz w:val="20"/>
          <w:szCs w:val="20"/>
        </w:rPr>
        <w:t xml:space="preserve"> AASB 9 applies for reporting periods beginning on or after 1 January 2018 and replaced </w:t>
      </w:r>
      <w:r w:rsidRPr="00F26790">
        <w:rPr>
          <w:rFonts w:ascii="Times New Roman" w:hAnsi="Times New Roman" w:cs="Times New Roman"/>
          <w:i/>
          <w:sz w:val="20"/>
          <w:szCs w:val="20"/>
        </w:rPr>
        <w:t>AASB 139</w:t>
      </w:r>
      <w:r w:rsidRPr="00095D01">
        <w:rPr>
          <w:rFonts w:ascii="Times New Roman" w:hAnsi="Times New Roman" w:cs="Times New Roman"/>
          <w:sz w:val="20"/>
          <w:szCs w:val="20"/>
        </w:rPr>
        <w:t xml:space="preserve"> </w:t>
      </w:r>
      <w:r w:rsidRPr="00095D01">
        <w:rPr>
          <w:rFonts w:ascii="Times New Roman" w:hAnsi="Times New Roman" w:cs="Times New Roman"/>
          <w:i/>
          <w:sz w:val="20"/>
          <w:szCs w:val="20"/>
        </w:rPr>
        <w:t>Financial Instruments: Recognition and Measurement</w:t>
      </w:r>
      <w:r w:rsidRPr="00095D01">
        <w:rPr>
          <w:rFonts w:ascii="Times New Roman" w:hAnsi="Times New Roman" w:cs="Times New Roman"/>
          <w:sz w:val="20"/>
          <w:szCs w:val="20"/>
        </w:rPr>
        <w:t xml:space="preserve"> (AASB 139).</w:t>
      </w:r>
    </w:p>
  </w:footnote>
  <w:footnote w:id="7">
    <w:p w14:paraId="008B8D92" w14:textId="77777777" w:rsidR="0053596A" w:rsidRDefault="00A94F7C" w:rsidP="00F26790">
      <w:pPr>
        <w:pStyle w:val="FootnoteText"/>
        <w:rPr>
          <w:rFonts w:ascii="&amp;quot" w:hAnsi="&amp;quot"/>
          <w:color w:val="000000"/>
          <w:sz w:val="20"/>
          <w:szCs w:val="20"/>
        </w:rPr>
      </w:pPr>
      <w:r w:rsidRPr="00F26790">
        <w:rPr>
          <w:rStyle w:val="FootnoteReference"/>
          <w:rFonts w:ascii="Times New Roman" w:hAnsi="Times New Roman" w:cs="Times New Roman"/>
          <w:sz w:val="20"/>
          <w:szCs w:val="20"/>
        </w:rPr>
        <w:footnoteRef/>
      </w:r>
      <w:r w:rsidRPr="00F26790">
        <w:rPr>
          <w:rFonts w:ascii="Times New Roman" w:hAnsi="Times New Roman" w:cs="Times New Roman"/>
          <w:sz w:val="20"/>
          <w:szCs w:val="20"/>
        </w:rPr>
        <w:t xml:space="preserve"> </w:t>
      </w:r>
      <w:r w:rsidR="0053596A" w:rsidRPr="0053596A">
        <w:rPr>
          <w:rFonts w:ascii="Times New Roman" w:hAnsi="Times New Roman" w:cs="Times New Roman"/>
          <w:sz w:val="20"/>
          <w:szCs w:val="20"/>
        </w:rPr>
        <w:t xml:space="preserve">Subsection 9A(4) of the Act specifically provides that APRA does not need to consult where APRA is satisfied that doing so could result in a </w:t>
      </w:r>
      <w:r w:rsidR="0053596A">
        <w:rPr>
          <w:rFonts w:ascii="Times New Roman" w:hAnsi="Times New Roman" w:cs="Times New Roman"/>
          <w:sz w:val="20"/>
          <w:szCs w:val="20"/>
        </w:rPr>
        <w:t>delay</w:t>
      </w:r>
      <w:r w:rsidR="0053596A" w:rsidRPr="0053596A">
        <w:rPr>
          <w:rFonts w:ascii="Times New Roman" w:hAnsi="Times New Roman" w:cs="Times New Roman"/>
          <w:sz w:val="20"/>
          <w:szCs w:val="20"/>
        </w:rPr>
        <w:t xml:space="preserve"> </w:t>
      </w:r>
      <w:r w:rsidR="0053596A">
        <w:rPr>
          <w:rFonts w:ascii="Times New Roman" w:hAnsi="Times New Roman" w:cs="Times New Roman"/>
          <w:sz w:val="20"/>
          <w:szCs w:val="20"/>
        </w:rPr>
        <w:t>in revocation that would be:</w:t>
      </w:r>
      <w:r w:rsidR="0053596A">
        <w:rPr>
          <w:rFonts w:ascii="&amp;quot" w:hAnsi="&amp;quot"/>
          <w:color w:val="000000"/>
          <w:sz w:val="20"/>
          <w:szCs w:val="20"/>
        </w:rPr>
        <w:t xml:space="preserve"> </w:t>
      </w:r>
    </w:p>
    <w:p w14:paraId="05F4D879" w14:textId="77777777" w:rsidR="0053596A" w:rsidRDefault="0053596A" w:rsidP="00F26790">
      <w:pPr>
        <w:pStyle w:val="FootnoteText"/>
        <w:numPr>
          <w:ilvl w:val="0"/>
          <w:numId w:val="47"/>
        </w:numPr>
        <w:rPr>
          <w:rFonts w:ascii="&amp;quot" w:hAnsi="&amp;quot"/>
          <w:color w:val="000000"/>
          <w:sz w:val="20"/>
          <w:szCs w:val="20"/>
        </w:rPr>
      </w:pPr>
      <w:r>
        <w:rPr>
          <w:rFonts w:ascii="&amp;quot" w:hAnsi="&amp;quot"/>
          <w:color w:val="000000"/>
          <w:sz w:val="20"/>
          <w:szCs w:val="20"/>
        </w:rPr>
        <w:t xml:space="preserve">contrary to the national interest; or </w:t>
      </w:r>
    </w:p>
    <w:p w14:paraId="78A49EB0" w14:textId="5622D607" w:rsidR="0053596A" w:rsidRPr="00F26790" w:rsidRDefault="0053596A" w:rsidP="00F26790">
      <w:pPr>
        <w:pStyle w:val="FootnoteText"/>
        <w:numPr>
          <w:ilvl w:val="0"/>
          <w:numId w:val="47"/>
        </w:numPr>
        <w:rPr>
          <w:rFonts w:ascii="&amp;quot" w:hAnsi="&amp;quot"/>
          <w:color w:val="000000"/>
          <w:sz w:val="20"/>
          <w:szCs w:val="20"/>
        </w:rPr>
      </w:pPr>
      <w:r w:rsidRPr="00F26790">
        <w:rPr>
          <w:rFonts w:ascii="&amp;quot" w:hAnsi="&amp;quot"/>
          <w:color w:val="000000"/>
          <w:sz w:val="20"/>
          <w:szCs w:val="20"/>
        </w:rPr>
        <w:t>contrary to the interests of depositors with the ADI.</w:t>
      </w:r>
    </w:p>
  </w:footnote>
  <w:footnote w:id="8">
    <w:p w14:paraId="39C36B52" w14:textId="2DEFCA6E" w:rsidR="0021219A" w:rsidRPr="004D02C5" w:rsidRDefault="0021219A">
      <w:pPr>
        <w:pStyle w:val="FootnoteText"/>
        <w:rPr>
          <w:rFonts w:ascii="Times New Roman" w:hAnsi="Times New Roman" w:cs="Times New Roman"/>
          <w:sz w:val="20"/>
          <w:szCs w:val="20"/>
        </w:rPr>
      </w:pPr>
      <w:r w:rsidRPr="004D02C5">
        <w:rPr>
          <w:rStyle w:val="FootnoteReference"/>
          <w:rFonts w:ascii="Times New Roman" w:hAnsi="Times New Roman" w:cs="Times New Roman"/>
          <w:sz w:val="20"/>
          <w:szCs w:val="20"/>
        </w:rPr>
        <w:footnoteRef/>
      </w:r>
      <w:r w:rsidRPr="004D02C5">
        <w:rPr>
          <w:rFonts w:ascii="Times New Roman" w:hAnsi="Times New Roman" w:cs="Times New Roman"/>
          <w:sz w:val="20"/>
          <w:szCs w:val="20"/>
        </w:rPr>
        <w:t xml:space="preserve"> APRA Discussion Paper </w:t>
      </w:r>
      <w:r w:rsidRPr="004D02C5">
        <w:rPr>
          <w:rFonts w:ascii="Times New Roman" w:hAnsi="Times New Roman" w:cs="Times New Roman"/>
          <w:i/>
          <w:sz w:val="20"/>
          <w:szCs w:val="20"/>
        </w:rPr>
        <w:t>APS 220 Credit Risk Management, March 2019</w:t>
      </w:r>
      <w:r w:rsidR="007514F9" w:rsidRPr="007514F9">
        <w:rPr>
          <w:rFonts w:ascii="Times New Roman" w:hAnsi="Times New Roman" w:cs="Times New Roman"/>
          <w:sz w:val="20"/>
          <w:szCs w:val="20"/>
        </w:rPr>
        <w:t xml:space="preserve"> </w:t>
      </w:r>
      <w:r w:rsidR="007514F9" w:rsidRPr="00AD0DF4">
        <w:rPr>
          <w:rFonts w:ascii="Times New Roman" w:hAnsi="Times New Roman" w:cs="Times New Roman"/>
          <w:sz w:val="20"/>
          <w:szCs w:val="20"/>
        </w:rPr>
        <w:t>is available on APRA’s website.</w:t>
      </w:r>
    </w:p>
  </w:footnote>
  <w:footnote w:id="9">
    <w:p w14:paraId="3695384F" w14:textId="13E4E470" w:rsidR="00B50B07" w:rsidRPr="00AD0DF4" w:rsidRDefault="00E17281" w:rsidP="00B50B07">
      <w:pPr>
        <w:pStyle w:val="FootnoteText"/>
        <w:rPr>
          <w:rFonts w:ascii="Times New Roman" w:hAnsi="Times New Roman" w:cs="Times New Roman"/>
        </w:rPr>
      </w:pPr>
      <w:r w:rsidRPr="00E17281">
        <w:rPr>
          <w:rStyle w:val="FootnoteReference"/>
          <w:rFonts w:ascii="Times New Roman" w:hAnsi="Times New Roman" w:cs="Times New Roman"/>
          <w:sz w:val="20"/>
          <w:szCs w:val="20"/>
        </w:rPr>
        <w:footnoteRef/>
      </w:r>
      <w:r w:rsidRPr="00E17281">
        <w:rPr>
          <w:rFonts w:ascii="Times New Roman" w:hAnsi="Times New Roman" w:cs="Times New Roman"/>
          <w:sz w:val="20"/>
          <w:szCs w:val="20"/>
        </w:rPr>
        <w:t xml:space="preserve"> APRA Response to Submissions Paper </w:t>
      </w:r>
      <w:r w:rsidRPr="00672456">
        <w:rPr>
          <w:rFonts w:ascii="Times New Roman" w:hAnsi="Times New Roman" w:cs="Times New Roman"/>
          <w:i/>
          <w:sz w:val="20"/>
          <w:szCs w:val="20"/>
        </w:rPr>
        <w:t>APS 220 Credit Risk Management, December 2019</w:t>
      </w:r>
      <w:r w:rsidR="00B50B07" w:rsidRPr="00B50B07">
        <w:rPr>
          <w:rFonts w:ascii="Times New Roman" w:hAnsi="Times New Roman" w:cs="Times New Roman"/>
          <w:sz w:val="20"/>
          <w:szCs w:val="20"/>
        </w:rPr>
        <w:t xml:space="preserve"> </w:t>
      </w:r>
      <w:r w:rsidR="00B50B07" w:rsidRPr="00AD0DF4">
        <w:rPr>
          <w:rFonts w:ascii="Times New Roman" w:hAnsi="Times New Roman" w:cs="Times New Roman"/>
          <w:sz w:val="20"/>
          <w:szCs w:val="20"/>
        </w:rPr>
        <w:t>is available on APRA’s website.</w:t>
      </w:r>
    </w:p>
    <w:p w14:paraId="15FC20FD" w14:textId="6096986A" w:rsidR="00E17281" w:rsidRPr="00E17281" w:rsidRDefault="00E17281">
      <w:pPr>
        <w:pStyle w:val="FootnoteText"/>
        <w:rPr>
          <w:rFonts w:ascii="Times New Roman" w:hAnsi="Times New Roman" w:cs="Times New Roman"/>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848A"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848B"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147803E8"/>
    <w:multiLevelType w:val="multilevel"/>
    <w:tmpl w:val="0C09001F"/>
    <w:numStyleLink w:val="111111"/>
  </w:abstractNum>
  <w:abstractNum w:abstractNumId="11" w15:restartNumberingAfterBreak="0">
    <w:nsid w:val="14A81249"/>
    <w:multiLevelType w:val="hybridMultilevel"/>
    <w:tmpl w:val="9A7E64D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1409B1"/>
    <w:multiLevelType w:val="multilevel"/>
    <w:tmpl w:val="0C09001F"/>
    <w:numStyleLink w:val="111111"/>
  </w:abstractNum>
  <w:abstractNum w:abstractNumId="13" w15:restartNumberingAfterBreak="0">
    <w:nsid w:val="1F151EFC"/>
    <w:multiLevelType w:val="hybridMultilevel"/>
    <w:tmpl w:val="B42C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4F65FB"/>
    <w:multiLevelType w:val="hybridMultilevel"/>
    <w:tmpl w:val="58AE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168DB"/>
    <w:multiLevelType w:val="hybridMultilevel"/>
    <w:tmpl w:val="5F849FF8"/>
    <w:lvl w:ilvl="0" w:tplc="5C2A0B3C">
      <w:numFmt w:val="bullet"/>
      <w:lvlText w:val="•"/>
      <w:lvlJc w:val="left"/>
      <w:pPr>
        <w:ind w:left="930" w:hanging="57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0E1983"/>
    <w:multiLevelType w:val="multilevel"/>
    <w:tmpl w:val="0C09001F"/>
    <w:numStyleLink w:val="111111"/>
  </w:abstractNum>
  <w:abstractNum w:abstractNumId="22" w15:restartNumberingAfterBreak="0">
    <w:nsid w:val="40CD3A20"/>
    <w:multiLevelType w:val="hybridMultilevel"/>
    <w:tmpl w:val="1EFAE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C210C"/>
    <w:multiLevelType w:val="hybridMultilevel"/>
    <w:tmpl w:val="F7DC6AEE"/>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42DBC"/>
    <w:multiLevelType w:val="hybridMultilevel"/>
    <w:tmpl w:val="F21A7756"/>
    <w:lvl w:ilvl="0" w:tplc="EDE4C47A">
      <w:numFmt w:val="bullet"/>
      <w:lvlText w:val="•"/>
      <w:lvlJc w:val="left"/>
      <w:pPr>
        <w:ind w:left="1080" w:hanging="72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C942677"/>
    <w:multiLevelType w:val="hybridMultilevel"/>
    <w:tmpl w:val="E0469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B51FF9"/>
    <w:multiLevelType w:val="hybridMultilevel"/>
    <w:tmpl w:val="7D28F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8AE0FEA"/>
    <w:multiLevelType w:val="hybridMultilevel"/>
    <w:tmpl w:val="580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30"/>
  </w:num>
  <w:num w:numId="12">
    <w:abstractNumId w:val="30"/>
  </w:num>
  <w:num w:numId="13">
    <w:abstractNumId w:val="3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1"/>
  </w:num>
  <w:num w:numId="26">
    <w:abstractNumId w:val="12"/>
  </w:num>
  <w:num w:numId="27">
    <w:abstractNumId w:val="10"/>
  </w:num>
  <w:num w:numId="28">
    <w:abstractNumId w:val="12"/>
  </w:num>
  <w:num w:numId="29">
    <w:abstractNumId w:val="27"/>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9"/>
  </w:num>
  <w:num w:numId="34">
    <w:abstractNumId w:val="15"/>
  </w:num>
  <w:num w:numId="35">
    <w:abstractNumId w:val="29"/>
  </w:num>
  <w:num w:numId="36">
    <w:abstractNumId w:val="31"/>
  </w:num>
  <w:num w:numId="37">
    <w:abstractNumId w:val="25"/>
  </w:num>
  <w:num w:numId="38">
    <w:abstractNumId w:val="16"/>
  </w:num>
  <w:num w:numId="39">
    <w:abstractNumId w:val="13"/>
  </w:num>
  <w:num w:numId="40">
    <w:abstractNumId w:val="17"/>
  </w:num>
  <w:num w:numId="41">
    <w:abstractNumId w:val="24"/>
  </w:num>
  <w:num w:numId="42">
    <w:abstractNumId w:val="11"/>
  </w:num>
  <w:num w:numId="43">
    <w:abstractNumId w:val="28"/>
  </w:num>
  <w:num w:numId="44">
    <w:abstractNumId w:val="22"/>
  </w:num>
  <w:num w:numId="45">
    <w:abstractNumId w:val="23"/>
  </w:num>
  <w:num w:numId="46">
    <w:abstractNumId w:val="1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23"/>
    <w:rsid w:val="000005CE"/>
    <w:rsid w:val="00003065"/>
    <w:rsid w:val="00007BFD"/>
    <w:rsid w:val="00011B0A"/>
    <w:rsid w:val="000310C9"/>
    <w:rsid w:val="000408CA"/>
    <w:rsid w:val="00053F0B"/>
    <w:rsid w:val="00063BDC"/>
    <w:rsid w:val="00070394"/>
    <w:rsid w:val="00086A16"/>
    <w:rsid w:val="00095D01"/>
    <w:rsid w:val="000A1A18"/>
    <w:rsid w:val="000C170D"/>
    <w:rsid w:val="000D08AA"/>
    <w:rsid w:val="000D09FA"/>
    <w:rsid w:val="000D2D92"/>
    <w:rsid w:val="000E345B"/>
    <w:rsid w:val="000F20CF"/>
    <w:rsid w:val="000F6CC0"/>
    <w:rsid w:val="00106BAD"/>
    <w:rsid w:val="00111DAB"/>
    <w:rsid w:val="0012246A"/>
    <w:rsid w:val="0012596F"/>
    <w:rsid w:val="00126673"/>
    <w:rsid w:val="00135EA7"/>
    <w:rsid w:val="001502F1"/>
    <w:rsid w:val="00153232"/>
    <w:rsid w:val="00186C8C"/>
    <w:rsid w:val="00187A6C"/>
    <w:rsid w:val="00197A23"/>
    <w:rsid w:val="001B2D90"/>
    <w:rsid w:val="001B422C"/>
    <w:rsid w:val="001D3046"/>
    <w:rsid w:val="001D3B1C"/>
    <w:rsid w:val="001D3D9C"/>
    <w:rsid w:val="001D505A"/>
    <w:rsid w:val="001D7D3C"/>
    <w:rsid w:val="001E00D2"/>
    <w:rsid w:val="001E2225"/>
    <w:rsid w:val="001E5DC0"/>
    <w:rsid w:val="001E71EC"/>
    <w:rsid w:val="001F30FC"/>
    <w:rsid w:val="00200401"/>
    <w:rsid w:val="002036D0"/>
    <w:rsid w:val="0021143E"/>
    <w:rsid w:val="0021212A"/>
    <w:rsid w:val="0021219A"/>
    <w:rsid w:val="00233F57"/>
    <w:rsid w:val="002361E1"/>
    <w:rsid w:val="002403C8"/>
    <w:rsid w:val="00247811"/>
    <w:rsid w:val="00257E33"/>
    <w:rsid w:val="0026542C"/>
    <w:rsid w:val="00267EBC"/>
    <w:rsid w:val="002767C9"/>
    <w:rsid w:val="00284AF8"/>
    <w:rsid w:val="002A6F6C"/>
    <w:rsid w:val="002B0B89"/>
    <w:rsid w:val="002B6F5E"/>
    <w:rsid w:val="002D7A12"/>
    <w:rsid w:val="002E5E7D"/>
    <w:rsid w:val="002F0157"/>
    <w:rsid w:val="002F2DAC"/>
    <w:rsid w:val="002F4F5B"/>
    <w:rsid w:val="002F5035"/>
    <w:rsid w:val="003001E7"/>
    <w:rsid w:val="00334BE0"/>
    <w:rsid w:val="00340359"/>
    <w:rsid w:val="0034413A"/>
    <w:rsid w:val="00353DE2"/>
    <w:rsid w:val="00362912"/>
    <w:rsid w:val="00367A5D"/>
    <w:rsid w:val="003707EE"/>
    <w:rsid w:val="00373B0D"/>
    <w:rsid w:val="003830D9"/>
    <w:rsid w:val="00386A82"/>
    <w:rsid w:val="0038713B"/>
    <w:rsid w:val="003C6CBE"/>
    <w:rsid w:val="003D6738"/>
    <w:rsid w:val="003F0B12"/>
    <w:rsid w:val="00405B1C"/>
    <w:rsid w:val="004255BC"/>
    <w:rsid w:val="0042682B"/>
    <w:rsid w:val="0043440F"/>
    <w:rsid w:val="00444BF0"/>
    <w:rsid w:val="00462257"/>
    <w:rsid w:val="00477366"/>
    <w:rsid w:val="00492449"/>
    <w:rsid w:val="004A4A27"/>
    <w:rsid w:val="004B4492"/>
    <w:rsid w:val="004C10F8"/>
    <w:rsid w:val="004C2EC4"/>
    <w:rsid w:val="004D02C5"/>
    <w:rsid w:val="004D31EB"/>
    <w:rsid w:val="004D5A79"/>
    <w:rsid w:val="004D7117"/>
    <w:rsid w:val="004E0AEB"/>
    <w:rsid w:val="004E13AF"/>
    <w:rsid w:val="004E5A3D"/>
    <w:rsid w:val="004F27CF"/>
    <w:rsid w:val="00505CA3"/>
    <w:rsid w:val="00505F1B"/>
    <w:rsid w:val="0051011E"/>
    <w:rsid w:val="00510C0E"/>
    <w:rsid w:val="005317C2"/>
    <w:rsid w:val="0053596A"/>
    <w:rsid w:val="00547263"/>
    <w:rsid w:val="00552CA7"/>
    <w:rsid w:val="00563F24"/>
    <w:rsid w:val="00584A8F"/>
    <w:rsid w:val="00592F34"/>
    <w:rsid w:val="005B3AB8"/>
    <w:rsid w:val="005B705D"/>
    <w:rsid w:val="005C7A7C"/>
    <w:rsid w:val="005D646E"/>
    <w:rsid w:val="005E6AF8"/>
    <w:rsid w:val="0060613D"/>
    <w:rsid w:val="00606F5A"/>
    <w:rsid w:val="0060742D"/>
    <w:rsid w:val="006128BA"/>
    <w:rsid w:val="00615AEF"/>
    <w:rsid w:val="00616BB5"/>
    <w:rsid w:val="006352A2"/>
    <w:rsid w:val="00646C7A"/>
    <w:rsid w:val="00665727"/>
    <w:rsid w:val="00672456"/>
    <w:rsid w:val="00672859"/>
    <w:rsid w:val="00677A36"/>
    <w:rsid w:val="00686723"/>
    <w:rsid w:val="0068743E"/>
    <w:rsid w:val="00694CE8"/>
    <w:rsid w:val="006A050B"/>
    <w:rsid w:val="006A394F"/>
    <w:rsid w:val="006A5169"/>
    <w:rsid w:val="006C1429"/>
    <w:rsid w:val="006E1272"/>
    <w:rsid w:val="006E1389"/>
    <w:rsid w:val="006E1B5F"/>
    <w:rsid w:val="006E4003"/>
    <w:rsid w:val="0070055F"/>
    <w:rsid w:val="007236E2"/>
    <w:rsid w:val="0072439F"/>
    <w:rsid w:val="007403DD"/>
    <w:rsid w:val="0074166D"/>
    <w:rsid w:val="0074761E"/>
    <w:rsid w:val="007507FB"/>
    <w:rsid w:val="007514F9"/>
    <w:rsid w:val="00757981"/>
    <w:rsid w:val="00781FF4"/>
    <w:rsid w:val="0078465C"/>
    <w:rsid w:val="00786B63"/>
    <w:rsid w:val="007A463E"/>
    <w:rsid w:val="007B2167"/>
    <w:rsid w:val="007C3BF8"/>
    <w:rsid w:val="007C6AF8"/>
    <w:rsid w:val="007D0A3E"/>
    <w:rsid w:val="007E6359"/>
    <w:rsid w:val="007F41E4"/>
    <w:rsid w:val="008117CF"/>
    <w:rsid w:val="00816255"/>
    <w:rsid w:val="008204C0"/>
    <w:rsid w:val="00822890"/>
    <w:rsid w:val="008461C0"/>
    <w:rsid w:val="00857706"/>
    <w:rsid w:val="00867F6E"/>
    <w:rsid w:val="00870FFC"/>
    <w:rsid w:val="00872E1D"/>
    <w:rsid w:val="0087747C"/>
    <w:rsid w:val="00884E3B"/>
    <w:rsid w:val="00897C76"/>
    <w:rsid w:val="008A62E3"/>
    <w:rsid w:val="008B5DBD"/>
    <w:rsid w:val="008E3335"/>
    <w:rsid w:val="008F4CC6"/>
    <w:rsid w:val="00907579"/>
    <w:rsid w:val="00910073"/>
    <w:rsid w:val="00916B48"/>
    <w:rsid w:val="00921341"/>
    <w:rsid w:val="00922ADE"/>
    <w:rsid w:val="0092635A"/>
    <w:rsid w:val="00955011"/>
    <w:rsid w:val="00957744"/>
    <w:rsid w:val="00970A4C"/>
    <w:rsid w:val="00976332"/>
    <w:rsid w:val="0098213D"/>
    <w:rsid w:val="00983285"/>
    <w:rsid w:val="00997550"/>
    <w:rsid w:val="009A2AB0"/>
    <w:rsid w:val="009D655A"/>
    <w:rsid w:val="009D79B5"/>
    <w:rsid w:val="009F1036"/>
    <w:rsid w:val="009F14CA"/>
    <w:rsid w:val="009F210E"/>
    <w:rsid w:val="00A00652"/>
    <w:rsid w:val="00A06B35"/>
    <w:rsid w:val="00A06EE8"/>
    <w:rsid w:val="00A17687"/>
    <w:rsid w:val="00A30827"/>
    <w:rsid w:val="00A352E1"/>
    <w:rsid w:val="00A37017"/>
    <w:rsid w:val="00A83A91"/>
    <w:rsid w:val="00A94F7C"/>
    <w:rsid w:val="00AD0DF4"/>
    <w:rsid w:val="00AD63F0"/>
    <w:rsid w:val="00AE11B8"/>
    <w:rsid w:val="00AE42A5"/>
    <w:rsid w:val="00B10870"/>
    <w:rsid w:val="00B13CBE"/>
    <w:rsid w:val="00B16FD2"/>
    <w:rsid w:val="00B20803"/>
    <w:rsid w:val="00B20CD1"/>
    <w:rsid w:val="00B21A37"/>
    <w:rsid w:val="00B50B07"/>
    <w:rsid w:val="00B7328D"/>
    <w:rsid w:val="00B75A8B"/>
    <w:rsid w:val="00B86EF7"/>
    <w:rsid w:val="00BA1523"/>
    <w:rsid w:val="00BC5085"/>
    <w:rsid w:val="00C11B21"/>
    <w:rsid w:val="00C208CA"/>
    <w:rsid w:val="00C25FA1"/>
    <w:rsid w:val="00C466A5"/>
    <w:rsid w:val="00C5285C"/>
    <w:rsid w:val="00C614C0"/>
    <w:rsid w:val="00C619BC"/>
    <w:rsid w:val="00C61B44"/>
    <w:rsid w:val="00C62913"/>
    <w:rsid w:val="00C84036"/>
    <w:rsid w:val="00C95FF9"/>
    <w:rsid w:val="00C960CB"/>
    <w:rsid w:val="00C97F58"/>
    <w:rsid w:val="00CC05EA"/>
    <w:rsid w:val="00CC201A"/>
    <w:rsid w:val="00CC3DDB"/>
    <w:rsid w:val="00CF1FC4"/>
    <w:rsid w:val="00D02242"/>
    <w:rsid w:val="00D079B4"/>
    <w:rsid w:val="00D104E9"/>
    <w:rsid w:val="00D14049"/>
    <w:rsid w:val="00D3369B"/>
    <w:rsid w:val="00D574CD"/>
    <w:rsid w:val="00D75217"/>
    <w:rsid w:val="00D92A40"/>
    <w:rsid w:val="00D95999"/>
    <w:rsid w:val="00DA0A68"/>
    <w:rsid w:val="00DB264D"/>
    <w:rsid w:val="00DC706D"/>
    <w:rsid w:val="00DC74D3"/>
    <w:rsid w:val="00DC7EF3"/>
    <w:rsid w:val="00DE0A59"/>
    <w:rsid w:val="00E00EFF"/>
    <w:rsid w:val="00E1225E"/>
    <w:rsid w:val="00E1430F"/>
    <w:rsid w:val="00E17281"/>
    <w:rsid w:val="00E24BFF"/>
    <w:rsid w:val="00E2674A"/>
    <w:rsid w:val="00E32CE9"/>
    <w:rsid w:val="00E36C9E"/>
    <w:rsid w:val="00E448C7"/>
    <w:rsid w:val="00E55A7E"/>
    <w:rsid w:val="00E63012"/>
    <w:rsid w:val="00E71019"/>
    <w:rsid w:val="00E82C2C"/>
    <w:rsid w:val="00E83D82"/>
    <w:rsid w:val="00E96618"/>
    <w:rsid w:val="00EA5DFF"/>
    <w:rsid w:val="00ED0263"/>
    <w:rsid w:val="00ED3926"/>
    <w:rsid w:val="00ED48F3"/>
    <w:rsid w:val="00EE69E6"/>
    <w:rsid w:val="00EF0C4C"/>
    <w:rsid w:val="00EF496F"/>
    <w:rsid w:val="00EF5EE9"/>
    <w:rsid w:val="00F111CF"/>
    <w:rsid w:val="00F12FD3"/>
    <w:rsid w:val="00F1468C"/>
    <w:rsid w:val="00F2124C"/>
    <w:rsid w:val="00F21D11"/>
    <w:rsid w:val="00F26790"/>
    <w:rsid w:val="00F34F34"/>
    <w:rsid w:val="00F37391"/>
    <w:rsid w:val="00F463FF"/>
    <w:rsid w:val="00F6460D"/>
    <w:rsid w:val="00F77F5D"/>
    <w:rsid w:val="00F865EB"/>
    <w:rsid w:val="00F93C2D"/>
    <w:rsid w:val="00FA0493"/>
    <w:rsid w:val="00FA261A"/>
    <w:rsid w:val="00FA2F99"/>
    <w:rsid w:val="00FA41B6"/>
    <w:rsid w:val="00FA4EF5"/>
    <w:rsid w:val="00FA6D19"/>
    <w:rsid w:val="00FB7A4F"/>
    <w:rsid w:val="00FB7C18"/>
    <w:rsid w:val="00FC30EE"/>
    <w:rsid w:val="00FE11B5"/>
    <w:rsid w:val="00FE4249"/>
    <w:rsid w:val="00FF1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D38404"/>
  <w15:chartTrackingRefBased/>
  <w15:docId w15:val="{BA323D52-E9A2-4FCC-8C13-FA0DB264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semiHidden/>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semiHidden/>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paragraph" w:customStyle="1" w:styleId="heading0">
    <w:name w:val="heading"/>
    <w:basedOn w:val="Normal"/>
    <w:rsid w:val="00A94F7C"/>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4459">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964505518">
      <w:bodyDiv w:val="1"/>
      <w:marLeft w:val="0"/>
      <w:marRight w:val="0"/>
      <w:marTop w:val="0"/>
      <w:marBottom w:val="0"/>
      <w:divBdr>
        <w:top w:val="none" w:sz="0" w:space="0" w:color="auto"/>
        <w:left w:val="none" w:sz="0" w:space="0" w:color="auto"/>
        <w:bottom w:val="none" w:sz="0" w:space="0" w:color="auto"/>
        <w:right w:val="none" w:sz="0" w:space="0" w:color="auto"/>
      </w:divBdr>
    </w:div>
    <w:div w:id="18546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sites/default/files/Letter-Embedding-Sound-Residential-Mortgage-Lending-Practices-26042018.pdf"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3 of 2020 - APS 220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5JENXJJSCC7A-445999044-10986</_dlc_DocId>
    <_dlc_DocIdUrl xmlns="814d62cb-2db6-4c25-ab62-b9075facbc11">
      <Url>https://im/teams/LEGAL/_layouts/15/DocIdRedir.aspx?ID=5JENXJJSCC7A-445999044-10986</Url>
      <Description>5JENXJJSCC7A-445999044-10986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6352-3106-40B5-B7EF-36EB35FDFB23}">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3.xml><?xml version="1.0" encoding="utf-8"?>
<ds:datastoreItem xmlns:ds="http://schemas.openxmlformats.org/officeDocument/2006/customXml" ds:itemID="{A53689CC-1C5F-4B67-A459-50703C30913E}">
  <ds:schemaRefs>
    <ds:schemaRef ds:uri="http://schemas.microsoft.com/sharepoint/event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C19881DA-AF8E-4C2A-A370-23023AE3BE2D}">
  <ds:schemaRefs>
    <ds:schemaRef ds:uri="Microsoft.SharePoint.Taxonomy.ContentTypeSync"/>
  </ds:schemaRefs>
</ds:datastoreItem>
</file>

<file path=customXml/itemProps6.xml><?xml version="1.0" encoding="utf-8"?>
<ds:datastoreItem xmlns:ds="http://schemas.openxmlformats.org/officeDocument/2006/customXml" ds:itemID="{0618B6B4-374B-40DB-99E0-9841E1432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6CC558-F26D-4115-A321-21DAC4BD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11462</Characters>
  <Application>Microsoft Office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APS 220 reforms</vt:lpstr>
    </vt:vector>
  </TitlesOfParts>
  <Company>APRA</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3 of 2020 - APS 220</dc:title>
  <dc:subject/>
  <dc:creator>Riley, Paul</dc:creator>
  <cp:keywords>[SEC=UNCLASSIFIED]</cp:keywords>
  <dc:description/>
  <cp:lastModifiedBy>Toni Michalis</cp:lastModifiedBy>
  <cp:revision>2</cp:revision>
  <cp:lastPrinted>2020-02-27T05:07:00Z</cp:lastPrinted>
  <dcterms:created xsi:type="dcterms:W3CDTF">2020-03-03T04:29:00Z</dcterms:created>
  <dcterms:modified xsi:type="dcterms:W3CDTF">2020-03-03T04:29:00Z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F9116892088A49C5D54D8C7F8432624D65DEC680</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00BAFF448BD0A63B821FB1963FC0D72B9B6D34C8</vt:lpwstr>
  </property>
  <property fmtid="{D5CDD505-2E9C-101B-9397-08002B2CF9AE}" pid="7" name="PM_InsertionValue">
    <vt:lpwstr>UNCLASSIFIED</vt:lpwstr>
  </property>
  <property fmtid="{D5CDD505-2E9C-101B-9397-08002B2CF9AE}" pid="8" name="PM_Hash_Salt">
    <vt:lpwstr>5A0DC63F02CFE351260D415146294365</vt:lpwstr>
  </property>
  <property fmtid="{D5CDD505-2E9C-101B-9397-08002B2CF9AE}" pid="9" name="PM_Hash_Version">
    <vt:lpwstr>2018.0</vt:lpwstr>
  </property>
  <property fmtid="{D5CDD505-2E9C-101B-9397-08002B2CF9AE}" pid="10" name="PM_Hash_Salt_Prev">
    <vt:lpwstr>4EEB9080D04668DFA8BDD14ED9247FEC</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ContentTypeId">
    <vt:lpwstr>0x0101008CA7A4F8331B45C7B0D3158B4994D0CA0200577EC0F5A1FBFC498F9A8436B963F8A6</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APRAYear">
    <vt:lpwstr>229;#2020|29ca90e3-c619-4296-b1bf-6e33e4d24a28</vt:lpwstr>
  </property>
  <property fmtid="{D5CDD505-2E9C-101B-9397-08002B2CF9AE}" pid="19" name="APRAIndustry">
    <vt:lpwstr/>
  </property>
  <property fmtid="{D5CDD505-2E9C-101B-9397-08002B2CF9AE}" pid="20" name="_dlc_DocIdItemGuid">
    <vt:lpwstr>cb36165d-3da4-4f18-94e7-02f9e860c4a2</vt:lpwstr>
  </property>
  <property fmtid="{D5CDD505-2E9C-101B-9397-08002B2CF9AE}" pid="21" name="RecordPoint_WorkflowType">
    <vt:lpwstr>ActiveSubmitStub</vt:lpwstr>
  </property>
  <property fmtid="{D5CDD505-2E9C-101B-9397-08002B2CF9AE}" pid="22" name="RecordPoint_ActiveItemWebId">
    <vt:lpwstr>{75a71c27-8d66-4282-ae60-1bfc22a83be1}</vt:lpwstr>
  </property>
  <property fmtid="{D5CDD505-2E9C-101B-9397-08002B2CF9AE}" pid="23" name="RecordPoint_ActiveItemSiteId">
    <vt:lpwstr>{88691c01-5bbb-4215-adc0-66cb7065b0af}</vt:lpwstr>
  </property>
  <property fmtid="{D5CDD505-2E9C-101B-9397-08002B2CF9AE}" pid="24" name="RecordPoint_ActiveItemListId">
    <vt:lpwstr>{0e59e171-09d8-4401-800a-327154450cb3}</vt:lpwstr>
  </property>
  <property fmtid="{D5CDD505-2E9C-101B-9397-08002B2CF9AE}" pid="25" name="RecordPoint_ActiveItemUniqueId">
    <vt:lpwstr>{cb36165d-3da4-4f18-94e7-02f9e860c4a2}</vt:lpwstr>
  </property>
  <property fmtid="{D5CDD505-2E9C-101B-9397-08002B2CF9AE}" pid="26" name="IsLocked">
    <vt:lpwstr>False</vt:lpwstr>
  </property>
  <property fmtid="{D5CDD505-2E9C-101B-9397-08002B2CF9AE}" pid="27"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EntityAdviceSupport">
    <vt:lpwstr/>
  </property>
  <property fmtid="{D5CDD505-2E9C-101B-9397-08002B2CF9AE}" pid="33" name="APRALegislation">
    <vt:lpwstr/>
  </property>
  <property fmtid="{D5CDD505-2E9C-101B-9397-08002B2CF9AE}" pid="34" name="APRAExternalOrganisation">
    <vt:lpwstr/>
  </property>
  <property fmtid="{D5CDD505-2E9C-101B-9397-08002B2CF9AE}" pid="35" name="APRAIRTR">
    <vt:lpwstr/>
  </property>
  <property fmtid="{D5CDD505-2E9C-101B-9397-08002B2CF9AE}" pid="36" name="RecordPoint_SubmissionCompleted">
    <vt:lpwstr>2020-03-04T11:20:34.5340967+11:00</vt:lpwstr>
  </property>
  <property fmtid="{D5CDD505-2E9C-101B-9397-08002B2CF9AE}" pid="37" name="RecordPoint_RecordNumberSubmitted">
    <vt:lpwstr>R0001036353</vt:lpwstr>
  </property>
  <property fmtid="{D5CDD505-2E9C-101B-9397-08002B2CF9AE}" pid="38" name="RecordPoint_SubmissionDate">
    <vt:lpwstr/>
  </property>
  <property fmtid="{D5CDD505-2E9C-101B-9397-08002B2CF9AE}" pid="39" name="RecordPoint_ActiveItemMoved">
    <vt:lpwstr/>
  </property>
  <property fmtid="{D5CDD505-2E9C-101B-9397-08002B2CF9AE}" pid="40" name="RecordPoint_RecordFormat">
    <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Value_Header">
    <vt:lpwstr>UNCLASSIFIED</vt:lpwstr>
  </property>
  <property fmtid="{D5CDD505-2E9C-101B-9397-08002B2CF9AE}" pid="43" name="PM_ProtectiveMarkingValue_Footer">
    <vt:lpwstr>UNCLASSIFIED</vt:lpwstr>
  </property>
  <property fmtid="{D5CDD505-2E9C-101B-9397-08002B2CF9AE}" pid="44" name="PM_ProtectiveMarkingImage_Footer">
    <vt:lpwstr>C:\Program Files (x86)\Common Files\janusNET Shared\janusSEAL\Images\DocumentSlashBlue.png</vt:lpwstr>
  </property>
  <property fmtid="{D5CDD505-2E9C-101B-9397-08002B2CF9AE}" pid="45" name="PM_Namespace">
    <vt:lpwstr>gov.au</vt:lpwstr>
  </property>
  <property fmtid="{D5CDD505-2E9C-101B-9397-08002B2CF9AE}" pid="46" name="PM_Version">
    <vt:lpwstr>2012.3</vt:lpwstr>
  </property>
  <property fmtid="{D5CDD505-2E9C-101B-9397-08002B2CF9AE}" pid="47" name="PM_Originating_FileId">
    <vt:lpwstr>F332679B1927465F8CECD392533AFEAC</vt:lpwstr>
  </property>
  <property fmtid="{D5CDD505-2E9C-101B-9397-08002B2CF9AE}" pid="48" name="PM_Note">
    <vt:lpwstr/>
  </property>
  <property fmtid="{D5CDD505-2E9C-101B-9397-08002B2CF9AE}" pid="49" name="PM_Markers">
    <vt:lpwstr/>
  </property>
  <property fmtid="{D5CDD505-2E9C-101B-9397-08002B2CF9AE}" pid="50" name="PM_OriginationTimeStamp">
    <vt:lpwstr>2020-02-11T23:45:33Z</vt:lpwstr>
  </property>
</Properties>
</file>