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11973" w14:textId="4FE90D13" w:rsidR="008A4A95" w:rsidRPr="008A4A95" w:rsidRDefault="008A4A95" w:rsidP="008A4A95">
      <w:pPr>
        <w:spacing w:after="600" w:line="260" w:lineRule="atLeast"/>
        <w:rPr>
          <w:rFonts w:ascii="Times New Roman" w:eastAsia="Calibri" w:hAnsi="Times New Roman" w:cs="Times New Roman"/>
          <w:sz w:val="28"/>
          <w:szCs w:val="20"/>
        </w:rPr>
      </w:pPr>
      <w:r w:rsidRPr="00A65F1B">
        <w:rPr>
          <w:rFonts w:ascii="Times New Roman" w:eastAsia="Calibri" w:hAnsi="Times New Roman" w:cs="Times New Roman"/>
          <w:noProof/>
          <w:szCs w:val="20"/>
        </w:rPr>
        <w:drawing>
          <wp:inline distT="0" distB="0" distL="0" distR="0" wp14:anchorId="7D6F97EF" wp14:editId="3D249746">
            <wp:extent cx="3542030" cy="756285"/>
            <wp:effectExtent l="0" t="0" r="1270" b="5715"/>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290A1603" w14:textId="78D36F89" w:rsidR="008A4A95" w:rsidRPr="00204BE0" w:rsidRDefault="00204BE0" w:rsidP="00204BE0">
      <w:pPr>
        <w:pStyle w:val="LI-Title"/>
        <w:pBdr>
          <w:bottom w:val="single" w:sz="4" w:space="1" w:color="auto"/>
        </w:pBdr>
      </w:pPr>
      <w:r w:rsidRPr="00F61B09">
        <w:t>A</w:t>
      </w:r>
      <w:r>
        <w:t xml:space="preserve">SIC </w:t>
      </w:r>
      <w:r w:rsidRPr="005D3D41">
        <w:t xml:space="preserve">Corporations </w:t>
      </w:r>
      <w:r w:rsidR="008A4A95" w:rsidRPr="008A4A95">
        <w:t>(</w:t>
      </w:r>
      <w:r w:rsidR="002355AA">
        <w:t xml:space="preserve">Foreign Financial </w:t>
      </w:r>
      <w:r w:rsidR="00342939">
        <w:t>Service</w:t>
      </w:r>
      <w:r w:rsidR="005E742A">
        <w:t>s</w:t>
      </w:r>
      <w:r w:rsidR="00342939">
        <w:t xml:space="preserve"> P</w:t>
      </w:r>
      <w:r w:rsidR="008A4A95">
        <w:t>roviders</w:t>
      </w:r>
      <w:r w:rsidR="001904BD">
        <w:t>—</w:t>
      </w:r>
      <w:r w:rsidR="005E742A">
        <w:t>Funds Management Financial Services</w:t>
      </w:r>
      <w:r w:rsidR="008A4A95" w:rsidRPr="008A4A95">
        <w:t>) Instrument 20</w:t>
      </w:r>
      <w:r w:rsidR="00284DE0">
        <w:t>20</w:t>
      </w:r>
      <w:r w:rsidR="008A4A95" w:rsidRPr="008A4A95">
        <w:t>/</w:t>
      </w:r>
      <w:r w:rsidR="00F73882">
        <w:t>199</w:t>
      </w:r>
    </w:p>
    <w:p w14:paraId="02FB44A4" w14:textId="19CC1D53" w:rsidR="008A4A95" w:rsidRPr="008A4A95" w:rsidRDefault="008A4A95" w:rsidP="002F1CA0">
      <w:pPr>
        <w:pStyle w:val="LI-Fronttext"/>
        <w:rPr>
          <w:sz w:val="24"/>
          <w:szCs w:val="24"/>
        </w:rPr>
      </w:pPr>
      <w:r w:rsidRPr="008A4A95">
        <w:rPr>
          <w:sz w:val="24"/>
          <w:szCs w:val="24"/>
        </w:rPr>
        <w:t xml:space="preserve">I, </w:t>
      </w:r>
      <w:r w:rsidR="00344940">
        <w:rPr>
          <w:sz w:val="24"/>
          <w:szCs w:val="24"/>
        </w:rPr>
        <w:t>Anthony Graham</w:t>
      </w:r>
      <w:r w:rsidRPr="008A4A95">
        <w:rPr>
          <w:sz w:val="24"/>
          <w:szCs w:val="24"/>
        </w:rPr>
        <w:t>, delegate of the Australian Securities and Investments Commission, make the following legislative instrument.</w:t>
      </w:r>
    </w:p>
    <w:p w14:paraId="7C84E8FE" w14:textId="77777777" w:rsidR="008A4A95" w:rsidRPr="008A4A95" w:rsidRDefault="008A4A95" w:rsidP="008A4A95">
      <w:pPr>
        <w:spacing w:before="240" w:after="0" w:line="260" w:lineRule="atLeast"/>
        <w:ind w:right="397"/>
        <w:rPr>
          <w:rFonts w:ascii="Times New Roman" w:eastAsia="Times New Roman" w:hAnsi="Times New Roman" w:cs="Times New Roman"/>
          <w:szCs w:val="20"/>
          <w:lang w:eastAsia="en-AU"/>
        </w:rPr>
      </w:pPr>
    </w:p>
    <w:p w14:paraId="11EB58EE" w14:textId="1BF5545E" w:rsidR="008A4A95" w:rsidRPr="008A4A95" w:rsidRDefault="008A4A95" w:rsidP="002F1CA0">
      <w:pPr>
        <w:pStyle w:val="LI-Fronttext"/>
        <w:rPr>
          <w:sz w:val="24"/>
          <w:szCs w:val="24"/>
        </w:rPr>
      </w:pPr>
      <w:r w:rsidRPr="008A4A95">
        <w:rPr>
          <w:sz w:val="24"/>
          <w:szCs w:val="24"/>
        </w:rPr>
        <w:t>Date</w:t>
      </w:r>
      <w:r w:rsidRPr="008A4A95">
        <w:rPr>
          <w:sz w:val="24"/>
          <w:szCs w:val="24"/>
        </w:rPr>
        <w:tab/>
      </w:r>
      <w:bookmarkStart w:id="0" w:name="BKCheck15B_1"/>
      <w:bookmarkEnd w:id="0"/>
      <w:r w:rsidR="004037BD">
        <w:rPr>
          <w:sz w:val="24"/>
          <w:szCs w:val="24"/>
        </w:rPr>
        <w:t>10</w:t>
      </w:r>
      <w:r w:rsidR="00344940">
        <w:rPr>
          <w:sz w:val="24"/>
          <w:szCs w:val="24"/>
        </w:rPr>
        <w:t xml:space="preserve"> March </w:t>
      </w:r>
      <w:r w:rsidRPr="008A4A95">
        <w:rPr>
          <w:sz w:val="24"/>
          <w:szCs w:val="24"/>
        </w:rPr>
        <w:t>20</w:t>
      </w:r>
      <w:r w:rsidR="00671F5B">
        <w:rPr>
          <w:sz w:val="24"/>
          <w:szCs w:val="24"/>
        </w:rPr>
        <w:t>20</w:t>
      </w:r>
    </w:p>
    <w:p w14:paraId="260E0A4E" w14:textId="6F037584" w:rsidR="008A4A95" w:rsidRDefault="008A4A95" w:rsidP="002F1CA0">
      <w:pPr>
        <w:pStyle w:val="LI-Fronttext"/>
        <w:rPr>
          <w:i/>
          <w:sz w:val="24"/>
          <w:szCs w:val="24"/>
        </w:rPr>
      </w:pPr>
    </w:p>
    <w:p w14:paraId="72C03FC9" w14:textId="66E862AB" w:rsidR="00344940" w:rsidRDefault="00344940" w:rsidP="00344940">
      <w:pPr>
        <w:rPr>
          <w:lang w:eastAsia="en-AU"/>
        </w:rPr>
      </w:pPr>
    </w:p>
    <w:p w14:paraId="7C1E3706" w14:textId="77777777" w:rsidR="00344940" w:rsidRPr="00344940" w:rsidRDefault="00344940" w:rsidP="00344940">
      <w:pPr>
        <w:rPr>
          <w:lang w:eastAsia="en-AU"/>
        </w:rPr>
      </w:pPr>
    </w:p>
    <w:p w14:paraId="03AE23A3" w14:textId="6C3FDF92" w:rsidR="008A4A95" w:rsidRPr="008A4A95" w:rsidRDefault="00344940" w:rsidP="002F1CA0">
      <w:pPr>
        <w:pStyle w:val="LI-Fronttext"/>
        <w:pBdr>
          <w:bottom w:val="single" w:sz="4" w:space="1" w:color="auto"/>
        </w:pBdr>
        <w:rPr>
          <w:sz w:val="24"/>
          <w:szCs w:val="24"/>
        </w:rPr>
      </w:pPr>
      <w:r>
        <w:rPr>
          <w:sz w:val="24"/>
          <w:szCs w:val="24"/>
        </w:rPr>
        <w:t>Anthony Graham</w:t>
      </w:r>
    </w:p>
    <w:p w14:paraId="4A99DAC3" w14:textId="77777777" w:rsidR="008A4A95" w:rsidRPr="008A4A95" w:rsidRDefault="008A4A95" w:rsidP="008A4A95">
      <w:pPr>
        <w:keepNext/>
        <w:keepLines/>
        <w:spacing w:after="0" w:line="160" w:lineRule="exact"/>
        <w:rPr>
          <w:rFonts w:ascii="Times New Roman" w:eastAsia="Times New Roman" w:hAnsi="Times New Roman" w:cs="Times New Roman"/>
          <w:sz w:val="16"/>
          <w:szCs w:val="20"/>
          <w:lang w:eastAsia="en-AU"/>
        </w:rPr>
      </w:pPr>
    </w:p>
    <w:p w14:paraId="0B6A4DAC" w14:textId="77777777" w:rsidR="008A4A95" w:rsidRPr="008A4A95" w:rsidRDefault="008A4A95" w:rsidP="008A4A95">
      <w:pPr>
        <w:spacing w:after="0" w:line="260" w:lineRule="atLeast"/>
        <w:rPr>
          <w:rFonts w:ascii="Times New Roman" w:eastAsia="Calibri" w:hAnsi="Times New Roman" w:cs="Times New Roman"/>
          <w:szCs w:val="20"/>
        </w:rPr>
        <w:sectPr w:rsidR="008A4A95" w:rsidRPr="008A4A95" w:rsidSect="008A4A95">
          <w:headerReference w:type="even" r:id="rId12"/>
          <w:headerReference w:type="default" r:id="rId13"/>
          <w:footerReference w:type="even" r:id="rId14"/>
          <w:footerReference w:type="default" r:id="rId15"/>
          <w:footerReference w:type="first" r:id="rId16"/>
          <w:pgSz w:w="11907" w:h="16839"/>
          <w:pgMar w:top="1440" w:right="1797" w:bottom="1440" w:left="1797" w:header="720" w:footer="709" w:gutter="0"/>
          <w:cols w:space="708"/>
          <w:titlePg/>
          <w:docGrid w:linePitch="360"/>
        </w:sectPr>
      </w:pPr>
    </w:p>
    <w:p w14:paraId="0832895E" w14:textId="77777777" w:rsidR="008A4A95" w:rsidRPr="008A4A95" w:rsidRDefault="008A4A95" w:rsidP="008A4A95">
      <w:pPr>
        <w:spacing w:before="280" w:after="240" w:line="260" w:lineRule="atLeast"/>
        <w:rPr>
          <w:rFonts w:ascii="Times New Roman" w:eastAsia="Calibri" w:hAnsi="Times New Roman" w:cs="Times New Roman"/>
          <w:sz w:val="36"/>
          <w:szCs w:val="20"/>
        </w:rPr>
      </w:pPr>
      <w:r w:rsidRPr="008A4A95">
        <w:rPr>
          <w:rFonts w:ascii="Times New Roman" w:eastAsia="Calibri" w:hAnsi="Times New Roman" w:cs="Times New Roman"/>
          <w:b/>
          <w:sz w:val="32"/>
          <w:szCs w:val="32"/>
        </w:rPr>
        <w:lastRenderedPageBreak/>
        <w:t>Contents</w:t>
      </w:r>
    </w:p>
    <w:bookmarkStart w:id="1" w:name="BKCheck15B_2"/>
    <w:bookmarkStart w:id="2" w:name="_GoBack"/>
    <w:bookmarkEnd w:id="1"/>
    <w:bookmarkEnd w:id="2"/>
    <w:p w14:paraId="1F15CE0B" w14:textId="6DF6F553" w:rsidR="004037BD" w:rsidRDefault="00204BE0">
      <w:pPr>
        <w:pStyle w:val="TOC1"/>
        <w:rPr>
          <w:rFonts w:asciiTheme="minorHAnsi" w:eastAsiaTheme="minorEastAsia" w:hAnsiTheme="minorHAnsi" w:cstheme="minorBidi"/>
          <w:b w:val="0"/>
          <w:noProof/>
          <w:kern w:val="0"/>
          <w:sz w:val="22"/>
          <w:szCs w:val="22"/>
        </w:rPr>
      </w:pPr>
      <w:r>
        <w:rPr>
          <w:b w:val="0"/>
          <w:sz w:val="28"/>
        </w:rPr>
        <w:fldChar w:fldCharType="begin"/>
      </w:r>
      <w:r>
        <w:rPr>
          <w:b w:val="0"/>
          <w:sz w:val="28"/>
        </w:rPr>
        <w:instrText xml:space="preserve"> TOC \o "1-3" \h \z \u </w:instrText>
      </w:r>
      <w:r>
        <w:rPr>
          <w:b w:val="0"/>
          <w:sz w:val="28"/>
        </w:rPr>
        <w:fldChar w:fldCharType="separate"/>
      </w:r>
      <w:hyperlink w:anchor="_Toc34725948" w:history="1">
        <w:r w:rsidR="004037BD" w:rsidRPr="002D39E4">
          <w:rPr>
            <w:rStyle w:val="Hyperlink"/>
            <w:noProof/>
          </w:rPr>
          <w:t>Part 1—Preliminary</w:t>
        </w:r>
        <w:r w:rsidR="004037BD">
          <w:rPr>
            <w:noProof/>
            <w:webHidden/>
          </w:rPr>
          <w:tab/>
        </w:r>
        <w:r w:rsidR="004037BD">
          <w:rPr>
            <w:noProof/>
            <w:webHidden/>
          </w:rPr>
          <w:fldChar w:fldCharType="begin"/>
        </w:r>
        <w:r w:rsidR="004037BD">
          <w:rPr>
            <w:noProof/>
            <w:webHidden/>
          </w:rPr>
          <w:instrText xml:space="preserve"> PAGEREF _Toc34725948 \h </w:instrText>
        </w:r>
        <w:r w:rsidR="004037BD">
          <w:rPr>
            <w:noProof/>
            <w:webHidden/>
          </w:rPr>
        </w:r>
        <w:r w:rsidR="004037BD">
          <w:rPr>
            <w:noProof/>
            <w:webHidden/>
          </w:rPr>
          <w:fldChar w:fldCharType="separate"/>
        </w:r>
        <w:r w:rsidR="004037BD">
          <w:rPr>
            <w:noProof/>
            <w:webHidden/>
          </w:rPr>
          <w:t>3</w:t>
        </w:r>
        <w:r w:rsidR="004037BD">
          <w:rPr>
            <w:noProof/>
            <w:webHidden/>
          </w:rPr>
          <w:fldChar w:fldCharType="end"/>
        </w:r>
      </w:hyperlink>
    </w:p>
    <w:p w14:paraId="228E462D" w14:textId="64405C05" w:rsidR="004037BD" w:rsidRDefault="004037BD">
      <w:pPr>
        <w:pStyle w:val="TOC2"/>
        <w:tabs>
          <w:tab w:val="left" w:pos="1474"/>
        </w:tabs>
        <w:rPr>
          <w:rFonts w:asciiTheme="minorHAnsi" w:eastAsiaTheme="minorEastAsia" w:hAnsiTheme="minorHAnsi" w:cstheme="minorBidi"/>
          <w:noProof/>
          <w:kern w:val="0"/>
          <w:sz w:val="22"/>
          <w:szCs w:val="22"/>
        </w:rPr>
      </w:pPr>
      <w:hyperlink w:anchor="_Toc34725949" w:history="1">
        <w:r w:rsidRPr="002D39E4">
          <w:rPr>
            <w:rStyle w:val="Hyperlink"/>
            <w:noProof/>
          </w:rPr>
          <w:t>1</w:t>
        </w:r>
        <w:r>
          <w:rPr>
            <w:rFonts w:asciiTheme="minorHAnsi" w:eastAsiaTheme="minorEastAsia" w:hAnsiTheme="minorHAnsi" w:cstheme="minorBidi"/>
            <w:noProof/>
            <w:kern w:val="0"/>
            <w:sz w:val="22"/>
            <w:szCs w:val="22"/>
          </w:rPr>
          <w:tab/>
        </w:r>
        <w:r w:rsidRPr="002D39E4">
          <w:rPr>
            <w:rStyle w:val="Hyperlink"/>
            <w:noProof/>
          </w:rPr>
          <w:t>Name of legislative instrument</w:t>
        </w:r>
        <w:r>
          <w:rPr>
            <w:noProof/>
            <w:webHidden/>
          </w:rPr>
          <w:tab/>
        </w:r>
        <w:r>
          <w:rPr>
            <w:noProof/>
            <w:webHidden/>
          </w:rPr>
          <w:fldChar w:fldCharType="begin"/>
        </w:r>
        <w:r>
          <w:rPr>
            <w:noProof/>
            <w:webHidden/>
          </w:rPr>
          <w:instrText xml:space="preserve"> PAGEREF _Toc34725949 \h </w:instrText>
        </w:r>
        <w:r>
          <w:rPr>
            <w:noProof/>
            <w:webHidden/>
          </w:rPr>
        </w:r>
        <w:r>
          <w:rPr>
            <w:noProof/>
            <w:webHidden/>
          </w:rPr>
          <w:fldChar w:fldCharType="separate"/>
        </w:r>
        <w:r>
          <w:rPr>
            <w:noProof/>
            <w:webHidden/>
          </w:rPr>
          <w:t>3</w:t>
        </w:r>
        <w:r>
          <w:rPr>
            <w:noProof/>
            <w:webHidden/>
          </w:rPr>
          <w:fldChar w:fldCharType="end"/>
        </w:r>
      </w:hyperlink>
    </w:p>
    <w:p w14:paraId="4726FF71" w14:textId="1B7DB373" w:rsidR="004037BD" w:rsidRDefault="004037BD">
      <w:pPr>
        <w:pStyle w:val="TOC2"/>
        <w:tabs>
          <w:tab w:val="left" w:pos="1474"/>
        </w:tabs>
        <w:rPr>
          <w:rFonts w:asciiTheme="minorHAnsi" w:eastAsiaTheme="minorEastAsia" w:hAnsiTheme="minorHAnsi" w:cstheme="minorBidi"/>
          <w:noProof/>
          <w:kern w:val="0"/>
          <w:sz w:val="22"/>
          <w:szCs w:val="22"/>
        </w:rPr>
      </w:pPr>
      <w:hyperlink w:anchor="_Toc34725950" w:history="1">
        <w:r w:rsidRPr="002D39E4">
          <w:rPr>
            <w:rStyle w:val="Hyperlink"/>
            <w:noProof/>
          </w:rPr>
          <w:t>2</w:t>
        </w:r>
        <w:r>
          <w:rPr>
            <w:rFonts w:asciiTheme="minorHAnsi" w:eastAsiaTheme="minorEastAsia" w:hAnsiTheme="minorHAnsi" w:cstheme="minorBidi"/>
            <w:noProof/>
            <w:kern w:val="0"/>
            <w:sz w:val="22"/>
            <w:szCs w:val="22"/>
          </w:rPr>
          <w:tab/>
        </w:r>
        <w:r w:rsidRPr="002D39E4">
          <w:rPr>
            <w:rStyle w:val="Hyperlink"/>
            <w:noProof/>
          </w:rPr>
          <w:t>Commencement</w:t>
        </w:r>
        <w:r>
          <w:rPr>
            <w:noProof/>
            <w:webHidden/>
          </w:rPr>
          <w:tab/>
        </w:r>
        <w:r>
          <w:rPr>
            <w:noProof/>
            <w:webHidden/>
          </w:rPr>
          <w:fldChar w:fldCharType="begin"/>
        </w:r>
        <w:r>
          <w:rPr>
            <w:noProof/>
            <w:webHidden/>
          </w:rPr>
          <w:instrText xml:space="preserve"> PAGEREF _Toc34725950 \h </w:instrText>
        </w:r>
        <w:r>
          <w:rPr>
            <w:noProof/>
            <w:webHidden/>
          </w:rPr>
        </w:r>
        <w:r>
          <w:rPr>
            <w:noProof/>
            <w:webHidden/>
          </w:rPr>
          <w:fldChar w:fldCharType="separate"/>
        </w:r>
        <w:r>
          <w:rPr>
            <w:noProof/>
            <w:webHidden/>
          </w:rPr>
          <w:t>3</w:t>
        </w:r>
        <w:r>
          <w:rPr>
            <w:noProof/>
            <w:webHidden/>
          </w:rPr>
          <w:fldChar w:fldCharType="end"/>
        </w:r>
      </w:hyperlink>
    </w:p>
    <w:p w14:paraId="3E227CC0" w14:textId="5F1F452C" w:rsidR="004037BD" w:rsidRDefault="004037BD">
      <w:pPr>
        <w:pStyle w:val="TOC2"/>
        <w:tabs>
          <w:tab w:val="left" w:pos="1474"/>
        </w:tabs>
        <w:rPr>
          <w:rFonts w:asciiTheme="minorHAnsi" w:eastAsiaTheme="minorEastAsia" w:hAnsiTheme="minorHAnsi" w:cstheme="minorBidi"/>
          <w:noProof/>
          <w:kern w:val="0"/>
          <w:sz w:val="22"/>
          <w:szCs w:val="22"/>
        </w:rPr>
      </w:pPr>
      <w:hyperlink w:anchor="_Toc34725951" w:history="1">
        <w:r w:rsidRPr="002D39E4">
          <w:rPr>
            <w:rStyle w:val="Hyperlink"/>
            <w:noProof/>
          </w:rPr>
          <w:t>3</w:t>
        </w:r>
        <w:r>
          <w:rPr>
            <w:rFonts w:asciiTheme="minorHAnsi" w:eastAsiaTheme="minorEastAsia" w:hAnsiTheme="minorHAnsi" w:cstheme="minorBidi"/>
            <w:noProof/>
            <w:kern w:val="0"/>
            <w:sz w:val="22"/>
            <w:szCs w:val="22"/>
          </w:rPr>
          <w:tab/>
        </w:r>
        <w:r w:rsidRPr="002D39E4">
          <w:rPr>
            <w:rStyle w:val="Hyperlink"/>
            <w:noProof/>
          </w:rPr>
          <w:t>Authority</w:t>
        </w:r>
        <w:r>
          <w:rPr>
            <w:noProof/>
            <w:webHidden/>
          </w:rPr>
          <w:tab/>
        </w:r>
        <w:r>
          <w:rPr>
            <w:noProof/>
            <w:webHidden/>
          </w:rPr>
          <w:fldChar w:fldCharType="begin"/>
        </w:r>
        <w:r>
          <w:rPr>
            <w:noProof/>
            <w:webHidden/>
          </w:rPr>
          <w:instrText xml:space="preserve"> PAGEREF _Toc34725951 \h </w:instrText>
        </w:r>
        <w:r>
          <w:rPr>
            <w:noProof/>
            <w:webHidden/>
          </w:rPr>
        </w:r>
        <w:r>
          <w:rPr>
            <w:noProof/>
            <w:webHidden/>
          </w:rPr>
          <w:fldChar w:fldCharType="separate"/>
        </w:r>
        <w:r>
          <w:rPr>
            <w:noProof/>
            <w:webHidden/>
          </w:rPr>
          <w:t>3</w:t>
        </w:r>
        <w:r>
          <w:rPr>
            <w:noProof/>
            <w:webHidden/>
          </w:rPr>
          <w:fldChar w:fldCharType="end"/>
        </w:r>
      </w:hyperlink>
    </w:p>
    <w:p w14:paraId="4C189E67" w14:textId="01971FF0" w:rsidR="004037BD" w:rsidRDefault="004037BD">
      <w:pPr>
        <w:pStyle w:val="TOC2"/>
        <w:tabs>
          <w:tab w:val="left" w:pos="1474"/>
        </w:tabs>
        <w:rPr>
          <w:rFonts w:asciiTheme="minorHAnsi" w:eastAsiaTheme="minorEastAsia" w:hAnsiTheme="minorHAnsi" w:cstheme="minorBidi"/>
          <w:noProof/>
          <w:kern w:val="0"/>
          <w:sz w:val="22"/>
          <w:szCs w:val="22"/>
        </w:rPr>
      </w:pPr>
      <w:hyperlink w:anchor="_Toc34725952" w:history="1">
        <w:r w:rsidRPr="002D39E4">
          <w:rPr>
            <w:rStyle w:val="Hyperlink"/>
            <w:noProof/>
          </w:rPr>
          <w:t>4</w:t>
        </w:r>
        <w:r>
          <w:rPr>
            <w:rFonts w:asciiTheme="minorHAnsi" w:eastAsiaTheme="minorEastAsia" w:hAnsiTheme="minorHAnsi" w:cstheme="minorBidi"/>
            <w:noProof/>
            <w:kern w:val="0"/>
            <w:sz w:val="22"/>
            <w:szCs w:val="22"/>
          </w:rPr>
          <w:tab/>
        </w:r>
        <w:r w:rsidRPr="002D39E4">
          <w:rPr>
            <w:rStyle w:val="Hyperlink"/>
            <w:noProof/>
          </w:rPr>
          <w:t>Definitions</w:t>
        </w:r>
        <w:r>
          <w:rPr>
            <w:noProof/>
            <w:webHidden/>
          </w:rPr>
          <w:tab/>
        </w:r>
        <w:r>
          <w:rPr>
            <w:noProof/>
            <w:webHidden/>
          </w:rPr>
          <w:fldChar w:fldCharType="begin"/>
        </w:r>
        <w:r>
          <w:rPr>
            <w:noProof/>
            <w:webHidden/>
          </w:rPr>
          <w:instrText xml:space="preserve"> PAGEREF _Toc34725952 \h </w:instrText>
        </w:r>
        <w:r>
          <w:rPr>
            <w:noProof/>
            <w:webHidden/>
          </w:rPr>
        </w:r>
        <w:r>
          <w:rPr>
            <w:noProof/>
            <w:webHidden/>
          </w:rPr>
          <w:fldChar w:fldCharType="separate"/>
        </w:r>
        <w:r>
          <w:rPr>
            <w:noProof/>
            <w:webHidden/>
          </w:rPr>
          <w:t>3</w:t>
        </w:r>
        <w:r>
          <w:rPr>
            <w:noProof/>
            <w:webHidden/>
          </w:rPr>
          <w:fldChar w:fldCharType="end"/>
        </w:r>
      </w:hyperlink>
    </w:p>
    <w:p w14:paraId="6781A849" w14:textId="38FD933E" w:rsidR="004037BD" w:rsidRDefault="004037BD">
      <w:pPr>
        <w:pStyle w:val="TOC1"/>
        <w:rPr>
          <w:rFonts w:asciiTheme="minorHAnsi" w:eastAsiaTheme="minorEastAsia" w:hAnsiTheme="minorHAnsi" w:cstheme="minorBidi"/>
          <w:b w:val="0"/>
          <w:noProof/>
          <w:kern w:val="0"/>
          <w:sz w:val="22"/>
          <w:szCs w:val="22"/>
        </w:rPr>
      </w:pPr>
      <w:hyperlink w:anchor="_Toc34725953" w:history="1">
        <w:r w:rsidRPr="002D39E4">
          <w:rPr>
            <w:rStyle w:val="Hyperlink"/>
            <w:noProof/>
          </w:rPr>
          <w:t>Part 2—Exemption</w:t>
        </w:r>
        <w:r>
          <w:rPr>
            <w:noProof/>
            <w:webHidden/>
          </w:rPr>
          <w:tab/>
        </w:r>
        <w:r>
          <w:rPr>
            <w:noProof/>
            <w:webHidden/>
          </w:rPr>
          <w:fldChar w:fldCharType="begin"/>
        </w:r>
        <w:r>
          <w:rPr>
            <w:noProof/>
            <w:webHidden/>
          </w:rPr>
          <w:instrText xml:space="preserve"> PAGEREF _Toc34725953 \h </w:instrText>
        </w:r>
        <w:r>
          <w:rPr>
            <w:noProof/>
            <w:webHidden/>
          </w:rPr>
        </w:r>
        <w:r>
          <w:rPr>
            <w:noProof/>
            <w:webHidden/>
          </w:rPr>
          <w:fldChar w:fldCharType="separate"/>
        </w:r>
        <w:r>
          <w:rPr>
            <w:noProof/>
            <w:webHidden/>
          </w:rPr>
          <w:t>7</w:t>
        </w:r>
        <w:r>
          <w:rPr>
            <w:noProof/>
            <w:webHidden/>
          </w:rPr>
          <w:fldChar w:fldCharType="end"/>
        </w:r>
      </w:hyperlink>
    </w:p>
    <w:p w14:paraId="7421F4AC" w14:textId="39758CE5" w:rsidR="004037BD" w:rsidRDefault="004037BD">
      <w:pPr>
        <w:pStyle w:val="TOC2"/>
        <w:tabs>
          <w:tab w:val="left" w:pos="1474"/>
        </w:tabs>
        <w:rPr>
          <w:rFonts w:asciiTheme="minorHAnsi" w:eastAsiaTheme="minorEastAsia" w:hAnsiTheme="minorHAnsi" w:cstheme="minorBidi"/>
          <w:noProof/>
          <w:kern w:val="0"/>
          <w:sz w:val="22"/>
          <w:szCs w:val="22"/>
        </w:rPr>
      </w:pPr>
      <w:hyperlink w:anchor="_Toc34725954" w:history="1">
        <w:r w:rsidRPr="002D39E4">
          <w:rPr>
            <w:rStyle w:val="Hyperlink"/>
            <w:noProof/>
          </w:rPr>
          <w:t>5</w:t>
        </w:r>
        <w:r>
          <w:rPr>
            <w:rFonts w:asciiTheme="minorHAnsi" w:eastAsiaTheme="minorEastAsia" w:hAnsiTheme="minorHAnsi" w:cstheme="minorBidi"/>
            <w:noProof/>
            <w:kern w:val="0"/>
            <w:sz w:val="22"/>
            <w:szCs w:val="22"/>
          </w:rPr>
          <w:tab/>
        </w:r>
        <w:r w:rsidRPr="002D39E4">
          <w:rPr>
            <w:rStyle w:val="Hyperlink"/>
            <w:noProof/>
          </w:rPr>
          <w:t>Licensing</w:t>
        </w:r>
        <w:r>
          <w:rPr>
            <w:noProof/>
            <w:webHidden/>
          </w:rPr>
          <w:tab/>
        </w:r>
        <w:r>
          <w:rPr>
            <w:noProof/>
            <w:webHidden/>
          </w:rPr>
          <w:fldChar w:fldCharType="begin"/>
        </w:r>
        <w:r>
          <w:rPr>
            <w:noProof/>
            <w:webHidden/>
          </w:rPr>
          <w:instrText xml:space="preserve"> PAGEREF _Toc34725954 \h </w:instrText>
        </w:r>
        <w:r>
          <w:rPr>
            <w:noProof/>
            <w:webHidden/>
          </w:rPr>
        </w:r>
        <w:r>
          <w:rPr>
            <w:noProof/>
            <w:webHidden/>
          </w:rPr>
          <w:fldChar w:fldCharType="separate"/>
        </w:r>
        <w:r>
          <w:rPr>
            <w:noProof/>
            <w:webHidden/>
          </w:rPr>
          <w:t>7</w:t>
        </w:r>
        <w:r>
          <w:rPr>
            <w:noProof/>
            <w:webHidden/>
          </w:rPr>
          <w:fldChar w:fldCharType="end"/>
        </w:r>
      </w:hyperlink>
    </w:p>
    <w:p w14:paraId="55B469DD" w14:textId="6BCD1013" w:rsidR="004037BD" w:rsidRDefault="004037BD">
      <w:pPr>
        <w:pStyle w:val="TOC2"/>
        <w:tabs>
          <w:tab w:val="left" w:pos="1474"/>
        </w:tabs>
        <w:rPr>
          <w:rFonts w:asciiTheme="minorHAnsi" w:eastAsiaTheme="minorEastAsia" w:hAnsiTheme="minorHAnsi" w:cstheme="minorBidi"/>
          <w:noProof/>
          <w:kern w:val="0"/>
          <w:sz w:val="22"/>
          <w:szCs w:val="22"/>
        </w:rPr>
      </w:pPr>
      <w:hyperlink w:anchor="_Toc34725955" w:history="1">
        <w:r w:rsidRPr="002D39E4">
          <w:rPr>
            <w:rStyle w:val="Hyperlink"/>
            <w:noProof/>
          </w:rPr>
          <w:t>6</w:t>
        </w:r>
        <w:r>
          <w:rPr>
            <w:rFonts w:asciiTheme="minorHAnsi" w:eastAsiaTheme="minorEastAsia" w:hAnsiTheme="minorHAnsi" w:cstheme="minorBidi"/>
            <w:noProof/>
            <w:kern w:val="0"/>
            <w:sz w:val="22"/>
            <w:szCs w:val="22"/>
          </w:rPr>
          <w:tab/>
        </w:r>
        <w:r w:rsidRPr="002D39E4">
          <w:rPr>
            <w:rStyle w:val="Hyperlink"/>
            <w:noProof/>
          </w:rPr>
          <w:t>Where the exemption applies</w:t>
        </w:r>
        <w:r>
          <w:rPr>
            <w:noProof/>
            <w:webHidden/>
          </w:rPr>
          <w:tab/>
        </w:r>
        <w:r>
          <w:rPr>
            <w:noProof/>
            <w:webHidden/>
          </w:rPr>
          <w:fldChar w:fldCharType="begin"/>
        </w:r>
        <w:r>
          <w:rPr>
            <w:noProof/>
            <w:webHidden/>
          </w:rPr>
          <w:instrText xml:space="preserve"> PAGEREF _Toc34725955 \h </w:instrText>
        </w:r>
        <w:r>
          <w:rPr>
            <w:noProof/>
            <w:webHidden/>
          </w:rPr>
        </w:r>
        <w:r>
          <w:rPr>
            <w:noProof/>
            <w:webHidden/>
          </w:rPr>
          <w:fldChar w:fldCharType="separate"/>
        </w:r>
        <w:r>
          <w:rPr>
            <w:noProof/>
            <w:webHidden/>
          </w:rPr>
          <w:t>7</w:t>
        </w:r>
        <w:r>
          <w:rPr>
            <w:noProof/>
            <w:webHidden/>
          </w:rPr>
          <w:fldChar w:fldCharType="end"/>
        </w:r>
      </w:hyperlink>
    </w:p>
    <w:p w14:paraId="054E1509" w14:textId="001B79AF" w:rsidR="004037BD" w:rsidRDefault="004037BD">
      <w:pPr>
        <w:pStyle w:val="TOC2"/>
        <w:tabs>
          <w:tab w:val="left" w:pos="1474"/>
        </w:tabs>
        <w:rPr>
          <w:rFonts w:asciiTheme="minorHAnsi" w:eastAsiaTheme="minorEastAsia" w:hAnsiTheme="minorHAnsi" w:cstheme="minorBidi"/>
          <w:noProof/>
          <w:kern w:val="0"/>
          <w:sz w:val="22"/>
          <w:szCs w:val="22"/>
        </w:rPr>
      </w:pPr>
      <w:hyperlink w:anchor="_Toc34725956" w:history="1">
        <w:r w:rsidRPr="002D39E4">
          <w:rPr>
            <w:rStyle w:val="Hyperlink"/>
            <w:noProof/>
          </w:rPr>
          <w:t>7</w:t>
        </w:r>
        <w:r>
          <w:rPr>
            <w:rFonts w:asciiTheme="minorHAnsi" w:eastAsiaTheme="minorEastAsia" w:hAnsiTheme="minorHAnsi" w:cstheme="minorBidi"/>
            <w:noProof/>
            <w:kern w:val="0"/>
            <w:sz w:val="22"/>
            <w:szCs w:val="22"/>
          </w:rPr>
          <w:tab/>
        </w:r>
        <w:r w:rsidRPr="002D39E4">
          <w:rPr>
            <w:rStyle w:val="Hyperlink"/>
            <w:noProof/>
          </w:rPr>
          <w:t>Condition</w:t>
        </w:r>
        <w:r>
          <w:rPr>
            <w:noProof/>
            <w:webHidden/>
          </w:rPr>
          <w:tab/>
        </w:r>
        <w:r>
          <w:rPr>
            <w:noProof/>
            <w:webHidden/>
          </w:rPr>
          <w:fldChar w:fldCharType="begin"/>
        </w:r>
        <w:r>
          <w:rPr>
            <w:noProof/>
            <w:webHidden/>
          </w:rPr>
          <w:instrText xml:space="preserve"> PAGEREF _Toc34725956 \h </w:instrText>
        </w:r>
        <w:r>
          <w:rPr>
            <w:noProof/>
            <w:webHidden/>
          </w:rPr>
        </w:r>
        <w:r>
          <w:rPr>
            <w:noProof/>
            <w:webHidden/>
          </w:rPr>
          <w:fldChar w:fldCharType="separate"/>
        </w:r>
        <w:r>
          <w:rPr>
            <w:noProof/>
            <w:webHidden/>
          </w:rPr>
          <w:t>8</w:t>
        </w:r>
        <w:r>
          <w:rPr>
            <w:noProof/>
            <w:webHidden/>
          </w:rPr>
          <w:fldChar w:fldCharType="end"/>
        </w:r>
      </w:hyperlink>
    </w:p>
    <w:p w14:paraId="2B9FE702" w14:textId="58B47C6A" w:rsidR="008A4A95" w:rsidRPr="008A4A95" w:rsidRDefault="00204BE0" w:rsidP="00204BE0">
      <w:pPr>
        <w:spacing w:after="0" w:line="260" w:lineRule="atLeast"/>
        <w:rPr>
          <w:rFonts w:ascii="Times New Roman" w:eastAsia="Calibri" w:hAnsi="Times New Roman" w:cs="Times New Roman"/>
          <w:szCs w:val="20"/>
        </w:rPr>
        <w:sectPr w:rsidR="008A4A95" w:rsidRPr="008A4A95" w:rsidSect="008A4A95">
          <w:headerReference w:type="even" r:id="rId17"/>
          <w:headerReference w:type="default" r:id="rId18"/>
          <w:footerReference w:type="even" r:id="rId19"/>
          <w:footerReference w:type="default" r:id="rId20"/>
          <w:headerReference w:type="first" r:id="rId21"/>
          <w:pgSz w:w="11907" w:h="16839"/>
          <w:pgMar w:top="1098" w:right="1797" w:bottom="1440" w:left="1797" w:header="720" w:footer="709" w:gutter="0"/>
          <w:pgNumType w:fmt="lowerRoman"/>
          <w:cols w:space="708"/>
          <w:docGrid w:linePitch="360"/>
        </w:sectPr>
      </w:pPr>
      <w:r>
        <w:rPr>
          <w:rFonts w:eastAsia="Times New Roman"/>
          <w:b/>
          <w:kern w:val="28"/>
          <w:sz w:val="28"/>
          <w:lang w:eastAsia="en-AU"/>
        </w:rPr>
        <w:fldChar w:fldCharType="end"/>
      </w:r>
    </w:p>
    <w:p w14:paraId="306E1098" w14:textId="77777777" w:rsidR="008A4A95" w:rsidRPr="008A4A95" w:rsidRDefault="008A4A95" w:rsidP="008A4A95">
      <w:pPr>
        <w:keepNext/>
        <w:keepLines/>
        <w:spacing w:before="280" w:after="0" w:line="240" w:lineRule="auto"/>
        <w:ind w:left="1134" w:hanging="1134"/>
        <w:outlineLvl w:val="0"/>
        <w:rPr>
          <w:rFonts w:ascii="Times New Roman" w:eastAsia="Times New Roman" w:hAnsi="Times New Roman" w:cs="Times New Roman"/>
          <w:b/>
          <w:kern w:val="28"/>
          <w:sz w:val="32"/>
          <w:szCs w:val="20"/>
          <w:lang w:eastAsia="en-AU"/>
        </w:rPr>
      </w:pPr>
      <w:bookmarkStart w:id="3" w:name="BK_S3P1L1C1"/>
      <w:bookmarkStart w:id="4" w:name="_Toc34725948"/>
      <w:bookmarkEnd w:id="3"/>
      <w:r w:rsidRPr="008A4A95">
        <w:rPr>
          <w:rFonts w:ascii="Times New Roman" w:eastAsia="Times New Roman" w:hAnsi="Times New Roman" w:cs="Times New Roman"/>
          <w:b/>
          <w:kern w:val="28"/>
          <w:sz w:val="32"/>
          <w:szCs w:val="20"/>
          <w:lang w:eastAsia="en-AU"/>
        </w:rPr>
        <w:lastRenderedPageBreak/>
        <w:t>Part 1—Preliminary</w:t>
      </w:r>
      <w:bookmarkEnd w:id="4"/>
    </w:p>
    <w:p w14:paraId="097F7209" w14:textId="77777777" w:rsidR="008A4A95" w:rsidRPr="008A4A95" w:rsidRDefault="008A4A95" w:rsidP="002B62FB">
      <w:pPr>
        <w:pStyle w:val="LI-Heading2"/>
        <w:rPr>
          <w:b w:val="0"/>
          <w:szCs w:val="24"/>
        </w:rPr>
      </w:pPr>
      <w:bookmarkStart w:id="5" w:name="_Toc34725949"/>
      <w:r w:rsidRPr="008A4A95">
        <w:rPr>
          <w:szCs w:val="24"/>
        </w:rPr>
        <w:t>1</w:t>
      </w:r>
      <w:r w:rsidRPr="008A4A95">
        <w:rPr>
          <w:szCs w:val="24"/>
        </w:rPr>
        <w:tab/>
        <w:t>Name of legislative instrument</w:t>
      </w:r>
      <w:bookmarkEnd w:id="5"/>
    </w:p>
    <w:p w14:paraId="79467C70" w14:textId="77E5EC6F" w:rsidR="008A4A95" w:rsidRPr="008A4A95" w:rsidRDefault="008A4A95" w:rsidP="002B62FB">
      <w:pPr>
        <w:pStyle w:val="LI-BodyTextUnnumbered"/>
      </w:pPr>
      <w:r w:rsidRPr="008A4A95">
        <w:t xml:space="preserve">This is the </w:t>
      </w:r>
      <w:r w:rsidRPr="002B62FB">
        <w:rPr>
          <w:i/>
        </w:rPr>
        <w:t>ASIC Corporations (Foreign Financial Services Provider</w:t>
      </w:r>
      <w:r w:rsidR="005E742A" w:rsidRPr="002B62FB">
        <w:rPr>
          <w:i/>
        </w:rPr>
        <w:t>s</w:t>
      </w:r>
      <w:r w:rsidR="00A70624" w:rsidRPr="002B62FB">
        <w:rPr>
          <w:i/>
        </w:rPr>
        <w:t>—</w:t>
      </w:r>
      <w:r w:rsidR="005E742A" w:rsidRPr="002B62FB">
        <w:rPr>
          <w:i/>
        </w:rPr>
        <w:t>Funds Management Financial Services</w:t>
      </w:r>
      <w:r w:rsidRPr="002B62FB">
        <w:rPr>
          <w:i/>
        </w:rPr>
        <w:t>) Instrument 20</w:t>
      </w:r>
      <w:r w:rsidR="006A60FD">
        <w:rPr>
          <w:i/>
        </w:rPr>
        <w:t>20</w:t>
      </w:r>
      <w:r w:rsidRPr="002B62FB">
        <w:rPr>
          <w:i/>
        </w:rPr>
        <w:t>/</w:t>
      </w:r>
      <w:r w:rsidR="006869C4">
        <w:rPr>
          <w:i/>
        </w:rPr>
        <w:t>199</w:t>
      </w:r>
      <w:r w:rsidRPr="002B62FB">
        <w:t>.</w:t>
      </w:r>
    </w:p>
    <w:p w14:paraId="2020C53B" w14:textId="77777777" w:rsidR="008A4A95" w:rsidRPr="008A4A95" w:rsidRDefault="008A4A95" w:rsidP="002B62FB">
      <w:pPr>
        <w:pStyle w:val="LI-Heading2"/>
        <w:rPr>
          <w:b w:val="0"/>
          <w:szCs w:val="24"/>
        </w:rPr>
      </w:pPr>
      <w:bookmarkStart w:id="6" w:name="_Toc34725950"/>
      <w:r w:rsidRPr="008A4A95">
        <w:rPr>
          <w:szCs w:val="24"/>
        </w:rPr>
        <w:t>2</w:t>
      </w:r>
      <w:r w:rsidRPr="008A4A95">
        <w:rPr>
          <w:szCs w:val="24"/>
        </w:rPr>
        <w:tab/>
        <w:t>Commencement</w:t>
      </w:r>
      <w:bookmarkEnd w:id="6"/>
    </w:p>
    <w:p w14:paraId="243B3BAE" w14:textId="567714F3" w:rsidR="008A4A95" w:rsidRPr="008A4A95" w:rsidRDefault="008A4A95" w:rsidP="002B62FB">
      <w:pPr>
        <w:pStyle w:val="LI-BodyTextUnnumbered"/>
        <w:rPr>
          <w:szCs w:val="24"/>
        </w:rPr>
      </w:pPr>
      <w:r w:rsidRPr="008A4A95">
        <w:rPr>
          <w:szCs w:val="24"/>
        </w:rPr>
        <w:t xml:space="preserve">This </w:t>
      </w:r>
      <w:r w:rsidRPr="002B62FB">
        <w:t>instrument</w:t>
      </w:r>
      <w:r w:rsidRPr="008A4A95">
        <w:rPr>
          <w:szCs w:val="24"/>
        </w:rPr>
        <w:t xml:space="preserve"> commences on </w:t>
      </w:r>
      <w:r w:rsidR="00490AA6">
        <w:rPr>
          <w:szCs w:val="24"/>
        </w:rPr>
        <w:t>1 April 202</w:t>
      </w:r>
      <w:r w:rsidR="007F67A9">
        <w:rPr>
          <w:szCs w:val="24"/>
        </w:rPr>
        <w:t>2</w:t>
      </w:r>
      <w:r w:rsidRPr="008A4A95">
        <w:rPr>
          <w:szCs w:val="24"/>
        </w:rPr>
        <w:t>.</w:t>
      </w:r>
    </w:p>
    <w:p w14:paraId="0F6D547C" w14:textId="7F020765" w:rsidR="008A4A95" w:rsidRPr="008A4A95" w:rsidRDefault="008A4A95" w:rsidP="002B62FB">
      <w:pPr>
        <w:pStyle w:val="LI-BodyTextNote"/>
      </w:pPr>
      <w:r w:rsidRPr="008A4A95">
        <w:t>Note:</w:t>
      </w:r>
      <w:r w:rsidRPr="008A4A95">
        <w:tab/>
        <w:t xml:space="preserve">The register may be accessed at </w:t>
      </w:r>
      <w:hyperlink r:id="rId22" w:history="1">
        <w:r w:rsidRPr="008A4A95">
          <w:rPr>
            <w:color w:val="0000FF"/>
            <w:u w:val="single"/>
          </w:rPr>
          <w:t>www.legislation.gov.au</w:t>
        </w:r>
      </w:hyperlink>
      <w:r w:rsidRPr="008A4A95">
        <w:t>.</w:t>
      </w:r>
    </w:p>
    <w:p w14:paraId="704EDD74" w14:textId="77777777" w:rsidR="008A4A95" w:rsidRPr="008A4A95" w:rsidRDefault="008A4A95" w:rsidP="002B62FB">
      <w:pPr>
        <w:pStyle w:val="LI-Heading2"/>
        <w:rPr>
          <w:b w:val="0"/>
          <w:szCs w:val="24"/>
        </w:rPr>
      </w:pPr>
      <w:bookmarkStart w:id="7" w:name="_Toc34725951"/>
      <w:r w:rsidRPr="008A4A95">
        <w:rPr>
          <w:szCs w:val="24"/>
        </w:rPr>
        <w:t>3</w:t>
      </w:r>
      <w:r w:rsidRPr="008A4A95">
        <w:rPr>
          <w:szCs w:val="24"/>
        </w:rPr>
        <w:tab/>
        <w:t>Authority</w:t>
      </w:r>
      <w:bookmarkEnd w:id="7"/>
    </w:p>
    <w:p w14:paraId="1C92A520" w14:textId="2F602367" w:rsidR="008A4A95" w:rsidRPr="008A4A95" w:rsidRDefault="008A4A95" w:rsidP="002B62FB">
      <w:pPr>
        <w:pStyle w:val="LI-BodyTextUnnumbered"/>
        <w:rPr>
          <w:szCs w:val="24"/>
        </w:rPr>
      </w:pPr>
      <w:r w:rsidRPr="008A4A95">
        <w:rPr>
          <w:szCs w:val="24"/>
        </w:rPr>
        <w:t xml:space="preserve">This instrument is made under </w:t>
      </w:r>
      <w:r w:rsidRPr="008A4A95">
        <w:t>subsection 926</w:t>
      </w:r>
      <w:proofErr w:type="gramStart"/>
      <w:r w:rsidRPr="008A4A95">
        <w:t>A(</w:t>
      </w:r>
      <w:proofErr w:type="gramEnd"/>
      <w:r w:rsidRPr="008A4A95">
        <w:t>2)</w:t>
      </w:r>
      <w:r>
        <w:t xml:space="preserve"> of </w:t>
      </w:r>
      <w:r w:rsidRPr="008A4A95">
        <w:t xml:space="preserve">the </w:t>
      </w:r>
      <w:r w:rsidRPr="008A4A95">
        <w:rPr>
          <w:i/>
        </w:rPr>
        <w:t>Corporations Act 2001</w:t>
      </w:r>
      <w:r w:rsidRPr="008A4A95">
        <w:t>.</w:t>
      </w:r>
    </w:p>
    <w:p w14:paraId="40D58B60" w14:textId="77777777" w:rsidR="008A4A95" w:rsidRPr="008A4A95" w:rsidRDefault="008A4A95" w:rsidP="002B62FB">
      <w:pPr>
        <w:pStyle w:val="LI-Heading2"/>
        <w:rPr>
          <w:b w:val="0"/>
          <w:szCs w:val="24"/>
        </w:rPr>
      </w:pPr>
      <w:bookmarkStart w:id="8" w:name="_Toc34725952"/>
      <w:r w:rsidRPr="008A4A95">
        <w:rPr>
          <w:szCs w:val="24"/>
        </w:rPr>
        <w:t>4</w:t>
      </w:r>
      <w:r w:rsidRPr="008A4A95">
        <w:rPr>
          <w:szCs w:val="24"/>
        </w:rPr>
        <w:tab/>
        <w:t>Definitions</w:t>
      </w:r>
      <w:bookmarkEnd w:id="8"/>
    </w:p>
    <w:p w14:paraId="5B50B80B" w14:textId="77777777" w:rsidR="008A4A95" w:rsidRPr="008A4A95" w:rsidRDefault="008A4A95" w:rsidP="002B62FB">
      <w:pPr>
        <w:pStyle w:val="LI-BodyTextUnnumbered"/>
      </w:pPr>
      <w:r w:rsidRPr="008A4A95">
        <w:t>In this instrument:</w:t>
      </w:r>
    </w:p>
    <w:p w14:paraId="5013462F" w14:textId="4F000D6B" w:rsidR="00BC35E7" w:rsidRDefault="00BC35E7" w:rsidP="002B62FB">
      <w:pPr>
        <w:pStyle w:val="LI-BodyTextUnnumbered"/>
      </w:pPr>
      <w:r w:rsidRPr="002B62FB">
        <w:rPr>
          <w:b/>
          <w:i/>
        </w:rPr>
        <w:t>Act</w:t>
      </w:r>
      <w:r>
        <w:rPr>
          <w:b/>
        </w:rPr>
        <w:t xml:space="preserve"> </w:t>
      </w:r>
      <w:r w:rsidRPr="00943B39">
        <w:t xml:space="preserve">means the </w:t>
      </w:r>
      <w:r w:rsidRPr="000E30D8">
        <w:rPr>
          <w:i/>
        </w:rPr>
        <w:t>Corporations Act 2001</w:t>
      </w:r>
      <w:r w:rsidRPr="00943B39">
        <w:t>.</w:t>
      </w:r>
    </w:p>
    <w:p w14:paraId="4C8D872F" w14:textId="7BE56D4E" w:rsidR="003D0276" w:rsidRDefault="004337B8" w:rsidP="002B62FB">
      <w:pPr>
        <w:pStyle w:val="LI-BodyTextUnnumbered"/>
      </w:pPr>
      <w:r w:rsidRPr="004337B8">
        <w:rPr>
          <w:b/>
          <w:i/>
        </w:rPr>
        <w:t>agent</w:t>
      </w:r>
      <w:r w:rsidR="00313EB7">
        <w:rPr>
          <w:b/>
          <w:i/>
        </w:rPr>
        <w:t xml:space="preserve"> for service</w:t>
      </w:r>
      <w:r w:rsidRPr="004337B8">
        <w:rPr>
          <w:b/>
          <w:i/>
        </w:rPr>
        <w:t xml:space="preserve"> </w:t>
      </w:r>
      <w:r w:rsidR="000D59CD">
        <w:t xml:space="preserve">of a </w:t>
      </w:r>
      <w:r w:rsidR="009E36C0">
        <w:t>person</w:t>
      </w:r>
      <w:r w:rsidR="000D59CD">
        <w:t xml:space="preserve"> </w:t>
      </w:r>
      <w:r w:rsidR="00FF145F">
        <w:t>(</w:t>
      </w:r>
      <w:r w:rsidR="00FF145F" w:rsidRPr="00505F94">
        <w:rPr>
          <w:b/>
          <w:i/>
        </w:rPr>
        <w:t>first person</w:t>
      </w:r>
      <w:r w:rsidR="00FF145F">
        <w:t xml:space="preserve">) </w:t>
      </w:r>
      <w:r w:rsidRPr="00943B39">
        <w:t>means</w:t>
      </w:r>
      <w:r w:rsidR="003D0276">
        <w:t xml:space="preserve"> a person:</w:t>
      </w:r>
      <w:r w:rsidR="00BC35E7">
        <w:t xml:space="preserve"> </w:t>
      </w:r>
    </w:p>
    <w:p w14:paraId="54487F36" w14:textId="4AAC4A4C" w:rsidR="00FF145F" w:rsidRDefault="00FF145F" w:rsidP="00FF145F">
      <w:pPr>
        <w:pStyle w:val="LI-BodyTextUnnumbered"/>
        <w:ind w:left="1701" w:hanging="567"/>
      </w:pPr>
      <w:r w:rsidRPr="00505F94">
        <w:t>(a)</w:t>
      </w:r>
      <w:r w:rsidRPr="00505F94">
        <w:tab/>
        <w:t>who is</w:t>
      </w:r>
      <w:r>
        <w:rPr>
          <w:b/>
          <w:i/>
        </w:rPr>
        <w:t xml:space="preserve"> </w:t>
      </w:r>
      <w:r w:rsidR="004337B8" w:rsidRPr="00943B39">
        <w:t>a natural person ordinarily resident in Australia or a company</w:t>
      </w:r>
      <w:r>
        <w:t>;</w:t>
      </w:r>
      <w:r w:rsidR="004337B8" w:rsidRPr="00943B39">
        <w:t xml:space="preserve"> </w:t>
      </w:r>
    </w:p>
    <w:p w14:paraId="45207A9D" w14:textId="4EAB15B5" w:rsidR="00FF145F" w:rsidRDefault="00FF145F" w:rsidP="00FF145F">
      <w:pPr>
        <w:pStyle w:val="LI-BodyTextUnnumbered"/>
        <w:ind w:left="1701" w:hanging="567"/>
      </w:pPr>
      <w:r>
        <w:t>(b)</w:t>
      </w:r>
      <w:r>
        <w:tab/>
      </w:r>
      <w:r w:rsidR="004337B8" w:rsidRPr="00943B39">
        <w:t xml:space="preserve">whose name and address have been provided to ASIC in writing for the </w:t>
      </w:r>
      <w:r w:rsidR="004337B8" w:rsidRPr="002B62FB">
        <w:t>purposes</w:t>
      </w:r>
      <w:r w:rsidR="004337B8" w:rsidRPr="00943B39">
        <w:t xml:space="preserve"> of this instrument</w:t>
      </w:r>
      <w:r>
        <w:t>;</w:t>
      </w:r>
      <w:r w:rsidR="004337B8" w:rsidRPr="00943B39">
        <w:t xml:space="preserve"> and </w:t>
      </w:r>
    </w:p>
    <w:p w14:paraId="6D1B44EF" w14:textId="6A94172B" w:rsidR="00DD670A" w:rsidRPr="00344940" w:rsidRDefault="00FF145F" w:rsidP="00344940">
      <w:pPr>
        <w:pStyle w:val="LI-BodyTextUnnumbered"/>
        <w:ind w:left="1701" w:hanging="567"/>
        <w:rPr>
          <w:b/>
          <w:i/>
        </w:rPr>
      </w:pPr>
      <w:r>
        <w:t>(c)</w:t>
      </w:r>
      <w:r>
        <w:tab/>
      </w:r>
      <w:r w:rsidR="004337B8" w:rsidRPr="00943B39">
        <w:t xml:space="preserve">who is authorised to accept on the </w:t>
      </w:r>
      <w:r>
        <w:t xml:space="preserve">first </w:t>
      </w:r>
      <w:r w:rsidR="009E36C0">
        <w:t>person</w:t>
      </w:r>
      <w:r w:rsidR="000D59CD" w:rsidRPr="00943B39">
        <w:t>’s</w:t>
      </w:r>
      <w:r w:rsidR="004337B8" w:rsidRPr="00943B39">
        <w:t xml:space="preserve"> behalf, service of process from ASIC and, in relation to proceedings relating to a financial services law, from any person referred to in subsection 659</w:t>
      </w:r>
      <w:proofErr w:type="gramStart"/>
      <w:r w:rsidR="004337B8" w:rsidRPr="00943B39">
        <w:t>B(</w:t>
      </w:r>
      <w:proofErr w:type="gramEnd"/>
      <w:r w:rsidR="004337B8" w:rsidRPr="00943B39">
        <w:t>1) of the Act.</w:t>
      </w:r>
    </w:p>
    <w:p w14:paraId="5973C651" w14:textId="0F8602E9" w:rsidR="002E2AFB" w:rsidRDefault="002E2AFB" w:rsidP="002F1CA0">
      <w:pPr>
        <w:pStyle w:val="LI-BodyTextUnnumbered"/>
      </w:pPr>
      <w:r>
        <w:rPr>
          <w:b/>
          <w:i/>
        </w:rPr>
        <w:t>eligible Australian user</w:t>
      </w:r>
      <w:r>
        <w:t xml:space="preserve"> means </w:t>
      </w:r>
      <w:r w:rsidR="00467038">
        <w:t>any of the following</w:t>
      </w:r>
      <w:r w:rsidR="009003BF">
        <w:t xml:space="preserve"> persons in this jurisdiction</w:t>
      </w:r>
      <w:r w:rsidR="00467038">
        <w:t xml:space="preserve">: </w:t>
      </w:r>
    </w:p>
    <w:p w14:paraId="63E8CF3F" w14:textId="75C4BDFB" w:rsidR="00467038" w:rsidRDefault="00467038" w:rsidP="00467038">
      <w:pPr>
        <w:pStyle w:val="LI-BodyTextUnnumbered"/>
        <w:ind w:left="1701" w:hanging="567"/>
      </w:pPr>
      <w:r>
        <w:t>(a)</w:t>
      </w:r>
      <w:r>
        <w:tab/>
        <w:t xml:space="preserve">a responsible entity </w:t>
      </w:r>
      <w:r w:rsidR="00D12B99">
        <w:t>of a registered scheme;</w:t>
      </w:r>
      <w:r>
        <w:t xml:space="preserve"> </w:t>
      </w:r>
    </w:p>
    <w:p w14:paraId="2F69DB1A" w14:textId="372F137D" w:rsidR="00467038" w:rsidRDefault="00467038" w:rsidP="00467038">
      <w:pPr>
        <w:pStyle w:val="LI-BodyTextUnnumbered"/>
        <w:ind w:left="1701" w:hanging="567"/>
      </w:pPr>
      <w:r>
        <w:t>(b)</w:t>
      </w:r>
      <w:r>
        <w:tab/>
      </w:r>
      <w:r w:rsidR="00BF0B23">
        <w:t>a</w:t>
      </w:r>
      <w:r w:rsidR="00CD63D1">
        <w:t xml:space="preserve"> </w:t>
      </w:r>
      <w:r>
        <w:t>trustee</w:t>
      </w:r>
      <w:r w:rsidR="00866C98">
        <w:t xml:space="preserve"> </w:t>
      </w:r>
      <w:r>
        <w:t>of</w:t>
      </w:r>
      <w:r w:rsidR="00BF0B23">
        <w:t xml:space="preserve"> any of the following</w:t>
      </w:r>
      <w:r>
        <w:t>:</w:t>
      </w:r>
    </w:p>
    <w:p w14:paraId="0566821F" w14:textId="4AF45B28" w:rsidR="00866C98" w:rsidRDefault="00467038" w:rsidP="00866C98">
      <w:pPr>
        <w:pStyle w:val="LI-BodyTextUnnumbered"/>
        <w:ind w:left="2268" w:hanging="567"/>
      </w:pPr>
      <w:r>
        <w:t>(</w:t>
      </w:r>
      <w:proofErr w:type="spellStart"/>
      <w:r>
        <w:t>i</w:t>
      </w:r>
      <w:proofErr w:type="spellEnd"/>
      <w:r>
        <w:t>)</w:t>
      </w:r>
      <w:r>
        <w:tab/>
      </w:r>
      <w:r w:rsidR="00866C98">
        <w:t>a superannuation fund;</w:t>
      </w:r>
    </w:p>
    <w:p w14:paraId="489A9CB4" w14:textId="0C49CBC8" w:rsidR="00866C98" w:rsidRDefault="00866C98" w:rsidP="00866C98">
      <w:pPr>
        <w:pStyle w:val="LI-BodyTextUnnumbered"/>
        <w:ind w:left="2268" w:hanging="567"/>
      </w:pPr>
      <w:r>
        <w:t>(ii)</w:t>
      </w:r>
      <w:r>
        <w:tab/>
        <w:t>an approved deposit fund;</w:t>
      </w:r>
    </w:p>
    <w:p w14:paraId="6E7A7D21" w14:textId="25ABB238" w:rsidR="00866C98" w:rsidRDefault="00866C98" w:rsidP="00866C98">
      <w:pPr>
        <w:pStyle w:val="LI-BodyTextUnnumbered"/>
        <w:ind w:left="2268" w:hanging="567"/>
      </w:pPr>
      <w:r>
        <w:t>(iii)</w:t>
      </w:r>
      <w:r>
        <w:tab/>
        <w:t>a pooled superannuation trust;</w:t>
      </w:r>
    </w:p>
    <w:p w14:paraId="4A5CBA59" w14:textId="7A4592C3" w:rsidR="00D1753C" w:rsidRDefault="00866C98" w:rsidP="00866C98">
      <w:pPr>
        <w:pStyle w:val="LI-BodyTextUnnumbered"/>
        <w:ind w:left="2268" w:hanging="567"/>
      </w:pPr>
      <w:r>
        <w:lastRenderedPageBreak/>
        <w:t>(iv)</w:t>
      </w:r>
      <w:r>
        <w:tab/>
        <w:t>a public</w:t>
      </w:r>
      <w:r w:rsidR="00D7212E">
        <w:t xml:space="preserve"> </w:t>
      </w:r>
      <w:r>
        <w:t xml:space="preserve">sector superannuation </w:t>
      </w:r>
      <w:r w:rsidR="00D7212E">
        <w:t>scheme</w:t>
      </w:r>
      <w:r>
        <w:t>;</w:t>
      </w:r>
    </w:p>
    <w:p w14:paraId="68E5C60B" w14:textId="2C1C8CA2" w:rsidR="00884BA4" w:rsidRDefault="00884BA4" w:rsidP="00884BA4">
      <w:pPr>
        <w:pStyle w:val="LI-BodyTextUnnumbered"/>
        <w:ind w:left="1701"/>
      </w:pPr>
      <w:r>
        <w:t xml:space="preserve">within the meaning of the </w:t>
      </w:r>
      <w:r w:rsidRPr="00884BA4">
        <w:t>S</w:t>
      </w:r>
      <w:r w:rsidRPr="007B6C0C">
        <w:rPr>
          <w:i/>
        </w:rPr>
        <w:t>uperannuation Industry (Supervision) Act 1993</w:t>
      </w:r>
      <w:r w:rsidRPr="00884BA4">
        <w:t xml:space="preserve"> </w:t>
      </w:r>
      <w:r w:rsidR="00FF145F">
        <w:t>where</w:t>
      </w:r>
      <w:r>
        <w:t xml:space="preserve"> the fund, trust or scheme has net assets of at least $10 million;</w:t>
      </w:r>
    </w:p>
    <w:p w14:paraId="0DDD7DCB" w14:textId="482BFD57" w:rsidR="00D1753C" w:rsidRDefault="00D1753C" w:rsidP="00D1753C">
      <w:pPr>
        <w:pStyle w:val="LI-BodyTextUnnumbered"/>
        <w:ind w:left="1701" w:hanging="567"/>
      </w:pPr>
      <w:r>
        <w:t>(c)</w:t>
      </w:r>
      <w:r>
        <w:tab/>
      </w:r>
      <w:r w:rsidR="00442BE2">
        <w:t>a</w:t>
      </w:r>
      <w:r w:rsidR="0037478E">
        <w:t xml:space="preserve"> trustee of a</w:t>
      </w:r>
      <w:r w:rsidR="00442BE2">
        <w:t xml:space="preserve"> </w:t>
      </w:r>
      <w:r>
        <w:t>wholesale trust</w:t>
      </w:r>
      <w:r w:rsidR="00D12B99">
        <w:t xml:space="preserve"> </w:t>
      </w:r>
      <w:r w:rsidR="00442BE2">
        <w:t xml:space="preserve">who holds an </w:t>
      </w:r>
      <w:r w:rsidR="00D7212E">
        <w:t>Australian financial services</w:t>
      </w:r>
      <w:r w:rsidR="00442BE2">
        <w:t xml:space="preserve"> licence </w:t>
      </w:r>
      <w:r w:rsidR="00D12B99">
        <w:t xml:space="preserve">or would be required to hold an </w:t>
      </w:r>
      <w:r w:rsidR="00D7212E">
        <w:t>Australian financial services</w:t>
      </w:r>
      <w:r w:rsidR="00D12B99">
        <w:t xml:space="preserve"> licence but for </w:t>
      </w:r>
      <w:r w:rsidR="00D12B99" w:rsidRPr="007848DA">
        <w:rPr>
          <w:i/>
        </w:rPr>
        <w:t>ASIC Corporations (Wholesale Equity Scheme Trustees) Instrument 2017/849</w:t>
      </w:r>
      <w:r>
        <w:t xml:space="preserve">; </w:t>
      </w:r>
    </w:p>
    <w:p w14:paraId="57FBE43D" w14:textId="5006F235" w:rsidR="001962D2" w:rsidRDefault="00D1753C" w:rsidP="001962D2">
      <w:pPr>
        <w:pStyle w:val="LI-BodyTextUnnumbered"/>
        <w:ind w:left="1701" w:hanging="567"/>
      </w:pPr>
      <w:r>
        <w:t>(d)</w:t>
      </w:r>
      <w:r>
        <w:tab/>
      </w:r>
      <w:r w:rsidR="007B6C0C">
        <w:t xml:space="preserve">a body regulated by APRA other than a trustee </w:t>
      </w:r>
      <w:r w:rsidR="001962D2">
        <w:t>of any of the following</w:t>
      </w:r>
      <w:r w:rsidR="001962D2" w:rsidRPr="001962D2">
        <w:t xml:space="preserve"> </w:t>
      </w:r>
      <w:r w:rsidR="001962D2">
        <w:t xml:space="preserve">(within the meaning of the </w:t>
      </w:r>
      <w:r w:rsidR="001962D2" w:rsidRPr="00884BA4">
        <w:t>S</w:t>
      </w:r>
      <w:r w:rsidR="001962D2" w:rsidRPr="007B6C0C">
        <w:rPr>
          <w:i/>
        </w:rPr>
        <w:t>uperannuation Industry (Supervision) Act 1993</w:t>
      </w:r>
      <w:r w:rsidR="001962D2">
        <w:t>):</w:t>
      </w:r>
    </w:p>
    <w:p w14:paraId="756FD585" w14:textId="77777777" w:rsidR="001962D2" w:rsidRDefault="001962D2" w:rsidP="007848DA">
      <w:pPr>
        <w:pStyle w:val="LI-BodyTextUnnumbered"/>
        <w:ind w:left="2268" w:hanging="567"/>
      </w:pPr>
      <w:r>
        <w:t>(</w:t>
      </w:r>
      <w:proofErr w:type="spellStart"/>
      <w:r>
        <w:t>i</w:t>
      </w:r>
      <w:proofErr w:type="spellEnd"/>
      <w:r>
        <w:t>)</w:t>
      </w:r>
      <w:r>
        <w:tab/>
        <w:t>a superannuation fund;</w:t>
      </w:r>
    </w:p>
    <w:p w14:paraId="5E5F3598" w14:textId="77777777" w:rsidR="001962D2" w:rsidRDefault="001962D2" w:rsidP="007848DA">
      <w:pPr>
        <w:pStyle w:val="LI-BodyTextUnnumbered"/>
        <w:ind w:left="2268" w:hanging="567"/>
      </w:pPr>
      <w:r>
        <w:t>(ii)</w:t>
      </w:r>
      <w:r>
        <w:tab/>
        <w:t>an approved deposit fund;</w:t>
      </w:r>
    </w:p>
    <w:p w14:paraId="0597DFD0" w14:textId="77777777" w:rsidR="001962D2" w:rsidRDefault="001962D2" w:rsidP="007848DA">
      <w:pPr>
        <w:pStyle w:val="LI-BodyTextUnnumbered"/>
        <w:ind w:left="2268" w:hanging="567"/>
      </w:pPr>
      <w:r>
        <w:t>(iii)</w:t>
      </w:r>
      <w:r>
        <w:tab/>
        <w:t>a pooled superannuation trust;</w:t>
      </w:r>
    </w:p>
    <w:p w14:paraId="2E71EF01" w14:textId="776753FB" w:rsidR="001962D2" w:rsidRDefault="001962D2" w:rsidP="007848DA">
      <w:pPr>
        <w:pStyle w:val="LI-BodyTextUnnumbered"/>
        <w:ind w:left="2268" w:hanging="567"/>
      </w:pPr>
      <w:r>
        <w:t>(iv)</w:t>
      </w:r>
      <w:r>
        <w:tab/>
        <w:t>a public sector superannuation</w:t>
      </w:r>
      <w:r w:rsidR="00354B5D">
        <w:t xml:space="preserve"> </w:t>
      </w:r>
      <w:r>
        <w:t xml:space="preserve">scheme; </w:t>
      </w:r>
    </w:p>
    <w:p w14:paraId="19DA783E" w14:textId="5C0768C7" w:rsidR="00467038" w:rsidRPr="00467038" w:rsidRDefault="001962D2" w:rsidP="00D1753C">
      <w:pPr>
        <w:pStyle w:val="LI-BodyTextUnnumbered"/>
        <w:ind w:left="1701" w:hanging="567"/>
      </w:pPr>
      <w:r w:rsidDel="001962D2">
        <w:t xml:space="preserve"> </w:t>
      </w:r>
      <w:r w:rsidR="00D1753C">
        <w:t>(e)</w:t>
      </w:r>
      <w:r w:rsidR="00D1753C">
        <w:tab/>
      </w:r>
      <w:r w:rsidR="007B6C0C">
        <w:t xml:space="preserve">an </w:t>
      </w:r>
      <w:r w:rsidR="00D1753C">
        <w:t>exempt public authorit</w:t>
      </w:r>
      <w:r w:rsidR="007B6C0C">
        <w:t>y</w:t>
      </w:r>
      <w:r w:rsidR="00C34D55">
        <w:t xml:space="preserve"> other than a local council</w:t>
      </w:r>
      <w:r w:rsidR="00D1753C">
        <w:t>.</w:t>
      </w:r>
    </w:p>
    <w:p w14:paraId="424E5776" w14:textId="0F5DC436" w:rsidR="00786E58" w:rsidRPr="00691DFF" w:rsidRDefault="00786E58" w:rsidP="00786E58">
      <w:pPr>
        <w:pStyle w:val="LI-BodyTextUnnumbered"/>
        <w:rPr>
          <w:b/>
          <w:i/>
          <w:shd w:val="clear" w:color="auto" w:fill="FFFFFF"/>
        </w:rPr>
      </w:pPr>
      <w:r w:rsidRPr="006211C4">
        <w:rPr>
          <w:b/>
          <w:i/>
        </w:rPr>
        <w:t>foreign government or legislative body</w:t>
      </w:r>
      <w:r>
        <w:t xml:space="preserve"> means a government or legislative body of a foreign country or a region, province, territory or state of a foreign country.</w:t>
      </w:r>
    </w:p>
    <w:p w14:paraId="5E5AF705" w14:textId="35C15AED" w:rsidR="002355AA" w:rsidRDefault="005734A6" w:rsidP="002F1CA0">
      <w:pPr>
        <w:pStyle w:val="LI-BodyTextUnnumbered"/>
      </w:pPr>
      <w:r>
        <w:rPr>
          <w:b/>
          <w:i/>
        </w:rPr>
        <w:t>funds management financial service</w:t>
      </w:r>
      <w:r w:rsidR="00F85D03">
        <w:t xml:space="preserve">: a person provides a </w:t>
      </w:r>
      <w:r w:rsidR="00F85D03" w:rsidRPr="000F5C8E">
        <w:rPr>
          <w:b/>
          <w:i/>
        </w:rPr>
        <w:t>funds management financial service</w:t>
      </w:r>
      <w:r w:rsidR="00F85D03">
        <w:t xml:space="preserve"> if</w:t>
      </w:r>
      <w:r w:rsidR="00CA2DC8">
        <w:t xml:space="preserve"> they provide</w:t>
      </w:r>
      <w:r w:rsidR="00D26910">
        <w:t xml:space="preserve"> any of the following financial services</w:t>
      </w:r>
      <w:r w:rsidR="00CA2DC8">
        <w:t>:</w:t>
      </w:r>
    </w:p>
    <w:p w14:paraId="34E5CDB3" w14:textId="62A6C520" w:rsidR="004437A2" w:rsidRDefault="00725ABD" w:rsidP="002F1CA0">
      <w:pPr>
        <w:pStyle w:val="LI-BodyTextParaa"/>
        <w:rPr>
          <w:szCs w:val="20"/>
        </w:rPr>
      </w:pPr>
      <w:r>
        <w:rPr>
          <w:szCs w:val="20"/>
        </w:rPr>
        <w:t>(a)</w:t>
      </w:r>
      <w:r>
        <w:rPr>
          <w:szCs w:val="20"/>
        </w:rPr>
        <w:tab/>
      </w:r>
      <w:r w:rsidR="00906A30">
        <w:rPr>
          <w:szCs w:val="20"/>
        </w:rPr>
        <w:t>any of</w:t>
      </w:r>
      <w:r w:rsidR="0007237E">
        <w:rPr>
          <w:szCs w:val="20"/>
        </w:rPr>
        <w:t xml:space="preserve"> </w:t>
      </w:r>
      <w:r w:rsidR="004437A2">
        <w:rPr>
          <w:szCs w:val="20"/>
        </w:rPr>
        <w:t>the</w:t>
      </w:r>
      <w:r w:rsidR="003646C2">
        <w:rPr>
          <w:szCs w:val="20"/>
        </w:rPr>
        <w:t xml:space="preserve"> following</w:t>
      </w:r>
      <w:r w:rsidR="004437A2">
        <w:rPr>
          <w:szCs w:val="20"/>
        </w:rPr>
        <w:t xml:space="preserve"> </w:t>
      </w:r>
      <w:r w:rsidR="0007237E">
        <w:rPr>
          <w:szCs w:val="20"/>
        </w:rPr>
        <w:t xml:space="preserve">financial services </w:t>
      </w:r>
      <w:r w:rsidR="00452254">
        <w:rPr>
          <w:szCs w:val="20"/>
        </w:rPr>
        <w:t>to a</w:t>
      </w:r>
      <w:r w:rsidR="00280217">
        <w:rPr>
          <w:szCs w:val="20"/>
        </w:rPr>
        <w:t>n eligible Australian user</w:t>
      </w:r>
      <w:r w:rsidR="004437A2">
        <w:rPr>
          <w:szCs w:val="20"/>
        </w:rPr>
        <w:t>:</w:t>
      </w:r>
    </w:p>
    <w:p w14:paraId="6891111C" w14:textId="3D2CDD2D" w:rsidR="005731CD" w:rsidRDefault="00725ABD" w:rsidP="002F1CA0">
      <w:pPr>
        <w:pStyle w:val="LI-BodyTextSubparai"/>
      </w:pPr>
      <w:r>
        <w:rPr>
          <w:szCs w:val="20"/>
        </w:rPr>
        <w:t>(</w:t>
      </w:r>
      <w:proofErr w:type="spellStart"/>
      <w:r>
        <w:rPr>
          <w:szCs w:val="20"/>
        </w:rPr>
        <w:t>i</w:t>
      </w:r>
      <w:proofErr w:type="spellEnd"/>
      <w:r>
        <w:rPr>
          <w:szCs w:val="20"/>
        </w:rPr>
        <w:t>)</w:t>
      </w:r>
      <w:r>
        <w:rPr>
          <w:szCs w:val="20"/>
        </w:rPr>
        <w:tab/>
      </w:r>
      <w:r w:rsidR="0007237E">
        <w:rPr>
          <w:szCs w:val="20"/>
        </w:rPr>
        <w:t>dealing i</w:t>
      </w:r>
      <w:r w:rsidR="0007237E" w:rsidRPr="002F1CA0">
        <w:t xml:space="preserve">n </w:t>
      </w:r>
      <w:r w:rsidR="006B203D">
        <w:t xml:space="preserve">offshore fund </w:t>
      </w:r>
      <w:r w:rsidR="00EA7CB4">
        <w:t>financial products</w:t>
      </w:r>
      <w:r w:rsidR="000A7260">
        <w:t>;</w:t>
      </w:r>
      <w:r w:rsidR="0007237E" w:rsidRPr="002F1CA0">
        <w:t xml:space="preserve"> </w:t>
      </w:r>
    </w:p>
    <w:p w14:paraId="7FB638DA" w14:textId="11CF642F" w:rsidR="005731CD" w:rsidRPr="002F1CA0" w:rsidRDefault="00725ABD" w:rsidP="002F1CA0">
      <w:pPr>
        <w:pStyle w:val="LI-BodyTextSubparai"/>
      </w:pPr>
      <w:r w:rsidRPr="002F1CA0">
        <w:t>(ii)</w:t>
      </w:r>
      <w:r w:rsidRPr="002F1CA0">
        <w:tab/>
      </w:r>
      <w:r w:rsidR="00D83242" w:rsidRPr="002F1CA0">
        <w:t xml:space="preserve">providing financial product advice in relation to </w:t>
      </w:r>
      <w:r w:rsidR="006B203D">
        <w:t>offshore fund</w:t>
      </w:r>
      <w:r w:rsidR="000A7260">
        <w:t xml:space="preserve"> financial products</w:t>
      </w:r>
      <w:r w:rsidR="005731CD" w:rsidRPr="002F1CA0">
        <w:t xml:space="preserve">; </w:t>
      </w:r>
    </w:p>
    <w:p w14:paraId="670C2C6C" w14:textId="786D7108" w:rsidR="00AF3DF8" w:rsidRDefault="00725ABD" w:rsidP="005932DB">
      <w:pPr>
        <w:pStyle w:val="LI-BodyTextParaa"/>
        <w:ind w:left="2268"/>
        <w:rPr>
          <w:szCs w:val="20"/>
        </w:rPr>
      </w:pPr>
      <w:r w:rsidRPr="002F1CA0">
        <w:t>(iii)</w:t>
      </w:r>
      <w:r w:rsidRPr="002F1CA0">
        <w:tab/>
      </w:r>
      <w:r w:rsidR="003E435D">
        <w:t xml:space="preserve">making a market for offshore fund financial products as a result of </w:t>
      </w:r>
      <w:r w:rsidR="009B38FA">
        <w:t xml:space="preserve">redeeming </w:t>
      </w:r>
      <w:r w:rsidR="00363803">
        <w:t xml:space="preserve">or buying back </w:t>
      </w:r>
      <w:r w:rsidR="003E435D">
        <w:t>those</w:t>
      </w:r>
      <w:r w:rsidR="000A7260">
        <w:t xml:space="preserve"> </w:t>
      </w:r>
      <w:r w:rsidR="009B38FA">
        <w:t>financial products</w:t>
      </w:r>
      <w:r w:rsidR="005731CD" w:rsidRPr="00943B39">
        <w:rPr>
          <w:szCs w:val="20"/>
        </w:rPr>
        <w:t xml:space="preserve">; </w:t>
      </w:r>
    </w:p>
    <w:p w14:paraId="178FD5B9" w14:textId="4FCF32D5" w:rsidR="005932DB" w:rsidRPr="005932DB" w:rsidRDefault="005932DB" w:rsidP="003E435D">
      <w:pPr>
        <w:pStyle w:val="LI-BodyTextParaa"/>
        <w:ind w:left="2268"/>
        <w:rPr>
          <w:sz w:val="20"/>
          <w:szCs w:val="20"/>
        </w:rPr>
      </w:pPr>
      <w:r w:rsidRPr="0035525C">
        <w:rPr>
          <w:sz w:val="20"/>
          <w:szCs w:val="20"/>
        </w:rPr>
        <w:t>Note</w:t>
      </w:r>
      <w:r w:rsidRPr="005932DB">
        <w:rPr>
          <w:sz w:val="20"/>
          <w:szCs w:val="20"/>
        </w:rPr>
        <w:t xml:space="preserve">: </w:t>
      </w:r>
      <w:r w:rsidR="003E435D">
        <w:rPr>
          <w:sz w:val="20"/>
          <w:szCs w:val="20"/>
        </w:rPr>
        <w:tab/>
        <w:t>A person will not make a market for offshore fund financial products as a result of redeeming or buying back those financial products if the exception in subsection 766</w:t>
      </w:r>
      <w:proofErr w:type="gramStart"/>
      <w:r w:rsidR="003E435D">
        <w:rPr>
          <w:sz w:val="20"/>
          <w:szCs w:val="20"/>
        </w:rPr>
        <w:t>D(</w:t>
      </w:r>
      <w:proofErr w:type="gramEnd"/>
      <w:r w:rsidR="003E435D">
        <w:rPr>
          <w:sz w:val="20"/>
          <w:szCs w:val="20"/>
        </w:rPr>
        <w:t xml:space="preserve">2) of the Act applies. </w:t>
      </w:r>
    </w:p>
    <w:p w14:paraId="2D75364E" w14:textId="58FB3D69" w:rsidR="00632F33" w:rsidRPr="00C34777" w:rsidRDefault="00802CFD" w:rsidP="000D7B3E">
      <w:pPr>
        <w:pStyle w:val="LI-BodyTextParaa"/>
        <w:ind w:left="2268"/>
        <w:rPr>
          <w:szCs w:val="20"/>
        </w:rPr>
      </w:pPr>
      <w:r>
        <w:rPr>
          <w:szCs w:val="20"/>
        </w:rPr>
        <w:t>(iv)</w:t>
      </w:r>
      <w:r>
        <w:rPr>
          <w:szCs w:val="20"/>
        </w:rPr>
        <w:tab/>
        <w:t xml:space="preserve">providing a custodial or depositary service in relation </w:t>
      </w:r>
      <w:proofErr w:type="gramStart"/>
      <w:r>
        <w:rPr>
          <w:szCs w:val="20"/>
        </w:rPr>
        <w:t xml:space="preserve">to </w:t>
      </w:r>
      <w:r w:rsidR="000A7260">
        <w:rPr>
          <w:szCs w:val="20"/>
        </w:rPr>
        <w:t xml:space="preserve"> offshore</w:t>
      </w:r>
      <w:proofErr w:type="gramEnd"/>
      <w:r w:rsidR="000A7260">
        <w:rPr>
          <w:szCs w:val="20"/>
        </w:rPr>
        <w:t xml:space="preserve"> fund </w:t>
      </w:r>
      <w:r>
        <w:rPr>
          <w:szCs w:val="20"/>
        </w:rPr>
        <w:t>financial product</w:t>
      </w:r>
      <w:r w:rsidR="000A7260">
        <w:rPr>
          <w:szCs w:val="20"/>
        </w:rPr>
        <w:t>s</w:t>
      </w:r>
      <w:r w:rsidR="00DC7CEE">
        <w:rPr>
          <w:szCs w:val="20"/>
        </w:rPr>
        <w:t xml:space="preserve">; </w:t>
      </w:r>
    </w:p>
    <w:p w14:paraId="032BAE2C" w14:textId="2B436047" w:rsidR="00C34777" w:rsidRDefault="00725ABD" w:rsidP="00C34777">
      <w:pPr>
        <w:pStyle w:val="LI-BodyTextParaa"/>
        <w:rPr>
          <w:szCs w:val="20"/>
        </w:rPr>
      </w:pPr>
      <w:r>
        <w:rPr>
          <w:szCs w:val="20"/>
        </w:rPr>
        <w:t>(b)</w:t>
      </w:r>
      <w:r w:rsidR="0007237E" w:rsidRPr="00943B39">
        <w:rPr>
          <w:szCs w:val="20"/>
        </w:rPr>
        <w:t xml:space="preserve"> </w:t>
      </w:r>
      <w:r>
        <w:rPr>
          <w:szCs w:val="20"/>
        </w:rPr>
        <w:tab/>
      </w:r>
      <w:r w:rsidR="00C34777">
        <w:rPr>
          <w:szCs w:val="20"/>
        </w:rPr>
        <w:t xml:space="preserve">any of the following financial services to an eligible Australian user under an agreement </w:t>
      </w:r>
      <w:r w:rsidR="00162764">
        <w:rPr>
          <w:szCs w:val="20"/>
        </w:rPr>
        <w:t>or arrangement</w:t>
      </w:r>
      <w:r w:rsidR="00D26910">
        <w:rPr>
          <w:szCs w:val="20"/>
        </w:rPr>
        <w:t xml:space="preserve"> (</w:t>
      </w:r>
      <w:r w:rsidR="00D26910" w:rsidRPr="00691DFF">
        <w:rPr>
          <w:b/>
          <w:i/>
          <w:szCs w:val="20"/>
        </w:rPr>
        <w:t xml:space="preserve">portfolio management services </w:t>
      </w:r>
      <w:r w:rsidR="00D26910" w:rsidRPr="00691DFF">
        <w:rPr>
          <w:b/>
          <w:i/>
          <w:szCs w:val="20"/>
        </w:rPr>
        <w:lastRenderedPageBreak/>
        <w:t>mandate</w:t>
      </w:r>
      <w:r w:rsidR="00D26910">
        <w:rPr>
          <w:szCs w:val="20"/>
        </w:rPr>
        <w:t>)</w:t>
      </w:r>
      <w:r w:rsidR="00162764">
        <w:rPr>
          <w:szCs w:val="20"/>
        </w:rPr>
        <w:t xml:space="preserve"> </w:t>
      </w:r>
      <w:r w:rsidR="00C34777">
        <w:rPr>
          <w:szCs w:val="20"/>
        </w:rPr>
        <w:t xml:space="preserve">with the eligible Australian user to </w:t>
      </w:r>
      <w:r w:rsidR="000C5724">
        <w:rPr>
          <w:szCs w:val="20"/>
        </w:rPr>
        <w:t>provide portfolio management services to</w:t>
      </w:r>
      <w:r w:rsidR="00C34777">
        <w:rPr>
          <w:szCs w:val="20"/>
        </w:rPr>
        <w:t xml:space="preserve"> the eligible Australian user:</w:t>
      </w:r>
      <w:r w:rsidR="000C5724" w:rsidRPr="000C5724">
        <w:t xml:space="preserve"> </w:t>
      </w:r>
    </w:p>
    <w:p w14:paraId="3DC57060" w14:textId="77777777" w:rsidR="00C34777" w:rsidRDefault="00C34777" w:rsidP="00C34777">
      <w:pPr>
        <w:pStyle w:val="LI-BodyTextSubparai"/>
      </w:pPr>
      <w:r>
        <w:rPr>
          <w:szCs w:val="20"/>
        </w:rPr>
        <w:t>(</w:t>
      </w:r>
      <w:proofErr w:type="spellStart"/>
      <w:r>
        <w:rPr>
          <w:szCs w:val="20"/>
        </w:rPr>
        <w:t>i</w:t>
      </w:r>
      <w:proofErr w:type="spellEnd"/>
      <w:r>
        <w:rPr>
          <w:szCs w:val="20"/>
        </w:rPr>
        <w:t>)</w:t>
      </w:r>
      <w:r>
        <w:rPr>
          <w:szCs w:val="20"/>
        </w:rPr>
        <w:tab/>
        <w:t>dealing i</w:t>
      </w:r>
      <w:r w:rsidRPr="002F1CA0">
        <w:t xml:space="preserve">n </w:t>
      </w:r>
      <w:r>
        <w:t>financial products</w:t>
      </w:r>
      <w:r w:rsidRPr="002F1CA0">
        <w:t xml:space="preserve">; </w:t>
      </w:r>
    </w:p>
    <w:p w14:paraId="5A74FB07" w14:textId="227A3B8C" w:rsidR="00C34777" w:rsidRPr="002F1CA0" w:rsidRDefault="00C34777" w:rsidP="00C34777">
      <w:pPr>
        <w:pStyle w:val="LI-BodyTextSubparai"/>
      </w:pPr>
      <w:r w:rsidRPr="002F1CA0">
        <w:t>(ii)</w:t>
      </w:r>
      <w:r w:rsidRPr="002F1CA0">
        <w:tab/>
        <w:t xml:space="preserve">providing financial product advice in relation to </w:t>
      </w:r>
      <w:r>
        <w:t>financial products</w:t>
      </w:r>
      <w:r w:rsidRPr="002F1CA0">
        <w:t xml:space="preserve">; </w:t>
      </w:r>
    </w:p>
    <w:p w14:paraId="54CF1874" w14:textId="29711938" w:rsidR="00C34777" w:rsidRDefault="00C34777" w:rsidP="00C34777">
      <w:pPr>
        <w:pStyle w:val="LI-BodyTextSubparai"/>
        <w:rPr>
          <w:szCs w:val="20"/>
        </w:rPr>
      </w:pPr>
      <w:r w:rsidRPr="002F1CA0">
        <w:t>(iii)</w:t>
      </w:r>
      <w:r w:rsidRPr="002F1CA0">
        <w:tab/>
      </w:r>
      <w:r w:rsidR="00C51A3A">
        <w:t>making a market for financial products</w:t>
      </w:r>
      <w:r w:rsidR="00F760AC">
        <w:t xml:space="preserve"> in or issued by a managed investment scheme</w:t>
      </w:r>
      <w:r w:rsidR="00F76247">
        <w:t xml:space="preserve"> as a result of</w:t>
      </w:r>
      <w:r w:rsidR="00C51A3A">
        <w:t xml:space="preserve"> </w:t>
      </w:r>
      <w:r>
        <w:t xml:space="preserve">redeeming or buying back </w:t>
      </w:r>
      <w:r w:rsidR="00C51A3A">
        <w:t xml:space="preserve">those </w:t>
      </w:r>
      <w:r>
        <w:t>financial products</w:t>
      </w:r>
      <w:r w:rsidR="00A907CF">
        <w:t>;</w:t>
      </w:r>
      <w:r w:rsidRPr="00943B39">
        <w:rPr>
          <w:szCs w:val="20"/>
        </w:rPr>
        <w:t xml:space="preserve"> </w:t>
      </w:r>
    </w:p>
    <w:p w14:paraId="08905DAF" w14:textId="2D0146E0" w:rsidR="005932DB" w:rsidRPr="005E1430" w:rsidRDefault="003E435D" w:rsidP="005E1430">
      <w:pPr>
        <w:pStyle w:val="LI-BodyTextParaa"/>
        <w:ind w:left="2268"/>
        <w:rPr>
          <w:sz w:val="20"/>
          <w:szCs w:val="20"/>
        </w:rPr>
      </w:pPr>
      <w:r w:rsidRPr="003653F2">
        <w:rPr>
          <w:sz w:val="20"/>
          <w:szCs w:val="20"/>
        </w:rPr>
        <w:t>Note</w:t>
      </w:r>
      <w:r w:rsidRPr="005932DB">
        <w:rPr>
          <w:sz w:val="20"/>
          <w:szCs w:val="20"/>
        </w:rPr>
        <w:t xml:space="preserve">: </w:t>
      </w:r>
      <w:r>
        <w:rPr>
          <w:sz w:val="20"/>
          <w:szCs w:val="20"/>
        </w:rPr>
        <w:tab/>
        <w:t>A person will not make a market for financial products as a result of redeeming or buying back those financial products if the exception in subsection 766</w:t>
      </w:r>
      <w:proofErr w:type="gramStart"/>
      <w:r>
        <w:rPr>
          <w:sz w:val="20"/>
          <w:szCs w:val="20"/>
        </w:rPr>
        <w:t>D(</w:t>
      </w:r>
      <w:proofErr w:type="gramEnd"/>
      <w:r>
        <w:rPr>
          <w:sz w:val="20"/>
          <w:szCs w:val="20"/>
        </w:rPr>
        <w:t xml:space="preserve">2) of the Act applies. </w:t>
      </w:r>
    </w:p>
    <w:p w14:paraId="06D757F3" w14:textId="77777777" w:rsidR="0088566D" w:rsidRDefault="00C34777" w:rsidP="0088566D">
      <w:pPr>
        <w:pStyle w:val="LI-BodyTextSubparai"/>
        <w:ind w:left="1701"/>
      </w:pPr>
      <w:r>
        <w:t>(</w:t>
      </w:r>
      <w:r w:rsidR="000C5724">
        <w:t>c</w:t>
      </w:r>
      <w:r>
        <w:t>)</w:t>
      </w:r>
      <w:r>
        <w:tab/>
      </w:r>
      <w:r w:rsidR="00802CFD">
        <w:t>a custodial or depositary service</w:t>
      </w:r>
      <w:r w:rsidR="00D26910">
        <w:t xml:space="preserve"> to an eligible Australian user under, or</w:t>
      </w:r>
      <w:r w:rsidR="00802CFD">
        <w:t xml:space="preserve"> in relation to</w:t>
      </w:r>
      <w:r w:rsidR="00D26910">
        <w:t>,</w:t>
      </w:r>
      <w:r w:rsidR="00802CFD">
        <w:t xml:space="preserve"> </w:t>
      </w:r>
      <w:r w:rsidR="00D26910">
        <w:t>a portfolio management services mandate</w:t>
      </w:r>
      <w:r w:rsidR="00802CFD">
        <w:t xml:space="preserve">. </w:t>
      </w:r>
    </w:p>
    <w:p w14:paraId="41708B82" w14:textId="758B654C" w:rsidR="003E435D" w:rsidRDefault="00D26910" w:rsidP="001F600E">
      <w:pPr>
        <w:pStyle w:val="LI-BodyTextSubparai"/>
        <w:ind w:left="1701"/>
        <w:rPr>
          <w:szCs w:val="20"/>
        </w:rPr>
      </w:pPr>
      <w:r w:rsidRPr="0088566D">
        <w:rPr>
          <w:sz w:val="18"/>
          <w:szCs w:val="18"/>
        </w:rPr>
        <w:t>Note:</w:t>
      </w:r>
      <w:r w:rsidRPr="0088566D">
        <w:rPr>
          <w:sz w:val="18"/>
          <w:szCs w:val="18"/>
        </w:rPr>
        <w:tab/>
        <w:t>It is possible that different persons may provide the financial services referred to in paragraph (b) and the custodial or depository service referred to in paragraph (c).</w:t>
      </w:r>
    </w:p>
    <w:p w14:paraId="164DD2A9" w14:textId="6AE2AC22" w:rsidR="00766B5A" w:rsidRDefault="00B93574" w:rsidP="002B62FB">
      <w:pPr>
        <w:pStyle w:val="LI-BodyTextUnnumbered"/>
      </w:pPr>
      <w:r w:rsidRPr="00442637">
        <w:rPr>
          <w:b/>
          <w:i/>
        </w:rPr>
        <w:t>home jurisdiction</w:t>
      </w:r>
      <w:r w:rsidR="00442637">
        <w:rPr>
          <w:b/>
          <w:i/>
        </w:rPr>
        <w:t xml:space="preserve"> </w:t>
      </w:r>
      <w:r w:rsidR="00195719">
        <w:t xml:space="preserve">of a </w:t>
      </w:r>
      <w:r w:rsidR="009E36C0">
        <w:t>person</w:t>
      </w:r>
      <w:r w:rsidR="00177E55">
        <w:t xml:space="preserve"> </w:t>
      </w:r>
      <w:r w:rsidR="00766B5A">
        <w:t xml:space="preserve">that provides funds management financial services </w:t>
      </w:r>
      <w:r w:rsidR="00442637">
        <w:t>means</w:t>
      </w:r>
      <w:r w:rsidR="00766B5A">
        <w:t>:</w:t>
      </w:r>
      <w:r w:rsidR="00442637">
        <w:t xml:space="preserve"> </w:t>
      </w:r>
    </w:p>
    <w:p w14:paraId="743E53FE" w14:textId="7CF17B07" w:rsidR="00766B5A" w:rsidRPr="00C64204" w:rsidRDefault="004A2DB0" w:rsidP="00973975">
      <w:pPr>
        <w:pStyle w:val="LI-BodyTextParaa"/>
        <w:rPr>
          <w:szCs w:val="20"/>
        </w:rPr>
      </w:pPr>
      <w:r>
        <w:rPr>
          <w:szCs w:val="20"/>
        </w:rPr>
        <w:t>(a)</w:t>
      </w:r>
      <w:r>
        <w:rPr>
          <w:szCs w:val="20"/>
        </w:rPr>
        <w:tab/>
      </w:r>
      <w:r w:rsidR="008112FD">
        <w:rPr>
          <w:szCs w:val="20"/>
        </w:rPr>
        <w:t>the jurisdiction which</w:t>
      </w:r>
      <w:r w:rsidR="00A5371E">
        <w:rPr>
          <w:szCs w:val="20"/>
        </w:rPr>
        <w:t xml:space="preserve"> the </w:t>
      </w:r>
      <w:r w:rsidR="008112FD">
        <w:rPr>
          <w:szCs w:val="20"/>
        </w:rPr>
        <w:t xml:space="preserve">person </w:t>
      </w:r>
      <w:r w:rsidR="00354B5D">
        <w:rPr>
          <w:szCs w:val="20"/>
        </w:rPr>
        <w:t>has its</w:t>
      </w:r>
      <w:r w:rsidR="004E7553">
        <w:rPr>
          <w:szCs w:val="20"/>
        </w:rPr>
        <w:t xml:space="preserve"> princip</w:t>
      </w:r>
      <w:r w:rsidR="002F5892">
        <w:rPr>
          <w:szCs w:val="20"/>
        </w:rPr>
        <w:t>al</w:t>
      </w:r>
      <w:r w:rsidR="004E7553">
        <w:rPr>
          <w:szCs w:val="20"/>
        </w:rPr>
        <w:t xml:space="preserve"> place of business</w:t>
      </w:r>
      <w:r w:rsidR="00354B5D">
        <w:rPr>
          <w:szCs w:val="20"/>
        </w:rPr>
        <w:t xml:space="preserve"> (if any) in relation to the provision of those services</w:t>
      </w:r>
      <w:r w:rsidR="00766B5A" w:rsidRPr="00C64204">
        <w:rPr>
          <w:szCs w:val="20"/>
        </w:rPr>
        <w:t xml:space="preserve">; and </w:t>
      </w:r>
    </w:p>
    <w:p w14:paraId="3061BDFD" w14:textId="0F5861D8" w:rsidR="00B93574" w:rsidRPr="00C64204" w:rsidRDefault="004A2DB0" w:rsidP="004A2DB0">
      <w:pPr>
        <w:spacing w:before="240" w:after="0" w:line="240" w:lineRule="auto"/>
        <w:ind w:left="1701" w:hanging="567"/>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(b)</w:t>
      </w:r>
      <w:r>
        <w:rPr>
          <w:rFonts w:ascii="Times New Roman" w:eastAsia="Times New Roman" w:hAnsi="Times New Roman" w:cs="Times New Roman"/>
          <w:sz w:val="24"/>
          <w:szCs w:val="20"/>
          <w:lang w:eastAsia="en-AU"/>
        </w:rPr>
        <w:tab/>
      </w:r>
      <w:r w:rsidR="00766B5A" w:rsidRPr="00C64204">
        <w:rPr>
          <w:rFonts w:ascii="Times New Roman" w:eastAsia="Times New Roman" w:hAnsi="Times New Roman" w:cs="Times New Roman"/>
          <w:sz w:val="24"/>
          <w:szCs w:val="20"/>
          <w:lang w:eastAsia="en-AU"/>
        </w:rPr>
        <w:t>otherwise</w:t>
      </w:r>
      <w:r>
        <w:rPr>
          <w:rFonts w:ascii="Times New Roman" w:eastAsia="Times New Roman" w:hAnsi="Times New Roman" w:cs="Times New Roman"/>
          <w:sz w:val="24"/>
          <w:szCs w:val="20"/>
          <w:lang w:eastAsia="en-AU"/>
        </w:rPr>
        <w:t xml:space="preserve">—the jurisdiction in which the </w:t>
      </w:r>
      <w:r w:rsidR="009E36C0">
        <w:rPr>
          <w:rFonts w:ascii="Times New Roman" w:eastAsia="Times New Roman" w:hAnsi="Times New Roman" w:cs="Times New Roman"/>
          <w:sz w:val="24"/>
          <w:szCs w:val="20"/>
          <w:lang w:eastAsia="en-AU"/>
        </w:rPr>
        <w:t>person</w:t>
      </w:r>
      <w:r w:rsidR="00177E55">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was incorporated or formed</w:t>
      </w:r>
      <w:r w:rsidR="00342939" w:rsidRPr="00C64204">
        <w:rPr>
          <w:rFonts w:ascii="Times New Roman" w:eastAsia="Times New Roman" w:hAnsi="Times New Roman" w:cs="Times New Roman"/>
          <w:sz w:val="24"/>
          <w:szCs w:val="20"/>
          <w:lang w:eastAsia="en-AU"/>
        </w:rPr>
        <w:t>.</w:t>
      </w:r>
      <w:r w:rsidR="00520C90" w:rsidRPr="00C64204" w:rsidDel="00520C90">
        <w:rPr>
          <w:rFonts w:ascii="Times New Roman" w:eastAsia="Times New Roman" w:hAnsi="Times New Roman" w:cs="Times New Roman"/>
          <w:sz w:val="24"/>
          <w:szCs w:val="20"/>
          <w:lang w:eastAsia="en-AU"/>
        </w:rPr>
        <w:t xml:space="preserve"> </w:t>
      </w:r>
    </w:p>
    <w:p w14:paraId="0FC68F19" w14:textId="504405F1" w:rsidR="00793E2E" w:rsidRDefault="00793E2E" w:rsidP="00973975">
      <w:pPr>
        <w:pStyle w:val="LI-BodyTextUnnumbered"/>
        <w:rPr>
          <w:b/>
          <w:i/>
        </w:rPr>
      </w:pPr>
      <w:r>
        <w:rPr>
          <w:b/>
          <w:i/>
        </w:rPr>
        <w:t xml:space="preserve">interest </w:t>
      </w:r>
      <w:r w:rsidRPr="00C64204">
        <w:t>in an offshore fund includes an interest</w:t>
      </w:r>
      <w:r w:rsidR="004A2DB0">
        <w:t xml:space="preserve"> in</w:t>
      </w:r>
      <w:r w:rsidRPr="00C64204">
        <w:t xml:space="preserve"> a partnership that is an offshore fund</w:t>
      </w:r>
      <w:r w:rsidRPr="00943B39">
        <w:rPr>
          <w:i/>
        </w:rPr>
        <w:t>.</w:t>
      </w:r>
    </w:p>
    <w:p w14:paraId="12D9240A" w14:textId="0BDD4DEE" w:rsidR="00281D96" w:rsidRDefault="00197EB4" w:rsidP="00973975">
      <w:pPr>
        <w:pStyle w:val="LI-BodyTextUnnumbered"/>
        <w:rPr>
          <w:b/>
          <w:i/>
        </w:rPr>
      </w:pPr>
      <w:r>
        <w:rPr>
          <w:b/>
          <w:i/>
        </w:rPr>
        <w:t>o</w:t>
      </w:r>
      <w:r w:rsidR="00281D96">
        <w:rPr>
          <w:b/>
          <w:i/>
        </w:rPr>
        <w:t>ffer</w:t>
      </w:r>
      <w:r>
        <w:t>:</w:t>
      </w:r>
      <w:r w:rsidR="003C7ED8">
        <w:t xml:space="preserve"> </w:t>
      </w:r>
      <w:r w:rsidR="00281D96" w:rsidRPr="00C64204">
        <w:t>a</w:t>
      </w:r>
      <w:r w:rsidR="00281D96">
        <w:t xml:space="preserve"> reference to</w:t>
      </w:r>
      <w:r w:rsidR="00281D96" w:rsidRPr="00C64204">
        <w:t xml:space="preserve"> offer</w:t>
      </w:r>
      <w:r w:rsidR="00281D96">
        <w:t>ing</w:t>
      </w:r>
      <w:r w:rsidR="00281D96" w:rsidRPr="00C64204">
        <w:t xml:space="preserve"> </w:t>
      </w:r>
      <w:r w:rsidR="002317EC">
        <w:t xml:space="preserve">securities or interests </w:t>
      </w:r>
      <w:r w:rsidR="00281D96" w:rsidRPr="00C64204">
        <w:t xml:space="preserve">for issue includes </w:t>
      </w:r>
      <w:r w:rsidR="00281D96">
        <w:t xml:space="preserve">a reference to </w:t>
      </w:r>
      <w:r w:rsidR="00281D96" w:rsidRPr="00C64204">
        <w:t xml:space="preserve">inviting applications for the issue of the </w:t>
      </w:r>
      <w:r w:rsidR="002317EC">
        <w:t>securities or interests</w:t>
      </w:r>
      <w:r w:rsidR="00281D96" w:rsidRPr="00C64204">
        <w:t>.</w:t>
      </w:r>
    </w:p>
    <w:p w14:paraId="44E8FAD5" w14:textId="4CAE5084" w:rsidR="005731CD" w:rsidRPr="005731CD" w:rsidRDefault="005731CD" w:rsidP="00973975">
      <w:pPr>
        <w:pStyle w:val="LI-BodyTextUnnumbered"/>
        <w:rPr>
          <w:b/>
          <w:i/>
        </w:rPr>
      </w:pPr>
      <w:r w:rsidRPr="005731CD">
        <w:rPr>
          <w:b/>
          <w:i/>
        </w:rPr>
        <w:t xml:space="preserve">offshore fund </w:t>
      </w:r>
      <w:r w:rsidRPr="000F5C8E">
        <w:t xml:space="preserve">means a </w:t>
      </w:r>
      <w:r w:rsidR="00EE3612">
        <w:t>managed investment scheme or</w:t>
      </w:r>
      <w:r w:rsidR="00CA2DC8">
        <w:t xml:space="preserve"> </w:t>
      </w:r>
      <w:r w:rsidR="009E36C0">
        <w:t>person</w:t>
      </w:r>
      <w:r w:rsidR="0036165F">
        <w:t xml:space="preserve"> in relation to which the following are satisfied</w:t>
      </w:r>
      <w:r>
        <w:t>:</w:t>
      </w:r>
    </w:p>
    <w:p w14:paraId="2B9FE552" w14:textId="0155297A" w:rsidR="00973975" w:rsidRDefault="005731CD" w:rsidP="00BF0528">
      <w:pPr>
        <w:pStyle w:val="LI-BodyTextParaa"/>
        <w:rPr>
          <w:szCs w:val="20"/>
        </w:rPr>
      </w:pPr>
      <w:r w:rsidRPr="000F5C8E">
        <w:rPr>
          <w:szCs w:val="20"/>
        </w:rPr>
        <w:t>(a)</w:t>
      </w:r>
      <w:r w:rsidRPr="000F5C8E">
        <w:rPr>
          <w:szCs w:val="20"/>
        </w:rPr>
        <w:tab/>
      </w:r>
      <w:r w:rsidR="0036165F">
        <w:rPr>
          <w:szCs w:val="20"/>
        </w:rPr>
        <w:t>in the case of a managed investment scheme</w:t>
      </w:r>
      <w:r w:rsidR="00F72BE0">
        <w:rPr>
          <w:szCs w:val="20"/>
        </w:rPr>
        <w:t>, the scheme</w:t>
      </w:r>
      <w:r w:rsidR="00435DFF">
        <w:rPr>
          <w:szCs w:val="20"/>
        </w:rPr>
        <w:t xml:space="preserve"> </w:t>
      </w:r>
      <w:r w:rsidRPr="000F5C8E">
        <w:rPr>
          <w:szCs w:val="20"/>
        </w:rPr>
        <w:t>was established</w:t>
      </w:r>
      <w:r w:rsidR="0036165F" w:rsidRPr="000F5C8E">
        <w:rPr>
          <w:szCs w:val="20"/>
        </w:rPr>
        <w:t xml:space="preserve"> </w:t>
      </w:r>
      <w:r w:rsidRPr="000F5C8E">
        <w:rPr>
          <w:szCs w:val="20"/>
        </w:rPr>
        <w:t>outside this jurisdiction</w:t>
      </w:r>
      <w:r w:rsidR="0036165F" w:rsidRPr="000F5C8E">
        <w:rPr>
          <w:szCs w:val="20"/>
        </w:rPr>
        <w:t xml:space="preserve"> and is not operated in this jurisdiction;</w:t>
      </w:r>
      <w:r w:rsidR="00F106A5">
        <w:rPr>
          <w:szCs w:val="20"/>
        </w:rPr>
        <w:t xml:space="preserve"> and</w:t>
      </w:r>
    </w:p>
    <w:p w14:paraId="34C2404C" w14:textId="69C8D5D7" w:rsidR="00EE3612" w:rsidRDefault="00435DFF" w:rsidP="00973975">
      <w:pPr>
        <w:pStyle w:val="LI-BodyTextParaa"/>
        <w:rPr>
          <w:szCs w:val="20"/>
        </w:rPr>
      </w:pPr>
      <w:r w:rsidDel="00435DFF">
        <w:rPr>
          <w:szCs w:val="20"/>
        </w:rPr>
        <w:t xml:space="preserve"> </w:t>
      </w:r>
      <w:r w:rsidR="0036165F">
        <w:rPr>
          <w:szCs w:val="20"/>
        </w:rPr>
        <w:t>(b)</w:t>
      </w:r>
      <w:r w:rsidR="0036165F">
        <w:rPr>
          <w:szCs w:val="20"/>
        </w:rPr>
        <w:tab/>
        <w:t xml:space="preserve">in the case of a </w:t>
      </w:r>
      <w:r w:rsidR="009E36C0">
        <w:rPr>
          <w:szCs w:val="20"/>
        </w:rPr>
        <w:t>person</w:t>
      </w:r>
      <w:r w:rsidR="00D7373D">
        <w:rPr>
          <w:szCs w:val="20"/>
        </w:rPr>
        <w:t xml:space="preserve"> that is not a managed investment scheme</w:t>
      </w:r>
      <w:r w:rsidR="00F72BE0">
        <w:rPr>
          <w:szCs w:val="20"/>
        </w:rPr>
        <w:t xml:space="preserve">, the </w:t>
      </w:r>
      <w:r w:rsidR="009E36C0">
        <w:rPr>
          <w:szCs w:val="20"/>
        </w:rPr>
        <w:t>person</w:t>
      </w:r>
      <w:r w:rsidR="00EE3612">
        <w:rPr>
          <w:szCs w:val="20"/>
        </w:rPr>
        <w:t>:</w:t>
      </w:r>
    </w:p>
    <w:p w14:paraId="19FB7625" w14:textId="1D82DCE3" w:rsidR="0036165F" w:rsidRDefault="00EE3612" w:rsidP="00973975">
      <w:pPr>
        <w:pStyle w:val="LI-BodyTextSubparai"/>
        <w:rPr>
          <w:szCs w:val="20"/>
        </w:rPr>
      </w:pPr>
      <w:r>
        <w:rPr>
          <w:szCs w:val="20"/>
        </w:rPr>
        <w:t>(</w:t>
      </w:r>
      <w:proofErr w:type="spellStart"/>
      <w:r>
        <w:rPr>
          <w:szCs w:val="20"/>
        </w:rPr>
        <w:t>i</w:t>
      </w:r>
      <w:proofErr w:type="spellEnd"/>
      <w:r>
        <w:rPr>
          <w:szCs w:val="20"/>
        </w:rPr>
        <w:t>)</w:t>
      </w:r>
      <w:r>
        <w:rPr>
          <w:szCs w:val="20"/>
        </w:rPr>
        <w:tab/>
      </w:r>
      <w:r w:rsidR="00435DFF">
        <w:rPr>
          <w:szCs w:val="20"/>
        </w:rPr>
        <w:t>is not an Australian financial services licensee</w:t>
      </w:r>
      <w:r w:rsidR="0036165F">
        <w:rPr>
          <w:szCs w:val="20"/>
        </w:rPr>
        <w:t>;</w:t>
      </w:r>
      <w:r w:rsidR="00F106A5">
        <w:rPr>
          <w:szCs w:val="20"/>
        </w:rPr>
        <w:t xml:space="preserve"> and</w:t>
      </w:r>
    </w:p>
    <w:p w14:paraId="76D37CB2" w14:textId="3C7240A7" w:rsidR="00E745B7" w:rsidRDefault="0036165F" w:rsidP="00973975">
      <w:pPr>
        <w:pStyle w:val="LI-BodyTextSubparai"/>
        <w:rPr>
          <w:szCs w:val="20"/>
        </w:rPr>
      </w:pPr>
      <w:r>
        <w:rPr>
          <w:szCs w:val="20"/>
        </w:rPr>
        <w:t>(</w:t>
      </w:r>
      <w:r w:rsidR="00F72BE0">
        <w:rPr>
          <w:szCs w:val="20"/>
        </w:rPr>
        <w:t>ii</w:t>
      </w:r>
      <w:r>
        <w:rPr>
          <w:szCs w:val="20"/>
        </w:rPr>
        <w:t>)</w:t>
      </w:r>
      <w:r w:rsidR="00EE3612" w:rsidRPr="00EE3612">
        <w:rPr>
          <w:szCs w:val="20"/>
        </w:rPr>
        <w:t xml:space="preserve"> </w:t>
      </w:r>
      <w:r w:rsidR="00F72BE0">
        <w:rPr>
          <w:szCs w:val="20"/>
        </w:rPr>
        <w:tab/>
      </w:r>
      <w:r w:rsidR="00EE3612">
        <w:rPr>
          <w:szCs w:val="20"/>
        </w:rPr>
        <w:t>carries on a business of investment in securities, interests in land, interests</w:t>
      </w:r>
      <w:r w:rsidR="003E26F8">
        <w:rPr>
          <w:szCs w:val="20"/>
        </w:rPr>
        <w:t xml:space="preserve"> in,</w:t>
      </w:r>
      <w:r w:rsidR="00EE3612">
        <w:rPr>
          <w:szCs w:val="20"/>
        </w:rPr>
        <w:t xml:space="preserve"> or </w:t>
      </w:r>
      <w:r w:rsidR="003E26F8">
        <w:rPr>
          <w:szCs w:val="20"/>
        </w:rPr>
        <w:t>securities issued by,</w:t>
      </w:r>
      <w:r w:rsidR="00EE3612">
        <w:rPr>
          <w:szCs w:val="20"/>
        </w:rPr>
        <w:t xml:space="preserve"> other offshore funds or other investments</w:t>
      </w:r>
      <w:r w:rsidR="005731CD" w:rsidRPr="000F5C8E">
        <w:rPr>
          <w:szCs w:val="20"/>
        </w:rPr>
        <w:t xml:space="preserve">; </w:t>
      </w:r>
      <w:r w:rsidR="00F106A5">
        <w:rPr>
          <w:szCs w:val="20"/>
        </w:rPr>
        <w:t>and</w:t>
      </w:r>
    </w:p>
    <w:p w14:paraId="282086A3" w14:textId="35C95AFB" w:rsidR="008A3535" w:rsidRDefault="00E745B7" w:rsidP="008A3535">
      <w:pPr>
        <w:pStyle w:val="LI-BodyTextSubparai"/>
        <w:rPr>
          <w:szCs w:val="20"/>
        </w:rPr>
      </w:pPr>
      <w:r>
        <w:rPr>
          <w:szCs w:val="20"/>
        </w:rPr>
        <w:lastRenderedPageBreak/>
        <w:t>(iii)</w:t>
      </w:r>
      <w:r>
        <w:rPr>
          <w:szCs w:val="20"/>
        </w:rPr>
        <w:tab/>
        <w:t xml:space="preserve">for the purposes referred to in subparagraph (ii), invests funds (directly or indirectly) following an offer </w:t>
      </w:r>
      <w:r w:rsidR="00B44187">
        <w:rPr>
          <w:szCs w:val="20"/>
        </w:rPr>
        <w:t xml:space="preserve">of </w:t>
      </w:r>
      <w:r w:rsidR="003E26F8">
        <w:rPr>
          <w:szCs w:val="20"/>
        </w:rPr>
        <w:t>securities</w:t>
      </w:r>
      <w:r w:rsidR="00EF79F2">
        <w:rPr>
          <w:szCs w:val="20"/>
        </w:rPr>
        <w:t xml:space="preserve"> </w:t>
      </w:r>
      <w:r w:rsidR="002317EC">
        <w:rPr>
          <w:szCs w:val="20"/>
        </w:rPr>
        <w:t xml:space="preserve">of, </w:t>
      </w:r>
      <w:r w:rsidR="00EF79F2">
        <w:rPr>
          <w:szCs w:val="20"/>
        </w:rPr>
        <w:t>or interests</w:t>
      </w:r>
      <w:r w:rsidR="002317EC">
        <w:rPr>
          <w:szCs w:val="20"/>
        </w:rPr>
        <w:t xml:space="preserve"> in, the </w:t>
      </w:r>
      <w:r w:rsidR="009E36C0">
        <w:rPr>
          <w:szCs w:val="20"/>
        </w:rPr>
        <w:t>person</w:t>
      </w:r>
      <w:r w:rsidR="00EF79F2">
        <w:rPr>
          <w:szCs w:val="20"/>
        </w:rPr>
        <w:t xml:space="preserve"> </w:t>
      </w:r>
      <w:r w:rsidR="00B44187">
        <w:rPr>
          <w:szCs w:val="20"/>
        </w:rPr>
        <w:t xml:space="preserve">for issue, </w:t>
      </w:r>
      <w:r>
        <w:rPr>
          <w:szCs w:val="20"/>
        </w:rPr>
        <w:t>the terms of which provided for the funds subscribed to be invested for those purposes</w:t>
      </w:r>
      <w:r w:rsidR="005D2434">
        <w:rPr>
          <w:szCs w:val="20"/>
        </w:rPr>
        <w:t>.</w:t>
      </w:r>
      <w:r>
        <w:rPr>
          <w:szCs w:val="20"/>
        </w:rPr>
        <w:t xml:space="preserve"> </w:t>
      </w:r>
    </w:p>
    <w:p w14:paraId="2E57814C" w14:textId="1FED7FF1" w:rsidR="006B203D" w:rsidRDefault="006B203D" w:rsidP="007A4539">
      <w:pPr>
        <w:pStyle w:val="LI-BodyTextSubparai"/>
        <w:ind w:left="1134" w:firstLine="0"/>
      </w:pPr>
      <w:r w:rsidRPr="00C65D14">
        <w:rPr>
          <w:b/>
          <w:i/>
        </w:rPr>
        <w:t>offshore fund financial product</w:t>
      </w:r>
      <w:r>
        <w:t xml:space="preserve"> means:</w:t>
      </w:r>
      <w:r w:rsidRPr="002F1CA0">
        <w:t xml:space="preserve"> </w:t>
      </w:r>
    </w:p>
    <w:p w14:paraId="1BE7F739" w14:textId="48894AE9" w:rsidR="006B203D" w:rsidRDefault="000A7260" w:rsidP="000A7260">
      <w:pPr>
        <w:pStyle w:val="LI-BodyTextSubparai"/>
        <w:ind w:left="1701"/>
      </w:pPr>
      <w:r>
        <w:t>(a)</w:t>
      </w:r>
      <w:r>
        <w:tab/>
        <w:t xml:space="preserve">a security of, or interest </w:t>
      </w:r>
      <w:r w:rsidR="006B203D" w:rsidRPr="002F1CA0">
        <w:t>in</w:t>
      </w:r>
      <w:r>
        <w:t>,</w:t>
      </w:r>
      <w:r w:rsidR="006B203D">
        <w:t xml:space="preserve"> an offshore fund; or </w:t>
      </w:r>
    </w:p>
    <w:p w14:paraId="2D587539" w14:textId="2DE53380" w:rsidR="006B203D" w:rsidRDefault="000A7260" w:rsidP="000A7260">
      <w:pPr>
        <w:pStyle w:val="LI-BodyTextSubparai"/>
        <w:ind w:left="1701"/>
        <w:rPr>
          <w:b/>
          <w:i/>
          <w:szCs w:val="20"/>
        </w:rPr>
      </w:pPr>
      <w:r>
        <w:t>(b)</w:t>
      </w:r>
      <w:r>
        <w:tab/>
        <w:t xml:space="preserve">a financial product in relation to an offshore fund that is </w:t>
      </w:r>
      <w:r w:rsidR="006B203D">
        <w:t xml:space="preserve">issued by or with the authority of </w:t>
      </w:r>
      <w:r>
        <w:t>the</w:t>
      </w:r>
      <w:r w:rsidR="006B203D" w:rsidRPr="002F1CA0">
        <w:t xml:space="preserve"> offshore fund</w:t>
      </w:r>
      <w:r w:rsidR="006B203D">
        <w:t xml:space="preserve"> or the operator of </w:t>
      </w:r>
      <w:r>
        <w:t>the offshore fund.</w:t>
      </w:r>
    </w:p>
    <w:p w14:paraId="1D7E101A" w14:textId="7AAFE612" w:rsidR="00786E58" w:rsidRDefault="00461E5E" w:rsidP="000515EB">
      <w:pPr>
        <w:pStyle w:val="LI-BodyTextSubparai"/>
        <w:ind w:left="1134" w:firstLine="0"/>
        <w:rPr>
          <w:szCs w:val="20"/>
        </w:rPr>
      </w:pPr>
      <w:r>
        <w:rPr>
          <w:b/>
          <w:i/>
          <w:szCs w:val="20"/>
        </w:rPr>
        <w:t xml:space="preserve">overseas regulator </w:t>
      </w:r>
      <w:r>
        <w:rPr>
          <w:szCs w:val="20"/>
        </w:rPr>
        <w:t xml:space="preserve">of a person in their home jurisdiction </w:t>
      </w:r>
      <w:r w:rsidRPr="005A36C1">
        <w:rPr>
          <w:szCs w:val="20"/>
        </w:rPr>
        <w:t>means a foreign regulatory authority which</w:t>
      </w:r>
      <w:r w:rsidR="00786E58">
        <w:rPr>
          <w:szCs w:val="20"/>
        </w:rPr>
        <w:t>:</w:t>
      </w:r>
      <w:r w:rsidRPr="005A36C1">
        <w:rPr>
          <w:szCs w:val="20"/>
        </w:rPr>
        <w:t xml:space="preserve"> </w:t>
      </w:r>
    </w:p>
    <w:p w14:paraId="37B7AE0C" w14:textId="77777777" w:rsidR="00786E58" w:rsidRDefault="00786E58" w:rsidP="00786E58">
      <w:pPr>
        <w:pStyle w:val="LI-BodyTextSubparai"/>
        <w:ind w:left="1701"/>
        <w:rPr>
          <w:szCs w:val="20"/>
        </w:rPr>
      </w:pPr>
      <w:r w:rsidRPr="005A36C1">
        <w:rPr>
          <w:szCs w:val="20"/>
        </w:rPr>
        <w:t>(a)</w:t>
      </w:r>
      <w:r>
        <w:rPr>
          <w:szCs w:val="20"/>
        </w:rPr>
        <w:tab/>
      </w:r>
      <w:r w:rsidR="00461E5E" w:rsidRPr="005A36C1">
        <w:rPr>
          <w:szCs w:val="20"/>
        </w:rPr>
        <w:t xml:space="preserve">regulates financial services </w:t>
      </w:r>
      <w:r w:rsidR="00461E5E">
        <w:rPr>
          <w:szCs w:val="20"/>
        </w:rPr>
        <w:t>provided by the person in their home jurisdiction</w:t>
      </w:r>
      <w:r>
        <w:rPr>
          <w:szCs w:val="20"/>
        </w:rPr>
        <w:t>;</w:t>
      </w:r>
      <w:r w:rsidR="00461E5E">
        <w:rPr>
          <w:szCs w:val="20"/>
        </w:rPr>
        <w:t xml:space="preserve"> </w:t>
      </w:r>
      <w:r w:rsidR="00461E5E" w:rsidRPr="005A36C1">
        <w:rPr>
          <w:szCs w:val="20"/>
        </w:rPr>
        <w:t xml:space="preserve">and </w:t>
      </w:r>
    </w:p>
    <w:p w14:paraId="58C94924" w14:textId="5A909B6D" w:rsidR="00461E5E" w:rsidRDefault="00786E58" w:rsidP="00786E58">
      <w:pPr>
        <w:pStyle w:val="LI-BodyTextSubparai"/>
        <w:ind w:left="1701"/>
        <w:rPr>
          <w:b/>
          <w:i/>
          <w:szCs w:val="20"/>
        </w:rPr>
      </w:pPr>
      <w:r>
        <w:rPr>
          <w:szCs w:val="20"/>
        </w:rPr>
        <w:t>(b)</w:t>
      </w:r>
      <w:r>
        <w:rPr>
          <w:szCs w:val="20"/>
        </w:rPr>
        <w:tab/>
      </w:r>
      <w:r w:rsidR="00461E5E" w:rsidRPr="005A36C1">
        <w:rPr>
          <w:szCs w:val="20"/>
        </w:rPr>
        <w:t xml:space="preserve">is established by or for the purposes of a </w:t>
      </w:r>
      <w:r>
        <w:rPr>
          <w:szCs w:val="20"/>
        </w:rPr>
        <w:t xml:space="preserve">foreign </w:t>
      </w:r>
      <w:r w:rsidR="00461E5E" w:rsidRPr="005A36C1">
        <w:rPr>
          <w:szCs w:val="20"/>
        </w:rPr>
        <w:t>government or legislative body</w:t>
      </w:r>
      <w:r>
        <w:rPr>
          <w:szCs w:val="20"/>
        </w:rPr>
        <w:t xml:space="preserve"> for the home jurisdiction</w:t>
      </w:r>
      <w:r w:rsidR="00437EA0">
        <w:rPr>
          <w:szCs w:val="20"/>
        </w:rPr>
        <w:t>.</w:t>
      </w:r>
    </w:p>
    <w:p w14:paraId="4296A761" w14:textId="78791937" w:rsidR="000515EB" w:rsidRDefault="000515EB" w:rsidP="000515EB">
      <w:pPr>
        <w:pStyle w:val="LI-BodyTextSubparai"/>
        <w:ind w:left="1134" w:firstLine="0"/>
        <w:rPr>
          <w:szCs w:val="20"/>
        </w:rPr>
      </w:pPr>
      <w:r>
        <w:rPr>
          <w:b/>
          <w:i/>
          <w:szCs w:val="20"/>
        </w:rPr>
        <w:t>wholesale trust</w:t>
      </w:r>
      <w:r>
        <w:rPr>
          <w:szCs w:val="20"/>
        </w:rPr>
        <w:t xml:space="preserve"> means a trust that is operated under a managed investment scheme, where:</w:t>
      </w:r>
    </w:p>
    <w:p w14:paraId="289FFC05" w14:textId="77777777" w:rsidR="000515EB" w:rsidRDefault="000515EB" w:rsidP="000515EB">
      <w:pPr>
        <w:pStyle w:val="LI-BodyTextSubparai"/>
        <w:ind w:left="1701"/>
        <w:rPr>
          <w:szCs w:val="20"/>
        </w:rPr>
      </w:pPr>
      <w:r>
        <w:rPr>
          <w:szCs w:val="20"/>
        </w:rPr>
        <w:t>(a)</w:t>
      </w:r>
      <w:r>
        <w:rPr>
          <w:szCs w:val="20"/>
        </w:rPr>
        <w:tab/>
        <w:t>no interests in the scheme have been issued to a person as a retail client; and</w:t>
      </w:r>
    </w:p>
    <w:p w14:paraId="1C94261C" w14:textId="77777777" w:rsidR="000515EB" w:rsidRPr="00CC45D6" w:rsidRDefault="000515EB" w:rsidP="000515EB">
      <w:pPr>
        <w:pStyle w:val="LI-BodyTextSubparai"/>
        <w:ind w:left="1701"/>
        <w:rPr>
          <w:szCs w:val="20"/>
        </w:rPr>
      </w:pPr>
      <w:r>
        <w:rPr>
          <w:szCs w:val="20"/>
        </w:rPr>
        <w:t>(b)</w:t>
      </w:r>
      <w:r>
        <w:rPr>
          <w:szCs w:val="20"/>
        </w:rPr>
        <w:tab/>
        <w:t xml:space="preserve">the scheme is not registered.  </w:t>
      </w:r>
    </w:p>
    <w:p w14:paraId="75C5FDC5" w14:textId="11053283" w:rsidR="003E435D" w:rsidRPr="00A5371E" w:rsidRDefault="003E435D" w:rsidP="008F4F81">
      <w:pPr>
        <w:sectPr w:rsidR="003E435D" w:rsidRPr="00A5371E" w:rsidSect="008A4A95">
          <w:headerReference w:type="even" r:id="rId23"/>
          <w:headerReference w:type="default" r:id="rId24"/>
          <w:pgSz w:w="11907" w:h="16839" w:code="9"/>
          <w:pgMar w:top="1534" w:right="1797" w:bottom="1440" w:left="1797" w:header="720" w:footer="709" w:gutter="0"/>
          <w:cols w:space="708"/>
          <w:docGrid w:linePitch="360"/>
        </w:sectPr>
      </w:pPr>
    </w:p>
    <w:p w14:paraId="423CB35B" w14:textId="3A9EB657" w:rsidR="008A4A95" w:rsidRPr="008A4A95" w:rsidRDefault="008A4A95" w:rsidP="00123CBC">
      <w:pPr>
        <w:pStyle w:val="LI-Heading1"/>
        <w:ind w:left="1138" w:hanging="1138"/>
        <w:rPr>
          <w:b w:val="0"/>
        </w:rPr>
      </w:pPr>
      <w:bookmarkStart w:id="9" w:name="_Toc34725953"/>
      <w:r w:rsidRPr="008A4A95">
        <w:lastRenderedPageBreak/>
        <w:t>Part 2—Exemption</w:t>
      </w:r>
      <w:bookmarkEnd w:id="9"/>
    </w:p>
    <w:p w14:paraId="2DB98BFE" w14:textId="1F7EEC70" w:rsidR="008A4A95" w:rsidRPr="008A4A95" w:rsidRDefault="008A4A95" w:rsidP="00973975">
      <w:pPr>
        <w:pStyle w:val="LI-Heading2"/>
      </w:pPr>
      <w:bookmarkStart w:id="10" w:name="_Toc34725954"/>
      <w:r w:rsidRPr="008A4A95">
        <w:t>5</w:t>
      </w:r>
      <w:r w:rsidRPr="008A4A95">
        <w:tab/>
      </w:r>
      <w:r w:rsidR="00B763CD">
        <w:t>Licensing</w:t>
      </w:r>
      <w:bookmarkEnd w:id="10"/>
    </w:p>
    <w:p w14:paraId="4DED6B41" w14:textId="3B2D9B09" w:rsidR="00A70624" w:rsidRDefault="00434AE6" w:rsidP="00973975">
      <w:pPr>
        <w:pStyle w:val="LI-BodyTextUnnumbered"/>
        <w:ind w:left="567"/>
      </w:pPr>
      <w:r>
        <w:t>A</w:t>
      </w:r>
      <w:r w:rsidR="008A4A95" w:rsidRPr="008A4A95">
        <w:t xml:space="preserve"> </w:t>
      </w:r>
      <w:r w:rsidR="002F4BE1">
        <w:t>person</w:t>
      </w:r>
      <w:r w:rsidR="008F0F83">
        <w:t xml:space="preserve"> </w:t>
      </w:r>
      <w:r w:rsidR="00A70624">
        <w:t>that is carrying on a financial services business in this jurisdiction</w:t>
      </w:r>
      <w:r w:rsidR="00F106A5">
        <w:t xml:space="preserve"> </w:t>
      </w:r>
      <w:r w:rsidR="00B763CD" w:rsidRPr="00C64204">
        <w:t xml:space="preserve">only because of </w:t>
      </w:r>
      <w:r w:rsidR="001A65C8">
        <w:t xml:space="preserve">the </w:t>
      </w:r>
      <w:r w:rsidR="00433589">
        <w:t>operation</w:t>
      </w:r>
      <w:r w:rsidR="001A65C8">
        <w:t xml:space="preserve"> of </w:t>
      </w:r>
      <w:r w:rsidR="00B763CD" w:rsidRPr="00C64204">
        <w:t>section 911D of the Act</w:t>
      </w:r>
      <w:r w:rsidR="001A65C8">
        <w:t xml:space="preserve"> in relation to funds management financial services</w:t>
      </w:r>
      <w:r w:rsidR="00433589">
        <w:t xml:space="preserve"> provided by the </w:t>
      </w:r>
      <w:r w:rsidR="00BF4CDD">
        <w:t>person</w:t>
      </w:r>
      <w:r w:rsidR="000D59CD">
        <w:t xml:space="preserve"> </w:t>
      </w:r>
      <w:r w:rsidR="00F106A5">
        <w:t>does not have to comply with subsection 911</w:t>
      </w:r>
      <w:proofErr w:type="gramStart"/>
      <w:r w:rsidR="00F106A5">
        <w:t>A(</w:t>
      </w:r>
      <w:proofErr w:type="gramEnd"/>
      <w:r w:rsidR="00F106A5">
        <w:t>1) of the Act.</w:t>
      </w:r>
      <w:r>
        <w:t xml:space="preserve"> </w:t>
      </w:r>
    </w:p>
    <w:p w14:paraId="0293FEE0" w14:textId="703D3C25" w:rsidR="00A70624" w:rsidRPr="000F5C8E" w:rsidRDefault="00A70624" w:rsidP="00973975">
      <w:pPr>
        <w:pStyle w:val="LI-Heading2"/>
      </w:pPr>
      <w:bookmarkStart w:id="11" w:name="_Toc34725955"/>
      <w:r>
        <w:t>6</w:t>
      </w:r>
      <w:r w:rsidRPr="008A4A95">
        <w:tab/>
      </w:r>
      <w:r>
        <w:t>Where the exemption applies</w:t>
      </w:r>
      <w:bookmarkEnd w:id="11"/>
    </w:p>
    <w:p w14:paraId="5BB46A49" w14:textId="5B2640E0" w:rsidR="009951B5" w:rsidRDefault="00A736AB" w:rsidP="00973975">
      <w:pPr>
        <w:pStyle w:val="LI-BodyTextNumbered"/>
      </w:pPr>
      <w:r>
        <w:t>(1)</w:t>
      </w:r>
      <w:r>
        <w:tab/>
      </w:r>
      <w:r w:rsidR="00A70624">
        <w:t xml:space="preserve">The exemption in section 5 </w:t>
      </w:r>
      <w:r w:rsidR="00B763CD">
        <w:t xml:space="preserve">only </w:t>
      </w:r>
      <w:r w:rsidR="00A70624">
        <w:t xml:space="preserve">applies to a </w:t>
      </w:r>
      <w:r w:rsidR="004811A2">
        <w:t>person</w:t>
      </w:r>
      <w:r w:rsidR="003F3075">
        <w:t xml:space="preserve"> </w:t>
      </w:r>
      <w:r w:rsidR="0096315A">
        <w:t>that is carrying on a financial services bu</w:t>
      </w:r>
      <w:r w:rsidR="00B763CD">
        <w:t>siness</w:t>
      </w:r>
      <w:r w:rsidR="002E22DE">
        <w:t xml:space="preserve"> in this jurisdiction of providing funds management financial services</w:t>
      </w:r>
      <w:r w:rsidR="00A70624">
        <w:t xml:space="preserve"> </w:t>
      </w:r>
      <w:r w:rsidR="00B763CD">
        <w:t>if</w:t>
      </w:r>
      <w:r w:rsidR="009951B5">
        <w:t>:</w:t>
      </w:r>
      <w:r w:rsidR="00B763CD">
        <w:t xml:space="preserve"> </w:t>
      </w:r>
    </w:p>
    <w:p w14:paraId="5D596613" w14:textId="1F43826A" w:rsidR="0094245D" w:rsidRDefault="009659A1" w:rsidP="00C058E3">
      <w:pPr>
        <w:pStyle w:val="LI-BodyTextParaa"/>
      </w:pPr>
      <w:r>
        <w:t>(</w:t>
      </w:r>
      <w:r w:rsidR="00C058E3">
        <w:t>a</w:t>
      </w:r>
      <w:r>
        <w:t>)</w:t>
      </w:r>
      <w:r>
        <w:tab/>
      </w:r>
      <w:r w:rsidR="00A742F5">
        <w:t>subject to subsection (</w:t>
      </w:r>
      <w:r w:rsidR="00DD0D0B">
        <w:t>2</w:t>
      </w:r>
      <w:r w:rsidR="00A742F5">
        <w:t xml:space="preserve">), </w:t>
      </w:r>
      <w:r>
        <w:t xml:space="preserve">the </w:t>
      </w:r>
      <w:r w:rsidR="004811A2">
        <w:t>person</w:t>
      </w:r>
      <w:r w:rsidR="003E65A3">
        <w:t xml:space="preserve"> </w:t>
      </w:r>
      <w:r>
        <w:t xml:space="preserve">has </w:t>
      </w:r>
      <w:r w:rsidR="00F175A9">
        <w:t>given ASIC written</w:t>
      </w:r>
      <w:r w:rsidR="00FC1AEA">
        <w:t xml:space="preserve"> confirmation</w:t>
      </w:r>
      <w:r w:rsidR="007512D8">
        <w:t xml:space="preserve"> that</w:t>
      </w:r>
      <w:r w:rsidR="0094245D">
        <w:t>:</w:t>
      </w:r>
    </w:p>
    <w:p w14:paraId="1ABF0E73" w14:textId="7AA3BD32" w:rsidR="000A7260" w:rsidRDefault="0094245D" w:rsidP="0094245D">
      <w:pPr>
        <w:pStyle w:val="LI-BodyTextParaa"/>
        <w:ind w:left="2160" w:hanging="459"/>
      </w:pPr>
      <w:r>
        <w:t>(</w:t>
      </w:r>
      <w:proofErr w:type="spellStart"/>
      <w:r>
        <w:t>i</w:t>
      </w:r>
      <w:proofErr w:type="spellEnd"/>
      <w:r>
        <w:t>)</w:t>
      </w:r>
      <w:r>
        <w:tab/>
      </w:r>
      <w:r w:rsidR="000A7260">
        <w:t>the person intends to rely on the exemption in section 5 in relation to the provision of funds management financial services;</w:t>
      </w:r>
      <w:r w:rsidR="00B12B96">
        <w:t xml:space="preserve"> and</w:t>
      </w:r>
    </w:p>
    <w:p w14:paraId="71ACE80B" w14:textId="1981C963" w:rsidR="00182412" w:rsidRDefault="000A7260" w:rsidP="00510059">
      <w:pPr>
        <w:pStyle w:val="LI-BodyTextParaa"/>
        <w:ind w:left="2160" w:hanging="459"/>
      </w:pPr>
      <w:r>
        <w:t xml:space="preserve">(ii) </w:t>
      </w:r>
      <w:r>
        <w:tab/>
      </w:r>
      <w:r w:rsidR="0046404A">
        <w:t xml:space="preserve">identifies </w:t>
      </w:r>
      <w:r w:rsidR="007E3404">
        <w:t xml:space="preserve">the </w:t>
      </w:r>
      <w:r w:rsidR="0046404A">
        <w:t xml:space="preserve">home jurisdiction </w:t>
      </w:r>
      <w:r w:rsidR="007E3404">
        <w:t xml:space="preserve">of the person </w:t>
      </w:r>
      <w:r w:rsidR="00510059">
        <w:t xml:space="preserve">and </w:t>
      </w:r>
      <w:r w:rsidR="0046404A">
        <w:t xml:space="preserve">confirms that </w:t>
      </w:r>
      <w:r w:rsidR="00E358E7">
        <w:t>the person would not contravene any laws of its home jurisdiction</w:t>
      </w:r>
      <w:r w:rsidR="00583F31">
        <w:t xml:space="preserve"> relating to the provision of financial services</w:t>
      </w:r>
      <w:r w:rsidR="00E358E7">
        <w:t xml:space="preserve"> if the person were to provide those </w:t>
      </w:r>
      <w:r w:rsidR="007512D8">
        <w:t>funds management financial services in its home jurisdiction</w:t>
      </w:r>
      <w:r w:rsidR="00182412">
        <w:t>;</w:t>
      </w:r>
      <w:r w:rsidR="00B12B96">
        <w:t xml:space="preserve"> and</w:t>
      </w:r>
    </w:p>
    <w:p w14:paraId="3211DE94" w14:textId="08D5F659" w:rsidR="00510059" w:rsidRPr="00FB2E3F" w:rsidRDefault="00510059">
      <w:pPr>
        <w:pStyle w:val="LI-BodyTextParaa"/>
        <w:ind w:left="2160" w:hanging="459"/>
        <w:rPr>
          <w:sz w:val="18"/>
          <w:szCs w:val="18"/>
        </w:rPr>
      </w:pPr>
      <w:r w:rsidRPr="00FB2E3F">
        <w:rPr>
          <w:sz w:val="18"/>
          <w:szCs w:val="18"/>
        </w:rPr>
        <w:t xml:space="preserve">Note: </w:t>
      </w:r>
      <w:r>
        <w:rPr>
          <w:sz w:val="18"/>
          <w:szCs w:val="18"/>
        </w:rPr>
        <w:tab/>
      </w:r>
      <w:r w:rsidRPr="00FB2E3F">
        <w:rPr>
          <w:sz w:val="18"/>
          <w:szCs w:val="18"/>
        </w:rPr>
        <w:t>If the home jurisdiction of the person changes, the person must provide a new written confirmation in relation to its new home jurisdiction within 30 days: see subsection (</w:t>
      </w:r>
      <w:r w:rsidR="005F2550">
        <w:rPr>
          <w:sz w:val="18"/>
          <w:szCs w:val="18"/>
        </w:rPr>
        <w:t>2</w:t>
      </w:r>
      <w:r w:rsidRPr="00FB2E3F">
        <w:rPr>
          <w:sz w:val="18"/>
          <w:szCs w:val="18"/>
        </w:rPr>
        <w:t>).</w:t>
      </w:r>
    </w:p>
    <w:p w14:paraId="32FF6E5E" w14:textId="59B9C68D" w:rsidR="0083196A" w:rsidRDefault="00182412" w:rsidP="0094245D">
      <w:pPr>
        <w:pStyle w:val="LI-BodyTextParaa"/>
        <w:ind w:left="2160" w:hanging="459"/>
      </w:pPr>
      <w:r>
        <w:t>(ii</w:t>
      </w:r>
      <w:r w:rsidR="00B12B96">
        <w:t>i</w:t>
      </w:r>
      <w:r>
        <w:t>)</w:t>
      </w:r>
      <w:r>
        <w:tab/>
      </w:r>
      <w:r w:rsidR="000A7260">
        <w:t>the</w:t>
      </w:r>
      <w:r w:rsidR="00786E58">
        <w:t>re is an</w:t>
      </w:r>
      <w:r w:rsidR="00345E72">
        <w:t xml:space="preserve"> </w:t>
      </w:r>
      <w:r w:rsidR="00AD2167">
        <w:t xml:space="preserve">overseas </w:t>
      </w:r>
      <w:r w:rsidR="000D04F2">
        <w:t xml:space="preserve">regulator </w:t>
      </w:r>
      <w:r w:rsidR="000A7260">
        <w:t>of the person</w:t>
      </w:r>
      <w:r>
        <w:t xml:space="preserve"> </w:t>
      </w:r>
      <w:r w:rsidR="00461E5E">
        <w:t xml:space="preserve">in its home jurisdiction </w:t>
      </w:r>
      <w:r w:rsidR="00786E58">
        <w:t xml:space="preserve">and that </w:t>
      </w:r>
      <w:r w:rsidR="007E3404">
        <w:t xml:space="preserve">the </w:t>
      </w:r>
      <w:r w:rsidR="00786E58">
        <w:t xml:space="preserve">overseas regulator </w:t>
      </w:r>
      <w:r>
        <w:t xml:space="preserve">is a signatory to the </w:t>
      </w:r>
      <w:bookmarkStart w:id="12" w:name="_Hlk27467028"/>
      <w:r>
        <w:t>International Organisation of Securities Commission</w:t>
      </w:r>
      <w:r w:rsidR="00133EE3">
        <w:t>s’</w:t>
      </w:r>
      <w:r>
        <w:t xml:space="preserve"> </w:t>
      </w:r>
      <w:bookmarkStart w:id="13" w:name="_Hlk27478219"/>
      <w:r>
        <w:t>Multilateral Memorandum of Understanding Concerning Consultation and Cooperation and the Exchange of Inform</w:t>
      </w:r>
      <w:r w:rsidR="000B55F4">
        <w:t>a</w:t>
      </w:r>
      <w:r>
        <w:t>tion</w:t>
      </w:r>
      <w:bookmarkEnd w:id="12"/>
      <w:r>
        <w:t>;</w:t>
      </w:r>
      <w:r w:rsidR="007512D8">
        <w:t xml:space="preserve"> </w:t>
      </w:r>
      <w:r w:rsidR="00B12B96">
        <w:t>and</w:t>
      </w:r>
      <w:bookmarkEnd w:id="13"/>
    </w:p>
    <w:p w14:paraId="7FBF6530" w14:textId="0F52CB60" w:rsidR="000D04F2" w:rsidRDefault="00796687" w:rsidP="000D04F2">
      <w:pPr>
        <w:pStyle w:val="LI-BodyTextParaa"/>
        <w:ind w:left="2160" w:hanging="459"/>
      </w:pPr>
      <w:r w:rsidDel="00796687">
        <w:t xml:space="preserve"> </w:t>
      </w:r>
      <w:r w:rsidR="00461E5E">
        <w:t>(</w:t>
      </w:r>
      <w:r w:rsidR="00C87C38">
        <w:t>i</w:t>
      </w:r>
      <w:r w:rsidR="00461E5E">
        <w:t>v)</w:t>
      </w:r>
      <w:r w:rsidR="00461E5E">
        <w:tab/>
      </w:r>
      <w:r w:rsidR="000D04F2">
        <w:t>on the written request of ASIC or the overseas regulator in its home jurisdiction</w:t>
      </w:r>
      <w:r w:rsidR="00461E5E">
        <w:t>, the person will</w:t>
      </w:r>
      <w:r w:rsidR="000D04F2">
        <w:t xml:space="preserve"> give or vary written consent and take all other practicable steps to enable and assist the overseas regulator to disclose to ASIC and ASIC to disclose to the overseas regulator any information or document that the overseas regulator or ASIC has that relates to the person; and</w:t>
      </w:r>
    </w:p>
    <w:p w14:paraId="6C99DE5E" w14:textId="475F4465" w:rsidR="000D04F2" w:rsidRDefault="000D04F2" w:rsidP="000D04F2">
      <w:pPr>
        <w:pStyle w:val="LI-BodyTextParaa"/>
        <w:ind w:left="2160" w:hanging="459"/>
      </w:pPr>
      <w:r>
        <w:t>(</w:t>
      </w:r>
      <w:r w:rsidR="00461E5E">
        <w:t>v</w:t>
      </w:r>
      <w:r>
        <w:t>)</w:t>
      </w:r>
      <w:r>
        <w:tab/>
        <w:t xml:space="preserve">if ASIC gives the person a written notice directing the person to give to ASIC, within the time specified in the notice, a written statement containing specific information </w:t>
      </w:r>
      <w:r w:rsidR="00461E5E">
        <w:t>in relation to</w:t>
      </w:r>
      <w:r>
        <w:t xml:space="preserve"> the </w:t>
      </w:r>
      <w:r w:rsidR="00461E5E" w:rsidRPr="008C5F91">
        <w:lastRenderedPageBreak/>
        <w:t>financial services business carried on</w:t>
      </w:r>
      <w:r>
        <w:t xml:space="preserve"> by the person in this jurisdiction, </w:t>
      </w:r>
      <w:r w:rsidR="00461E5E">
        <w:t xml:space="preserve">the person will </w:t>
      </w:r>
      <w:r>
        <w:t>comply with the notice; and</w:t>
      </w:r>
    </w:p>
    <w:p w14:paraId="7AFE815B" w14:textId="1D6502DD" w:rsidR="00666506" w:rsidRDefault="000D04F2" w:rsidP="000D04F2">
      <w:pPr>
        <w:pStyle w:val="LI-BodyTextParaa"/>
        <w:ind w:left="2160" w:hanging="459"/>
      </w:pPr>
      <w:r>
        <w:t>(</w:t>
      </w:r>
      <w:r w:rsidR="00461E5E">
        <w:t>vi</w:t>
      </w:r>
      <w:r>
        <w:t>)</w:t>
      </w:r>
      <w:r>
        <w:tab/>
      </w:r>
      <w:r w:rsidR="00461E5E">
        <w:t xml:space="preserve">the person will </w:t>
      </w:r>
      <w:r>
        <w:t>give such assistance to ASIC, or a person authorised by ASIC, as ASIC or the authorised person reasonably requests in relation to whether the person is complying with the financial services laws, and in relation to the performance of ASIC’s other functions</w:t>
      </w:r>
      <w:r w:rsidR="00461E5E">
        <w:t>; and</w:t>
      </w:r>
    </w:p>
    <w:p w14:paraId="430EF331" w14:textId="5701823E" w:rsidR="00510059" w:rsidRDefault="0046404A" w:rsidP="00510059">
      <w:pPr>
        <w:pStyle w:val="LI-BodyTextParaa"/>
        <w:ind w:left="2160" w:hanging="459"/>
      </w:pPr>
      <w:r>
        <w:t xml:space="preserve">(vii) the person has an agent for service appointed and </w:t>
      </w:r>
      <w:r w:rsidR="007E3404">
        <w:t xml:space="preserve">that </w:t>
      </w:r>
      <w:r>
        <w:t>includes the name and address of the agent for service</w:t>
      </w:r>
      <w:r w:rsidR="00510059">
        <w:t xml:space="preserve"> that is current as at the day the written confirmation is given</w:t>
      </w:r>
      <w:r w:rsidR="009A7ADC">
        <w:t>; and</w:t>
      </w:r>
      <w:r w:rsidR="00510059" w:rsidDel="00510059">
        <w:t xml:space="preserve"> </w:t>
      </w:r>
    </w:p>
    <w:p w14:paraId="4A25513D" w14:textId="3C94CAC6" w:rsidR="00B12B96" w:rsidRDefault="00B12B96" w:rsidP="00B12B96">
      <w:pPr>
        <w:pStyle w:val="LI-BodyTextParaa"/>
      </w:pPr>
      <w:r>
        <w:t>(</w:t>
      </w:r>
      <w:r w:rsidR="00AA4D92">
        <w:t>b</w:t>
      </w:r>
      <w:r>
        <w:t>)</w:t>
      </w:r>
      <w:r>
        <w:tab/>
        <w:t xml:space="preserve">the person does not have a </w:t>
      </w:r>
      <w:r w:rsidR="00435DFF">
        <w:t>place of business</w:t>
      </w:r>
      <w:r>
        <w:t xml:space="preserve"> in this jurisdiction.</w:t>
      </w:r>
    </w:p>
    <w:p w14:paraId="4B5694CE" w14:textId="50988488" w:rsidR="00A742F5" w:rsidRDefault="005830C1" w:rsidP="00A742F5">
      <w:pPr>
        <w:pStyle w:val="LI-BodyTextParaa"/>
        <w:ind w:left="1134"/>
      </w:pPr>
      <w:r w:rsidDel="005830C1">
        <w:t xml:space="preserve"> </w:t>
      </w:r>
      <w:r w:rsidR="00A742F5">
        <w:t>(</w:t>
      </w:r>
      <w:r w:rsidR="00314B36">
        <w:t>2</w:t>
      </w:r>
      <w:r w:rsidR="00A742F5">
        <w:t>)</w:t>
      </w:r>
      <w:r w:rsidR="00A742F5">
        <w:tab/>
        <w:t xml:space="preserve">If a person has given a written confirmation under subsection (1) and their home jurisdiction changes, </w:t>
      </w:r>
      <w:r w:rsidR="00510059">
        <w:t>the requirement to give a new written confirmation under subsection (1) in</w:t>
      </w:r>
      <w:r w:rsidR="00A742F5">
        <w:t xml:space="preserve"> </w:t>
      </w:r>
      <w:r w:rsidR="00510059">
        <w:t>relation to their new home jurisdiction only applies on and from 30 days after the day the home jurisdiction of the person changes.</w:t>
      </w:r>
    </w:p>
    <w:p w14:paraId="2405A4A0" w14:textId="1BCD8DBF" w:rsidR="0046404A" w:rsidRPr="008A4A95" w:rsidRDefault="0046404A" w:rsidP="0046404A">
      <w:pPr>
        <w:pStyle w:val="LI-Heading2"/>
      </w:pPr>
      <w:bookmarkStart w:id="14" w:name="_Toc34725956"/>
      <w:r>
        <w:t>7</w:t>
      </w:r>
      <w:r w:rsidRPr="008A4A95">
        <w:tab/>
      </w:r>
      <w:r>
        <w:t>Condition</w:t>
      </w:r>
      <w:bookmarkEnd w:id="14"/>
    </w:p>
    <w:p w14:paraId="3375B03F" w14:textId="77777777" w:rsidR="0046404A" w:rsidRDefault="0046404A" w:rsidP="0046404A">
      <w:pPr>
        <w:pStyle w:val="LI-BodyTextUnnumbered"/>
        <w:ind w:left="567"/>
      </w:pPr>
      <w:bookmarkStart w:id="15" w:name="_Hlk33628804"/>
      <w:r>
        <w:t>A</w:t>
      </w:r>
      <w:r w:rsidRPr="008A4A95">
        <w:t xml:space="preserve"> </w:t>
      </w:r>
      <w:r>
        <w:t>person that relies on the exemption in section 5 must:</w:t>
      </w:r>
    </w:p>
    <w:p w14:paraId="07895709" w14:textId="3CE6939E" w:rsidR="0046404A" w:rsidRDefault="0046404A" w:rsidP="0046404A">
      <w:pPr>
        <w:pStyle w:val="LI-BodyTextUnnumbered"/>
        <w:ind w:hanging="567"/>
      </w:pPr>
      <w:r>
        <w:t xml:space="preserve">(a) </w:t>
      </w:r>
      <w:r>
        <w:tab/>
        <w:t>not fail to have an agent for service for any consecutive period of 10 business days;</w:t>
      </w:r>
      <w:r w:rsidR="009A7ADC">
        <w:t xml:space="preserve"> and</w:t>
      </w:r>
    </w:p>
    <w:p w14:paraId="7D9DA0EE" w14:textId="77777777" w:rsidR="0046404A" w:rsidRDefault="0046404A" w:rsidP="0046404A">
      <w:pPr>
        <w:pStyle w:val="LI-BodyTextUnnumbered"/>
        <w:ind w:hanging="567"/>
      </w:pPr>
      <w:r>
        <w:t>(b)</w:t>
      </w:r>
      <w:r>
        <w:tab/>
        <w:t xml:space="preserve">provide ASIC with written details of: </w:t>
      </w:r>
    </w:p>
    <w:p w14:paraId="6C06701E" w14:textId="1F8153DA" w:rsidR="0046404A" w:rsidRDefault="0046404A" w:rsidP="0046404A">
      <w:pPr>
        <w:pStyle w:val="LI-BodyTextUnnumbered"/>
      </w:pPr>
      <w:r>
        <w:t>(</w:t>
      </w:r>
      <w:proofErr w:type="spellStart"/>
      <w:r>
        <w:t>i</w:t>
      </w:r>
      <w:proofErr w:type="spellEnd"/>
      <w:r>
        <w:t>)</w:t>
      </w:r>
      <w:r>
        <w:tab/>
        <w:t xml:space="preserve">a </w:t>
      </w:r>
      <w:r w:rsidR="009A7ADC">
        <w:t xml:space="preserve">natural </w:t>
      </w:r>
      <w:r>
        <w:t xml:space="preserve">person ceasing or commencing to be its agent for service; </w:t>
      </w:r>
      <w:r w:rsidR="009A7ADC">
        <w:t>and</w:t>
      </w:r>
    </w:p>
    <w:p w14:paraId="61231623" w14:textId="3EFA97EF" w:rsidR="0046404A" w:rsidRDefault="0046404A" w:rsidP="0046404A">
      <w:pPr>
        <w:pStyle w:val="LI-BodyTextUnnumbered"/>
      </w:pPr>
      <w:r>
        <w:t>(ii)</w:t>
      </w:r>
      <w:r>
        <w:tab/>
        <w:t xml:space="preserve"> any change to the name or address of its agent for service</w:t>
      </w:r>
      <w:r w:rsidR="009A7ADC">
        <w:t>;</w:t>
      </w:r>
    </w:p>
    <w:p w14:paraId="57E874E9" w14:textId="4E13D57E" w:rsidR="0046404A" w:rsidRDefault="0046404A" w:rsidP="00280956">
      <w:pPr>
        <w:pStyle w:val="LI-BodyTextUnnumbered"/>
      </w:pPr>
      <w:r>
        <w:t xml:space="preserve">within 10 business days of the </w:t>
      </w:r>
      <w:r w:rsidR="009A7ADC">
        <w:t>natu</w:t>
      </w:r>
      <w:r w:rsidR="00C3152F">
        <w:t>r</w:t>
      </w:r>
      <w:r w:rsidR="009A7ADC">
        <w:t xml:space="preserve">al </w:t>
      </w:r>
      <w:r>
        <w:t>person so ceasing or commencing</w:t>
      </w:r>
      <w:r w:rsidR="009A7ADC">
        <w:t xml:space="preserve"> or of the change to the name or address.</w:t>
      </w:r>
    </w:p>
    <w:bookmarkEnd w:id="15"/>
    <w:p w14:paraId="4AA9FB90" w14:textId="0BFD3DCD" w:rsidR="0046404A" w:rsidRDefault="0046404A" w:rsidP="00CF7875">
      <w:pPr>
        <w:pStyle w:val="LI-BodyTextParaa"/>
      </w:pPr>
    </w:p>
    <w:p w14:paraId="0D38A9C8" w14:textId="77777777" w:rsidR="0046404A" w:rsidRDefault="0046404A" w:rsidP="00CF7875">
      <w:pPr>
        <w:pStyle w:val="LI-BodyTextParaa"/>
      </w:pPr>
    </w:p>
    <w:p w14:paraId="0E8B0B31" w14:textId="55EA01E6" w:rsidR="008A4A95" w:rsidRPr="008A4A95" w:rsidRDefault="00B12B96" w:rsidP="00D56C81">
      <w:pPr>
        <w:pStyle w:val="LI-Heading1"/>
        <w:ind w:left="1701" w:hanging="567"/>
        <w:rPr>
          <w:rFonts w:eastAsia="Calibri"/>
        </w:rPr>
      </w:pPr>
      <w:r w:rsidDel="00B12B96">
        <w:t xml:space="preserve"> </w:t>
      </w:r>
    </w:p>
    <w:sectPr w:rsidR="008A4A95" w:rsidRPr="008A4A95" w:rsidSect="008A4A95">
      <w:headerReference w:type="default" r:id="rId25"/>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644D" w14:textId="77777777" w:rsidR="00510059" w:rsidRDefault="00510059" w:rsidP="00C64204">
      <w:pPr>
        <w:spacing w:after="0" w:line="240" w:lineRule="auto"/>
      </w:pPr>
      <w:r>
        <w:separator/>
      </w:r>
    </w:p>
  </w:endnote>
  <w:endnote w:type="continuationSeparator" w:id="0">
    <w:p w14:paraId="1BA8224F" w14:textId="77777777" w:rsidR="00510059" w:rsidRDefault="00510059" w:rsidP="00C64204">
      <w:pPr>
        <w:spacing w:after="0" w:line="240" w:lineRule="auto"/>
      </w:pPr>
      <w:r>
        <w:continuationSeparator/>
      </w:r>
    </w:p>
  </w:endnote>
  <w:endnote w:type="continuationNotice" w:id="1">
    <w:p w14:paraId="4EB5D716" w14:textId="77777777" w:rsidR="00510059" w:rsidRDefault="00510059" w:rsidP="00C64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510059" w:rsidRPr="00081794" w14:paraId="0DF2C955" w14:textId="77777777" w:rsidTr="008A4A95">
      <w:tc>
        <w:tcPr>
          <w:tcW w:w="8472" w:type="dxa"/>
          <w:shd w:val="clear" w:color="auto" w:fill="auto"/>
        </w:tcPr>
        <w:p w14:paraId="2C31CF84" w14:textId="77777777" w:rsidR="00510059" w:rsidRPr="00081794" w:rsidRDefault="00510059" w:rsidP="008A4A95">
          <w:pPr>
            <w:jc w:val="right"/>
            <w:rPr>
              <w:sz w:val="18"/>
            </w:rPr>
          </w:pPr>
          <w:r>
            <w:rPr>
              <w:noProof/>
            </w:rPr>
            <mc:AlternateContent>
              <mc:Choice Requires="wps">
                <w:drawing>
                  <wp:anchor distT="0" distB="0" distL="114300" distR="114300" simplePos="0" relativeHeight="251658243" behindDoc="1" locked="0" layoutInCell="1" allowOverlap="1" wp14:anchorId="3A3D1973" wp14:editId="5506200D">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B2B8EE1" w14:textId="762C3394" w:rsidR="00510059" w:rsidRPr="00284719" w:rsidRDefault="00510059" w:rsidP="008A4A95">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3DA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D1973"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5B2B8EE1" w14:textId="762C3394" w:rsidR="00510059" w:rsidRPr="00284719" w:rsidRDefault="00510059" w:rsidP="008A4A95">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3DA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36227535" w14:textId="77777777" w:rsidR="00510059" w:rsidRPr="007500C8" w:rsidRDefault="00510059" w:rsidP="008A4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0C8B" w14:textId="77777777" w:rsidR="00510059" w:rsidRDefault="00510059" w:rsidP="008A4A95">
    <w:pPr>
      <w:pStyle w:val="Footer"/>
    </w:pPr>
    <w:r>
      <w:rPr>
        <w:noProof/>
      </w:rPr>
      <mc:AlternateContent>
        <mc:Choice Requires="wps">
          <w:drawing>
            <wp:anchor distT="0" distB="0" distL="114300" distR="114300" simplePos="0" relativeHeight="251658242" behindDoc="1" locked="0" layoutInCell="1" allowOverlap="1" wp14:anchorId="6708734E" wp14:editId="4A3C5658">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46B2121" w14:textId="77777777" w:rsidR="00510059" w:rsidRPr="00284719" w:rsidRDefault="00510059" w:rsidP="008A4A95">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8734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146B2121" w14:textId="77777777" w:rsidR="00510059" w:rsidRPr="00284719" w:rsidRDefault="00510059" w:rsidP="008A4A95">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510059" w:rsidRPr="00081794" w14:paraId="034C0C42" w14:textId="77777777" w:rsidTr="008A4A95">
      <w:tc>
        <w:tcPr>
          <w:tcW w:w="8472" w:type="dxa"/>
          <w:shd w:val="clear" w:color="auto" w:fill="auto"/>
        </w:tcPr>
        <w:p w14:paraId="47F0FDF9" w14:textId="77777777" w:rsidR="00510059" w:rsidRPr="00081794" w:rsidRDefault="00510059" w:rsidP="008A4A95">
          <w:pPr>
            <w:rPr>
              <w:sz w:val="18"/>
            </w:rPr>
          </w:pPr>
        </w:p>
      </w:tc>
    </w:tr>
  </w:tbl>
  <w:p w14:paraId="177EE871" w14:textId="77777777" w:rsidR="00510059" w:rsidRPr="007500C8" w:rsidRDefault="00510059" w:rsidP="008A4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ED76" w14:textId="77777777" w:rsidR="00510059" w:rsidRPr="00ED79B6" w:rsidRDefault="00510059" w:rsidP="008A4A95">
    <w:pPr>
      <w:pStyle w:val="Footer"/>
      <w:tabs>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FB5E" w14:textId="77777777" w:rsidR="00510059" w:rsidRPr="00E2168B" w:rsidRDefault="00510059" w:rsidP="008A4A95">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E2E0" w14:textId="05D04318" w:rsidR="00510059" w:rsidRPr="00E33C1C" w:rsidRDefault="00510059" w:rsidP="008A4A95">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C3BD5" w14:textId="77777777" w:rsidR="00510059" w:rsidRDefault="00510059" w:rsidP="00C64204">
      <w:pPr>
        <w:spacing w:after="0" w:line="240" w:lineRule="auto"/>
      </w:pPr>
      <w:r>
        <w:separator/>
      </w:r>
    </w:p>
  </w:footnote>
  <w:footnote w:type="continuationSeparator" w:id="0">
    <w:p w14:paraId="1B69C2F1" w14:textId="77777777" w:rsidR="00510059" w:rsidRDefault="00510059" w:rsidP="00C64204">
      <w:pPr>
        <w:spacing w:after="0" w:line="240" w:lineRule="auto"/>
      </w:pPr>
      <w:r>
        <w:continuationSeparator/>
      </w:r>
    </w:p>
  </w:footnote>
  <w:footnote w:type="continuationNotice" w:id="1">
    <w:p w14:paraId="156062B5" w14:textId="77777777" w:rsidR="00510059" w:rsidRDefault="00510059" w:rsidP="00C642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BC4F" w14:textId="77777777" w:rsidR="00510059" w:rsidRPr="005F1388" w:rsidRDefault="00510059" w:rsidP="008A4A95">
    <w:pPr>
      <w:pStyle w:val="Header"/>
    </w:pPr>
    <w:r>
      <w:rPr>
        <w:noProof/>
      </w:rPr>
      <mc:AlternateContent>
        <mc:Choice Requires="wps">
          <w:drawing>
            <wp:anchor distT="0" distB="0" distL="114300" distR="114300" simplePos="0" relativeHeight="251658241" behindDoc="1" locked="0" layoutInCell="1" allowOverlap="1" wp14:anchorId="640BD7BA" wp14:editId="355FD456">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A0E010F" w14:textId="07B7334B" w:rsidR="00510059" w:rsidRPr="00284719" w:rsidRDefault="00510059" w:rsidP="008A4A95">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3DA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BD7BA"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3A0E010F" w14:textId="07B7334B" w:rsidR="00510059" w:rsidRPr="00284719" w:rsidRDefault="00510059" w:rsidP="008A4A95">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3DA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EE892" w14:textId="77777777" w:rsidR="00510059" w:rsidRPr="005F1388" w:rsidRDefault="00510059" w:rsidP="008A4A95">
    <w:pPr>
      <w:pStyle w:val="Header"/>
    </w:pPr>
    <w:r>
      <w:rPr>
        <w:noProof/>
      </w:rPr>
      <mc:AlternateContent>
        <mc:Choice Requires="wps">
          <w:drawing>
            <wp:anchor distT="0" distB="0" distL="114300" distR="114300" simplePos="0" relativeHeight="251658240" behindDoc="1" locked="0" layoutInCell="1" allowOverlap="1" wp14:anchorId="3861B1F2" wp14:editId="16F46E6D">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7594E50" w14:textId="77777777" w:rsidR="00510059" w:rsidRPr="00284719" w:rsidRDefault="00510059" w:rsidP="008A4A95">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1B1F2"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57594E50" w14:textId="77777777" w:rsidR="00510059" w:rsidRPr="00284719" w:rsidRDefault="00510059" w:rsidP="008A4A95">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4E5A" w14:textId="77777777" w:rsidR="00510059" w:rsidRDefault="00510059" w:rsidP="008A4A95">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510059" w14:paraId="73A1E430" w14:textId="77777777" w:rsidTr="00C05953">
      <w:tc>
        <w:tcPr>
          <w:tcW w:w="6804" w:type="dxa"/>
          <w:shd w:val="clear" w:color="auto" w:fill="auto"/>
        </w:tcPr>
        <w:p w14:paraId="6EF2BE9D" w14:textId="0FC34032" w:rsidR="00510059" w:rsidRDefault="00510059" w:rsidP="00204BE0">
          <w:pPr>
            <w:pStyle w:val="LI-Header"/>
            <w:pBdr>
              <w:bottom w:val="none" w:sz="0" w:space="0" w:color="auto"/>
            </w:pBdr>
            <w:jc w:val="left"/>
          </w:pPr>
          <w:r>
            <w:rPr>
              <w:noProof/>
            </w:rPr>
            <w:fldChar w:fldCharType="begin"/>
          </w:r>
          <w:r>
            <w:rPr>
              <w:noProof/>
            </w:rPr>
            <w:instrText xml:space="preserve"> STYLEREF  "LI - Title" </w:instrText>
          </w:r>
          <w:r>
            <w:rPr>
              <w:noProof/>
            </w:rPr>
            <w:fldChar w:fldCharType="separate"/>
          </w:r>
          <w:r w:rsidR="004037BD">
            <w:rPr>
              <w:noProof/>
            </w:rPr>
            <w:t>ASIC Corporations (Foreign Financial Services Providers—Funds Management Financial Services) Instrument 2020/199</w:t>
          </w:r>
          <w:r>
            <w:rPr>
              <w:noProof/>
            </w:rPr>
            <w:fldChar w:fldCharType="end"/>
          </w:r>
        </w:p>
      </w:tc>
      <w:tc>
        <w:tcPr>
          <w:tcW w:w="1509" w:type="dxa"/>
          <w:shd w:val="clear" w:color="auto" w:fill="auto"/>
        </w:tcPr>
        <w:p w14:paraId="71876E5D" w14:textId="77777777" w:rsidR="00510059" w:rsidRDefault="00510059" w:rsidP="00204BE0">
          <w:pPr>
            <w:pStyle w:val="LI-Header"/>
            <w:pBdr>
              <w:bottom w:val="none" w:sz="0" w:space="0" w:color="auto"/>
            </w:pBdr>
          </w:pPr>
        </w:p>
      </w:tc>
    </w:tr>
  </w:tbl>
  <w:p w14:paraId="29818186" w14:textId="77777777" w:rsidR="00510059" w:rsidRPr="00204BE0" w:rsidRDefault="00510059" w:rsidP="00204B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5C84" w14:textId="77777777" w:rsidR="00510059" w:rsidRPr="00ED79B6" w:rsidRDefault="00510059" w:rsidP="008A4A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DFA1" w14:textId="77777777" w:rsidR="00510059" w:rsidRPr="00243EC0" w:rsidRDefault="00510059" w:rsidP="008A4A95">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921"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6804"/>
      <w:gridCol w:w="6804"/>
      <w:gridCol w:w="1509"/>
    </w:tblGrid>
    <w:tr w:rsidR="00510059" w:rsidRPr="00E40FF8" w14:paraId="2AAE48C9" w14:textId="77777777" w:rsidTr="00204BE0">
      <w:tc>
        <w:tcPr>
          <w:tcW w:w="6804" w:type="dxa"/>
        </w:tcPr>
        <w:p w14:paraId="41374AF8" w14:textId="65B3D619" w:rsidR="00510059" w:rsidRDefault="00510059" w:rsidP="00204BE0">
          <w:pPr>
            <w:pStyle w:val="LI-Header"/>
            <w:pBdr>
              <w:bottom w:val="none" w:sz="0" w:space="0" w:color="auto"/>
            </w:pBdr>
            <w:jc w:val="left"/>
          </w:pPr>
          <w:r>
            <w:rPr>
              <w:noProof/>
            </w:rPr>
            <w:fldChar w:fldCharType="begin"/>
          </w:r>
          <w:r>
            <w:rPr>
              <w:noProof/>
            </w:rPr>
            <w:instrText xml:space="preserve"> STYLEREF  "LI - Title" </w:instrText>
          </w:r>
          <w:r>
            <w:rPr>
              <w:noProof/>
            </w:rPr>
            <w:fldChar w:fldCharType="separate"/>
          </w:r>
          <w:r w:rsidR="004037BD">
            <w:rPr>
              <w:noProof/>
            </w:rPr>
            <w:t>ASIC Corporations (Foreign Financial Services Providers—Funds Management Financial Services) Instrument 2020/199</w:t>
          </w:r>
          <w:r>
            <w:rPr>
              <w:noProof/>
            </w:rPr>
            <w:fldChar w:fldCharType="end"/>
          </w:r>
        </w:p>
      </w:tc>
      <w:tc>
        <w:tcPr>
          <w:tcW w:w="6804" w:type="dxa"/>
        </w:tcPr>
        <w:p w14:paraId="0143D05C" w14:textId="312F8521" w:rsidR="00510059" w:rsidRDefault="00510059" w:rsidP="00204BE0">
          <w:pPr>
            <w:pStyle w:val="LI-Header"/>
            <w:pBdr>
              <w:bottom w:val="none" w:sz="0" w:space="0" w:color="auto"/>
            </w:pBdr>
            <w:ind w:right="4393"/>
            <w:jc w:val="left"/>
          </w:pPr>
          <w:r w:rsidRPr="00204BE0">
            <w:rPr>
              <w:noProof/>
            </w:rPr>
            <w:t>Part 1—Preliminary</w:t>
          </w:r>
          <w:r>
            <w:t xml:space="preserve"> </w:t>
          </w:r>
        </w:p>
      </w:tc>
      <w:tc>
        <w:tcPr>
          <w:tcW w:w="6804" w:type="dxa"/>
          <w:shd w:val="clear" w:color="auto" w:fill="auto"/>
        </w:tcPr>
        <w:p w14:paraId="1AF95334" w14:textId="6EA1689D" w:rsidR="00510059" w:rsidRDefault="00510059" w:rsidP="00204BE0">
          <w:pPr>
            <w:pStyle w:val="LI-Header"/>
            <w:pBdr>
              <w:bottom w:val="none" w:sz="0" w:space="0" w:color="auto"/>
            </w:pBdr>
            <w:jc w:val="left"/>
          </w:pPr>
        </w:p>
      </w:tc>
      <w:tc>
        <w:tcPr>
          <w:tcW w:w="1509" w:type="dxa"/>
          <w:shd w:val="clear" w:color="auto" w:fill="auto"/>
        </w:tcPr>
        <w:p w14:paraId="69F9AEA8" w14:textId="77781ADC" w:rsidR="00510059" w:rsidRDefault="00510059" w:rsidP="00204BE0">
          <w:pPr>
            <w:pStyle w:val="LI-Header"/>
            <w:pBdr>
              <w:bottom w:val="none" w:sz="0" w:space="0" w:color="auto"/>
            </w:pBdr>
          </w:pPr>
        </w:p>
      </w:tc>
    </w:tr>
  </w:tbl>
  <w:p w14:paraId="7B2B141E" w14:textId="072B1A59" w:rsidR="00510059" w:rsidRPr="00F4215A" w:rsidRDefault="00510059" w:rsidP="008A4A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921"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6804"/>
      <w:gridCol w:w="6804"/>
      <w:gridCol w:w="1509"/>
    </w:tblGrid>
    <w:tr w:rsidR="00510059" w:rsidRPr="00E40FF8" w14:paraId="00CF1DD6" w14:textId="77777777" w:rsidTr="00204BE0">
      <w:tc>
        <w:tcPr>
          <w:tcW w:w="6804" w:type="dxa"/>
        </w:tcPr>
        <w:p w14:paraId="77EA20A2" w14:textId="32B9FFB2" w:rsidR="00510059" w:rsidRDefault="00510059" w:rsidP="00204BE0">
          <w:pPr>
            <w:pStyle w:val="LI-Header"/>
            <w:pBdr>
              <w:bottom w:val="none" w:sz="0" w:space="0" w:color="auto"/>
            </w:pBdr>
            <w:jc w:val="left"/>
          </w:pPr>
          <w:r>
            <w:rPr>
              <w:noProof/>
            </w:rPr>
            <w:fldChar w:fldCharType="begin"/>
          </w:r>
          <w:r>
            <w:rPr>
              <w:noProof/>
            </w:rPr>
            <w:instrText xml:space="preserve"> STYLEREF  "LI - Title" </w:instrText>
          </w:r>
          <w:r>
            <w:rPr>
              <w:noProof/>
            </w:rPr>
            <w:fldChar w:fldCharType="separate"/>
          </w:r>
          <w:r w:rsidR="004037BD">
            <w:rPr>
              <w:noProof/>
            </w:rPr>
            <w:t>ASIC Corporations (Foreign Financial Services Providers—Funds Management Financial Services) Instrument 2020/199</w:t>
          </w:r>
          <w:r>
            <w:rPr>
              <w:noProof/>
            </w:rPr>
            <w:fldChar w:fldCharType="end"/>
          </w:r>
        </w:p>
      </w:tc>
      <w:tc>
        <w:tcPr>
          <w:tcW w:w="6804" w:type="dxa"/>
        </w:tcPr>
        <w:p w14:paraId="6BF2D153" w14:textId="0F949E57" w:rsidR="00510059" w:rsidRDefault="00510059" w:rsidP="00204BE0">
          <w:pPr>
            <w:pStyle w:val="LI-Header"/>
            <w:pBdr>
              <w:bottom w:val="none" w:sz="0" w:space="0" w:color="auto"/>
            </w:pBdr>
            <w:ind w:right="4393"/>
            <w:jc w:val="left"/>
          </w:pPr>
          <w:r>
            <w:rPr>
              <w:noProof/>
            </w:rPr>
            <w:t>Part 3—Transitional</w:t>
          </w:r>
          <w:r>
            <w:t xml:space="preserve"> </w:t>
          </w:r>
        </w:p>
      </w:tc>
      <w:tc>
        <w:tcPr>
          <w:tcW w:w="6804" w:type="dxa"/>
          <w:shd w:val="clear" w:color="auto" w:fill="auto"/>
        </w:tcPr>
        <w:p w14:paraId="5D553B56" w14:textId="77777777" w:rsidR="00510059" w:rsidRDefault="00510059" w:rsidP="00204BE0">
          <w:pPr>
            <w:pStyle w:val="LI-Header"/>
            <w:pBdr>
              <w:bottom w:val="none" w:sz="0" w:space="0" w:color="auto"/>
            </w:pBdr>
            <w:jc w:val="left"/>
          </w:pPr>
        </w:p>
      </w:tc>
      <w:tc>
        <w:tcPr>
          <w:tcW w:w="1509" w:type="dxa"/>
          <w:shd w:val="clear" w:color="auto" w:fill="auto"/>
        </w:tcPr>
        <w:p w14:paraId="29D23885" w14:textId="77777777" w:rsidR="00510059" w:rsidRDefault="00510059" w:rsidP="00204BE0">
          <w:pPr>
            <w:pStyle w:val="LI-Header"/>
            <w:pBdr>
              <w:bottom w:val="none" w:sz="0" w:space="0" w:color="auto"/>
            </w:pBdr>
          </w:pPr>
        </w:p>
      </w:tc>
    </w:tr>
  </w:tbl>
  <w:p w14:paraId="24B85437" w14:textId="77777777" w:rsidR="00510059" w:rsidRPr="00F4215A" w:rsidRDefault="00510059" w:rsidP="008A4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15C"/>
    <w:multiLevelType w:val="hybridMultilevel"/>
    <w:tmpl w:val="F87EB8DA"/>
    <w:lvl w:ilvl="0" w:tplc="B494002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D0C45"/>
    <w:multiLevelType w:val="hybridMultilevel"/>
    <w:tmpl w:val="AD900EC6"/>
    <w:lvl w:ilvl="0" w:tplc="859E7F4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27837"/>
    <w:multiLevelType w:val="hybridMultilevel"/>
    <w:tmpl w:val="6220DB9E"/>
    <w:lvl w:ilvl="0" w:tplc="A942C294">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15:restartNumberingAfterBreak="0">
    <w:nsid w:val="084863CC"/>
    <w:multiLevelType w:val="hybridMultilevel"/>
    <w:tmpl w:val="2FAAEBF2"/>
    <w:lvl w:ilvl="0" w:tplc="1C44AE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53337"/>
    <w:multiLevelType w:val="hybridMultilevel"/>
    <w:tmpl w:val="4CFAA24A"/>
    <w:lvl w:ilvl="0" w:tplc="5EA8BED4">
      <w:start w:val="1"/>
      <w:numFmt w:val="lowerLetter"/>
      <w:lvlText w:val="(%1)"/>
      <w:lvlJc w:val="left"/>
      <w:pPr>
        <w:ind w:left="1069" w:hanging="360"/>
      </w:pPr>
      <w:rPr>
        <w:rFonts w:hint="default"/>
        <w:b w:val="0"/>
        <w:i w:val="0"/>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0F473CDF"/>
    <w:multiLevelType w:val="hybridMultilevel"/>
    <w:tmpl w:val="771E29A8"/>
    <w:lvl w:ilvl="0" w:tplc="BDF2706C">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7B027E"/>
    <w:multiLevelType w:val="hybridMultilevel"/>
    <w:tmpl w:val="E4D66370"/>
    <w:lvl w:ilvl="0" w:tplc="5DD8C17A">
      <w:start w:val="1"/>
      <w:numFmt w:val="lowerRoman"/>
      <w:lvlText w:val="(%1)"/>
      <w:lvlJc w:val="left"/>
      <w:pPr>
        <w:ind w:left="1080" w:hanging="72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96877"/>
    <w:multiLevelType w:val="hybridMultilevel"/>
    <w:tmpl w:val="5616F4C6"/>
    <w:lvl w:ilvl="0" w:tplc="FBB62C8C">
      <w:start w:val="1"/>
      <w:numFmt w:val="lowerLetter"/>
      <w:lvlText w:val="(%1)"/>
      <w:lvlJc w:val="left"/>
      <w:pPr>
        <w:ind w:left="1495"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1F07126B"/>
    <w:multiLevelType w:val="hybridMultilevel"/>
    <w:tmpl w:val="B3E26B28"/>
    <w:lvl w:ilvl="0" w:tplc="9BD855F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2F504D38"/>
    <w:multiLevelType w:val="hybridMultilevel"/>
    <w:tmpl w:val="F5F2F2B8"/>
    <w:lvl w:ilvl="0" w:tplc="CC00C988">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4F7668"/>
    <w:multiLevelType w:val="hybridMultilevel"/>
    <w:tmpl w:val="BC5A6D02"/>
    <w:lvl w:ilvl="0" w:tplc="998881B0">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34D17FDB"/>
    <w:multiLevelType w:val="hybridMultilevel"/>
    <w:tmpl w:val="0400D5D0"/>
    <w:lvl w:ilvl="0" w:tplc="E874433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815D17"/>
    <w:multiLevelType w:val="hybridMultilevel"/>
    <w:tmpl w:val="C46E6678"/>
    <w:lvl w:ilvl="0" w:tplc="339C751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3B503CD3"/>
    <w:multiLevelType w:val="hybridMultilevel"/>
    <w:tmpl w:val="A0929EA0"/>
    <w:lvl w:ilvl="0" w:tplc="FB7A08CA">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660088"/>
    <w:multiLevelType w:val="hybridMultilevel"/>
    <w:tmpl w:val="C46E6678"/>
    <w:lvl w:ilvl="0" w:tplc="339C751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42B97D21"/>
    <w:multiLevelType w:val="hybridMultilevel"/>
    <w:tmpl w:val="313C1476"/>
    <w:lvl w:ilvl="0" w:tplc="6E7647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454E9C"/>
    <w:multiLevelType w:val="hybridMultilevel"/>
    <w:tmpl w:val="236EAEA4"/>
    <w:lvl w:ilvl="0" w:tplc="1506020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47E13788"/>
    <w:multiLevelType w:val="hybridMultilevel"/>
    <w:tmpl w:val="73920112"/>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2300F3"/>
    <w:multiLevelType w:val="hybridMultilevel"/>
    <w:tmpl w:val="2D6ABC70"/>
    <w:lvl w:ilvl="0" w:tplc="E79E608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E2397C"/>
    <w:multiLevelType w:val="hybridMultilevel"/>
    <w:tmpl w:val="2E969BA0"/>
    <w:lvl w:ilvl="0" w:tplc="418E6F66">
      <w:start w:val="1"/>
      <w:numFmt w:val="lowerLetter"/>
      <w:lvlText w:val="(%1)"/>
      <w:lvlJc w:val="left"/>
      <w:pPr>
        <w:ind w:left="1689" w:hanging="555"/>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5CC40CF8"/>
    <w:multiLevelType w:val="hybridMultilevel"/>
    <w:tmpl w:val="CE94C224"/>
    <w:lvl w:ilvl="0" w:tplc="D0A870D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5E6D4397"/>
    <w:multiLevelType w:val="hybridMultilevel"/>
    <w:tmpl w:val="38686FDC"/>
    <w:lvl w:ilvl="0" w:tplc="C55A93B6">
      <w:start w:val="1"/>
      <w:numFmt w:val="lowerLetter"/>
      <w:lvlText w:val="(%1)"/>
      <w:lvlJc w:val="left"/>
      <w:pPr>
        <w:ind w:left="1494" w:hanging="360"/>
      </w:pPr>
      <w:rPr>
        <w:rFonts w:hint="default"/>
        <w:b/>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5EC85EB3"/>
    <w:multiLevelType w:val="hybridMultilevel"/>
    <w:tmpl w:val="117AECFE"/>
    <w:lvl w:ilvl="0" w:tplc="3CDC2872">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7F5823"/>
    <w:multiLevelType w:val="hybridMultilevel"/>
    <w:tmpl w:val="286077BE"/>
    <w:lvl w:ilvl="0" w:tplc="28A8F7F6">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4" w15:restartNumberingAfterBreak="0">
    <w:nsid w:val="6B347BA8"/>
    <w:multiLevelType w:val="hybridMultilevel"/>
    <w:tmpl w:val="D7CAE60C"/>
    <w:lvl w:ilvl="0" w:tplc="C6B6B2E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900D0A"/>
    <w:multiLevelType w:val="hybridMultilevel"/>
    <w:tmpl w:val="F8A8D3D8"/>
    <w:lvl w:ilvl="0" w:tplc="581A46F8">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6E4C2984"/>
    <w:multiLevelType w:val="hybridMultilevel"/>
    <w:tmpl w:val="3A92760A"/>
    <w:lvl w:ilvl="0" w:tplc="8F48238C">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7" w15:restartNumberingAfterBreak="0">
    <w:nsid w:val="720734BC"/>
    <w:multiLevelType w:val="hybridMultilevel"/>
    <w:tmpl w:val="5726D976"/>
    <w:lvl w:ilvl="0" w:tplc="19DC6438">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737C1C02"/>
    <w:multiLevelType w:val="hybridMultilevel"/>
    <w:tmpl w:val="3ED609FC"/>
    <w:lvl w:ilvl="0" w:tplc="480E989C">
      <w:start w:val="1"/>
      <w:numFmt w:val="lowerLetter"/>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763238FA"/>
    <w:multiLevelType w:val="hybridMultilevel"/>
    <w:tmpl w:val="EC7AB67E"/>
    <w:lvl w:ilvl="0" w:tplc="6F349A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1B064D"/>
    <w:multiLevelType w:val="hybridMultilevel"/>
    <w:tmpl w:val="3496D27C"/>
    <w:lvl w:ilvl="0" w:tplc="4C70EA5A">
      <w:start w:val="2"/>
      <w:numFmt w:val="lowerLetter"/>
      <w:lvlText w:val="(%1)"/>
      <w:lvlJc w:val="left"/>
      <w:pPr>
        <w:ind w:left="1494" w:hanging="360"/>
      </w:pPr>
      <w:rPr>
        <w:rFonts w:hint="default"/>
        <w:sz w:val="24"/>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7E501497"/>
    <w:multiLevelType w:val="hybridMultilevel"/>
    <w:tmpl w:val="EC844BB6"/>
    <w:lvl w:ilvl="0" w:tplc="339C7512">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num w:numId="1">
    <w:abstractNumId w:val="4"/>
  </w:num>
  <w:num w:numId="2">
    <w:abstractNumId w:val="7"/>
  </w:num>
  <w:num w:numId="3">
    <w:abstractNumId w:val="20"/>
  </w:num>
  <w:num w:numId="4">
    <w:abstractNumId w:val="30"/>
  </w:num>
  <w:num w:numId="5">
    <w:abstractNumId w:val="10"/>
  </w:num>
  <w:num w:numId="6">
    <w:abstractNumId w:val="0"/>
  </w:num>
  <w:num w:numId="7">
    <w:abstractNumId w:val="17"/>
  </w:num>
  <w:num w:numId="8">
    <w:abstractNumId w:val="31"/>
  </w:num>
  <w:num w:numId="9">
    <w:abstractNumId w:val="2"/>
  </w:num>
  <w:num w:numId="10">
    <w:abstractNumId w:val="23"/>
  </w:num>
  <w:num w:numId="11">
    <w:abstractNumId w:val="14"/>
  </w:num>
  <w:num w:numId="12">
    <w:abstractNumId w:val="12"/>
  </w:num>
  <w:num w:numId="13">
    <w:abstractNumId w:val="26"/>
  </w:num>
  <w:num w:numId="14">
    <w:abstractNumId w:val="21"/>
  </w:num>
  <w:num w:numId="15">
    <w:abstractNumId w:val="25"/>
  </w:num>
  <w:num w:numId="16">
    <w:abstractNumId w:val="18"/>
  </w:num>
  <w:num w:numId="17">
    <w:abstractNumId w:val="28"/>
  </w:num>
  <w:num w:numId="18">
    <w:abstractNumId w:val="15"/>
  </w:num>
  <w:num w:numId="19">
    <w:abstractNumId w:val="16"/>
  </w:num>
  <w:num w:numId="20">
    <w:abstractNumId w:val="6"/>
  </w:num>
  <w:num w:numId="21">
    <w:abstractNumId w:val="8"/>
  </w:num>
  <w:num w:numId="22">
    <w:abstractNumId w:val="24"/>
  </w:num>
  <w:num w:numId="23">
    <w:abstractNumId w:val="27"/>
  </w:num>
  <w:num w:numId="24">
    <w:abstractNumId w:val="19"/>
  </w:num>
  <w:num w:numId="25">
    <w:abstractNumId w:val="22"/>
  </w:num>
  <w:num w:numId="26">
    <w:abstractNumId w:val="13"/>
  </w:num>
  <w:num w:numId="27">
    <w:abstractNumId w:val="5"/>
  </w:num>
  <w:num w:numId="28">
    <w:abstractNumId w:val="11"/>
  </w:num>
  <w:num w:numId="29">
    <w:abstractNumId w:val="3"/>
  </w:num>
  <w:num w:numId="30">
    <w:abstractNumId w:val="1"/>
  </w:num>
  <w:num w:numId="31">
    <w:abstractNumId w:val="2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95"/>
    <w:rsid w:val="000007CB"/>
    <w:rsid w:val="00011FB2"/>
    <w:rsid w:val="0001317C"/>
    <w:rsid w:val="0002053C"/>
    <w:rsid w:val="00021DBC"/>
    <w:rsid w:val="00023C66"/>
    <w:rsid w:val="0002471E"/>
    <w:rsid w:val="00024E53"/>
    <w:rsid w:val="0002501E"/>
    <w:rsid w:val="000267F7"/>
    <w:rsid w:val="00026F54"/>
    <w:rsid w:val="00032399"/>
    <w:rsid w:val="00040B5B"/>
    <w:rsid w:val="000410D1"/>
    <w:rsid w:val="00042243"/>
    <w:rsid w:val="00047625"/>
    <w:rsid w:val="000515EB"/>
    <w:rsid w:val="000525E9"/>
    <w:rsid w:val="000530BC"/>
    <w:rsid w:val="0005388B"/>
    <w:rsid w:val="00054312"/>
    <w:rsid w:val="0005481F"/>
    <w:rsid w:val="00061A15"/>
    <w:rsid w:val="00065716"/>
    <w:rsid w:val="0007237E"/>
    <w:rsid w:val="000745F2"/>
    <w:rsid w:val="00083597"/>
    <w:rsid w:val="00084A8A"/>
    <w:rsid w:val="00090F10"/>
    <w:rsid w:val="00091319"/>
    <w:rsid w:val="000934B3"/>
    <w:rsid w:val="000963B7"/>
    <w:rsid w:val="000A531E"/>
    <w:rsid w:val="000A7260"/>
    <w:rsid w:val="000A7340"/>
    <w:rsid w:val="000B2F98"/>
    <w:rsid w:val="000B3707"/>
    <w:rsid w:val="000B4619"/>
    <w:rsid w:val="000B4BAB"/>
    <w:rsid w:val="000B55F4"/>
    <w:rsid w:val="000B599C"/>
    <w:rsid w:val="000B64BD"/>
    <w:rsid w:val="000C14A2"/>
    <w:rsid w:val="000C5724"/>
    <w:rsid w:val="000C6CA7"/>
    <w:rsid w:val="000D04F2"/>
    <w:rsid w:val="000D1AE9"/>
    <w:rsid w:val="000D24B8"/>
    <w:rsid w:val="000D59CD"/>
    <w:rsid w:val="000D5A68"/>
    <w:rsid w:val="000D75E1"/>
    <w:rsid w:val="000D7853"/>
    <w:rsid w:val="000D7B3E"/>
    <w:rsid w:val="000E30D8"/>
    <w:rsid w:val="000E36B3"/>
    <w:rsid w:val="000E48BF"/>
    <w:rsid w:val="000F392B"/>
    <w:rsid w:val="000F4654"/>
    <w:rsid w:val="000F5C8E"/>
    <w:rsid w:val="00102B76"/>
    <w:rsid w:val="0010482C"/>
    <w:rsid w:val="00105644"/>
    <w:rsid w:val="00105DF1"/>
    <w:rsid w:val="001110B3"/>
    <w:rsid w:val="00113AFA"/>
    <w:rsid w:val="00114D81"/>
    <w:rsid w:val="00117E52"/>
    <w:rsid w:val="00123CBC"/>
    <w:rsid w:val="001243B3"/>
    <w:rsid w:val="00131FC9"/>
    <w:rsid w:val="00133EE3"/>
    <w:rsid w:val="00134309"/>
    <w:rsid w:val="00134D46"/>
    <w:rsid w:val="00140634"/>
    <w:rsid w:val="00142357"/>
    <w:rsid w:val="001433DA"/>
    <w:rsid w:val="00143999"/>
    <w:rsid w:val="00143E82"/>
    <w:rsid w:val="0014436D"/>
    <w:rsid w:val="001468B7"/>
    <w:rsid w:val="001470A8"/>
    <w:rsid w:val="00151543"/>
    <w:rsid w:val="001565C8"/>
    <w:rsid w:val="0015722B"/>
    <w:rsid w:val="00160292"/>
    <w:rsid w:val="00162764"/>
    <w:rsid w:val="00165115"/>
    <w:rsid w:val="00166457"/>
    <w:rsid w:val="0016683E"/>
    <w:rsid w:val="00167BFB"/>
    <w:rsid w:val="0017062D"/>
    <w:rsid w:val="001731C9"/>
    <w:rsid w:val="00177CCF"/>
    <w:rsid w:val="00177E55"/>
    <w:rsid w:val="00182412"/>
    <w:rsid w:val="001828D1"/>
    <w:rsid w:val="0018402A"/>
    <w:rsid w:val="00185E36"/>
    <w:rsid w:val="001904BD"/>
    <w:rsid w:val="00190BAB"/>
    <w:rsid w:val="00195719"/>
    <w:rsid w:val="001962D2"/>
    <w:rsid w:val="00197EB4"/>
    <w:rsid w:val="001A325D"/>
    <w:rsid w:val="001A4AEE"/>
    <w:rsid w:val="001A65C8"/>
    <w:rsid w:val="001A74FE"/>
    <w:rsid w:val="001B2AB6"/>
    <w:rsid w:val="001B700A"/>
    <w:rsid w:val="001C2DFE"/>
    <w:rsid w:val="001C449E"/>
    <w:rsid w:val="001C4E1B"/>
    <w:rsid w:val="001C6E47"/>
    <w:rsid w:val="001D4ACF"/>
    <w:rsid w:val="001D69BA"/>
    <w:rsid w:val="001E14BE"/>
    <w:rsid w:val="001E607C"/>
    <w:rsid w:val="001E6893"/>
    <w:rsid w:val="001F600E"/>
    <w:rsid w:val="001F6095"/>
    <w:rsid w:val="001F6FB0"/>
    <w:rsid w:val="001F73BD"/>
    <w:rsid w:val="001F782F"/>
    <w:rsid w:val="001F7C34"/>
    <w:rsid w:val="00200FE2"/>
    <w:rsid w:val="00202A94"/>
    <w:rsid w:val="002033E9"/>
    <w:rsid w:val="00204BE0"/>
    <w:rsid w:val="00205894"/>
    <w:rsid w:val="00211A20"/>
    <w:rsid w:val="00221428"/>
    <w:rsid w:val="00223195"/>
    <w:rsid w:val="002317EC"/>
    <w:rsid w:val="00232A05"/>
    <w:rsid w:val="00232FA4"/>
    <w:rsid w:val="002355AA"/>
    <w:rsid w:val="00236E09"/>
    <w:rsid w:val="00237900"/>
    <w:rsid w:val="0024036A"/>
    <w:rsid w:val="002424F7"/>
    <w:rsid w:val="00243B17"/>
    <w:rsid w:val="0024734D"/>
    <w:rsid w:val="002478BE"/>
    <w:rsid w:val="00252719"/>
    <w:rsid w:val="0025299D"/>
    <w:rsid w:val="002615EB"/>
    <w:rsid w:val="00262FFE"/>
    <w:rsid w:val="00263C90"/>
    <w:rsid w:val="002662A0"/>
    <w:rsid w:val="00266FE4"/>
    <w:rsid w:val="00271512"/>
    <w:rsid w:val="002748F7"/>
    <w:rsid w:val="00276C6F"/>
    <w:rsid w:val="00280217"/>
    <w:rsid w:val="00280956"/>
    <w:rsid w:val="0028148B"/>
    <w:rsid w:val="002816CF"/>
    <w:rsid w:val="00281D96"/>
    <w:rsid w:val="00283CF3"/>
    <w:rsid w:val="00284DE0"/>
    <w:rsid w:val="00290DEF"/>
    <w:rsid w:val="0029129F"/>
    <w:rsid w:val="002914FB"/>
    <w:rsid w:val="0029289D"/>
    <w:rsid w:val="00293F32"/>
    <w:rsid w:val="0029403B"/>
    <w:rsid w:val="0029601A"/>
    <w:rsid w:val="0029695B"/>
    <w:rsid w:val="00297049"/>
    <w:rsid w:val="002A4319"/>
    <w:rsid w:val="002B2DDD"/>
    <w:rsid w:val="002B3BF4"/>
    <w:rsid w:val="002B4CF7"/>
    <w:rsid w:val="002B523F"/>
    <w:rsid w:val="002B62FB"/>
    <w:rsid w:val="002B7199"/>
    <w:rsid w:val="002B7D3A"/>
    <w:rsid w:val="002C0762"/>
    <w:rsid w:val="002C16EF"/>
    <w:rsid w:val="002C3C2B"/>
    <w:rsid w:val="002D0808"/>
    <w:rsid w:val="002D12DA"/>
    <w:rsid w:val="002D6906"/>
    <w:rsid w:val="002E1E22"/>
    <w:rsid w:val="002E20E5"/>
    <w:rsid w:val="002E22DE"/>
    <w:rsid w:val="002E2AFB"/>
    <w:rsid w:val="002E746D"/>
    <w:rsid w:val="002F11F3"/>
    <w:rsid w:val="002F1CA0"/>
    <w:rsid w:val="002F467A"/>
    <w:rsid w:val="002F4BE1"/>
    <w:rsid w:val="002F5892"/>
    <w:rsid w:val="00304627"/>
    <w:rsid w:val="00313EB7"/>
    <w:rsid w:val="00314B36"/>
    <w:rsid w:val="00314DDC"/>
    <w:rsid w:val="00315C78"/>
    <w:rsid w:val="00316C04"/>
    <w:rsid w:val="0032622E"/>
    <w:rsid w:val="00327FE2"/>
    <w:rsid w:val="003300B4"/>
    <w:rsid w:val="0033042F"/>
    <w:rsid w:val="00334116"/>
    <w:rsid w:val="003350A2"/>
    <w:rsid w:val="00336E0C"/>
    <w:rsid w:val="003408EC"/>
    <w:rsid w:val="00342939"/>
    <w:rsid w:val="003436A8"/>
    <w:rsid w:val="003439D7"/>
    <w:rsid w:val="00344940"/>
    <w:rsid w:val="00345E72"/>
    <w:rsid w:val="003472FD"/>
    <w:rsid w:val="00347A5E"/>
    <w:rsid w:val="003515ED"/>
    <w:rsid w:val="00352034"/>
    <w:rsid w:val="00354B5D"/>
    <w:rsid w:val="00354C40"/>
    <w:rsid w:val="0035525C"/>
    <w:rsid w:val="003567AA"/>
    <w:rsid w:val="00356B45"/>
    <w:rsid w:val="00356F47"/>
    <w:rsid w:val="00357F39"/>
    <w:rsid w:val="0036165F"/>
    <w:rsid w:val="00363803"/>
    <w:rsid w:val="003646C2"/>
    <w:rsid w:val="00364BDC"/>
    <w:rsid w:val="0037478E"/>
    <w:rsid w:val="00375282"/>
    <w:rsid w:val="00376297"/>
    <w:rsid w:val="00386DF6"/>
    <w:rsid w:val="00387312"/>
    <w:rsid w:val="00387A3E"/>
    <w:rsid w:val="003958BD"/>
    <w:rsid w:val="00395E66"/>
    <w:rsid w:val="003A0D8E"/>
    <w:rsid w:val="003A46FB"/>
    <w:rsid w:val="003B0D1F"/>
    <w:rsid w:val="003B5AC8"/>
    <w:rsid w:val="003B7808"/>
    <w:rsid w:val="003C4513"/>
    <w:rsid w:val="003C7ED8"/>
    <w:rsid w:val="003D0276"/>
    <w:rsid w:val="003D489B"/>
    <w:rsid w:val="003D616D"/>
    <w:rsid w:val="003D61F9"/>
    <w:rsid w:val="003D7B96"/>
    <w:rsid w:val="003E26F8"/>
    <w:rsid w:val="003E313B"/>
    <w:rsid w:val="003E3DCA"/>
    <w:rsid w:val="003E435D"/>
    <w:rsid w:val="003E4626"/>
    <w:rsid w:val="003E52B5"/>
    <w:rsid w:val="003E5CD9"/>
    <w:rsid w:val="003E65A3"/>
    <w:rsid w:val="003E7CEF"/>
    <w:rsid w:val="003F2A9F"/>
    <w:rsid w:val="003F3075"/>
    <w:rsid w:val="003F3BFF"/>
    <w:rsid w:val="003F497E"/>
    <w:rsid w:val="004037BD"/>
    <w:rsid w:val="004039FD"/>
    <w:rsid w:val="004104C4"/>
    <w:rsid w:val="00410ED7"/>
    <w:rsid w:val="00412B7B"/>
    <w:rsid w:val="00413769"/>
    <w:rsid w:val="004164C2"/>
    <w:rsid w:val="00420FE0"/>
    <w:rsid w:val="00421095"/>
    <w:rsid w:val="00431688"/>
    <w:rsid w:val="00433589"/>
    <w:rsid w:val="004337B8"/>
    <w:rsid w:val="00434AE6"/>
    <w:rsid w:val="00435B1C"/>
    <w:rsid w:val="00435DFF"/>
    <w:rsid w:val="004367BE"/>
    <w:rsid w:val="00437668"/>
    <w:rsid w:val="00437EA0"/>
    <w:rsid w:val="00441464"/>
    <w:rsid w:val="00442637"/>
    <w:rsid w:val="00442BE2"/>
    <w:rsid w:val="004437A2"/>
    <w:rsid w:val="00452254"/>
    <w:rsid w:val="00452A16"/>
    <w:rsid w:val="00453B5B"/>
    <w:rsid w:val="00455338"/>
    <w:rsid w:val="00460EC3"/>
    <w:rsid w:val="00461CBA"/>
    <w:rsid w:val="00461E5E"/>
    <w:rsid w:val="0046404A"/>
    <w:rsid w:val="004656E9"/>
    <w:rsid w:val="00467038"/>
    <w:rsid w:val="00467D06"/>
    <w:rsid w:val="0047321D"/>
    <w:rsid w:val="00473524"/>
    <w:rsid w:val="00476C04"/>
    <w:rsid w:val="00477844"/>
    <w:rsid w:val="004811A2"/>
    <w:rsid w:val="00481EC9"/>
    <w:rsid w:val="004821F6"/>
    <w:rsid w:val="00487483"/>
    <w:rsid w:val="00490AA6"/>
    <w:rsid w:val="0049435C"/>
    <w:rsid w:val="004A1606"/>
    <w:rsid w:val="004A161F"/>
    <w:rsid w:val="004A298F"/>
    <w:rsid w:val="004A2DB0"/>
    <w:rsid w:val="004A344A"/>
    <w:rsid w:val="004A4754"/>
    <w:rsid w:val="004A5252"/>
    <w:rsid w:val="004A7CEB"/>
    <w:rsid w:val="004B1675"/>
    <w:rsid w:val="004B3663"/>
    <w:rsid w:val="004B3FFE"/>
    <w:rsid w:val="004B52EC"/>
    <w:rsid w:val="004B6B85"/>
    <w:rsid w:val="004C0298"/>
    <w:rsid w:val="004C170D"/>
    <w:rsid w:val="004C52F8"/>
    <w:rsid w:val="004C6350"/>
    <w:rsid w:val="004D2DA4"/>
    <w:rsid w:val="004D3380"/>
    <w:rsid w:val="004D3474"/>
    <w:rsid w:val="004D43DA"/>
    <w:rsid w:val="004D4CC0"/>
    <w:rsid w:val="004D5AE5"/>
    <w:rsid w:val="004D5E90"/>
    <w:rsid w:val="004E262A"/>
    <w:rsid w:val="004E3066"/>
    <w:rsid w:val="004E4DFA"/>
    <w:rsid w:val="004E64DA"/>
    <w:rsid w:val="004E7553"/>
    <w:rsid w:val="004F14F5"/>
    <w:rsid w:val="004F2700"/>
    <w:rsid w:val="0050412B"/>
    <w:rsid w:val="00505F94"/>
    <w:rsid w:val="00510059"/>
    <w:rsid w:val="00520C90"/>
    <w:rsid w:val="00523809"/>
    <w:rsid w:val="005255C5"/>
    <w:rsid w:val="00525899"/>
    <w:rsid w:val="00526C36"/>
    <w:rsid w:val="00527C03"/>
    <w:rsid w:val="00530A46"/>
    <w:rsid w:val="0053252B"/>
    <w:rsid w:val="0053462C"/>
    <w:rsid w:val="00537A7F"/>
    <w:rsid w:val="005424E4"/>
    <w:rsid w:val="0055702E"/>
    <w:rsid w:val="00560A99"/>
    <w:rsid w:val="00563DC8"/>
    <w:rsid w:val="00572FF9"/>
    <w:rsid w:val="005731CD"/>
    <w:rsid w:val="005734A6"/>
    <w:rsid w:val="00582045"/>
    <w:rsid w:val="005830C1"/>
    <w:rsid w:val="00583F31"/>
    <w:rsid w:val="005840D4"/>
    <w:rsid w:val="00590019"/>
    <w:rsid w:val="00590EF8"/>
    <w:rsid w:val="0059211F"/>
    <w:rsid w:val="005932DB"/>
    <w:rsid w:val="005A36C1"/>
    <w:rsid w:val="005A46F5"/>
    <w:rsid w:val="005A7503"/>
    <w:rsid w:val="005B5229"/>
    <w:rsid w:val="005C0A59"/>
    <w:rsid w:val="005C2655"/>
    <w:rsid w:val="005C3041"/>
    <w:rsid w:val="005C6FC0"/>
    <w:rsid w:val="005D2434"/>
    <w:rsid w:val="005D27A2"/>
    <w:rsid w:val="005D2EA6"/>
    <w:rsid w:val="005D3C8B"/>
    <w:rsid w:val="005D4E13"/>
    <w:rsid w:val="005D4F7D"/>
    <w:rsid w:val="005D6F1B"/>
    <w:rsid w:val="005E06F1"/>
    <w:rsid w:val="005E1430"/>
    <w:rsid w:val="005E49CD"/>
    <w:rsid w:val="005E5C12"/>
    <w:rsid w:val="005E5E71"/>
    <w:rsid w:val="005E607B"/>
    <w:rsid w:val="005E742A"/>
    <w:rsid w:val="005E7FB9"/>
    <w:rsid w:val="005F2550"/>
    <w:rsid w:val="005F4830"/>
    <w:rsid w:val="0060235D"/>
    <w:rsid w:val="006039D2"/>
    <w:rsid w:val="00605A5B"/>
    <w:rsid w:val="00607747"/>
    <w:rsid w:val="006114F6"/>
    <w:rsid w:val="00614330"/>
    <w:rsid w:val="00620C87"/>
    <w:rsid w:val="00622263"/>
    <w:rsid w:val="00624C44"/>
    <w:rsid w:val="00627090"/>
    <w:rsid w:val="00631A98"/>
    <w:rsid w:val="00632F33"/>
    <w:rsid w:val="00634C45"/>
    <w:rsid w:val="00634E6D"/>
    <w:rsid w:val="006415C5"/>
    <w:rsid w:val="00644CAD"/>
    <w:rsid w:val="0065521F"/>
    <w:rsid w:val="00660A91"/>
    <w:rsid w:val="006626D3"/>
    <w:rsid w:val="006641B2"/>
    <w:rsid w:val="00664908"/>
    <w:rsid w:val="00666506"/>
    <w:rsid w:val="00667AD4"/>
    <w:rsid w:val="00670186"/>
    <w:rsid w:val="006705C7"/>
    <w:rsid w:val="00671F5B"/>
    <w:rsid w:val="006720D6"/>
    <w:rsid w:val="0068209E"/>
    <w:rsid w:val="00682E4B"/>
    <w:rsid w:val="00683BA4"/>
    <w:rsid w:val="00685544"/>
    <w:rsid w:val="00686703"/>
    <w:rsid w:val="006869C4"/>
    <w:rsid w:val="00687282"/>
    <w:rsid w:val="006904DF"/>
    <w:rsid w:val="00691078"/>
    <w:rsid w:val="00691DFF"/>
    <w:rsid w:val="0069265D"/>
    <w:rsid w:val="006A06E2"/>
    <w:rsid w:val="006A13E5"/>
    <w:rsid w:val="006A2F6C"/>
    <w:rsid w:val="006A60FD"/>
    <w:rsid w:val="006A6990"/>
    <w:rsid w:val="006A79DD"/>
    <w:rsid w:val="006B065C"/>
    <w:rsid w:val="006B203D"/>
    <w:rsid w:val="006B3C35"/>
    <w:rsid w:val="006B6021"/>
    <w:rsid w:val="006B7AEA"/>
    <w:rsid w:val="006C074A"/>
    <w:rsid w:val="006C4698"/>
    <w:rsid w:val="006C4E36"/>
    <w:rsid w:val="006C793D"/>
    <w:rsid w:val="006E0B2F"/>
    <w:rsid w:val="006E0F65"/>
    <w:rsid w:val="006E1B0B"/>
    <w:rsid w:val="006E3046"/>
    <w:rsid w:val="006E74D7"/>
    <w:rsid w:val="006F0552"/>
    <w:rsid w:val="006F4966"/>
    <w:rsid w:val="006F4DD8"/>
    <w:rsid w:val="006F64A1"/>
    <w:rsid w:val="00701DA8"/>
    <w:rsid w:val="00704550"/>
    <w:rsid w:val="00710690"/>
    <w:rsid w:val="00711099"/>
    <w:rsid w:val="00711DD9"/>
    <w:rsid w:val="00714E63"/>
    <w:rsid w:val="007160F9"/>
    <w:rsid w:val="00716572"/>
    <w:rsid w:val="00717F31"/>
    <w:rsid w:val="007201B8"/>
    <w:rsid w:val="00722ECE"/>
    <w:rsid w:val="00725ABD"/>
    <w:rsid w:val="007269EC"/>
    <w:rsid w:val="007277A3"/>
    <w:rsid w:val="00727B9E"/>
    <w:rsid w:val="00730A4C"/>
    <w:rsid w:val="00731289"/>
    <w:rsid w:val="00733DAB"/>
    <w:rsid w:val="00743905"/>
    <w:rsid w:val="00744B4F"/>
    <w:rsid w:val="00745C85"/>
    <w:rsid w:val="00747DDE"/>
    <w:rsid w:val="00750546"/>
    <w:rsid w:val="00750AD0"/>
    <w:rsid w:val="00750F4E"/>
    <w:rsid w:val="007512D8"/>
    <w:rsid w:val="007560BA"/>
    <w:rsid w:val="0076028F"/>
    <w:rsid w:val="00762139"/>
    <w:rsid w:val="007655EB"/>
    <w:rsid w:val="00766B5A"/>
    <w:rsid w:val="00772DD6"/>
    <w:rsid w:val="00774181"/>
    <w:rsid w:val="00775E64"/>
    <w:rsid w:val="007779CC"/>
    <w:rsid w:val="007848DA"/>
    <w:rsid w:val="00785E72"/>
    <w:rsid w:val="00786497"/>
    <w:rsid w:val="00786BB9"/>
    <w:rsid w:val="00786E58"/>
    <w:rsid w:val="00786F27"/>
    <w:rsid w:val="007914E4"/>
    <w:rsid w:val="00793E08"/>
    <w:rsid w:val="00793E2E"/>
    <w:rsid w:val="00796687"/>
    <w:rsid w:val="007A2BE6"/>
    <w:rsid w:val="007A4539"/>
    <w:rsid w:val="007A53D5"/>
    <w:rsid w:val="007A7707"/>
    <w:rsid w:val="007B34C2"/>
    <w:rsid w:val="007B64FF"/>
    <w:rsid w:val="007B6C0C"/>
    <w:rsid w:val="007C5917"/>
    <w:rsid w:val="007C71E2"/>
    <w:rsid w:val="007D1A18"/>
    <w:rsid w:val="007D34FF"/>
    <w:rsid w:val="007D6172"/>
    <w:rsid w:val="007D7B98"/>
    <w:rsid w:val="007E3404"/>
    <w:rsid w:val="007F4D9A"/>
    <w:rsid w:val="007F4E3A"/>
    <w:rsid w:val="007F56C7"/>
    <w:rsid w:val="007F67A9"/>
    <w:rsid w:val="007F6D8D"/>
    <w:rsid w:val="007F6ECD"/>
    <w:rsid w:val="007F7DF8"/>
    <w:rsid w:val="00802CFD"/>
    <w:rsid w:val="008044E5"/>
    <w:rsid w:val="00804880"/>
    <w:rsid w:val="00804C70"/>
    <w:rsid w:val="00805397"/>
    <w:rsid w:val="008112FD"/>
    <w:rsid w:val="00812F76"/>
    <w:rsid w:val="00814852"/>
    <w:rsid w:val="00816D57"/>
    <w:rsid w:val="0081754F"/>
    <w:rsid w:val="0082216E"/>
    <w:rsid w:val="00822329"/>
    <w:rsid w:val="00822356"/>
    <w:rsid w:val="00824BD9"/>
    <w:rsid w:val="0083196A"/>
    <w:rsid w:val="00831A20"/>
    <w:rsid w:val="00833888"/>
    <w:rsid w:val="00833E39"/>
    <w:rsid w:val="00837679"/>
    <w:rsid w:val="00841B2C"/>
    <w:rsid w:val="00846135"/>
    <w:rsid w:val="008507CA"/>
    <w:rsid w:val="0085382D"/>
    <w:rsid w:val="008575C5"/>
    <w:rsid w:val="008578E5"/>
    <w:rsid w:val="008606C8"/>
    <w:rsid w:val="00863FF8"/>
    <w:rsid w:val="00865A63"/>
    <w:rsid w:val="00866C98"/>
    <w:rsid w:val="00870B20"/>
    <w:rsid w:val="00871093"/>
    <w:rsid w:val="0088024B"/>
    <w:rsid w:val="0088172A"/>
    <w:rsid w:val="00884BA4"/>
    <w:rsid w:val="00884D92"/>
    <w:rsid w:val="0088566D"/>
    <w:rsid w:val="00893F34"/>
    <w:rsid w:val="00894FB4"/>
    <w:rsid w:val="008955AC"/>
    <w:rsid w:val="008A3535"/>
    <w:rsid w:val="008A4883"/>
    <w:rsid w:val="008A4A95"/>
    <w:rsid w:val="008A7CDA"/>
    <w:rsid w:val="008B1D25"/>
    <w:rsid w:val="008B29F7"/>
    <w:rsid w:val="008B3BCD"/>
    <w:rsid w:val="008C1A8D"/>
    <w:rsid w:val="008C5F91"/>
    <w:rsid w:val="008C6846"/>
    <w:rsid w:val="008D21C9"/>
    <w:rsid w:val="008D705C"/>
    <w:rsid w:val="008E0A82"/>
    <w:rsid w:val="008E0D4A"/>
    <w:rsid w:val="008E12FF"/>
    <w:rsid w:val="008E2723"/>
    <w:rsid w:val="008E3920"/>
    <w:rsid w:val="008E3C14"/>
    <w:rsid w:val="008E580F"/>
    <w:rsid w:val="008E6AF1"/>
    <w:rsid w:val="008E73F4"/>
    <w:rsid w:val="008F0F83"/>
    <w:rsid w:val="008F4F81"/>
    <w:rsid w:val="008F56E3"/>
    <w:rsid w:val="008F6D47"/>
    <w:rsid w:val="009003BF"/>
    <w:rsid w:val="00906A30"/>
    <w:rsid w:val="00907864"/>
    <w:rsid w:val="00907891"/>
    <w:rsid w:val="00910426"/>
    <w:rsid w:val="00915478"/>
    <w:rsid w:val="009176BC"/>
    <w:rsid w:val="00917DD5"/>
    <w:rsid w:val="009222FE"/>
    <w:rsid w:val="00924F65"/>
    <w:rsid w:val="00930AE2"/>
    <w:rsid w:val="00931CA5"/>
    <w:rsid w:val="00932A57"/>
    <w:rsid w:val="00933B80"/>
    <w:rsid w:val="00933CC4"/>
    <w:rsid w:val="00935B3B"/>
    <w:rsid w:val="0093611A"/>
    <w:rsid w:val="0093699C"/>
    <w:rsid w:val="009377CB"/>
    <w:rsid w:val="0094143D"/>
    <w:rsid w:val="0094245D"/>
    <w:rsid w:val="00943B39"/>
    <w:rsid w:val="00944442"/>
    <w:rsid w:val="009449F4"/>
    <w:rsid w:val="00945469"/>
    <w:rsid w:val="009458A3"/>
    <w:rsid w:val="00947646"/>
    <w:rsid w:val="00950031"/>
    <w:rsid w:val="00961CBF"/>
    <w:rsid w:val="0096315A"/>
    <w:rsid w:val="00965237"/>
    <w:rsid w:val="009659A1"/>
    <w:rsid w:val="00966389"/>
    <w:rsid w:val="00973975"/>
    <w:rsid w:val="00975D62"/>
    <w:rsid w:val="00983A3C"/>
    <w:rsid w:val="00986954"/>
    <w:rsid w:val="00990687"/>
    <w:rsid w:val="009951B5"/>
    <w:rsid w:val="00995F78"/>
    <w:rsid w:val="00996D6F"/>
    <w:rsid w:val="009A1216"/>
    <w:rsid w:val="009A3A86"/>
    <w:rsid w:val="009A3B8E"/>
    <w:rsid w:val="009A53AB"/>
    <w:rsid w:val="009A7ADC"/>
    <w:rsid w:val="009B2B49"/>
    <w:rsid w:val="009B2E8E"/>
    <w:rsid w:val="009B3111"/>
    <w:rsid w:val="009B38FA"/>
    <w:rsid w:val="009B4793"/>
    <w:rsid w:val="009B681A"/>
    <w:rsid w:val="009D1D33"/>
    <w:rsid w:val="009D2CE2"/>
    <w:rsid w:val="009D38EC"/>
    <w:rsid w:val="009D3D61"/>
    <w:rsid w:val="009E36C0"/>
    <w:rsid w:val="009E3FD0"/>
    <w:rsid w:val="009E796A"/>
    <w:rsid w:val="009F4C12"/>
    <w:rsid w:val="00A0174B"/>
    <w:rsid w:val="00A03F1A"/>
    <w:rsid w:val="00A11294"/>
    <w:rsid w:val="00A11BAF"/>
    <w:rsid w:val="00A12A2E"/>
    <w:rsid w:val="00A13E7B"/>
    <w:rsid w:val="00A3000A"/>
    <w:rsid w:val="00A328AB"/>
    <w:rsid w:val="00A35B8E"/>
    <w:rsid w:val="00A368F3"/>
    <w:rsid w:val="00A369D6"/>
    <w:rsid w:val="00A4202A"/>
    <w:rsid w:val="00A4321B"/>
    <w:rsid w:val="00A45BC6"/>
    <w:rsid w:val="00A45D43"/>
    <w:rsid w:val="00A5371E"/>
    <w:rsid w:val="00A54B57"/>
    <w:rsid w:val="00A57F67"/>
    <w:rsid w:val="00A61838"/>
    <w:rsid w:val="00A63092"/>
    <w:rsid w:val="00A632AF"/>
    <w:rsid w:val="00A65F1B"/>
    <w:rsid w:val="00A70624"/>
    <w:rsid w:val="00A70801"/>
    <w:rsid w:val="00A736AB"/>
    <w:rsid w:val="00A742F5"/>
    <w:rsid w:val="00A74301"/>
    <w:rsid w:val="00A757E0"/>
    <w:rsid w:val="00A7729E"/>
    <w:rsid w:val="00A817A5"/>
    <w:rsid w:val="00A81DA5"/>
    <w:rsid w:val="00A83962"/>
    <w:rsid w:val="00A846E1"/>
    <w:rsid w:val="00A870FE"/>
    <w:rsid w:val="00A907CF"/>
    <w:rsid w:val="00A910EC"/>
    <w:rsid w:val="00A94EBE"/>
    <w:rsid w:val="00A9773C"/>
    <w:rsid w:val="00A97DD3"/>
    <w:rsid w:val="00AA07A2"/>
    <w:rsid w:val="00AA23EA"/>
    <w:rsid w:val="00AA262B"/>
    <w:rsid w:val="00AA2689"/>
    <w:rsid w:val="00AA4D92"/>
    <w:rsid w:val="00AB15DC"/>
    <w:rsid w:val="00AB34DB"/>
    <w:rsid w:val="00AB5034"/>
    <w:rsid w:val="00AB7BB9"/>
    <w:rsid w:val="00AC42F1"/>
    <w:rsid w:val="00AD2167"/>
    <w:rsid w:val="00AD2D38"/>
    <w:rsid w:val="00AD36B7"/>
    <w:rsid w:val="00AD5D66"/>
    <w:rsid w:val="00AE0810"/>
    <w:rsid w:val="00AE4675"/>
    <w:rsid w:val="00AF3DF8"/>
    <w:rsid w:val="00AF6F3F"/>
    <w:rsid w:val="00AF721F"/>
    <w:rsid w:val="00B07759"/>
    <w:rsid w:val="00B07787"/>
    <w:rsid w:val="00B12B96"/>
    <w:rsid w:val="00B14633"/>
    <w:rsid w:val="00B14B58"/>
    <w:rsid w:val="00B14DB9"/>
    <w:rsid w:val="00B154F4"/>
    <w:rsid w:val="00B170A7"/>
    <w:rsid w:val="00B179FE"/>
    <w:rsid w:val="00B2393B"/>
    <w:rsid w:val="00B23AA9"/>
    <w:rsid w:val="00B24280"/>
    <w:rsid w:val="00B26E4B"/>
    <w:rsid w:val="00B329B0"/>
    <w:rsid w:val="00B335BF"/>
    <w:rsid w:val="00B34887"/>
    <w:rsid w:val="00B35A63"/>
    <w:rsid w:val="00B36703"/>
    <w:rsid w:val="00B37082"/>
    <w:rsid w:val="00B413FC"/>
    <w:rsid w:val="00B427E3"/>
    <w:rsid w:val="00B42CAF"/>
    <w:rsid w:val="00B44187"/>
    <w:rsid w:val="00B445D1"/>
    <w:rsid w:val="00B45196"/>
    <w:rsid w:val="00B4778D"/>
    <w:rsid w:val="00B47D9D"/>
    <w:rsid w:val="00B507FB"/>
    <w:rsid w:val="00B50DC6"/>
    <w:rsid w:val="00B5238A"/>
    <w:rsid w:val="00B528A5"/>
    <w:rsid w:val="00B531F3"/>
    <w:rsid w:val="00B53A67"/>
    <w:rsid w:val="00B567A1"/>
    <w:rsid w:val="00B5693F"/>
    <w:rsid w:val="00B70E86"/>
    <w:rsid w:val="00B719F1"/>
    <w:rsid w:val="00B72157"/>
    <w:rsid w:val="00B73B8D"/>
    <w:rsid w:val="00B74F85"/>
    <w:rsid w:val="00B75613"/>
    <w:rsid w:val="00B763CD"/>
    <w:rsid w:val="00B80D6E"/>
    <w:rsid w:val="00B82525"/>
    <w:rsid w:val="00B83618"/>
    <w:rsid w:val="00B86748"/>
    <w:rsid w:val="00B925D0"/>
    <w:rsid w:val="00B92F68"/>
    <w:rsid w:val="00B93574"/>
    <w:rsid w:val="00B939A8"/>
    <w:rsid w:val="00B93D29"/>
    <w:rsid w:val="00B94DC7"/>
    <w:rsid w:val="00B95E37"/>
    <w:rsid w:val="00BA2050"/>
    <w:rsid w:val="00BA37BD"/>
    <w:rsid w:val="00BA7449"/>
    <w:rsid w:val="00BB0AB0"/>
    <w:rsid w:val="00BB4BD9"/>
    <w:rsid w:val="00BC0064"/>
    <w:rsid w:val="00BC35E7"/>
    <w:rsid w:val="00BD049D"/>
    <w:rsid w:val="00BD4343"/>
    <w:rsid w:val="00BD633E"/>
    <w:rsid w:val="00BE05B8"/>
    <w:rsid w:val="00BE1E2F"/>
    <w:rsid w:val="00BF0528"/>
    <w:rsid w:val="00BF0B23"/>
    <w:rsid w:val="00BF0DD7"/>
    <w:rsid w:val="00BF2920"/>
    <w:rsid w:val="00BF4CDD"/>
    <w:rsid w:val="00BF7AAD"/>
    <w:rsid w:val="00C00FE4"/>
    <w:rsid w:val="00C02114"/>
    <w:rsid w:val="00C040F6"/>
    <w:rsid w:val="00C058E3"/>
    <w:rsid w:val="00C05953"/>
    <w:rsid w:val="00C07903"/>
    <w:rsid w:val="00C12257"/>
    <w:rsid w:val="00C12AA5"/>
    <w:rsid w:val="00C14216"/>
    <w:rsid w:val="00C174F4"/>
    <w:rsid w:val="00C20693"/>
    <w:rsid w:val="00C20BDD"/>
    <w:rsid w:val="00C210A2"/>
    <w:rsid w:val="00C21C55"/>
    <w:rsid w:val="00C24833"/>
    <w:rsid w:val="00C3152F"/>
    <w:rsid w:val="00C338FB"/>
    <w:rsid w:val="00C34081"/>
    <w:rsid w:val="00C34777"/>
    <w:rsid w:val="00C34CD8"/>
    <w:rsid w:val="00C34D55"/>
    <w:rsid w:val="00C403C8"/>
    <w:rsid w:val="00C41B96"/>
    <w:rsid w:val="00C43E0F"/>
    <w:rsid w:val="00C45DD9"/>
    <w:rsid w:val="00C5112F"/>
    <w:rsid w:val="00C51A3A"/>
    <w:rsid w:val="00C520C6"/>
    <w:rsid w:val="00C5563C"/>
    <w:rsid w:val="00C571AC"/>
    <w:rsid w:val="00C57FDA"/>
    <w:rsid w:val="00C61E49"/>
    <w:rsid w:val="00C62270"/>
    <w:rsid w:val="00C62A44"/>
    <w:rsid w:val="00C64204"/>
    <w:rsid w:val="00C65D14"/>
    <w:rsid w:val="00C66729"/>
    <w:rsid w:val="00C71A52"/>
    <w:rsid w:val="00C777EB"/>
    <w:rsid w:val="00C806C3"/>
    <w:rsid w:val="00C81474"/>
    <w:rsid w:val="00C849DE"/>
    <w:rsid w:val="00C87C38"/>
    <w:rsid w:val="00C9258C"/>
    <w:rsid w:val="00C93FB8"/>
    <w:rsid w:val="00C9465E"/>
    <w:rsid w:val="00C95F81"/>
    <w:rsid w:val="00CA2C44"/>
    <w:rsid w:val="00CA2DC8"/>
    <w:rsid w:val="00CB0A6D"/>
    <w:rsid w:val="00CB127D"/>
    <w:rsid w:val="00CB41BD"/>
    <w:rsid w:val="00CC45D6"/>
    <w:rsid w:val="00CD0D28"/>
    <w:rsid w:val="00CD3976"/>
    <w:rsid w:val="00CD5F27"/>
    <w:rsid w:val="00CD63D1"/>
    <w:rsid w:val="00CD6CDD"/>
    <w:rsid w:val="00CE1B23"/>
    <w:rsid w:val="00CE3286"/>
    <w:rsid w:val="00CE4216"/>
    <w:rsid w:val="00CF00D0"/>
    <w:rsid w:val="00CF5F33"/>
    <w:rsid w:val="00CF785E"/>
    <w:rsid w:val="00CF7875"/>
    <w:rsid w:val="00D02EC5"/>
    <w:rsid w:val="00D04F6B"/>
    <w:rsid w:val="00D06221"/>
    <w:rsid w:val="00D10438"/>
    <w:rsid w:val="00D10909"/>
    <w:rsid w:val="00D12B99"/>
    <w:rsid w:val="00D15222"/>
    <w:rsid w:val="00D1753C"/>
    <w:rsid w:val="00D1762F"/>
    <w:rsid w:val="00D22013"/>
    <w:rsid w:val="00D2469B"/>
    <w:rsid w:val="00D26910"/>
    <w:rsid w:val="00D26E40"/>
    <w:rsid w:val="00D27978"/>
    <w:rsid w:val="00D27D2F"/>
    <w:rsid w:val="00D36017"/>
    <w:rsid w:val="00D37B23"/>
    <w:rsid w:val="00D425AE"/>
    <w:rsid w:val="00D52724"/>
    <w:rsid w:val="00D5304F"/>
    <w:rsid w:val="00D53A74"/>
    <w:rsid w:val="00D54E6D"/>
    <w:rsid w:val="00D56C81"/>
    <w:rsid w:val="00D57416"/>
    <w:rsid w:val="00D6047E"/>
    <w:rsid w:val="00D622B5"/>
    <w:rsid w:val="00D62E7F"/>
    <w:rsid w:val="00D65932"/>
    <w:rsid w:val="00D65DF8"/>
    <w:rsid w:val="00D6788A"/>
    <w:rsid w:val="00D71F91"/>
    <w:rsid w:val="00D7212E"/>
    <w:rsid w:val="00D72D69"/>
    <w:rsid w:val="00D7373D"/>
    <w:rsid w:val="00D76FEC"/>
    <w:rsid w:val="00D77FFE"/>
    <w:rsid w:val="00D83242"/>
    <w:rsid w:val="00D9045C"/>
    <w:rsid w:val="00D92EC3"/>
    <w:rsid w:val="00D958C1"/>
    <w:rsid w:val="00D959F1"/>
    <w:rsid w:val="00D97211"/>
    <w:rsid w:val="00DA05FE"/>
    <w:rsid w:val="00DA220F"/>
    <w:rsid w:val="00DA35BC"/>
    <w:rsid w:val="00DA4781"/>
    <w:rsid w:val="00DA5346"/>
    <w:rsid w:val="00DA79F4"/>
    <w:rsid w:val="00DB0D1D"/>
    <w:rsid w:val="00DB3D37"/>
    <w:rsid w:val="00DB4F23"/>
    <w:rsid w:val="00DB6C45"/>
    <w:rsid w:val="00DC2E41"/>
    <w:rsid w:val="00DC4394"/>
    <w:rsid w:val="00DC5DF2"/>
    <w:rsid w:val="00DC6489"/>
    <w:rsid w:val="00DC7CEE"/>
    <w:rsid w:val="00DD0D0B"/>
    <w:rsid w:val="00DD2D16"/>
    <w:rsid w:val="00DD300B"/>
    <w:rsid w:val="00DD670A"/>
    <w:rsid w:val="00DE0F90"/>
    <w:rsid w:val="00DE2D87"/>
    <w:rsid w:val="00DE6981"/>
    <w:rsid w:val="00DE7BA3"/>
    <w:rsid w:val="00DF3ED3"/>
    <w:rsid w:val="00E05124"/>
    <w:rsid w:val="00E0574D"/>
    <w:rsid w:val="00E07059"/>
    <w:rsid w:val="00E07F7C"/>
    <w:rsid w:val="00E10024"/>
    <w:rsid w:val="00E1043B"/>
    <w:rsid w:val="00E13CA4"/>
    <w:rsid w:val="00E14BEC"/>
    <w:rsid w:val="00E21C53"/>
    <w:rsid w:val="00E22B4B"/>
    <w:rsid w:val="00E235D2"/>
    <w:rsid w:val="00E24C00"/>
    <w:rsid w:val="00E24E05"/>
    <w:rsid w:val="00E25583"/>
    <w:rsid w:val="00E26F72"/>
    <w:rsid w:val="00E27CFE"/>
    <w:rsid w:val="00E3169A"/>
    <w:rsid w:val="00E31D2A"/>
    <w:rsid w:val="00E3457F"/>
    <w:rsid w:val="00E34CDF"/>
    <w:rsid w:val="00E358E7"/>
    <w:rsid w:val="00E358F6"/>
    <w:rsid w:val="00E36761"/>
    <w:rsid w:val="00E37ED8"/>
    <w:rsid w:val="00E44A04"/>
    <w:rsid w:val="00E530F3"/>
    <w:rsid w:val="00E60105"/>
    <w:rsid w:val="00E62A02"/>
    <w:rsid w:val="00E6397D"/>
    <w:rsid w:val="00E67F85"/>
    <w:rsid w:val="00E738E0"/>
    <w:rsid w:val="00E745B7"/>
    <w:rsid w:val="00E75BD6"/>
    <w:rsid w:val="00E76F92"/>
    <w:rsid w:val="00E81789"/>
    <w:rsid w:val="00E8433C"/>
    <w:rsid w:val="00E9011C"/>
    <w:rsid w:val="00E90132"/>
    <w:rsid w:val="00E9310F"/>
    <w:rsid w:val="00E95EFE"/>
    <w:rsid w:val="00E970E3"/>
    <w:rsid w:val="00EA1AA6"/>
    <w:rsid w:val="00EA5E45"/>
    <w:rsid w:val="00EA5EA3"/>
    <w:rsid w:val="00EA7CB4"/>
    <w:rsid w:val="00EB25C6"/>
    <w:rsid w:val="00EB5F08"/>
    <w:rsid w:val="00EB724C"/>
    <w:rsid w:val="00EB738A"/>
    <w:rsid w:val="00EC2F46"/>
    <w:rsid w:val="00ED3E3F"/>
    <w:rsid w:val="00ED7F34"/>
    <w:rsid w:val="00EE3173"/>
    <w:rsid w:val="00EE3612"/>
    <w:rsid w:val="00EE50C7"/>
    <w:rsid w:val="00EE6581"/>
    <w:rsid w:val="00EF1D46"/>
    <w:rsid w:val="00EF79F2"/>
    <w:rsid w:val="00F00FD5"/>
    <w:rsid w:val="00F01874"/>
    <w:rsid w:val="00F06BBC"/>
    <w:rsid w:val="00F106A5"/>
    <w:rsid w:val="00F17367"/>
    <w:rsid w:val="00F175A9"/>
    <w:rsid w:val="00F20E86"/>
    <w:rsid w:val="00F2122C"/>
    <w:rsid w:val="00F21D63"/>
    <w:rsid w:val="00F23E1D"/>
    <w:rsid w:val="00F31457"/>
    <w:rsid w:val="00F31D65"/>
    <w:rsid w:val="00F3533F"/>
    <w:rsid w:val="00F4414E"/>
    <w:rsid w:val="00F477BB"/>
    <w:rsid w:val="00F50079"/>
    <w:rsid w:val="00F50A0C"/>
    <w:rsid w:val="00F544D6"/>
    <w:rsid w:val="00F54708"/>
    <w:rsid w:val="00F61168"/>
    <w:rsid w:val="00F62171"/>
    <w:rsid w:val="00F6540A"/>
    <w:rsid w:val="00F65C6E"/>
    <w:rsid w:val="00F6638B"/>
    <w:rsid w:val="00F720BD"/>
    <w:rsid w:val="00F7213B"/>
    <w:rsid w:val="00F72BE0"/>
    <w:rsid w:val="00F73882"/>
    <w:rsid w:val="00F760AC"/>
    <w:rsid w:val="00F76247"/>
    <w:rsid w:val="00F83B92"/>
    <w:rsid w:val="00F85D03"/>
    <w:rsid w:val="00F86895"/>
    <w:rsid w:val="00F933A3"/>
    <w:rsid w:val="00F96D9D"/>
    <w:rsid w:val="00FA14AE"/>
    <w:rsid w:val="00FA3953"/>
    <w:rsid w:val="00FA3FD8"/>
    <w:rsid w:val="00FA42A2"/>
    <w:rsid w:val="00FB2E3F"/>
    <w:rsid w:val="00FB4B6E"/>
    <w:rsid w:val="00FB4F0E"/>
    <w:rsid w:val="00FB530F"/>
    <w:rsid w:val="00FC1AEA"/>
    <w:rsid w:val="00FC2B2D"/>
    <w:rsid w:val="00FC4502"/>
    <w:rsid w:val="00FC5AA4"/>
    <w:rsid w:val="00FC69C8"/>
    <w:rsid w:val="00FC7338"/>
    <w:rsid w:val="00FD0B9A"/>
    <w:rsid w:val="00FD3FE4"/>
    <w:rsid w:val="00FD6889"/>
    <w:rsid w:val="00FE3D72"/>
    <w:rsid w:val="00FE3E95"/>
    <w:rsid w:val="00FE448B"/>
    <w:rsid w:val="00FE6E60"/>
    <w:rsid w:val="00FF132D"/>
    <w:rsid w:val="00FF145F"/>
    <w:rsid w:val="00FF35B8"/>
    <w:rsid w:val="00FF4409"/>
    <w:rsid w:val="00FF4BAB"/>
    <w:rsid w:val="00FF7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66060FDD"/>
  <w15:chartTrackingRefBased/>
  <w15:docId w15:val="{A4DA9C0B-B261-4751-AA34-F8F4AC75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4A95"/>
    <w:pPr>
      <w:tabs>
        <w:tab w:val="center" w:pos="4513"/>
        <w:tab w:val="right" w:pos="9026"/>
      </w:tabs>
      <w:spacing w:after="0" w:line="240" w:lineRule="auto"/>
    </w:pPr>
  </w:style>
  <w:style w:type="character" w:customStyle="1" w:styleId="HeaderChar">
    <w:name w:val="Header Char"/>
    <w:basedOn w:val="DefaultParagraphFont"/>
    <w:link w:val="Header"/>
    <w:rsid w:val="008A4A95"/>
  </w:style>
  <w:style w:type="paragraph" w:styleId="Footer">
    <w:name w:val="footer"/>
    <w:basedOn w:val="Normal"/>
    <w:link w:val="FooterChar"/>
    <w:uiPriority w:val="99"/>
    <w:unhideWhenUsed/>
    <w:rsid w:val="008A4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A95"/>
  </w:style>
  <w:style w:type="paragraph" w:customStyle="1" w:styleId="LI-Footer">
    <w:name w:val="LI - Footer"/>
    <w:basedOn w:val="Normal"/>
    <w:link w:val="LI-FooterChar"/>
    <w:qFormat/>
    <w:rsid w:val="008A4A95"/>
    <w:pPr>
      <w:pBdr>
        <w:top w:val="single" w:sz="6" w:space="1" w:color="auto"/>
      </w:pBdr>
      <w:tabs>
        <w:tab w:val="right" w:pos="8313"/>
      </w:tabs>
      <w:spacing w:before="120" w:after="0" w:line="0" w:lineRule="atLeast"/>
    </w:pPr>
    <w:rPr>
      <w:rFonts w:ascii="Times New Roman" w:eastAsia="Calibri" w:hAnsi="Times New Roman" w:cs="Times New Roman"/>
      <w:i/>
      <w:sz w:val="18"/>
      <w:szCs w:val="20"/>
    </w:rPr>
  </w:style>
  <w:style w:type="character" w:customStyle="1" w:styleId="LI-FooterChar">
    <w:name w:val="LI - Footer Char"/>
    <w:link w:val="LI-Footer"/>
    <w:rsid w:val="008A4A95"/>
    <w:rPr>
      <w:rFonts w:ascii="Times New Roman" w:eastAsia="Calibri" w:hAnsi="Times New Roman" w:cs="Times New Roman"/>
      <w:i/>
      <w:sz w:val="18"/>
      <w:szCs w:val="20"/>
    </w:rPr>
  </w:style>
  <w:style w:type="character" w:styleId="CommentReference">
    <w:name w:val="annotation reference"/>
    <w:uiPriority w:val="99"/>
    <w:semiHidden/>
    <w:unhideWhenUsed/>
    <w:rsid w:val="008A4A95"/>
    <w:rPr>
      <w:sz w:val="16"/>
      <w:szCs w:val="16"/>
    </w:rPr>
  </w:style>
  <w:style w:type="paragraph" w:styleId="CommentText">
    <w:name w:val="annotation text"/>
    <w:basedOn w:val="Normal"/>
    <w:link w:val="CommentTextChar"/>
    <w:uiPriority w:val="99"/>
    <w:unhideWhenUsed/>
    <w:rsid w:val="008A4A95"/>
    <w:pPr>
      <w:spacing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8A4A95"/>
    <w:rPr>
      <w:rFonts w:ascii="Times New Roman" w:eastAsia="Calibri" w:hAnsi="Times New Roman" w:cs="Times New Roman"/>
      <w:sz w:val="20"/>
      <w:szCs w:val="20"/>
    </w:rPr>
  </w:style>
  <w:style w:type="paragraph" w:customStyle="1" w:styleId="LI-Header">
    <w:name w:val="LI - Header"/>
    <w:basedOn w:val="LI-Footer"/>
    <w:link w:val="LI-HeaderChar"/>
    <w:qFormat/>
    <w:rsid w:val="008A4A95"/>
    <w:pPr>
      <w:pBdr>
        <w:top w:val="none" w:sz="0" w:space="0" w:color="auto"/>
        <w:bottom w:val="single" w:sz="4" w:space="1" w:color="auto"/>
      </w:pBdr>
      <w:jc w:val="right"/>
    </w:pPr>
  </w:style>
  <w:style w:type="character" w:customStyle="1" w:styleId="LI-HeaderChar">
    <w:name w:val="LI - Header Char"/>
    <w:basedOn w:val="LI-FooterChar"/>
    <w:link w:val="LI-Header"/>
    <w:rsid w:val="008A4A95"/>
    <w:rPr>
      <w:rFonts w:ascii="Times New Roman" w:eastAsia="Calibri" w:hAnsi="Times New Roman" w:cs="Times New Roman"/>
      <w:i/>
      <w:sz w:val="18"/>
      <w:szCs w:val="20"/>
    </w:rPr>
  </w:style>
  <w:style w:type="paragraph" w:styleId="BalloonText">
    <w:name w:val="Balloon Text"/>
    <w:basedOn w:val="Normal"/>
    <w:link w:val="BalloonTextChar"/>
    <w:uiPriority w:val="99"/>
    <w:semiHidden/>
    <w:unhideWhenUsed/>
    <w:rsid w:val="008A4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A95"/>
    <w:rPr>
      <w:rFonts w:ascii="Segoe UI" w:hAnsi="Segoe UI" w:cs="Segoe UI"/>
      <w:sz w:val="18"/>
      <w:szCs w:val="18"/>
    </w:rPr>
  </w:style>
  <w:style w:type="paragraph" w:styleId="ListParagraph">
    <w:name w:val="List Paragraph"/>
    <w:basedOn w:val="Normal"/>
    <w:uiPriority w:val="34"/>
    <w:qFormat/>
    <w:rsid w:val="002355AA"/>
    <w:pPr>
      <w:ind w:left="720"/>
      <w:contextualSpacing/>
    </w:pPr>
  </w:style>
  <w:style w:type="character" w:styleId="Hyperlink">
    <w:name w:val="Hyperlink"/>
    <w:basedOn w:val="DefaultParagraphFont"/>
    <w:uiPriority w:val="99"/>
    <w:unhideWhenUsed/>
    <w:rsid w:val="00AB7BB9"/>
  </w:style>
  <w:style w:type="paragraph" w:styleId="CommentSubject">
    <w:name w:val="annotation subject"/>
    <w:basedOn w:val="CommentText"/>
    <w:next w:val="CommentText"/>
    <w:link w:val="CommentSubjectChar"/>
    <w:uiPriority w:val="99"/>
    <w:semiHidden/>
    <w:unhideWhenUsed/>
    <w:rsid w:val="00786BB9"/>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86BB9"/>
    <w:rPr>
      <w:rFonts w:ascii="Times New Roman" w:eastAsia="Calibri" w:hAnsi="Times New Roman" w:cs="Times New Roman"/>
      <w:b/>
      <w:bCs/>
      <w:sz w:val="20"/>
      <w:szCs w:val="20"/>
    </w:rPr>
  </w:style>
  <w:style w:type="paragraph" w:customStyle="1" w:styleId="Default">
    <w:name w:val="Default"/>
    <w:rsid w:val="004137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10426"/>
    <w:pPr>
      <w:spacing w:after="0" w:line="240" w:lineRule="auto"/>
    </w:pPr>
  </w:style>
  <w:style w:type="table" w:styleId="TableGrid">
    <w:name w:val="Table Grid"/>
    <w:basedOn w:val="TableNormal"/>
    <w:uiPriority w:val="39"/>
    <w:rsid w:val="00D6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0A82"/>
    <w:rPr>
      <w:color w:val="605E5C"/>
      <w:shd w:val="clear" w:color="auto" w:fill="E1DFDD"/>
    </w:rPr>
  </w:style>
  <w:style w:type="paragraph" w:styleId="TOC1">
    <w:name w:val="toc 1"/>
    <w:basedOn w:val="Normal"/>
    <w:next w:val="Normal"/>
    <w:uiPriority w:val="39"/>
    <w:unhideWhenUsed/>
    <w:rsid w:val="00204BE0"/>
    <w:pPr>
      <w:keepNext/>
      <w:keepLines/>
      <w:tabs>
        <w:tab w:val="right" w:pos="8278"/>
      </w:tabs>
      <w:spacing w:before="120" w:after="0" w:line="240" w:lineRule="auto"/>
      <w:ind w:left="1474" w:right="567" w:hanging="1474"/>
    </w:pPr>
    <w:rPr>
      <w:rFonts w:ascii="Times New Roman" w:eastAsia="Times New Roman" w:hAnsi="Times New Roman" w:cs="Times New Roman"/>
      <w:b/>
      <w:kern w:val="28"/>
      <w:sz w:val="24"/>
      <w:szCs w:val="20"/>
      <w:lang w:eastAsia="en-AU"/>
    </w:rPr>
  </w:style>
  <w:style w:type="paragraph" w:styleId="TOC2">
    <w:name w:val="toc 2"/>
    <w:basedOn w:val="Normal"/>
    <w:next w:val="Normal"/>
    <w:uiPriority w:val="39"/>
    <w:unhideWhenUsed/>
    <w:rsid w:val="00204BE0"/>
    <w:pPr>
      <w:keepNext/>
      <w:keepLines/>
      <w:tabs>
        <w:tab w:val="right" w:leader="dot" w:pos="8278"/>
      </w:tabs>
      <w:spacing w:before="120" w:after="0" w:line="240" w:lineRule="auto"/>
      <w:ind w:left="851" w:hanging="284"/>
    </w:pPr>
    <w:rPr>
      <w:rFonts w:ascii="Times New Roman" w:eastAsia="Times New Roman" w:hAnsi="Times New Roman" w:cs="Times New Roman"/>
      <w:kern w:val="28"/>
      <w:sz w:val="24"/>
      <w:szCs w:val="20"/>
      <w:lang w:eastAsia="en-AU"/>
    </w:rPr>
  </w:style>
  <w:style w:type="paragraph" w:customStyle="1" w:styleId="LI-Title">
    <w:name w:val="LI - Title"/>
    <w:basedOn w:val="Normal"/>
    <w:next w:val="Normal"/>
    <w:qFormat/>
    <w:rsid w:val="00204BE0"/>
    <w:pPr>
      <w:pBdr>
        <w:top w:val="single" w:sz="4" w:space="1" w:color="auto"/>
      </w:pBdr>
      <w:spacing w:after="0" w:line="240" w:lineRule="auto"/>
    </w:pPr>
    <w:rPr>
      <w:rFonts w:ascii="Times New Roman" w:eastAsia="Times New Roman" w:hAnsi="Times New Roman" w:cs="Times New Roman"/>
      <w:b/>
      <w:sz w:val="40"/>
      <w:szCs w:val="20"/>
      <w:lang w:eastAsia="en-AU"/>
    </w:rPr>
  </w:style>
  <w:style w:type="paragraph" w:customStyle="1" w:styleId="LI-Heading1">
    <w:name w:val="LI - Heading 1"/>
    <w:basedOn w:val="Normal"/>
    <w:next w:val="Normal"/>
    <w:qFormat/>
    <w:rsid w:val="00123CBC"/>
    <w:pPr>
      <w:keepNext/>
      <w:keepLines/>
      <w:spacing w:before="280" w:after="0" w:line="240" w:lineRule="auto"/>
      <w:ind w:left="1134" w:hanging="1134"/>
      <w:outlineLvl w:val="0"/>
    </w:pPr>
    <w:rPr>
      <w:rFonts w:ascii="Times New Roman" w:eastAsia="Times New Roman" w:hAnsi="Times New Roman" w:cs="Times New Roman"/>
      <w:b/>
      <w:kern w:val="28"/>
      <w:sz w:val="32"/>
      <w:szCs w:val="20"/>
      <w:lang w:eastAsia="en-AU"/>
    </w:rPr>
  </w:style>
  <w:style w:type="paragraph" w:customStyle="1" w:styleId="LI-BodyTextSubparai">
    <w:name w:val="LI - Body Text Subpara (i)"/>
    <w:basedOn w:val="Normal"/>
    <w:link w:val="LI-BodyTextSubparaiChar"/>
    <w:qFormat/>
    <w:rsid w:val="002F1CA0"/>
    <w:pPr>
      <w:spacing w:before="240" w:after="0" w:line="240" w:lineRule="auto"/>
      <w:ind w:left="2268" w:hanging="567"/>
    </w:pPr>
    <w:rPr>
      <w:rFonts w:ascii="Times New Roman" w:eastAsia="Times New Roman" w:hAnsi="Times New Roman" w:cs="Times New Roman"/>
      <w:sz w:val="24"/>
      <w:szCs w:val="24"/>
      <w:lang w:eastAsia="en-AU"/>
    </w:rPr>
  </w:style>
  <w:style w:type="character" w:customStyle="1" w:styleId="LI-BodyTextSubparaiChar">
    <w:name w:val="LI - Body Text Subpara (i) Char"/>
    <w:basedOn w:val="DefaultParagraphFont"/>
    <w:link w:val="LI-BodyTextSubparai"/>
    <w:rsid w:val="002F1CA0"/>
    <w:rPr>
      <w:rFonts w:ascii="Times New Roman" w:eastAsia="Times New Roman" w:hAnsi="Times New Roman" w:cs="Times New Roman"/>
      <w:sz w:val="24"/>
      <w:szCs w:val="24"/>
      <w:lang w:eastAsia="en-AU"/>
    </w:rPr>
  </w:style>
  <w:style w:type="paragraph" w:customStyle="1" w:styleId="LI-BodyTextParaa">
    <w:name w:val="LI - Body Text Para (a)"/>
    <w:basedOn w:val="Normal"/>
    <w:link w:val="LI-BodyTextParaaChar"/>
    <w:rsid w:val="002F1CA0"/>
    <w:pPr>
      <w:spacing w:before="240" w:after="0" w:line="240" w:lineRule="auto"/>
      <w:ind w:left="1701" w:hanging="567"/>
    </w:pPr>
    <w:rPr>
      <w:rFonts w:ascii="Times New Roman" w:eastAsia="Times New Roman" w:hAnsi="Times New Roman" w:cs="Times New Roman"/>
      <w:sz w:val="24"/>
      <w:szCs w:val="24"/>
      <w:lang w:eastAsia="en-AU"/>
    </w:rPr>
  </w:style>
  <w:style w:type="character" w:customStyle="1" w:styleId="LI-BodyTextParaaChar">
    <w:name w:val="LI - Body Text Para (a) Char"/>
    <w:link w:val="LI-BodyTextParaa"/>
    <w:rsid w:val="002F1CA0"/>
    <w:rPr>
      <w:rFonts w:ascii="Times New Roman" w:eastAsia="Times New Roman" w:hAnsi="Times New Roman" w:cs="Times New Roman"/>
      <w:sz w:val="24"/>
      <w:szCs w:val="24"/>
      <w:lang w:eastAsia="en-AU"/>
    </w:rPr>
  </w:style>
  <w:style w:type="paragraph" w:customStyle="1" w:styleId="LI-BodyTextUnnumbered">
    <w:name w:val="LI - Body Text Unnumbered"/>
    <w:basedOn w:val="Normal"/>
    <w:link w:val="LI-BodyTextUnnumberedChar"/>
    <w:rsid w:val="002F1CA0"/>
    <w:pPr>
      <w:spacing w:before="240" w:after="0" w:line="240" w:lineRule="auto"/>
      <w:ind w:left="1134"/>
    </w:pPr>
    <w:rPr>
      <w:rFonts w:ascii="Times New Roman" w:eastAsia="Times New Roman" w:hAnsi="Times New Roman" w:cs="Times New Roman"/>
      <w:sz w:val="24"/>
      <w:szCs w:val="20"/>
      <w:lang w:eastAsia="en-AU"/>
    </w:rPr>
  </w:style>
  <w:style w:type="character" w:customStyle="1" w:styleId="LI-BodyTextUnnumberedChar">
    <w:name w:val="LI - Body Text Unnumbered Char"/>
    <w:link w:val="LI-BodyTextUnnumbered"/>
    <w:rsid w:val="002F1CA0"/>
    <w:rPr>
      <w:rFonts w:ascii="Times New Roman" w:eastAsia="Times New Roman" w:hAnsi="Times New Roman" w:cs="Times New Roman"/>
      <w:sz w:val="24"/>
      <w:szCs w:val="20"/>
      <w:lang w:eastAsia="en-AU"/>
    </w:rPr>
  </w:style>
  <w:style w:type="paragraph" w:customStyle="1" w:styleId="LI-Fronttext">
    <w:name w:val="LI - Front text"/>
    <w:basedOn w:val="Normal"/>
    <w:next w:val="Normal"/>
    <w:rsid w:val="002F1CA0"/>
    <w:pPr>
      <w:spacing w:before="240" w:after="0" w:line="260" w:lineRule="atLeast"/>
      <w:ind w:right="397"/>
    </w:pPr>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2B62FB"/>
    <w:pPr>
      <w:spacing w:before="200" w:after="0" w:line="240" w:lineRule="auto"/>
      <w:ind w:left="1701" w:hanging="567"/>
    </w:pPr>
    <w:rPr>
      <w:rFonts w:ascii="Times New Roman" w:eastAsia="Times New Roman" w:hAnsi="Times New Roman" w:cs="Times New Roman"/>
      <w:sz w:val="18"/>
      <w:szCs w:val="20"/>
      <w:lang w:eastAsia="en-AU"/>
    </w:rPr>
  </w:style>
  <w:style w:type="character" w:customStyle="1" w:styleId="LI-BodyTextNoteChar">
    <w:name w:val="LI - Body Text Note Char"/>
    <w:link w:val="LI-BodyTextNote"/>
    <w:rsid w:val="002B62FB"/>
    <w:rPr>
      <w:rFonts w:ascii="Times New Roman" w:eastAsia="Times New Roman" w:hAnsi="Times New Roman" w:cs="Times New Roman"/>
      <w:sz w:val="18"/>
      <w:szCs w:val="20"/>
      <w:lang w:eastAsia="en-AU"/>
    </w:rPr>
  </w:style>
  <w:style w:type="paragraph" w:customStyle="1" w:styleId="LI-Heading2">
    <w:name w:val="LI - Heading 2"/>
    <w:basedOn w:val="Normal"/>
    <w:next w:val="LI-BodyTextUnnumbered"/>
    <w:qFormat/>
    <w:rsid w:val="002B62FB"/>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 w:type="paragraph" w:customStyle="1" w:styleId="LI-BodyTextNumbered">
    <w:name w:val="LI - Body Text Numbered"/>
    <w:basedOn w:val="LI-BodyTextUnnumbered"/>
    <w:link w:val="LI-BodyTextNumberedChar"/>
    <w:qFormat/>
    <w:rsid w:val="00973975"/>
    <w:pPr>
      <w:ind w:hanging="567"/>
    </w:pPr>
    <w:rPr>
      <w:szCs w:val="24"/>
    </w:rPr>
  </w:style>
  <w:style w:type="character" w:customStyle="1" w:styleId="LI-BodyTextNumberedChar">
    <w:name w:val="LI - Body Text Numbered Char"/>
    <w:link w:val="LI-BodyTextNumbered"/>
    <w:rsid w:val="00973975"/>
    <w:rPr>
      <w:rFonts w:ascii="Times New Roman" w:eastAsia="Times New Roman" w:hAnsi="Times New Roman" w:cs="Times New Roman"/>
      <w:sz w:val="24"/>
      <w:szCs w:val="24"/>
      <w:lang w:eastAsia="en-AU"/>
    </w:rPr>
  </w:style>
  <w:style w:type="paragraph" w:customStyle="1" w:styleId="LI-BodyTextSubsubparaA">
    <w:name w:val="LI - Body Text Subsubpara (A)"/>
    <w:basedOn w:val="LI-BodyTextParaa"/>
    <w:link w:val="LI-BodyTextSubsubparaAChar"/>
    <w:qFormat/>
    <w:rsid w:val="00973975"/>
    <w:pPr>
      <w:ind w:left="2835"/>
    </w:pPr>
  </w:style>
  <w:style w:type="character" w:customStyle="1" w:styleId="LI-BodyTextSubsubparaAChar">
    <w:name w:val="LI - Body Text Subsubpara (A) Char"/>
    <w:basedOn w:val="LI-BodyTextParaaChar"/>
    <w:link w:val="LI-BodyTextSubsubparaA"/>
    <w:rsid w:val="00973975"/>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A65F1B"/>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FollowedHyperlink">
    <w:name w:val="FollowedHyperlink"/>
    <w:basedOn w:val="DefaultParagraphFont"/>
    <w:uiPriority w:val="99"/>
    <w:semiHidden/>
    <w:unhideWhenUsed/>
    <w:rsid w:val="00965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586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0925">
          <w:marLeft w:val="0"/>
          <w:marRight w:val="0"/>
          <w:marTop w:val="0"/>
          <w:marBottom w:val="0"/>
          <w:divBdr>
            <w:top w:val="none" w:sz="0" w:space="0" w:color="auto"/>
            <w:left w:val="none" w:sz="0" w:space="0" w:color="auto"/>
            <w:bottom w:val="none" w:sz="0" w:space="0" w:color="auto"/>
            <w:right w:val="none" w:sz="0" w:space="0" w:color="auto"/>
          </w:divBdr>
          <w:divsChild>
            <w:div w:id="1592735876">
              <w:marLeft w:val="0"/>
              <w:marRight w:val="0"/>
              <w:marTop w:val="0"/>
              <w:marBottom w:val="0"/>
              <w:divBdr>
                <w:top w:val="none" w:sz="0" w:space="0" w:color="auto"/>
                <w:left w:val="none" w:sz="0" w:space="0" w:color="auto"/>
                <w:bottom w:val="none" w:sz="0" w:space="0" w:color="auto"/>
                <w:right w:val="none" w:sz="0" w:space="0" w:color="auto"/>
              </w:divBdr>
              <w:divsChild>
                <w:div w:id="49038877">
                  <w:marLeft w:val="0"/>
                  <w:marRight w:val="0"/>
                  <w:marTop w:val="0"/>
                  <w:marBottom w:val="0"/>
                  <w:divBdr>
                    <w:top w:val="none" w:sz="0" w:space="0" w:color="auto"/>
                    <w:left w:val="none" w:sz="0" w:space="0" w:color="auto"/>
                    <w:bottom w:val="none" w:sz="0" w:space="0" w:color="auto"/>
                    <w:right w:val="none" w:sz="0" w:space="0" w:color="auto"/>
                  </w:divBdr>
                  <w:divsChild>
                    <w:div w:id="1682118868">
                      <w:marLeft w:val="0"/>
                      <w:marRight w:val="0"/>
                      <w:marTop w:val="0"/>
                      <w:marBottom w:val="0"/>
                      <w:divBdr>
                        <w:top w:val="none" w:sz="0" w:space="0" w:color="auto"/>
                        <w:left w:val="none" w:sz="0" w:space="0" w:color="auto"/>
                        <w:bottom w:val="none" w:sz="0" w:space="0" w:color="auto"/>
                        <w:right w:val="none" w:sz="0" w:space="0" w:color="auto"/>
                      </w:divBdr>
                      <w:divsChild>
                        <w:div w:id="612707043">
                          <w:marLeft w:val="0"/>
                          <w:marRight w:val="0"/>
                          <w:marTop w:val="0"/>
                          <w:marBottom w:val="0"/>
                          <w:divBdr>
                            <w:top w:val="none" w:sz="0" w:space="0" w:color="auto"/>
                            <w:left w:val="none" w:sz="0" w:space="0" w:color="auto"/>
                            <w:bottom w:val="none" w:sz="0" w:space="0" w:color="auto"/>
                            <w:right w:val="none" w:sz="0" w:space="0" w:color="auto"/>
                          </w:divBdr>
                          <w:divsChild>
                            <w:div w:id="661158648">
                              <w:marLeft w:val="0"/>
                              <w:marRight w:val="0"/>
                              <w:marTop w:val="0"/>
                              <w:marBottom w:val="0"/>
                              <w:divBdr>
                                <w:top w:val="none" w:sz="0" w:space="0" w:color="auto"/>
                                <w:left w:val="none" w:sz="0" w:space="0" w:color="auto"/>
                                <w:bottom w:val="none" w:sz="0" w:space="0" w:color="auto"/>
                                <w:right w:val="none" w:sz="0" w:space="0" w:color="auto"/>
                              </w:divBdr>
                              <w:divsChild>
                                <w:div w:id="660278571">
                                  <w:marLeft w:val="0"/>
                                  <w:marRight w:val="0"/>
                                  <w:marTop w:val="0"/>
                                  <w:marBottom w:val="0"/>
                                  <w:divBdr>
                                    <w:top w:val="none" w:sz="0" w:space="0" w:color="auto"/>
                                    <w:left w:val="none" w:sz="0" w:space="0" w:color="auto"/>
                                    <w:bottom w:val="none" w:sz="0" w:space="0" w:color="auto"/>
                                    <w:right w:val="none" w:sz="0" w:space="0" w:color="auto"/>
                                  </w:divBdr>
                                  <w:divsChild>
                                    <w:div w:id="840319659">
                                      <w:marLeft w:val="0"/>
                                      <w:marRight w:val="0"/>
                                      <w:marTop w:val="0"/>
                                      <w:marBottom w:val="0"/>
                                      <w:divBdr>
                                        <w:top w:val="none" w:sz="0" w:space="0" w:color="auto"/>
                                        <w:left w:val="none" w:sz="0" w:space="0" w:color="auto"/>
                                        <w:bottom w:val="none" w:sz="0" w:space="0" w:color="auto"/>
                                        <w:right w:val="none" w:sz="0" w:space="0" w:color="auto"/>
                                      </w:divBdr>
                                      <w:divsChild>
                                        <w:div w:id="1256592957">
                                          <w:marLeft w:val="0"/>
                                          <w:marRight w:val="0"/>
                                          <w:marTop w:val="0"/>
                                          <w:marBottom w:val="0"/>
                                          <w:divBdr>
                                            <w:top w:val="none" w:sz="0" w:space="0" w:color="auto"/>
                                            <w:left w:val="none" w:sz="0" w:space="0" w:color="auto"/>
                                            <w:bottom w:val="none" w:sz="0" w:space="0" w:color="auto"/>
                                            <w:right w:val="none" w:sz="0" w:space="0" w:color="auto"/>
                                          </w:divBdr>
                                          <w:divsChild>
                                            <w:div w:id="1566718955">
                                              <w:marLeft w:val="0"/>
                                              <w:marRight w:val="0"/>
                                              <w:marTop w:val="0"/>
                                              <w:marBottom w:val="0"/>
                                              <w:divBdr>
                                                <w:top w:val="none" w:sz="0" w:space="0" w:color="auto"/>
                                                <w:left w:val="none" w:sz="0" w:space="0" w:color="auto"/>
                                                <w:bottom w:val="none" w:sz="0" w:space="0" w:color="auto"/>
                                                <w:right w:val="none" w:sz="0" w:space="0" w:color="auto"/>
                                              </w:divBdr>
                                              <w:divsChild>
                                                <w:div w:id="1188330597">
                                                  <w:marLeft w:val="0"/>
                                                  <w:marRight w:val="0"/>
                                                  <w:marTop w:val="0"/>
                                                  <w:marBottom w:val="0"/>
                                                  <w:divBdr>
                                                    <w:top w:val="none" w:sz="0" w:space="0" w:color="auto"/>
                                                    <w:left w:val="none" w:sz="0" w:space="0" w:color="auto"/>
                                                    <w:bottom w:val="none" w:sz="0" w:space="0" w:color="auto"/>
                                                    <w:right w:val="none" w:sz="0" w:space="0" w:color="auto"/>
                                                  </w:divBdr>
                                                  <w:divsChild>
                                                    <w:div w:id="2120756172">
                                                      <w:marLeft w:val="0"/>
                                                      <w:marRight w:val="0"/>
                                                      <w:marTop w:val="0"/>
                                                      <w:marBottom w:val="0"/>
                                                      <w:divBdr>
                                                        <w:top w:val="none" w:sz="0" w:space="0" w:color="auto"/>
                                                        <w:left w:val="none" w:sz="0" w:space="0" w:color="auto"/>
                                                        <w:bottom w:val="none" w:sz="0" w:space="0" w:color="auto"/>
                                                        <w:right w:val="none" w:sz="0" w:space="0" w:color="auto"/>
                                                      </w:divBdr>
                                                      <w:divsChild>
                                                        <w:div w:id="11618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islation.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R20200000161946</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7</Value>
    </TaxCatchAll>
    <IconOverlay xmlns="http://schemas.microsoft.com/sharepoint/v4" xsi:nil="true"/>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DEA9-B4E3-41C1-8925-D6DF75BCE8F3}">
  <ds:schemaRefs>
    <ds:schemaRef ds:uri="http://schemas.microsoft.com/office/infopath/2007/PartnerControls"/>
    <ds:schemaRef ds:uri="http://www.w3.org/XML/1998/namespace"/>
    <ds:schemaRef ds:uri="http://purl.org/dc/dcmitype/"/>
    <ds:schemaRef ds:uri="6fdf923d-1605-456d-9034-49e4c2a6593d"/>
    <ds:schemaRef ds:uri="http://schemas.microsoft.com/sharepoint/v4"/>
    <ds:schemaRef ds:uri="http://purl.org/dc/elements/1.1/"/>
    <ds:schemaRef ds:uri="http://schemas.microsoft.com/office/2006/documentManagement/types"/>
    <ds:schemaRef ds:uri="http://purl.org/dc/terms/"/>
    <ds:schemaRef ds:uri="http://schemas.openxmlformats.org/package/2006/metadata/core-properties"/>
    <ds:schemaRef ds:uri="17f478ab-373e-4295-9ff0-9b833ad01319"/>
    <ds:schemaRef ds:uri="da7a9ac0-bc47-4684-84e6-3a8e9ac80c12"/>
    <ds:schemaRef ds:uri="http://schemas.microsoft.com/office/2006/metadata/properties"/>
  </ds:schemaRefs>
</ds:datastoreItem>
</file>

<file path=customXml/itemProps2.xml><?xml version="1.0" encoding="utf-8"?>
<ds:datastoreItem xmlns:ds="http://schemas.openxmlformats.org/officeDocument/2006/customXml" ds:itemID="{E095ABAD-697B-4F3C-8D22-AA19D4792C61}">
  <ds:schemaRefs>
    <ds:schemaRef ds:uri="http://schemas.microsoft.com/sharepoint/v3/contenttype/forms"/>
  </ds:schemaRefs>
</ds:datastoreItem>
</file>

<file path=customXml/itemProps3.xml><?xml version="1.0" encoding="utf-8"?>
<ds:datastoreItem xmlns:ds="http://schemas.openxmlformats.org/officeDocument/2006/customXml" ds:itemID="{B6DC4A11-F0AD-4115-AE68-D87DB7E0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C8B46-61EE-451E-80FD-2B2D6DC7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 ASIC Instrument_Funds Management Relief (Att 2)_20190627</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ASIC Instrument_Funds Management Relief (Att 2)_20190627</dc:title>
  <dc:subject/>
  <dc:creator>Alan Worsley</dc:creator>
  <cp:keywords/>
  <dc:description/>
  <cp:lastModifiedBy>Anthony Graham</cp:lastModifiedBy>
  <cp:revision>6</cp:revision>
  <cp:lastPrinted>2020-03-06T00:40:00Z</cp:lastPrinted>
  <dcterms:created xsi:type="dcterms:W3CDTF">2020-03-05T23:46:00Z</dcterms:created>
  <dcterms:modified xsi:type="dcterms:W3CDTF">2020-03-09T22:45:00Z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RecordPoint_WorkflowType">
    <vt:lpwstr>ActiveSubmitStub</vt:lpwstr>
  </property>
  <property fmtid="{D5CDD505-2E9C-101B-9397-08002B2CF9AE}" pid="4" name="RecordPoint_ActiveItemWebId">
    <vt:lpwstr>{6fdf923d-1605-456d-9034-49e4c2a6593d}</vt:lpwstr>
  </property>
  <property fmtid="{D5CDD505-2E9C-101B-9397-08002B2CF9AE}" pid="5" name="RecordPoint_ActiveItemSiteId">
    <vt:lpwstr>{fa96e6fb-4129-44b7-b105-10ec3844cb78}</vt:lpwstr>
  </property>
  <property fmtid="{D5CDD505-2E9C-101B-9397-08002B2CF9AE}" pid="6" name="RecordPoint_ActiveItemListId">
    <vt:lpwstr>{e8634c1b-1868-4a02-8de8-ef4b1316a551}</vt:lpwstr>
  </property>
  <property fmtid="{D5CDD505-2E9C-101B-9397-08002B2CF9AE}" pid="7" name="RecordPoint_SubmissionDate">
    <vt:lpwstr/>
  </property>
  <property fmtid="{D5CDD505-2E9C-101B-9397-08002B2CF9AE}" pid="8" name="RecordPoint_ActiveItemMoved">
    <vt:lpwstr/>
  </property>
  <property fmtid="{D5CDD505-2E9C-101B-9397-08002B2CF9AE}" pid="9" name="RecordPoint_RecordFormat">
    <vt:lpwstr/>
  </property>
  <property fmtid="{D5CDD505-2E9C-101B-9397-08002B2CF9AE}" pid="10" name="Order">
    <vt:r8>198500</vt:r8>
  </property>
  <property fmtid="{D5CDD505-2E9C-101B-9397-08002B2CF9AE}" pid="11" name="SecurityClassification">
    <vt:lpwstr>7;#Sensitive|19fd2cb8-3e97-4464-ae71-8c2c2095d028</vt:lpwstr>
  </property>
  <property fmtid="{D5CDD505-2E9C-101B-9397-08002B2CF9AE}" pid="12" name="RecordPoint_ActiveItemUniqueId">
    <vt:lpwstr>{79eb498d-6887-429c-910e-d82653355170}</vt:lpwstr>
  </property>
  <property fmtid="{D5CDD505-2E9C-101B-9397-08002B2CF9AE}" pid="13" name="RecordPoint_RecordNumberSubmitted">
    <vt:lpwstr>R20200000161946</vt:lpwstr>
  </property>
  <property fmtid="{D5CDD505-2E9C-101B-9397-08002B2CF9AE}" pid="14" name="RecordPoint_SubmissionCompleted">
    <vt:lpwstr>2020-03-10T09:56:24.3193847+11:00</vt:lpwstr>
  </property>
</Properties>
</file>