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A77E34" w:rsidRDefault="00FA6784" w:rsidP="00FA6784">
      <w:pPr>
        <w:pStyle w:val="H3"/>
        <w:jc w:val="center"/>
        <w:rPr>
          <w:sz w:val="24"/>
          <w:szCs w:val="24"/>
        </w:rPr>
      </w:pPr>
      <w:r w:rsidRPr="00A77E34">
        <w:rPr>
          <w:sz w:val="24"/>
          <w:szCs w:val="24"/>
        </w:rPr>
        <w:t>EXPLANATORY STATEMENT</w:t>
      </w:r>
    </w:p>
    <w:p w14:paraId="2412D120" w14:textId="77777777" w:rsidR="00FA6784" w:rsidRPr="00A77E34" w:rsidRDefault="00FA6784" w:rsidP="00FA6784">
      <w:pPr>
        <w:jc w:val="center"/>
        <w:rPr>
          <w:sz w:val="22"/>
          <w:szCs w:val="22"/>
        </w:rPr>
      </w:pPr>
    </w:p>
    <w:p w14:paraId="2412D121" w14:textId="131C424B" w:rsidR="00FA6784" w:rsidRPr="00A77E34" w:rsidRDefault="00FA6784" w:rsidP="00FA6784">
      <w:pPr>
        <w:jc w:val="center"/>
      </w:pPr>
      <w:r w:rsidRPr="00A77E34">
        <w:t>Issued by the</w:t>
      </w:r>
      <w:r w:rsidR="0089375C" w:rsidRPr="00A77E34">
        <w:t xml:space="preserve"> Authority of the</w:t>
      </w:r>
      <w:r w:rsidRPr="00A77E34">
        <w:t xml:space="preserve"> Minister for Health</w:t>
      </w:r>
    </w:p>
    <w:p w14:paraId="2412D122" w14:textId="77777777" w:rsidR="00FA6784" w:rsidRPr="00A77E34" w:rsidRDefault="00FA6784" w:rsidP="00FA6784">
      <w:pPr>
        <w:jc w:val="center"/>
        <w:rPr>
          <w:i/>
          <w:iCs/>
          <w:sz w:val="20"/>
        </w:rPr>
      </w:pPr>
    </w:p>
    <w:p w14:paraId="2412D123" w14:textId="77777777" w:rsidR="00FA6784" w:rsidRPr="00A77E34" w:rsidRDefault="00FA6784" w:rsidP="00FA6784">
      <w:pPr>
        <w:jc w:val="center"/>
        <w:rPr>
          <w:i/>
          <w:iCs/>
        </w:rPr>
      </w:pPr>
      <w:r w:rsidRPr="00A77E34">
        <w:rPr>
          <w:i/>
          <w:iCs/>
        </w:rPr>
        <w:t>Health Insurance Act 1973</w:t>
      </w:r>
    </w:p>
    <w:p w14:paraId="2412D124" w14:textId="77777777" w:rsidR="00A1739A" w:rsidRPr="00A77E34" w:rsidRDefault="00A1739A" w:rsidP="00A1739A">
      <w:pPr>
        <w:rPr>
          <w:szCs w:val="24"/>
          <w:u w:val="single"/>
        </w:rPr>
      </w:pPr>
    </w:p>
    <w:p w14:paraId="7C8F23EF" w14:textId="52C6E801" w:rsidR="000C0FDE" w:rsidRPr="000C0FDE" w:rsidRDefault="000C0FDE" w:rsidP="000C0FD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r w:rsidRPr="000C0FDE">
        <w:rPr>
          <w:i/>
          <w:iCs/>
        </w:rPr>
        <w:t>Health Insurance (Section 3C General Medical Services – GP and Allied Health COVID-19 Services) Determination 2020</w:t>
      </w:r>
    </w:p>
    <w:p w14:paraId="5CCB5419" w14:textId="77777777" w:rsidR="00717478" w:rsidRPr="00A77E34" w:rsidRDefault="00717478" w:rsidP="0071747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shd w:val="clear" w:color="auto" w:fill="FFFFFF"/>
        </w:rPr>
      </w:pPr>
    </w:p>
    <w:p w14:paraId="0949454D" w14:textId="77777777" w:rsidR="00FF4023" w:rsidRPr="00A77E34"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A77E34">
        <w:rPr>
          <w:color w:val="000000"/>
          <w:shd w:val="clear" w:color="auto" w:fill="FFFFFF"/>
        </w:rPr>
        <w:t xml:space="preserve">Subsection 3C(1) of the </w:t>
      </w:r>
      <w:r w:rsidRPr="00A77E34">
        <w:rPr>
          <w:i/>
          <w:color w:val="000000"/>
          <w:shd w:val="clear" w:color="auto" w:fill="FFFFFF"/>
        </w:rPr>
        <w:t>Health Insurance Act 1973</w:t>
      </w:r>
      <w:r w:rsidRPr="00A77E34">
        <w:rPr>
          <w:color w:val="000000"/>
          <w:shd w:val="clear" w:color="auto" w:fill="FFFFFF"/>
        </w:rPr>
        <w:t xml:space="preserve"> (the Act) </w:t>
      </w:r>
      <w:r w:rsidR="00477C74" w:rsidRPr="00A77E34">
        <w:rPr>
          <w:color w:val="000000"/>
          <w:shd w:val="clear" w:color="auto" w:fill="FFFFFF"/>
        </w:rPr>
        <w:t>provide</w:t>
      </w:r>
      <w:r w:rsidR="002E5708" w:rsidRPr="00A77E34">
        <w:rPr>
          <w:color w:val="000000"/>
          <w:shd w:val="clear" w:color="auto" w:fill="FFFFFF"/>
        </w:rPr>
        <w:t>s</w:t>
      </w:r>
      <w:r w:rsidR="00477C74" w:rsidRPr="00A77E34">
        <w:rPr>
          <w:color w:val="000000"/>
          <w:shd w:val="clear" w:color="auto" w:fill="FFFFFF"/>
        </w:rPr>
        <w:t xml:space="preserve"> that</w:t>
      </w:r>
      <w:r w:rsidRPr="00A77E34">
        <w:rPr>
          <w:color w:val="000000"/>
          <w:shd w:val="clear" w:color="auto" w:fill="FFFFFF"/>
        </w:rPr>
        <w:t xml:space="preserve"> the Minister </w:t>
      </w:r>
      <w:r w:rsidR="00477C74" w:rsidRPr="00A77E34">
        <w:rPr>
          <w:color w:val="000000"/>
          <w:shd w:val="clear" w:color="auto" w:fill="FFFFFF"/>
        </w:rPr>
        <w:t>may</w:t>
      </w:r>
      <w:r w:rsidRPr="00A77E34">
        <w:rPr>
          <w:color w:val="000000"/>
          <w:shd w:val="clear" w:color="auto" w:fill="FFFFFF"/>
        </w:rPr>
        <w:t xml:space="preserve">, by legislative instrument, determine that a health service not specified in an item in the </w:t>
      </w:r>
      <w:r w:rsidR="00B04976" w:rsidRPr="00A77E34">
        <w:rPr>
          <w:color w:val="000000"/>
          <w:shd w:val="clear" w:color="auto" w:fill="FFFFFF"/>
        </w:rPr>
        <w:t xml:space="preserve">general </w:t>
      </w:r>
      <w:r w:rsidR="002374F0" w:rsidRPr="00A77E34">
        <w:rPr>
          <w:color w:val="000000"/>
          <w:shd w:val="clear" w:color="auto" w:fill="FFFFFF"/>
        </w:rPr>
        <w:t xml:space="preserve">medical </w:t>
      </w:r>
      <w:r w:rsidRPr="00A77E34">
        <w:rPr>
          <w:color w:val="000000"/>
          <w:shd w:val="clear" w:color="auto" w:fill="FFFFFF"/>
        </w:rPr>
        <w:t xml:space="preserve">services table </w:t>
      </w:r>
      <w:r w:rsidR="00D01D5A" w:rsidRPr="00A77E34">
        <w:rPr>
          <w:color w:val="000000"/>
          <w:shd w:val="clear" w:color="auto" w:fill="FFFFFF"/>
        </w:rPr>
        <w:t xml:space="preserve">(the Table) </w:t>
      </w:r>
      <w:r w:rsidRPr="00A77E34">
        <w:rPr>
          <w:color w:val="000000"/>
          <w:shd w:val="clear" w:color="auto" w:fill="FFFFFF"/>
        </w:rPr>
        <w:t xml:space="preserve">shall, in specified circumstances and for specified statutory provisions, be treated as if it were specified in the </w:t>
      </w:r>
      <w:r w:rsidR="00D01D5A" w:rsidRPr="00A77E34">
        <w:rPr>
          <w:color w:val="000000"/>
          <w:shd w:val="clear" w:color="auto" w:fill="FFFFFF"/>
        </w:rPr>
        <w:t>Table.</w:t>
      </w:r>
    </w:p>
    <w:p w14:paraId="7DB18649" w14:textId="77777777" w:rsidR="00841EDA" w:rsidRPr="00A77E34"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645FF5F4" w14:textId="77777777" w:rsidR="00FF4023" w:rsidRPr="00A77E34"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A77E34">
        <w:t xml:space="preserve">The </w:t>
      </w:r>
      <w:r w:rsidR="00D01D5A" w:rsidRPr="00A77E34">
        <w:t>Table</w:t>
      </w:r>
      <w:r w:rsidRPr="00A77E34">
        <w:t xml:space="preserve"> is set out in the regulations made under subsection 4(1) of the Act. The most recent version of the regulations is the </w:t>
      </w:r>
      <w:r w:rsidR="002374F0" w:rsidRPr="00A77E34">
        <w:rPr>
          <w:i/>
        </w:rPr>
        <w:t>Health Insurance (General Medical Services Table) Regulations 2019</w:t>
      </w:r>
      <w:r w:rsidR="002374F0" w:rsidRPr="00A77E34">
        <w:t>.</w:t>
      </w:r>
    </w:p>
    <w:p w14:paraId="503F22D4" w14:textId="77777777" w:rsidR="00FF4023" w:rsidRPr="00A77E34" w:rsidRDefault="00FF4023" w:rsidP="00BB00BA">
      <w:pPr>
        <w:rPr>
          <w:b/>
          <w:szCs w:val="24"/>
          <w:lang w:val="en-US" w:eastAsia="en-US"/>
        </w:rPr>
      </w:pPr>
    </w:p>
    <w:p w14:paraId="2412D12A" w14:textId="23ECD89F" w:rsidR="00BB00BA" w:rsidRPr="00A77E34" w:rsidRDefault="00A1739A" w:rsidP="00BB00BA">
      <w:pPr>
        <w:rPr>
          <w:b/>
          <w:szCs w:val="24"/>
          <w:lang w:val="en-US" w:eastAsia="en-US"/>
        </w:rPr>
      </w:pPr>
      <w:r w:rsidRPr="00A77E34">
        <w:rPr>
          <w:b/>
          <w:szCs w:val="24"/>
          <w:lang w:val="en-US" w:eastAsia="en-US"/>
        </w:rPr>
        <w:t>Purpose</w:t>
      </w:r>
    </w:p>
    <w:p w14:paraId="4C636A62" w14:textId="63BE4EEA" w:rsidR="00E40E25" w:rsidRPr="00A77E34" w:rsidRDefault="00E40E25" w:rsidP="00EA1F96">
      <w:r w:rsidRPr="00A77E34">
        <w:t>The Australian Government has unveiled a comprehensive $2.4 billion health package to protect all Australians, including vulnerable groups such as the elderly, those with chronic conditions and Indigenous communities, from the coronavirus (COVID-19).</w:t>
      </w:r>
    </w:p>
    <w:p w14:paraId="16E6450C" w14:textId="2B01FCAA" w:rsidR="006F7CA0" w:rsidRPr="00A77E34" w:rsidRDefault="006F7CA0" w:rsidP="00EA1F96"/>
    <w:p w14:paraId="5DE12169" w14:textId="7E9E41A6" w:rsidR="000C0FDE" w:rsidRDefault="006F7CA0" w:rsidP="00EA1F96">
      <w:r w:rsidRPr="00A77E34">
        <w:t>As part of the package, the Government announced $100 million to</w:t>
      </w:r>
      <w:r w:rsidR="00E04957" w:rsidRPr="00A77E34">
        <w:t xml:space="preserve"> fund</w:t>
      </w:r>
      <w:r w:rsidRPr="00A77E34">
        <w:t xml:space="preserve"> new Medicare </w:t>
      </w:r>
      <w:proofErr w:type="gramStart"/>
      <w:r w:rsidRPr="00A77E34">
        <w:t>service</w:t>
      </w:r>
      <w:r w:rsidR="00E04957" w:rsidRPr="00A77E34">
        <w:t>s</w:t>
      </w:r>
      <w:proofErr w:type="gramEnd"/>
      <w:r w:rsidRPr="00A77E34">
        <w:t xml:space="preserve"> for people in home isolation or quarantine, as a result </w:t>
      </w:r>
      <w:r w:rsidR="00BF5E7C">
        <w:t xml:space="preserve">of </w:t>
      </w:r>
      <w:r w:rsidR="00E04957" w:rsidRPr="00A77E34">
        <w:t>COVID-19</w:t>
      </w:r>
      <w:r w:rsidRPr="00A77E34">
        <w:t xml:space="preserve">, to receive health consultations </w:t>
      </w:r>
      <w:r w:rsidR="000C0FDE">
        <w:t>remotely.</w:t>
      </w:r>
    </w:p>
    <w:p w14:paraId="319DCEEB" w14:textId="77777777" w:rsidR="000C0FDE" w:rsidRDefault="000C0FDE" w:rsidP="00EA1F96"/>
    <w:p w14:paraId="17482CAE" w14:textId="56311088" w:rsidR="006F7CA0" w:rsidRPr="00BF2B47" w:rsidRDefault="006F7CA0" w:rsidP="006F7CA0">
      <w:r w:rsidRPr="00A77E34">
        <w:t xml:space="preserve">The purpose of the </w:t>
      </w:r>
      <w:r w:rsidR="000C0FDE" w:rsidRPr="000C0FDE">
        <w:rPr>
          <w:i/>
          <w:iCs/>
        </w:rPr>
        <w:t xml:space="preserve">Health Insurance (Section 3C General Medical Services – GP and Allied Health COVID-19 Services) Determination 2020 </w:t>
      </w:r>
      <w:r w:rsidR="007727E6" w:rsidRPr="00A77E34">
        <w:rPr>
          <w:iCs/>
        </w:rPr>
        <w:t xml:space="preserve">(the </w:t>
      </w:r>
      <w:r w:rsidRPr="00A77E34">
        <w:t>Determination</w:t>
      </w:r>
      <w:r w:rsidR="007727E6" w:rsidRPr="00A77E34">
        <w:t>)</w:t>
      </w:r>
      <w:r w:rsidRPr="00A77E34">
        <w:t xml:space="preserve"> is to list new </w:t>
      </w:r>
      <w:r w:rsidR="006C26E9">
        <w:t>remote</w:t>
      </w:r>
      <w:r w:rsidR="00141D26" w:rsidRPr="00A77E34">
        <w:t xml:space="preserve"> </w:t>
      </w:r>
      <w:r w:rsidRPr="00A77E34">
        <w:t>consultation services provided by GPs, other doc</w:t>
      </w:r>
      <w:r w:rsidR="005513A9" w:rsidRPr="00A77E34">
        <w:t xml:space="preserve">tors in general practice, </w:t>
      </w:r>
      <w:r w:rsidR="005513A9" w:rsidRPr="00BF2B47">
        <w:t>nurse practitioners</w:t>
      </w:r>
      <w:r w:rsidRPr="00BF2B47">
        <w:t xml:space="preserve"> and mental health allied health workers. The services include:</w:t>
      </w:r>
    </w:p>
    <w:p w14:paraId="38E507F9" w14:textId="6CF23DFC" w:rsidR="006F7CA0" w:rsidRPr="0034279F" w:rsidRDefault="006F7CA0" w:rsidP="000C0FDE">
      <w:pPr>
        <w:pStyle w:val="ListParagraph"/>
        <w:numPr>
          <w:ilvl w:val="0"/>
          <w:numId w:val="37"/>
        </w:numPr>
      </w:pPr>
      <w:r w:rsidRPr="0034279F">
        <w:t xml:space="preserve">New </w:t>
      </w:r>
      <w:r w:rsidR="000C0FDE" w:rsidRPr="0034279F">
        <w:t xml:space="preserve">telehealth </w:t>
      </w:r>
      <w:r w:rsidRPr="0034279F">
        <w:t>attendance items provided by GPs</w:t>
      </w:r>
      <w:r w:rsidR="00BC6056" w:rsidRPr="0034279F">
        <w:t xml:space="preserve"> (item</w:t>
      </w:r>
      <w:r w:rsidR="00733678">
        <w:t>s 91800, 91801 and 91802</w:t>
      </w:r>
      <w:r w:rsidR="00BC6056" w:rsidRPr="0034279F">
        <w:t>)</w:t>
      </w:r>
      <w:r w:rsidRPr="0034279F">
        <w:t xml:space="preserve"> and other doctors in general practice</w:t>
      </w:r>
      <w:r w:rsidR="000C0FDE" w:rsidRPr="0034279F">
        <w:t xml:space="preserve"> (items </w:t>
      </w:r>
      <w:r w:rsidR="00733678">
        <w:t>91803, 91804, 91805, 91806, 91807 and 91808</w:t>
      </w:r>
      <w:r w:rsidR="00E53E6F" w:rsidRPr="0034279F">
        <w:t>)</w:t>
      </w:r>
      <w:r w:rsidR="00BC6056" w:rsidRPr="0034279F">
        <w:t xml:space="preserve">. </w:t>
      </w:r>
    </w:p>
    <w:p w14:paraId="11ACA923" w14:textId="03BE222D" w:rsidR="000C0FDE" w:rsidRPr="00BF2B47" w:rsidRDefault="006C26E9" w:rsidP="000C0FDE">
      <w:pPr>
        <w:pStyle w:val="ListParagraph"/>
        <w:numPr>
          <w:ilvl w:val="0"/>
          <w:numId w:val="37"/>
        </w:numPr>
      </w:pPr>
      <w:r w:rsidRPr="0034279F">
        <w:t xml:space="preserve">New </w:t>
      </w:r>
      <w:r w:rsidR="000C0FDE" w:rsidRPr="0034279F">
        <w:t>phone attendance items by GPs (item</w:t>
      </w:r>
      <w:r w:rsidR="00733678">
        <w:t>s 91809, 91810 and 91811</w:t>
      </w:r>
      <w:r w:rsidR="000C0FDE" w:rsidRPr="0034279F">
        <w:t xml:space="preserve">) and other doctors in general practice (items </w:t>
      </w:r>
      <w:r w:rsidR="00733678">
        <w:t>91812, 91813, 91814, 91815, 91816 and 91817</w:t>
      </w:r>
      <w:r w:rsidR="000C0FDE" w:rsidRPr="0034279F">
        <w:t>). These services are to be provided by telephone.</w:t>
      </w:r>
      <w:r w:rsidR="007562A5" w:rsidRPr="0034279F">
        <w:t xml:space="preserve"> GPs and other doctors in general practice can only perform these services in instances where the attendance could not be performed by telehealth</w:t>
      </w:r>
      <w:r w:rsidR="007562A5" w:rsidRPr="00BF2B47">
        <w:t>.</w:t>
      </w:r>
    </w:p>
    <w:p w14:paraId="11EE10C3" w14:textId="6EE54437" w:rsidR="006F7CA0" w:rsidRPr="00A77E34" w:rsidRDefault="006F7CA0" w:rsidP="000A6766">
      <w:pPr>
        <w:pStyle w:val="ListParagraph"/>
        <w:numPr>
          <w:ilvl w:val="0"/>
          <w:numId w:val="37"/>
        </w:numPr>
      </w:pPr>
      <w:r w:rsidRPr="00A77E34">
        <w:t xml:space="preserve">New </w:t>
      </w:r>
      <w:r w:rsidR="006C26E9">
        <w:t xml:space="preserve">telehealth </w:t>
      </w:r>
      <w:r w:rsidRPr="00A77E34">
        <w:t>mental health treatment items provided by GPs</w:t>
      </w:r>
      <w:r w:rsidR="00BC6056" w:rsidRPr="00A77E34">
        <w:t xml:space="preserve"> (items </w:t>
      </w:r>
      <w:r w:rsidR="00733678">
        <w:t>91818 and 91819</w:t>
      </w:r>
      <w:r w:rsidR="00BC6056" w:rsidRPr="00A77E34">
        <w:t xml:space="preserve">), other doctors in general practice (items </w:t>
      </w:r>
      <w:r w:rsidR="00733678">
        <w:t>91820 and 91821</w:t>
      </w:r>
      <w:r w:rsidR="00BC6056" w:rsidRPr="00A77E34">
        <w:t xml:space="preserve">) </w:t>
      </w:r>
      <w:r w:rsidRPr="00A77E34">
        <w:t xml:space="preserve">and allied health providers with appropriate </w:t>
      </w:r>
      <w:r w:rsidR="000A6766" w:rsidRPr="00A77E34">
        <w:t xml:space="preserve">mental health training (items </w:t>
      </w:r>
      <w:r w:rsidR="00733678">
        <w:t>91166, 91167, 91169, 91170, 91172, 91173, 91175 and 91176</w:t>
      </w:r>
      <w:r w:rsidR="000A6766" w:rsidRPr="00A77E34">
        <w:t>).</w:t>
      </w:r>
      <w:r w:rsidR="000A6766" w:rsidRPr="00A77E34">
        <w:tab/>
      </w:r>
    </w:p>
    <w:p w14:paraId="4AE2B644" w14:textId="2758C7BA" w:rsidR="006F7CA0" w:rsidRPr="00A77E34" w:rsidRDefault="00A12014" w:rsidP="000A6766">
      <w:pPr>
        <w:pStyle w:val="ListParagraph"/>
        <w:numPr>
          <w:ilvl w:val="0"/>
          <w:numId w:val="37"/>
        </w:numPr>
      </w:pPr>
      <w:r>
        <w:t>New</w:t>
      </w:r>
      <w:r w:rsidR="006C26E9">
        <w:t xml:space="preserve"> telehealth </w:t>
      </w:r>
      <w:r w:rsidR="005513A9" w:rsidRPr="00A77E34">
        <w:t>attendance item</w:t>
      </w:r>
      <w:r>
        <w:t>s</w:t>
      </w:r>
      <w:r w:rsidR="005513A9" w:rsidRPr="00A77E34">
        <w:t xml:space="preserve"> provided by</w:t>
      </w:r>
      <w:r w:rsidR="006F7CA0" w:rsidRPr="00A77E34">
        <w:t xml:space="preserve"> nurse practitioner</w:t>
      </w:r>
      <w:r w:rsidR="005513A9" w:rsidRPr="00A77E34">
        <w:t>s</w:t>
      </w:r>
      <w:r w:rsidR="00BC6056" w:rsidRPr="00A77E34">
        <w:t xml:space="preserve"> (item </w:t>
      </w:r>
      <w:r w:rsidR="00733678">
        <w:t>91178</w:t>
      </w:r>
      <w:r>
        <w:t>, 91179 and 91180</w:t>
      </w:r>
      <w:r w:rsidR="00BC6056" w:rsidRPr="00A77E34">
        <w:t xml:space="preserve">). </w:t>
      </w:r>
    </w:p>
    <w:p w14:paraId="75768B0E" w14:textId="37AFF3DB" w:rsidR="006F7CA0" w:rsidRDefault="006F7CA0" w:rsidP="006F7CA0"/>
    <w:p w14:paraId="41544C3C" w14:textId="013D78BA" w:rsidR="006C26E9" w:rsidRPr="00D60E97" w:rsidRDefault="006C26E9" w:rsidP="006C26E9">
      <w:r>
        <w:t xml:space="preserve">The telehealth items are video conferencing services and require an audio and visual link. They can be delivered </w:t>
      </w:r>
      <w:r w:rsidRPr="000C0FDE">
        <w:t>through widely available video calling apps and software, such as Zoom, Skype or FaceTime.</w:t>
      </w:r>
      <w:r>
        <w:t xml:space="preserve"> The phone items can be provided by telephone and require an audio link only.</w:t>
      </w:r>
    </w:p>
    <w:p w14:paraId="1854246C" w14:textId="2094BF64" w:rsidR="006F7CA0" w:rsidRPr="00A77E34" w:rsidRDefault="006F7CA0" w:rsidP="006F7CA0">
      <w:r w:rsidRPr="00A77E34">
        <w:lastRenderedPageBreak/>
        <w:t xml:space="preserve">The new items will be available to patients at risk of COVID-19. A patient will be considered at risk of COVID-19 if they have been diagnosed with the disease (but not hospitalised for treatment) or are in isolation </w:t>
      </w:r>
      <w:r w:rsidR="00BC6056" w:rsidRPr="00A77E34">
        <w:t xml:space="preserve">for </w:t>
      </w:r>
      <w:r w:rsidR="00F219DA" w:rsidRPr="00A77E34">
        <w:t>possible</w:t>
      </w:r>
      <w:r w:rsidR="00BC6056" w:rsidRPr="00A77E34">
        <w:t xml:space="preserve"> COVID-19</w:t>
      </w:r>
      <w:r w:rsidR="00F219DA" w:rsidRPr="00A77E34">
        <w:t xml:space="preserve"> infection</w:t>
      </w:r>
      <w:r w:rsidR="00BC6056" w:rsidRPr="00A77E34">
        <w:t xml:space="preserve">. A person considered more susceptible to the COVID-19 virus is also </w:t>
      </w:r>
      <w:r w:rsidR="00F219DA" w:rsidRPr="00A77E34">
        <w:t xml:space="preserve">defined as </w:t>
      </w:r>
      <w:r w:rsidR="00BC6056" w:rsidRPr="00A77E34">
        <w:t>an at risk patient.</w:t>
      </w:r>
      <w:r w:rsidR="007562A5">
        <w:t xml:space="preserve"> </w:t>
      </w:r>
      <w:r w:rsidR="00BC6056" w:rsidRPr="00A77E34">
        <w:t>This includes:</w:t>
      </w:r>
    </w:p>
    <w:p w14:paraId="6F963B36" w14:textId="6970AAAE" w:rsidR="00BC6056" w:rsidRPr="00A77E34" w:rsidRDefault="00BF2B47" w:rsidP="00BC6056">
      <w:pPr>
        <w:pStyle w:val="ListParagraph"/>
        <w:numPr>
          <w:ilvl w:val="0"/>
          <w:numId w:val="39"/>
        </w:numPr>
      </w:pPr>
      <w:r>
        <w:t>p</w:t>
      </w:r>
      <w:r w:rsidR="00BC6056" w:rsidRPr="00A77E34">
        <w:t>atients 70 years of age or older;</w:t>
      </w:r>
    </w:p>
    <w:p w14:paraId="5EBE6DE6" w14:textId="2250D2DE" w:rsidR="00BC6056" w:rsidRPr="00A77E34" w:rsidRDefault="00BF2B47" w:rsidP="00BC6056">
      <w:pPr>
        <w:pStyle w:val="ListParagraph"/>
        <w:numPr>
          <w:ilvl w:val="0"/>
          <w:numId w:val="39"/>
        </w:numPr>
      </w:pPr>
      <w:r>
        <w:t>p</w:t>
      </w:r>
      <w:r w:rsidRPr="00A77E34">
        <w:t xml:space="preserve">atients </w:t>
      </w:r>
      <w:r w:rsidR="00BC6056" w:rsidRPr="00A77E34">
        <w:t>of Aboriginal or Torres Strait Islander descent who are 50 years of age or older;</w:t>
      </w:r>
    </w:p>
    <w:p w14:paraId="3BD04021" w14:textId="11B65994" w:rsidR="00BC6056" w:rsidRPr="00A77E34" w:rsidRDefault="00BF2B47" w:rsidP="00BC6056">
      <w:pPr>
        <w:pStyle w:val="ListParagraph"/>
        <w:numPr>
          <w:ilvl w:val="0"/>
          <w:numId w:val="39"/>
        </w:numPr>
      </w:pPr>
      <w:r>
        <w:t>p</w:t>
      </w:r>
      <w:r w:rsidRPr="00A77E34">
        <w:t xml:space="preserve">atients </w:t>
      </w:r>
      <w:r w:rsidR="00BC6056" w:rsidRPr="00A77E34">
        <w:t>who are pregnant;</w:t>
      </w:r>
    </w:p>
    <w:p w14:paraId="7643A61C" w14:textId="1B974ED2" w:rsidR="00BC6056" w:rsidRPr="00A77E34" w:rsidRDefault="00BF2B47" w:rsidP="00BC6056">
      <w:pPr>
        <w:pStyle w:val="ListParagraph"/>
        <w:numPr>
          <w:ilvl w:val="0"/>
          <w:numId w:val="39"/>
        </w:numPr>
      </w:pPr>
      <w:r>
        <w:t>p</w:t>
      </w:r>
      <w:r w:rsidRPr="00A77E34">
        <w:t xml:space="preserve">atients </w:t>
      </w:r>
      <w:r w:rsidR="00BC6056" w:rsidRPr="00A77E34">
        <w:t>who care for children under 12 months; and</w:t>
      </w:r>
    </w:p>
    <w:p w14:paraId="5593DCBB" w14:textId="16B78FC7" w:rsidR="00BC6056" w:rsidRPr="00A77E34" w:rsidRDefault="00BF2B47" w:rsidP="00BC6056">
      <w:pPr>
        <w:pStyle w:val="ListParagraph"/>
        <w:numPr>
          <w:ilvl w:val="0"/>
          <w:numId w:val="39"/>
        </w:numPr>
      </w:pPr>
      <w:proofErr w:type="gramStart"/>
      <w:r>
        <w:t>a</w:t>
      </w:r>
      <w:proofErr w:type="gramEnd"/>
      <w:r w:rsidRPr="00A77E34">
        <w:t xml:space="preserve"> </w:t>
      </w:r>
      <w:r w:rsidR="00BC6056" w:rsidRPr="00A77E34">
        <w:t>person receiving treatment for chronic health conditions or who is immune comprised.</w:t>
      </w:r>
    </w:p>
    <w:p w14:paraId="7A972C45" w14:textId="609582FE" w:rsidR="006F7CA0" w:rsidRDefault="006F7CA0" w:rsidP="006F7CA0"/>
    <w:p w14:paraId="28A4E04D" w14:textId="326E7A59" w:rsidR="00D60E97" w:rsidRPr="0034279F" w:rsidRDefault="00D759A7" w:rsidP="006F7CA0">
      <w:r>
        <w:t>All</w:t>
      </w:r>
      <w:r w:rsidR="000C0FDE" w:rsidRPr="0034279F">
        <w:t xml:space="preserve"> new items will also allow health professional</w:t>
      </w:r>
      <w:r w:rsidR="00D60E97" w:rsidRPr="0034279F">
        <w:t>s</w:t>
      </w:r>
      <w:r w:rsidR="000C0FDE" w:rsidRPr="0034279F">
        <w:t xml:space="preserve"> who </w:t>
      </w:r>
      <w:r w:rsidR="00D60E97" w:rsidRPr="0034279F">
        <w:t>are</w:t>
      </w:r>
      <w:r w:rsidR="000C0FDE" w:rsidRPr="0034279F">
        <w:t xml:space="preserve"> in isolation for possible COVID-19 infection to continue providing services </w:t>
      </w:r>
      <w:r w:rsidR="00D60E97" w:rsidRPr="0034279F">
        <w:t xml:space="preserve">remotely </w:t>
      </w:r>
      <w:r w:rsidR="000C0FDE" w:rsidRPr="0034279F">
        <w:t>to their patients</w:t>
      </w:r>
      <w:r w:rsidR="00D60E97" w:rsidRPr="0034279F">
        <w:t xml:space="preserve">. </w:t>
      </w:r>
    </w:p>
    <w:p w14:paraId="6881B74A" w14:textId="77777777" w:rsidR="00D60E97" w:rsidRPr="0034279F" w:rsidRDefault="00D60E97" w:rsidP="006F7CA0"/>
    <w:p w14:paraId="73238FF7" w14:textId="002A5146" w:rsidR="00D60E97" w:rsidRDefault="00D60E97" w:rsidP="006F7CA0">
      <w:r w:rsidRPr="0034279F">
        <w:t xml:space="preserve">GPs and other doctors working in isolation can continue to provide certain health services to their patients during the period of their isolation by </w:t>
      </w:r>
      <w:r w:rsidR="007254FE" w:rsidRPr="0034279F">
        <w:t>telehealth</w:t>
      </w:r>
      <w:r w:rsidRPr="0034279F">
        <w:t xml:space="preserve"> (items </w:t>
      </w:r>
      <w:r w:rsidR="00733678">
        <w:t>91800 to 91808</w:t>
      </w:r>
      <w:r w:rsidR="00A12014">
        <w:t xml:space="preserve"> and 91818 to 91821</w:t>
      </w:r>
      <w:r w:rsidRPr="0034279F">
        <w:t xml:space="preserve">) or telephone (items </w:t>
      </w:r>
      <w:r w:rsidR="00733678">
        <w:t>91809 to 91817</w:t>
      </w:r>
      <w:r w:rsidRPr="0034279F">
        <w:t>).</w:t>
      </w:r>
      <w:r>
        <w:t xml:space="preserve"> </w:t>
      </w:r>
    </w:p>
    <w:p w14:paraId="6BFB3F08" w14:textId="77777777" w:rsidR="00D60E97" w:rsidRDefault="00D60E97" w:rsidP="006F7CA0"/>
    <w:p w14:paraId="4B87BF56" w14:textId="7A31B01A" w:rsidR="00BC6056" w:rsidRPr="00A77E34" w:rsidRDefault="00D60E97" w:rsidP="006F7CA0">
      <w:r w:rsidRPr="00D60E97">
        <w:t xml:space="preserve">Allied health providers with appropriate mental health training </w:t>
      </w:r>
      <w:r>
        <w:t xml:space="preserve">can </w:t>
      </w:r>
      <w:r w:rsidRPr="00D60E97">
        <w:t>continue to provide certain health</w:t>
      </w:r>
      <w:r>
        <w:t xml:space="preserve"> </w:t>
      </w:r>
      <w:r w:rsidRPr="00D60E97">
        <w:t xml:space="preserve">certain health services to their patients during the period of their isolation by </w:t>
      </w:r>
      <w:r w:rsidR="007254FE">
        <w:t>telehealth</w:t>
      </w:r>
      <w:r w:rsidRPr="00D60E97">
        <w:t xml:space="preserve"> (items </w:t>
      </w:r>
      <w:r w:rsidR="00A12014">
        <w:t>91166 to 911</w:t>
      </w:r>
      <w:r w:rsidR="00D759A7">
        <w:t>7</w:t>
      </w:r>
      <w:r w:rsidR="00B0040D">
        <w:t>6</w:t>
      </w:r>
      <w:r w:rsidR="00A12014">
        <w:t>)</w:t>
      </w:r>
      <w:r w:rsidRPr="00D60E97">
        <w:t>.</w:t>
      </w:r>
      <w:r>
        <w:br/>
      </w:r>
    </w:p>
    <w:p w14:paraId="0527C8AE" w14:textId="6493E559" w:rsidR="00E04957" w:rsidRPr="00A77E34" w:rsidRDefault="000655B2" w:rsidP="00E04957">
      <w:r>
        <w:t>All</w:t>
      </w:r>
      <w:r w:rsidR="00BC6056" w:rsidRPr="00A77E34">
        <w:t xml:space="preserve"> new services can only be rendered if the treating practitioner chooses to accept the patient’s Medicare benefit as full payment for the service (otherwise known as ‘bulk-billing’).</w:t>
      </w:r>
      <w:r w:rsidR="00C57B9F" w:rsidRPr="00A77E34">
        <w:t xml:space="preserve"> This will mean there will be no out-of-pocket for patients.</w:t>
      </w:r>
    </w:p>
    <w:p w14:paraId="627EE61A" w14:textId="77777777" w:rsidR="00E04957" w:rsidRPr="00A77E34" w:rsidRDefault="00E04957" w:rsidP="00E04957"/>
    <w:p w14:paraId="2412D131" w14:textId="3C1DE8F5" w:rsidR="001865F8" w:rsidRPr="00A77E34" w:rsidRDefault="00A1739A" w:rsidP="00E04957">
      <w:r w:rsidRPr="00A77E34">
        <w:rPr>
          <w:b/>
        </w:rPr>
        <w:t>Consultation</w:t>
      </w:r>
    </w:p>
    <w:p w14:paraId="63E84635" w14:textId="77777777" w:rsidR="007727E6" w:rsidRPr="00A77E34" w:rsidRDefault="00E04957" w:rsidP="00E04957">
      <w:pPr>
        <w:shd w:val="clear" w:color="auto" w:fill="FFFFFF"/>
        <w:rPr>
          <w:szCs w:val="24"/>
        </w:rPr>
      </w:pPr>
      <w:r w:rsidRPr="00A77E34">
        <w:rPr>
          <w:szCs w:val="24"/>
        </w:rPr>
        <w:t xml:space="preserve">On 11 March 2020, the Prime Minister, the Hon. Scott Morrison MP, announced a comprehensive health package to protect all Australians, including vulnerable groups such as the elderly, those with chronic conditions and Indigenous communities, from </w:t>
      </w:r>
      <w:r w:rsidR="007727E6" w:rsidRPr="00A77E34">
        <w:rPr>
          <w:szCs w:val="24"/>
        </w:rPr>
        <w:t>COVID-19</w:t>
      </w:r>
      <w:r w:rsidRPr="00A77E34">
        <w:rPr>
          <w:szCs w:val="24"/>
        </w:rPr>
        <w:t xml:space="preserve">. </w:t>
      </w:r>
    </w:p>
    <w:p w14:paraId="6CEA390E" w14:textId="77777777" w:rsidR="007727E6" w:rsidRPr="00A77E34" w:rsidRDefault="007727E6" w:rsidP="00E04957">
      <w:pPr>
        <w:shd w:val="clear" w:color="auto" w:fill="FFFFFF"/>
        <w:rPr>
          <w:szCs w:val="24"/>
        </w:rPr>
      </w:pPr>
    </w:p>
    <w:p w14:paraId="2B0B0AB9" w14:textId="37507FA9" w:rsidR="00E04957" w:rsidRPr="00A77E34" w:rsidRDefault="00E04957" w:rsidP="00E04957">
      <w:pPr>
        <w:shd w:val="clear" w:color="auto" w:fill="FFFFFF"/>
        <w:rPr>
          <w:szCs w:val="24"/>
        </w:rPr>
      </w:pPr>
      <w:r w:rsidRPr="00A77E34">
        <w:rPr>
          <w:szCs w:val="24"/>
        </w:rPr>
        <w:t xml:space="preserve">Due to the short timeframe in drafting this legislative instrument to implement this phase of the health package, it was not reasonably practicable to undertake consultation with representatives of persons affected by the instrument considering the nature of the emergency. </w:t>
      </w:r>
    </w:p>
    <w:p w14:paraId="678C0095" w14:textId="77777777" w:rsidR="001D63A0" w:rsidRPr="00A77E34" w:rsidRDefault="001D63A0" w:rsidP="000337CB">
      <w:pPr>
        <w:rPr>
          <w:szCs w:val="24"/>
        </w:rPr>
      </w:pPr>
    </w:p>
    <w:p w14:paraId="2412D134" w14:textId="0E3A2437" w:rsidR="00967E51" w:rsidRPr="00A77E34" w:rsidRDefault="00A1739A" w:rsidP="000337CB">
      <w:pPr>
        <w:rPr>
          <w:szCs w:val="24"/>
        </w:rPr>
      </w:pPr>
      <w:r w:rsidRPr="00A77E34">
        <w:rPr>
          <w:szCs w:val="24"/>
        </w:rPr>
        <w:t xml:space="preserve">Details of the </w:t>
      </w:r>
      <w:r w:rsidR="00574E71" w:rsidRPr="00A77E34">
        <w:rPr>
          <w:szCs w:val="24"/>
        </w:rPr>
        <w:t>Determination</w:t>
      </w:r>
      <w:r w:rsidRPr="00A77E34">
        <w:rPr>
          <w:szCs w:val="24"/>
        </w:rPr>
        <w:t xml:space="preserve"> are set out in the </w:t>
      </w:r>
      <w:r w:rsidRPr="00A77E34">
        <w:rPr>
          <w:szCs w:val="24"/>
          <w:u w:val="single"/>
        </w:rPr>
        <w:t>Attachment</w:t>
      </w:r>
      <w:r w:rsidRPr="00A77E34">
        <w:rPr>
          <w:szCs w:val="24"/>
        </w:rPr>
        <w:t>.</w:t>
      </w:r>
    </w:p>
    <w:p w14:paraId="2412D135" w14:textId="3C4525D8" w:rsidR="006C138D" w:rsidRPr="00A77E34" w:rsidRDefault="00297AD0" w:rsidP="006C138D">
      <w:pPr>
        <w:tabs>
          <w:tab w:val="left" w:pos="567"/>
        </w:tabs>
        <w:spacing w:before="240"/>
        <w:rPr>
          <w:szCs w:val="24"/>
        </w:rPr>
      </w:pPr>
      <w:r w:rsidRPr="00A77E34">
        <w:rPr>
          <w:szCs w:val="24"/>
        </w:rPr>
        <w:t xml:space="preserve">The </w:t>
      </w:r>
      <w:r w:rsidR="00967E51" w:rsidRPr="00A77E34">
        <w:rPr>
          <w:szCs w:val="24"/>
        </w:rPr>
        <w:t>Determination</w:t>
      </w:r>
      <w:r w:rsidRPr="00A77E34">
        <w:rPr>
          <w:szCs w:val="24"/>
        </w:rPr>
        <w:t xml:space="preserve"> </w:t>
      </w:r>
      <w:r w:rsidR="007524B0" w:rsidRPr="00A77E34">
        <w:rPr>
          <w:szCs w:val="24"/>
        </w:rPr>
        <w:t xml:space="preserve">commences </w:t>
      </w:r>
      <w:r w:rsidR="00C63FDC" w:rsidRPr="00A77E34">
        <w:rPr>
          <w:szCs w:val="24"/>
        </w:rPr>
        <w:t xml:space="preserve">on </w:t>
      </w:r>
      <w:r w:rsidR="007727E6" w:rsidRPr="00A77E34">
        <w:rPr>
          <w:szCs w:val="24"/>
        </w:rPr>
        <w:t>13 March 2020</w:t>
      </w:r>
      <w:r w:rsidR="00BA1E6F">
        <w:rPr>
          <w:szCs w:val="24"/>
        </w:rPr>
        <w:t xml:space="preserve"> and ends on 30 September 2020</w:t>
      </w:r>
      <w:r w:rsidR="007727E6" w:rsidRPr="00A77E34">
        <w:rPr>
          <w:szCs w:val="24"/>
        </w:rPr>
        <w:t>.</w:t>
      </w:r>
    </w:p>
    <w:p w14:paraId="2412D136" w14:textId="77777777" w:rsidR="00236DF2" w:rsidRPr="00A77E34" w:rsidRDefault="00236DF2" w:rsidP="00574E71">
      <w:pPr>
        <w:rPr>
          <w:szCs w:val="24"/>
        </w:rPr>
      </w:pPr>
    </w:p>
    <w:p w14:paraId="2412D138" w14:textId="65B73875" w:rsidR="00574E71" w:rsidRPr="00A77E34" w:rsidRDefault="0002728B" w:rsidP="00DE07E4">
      <w:pPr>
        <w:spacing w:after="200" w:line="276" w:lineRule="auto"/>
        <w:rPr>
          <w:szCs w:val="24"/>
        </w:rPr>
      </w:pPr>
      <w:r w:rsidRPr="00A77E34">
        <w:rPr>
          <w:szCs w:val="24"/>
        </w:rPr>
        <w:t>T</w:t>
      </w:r>
      <w:r w:rsidR="00574E71" w:rsidRPr="00A77E34">
        <w:rPr>
          <w:szCs w:val="24"/>
        </w:rPr>
        <w:t xml:space="preserve">he Determination is </w:t>
      </w:r>
      <w:r w:rsidR="004417A2" w:rsidRPr="00A77E34">
        <w:rPr>
          <w:szCs w:val="24"/>
        </w:rPr>
        <w:t xml:space="preserve">a </w:t>
      </w:r>
      <w:r w:rsidR="00574E71" w:rsidRPr="00A77E34">
        <w:rPr>
          <w:szCs w:val="24"/>
        </w:rPr>
        <w:t xml:space="preserve">legislative instrument for the purposes of the </w:t>
      </w:r>
      <w:r w:rsidR="00574E71" w:rsidRPr="00A77E34">
        <w:rPr>
          <w:i/>
        </w:rPr>
        <w:t>Legislation Act 2003</w:t>
      </w:r>
      <w:r w:rsidR="00574E71" w:rsidRPr="00A77E34">
        <w:rPr>
          <w:szCs w:val="24"/>
        </w:rPr>
        <w:t>.</w:t>
      </w:r>
    </w:p>
    <w:p w14:paraId="2412D13A" w14:textId="13C4C631" w:rsidR="00A1739A" w:rsidRPr="00A77E34" w:rsidRDefault="00A1739A" w:rsidP="007727E6">
      <w:pPr>
        <w:ind w:left="6663" w:hanging="2835"/>
        <w:rPr>
          <w:szCs w:val="24"/>
        </w:rPr>
      </w:pPr>
      <w:r w:rsidRPr="00A77E34">
        <w:rPr>
          <w:szCs w:val="24"/>
          <w:u w:val="single"/>
        </w:rPr>
        <w:t>Authority</w:t>
      </w:r>
      <w:r w:rsidR="00967E51" w:rsidRPr="00A77E34">
        <w:rPr>
          <w:szCs w:val="24"/>
        </w:rPr>
        <w:t xml:space="preserve">: Subsection </w:t>
      </w:r>
      <w:proofErr w:type="gramStart"/>
      <w:r w:rsidRPr="00A77E34">
        <w:rPr>
          <w:szCs w:val="24"/>
        </w:rPr>
        <w:t>3</w:t>
      </w:r>
      <w:r w:rsidR="00967E51" w:rsidRPr="00A77E34">
        <w:rPr>
          <w:szCs w:val="24"/>
        </w:rPr>
        <w:t>C</w:t>
      </w:r>
      <w:r w:rsidRPr="00A77E34">
        <w:rPr>
          <w:szCs w:val="24"/>
        </w:rPr>
        <w:t>(</w:t>
      </w:r>
      <w:proofErr w:type="gramEnd"/>
      <w:r w:rsidRPr="00A77E34">
        <w:rPr>
          <w:szCs w:val="24"/>
        </w:rPr>
        <w:t xml:space="preserve">1) of the </w:t>
      </w:r>
    </w:p>
    <w:p w14:paraId="2412D13B" w14:textId="0596CD30" w:rsidR="00A1739A" w:rsidRPr="00A77E34" w:rsidRDefault="00A1739A" w:rsidP="000337CB">
      <w:pPr>
        <w:tabs>
          <w:tab w:val="left" w:pos="4820"/>
        </w:tabs>
        <w:rPr>
          <w:szCs w:val="24"/>
        </w:rPr>
        <w:sectPr w:rsidR="00A1739A" w:rsidRPr="00A77E34" w:rsidSect="00BC65BB">
          <w:headerReference w:type="default" r:id="rId11"/>
          <w:footerReference w:type="default" r:id="rId12"/>
          <w:pgSz w:w="11906" w:h="16838"/>
          <w:pgMar w:top="1440" w:right="1558" w:bottom="1135" w:left="1800" w:header="708" w:footer="708" w:gutter="0"/>
          <w:pgNumType w:start="1"/>
          <w:cols w:space="708"/>
          <w:docGrid w:linePitch="360"/>
        </w:sectPr>
      </w:pPr>
      <w:r w:rsidRPr="00A77E34">
        <w:rPr>
          <w:i/>
          <w:szCs w:val="24"/>
        </w:rPr>
        <w:tab/>
        <w:t>Health Insurance Act 1973</w:t>
      </w:r>
    </w:p>
    <w:p w14:paraId="2412D13D" w14:textId="77777777" w:rsidR="006D5816" w:rsidRPr="00A77E34" w:rsidRDefault="006D5816" w:rsidP="000337CB">
      <w:pPr>
        <w:pStyle w:val="BodyText"/>
        <w:jc w:val="right"/>
        <w:rPr>
          <w:szCs w:val="24"/>
        </w:rPr>
      </w:pPr>
      <w:r w:rsidRPr="00A77E34">
        <w:rPr>
          <w:szCs w:val="24"/>
        </w:rPr>
        <w:lastRenderedPageBreak/>
        <w:t>ATTACHMENT</w:t>
      </w:r>
    </w:p>
    <w:p w14:paraId="2412D13E" w14:textId="77777777" w:rsidR="006D5816" w:rsidRPr="00A77E34" w:rsidRDefault="006D5816" w:rsidP="000337CB">
      <w:pPr>
        <w:pStyle w:val="BodyText"/>
        <w:rPr>
          <w:szCs w:val="24"/>
          <w:u w:val="single"/>
        </w:rPr>
      </w:pPr>
    </w:p>
    <w:p w14:paraId="2BA1C59F" w14:textId="4CD2624B" w:rsidR="008D455F" w:rsidRPr="00A77E34" w:rsidRDefault="00A41364" w:rsidP="008D455F">
      <w:pPr>
        <w:pStyle w:val="BodyText"/>
        <w:rPr>
          <w:i/>
          <w:iCs/>
          <w:szCs w:val="24"/>
        </w:rPr>
      </w:pPr>
      <w:r w:rsidRPr="00A77E34">
        <w:rPr>
          <w:szCs w:val="24"/>
        </w:rPr>
        <w:t xml:space="preserve">Details of the </w:t>
      </w:r>
      <w:r w:rsidR="000C0FDE" w:rsidRPr="000C0FDE">
        <w:rPr>
          <w:i/>
          <w:iCs/>
          <w:szCs w:val="24"/>
        </w:rPr>
        <w:t>Health Insurance (Section 3C General Medical Services – GP and Allied Health COVID-19 Services) Determination 2020</w:t>
      </w:r>
    </w:p>
    <w:p w14:paraId="2EC51C59" w14:textId="0EC4B6B4" w:rsidR="001D63A0" w:rsidRPr="00A77E34" w:rsidRDefault="001D63A0" w:rsidP="00186752">
      <w:pPr>
        <w:pStyle w:val="BodyText"/>
        <w:rPr>
          <w:i/>
          <w:szCs w:val="24"/>
        </w:rPr>
      </w:pPr>
    </w:p>
    <w:p w14:paraId="2412D141" w14:textId="7C34D5F4" w:rsidR="00FE02C2" w:rsidRPr="00A77E34" w:rsidRDefault="001B0111" w:rsidP="000337CB">
      <w:pPr>
        <w:pStyle w:val="BodyText"/>
        <w:rPr>
          <w:b w:val="0"/>
          <w:szCs w:val="24"/>
          <w:u w:val="single"/>
        </w:rPr>
      </w:pPr>
      <w:r w:rsidRPr="00A77E34">
        <w:rPr>
          <w:b w:val="0"/>
          <w:szCs w:val="24"/>
          <w:u w:val="single"/>
        </w:rPr>
        <w:t>Section 1 – Name</w:t>
      </w:r>
    </w:p>
    <w:p w14:paraId="2412D142" w14:textId="77777777" w:rsidR="00FE02C2" w:rsidRPr="00A77E34" w:rsidRDefault="00FE02C2" w:rsidP="000337CB">
      <w:pPr>
        <w:pStyle w:val="BodyText"/>
        <w:rPr>
          <w:b w:val="0"/>
          <w:szCs w:val="24"/>
          <w:u w:val="single"/>
        </w:rPr>
      </w:pPr>
    </w:p>
    <w:p w14:paraId="3C9D0232" w14:textId="0508D87B" w:rsidR="008D455F" w:rsidRPr="000C0FDE" w:rsidRDefault="00BC7397" w:rsidP="008D455F">
      <w:pPr>
        <w:pStyle w:val="BodyText"/>
        <w:rPr>
          <w:iCs/>
          <w:szCs w:val="24"/>
        </w:rPr>
      </w:pPr>
      <w:r w:rsidRPr="00A77E34">
        <w:rPr>
          <w:b w:val="0"/>
          <w:szCs w:val="24"/>
        </w:rPr>
        <w:t>S</w:t>
      </w:r>
      <w:r w:rsidR="00FE02C2" w:rsidRPr="00A77E34">
        <w:rPr>
          <w:b w:val="0"/>
          <w:szCs w:val="24"/>
        </w:rPr>
        <w:t xml:space="preserve">ection </w:t>
      </w:r>
      <w:r w:rsidRPr="00A77E34">
        <w:rPr>
          <w:b w:val="0"/>
          <w:szCs w:val="24"/>
        </w:rPr>
        <w:t xml:space="preserve">1 </w:t>
      </w:r>
      <w:r w:rsidR="00FE02C2" w:rsidRPr="00A77E34">
        <w:rPr>
          <w:b w:val="0"/>
          <w:szCs w:val="24"/>
        </w:rPr>
        <w:t>provides</w:t>
      </w:r>
      <w:r w:rsidR="008B683E" w:rsidRPr="00A77E34">
        <w:rPr>
          <w:b w:val="0"/>
          <w:szCs w:val="24"/>
        </w:rPr>
        <w:t xml:space="preserve"> for the </w:t>
      </w:r>
      <w:r w:rsidR="008B2094" w:rsidRPr="00A77E34">
        <w:rPr>
          <w:b w:val="0"/>
          <w:szCs w:val="24"/>
        </w:rPr>
        <w:t>Determination</w:t>
      </w:r>
      <w:r w:rsidR="00FE02C2" w:rsidRPr="00A77E34">
        <w:rPr>
          <w:b w:val="0"/>
          <w:szCs w:val="24"/>
        </w:rPr>
        <w:t xml:space="preserve"> to be referred to as the</w:t>
      </w:r>
      <w:r w:rsidR="005A7D9C" w:rsidRPr="00A77E34">
        <w:rPr>
          <w:b w:val="0"/>
          <w:szCs w:val="24"/>
        </w:rPr>
        <w:t xml:space="preserve"> </w:t>
      </w:r>
      <w:r w:rsidR="000C0FDE" w:rsidRPr="000C0FDE">
        <w:rPr>
          <w:b w:val="0"/>
          <w:i/>
          <w:iCs/>
          <w:szCs w:val="24"/>
        </w:rPr>
        <w:t>Health Insurance (Section 3C General Medical Services – GP and Allied Health COVID-19 Services) Determination 2020</w:t>
      </w:r>
      <w:r w:rsidR="000C0FDE">
        <w:rPr>
          <w:b w:val="0"/>
          <w:iCs/>
          <w:szCs w:val="24"/>
        </w:rPr>
        <w:t>.</w:t>
      </w:r>
    </w:p>
    <w:p w14:paraId="2412D144" w14:textId="5C22C2EE" w:rsidR="00F83B6F" w:rsidRPr="00A77E34" w:rsidRDefault="00F83B6F" w:rsidP="00C67BC7">
      <w:pPr>
        <w:pStyle w:val="BodyText"/>
        <w:rPr>
          <w:b w:val="0"/>
          <w:szCs w:val="24"/>
        </w:rPr>
      </w:pPr>
    </w:p>
    <w:p w14:paraId="49D1E050" w14:textId="77777777" w:rsidR="007A4089" w:rsidRPr="00A77E34" w:rsidRDefault="00FE02C2" w:rsidP="000337CB">
      <w:pPr>
        <w:pStyle w:val="BodyText"/>
        <w:rPr>
          <w:b w:val="0"/>
          <w:szCs w:val="24"/>
          <w:u w:val="single"/>
        </w:rPr>
      </w:pPr>
      <w:r w:rsidRPr="00A77E34">
        <w:rPr>
          <w:b w:val="0"/>
          <w:szCs w:val="24"/>
          <w:u w:val="single"/>
        </w:rPr>
        <w:t xml:space="preserve">Section 2 – Commencement </w:t>
      </w:r>
    </w:p>
    <w:p w14:paraId="2DCE2ED0" w14:textId="77777777" w:rsidR="007A4089" w:rsidRPr="00A77E34" w:rsidRDefault="007A4089" w:rsidP="000337CB">
      <w:pPr>
        <w:pStyle w:val="BodyText"/>
        <w:rPr>
          <w:b w:val="0"/>
          <w:szCs w:val="24"/>
          <w:u w:val="single"/>
        </w:rPr>
      </w:pPr>
    </w:p>
    <w:p w14:paraId="2412D148" w14:textId="3147B64C" w:rsidR="00510A4F" w:rsidRPr="00A77E34" w:rsidRDefault="00510A4F" w:rsidP="000337CB">
      <w:pPr>
        <w:pStyle w:val="BodyText"/>
        <w:rPr>
          <w:b w:val="0"/>
          <w:szCs w:val="24"/>
        </w:rPr>
      </w:pPr>
      <w:r w:rsidRPr="00A77E34">
        <w:rPr>
          <w:b w:val="0"/>
          <w:szCs w:val="24"/>
        </w:rPr>
        <w:t xml:space="preserve">Section 2 </w:t>
      </w:r>
      <w:r w:rsidR="00404F11" w:rsidRPr="00A77E34">
        <w:rPr>
          <w:b w:val="0"/>
          <w:szCs w:val="24"/>
        </w:rPr>
        <w:t xml:space="preserve">provides that the </w:t>
      </w:r>
      <w:r w:rsidR="008B2094" w:rsidRPr="00A77E34">
        <w:rPr>
          <w:b w:val="0"/>
          <w:szCs w:val="24"/>
        </w:rPr>
        <w:t xml:space="preserve">Determination </w:t>
      </w:r>
      <w:r w:rsidR="00404F11" w:rsidRPr="00A77E34">
        <w:rPr>
          <w:b w:val="0"/>
          <w:szCs w:val="24"/>
        </w:rPr>
        <w:t xml:space="preserve">commences </w:t>
      </w:r>
      <w:r w:rsidR="00C63FDC" w:rsidRPr="00A77E34">
        <w:rPr>
          <w:b w:val="0"/>
          <w:szCs w:val="24"/>
        </w:rPr>
        <w:t>on</w:t>
      </w:r>
      <w:r w:rsidR="005A7D9C" w:rsidRPr="00A77E34">
        <w:rPr>
          <w:b w:val="0"/>
          <w:szCs w:val="24"/>
        </w:rPr>
        <w:t xml:space="preserve"> </w:t>
      </w:r>
      <w:r w:rsidR="005945E4" w:rsidRPr="00A77E34">
        <w:rPr>
          <w:b w:val="0"/>
          <w:szCs w:val="24"/>
        </w:rPr>
        <w:t>13 March 2020.</w:t>
      </w:r>
    </w:p>
    <w:p w14:paraId="16C03200" w14:textId="77777777" w:rsidR="007E0017" w:rsidRPr="00A77E34" w:rsidRDefault="007E0017" w:rsidP="000337CB">
      <w:pPr>
        <w:pStyle w:val="BodyText"/>
        <w:rPr>
          <w:b w:val="0"/>
          <w:szCs w:val="24"/>
        </w:rPr>
      </w:pPr>
    </w:p>
    <w:p w14:paraId="42D8087E" w14:textId="1CF5B955" w:rsidR="005945E4" w:rsidRPr="00A77E34" w:rsidRDefault="005945E4" w:rsidP="005945E4">
      <w:pPr>
        <w:pStyle w:val="BodyText"/>
        <w:rPr>
          <w:b w:val="0"/>
          <w:szCs w:val="24"/>
          <w:u w:val="single"/>
        </w:rPr>
      </w:pPr>
      <w:r w:rsidRPr="00A77E34">
        <w:rPr>
          <w:b w:val="0"/>
          <w:szCs w:val="24"/>
          <w:u w:val="single"/>
        </w:rPr>
        <w:t>Section 3 – Cessation</w:t>
      </w:r>
    </w:p>
    <w:p w14:paraId="74CAAAF4" w14:textId="77777777" w:rsidR="005945E4" w:rsidRPr="00A77E34" w:rsidRDefault="005945E4" w:rsidP="005945E4">
      <w:pPr>
        <w:pStyle w:val="BodyText"/>
        <w:rPr>
          <w:b w:val="0"/>
          <w:szCs w:val="24"/>
          <w:u w:val="single"/>
        </w:rPr>
      </w:pPr>
    </w:p>
    <w:p w14:paraId="587FFA2D" w14:textId="77777777" w:rsidR="005945E4" w:rsidRPr="00A77E34" w:rsidRDefault="005945E4" w:rsidP="005945E4">
      <w:pPr>
        <w:pStyle w:val="BodyText"/>
        <w:rPr>
          <w:b w:val="0"/>
        </w:rPr>
      </w:pPr>
      <w:r w:rsidRPr="00A77E34">
        <w:rPr>
          <w:b w:val="0"/>
        </w:rPr>
        <w:t>Section 3 provides that the Determination will cease on 30 September 2020, unless earlier revoked.</w:t>
      </w:r>
    </w:p>
    <w:p w14:paraId="1235CADA" w14:textId="77777777" w:rsidR="005945E4" w:rsidRPr="00A77E34" w:rsidRDefault="005945E4" w:rsidP="000337CB">
      <w:pPr>
        <w:pStyle w:val="BodyText"/>
        <w:rPr>
          <w:b w:val="0"/>
          <w:szCs w:val="24"/>
          <w:u w:val="single"/>
        </w:rPr>
      </w:pPr>
    </w:p>
    <w:p w14:paraId="35EEB8EE" w14:textId="77777777" w:rsidR="005945E4" w:rsidRPr="00A77E34" w:rsidRDefault="005945E4" w:rsidP="005945E4">
      <w:pPr>
        <w:pStyle w:val="BodyText"/>
        <w:rPr>
          <w:b w:val="0"/>
          <w:szCs w:val="24"/>
          <w:u w:val="single"/>
        </w:rPr>
      </w:pPr>
      <w:r w:rsidRPr="00A77E34">
        <w:rPr>
          <w:b w:val="0"/>
          <w:szCs w:val="24"/>
          <w:u w:val="single"/>
        </w:rPr>
        <w:t>Section 4 – Authority</w:t>
      </w:r>
    </w:p>
    <w:p w14:paraId="2239503D" w14:textId="77777777" w:rsidR="005945E4" w:rsidRPr="00A77E34" w:rsidRDefault="005945E4" w:rsidP="005945E4">
      <w:pPr>
        <w:pStyle w:val="BodyText"/>
        <w:rPr>
          <w:b w:val="0"/>
          <w:szCs w:val="24"/>
          <w:u w:val="single"/>
        </w:rPr>
      </w:pPr>
    </w:p>
    <w:p w14:paraId="0BC7FC78" w14:textId="3F175FD6" w:rsidR="005945E4" w:rsidRPr="00A77E34" w:rsidRDefault="00F6350E" w:rsidP="005945E4">
      <w:pPr>
        <w:pStyle w:val="BodyText"/>
        <w:rPr>
          <w:b w:val="0"/>
        </w:rPr>
      </w:pPr>
      <w:r>
        <w:rPr>
          <w:b w:val="0"/>
        </w:rPr>
        <w:t>Section 4</w:t>
      </w:r>
      <w:r w:rsidR="005945E4" w:rsidRPr="00A77E34">
        <w:rPr>
          <w:b w:val="0"/>
        </w:rPr>
        <w:t xml:space="preserve"> provides that the </w:t>
      </w:r>
      <w:r w:rsidR="005945E4" w:rsidRPr="00A77E34">
        <w:rPr>
          <w:b w:val="0"/>
          <w:szCs w:val="24"/>
        </w:rPr>
        <w:t xml:space="preserve">Determination </w:t>
      </w:r>
      <w:r w:rsidR="005945E4" w:rsidRPr="00A77E34">
        <w:rPr>
          <w:b w:val="0"/>
        </w:rPr>
        <w:t xml:space="preserve">is made under subsection </w:t>
      </w:r>
      <w:proofErr w:type="gramStart"/>
      <w:r w:rsidR="005945E4" w:rsidRPr="00A77E34">
        <w:rPr>
          <w:b w:val="0"/>
        </w:rPr>
        <w:t>3C(</w:t>
      </w:r>
      <w:proofErr w:type="gramEnd"/>
      <w:r w:rsidR="005945E4" w:rsidRPr="00A77E34">
        <w:rPr>
          <w:b w:val="0"/>
        </w:rPr>
        <w:t xml:space="preserve">1) of the </w:t>
      </w:r>
      <w:r w:rsidR="005945E4" w:rsidRPr="00A77E34">
        <w:rPr>
          <w:b w:val="0"/>
          <w:i/>
        </w:rPr>
        <w:t>Health Insurance Act 1973</w:t>
      </w:r>
      <w:r w:rsidR="005945E4" w:rsidRPr="00A77E34">
        <w:rPr>
          <w:b w:val="0"/>
        </w:rPr>
        <w:t>.</w:t>
      </w:r>
    </w:p>
    <w:p w14:paraId="122D45F0" w14:textId="77777777" w:rsidR="005945E4" w:rsidRPr="00A77E34" w:rsidRDefault="005945E4" w:rsidP="005945E4">
      <w:pPr>
        <w:pStyle w:val="BodyText"/>
        <w:rPr>
          <w:b w:val="0"/>
        </w:rPr>
      </w:pPr>
    </w:p>
    <w:p w14:paraId="6DE0C075" w14:textId="77777777" w:rsidR="005945E4" w:rsidRPr="00A77E34" w:rsidRDefault="005945E4" w:rsidP="005945E4">
      <w:pPr>
        <w:pStyle w:val="BodyText"/>
        <w:rPr>
          <w:b w:val="0"/>
          <w:szCs w:val="24"/>
          <w:u w:val="single"/>
        </w:rPr>
      </w:pPr>
      <w:r w:rsidRPr="00A77E34">
        <w:rPr>
          <w:b w:val="0"/>
          <w:szCs w:val="24"/>
          <w:u w:val="single"/>
        </w:rPr>
        <w:t>Section 5 – Definitions</w:t>
      </w:r>
    </w:p>
    <w:p w14:paraId="62443227" w14:textId="77777777" w:rsidR="005945E4" w:rsidRPr="00A77E34" w:rsidRDefault="005945E4" w:rsidP="005945E4">
      <w:pPr>
        <w:pStyle w:val="BodyText"/>
        <w:rPr>
          <w:b w:val="0"/>
          <w:szCs w:val="24"/>
          <w:u w:val="single"/>
        </w:rPr>
      </w:pPr>
    </w:p>
    <w:p w14:paraId="6D44E080" w14:textId="716E87EC" w:rsidR="005945E4" w:rsidRPr="00A77E34" w:rsidRDefault="005945E4" w:rsidP="005945E4">
      <w:pPr>
        <w:pStyle w:val="BodyText"/>
        <w:rPr>
          <w:b w:val="0"/>
          <w:szCs w:val="24"/>
        </w:rPr>
      </w:pPr>
      <w:r w:rsidRPr="00A77E34">
        <w:rPr>
          <w:b w:val="0"/>
          <w:szCs w:val="24"/>
        </w:rPr>
        <w:t xml:space="preserve">Section 5 defines terms used in the Determination. </w:t>
      </w:r>
    </w:p>
    <w:p w14:paraId="19E420BE" w14:textId="77777777" w:rsidR="00AE2A1A" w:rsidRPr="00A77E34" w:rsidRDefault="00AE2A1A" w:rsidP="00AE2A1A">
      <w:pPr>
        <w:pStyle w:val="BodyText"/>
        <w:shd w:val="clear" w:color="auto" w:fill="FFFFFF"/>
        <w:rPr>
          <w:b w:val="0"/>
          <w:szCs w:val="24"/>
        </w:rPr>
      </w:pPr>
      <w:r w:rsidRPr="00A77E34">
        <w:rPr>
          <w:b w:val="0"/>
          <w:szCs w:val="24"/>
        </w:rPr>
        <w:t> </w:t>
      </w:r>
    </w:p>
    <w:p w14:paraId="4059F95E" w14:textId="77777777" w:rsidR="005945E4" w:rsidRPr="00A77E34" w:rsidRDefault="005945E4" w:rsidP="005945E4">
      <w:pPr>
        <w:pStyle w:val="BodyText"/>
        <w:rPr>
          <w:b w:val="0"/>
          <w:szCs w:val="24"/>
          <w:u w:val="single"/>
        </w:rPr>
      </w:pPr>
      <w:r w:rsidRPr="00A77E34">
        <w:rPr>
          <w:b w:val="0"/>
          <w:szCs w:val="24"/>
          <w:u w:val="single"/>
        </w:rPr>
        <w:t>Section 6 – Treatment of relevant services</w:t>
      </w:r>
    </w:p>
    <w:p w14:paraId="56C0735F" w14:textId="77777777" w:rsidR="005945E4" w:rsidRPr="00A77E34" w:rsidRDefault="005945E4" w:rsidP="005945E4">
      <w:pPr>
        <w:pStyle w:val="BodyText"/>
        <w:shd w:val="clear" w:color="auto" w:fill="FFFFFF"/>
        <w:rPr>
          <w:b w:val="0"/>
          <w:szCs w:val="24"/>
        </w:rPr>
      </w:pPr>
      <w:r w:rsidRPr="00A77E34">
        <w:rPr>
          <w:b w:val="0"/>
          <w:szCs w:val="24"/>
        </w:rPr>
        <w:t> </w:t>
      </w:r>
    </w:p>
    <w:p w14:paraId="3016F6C1" w14:textId="591F8943" w:rsidR="005945E4" w:rsidRPr="00A77E34" w:rsidRDefault="005945E4" w:rsidP="005945E4">
      <w:pPr>
        <w:pStyle w:val="BodyText"/>
        <w:shd w:val="clear" w:color="auto" w:fill="FFFFFF"/>
        <w:rPr>
          <w:b w:val="0"/>
          <w:szCs w:val="24"/>
        </w:rPr>
      </w:pPr>
      <w:r w:rsidRPr="00A77E34">
        <w:rPr>
          <w:b w:val="0"/>
          <w:szCs w:val="24"/>
        </w:rPr>
        <w:t xml:space="preserve">Section 6 provides that a clinically relevant service provided in accordance with the Determination shall be treated, for relevant provisions of the </w:t>
      </w:r>
      <w:r w:rsidRPr="00A77E34">
        <w:rPr>
          <w:b w:val="0"/>
          <w:i/>
          <w:iCs/>
          <w:szCs w:val="24"/>
        </w:rPr>
        <w:t>Health Insurance Act 1973</w:t>
      </w:r>
      <w:r w:rsidRPr="00A77E34">
        <w:rPr>
          <w:b w:val="0"/>
          <w:szCs w:val="24"/>
        </w:rPr>
        <w:t xml:space="preserve"> and </w:t>
      </w:r>
      <w:r w:rsidRPr="00A77E34">
        <w:rPr>
          <w:b w:val="0"/>
          <w:i/>
          <w:iCs/>
          <w:szCs w:val="24"/>
        </w:rPr>
        <w:t>National Health Act 1953</w:t>
      </w:r>
      <w:r w:rsidRPr="00A77E34">
        <w:rPr>
          <w:b w:val="0"/>
          <w:szCs w:val="24"/>
        </w:rPr>
        <w:t xml:space="preserve">, and regulations made under those Acts, as if it were both a professional service and a medical service and as if there were an item specified in the </w:t>
      </w:r>
      <w:r w:rsidR="002F12F7" w:rsidRPr="00A77E34">
        <w:rPr>
          <w:b w:val="0"/>
          <w:szCs w:val="24"/>
        </w:rPr>
        <w:t>Table</w:t>
      </w:r>
      <w:r w:rsidRPr="00A77E34">
        <w:rPr>
          <w:b w:val="0"/>
          <w:szCs w:val="24"/>
        </w:rPr>
        <w:t xml:space="preserve"> for the service. </w:t>
      </w:r>
    </w:p>
    <w:p w14:paraId="7FBFA765" w14:textId="77777777" w:rsidR="00CA7C5C" w:rsidRPr="00A77E34" w:rsidRDefault="00CA7C5C" w:rsidP="00C63FDC">
      <w:pPr>
        <w:pStyle w:val="Header"/>
        <w:tabs>
          <w:tab w:val="num" w:pos="1080"/>
        </w:tabs>
        <w:rPr>
          <w:szCs w:val="24"/>
          <w:u w:val="single"/>
        </w:rPr>
      </w:pPr>
    </w:p>
    <w:p w14:paraId="768D340E" w14:textId="57ED235C" w:rsidR="00C63FDC" w:rsidRPr="00A77E34" w:rsidRDefault="00014737" w:rsidP="00C63FDC">
      <w:pPr>
        <w:pStyle w:val="Header"/>
        <w:tabs>
          <w:tab w:val="num" w:pos="1080"/>
        </w:tabs>
        <w:rPr>
          <w:szCs w:val="24"/>
          <w:u w:val="single"/>
        </w:rPr>
      </w:pPr>
      <w:r w:rsidRPr="00A77E34">
        <w:rPr>
          <w:szCs w:val="24"/>
          <w:u w:val="single"/>
        </w:rPr>
        <w:t xml:space="preserve">Schedule </w:t>
      </w:r>
      <w:r w:rsidR="00C17C1A" w:rsidRPr="00A77E34">
        <w:rPr>
          <w:szCs w:val="24"/>
          <w:u w:val="single"/>
        </w:rPr>
        <w:t xml:space="preserve">1 </w:t>
      </w:r>
      <w:r w:rsidRPr="00A77E34">
        <w:rPr>
          <w:szCs w:val="24"/>
          <w:u w:val="single"/>
        </w:rPr>
        <w:t>–</w:t>
      </w:r>
      <w:r w:rsidR="004E28FB">
        <w:rPr>
          <w:szCs w:val="24"/>
          <w:u w:val="single"/>
        </w:rPr>
        <w:t xml:space="preserve"> R</w:t>
      </w:r>
      <w:r w:rsidRPr="00A77E34">
        <w:rPr>
          <w:szCs w:val="24"/>
          <w:u w:val="single"/>
        </w:rPr>
        <w:t>elevant</w:t>
      </w:r>
      <w:r w:rsidR="00517CF3" w:rsidRPr="00A77E34">
        <w:rPr>
          <w:szCs w:val="24"/>
          <w:u w:val="single"/>
        </w:rPr>
        <w:t xml:space="preserve"> services</w:t>
      </w:r>
    </w:p>
    <w:p w14:paraId="2212E577" w14:textId="2DD8E776" w:rsidR="00C63FDC" w:rsidRPr="00A77E34" w:rsidRDefault="00C63FDC" w:rsidP="00C63FDC">
      <w:pPr>
        <w:pStyle w:val="Header"/>
        <w:tabs>
          <w:tab w:val="num" w:pos="1080"/>
        </w:tabs>
        <w:rPr>
          <w:szCs w:val="24"/>
          <w:u w:val="single"/>
        </w:rPr>
      </w:pPr>
    </w:p>
    <w:p w14:paraId="4482DEC7" w14:textId="0798BB70" w:rsidR="003B5AE2" w:rsidRPr="00A77E34" w:rsidRDefault="005945E4" w:rsidP="005945E4">
      <w:pPr>
        <w:ind w:right="84"/>
      </w:pPr>
      <w:r w:rsidRPr="00A77E34">
        <w:t xml:space="preserve">Schedule 1 lists the new </w:t>
      </w:r>
      <w:r w:rsidR="00144F33">
        <w:t>telehealth and phone</w:t>
      </w:r>
      <w:r w:rsidRPr="00A77E34">
        <w:t xml:space="preserve"> consultation services provided by GPs, other doctors in general practice, nurse</w:t>
      </w:r>
      <w:r w:rsidR="00F45B16" w:rsidRPr="00A77E34">
        <w:t xml:space="preserve"> practitioner</w:t>
      </w:r>
      <w:r w:rsidRPr="00A77E34">
        <w:t>s and mental health allied health workers.</w:t>
      </w:r>
      <w:r w:rsidR="00D06699" w:rsidRPr="00A77E34">
        <w:t xml:space="preserve"> </w:t>
      </w:r>
      <w:r w:rsidR="003B5AE2" w:rsidRPr="00A77E34">
        <w:t xml:space="preserve">The services can only be performed if the service is “bulk-billed”, as defined in section 4, and must not be performed for admitted </w:t>
      </w:r>
      <w:r w:rsidR="00807E80" w:rsidRPr="00A77E34">
        <w:t xml:space="preserve">hospital </w:t>
      </w:r>
      <w:r w:rsidR="003B5AE2" w:rsidRPr="00A77E34">
        <w:t>patients.</w:t>
      </w:r>
    </w:p>
    <w:p w14:paraId="54420BF2" w14:textId="3566F341" w:rsidR="005945E4" w:rsidRPr="00A77E34" w:rsidRDefault="005945E4" w:rsidP="005945E4">
      <w:pPr>
        <w:ind w:right="84"/>
      </w:pPr>
    </w:p>
    <w:p w14:paraId="498EDD07" w14:textId="4561939F" w:rsidR="003B5AE2" w:rsidRPr="00A77E34" w:rsidRDefault="003B5AE2" w:rsidP="003B5AE2">
      <w:pPr>
        <w:pStyle w:val="ListParagraph"/>
        <w:numPr>
          <w:ilvl w:val="0"/>
          <w:numId w:val="40"/>
        </w:numPr>
        <w:ind w:right="84"/>
      </w:pPr>
      <w:r w:rsidRPr="00A77E34">
        <w:rPr>
          <w:iCs/>
        </w:rPr>
        <w:t>Division 1.1</w:t>
      </w:r>
    </w:p>
    <w:p w14:paraId="3D75094C" w14:textId="77777777" w:rsidR="003B5AE2" w:rsidRPr="00A77E34" w:rsidRDefault="003B5AE2" w:rsidP="005945E4">
      <w:pPr>
        <w:ind w:right="84"/>
      </w:pPr>
    </w:p>
    <w:p w14:paraId="7603943B" w14:textId="5F3DCED4" w:rsidR="005A33FA" w:rsidRPr="00A77E34" w:rsidRDefault="005A33FA" w:rsidP="005945E4">
      <w:pPr>
        <w:ind w:right="84"/>
        <w:rPr>
          <w:iCs/>
        </w:rPr>
      </w:pPr>
      <w:r w:rsidRPr="00A77E34">
        <w:t xml:space="preserve">Division 1.1 </w:t>
      </w:r>
      <w:r w:rsidRPr="00A77E34">
        <w:rPr>
          <w:iCs/>
        </w:rPr>
        <w:t xml:space="preserve">of the Determination </w:t>
      </w:r>
      <w:r w:rsidRPr="0034279F">
        <w:rPr>
          <w:iCs/>
        </w:rPr>
        <w:t xml:space="preserve">lists </w:t>
      </w:r>
      <w:r w:rsidR="00A12014" w:rsidRPr="0034279F">
        <w:rPr>
          <w:iCs/>
        </w:rPr>
        <w:t>22</w:t>
      </w:r>
      <w:r w:rsidR="00BF2B47" w:rsidRPr="0034279F">
        <w:rPr>
          <w:iCs/>
        </w:rPr>
        <w:t xml:space="preserve"> </w:t>
      </w:r>
      <w:r w:rsidRPr="0034279F">
        <w:rPr>
          <w:iCs/>
        </w:rPr>
        <w:t xml:space="preserve">new professional attendance items that </w:t>
      </w:r>
      <w:r w:rsidR="003F1BF5" w:rsidRPr="0034279F">
        <w:rPr>
          <w:iCs/>
        </w:rPr>
        <w:t>can</w:t>
      </w:r>
      <w:r w:rsidRPr="0034279F">
        <w:rPr>
          <w:iCs/>
        </w:rPr>
        <w:t xml:space="preserve"> be provided by a </w:t>
      </w:r>
      <w:r w:rsidRPr="0034279F">
        <w:t>GP or another medical practitioner in general practice</w:t>
      </w:r>
      <w:r w:rsidR="00DF232E" w:rsidRPr="0034279F">
        <w:t>.</w:t>
      </w:r>
      <w:r w:rsidRPr="00A77E34">
        <w:t xml:space="preserve"> </w:t>
      </w:r>
    </w:p>
    <w:p w14:paraId="0E6DE454" w14:textId="77777777" w:rsidR="005A33FA" w:rsidRPr="00A77E34" w:rsidRDefault="005A33FA" w:rsidP="005945E4">
      <w:pPr>
        <w:ind w:right="84"/>
        <w:rPr>
          <w:iCs/>
        </w:rPr>
      </w:pPr>
    </w:p>
    <w:p w14:paraId="2E6DFFB8" w14:textId="1CACD54C" w:rsidR="00D60E97" w:rsidRPr="0034279F" w:rsidRDefault="00D60E97" w:rsidP="00D60E97">
      <w:pPr>
        <w:rPr>
          <w:iCs/>
        </w:rPr>
      </w:pPr>
      <w:r w:rsidRPr="0034279F">
        <w:t xml:space="preserve">Items in subgroup 1 of Division 1.1 provide </w:t>
      </w:r>
      <w:r w:rsidRPr="0034279F">
        <w:rPr>
          <w:iCs/>
        </w:rPr>
        <w:t xml:space="preserve">general practice </w:t>
      </w:r>
      <w:r w:rsidR="00C50D20" w:rsidRPr="0034279F">
        <w:rPr>
          <w:iCs/>
        </w:rPr>
        <w:t>telehealth</w:t>
      </w:r>
      <w:r w:rsidRPr="0034279F">
        <w:rPr>
          <w:iCs/>
        </w:rPr>
        <w:t xml:space="preserve"> attendance services where:</w:t>
      </w:r>
    </w:p>
    <w:p w14:paraId="01CFE957" w14:textId="77777777" w:rsidR="00D60E97" w:rsidRPr="0034279F" w:rsidRDefault="00D60E97" w:rsidP="00D60E97">
      <w:pPr>
        <w:pStyle w:val="ListParagraph"/>
        <w:numPr>
          <w:ilvl w:val="0"/>
          <w:numId w:val="40"/>
        </w:numPr>
      </w:pPr>
      <w:r w:rsidRPr="0034279F">
        <w:rPr>
          <w:iCs/>
        </w:rPr>
        <w:t>patients are at risk of COVID-19 virus, as defined in section 4; or</w:t>
      </w:r>
    </w:p>
    <w:p w14:paraId="7B5B1B27" w14:textId="6A45455F" w:rsidR="007562A5" w:rsidRPr="0034279F" w:rsidRDefault="00D60E97" w:rsidP="00D60E97">
      <w:pPr>
        <w:pStyle w:val="ListParagraph"/>
        <w:numPr>
          <w:ilvl w:val="0"/>
          <w:numId w:val="40"/>
        </w:numPr>
      </w:pPr>
      <w:r w:rsidRPr="0034279F">
        <w:rPr>
          <w:iCs/>
        </w:rPr>
        <w:t>the health professional is at risk for COVID-19 virus as defined in section 4</w:t>
      </w:r>
      <w:r w:rsidR="00B5241A">
        <w:rPr>
          <w:iCs/>
        </w:rPr>
        <w:t xml:space="preserve">; and </w:t>
      </w:r>
    </w:p>
    <w:p w14:paraId="1B33089D" w14:textId="71B89164" w:rsidR="00D60E97" w:rsidRPr="0034279F" w:rsidRDefault="00B5241A" w:rsidP="00D60E97">
      <w:pPr>
        <w:pStyle w:val="ListParagraph"/>
        <w:numPr>
          <w:ilvl w:val="0"/>
          <w:numId w:val="40"/>
        </w:numPr>
      </w:pPr>
      <w:proofErr w:type="gramStart"/>
      <w:r>
        <w:rPr>
          <w:iCs/>
        </w:rPr>
        <w:t>the</w:t>
      </w:r>
      <w:proofErr w:type="gramEnd"/>
      <w:r>
        <w:rPr>
          <w:iCs/>
        </w:rPr>
        <w:t xml:space="preserve"> practitioner has had at least one face to face attendance with the patient </w:t>
      </w:r>
      <w:r w:rsidR="00060404">
        <w:rPr>
          <w:iCs/>
        </w:rPr>
        <w:t>w</w:t>
      </w:r>
      <w:r w:rsidR="00501DB3">
        <w:rPr>
          <w:iCs/>
        </w:rPr>
        <w:t>ho is</w:t>
      </w:r>
      <w:r w:rsidR="00060404">
        <w:rPr>
          <w:iCs/>
        </w:rPr>
        <w:t xml:space="preserve"> more susceptible to COVID-19</w:t>
      </w:r>
      <w:bookmarkStart w:id="0" w:name="_GoBack"/>
      <w:bookmarkEnd w:id="0"/>
      <w:r w:rsidR="00060404">
        <w:rPr>
          <w:iCs/>
        </w:rPr>
        <w:t xml:space="preserve"> </w:t>
      </w:r>
      <w:r>
        <w:rPr>
          <w:iCs/>
        </w:rPr>
        <w:t xml:space="preserve">in the previous 12 months. </w:t>
      </w:r>
    </w:p>
    <w:p w14:paraId="70FCE177" w14:textId="15E824BB" w:rsidR="00D60E97" w:rsidRPr="0034279F" w:rsidRDefault="00D60E97" w:rsidP="00D60E97"/>
    <w:p w14:paraId="05D5E6AA" w14:textId="5A73DA56" w:rsidR="00D60E97" w:rsidRPr="0034279F" w:rsidRDefault="00B5241A" w:rsidP="00D60E97">
      <w:r>
        <w:t>These</w:t>
      </w:r>
      <w:r w:rsidR="00C50D20" w:rsidRPr="0034279F">
        <w:t xml:space="preserve"> items are video conferencing services and require an audio and visual link.</w:t>
      </w:r>
    </w:p>
    <w:p w14:paraId="603D7C09" w14:textId="77777777" w:rsidR="00C50D20" w:rsidRPr="0034279F" w:rsidRDefault="00C50D20" w:rsidP="00C50D20">
      <w:pPr>
        <w:rPr>
          <w:iCs/>
        </w:rPr>
      </w:pPr>
    </w:p>
    <w:p w14:paraId="15BA336E" w14:textId="69D945DD" w:rsidR="00C50D20" w:rsidRPr="0034279F" w:rsidRDefault="00C50D20" w:rsidP="00C50D20">
      <w:pPr>
        <w:rPr>
          <w:iCs/>
        </w:rPr>
      </w:pPr>
      <w:r w:rsidRPr="0034279F">
        <w:t xml:space="preserve">Items in subgroup 2 of Division 1.1 provide </w:t>
      </w:r>
      <w:r w:rsidRPr="0034279F">
        <w:rPr>
          <w:iCs/>
        </w:rPr>
        <w:t>general practice telephone attendance services where:</w:t>
      </w:r>
    </w:p>
    <w:p w14:paraId="2353C3ED" w14:textId="77777777" w:rsidR="00C50D20" w:rsidRPr="0034279F" w:rsidRDefault="00C50D20" w:rsidP="00C50D20">
      <w:pPr>
        <w:pStyle w:val="ListParagraph"/>
        <w:numPr>
          <w:ilvl w:val="0"/>
          <w:numId w:val="40"/>
        </w:numPr>
      </w:pPr>
      <w:r w:rsidRPr="0034279F">
        <w:rPr>
          <w:iCs/>
        </w:rPr>
        <w:t>patients are at risk of COVID-19 virus, as defined in section 4; or</w:t>
      </w:r>
    </w:p>
    <w:p w14:paraId="781DD4A8" w14:textId="5FFA813A" w:rsidR="007562A5" w:rsidRPr="0034279F" w:rsidRDefault="00C50D20" w:rsidP="00C50D20">
      <w:pPr>
        <w:pStyle w:val="ListParagraph"/>
        <w:numPr>
          <w:ilvl w:val="0"/>
          <w:numId w:val="40"/>
        </w:numPr>
      </w:pPr>
      <w:r w:rsidRPr="0034279F">
        <w:rPr>
          <w:iCs/>
        </w:rPr>
        <w:t>the health professional is at risk for COVID-19 virus as defined in section 4</w:t>
      </w:r>
      <w:r w:rsidR="00B5241A">
        <w:rPr>
          <w:iCs/>
        </w:rPr>
        <w:t>; and</w:t>
      </w:r>
    </w:p>
    <w:p w14:paraId="050303A5" w14:textId="70EA1271" w:rsidR="00060404" w:rsidRPr="0034279F" w:rsidRDefault="00060404" w:rsidP="00060404">
      <w:pPr>
        <w:pStyle w:val="ListParagraph"/>
        <w:numPr>
          <w:ilvl w:val="0"/>
          <w:numId w:val="40"/>
        </w:numPr>
      </w:pPr>
      <w:proofErr w:type="gramStart"/>
      <w:r>
        <w:rPr>
          <w:iCs/>
        </w:rPr>
        <w:t>the</w:t>
      </w:r>
      <w:proofErr w:type="gramEnd"/>
      <w:r>
        <w:rPr>
          <w:iCs/>
        </w:rPr>
        <w:t xml:space="preserve"> practitioner has had at least one face to face attendance with the patient w</w:t>
      </w:r>
      <w:r w:rsidR="00501DB3">
        <w:rPr>
          <w:iCs/>
        </w:rPr>
        <w:t>ho is</w:t>
      </w:r>
      <w:r>
        <w:rPr>
          <w:iCs/>
        </w:rPr>
        <w:t xml:space="preserve"> more susceptible to COVID-19 in the previous 12 months. </w:t>
      </w:r>
    </w:p>
    <w:p w14:paraId="3751EF22" w14:textId="77777777" w:rsidR="00C50D20" w:rsidRDefault="00C50D20" w:rsidP="00C50D20"/>
    <w:p w14:paraId="5D4FB049" w14:textId="597FD26F" w:rsidR="00C50D20" w:rsidRPr="00D60E97" w:rsidRDefault="00B5241A" w:rsidP="00C50D20">
      <w:r>
        <w:t>These</w:t>
      </w:r>
      <w:r w:rsidR="00C50D20">
        <w:t xml:space="preserve"> items are telephone services and require an audio link only</w:t>
      </w:r>
      <w:r w:rsidR="007562A5">
        <w:t>. Subclause 1.1.5(5) requires that the</w:t>
      </w:r>
      <w:r w:rsidR="007562A5" w:rsidRPr="007562A5">
        <w:t xml:space="preserve"> rendering practitioner must not perform a service in subgroup 2 if the practitioner and the patient have the capacity to undertake an attendance by </w:t>
      </w:r>
      <w:r w:rsidR="007562A5">
        <w:t>video conference</w:t>
      </w:r>
      <w:r w:rsidR="007562A5" w:rsidRPr="007562A5">
        <w:t>.</w:t>
      </w:r>
    </w:p>
    <w:p w14:paraId="7303EBBD" w14:textId="1F048A8C" w:rsidR="003F1BF5" w:rsidRPr="00A77E34" w:rsidRDefault="003F1BF5" w:rsidP="00C50D20">
      <w:pPr>
        <w:ind w:right="84"/>
        <w:rPr>
          <w:iCs/>
        </w:rPr>
      </w:pPr>
    </w:p>
    <w:p w14:paraId="6CFB1666" w14:textId="12FADF34" w:rsidR="003B5AE2" w:rsidRPr="00A77E34" w:rsidRDefault="00D60E97" w:rsidP="005945E4">
      <w:pPr>
        <w:ind w:right="84"/>
      </w:pPr>
      <w:r>
        <w:rPr>
          <w:iCs/>
        </w:rPr>
        <w:t>Items in subgroup 3</w:t>
      </w:r>
      <w:r w:rsidR="003F1BF5" w:rsidRPr="00A77E34">
        <w:rPr>
          <w:iCs/>
        </w:rPr>
        <w:t xml:space="preserve"> of Division 1.1. </w:t>
      </w:r>
      <w:proofErr w:type="gramStart"/>
      <w:r w:rsidR="003F1BF5" w:rsidRPr="00A77E34">
        <w:rPr>
          <w:iCs/>
        </w:rPr>
        <w:t>provide</w:t>
      </w:r>
      <w:proofErr w:type="gramEnd"/>
      <w:r w:rsidR="003F1BF5" w:rsidRPr="00A77E34">
        <w:rPr>
          <w:iCs/>
        </w:rPr>
        <w:t xml:space="preserve"> focussed psychological strategy treatment services for patients with a recognised mental health disorder who are at risk of COVID-19 virus. Items 918</w:t>
      </w:r>
      <w:r w:rsidR="00A12014">
        <w:rPr>
          <w:iCs/>
        </w:rPr>
        <w:t>18</w:t>
      </w:r>
      <w:r w:rsidR="003F1BF5" w:rsidRPr="00A77E34">
        <w:rPr>
          <w:iCs/>
        </w:rPr>
        <w:t xml:space="preserve"> and 918</w:t>
      </w:r>
      <w:r w:rsidR="00A12014">
        <w:rPr>
          <w:iCs/>
        </w:rPr>
        <w:t>19</w:t>
      </w:r>
      <w:r w:rsidR="003F1BF5" w:rsidRPr="00A77E34">
        <w:rPr>
          <w:iCs/>
        </w:rPr>
        <w:t xml:space="preserve"> can be </w:t>
      </w:r>
      <w:r w:rsidR="00213DED" w:rsidRPr="00A77E34">
        <w:rPr>
          <w:iCs/>
        </w:rPr>
        <w:t>rendered</w:t>
      </w:r>
      <w:r w:rsidR="003F1BF5" w:rsidRPr="00A77E34">
        <w:rPr>
          <w:iCs/>
        </w:rPr>
        <w:t xml:space="preserve"> by GPs, items 918</w:t>
      </w:r>
      <w:r w:rsidR="00A12014">
        <w:rPr>
          <w:iCs/>
        </w:rPr>
        <w:t>20</w:t>
      </w:r>
      <w:r w:rsidR="003F1BF5" w:rsidRPr="00A77E34">
        <w:rPr>
          <w:iCs/>
        </w:rPr>
        <w:t xml:space="preserve"> and 918</w:t>
      </w:r>
      <w:r w:rsidR="00A12014">
        <w:rPr>
          <w:iCs/>
        </w:rPr>
        <w:t>21</w:t>
      </w:r>
      <w:r w:rsidR="003F1BF5" w:rsidRPr="00A77E34">
        <w:rPr>
          <w:iCs/>
        </w:rPr>
        <w:t xml:space="preserve"> </w:t>
      </w:r>
      <w:r w:rsidR="00213DED" w:rsidRPr="00A77E34">
        <w:rPr>
          <w:iCs/>
        </w:rPr>
        <w:t>can be rendered by</w:t>
      </w:r>
      <w:r w:rsidR="003F1BF5" w:rsidRPr="00A77E34">
        <w:rPr>
          <w:iCs/>
        </w:rPr>
        <w:t xml:space="preserve"> medical practitioner</w:t>
      </w:r>
      <w:r w:rsidR="00213DED" w:rsidRPr="00A77E34">
        <w:rPr>
          <w:iCs/>
        </w:rPr>
        <w:t>s</w:t>
      </w:r>
      <w:r w:rsidR="003F1BF5" w:rsidRPr="00A77E34">
        <w:rPr>
          <w:iCs/>
        </w:rPr>
        <w:t xml:space="preserve"> in general practice.</w:t>
      </w:r>
      <w:r w:rsidR="003F1BF5" w:rsidRPr="00A77E34">
        <w:rPr>
          <w:iCs/>
        </w:rPr>
        <w:br/>
      </w:r>
    </w:p>
    <w:p w14:paraId="51EE8039" w14:textId="2B013E5E" w:rsidR="003B5AE2" w:rsidRPr="00A77E34" w:rsidRDefault="003B5AE2" w:rsidP="003B5AE2">
      <w:pPr>
        <w:pStyle w:val="ListParagraph"/>
        <w:numPr>
          <w:ilvl w:val="0"/>
          <w:numId w:val="40"/>
        </w:numPr>
        <w:ind w:right="84"/>
      </w:pPr>
      <w:r w:rsidRPr="00A77E34">
        <w:rPr>
          <w:iCs/>
        </w:rPr>
        <w:t>Division 1.2</w:t>
      </w:r>
    </w:p>
    <w:p w14:paraId="45B9E359" w14:textId="77777777" w:rsidR="003B5AE2" w:rsidRPr="00A77E34" w:rsidRDefault="003B5AE2" w:rsidP="003B5AE2">
      <w:pPr>
        <w:ind w:right="84"/>
      </w:pPr>
    </w:p>
    <w:p w14:paraId="0753A29B" w14:textId="796155E3" w:rsidR="003B5AE2" w:rsidRPr="00A77E34" w:rsidRDefault="003B5AE2" w:rsidP="003B5AE2">
      <w:pPr>
        <w:ind w:right="84"/>
      </w:pPr>
      <w:r w:rsidRPr="00A77E34">
        <w:t xml:space="preserve">Division 1.2 </w:t>
      </w:r>
      <w:r w:rsidRPr="00A77E34">
        <w:rPr>
          <w:iCs/>
        </w:rPr>
        <w:t xml:space="preserve">of the Determination lists </w:t>
      </w:r>
      <w:r w:rsidR="00A12014">
        <w:rPr>
          <w:iCs/>
        </w:rPr>
        <w:t>11</w:t>
      </w:r>
      <w:r w:rsidR="00A12014" w:rsidRPr="00A77E34">
        <w:rPr>
          <w:iCs/>
        </w:rPr>
        <w:t xml:space="preserve"> </w:t>
      </w:r>
      <w:r w:rsidRPr="00A77E34">
        <w:rPr>
          <w:iCs/>
        </w:rPr>
        <w:t>new professional attendance items that can be provided by certain allied health professionals.</w:t>
      </w:r>
      <w:r w:rsidRPr="00A77E34">
        <w:t xml:space="preserve"> </w:t>
      </w:r>
    </w:p>
    <w:p w14:paraId="5335810C" w14:textId="569383A5" w:rsidR="003B5AE2" w:rsidRPr="00A77E34" w:rsidRDefault="003B5AE2" w:rsidP="003B5AE2">
      <w:pPr>
        <w:ind w:right="84"/>
      </w:pPr>
    </w:p>
    <w:p w14:paraId="07253784" w14:textId="4E779C41" w:rsidR="003B5AE2" w:rsidRPr="00A77E34" w:rsidRDefault="003B5AE2" w:rsidP="003B5AE2">
      <w:pPr>
        <w:ind w:right="84"/>
        <w:rPr>
          <w:iCs/>
        </w:rPr>
      </w:pPr>
      <w:r w:rsidRPr="00A77E34">
        <w:rPr>
          <w:iCs/>
        </w:rPr>
        <w:t xml:space="preserve">Items in subgroups 1 to 4 provide mental health treatment items </w:t>
      </w:r>
      <w:r w:rsidR="00067281" w:rsidRPr="00A77E34">
        <w:rPr>
          <w:iCs/>
        </w:rPr>
        <w:t>rendered</w:t>
      </w:r>
      <w:r w:rsidRPr="00A77E34">
        <w:rPr>
          <w:iCs/>
        </w:rPr>
        <w:t xml:space="preserve"> by “eligible clinical psychologists”</w:t>
      </w:r>
      <w:r w:rsidR="002F12F7" w:rsidRPr="00A77E34">
        <w:rPr>
          <w:iCs/>
        </w:rPr>
        <w:t xml:space="preserve"> (items 91166 and 91167)</w:t>
      </w:r>
      <w:r w:rsidRPr="00A77E34">
        <w:rPr>
          <w:iCs/>
        </w:rPr>
        <w:t>, “eligible psychologists”</w:t>
      </w:r>
      <w:r w:rsidR="002F12F7" w:rsidRPr="00A77E34">
        <w:rPr>
          <w:iCs/>
        </w:rPr>
        <w:t xml:space="preserve"> (items 91169 and 91170)</w:t>
      </w:r>
      <w:r w:rsidRPr="00A77E34">
        <w:rPr>
          <w:iCs/>
        </w:rPr>
        <w:t>, “eligible occupational therapist</w:t>
      </w:r>
      <w:r w:rsidR="002F12F7" w:rsidRPr="00A77E34">
        <w:rPr>
          <w:iCs/>
        </w:rPr>
        <w:t>s</w:t>
      </w:r>
      <w:r w:rsidRPr="00A77E34">
        <w:rPr>
          <w:iCs/>
        </w:rPr>
        <w:t xml:space="preserve">” </w:t>
      </w:r>
      <w:r w:rsidR="002F12F7" w:rsidRPr="00A77E34">
        <w:rPr>
          <w:iCs/>
        </w:rPr>
        <w:t xml:space="preserve">(items 91172 and 91173) </w:t>
      </w:r>
      <w:r w:rsidRPr="00A77E34">
        <w:rPr>
          <w:iCs/>
        </w:rPr>
        <w:t>and “eligible social worker</w:t>
      </w:r>
      <w:r w:rsidR="002F12F7" w:rsidRPr="00A77E34">
        <w:rPr>
          <w:iCs/>
        </w:rPr>
        <w:t>s</w:t>
      </w:r>
      <w:r w:rsidRPr="00A77E34">
        <w:rPr>
          <w:iCs/>
        </w:rPr>
        <w:t>”</w:t>
      </w:r>
      <w:r w:rsidR="002F12F7" w:rsidRPr="00A77E34">
        <w:rPr>
          <w:iCs/>
        </w:rPr>
        <w:t xml:space="preserve"> (items 91175 and 91176)</w:t>
      </w:r>
      <w:r w:rsidRPr="00A77E34">
        <w:rPr>
          <w:iCs/>
        </w:rPr>
        <w:t>. The new items mirror the clinical and time requirements of the existing face-to-face focussed psychological strategy and psychological therapies</w:t>
      </w:r>
      <w:r w:rsidR="00067281" w:rsidRPr="00A77E34">
        <w:rPr>
          <w:iCs/>
        </w:rPr>
        <w:t xml:space="preserve"> in Groups M6 and M7, but allow</w:t>
      </w:r>
      <w:r w:rsidRPr="00A77E34">
        <w:rPr>
          <w:iCs/>
        </w:rPr>
        <w:t xml:space="preserve"> them to be performed by </w:t>
      </w:r>
      <w:r w:rsidR="00144F33">
        <w:rPr>
          <w:iCs/>
        </w:rPr>
        <w:t>telehealth</w:t>
      </w:r>
      <w:r w:rsidRPr="00A77E34">
        <w:rPr>
          <w:iCs/>
        </w:rPr>
        <w:t xml:space="preserve"> for patients who are at risk of COVID-19 virus.</w:t>
      </w:r>
    </w:p>
    <w:p w14:paraId="28A93324" w14:textId="11572A37" w:rsidR="004B0C7A" w:rsidRPr="00A77E34" w:rsidRDefault="004B0C7A" w:rsidP="003B5AE2">
      <w:pPr>
        <w:ind w:right="84"/>
        <w:rPr>
          <w:iCs/>
        </w:rPr>
      </w:pPr>
    </w:p>
    <w:p w14:paraId="57FB38ED" w14:textId="0AF6D7C0" w:rsidR="004B0C7A" w:rsidRPr="00A77E34" w:rsidRDefault="004B0C7A" w:rsidP="003B5AE2">
      <w:pPr>
        <w:ind w:right="84"/>
        <w:rPr>
          <w:iCs/>
        </w:rPr>
      </w:pPr>
      <w:r w:rsidRPr="00A77E34">
        <w:t>Allied health providers with appropriate mental health training who are in isolation for possible COVID-19 infection will also be able to continue to provide mental health services to their patients during the period of their isolation under items 91166, 91167, 91169, 91170, 91172</w:t>
      </w:r>
      <w:r w:rsidR="00A12014">
        <w:t xml:space="preserve">, </w:t>
      </w:r>
      <w:r w:rsidRPr="00A77E34">
        <w:t>91173</w:t>
      </w:r>
      <w:r w:rsidR="00A12014">
        <w:t>, 91175 and 91176</w:t>
      </w:r>
      <w:r w:rsidRPr="00A77E34">
        <w:t>.</w:t>
      </w:r>
    </w:p>
    <w:p w14:paraId="5341CCB5" w14:textId="77777777" w:rsidR="003B5AE2" w:rsidRPr="00A77E34" w:rsidRDefault="003B5AE2" w:rsidP="003B5AE2">
      <w:pPr>
        <w:ind w:right="84"/>
        <w:rPr>
          <w:iCs/>
        </w:rPr>
      </w:pPr>
    </w:p>
    <w:p w14:paraId="720099D4" w14:textId="0C54463E" w:rsidR="003B5AE2" w:rsidRPr="00A77E34" w:rsidRDefault="003B5AE2" w:rsidP="005945E4">
      <w:pPr>
        <w:ind w:right="84"/>
      </w:pPr>
      <w:r w:rsidRPr="00A77E34">
        <w:t>Item</w:t>
      </w:r>
      <w:r w:rsidR="00A12014">
        <w:t>s</w:t>
      </w:r>
      <w:r w:rsidRPr="00A77E34">
        <w:t xml:space="preserve"> 91178</w:t>
      </w:r>
      <w:r w:rsidR="00A12014">
        <w:t>, 91179 and 91180</w:t>
      </w:r>
      <w:r w:rsidRPr="00A77E34">
        <w:t xml:space="preserve"> in subgroup 5 mirror </w:t>
      </w:r>
      <w:r w:rsidRPr="00A77E34">
        <w:rPr>
          <w:iCs/>
        </w:rPr>
        <w:t xml:space="preserve">the requirements of the existing face-to-face nurse practitioner item in M14, but allows </w:t>
      </w:r>
      <w:r w:rsidR="001E1E2E">
        <w:rPr>
          <w:iCs/>
        </w:rPr>
        <w:t>the service t</w:t>
      </w:r>
      <w:r w:rsidRPr="00A77E34">
        <w:rPr>
          <w:iCs/>
        </w:rPr>
        <w:t xml:space="preserve">o be performed by </w:t>
      </w:r>
      <w:r w:rsidR="00144F33">
        <w:rPr>
          <w:iCs/>
        </w:rPr>
        <w:t>telehealth</w:t>
      </w:r>
      <w:r w:rsidRPr="00A77E34">
        <w:rPr>
          <w:iCs/>
        </w:rPr>
        <w:t xml:space="preserve"> for patients who are at risk of COVID-19 virus.</w:t>
      </w:r>
    </w:p>
    <w:p w14:paraId="555045E6" w14:textId="77777777" w:rsidR="003B5AE2" w:rsidRPr="00A77E34" w:rsidRDefault="003B5AE2" w:rsidP="005945E4">
      <w:pPr>
        <w:ind w:right="84"/>
        <w:rPr>
          <w:szCs w:val="24"/>
        </w:rPr>
      </w:pPr>
    </w:p>
    <w:p w14:paraId="64020FBE" w14:textId="77777777" w:rsidR="00E44CD6" w:rsidRPr="00A77E34" w:rsidRDefault="00E44CD6" w:rsidP="004669BA">
      <w:pPr>
        <w:rPr>
          <w:szCs w:val="24"/>
        </w:rPr>
      </w:pPr>
    </w:p>
    <w:p w14:paraId="73520D95" w14:textId="77777777" w:rsidR="00E44CD6" w:rsidRPr="00A77E34" w:rsidRDefault="00E44CD6" w:rsidP="004669BA">
      <w:pPr>
        <w:rPr>
          <w:szCs w:val="24"/>
        </w:rPr>
      </w:pPr>
    </w:p>
    <w:p w14:paraId="5658762C" w14:textId="44A52673" w:rsidR="00CA68AD" w:rsidRDefault="00CA68AD">
      <w:pPr>
        <w:spacing w:after="200" w:line="276" w:lineRule="auto"/>
        <w:rPr>
          <w:szCs w:val="24"/>
        </w:rPr>
      </w:pPr>
      <w:r>
        <w:rPr>
          <w:szCs w:val="24"/>
        </w:rPr>
        <w:br w:type="page"/>
      </w:r>
    </w:p>
    <w:p w14:paraId="2412D14E" w14:textId="632B4BE9" w:rsidR="00A17F2C" w:rsidRPr="00A77E34" w:rsidRDefault="00A17F2C" w:rsidP="0034279F">
      <w:pPr>
        <w:spacing w:after="200" w:line="276" w:lineRule="auto"/>
        <w:jc w:val="center"/>
        <w:rPr>
          <w:b/>
          <w:sz w:val="28"/>
          <w:szCs w:val="28"/>
        </w:rPr>
      </w:pPr>
      <w:r w:rsidRPr="00A77E34">
        <w:rPr>
          <w:b/>
          <w:sz w:val="28"/>
          <w:szCs w:val="28"/>
        </w:rPr>
        <w:t>Statement of Compatibility with Human Rights</w:t>
      </w:r>
    </w:p>
    <w:p w14:paraId="2412D14F" w14:textId="77777777" w:rsidR="00A17F2C" w:rsidRPr="00A77E34" w:rsidRDefault="00A17F2C" w:rsidP="000337CB">
      <w:pPr>
        <w:spacing w:before="120" w:after="120"/>
        <w:jc w:val="center"/>
        <w:rPr>
          <w:szCs w:val="24"/>
        </w:rPr>
      </w:pPr>
      <w:r w:rsidRPr="00A77E34">
        <w:rPr>
          <w:i/>
          <w:szCs w:val="24"/>
        </w:rPr>
        <w:t>Prepared in accordance with Part 3 of the Human Rights (Parliamentary Scrutiny) Act 2011</w:t>
      </w:r>
    </w:p>
    <w:p w14:paraId="751DE726" w14:textId="77777777" w:rsidR="002A6C77" w:rsidRPr="00A77E34" w:rsidRDefault="002A6C77" w:rsidP="000337CB">
      <w:pPr>
        <w:tabs>
          <w:tab w:val="left" w:pos="1418"/>
        </w:tabs>
        <w:ind w:left="851"/>
        <w:jc w:val="center"/>
        <w:rPr>
          <w:b/>
          <w:i/>
          <w:iCs/>
        </w:rPr>
      </w:pPr>
    </w:p>
    <w:p w14:paraId="6A4D942B" w14:textId="20FCE4B4" w:rsidR="003B5AE2" w:rsidRPr="00A77E34" w:rsidRDefault="000C0FDE" w:rsidP="003B5AE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r w:rsidRPr="000C0FDE">
        <w:rPr>
          <w:i/>
          <w:iCs/>
        </w:rPr>
        <w:t>Health Insurance (Section 3C General Medical Services – GP and Allied Health COVID-19 Services) Determination 2020</w:t>
      </w:r>
    </w:p>
    <w:p w14:paraId="05D25986" w14:textId="1745C2C4" w:rsidR="00BF60D9" w:rsidRPr="00A77E34" w:rsidRDefault="00BF60D9" w:rsidP="00BF60D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p>
    <w:p w14:paraId="2412D153" w14:textId="7AFD921D" w:rsidR="00A17F2C" w:rsidRPr="00A77E34" w:rsidRDefault="00A17F2C" w:rsidP="000337CB">
      <w:pPr>
        <w:jc w:val="center"/>
        <w:rPr>
          <w:szCs w:val="24"/>
        </w:rPr>
      </w:pPr>
      <w:r w:rsidRPr="00A77E34">
        <w:rPr>
          <w:szCs w:val="24"/>
        </w:rPr>
        <w:t xml:space="preserve">This </w:t>
      </w:r>
      <w:r w:rsidR="0046022A" w:rsidRPr="00A77E34">
        <w:rPr>
          <w:szCs w:val="24"/>
        </w:rPr>
        <w:t>instrument</w:t>
      </w:r>
      <w:r w:rsidRPr="00A77E34">
        <w:rPr>
          <w:szCs w:val="24"/>
        </w:rPr>
        <w:t xml:space="preserve"> is compatible with the human rights and freedoms recognised or declared in the international instruments listed in section 3 of the </w:t>
      </w:r>
      <w:r w:rsidRPr="00A77E34">
        <w:rPr>
          <w:i/>
          <w:szCs w:val="24"/>
        </w:rPr>
        <w:t>Human Rights (Parliamentary Scrutiny) Act 2011</w:t>
      </w:r>
      <w:r w:rsidRPr="00A77E34">
        <w:rPr>
          <w:szCs w:val="24"/>
        </w:rPr>
        <w:t>.</w:t>
      </w:r>
    </w:p>
    <w:p w14:paraId="7EDA9098" w14:textId="306A78E1" w:rsidR="006E6BBF" w:rsidRPr="00A77E34" w:rsidRDefault="006E6BBF" w:rsidP="008734F5">
      <w:pPr>
        <w:spacing w:before="120" w:after="120"/>
        <w:rPr>
          <w:b/>
          <w:szCs w:val="24"/>
        </w:rPr>
      </w:pPr>
      <w:r w:rsidRPr="00A77E34">
        <w:rPr>
          <w:b/>
          <w:szCs w:val="24"/>
        </w:rPr>
        <w:t xml:space="preserve">Overview of the </w:t>
      </w:r>
      <w:r w:rsidR="00B86A9F" w:rsidRPr="00A77E34">
        <w:rPr>
          <w:b/>
          <w:szCs w:val="24"/>
        </w:rPr>
        <w:t>Determination</w:t>
      </w:r>
    </w:p>
    <w:p w14:paraId="71B628FA" w14:textId="77777777" w:rsidR="001E1E2E" w:rsidRPr="00BF2B47" w:rsidRDefault="001E1E2E" w:rsidP="001E1E2E">
      <w:r w:rsidRPr="00A77E34">
        <w:t xml:space="preserve">The purpose of the </w:t>
      </w:r>
      <w:r w:rsidRPr="000C0FDE">
        <w:rPr>
          <w:i/>
          <w:iCs/>
        </w:rPr>
        <w:t xml:space="preserve">Health Insurance (Section 3C General Medical Services – GP and Allied Health COVID-19 Services) Determination 2020 </w:t>
      </w:r>
      <w:r w:rsidRPr="00A77E34">
        <w:rPr>
          <w:iCs/>
        </w:rPr>
        <w:t xml:space="preserve">(the </w:t>
      </w:r>
      <w:r w:rsidRPr="00A77E34">
        <w:t xml:space="preserve">Determination) is to list new </w:t>
      </w:r>
      <w:r>
        <w:t>remote</w:t>
      </w:r>
      <w:r w:rsidRPr="00A77E34">
        <w:t xml:space="preserve"> consultation services provided by GPs, other doctors in general practice, </w:t>
      </w:r>
      <w:r w:rsidRPr="00BF2B47">
        <w:t>nurse practitioners and mental health allied health workers. The services include:</w:t>
      </w:r>
    </w:p>
    <w:p w14:paraId="744EF9DA" w14:textId="77777777" w:rsidR="001E1E2E" w:rsidRPr="00AD438E" w:rsidRDefault="001E1E2E" w:rsidP="001E1E2E">
      <w:pPr>
        <w:pStyle w:val="ListParagraph"/>
        <w:numPr>
          <w:ilvl w:val="0"/>
          <w:numId w:val="37"/>
        </w:numPr>
      </w:pPr>
      <w:r w:rsidRPr="00AD438E">
        <w:t>New telehealth attendance items provided by GPs (item</w:t>
      </w:r>
      <w:r>
        <w:t>s 91800, 91801 and 91802</w:t>
      </w:r>
      <w:r w:rsidRPr="00AD438E">
        <w:t xml:space="preserve">) and other doctors in general practice (items </w:t>
      </w:r>
      <w:r>
        <w:t>91803, 91804, 91805, 91806, 91807 and 91808</w:t>
      </w:r>
      <w:r w:rsidRPr="00AD438E">
        <w:t xml:space="preserve">). </w:t>
      </w:r>
    </w:p>
    <w:p w14:paraId="14D403EE" w14:textId="77777777" w:rsidR="001E1E2E" w:rsidRPr="00BF2B47" w:rsidRDefault="001E1E2E" w:rsidP="001E1E2E">
      <w:pPr>
        <w:pStyle w:val="ListParagraph"/>
        <w:numPr>
          <w:ilvl w:val="0"/>
          <w:numId w:val="37"/>
        </w:numPr>
      </w:pPr>
      <w:r w:rsidRPr="00AD438E">
        <w:t>New phone attendance items by GPs (item</w:t>
      </w:r>
      <w:r>
        <w:t>s 91809, 91810 and 91811</w:t>
      </w:r>
      <w:r w:rsidRPr="00AD438E">
        <w:t xml:space="preserve">) and other doctors in general practice (items </w:t>
      </w:r>
      <w:r>
        <w:t>91812, 91813, 91814, 91815, 91816 and 91817</w:t>
      </w:r>
      <w:r w:rsidRPr="00AD438E">
        <w:t>). These services are to be provided by telephone. GPs and other doctors in general practice can only perform these services in instances where the attendance could not be performed by telehealth</w:t>
      </w:r>
      <w:r w:rsidRPr="00BF2B47">
        <w:t>.</w:t>
      </w:r>
    </w:p>
    <w:p w14:paraId="24A76BF3" w14:textId="77777777" w:rsidR="001E1E2E" w:rsidRPr="00A77E34" w:rsidRDefault="001E1E2E" w:rsidP="001E1E2E">
      <w:pPr>
        <w:pStyle w:val="ListParagraph"/>
        <w:numPr>
          <w:ilvl w:val="0"/>
          <w:numId w:val="37"/>
        </w:numPr>
      </w:pPr>
      <w:r w:rsidRPr="00A77E34">
        <w:t xml:space="preserve">New </w:t>
      </w:r>
      <w:r>
        <w:t xml:space="preserve">telehealth </w:t>
      </w:r>
      <w:r w:rsidRPr="00A77E34">
        <w:t xml:space="preserve">mental health treatment items provided by GPs (items </w:t>
      </w:r>
      <w:r>
        <w:t>91818 and 91819</w:t>
      </w:r>
      <w:r w:rsidRPr="00A77E34">
        <w:t xml:space="preserve">), other doctors in general practice (items </w:t>
      </w:r>
      <w:r>
        <w:t>91820 and 91821</w:t>
      </w:r>
      <w:r w:rsidRPr="00A77E34">
        <w:t xml:space="preserve">) and allied health providers with appropriate mental health training (items </w:t>
      </w:r>
      <w:r>
        <w:t>91166, 91167, 91169, 91170, 91172, 91173, 91175 and 91176</w:t>
      </w:r>
      <w:r w:rsidRPr="00A77E34">
        <w:t>).</w:t>
      </w:r>
      <w:r w:rsidRPr="00A77E34">
        <w:tab/>
      </w:r>
    </w:p>
    <w:p w14:paraId="45E4FC61" w14:textId="77777777" w:rsidR="001E1E2E" w:rsidRPr="00A77E34" w:rsidRDefault="001E1E2E" w:rsidP="001E1E2E">
      <w:pPr>
        <w:pStyle w:val="ListParagraph"/>
        <w:numPr>
          <w:ilvl w:val="0"/>
          <w:numId w:val="37"/>
        </w:numPr>
      </w:pPr>
      <w:r>
        <w:t xml:space="preserve">New telehealth </w:t>
      </w:r>
      <w:r w:rsidRPr="00A77E34">
        <w:t>attendance item</w:t>
      </w:r>
      <w:r>
        <w:t>s</w:t>
      </w:r>
      <w:r w:rsidRPr="00A77E34">
        <w:t xml:space="preserve"> provided by nurse practitioners (item </w:t>
      </w:r>
      <w:r>
        <w:t>91178, 91179 and 91180</w:t>
      </w:r>
      <w:r w:rsidRPr="00A77E34">
        <w:t xml:space="preserve">). </w:t>
      </w:r>
    </w:p>
    <w:p w14:paraId="7CB2EA6E" w14:textId="77777777" w:rsidR="001E1E2E" w:rsidRDefault="001E1E2E" w:rsidP="001E1E2E"/>
    <w:p w14:paraId="76D86BF4" w14:textId="77777777" w:rsidR="001E1E2E" w:rsidRPr="00D60E97" w:rsidRDefault="001E1E2E" w:rsidP="001E1E2E">
      <w:r>
        <w:t xml:space="preserve">The telehealth items are video conferencing services and require an audio and visual link. They can be delivered </w:t>
      </w:r>
      <w:r w:rsidRPr="000C0FDE">
        <w:t>through widely available video calling apps and software, such as Zoom, Skype or FaceTime.</w:t>
      </w:r>
      <w:r>
        <w:t xml:space="preserve"> The phone items can be provided by telephone and require an audio link only.</w:t>
      </w:r>
    </w:p>
    <w:p w14:paraId="67B2625B" w14:textId="77777777" w:rsidR="001E1E2E" w:rsidRDefault="001E1E2E" w:rsidP="001E1E2E"/>
    <w:p w14:paraId="2FB03037" w14:textId="77777777" w:rsidR="001E1E2E" w:rsidRPr="00A77E34" w:rsidRDefault="001E1E2E" w:rsidP="001E1E2E">
      <w:r w:rsidRPr="00A77E34">
        <w:t>The new items will be available to patients at risk of COVID-19. A patient will be considered at risk of COVID-19 if they have been diagnosed with the disease (but not hospitalised for treatment) or are in isolation for possible COVID-19 infection. A person considered more susceptible to the COVID-19 virus is also defined as an at risk patient.</w:t>
      </w:r>
      <w:r>
        <w:t xml:space="preserve"> </w:t>
      </w:r>
      <w:r w:rsidRPr="00A77E34">
        <w:t>This includes:</w:t>
      </w:r>
    </w:p>
    <w:p w14:paraId="153667D4" w14:textId="77777777" w:rsidR="001E1E2E" w:rsidRPr="00A77E34" w:rsidRDefault="001E1E2E" w:rsidP="001E1E2E">
      <w:pPr>
        <w:pStyle w:val="ListParagraph"/>
        <w:numPr>
          <w:ilvl w:val="0"/>
          <w:numId w:val="39"/>
        </w:numPr>
      </w:pPr>
      <w:r>
        <w:t>p</w:t>
      </w:r>
      <w:r w:rsidRPr="00A77E34">
        <w:t>atients 70 years of age or older;</w:t>
      </w:r>
    </w:p>
    <w:p w14:paraId="6339EC2E" w14:textId="77777777" w:rsidR="001E1E2E" w:rsidRPr="00A77E34" w:rsidRDefault="001E1E2E" w:rsidP="001E1E2E">
      <w:pPr>
        <w:pStyle w:val="ListParagraph"/>
        <w:numPr>
          <w:ilvl w:val="0"/>
          <w:numId w:val="39"/>
        </w:numPr>
      </w:pPr>
      <w:r>
        <w:t>p</w:t>
      </w:r>
      <w:r w:rsidRPr="00A77E34">
        <w:t>atients of Aboriginal or Torres Strait Islander descent who are 50 years of age or older;</w:t>
      </w:r>
    </w:p>
    <w:p w14:paraId="40269B72" w14:textId="77777777" w:rsidR="001E1E2E" w:rsidRPr="00A77E34" w:rsidRDefault="001E1E2E" w:rsidP="001E1E2E">
      <w:pPr>
        <w:pStyle w:val="ListParagraph"/>
        <w:numPr>
          <w:ilvl w:val="0"/>
          <w:numId w:val="39"/>
        </w:numPr>
      </w:pPr>
      <w:r>
        <w:t>p</w:t>
      </w:r>
      <w:r w:rsidRPr="00A77E34">
        <w:t>atients who are pregnant;</w:t>
      </w:r>
    </w:p>
    <w:p w14:paraId="24262C1F" w14:textId="77777777" w:rsidR="001E1E2E" w:rsidRPr="00A77E34" w:rsidRDefault="001E1E2E" w:rsidP="001E1E2E">
      <w:pPr>
        <w:pStyle w:val="ListParagraph"/>
        <w:numPr>
          <w:ilvl w:val="0"/>
          <w:numId w:val="39"/>
        </w:numPr>
      </w:pPr>
      <w:r>
        <w:t>p</w:t>
      </w:r>
      <w:r w:rsidRPr="00A77E34">
        <w:t>atients who care for children under 12 months; and</w:t>
      </w:r>
    </w:p>
    <w:p w14:paraId="67777494" w14:textId="77777777" w:rsidR="001E1E2E" w:rsidRPr="00A77E34" w:rsidRDefault="001E1E2E" w:rsidP="001E1E2E">
      <w:pPr>
        <w:pStyle w:val="ListParagraph"/>
        <w:numPr>
          <w:ilvl w:val="0"/>
          <w:numId w:val="39"/>
        </w:numPr>
      </w:pPr>
      <w:proofErr w:type="gramStart"/>
      <w:r>
        <w:t>a</w:t>
      </w:r>
      <w:proofErr w:type="gramEnd"/>
      <w:r w:rsidRPr="00A77E34">
        <w:t xml:space="preserve"> person receiving treatment for chronic health conditions or who is immune comprised.</w:t>
      </w:r>
    </w:p>
    <w:p w14:paraId="6CC0515E" w14:textId="77777777" w:rsidR="001E1E2E" w:rsidRDefault="001E1E2E" w:rsidP="001E1E2E"/>
    <w:p w14:paraId="4B03D390" w14:textId="6550FD90" w:rsidR="001E1E2E" w:rsidRDefault="00D759A7" w:rsidP="001E1E2E">
      <w:r>
        <w:t>All</w:t>
      </w:r>
      <w:r w:rsidR="001E1E2E" w:rsidRPr="00AD438E">
        <w:t xml:space="preserve"> new items will also allow health professionals who are in isolation for possible COVID-19 infection to continue providing services remotely to their patients. GPs and other doctors working in isolation can continue to provide certain health services to their patients during the period of their isolation by telehealth (items </w:t>
      </w:r>
      <w:r w:rsidR="001E1E2E">
        <w:t>91800 to 91808 and 91818 to 91821</w:t>
      </w:r>
      <w:r w:rsidR="001E1E2E" w:rsidRPr="00AD438E">
        <w:t xml:space="preserve">) or telephone (items </w:t>
      </w:r>
      <w:r w:rsidR="001E1E2E">
        <w:t>91809 to 91817</w:t>
      </w:r>
      <w:r w:rsidR="001E1E2E" w:rsidRPr="00AD438E">
        <w:t>).</w:t>
      </w:r>
      <w:r w:rsidR="001E1E2E">
        <w:t xml:space="preserve"> </w:t>
      </w:r>
    </w:p>
    <w:p w14:paraId="399080C1" w14:textId="398B5F4C" w:rsidR="001E1E2E" w:rsidRPr="00A77E34" w:rsidRDefault="001E1E2E" w:rsidP="001E1E2E">
      <w:r w:rsidRPr="00D60E97">
        <w:t xml:space="preserve">Allied health providers with appropriate mental health training </w:t>
      </w:r>
      <w:r>
        <w:t xml:space="preserve">can </w:t>
      </w:r>
      <w:r w:rsidRPr="00D60E97">
        <w:t>continue to provide certain health</w:t>
      </w:r>
      <w:r>
        <w:t xml:space="preserve"> </w:t>
      </w:r>
      <w:r w:rsidRPr="00D60E97">
        <w:t xml:space="preserve">certain health services to their patients during the period of their isolation by </w:t>
      </w:r>
      <w:r>
        <w:t>telehealth</w:t>
      </w:r>
      <w:r w:rsidRPr="00D60E97">
        <w:t xml:space="preserve"> (items </w:t>
      </w:r>
      <w:r>
        <w:t>91166 to 911</w:t>
      </w:r>
      <w:r w:rsidR="00B0040D">
        <w:t>76</w:t>
      </w:r>
      <w:r>
        <w:t>)</w:t>
      </w:r>
      <w:r w:rsidRPr="00D60E97">
        <w:t>.</w:t>
      </w:r>
      <w:r>
        <w:br/>
      </w:r>
    </w:p>
    <w:p w14:paraId="77A836F7" w14:textId="77777777" w:rsidR="001E1E2E" w:rsidRPr="00A77E34" w:rsidRDefault="001E1E2E" w:rsidP="001E1E2E">
      <w:r>
        <w:t>All</w:t>
      </w:r>
      <w:r w:rsidRPr="00A77E34">
        <w:t xml:space="preserve"> new services can only be rendered if the treating practitioner chooses to accept the patient’s Medicare benefit as full payment for the service (otherwise known as ‘bulk-billing’). This will mean there will be no out-of-pocket for patients.</w:t>
      </w:r>
    </w:p>
    <w:p w14:paraId="2412D15C" w14:textId="50D38E8B" w:rsidR="00A17F2C" w:rsidRPr="00A77E34" w:rsidRDefault="00A17F2C" w:rsidP="003A773B">
      <w:pPr>
        <w:spacing w:before="120" w:after="120"/>
        <w:ind w:right="-482"/>
        <w:rPr>
          <w:b/>
          <w:szCs w:val="24"/>
        </w:rPr>
      </w:pPr>
      <w:r w:rsidRPr="00A77E34">
        <w:rPr>
          <w:b/>
          <w:szCs w:val="24"/>
        </w:rPr>
        <w:t>Human rights implications</w:t>
      </w:r>
    </w:p>
    <w:p w14:paraId="449665F0" w14:textId="2ED3F54B" w:rsidR="00806020" w:rsidRPr="00A77E34" w:rsidRDefault="00806020" w:rsidP="00806020">
      <w:pPr>
        <w:spacing w:before="120" w:after="120"/>
        <w:rPr>
          <w:szCs w:val="24"/>
        </w:rPr>
      </w:pPr>
      <w:r w:rsidRPr="00A77E34">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A77E34" w:rsidRDefault="00A17F2C" w:rsidP="00806020">
      <w:pPr>
        <w:spacing w:before="120" w:after="120"/>
        <w:rPr>
          <w:i/>
          <w:szCs w:val="24"/>
        </w:rPr>
      </w:pPr>
      <w:r w:rsidRPr="00A77E34">
        <w:rPr>
          <w:i/>
          <w:szCs w:val="24"/>
        </w:rPr>
        <w:t>The Right to Health</w:t>
      </w:r>
    </w:p>
    <w:p w14:paraId="2412D15F" w14:textId="77777777" w:rsidR="00A17F2C" w:rsidRPr="00A77E34" w:rsidRDefault="00A17F2C" w:rsidP="000337CB">
      <w:pPr>
        <w:spacing w:before="120" w:after="120"/>
        <w:rPr>
          <w:szCs w:val="24"/>
        </w:rPr>
      </w:pPr>
      <w:r w:rsidRPr="00A77E34">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A77E34" w:rsidRDefault="00A17F2C" w:rsidP="000337CB">
      <w:pPr>
        <w:spacing w:before="120" w:after="120"/>
        <w:rPr>
          <w:szCs w:val="24"/>
        </w:rPr>
      </w:pPr>
      <w:r w:rsidRPr="00A77E34">
        <w:rPr>
          <w:szCs w:val="24"/>
        </w:rPr>
        <w:t xml:space="preserve">The Committee reports that the </w:t>
      </w:r>
      <w:r w:rsidRPr="00A77E34">
        <w:rPr>
          <w:i/>
          <w:szCs w:val="24"/>
        </w:rPr>
        <w:t>‘highest attainable standard of health’</w:t>
      </w:r>
      <w:r w:rsidRPr="00A77E34">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A77E34" w:rsidRDefault="00A17F2C" w:rsidP="000337CB">
      <w:pPr>
        <w:spacing w:before="120" w:after="120"/>
        <w:rPr>
          <w:i/>
          <w:szCs w:val="24"/>
        </w:rPr>
      </w:pPr>
      <w:r w:rsidRPr="00A77E34">
        <w:rPr>
          <w:i/>
          <w:szCs w:val="24"/>
        </w:rPr>
        <w:t xml:space="preserve">The Right to Social Security </w:t>
      </w:r>
    </w:p>
    <w:p w14:paraId="2412D162" w14:textId="77777777" w:rsidR="00A17F2C" w:rsidRPr="00A77E34" w:rsidRDefault="00A17F2C" w:rsidP="000337CB">
      <w:pPr>
        <w:spacing w:before="120" w:after="120"/>
        <w:rPr>
          <w:szCs w:val="24"/>
        </w:rPr>
      </w:pPr>
      <w:r w:rsidRPr="00A77E34">
        <w:rPr>
          <w:szCs w:val="24"/>
        </w:rPr>
        <w:t>The right to social security is contained in Article 9 of the ICESCR. It requires that a country must, within its maximum available resources, ensure access to a social security scheme that</w:t>
      </w:r>
      <w:r w:rsidR="00BA69CB" w:rsidRPr="00A77E34">
        <w:rPr>
          <w:szCs w:val="24"/>
        </w:rPr>
        <w:t xml:space="preserve"> </w:t>
      </w:r>
      <w:r w:rsidRPr="00A77E34">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A77E34" w:rsidRDefault="00A17F2C" w:rsidP="000337CB">
      <w:pPr>
        <w:spacing w:before="120" w:after="120"/>
        <w:rPr>
          <w:szCs w:val="24"/>
        </w:rPr>
      </w:pPr>
      <w:r w:rsidRPr="00A77E34">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70B01EE" w14:textId="77777777" w:rsidR="00284E31" w:rsidRDefault="00284E31">
      <w:pPr>
        <w:spacing w:after="200" w:line="276" w:lineRule="auto"/>
        <w:rPr>
          <w:szCs w:val="24"/>
          <w:u w:val="single"/>
        </w:rPr>
      </w:pPr>
      <w:r>
        <w:rPr>
          <w:szCs w:val="24"/>
          <w:u w:val="single"/>
        </w:rPr>
        <w:br w:type="page"/>
      </w:r>
    </w:p>
    <w:p w14:paraId="2412D164" w14:textId="5BA72A34" w:rsidR="00A17F2C" w:rsidRPr="00A77E34" w:rsidRDefault="00A17F2C" w:rsidP="000337CB">
      <w:pPr>
        <w:spacing w:before="120" w:after="120"/>
        <w:rPr>
          <w:szCs w:val="24"/>
          <w:u w:val="single"/>
        </w:rPr>
      </w:pPr>
      <w:r w:rsidRPr="00A77E34">
        <w:rPr>
          <w:szCs w:val="24"/>
          <w:u w:val="single"/>
        </w:rPr>
        <w:t xml:space="preserve">Analysis </w:t>
      </w:r>
    </w:p>
    <w:p w14:paraId="054BD673" w14:textId="2C3FF95A" w:rsidR="007708B3" w:rsidRPr="00A77E34" w:rsidRDefault="00BF60D9" w:rsidP="00302F5C">
      <w:pPr>
        <w:rPr>
          <w:szCs w:val="24"/>
        </w:rPr>
      </w:pPr>
      <w:r w:rsidRPr="00A77E34">
        <w:rPr>
          <w:szCs w:val="24"/>
        </w:rPr>
        <w:t>This instrument advances the right to health and the right to social security by ensuring p</w:t>
      </w:r>
      <w:r w:rsidR="006E21B0" w:rsidRPr="00A77E34">
        <w:rPr>
          <w:szCs w:val="24"/>
        </w:rPr>
        <w:t xml:space="preserve">eople </w:t>
      </w:r>
      <w:r w:rsidRPr="00A77E34">
        <w:rPr>
          <w:szCs w:val="24"/>
        </w:rPr>
        <w:t xml:space="preserve">who have been affected by </w:t>
      </w:r>
      <w:r w:rsidR="003A773B" w:rsidRPr="00A77E34">
        <w:t xml:space="preserve">COVID-19 </w:t>
      </w:r>
      <w:r w:rsidRPr="00A77E34">
        <w:rPr>
          <w:szCs w:val="24"/>
        </w:rPr>
        <w:t xml:space="preserve">can access publicly subsidised health services </w:t>
      </w:r>
      <w:r w:rsidR="003A773B" w:rsidRPr="00A77E34">
        <w:rPr>
          <w:szCs w:val="24"/>
        </w:rPr>
        <w:t>without the risk of affecting other people or health professionals</w:t>
      </w:r>
      <w:r w:rsidRPr="00A77E34">
        <w:rPr>
          <w:szCs w:val="24"/>
        </w:rPr>
        <w:t>.</w:t>
      </w:r>
    </w:p>
    <w:p w14:paraId="2412D166" w14:textId="3DC8CCE1" w:rsidR="00A17F2C" w:rsidRPr="00A77E34" w:rsidRDefault="00A17F2C" w:rsidP="004B7CB9">
      <w:pPr>
        <w:spacing w:before="120" w:after="120" w:line="276" w:lineRule="auto"/>
        <w:rPr>
          <w:rFonts w:eastAsia="Calibri"/>
          <w:b/>
          <w:szCs w:val="24"/>
          <w:lang w:eastAsia="en-US"/>
        </w:rPr>
      </w:pPr>
      <w:r w:rsidRPr="00A77E34">
        <w:rPr>
          <w:rFonts w:eastAsia="Calibri"/>
          <w:b/>
          <w:szCs w:val="24"/>
          <w:lang w:eastAsia="en-US"/>
        </w:rPr>
        <w:t xml:space="preserve">Conclusion </w:t>
      </w:r>
    </w:p>
    <w:p w14:paraId="04E39A9C" w14:textId="77777777" w:rsidR="00C07ABE" w:rsidRPr="00A77E34" w:rsidRDefault="006E6BBF" w:rsidP="000337CB">
      <w:pPr>
        <w:rPr>
          <w:szCs w:val="24"/>
        </w:rPr>
      </w:pPr>
      <w:r w:rsidRPr="00A77E34">
        <w:rPr>
          <w:szCs w:val="24"/>
        </w:rPr>
        <w:t xml:space="preserve">This </w:t>
      </w:r>
      <w:r w:rsidR="0046022A" w:rsidRPr="00A77E34">
        <w:rPr>
          <w:szCs w:val="24"/>
        </w:rPr>
        <w:t>instrument</w:t>
      </w:r>
      <w:r w:rsidRPr="00A77E34">
        <w:rPr>
          <w:szCs w:val="24"/>
        </w:rPr>
        <w:t xml:space="preserve"> </w:t>
      </w:r>
      <w:r w:rsidR="00F15284" w:rsidRPr="00A77E34">
        <w:rPr>
          <w:szCs w:val="24"/>
        </w:rPr>
        <w:t xml:space="preserve">is compatible with human rights as it </w:t>
      </w:r>
      <w:r w:rsidR="006E21B0" w:rsidRPr="00A77E34">
        <w:rPr>
          <w:szCs w:val="24"/>
        </w:rPr>
        <w:t>advances</w:t>
      </w:r>
      <w:r w:rsidR="007C7403" w:rsidRPr="00A77E34">
        <w:rPr>
          <w:szCs w:val="24"/>
        </w:rPr>
        <w:t xml:space="preserve"> the </w:t>
      </w:r>
      <w:r w:rsidR="00910EF6" w:rsidRPr="00A77E34">
        <w:rPr>
          <w:szCs w:val="24"/>
        </w:rPr>
        <w:t>right to health and the right to social security.</w:t>
      </w:r>
    </w:p>
    <w:p w14:paraId="75A46380" w14:textId="484BE7BD" w:rsidR="00C67BC7" w:rsidRPr="00A77E34" w:rsidRDefault="00C67BC7" w:rsidP="000F2948">
      <w:pPr>
        <w:jc w:val="center"/>
        <w:rPr>
          <w:b/>
          <w:bCs/>
        </w:rPr>
      </w:pPr>
    </w:p>
    <w:p w14:paraId="194EE454" w14:textId="36538D91" w:rsidR="00BF60D9" w:rsidRPr="00A77E34" w:rsidRDefault="003A773B" w:rsidP="00BF60D9">
      <w:pPr>
        <w:jc w:val="center"/>
        <w:rPr>
          <w:b/>
        </w:rPr>
      </w:pPr>
      <w:r w:rsidRPr="00A77E34">
        <w:rPr>
          <w:b/>
        </w:rPr>
        <w:t>David Weiss</w:t>
      </w:r>
      <w:r w:rsidR="00C07ABE" w:rsidRPr="00A77E34">
        <w:rPr>
          <w:b/>
        </w:rPr>
        <w:t xml:space="preserve"> </w:t>
      </w:r>
    </w:p>
    <w:p w14:paraId="029A1920" w14:textId="72D37EE7" w:rsidR="00BF60D9" w:rsidRPr="00A77E34" w:rsidRDefault="003A773B" w:rsidP="00BF60D9">
      <w:pPr>
        <w:jc w:val="center"/>
        <w:rPr>
          <w:b/>
        </w:rPr>
      </w:pPr>
      <w:r w:rsidRPr="00A77E34">
        <w:rPr>
          <w:b/>
        </w:rPr>
        <w:t xml:space="preserve">First </w:t>
      </w:r>
      <w:r w:rsidR="00BF60D9" w:rsidRPr="00A77E34">
        <w:rPr>
          <w:b/>
        </w:rPr>
        <w:t>Assistant Secretary</w:t>
      </w:r>
    </w:p>
    <w:p w14:paraId="7F9BBC69" w14:textId="77777777" w:rsidR="00BF60D9" w:rsidRPr="00A77E34" w:rsidRDefault="00BF60D9" w:rsidP="00BF60D9">
      <w:pPr>
        <w:jc w:val="center"/>
        <w:rPr>
          <w:b/>
        </w:rPr>
      </w:pPr>
      <w:r w:rsidRPr="00A77E34">
        <w:rPr>
          <w:b/>
        </w:rPr>
        <w:t>Medical Benefits Division</w:t>
      </w:r>
    </w:p>
    <w:p w14:paraId="1497FB76" w14:textId="77777777" w:rsidR="00BF60D9" w:rsidRPr="00A77E34" w:rsidRDefault="00BF60D9" w:rsidP="00BF60D9">
      <w:pPr>
        <w:shd w:val="clear" w:color="auto" w:fill="FFFFFF"/>
        <w:spacing w:line="240" w:lineRule="atLeast"/>
        <w:ind w:right="-23"/>
        <w:jc w:val="center"/>
        <w:rPr>
          <w:b/>
          <w:szCs w:val="22"/>
        </w:rPr>
      </w:pPr>
      <w:r w:rsidRPr="00A77E34">
        <w:rPr>
          <w:b/>
          <w:szCs w:val="22"/>
        </w:rPr>
        <w:t>Health Financing Group</w:t>
      </w:r>
    </w:p>
    <w:p w14:paraId="2596A653" w14:textId="6B9706BC" w:rsidR="00BF60D9" w:rsidRPr="00BF60D9" w:rsidRDefault="00BF60D9" w:rsidP="00BF60D9">
      <w:pPr>
        <w:jc w:val="center"/>
        <w:rPr>
          <w:rFonts w:eastAsia="Calibri"/>
          <w:szCs w:val="24"/>
          <w:lang w:eastAsia="en-US"/>
        </w:rPr>
      </w:pPr>
      <w:r w:rsidRPr="00A77E34">
        <w:rPr>
          <w:b/>
          <w:bCs/>
        </w:rPr>
        <w:t>Department of Health</w:t>
      </w:r>
    </w:p>
    <w:p w14:paraId="2412D16E" w14:textId="4E727DBF" w:rsidR="00636C51" w:rsidRPr="0020245D" w:rsidRDefault="00636C51" w:rsidP="00BF60D9">
      <w:pPr>
        <w:shd w:val="clear" w:color="auto" w:fill="FFFFFF"/>
        <w:spacing w:line="240" w:lineRule="atLeast"/>
        <w:ind w:right="-23"/>
        <w:jc w:val="center"/>
        <w:rPr>
          <w:rFonts w:eastAsia="Calibri"/>
          <w:szCs w:val="24"/>
          <w:lang w:eastAsia="en-US"/>
        </w:rPr>
      </w:pPr>
    </w:p>
    <w:sectPr w:rsidR="00636C51" w:rsidRPr="0020245D" w:rsidSect="00B15781">
      <w:headerReference w:type="even" r:id="rId13"/>
      <w:headerReference w:type="default" r:id="rId14"/>
      <w:headerReference w:type="first" r:id="rId15"/>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00D0" w14:textId="51525B04" w:rsidR="008061C6" w:rsidRDefault="008061C6" w:rsidP="00296D61">
    <w:pPr>
      <w:pStyle w:val="Footer"/>
      <w:jc w:val="center"/>
    </w:pPr>
  </w:p>
  <w:p w14:paraId="6BC6E39F" w14:textId="77777777" w:rsidR="008061C6" w:rsidRDefault="00806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704723"/>
      <w:docPartObj>
        <w:docPartGallery w:val="Page Numbers (Top of Page)"/>
        <w:docPartUnique/>
      </w:docPartObj>
    </w:sdtPr>
    <w:sdtEndPr>
      <w:rPr>
        <w:noProof/>
      </w:rPr>
    </w:sdtEndPr>
    <w:sdtContent>
      <w:p w14:paraId="64BA5313" w14:textId="449CD969" w:rsidR="00296D61" w:rsidRDefault="00296D61">
        <w:pPr>
          <w:pStyle w:val="Header"/>
          <w:jc w:val="center"/>
        </w:pPr>
        <w:r>
          <w:fldChar w:fldCharType="begin"/>
        </w:r>
        <w:r>
          <w:instrText xml:space="preserve"> PAGE   \* MERGEFORMAT </w:instrText>
        </w:r>
        <w:r>
          <w:fldChar w:fldCharType="separate"/>
        </w:r>
        <w:r w:rsidR="00192E13">
          <w:rPr>
            <w:noProof/>
          </w:rPr>
          <w:t>2</w:t>
        </w:r>
        <w:r>
          <w:rPr>
            <w:noProof/>
          </w:rPr>
          <w:fldChar w:fldCharType="end"/>
        </w:r>
      </w:p>
    </w:sdtContent>
  </w:sdt>
  <w:p w14:paraId="40D5316A" w14:textId="77777777" w:rsidR="00296D61" w:rsidRDefault="00296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7BF79DE6" w:rsidR="00E23B6B" w:rsidRDefault="00E23B6B">
        <w:pPr>
          <w:pStyle w:val="Header"/>
          <w:jc w:val="center"/>
        </w:pPr>
        <w:r>
          <w:fldChar w:fldCharType="begin"/>
        </w:r>
        <w:r>
          <w:instrText xml:space="preserve"> PAGE   \* MERGEFORMAT </w:instrText>
        </w:r>
        <w:r>
          <w:fldChar w:fldCharType="separate"/>
        </w:r>
        <w:r w:rsidR="00192E13">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2C77B7A4" w:rsidR="00E23B6B" w:rsidRDefault="00E23B6B">
        <w:pPr>
          <w:pStyle w:val="Header"/>
          <w:jc w:val="center"/>
        </w:pPr>
        <w:r>
          <w:fldChar w:fldCharType="begin"/>
        </w:r>
        <w:r>
          <w:instrText xml:space="preserve"> PAGE   \* MERGEFORMAT </w:instrText>
        </w:r>
        <w:r>
          <w:fldChar w:fldCharType="separate"/>
        </w:r>
        <w:r w:rsidR="00A50F1F">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CA2803"/>
    <w:multiLevelType w:val="hybridMultilevel"/>
    <w:tmpl w:val="89261D38"/>
    <w:lvl w:ilvl="0" w:tplc="2C58AA8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C695B6D"/>
    <w:multiLevelType w:val="hybridMultilevel"/>
    <w:tmpl w:val="84E0FAE8"/>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47000D"/>
    <w:multiLevelType w:val="hybridMultilevel"/>
    <w:tmpl w:val="245EA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34253"/>
    <w:multiLevelType w:val="hybridMultilevel"/>
    <w:tmpl w:val="F8824626"/>
    <w:lvl w:ilvl="0" w:tplc="362EE202">
      <w:start w:val="1"/>
      <w:numFmt w:val="lowerLetter"/>
      <w:lvlText w:val="(%1)"/>
      <w:lvlJc w:val="left"/>
      <w:pPr>
        <w:ind w:left="1830" w:hanging="14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E3284C"/>
    <w:multiLevelType w:val="hybridMultilevel"/>
    <w:tmpl w:val="5D7CC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9C1FB6"/>
    <w:multiLevelType w:val="hybridMultilevel"/>
    <w:tmpl w:val="2EE0C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4F7186"/>
    <w:multiLevelType w:val="hybridMultilevel"/>
    <w:tmpl w:val="0298E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9469E2"/>
    <w:multiLevelType w:val="hybridMultilevel"/>
    <w:tmpl w:val="B2B2C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7"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7DB7C9D"/>
    <w:multiLevelType w:val="hybridMultilevel"/>
    <w:tmpl w:val="EA206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5"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3"/>
  </w:num>
  <w:num w:numId="4">
    <w:abstractNumId w:val="17"/>
  </w:num>
  <w:num w:numId="5">
    <w:abstractNumId w:val="25"/>
  </w:num>
  <w:num w:numId="6">
    <w:abstractNumId w:val="14"/>
  </w:num>
  <w:num w:numId="7">
    <w:abstractNumId w:val="37"/>
  </w:num>
  <w:num w:numId="8">
    <w:abstractNumId w:val="9"/>
  </w:num>
  <w:num w:numId="9">
    <w:abstractNumId w:val="8"/>
  </w:num>
  <w:num w:numId="10">
    <w:abstractNumId w:val="39"/>
  </w:num>
  <w:num w:numId="11">
    <w:abstractNumId w:val="36"/>
  </w:num>
  <w:num w:numId="12">
    <w:abstractNumId w:val="18"/>
  </w:num>
  <w:num w:numId="13">
    <w:abstractNumId w:val="21"/>
  </w:num>
  <w:num w:numId="14">
    <w:abstractNumId w:val="34"/>
  </w:num>
  <w:num w:numId="15">
    <w:abstractNumId w:val="10"/>
  </w:num>
  <w:num w:numId="16">
    <w:abstractNumId w:val="27"/>
  </w:num>
  <w:num w:numId="17">
    <w:abstractNumId w:val="30"/>
  </w:num>
  <w:num w:numId="18">
    <w:abstractNumId w:val="28"/>
  </w:num>
  <w:num w:numId="19">
    <w:abstractNumId w:val="6"/>
  </w:num>
  <w:num w:numId="20">
    <w:abstractNumId w:val="1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9"/>
  </w:num>
  <w:num w:numId="25">
    <w:abstractNumId w:val="13"/>
  </w:num>
  <w:num w:numId="26">
    <w:abstractNumId w:val="7"/>
  </w:num>
  <w:num w:numId="27">
    <w:abstractNumId w:val="22"/>
  </w:num>
  <w:num w:numId="28">
    <w:abstractNumId w:val="38"/>
  </w:num>
  <w:num w:numId="29">
    <w:abstractNumId w:val="23"/>
  </w:num>
  <w:num w:numId="30">
    <w:abstractNumId w:val="35"/>
  </w:num>
  <w:num w:numId="31">
    <w:abstractNumId w:val="19"/>
  </w:num>
  <w:num w:numId="32">
    <w:abstractNumId w:val="33"/>
  </w:num>
  <w:num w:numId="33">
    <w:abstractNumId w:val="32"/>
  </w:num>
  <w:num w:numId="34">
    <w:abstractNumId w:val="24"/>
  </w:num>
  <w:num w:numId="35">
    <w:abstractNumId w:val="1"/>
  </w:num>
  <w:num w:numId="36">
    <w:abstractNumId w:val="11"/>
  </w:num>
  <w:num w:numId="37">
    <w:abstractNumId w:val="5"/>
  </w:num>
  <w:num w:numId="38">
    <w:abstractNumId w:val="20"/>
  </w:num>
  <w:num w:numId="39">
    <w:abstractNumId w:val="12"/>
  </w:num>
  <w:num w:numId="40">
    <w:abstractNumId w:val="15"/>
  </w:num>
  <w:num w:numId="4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0404"/>
    <w:rsid w:val="000609A3"/>
    <w:rsid w:val="00063242"/>
    <w:rsid w:val="000640CF"/>
    <w:rsid w:val="00064BA4"/>
    <w:rsid w:val="000655B2"/>
    <w:rsid w:val="00067281"/>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766"/>
    <w:rsid w:val="000A6FB3"/>
    <w:rsid w:val="000A7B9B"/>
    <w:rsid w:val="000B1D2D"/>
    <w:rsid w:val="000B208E"/>
    <w:rsid w:val="000B3452"/>
    <w:rsid w:val="000C0FDE"/>
    <w:rsid w:val="000C1226"/>
    <w:rsid w:val="000C12EE"/>
    <w:rsid w:val="000C15F6"/>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D26"/>
    <w:rsid w:val="00141E8C"/>
    <w:rsid w:val="00143685"/>
    <w:rsid w:val="00143943"/>
    <w:rsid w:val="001448F2"/>
    <w:rsid w:val="00144F33"/>
    <w:rsid w:val="00145918"/>
    <w:rsid w:val="00145D25"/>
    <w:rsid w:val="00145DED"/>
    <w:rsid w:val="001519E4"/>
    <w:rsid w:val="00154FC4"/>
    <w:rsid w:val="001551FE"/>
    <w:rsid w:val="0015521F"/>
    <w:rsid w:val="001603DB"/>
    <w:rsid w:val="001641C0"/>
    <w:rsid w:val="001647C3"/>
    <w:rsid w:val="00164A69"/>
    <w:rsid w:val="0016646C"/>
    <w:rsid w:val="00167DA1"/>
    <w:rsid w:val="00171699"/>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1812"/>
    <w:rsid w:val="0019289B"/>
    <w:rsid w:val="001929C3"/>
    <w:rsid w:val="00192E1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4714"/>
    <w:rsid w:val="001C51D8"/>
    <w:rsid w:val="001C5FC1"/>
    <w:rsid w:val="001C6713"/>
    <w:rsid w:val="001D0C04"/>
    <w:rsid w:val="001D63A0"/>
    <w:rsid w:val="001D6B46"/>
    <w:rsid w:val="001D778A"/>
    <w:rsid w:val="001D7D62"/>
    <w:rsid w:val="001E014D"/>
    <w:rsid w:val="001E1E2E"/>
    <w:rsid w:val="001E2D6D"/>
    <w:rsid w:val="001E3315"/>
    <w:rsid w:val="001E3B02"/>
    <w:rsid w:val="001E5391"/>
    <w:rsid w:val="001E5787"/>
    <w:rsid w:val="001E57BC"/>
    <w:rsid w:val="001E5DE7"/>
    <w:rsid w:val="001E63F3"/>
    <w:rsid w:val="001E7C25"/>
    <w:rsid w:val="001F004A"/>
    <w:rsid w:val="001F0923"/>
    <w:rsid w:val="001F1F27"/>
    <w:rsid w:val="001F5450"/>
    <w:rsid w:val="00200145"/>
    <w:rsid w:val="002003CA"/>
    <w:rsid w:val="002003F7"/>
    <w:rsid w:val="00200971"/>
    <w:rsid w:val="0020245D"/>
    <w:rsid w:val="00203952"/>
    <w:rsid w:val="00203F23"/>
    <w:rsid w:val="00204413"/>
    <w:rsid w:val="00210EE7"/>
    <w:rsid w:val="00213177"/>
    <w:rsid w:val="00213DED"/>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374F0"/>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4E31"/>
    <w:rsid w:val="00285256"/>
    <w:rsid w:val="00287AEF"/>
    <w:rsid w:val="00287B08"/>
    <w:rsid w:val="00290B98"/>
    <w:rsid w:val="002944D4"/>
    <w:rsid w:val="00296763"/>
    <w:rsid w:val="00296D61"/>
    <w:rsid w:val="0029737E"/>
    <w:rsid w:val="00297AD0"/>
    <w:rsid w:val="002A0CC8"/>
    <w:rsid w:val="002A1E2C"/>
    <w:rsid w:val="002A3243"/>
    <w:rsid w:val="002A5CDF"/>
    <w:rsid w:val="002A68B3"/>
    <w:rsid w:val="002A6C77"/>
    <w:rsid w:val="002B2AC5"/>
    <w:rsid w:val="002B2E78"/>
    <w:rsid w:val="002B4219"/>
    <w:rsid w:val="002B49DE"/>
    <w:rsid w:val="002B4E4D"/>
    <w:rsid w:val="002B53D3"/>
    <w:rsid w:val="002B7177"/>
    <w:rsid w:val="002C092B"/>
    <w:rsid w:val="002C1BFE"/>
    <w:rsid w:val="002C2738"/>
    <w:rsid w:val="002C4F5B"/>
    <w:rsid w:val="002C54A1"/>
    <w:rsid w:val="002C5DCD"/>
    <w:rsid w:val="002D03AB"/>
    <w:rsid w:val="002D2A4E"/>
    <w:rsid w:val="002D5294"/>
    <w:rsid w:val="002D59E0"/>
    <w:rsid w:val="002D5DFC"/>
    <w:rsid w:val="002D5E92"/>
    <w:rsid w:val="002D6269"/>
    <w:rsid w:val="002D629A"/>
    <w:rsid w:val="002D7F37"/>
    <w:rsid w:val="002E12C3"/>
    <w:rsid w:val="002E3493"/>
    <w:rsid w:val="002E35BF"/>
    <w:rsid w:val="002E3F4F"/>
    <w:rsid w:val="002E5708"/>
    <w:rsid w:val="002E5F5C"/>
    <w:rsid w:val="002E6FD5"/>
    <w:rsid w:val="002E7D88"/>
    <w:rsid w:val="002F0434"/>
    <w:rsid w:val="002F12F7"/>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41A17"/>
    <w:rsid w:val="0034279F"/>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6A5A"/>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A773B"/>
    <w:rsid w:val="003B1976"/>
    <w:rsid w:val="003B1D46"/>
    <w:rsid w:val="003B27BA"/>
    <w:rsid w:val="003B366C"/>
    <w:rsid w:val="003B38C1"/>
    <w:rsid w:val="003B59A9"/>
    <w:rsid w:val="003B5AE2"/>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1BF5"/>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9BA"/>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14B0"/>
    <w:rsid w:val="00492341"/>
    <w:rsid w:val="00492DBE"/>
    <w:rsid w:val="004962CC"/>
    <w:rsid w:val="00497EC1"/>
    <w:rsid w:val="004A0313"/>
    <w:rsid w:val="004A0A89"/>
    <w:rsid w:val="004A0BE6"/>
    <w:rsid w:val="004A18CE"/>
    <w:rsid w:val="004A2249"/>
    <w:rsid w:val="004A26E0"/>
    <w:rsid w:val="004A524A"/>
    <w:rsid w:val="004A56D3"/>
    <w:rsid w:val="004A6B0F"/>
    <w:rsid w:val="004B0C7A"/>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28FB"/>
    <w:rsid w:val="004E34FB"/>
    <w:rsid w:val="004E39E6"/>
    <w:rsid w:val="004E71DC"/>
    <w:rsid w:val="004E7F97"/>
    <w:rsid w:val="004F1563"/>
    <w:rsid w:val="004F20B0"/>
    <w:rsid w:val="004F4BAD"/>
    <w:rsid w:val="004F7682"/>
    <w:rsid w:val="005012BC"/>
    <w:rsid w:val="00501DB3"/>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13A9"/>
    <w:rsid w:val="00552105"/>
    <w:rsid w:val="0055354D"/>
    <w:rsid w:val="00554543"/>
    <w:rsid w:val="005555B8"/>
    <w:rsid w:val="005567CF"/>
    <w:rsid w:val="005642D9"/>
    <w:rsid w:val="00564C2B"/>
    <w:rsid w:val="00564C37"/>
    <w:rsid w:val="00564D84"/>
    <w:rsid w:val="00570F2B"/>
    <w:rsid w:val="00571566"/>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5E4"/>
    <w:rsid w:val="00594EB6"/>
    <w:rsid w:val="0059798F"/>
    <w:rsid w:val="00597EC9"/>
    <w:rsid w:val="005A0300"/>
    <w:rsid w:val="005A163F"/>
    <w:rsid w:val="005A33FA"/>
    <w:rsid w:val="005A3D73"/>
    <w:rsid w:val="005A3D8D"/>
    <w:rsid w:val="005A445D"/>
    <w:rsid w:val="005A7D9C"/>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3F8F"/>
    <w:rsid w:val="005E44A6"/>
    <w:rsid w:val="005E49E7"/>
    <w:rsid w:val="005E56FE"/>
    <w:rsid w:val="005E62D6"/>
    <w:rsid w:val="005E6A82"/>
    <w:rsid w:val="005E7398"/>
    <w:rsid w:val="005F04DC"/>
    <w:rsid w:val="005F0F6C"/>
    <w:rsid w:val="005F1A7F"/>
    <w:rsid w:val="005F6CC7"/>
    <w:rsid w:val="00601165"/>
    <w:rsid w:val="00607971"/>
    <w:rsid w:val="00611A4E"/>
    <w:rsid w:val="006122C0"/>
    <w:rsid w:val="0061281D"/>
    <w:rsid w:val="00613C46"/>
    <w:rsid w:val="00614085"/>
    <w:rsid w:val="006157DA"/>
    <w:rsid w:val="00616889"/>
    <w:rsid w:val="00617F77"/>
    <w:rsid w:val="00621348"/>
    <w:rsid w:val="00623004"/>
    <w:rsid w:val="006237CC"/>
    <w:rsid w:val="00627C91"/>
    <w:rsid w:val="00635031"/>
    <w:rsid w:val="006369D4"/>
    <w:rsid w:val="00636C51"/>
    <w:rsid w:val="006407FA"/>
    <w:rsid w:val="00642244"/>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96474"/>
    <w:rsid w:val="006A029B"/>
    <w:rsid w:val="006A17A1"/>
    <w:rsid w:val="006A61C5"/>
    <w:rsid w:val="006B0246"/>
    <w:rsid w:val="006B0F31"/>
    <w:rsid w:val="006B13BC"/>
    <w:rsid w:val="006B32FE"/>
    <w:rsid w:val="006B3959"/>
    <w:rsid w:val="006B4B58"/>
    <w:rsid w:val="006B6925"/>
    <w:rsid w:val="006C026A"/>
    <w:rsid w:val="006C138D"/>
    <w:rsid w:val="006C26E9"/>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21B0"/>
    <w:rsid w:val="006E320C"/>
    <w:rsid w:val="006E3D84"/>
    <w:rsid w:val="006E527B"/>
    <w:rsid w:val="006E5C6B"/>
    <w:rsid w:val="006E6377"/>
    <w:rsid w:val="006E6640"/>
    <w:rsid w:val="006E6BBF"/>
    <w:rsid w:val="006E7529"/>
    <w:rsid w:val="006F2E4F"/>
    <w:rsid w:val="006F5CDC"/>
    <w:rsid w:val="006F6EC2"/>
    <w:rsid w:val="006F7CA0"/>
    <w:rsid w:val="0070058D"/>
    <w:rsid w:val="00700F7D"/>
    <w:rsid w:val="00702854"/>
    <w:rsid w:val="00704585"/>
    <w:rsid w:val="00704A1A"/>
    <w:rsid w:val="00705833"/>
    <w:rsid w:val="00705924"/>
    <w:rsid w:val="00707B77"/>
    <w:rsid w:val="00707CE9"/>
    <w:rsid w:val="00710055"/>
    <w:rsid w:val="007103BC"/>
    <w:rsid w:val="0071184F"/>
    <w:rsid w:val="00712189"/>
    <w:rsid w:val="007134A2"/>
    <w:rsid w:val="00713FB2"/>
    <w:rsid w:val="00717478"/>
    <w:rsid w:val="00717B45"/>
    <w:rsid w:val="007202C4"/>
    <w:rsid w:val="0072111F"/>
    <w:rsid w:val="0072331C"/>
    <w:rsid w:val="007254FE"/>
    <w:rsid w:val="00726CFA"/>
    <w:rsid w:val="0072758A"/>
    <w:rsid w:val="007304D5"/>
    <w:rsid w:val="00730965"/>
    <w:rsid w:val="00733599"/>
    <w:rsid w:val="00733678"/>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2A5"/>
    <w:rsid w:val="00756FEA"/>
    <w:rsid w:val="00757618"/>
    <w:rsid w:val="00762606"/>
    <w:rsid w:val="00762B45"/>
    <w:rsid w:val="0076544A"/>
    <w:rsid w:val="00767402"/>
    <w:rsid w:val="0077044D"/>
    <w:rsid w:val="007708B3"/>
    <w:rsid w:val="007710A8"/>
    <w:rsid w:val="007721B6"/>
    <w:rsid w:val="007727E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157E"/>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061C6"/>
    <w:rsid w:val="00807E80"/>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B9"/>
    <w:rsid w:val="008774D2"/>
    <w:rsid w:val="00880E40"/>
    <w:rsid w:val="00883771"/>
    <w:rsid w:val="00883C9D"/>
    <w:rsid w:val="00883EFE"/>
    <w:rsid w:val="008869CA"/>
    <w:rsid w:val="008870CD"/>
    <w:rsid w:val="008905BA"/>
    <w:rsid w:val="0089161D"/>
    <w:rsid w:val="0089375C"/>
    <w:rsid w:val="0089513F"/>
    <w:rsid w:val="00895699"/>
    <w:rsid w:val="008A0A3D"/>
    <w:rsid w:val="008A1478"/>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455F"/>
    <w:rsid w:val="008D6051"/>
    <w:rsid w:val="008D7A4F"/>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D8C"/>
    <w:rsid w:val="00923F94"/>
    <w:rsid w:val="00926DD3"/>
    <w:rsid w:val="00935308"/>
    <w:rsid w:val="009361EA"/>
    <w:rsid w:val="009361FD"/>
    <w:rsid w:val="009406D2"/>
    <w:rsid w:val="00940F17"/>
    <w:rsid w:val="009414C5"/>
    <w:rsid w:val="009427F2"/>
    <w:rsid w:val="00942A06"/>
    <w:rsid w:val="00944F64"/>
    <w:rsid w:val="00945CE1"/>
    <w:rsid w:val="009467A8"/>
    <w:rsid w:val="00951A0B"/>
    <w:rsid w:val="00953383"/>
    <w:rsid w:val="00956647"/>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718"/>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2014"/>
    <w:rsid w:val="00A14878"/>
    <w:rsid w:val="00A1707B"/>
    <w:rsid w:val="00A1739A"/>
    <w:rsid w:val="00A17694"/>
    <w:rsid w:val="00A17F2C"/>
    <w:rsid w:val="00A232B9"/>
    <w:rsid w:val="00A24F4B"/>
    <w:rsid w:val="00A3185E"/>
    <w:rsid w:val="00A33893"/>
    <w:rsid w:val="00A34C9A"/>
    <w:rsid w:val="00A34D89"/>
    <w:rsid w:val="00A35994"/>
    <w:rsid w:val="00A3611E"/>
    <w:rsid w:val="00A41364"/>
    <w:rsid w:val="00A41F72"/>
    <w:rsid w:val="00A4278E"/>
    <w:rsid w:val="00A4292D"/>
    <w:rsid w:val="00A44A25"/>
    <w:rsid w:val="00A50F1F"/>
    <w:rsid w:val="00A5266F"/>
    <w:rsid w:val="00A54891"/>
    <w:rsid w:val="00A54CA1"/>
    <w:rsid w:val="00A56516"/>
    <w:rsid w:val="00A62031"/>
    <w:rsid w:val="00A65D80"/>
    <w:rsid w:val="00A66849"/>
    <w:rsid w:val="00A672A7"/>
    <w:rsid w:val="00A714DD"/>
    <w:rsid w:val="00A73044"/>
    <w:rsid w:val="00A7379C"/>
    <w:rsid w:val="00A73CF1"/>
    <w:rsid w:val="00A75C9A"/>
    <w:rsid w:val="00A77E34"/>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5AD1"/>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B00238"/>
    <w:rsid w:val="00B0040D"/>
    <w:rsid w:val="00B019A9"/>
    <w:rsid w:val="00B03218"/>
    <w:rsid w:val="00B03273"/>
    <w:rsid w:val="00B039EC"/>
    <w:rsid w:val="00B04976"/>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1D90"/>
    <w:rsid w:val="00B445D0"/>
    <w:rsid w:val="00B45C4D"/>
    <w:rsid w:val="00B50E59"/>
    <w:rsid w:val="00B5241A"/>
    <w:rsid w:val="00B53FF2"/>
    <w:rsid w:val="00B54620"/>
    <w:rsid w:val="00B55CDD"/>
    <w:rsid w:val="00B56E4F"/>
    <w:rsid w:val="00B63345"/>
    <w:rsid w:val="00B63A7A"/>
    <w:rsid w:val="00B652B0"/>
    <w:rsid w:val="00B70D13"/>
    <w:rsid w:val="00B7119B"/>
    <w:rsid w:val="00B71CF1"/>
    <w:rsid w:val="00B72847"/>
    <w:rsid w:val="00B73A3D"/>
    <w:rsid w:val="00B74168"/>
    <w:rsid w:val="00B745A0"/>
    <w:rsid w:val="00B746F1"/>
    <w:rsid w:val="00B7481E"/>
    <w:rsid w:val="00B748AE"/>
    <w:rsid w:val="00B75DB2"/>
    <w:rsid w:val="00B7681E"/>
    <w:rsid w:val="00B818B0"/>
    <w:rsid w:val="00B81EB1"/>
    <w:rsid w:val="00B82DFC"/>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1E6F"/>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056"/>
    <w:rsid w:val="00BC626B"/>
    <w:rsid w:val="00BC65BB"/>
    <w:rsid w:val="00BC7397"/>
    <w:rsid w:val="00BD0628"/>
    <w:rsid w:val="00BD304A"/>
    <w:rsid w:val="00BD7FD9"/>
    <w:rsid w:val="00BE1022"/>
    <w:rsid w:val="00BE283F"/>
    <w:rsid w:val="00BE2ECA"/>
    <w:rsid w:val="00BE2EFA"/>
    <w:rsid w:val="00BE597C"/>
    <w:rsid w:val="00BE6870"/>
    <w:rsid w:val="00BE71FD"/>
    <w:rsid w:val="00BE7B19"/>
    <w:rsid w:val="00BF23A6"/>
    <w:rsid w:val="00BF2B47"/>
    <w:rsid w:val="00BF3B3D"/>
    <w:rsid w:val="00BF564D"/>
    <w:rsid w:val="00BF591D"/>
    <w:rsid w:val="00BF5A87"/>
    <w:rsid w:val="00BF5E7C"/>
    <w:rsid w:val="00BF60D9"/>
    <w:rsid w:val="00BF6341"/>
    <w:rsid w:val="00C0045E"/>
    <w:rsid w:val="00C00FC7"/>
    <w:rsid w:val="00C00FD8"/>
    <w:rsid w:val="00C05E84"/>
    <w:rsid w:val="00C073E4"/>
    <w:rsid w:val="00C07ABE"/>
    <w:rsid w:val="00C07C34"/>
    <w:rsid w:val="00C1252F"/>
    <w:rsid w:val="00C13962"/>
    <w:rsid w:val="00C154E6"/>
    <w:rsid w:val="00C158B5"/>
    <w:rsid w:val="00C16E23"/>
    <w:rsid w:val="00C17C1A"/>
    <w:rsid w:val="00C17ED8"/>
    <w:rsid w:val="00C2082B"/>
    <w:rsid w:val="00C20DBA"/>
    <w:rsid w:val="00C23920"/>
    <w:rsid w:val="00C326F4"/>
    <w:rsid w:val="00C33771"/>
    <w:rsid w:val="00C3411B"/>
    <w:rsid w:val="00C34230"/>
    <w:rsid w:val="00C3661B"/>
    <w:rsid w:val="00C42112"/>
    <w:rsid w:val="00C435EB"/>
    <w:rsid w:val="00C45768"/>
    <w:rsid w:val="00C4692B"/>
    <w:rsid w:val="00C46A0C"/>
    <w:rsid w:val="00C473F7"/>
    <w:rsid w:val="00C501E5"/>
    <w:rsid w:val="00C50D20"/>
    <w:rsid w:val="00C5100A"/>
    <w:rsid w:val="00C51884"/>
    <w:rsid w:val="00C528FC"/>
    <w:rsid w:val="00C549BC"/>
    <w:rsid w:val="00C54F71"/>
    <w:rsid w:val="00C56251"/>
    <w:rsid w:val="00C5667B"/>
    <w:rsid w:val="00C56A65"/>
    <w:rsid w:val="00C56FE0"/>
    <w:rsid w:val="00C57B9F"/>
    <w:rsid w:val="00C6072B"/>
    <w:rsid w:val="00C6094D"/>
    <w:rsid w:val="00C62733"/>
    <w:rsid w:val="00C62FDC"/>
    <w:rsid w:val="00C63FDC"/>
    <w:rsid w:val="00C67BC7"/>
    <w:rsid w:val="00C724F5"/>
    <w:rsid w:val="00C73066"/>
    <w:rsid w:val="00C7363D"/>
    <w:rsid w:val="00C743D2"/>
    <w:rsid w:val="00C77A1F"/>
    <w:rsid w:val="00C77C00"/>
    <w:rsid w:val="00C80647"/>
    <w:rsid w:val="00C80836"/>
    <w:rsid w:val="00C84DDE"/>
    <w:rsid w:val="00C85162"/>
    <w:rsid w:val="00C87864"/>
    <w:rsid w:val="00C90EAC"/>
    <w:rsid w:val="00C917FD"/>
    <w:rsid w:val="00C93D01"/>
    <w:rsid w:val="00C958FA"/>
    <w:rsid w:val="00C96958"/>
    <w:rsid w:val="00C96A6B"/>
    <w:rsid w:val="00CA62C0"/>
    <w:rsid w:val="00CA68AD"/>
    <w:rsid w:val="00CA73CB"/>
    <w:rsid w:val="00CA79BB"/>
    <w:rsid w:val="00CA7C5C"/>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11A"/>
    <w:rsid w:val="00CF34FA"/>
    <w:rsid w:val="00CF4B5F"/>
    <w:rsid w:val="00CF4FAD"/>
    <w:rsid w:val="00CF5C15"/>
    <w:rsid w:val="00CF6201"/>
    <w:rsid w:val="00CF6B2F"/>
    <w:rsid w:val="00D01D5A"/>
    <w:rsid w:val="00D054A5"/>
    <w:rsid w:val="00D05CAA"/>
    <w:rsid w:val="00D05DD5"/>
    <w:rsid w:val="00D06129"/>
    <w:rsid w:val="00D06699"/>
    <w:rsid w:val="00D114E6"/>
    <w:rsid w:val="00D1198D"/>
    <w:rsid w:val="00D15F17"/>
    <w:rsid w:val="00D161BE"/>
    <w:rsid w:val="00D162D9"/>
    <w:rsid w:val="00D170B4"/>
    <w:rsid w:val="00D17BDD"/>
    <w:rsid w:val="00D24F7B"/>
    <w:rsid w:val="00D2739B"/>
    <w:rsid w:val="00D27685"/>
    <w:rsid w:val="00D3068A"/>
    <w:rsid w:val="00D30F03"/>
    <w:rsid w:val="00D33180"/>
    <w:rsid w:val="00D34146"/>
    <w:rsid w:val="00D34E5E"/>
    <w:rsid w:val="00D35E2B"/>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0E97"/>
    <w:rsid w:val="00D63EFF"/>
    <w:rsid w:val="00D64096"/>
    <w:rsid w:val="00D644BD"/>
    <w:rsid w:val="00D65500"/>
    <w:rsid w:val="00D65F8F"/>
    <w:rsid w:val="00D664A9"/>
    <w:rsid w:val="00D66520"/>
    <w:rsid w:val="00D66C5B"/>
    <w:rsid w:val="00D671E2"/>
    <w:rsid w:val="00D67E0A"/>
    <w:rsid w:val="00D712E9"/>
    <w:rsid w:val="00D7566A"/>
    <w:rsid w:val="00D759A7"/>
    <w:rsid w:val="00D80027"/>
    <w:rsid w:val="00D85008"/>
    <w:rsid w:val="00D87426"/>
    <w:rsid w:val="00D8754D"/>
    <w:rsid w:val="00D92717"/>
    <w:rsid w:val="00D93E05"/>
    <w:rsid w:val="00D9515D"/>
    <w:rsid w:val="00DA3A08"/>
    <w:rsid w:val="00DA4715"/>
    <w:rsid w:val="00DA5CA9"/>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232E"/>
    <w:rsid w:val="00DF28F9"/>
    <w:rsid w:val="00DF51CA"/>
    <w:rsid w:val="00DF5581"/>
    <w:rsid w:val="00DF7501"/>
    <w:rsid w:val="00DF7936"/>
    <w:rsid w:val="00E004EF"/>
    <w:rsid w:val="00E04957"/>
    <w:rsid w:val="00E04B6F"/>
    <w:rsid w:val="00E11108"/>
    <w:rsid w:val="00E13833"/>
    <w:rsid w:val="00E17001"/>
    <w:rsid w:val="00E17406"/>
    <w:rsid w:val="00E20AE5"/>
    <w:rsid w:val="00E20F00"/>
    <w:rsid w:val="00E21297"/>
    <w:rsid w:val="00E23A38"/>
    <w:rsid w:val="00E23B6B"/>
    <w:rsid w:val="00E24721"/>
    <w:rsid w:val="00E25139"/>
    <w:rsid w:val="00E26090"/>
    <w:rsid w:val="00E265A0"/>
    <w:rsid w:val="00E266DE"/>
    <w:rsid w:val="00E311F5"/>
    <w:rsid w:val="00E34BF8"/>
    <w:rsid w:val="00E35B1E"/>
    <w:rsid w:val="00E40E25"/>
    <w:rsid w:val="00E4250F"/>
    <w:rsid w:val="00E44A7E"/>
    <w:rsid w:val="00E44CD6"/>
    <w:rsid w:val="00E46A7E"/>
    <w:rsid w:val="00E46CE8"/>
    <w:rsid w:val="00E51559"/>
    <w:rsid w:val="00E53E6F"/>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1F96"/>
    <w:rsid w:val="00EA26D6"/>
    <w:rsid w:val="00EA2E91"/>
    <w:rsid w:val="00EA2EE8"/>
    <w:rsid w:val="00EA31FD"/>
    <w:rsid w:val="00EA4349"/>
    <w:rsid w:val="00EA4EE4"/>
    <w:rsid w:val="00EA5A32"/>
    <w:rsid w:val="00EA7EB8"/>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69A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9DA"/>
    <w:rsid w:val="00F21A81"/>
    <w:rsid w:val="00F21CC1"/>
    <w:rsid w:val="00F22D61"/>
    <w:rsid w:val="00F2324D"/>
    <w:rsid w:val="00F2428F"/>
    <w:rsid w:val="00F25075"/>
    <w:rsid w:val="00F27444"/>
    <w:rsid w:val="00F3175D"/>
    <w:rsid w:val="00F317CA"/>
    <w:rsid w:val="00F319F3"/>
    <w:rsid w:val="00F31BFB"/>
    <w:rsid w:val="00F323E7"/>
    <w:rsid w:val="00F324D2"/>
    <w:rsid w:val="00F32A56"/>
    <w:rsid w:val="00F335E4"/>
    <w:rsid w:val="00F35509"/>
    <w:rsid w:val="00F358C3"/>
    <w:rsid w:val="00F413D8"/>
    <w:rsid w:val="00F42100"/>
    <w:rsid w:val="00F42A9B"/>
    <w:rsid w:val="00F45470"/>
    <w:rsid w:val="00F45B16"/>
    <w:rsid w:val="00F464FE"/>
    <w:rsid w:val="00F465F9"/>
    <w:rsid w:val="00F47621"/>
    <w:rsid w:val="00F570AB"/>
    <w:rsid w:val="00F571A5"/>
    <w:rsid w:val="00F57A71"/>
    <w:rsid w:val="00F60EFD"/>
    <w:rsid w:val="00F61C28"/>
    <w:rsid w:val="00F61E69"/>
    <w:rsid w:val="00F633B7"/>
    <w:rsid w:val="00F6350E"/>
    <w:rsid w:val="00F645F1"/>
    <w:rsid w:val="00F6591A"/>
    <w:rsid w:val="00F70D35"/>
    <w:rsid w:val="00F718DA"/>
    <w:rsid w:val="00F728FE"/>
    <w:rsid w:val="00F7546C"/>
    <w:rsid w:val="00F77B00"/>
    <w:rsid w:val="00F834C1"/>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18F"/>
    <w:rsid w:val="00FA5BD2"/>
    <w:rsid w:val="00FA6175"/>
    <w:rsid w:val="00FA6784"/>
    <w:rsid w:val="00FA7E00"/>
    <w:rsid w:val="00FB1780"/>
    <w:rsid w:val="00FB31BC"/>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4023"/>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0D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FollowedHyperlink">
    <w:name w:val="FollowedHyperlink"/>
    <w:basedOn w:val="DefaultParagraphFont"/>
    <w:uiPriority w:val="99"/>
    <w:semiHidden/>
    <w:unhideWhenUsed/>
    <w:rsid w:val="00717478"/>
    <w:rPr>
      <w:color w:val="800080" w:themeColor="followedHyperlink"/>
      <w:u w:val="single"/>
    </w:rPr>
  </w:style>
  <w:style w:type="character" w:styleId="BookTitle">
    <w:name w:val="Book Title"/>
    <w:aliases w:val="Description"/>
    <w:basedOn w:val="DefaultParagraphFont"/>
    <w:uiPriority w:val="33"/>
    <w:qFormat/>
    <w:rsid w:val="00EA1F96"/>
    <w:rPr>
      <w:rFonts w:ascii="Calibri" w:hAnsi="Calibri" w:cs="Calibri" w:hint="default"/>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588">
      <w:bodyDiv w:val="1"/>
      <w:marLeft w:val="0"/>
      <w:marRight w:val="0"/>
      <w:marTop w:val="0"/>
      <w:marBottom w:val="0"/>
      <w:divBdr>
        <w:top w:val="none" w:sz="0" w:space="0" w:color="auto"/>
        <w:left w:val="none" w:sz="0" w:space="0" w:color="auto"/>
        <w:bottom w:val="none" w:sz="0" w:space="0" w:color="auto"/>
        <w:right w:val="none" w:sz="0" w:space="0" w:color="auto"/>
      </w:divBdr>
      <w:divsChild>
        <w:div w:id="1825580171">
          <w:marLeft w:val="0"/>
          <w:marRight w:val="0"/>
          <w:marTop w:val="0"/>
          <w:marBottom w:val="0"/>
          <w:divBdr>
            <w:top w:val="none" w:sz="0" w:space="0" w:color="auto"/>
            <w:left w:val="none" w:sz="0" w:space="0" w:color="auto"/>
            <w:bottom w:val="none" w:sz="0" w:space="0" w:color="auto"/>
            <w:right w:val="none" w:sz="0" w:space="0" w:color="auto"/>
          </w:divBdr>
          <w:divsChild>
            <w:div w:id="1259559992">
              <w:marLeft w:val="0"/>
              <w:marRight w:val="0"/>
              <w:marTop w:val="0"/>
              <w:marBottom w:val="0"/>
              <w:divBdr>
                <w:top w:val="none" w:sz="0" w:space="0" w:color="auto"/>
                <w:left w:val="none" w:sz="0" w:space="0" w:color="auto"/>
                <w:bottom w:val="none" w:sz="0" w:space="0" w:color="auto"/>
                <w:right w:val="none" w:sz="0" w:space="0" w:color="auto"/>
              </w:divBdr>
              <w:divsChild>
                <w:div w:id="271521155">
                  <w:marLeft w:val="0"/>
                  <w:marRight w:val="0"/>
                  <w:marTop w:val="0"/>
                  <w:marBottom w:val="0"/>
                  <w:divBdr>
                    <w:top w:val="none" w:sz="0" w:space="0" w:color="auto"/>
                    <w:left w:val="none" w:sz="0" w:space="0" w:color="auto"/>
                    <w:bottom w:val="none" w:sz="0" w:space="0" w:color="auto"/>
                    <w:right w:val="none" w:sz="0" w:space="0" w:color="auto"/>
                  </w:divBdr>
                  <w:divsChild>
                    <w:div w:id="1337882489">
                      <w:marLeft w:val="0"/>
                      <w:marRight w:val="0"/>
                      <w:marTop w:val="0"/>
                      <w:marBottom w:val="0"/>
                      <w:divBdr>
                        <w:top w:val="none" w:sz="0" w:space="0" w:color="auto"/>
                        <w:left w:val="none" w:sz="0" w:space="0" w:color="auto"/>
                        <w:bottom w:val="none" w:sz="0" w:space="0" w:color="auto"/>
                        <w:right w:val="none" w:sz="0" w:space="0" w:color="auto"/>
                      </w:divBdr>
                      <w:divsChild>
                        <w:div w:id="849877423">
                          <w:marLeft w:val="0"/>
                          <w:marRight w:val="0"/>
                          <w:marTop w:val="0"/>
                          <w:marBottom w:val="0"/>
                          <w:divBdr>
                            <w:top w:val="none" w:sz="0" w:space="0" w:color="auto"/>
                            <w:left w:val="none" w:sz="0" w:space="0" w:color="auto"/>
                            <w:bottom w:val="none" w:sz="0" w:space="0" w:color="auto"/>
                            <w:right w:val="none" w:sz="0" w:space="0" w:color="auto"/>
                          </w:divBdr>
                          <w:divsChild>
                            <w:div w:id="1480533776">
                              <w:marLeft w:val="0"/>
                              <w:marRight w:val="0"/>
                              <w:marTop w:val="0"/>
                              <w:marBottom w:val="0"/>
                              <w:divBdr>
                                <w:top w:val="none" w:sz="0" w:space="0" w:color="auto"/>
                                <w:left w:val="none" w:sz="0" w:space="0" w:color="auto"/>
                                <w:bottom w:val="none" w:sz="0" w:space="0" w:color="auto"/>
                                <w:right w:val="none" w:sz="0" w:space="0" w:color="auto"/>
                              </w:divBdr>
                              <w:divsChild>
                                <w:div w:id="1355419705">
                                  <w:marLeft w:val="0"/>
                                  <w:marRight w:val="0"/>
                                  <w:marTop w:val="0"/>
                                  <w:marBottom w:val="0"/>
                                  <w:divBdr>
                                    <w:top w:val="none" w:sz="0" w:space="0" w:color="auto"/>
                                    <w:left w:val="none" w:sz="0" w:space="0" w:color="auto"/>
                                    <w:bottom w:val="none" w:sz="0" w:space="0" w:color="auto"/>
                                    <w:right w:val="none" w:sz="0" w:space="0" w:color="auto"/>
                                  </w:divBdr>
                                  <w:divsChild>
                                    <w:div w:id="9188738">
                                      <w:marLeft w:val="0"/>
                                      <w:marRight w:val="0"/>
                                      <w:marTop w:val="0"/>
                                      <w:marBottom w:val="0"/>
                                      <w:divBdr>
                                        <w:top w:val="none" w:sz="0" w:space="0" w:color="auto"/>
                                        <w:left w:val="none" w:sz="0" w:space="0" w:color="auto"/>
                                        <w:bottom w:val="none" w:sz="0" w:space="0" w:color="auto"/>
                                        <w:right w:val="none" w:sz="0" w:space="0" w:color="auto"/>
                                      </w:divBdr>
                                      <w:divsChild>
                                        <w:div w:id="81025891">
                                          <w:marLeft w:val="0"/>
                                          <w:marRight w:val="0"/>
                                          <w:marTop w:val="0"/>
                                          <w:marBottom w:val="0"/>
                                          <w:divBdr>
                                            <w:top w:val="none" w:sz="0" w:space="0" w:color="auto"/>
                                            <w:left w:val="none" w:sz="0" w:space="0" w:color="auto"/>
                                            <w:bottom w:val="none" w:sz="0" w:space="0" w:color="auto"/>
                                            <w:right w:val="none" w:sz="0" w:space="0" w:color="auto"/>
                                          </w:divBdr>
                                          <w:divsChild>
                                            <w:div w:id="521823019">
                                              <w:marLeft w:val="0"/>
                                              <w:marRight w:val="0"/>
                                              <w:marTop w:val="0"/>
                                              <w:marBottom w:val="0"/>
                                              <w:divBdr>
                                                <w:top w:val="none" w:sz="0" w:space="0" w:color="auto"/>
                                                <w:left w:val="none" w:sz="0" w:space="0" w:color="auto"/>
                                                <w:bottom w:val="none" w:sz="0" w:space="0" w:color="auto"/>
                                                <w:right w:val="none" w:sz="0" w:space="0" w:color="auto"/>
                                              </w:divBdr>
                                              <w:divsChild>
                                                <w:div w:id="582835724">
                                                  <w:marLeft w:val="0"/>
                                                  <w:marRight w:val="0"/>
                                                  <w:marTop w:val="0"/>
                                                  <w:marBottom w:val="0"/>
                                                  <w:divBdr>
                                                    <w:top w:val="none" w:sz="0" w:space="0" w:color="auto"/>
                                                    <w:left w:val="none" w:sz="0" w:space="0" w:color="auto"/>
                                                    <w:bottom w:val="none" w:sz="0" w:space="0" w:color="auto"/>
                                                    <w:right w:val="none" w:sz="0" w:space="0" w:color="auto"/>
                                                  </w:divBdr>
                                                  <w:divsChild>
                                                    <w:div w:id="1443837843">
                                                      <w:marLeft w:val="0"/>
                                                      <w:marRight w:val="0"/>
                                                      <w:marTop w:val="0"/>
                                                      <w:marBottom w:val="0"/>
                                                      <w:divBdr>
                                                        <w:top w:val="none" w:sz="0" w:space="0" w:color="auto"/>
                                                        <w:left w:val="none" w:sz="0" w:space="0" w:color="auto"/>
                                                        <w:bottom w:val="none" w:sz="0" w:space="0" w:color="auto"/>
                                                        <w:right w:val="none" w:sz="0" w:space="0" w:color="auto"/>
                                                      </w:divBdr>
                                                      <w:divsChild>
                                                        <w:div w:id="5047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50903817">
      <w:bodyDiv w:val="1"/>
      <w:marLeft w:val="0"/>
      <w:marRight w:val="0"/>
      <w:marTop w:val="0"/>
      <w:marBottom w:val="0"/>
      <w:divBdr>
        <w:top w:val="none" w:sz="0" w:space="0" w:color="auto"/>
        <w:left w:val="none" w:sz="0" w:space="0" w:color="auto"/>
        <w:bottom w:val="none" w:sz="0" w:space="0" w:color="auto"/>
        <w:right w:val="none" w:sz="0" w:space="0" w:color="auto"/>
      </w:divBdr>
      <w:divsChild>
        <w:div w:id="30231127">
          <w:marLeft w:val="0"/>
          <w:marRight w:val="0"/>
          <w:marTop w:val="0"/>
          <w:marBottom w:val="0"/>
          <w:divBdr>
            <w:top w:val="none" w:sz="0" w:space="0" w:color="auto"/>
            <w:left w:val="none" w:sz="0" w:space="0" w:color="auto"/>
            <w:bottom w:val="none" w:sz="0" w:space="0" w:color="auto"/>
            <w:right w:val="none" w:sz="0" w:space="0" w:color="auto"/>
          </w:divBdr>
          <w:divsChild>
            <w:div w:id="755201362">
              <w:marLeft w:val="0"/>
              <w:marRight w:val="0"/>
              <w:marTop w:val="0"/>
              <w:marBottom w:val="0"/>
              <w:divBdr>
                <w:top w:val="none" w:sz="0" w:space="0" w:color="auto"/>
                <w:left w:val="none" w:sz="0" w:space="0" w:color="auto"/>
                <w:bottom w:val="none" w:sz="0" w:space="0" w:color="auto"/>
                <w:right w:val="none" w:sz="0" w:space="0" w:color="auto"/>
              </w:divBdr>
              <w:divsChild>
                <w:div w:id="538050634">
                  <w:marLeft w:val="0"/>
                  <w:marRight w:val="0"/>
                  <w:marTop w:val="0"/>
                  <w:marBottom w:val="0"/>
                  <w:divBdr>
                    <w:top w:val="none" w:sz="0" w:space="0" w:color="auto"/>
                    <w:left w:val="none" w:sz="0" w:space="0" w:color="auto"/>
                    <w:bottom w:val="none" w:sz="0" w:space="0" w:color="auto"/>
                    <w:right w:val="none" w:sz="0" w:space="0" w:color="auto"/>
                  </w:divBdr>
                  <w:divsChild>
                    <w:div w:id="96877109">
                      <w:marLeft w:val="0"/>
                      <w:marRight w:val="0"/>
                      <w:marTop w:val="0"/>
                      <w:marBottom w:val="0"/>
                      <w:divBdr>
                        <w:top w:val="none" w:sz="0" w:space="0" w:color="auto"/>
                        <w:left w:val="none" w:sz="0" w:space="0" w:color="auto"/>
                        <w:bottom w:val="none" w:sz="0" w:space="0" w:color="auto"/>
                        <w:right w:val="none" w:sz="0" w:space="0" w:color="auto"/>
                      </w:divBdr>
                      <w:divsChild>
                        <w:div w:id="2023436138">
                          <w:marLeft w:val="0"/>
                          <w:marRight w:val="0"/>
                          <w:marTop w:val="0"/>
                          <w:marBottom w:val="0"/>
                          <w:divBdr>
                            <w:top w:val="none" w:sz="0" w:space="0" w:color="auto"/>
                            <w:left w:val="none" w:sz="0" w:space="0" w:color="auto"/>
                            <w:bottom w:val="none" w:sz="0" w:space="0" w:color="auto"/>
                            <w:right w:val="none" w:sz="0" w:space="0" w:color="auto"/>
                          </w:divBdr>
                          <w:divsChild>
                            <w:div w:id="1229924475">
                              <w:marLeft w:val="0"/>
                              <w:marRight w:val="0"/>
                              <w:marTop w:val="0"/>
                              <w:marBottom w:val="0"/>
                              <w:divBdr>
                                <w:top w:val="none" w:sz="0" w:space="0" w:color="auto"/>
                                <w:left w:val="none" w:sz="0" w:space="0" w:color="auto"/>
                                <w:bottom w:val="none" w:sz="0" w:space="0" w:color="auto"/>
                                <w:right w:val="none" w:sz="0" w:space="0" w:color="auto"/>
                              </w:divBdr>
                              <w:divsChild>
                                <w:div w:id="2081440778">
                                  <w:marLeft w:val="0"/>
                                  <w:marRight w:val="0"/>
                                  <w:marTop w:val="0"/>
                                  <w:marBottom w:val="0"/>
                                  <w:divBdr>
                                    <w:top w:val="none" w:sz="0" w:space="0" w:color="auto"/>
                                    <w:left w:val="none" w:sz="0" w:space="0" w:color="auto"/>
                                    <w:bottom w:val="none" w:sz="0" w:space="0" w:color="auto"/>
                                    <w:right w:val="none" w:sz="0" w:space="0" w:color="auto"/>
                                  </w:divBdr>
                                  <w:divsChild>
                                    <w:div w:id="1850217520">
                                      <w:marLeft w:val="0"/>
                                      <w:marRight w:val="0"/>
                                      <w:marTop w:val="0"/>
                                      <w:marBottom w:val="0"/>
                                      <w:divBdr>
                                        <w:top w:val="none" w:sz="0" w:space="0" w:color="auto"/>
                                        <w:left w:val="none" w:sz="0" w:space="0" w:color="auto"/>
                                        <w:bottom w:val="none" w:sz="0" w:space="0" w:color="auto"/>
                                        <w:right w:val="none" w:sz="0" w:space="0" w:color="auto"/>
                                      </w:divBdr>
                                      <w:divsChild>
                                        <w:div w:id="1133520878">
                                          <w:marLeft w:val="0"/>
                                          <w:marRight w:val="0"/>
                                          <w:marTop w:val="0"/>
                                          <w:marBottom w:val="0"/>
                                          <w:divBdr>
                                            <w:top w:val="none" w:sz="0" w:space="0" w:color="auto"/>
                                            <w:left w:val="none" w:sz="0" w:space="0" w:color="auto"/>
                                            <w:bottom w:val="none" w:sz="0" w:space="0" w:color="auto"/>
                                            <w:right w:val="none" w:sz="0" w:space="0" w:color="auto"/>
                                          </w:divBdr>
                                          <w:divsChild>
                                            <w:div w:id="653602981">
                                              <w:marLeft w:val="0"/>
                                              <w:marRight w:val="0"/>
                                              <w:marTop w:val="0"/>
                                              <w:marBottom w:val="0"/>
                                              <w:divBdr>
                                                <w:top w:val="none" w:sz="0" w:space="0" w:color="auto"/>
                                                <w:left w:val="none" w:sz="0" w:space="0" w:color="auto"/>
                                                <w:bottom w:val="none" w:sz="0" w:space="0" w:color="auto"/>
                                                <w:right w:val="none" w:sz="0" w:space="0" w:color="auto"/>
                                              </w:divBdr>
                                              <w:divsChild>
                                                <w:div w:id="2010937340">
                                                  <w:marLeft w:val="0"/>
                                                  <w:marRight w:val="0"/>
                                                  <w:marTop w:val="0"/>
                                                  <w:marBottom w:val="0"/>
                                                  <w:divBdr>
                                                    <w:top w:val="none" w:sz="0" w:space="0" w:color="auto"/>
                                                    <w:left w:val="none" w:sz="0" w:space="0" w:color="auto"/>
                                                    <w:bottom w:val="none" w:sz="0" w:space="0" w:color="auto"/>
                                                    <w:right w:val="none" w:sz="0" w:space="0" w:color="auto"/>
                                                  </w:divBdr>
                                                  <w:divsChild>
                                                    <w:div w:id="513493871">
                                                      <w:marLeft w:val="0"/>
                                                      <w:marRight w:val="0"/>
                                                      <w:marTop w:val="0"/>
                                                      <w:marBottom w:val="0"/>
                                                      <w:divBdr>
                                                        <w:top w:val="none" w:sz="0" w:space="0" w:color="auto"/>
                                                        <w:left w:val="none" w:sz="0" w:space="0" w:color="auto"/>
                                                        <w:bottom w:val="none" w:sz="0" w:space="0" w:color="auto"/>
                                                        <w:right w:val="none" w:sz="0" w:space="0" w:color="auto"/>
                                                      </w:divBdr>
                                                      <w:divsChild>
                                                        <w:div w:id="4324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06791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3482660">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8849312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8bd9498f-fa43-4ae2-8bb2-4c55a71680ad"/>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0768B-81B2-4D0A-894C-02F43747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2511</Words>
  <Characters>13289</Characters>
  <Application>Microsoft Office Word</Application>
  <DocSecurity>0</DocSecurity>
  <Lines>369</Lines>
  <Paragraphs>250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ALLARD, Melanie</cp:lastModifiedBy>
  <cp:revision>15</cp:revision>
  <cp:lastPrinted>2020-03-12T07:41:00Z</cp:lastPrinted>
  <dcterms:created xsi:type="dcterms:W3CDTF">2020-03-12T06:56:00Z</dcterms:created>
  <dcterms:modified xsi:type="dcterms:W3CDTF">2020-03-12T07:48:00Z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