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B65ABC" w:rsidRDefault="00FA6784" w:rsidP="00FA6784">
      <w:pPr>
        <w:pStyle w:val="H3"/>
        <w:jc w:val="center"/>
        <w:rPr>
          <w:sz w:val="24"/>
          <w:szCs w:val="24"/>
        </w:rPr>
      </w:pPr>
      <w:r w:rsidRPr="00B65ABC">
        <w:rPr>
          <w:sz w:val="24"/>
          <w:szCs w:val="24"/>
        </w:rPr>
        <w:t>EXPLANATORY STATEMENT</w:t>
      </w:r>
    </w:p>
    <w:p w14:paraId="2412D120" w14:textId="77777777" w:rsidR="00FA6784" w:rsidRPr="00B65ABC" w:rsidRDefault="00FA6784" w:rsidP="00FA6784">
      <w:pPr>
        <w:jc w:val="center"/>
        <w:rPr>
          <w:sz w:val="22"/>
          <w:szCs w:val="22"/>
        </w:rPr>
      </w:pPr>
    </w:p>
    <w:p w14:paraId="2412D121" w14:textId="04441B99" w:rsidR="00FA6784" w:rsidRPr="00B65ABC" w:rsidRDefault="00FA6784" w:rsidP="00FA6784">
      <w:pPr>
        <w:jc w:val="center"/>
      </w:pPr>
      <w:r w:rsidRPr="00B65ABC">
        <w:t>Issued by the</w:t>
      </w:r>
      <w:r w:rsidR="0089375C" w:rsidRPr="00B65ABC">
        <w:t xml:space="preserve"> </w:t>
      </w:r>
      <w:r w:rsidRPr="00B65ABC">
        <w:t>Minister for Health</w:t>
      </w:r>
    </w:p>
    <w:p w14:paraId="2412D122" w14:textId="77777777" w:rsidR="00FA6784" w:rsidRPr="00B65ABC" w:rsidRDefault="00FA6784" w:rsidP="00FA6784">
      <w:pPr>
        <w:jc w:val="center"/>
        <w:rPr>
          <w:i/>
          <w:iCs/>
          <w:sz w:val="20"/>
        </w:rPr>
      </w:pPr>
    </w:p>
    <w:p w14:paraId="2412D123" w14:textId="77777777" w:rsidR="00FA6784" w:rsidRPr="00B65ABC" w:rsidRDefault="00FA6784" w:rsidP="00FA6784">
      <w:pPr>
        <w:jc w:val="center"/>
        <w:rPr>
          <w:i/>
          <w:iCs/>
        </w:rPr>
      </w:pPr>
      <w:r w:rsidRPr="00B65ABC">
        <w:rPr>
          <w:i/>
          <w:iCs/>
        </w:rPr>
        <w:t>Health Insurance Act 1973</w:t>
      </w:r>
    </w:p>
    <w:p w14:paraId="2412D124" w14:textId="77777777" w:rsidR="00A1739A" w:rsidRPr="00B65ABC" w:rsidRDefault="00A1739A" w:rsidP="00A1739A">
      <w:pPr>
        <w:rPr>
          <w:szCs w:val="24"/>
          <w:u w:val="single"/>
        </w:rPr>
      </w:pPr>
    </w:p>
    <w:p w14:paraId="2838A7B4" w14:textId="2B7A016A" w:rsidR="00FD602D" w:rsidRPr="00B65ABC" w:rsidRDefault="00231CD0" w:rsidP="00961795">
      <w:pPr>
        <w:ind w:right="84"/>
        <w:jc w:val="center"/>
        <w:rPr>
          <w:szCs w:val="24"/>
        </w:rPr>
      </w:pPr>
      <w:r w:rsidRPr="00B65ABC">
        <w:rPr>
          <w:i/>
        </w:rPr>
        <w:t xml:space="preserve">Health Insurance (Section 3C General Medical Services – GP and Allied Health COVID-19 Services) Amendment Determination </w:t>
      </w:r>
      <w:r w:rsidR="00920F97" w:rsidRPr="00B65ABC">
        <w:rPr>
          <w:i/>
        </w:rPr>
        <w:t>No.</w:t>
      </w:r>
      <w:r w:rsidR="00047285" w:rsidRPr="00B65ABC">
        <w:rPr>
          <w:i/>
        </w:rPr>
        <w:t xml:space="preserve"> </w:t>
      </w:r>
      <w:r w:rsidR="00920F97" w:rsidRPr="00B65ABC">
        <w:rPr>
          <w:i/>
        </w:rPr>
        <w:t>2</w:t>
      </w:r>
      <w:r w:rsidRPr="00B65ABC">
        <w:rPr>
          <w:i/>
        </w:rPr>
        <w:t xml:space="preserve"> 2020</w:t>
      </w:r>
    </w:p>
    <w:p w14:paraId="052E97C1" w14:textId="77777777" w:rsidR="00164A69" w:rsidRPr="00B65ABC"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5771B6FB" w:rsidR="00164A69" w:rsidRPr="00B65ABC"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B65ABC">
        <w:rPr>
          <w:shd w:val="clear" w:color="auto" w:fill="FFFFFF"/>
        </w:rPr>
        <w:t xml:space="preserve">Subsection 3C(1) of the </w:t>
      </w:r>
      <w:r w:rsidRPr="00B65ABC">
        <w:rPr>
          <w:i/>
          <w:shd w:val="clear" w:color="auto" w:fill="FFFFFF"/>
        </w:rPr>
        <w:t>Health Insurance Act 1973</w:t>
      </w:r>
      <w:r w:rsidRPr="00B65ABC">
        <w:rPr>
          <w:shd w:val="clear" w:color="auto" w:fill="FFFFFF"/>
        </w:rPr>
        <w:t xml:space="preserve"> (the Act) </w:t>
      </w:r>
      <w:r w:rsidR="00477C74" w:rsidRPr="00B65ABC">
        <w:rPr>
          <w:shd w:val="clear" w:color="auto" w:fill="FFFFFF"/>
        </w:rPr>
        <w:t>provide</w:t>
      </w:r>
      <w:r w:rsidR="002E5708" w:rsidRPr="00B65ABC">
        <w:rPr>
          <w:shd w:val="clear" w:color="auto" w:fill="FFFFFF"/>
        </w:rPr>
        <w:t>s</w:t>
      </w:r>
      <w:r w:rsidR="00477C74" w:rsidRPr="00B65ABC">
        <w:rPr>
          <w:shd w:val="clear" w:color="auto" w:fill="FFFFFF"/>
        </w:rPr>
        <w:t xml:space="preserve"> that</w:t>
      </w:r>
      <w:r w:rsidRPr="00B65ABC">
        <w:rPr>
          <w:shd w:val="clear" w:color="auto" w:fill="FFFFFF"/>
        </w:rPr>
        <w:t xml:space="preserve"> the Minister </w:t>
      </w:r>
      <w:r w:rsidR="00477C74" w:rsidRPr="00B65ABC">
        <w:rPr>
          <w:shd w:val="clear" w:color="auto" w:fill="FFFFFF"/>
        </w:rPr>
        <w:t>may</w:t>
      </w:r>
      <w:r w:rsidRPr="00B65ABC">
        <w:rPr>
          <w:shd w:val="clear" w:color="auto" w:fill="FFFFFF"/>
        </w:rPr>
        <w:t xml:space="preserve">, by legislative instrument, determine that a health service not specified in an item in the </w:t>
      </w:r>
      <w:r w:rsidR="00231CD0" w:rsidRPr="00B65ABC">
        <w:rPr>
          <w:shd w:val="clear" w:color="auto" w:fill="FFFFFF"/>
        </w:rPr>
        <w:t>general medical services t</w:t>
      </w:r>
      <w:r w:rsidRPr="00B65ABC">
        <w:rPr>
          <w:shd w:val="clear" w:color="auto" w:fill="FFFFFF"/>
        </w:rPr>
        <w:t xml:space="preserve">able </w:t>
      </w:r>
      <w:r w:rsidR="00D01D5A" w:rsidRPr="00B65ABC">
        <w:rPr>
          <w:shd w:val="clear" w:color="auto" w:fill="FFFFFF"/>
        </w:rPr>
        <w:t xml:space="preserve">(the Table) </w:t>
      </w:r>
      <w:r w:rsidRPr="00B65ABC">
        <w:rPr>
          <w:shd w:val="clear" w:color="auto" w:fill="FFFFFF"/>
        </w:rPr>
        <w:t xml:space="preserve">shall, in specified circumstances and for specified statutory provisions, be treated as if it were specified in the </w:t>
      </w:r>
      <w:r w:rsidR="00D01D5A" w:rsidRPr="00B65ABC">
        <w:rPr>
          <w:shd w:val="clear" w:color="auto" w:fill="FFFFFF"/>
        </w:rPr>
        <w:t xml:space="preserve">Table. </w:t>
      </w:r>
      <w:r w:rsidRPr="00B65ABC">
        <w:rPr>
          <w:shd w:val="clear" w:color="auto" w:fill="FFFFFF"/>
        </w:rPr>
        <w:t xml:space="preserve">  </w:t>
      </w:r>
    </w:p>
    <w:p w14:paraId="7DB18649" w14:textId="77777777" w:rsidR="00841EDA" w:rsidRPr="00B65ABC"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78120CB" w:rsidR="00050623" w:rsidRPr="00B65AB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65ABC">
        <w:t xml:space="preserve">The </w:t>
      </w:r>
      <w:r w:rsidR="00D01D5A" w:rsidRPr="00B65ABC">
        <w:t>Table</w:t>
      </w:r>
      <w:r w:rsidRPr="00B65ABC">
        <w:t xml:space="preserve"> is set out in the regulations made under subsection 4(1) of the Act.  The most recent version of the regulations is the </w:t>
      </w:r>
      <w:r w:rsidR="00231CD0" w:rsidRPr="00B65ABC">
        <w:rPr>
          <w:i/>
        </w:rPr>
        <w:t xml:space="preserve">Health Insurance (General Medical Services Table) Regulations 2019. </w:t>
      </w:r>
      <w:r w:rsidRPr="00B65ABC">
        <w:rPr>
          <w:i/>
        </w:rPr>
        <w:t xml:space="preserve"> </w:t>
      </w:r>
    </w:p>
    <w:p w14:paraId="2E6FE463" w14:textId="77777777" w:rsidR="00050623" w:rsidRPr="00B65AB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B65ABC"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B65ABC">
        <w:t xml:space="preserve">This instrument relies on subsection 33(3) of the </w:t>
      </w:r>
      <w:r w:rsidRPr="00B65ABC">
        <w:rPr>
          <w:i/>
        </w:rPr>
        <w:t>Acts Interpretation Act 1901</w:t>
      </w:r>
      <w:r w:rsidRPr="00B65ABC">
        <w:t xml:space="preserve"> (AIA).  Subsection 33(3) of the AIA</w:t>
      </w:r>
      <w:r w:rsidRPr="00B65ABC">
        <w:rPr>
          <w:i/>
        </w:rPr>
        <w:t xml:space="preserve"> </w:t>
      </w:r>
      <w:r w:rsidRPr="00B65ABC">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B65ABC" w:rsidRDefault="008C5F1C" w:rsidP="00D33180">
      <w:pPr>
        <w:autoSpaceDE w:val="0"/>
        <w:autoSpaceDN w:val="0"/>
        <w:adjustRightInd w:val="0"/>
        <w:ind w:right="-483"/>
        <w:rPr>
          <w:szCs w:val="24"/>
        </w:rPr>
      </w:pPr>
    </w:p>
    <w:p w14:paraId="7007E49C" w14:textId="77777777" w:rsidR="00231CD0" w:rsidRPr="00B65ABC" w:rsidRDefault="00231CD0" w:rsidP="00231CD0">
      <w:pPr>
        <w:ind w:right="84"/>
        <w:rPr>
          <w:iCs/>
        </w:rPr>
      </w:pPr>
      <w:r w:rsidRPr="00B65ABC">
        <w:rPr>
          <w:iCs/>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79DA28E2" w14:textId="77777777" w:rsidR="00231CD0" w:rsidRPr="00B65ABC" w:rsidRDefault="00231CD0" w:rsidP="00231CD0">
      <w:pPr>
        <w:ind w:right="84"/>
        <w:rPr>
          <w:szCs w:val="24"/>
        </w:rPr>
      </w:pPr>
    </w:p>
    <w:p w14:paraId="415F5BD0" w14:textId="78D4345A" w:rsidR="00231CD0" w:rsidRPr="00B65ABC" w:rsidRDefault="00231CD0" w:rsidP="00231CD0">
      <w:r w:rsidRPr="00B65ABC">
        <w:t xml:space="preserve">As part of the package, the Government announced $100 million to fund new Medicare services for people in home isolation or quarantine, as a result </w:t>
      </w:r>
      <w:r w:rsidR="00E319E9" w:rsidRPr="00B65ABC">
        <w:t xml:space="preserve">of </w:t>
      </w:r>
      <w:r w:rsidRPr="00B65ABC">
        <w:t>COVID-19, to receive health consultations remotely.</w:t>
      </w:r>
    </w:p>
    <w:p w14:paraId="3ED12552" w14:textId="15DC058F" w:rsidR="00231CD0" w:rsidRPr="00B65ABC" w:rsidRDefault="00231CD0" w:rsidP="00231CD0"/>
    <w:p w14:paraId="4DF17299" w14:textId="3EEC6E09" w:rsidR="00231CD0" w:rsidRPr="00B65ABC" w:rsidRDefault="00231CD0" w:rsidP="00231CD0">
      <w:r w:rsidRPr="00B65ABC">
        <w:t xml:space="preserve">On 13 March 2020, new consultation services provided by GPs, other doctors in general practice, nurse practitioners and mental health allied health workers were introduced </w:t>
      </w:r>
      <w:r w:rsidRPr="00B65ABC">
        <w:rPr>
          <w:iCs/>
        </w:rPr>
        <w:t xml:space="preserve">to provide </w:t>
      </w:r>
      <w:r w:rsidRPr="00B65ABC">
        <w:rPr>
          <w:iCs/>
        </w:rPr>
        <w:lastRenderedPageBreak/>
        <w:t xml:space="preserve">services remotely to patients who have been diagnosed with the COVID-19, or who are vulnerable of contracting COVID-19. The services are also </w:t>
      </w:r>
      <w:r w:rsidR="00FB16BA" w:rsidRPr="00B65ABC">
        <w:rPr>
          <w:iCs/>
        </w:rPr>
        <w:t>able to be provided by</w:t>
      </w:r>
      <w:r w:rsidRPr="00B65ABC">
        <w:t xml:space="preserve"> GPs, other doctors in general practice, nurse practitioners and mental health allied health workers </w:t>
      </w:r>
      <w:r w:rsidRPr="00B65ABC">
        <w:rPr>
          <w:iCs/>
        </w:rPr>
        <w:t>who are in isolation for possible COVID-19 infection.</w:t>
      </w:r>
      <w:r w:rsidR="001B02D2" w:rsidRPr="00B65ABC">
        <w:rPr>
          <w:iCs/>
        </w:rPr>
        <w:t xml:space="preserve"> These items are prescribed in the </w:t>
      </w:r>
      <w:r w:rsidR="001B02D2" w:rsidRPr="00B65ABC">
        <w:rPr>
          <w:i/>
        </w:rPr>
        <w:t xml:space="preserve">Health Insurance (Section 3C General Medical Services – GP and Allied Health COVID-19 Services) Determination 2020 </w:t>
      </w:r>
      <w:r w:rsidR="001B02D2" w:rsidRPr="00B65ABC">
        <w:t xml:space="preserve">(the Principal Determination). </w:t>
      </w:r>
    </w:p>
    <w:p w14:paraId="3B4DEFF0" w14:textId="18D5DA86" w:rsidR="003175A1" w:rsidRPr="00B65ABC" w:rsidRDefault="003175A1" w:rsidP="00231CD0"/>
    <w:p w14:paraId="62C22925" w14:textId="71A661C1" w:rsidR="003175A1" w:rsidRPr="00B65ABC" w:rsidRDefault="00047285" w:rsidP="00231CD0">
      <w:r w:rsidRPr="00B65ABC">
        <w:rPr>
          <w:iCs/>
        </w:rPr>
        <w:t xml:space="preserve">Immediately following commencement of the Principal Determination, the </w:t>
      </w:r>
      <w:r w:rsidRPr="00B65ABC">
        <w:rPr>
          <w:i/>
        </w:rPr>
        <w:t xml:space="preserve">Health Insurance (Section 3C General Medical Services – GP and Allied Health COVID-19 Services) Amendment Determination No.1 2020 </w:t>
      </w:r>
      <w:r w:rsidRPr="00B65ABC">
        <w:t xml:space="preserve">(Amendment Determination) was made to </w:t>
      </w:r>
      <w:r w:rsidR="003175A1" w:rsidRPr="00B65ABC">
        <w:t>expand the types of services which could be provided by phone.</w:t>
      </w:r>
    </w:p>
    <w:p w14:paraId="69A163E4" w14:textId="77777777" w:rsidR="003175A1" w:rsidRPr="00B65ABC" w:rsidRDefault="003175A1" w:rsidP="00231CD0"/>
    <w:p w14:paraId="6F067E86" w14:textId="77777777" w:rsidR="003F40EC" w:rsidRPr="00B65ABC" w:rsidRDefault="003F40EC" w:rsidP="00231CD0"/>
    <w:p w14:paraId="29182137" w14:textId="6ECEBCEB" w:rsidR="003175A1" w:rsidRPr="00B65ABC" w:rsidRDefault="003F40EC" w:rsidP="00231CD0">
      <w:r w:rsidRPr="00B65ABC">
        <w:t xml:space="preserve">Taken together, the </w:t>
      </w:r>
      <w:r w:rsidR="003175A1" w:rsidRPr="00B65ABC">
        <w:t xml:space="preserve">two </w:t>
      </w:r>
      <w:r w:rsidRPr="00B65ABC">
        <w:t xml:space="preserve">legislative </w:t>
      </w:r>
      <w:r w:rsidR="003175A1" w:rsidRPr="00B65ABC">
        <w:t xml:space="preserve">instruments </w:t>
      </w:r>
      <w:r w:rsidRPr="00B65ABC">
        <w:t>allow</w:t>
      </w:r>
      <w:r w:rsidR="003175A1" w:rsidRPr="00B65ABC">
        <w:t xml:space="preserve"> patients at risk of COVID-19 access </w:t>
      </w:r>
      <w:r w:rsidRPr="00B65ABC">
        <w:t xml:space="preserve">to </w:t>
      </w:r>
      <w:r w:rsidR="003175A1" w:rsidRPr="00B65ABC">
        <w:t>the following services:</w:t>
      </w:r>
    </w:p>
    <w:p w14:paraId="08CDFF43" w14:textId="74544176" w:rsidR="003175A1" w:rsidRPr="00B65ABC" w:rsidRDefault="003175A1" w:rsidP="003175A1">
      <w:pPr>
        <w:pStyle w:val="ListParagraph"/>
        <w:numPr>
          <w:ilvl w:val="0"/>
          <w:numId w:val="34"/>
        </w:numPr>
      </w:pPr>
      <w:r w:rsidRPr="00B65ABC">
        <w:t xml:space="preserve">Remote equivalent Level B to D </w:t>
      </w:r>
      <w:r w:rsidR="00E319E9" w:rsidRPr="00B65ABC">
        <w:t xml:space="preserve">consulting room </w:t>
      </w:r>
      <w:r w:rsidRPr="00B65ABC">
        <w:t xml:space="preserve">attendance items provided by GPs and other doctors in general practice. These services can be provided by telehealth, or in circumstances when video conferencing is unavailable, by phone. </w:t>
      </w:r>
    </w:p>
    <w:p w14:paraId="1EC9EF00" w14:textId="6E6140EB" w:rsidR="003175A1" w:rsidRPr="00B65ABC" w:rsidRDefault="003175A1" w:rsidP="003175A1">
      <w:pPr>
        <w:pStyle w:val="ListParagraph"/>
        <w:numPr>
          <w:ilvl w:val="0"/>
          <w:numId w:val="34"/>
        </w:numPr>
      </w:pPr>
      <w:r w:rsidRPr="00B65ABC">
        <w:t xml:space="preserve">Remote equivalent focussed psychological strategies </w:t>
      </w:r>
      <w:r w:rsidR="00E319E9" w:rsidRPr="00B65ABC">
        <w:t xml:space="preserve">consulting room </w:t>
      </w:r>
      <w:r w:rsidRPr="00B65ABC">
        <w:t xml:space="preserve">items provided by GPs and other doctors in general practice with appropriate mental health training. These mental health treatment services can be provided by telehealth, or in circumstances when video conferencing is unavailable, by phone. </w:t>
      </w:r>
    </w:p>
    <w:p w14:paraId="5B5E5551" w14:textId="047F3804" w:rsidR="003175A1" w:rsidRPr="00B65ABC" w:rsidRDefault="003175A1" w:rsidP="003175A1">
      <w:pPr>
        <w:pStyle w:val="ListParagraph"/>
        <w:numPr>
          <w:ilvl w:val="0"/>
          <w:numId w:val="34"/>
        </w:numPr>
      </w:pPr>
      <w:r w:rsidRPr="00B65ABC">
        <w:t xml:space="preserve">Remote equivalent Better Access </w:t>
      </w:r>
      <w:r w:rsidR="00E319E9" w:rsidRPr="00B65ABC">
        <w:t xml:space="preserve">consulting room </w:t>
      </w:r>
      <w:r w:rsidRPr="00B65ABC">
        <w:t>items provided by allied health providers with appropriate mental health training. Eligible providers include clinical psychologists, psychologists, occupational therapists and social workers. These mental health treatment services can be provided by telehealth, or in circumstances when video conferencing is unavailable, by phone.</w:t>
      </w:r>
    </w:p>
    <w:p w14:paraId="3D92EDA9" w14:textId="5941E226" w:rsidR="00F95581" w:rsidRPr="00B65ABC" w:rsidRDefault="007A1981" w:rsidP="00134C9A">
      <w:pPr>
        <w:pStyle w:val="ListParagraph"/>
        <w:numPr>
          <w:ilvl w:val="0"/>
          <w:numId w:val="34"/>
        </w:numPr>
      </w:pPr>
      <w:r w:rsidRPr="00B65ABC">
        <w:t xml:space="preserve">Remote </w:t>
      </w:r>
      <w:r w:rsidR="00134C9A" w:rsidRPr="00B65ABC">
        <w:t xml:space="preserve">equivalent Level B to D </w:t>
      </w:r>
      <w:r w:rsidR="00E319E9" w:rsidRPr="00B65ABC">
        <w:t xml:space="preserve">consulting room </w:t>
      </w:r>
      <w:r w:rsidR="00134C9A" w:rsidRPr="00B65ABC">
        <w:t xml:space="preserve">attendance items provided by </w:t>
      </w:r>
      <w:r w:rsidR="00115225" w:rsidRPr="00B65ABC">
        <w:t xml:space="preserve">participating </w:t>
      </w:r>
      <w:r w:rsidR="00134C9A" w:rsidRPr="00B65ABC">
        <w:t>nurse practitioners. These services can be provided by telehealth, or in circumstances when video conferencing is unavailable, by phone.</w:t>
      </w:r>
    </w:p>
    <w:p w14:paraId="1E694B8B" w14:textId="77777777" w:rsidR="003175A1" w:rsidRPr="00B65ABC" w:rsidRDefault="003175A1" w:rsidP="003175A1"/>
    <w:p w14:paraId="3504E0CE" w14:textId="00CA5291" w:rsidR="003175A1" w:rsidRPr="00B65ABC" w:rsidRDefault="003175A1" w:rsidP="003175A1">
      <w:r w:rsidRPr="00B65ABC">
        <w:t xml:space="preserve">The new items will be available to patients at risk of COVID-19. A patient will be considered at risk of COVID-19 if they have been diagnosed with the disease (but not hospitalised for treatment) or are in isolation </w:t>
      </w:r>
      <w:r w:rsidR="00E319E9" w:rsidRPr="00B65ABC">
        <w:t>due to risk of</w:t>
      </w:r>
      <w:r w:rsidRPr="00B65ABC">
        <w:t xml:space="preserve"> COVID-19 infection. </w:t>
      </w:r>
    </w:p>
    <w:p w14:paraId="578C950E" w14:textId="77777777" w:rsidR="003175A1" w:rsidRPr="00B65ABC" w:rsidRDefault="003175A1" w:rsidP="003175A1"/>
    <w:p w14:paraId="2F29AFFE" w14:textId="38094AEF" w:rsidR="003175A1" w:rsidRPr="00B65ABC" w:rsidRDefault="003175A1" w:rsidP="003175A1">
      <w:r w:rsidRPr="00B65ABC">
        <w:t>A person considered more susceptible to the COVID-19 virus is also defined as an at risk patient. This includes:</w:t>
      </w:r>
    </w:p>
    <w:p w14:paraId="66DB3A01" w14:textId="417BCAC8" w:rsidR="003175A1" w:rsidRPr="00B65ABC" w:rsidRDefault="003175A1" w:rsidP="003175A1">
      <w:pPr>
        <w:pStyle w:val="ListParagraph"/>
        <w:numPr>
          <w:ilvl w:val="0"/>
          <w:numId w:val="35"/>
        </w:numPr>
      </w:pPr>
      <w:r w:rsidRPr="00B65ABC">
        <w:lastRenderedPageBreak/>
        <w:t>patients 70 years of age or older;</w:t>
      </w:r>
    </w:p>
    <w:p w14:paraId="40021814" w14:textId="1EE2A203" w:rsidR="003175A1" w:rsidRPr="00B65ABC" w:rsidRDefault="003175A1" w:rsidP="003175A1">
      <w:pPr>
        <w:pStyle w:val="ListParagraph"/>
        <w:numPr>
          <w:ilvl w:val="0"/>
          <w:numId w:val="35"/>
        </w:numPr>
      </w:pPr>
      <w:r w:rsidRPr="00B65ABC">
        <w:t>patients of Aboriginal or Torres Strait Islander descent who are 50 years of age or older;</w:t>
      </w:r>
    </w:p>
    <w:p w14:paraId="7F266453" w14:textId="1689BF04" w:rsidR="003175A1" w:rsidRPr="00B65ABC" w:rsidRDefault="003175A1" w:rsidP="003175A1">
      <w:pPr>
        <w:pStyle w:val="ListParagraph"/>
        <w:numPr>
          <w:ilvl w:val="0"/>
          <w:numId w:val="35"/>
        </w:numPr>
      </w:pPr>
      <w:r w:rsidRPr="00B65ABC">
        <w:t>patients who are pregnant;</w:t>
      </w:r>
    </w:p>
    <w:p w14:paraId="039A4141" w14:textId="4D83D527" w:rsidR="003175A1" w:rsidRPr="00B65ABC" w:rsidRDefault="003175A1" w:rsidP="003175A1">
      <w:pPr>
        <w:pStyle w:val="ListParagraph"/>
        <w:numPr>
          <w:ilvl w:val="0"/>
          <w:numId w:val="35"/>
        </w:numPr>
      </w:pPr>
      <w:r w:rsidRPr="00B65ABC">
        <w:t>patients who care for children under 12 months; and</w:t>
      </w:r>
    </w:p>
    <w:p w14:paraId="09EBEE91" w14:textId="571E8586" w:rsidR="003175A1" w:rsidRPr="00B65ABC" w:rsidRDefault="003175A1" w:rsidP="003175A1">
      <w:pPr>
        <w:pStyle w:val="ListParagraph"/>
        <w:numPr>
          <w:ilvl w:val="0"/>
          <w:numId w:val="35"/>
        </w:numPr>
      </w:pPr>
      <w:r w:rsidRPr="00B65ABC">
        <w:t>a person receiving treatment for chronic health conditions or who is immune comprised.</w:t>
      </w:r>
    </w:p>
    <w:p w14:paraId="183A4B79" w14:textId="77777777" w:rsidR="003175A1" w:rsidRPr="00B65ABC" w:rsidRDefault="003175A1" w:rsidP="003175A1"/>
    <w:p w14:paraId="732D10AE" w14:textId="77777777" w:rsidR="00115225" w:rsidRPr="00B65ABC" w:rsidRDefault="003175A1" w:rsidP="00F95581">
      <w:r w:rsidRPr="00B65ABC">
        <w:t xml:space="preserve">For the remote equivalent Level B to D attendance, a person considered more susceptible to COVID-19 must have an existing relationship with the doctor </w:t>
      </w:r>
      <w:r w:rsidR="00F244A9" w:rsidRPr="00B65ABC">
        <w:t>(</w:t>
      </w:r>
      <w:r w:rsidRPr="00B65ABC">
        <w:t xml:space="preserve">or medical practice </w:t>
      </w:r>
      <w:r w:rsidR="00F244A9" w:rsidRPr="00B65ABC">
        <w:t xml:space="preserve">who employs the doctor) to be eligible. </w:t>
      </w:r>
    </w:p>
    <w:p w14:paraId="47F05325" w14:textId="1AC28CD8" w:rsidR="00115225" w:rsidRPr="00B65ABC" w:rsidRDefault="00115225" w:rsidP="00F95581"/>
    <w:p w14:paraId="34A1E7F4" w14:textId="57E50F7B" w:rsidR="00115225" w:rsidRPr="00B65ABC" w:rsidRDefault="00115225" w:rsidP="00F95581">
      <w:r w:rsidRPr="00B65ABC">
        <w:t xml:space="preserve">Health professionals working in isolation can continue to provide certain health services to their patients during the period of their isolation by telehealth or telephone. This includes GPs, other doctors in general practice, allied health providers and participating nurse practitioners. </w:t>
      </w:r>
    </w:p>
    <w:p w14:paraId="43AD4289" w14:textId="77777777" w:rsidR="00115225" w:rsidRPr="00B65ABC" w:rsidRDefault="00115225" w:rsidP="00F95581"/>
    <w:p w14:paraId="65787349" w14:textId="3D008C9D" w:rsidR="00F95581" w:rsidRPr="00B65ABC" w:rsidRDefault="00115225" w:rsidP="00F95581">
      <w:r w:rsidRPr="00B65ABC">
        <w:t>All servic</w:t>
      </w:r>
      <w:bookmarkStart w:id="0" w:name="_GoBack"/>
      <w:bookmarkEnd w:id="0"/>
      <w:r w:rsidRPr="00B65ABC">
        <w:t xml:space="preserve">es can only be rendered if the treating </w:t>
      </w:r>
      <w:r w:rsidR="00262230" w:rsidRPr="00B65ABC">
        <w:t>health professional</w:t>
      </w:r>
      <w:r w:rsidRPr="00B65ABC">
        <w:t xml:space="preserve"> chooses to accept the patient’s Medicare benefit as full payment for the service (otherwise known as ‘bulk-billing’). This will mean there will be no out-of-pocket for patients.</w:t>
      </w:r>
      <w:r w:rsidR="003175A1" w:rsidRPr="00B65ABC">
        <w:br/>
      </w:r>
    </w:p>
    <w:p w14:paraId="543B51A6" w14:textId="77777777" w:rsidR="00F95581" w:rsidRPr="00B65ABC" w:rsidRDefault="00F95581" w:rsidP="00F95581">
      <w:pPr>
        <w:rPr>
          <w:b/>
          <w:szCs w:val="24"/>
          <w:lang w:val="en-US" w:eastAsia="en-US"/>
        </w:rPr>
      </w:pPr>
      <w:r w:rsidRPr="00B65ABC">
        <w:rPr>
          <w:b/>
          <w:szCs w:val="24"/>
          <w:lang w:val="en-US" w:eastAsia="en-US"/>
        </w:rPr>
        <w:t>Purpose</w:t>
      </w:r>
    </w:p>
    <w:p w14:paraId="7D13F630" w14:textId="4020F5B9" w:rsidR="00F95581" w:rsidRPr="00B65ABC" w:rsidRDefault="00F95581" w:rsidP="00F95581">
      <w:r w:rsidRPr="00B65ABC">
        <w:t xml:space="preserve">The purpose of the </w:t>
      </w:r>
      <w:r w:rsidRPr="00B65ABC">
        <w:rPr>
          <w:i/>
        </w:rPr>
        <w:t xml:space="preserve">Health Insurance (Section 3C General Medical Services – GP and Allied Health COVID-19 Services) Amendment Determination No. 2 2020 </w:t>
      </w:r>
      <w:r w:rsidRPr="00B65ABC">
        <w:t>is to amend the Principal Determination to add new remote antenatal and postnatal services provided by participating midwives. Eight new items will be listed to allow participating midwives to render these services by telehealth (91211, 91212, 91214 and 91215) or by phone (91218, 91219, 91221 and 9122</w:t>
      </w:r>
      <w:r w:rsidR="00472D67" w:rsidRPr="00B65ABC">
        <w:t>2</w:t>
      </w:r>
      <w:r w:rsidRPr="00B65ABC">
        <w:t>) where video conferencing is unavailable.</w:t>
      </w:r>
    </w:p>
    <w:p w14:paraId="2412D131" w14:textId="27EF2D7D" w:rsidR="001865F8" w:rsidRPr="00B65ABC" w:rsidRDefault="00A1739A" w:rsidP="00D46EB9">
      <w:pPr>
        <w:shd w:val="clear" w:color="auto" w:fill="FFFFFF"/>
        <w:spacing w:before="100" w:beforeAutospacing="1"/>
        <w:rPr>
          <w:rFonts w:ascii="Helvetica Neue" w:hAnsi="Helvetica Neue"/>
          <w:szCs w:val="24"/>
          <w:lang w:val="en-US"/>
        </w:rPr>
      </w:pPr>
      <w:r w:rsidRPr="00B65ABC">
        <w:rPr>
          <w:b/>
        </w:rPr>
        <w:t>Consultation</w:t>
      </w:r>
    </w:p>
    <w:p w14:paraId="1BC8B631" w14:textId="576A6424" w:rsidR="006B14EC" w:rsidRPr="00B65ABC" w:rsidRDefault="006B14EC" w:rsidP="006B14EC">
      <w:pPr>
        <w:shd w:val="clear" w:color="auto" w:fill="FFFFFF"/>
        <w:rPr>
          <w:szCs w:val="24"/>
        </w:rPr>
      </w:pPr>
      <w:r w:rsidRPr="00B65ABC">
        <w:rPr>
          <w:szCs w:val="24"/>
        </w:rPr>
        <w:t xml:space="preserve">On 11 March 2020, the Prime Minister, the Hon. Scott Morrison MP, announced a comprehensive health package to protect all Australians, including vulnerable groups such as the elderly, those with chronic conditions and Indigenous communities, from </w:t>
      </w:r>
      <w:r w:rsidR="00036E2B" w:rsidRPr="00B65ABC">
        <w:rPr>
          <w:szCs w:val="24"/>
        </w:rPr>
        <w:t>COVID-19</w:t>
      </w:r>
      <w:r w:rsidRPr="00B65ABC">
        <w:rPr>
          <w:szCs w:val="24"/>
        </w:rPr>
        <w:t xml:space="preserve">. Due to the nature of the emergency and the short timeframe in drafting this legislative instrument to implement this phase of the health package, it was not reasonably practicable to undertake consultation with representatives of persons affected by the instrument. </w:t>
      </w:r>
    </w:p>
    <w:p w14:paraId="02264A85" w14:textId="77777777" w:rsidR="007708B3" w:rsidRPr="00B65ABC" w:rsidRDefault="007708B3" w:rsidP="002806A1">
      <w:pPr>
        <w:shd w:val="clear" w:color="auto" w:fill="FFFFFF"/>
        <w:rPr>
          <w:szCs w:val="24"/>
        </w:rPr>
      </w:pPr>
    </w:p>
    <w:p w14:paraId="2412D134" w14:textId="77777777" w:rsidR="00967E51" w:rsidRPr="00B65ABC" w:rsidRDefault="00A1739A" w:rsidP="000337CB">
      <w:pPr>
        <w:rPr>
          <w:szCs w:val="24"/>
        </w:rPr>
      </w:pPr>
      <w:r w:rsidRPr="00B65ABC">
        <w:rPr>
          <w:szCs w:val="24"/>
        </w:rPr>
        <w:t xml:space="preserve">Details of the </w:t>
      </w:r>
      <w:r w:rsidR="00574E71" w:rsidRPr="00B65ABC">
        <w:rPr>
          <w:szCs w:val="24"/>
        </w:rPr>
        <w:t>Determination</w:t>
      </w:r>
      <w:r w:rsidRPr="00B65ABC">
        <w:rPr>
          <w:szCs w:val="24"/>
        </w:rPr>
        <w:t xml:space="preserve"> are set out in the </w:t>
      </w:r>
      <w:r w:rsidRPr="00B65ABC">
        <w:rPr>
          <w:szCs w:val="24"/>
          <w:u w:val="single"/>
        </w:rPr>
        <w:t>Attachment</w:t>
      </w:r>
      <w:r w:rsidRPr="00B65ABC">
        <w:rPr>
          <w:szCs w:val="24"/>
        </w:rPr>
        <w:t>.</w:t>
      </w:r>
    </w:p>
    <w:p w14:paraId="07372F0D" w14:textId="77777777" w:rsidR="00234EDC" w:rsidRPr="00B65ABC" w:rsidRDefault="00234EDC" w:rsidP="00234EDC">
      <w:pPr>
        <w:autoSpaceDE w:val="0"/>
        <w:autoSpaceDN w:val="0"/>
        <w:adjustRightInd w:val="0"/>
        <w:rPr>
          <w:szCs w:val="24"/>
        </w:rPr>
      </w:pPr>
    </w:p>
    <w:p w14:paraId="2412D136" w14:textId="685FBEFA" w:rsidR="00236DF2" w:rsidRPr="00B65ABC" w:rsidRDefault="00234EDC" w:rsidP="00234EDC">
      <w:pPr>
        <w:autoSpaceDE w:val="0"/>
        <w:autoSpaceDN w:val="0"/>
        <w:adjustRightInd w:val="0"/>
      </w:pPr>
      <w:r w:rsidRPr="00B65ABC">
        <w:rPr>
          <w:szCs w:val="24"/>
        </w:rPr>
        <w:t xml:space="preserve">Sections 1 to 4 of the </w:t>
      </w:r>
      <w:r w:rsidR="00967E51" w:rsidRPr="00B65ABC">
        <w:rPr>
          <w:szCs w:val="24"/>
        </w:rPr>
        <w:t>Determination</w:t>
      </w:r>
      <w:r w:rsidR="00297AD0" w:rsidRPr="00B65ABC">
        <w:rPr>
          <w:szCs w:val="24"/>
        </w:rPr>
        <w:t xml:space="preserve"> </w:t>
      </w:r>
      <w:r w:rsidR="007524B0" w:rsidRPr="00B65ABC">
        <w:rPr>
          <w:szCs w:val="24"/>
        </w:rPr>
        <w:t>commence</w:t>
      </w:r>
      <w:r w:rsidRPr="00B65ABC">
        <w:rPr>
          <w:szCs w:val="24"/>
        </w:rPr>
        <w:t xml:space="preserve"> immediately after registration. </w:t>
      </w:r>
      <w:r w:rsidRPr="00B65ABC">
        <w:rPr>
          <w:iCs/>
        </w:rPr>
        <w:t>The amendments in the Schedule are taken to have commenced retrospectively from 13 March 2020 to enable patients with COVID-19 to access antenatal and postnatal participating midwife services remotely. Subsection 3C(2) of the Act</w:t>
      </w:r>
      <w:r w:rsidRPr="00B65ABC">
        <w:rPr>
          <w:i/>
          <w:iCs/>
        </w:rPr>
        <w:t xml:space="preserve"> </w:t>
      </w:r>
      <w:r w:rsidRPr="00B65ABC">
        <w:rPr>
          <w:iCs/>
        </w:rPr>
        <w:t xml:space="preserve">allows for retrospective commencement as it </w:t>
      </w:r>
      <w:r w:rsidRPr="00B65ABC">
        <w:t xml:space="preserve">excludes subsection 12(2) of the </w:t>
      </w:r>
      <w:r w:rsidRPr="00B65ABC">
        <w:rPr>
          <w:i/>
        </w:rPr>
        <w:t>Legislation Act 2003</w:t>
      </w:r>
      <w:r w:rsidRPr="00B65ABC">
        <w:t xml:space="preserve"> from applying to determinations made under section 3C(1) of the </w:t>
      </w:r>
      <w:r w:rsidRPr="00B65ABC">
        <w:rPr>
          <w:i/>
        </w:rPr>
        <w:t xml:space="preserve">Health Insurance Act 1973. </w:t>
      </w:r>
      <w:r w:rsidRPr="00B65ABC">
        <w:t xml:space="preserve">However, the provision is consistent with subsection 12(2) of the </w:t>
      </w:r>
      <w:r w:rsidRPr="00B65ABC">
        <w:rPr>
          <w:i/>
        </w:rPr>
        <w:t>Legislation Act 2003</w:t>
      </w:r>
      <w:r w:rsidRPr="00B65ABC">
        <w:t xml:space="preserve"> as it does not disadvantage persons existing entitlements and </w:t>
      </w:r>
      <w:r w:rsidR="00036E2B" w:rsidRPr="00B65ABC">
        <w:t>only</w:t>
      </w:r>
      <w:r w:rsidRPr="00B65ABC">
        <w:t xml:space="preserve"> imposes retrospective liabilities on the Commonwealth. </w:t>
      </w:r>
      <w:r w:rsidRPr="00B65ABC">
        <w:rPr>
          <w:iCs/>
        </w:rPr>
        <w:br/>
      </w:r>
    </w:p>
    <w:p w14:paraId="2412D138" w14:textId="65B73875" w:rsidR="00574E71" w:rsidRPr="00B65ABC" w:rsidRDefault="0002728B" w:rsidP="00DE07E4">
      <w:pPr>
        <w:spacing w:after="200" w:line="276" w:lineRule="auto"/>
        <w:rPr>
          <w:szCs w:val="24"/>
        </w:rPr>
      </w:pPr>
      <w:r w:rsidRPr="00B65ABC">
        <w:rPr>
          <w:szCs w:val="24"/>
        </w:rPr>
        <w:t>T</w:t>
      </w:r>
      <w:r w:rsidR="00574E71" w:rsidRPr="00B65ABC">
        <w:rPr>
          <w:szCs w:val="24"/>
        </w:rPr>
        <w:t xml:space="preserve">he Determination is </w:t>
      </w:r>
      <w:r w:rsidR="004417A2" w:rsidRPr="00B65ABC">
        <w:rPr>
          <w:szCs w:val="24"/>
        </w:rPr>
        <w:t xml:space="preserve">a </w:t>
      </w:r>
      <w:r w:rsidR="00574E71" w:rsidRPr="00B65ABC">
        <w:rPr>
          <w:szCs w:val="24"/>
        </w:rPr>
        <w:t xml:space="preserve">legislative instrument for the purposes of the </w:t>
      </w:r>
      <w:r w:rsidR="00574E71" w:rsidRPr="00B65ABC">
        <w:rPr>
          <w:i/>
        </w:rPr>
        <w:t>Legislation Act 2003</w:t>
      </w:r>
      <w:r w:rsidR="00574E71" w:rsidRPr="00B65ABC">
        <w:rPr>
          <w:szCs w:val="24"/>
        </w:rPr>
        <w:t>.</w:t>
      </w:r>
    </w:p>
    <w:p w14:paraId="2412D139" w14:textId="77777777" w:rsidR="00A1739A" w:rsidRPr="00B65ABC" w:rsidRDefault="00A1739A" w:rsidP="000337CB">
      <w:pPr>
        <w:ind w:left="6663" w:hanging="3119"/>
        <w:rPr>
          <w:szCs w:val="24"/>
        </w:rPr>
      </w:pPr>
      <w:r w:rsidRPr="00B65ABC">
        <w:rPr>
          <w:szCs w:val="24"/>
        </w:rPr>
        <w:t xml:space="preserve">           </w:t>
      </w:r>
    </w:p>
    <w:p w14:paraId="2412D13A" w14:textId="77777777" w:rsidR="00A1739A" w:rsidRPr="00B65ABC" w:rsidRDefault="00A1739A" w:rsidP="000337CB">
      <w:pPr>
        <w:ind w:left="6663" w:hanging="3119"/>
        <w:rPr>
          <w:szCs w:val="24"/>
        </w:rPr>
      </w:pPr>
      <w:r w:rsidRPr="00B65ABC">
        <w:rPr>
          <w:szCs w:val="24"/>
          <w:u w:val="single"/>
        </w:rPr>
        <w:t>Authority</w:t>
      </w:r>
      <w:r w:rsidR="00967E51" w:rsidRPr="00B65ABC">
        <w:rPr>
          <w:szCs w:val="24"/>
        </w:rPr>
        <w:t xml:space="preserve">:     Subsection </w:t>
      </w:r>
      <w:r w:rsidRPr="00B65ABC">
        <w:rPr>
          <w:szCs w:val="24"/>
        </w:rPr>
        <w:t>3</w:t>
      </w:r>
      <w:r w:rsidR="00967E51" w:rsidRPr="00B65ABC">
        <w:rPr>
          <w:szCs w:val="24"/>
        </w:rPr>
        <w:t>C</w:t>
      </w:r>
      <w:r w:rsidRPr="00B65ABC">
        <w:rPr>
          <w:szCs w:val="24"/>
        </w:rPr>
        <w:t xml:space="preserve">(1) of the </w:t>
      </w:r>
    </w:p>
    <w:p w14:paraId="2412D13B" w14:textId="0596CD30" w:rsidR="00A1739A" w:rsidRPr="00B65ABC" w:rsidRDefault="00A1739A" w:rsidP="000337CB">
      <w:pPr>
        <w:tabs>
          <w:tab w:val="left" w:pos="4820"/>
        </w:tabs>
        <w:rPr>
          <w:szCs w:val="24"/>
        </w:rPr>
        <w:sectPr w:rsidR="00A1739A" w:rsidRPr="00B65ABC" w:rsidSect="00235B6C">
          <w:headerReference w:type="default" r:id="rId11"/>
          <w:pgSz w:w="11906" w:h="16838"/>
          <w:pgMar w:top="1440" w:right="1800" w:bottom="1135" w:left="1800" w:header="708" w:footer="708" w:gutter="0"/>
          <w:pgNumType w:start="1"/>
          <w:cols w:space="708"/>
          <w:docGrid w:linePitch="360"/>
        </w:sectPr>
      </w:pPr>
      <w:r w:rsidRPr="00B65ABC">
        <w:rPr>
          <w:i/>
          <w:szCs w:val="24"/>
        </w:rPr>
        <w:tab/>
        <w:t>Health Insurance Act 1973</w:t>
      </w:r>
    </w:p>
    <w:p w14:paraId="2412D13D" w14:textId="77777777" w:rsidR="006D5816" w:rsidRPr="00B65ABC" w:rsidRDefault="006D5816" w:rsidP="000337CB">
      <w:pPr>
        <w:pStyle w:val="BodyText"/>
        <w:jc w:val="right"/>
        <w:rPr>
          <w:szCs w:val="24"/>
        </w:rPr>
      </w:pPr>
      <w:r w:rsidRPr="00B65ABC">
        <w:rPr>
          <w:szCs w:val="24"/>
        </w:rPr>
        <w:lastRenderedPageBreak/>
        <w:t>ATTACHMENT</w:t>
      </w:r>
    </w:p>
    <w:p w14:paraId="2412D13E" w14:textId="77777777" w:rsidR="006D5816" w:rsidRPr="00B65ABC" w:rsidRDefault="006D5816" w:rsidP="000337CB">
      <w:pPr>
        <w:pStyle w:val="BodyText"/>
        <w:rPr>
          <w:szCs w:val="24"/>
          <w:u w:val="single"/>
        </w:rPr>
      </w:pPr>
    </w:p>
    <w:p w14:paraId="5B0C808A" w14:textId="1C1E91A3" w:rsidR="00215191" w:rsidRPr="00B65ABC" w:rsidRDefault="00A41364" w:rsidP="00186752">
      <w:pPr>
        <w:pStyle w:val="BodyText"/>
        <w:rPr>
          <w:i/>
          <w:iCs/>
        </w:rPr>
      </w:pPr>
      <w:r w:rsidRPr="00B65ABC">
        <w:rPr>
          <w:szCs w:val="24"/>
        </w:rPr>
        <w:t xml:space="preserve">Details of the </w:t>
      </w:r>
      <w:r w:rsidR="006B14EC" w:rsidRPr="00B65ABC">
        <w:rPr>
          <w:i/>
        </w:rPr>
        <w:t xml:space="preserve">Health </w:t>
      </w:r>
      <w:r w:rsidR="003F40EC" w:rsidRPr="00B65ABC">
        <w:rPr>
          <w:i/>
        </w:rPr>
        <w:t>Insurance (Section 3C General Medical Services – GP and Allied Health COVID-19 Services) Amendment Determination No. 2 2020</w:t>
      </w:r>
    </w:p>
    <w:p w14:paraId="7BBEB147" w14:textId="720F9678" w:rsidR="00E70355" w:rsidRPr="00B65ABC" w:rsidRDefault="00E70355" w:rsidP="000337CB">
      <w:pPr>
        <w:pStyle w:val="BodyText"/>
        <w:rPr>
          <w:b w:val="0"/>
          <w:i/>
          <w:szCs w:val="24"/>
        </w:rPr>
      </w:pPr>
    </w:p>
    <w:p w14:paraId="2412D141" w14:textId="7C34D5F4" w:rsidR="00FE02C2" w:rsidRPr="00B65ABC" w:rsidRDefault="001B0111" w:rsidP="000337CB">
      <w:pPr>
        <w:pStyle w:val="BodyText"/>
        <w:rPr>
          <w:b w:val="0"/>
          <w:szCs w:val="24"/>
          <w:u w:val="single"/>
        </w:rPr>
      </w:pPr>
      <w:r w:rsidRPr="00B65ABC">
        <w:rPr>
          <w:b w:val="0"/>
          <w:szCs w:val="24"/>
          <w:u w:val="single"/>
        </w:rPr>
        <w:t>Section 1 – Name</w:t>
      </w:r>
    </w:p>
    <w:p w14:paraId="2412D142" w14:textId="77777777" w:rsidR="00FE02C2" w:rsidRPr="00B65ABC" w:rsidRDefault="00FE02C2" w:rsidP="000337CB">
      <w:pPr>
        <w:pStyle w:val="BodyText"/>
        <w:rPr>
          <w:b w:val="0"/>
          <w:szCs w:val="24"/>
          <w:u w:val="single"/>
        </w:rPr>
      </w:pPr>
    </w:p>
    <w:p w14:paraId="2412D144" w14:textId="1B4EDB5D" w:rsidR="00F83B6F" w:rsidRPr="00B65ABC" w:rsidRDefault="00BC7397" w:rsidP="00C67BC7">
      <w:pPr>
        <w:pStyle w:val="BodyText"/>
        <w:rPr>
          <w:i/>
          <w:iCs/>
        </w:rPr>
      </w:pPr>
      <w:r w:rsidRPr="00B65ABC">
        <w:rPr>
          <w:b w:val="0"/>
          <w:szCs w:val="24"/>
        </w:rPr>
        <w:t>S</w:t>
      </w:r>
      <w:r w:rsidR="00FE02C2" w:rsidRPr="00B65ABC">
        <w:rPr>
          <w:b w:val="0"/>
          <w:szCs w:val="24"/>
        </w:rPr>
        <w:t xml:space="preserve">ection </w:t>
      </w:r>
      <w:r w:rsidRPr="00B65ABC">
        <w:rPr>
          <w:b w:val="0"/>
          <w:szCs w:val="24"/>
        </w:rPr>
        <w:t xml:space="preserve">1 </w:t>
      </w:r>
      <w:r w:rsidR="00FE02C2" w:rsidRPr="00B65ABC">
        <w:rPr>
          <w:b w:val="0"/>
          <w:szCs w:val="24"/>
        </w:rPr>
        <w:t>provides</w:t>
      </w:r>
      <w:r w:rsidR="008B683E" w:rsidRPr="00B65ABC">
        <w:rPr>
          <w:b w:val="0"/>
          <w:szCs w:val="24"/>
        </w:rPr>
        <w:t xml:space="preserve"> for the </w:t>
      </w:r>
      <w:r w:rsidR="008B2094" w:rsidRPr="00B65ABC">
        <w:rPr>
          <w:b w:val="0"/>
          <w:szCs w:val="24"/>
        </w:rPr>
        <w:t>Determination</w:t>
      </w:r>
      <w:r w:rsidR="00FE02C2" w:rsidRPr="00B65ABC">
        <w:rPr>
          <w:b w:val="0"/>
          <w:szCs w:val="24"/>
        </w:rPr>
        <w:t xml:space="preserve"> to be referred to as the </w:t>
      </w:r>
      <w:r w:rsidR="006B14EC" w:rsidRPr="00B65ABC">
        <w:rPr>
          <w:b w:val="0"/>
          <w:i/>
        </w:rPr>
        <w:t xml:space="preserve">Health </w:t>
      </w:r>
      <w:r w:rsidR="003F40EC" w:rsidRPr="00B65ABC">
        <w:rPr>
          <w:b w:val="0"/>
          <w:i/>
        </w:rPr>
        <w:t>Insurance (Section 3C General Medical Services – GP and Allied Health COVID-19 Services) Amendment Determination No. 2 2020</w:t>
      </w:r>
    </w:p>
    <w:p w14:paraId="68DAA207" w14:textId="77777777" w:rsidR="00FD602D" w:rsidRPr="00B65ABC" w:rsidRDefault="00FD602D" w:rsidP="00FD602D"/>
    <w:p w14:paraId="49D1E050" w14:textId="77777777" w:rsidR="007A4089" w:rsidRPr="00B65ABC" w:rsidRDefault="00FE02C2" w:rsidP="000337CB">
      <w:pPr>
        <w:pStyle w:val="BodyText"/>
        <w:rPr>
          <w:b w:val="0"/>
          <w:szCs w:val="24"/>
          <w:u w:val="single"/>
        </w:rPr>
      </w:pPr>
      <w:r w:rsidRPr="00B65ABC">
        <w:rPr>
          <w:b w:val="0"/>
          <w:szCs w:val="24"/>
          <w:u w:val="single"/>
        </w:rPr>
        <w:t xml:space="preserve">Section 2 – Commencement </w:t>
      </w:r>
    </w:p>
    <w:p w14:paraId="2DCE2ED0" w14:textId="77777777" w:rsidR="007A4089" w:rsidRPr="00B65ABC" w:rsidRDefault="007A4089" w:rsidP="000337CB">
      <w:pPr>
        <w:pStyle w:val="BodyText"/>
        <w:rPr>
          <w:b w:val="0"/>
          <w:szCs w:val="24"/>
          <w:u w:val="single"/>
        </w:rPr>
      </w:pPr>
    </w:p>
    <w:p w14:paraId="2412D148" w14:textId="02594307" w:rsidR="00510A4F" w:rsidRPr="00B65ABC" w:rsidRDefault="00510A4F" w:rsidP="000337CB">
      <w:pPr>
        <w:pStyle w:val="BodyText"/>
        <w:rPr>
          <w:b w:val="0"/>
          <w:szCs w:val="24"/>
        </w:rPr>
      </w:pPr>
      <w:r w:rsidRPr="00B65ABC">
        <w:rPr>
          <w:b w:val="0"/>
          <w:szCs w:val="24"/>
        </w:rPr>
        <w:t xml:space="preserve">Section 2 </w:t>
      </w:r>
      <w:r w:rsidR="00404F11" w:rsidRPr="00B65ABC">
        <w:rPr>
          <w:b w:val="0"/>
          <w:szCs w:val="24"/>
        </w:rPr>
        <w:t xml:space="preserve">provides that the </w:t>
      </w:r>
      <w:r w:rsidR="008B2094" w:rsidRPr="00B65ABC">
        <w:rPr>
          <w:b w:val="0"/>
          <w:szCs w:val="24"/>
        </w:rPr>
        <w:t xml:space="preserve">Determination </w:t>
      </w:r>
      <w:r w:rsidR="00404F11" w:rsidRPr="00B65ABC">
        <w:rPr>
          <w:b w:val="0"/>
          <w:szCs w:val="24"/>
        </w:rPr>
        <w:t xml:space="preserve">commences </w:t>
      </w:r>
      <w:r w:rsidR="003F40EC" w:rsidRPr="00B65ABC">
        <w:rPr>
          <w:b w:val="0"/>
          <w:szCs w:val="24"/>
        </w:rPr>
        <w:t>immediately</w:t>
      </w:r>
      <w:r w:rsidR="003F40EC" w:rsidRPr="00B65ABC">
        <w:t xml:space="preserve"> </w:t>
      </w:r>
      <w:r w:rsidR="003F40EC" w:rsidRPr="00B65ABC">
        <w:rPr>
          <w:b w:val="0"/>
          <w:szCs w:val="24"/>
        </w:rPr>
        <w:t>after registration. The amendments in the Schedule are taken to have commenced retrospectively from 13 March 2020 to enable patients with COVID-19 to access antenatal and postnatal participating midwife services remotely.</w:t>
      </w:r>
    </w:p>
    <w:p w14:paraId="16C03200" w14:textId="77777777" w:rsidR="007E0017" w:rsidRPr="00B65ABC" w:rsidRDefault="007E0017" w:rsidP="000337CB">
      <w:pPr>
        <w:pStyle w:val="BodyText"/>
        <w:rPr>
          <w:b w:val="0"/>
          <w:szCs w:val="24"/>
        </w:rPr>
      </w:pPr>
    </w:p>
    <w:p w14:paraId="005D5660" w14:textId="77777777" w:rsidR="007A4089" w:rsidRPr="00B65ABC" w:rsidRDefault="00FE02C2" w:rsidP="000337CB">
      <w:pPr>
        <w:pStyle w:val="BodyText"/>
        <w:rPr>
          <w:b w:val="0"/>
          <w:szCs w:val="24"/>
          <w:u w:val="single"/>
        </w:rPr>
      </w:pPr>
      <w:r w:rsidRPr="00B65ABC">
        <w:rPr>
          <w:b w:val="0"/>
          <w:szCs w:val="24"/>
          <w:u w:val="single"/>
        </w:rPr>
        <w:t xml:space="preserve">Section 3 – </w:t>
      </w:r>
      <w:r w:rsidR="00E5798A" w:rsidRPr="00B65ABC">
        <w:rPr>
          <w:b w:val="0"/>
          <w:szCs w:val="24"/>
          <w:u w:val="single"/>
        </w:rPr>
        <w:t>Authority</w:t>
      </w:r>
    </w:p>
    <w:p w14:paraId="53BFA098" w14:textId="77777777" w:rsidR="007A4089" w:rsidRPr="00B65ABC" w:rsidRDefault="007A4089" w:rsidP="000337CB">
      <w:pPr>
        <w:pStyle w:val="BodyText"/>
        <w:rPr>
          <w:b w:val="0"/>
          <w:szCs w:val="24"/>
          <w:u w:val="single"/>
        </w:rPr>
      </w:pPr>
    </w:p>
    <w:p w14:paraId="2412D14B" w14:textId="60EB4E9C" w:rsidR="00FE02C2" w:rsidRPr="00B65ABC" w:rsidRDefault="00F83B6F" w:rsidP="000337CB">
      <w:pPr>
        <w:pStyle w:val="BodyText"/>
        <w:rPr>
          <w:b w:val="0"/>
        </w:rPr>
      </w:pPr>
      <w:r w:rsidRPr="00B65ABC">
        <w:rPr>
          <w:b w:val="0"/>
        </w:rPr>
        <w:t xml:space="preserve">Section 3 provides that the </w:t>
      </w:r>
      <w:r w:rsidR="008B2094" w:rsidRPr="00B65ABC">
        <w:rPr>
          <w:b w:val="0"/>
          <w:szCs w:val="24"/>
        </w:rPr>
        <w:t xml:space="preserve">Determination </w:t>
      </w:r>
      <w:r w:rsidR="00E5798A" w:rsidRPr="00B65ABC">
        <w:rPr>
          <w:b w:val="0"/>
        </w:rPr>
        <w:t xml:space="preserve">is made under </w:t>
      </w:r>
      <w:r w:rsidR="00367440" w:rsidRPr="00B65ABC">
        <w:rPr>
          <w:b w:val="0"/>
        </w:rPr>
        <w:t xml:space="preserve">subsection </w:t>
      </w:r>
      <w:r w:rsidR="00E5798A" w:rsidRPr="00B65ABC">
        <w:rPr>
          <w:b w:val="0"/>
        </w:rPr>
        <w:t xml:space="preserve">3C(1) of the </w:t>
      </w:r>
      <w:r w:rsidR="00E5798A" w:rsidRPr="00B65ABC">
        <w:rPr>
          <w:b w:val="0"/>
          <w:i/>
        </w:rPr>
        <w:t>Health Insurance Act 1973</w:t>
      </w:r>
      <w:r w:rsidR="00E5798A" w:rsidRPr="00B65ABC">
        <w:rPr>
          <w:b w:val="0"/>
        </w:rPr>
        <w:t>.</w:t>
      </w:r>
    </w:p>
    <w:p w14:paraId="0DBF1241" w14:textId="77777777" w:rsidR="00E70355" w:rsidRPr="00B65ABC" w:rsidRDefault="00E70355" w:rsidP="000337CB">
      <w:pPr>
        <w:pStyle w:val="BodyText"/>
        <w:rPr>
          <w:b w:val="0"/>
        </w:rPr>
      </w:pPr>
    </w:p>
    <w:p w14:paraId="20CBF84A" w14:textId="77777777" w:rsidR="00C63FDC" w:rsidRPr="00B65ABC" w:rsidRDefault="00C63FDC" w:rsidP="00C63FDC">
      <w:pPr>
        <w:pStyle w:val="BodyText"/>
        <w:rPr>
          <w:b w:val="0"/>
          <w:szCs w:val="24"/>
          <w:u w:val="single"/>
        </w:rPr>
      </w:pPr>
      <w:r w:rsidRPr="00B65ABC">
        <w:rPr>
          <w:b w:val="0"/>
          <w:szCs w:val="24"/>
          <w:u w:val="single"/>
        </w:rPr>
        <w:t>Section 4 – Schedules</w:t>
      </w:r>
    </w:p>
    <w:p w14:paraId="4C010161" w14:textId="77777777" w:rsidR="00C63FDC" w:rsidRPr="00B65ABC" w:rsidRDefault="00C63FDC" w:rsidP="00C63FDC">
      <w:pPr>
        <w:pStyle w:val="BodyText"/>
        <w:rPr>
          <w:b w:val="0"/>
          <w:szCs w:val="24"/>
          <w:u w:val="single"/>
        </w:rPr>
      </w:pPr>
    </w:p>
    <w:p w14:paraId="5D9EBF8D" w14:textId="77777777" w:rsidR="00C63FDC" w:rsidRPr="00B65ABC" w:rsidRDefault="00C63FDC" w:rsidP="00C63FDC">
      <w:pPr>
        <w:pStyle w:val="BodyText"/>
        <w:rPr>
          <w:b w:val="0"/>
          <w:szCs w:val="24"/>
        </w:rPr>
      </w:pPr>
      <w:r w:rsidRPr="00B65ABC">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B65ABC" w:rsidRDefault="007E0017" w:rsidP="00404F11">
      <w:pPr>
        <w:pStyle w:val="BodyText"/>
        <w:rPr>
          <w:b w:val="0"/>
          <w:szCs w:val="24"/>
        </w:rPr>
      </w:pPr>
    </w:p>
    <w:p w14:paraId="768D340E" w14:textId="77777777" w:rsidR="00C63FDC" w:rsidRPr="00B65ABC" w:rsidRDefault="00C63FDC" w:rsidP="00C63FDC">
      <w:pPr>
        <w:pStyle w:val="Header"/>
        <w:tabs>
          <w:tab w:val="num" w:pos="1080"/>
        </w:tabs>
        <w:rPr>
          <w:szCs w:val="24"/>
          <w:u w:val="single"/>
        </w:rPr>
      </w:pPr>
      <w:r w:rsidRPr="00B65ABC">
        <w:rPr>
          <w:szCs w:val="24"/>
          <w:u w:val="single"/>
        </w:rPr>
        <w:t>Schedule 1 – Amendments</w:t>
      </w:r>
    </w:p>
    <w:p w14:paraId="2212E577" w14:textId="77777777" w:rsidR="00C63FDC" w:rsidRPr="00B65ABC" w:rsidRDefault="00C63FDC" w:rsidP="00C63FDC">
      <w:pPr>
        <w:pStyle w:val="Header"/>
        <w:tabs>
          <w:tab w:val="num" w:pos="1080"/>
        </w:tabs>
        <w:rPr>
          <w:szCs w:val="24"/>
          <w:u w:val="single"/>
        </w:rPr>
      </w:pPr>
    </w:p>
    <w:p w14:paraId="13DD68D7" w14:textId="77777777" w:rsidR="00036E2B" w:rsidRPr="00B65ABC" w:rsidRDefault="003F40EC" w:rsidP="00C63FDC">
      <w:pPr>
        <w:pStyle w:val="Header"/>
        <w:tabs>
          <w:tab w:val="num" w:pos="1080"/>
        </w:tabs>
      </w:pPr>
      <w:r w:rsidRPr="00B65ABC">
        <w:t xml:space="preserve">Schedule 1 will amend the </w:t>
      </w:r>
      <w:r w:rsidRPr="00B65ABC">
        <w:rPr>
          <w:i/>
        </w:rPr>
        <w:t xml:space="preserve">Health Insurance (Section 3C General Medical Services – GP and Allied Health COVID-19 Services) Determination 2020 </w:t>
      </w:r>
      <w:r w:rsidRPr="00B65ABC">
        <w:t xml:space="preserve">to list eight new items to enable </w:t>
      </w:r>
      <w:r w:rsidR="00036E2B" w:rsidRPr="00B65ABC">
        <w:t xml:space="preserve">patients at risk of COVID-19 </w:t>
      </w:r>
      <w:r w:rsidRPr="00B65ABC">
        <w:t xml:space="preserve">to access remote antenatal and postnatal provided by participating midwives. </w:t>
      </w:r>
    </w:p>
    <w:p w14:paraId="1EB08A08" w14:textId="77777777" w:rsidR="00036E2B" w:rsidRPr="00B65ABC" w:rsidRDefault="00036E2B" w:rsidP="00C63FDC">
      <w:pPr>
        <w:pStyle w:val="Header"/>
        <w:tabs>
          <w:tab w:val="num" w:pos="1080"/>
        </w:tabs>
      </w:pPr>
    </w:p>
    <w:p w14:paraId="2EC39FA7" w14:textId="22EC3CDA" w:rsidR="00036E2B" w:rsidRPr="00B65ABC" w:rsidRDefault="00036E2B" w:rsidP="00C63FDC">
      <w:pPr>
        <w:pStyle w:val="Header"/>
        <w:tabs>
          <w:tab w:val="num" w:pos="1080"/>
        </w:tabs>
      </w:pPr>
      <w:r w:rsidRPr="00B65ABC">
        <w:lastRenderedPageBreak/>
        <w:t>The new items will also allow participating midwives who are in isolation for possible COVID-19 infection to continue providing services remotely to their patients.</w:t>
      </w:r>
    </w:p>
    <w:p w14:paraId="5860D466" w14:textId="77777777" w:rsidR="00036E2B" w:rsidRPr="00B65ABC" w:rsidRDefault="00036E2B" w:rsidP="00C63FDC">
      <w:pPr>
        <w:pStyle w:val="Header"/>
        <w:tabs>
          <w:tab w:val="num" w:pos="1080"/>
        </w:tabs>
      </w:pPr>
    </w:p>
    <w:p w14:paraId="77D4FAFC" w14:textId="10CE3474" w:rsidR="003F40EC" w:rsidRPr="00B65ABC" w:rsidRDefault="003F40EC" w:rsidP="00C63FDC">
      <w:pPr>
        <w:pStyle w:val="Header"/>
        <w:tabs>
          <w:tab w:val="num" w:pos="1080"/>
        </w:tabs>
      </w:pPr>
      <w:r w:rsidRPr="00B65ABC">
        <w:t xml:space="preserve">The services </w:t>
      </w:r>
      <w:r w:rsidR="00036E2B" w:rsidRPr="00B65ABC">
        <w:t xml:space="preserve">must be </w:t>
      </w:r>
      <w:r w:rsidRPr="00B65ABC">
        <w:t xml:space="preserve">performed by telehealth unless videoconferencing is unavailable.  </w:t>
      </w:r>
    </w:p>
    <w:p w14:paraId="40FA8EC4" w14:textId="77777777" w:rsidR="003F40EC" w:rsidRPr="00B65ABC" w:rsidRDefault="003F40EC" w:rsidP="00C63FDC">
      <w:pPr>
        <w:pStyle w:val="Header"/>
        <w:tabs>
          <w:tab w:val="num" w:pos="1080"/>
        </w:tabs>
      </w:pPr>
    </w:p>
    <w:p w14:paraId="43DD6B64" w14:textId="5E6DD8B9" w:rsidR="003F40EC" w:rsidRPr="00B65ABC" w:rsidRDefault="003F40EC" w:rsidP="003F40EC">
      <w:pPr>
        <w:pStyle w:val="Header"/>
        <w:tabs>
          <w:tab w:val="num" w:pos="1080"/>
        </w:tabs>
        <w:rPr>
          <w:b/>
          <w:sz w:val="28"/>
          <w:szCs w:val="28"/>
        </w:rPr>
      </w:pPr>
      <w:r w:rsidRPr="00B65ABC">
        <w:t xml:space="preserve">The Amending Determination will also make minor editorial changes to some of the existing items in the Principal Determination. </w:t>
      </w:r>
      <w:r w:rsidRPr="00B65ABC">
        <w:br/>
      </w:r>
      <w:r w:rsidRPr="00B65ABC">
        <w:br/>
      </w:r>
    </w:p>
    <w:p w14:paraId="3720123D" w14:textId="77777777" w:rsidR="003F40EC" w:rsidRPr="00B65ABC" w:rsidRDefault="003F40EC">
      <w:pPr>
        <w:spacing w:after="200" w:line="276" w:lineRule="auto"/>
        <w:rPr>
          <w:b/>
          <w:sz w:val="28"/>
          <w:szCs w:val="28"/>
        </w:rPr>
      </w:pPr>
      <w:r w:rsidRPr="00B65ABC">
        <w:rPr>
          <w:b/>
          <w:sz w:val="28"/>
          <w:szCs w:val="28"/>
        </w:rPr>
        <w:br w:type="page"/>
      </w:r>
    </w:p>
    <w:p w14:paraId="2B14F7A9" w14:textId="77777777" w:rsidR="00F91A58" w:rsidRPr="00B65ABC" w:rsidRDefault="00F91A58" w:rsidP="003F40EC">
      <w:pPr>
        <w:pStyle w:val="Header"/>
        <w:tabs>
          <w:tab w:val="num" w:pos="1080"/>
        </w:tabs>
        <w:rPr>
          <w:b/>
          <w:sz w:val="28"/>
          <w:szCs w:val="28"/>
        </w:rPr>
      </w:pPr>
    </w:p>
    <w:p w14:paraId="2412D14E" w14:textId="0E613FE8" w:rsidR="00A17F2C" w:rsidRPr="00B65ABC" w:rsidRDefault="00A17F2C" w:rsidP="008D136F">
      <w:pPr>
        <w:pStyle w:val="Header"/>
        <w:tabs>
          <w:tab w:val="num" w:pos="1080"/>
        </w:tabs>
        <w:jc w:val="center"/>
        <w:rPr>
          <w:b/>
          <w:sz w:val="28"/>
          <w:szCs w:val="28"/>
        </w:rPr>
      </w:pPr>
      <w:r w:rsidRPr="00B65ABC">
        <w:rPr>
          <w:b/>
          <w:sz w:val="28"/>
          <w:szCs w:val="28"/>
        </w:rPr>
        <w:t>Statement of Compatibility with Human Rights</w:t>
      </w:r>
    </w:p>
    <w:p w14:paraId="2412D14F" w14:textId="77777777" w:rsidR="00A17F2C" w:rsidRPr="00B65ABC" w:rsidRDefault="00A17F2C" w:rsidP="000337CB">
      <w:pPr>
        <w:spacing w:before="120" w:after="120"/>
        <w:jc w:val="center"/>
        <w:rPr>
          <w:szCs w:val="24"/>
        </w:rPr>
      </w:pPr>
      <w:r w:rsidRPr="00B65ABC">
        <w:rPr>
          <w:i/>
          <w:szCs w:val="24"/>
        </w:rPr>
        <w:t>Prepared in accordance with Part 3 of the Human Rights (Parliamentary Scrutiny) Act 2011</w:t>
      </w:r>
    </w:p>
    <w:p w14:paraId="751DE726" w14:textId="77777777" w:rsidR="002A6C77" w:rsidRPr="00B65ABC" w:rsidRDefault="002A6C77" w:rsidP="000337CB">
      <w:pPr>
        <w:tabs>
          <w:tab w:val="left" w:pos="1418"/>
        </w:tabs>
        <w:ind w:left="851"/>
        <w:jc w:val="center"/>
        <w:rPr>
          <w:b/>
          <w:i/>
          <w:iCs/>
        </w:rPr>
      </w:pPr>
    </w:p>
    <w:p w14:paraId="1BF56C38" w14:textId="15A1A8FD" w:rsidR="007708B3" w:rsidRPr="00B65ABC" w:rsidRDefault="003F40EC" w:rsidP="000337CB">
      <w:pPr>
        <w:tabs>
          <w:tab w:val="left" w:pos="1418"/>
        </w:tabs>
        <w:ind w:left="851"/>
        <w:jc w:val="center"/>
        <w:rPr>
          <w:b/>
          <w:i/>
        </w:rPr>
      </w:pPr>
      <w:r w:rsidRPr="00B65ABC">
        <w:rPr>
          <w:b/>
          <w:i/>
        </w:rPr>
        <w:t>Health Insurance (Section 3C General Medical Services – GP and Allied Health COVID-19 Services) Amendment Determination No. 2 2020</w:t>
      </w:r>
    </w:p>
    <w:p w14:paraId="333D57AA" w14:textId="77777777" w:rsidR="00067581" w:rsidRPr="00B65ABC" w:rsidRDefault="00067581" w:rsidP="000337CB">
      <w:pPr>
        <w:tabs>
          <w:tab w:val="left" w:pos="1418"/>
        </w:tabs>
        <w:ind w:left="851"/>
        <w:jc w:val="center"/>
        <w:rPr>
          <w:b/>
          <w:i/>
          <w:szCs w:val="24"/>
        </w:rPr>
      </w:pPr>
    </w:p>
    <w:p w14:paraId="2412D153" w14:textId="7AFD921D" w:rsidR="00A17F2C" w:rsidRPr="00B65ABC" w:rsidRDefault="00A17F2C" w:rsidP="000337CB">
      <w:pPr>
        <w:jc w:val="center"/>
        <w:rPr>
          <w:szCs w:val="24"/>
        </w:rPr>
      </w:pPr>
      <w:r w:rsidRPr="00B65ABC">
        <w:rPr>
          <w:szCs w:val="24"/>
        </w:rPr>
        <w:t xml:space="preserve">This </w:t>
      </w:r>
      <w:r w:rsidR="0046022A" w:rsidRPr="00B65ABC">
        <w:rPr>
          <w:szCs w:val="24"/>
        </w:rPr>
        <w:t>instrument</w:t>
      </w:r>
      <w:r w:rsidRPr="00B65ABC">
        <w:rPr>
          <w:szCs w:val="24"/>
        </w:rPr>
        <w:t xml:space="preserve"> is compatible with the human rights and freedoms recognised or declared in the international instruments listed in section 3 of the </w:t>
      </w:r>
      <w:r w:rsidRPr="00B65ABC">
        <w:rPr>
          <w:i/>
          <w:szCs w:val="24"/>
        </w:rPr>
        <w:t>Human Rights (Parliamentary Scrutiny) Act 2011</w:t>
      </w:r>
      <w:r w:rsidRPr="00B65ABC">
        <w:rPr>
          <w:szCs w:val="24"/>
        </w:rPr>
        <w:t>.</w:t>
      </w:r>
    </w:p>
    <w:p w14:paraId="7EDA9098" w14:textId="306A78E1" w:rsidR="006E6BBF" w:rsidRPr="00B65ABC" w:rsidRDefault="006E6BBF" w:rsidP="008734F5">
      <w:pPr>
        <w:spacing w:before="120" w:after="120"/>
        <w:rPr>
          <w:b/>
          <w:szCs w:val="24"/>
        </w:rPr>
      </w:pPr>
      <w:r w:rsidRPr="00B65ABC">
        <w:rPr>
          <w:b/>
          <w:szCs w:val="24"/>
        </w:rPr>
        <w:t xml:space="preserve">Overview of the </w:t>
      </w:r>
      <w:r w:rsidR="00B86A9F" w:rsidRPr="00B65ABC">
        <w:rPr>
          <w:b/>
          <w:szCs w:val="24"/>
        </w:rPr>
        <w:t>Determination</w:t>
      </w:r>
    </w:p>
    <w:p w14:paraId="3DD3A8BB" w14:textId="6B5F9AC2" w:rsidR="001C443C" w:rsidRPr="00B65ABC" w:rsidRDefault="003F40EC" w:rsidP="00067581">
      <w:pPr>
        <w:ind w:right="84"/>
      </w:pPr>
      <w:r w:rsidRPr="00B65ABC">
        <w:t xml:space="preserve">The purpose of the </w:t>
      </w:r>
      <w:r w:rsidRPr="00B65ABC">
        <w:rPr>
          <w:i/>
        </w:rPr>
        <w:t>Health Insurance (Section 3C General Medical Services – GP and Allied Health COVID-19 Services) Amendment Determination No. 2 2020</w:t>
      </w:r>
      <w:r w:rsidRPr="00B65ABC">
        <w:t xml:space="preserve"> is to list new remote antenatal and postnatal services provided by participating midwives for patients at </w:t>
      </w:r>
      <w:r w:rsidR="00036E2B" w:rsidRPr="00B65ABC">
        <w:t>risk of</w:t>
      </w:r>
      <w:r w:rsidRPr="00B65ABC">
        <w:t xml:space="preserve"> COVID-19. Eight new items will be listed to allow participating midwives to render these services by telehealth (91211, 91212, 91214 and 91215) or by phon</w:t>
      </w:r>
      <w:r w:rsidR="00036E2B" w:rsidRPr="00B65ABC">
        <w:t>e (91218, 91219, 91221 and 91222</w:t>
      </w:r>
      <w:r w:rsidRPr="00B65ABC">
        <w:t>) where video conferencing is unavailable.</w:t>
      </w:r>
    </w:p>
    <w:p w14:paraId="31515278" w14:textId="28FBF7FC" w:rsidR="007708B3" w:rsidRPr="00B65ABC" w:rsidRDefault="007708B3" w:rsidP="002A6C77">
      <w:pPr>
        <w:ind w:right="-482"/>
        <w:rPr>
          <w:iCs/>
        </w:rPr>
      </w:pPr>
    </w:p>
    <w:p w14:paraId="2412D15C" w14:textId="50D38E8B" w:rsidR="00A17F2C" w:rsidRPr="00B65ABC" w:rsidRDefault="00A17F2C" w:rsidP="00067581">
      <w:pPr>
        <w:keepNext/>
        <w:keepLines/>
        <w:ind w:right="-482"/>
        <w:rPr>
          <w:b/>
          <w:szCs w:val="24"/>
        </w:rPr>
      </w:pPr>
      <w:r w:rsidRPr="00B65ABC">
        <w:rPr>
          <w:b/>
          <w:szCs w:val="24"/>
        </w:rPr>
        <w:t>Human rights implications</w:t>
      </w:r>
    </w:p>
    <w:p w14:paraId="449665F0" w14:textId="2ED3F54B" w:rsidR="00806020" w:rsidRPr="00B65ABC" w:rsidRDefault="00806020" w:rsidP="00067581">
      <w:pPr>
        <w:keepNext/>
        <w:keepLines/>
        <w:spacing w:before="120" w:after="120"/>
        <w:rPr>
          <w:szCs w:val="24"/>
        </w:rPr>
      </w:pPr>
      <w:r w:rsidRPr="00B65ABC">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B65ABC" w:rsidRDefault="00A17F2C" w:rsidP="00806020">
      <w:pPr>
        <w:spacing w:before="120" w:after="120"/>
        <w:rPr>
          <w:i/>
          <w:szCs w:val="24"/>
        </w:rPr>
      </w:pPr>
      <w:r w:rsidRPr="00B65ABC">
        <w:rPr>
          <w:i/>
          <w:szCs w:val="24"/>
        </w:rPr>
        <w:t>The Right to Health</w:t>
      </w:r>
    </w:p>
    <w:p w14:paraId="2412D15F" w14:textId="77777777" w:rsidR="00A17F2C" w:rsidRPr="00B65ABC" w:rsidRDefault="00A17F2C" w:rsidP="000337CB">
      <w:pPr>
        <w:spacing w:before="120" w:after="120"/>
        <w:rPr>
          <w:szCs w:val="24"/>
        </w:rPr>
      </w:pPr>
      <w:r w:rsidRPr="00B65AB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65ABC" w:rsidRDefault="00A17F2C" w:rsidP="000337CB">
      <w:pPr>
        <w:spacing w:before="120" w:after="120"/>
        <w:rPr>
          <w:szCs w:val="24"/>
        </w:rPr>
      </w:pPr>
      <w:r w:rsidRPr="00B65ABC">
        <w:rPr>
          <w:szCs w:val="24"/>
        </w:rPr>
        <w:t xml:space="preserve">The Committee reports that the </w:t>
      </w:r>
      <w:r w:rsidRPr="00B65ABC">
        <w:rPr>
          <w:i/>
          <w:szCs w:val="24"/>
        </w:rPr>
        <w:t>‘highest attainable standard of health’</w:t>
      </w:r>
      <w:r w:rsidRPr="00B65AB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B65ABC" w:rsidRDefault="00A17F2C" w:rsidP="000337CB">
      <w:pPr>
        <w:spacing w:before="120" w:after="120"/>
        <w:rPr>
          <w:i/>
          <w:szCs w:val="24"/>
        </w:rPr>
      </w:pPr>
      <w:r w:rsidRPr="00B65ABC">
        <w:rPr>
          <w:i/>
          <w:szCs w:val="24"/>
        </w:rPr>
        <w:t xml:space="preserve">The Right to Social Security </w:t>
      </w:r>
    </w:p>
    <w:p w14:paraId="2412D162" w14:textId="77777777" w:rsidR="00A17F2C" w:rsidRPr="00B65ABC" w:rsidRDefault="00A17F2C" w:rsidP="000337CB">
      <w:pPr>
        <w:spacing w:before="120" w:after="120"/>
        <w:rPr>
          <w:szCs w:val="24"/>
        </w:rPr>
      </w:pPr>
      <w:r w:rsidRPr="00B65ABC">
        <w:rPr>
          <w:szCs w:val="24"/>
        </w:rPr>
        <w:lastRenderedPageBreak/>
        <w:t>The right to social security is contained in Article 9 of the ICESCR. It requires that a country must, within its maximum available resources, ensure access to a social security scheme that</w:t>
      </w:r>
      <w:r w:rsidR="00BA69CB" w:rsidRPr="00B65ABC">
        <w:rPr>
          <w:szCs w:val="24"/>
        </w:rPr>
        <w:t xml:space="preserve"> </w:t>
      </w:r>
      <w:r w:rsidRPr="00B65ABC">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65ABC" w:rsidRDefault="00A17F2C" w:rsidP="000337CB">
      <w:pPr>
        <w:spacing w:before="120" w:after="120"/>
        <w:rPr>
          <w:szCs w:val="24"/>
        </w:rPr>
      </w:pPr>
      <w:r w:rsidRPr="00B65ABC">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B65ABC" w:rsidRDefault="00A17F2C" w:rsidP="000337CB">
      <w:pPr>
        <w:spacing w:before="120" w:after="120"/>
        <w:rPr>
          <w:szCs w:val="24"/>
          <w:u w:val="single"/>
        </w:rPr>
      </w:pPr>
      <w:r w:rsidRPr="00B65ABC">
        <w:rPr>
          <w:szCs w:val="24"/>
          <w:u w:val="single"/>
        </w:rPr>
        <w:t xml:space="preserve">Analysis </w:t>
      </w:r>
    </w:p>
    <w:p w14:paraId="4BF9070B" w14:textId="77777777" w:rsidR="00067581" w:rsidRPr="00B65ABC" w:rsidRDefault="00067581" w:rsidP="00067581">
      <w:pPr>
        <w:rPr>
          <w:szCs w:val="24"/>
        </w:rPr>
      </w:pPr>
      <w:r w:rsidRPr="00B65ABC">
        <w:rPr>
          <w:szCs w:val="24"/>
        </w:rPr>
        <w:t xml:space="preserve">This instrument advances the right to health and the right to social security by ensuring people who have been affected by </w:t>
      </w:r>
      <w:r w:rsidRPr="00B65ABC">
        <w:t xml:space="preserve">COVID-19 </w:t>
      </w:r>
      <w:r w:rsidRPr="00B65ABC">
        <w:rPr>
          <w:szCs w:val="24"/>
        </w:rPr>
        <w:t>can access publicly subsidised health services without the risk of affecting other people or health professionals.</w:t>
      </w:r>
    </w:p>
    <w:p w14:paraId="2412D166" w14:textId="1973400E" w:rsidR="00A17F2C" w:rsidRPr="00B65ABC" w:rsidRDefault="00A17F2C" w:rsidP="004B7CB9">
      <w:pPr>
        <w:spacing w:before="120" w:after="120" w:line="276" w:lineRule="auto"/>
        <w:rPr>
          <w:rFonts w:eastAsia="Calibri"/>
          <w:b/>
          <w:szCs w:val="24"/>
          <w:lang w:eastAsia="en-US"/>
        </w:rPr>
      </w:pPr>
      <w:r w:rsidRPr="00B65ABC">
        <w:rPr>
          <w:rFonts w:eastAsia="Calibri"/>
          <w:b/>
          <w:szCs w:val="24"/>
          <w:lang w:eastAsia="en-US"/>
        </w:rPr>
        <w:t xml:space="preserve">Conclusion </w:t>
      </w:r>
    </w:p>
    <w:p w14:paraId="29348805" w14:textId="77777777" w:rsidR="00067581" w:rsidRPr="00B65ABC" w:rsidRDefault="00067581" w:rsidP="00067581">
      <w:pPr>
        <w:rPr>
          <w:szCs w:val="24"/>
        </w:rPr>
      </w:pPr>
      <w:r w:rsidRPr="00B65ABC">
        <w:rPr>
          <w:szCs w:val="24"/>
        </w:rPr>
        <w:t xml:space="preserve">This instrument is compatible with human rights as it advances the right to health and the right to social security. </w:t>
      </w:r>
    </w:p>
    <w:p w14:paraId="5F52FC1C" w14:textId="77777777" w:rsidR="00067581" w:rsidRPr="00B65ABC" w:rsidRDefault="00067581" w:rsidP="00067581">
      <w:pPr>
        <w:rPr>
          <w:rFonts w:eastAsia="Calibri"/>
          <w:szCs w:val="24"/>
          <w:lang w:eastAsia="en-US"/>
        </w:rPr>
      </w:pPr>
    </w:p>
    <w:p w14:paraId="0D9EA547" w14:textId="77777777" w:rsidR="00067581" w:rsidRPr="00B65ABC" w:rsidRDefault="00067581" w:rsidP="00067581">
      <w:pPr>
        <w:jc w:val="center"/>
        <w:rPr>
          <w:b/>
          <w:bCs/>
        </w:rPr>
      </w:pPr>
    </w:p>
    <w:p w14:paraId="1A3745E0" w14:textId="41F82C79" w:rsidR="00067581" w:rsidRPr="00B65ABC" w:rsidRDefault="00735891" w:rsidP="00067581">
      <w:pPr>
        <w:jc w:val="center"/>
        <w:rPr>
          <w:b/>
        </w:rPr>
      </w:pPr>
      <w:r w:rsidRPr="00B65ABC">
        <w:rPr>
          <w:b/>
        </w:rPr>
        <w:t>Greg Hunt</w:t>
      </w:r>
    </w:p>
    <w:p w14:paraId="148F263A" w14:textId="358F995F" w:rsidR="00067581" w:rsidRPr="00B65ABC" w:rsidRDefault="00735891" w:rsidP="00067581">
      <w:pPr>
        <w:jc w:val="center"/>
        <w:rPr>
          <w:rFonts w:eastAsia="Calibri"/>
          <w:szCs w:val="24"/>
          <w:lang w:eastAsia="en-US"/>
        </w:rPr>
      </w:pPr>
      <w:r w:rsidRPr="00B65ABC">
        <w:rPr>
          <w:b/>
        </w:rPr>
        <w:t>Minister for Health</w:t>
      </w:r>
    </w:p>
    <w:p w14:paraId="2412D16E" w14:textId="795767C2" w:rsidR="00636C51" w:rsidRPr="00B65ABC" w:rsidRDefault="00636C51" w:rsidP="00067581">
      <w:pPr>
        <w:rPr>
          <w:rFonts w:eastAsia="Calibri"/>
          <w:szCs w:val="24"/>
          <w:lang w:eastAsia="en-US"/>
        </w:rPr>
      </w:pPr>
    </w:p>
    <w:sectPr w:rsidR="00636C51" w:rsidRPr="00B65ABC"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6390323F" w:rsidR="00A1739A" w:rsidRDefault="00A1739A" w:rsidP="00BD6F5F">
    <w:pPr>
      <w:pStyle w:val="Header"/>
      <w:jc w:val="center"/>
    </w:pPr>
    <w:r>
      <w:fldChar w:fldCharType="begin"/>
    </w:r>
    <w:r>
      <w:instrText xml:space="preserve"> PAGE  \* Arabic  \* MERGEFORMAT </w:instrText>
    </w:r>
    <w:r>
      <w:fldChar w:fldCharType="separate"/>
    </w:r>
    <w:r w:rsidR="00B65ABC">
      <w:rPr>
        <w:noProof/>
      </w:rPr>
      <w:t>3</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3E8639C8" w:rsidR="00E23B6B" w:rsidRDefault="00E23B6B">
        <w:pPr>
          <w:pStyle w:val="Header"/>
          <w:jc w:val="center"/>
        </w:pPr>
        <w:r>
          <w:fldChar w:fldCharType="begin"/>
        </w:r>
        <w:r>
          <w:instrText xml:space="preserve"> PAGE   \* MERGEFORMAT </w:instrText>
        </w:r>
        <w:r>
          <w:fldChar w:fldCharType="separate"/>
        </w:r>
        <w:r w:rsidR="00B65ABC">
          <w:rPr>
            <w:noProof/>
          </w:rPr>
          <w:t>6</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64AEFFB6" w:rsidR="00E23B6B" w:rsidRDefault="00E23B6B">
        <w:pPr>
          <w:pStyle w:val="Header"/>
          <w:jc w:val="center"/>
        </w:pPr>
        <w:r>
          <w:fldChar w:fldCharType="begin"/>
        </w:r>
        <w:r>
          <w:instrText xml:space="preserve"> PAGE   \* MERGEFORMAT </w:instrText>
        </w:r>
        <w:r>
          <w:fldChar w:fldCharType="separate"/>
        </w:r>
        <w:r w:rsidR="00B65ABC">
          <w:rPr>
            <w:noProof/>
          </w:rPr>
          <w:t>4</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BF734D"/>
    <w:multiLevelType w:val="hybridMultilevel"/>
    <w:tmpl w:val="6892005A"/>
    <w:lvl w:ilvl="0" w:tplc="2A9C16C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125A"/>
    <w:multiLevelType w:val="hybridMultilevel"/>
    <w:tmpl w:val="6B8A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2B22"/>
    <w:multiLevelType w:val="hybridMultilevel"/>
    <w:tmpl w:val="CF94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9"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13"/>
  </w:num>
  <w:num w:numId="5">
    <w:abstractNumId w:val="20"/>
  </w:num>
  <w:num w:numId="6">
    <w:abstractNumId w:val="11"/>
  </w:num>
  <w:num w:numId="7">
    <w:abstractNumId w:val="31"/>
  </w:num>
  <w:num w:numId="8">
    <w:abstractNumId w:val="7"/>
  </w:num>
  <w:num w:numId="9">
    <w:abstractNumId w:val="6"/>
  </w:num>
  <w:num w:numId="10">
    <w:abstractNumId w:val="33"/>
  </w:num>
  <w:num w:numId="11">
    <w:abstractNumId w:val="30"/>
  </w:num>
  <w:num w:numId="12">
    <w:abstractNumId w:val="14"/>
  </w:num>
  <w:num w:numId="13">
    <w:abstractNumId w:val="16"/>
  </w:num>
  <w:num w:numId="14">
    <w:abstractNumId w:val="28"/>
  </w:num>
  <w:num w:numId="15">
    <w:abstractNumId w:val="8"/>
  </w:num>
  <w:num w:numId="16">
    <w:abstractNumId w:val="22"/>
  </w:num>
  <w:num w:numId="17">
    <w:abstractNumId w:val="25"/>
  </w:num>
  <w:num w:numId="18">
    <w:abstractNumId w:val="23"/>
  </w:num>
  <w:num w:numId="19">
    <w:abstractNumId w:val="4"/>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0"/>
  </w:num>
  <w:num w:numId="26">
    <w:abstractNumId w:val="5"/>
  </w:num>
  <w:num w:numId="27">
    <w:abstractNumId w:val="17"/>
  </w:num>
  <w:num w:numId="28">
    <w:abstractNumId w:val="32"/>
  </w:num>
  <w:num w:numId="29">
    <w:abstractNumId w:val="19"/>
  </w:num>
  <w:num w:numId="30">
    <w:abstractNumId w:val="29"/>
  </w:num>
  <w:num w:numId="31">
    <w:abstractNumId w:val="15"/>
  </w:num>
  <w:num w:numId="32">
    <w:abstractNumId w:val="27"/>
  </w:num>
  <w:num w:numId="33">
    <w:abstractNumId w:val="3"/>
  </w:num>
  <w:num w:numId="34">
    <w:abstractNumId w:val="9"/>
  </w:num>
  <w:num w:numId="3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36E2B"/>
    <w:rsid w:val="00041849"/>
    <w:rsid w:val="0004426E"/>
    <w:rsid w:val="00044A2A"/>
    <w:rsid w:val="00047285"/>
    <w:rsid w:val="00050623"/>
    <w:rsid w:val="000509BA"/>
    <w:rsid w:val="0005224B"/>
    <w:rsid w:val="00054F46"/>
    <w:rsid w:val="0005533C"/>
    <w:rsid w:val="00063242"/>
    <w:rsid w:val="000640CF"/>
    <w:rsid w:val="00064BA4"/>
    <w:rsid w:val="00067581"/>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5225"/>
    <w:rsid w:val="00120766"/>
    <w:rsid w:val="00121189"/>
    <w:rsid w:val="00121A66"/>
    <w:rsid w:val="00132087"/>
    <w:rsid w:val="00134B27"/>
    <w:rsid w:val="00134C9A"/>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02D2"/>
    <w:rsid w:val="001B3714"/>
    <w:rsid w:val="001B5ED9"/>
    <w:rsid w:val="001B6095"/>
    <w:rsid w:val="001B66AF"/>
    <w:rsid w:val="001B7092"/>
    <w:rsid w:val="001C1B86"/>
    <w:rsid w:val="001C35BC"/>
    <w:rsid w:val="001C443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1CD0"/>
    <w:rsid w:val="002322A8"/>
    <w:rsid w:val="0023311C"/>
    <w:rsid w:val="00233BEB"/>
    <w:rsid w:val="00234EDC"/>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230"/>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C01"/>
    <w:rsid w:val="00302F5C"/>
    <w:rsid w:val="00304080"/>
    <w:rsid w:val="0031124D"/>
    <w:rsid w:val="003113E4"/>
    <w:rsid w:val="00312ED1"/>
    <w:rsid w:val="00313554"/>
    <w:rsid w:val="003175A1"/>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4AF3"/>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0EC"/>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2D67"/>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14E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891"/>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981"/>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0F97"/>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420A"/>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65ABC"/>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4625"/>
    <w:rsid w:val="00C958FA"/>
    <w:rsid w:val="00C96958"/>
    <w:rsid w:val="00C96A6B"/>
    <w:rsid w:val="00CA62C0"/>
    <w:rsid w:val="00CA73CB"/>
    <w:rsid w:val="00CA79BB"/>
    <w:rsid w:val="00CB4161"/>
    <w:rsid w:val="00CB43A2"/>
    <w:rsid w:val="00CB6DE1"/>
    <w:rsid w:val="00CB7730"/>
    <w:rsid w:val="00CC12A0"/>
    <w:rsid w:val="00CC26A8"/>
    <w:rsid w:val="00CC3336"/>
    <w:rsid w:val="00CC4CED"/>
    <w:rsid w:val="00CC6EBB"/>
    <w:rsid w:val="00CD4A21"/>
    <w:rsid w:val="00CD6442"/>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0291"/>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2898"/>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19E9"/>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44A9"/>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66C49"/>
    <w:rsid w:val="00F70D35"/>
    <w:rsid w:val="00F7546C"/>
    <w:rsid w:val="00F77B00"/>
    <w:rsid w:val="00F83B6F"/>
    <w:rsid w:val="00F84470"/>
    <w:rsid w:val="00F857BC"/>
    <w:rsid w:val="00F90273"/>
    <w:rsid w:val="00F90BD0"/>
    <w:rsid w:val="00F91A58"/>
    <w:rsid w:val="00F91A5F"/>
    <w:rsid w:val="00F93ACB"/>
    <w:rsid w:val="00F93C4F"/>
    <w:rsid w:val="00F95581"/>
    <w:rsid w:val="00F95994"/>
    <w:rsid w:val="00FA2611"/>
    <w:rsid w:val="00FA29C9"/>
    <w:rsid w:val="00FA2D81"/>
    <w:rsid w:val="00FA3F17"/>
    <w:rsid w:val="00FA49C5"/>
    <w:rsid w:val="00FA5BD2"/>
    <w:rsid w:val="00FA6175"/>
    <w:rsid w:val="00FA6784"/>
    <w:rsid w:val="00FA7E00"/>
    <w:rsid w:val="00FB16BA"/>
    <w:rsid w:val="00FB1780"/>
    <w:rsid w:val="00FB35C6"/>
    <w:rsid w:val="00FB4C5A"/>
    <w:rsid w:val="00FB5BFA"/>
    <w:rsid w:val="00FB6850"/>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8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ActHead7">
    <w:name w:val="ActHead 7"/>
    <w:aliases w:val="ap"/>
    <w:basedOn w:val="Normal"/>
    <w:next w:val="Normal"/>
    <w:qFormat/>
    <w:rsid w:val="00CD6442"/>
    <w:pPr>
      <w:keepNext/>
      <w:keepLines/>
      <w:spacing w:before="280"/>
      <w:ind w:left="1134" w:hanging="1134"/>
      <w:outlineLvl w:val="6"/>
    </w:pPr>
    <w:rPr>
      <w:rFonts w:ascii="Arial" w:hAnsi="Arial"/>
      <w:b/>
      <w:kern w:val="28"/>
      <w:sz w:val="28"/>
    </w:rPr>
  </w:style>
  <w:style w:type="paragraph" w:customStyle="1" w:styleId="subsection">
    <w:name w:val="subsection"/>
    <w:aliases w:val="ss,Subsection"/>
    <w:basedOn w:val="Normal"/>
    <w:link w:val="subsectionChar"/>
    <w:rsid w:val="0006758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7581"/>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99149367">
      <w:bodyDiv w:val="1"/>
      <w:marLeft w:val="0"/>
      <w:marRight w:val="0"/>
      <w:marTop w:val="0"/>
      <w:marBottom w:val="0"/>
      <w:divBdr>
        <w:top w:val="none" w:sz="0" w:space="0" w:color="auto"/>
        <w:left w:val="none" w:sz="0" w:space="0" w:color="auto"/>
        <w:bottom w:val="none" w:sz="0" w:space="0" w:color="auto"/>
        <w:right w:val="none" w:sz="0" w:space="0" w:color="auto"/>
      </w:divBdr>
      <w:divsChild>
        <w:div w:id="1894580322">
          <w:marLeft w:val="0"/>
          <w:marRight w:val="0"/>
          <w:marTop w:val="0"/>
          <w:marBottom w:val="0"/>
          <w:divBdr>
            <w:top w:val="none" w:sz="0" w:space="0" w:color="auto"/>
            <w:left w:val="none" w:sz="0" w:space="0" w:color="auto"/>
            <w:bottom w:val="none" w:sz="0" w:space="0" w:color="auto"/>
            <w:right w:val="none" w:sz="0" w:space="0" w:color="auto"/>
          </w:divBdr>
          <w:divsChild>
            <w:div w:id="157503817">
              <w:marLeft w:val="0"/>
              <w:marRight w:val="0"/>
              <w:marTop w:val="0"/>
              <w:marBottom w:val="0"/>
              <w:divBdr>
                <w:top w:val="none" w:sz="0" w:space="0" w:color="auto"/>
                <w:left w:val="none" w:sz="0" w:space="0" w:color="auto"/>
                <w:bottom w:val="none" w:sz="0" w:space="0" w:color="auto"/>
                <w:right w:val="none" w:sz="0" w:space="0" w:color="auto"/>
              </w:divBdr>
              <w:divsChild>
                <w:div w:id="2142530701">
                  <w:marLeft w:val="0"/>
                  <w:marRight w:val="0"/>
                  <w:marTop w:val="0"/>
                  <w:marBottom w:val="0"/>
                  <w:divBdr>
                    <w:top w:val="none" w:sz="0" w:space="0" w:color="auto"/>
                    <w:left w:val="none" w:sz="0" w:space="0" w:color="auto"/>
                    <w:bottom w:val="none" w:sz="0" w:space="0" w:color="auto"/>
                    <w:right w:val="none" w:sz="0" w:space="0" w:color="auto"/>
                  </w:divBdr>
                  <w:divsChild>
                    <w:div w:id="581989384">
                      <w:marLeft w:val="0"/>
                      <w:marRight w:val="0"/>
                      <w:marTop w:val="0"/>
                      <w:marBottom w:val="0"/>
                      <w:divBdr>
                        <w:top w:val="none" w:sz="0" w:space="0" w:color="auto"/>
                        <w:left w:val="none" w:sz="0" w:space="0" w:color="auto"/>
                        <w:bottom w:val="none" w:sz="0" w:space="0" w:color="auto"/>
                        <w:right w:val="none" w:sz="0" w:space="0" w:color="auto"/>
                      </w:divBdr>
                      <w:divsChild>
                        <w:div w:id="1860507016">
                          <w:marLeft w:val="0"/>
                          <w:marRight w:val="0"/>
                          <w:marTop w:val="0"/>
                          <w:marBottom w:val="0"/>
                          <w:divBdr>
                            <w:top w:val="none" w:sz="0" w:space="0" w:color="auto"/>
                            <w:left w:val="none" w:sz="0" w:space="0" w:color="auto"/>
                            <w:bottom w:val="none" w:sz="0" w:space="0" w:color="auto"/>
                            <w:right w:val="none" w:sz="0" w:space="0" w:color="auto"/>
                          </w:divBdr>
                          <w:divsChild>
                            <w:div w:id="1615214328">
                              <w:marLeft w:val="0"/>
                              <w:marRight w:val="0"/>
                              <w:marTop w:val="0"/>
                              <w:marBottom w:val="0"/>
                              <w:divBdr>
                                <w:top w:val="none" w:sz="0" w:space="0" w:color="auto"/>
                                <w:left w:val="none" w:sz="0" w:space="0" w:color="auto"/>
                                <w:bottom w:val="none" w:sz="0" w:space="0" w:color="auto"/>
                                <w:right w:val="none" w:sz="0" w:space="0" w:color="auto"/>
                              </w:divBdr>
                              <w:divsChild>
                                <w:div w:id="183135162">
                                  <w:marLeft w:val="0"/>
                                  <w:marRight w:val="0"/>
                                  <w:marTop w:val="0"/>
                                  <w:marBottom w:val="0"/>
                                  <w:divBdr>
                                    <w:top w:val="none" w:sz="0" w:space="0" w:color="auto"/>
                                    <w:left w:val="none" w:sz="0" w:space="0" w:color="auto"/>
                                    <w:bottom w:val="none" w:sz="0" w:space="0" w:color="auto"/>
                                    <w:right w:val="none" w:sz="0" w:space="0" w:color="auto"/>
                                  </w:divBdr>
                                  <w:divsChild>
                                    <w:div w:id="1455715123">
                                      <w:marLeft w:val="0"/>
                                      <w:marRight w:val="0"/>
                                      <w:marTop w:val="0"/>
                                      <w:marBottom w:val="0"/>
                                      <w:divBdr>
                                        <w:top w:val="none" w:sz="0" w:space="0" w:color="auto"/>
                                        <w:left w:val="none" w:sz="0" w:space="0" w:color="auto"/>
                                        <w:bottom w:val="none" w:sz="0" w:space="0" w:color="auto"/>
                                        <w:right w:val="none" w:sz="0" w:space="0" w:color="auto"/>
                                      </w:divBdr>
                                      <w:divsChild>
                                        <w:div w:id="682977119">
                                          <w:marLeft w:val="0"/>
                                          <w:marRight w:val="0"/>
                                          <w:marTop w:val="0"/>
                                          <w:marBottom w:val="0"/>
                                          <w:divBdr>
                                            <w:top w:val="none" w:sz="0" w:space="0" w:color="auto"/>
                                            <w:left w:val="none" w:sz="0" w:space="0" w:color="auto"/>
                                            <w:bottom w:val="none" w:sz="0" w:space="0" w:color="auto"/>
                                            <w:right w:val="none" w:sz="0" w:space="0" w:color="auto"/>
                                          </w:divBdr>
                                          <w:divsChild>
                                            <w:div w:id="211232458">
                                              <w:marLeft w:val="0"/>
                                              <w:marRight w:val="0"/>
                                              <w:marTop w:val="0"/>
                                              <w:marBottom w:val="0"/>
                                              <w:divBdr>
                                                <w:top w:val="none" w:sz="0" w:space="0" w:color="auto"/>
                                                <w:left w:val="none" w:sz="0" w:space="0" w:color="auto"/>
                                                <w:bottom w:val="none" w:sz="0" w:space="0" w:color="auto"/>
                                                <w:right w:val="none" w:sz="0" w:space="0" w:color="auto"/>
                                              </w:divBdr>
                                              <w:divsChild>
                                                <w:div w:id="1094787204">
                                                  <w:marLeft w:val="0"/>
                                                  <w:marRight w:val="0"/>
                                                  <w:marTop w:val="0"/>
                                                  <w:marBottom w:val="0"/>
                                                  <w:divBdr>
                                                    <w:top w:val="none" w:sz="0" w:space="0" w:color="auto"/>
                                                    <w:left w:val="none" w:sz="0" w:space="0" w:color="auto"/>
                                                    <w:bottom w:val="none" w:sz="0" w:space="0" w:color="auto"/>
                                                    <w:right w:val="none" w:sz="0" w:space="0" w:color="auto"/>
                                                  </w:divBdr>
                                                  <w:divsChild>
                                                    <w:div w:id="1991641190">
                                                      <w:marLeft w:val="0"/>
                                                      <w:marRight w:val="0"/>
                                                      <w:marTop w:val="0"/>
                                                      <w:marBottom w:val="0"/>
                                                      <w:divBdr>
                                                        <w:top w:val="none" w:sz="0" w:space="0" w:color="auto"/>
                                                        <w:left w:val="none" w:sz="0" w:space="0" w:color="auto"/>
                                                        <w:bottom w:val="none" w:sz="0" w:space="0" w:color="auto"/>
                                                        <w:right w:val="none" w:sz="0" w:space="0" w:color="auto"/>
                                                      </w:divBdr>
                                                      <w:divsChild>
                                                        <w:div w:id="16493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322077">
      <w:bodyDiv w:val="1"/>
      <w:marLeft w:val="0"/>
      <w:marRight w:val="0"/>
      <w:marTop w:val="0"/>
      <w:marBottom w:val="0"/>
      <w:divBdr>
        <w:top w:val="none" w:sz="0" w:space="0" w:color="auto"/>
        <w:left w:val="none" w:sz="0" w:space="0" w:color="auto"/>
        <w:bottom w:val="none" w:sz="0" w:space="0" w:color="auto"/>
        <w:right w:val="none" w:sz="0" w:space="0" w:color="auto"/>
      </w:divBdr>
      <w:divsChild>
        <w:div w:id="1383016053">
          <w:marLeft w:val="0"/>
          <w:marRight w:val="0"/>
          <w:marTop w:val="0"/>
          <w:marBottom w:val="0"/>
          <w:divBdr>
            <w:top w:val="none" w:sz="0" w:space="0" w:color="auto"/>
            <w:left w:val="none" w:sz="0" w:space="0" w:color="auto"/>
            <w:bottom w:val="none" w:sz="0" w:space="0" w:color="auto"/>
            <w:right w:val="none" w:sz="0" w:space="0" w:color="auto"/>
          </w:divBdr>
          <w:divsChild>
            <w:div w:id="669793009">
              <w:marLeft w:val="0"/>
              <w:marRight w:val="0"/>
              <w:marTop w:val="0"/>
              <w:marBottom w:val="0"/>
              <w:divBdr>
                <w:top w:val="none" w:sz="0" w:space="0" w:color="auto"/>
                <w:left w:val="none" w:sz="0" w:space="0" w:color="auto"/>
                <w:bottom w:val="none" w:sz="0" w:space="0" w:color="auto"/>
                <w:right w:val="none" w:sz="0" w:space="0" w:color="auto"/>
              </w:divBdr>
              <w:divsChild>
                <w:div w:id="360085797">
                  <w:marLeft w:val="0"/>
                  <w:marRight w:val="0"/>
                  <w:marTop w:val="0"/>
                  <w:marBottom w:val="0"/>
                  <w:divBdr>
                    <w:top w:val="none" w:sz="0" w:space="0" w:color="auto"/>
                    <w:left w:val="none" w:sz="0" w:space="0" w:color="auto"/>
                    <w:bottom w:val="none" w:sz="0" w:space="0" w:color="auto"/>
                    <w:right w:val="none" w:sz="0" w:space="0" w:color="auto"/>
                  </w:divBdr>
                  <w:divsChild>
                    <w:div w:id="808474557">
                      <w:marLeft w:val="0"/>
                      <w:marRight w:val="0"/>
                      <w:marTop w:val="0"/>
                      <w:marBottom w:val="0"/>
                      <w:divBdr>
                        <w:top w:val="none" w:sz="0" w:space="0" w:color="auto"/>
                        <w:left w:val="none" w:sz="0" w:space="0" w:color="auto"/>
                        <w:bottom w:val="none" w:sz="0" w:space="0" w:color="auto"/>
                        <w:right w:val="none" w:sz="0" w:space="0" w:color="auto"/>
                      </w:divBdr>
                      <w:divsChild>
                        <w:div w:id="355081389">
                          <w:marLeft w:val="0"/>
                          <w:marRight w:val="0"/>
                          <w:marTop w:val="0"/>
                          <w:marBottom w:val="0"/>
                          <w:divBdr>
                            <w:top w:val="none" w:sz="0" w:space="0" w:color="auto"/>
                            <w:left w:val="none" w:sz="0" w:space="0" w:color="auto"/>
                            <w:bottom w:val="none" w:sz="0" w:space="0" w:color="auto"/>
                            <w:right w:val="none" w:sz="0" w:space="0" w:color="auto"/>
                          </w:divBdr>
                          <w:divsChild>
                            <w:div w:id="1007362938">
                              <w:marLeft w:val="0"/>
                              <w:marRight w:val="0"/>
                              <w:marTop w:val="0"/>
                              <w:marBottom w:val="0"/>
                              <w:divBdr>
                                <w:top w:val="none" w:sz="0" w:space="0" w:color="auto"/>
                                <w:left w:val="none" w:sz="0" w:space="0" w:color="auto"/>
                                <w:bottom w:val="none" w:sz="0" w:space="0" w:color="auto"/>
                                <w:right w:val="none" w:sz="0" w:space="0" w:color="auto"/>
                              </w:divBdr>
                              <w:divsChild>
                                <w:div w:id="1378506269">
                                  <w:marLeft w:val="0"/>
                                  <w:marRight w:val="0"/>
                                  <w:marTop w:val="0"/>
                                  <w:marBottom w:val="0"/>
                                  <w:divBdr>
                                    <w:top w:val="none" w:sz="0" w:space="0" w:color="auto"/>
                                    <w:left w:val="none" w:sz="0" w:space="0" w:color="auto"/>
                                    <w:bottom w:val="none" w:sz="0" w:space="0" w:color="auto"/>
                                    <w:right w:val="none" w:sz="0" w:space="0" w:color="auto"/>
                                  </w:divBdr>
                                  <w:divsChild>
                                    <w:div w:id="1986272620">
                                      <w:marLeft w:val="0"/>
                                      <w:marRight w:val="0"/>
                                      <w:marTop w:val="0"/>
                                      <w:marBottom w:val="0"/>
                                      <w:divBdr>
                                        <w:top w:val="none" w:sz="0" w:space="0" w:color="auto"/>
                                        <w:left w:val="none" w:sz="0" w:space="0" w:color="auto"/>
                                        <w:bottom w:val="none" w:sz="0" w:space="0" w:color="auto"/>
                                        <w:right w:val="none" w:sz="0" w:space="0" w:color="auto"/>
                                      </w:divBdr>
                                      <w:divsChild>
                                        <w:div w:id="1997302504">
                                          <w:marLeft w:val="0"/>
                                          <w:marRight w:val="0"/>
                                          <w:marTop w:val="0"/>
                                          <w:marBottom w:val="0"/>
                                          <w:divBdr>
                                            <w:top w:val="none" w:sz="0" w:space="0" w:color="auto"/>
                                            <w:left w:val="none" w:sz="0" w:space="0" w:color="auto"/>
                                            <w:bottom w:val="none" w:sz="0" w:space="0" w:color="auto"/>
                                            <w:right w:val="none" w:sz="0" w:space="0" w:color="auto"/>
                                          </w:divBdr>
                                          <w:divsChild>
                                            <w:div w:id="2110077666">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sChild>
                                                    <w:div w:id="1382367116">
                                                      <w:marLeft w:val="0"/>
                                                      <w:marRight w:val="0"/>
                                                      <w:marTop w:val="0"/>
                                                      <w:marBottom w:val="0"/>
                                                      <w:divBdr>
                                                        <w:top w:val="none" w:sz="0" w:space="0" w:color="auto"/>
                                                        <w:left w:val="none" w:sz="0" w:space="0" w:color="auto"/>
                                                        <w:bottom w:val="none" w:sz="0" w:space="0" w:color="auto"/>
                                                        <w:right w:val="none" w:sz="0" w:space="0" w:color="auto"/>
                                                      </w:divBdr>
                                                      <w:divsChild>
                                                        <w:div w:id="1702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26036">
      <w:bodyDiv w:val="1"/>
      <w:marLeft w:val="0"/>
      <w:marRight w:val="0"/>
      <w:marTop w:val="0"/>
      <w:marBottom w:val="0"/>
      <w:divBdr>
        <w:top w:val="none" w:sz="0" w:space="0" w:color="auto"/>
        <w:left w:val="none" w:sz="0" w:space="0" w:color="auto"/>
        <w:bottom w:val="none" w:sz="0" w:space="0" w:color="auto"/>
        <w:right w:val="none" w:sz="0" w:space="0" w:color="auto"/>
      </w:divBdr>
      <w:divsChild>
        <w:div w:id="1063135928">
          <w:marLeft w:val="0"/>
          <w:marRight w:val="0"/>
          <w:marTop w:val="0"/>
          <w:marBottom w:val="0"/>
          <w:divBdr>
            <w:top w:val="none" w:sz="0" w:space="0" w:color="auto"/>
            <w:left w:val="none" w:sz="0" w:space="0" w:color="auto"/>
            <w:bottom w:val="none" w:sz="0" w:space="0" w:color="auto"/>
            <w:right w:val="none" w:sz="0" w:space="0" w:color="auto"/>
          </w:divBdr>
          <w:divsChild>
            <w:div w:id="878781708">
              <w:marLeft w:val="0"/>
              <w:marRight w:val="0"/>
              <w:marTop w:val="0"/>
              <w:marBottom w:val="0"/>
              <w:divBdr>
                <w:top w:val="none" w:sz="0" w:space="0" w:color="auto"/>
                <w:left w:val="none" w:sz="0" w:space="0" w:color="auto"/>
                <w:bottom w:val="none" w:sz="0" w:space="0" w:color="auto"/>
                <w:right w:val="none" w:sz="0" w:space="0" w:color="auto"/>
              </w:divBdr>
              <w:divsChild>
                <w:div w:id="634870491">
                  <w:marLeft w:val="0"/>
                  <w:marRight w:val="0"/>
                  <w:marTop w:val="0"/>
                  <w:marBottom w:val="0"/>
                  <w:divBdr>
                    <w:top w:val="none" w:sz="0" w:space="0" w:color="auto"/>
                    <w:left w:val="none" w:sz="0" w:space="0" w:color="auto"/>
                    <w:bottom w:val="none" w:sz="0" w:space="0" w:color="auto"/>
                    <w:right w:val="none" w:sz="0" w:space="0" w:color="auto"/>
                  </w:divBdr>
                  <w:divsChild>
                    <w:div w:id="99641025">
                      <w:marLeft w:val="0"/>
                      <w:marRight w:val="0"/>
                      <w:marTop w:val="0"/>
                      <w:marBottom w:val="0"/>
                      <w:divBdr>
                        <w:top w:val="none" w:sz="0" w:space="0" w:color="auto"/>
                        <w:left w:val="none" w:sz="0" w:space="0" w:color="auto"/>
                        <w:bottom w:val="none" w:sz="0" w:space="0" w:color="auto"/>
                        <w:right w:val="none" w:sz="0" w:space="0" w:color="auto"/>
                      </w:divBdr>
                      <w:divsChild>
                        <w:div w:id="1805192320">
                          <w:marLeft w:val="0"/>
                          <w:marRight w:val="0"/>
                          <w:marTop w:val="0"/>
                          <w:marBottom w:val="0"/>
                          <w:divBdr>
                            <w:top w:val="none" w:sz="0" w:space="0" w:color="auto"/>
                            <w:left w:val="none" w:sz="0" w:space="0" w:color="auto"/>
                            <w:bottom w:val="none" w:sz="0" w:space="0" w:color="auto"/>
                            <w:right w:val="none" w:sz="0" w:space="0" w:color="auto"/>
                          </w:divBdr>
                          <w:divsChild>
                            <w:div w:id="1623073961">
                              <w:marLeft w:val="0"/>
                              <w:marRight w:val="0"/>
                              <w:marTop w:val="0"/>
                              <w:marBottom w:val="0"/>
                              <w:divBdr>
                                <w:top w:val="none" w:sz="0" w:space="0" w:color="auto"/>
                                <w:left w:val="none" w:sz="0" w:space="0" w:color="auto"/>
                                <w:bottom w:val="none" w:sz="0" w:space="0" w:color="auto"/>
                                <w:right w:val="none" w:sz="0" w:space="0" w:color="auto"/>
                              </w:divBdr>
                              <w:divsChild>
                                <w:div w:id="364840859">
                                  <w:marLeft w:val="0"/>
                                  <w:marRight w:val="0"/>
                                  <w:marTop w:val="0"/>
                                  <w:marBottom w:val="0"/>
                                  <w:divBdr>
                                    <w:top w:val="none" w:sz="0" w:space="0" w:color="auto"/>
                                    <w:left w:val="none" w:sz="0" w:space="0" w:color="auto"/>
                                    <w:bottom w:val="none" w:sz="0" w:space="0" w:color="auto"/>
                                    <w:right w:val="none" w:sz="0" w:space="0" w:color="auto"/>
                                  </w:divBdr>
                                  <w:divsChild>
                                    <w:div w:id="1642802607">
                                      <w:marLeft w:val="0"/>
                                      <w:marRight w:val="0"/>
                                      <w:marTop w:val="0"/>
                                      <w:marBottom w:val="0"/>
                                      <w:divBdr>
                                        <w:top w:val="none" w:sz="0" w:space="0" w:color="auto"/>
                                        <w:left w:val="none" w:sz="0" w:space="0" w:color="auto"/>
                                        <w:bottom w:val="none" w:sz="0" w:space="0" w:color="auto"/>
                                        <w:right w:val="none" w:sz="0" w:space="0" w:color="auto"/>
                                      </w:divBdr>
                                      <w:divsChild>
                                        <w:div w:id="40597872">
                                          <w:marLeft w:val="0"/>
                                          <w:marRight w:val="0"/>
                                          <w:marTop w:val="0"/>
                                          <w:marBottom w:val="0"/>
                                          <w:divBdr>
                                            <w:top w:val="none" w:sz="0" w:space="0" w:color="auto"/>
                                            <w:left w:val="none" w:sz="0" w:space="0" w:color="auto"/>
                                            <w:bottom w:val="none" w:sz="0" w:space="0" w:color="auto"/>
                                            <w:right w:val="none" w:sz="0" w:space="0" w:color="auto"/>
                                          </w:divBdr>
                                          <w:divsChild>
                                            <w:div w:id="1323006491">
                                              <w:marLeft w:val="0"/>
                                              <w:marRight w:val="0"/>
                                              <w:marTop w:val="0"/>
                                              <w:marBottom w:val="0"/>
                                              <w:divBdr>
                                                <w:top w:val="none" w:sz="0" w:space="0" w:color="auto"/>
                                                <w:left w:val="none" w:sz="0" w:space="0" w:color="auto"/>
                                                <w:bottom w:val="none" w:sz="0" w:space="0" w:color="auto"/>
                                                <w:right w:val="none" w:sz="0" w:space="0" w:color="auto"/>
                                              </w:divBdr>
                                              <w:divsChild>
                                                <w:div w:id="953830878">
                                                  <w:marLeft w:val="0"/>
                                                  <w:marRight w:val="0"/>
                                                  <w:marTop w:val="0"/>
                                                  <w:marBottom w:val="0"/>
                                                  <w:divBdr>
                                                    <w:top w:val="none" w:sz="0" w:space="0" w:color="auto"/>
                                                    <w:left w:val="none" w:sz="0" w:space="0" w:color="auto"/>
                                                    <w:bottom w:val="none" w:sz="0" w:space="0" w:color="auto"/>
                                                    <w:right w:val="none" w:sz="0" w:space="0" w:color="auto"/>
                                                  </w:divBdr>
                                                  <w:divsChild>
                                                    <w:div w:id="1896508575">
                                                      <w:marLeft w:val="0"/>
                                                      <w:marRight w:val="0"/>
                                                      <w:marTop w:val="0"/>
                                                      <w:marBottom w:val="0"/>
                                                      <w:divBdr>
                                                        <w:top w:val="none" w:sz="0" w:space="0" w:color="auto"/>
                                                        <w:left w:val="none" w:sz="0" w:space="0" w:color="auto"/>
                                                        <w:bottom w:val="none" w:sz="0" w:space="0" w:color="auto"/>
                                                        <w:right w:val="none" w:sz="0" w:space="0" w:color="auto"/>
                                                      </w:divBdr>
                                                      <w:divsChild>
                                                        <w:div w:id="18221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891726184">
      <w:bodyDiv w:val="1"/>
      <w:marLeft w:val="0"/>
      <w:marRight w:val="0"/>
      <w:marTop w:val="0"/>
      <w:marBottom w:val="0"/>
      <w:divBdr>
        <w:top w:val="none" w:sz="0" w:space="0" w:color="auto"/>
        <w:left w:val="none" w:sz="0" w:space="0" w:color="auto"/>
        <w:bottom w:val="none" w:sz="0" w:space="0" w:color="auto"/>
        <w:right w:val="none" w:sz="0" w:space="0" w:color="auto"/>
      </w:divBdr>
      <w:divsChild>
        <w:div w:id="1723287790">
          <w:marLeft w:val="0"/>
          <w:marRight w:val="0"/>
          <w:marTop w:val="0"/>
          <w:marBottom w:val="0"/>
          <w:divBdr>
            <w:top w:val="none" w:sz="0" w:space="0" w:color="auto"/>
            <w:left w:val="none" w:sz="0" w:space="0" w:color="auto"/>
            <w:bottom w:val="none" w:sz="0" w:space="0" w:color="auto"/>
            <w:right w:val="none" w:sz="0" w:space="0" w:color="auto"/>
          </w:divBdr>
          <w:divsChild>
            <w:div w:id="665209086">
              <w:marLeft w:val="0"/>
              <w:marRight w:val="0"/>
              <w:marTop w:val="0"/>
              <w:marBottom w:val="0"/>
              <w:divBdr>
                <w:top w:val="none" w:sz="0" w:space="0" w:color="auto"/>
                <w:left w:val="none" w:sz="0" w:space="0" w:color="auto"/>
                <w:bottom w:val="none" w:sz="0" w:space="0" w:color="auto"/>
                <w:right w:val="none" w:sz="0" w:space="0" w:color="auto"/>
              </w:divBdr>
              <w:divsChild>
                <w:div w:id="688331982">
                  <w:marLeft w:val="0"/>
                  <w:marRight w:val="0"/>
                  <w:marTop w:val="0"/>
                  <w:marBottom w:val="0"/>
                  <w:divBdr>
                    <w:top w:val="none" w:sz="0" w:space="0" w:color="auto"/>
                    <w:left w:val="none" w:sz="0" w:space="0" w:color="auto"/>
                    <w:bottom w:val="none" w:sz="0" w:space="0" w:color="auto"/>
                    <w:right w:val="none" w:sz="0" w:space="0" w:color="auto"/>
                  </w:divBdr>
                  <w:divsChild>
                    <w:div w:id="915019045">
                      <w:marLeft w:val="0"/>
                      <w:marRight w:val="0"/>
                      <w:marTop w:val="0"/>
                      <w:marBottom w:val="0"/>
                      <w:divBdr>
                        <w:top w:val="none" w:sz="0" w:space="0" w:color="auto"/>
                        <w:left w:val="none" w:sz="0" w:space="0" w:color="auto"/>
                        <w:bottom w:val="none" w:sz="0" w:space="0" w:color="auto"/>
                        <w:right w:val="none" w:sz="0" w:space="0" w:color="auto"/>
                      </w:divBdr>
                      <w:divsChild>
                        <w:div w:id="241109584">
                          <w:marLeft w:val="0"/>
                          <w:marRight w:val="0"/>
                          <w:marTop w:val="0"/>
                          <w:marBottom w:val="0"/>
                          <w:divBdr>
                            <w:top w:val="none" w:sz="0" w:space="0" w:color="auto"/>
                            <w:left w:val="none" w:sz="0" w:space="0" w:color="auto"/>
                            <w:bottom w:val="none" w:sz="0" w:space="0" w:color="auto"/>
                            <w:right w:val="none" w:sz="0" w:space="0" w:color="auto"/>
                          </w:divBdr>
                          <w:divsChild>
                            <w:div w:id="87773113">
                              <w:marLeft w:val="0"/>
                              <w:marRight w:val="0"/>
                              <w:marTop w:val="0"/>
                              <w:marBottom w:val="0"/>
                              <w:divBdr>
                                <w:top w:val="none" w:sz="0" w:space="0" w:color="auto"/>
                                <w:left w:val="none" w:sz="0" w:space="0" w:color="auto"/>
                                <w:bottom w:val="none" w:sz="0" w:space="0" w:color="auto"/>
                                <w:right w:val="none" w:sz="0" w:space="0" w:color="auto"/>
                              </w:divBdr>
                              <w:divsChild>
                                <w:div w:id="982151773">
                                  <w:marLeft w:val="0"/>
                                  <w:marRight w:val="0"/>
                                  <w:marTop w:val="0"/>
                                  <w:marBottom w:val="0"/>
                                  <w:divBdr>
                                    <w:top w:val="none" w:sz="0" w:space="0" w:color="auto"/>
                                    <w:left w:val="none" w:sz="0" w:space="0" w:color="auto"/>
                                    <w:bottom w:val="none" w:sz="0" w:space="0" w:color="auto"/>
                                    <w:right w:val="none" w:sz="0" w:space="0" w:color="auto"/>
                                  </w:divBdr>
                                  <w:divsChild>
                                    <w:div w:id="1054234862">
                                      <w:marLeft w:val="0"/>
                                      <w:marRight w:val="0"/>
                                      <w:marTop w:val="0"/>
                                      <w:marBottom w:val="0"/>
                                      <w:divBdr>
                                        <w:top w:val="none" w:sz="0" w:space="0" w:color="auto"/>
                                        <w:left w:val="none" w:sz="0" w:space="0" w:color="auto"/>
                                        <w:bottom w:val="none" w:sz="0" w:space="0" w:color="auto"/>
                                        <w:right w:val="none" w:sz="0" w:space="0" w:color="auto"/>
                                      </w:divBdr>
                                      <w:divsChild>
                                        <w:div w:id="1140805089">
                                          <w:marLeft w:val="0"/>
                                          <w:marRight w:val="0"/>
                                          <w:marTop w:val="0"/>
                                          <w:marBottom w:val="0"/>
                                          <w:divBdr>
                                            <w:top w:val="none" w:sz="0" w:space="0" w:color="auto"/>
                                            <w:left w:val="none" w:sz="0" w:space="0" w:color="auto"/>
                                            <w:bottom w:val="none" w:sz="0" w:space="0" w:color="auto"/>
                                            <w:right w:val="none" w:sz="0" w:space="0" w:color="auto"/>
                                          </w:divBdr>
                                          <w:divsChild>
                                            <w:div w:id="1011908579">
                                              <w:marLeft w:val="0"/>
                                              <w:marRight w:val="0"/>
                                              <w:marTop w:val="0"/>
                                              <w:marBottom w:val="0"/>
                                              <w:divBdr>
                                                <w:top w:val="none" w:sz="0" w:space="0" w:color="auto"/>
                                                <w:left w:val="none" w:sz="0" w:space="0" w:color="auto"/>
                                                <w:bottom w:val="none" w:sz="0" w:space="0" w:color="auto"/>
                                                <w:right w:val="none" w:sz="0" w:space="0" w:color="auto"/>
                                              </w:divBdr>
                                              <w:divsChild>
                                                <w:div w:id="932786298">
                                                  <w:marLeft w:val="0"/>
                                                  <w:marRight w:val="0"/>
                                                  <w:marTop w:val="0"/>
                                                  <w:marBottom w:val="0"/>
                                                  <w:divBdr>
                                                    <w:top w:val="none" w:sz="0" w:space="0" w:color="auto"/>
                                                    <w:left w:val="none" w:sz="0" w:space="0" w:color="auto"/>
                                                    <w:bottom w:val="none" w:sz="0" w:space="0" w:color="auto"/>
                                                    <w:right w:val="none" w:sz="0" w:space="0" w:color="auto"/>
                                                  </w:divBdr>
                                                  <w:divsChild>
                                                    <w:div w:id="1282759704">
                                                      <w:marLeft w:val="0"/>
                                                      <w:marRight w:val="0"/>
                                                      <w:marTop w:val="0"/>
                                                      <w:marBottom w:val="0"/>
                                                      <w:divBdr>
                                                        <w:top w:val="none" w:sz="0" w:space="0" w:color="auto"/>
                                                        <w:left w:val="none" w:sz="0" w:space="0" w:color="auto"/>
                                                        <w:bottom w:val="none" w:sz="0" w:space="0" w:color="auto"/>
                                                        <w:right w:val="none" w:sz="0" w:space="0" w:color="auto"/>
                                                      </w:divBdr>
                                                      <w:divsChild>
                                                        <w:div w:id="1479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2006/documentManagement/types"/>
    <ds:schemaRef ds:uri="http://schemas.openxmlformats.org/package/2006/metadata/core-properties"/>
    <ds:schemaRef ds:uri="8bd9498f-fa43-4ae2-8bb2-4c55a71680ad"/>
    <ds:schemaRef ds:uri="http://purl.org/dc/elements/1.1/"/>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FDEC6232-904E-4DA4-99EE-9FBA32DF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1920</Words>
  <Characters>10944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2020-03-13T03:57:00Z</cp:lastPrinted>
  <dcterms:created xsi:type="dcterms:W3CDTF">2020-03-16T11:27:00Z</dcterms:created>
  <dcterms:modified xsi:type="dcterms:W3CDTF">2020-03-16T11:27:00Z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