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000E" w14:textId="77777777" w:rsidR="00414BC3" w:rsidRPr="001B1D7C" w:rsidRDefault="00414BC3" w:rsidP="00A94F2A">
      <w:pPr>
        <w:pStyle w:val="CoverTitle"/>
        <w:spacing w:after="600"/>
        <w:jc w:val="center"/>
      </w:pPr>
      <w:bookmarkStart w:id="0" w:name="_GoBack"/>
      <w:bookmarkEnd w:id="0"/>
      <w:r w:rsidRPr="001B1D7C">
        <w:t>Explanatory Statement</w:t>
      </w:r>
    </w:p>
    <w:p w14:paraId="1CB81A28" w14:textId="1F51043A" w:rsidR="006776BD" w:rsidRPr="009F3698" w:rsidRDefault="00396BCD" w:rsidP="00D35012">
      <w:pPr>
        <w:pStyle w:val="CoverTitle"/>
        <w:spacing w:after="120"/>
        <w:jc w:val="center"/>
        <w:rPr>
          <w:i/>
          <w:sz w:val="36"/>
          <w:szCs w:val="36"/>
        </w:rPr>
      </w:pPr>
      <w:r w:rsidRPr="001B1D7C">
        <w:rPr>
          <w:sz w:val="36"/>
          <w:szCs w:val="36"/>
        </w:rPr>
        <w:t xml:space="preserve">Accounting Standard </w:t>
      </w:r>
      <w:r w:rsidR="00E2457C">
        <w:rPr>
          <w:sz w:val="36"/>
          <w:szCs w:val="36"/>
        </w:rPr>
        <w:t>AASB 2020-2</w:t>
      </w:r>
      <w:r w:rsidR="00347521" w:rsidRPr="00314DC3">
        <w:rPr>
          <w:sz w:val="36"/>
          <w:szCs w:val="36"/>
        </w:rPr>
        <w:br/>
      </w:r>
      <w:r w:rsidR="00E2457C">
        <w:rPr>
          <w:i/>
          <w:sz w:val="36"/>
          <w:szCs w:val="36"/>
        </w:rPr>
        <w:t xml:space="preserve">Amendments to Australian Accounting Standards – </w:t>
      </w:r>
      <w:r w:rsidR="00D35012" w:rsidRPr="00D35012">
        <w:rPr>
          <w:i/>
          <w:sz w:val="36"/>
          <w:szCs w:val="36"/>
        </w:rPr>
        <w:t>Removal of Special Purpose Financial Statements for Certain For-Profit Private Sector Entities</w:t>
      </w:r>
      <w:r w:rsidR="00753AD8">
        <w:rPr>
          <w:i/>
          <w:sz w:val="36"/>
          <w:szCs w:val="36"/>
        </w:rPr>
        <w:br/>
      </w:r>
    </w:p>
    <w:p w14:paraId="404A1F6F" w14:textId="77777777" w:rsidR="00D36B1E" w:rsidRPr="001B1D7C" w:rsidRDefault="00D36B1E" w:rsidP="00D36B1E">
      <w:pPr>
        <w:pStyle w:val="CoverSubtitle"/>
        <w:spacing w:after="3120"/>
        <w:rPr>
          <w:sz w:val="32"/>
          <w:szCs w:val="32"/>
        </w:rPr>
      </w:pPr>
    </w:p>
    <w:p w14:paraId="76A4C860" w14:textId="3A07FF74" w:rsidR="00D36B1E" w:rsidRPr="001B1D7C" w:rsidRDefault="009A337C" w:rsidP="00D36B1E">
      <w:pPr>
        <w:pStyle w:val="CoverDate"/>
        <w:tabs>
          <w:tab w:val="left" w:pos="3794"/>
          <w:tab w:val="left" w:pos="6232"/>
        </w:tabs>
        <w:spacing w:before="840"/>
        <w:jc w:val="center"/>
        <w:rPr>
          <w:b/>
          <w:sz w:val="28"/>
          <w:szCs w:val="28"/>
        </w:rPr>
      </w:pPr>
      <w:r>
        <w:rPr>
          <w:b/>
          <w:sz w:val="28"/>
          <w:szCs w:val="28"/>
        </w:rPr>
        <w:t xml:space="preserve">March </w:t>
      </w:r>
      <w:r w:rsidR="007A218F">
        <w:rPr>
          <w:b/>
          <w:sz w:val="28"/>
          <w:szCs w:val="28"/>
        </w:rPr>
        <w:t>20</w:t>
      </w:r>
      <w:r>
        <w:rPr>
          <w:b/>
          <w:sz w:val="28"/>
          <w:szCs w:val="28"/>
        </w:rPr>
        <w:t>20</w:t>
      </w:r>
    </w:p>
    <w:p w14:paraId="199CBD61" w14:textId="77777777" w:rsidR="00414BC3" w:rsidRPr="00314DC3" w:rsidRDefault="00F35601">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1" o:title=""/>
            <w10:wrap anchorx="margin" anchory="margin"/>
            <w10:anchorlock/>
          </v:shape>
          <o:OLEObject Type="Embed" ProgID="Word.Picture.8" ShapeID="_x0000_s1026" DrawAspect="Content" ObjectID="_1646033916" r:id="rId12"/>
        </w:object>
      </w:r>
    </w:p>
    <w:p w14:paraId="2D19E39E" w14:textId="77777777" w:rsidR="00414BC3" w:rsidRPr="00314DC3" w:rsidRDefault="00414BC3">
      <w:pPr>
        <w:pStyle w:val="Heading1"/>
      </w:pPr>
      <w:r w:rsidRPr="00314DC3">
        <w:lastRenderedPageBreak/>
        <w:t>EXPLANATORY STATEMENT</w:t>
      </w:r>
    </w:p>
    <w:p w14:paraId="553DF2C6" w14:textId="2B24B332" w:rsidR="00FD4C0C" w:rsidRDefault="006B1B4A" w:rsidP="00FD4C0C">
      <w:pPr>
        <w:pStyle w:val="Heading2"/>
      </w:pPr>
      <w:r w:rsidRPr="00314DC3">
        <w:t>Standard</w:t>
      </w:r>
      <w:r w:rsidR="00465EBE">
        <w:t>s</w:t>
      </w:r>
      <w:r w:rsidRPr="00314DC3">
        <w:t xml:space="preserve"> Amended by</w:t>
      </w:r>
      <w:r w:rsidR="00FD4C0C" w:rsidRPr="001B1D7C">
        <w:t xml:space="preserve"> </w:t>
      </w:r>
      <w:r w:rsidR="00E2457C">
        <w:t>AASB 2020-2</w:t>
      </w:r>
    </w:p>
    <w:p w14:paraId="5B579A94" w14:textId="7B643067" w:rsidR="003345E6" w:rsidRPr="00BE0C02" w:rsidRDefault="00FB7612" w:rsidP="003345E6">
      <w:pPr>
        <w:pStyle w:val="NoNumPlain1"/>
      </w:pPr>
      <w:r>
        <w:t xml:space="preserve">This Standard makes amendments to the Australian Accounting Standards listed in the Appendix to this Explanatory Statement. </w:t>
      </w:r>
      <w:r w:rsidR="00903A65">
        <w:t xml:space="preserve"> </w:t>
      </w:r>
      <w:r w:rsidR="00903A65" w:rsidRPr="00B54581">
        <w:t xml:space="preserve">These amendments </w:t>
      </w:r>
      <w:r w:rsidR="00687641" w:rsidRPr="00BE0C02">
        <w:t xml:space="preserve">update the set of for-profit entities for which the reporting entity concept in </w:t>
      </w:r>
      <w:r w:rsidR="00C02C5D" w:rsidRPr="00097356">
        <w:rPr>
          <w:szCs w:val="19"/>
        </w:rPr>
        <w:t>Statement of Accounting Concepts</w:t>
      </w:r>
      <w:r w:rsidR="00C02C5D" w:rsidRPr="00370BF6">
        <w:rPr>
          <w:szCs w:val="19"/>
        </w:rPr>
        <w:t xml:space="preserve"> </w:t>
      </w:r>
      <w:r w:rsidR="00687641" w:rsidRPr="00BE0C02">
        <w:t>SAC 1</w:t>
      </w:r>
      <w:r w:rsidR="00A522B8">
        <w:t xml:space="preserve"> </w:t>
      </w:r>
      <w:r w:rsidR="00A522B8" w:rsidRPr="00097356">
        <w:rPr>
          <w:i/>
          <w:szCs w:val="19"/>
        </w:rPr>
        <w:t>Definition of the Reporting Entity</w:t>
      </w:r>
      <w:r w:rsidR="00687641" w:rsidRPr="00BE0C02">
        <w:t xml:space="preserve"> is no longer relevant</w:t>
      </w:r>
      <w:r w:rsidR="002064D4">
        <w:t xml:space="preserve">, </w:t>
      </w:r>
      <w:r w:rsidR="003345E6" w:rsidRPr="00BE0C02">
        <w:t>extend the application of the</w:t>
      </w:r>
      <w:r w:rsidR="003345E6" w:rsidRPr="00BE0C02">
        <w:rPr>
          <w:i/>
        </w:rPr>
        <w:t xml:space="preserve"> </w:t>
      </w:r>
      <w:r w:rsidR="003345E6" w:rsidRPr="00BE0C02">
        <w:t xml:space="preserve">Standards and the AASB </w:t>
      </w:r>
      <w:r w:rsidR="003345E6" w:rsidRPr="00BE0C02">
        <w:rPr>
          <w:i/>
        </w:rPr>
        <w:t>Conceptual Framework for Financial Reporting</w:t>
      </w:r>
      <w:r w:rsidR="003345E6" w:rsidRPr="00BE0C02">
        <w:t xml:space="preserve"> </w:t>
      </w:r>
      <w:r w:rsidR="00E27AAD">
        <w:t>(</w:t>
      </w:r>
      <w:r w:rsidR="00E27AAD" w:rsidRPr="00E27AAD">
        <w:rPr>
          <w:i/>
          <w:iCs/>
        </w:rPr>
        <w:t>Conceptual Framework</w:t>
      </w:r>
      <w:r w:rsidR="00E27AAD">
        <w:t xml:space="preserve">) </w:t>
      </w:r>
      <w:r w:rsidR="003345E6" w:rsidRPr="00BE0C02">
        <w:t xml:space="preserve">(May 2019) </w:t>
      </w:r>
      <w:r w:rsidR="00744A28">
        <w:t xml:space="preserve">and </w:t>
      </w:r>
      <w:r w:rsidR="003345E6" w:rsidRPr="00BE0C02">
        <w:t xml:space="preserve">build upon the consequential amendments to pronouncements previously made in Accounting Standard AASB 2019-1 </w:t>
      </w:r>
      <w:r w:rsidR="003345E6" w:rsidRPr="00BE0C02">
        <w:rPr>
          <w:i/>
        </w:rPr>
        <w:t xml:space="preserve">Amendments to </w:t>
      </w:r>
      <w:r w:rsidR="003345E6" w:rsidRPr="00BE0C02">
        <w:rPr>
          <w:i/>
          <w:szCs w:val="19"/>
        </w:rPr>
        <w:t xml:space="preserve">Australian Accounting Standards – </w:t>
      </w:r>
      <w:r w:rsidR="003345E6" w:rsidRPr="00BE0C02">
        <w:rPr>
          <w:i/>
        </w:rPr>
        <w:t>References to the Conceptual Framework</w:t>
      </w:r>
      <w:r w:rsidR="003345E6" w:rsidRPr="00BE0C02">
        <w:rPr>
          <w:iCs/>
        </w:rPr>
        <w:t xml:space="preserve"> (May 2019)</w:t>
      </w:r>
      <w:r w:rsidR="003345E6" w:rsidRPr="00BE0C02">
        <w:t>.</w:t>
      </w:r>
    </w:p>
    <w:p w14:paraId="68B1CB72" w14:textId="33A206F0" w:rsidR="00ED4F33" w:rsidRPr="001B1D7C" w:rsidRDefault="00A94F2A" w:rsidP="00F5196F">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7895BC45" w:rsidR="00FD4C0C" w:rsidRPr="00127350" w:rsidRDefault="00FD4C0C" w:rsidP="00F73663">
      <w:pPr>
        <w:pStyle w:val="Heading2"/>
      </w:pPr>
      <w:r w:rsidRPr="00127350">
        <w:t xml:space="preserve">Main Features of </w:t>
      </w:r>
      <w:r w:rsidR="00E2457C">
        <w:t>AASB 2020-2</w:t>
      </w:r>
    </w:p>
    <w:p w14:paraId="13C20FD1" w14:textId="77777777" w:rsidR="00ED4F33" w:rsidRPr="001B1D7C" w:rsidRDefault="00ED4F33" w:rsidP="00ED4F33">
      <w:pPr>
        <w:pStyle w:val="Heading3"/>
      </w:pPr>
      <w:r w:rsidRPr="001B1D7C">
        <w:t>Main Requirements</w:t>
      </w:r>
    </w:p>
    <w:p w14:paraId="5B1F69C9" w14:textId="174BC280" w:rsidR="002C35B7" w:rsidRDefault="002C35B7" w:rsidP="002C35B7">
      <w:pPr>
        <w:pStyle w:val="NoNumPlain1"/>
      </w:pPr>
      <w:r>
        <w:t xml:space="preserve">This Standard </w:t>
      </w:r>
      <w:r w:rsidRPr="00097356">
        <w:t>makes</w:t>
      </w:r>
      <w:r>
        <w:t xml:space="preserve"> amendments to the Standards (via AASB 1057 </w:t>
      </w:r>
      <w:r w:rsidRPr="0029596E">
        <w:rPr>
          <w:i/>
        </w:rPr>
        <w:t>Application of Australian Accounting Standards</w:t>
      </w:r>
      <w:r>
        <w:t xml:space="preserve">) and the </w:t>
      </w:r>
      <w:r>
        <w:rPr>
          <w:i/>
        </w:rPr>
        <w:t>Conceptual Framework</w:t>
      </w:r>
      <w:r>
        <w:t xml:space="preserve"> so that they apply explicitly to:</w:t>
      </w:r>
    </w:p>
    <w:p w14:paraId="5F2A311D" w14:textId="77777777" w:rsidR="002C35B7" w:rsidRPr="00E154DB" w:rsidRDefault="002C35B7" w:rsidP="00F5437D">
      <w:pPr>
        <w:pStyle w:val="NumPlainA"/>
        <w:numPr>
          <w:ilvl w:val="0"/>
          <w:numId w:val="9"/>
        </w:numPr>
        <w:tabs>
          <w:tab w:val="clear" w:pos="652"/>
          <w:tab w:val="num" w:pos="510"/>
        </w:tabs>
        <w:spacing w:before="100" w:after="100" w:line="240" w:lineRule="auto"/>
        <w:ind w:left="510"/>
        <w:contextualSpacing/>
        <w:outlineLvl w:val="9"/>
        <w:rPr>
          <w:szCs w:val="19"/>
        </w:rPr>
      </w:pPr>
      <w:r w:rsidRPr="00E154DB">
        <w:rPr>
          <w:szCs w:val="19"/>
        </w:rPr>
        <w:t>for</w:t>
      </w:r>
      <w:r>
        <w:rPr>
          <w:szCs w:val="19"/>
        </w:rPr>
        <w:t>-</w:t>
      </w:r>
      <w:r w:rsidRPr="00E154DB">
        <w:rPr>
          <w:szCs w:val="19"/>
        </w:rPr>
        <w:t>profit</w:t>
      </w:r>
      <w:r>
        <w:rPr>
          <w:szCs w:val="19"/>
        </w:rPr>
        <w:t xml:space="preserve"> </w:t>
      </w:r>
      <w:r w:rsidRPr="00E154DB">
        <w:rPr>
          <w:szCs w:val="19"/>
        </w:rPr>
        <w:t xml:space="preserve">private sector entities that are required by legislation to </w:t>
      </w:r>
      <w:r>
        <w:rPr>
          <w:szCs w:val="19"/>
        </w:rPr>
        <w:t xml:space="preserve">prepare financial statements that </w:t>
      </w:r>
      <w:r w:rsidRPr="00E154DB">
        <w:rPr>
          <w:szCs w:val="19"/>
        </w:rPr>
        <w:t xml:space="preserve">comply with either Australian Accounting Standards or accounting standards (with the </w:t>
      </w:r>
      <w:r w:rsidRPr="00097356">
        <w:rPr>
          <w:szCs w:val="19"/>
        </w:rPr>
        <w:t>previous limitation</w:t>
      </w:r>
      <w:r w:rsidRPr="00E154DB">
        <w:rPr>
          <w:szCs w:val="19"/>
        </w:rPr>
        <w:t xml:space="preserve"> to entities with public accountability removed);</w:t>
      </w:r>
      <w:r>
        <w:rPr>
          <w:szCs w:val="19"/>
        </w:rPr>
        <w:t xml:space="preserve"> and</w:t>
      </w:r>
    </w:p>
    <w:p w14:paraId="70AB115B" w14:textId="77777777" w:rsidR="002C35B7" w:rsidRPr="003E33C4" w:rsidRDefault="002C35B7" w:rsidP="00F5437D">
      <w:pPr>
        <w:pStyle w:val="NumPlainA"/>
        <w:numPr>
          <w:ilvl w:val="0"/>
          <w:numId w:val="9"/>
        </w:numPr>
        <w:tabs>
          <w:tab w:val="clear" w:pos="652"/>
          <w:tab w:val="num" w:pos="510"/>
        </w:tabs>
        <w:spacing w:before="100" w:after="100" w:line="240" w:lineRule="auto"/>
        <w:ind w:left="510"/>
        <w:outlineLvl w:val="9"/>
        <w:rPr>
          <w:szCs w:val="19"/>
        </w:rPr>
      </w:pPr>
      <w:r w:rsidRPr="003E33C4">
        <w:rPr>
          <w:szCs w:val="19"/>
        </w:rPr>
        <w:t>other for-profit private sector entities that are required only by their constituting document or another document to prepare financial statements that comply with Australian Accounting Standards, provided that the relevant document was created or amended on or after 1 July 2021.</w:t>
      </w:r>
    </w:p>
    <w:p w14:paraId="6DC5B882" w14:textId="237AAB93" w:rsidR="002C35B7" w:rsidRDefault="002C35B7" w:rsidP="002C35B7">
      <w:pPr>
        <w:pStyle w:val="NumPlainA"/>
        <w:rPr>
          <w:szCs w:val="19"/>
        </w:rPr>
      </w:pPr>
      <w:r>
        <w:rPr>
          <w:szCs w:val="19"/>
        </w:rPr>
        <w:t>T</w:t>
      </w:r>
      <w:r w:rsidRPr="00097356">
        <w:rPr>
          <w:szCs w:val="19"/>
        </w:rPr>
        <w:t xml:space="preserve">he </w:t>
      </w:r>
      <w:r w:rsidRPr="00097356">
        <w:rPr>
          <w:i/>
          <w:szCs w:val="19"/>
        </w:rPr>
        <w:t>Conceptual Framework</w:t>
      </w:r>
      <w:r>
        <w:rPr>
          <w:szCs w:val="19"/>
        </w:rPr>
        <w:t xml:space="preserve"> is also amended to apply to </w:t>
      </w:r>
      <w:r w:rsidRPr="00097356">
        <w:rPr>
          <w:szCs w:val="19"/>
        </w:rPr>
        <w:t xml:space="preserve">other for-profit entities (including for-profit public sector entities) that elect to </w:t>
      </w:r>
      <w:r>
        <w:rPr>
          <w:szCs w:val="19"/>
        </w:rPr>
        <w:t xml:space="preserve">prepare general purpose financial statements and </w:t>
      </w:r>
      <w:r w:rsidR="00A407F1">
        <w:rPr>
          <w:szCs w:val="19"/>
        </w:rPr>
        <w:t xml:space="preserve">as a result </w:t>
      </w:r>
      <w:r w:rsidRPr="00097356">
        <w:rPr>
          <w:szCs w:val="19"/>
        </w:rPr>
        <w:t xml:space="preserve">apply the </w:t>
      </w:r>
      <w:r w:rsidRPr="00097356">
        <w:rPr>
          <w:i/>
          <w:szCs w:val="19"/>
        </w:rPr>
        <w:t>Conceptual Framework</w:t>
      </w:r>
      <w:r w:rsidRPr="00097356">
        <w:rPr>
          <w:szCs w:val="19"/>
        </w:rPr>
        <w:t xml:space="preserve"> and the consequential amendments to other pronouncements set out in </w:t>
      </w:r>
      <w:r>
        <w:rPr>
          <w:szCs w:val="19"/>
        </w:rPr>
        <w:t xml:space="preserve">this Standard, as well as in </w:t>
      </w:r>
      <w:r w:rsidRPr="00097356">
        <w:rPr>
          <w:szCs w:val="19"/>
        </w:rPr>
        <w:t>AASB 2019-1</w:t>
      </w:r>
      <w:r>
        <w:rPr>
          <w:szCs w:val="19"/>
        </w:rPr>
        <w:t>.</w:t>
      </w:r>
    </w:p>
    <w:p w14:paraId="55443528" w14:textId="0E58FB33" w:rsidR="002C35B7" w:rsidRPr="007763EC" w:rsidRDefault="002C35B7" w:rsidP="002C35B7">
      <w:pPr>
        <w:pStyle w:val="NoNumPlain1"/>
      </w:pPr>
      <w:r w:rsidRPr="00370BF6">
        <w:rPr>
          <w:szCs w:val="19"/>
        </w:rPr>
        <w:t xml:space="preserve">The </w:t>
      </w:r>
      <w:r>
        <w:rPr>
          <w:szCs w:val="19"/>
        </w:rPr>
        <w:t>applicability of the</w:t>
      </w:r>
      <w:r w:rsidRPr="00370BF6">
        <w:rPr>
          <w:szCs w:val="19"/>
        </w:rPr>
        <w:t xml:space="preserve"> </w:t>
      </w:r>
      <w:r w:rsidRPr="00370BF6">
        <w:rPr>
          <w:i/>
          <w:szCs w:val="19"/>
        </w:rPr>
        <w:t>Framework for the Preparation and Presentation of Financial Statement</w:t>
      </w:r>
      <w:r w:rsidRPr="00370BF6">
        <w:rPr>
          <w:szCs w:val="19"/>
        </w:rPr>
        <w:t>s</w:t>
      </w:r>
      <w:r w:rsidR="00C70CA6">
        <w:rPr>
          <w:szCs w:val="19"/>
        </w:rPr>
        <w:t xml:space="preserve"> (the </w:t>
      </w:r>
      <w:r w:rsidR="00C70CA6">
        <w:rPr>
          <w:i/>
          <w:iCs/>
          <w:szCs w:val="19"/>
        </w:rPr>
        <w:t>Framework</w:t>
      </w:r>
      <w:r w:rsidR="00C70CA6" w:rsidRPr="00C70CA6">
        <w:rPr>
          <w:szCs w:val="19"/>
        </w:rPr>
        <w:t>)</w:t>
      </w:r>
      <w:r w:rsidRPr="00370BF6">
        <w:rPr>
          <w:szCs w:val="19"/>
        </w:rPr>
        <w:t xml:space="preserve"> and SAC 1 </w:t>
      </w:r>
      <w:r>
        <w:rPr>
          <w:szCs w:val="19"/>
        </w:rPr>
        <w:t xml:space="preserve">is </w:t>
      </w:r>
      <w:r w:rsidRPr="00370BF6">
        <w:rPr>
          <w:szCs w:val="19"/>
        </w:rPr>
        <w:t xml:space="preserve">amended </w:t>
      </w:r>
      <w:r w:rsidRPr="00097356">
        <w:rPr>
          <w:szCs w:val="19"/>
        </w:rPr>
        <w:t>so</w:t>
      </w:r>
      <w:r w:rsidRPr="00370BF6">
        <w:rPr>
          <w:szCs w:val="19"/>
        </w:rPr>
        <w:t xml:space="preserve"> that they </w:t>
      </w:r>
      <w:r w:rsidRPr="00097356">
        <w:rPr>
          <w:szCs w:val="19"/>
        </w:rPr>
        <w:t xml:space="preserve">continue to </w:t>
      </w:r>
      <w:r w:rsidRPr="00370BF6">
        <w:rPr>
          <w:szCs w:val="19"/>
        </w:rPr>
        <w:t xml:space="preserve">apply to for-profit entities that </w:t>
      </w:r>
      <w:r>
        <w:rPr>
          <w:szCs w:val="19"/>
        </w:rPr>
        <w:t>do not need to</w:t>
      </w:r>
      <w:r w:rsidRPr="00370BF6">
        <w:rPr>
          <w:szCs w:val="19"/>
        </w:rPr>
        <w:t xml:space="preserve"> apply the </w:t>
      </w:r>
      <w:r w:rsidRPr="00370BF6">
        <w:rPr>
          <w:i/>
          <w:szCs w:val="19"/>
        </w:rPr>
        <w:t>Conceptual Framework</w:t>
      </w:r>
      <w:r w:rsidR="00092BBF">
        <w:rPr>
          <w:i/>
          <w:szCs w:val="19"/>
        </w:rPr>
        <w:t xml:space="preserve"> </w:t>
      </w:r>
      <w:r w:rsidR="00092BBF" w:rsidRPr="00C7798D">
        <w:rPr>
          <w:szCs w:val="19"/>
        </w:rPr>
        <w:t>(</w:t>
      </w:r>
      <w:proofErr w:type="spellStart"/>
      <w:r w:rsidR="00092BBF" w:rsidRPr="00C7798D">
        <w:rPr>
          <w:szCs w:val="19"/>
        </w:rPr>
        <w:t>eg</w:t>
      </w:r>
      <w:proofErr w:type="spellEnd"/>
      <w:r w:rsidR="00092BBF" w:rsidRPr="00C7798D">
        <w:rPr>
          <w:szCs w:val="19"/>
        </w:rPr>
        <w:t xml:space="preserve"> for-profit public sector entities and those whose constituting document was created or amended before 1 July 2021)</w:t>
      </w:r>
      <w:r>
        <w:rPr>
          <w:szCs w:val="19"/>
        </w:rPr>
        <w:t>,</w:t>
      </w:r>
      <w:r w:rsidRPr="00097356">
        <w:rPr>
          <w:szCs w:val="19"/>
        </w:rPr>
        <w:t xml:space="preserve"> </w:t>
      </w:r>
      <w:r>
        <w:rPr>
          <w:szCs w:val="19"/>
        </w:rPr>
        <w:t xml:space="preserve">as well as to not-for-profit entities </w:t>
      </w:r>
      <w:r w:rsidRPr="00097356">
        <w:rPr>
          <w:szCs w:val="19"/>
        </w:rPr>
        <w:t>(subject to exceptions stated in the Standards).</w:t>
      </w:r>
    </w:p>
    <w:p w14:paraId="34B828F5" w14:textId="3B7D2035" w:rsidR="002C35B7" w:rsidRDefault="002C35B7" w:rsidP="002C35B7">
      <w:pPr>
        <w:pStyle w:val="NoNumPlain1"/>
      </w:pPr>
      <w:r w:rsidRPr="00097356">
        <w:t>Consequential amendments</w:t>
      </w:r>
      <w:r>
        <w:t xml:space="preserve"> are made </w:t>
      </w:r>
      <w:r w:rsidRPr="00097356">
        <w:t>to</w:t>
      </w:r>
      <w:r>
        <w:t xml:space="preserve"> various </w:t>
      </w:r>
      <w:r w:rsidRPr="00097356">
        <w:t xml:space="preserve">Standards, </w:t>
      </w:r>
      <w:r>
        <w:t xml:space="preserve">including amending the </w:t>
      </w:r>
      <w:r w:rsidRPr="00097356">
        <w:t xml:space="preserve">applicability of the </w:t>
      </w:r>
      <w:r>
        <w:t xml:space="preserve">‘reporting entity’ definition in AASB 1057 so that it </w:t>
      </w:r>
      <w:r w:rsidRPr="00097356">
        <w:t>is</w:t>
      </w:r>
      <w:r>
        <w:t xml:space="preserve"> not relevant to the entities </w:t>
      </w:r>
      <w:r w:rsidR="004D47EC">
        <w:t xml:space="preserve">to which </w:t>
      </w:r>
      <w:r w:rsidR="00F07EFE">
        <w:t xml:space="preserve">this Standard </w:t>
      </w:r>
      <w:r w:rsidR="002D6B9D">
        <w:t xml:space="preserve">is applicable </w:t>
      </w:r>
      <w:r>
        <w:t xml:space="preserve">(all of which would apply the </w:t>
      </w:r>
      <w:r w:rsidRPr="0029596E">
        <w:rPr>
          <w:i/>
        </w:rPr>
        <w:t>Conceptual Framework</w:t>
      </w:r>
      <w:r>
        <w:t xml:space="preserve">). </w:t>
      </w:r>
      <w:proofErr w:type="gramStart"/>
      <w:r w:rsidRPr="00097356">
        <w:t>As a consequence</w:t>
      </w:r>
      <w:proofErr w:type="gramEnd"/>
      <w:r w:rsidRPr="00097356">
        <w:t>, the ability of such an entity to prepare special purpose financial statements is removed and it will need to prepare general purpose financial statements that comply with Australian Accounting Standards (or accounting standards</w:t>
      </w:r>
      <w:r>
        <w:t>,</w:t>
      </w:r>
      <w:r w:rsidRPr="00097356">
        <w:t xml:space="preserve"> under legislative requirements). </w:t>
      </w:r>
    </w:p>
    <w:p w14:paraId="371A4F08" w14:textId="77777777" w:rsidR="001E4229" w:rsidRPr="00BE0C02" w:rsidRDefault="001E4229" w:rsidP="001E4229">
      <w:pPr>
        <w:pStyle w:val="NoNumPlain1"/>
      </w:pPr>
      <w:r w:rsidRPr="00BE0C02">
        <w:t xml:space="preserve">This Standard also adds an Appendix to AASB 1053 </w:t>
      </w:r>
      <w:r w:rsidRPr="00BE0C02">
        <w:rPr>
          <w:i/>
          <w:iCs/>
        </w:rPr>
        <w:t xml:space="preserve">Application of Tiers of Australian Accounting Standards </w:t>
      </w:r>
      <w:r w:rsidRPr="00BE0C02" w:rsidDel="00BB7FC9">
        <w:t xml:space="preserve">to </w:t>
      </w:r>
      <w:r w:rsidRPr="00BE0C02">
        <w:t>provide</w:t>
      </w:r>
      <w:r w:rsidRPr="00BE0C02" w:rsidDel="006E145F">
        <w:t xml:space="preserve"> </w:t>
      </w:r>
      <w:r w:rsidRPr="00BE0C02">
        <w:t>relief from restating comparative information for entities that elect to early adopt the requirements in this Standard.</w:t>
      </w:r>
    </w:p>
    <w:p w14:paraId="2DC32F77" w14:textId="1884028C" w:rsidR="00FD4C0C" w:rsidRPr="001B1D7C" w:rsidRDefault="00FD4C0C" w:rsidP="007066A8">
      <w:pPr>
        <w:pStyle w:val="Heading3"/>
      </w:pPr>
      <w:r w:rsidRPr="001B1D7C">
        <w:t>Application Date</w:t>
      </w:r>
    </w:p>
    <w:p w14:paraId="6887C942" w14:textId="6F6B935A" w:rsidR="000C7E0C" w:rsidRPr="00997547" w:rsidRDefault="000C7E0C" w:rsidP="007415C8">
      <w:pPr>
        <w:spacing w:before="100" w:after="200" w:line="240" w:lineRule="auto"/>
      </w:pPr>
      <w:r w:rsidRPr="00997547">
        <w:t xml:space="preserve">This Standard applies to annual reporting periods </w:t>
      </w:r>
      <w:bookmarkStart w:id="1" w:name="ApplyText"/>
      <w:r w:rsidRPr="00997547">
        <w:t>beginning</w:t>
      </w:r>
      <w:bookmarkEnd w:id="1"/>
      <w:r w:rsidRPr="00997547">
        <w:t xml:space="preserve"> on or after </w:t>
      </w:r>
      <w:bookmarkStart w:id="2" w:name="ApplyDate"/>
      <w:r w:rsidRPr="00997547">
        <w:t>1 J</w:t>
      </w:r>
      <w:r w:rsidR="00635CA7">
        <w:t>uly</w:t>
      </w:r>
      <w:r w:rsidRPr="00997547">
        <w:t> 20</w:t>
      </w:r>
      <w:r w:rsidR="00635CA7">
        <w:t>2</w:t>
      </w:r>
      <w:r w:rsidR="005F15ED">
        <w:t>1</w:t>
      </w:r>
      <w:bookmarkEnd w:id="2"/>
      <w:r w:rsidR="00977669">
        <w:t xml:space="preserve">, </w:t>
      </w:r>
      <w:r w:rsidR="0064463A">
        <w:t xml:space="preserve">with </w:t>
      </w:r>
      <w:r w:rsidR="005D5030">
        <w:t>e</w:t>
      </w:r>
      <w:r w:rsidRPr="00997547">
        <w:t>arlier application permitted.</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FA691A" w:rsidRDefault="00EA0A87" w:rsidP="00EA0A87">
      <w:pPr>
        <w:pStyle w:val="Heading2"/>
      </w:pPr>
      <w:r w:rsidRPr="00FA691A">
        <w:t>C</w:t>
      </w:r>
      <w:r w:rsidR="00465EBE" w:rsidRPr="00FA691A">
        <w:t>on</w:t>
      </w:r>
      <w:r w:rsidR="009F3698" w:rsidRPr="00FA691A">
        <w:t>sultation Prior to Issuing this</w:t>
      </w:r>
      <w:r w:rsidRPr="00FA691A">
        <w:t xml:space="preserve"> Standard</w:t>
      </w:r>
    </w:p>
    <w:p w14:paraId="37EFAB20" w14:textId="65B840B5" w:rsidR="00246F34" w:rsidRDefault="00246F34" w:rsidP="0047504B">
      <w:pPr>
        <w:pStyle w:val="NoNumPlain1"/>
        <w:rPr>
          <w:szCs w:val="18"/>
        </w:rPr>
      </w:pPr>
      <w:r>
        <w:t>The AASB’s proposals were</w:t>
      </w:r>
      <w:r w:rsidR="00B23529">
        <w:t xml:space="preserve"> initially</w:t>
      </w:r>
      <w:r>
        <w:t xml:space="preserve"> released for public comment in May 2018 as part of </w:t>
      </w:r>
      <w:r>
        <w:rPr>
          <w:szCs w:val="18"/>
        </w:rPr>
        <w:t>Invitation to Comment ITC</w:t>
      </w:r>
      <w:r w:rsidR="00480217">
        <w:rPr>
          <w:szCs w:val="18"/>
        </w:rPr>
        <w:t> </w:t>
      </w:r>
      <w:r>
        <w:rPr>
          <w:szCs w:val="18"/>
        </w:rPr>
        <w:t xml:space="preserve">39 </w:t>
      </w:r>
      <w:r w:rsidRPr="00D65E73">
        <w:rPr>
          <w:i/>
          <w:szCs w:val="18"/>
        </w:rPr>
        <w:t xml:space="preserve">Consultation Paper – </w:t>
      </w:r>
      <w:r>
        <w:rPr>
          <w:i/>
          <w:szCs w:val="18"/>
        </w:rPr>
        <w:t>Applying the IASB’s Revised Conceptual Framework and Solving the Reporting Entity and Special Purpose Financial Statement Problems</w:t>
      </w:r>
      <w:r>
        <w:rPr>
          <w:szCs w:val="18"/>
        </w:rPr>
        <w:t>.  In developing the proposals in ITC 39, the AASB considered the findings of various research projects it had initiated</w:t>
      </w:r>
      <w:r w:rsidR="00BC7460">
        <w:rPr>
          <w:szCs w:val="18"/>
        </w:rPr>
        <w:t xml:space="preserve"> and </w:t>
      </w:r>
      <w:r w:rsidR="00105DFF">
        <w:rPr>
          <w:szCs w:val="18"/>
        </w:rPr>
        <w:t>previous public consultation documents</w:t>
      </w:r>
      <w:r>
        <w:rPr>
          <w:szCs w:val="18"/>
        </w:rPr>
        <w:t xml:space="preserve">.  This included AASB Research Report No. 1 </w:t>
      </w:r>
      <w:r>
        <w:rPr>
          <w:i/>
          <w:szCs w:val="18"/>
        </w:rPr>
        <w:t xml:space="preserve">Application of the Reporting Entity Concept and Lodgement of Special Purpose Financial </w:t>
      </w:r>
      <w:r>
        <w:rPr>
          <w:i/>
          <w:szCs w:val="18"/>
        </w:rPr>
        <w:lastRenderedPageBreak/>
        <w:t>Statements</w:t>
      </w:r>
      <w:r>
        <w:rPr>
          <w:szCs w:val="18"/>
        </w:rPr>
        <w:t xml:space="preserve"> (June 2014)</w:t>
      </w:r>
      <w:r w:rsidR="0047504B">
        <w:rPr>
          <w:szCs w:val="18"/>
        </w:rPr>
        <w:t>,</w:t>
      </w:r>
      <w:r>
        <w:rPr>
          <w:szCs w:val="18"/>
        </w:rPr>
        <w:t xml:space="preserve"> AASB Research Report No. 6 </w:t>
      </w:r>
      <w:r>
        <w:rPr>
          <w:i/>
          <w:szCs w:val="18"/>
        </w:rPr>
        <w:t>Financial Reporting Requirements Applicable to Public Sector Entities</w:t>
      </w:r>
      <w:r>
        <w:rPr>
          <w:szCs w:val="18"/>
        </w:rPr>
        <w:t xml:space="preserve"> (May 2018)</w:t>
      </w:r>
      <w:r w:rsidR="0047504B">
        <w:rPr>
          <w:szCs w:val="18"/>
        </w:rPr>
        <w:t xml:space="preserve">, </w:t>
      </w:r>
      <w:r w:rsidR="0047504B" w:rsidRPr="0047504B">
        <w:rPr>
          <w:szCs w:val="18"/>
        </w:rPr>
        <w:t xml:space="preserve">AASB Invitation to Comment ITC 12 </w:t>
      </w:r>
      <w:r w:rsidR="0047504B" w:rsidRPr="0047504B">
        <w:rPr>
          <w:i/>
          <w:iCs/>
          <w:szCs w:val="18"/>
        </w:rPr>
        <w:t xml:space="preserve">Request for Comment on a Proposed Revised Differential Reporting Regime for Australia and IASB Exposure Draft of A Proposed IFRS for Small and Medium-sized Entities </w:t>
      </w:r>
      <w:r w:rsidR="0047504B" w:rsidRPr="0047504B">
        <w:rPr>
          <w:szCs w:val="18"/>
        </w:rPr>
        <w:t>(May 2007)</w:t>
      </w:r>
      <w:r w:rsidR="0006488D">
        <w:rPr>
          <w:szCs w:val="18"/>
        </w:rPr>
        <w:t xml:space="preserve">, </w:t>
      </w:r>
      <w:r w:rsidR="0047504B" w:rsidRPr="0047504B">
        <w:rPr>
          <w:szCs w:val="18"/>
        </w:rPr>
        <w:t xml:space="preserve">AASB Consultation Paper </w:t>
      </w:r>
      <w:r w:rsidR="0047504B" w:rsidRPr="0047504B">
        <w:rPr>
          <w:i/>
          <w:iCs/>
          <w:szCs w:val="18"/>
        </w:rPr>
        <w:t xml:space="preserve">Differential Financial Reporting – Reducing Disclosure Requirements </w:t>
      </w:r>
      <w:r w:rsidR="0047504B" w:rsidRPr="0047504B">
        <w:rPr>
          <w:szCs w:val="18"/>
        </w:rPr>
        <w:t xml:space="preserve">(February 2010) and ED 192 </w:t>
      </w:r>
      <w:r w:rsidR="0047504B" w:rsidRPr="0006488D">
        <w:rPr>
          <w:i/>
          <w:iCs/>
          <w:szCs w:val="18"/>
        </w:rPr>
        <w:t>Revised Differential Reporting Framework</w:t>
      </w:r>
      <w:r w:rsidR="0047504B" w:rsidRPr="0047504B">
        <w:rPr>
          <w:szCs w:val="18"/>
        </w:rPr>
        <w:t xml:space="preserve"> (February 2010)</w:t>
      </w:r>
      <w:r>
        <w:rPr>
          <w:szCs w:val="18"/>
        </w:rPr>
        <w:t>.</w:t>
      </w:r>
    </w:p>
    <w:p w14:paraId="6221CE6C" w14:textId="725E2233" w:rsidR="00567CA3" w:rsidRDefault="009025B3" w:rsidP="00567CA3">
      <w:pPr>
        <w:pStyle w:val="NoNumPlain1"/>
      </w:pPr>
      <w:r>
        <w:rPr>
          <w:szCs w:val="18"/>
        </w:rPr>
        <w:t xml:space="preserve">ITC 39 proposed </w:t>
      </w:r>
      <w:r w:rsidR="00246F34">
        <w:rPr>
          <w:szCs w:val="18"/>
        </w:rPr>
        <w:t>a two-phase approach to applying the IASB’s revised Conceptual Framework</w:t>
      </w:r>
      <w:r>
        <w:rPr>
          <w:szCs w:val="18"/>
        </w:rPr>
        <w:t xml:space="preserve"> and solving </w:t>
      </w:r>
      <w:r w:rsidR="00BF2852">
        <w:rPr>
          <w:szCs w:val="18"/>
        </w:rPr>
        <w:t>the problems associated with special purpose financial statements</w:t>
      </w:r>
      <w:r w:rsidR="00FA624D">
        <w:rPr>
          <w:szCs w:val="18"/>
        </w:rPr>
        <w:t xml:space="preserve">.  Such problems included a </w:t>
      </w:r>
      <w:r w:rsidR="00FC624B">
        <w:rPr>
          <w:szCs w:val="18"/>
        </w:rPr>
        <w:t>lack of consistency, comparability, transparency and enforceability</w:t>
      </w:r>
      <w:r w:rsidR="00246F34">
        <w:t xml:space="preserve">.  Phase 1 of the project </w:t>
      </w:r>
      <w:r w:rsidR="00474ED8">
        <w:t xml:space="preserve">was proposed to </w:t>
      </w:r>
      <w:r w:rsidR="00246F34">
        <w:t xml:space="preserve">implement the IASB’s </w:t>
      </w:r>
      <w:r w:rsidR="00246F34">
        <w:rPr>
          <w:szCs w:val="18"/>
        </w:rPr>
        <w:t>revised Conceptual Framework</w:t>
      </w:r>
      <w:r w:rsidR="00246F34">
        <w:t xml:space="preserve"> for publicly accountable for-profit private sector entities that are required by legislation to comply with Australian Accounting Standards and for other for-profit entities (private sector or public sector) that elect to apply the </w:t>
      </w:r>
      <w:r w:rsidR="00246F34" w:rsidRPr="00F46845">
        <w:rPr>
          <w:i/>
        </w:rPr>
        <w:t>Conceptual Framework</w:t>
      </w:r>
      <w:r w:rsidR="00246F34">
        <w:t>.  Phase 2 of the project was proposed</w:t>
      </w:r>
      <w:r w:rsidR="00E466EF">
        <w:t>, subject to further consultation,</w:t>
      </w:r>
      <w:r w:rsidR="00246F34">
        <w:t xml:space="preserve"> to implement the IASB’s </w:t>
      </w:r>
      <w:r w:rsidR="00246F34">
        <w:rPr>
          <w:szCs w:val="18"/>
        </w:rPr>
        <w:t>revised Conceptual Framework</w:t>
      </w:r>
      <w:r w:rsidR="00246F34">
        <w:t xml:space="preserve"> for other entities</w:t>
      </w:r>
      <w:r w:rsidR="00A857AA">
        <w:t xml:space="preserve"> and remove the ability </w:t>
      </w:r>
      <w:r w:rsidR="003A2FE2">
        <w:t>for</w:t>
      </w:r>
      <w:r w:rsidR="00A857AA">
        <w:t xml:space="preserve"> those entities </w:t>
      </w:r>
      <w:r w:rsidR="00FC75DF">
        <w:t xml:space="preserve">required </w:t>
      </w:r>
      <w:r w:rsidR="00423C62">
        <w:t xml:space="preserve">by legislation </w:t>
      </w:r>
      <w:r w:rsidR="005D0CE5">
        <w:t xml:space="preserve">or otherwise to </w:t>
      </w:r>
      <w:r w:rsidR="00DA0976">
        <w:t xml:space="preserve">prepare financial statements that </w:t>
      </w:r>
      <w:r w:rsidR="005D0CE5">
        <w:t xml:space="preserve">comply </w:t>
      </w:r>
      <w:r w:rsidR="00777703">
        <w:t xml:space="preserve">with </w:t>
      </w:r>
      <w:r w:rsidR="00D23320">
        <w:t>accounting standards</w:t>
      </w:r>
      <w:r w:rsidR="00776D81">
        <w:t xml:space="preserve"> to prepare special purpose financial statements</w:t>
      </w:r>
      <w:r w:rsidR="00246F34">
        <w:t>.</w:t>
      </w:r>
    </w:p>
    <w:p w14:paraId="00B5954D" w14:textId="544A3159" w:rsidR="00987304" w:rsidRDefault="00987304" w:rsidP="00567CA3">
      <w:pPr>
        <w:pStyle w:val="NoNumPlain1"/>
      </w:pPr>
      <w:r>
        <w:t xml:space="preserve">However after considering </w:t>
      </w:r>
      <w:r w:rsidR="007B35DE">
        <w:t xml:space="preserve">the </w:t>
      </w:r>
      <w:r>
        <w:t xml:space="preserve">initial feedback on ITC 39, the results of discussions with </w:t>
      </w:r>
      <w:r w:rsidR="007B35DE">
        <w:t xml:space="preserve">the </w:t>
      </w:r>
      <w:r>
        <w:t xml:space="preserve">ACNC and other State and Territory regulators regarding the recommendations in the ACNC’s Legislative Review 2018: </w:t>
      </w:r>
      <w:r w:rsidRPr="001A571A">
        <w:rPr>
          <w:i/>
        </w:rPr>
        <w:t>Strengthening for Purpose: Australian Charities And Not-</w:t>
      </w:r>
      <w:r>
        <w:rPr>
          <w:i/>
        </w:rPr>
        <w:t>f</w:t>
      </w:r>
      <w:r w:rsidRPr="001A571A">
        <w:rPr>
          <w:i/>
        </w:rPr>
        <w:t>or-</w:t>
      </w:r>
      <w:r>
        <w:rPr>
          <w:i/>
        </w:rPr>
        <w:t>p</w:t>
      </w:r>
      <w:r w:rsidRPr="001A571A">
        <w:rPr>
          <w:i/>
        </w:rPr>
        <w:t>rofits Commission</w:t>
      </w:r>
      <w:r>
        <w:t xml:space="preserve"> (ACNC legislative review), research initiated by the </w:t>
      </w:r>
      <w:r w:rsidR="00252D00">
        <w:t xml:space="preserve">AASB </w:t>
      </w:r>
      <w:r>
        <w:t xml:space="preserve">and </w:t>
      </w:r>
      <w:r>
        <w:rPr>
          <w:i/>
        </w:rPr>
        <w:t>The AASB’s Not-for-Profit Entity Standard-Setting Framework</w:t>
      </w:r>
      <w:r w:rsidRPr="00FA7DE8">
        <w:t xml:space="preserve">, </w:t>
      </w:r>
      <w:r>
        <w:t xml:space="preserve">the </w:t>
      </w:r>
      <w:r w:rsidR="00F23FCC">
        <w:t xml:space="preserve">AASB </w:t>
      </w:r>
      <w:r>
        <w:t>decided that the proposals in ITC</w:t>
      </w:r>
      <w:r w:rsidR="00AB2B53">
        <w:t> </w:t>
      </w:r>
      <w:r>
        <w:t xml:space="preserve">39 should </w:t>
      </w:r>
      <w:r w:rsidR="00CA5BEE">
        <w:t xml:space="preserve">apply </w:t>
      </w:r>
      <w:r>
        <w:t xml:space="preserve">only to for-profit private sector entities, and that it would be more appropriate to progress reform of the </w:t>
      </w:r>
      <w:r w:rsidR="00393D98">
        <w:t xml:space="preserve">not-for-profit </w:t>
      </w:r>
      <w:r>
        <w:t>public and private sector financial reporting framework via separate targeted consultations undertaken as part of the broader financial reporting framework project</w:t>
      </w:r>
      <w:r w:rsidR="00393D98">
        <w:t xml:space="preserve">.  </w:t>
      </w:r>
    </w:p>
    <w:p w14:paraId="43339A07" w14:textId="6DA23AAE" w:rsidR="00587E8D" w:rsidRPr="00233D78" w:rsidRDefault="00587E8D" w:rsidP="00233D78">
      <w:pPr>
        <w:pStyle w:val="NoNumPlain1"/>
      </w:pPr>
      <w:r>
        <w:t xml:space="preserve">Phase 1 of ITC 39 was </w:t>
      </w:r>
      <w:r w:rsidR="00813DD5">
        <w:t xml:space="preserve">completed with </w:t>
      </w:r>
      <w:r>
        <w:t xml:space="preserve">the issue of </w:t>
      </w:r>
      <w:r w:rsidR="0046253A">
        <w:t xml:space="preserve">the </w:t>
      </w:r>
      <w:r w:rsidR="0046253A" w:rsidRPr="00E90D85">
        <w:rPr>
          <w:i/>
          <w:iCs/>
        </w:rPr>
        <w:t>Conceptual Framework</w:t>
      </w:r>
      <w:r w:rsidR="0046253A">
        <w:t xml:space="preserve"> and </w:t>
      </w:r>
      <w:r>
        <w:t>AASB 2019-1</w:t>
      </w:r>
      <w:r w:rsidR="0046253A">
        <w:t xml:space="preserve"> </w:t>
      </w:r>
      <w:r w:rsidR="00233D78">
        <w:t>in May 2019.</w:t>
      </w:r>
    </w:p>
    <w:p w14:paraId="1D8038AD" w14:textId="3D54190B" w:rsidR="00AA138A" w:rsidRDefault="00246F34" w:rsidP="00246F34">
      <w:pPr>
        <w:pStyle w:val="NoNumPlain1"/>
      </w:pPr>
      <w:r w:rsidRPr="00026A8A">
        <w:t xml:space="preserve">After issuing ITC 39, the </w:t>
      </w:r>
      <w:r>
        <w:t xml:space="preserve">AASB </w:t>
      </w:r>
      <w:r w:rsidRPr="00026A8A">
        <w:t xml:space="preserve">held targeted outreach </w:t>
      </w:r>
      <w:r w:rsidR="00180C1A">
        <w:t xml:space="preserve">on Phase 2 </w:t>
      </w:r>
      <w:r w:rsidRPr="00026A8A">
        <w:t xml:space="preserve">with key stakeholders, including State, Territory and </w:t>
      </w:r>
      <w:r w:rsidR="00627A64">
        <w:t xml:space="preserve">Commonwealth </w:t>
      </w:r>
      <w:r w:rsidRPr="00026A8A">
        <w:t xml:space="preserve">regulators, audit offices, </w:t>
      </w:r>
      <w:r w:rsidRPr="008B6C08">
        <w:rPr>
          <w:szCs w:val="18"/>
        </w:rPr>
        <w:t>accounting</w:t>
      </w:r>
      <w:r w:rsidRPr="00026A8A">
        <w:t xml:space="preserve"> firms, the Australian Securities Exchange (ASX), the Australian Securities and Investments Commission (ASIC), credit rating ag</w:t>
      </w:r>
      <w:r>
        <w:t>encies</w:t>
      </w:r>
      <w:r w:rsidR="00EF0C6B">
        <w:t>,</w:t>
      </w:r>
      <w:r>
        <w:t xml:space="preserve"> professional bodies</w:t>
      </w:r>
      <w:r w:rsidR="00EF0C6B">
        <w:t xml:space="preserve"> and users</w:t>
      </w:r>
      <w:r w:rsidR="00954ACF">
        <w:t xml:space="preserve"> of financial statements</w:t>
      </w:r>
      <w:r w:rsidR="00D315E6">
        <w:t xml:space="preserve"> </w:t>
      </w:r>
      <w:r w:rsidR="00D315E6" w:rsidRPr="00D315E6">
        <w:t>(including analysts, investors and creditors)</w:t>
      </w:r>
      <w:r w:rsidR="007442A4">
        <w:t xml:space="preserve"> </w:t>
      </w:r>
      <w:r w:rsidR="008875E7" w:rsidRPr="008875E7">
        <w:t xml:space="preserve">to help identify how implementing the </w:t>
      </w:r>
      <w:r w:rsidR="004A790C">
        <w:rPr>
          <w:i/>
          <w:iCs/>
        </w:rPr>
        <w:t xml:space="preserve">Conceptual Framework </w:t>
      </w:r>
      <w:r w:rsidR="008875E7" w:rsidRPr="008875E7">
        <w:t xml:space="preserve">and removing the ability of certain for-profit private sector entities to prepare </w:t>
      </w:r>
      <w:r w:rsidR="004A790C">
        <w:t xml:space="preserve">special purpose financial statements </w:t>
      </w:r>
      <w:r w:rsidR="008875E7" w:rsidRPr="008875E7">
        <w:t xml:space="preserve">when they are required to prepare financial statements that comply with </w:t>
      </w:r>
      <w:r w:rsidR="008875E7">
        <w:t>Australian Accounting Standards</w:t>
      </w:r>
      <w:r w:rsidR="008875E7" w:rsidRPr="008875E7">
        <w:t xml:space="preserve"> would impact Australian entities</w:t>
      </w:r>
      <w:r>
        <w:t>.</w:t>
      </w:r>
      <w:r w:rsidRPr="00026A8A">
        <w:t xml:space="preserve"> </w:t>
      </w:r>
      <w:r>
        <w:t xml:space="preserve"> </w:t>
      </w:r>
      <w:r w:rsidRPr="00026A8A">
        <w:t xml:space="preserve">The ITC 39 proposals were also presented </w:t>
      </w:r>
      <w:r>
        <w:t xml:space="preserve">and discussed </w:t>
      </w:r>
      <w:r w:rsidRPr="00026A8A">
        <w:t>at various forums, workshops and discussion groups</w:t>
      </w:r>
      <w:r w:rsidR="000B3D24">
        <w:t xml:space="preserve"> and </w:t>
      </w:r>
      <w:r w:rsidR="000B3D24" w:rsidRPr="008243ED">
        <w:t xml:space="preserve">feedback was </w:t>
      </w:r>
      <w:r w:rsidR="004A790C">
        <w:t xml:space="preserve">also </w:t>
      </w:r>
      <w:r w:rsidR="000B3D24" w:rsidRPr="008243ED">
        <w:t>sought via targeted user and preparer surveys</w:t>
      </w:r>
      <w:r w:rsidRPr="00026A8A">
        <w:t>.</w:t>
      </w:r>
      <w:r>
        <w:t xml:space="preserve">  </w:t>
      </w:r>
      <w:r w:rsidR="003B2DA2" w:rsidRPr="001E73BF">
        <w:t xml:space="preserve">The </w:t>
      </w:r>
      <w:r w:rsidR="003B2DA2">
        <w:t xml:space="preserve">AASB </w:t>
      </w:r>
      <w:r w:rsidR="003B2DA2" w:rsidRPr="001E73BF">
        <w:t xml:space="preserve">received feedback on its proposals through </w:t>
      </w:r>
      <w:r w:rsidR="003B2DA2">
        <w:t>33</w:t>
      </w:r>
      <w:r w:rsidR="003B2DA2" w:rsidRPr="001E73BF">
        <w:t xml:space="preserve"> formal comment letters </w:t>
      </w:r>
      <w:r w:rsidR="003B2DA2">
        <w:t xml:space="preserve">(relevant to this Phase of the project) </w:t>
      </w:r>
      <w:r w:rsidR="003B2DA2" w:rsidRPr="001E73BF">
        <w:t>on ITC 39</w:t>
      </w:r>
      <w:r w:rsidR="000B3D24">
        <w:t>.</w:t>
      </w:r>
    </w:p>
    <w:p w14:paraId="7551861B" w14:textId="6D9B09D0" w:rsidR="00CA53A3" w:rsidRDefault="00CA53A3" w:rsidP="00CA53A3">
      <w:pPr>
        <w:pStyle w:val="NoNumPlain1"/>
      </w:pPr>
      <w:r w:rsidRPr="001E73BF">
        <w:t xml:space="preserve">The responses to ITC 39 </w:t>
      </w:r>
      <w:r>
        <w:t xml:space="preserve">and feedback from outreach activities </w:t>
      </w:r>
      <w:r w:rsidRPr="001E73BF">
        <w:t xml:space="preserve">indicated </w:t>
      </w:r>
      <w:r w:rsidRPr="00522ECC">
        <w:t>general agreement amongst stakeholders that there is a</w:t>
      </w:r>
      <w:r>
        <w:t xml:space="preserve"> </w:t>
      </w:r>
      <w:r w:rsidRPr="00522ECC">
        <w:t xml:space="preserve">problem </w:t>
      </w:r>
      <w:r>
        <w:t>with special purpose financial statements that needed to be solved.</w:t>
      </w:r>
    </w:p>
    <w:p w14:paraId="131673B0" w14:textId="5E51A28C" w:rsidR="00266FC6" w:rsidRDefault="004F2111" w:rsidP="00246F34">
      <w:pPr>
        <w:pStyle w:val="NoNumPlain1"/>
      </w:pPr>
      <w:r>
        <w:t xml:space="preserve">The AASB considered this feedback and the findings </w:t>
      </w:r>
      <w:r w:rsidR="00F43605">
        <w:t xml:space="preserve">of </w:t>
      </w:r>
      <w:r w:rsidR="00F43605" w:rsidRPr="00B04553">
        <w:t xml:space="preserve">AASB Research Report 12 </w:t>
      </w:r>
      <w:r w:rsidR="00F43605" w:rsidRPr="008243ED">
        <w:rPr>
          <w:i/>
          <w:iCs/>
        </w:rPr>
        <w:t>Financial Reporting Practices of For-Profit Entities Lodging Special Purpose Financial Statements</w:t>
      </w:r>
      <w:r w:rsidR="00F43605" w:rsidRPr="00B04553">
        <w:t xml:space="preserve"> (August 2019)</w:t>
      </w:r>
      <w:r w:rsidR="005A6A47">
        <w:t xml:space="preserve">, and </w:t>
      </w:r>
      <w:r w:rsidR="006C2D1E">
        <w:t xml:space="preserve">decided </w:t>
      </w:r>
      <w:r w:rsidR="00AA138A">
        <w:t xml:space="preserve">to issue </w:t>
      </w:r>
      <w:r w:rsidR="002F3D27">
        <w:t xml:space="preserve">Exposure Draft </w:t>
      </w:r>
      <w:r w:rsidR="008875E7">
        <w:t>ED 297</w:t>
      </w:r>
      <w:r w:rsidR="005C36BA">
        <w:t xml:space="preserve"> </w:t>
      </w:r>
      <w:r w:rsidR="005C36BA" w:rsidRPr="003B2DA2">
        <w:rPr>
          <w:i/>
          <w:iCs/>
        </w:rPr>
        <w:t>Removal of Special Purpose Financial Statements for Certain For-Profit Private Sector Entities</w:t>
      </w:r>
      <w:r w:rsidR="003B2DA2">
        <w:t xml:space="preserve"> (</w:t>
      </w:r>
      <w:r w:rsidR="00DF3678">
        <w:t xml:space="preserve">August 2019).  </w:t>
      </w:r>
      <w:r w:rsidR="002B1602">
        <w:t>Following the issue of ED 297, f</w:t>
      </w:r>
      <w:r w:rsidR="00DF3678">
        <w:t>urther target</w:t>
      </w:r>
      <w:r w:rsidR="00836F31">
        <w:t>ed</w:t>
      </w:r>
      <w:r w:rsidR="00DF3678">
        <w:t xml:space="preserve"> outreach, </w:t>
      </w:r>
      <w:r w:rsidR="00D62EAD">
        <w:t>roundtable events</w:t>
      </w:r>
      <w:r w:rsidR="00836F31">
        <w:t xml:space="preserve"> and</w:t>
      </w:r>
      <w:r w:rsidR="00D62EAD">
        <w:t xml:space="preserve"> a webinar </w:t>
      </w:r>
      <w:r w:rsidR="00836F31">
        <w:t>were held</w:t>
      </w:r>
      <w:r w:rsidR="00973D3F">
        <w:t xml:space="preserve">.  </w:t>
      </w:r>
      <w:r w:rsidR="00246F34">
        <w:t xml:space="preserve">Submissions in respect of </w:t>
      </w:r>
      <w:r w:rsidR="00E445D1">
        <w:t xml:space="preserve">ED 297 </w:t>
      </w:r>
      <w:r w:rsidR="00246F34">
        <w:t xml:space="preserve">were requested by </w:t>
      </w:r>
      <w:r w:rsidR="00F16515">
        <w:t>30 November 2019</w:t>
      </w:r>
      <w:r w:rsidR="00246F34">
        <w:t>.</w:t>
      </w:r>
      <w:r w:rsidR="008E68D5">
        <w:t xml:space="preserve">  </w:t>
      </w:r>
      <w:r w:rsidR="00246F34" w:rsidRPr="001E73BF">
        <w:t xml:space="preserve">The </w:t>
      </w:r>
      <w:r w:rsidR="00246F34">
        <w:t xml:space="preserve">AASB </w:t>
      </w:r>
      <w:r w:rsidR="00246F34" w:rsidRPr="001E73BF">
        <w:t xml:space="preserve">received feedback on </w:t>
      </w:r>
      <w:r w:rsidR="003805CD">
        <w:t xml:space="preserve">ED 297 </w:t>
      </w:r>
      <w:r w:rsidR="00246F34" w:rsidRPr="001E73BF">
        <w:t xml:space="preserve">through </w:t>
      </w:r>
      <w:r w:rsidR="003805CD">
        <w:t>19</w:t>
      </w:r>
      <w:r w:rsidR="00246F34" w:rsidRPr="001E73BF">
        <w:t xml:space="preserve"> formal comment letters.</w:t>
      </w:r>
    </w:p>
    <w:p w14:paraId="540A31A0" w14:textId="2DF76422" w:rsidR="00246F34" w:rsidRPr="00BB452F" w:rsidRDefault="00993B6A" w:rsidP="00246F34">
      <w:pPr>
        <w:pStyle w:val="NoNumPlain1"/>
        <w:rPr>
          <w:szCs w:val="18"/>
        </w:rPr>
      </w:pPr>
      <w:proofErr w:type="gramStart"/>
      <w:r w:rsidRPr="001E73BF">
        <w:t xml:space="preserve">The </w:t>
      </w:r>
      <w:r w:rsidR="00176F85">
        <w:t>majority of</w:t>
      </w:r>
      <w:proofErr w:type="gramEnd"/>
      <w:r w:rsidR="00176F85">
        <w:t xml:space="preserve"> </w:t>
      </w:r>
      <w:r w:rsidRPr="001E73BF">
        <w:t xml:space="preserve">responses to </w:t>
      </w:r>
      <w:r w:rsidR="001B6025">
        <w:t>ED 297</w:t>
      </w:r>
      <w:r w:rsidRPr="001E73BF">
        <w:t xml:space="preserve"> </w:t>
      </w:r>
      <w:r>
        <w:t xml:space="preserve">and feedback from outreach activities </w:t>
      </w:r>
      <w:r w:rsidR="00176F85">
        <w:t xml:space="preserve">showed support for </w:t>
      </w:r>
      <w:r w:rsidR="007D156D">
        <w:t>remov</w:t>
      </w:r>
      <w:r w:rsidR="004E7D88">
        <w:t>ing</w:t>
      </w:r>
      <w:r w:rsidR="007D156D">
        <w:t xml:space="preserve"> </w:t>
      </w:r>
      <w:r w:rsidR="008E0155">
        <w:t>special purpose financial statements</w:t>
      </w:r>
      <w:r w:rsidR="0085432F">
        <w:t xml:space="preserve"> for certain for-profit private sector entities</w:t>
      </w:r>
      <w:r w:rsidR="00055F75">
        <w:t>.</w:t>
      </w:r>
      <w:r w:rsidR="006D5809">
        <w:t xml:space="preserve">  </w:t>
      </w:r>
      <w:r w:rsidR="0085432F">
        <w:t xml:space="preserve">Some stakeholders also </w:t>
      </w:r>
      <w:r w:rsidR="007C20B8">
        <w:t xml:space="preserve">provided feedback on </w:t>
      </w:r>
      <w:r w:rsidR="00ED6C77">
        <w:t>other</w:t>
      </w:r>
      <w:r w:rsidR="00DE4D33">
        <w:t xml:space="preserve"> matters</w:t>
      </w:r>
      <w:r w:rsidR="00725C9A">
        <w:t xml:space="preserve"> related to ED 297</w:t>
      </w:r>
      <w:r w:rsidR="00D85650">
        <w:t xml:space="preserve">.  </w:t>
      </w:r>
      <w:r w:rsidR="007F2225">
        <w:t xml:space="preserve">The AASB considered </w:t>
      </w:r>
      <w:r w:rsidR="0069323D">
        <w:t xml:space="preserve">all </w:t>
      </w:r>
      <w:r w:rsidR="001A3242">
        <w:t>feedback</w:t>
      </w:r>
      <w:r w:rsidR="009E4ACD">
        <w:t xml:space="preserve"> received</w:t>
      </w:r>
      <w:r w:rsidR="00BC312C">
        <w:t>, and a</w:t>
      </w:r>
      <w:r w:rsidR="00246F34">
        <w:rPr>
          <w:szCs w:val="18"/>
        </w:rPr>
        <w:t xml:space="preserve">t its meeting in </w:t>
      </w:r>
      <w:r w:rsidR="001B1961">
        <w:rPr>
          <w:szCs w:val="18"/>
        </w:rPr>
        <w:t xml:space="preserve">March </w:t>
      </w:r>
      <w:r w:rsidR="00246F34">
        <w:rPr>
          <w:szCs w:val="18"/>
        </w:rPr>
        <w:t>20</w:t>
      </w:r>
      <w:r w:rsidR="001B1961">
        <w:rPr>
          <w:szCs w:val="18"/>
        </w:rPr>
        <w:t>20</w:t>
      </w:r>
      <w:r w:rsidR="00246F34">
        <w:rPr>
          <w:szCs w:val="18"/>
        </w:rPr>
        <w:t xml:space="preserve">, the AASB decided to progress finalising Phase </w:t>
      </w:r>
      <w:r w:rsidR="0085575C">
        <w:rPr>
          <w:szCs w:val="18"/>
        </w:rPr>
        <w:t>2</w:t>
      </w:r>
      <w:r w:rsidR="00246F34">
        <w:rPr>
          <w:szCs w:val="18"/>
        </w:rPr>
        <w:t xml:space="preserve"> by </w:t>
      </w:r>
      <w:r w:rsidR="00BA199B">
        <w:rPr>
          <w:szCs w:val="18"/>
        </w:rPr>
        <w:t xml:space="preserve">making </w:t>
      </w:r>
      <w:r w:rsidR="00246F34">
        <w:rPr>
          <w:szCs w:val="18"/>
        </w:rPr>
        <w:t>this amending Standard.</w:t>
      </w:r>
    </w:p>
    <w:p w14:paraId="59C723B4" w14:textId="389AC4D8" w:rsidR="002F2B9C" w:rsidRDefault="00A13DD3" w:rsidP="003D5280">
      <w:pPr>
        <w:pStyle w:val="NoNumPlain1"/>
        <w:rPr>
          <w:rFonts w:cs="Arial"/>
          <w:b/>
          <w:iCs/>
          <w:sz w:val="28"/>
          <w:szCs w:val="28"/>
        </w:rPr>
      </w:pPr>
      <w:r w:rsidRPr="00A13DD3">
        <w:t>The AASB has certified its process in developing th</w:t>
      </w:r>
      <w:r>
        <w:t>i</w:t>
      </w:r>
      <w:r w:rsidRPr="00A13DD3">
        <w:t>s Standard as RIS-like, rather than preparing a Regulatory Impact Statement in relation to th</w:t>
      </w:r>
      <w:r>
        <w:t>i</w:t>
      </w:r>
      <w:r w:rsidRPr="00A13DD3">
        <w:t xml:space="preserve">s Standard. The AASB has covered the seven RIS questions in its Basis for Conclusions attached to AASB </w:t>
      </w:r>
      <w:r>
        <w:t>2020-2</w:t>
      </w:r>
      <w:r w:rsidRPr="00A13DD3">
        <w:t>.</w:t>
      </w:r>
      <w:r w:rsidR="002F2B9C">
        <w:br w:type="page"/>
      </w:r>
    </w:p>
    <w:p w14:paraId="3A8917FC" w14:textId="5865F078"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0C88E45F" w:rsidR="009F7F59" w:rsidRDefault="00A90A3D" w:rsidP="006D4E28">
      <w:pPr>
        <w:pStyle w:val="Heading3"/>
        <w:spacing w:after="360"/>
        <w:jc w:val="center"/>
        <w:rPr>
          <w:i/>
        </w:rPr>
      </w:pPr>
      <w:r w:rsidRPr="001B1D7C">
        <w:t xml:space="preserve">Accounting Standard </w:t>
      </w:r>
      <w:r w:rsidR="00E2457C">
        <w:t>AASB 2020-2</w:t>
      </w:r>
      <w:r w:rsidRPr="001B1D7C">
        <w:br/>
      </w:r>
      <w:r w:rsidR="0033130C" w:rsidRPr="0033130C">
        <w:rPr>
          <w:i/>
        </w:rPr>
        <w:t xml:space="preserve">Amendments to Australian Accounting Standards – </w:t>
      </w:r>
      <w:r w:rsidR="00ED40A5" w:rsidRPr="00ED40A5">
        <w:rPr>
          <w:i/>
        </w:rPr>
        <w:t>Removal of Special Purpose Financial Statements for Certain For-Profit Private Sector Entities</w:t>
      </w:r>
    </w:p>
    <w:p w14:paraId="6AF97A82" w14:textId="77777777" w:rsidR="009F7F59" w:rsidRPr="009F7F59" w:rsidRDefault="009F7F59" w:rsidP="009F7F59"/>
    <w:p w14:paraId="7FDDC422" w14:textId="1252D014" w:rsidR="00A90A3D" w:rsidRPr="00314DC3" w:rsidRDefault="00A90A3D" w:rsidP="00A90A3D">
      <w:pPr>
        <w:pStyle w:val="Heading3"/>
      </w:pPr>
      <w:r w:rsidRPr="00314DC3">
        <w:t>Overview of the Accounting Standard</w:t>
      </w:r>
    </w:p>
    <w:p w14:paraId="22063CDF" w14:textId="4EE3E837" w:rsidR="002A726A" w:rsidRPr="00BE0C02" w:rsidRDefault="002A726A" w:rsidP="002A726A">
      <w:pPr>
        <w:pStyle w:val="NoNumPlain1"/>
      </w:pPr>
      <w:r w:rsidRPr="00BE0C02">
        <w:t xml:space="preserve">This Standard makes amendments to the Standards (via AASB 1057) and the </w:t>
      </w:r>
      <w:r w:rsidRPr="00BE0C02">
        <w:rPr>
          <w:i/>
        </w:rPr>
        <w:t>Conceptual Framework</w:t>
      </w:r>
      <w:r w:rsidRPr="00BE0C02">
        <w:t xml:space="preserve"> so that they apply explicitly to:</w:t>
      </w:r>
    </w:p>
    <w:p w14:paraId="6459EE02" w14:textId="77777777" w:rsidR="002A726A" w:rsidRPr="00BE0C02" w:rsidRDefault="002A726A" w:rsidP="003D2FD5">
      <w:pPr>
        <w:pStyle w:val="NumPlainA"/>
        <w:numPr>
          <w:ilvl w:val="0"/>
          <w:numId w:val="23"/>
        </w:numPr>
        <w:spacing w:before="100" w:after="100" w:line="240" w:lineRule="auto"/>
        <w:contextualSpacing/>
        <w:jc w:val="both"/>
        <w:outlineLvl w:val="9"/>
        <w:rPr>
          <w:szCs w:val="19"/>
        </w:rPr>
      </w:pPr>
      <w:r w:rsidRPr="00BE0C02">
        <w:rPr>
          <w:szCs w:val="19"/>
        </w:rPr>
        <w:t>for-profit private sector entities that are required by legislation to prepare financial statements that comply with either Australian Accounting Standards or accounting standards (with the previous limitation to entities with public accountability removed); and</w:t>
      </w:r>
    </w:p>
    <w:p w14:paraId="690CA900" w14:textId="77777777" w:rsidR="002A726A" w:rsidRPr="00BE0C02" w:rsidRDefault="002A726A" w:rsidP="003D2FD5">
      <w:pPr>
        <w:pStyle w:val="NumPlainA"/>
        <w:numPr>
          <w:ilvl w:val="0"/>
          <w:numId w:val="23"/>
        </w:numPr>
        <w:spacing w:before="100" w:after="100" w:line="240" w:lineRule="auto"/>
        <w:jc w:val="both"/>
        <w:outlineLvl w:val="9"/>
        <w:rPr>
          <w:szCs w:val="19"/>
        </w:rPr>
      </w:pPr>
      <w:r w:rsidRPr="00BE0C02">
        <w:rPr>
          <w:szCs w:val="19"/>
        </w:rPr>
        <w:t>other for-profit private sector entities that are required only by their constituting document or another document to prepare financial statements that comply with Australian Accounting Standards, provided that the relevant document was created or amended on or after 1 July 2021.</w:t>
      </w:r>
    </w:p>
    <w:p w14:paraId="25BC62E2" w14:textId="0B4A969E" w:rsidR="002A726A" w:rsidRPr="00BE0C02" w:rsidRDefault="002A726A" w:rsidP="002A726A">
      <w:pPr>
        <w:pStyle w:val="NumPlainA"/>
        <w:rPr>
          <w:szCs w:val="19"/>
        </w:rPr>
      </w:pPr>
      <w:r w:rsidRPr="00BE0C02">
        <w:rPr>
          <w:szCs w:val="19"/>
        </w:rPr>
        <w:t xml:space="preserve">The </w:t>
      </w:r>
      <w:r w:rsidRPr="00BE0C02">
        <w:rPr>
          <w:i/>
          <w:szCs w:val="19"/>
        </w:rPr>
        <w:t>Conceptual Framework</w:t>
      </w:r>
      <w:r w:rsidRPr="00BE0C02">
        <w:rPr>
          <w:szCs w:val="19"/>
        </w:rPr>
        <w:t xml:space="preserve"> is also amended to apply to other for-profit entities (including for-profit public sector entities) that elect to prepare general purpose financial statements and </w:t>
      </w:r>
      <w:r w:rsidR="00655695">
        <w:rPr>
          <w:szCs w:val="19"/>
        </w:rPr>
        <w:t xml:space="preserve">as a result </w:t>
      </w:r>
      <w:r w:rsidRPr="00BE0C02">
        <w:rPr>
          <w:szCs w:val="19"/>
        </w:rPr>
        <w:t xml:space="preserve">apply the </w:t>
      </w:r>
      <w:r w:rsidRPr="00BE0C02">
        <w:rPr>
          <w:i/>
          <w:szCs w:val="19"/>
        </w:rPr>
        <w:t>Conceptual Framework</w:t>
      </w:r>
      <w:r w:rsidRPr="00BE0C02">
        <w:rPr>
          <w:szCs w:val="19"/>
        </w:rPr>
        <w:t xml:space="preserve"> and the consequential amendments to other pronouncements set out in this Standard, as well as in AASB 2019-1.</w:t>
      </w:r>
    </w:p>
    <w:p w14:paraId="472A3192" w14:textId="16DA4F89" w:rsidR="002A726A" w:rsidRPr="00BE0C02" w:rsidRDefault="002A726A" w:rsidP="002A726A">
      <w:pPr>
        <w:pStyle w:val="NoNumPlain1"/>
      </w:pPr>
      <w:r w:rsidRPr="00BE0C02">
        <w:rPr>
          <w:szCs w:val="19"/>
        </w:rPr>
        <w:t xml:space="preserve">The applicability of the </w:t>
      </w:r>
      <w:r w:rsidRPr="00BE0C02">
        <w:rPr>
          <w:i/>
          <w:szCs w:val="19"/>
        </w:rPr>
        <w:t xml:space="preserve">Framework </w:t>
      </w:r>
      <w:r w:rsidRPr="00BE0C02">
        <w:rPr>
          <w:szCs w:val="19"/>
        </w:rPr>
        <w:t xml:space="preserve">and SAC 1 is amended so that they continue to apply to for-profit entities that do not need to apply the </w:t>
      </w:r>
      <w:r w:rsidRPr="00BE0C02">
        <w:rPr>
          <w:i/>
          <w:szCs w:val="19"/>
        </w:rPr>
        <w:t>Conceptual Framework</w:t>
      </w:r>
      <w:r w:rsidR="00A13DD3">
        <w:rPr>
          <w:i/>
          <w:szCs w:val="19"/>
        </w:rPr>
        <w:t xml:space="preserve"> </w:t>
      </w:r>
      <w:r w:rsidR="00A13DD3" w:rsidRPr="00C7798D">
        <w:rPr>
          <w:szCs w:val="19"/>
        </w:rPr>
        <w:t>(</w:t>
      </w:r>
      <w:proofErr w:type="spellStart"/>
      <w:r w:rsidR="00A13DD3" w:rsidRPr="00C7798D">
        <w:rPr>
          <w:szCs w:val="19"/>
        </w:rPr>
        <w:t>eg</w:t>
      </w:r>
      <w:proofErr w:type="spellEnd"/>
      <w:r w:rsidR="00A13DD3" w:rsidRPr="00C7798D">
        <w:rPr>
          <w:szCs w:val="19"/>
        </w:rPr>
        <w:t xml:space="preserve"> for-profit public sector entities and those whose constituting document was created or amended before 1 July 2021)</w:t>
      </w:r>
      <w:r w:rsidRPr="00BE0C02">
        <w:rPr>
          <w:szCs w:val="19"/>
        </w:rPr>
        <w:t>, as well as to not-for-profit entities (subject to exceptions stated in the Standards).</w:t>
      </w:r>
    </w:p>
    <w:p w14:paraId="38BC9418" w14:textId="39772404" w:rsidR="002A726A" w:rsidRPr="00BE0C02" w:rsidRDefault="002A726A" w:rsidP="002A726A">
      <w:pPr>
        <w:pStyle w:val="NoNumPlain1"/>
      </w:pPr>
      <w:r w:rsidRPr="00BE0C02">
        <w:t xml:space="preserve">Consequential amendments are made to various Standards, including amending the applicability of the ‘reporting entity’ definition in AASB 1057 so that it is not relevant to the entities </w:t>
      </w:r>
      <w:r w:rsidR="00643CEA">
        <w:t xml:space="preserve">to which </w:t>
      </w:r>
      <w:r w:rsidRPr="00BE0C02">
        <w:t xml:space="preserve">this standard is applicable (all of which would apply the </w:t>
      </w:r>
      <w:r w:rsidRPr="00BE0C02">
        <w:rPr>
          <w:i/>
        </w:rPr>
        <w:t>Conceptual Framework</w:t>
      </w:r>
      <w:r w:rsidRPr="00BE0C02">
        <w:t xml:space="preserve">). </w:t>
      </w:r>
      <w:proofErr w:type="gramStart"/>
      <w:r w:rsidRPr="00BE0C02">
        <w:t>As a consequence</w:t>
      </w:r>
      <w:proofErr w:type="gramEnd"/>
      <w:r w:rsidRPr="00BE0C02">
        <w:t xml:space="preserve">, the ability of such an entity to prepare special purpose financial statements is removed and it will need to prepare general purpose financial statements that comply with Australian Accounting Standards (or accounting standards, under legislative requirements). </w:t>
      </w:r>
    </w:p>
    <w:p w14:paraId="358A1F55" w14:textId="1D05B3D0" w:rsidR="002A726A" w:rsidRPr="00BE0C02" w:rsidRDefault="002A726A" w:rsidP="002A726A">
      <w:pPr>
        <w:pStyle w:val="NoNumPlain1"/>
      </w:pPr>
      <w:r w:rsidRPr="00BE0C02">
        <w:t xml:space="preserve">This Standard also adds an Appendix to AASB 1053 </w:t>
      </w:r>
      <w:r w:rsidRPr="00BE0C02" w:rsidDel="00BB7FC9">
        <w:t xml:space="preserve">to </w:t>
      </w:r>
      <w:r w:rsidRPr="00BE0C02">
        <w:t>provide</w:t>
      </w:r>
      <w:r w:rsidRPr="00BE0C02" w:rsidDel="006E145F">
        <w:t xml:space="preserve"> </w:t>
      </w:r>
      <w:r w:rsidRPr="00BE0C02">
        <w:t>relief from restating comparative information for entities that elect to early adopt the requirements in this Standard.</w:t>
      </w:r>
    </w:p>
    <w:p w14:paraId="06944F3C" w14:textId="77777777"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3B9AE028" w14:textId="2E39EDCB" w:rsidR="009925A4" w:rsidRDefault="006D4E28" w:rsidP="009925A4">
      <w:pPr>
        <w:spacing w:line="240" w:lineRule="auto"/>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r w:rsidR="009925A4" w:rsidRPr="009925A4">
        <w:t xml:space="preserve"> </w:t>
      </w:r>
      <w:r w:rsidR="009925A4">
        <w:br w:type="page"/>
      </w:r>
    </w:p>
    <w:p w14:paraId="3F963FCA" w14:textId="77777777" w:rsidR="009925A4" w:rsidRDefault="009925A4" w:rsidP="009925A4">
      <w:pPr>
        <w:pStyle w:val="NoNumPlain1"/>
      </w:pPr>
    </w:p>
    <w:p w14:paraId="0219F962" w14:textId="77777777" w:rsidR="009925A4" w:rsidRDefault="009925A4" w:rsidP="009925A4">
      <w:pPr>
        <w:pStyle w:val="Heading2"/>
        <w:jc w:val="center"/>
        <w:rPr>
          <w:b w:val="0"/>
        </w:rPr>
      </w:pPr>
      <w:r w:rsidRPr="002F5182">
        <w:t>Appendix</w:t>
      </w:r>
    </w:p>
    <w:p w14:paraId="3980E5A4" w14:textId="247E70F5" w:rsidR="009925A4" w:rsidRPr="002F5182" w:rsidRDefault="009925A4" w:rsidP="009925A4">
      <w:pPr>
        <w:pStyle w:val="Heading3"/>
        <w:rPr>
          <w:b w:val="0"/>
          <w:sz w:val="28"/>
          <w:szCs w:val="28"/>
        </w:rPr>
      </w:pPr>
      <w:r>
        <w:t xml:space="preserve">Australian Accounting Standards and Other Pronouncements amended by </w:t>
      </w:r>
      <w:r w:rsidR="00E2457C">
        <w:t>AASB 2020-2</w:t>
      </w:r>
    </w:p>
    <w:p w14:paraId="78F1C43D" w14:textId="714CA0D3" w:rsidR="00005F26" w:rsidRPr="00BE0C02" w:rsidRDefault="00005F26" w:rsidP="00005F26">
      <w:pPr>
        <w:pStyle w:val="IASBNormalnparaL1"/>
        <w:ind w:left="0" w:firstLine="0"/>
        <w:rPr>
          <w:lang w:val="en-AU"/>
        </w:rPr>
      </w:pPr>
      <w:r w:rsidRPr="00BE0C02">
        <w:rPr>
          <w:i/>
          <w:lang w:val="en-AU"/>
        </w:rPr>
        <w:t>Conceptual Framework for Financial Reporting</w:t>
      </w:r>
      <w:r w:rsidRPr="00BE0C02">
        <w:rPr>
          <w:lang w:val="en-AU"/>
        </w:rPr>
        <w:t xml:space="preserve"> (May 2019</w:t>
      </w:r>
      <w:proofErr w:type="gramStart"/>
      <w:r w:rsidRPr="00BE0C02">
        <w:rPr>
          <w:lang w:val="en-AU"/>
        </w:rPr>
        <w:t>);</w:t>
      </w:r>
      <w:proofErr w:type="gramEnd"/>
      <w:r w:rsidRPr="00BE0C02">
        <w:rPr>
          <w:lang w:val="en-AU"/>
        </w:rPr>
        <w:t xml:space="preserve"> </w:t>
      </w:r>
    </w:p>
    <w:p w14:paraId="6E0250F1" w14:textId="23C2A023" w:rsidR="00005F26" w:rsidRPr="00BE0C02" w:rsidRDefault="00005F26" w:rsidP="00005F26">
      <w:pPr>
        <w:pStyle w:val="IASBNormalnparaL1"/>
        <w:spacing w:after="120"/>
        <w:ind w:left="0" w:firstLine="0"/>
        <w:rPr>
          <w:lang w:val="en-AU"/>
        </w:rPr>
      </w:pPr>
      <w:r w:rsidRPr="00BE0C02">
        <w:rPr>
          <w:i/>
          <w:lang w:val="en-AU"/>
        </w:rPr>
        <w:t xml:space="preserve">Framework for the Preparation and Presentation of Financial Statements </w:t>
      </w:r>
      <w:r w:rsidRPr="00BE0C02">
        <w:rPr>
          <w:lang w:val="en-AU"/>
        </w:rPr>
        <w:t>(July 2004</w:t>
      </w:r>
      <w:proofErr w:type="gramStart"/>
      <w:r w:rsidRPr="00BE0C02">
        <w:rPr>
          <w:lang w:val="en-AU"/>
        </w:rPr>
        <w:t>);</w:t>
      </w:r>
      <w:proofErr w:type="gramEnd"/>
    </w:p>
    <w:p w14:paraId="69E82642" w14:textId="20B798BB" w:rsidR="00005F26" w:rsidRPr="00BE0C02" w:rsidRDefault="00005F26" w:rsidP="00005F26">
      <w:pPr>
        <w:pStyle w:val="NumPlain2"/>
        <w:ind w:left="0" w:firstLine="0"/>
      </w:pPr>
      <w:r w:rsidRPr="00BE0C02">
        <w:t xml:space="preserve">Statement of Accounting Concepts SAC 1 </w:t>
      </w:r>
      <w:r w:rsidRPr="00BE0C02">
        <w:rPr>
          <w:i/>
        </w:rPr>
        <w:t xml:space="preserve">Definition of the Reporting Entity </w:t>
      </w:r>
      <w:r w:rsidRPr="00BE0C02">
        <w:t>(August 1990</w:t>
      </w:r>
      <w:proofErr w:type="gramStart"/>
      <w:r w:rsidRPr="00BE0C02">
        <w:t>);</w:t>
      </w:r>
      <w:proofErr w:type="gramEnd"/>
    </w:p>
    <w:p w14:paraId="0A10A3CC" w14:textId="366E6DB6" w:rsidR="00005F26" w:rsidRPr="00BE0C02" w:rsidRDefault="00005F26" w:rsidP="00005F26">
      <w:pPr>
        <w:pStyle w:val="NumPlain2"/>
        <w:ind w:left="0" w:firstLine="0"/>
      </w:pPr>
      <w:r w:rsidRPr="00BE0C02">
        <w:t xml:space="preserve">AASB 1 </w:t>
      </w:r>
      <w:r w:rsidRPr="00BE0C02">
        <w:rPr>
          <w:i/>
        </w:rPr>
        <w:t>First-time Adoption of Australian Accounting Standards</w:t>
      </w:r>
      <w:r w:rsidRPr="00BE0C02">
        <w:t xml:space="preserve"> (July 2015</w:t>
      </w:r>
      <w:proofErr w:type="gramStart"/>
      <w:r w:rsidRPr="00BE0C02">
        <w:t>);</w:t>
      </w:r>
      <w:proofErr w:type="gramEnd"/>
      <w:r w:rsidRPr="00BE0C02">
        <w:t xml:space="preserve"> </w:t>
      </w:r>
    </w:p>
    <w:p w14:paraId="3B687937" w14:textId="0396E02A" w:rsidR="00005F26" w:rsidRPr="00BE0C02" w:rsidRDefault="00005F26" w:rsidP="00005F26">
      <w:pPr>
        <w:pStyle w:val="NumPlain2"/>
        <w:ind w:left="0" w:firstLine="0"/>
      </w:pPr>
      <w:r w:rsidRPr="00BE0C02">
        <w:t xml:space="preserve">AASB 10 </w:t>
      </w:r>
      <w:r w:rsidRPr="00BE0C02">
        <w:rPr>
          <w:i/>
        </w:rPr>
        <w:t>Consolidated Financial Statements</w:t>
      </w:r>
      <w:r w:rsidRPr="00BE0C02">
        <w:t xml:space="preserve"> (July 2015</w:t>
      </w:r>
      <w:proofErr w:type="gramStart"/>
      <w:r w:rsidRPr="00BE0C02">
        <w:t>);</w:t>
      </w:r>
      <w:proofErr w:type="gramEnd"/>
    </w:p>
    <w:p w14:paraId="31FEFDFC" w14:textId="2640A833" w:rsidR="00005F26" w:rsidRPr="00BE0C02" w:rsidRDefault="00005F26" w:rsidP="00005F26">
      <w:pPr>
        <w:pStyle w:val="NumPlain2"/>
        <w:ind w:left="0" w:firstLine="0"/>
      </w:pPr>
      <w:r w:rsidRPr="00BE0C02">
        <w:t xml:space="preserve">AASB 1048 </w:t>
      </w:r>
      <w:r w:rsidRPr="00BE0C02">
        <w:rPr>
          <w:i/>
        </w:rPr>
        <w:t>Interpretation of Standards</w:t>
      </w:r>
      <w:r w:rsidRPr="00BE0C02">
        <w:t xml:space="preserve"> (December 2017</w:t>
      </w:r>
      <w:proofErr w:type="gramStart"/>
      <w:r w:rsidRPr="00BE0C02">
        <w:t>);</w:t>
      </w:r>
      <w:proofErr w:type="gramEnd"/>
    </w:p>
    <w:p w14:paraId="1E627F92" w14:textId="102FB308" w:rsidR="00005F26" w:rsidRPr="00BE0C02" w:rsidRDefault="00005F26" w:rsidP="00005F26">
      <w:pPr>
        <w:pStyle w:val="NumPlain2"/>
        <w:ind w:left="0" w:firstLine="0"/>
      </w:pPr>
      <w:r w:rsidRPr="00BE0C02">
        <w:t xml:space="preserve">AASB 1053 </w:t>
      </w:r>
      <w:r w:rsidRPr="00BE0C02">
        <w:rPr>
          <w:i/>
        </w:rPr>
        <w:t>Application of Tiers of Australian Accounting Standards</w:t>
      </w:r>
      <w:r w:rsidRPr="00BE0C02">
        <w:t xml:space="preserve"> (June 2010); and</w:t>
      </w:r>
    </w:p>
    <w:p w14:paraId="679C3F47" w14:textId="66A504A2" w:rsidR="003705C9" w:rsidRPr="001B1D7C" w:rsidRDefault="00005F26" w:rsidP="00005F26">
      <w:pPr>
        <w:pStyle w:val="NumPlain2"/>
        <w:ind w:left="0" w:firstLine="0"/>
      </w:pPr>
      <w:r w:rsidRPr="00BE0C02">
        <w:t xml:space="preserve">AASB 1057 </w:t>
      </w:r>
      <w:r w:rsidRPr="00BE0C02">
        <w:rPr>
          <w:i/>
        </w:rPr>
        <w:t>Application of Australian Accounting Standards</w:t>
      </w:r>
      <w:r w:rsidRPr="00BE0C02">
        <w:t xml:space="preserve"> (July 2015)</w:t>
      </w:r>
      <w:r>
        <w:t>.</w:t>
      </w:r>
    </w:p>
    <w:sectPr w:rsidR="003705C9" w:rsidRPr="001B1D7C"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7288" w14:textId="77777777" w:rsidR="00062BE5" w:rsidRDefault="00062BE5">
      <w:r>
        <w:separator/>
      </w:r>
    </w:p>
  </w:endnote>
  <w:endnote w:type="continuationSeparator" w:id="0">
    <w:p w14:paraId="66B4420B" w14:textId="77777777" w:rsidR="00062BE5" w:rsidRDefault="00062BE5">
      <w:r>
        <w:continuationSeparator/>
      </w:r>
    </w:p>
  </w:endnote>
  <w:endnote w:type="continuationNotice" w:id="1">
    <w:p w14:paraId="0CA99720" w14:textId="77777777" w:rsidR="00062BE5" w:rsidRDefault="00062B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D474" w14:textId="1CA713E8" w:rsidR="006B1B4A" w:rsidRDefault="00E2457C" w:rsidP="00B93CE4">
    <w:pPr>
      <w:pStyle w:val="Footer"/>
      <w:tabs>
        <w:tab w:val="clear" w:pos="3119"/>
        <w:tab w:val="clear" w:pos="6237"/>
        <w:tab w:val="center" w:pos="4820"/>
        <w:tab w:val="right" w:pos="9639"/>
      </w:tabs>
      <w:rPr>
        <w:b/>
      </w:rPr>
    </w:pPr>
    <w:r>
      <w:rPr>
        <w:b/>
      </w:rPr>
      <w:t>AASB 2020-2</w:t>
    </w:r>
    <w:r w:rsidR="006B1B4A">
      <w:rPr>
        <w:b/>
      </w:rPr>
      <w:tab/>
    </w:r>
    <w:r w:rsidR="006B1B4A">
      <w:fldChar w:fldCharType="begin"/>
    </w:r>
    <w:r w:rsidR="006B1B4A">
      <w:instrText>PAGE</w:instrText>
    </w:r>
    <w:r w:rsidR="006B1B4A">
      <w:fldChar w:fldCharType="separate"/>
    </w:r>
    <w:r w:rsidR="002B0803">
      <w:rPr>
        <w:noProof/>
      </w:rPr>
      <w:t>2</w:t>
    </w:r>
    <w:r w:rsidR="006B1B4A">
      <w:fldChar w:fldCharType="end"/>
    </w:r>
    <w:r w:rsidR="006B1B4A">
      <w:tab/>
    </w:r>
    <w:r w:rsidR="006B1B4A">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E6478" w14:textId="77777777" w:rsidR="00062BE5" w:rsidRDefault="00062BE5">
      <w:r>
        <w:separator/>
      </w:r>
    </w:p>
  </w:footnote>
  <w:footnote w:type="continuationSeparator" w:id="0">
    <w:p w14:paraId="0E3539D9" w14:textId="77777777" w:rsidR="00062BE5" w:rsidRDefault="00062BE5">
      <w:r>
        <w:continuationSeparator/>
      </w:r>
    </w:p>
  </w:footnote>
  <w:footnote w:type="continuationNotice" w:id="1">
    <w:p w14:paraId="2C472F44" w14:textId="77777777" w:rsidR="00062BE5" w:rsidRDefault="00062B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903B"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F6DDE"/>
    <w:multiLevelType w:val="hybridMultilevel"/>
    <w:tmpl w:val="23606F8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76465B"/>
    <w:multiLevelType w:val="multilevel"/>
    <w:tmpl w:val="D9F888A8"/>
    <w:lvl w:ilvl="0">
      <w:start w:val="1"/>
      <w:numFmt w:val="lowerLetter"/>
      <w:lvlText w:val="(%1)"/>
      <w:lvlJc w:val="left"/>
      <w:pPr>
        <w:tabs>
          <w:tab w:val="num" w:pos="652"/>
        </w:tabs>
        <w:ind w:left="652" w:hanging="510"/>
      </w:pPr>
      <w:rPr>
        <w:rFonts w:hint="default"/>
      </w:rPr>
    </w:lvl>
    <w:lvl w:ilvl="1">
      <w:start w:val="1"/>
      <w:numFmt w:val="lowerRoman"/>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1A01FD"/>
    <w:multiLevelType w:val="hybridMultilevel"/>
    <w:tmpl w:val="366E9D76"/>
    <w:lvl w:ilvl="0" w:tplc="6330A32C">
      <w:start w:val="1"/>
      <w:numFmt w:val="decimal"/>
      <w:lvlText w:val="BC%1"/>
      <w:lvlJc w:val="left"/>
      <w:pPr>
        <w:ind w:left="14025" w:hanging="360"/>
      </w:pPr>
      <w:rPr>
        <w:rFonts w:cs="Times New Roman" w:hint="default"/>
      </w:rPr>
    </w:lvl>
    <w:lvl w:ilvl="1" w:tplc="0C090019">
      <w:start w:val="1"/>
      <w:numFmt w:val="lowerLetter"/>
      <w:lvlText w:val="%2."/>
      <w:lvlJc w:val="left"/>
      <w:pPr>
        <w:ind w:left="8016" w:hanging="360"/>
      </w:pPr>
      <w:rPr>
        <w:rFonts w:cs="Times New Roman"/>
      </w:rPr>
    </w:lvl>
    <w:lvl w:ilvl="2" w:tplc="0C09001B" w:tentative="1">
      <w:start w:val="1"/>
      <w:numFmt w:val="lowerRoman"/>
      <w:lvlText w:val="%3."/>
      <w:lvlJc w:val="right"/>
      <w:pPr>
        <w:ind w:left="8736" w:hanging="180"/>
      </w:pPr>
      <w:rPr>
        <w:rFonts w:cs="Times New Roman"/>
      </w:rPr>
    </w:lvl>
    <w:lvl w:ilvl="3" w:tplc="0C09000F" w:tentative="1">
      <w:start w:val="1"/>
      <w:numFmt w:val="decimal"/>
      <w:lvlText w:val="%4."/>
      <w:lvlJc w:val="left"/>
      <w:pPr>
        <w:ind w:left="9456" w:hanging="360"/>
      </w:pPr>
      <w:rPr>
        <w:rFonts w:cs="Times New Roman"/>
      </w:rPr>
    </w:lvl>
    <w:lvl w:ilvl="4" w:tplc="0C090019" w:tentative="1">
      <w:start w:val="1"/>
      <w:numFmt w:val="lowerLetter"/>
      <w:lvlText w:val="%5."/>
      <w:lvlJc w:val="left"/>
      <w:pPr>
        <w:ind w:left="10176" w:hanging="360"/>
      </w:pPr>
      <w:rPr>
        <w:rFonts w:cs="Times New Roman"/>
      </w:rPr>
    </w:lvl>
    <w:lvl w:ilvl="5" w:tplc="0C09001B" w:tentative="1">
      <w:start w:val="1"/>
      <w:numFmt w:val="lowerRoman"/>
      <w:lvlText w:val="%6."/>
      <w:lvlJc w:val="right"/>
      <w:pPr>
        <w:ind w:left="10896" w:hanging="180"/>
      </w:pPr>
      <w:rPr>
        <w:rFonts w:cs="Times New Roman"/>
      </w:rPr>
    </w:lvl>
    <w:lvl w:ilvl="6" w:tplc="0C09000F" w:tentative="1">
      <w:start w:val="1"/>
      <w:numFmt w:val="decimal"/>
      <w:lvlText w:val="%7."/>
      <w:lvlJc w:val="left"/>
      <w:pPr>
        <w:ind w:left="11616" w:hanging="360"/>
      </w:pPr>
      <w:rPr>
        <w:rFonts w:cs="Times New Roman"/>
      </w:rPr>
    </w:lvl>
    <w:lvl w:ilvl="7" w:tplc="0C090019" w:tentative="1">
      <w:start w:val="1"/>
      <w:numFmt w:val="lowerLetter"/>
      <w:lvlText w:val="%8."/>
      <w:lvlJc w:val="left"/>
      <w:pPr>
        <w:ind w:left="12336" w:hanging="360"/>
      </w:pPr>
      <w:rPr>
        <w:rFonts w:cs="Times New Roman"/>
      </w:rPr>
    </w:lvl>
    <w:lvl w:ilvl="8" w:tplc="0C09001B" w:tentative="1">
      <w:start w:val="1"/>
      <w:numFmt w:val="lowerRoman"/>
      <w:lvlText w:val="%9."/>
      <w:lvlJc w:val="right"/>
      <w:pPr>
        <w:ind w:left="13056" w:hanging="180"/>
      </w:pPr>
      <w:rPr>
        <w:rFonts w:cs="Times New Roman"/>
      </w:rPr>
    </w:lvl>
  </w:abstractNum>
  <w:abstractNum w:abstractNumId="8"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D83E17"/>
    <w:multiLevelType w:val="multilevel"/>
    <w:tmpl w:val="D9F888A8"/>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23D4ECC"/>
    <w:multiLevelType w:val="hybridMultilevel"/>
    <w:tmpl w:val="23606F8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50FC0"/>
    <w:multiLevelType w:val="hybridMultilevel"/>
    <w:tmpl w:val="84040AAC"/>
    <w:lvl w:ilvl="0" w:tplc="DFD46A44">
      <w:start w:val="1"/>
      <w:numFmt w:val="lowerLetter"/>
      <w:lvlText w:val="(%1)"/>
      <w:lvlJc w:val="left"/>
      <w:pPr>
        <w:ind w:left="1211" w:hanging="360"/>
      </w:pPr>
      <w:rPr>
        <w:rFonts w:hint="default"/>
        <w:strike w:val="0"/>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5"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6" w15:restartNumberingAfterBreak="0">
    <w:nsid w:val="61542243"/>
    <w:multiLevelType w:val="multilevel"/>
    <w:tmpl w:val="C34A7542"/>
    <w:lvl w:ilvl="0">
      <w:start w:val="1"/>
      <w:numFmt w:val="decimal"/>
      <w:lvlText w:val="%1"/>
      <w:lvlJc w:val="left"/>
      <w:pPr>
        <w:tabs>
          <w:tab w:val="num" w:pos="510"/>
        </w:tabs>
        <w:ind w:left="782" w:hanging="78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21"/>
        </w:tabs>
        <w:ind w:left="1021" w:hanging="511"/>
      </w:pPr>
      <w:rPr>
        <w:rFonts w:hint="default"/>
        <w:strike w:val="0"/>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7"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8"/>
  </w:num>
  <w:num w:numId="3">
    <w:abstractNumId w:val="13"/>
  </w:num>
  <w:num w:numId="4">
    <w:abstractNumId w:val="0"/>
  </w:num>
  <w:num w:numId="5">
    <w:abstractNumId w:val="5"/>
  </w:num>
  <w:num w:numId="6">
    <w:abstractNumId w:val="4"/>
  </w:num>
  <w:num w:numId="7">
    <w:abstractNumId w:val="1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9"/>
  </w:num>
  <w:num w:numId="18">
    <w:abstractNumId w:val="1"/>
  </w:num>
  <w:num w:numId="19">
    <w:abstractNumId w:val="11"/>
  </w:num>
  <w:num w:numId="20">
    <w:abstractNumId w:val="7"/>
  </w:num>
  <w:num w:numId="21">
    <w:abstractNumId w:val="16"/>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05F26"/>
    <w:rsid w:val="0001484E"/>
    <w:rsid w:val="00020951"/>
    <w:rsid w:val="00020ACD"/>
    <w:rsid w:val="000226E6"/>
    <w:rsid w:val="00031DBC"/>
    <w:rsid w:val="00041AE0"/>
    <w:rsid w:val="0004439B"/>
    <w:rsid w:val="000509B7"/>
    <w:rsid w:val="00054FC1"/>
    <w:rsid w:val="00055755"/>
    <w:rsid w:val="00055F75"/>
    <w:rsid w:val="000623C8"/>
    <w:rsid w:val="00062BE5"/>
    <w:rsid w:val="000636EB"/>
    <w:rsid w:val="0006488D"/>
    <w:rsid w:val="00067953"/>
    <w:rsid w:val="0007096A"/>
    <w:rsid w:val="00075626"/>
    <w:rsid w:val="00077B4B"/>
    <w:rsid w:val="00080331"/>
    <w:rsid w:val="00080DBB"/>
    <w:rsid w:val="0008234F"/>
    <w:rsid w:val="0008242C"/>
    <w:rsid w:val="00083737"/>
    <w:rsid w:val="00085B62"/>
    <w:rsid w:val="000873D0"/>
    <w:rsid w:val="00090D77"/>
    <w:rsid w:val="000920D3"/>
    <w:rsid w:val="00092BBF"/>
    <w:rsid w:val="000936C7"/>
    <w:rsid w:val="00094356"/>
    <w:rsid w:val="000A1B7E"/>
    <w:rsid w:val="000A2A30"/>
    <w:rsid w:val="000B3D24"/>
    <w:rsid w:val="000B73CB"/>
    <w:rsid w:val="000C1F8E"/>
    <w:rsid w:val="000C7E0C"/>
    <w:rsid w:val="000D41A4"/>
    <w:rsid w:val="000D428B"/>
    <w:rsid w:val="000E69AA"/>
    <w:rsid w:val="000E6E09"/>
    <w:rsid w:val="000E7F81"/>
    <w:rsid w:val="000F0CF7"/>
    <w:rsid w:val="000F1C55"/>
    <w:rsid w:val="000F281A"/>
    <w:rsid w:val="000F2911"/>
    <w:rsid w:val="000F3CA7"/>
    <w:rsid w:val="000F4C2A"/>
    <w:rsid w:val="0010032B"/>
    <w:rsid w:val="00104989"/>
    <w:rsid w:val="00105DFF"/>
    <w:rsid w:val="00106B71"/>
    <w:rsid w:val="00111680"/>
    <w:rsid w:val="00115A16"/>
    <w:rsid w:val="001218DE"/>
    <w:rsid w:val="00121ADF"/>
    <w:rsid w:val="00121C54"/>
    <w:rsid w:val="00122EF0"/>
    <w:rsid w:val="00125962"/>
    <w:rsid w:val="0012730F"/>
    <w:rsid w:val="00127350"/>
    <w:rsid w:val="00127681"/>
    <w:rsid w:val="00130F7D"/>
    <w:rsid w:val="00131465"/>
    <w:rsid w:val="00131C3F"/>
    <w:rsid w:val="00144CC0"/>
    <w:rsid w:val="0014630A"/>
    <w:rsid w:val="00147BB8"/>
    <w:rsid w:val="001523D7"/>
    <w:rsid w:val="0015502F"/>
    <w:rsid w:val="0015670A"/>
    <w:rsid w:val="001639EB"/>
    <w:rsid w:val="00176F85"/>
    <w:rsid w:val="00180C1A"/>
    <w:rsid w:val="00191817"/>
    <w:rsid w:val="001A3242"/>
    <w:rsid w:val="001A3A3D"/>
    <w:rsid w:val="001B1961"/>
    <w:rsid w:val="001B1D7C"/>
    <w:rsid w:val="001B6025"/>
    <w:rsid w:val="001C5ABB"/>
    <w:rsid w:val="001C786F"/>
    <w:rsid w:val="001D1FFA"/>
    <w:rsid w:val="001D2496"/>
    <w:rsid w:val="001D3B0B"/>
    <w:rsid w:val="001D3CD6"/>
    <w:rsid w:val="001D65AA"/>
    <w:rsid w:val="001D7DA0"/>
    <w:rsid w:val="001E0872"/>
    <w:rsid w:val="001E0EA2"/>
    <w:rsid w:val="001E4107"/>
    <w:rsid w:val="001E4229"/>
    <w:rsid w:val="001F0BB3"/>
    <w:rsid w:val="001F0D41"/>
    <w:rsid w:val="001F16F3"/>
    <w:rsid w:val="001F3ED4"/>
    <w:rsid w:val="001F5A41"/>
    <w:rsid w:val="00200047"/>
    <w:rsid w:val="0020195D"/>
    <w:rsid w:val="0020218F"/>
    <w:rsid w:val="0020261B"/>
    <w:rsid w:val="002064D4"/>
    <w:rsid w:val="00206A47"/>
    <w:rsid w:val="00215FCB"/>
    <w:rsid w:val="00225101"/>
    <w:rsid w:val="0022689A"/>
    <w:rsid w:val="00230E6D"/>
    <w:rsid w:val="0023104C"/>
    <w:rsid w:val="00232226"/>
    <w:rsid w:val="00233620"/>
    <w:rsid w:val="00233D78"/>
    <w:rsid w:val="002351E9"/>
    <w:rsid w:val="0023642A"/>
    <w:rsid w:val="00236896"/>
    <w:rsid w:val="00236EC1"/>
    <w:rsid w:val="0024007E"/>
    <w:rsid w:val="00243728"/>
    <w:rsid w:val="00246F34"/>
    <w:rsid w:val="00252D00"/>
    <w:rsid w:val="00253724"/>
    <w:rsid w:val="00254D86"/>
    <w:rsid w:val="00254E85"/>
    <w:rsid w:val="00262CED"/>
    <w:rsid w:val="00262EDC"/>
    <w:rsid w:val="00266FC6"/>
    <w:rsid w:val="00267D86"/>
    <w:rsid w:val="002849AD"/>
    <w:rsid w:val="00284D8D"/>
    <w:rsid w:val="00287831"/>
    <w:rsid w:val="00294D8C"/>
    <w:rsid w:val="002A0EA5"/>
    <w:rsid w:val="002A726A"/>
    <w:rsid w:val="002A7FD1"/>
    <w:rsid w:val="002B0803"/>
    <w:rsid w:val="002B1602"/>
    <w:rsid w:val="002B3DAF"/>
    <w:rsid w:val="002B5CAF"/>
    <w:rsid w:val="002B712E"/>
    <w:rsid w:val="002B7166"/>
    <w:rsid w:val="002C35B7"/>
    <w:rsid w:val="002D00E5"/>
    <w:rsid w:val="002D57B4"/>
    <w:rsid w:val="002D6B9D"/>
    <w:rsid w:val="002D6D7A"/>
    <w:rsid w:val="002E0C7D"/>
    <w:rsid w:val="002F18F0"/>
    <w:rsid w:val="002F2B9C"/>
    <w:rsid w:val="002F3D27"/>
    <w:rsid w:val="002F724F"/>
    <w:rsid w:val="00306F24"/>
    <w:rsid w:val="00312740"/>
    <w:rsid w:val="00314DC3"/>
    <w:rsid w:val="003218A0"/>
    <w:rsid w:val="0032467B"/>
    <w:rsid w:val="00325585"/>
    <w:rsid w:val="0033130C"/>
    <w:rsid w:val="003329B8"/>
    <w:rsid w:val="003345E6"/>
    <w:rsid w:val="00334FD7"/>
    <w:rsid w:val="003351C6"/>
    <w:rsid w:val="0034343C"/>
    <w:rsid w:val="00344500"/>
    <w:rsid w:val="00347521"/>
    <w:rsid w:val="00352568"/>
    <w:rsid w:val="0035717C"/>
    <w:rsid w:val="003600E3"/>
    <w:rsid w:val="00363368"/>
    <w:rsid w:val="00363E06"/>
    <w:rsid w:val="003667BE"/>
    <w:rsid w:val="00366D54"/>
    <w:rsid w:val="0037016D"/>
    <w:rsid w:val="003705C9"/>
    <w:rsid w:val="00375119"/>
    <w:rsid w:val="003766D9"/>
    <w:rsid w:val="0037790F"/>
    <w:rsid w:val="003805CD"/>
    <w:rsid w:val="00383FF7"/>
    <w:rsid w:val="00384832"/>
    <w:rsid w:val="00385E62"/>
    <w:rsid w:val="0039164A"/>
    <w:rsid w:val="00391DC5"/>
    <w:rsid w:val="00392E3B"/>
    <w:rsid w:val="00393D98"/>
    <w:rsid w:val="00396BCD"/>
    <w:rsid w:val="00397B88"/>
    <w:rsid w:val="003A223D"/>
    <w:rsid w:val="003A2FE2"/>
    <w:rsid w:val="003A4015"/>
    <w:rsid w:val="003A5EC1"/>
    <w:rsid w:val="003A7749"/>
    <w:rsid w:val="003B2DA2"/>
    <w:rsid w:val="003C30D0"/>
    <w:rsid w:val="003C3F4E"/>
    <w:rsid w:val="003C5A2F"/>
    <w:rsid w:val="003D2A08"/>
    <w:rsid w:val="003D2FD5"/>
    <w:rsid w:val="003D3296"/>
    <w:rsid w:val="003D3B11"/>
    <w:rsid w:val="003D5280"/>
    <w:rsid w:val="003E33C4"/>
    <w:rsid w:val="003E4E45"/>
    <w:rsid w:val="0040485F"/>
    <w:rsid w:val="0041254C"/>
    <w:rsid w:val="00414BC3"/>
    <w:rsid w:val="00416FE6"/>
    <w:rsid w:val="004179BF"/>
    <w:rsid w:val="004209B2"/>
    <w:rsid w:val="00423C62"/>
    <w:rsid w:val="00433B60"/>
    <w:rsid w:val="00442527"/>
    <w:rsid w:val="00443AB5"/>
    <w:rsid w:val="00445D70"/>
    <w:rsid w:val="00450945"/>
    <w:rsid w:val="00457DCC"/>
    <w:rsid w:val="0046253A"/>
    <w:rsid w:val="00463B8D"/>
    <w:rsid w:val="0046562B"/>
    <w:rsid w:val="00465EBE"/>
    <w:rsid w:val="00467D32"/>
    <w:rsid w:val="00472AB8"/>
    <w:rsid w:val="00474ED8"/>
    <w:rsid w:val="0047504B"/>
    <w:rsid w:val="0047695F"/>
    <w:rsid w:val="00480217"/>
    <w:rsid w:val="00487640"/>
    <w:rsid w:val="00493DD4"/>
    <w:rsid w:val="00495202"/>
    <w:rsid w:val="004A4B34"/>
    <w:rsid w:val="004A6718"/>
    <w:rsid w:val="004A790C"/>
    <w:rsid w:val="004A7EC7"/>
    <w:rsid w:val="004B77A1"/>
    <w:rsid w:val="004C1746"/>
    <w:rsid w:val="004C62D2"/>
    <w:rsid w:val="004D2BDB"/>
    <w:rsid w:val="004D2CB5"/>
    <w:rsid w:val="004D47EC"/>
    <w:rsid w:val="004D51D9"/>
    <w:rsid w:val="004D54B2"/>
    <w:rsid w:val="004D7A84"/>
    <w:rsid w:val="004E02AB"/>
    <w:rsid w:val="004E7D88"/>
    <w:rsid w:val="004F2111"/>
    <w:rsid w:val="004F4B60"/>
    <w:rsid w:val="004F7773"/>
    <w:rsid w:val="00512F90"/>
    <w:rsid w:val="00520E9E"/>
    <w:rsid w:val="00522ECC"/>
    <w:rsid w:val="0052464D"/>
    <w:rsid w:val="0052654A"/>
    <w:rsid w:val="00526DA0"/>
    <w:rsid w:val="00540E70"/>
    <w:rsid w:val="0054420C"/>
    <w:rsid w:val="00545E1C"/>
    <w:rsid w:val="0054792E"/>
    <w:rsid w:val="00563010"/>
    <w:rsid w:val="0056486F"/>
    <w:rsid w:val="00565477"/>
    <w:rsid w:val="00567CA3"/>
    <w:rsid w:val="00570240"/>
    <w:rsid w:val="005734E0"/>
    <w:rsid w:val="005815F9"/>
    <w:rsid w:val="00585003"/>
    <w:rsid w:val="00586A4D"/>
    <w:rsid w:val="00587E8D"/>
    <w:rsid w:val="00590103"/>
    <w:rsid w:val="00592CDB"/>
    <w:rsid w:val="00595EFA"/>
    <w:rsid w:val="00596ADD"/>
    <w:rsid w:val="005A2707"/>
    <w:rsid w:val="005A581F"/>
    <w:rsid w:val="005A6A47"/>
    <w:rsid w:val="005B1017"/>
    <w:rsid w:val="005B238F"/>
    <w:rsid w:val="005B25E9"/>
    <w:rsid w:val="005B3622"/>
    <w:rsid w:val="005B7BB7"/>
    <w:rsid w:val="005C1C61"/>
    <w:rsid w:val="005C36BA"/>
    <w:rsid w:val="005D0CE5"/>
    <w:rsid w:val="005D13D9"/>
    <w:rsid w:val="005D5030"/>
    <w:rsid w:val="005E1723"/>
    <w:rsid w:val="005E2BBE"/>
    <w:rsid w:val="005E43B9"/>
    <w:rsid w:val="005E670D"/>
    <w:rsid w:val="005E6F84"/>
    <w:rsid w:val="005F0581"/>
    <w:rsid w:val="005F1173"/>
    <w:rsid w:val="005F15ED"/>
    <w:rsid w:val="005F3AA4"/>
    <w:rsid w:val="005F4451"/>
    <w:rsid w:val="005F641F"/>
    <w:rsid w:val="006073F4"/>
    <w:rsid w:val="00607A32"/>
    <w:rsid w:val="006104FA"/>
    <w:rsid w:val="00616B47"/>
    <w:rsid w:val="00620417"/>
    <w:rsid w:val="006225E0"/>
    <w:rsid w:val="006232CB"/>
    <w:rsid w:val="00626AC2"/>
    <w:rsid w:val="00627A64"/>
    <w:rsid w:val="00627C8F"/>
    <w:rsid w:val="00631870"/>
    <w:rsid w:val="00635CA7"/>
    <w:rsid w:val="00635FA2"/>
    <w:rsid w:val="00643CEA"/>
    <w:rsid w:val="0064463A"/>
    <w:rsid w:val="0064782B"/>
    <w:rsid w:val="00655695"/>
    <w:rsid w:val="006617A0"/>
    <w:rsid w:val="006628B2"/>
    <w:rsid w:val="00666164"/>
    <w:rsid w:val="00667895"/>
    <w:rsid w:val="0067004E"/>
    <w:rsid w:val="0067195B"/>
    <w:rsid w:val="00672100"/>
    <w:rsid w:val="00675778"/>
    <w:rsid w:val="006776BD"/>
    <w:rsid w:val="00682B77"/>
    <w:rsid w:val="00682C52"/>
    <w:rsid w:val="00684668"/>
    <w:rsid w:val="00685B4C"/>
    <w:rsid w:val="00686B7C"/>
    <w:rsid w:val="00687641"/>
    <w:rsid w:val="0069323D"/>
    <w:rsid w:val="006A01D2"/>
    <w:rsid w:val="006A0C7C"/>
    <w:rsid w:val="006A2A04"/>
    <w:rsid w:val="006A56D8"/>
    <w:rsid w:val="006A6C9F"/>
    <w:rsid w:val="006B1374"/>
    <w:rsid w:val="006B1B4A"/>
    <w:rsid w:val="006B4DC6"/>
    <w:rsid w:val="006B5639"/>
    <w:rsid w:val="006C2D1E"/>
    <w:rsid w:val="006C34F1"/>
    <w:rsid w:val="006C3570"/>
    <w:rsid w:val="006C39D1"/>
    <w:rsid w:val="006C5EB8"/>
    <w:rsid w:val="006D4E28"/>
    <w:rsid w:val="006D5809"/>
    <w:rsid w:val="006D5858"/>
    <w:rsid w:val="006D6B35"/>
    <w:rsid w:val="006E2CC6"/>
    <w:rsid w:val="006F1320"/>
    <w:rsid w:val="006F217C"/>
    <w:rsid w:val="006F46DE"/>
    <w:rsid w:val="00701A6B"/>
    <w:rsid w:val="00702A91"/>
    <w:rsid w:val="00702F66"/>
    <w:rsid w:val="007066A8"/>
    <w:rsid w:val="00711664"/>
    <w:rsid w:val="00711E65"/>
    <w:rsid w:val="00715CA3"/>
    <w:rsid w:val="00717627"/>
    <w:rsid w:val="00720919"/>
    <w:rsid w:val="00722937"/>
    <w:rsid w:val="007231BD"/>
    <w:rsid w:val="00725C9A"/>
    <w:rsid w:val="007261ED"/>
    <w:rsid w:val="007322D6"/>
    <w:rsid w:val="007328C0"/>
    <w:rsid w:val="007403B0"/>
    <w:rsid w:val="007415C8"/>
    <w:rsid w:val="00741AD2"/>
    <w:rsid w:val="007442A4"/>
    <w:rsid w:val="00744A28"/>
    <w:rsid w:val="00753AD8"/>
    <w:rsid w:val="00754179"/>
    <w:rsid w:val="00755B4C"/>
    <w:rsid w:val="00755D8C"/>
    <w:rsid w:val="00756B0F"/>
    <w:rsid w:val="007676C0"/>
    <w:rsid w:val="00770387"/>
    <w:rsid w:val="00776D81"/>
    <w:rsid w:val="00776E95"/>
    <w:rsid w:val="00777703"/>
    <w:rsid w:val="00781C08"/>
    <w:rsid w:val="00783BEC"/>
    <w:rsid w:val="00787825"/>
    <w:rsid w:val="007903C8"/>
    <w:rsid w:val="00791279"/>
    <w:rsid w:val="007A218F"/>
    <w:rsid w:val="007A54A4"/>
    <w:rsid w:val="007B02E3"/>
    <w:rsid w:val="007B228F"/>
    <w:rsid w:val="007B3132"/>
    <w:rsid w:val="007B323F"/>
    <w:rsid w:val="007B35DE"/>
    <w:rsid w:val="007B539D"/>
    <w:rsid w:val="007B54C3"/>
    <w:rsid w:val="007C13D0"/>
    <w:rsid w:val="007C1E39"/>
    <w:rsid w:val="007C20B8"/>
    <w:rsid w:val="007C2A76"/>
    <w:rsid w:val="007C2B04"/>
    <w:rsid w:val="007C5F2A"/>
    <w:rsid w:val="007C61A5"/>
    <w:rsid w:val="007D156D"/>
    <w:rsid w:val="007D66CF"/>
    <w:rsid w:val="007E4856"/>
    <w:rsid w:val="007E548A"/>
    <w:rsid w:val="007F06B7"/>
    <w:rsid w:val="007F1FD0"/>
    <w:rsid w:val="007F2225"/>
    <w:rsid w:val="007F4E20"/>
    <w:rsid w:val="00802C2B"/>
    <w:rsid w:val="00813DD5"/>
    <w:rsid w:val="00822659"/>
    <w:rsid w:val="008243ED"/>
    <w:rsid w:val="008248C4"/>
    <w:rsid w:val="00824A1D"/>
    <w:rsid w:val="0082668C"/>
    <w:rsid w:val="00826FE1"/>
    <w:rsid w:val="0083148C"/>
    <w:rsid w:val="0083452A"/>
    <w:rsid w:val="00835AA4"/>
    <w:rsid w:val="00835FC5"/>
    <w:rsid w:val="00836F31"/>
    <w:rsid w:val="008377FF"/>
    <w:rsid w:val="00843BF6"/>
    <w:rsid w:val="0085432F"/>
    <w:rsid w:val="00854BCD"/>
    <w:rsid w:val="008551C6"/>
    <w:rsid w:val="0085575C"/>
    <w:rsid w:val="00861618"/>
    <w:rsid w:val="00863DE1"/>
    <w:rsid w:val="00864E28"/>
    <w:rsid w:val="00864F55"/>
    <w:rsid w:val="0088616F"/>
    <w:rsid w:val="0088667E"/>
    <w:rsid w:val="008875E7"/>
    <w:rsid w:val="008929E4"/>
    <w:rsid w:val="00896AE0"/>
    <w:rsid w:val="00897CF5"/>
    <w:rsid w:val="008A2E3E"/>
    <w:rsid w:val="008B0485"/>
    <w:rsid w:val="008B0ACD"/>
    <w:rsid w:val="008B25C6"/>
    <w:rsid w:val="008B63BA"/>
    <w:rsid w:val="008B66C2"/>
    <w:rsid w:val="008C50B3"/>
    <w:rsid w:val="008C5B82"/>
    <w:rsid w:val="008D24A4"/>
    <w:rsid w:val="008D3E1A"/>
    <w:rsid w:val="008D5AF0"/>
    <w:rsid w:val="008D5B63"/>
    <w:rsid w:val="008E0155"/>
    <w:rsid w:val="008E4294"/>
    <w:rsid w:val="008E68D5"/>
    <w:rsid w:val="008F1340"/>
    <w:rsid w:val="008F344A"/>
    <w:rsid w:val="008F60E5"/>
    <w:rsid w:val="008F6CD7"/>
    <w:rsid w:val="009025B3"/>
    <w:rsid w:val="00902CEF"/>
    <w:rsid w:val="00903A65"/>
    <w:rsid w:val="009056E6"/>
    <w:rsid w:val="00910DDA"/>
    <w:rsid w:val="009125E1"/>
    <w:rsid w:val="00914BEF"/>
    <w:rsid w:val="00916B64"/>
    <w:rsid w:val="00930915"/>
    <w:rsid w:val="00933294"/>
    <w:rsid w:val="00934ED0"/>
    <w:rsid w:val="00936592"/>
    <w:rsid w:val="00936AD7"/>
    <w:rsid w:val="009375BC"/>
    <w:rsid w:val="00954ACF"/>
    <w:rsid w:val="00955018"/>
    <w:rsid w:val="0095684E"/>
    <w:rsid w:val="00973D3F"/>
    <w:rsid w:val="009766A1"/>
    <w:rsid w:val="00977669"/>
    <w:rsid w:val="00980C3B"/>
    <w:rsid w:val="00980C86"/>
    <w:rsid w:val="009839D3"/>
    <w:rsid w:val="00983E04"/>
    <w:rsid w:val="009844C1"/>
    <w:rsid w:val="00987304"/>
    <w:rsid w:val="00991DA5"/>
    <w:rsid w:val="009925A4"/>
    <w:rsid w:val="00993378"/>
    <w:rsid w:val="00993B6A"/>
    <w:rsid w:val="00997547"/>
    <w:rsid w:val="009A0B33"/>
    <w:rsid w:val="009A337C"/>
    <w:rsid w:val="009A537C"/>
    <w:rsid w:val="009B509B"/>
    <w:rsid w:val="009C5C89"/>
    <w:rsid w:val="009D2044"/>
    <w:rsid w:val="009D5CEF"/>
    <w:rsid w:val="009D6119"/>
    <w:rsid w:val="009D7FD3"/>
    <w:rsid w:val="009E4ACD"/>
    <w:rsid w:val="009E5C3A"/>
    <w:rsid w:val="009F21E9"/>
    <w:rsid w:val="009F3698"/>
    <w:rsid w:val="009F7F59"/>
    <w:rsid w:val="00A035A7"/>
    <w:rsid w:val="00A07B58"/>
    <w:rsid w:val="00A120EC"/>
    <w:rsid w:val="00A13DD3"/>
    <w:rsid w:val="00A14C37"/>
    <w:rsid w:val="00A33757"/>
    <w:rsid w:val="00A407F1"/>
    <w:rsid w:val="00A41EF3"/>
    <w:rsid w:val="00A46379"/>
    <w:rsid w:val="00A522B8"/>
    <w:rsid w:val="00A57577"/>
    <w:rsid w:val="00A60BDB"/>
    <w:rsid w:val="00A60F94"/>
    <w:rsid w:val="00A61CB2"/>
    <w:rsid w:val="00A638C0"/>
    <w:rsid w:val="00A67680"/>
    <w:rsid w:val="00A713CE"/>
    <w:rsid w:val="00A8344C"/>
    <w:rsid w:val="00A857AA"/>
    <w:rsid w:val="00A86C65"/>
    <w:rsid w:val="00A90590"/>
    <w:rsid w:val="00A90A3D"/>
    <w:rsid w:val="00A92FFA"/>
    <w:rsid w:val="00A9484D"/>
    <w:rsid w:val="00A94F2A"/>
    <w:rsid w:val="00A979E4"/>
    <w:rsid w:val="00A97B77"/>
    <w:rsid w:val="00AA138A"/>
    <w:rsid w:val="00AB2137"/>
    <w:rsid w:val="00AB2B53"/>
    <w:rsid w:val="00AB61AB"/>
    <w:rsid w:val="00AC2063"/>
    <w:rsid w:val="00AC2CA9"/>
    <w:rsid w:val="00AD2064"/>
    <w:rsid w:val="00AD2740"/>
    <w:rsid w:val="00AD44F9"/>
    <w:rsid w:val="00AD5E2A"/>
    <w:rsid w:val="00AE1F8A"/>
    <w:rsid w:val="00AE5B4C"/>
    <w:rsid w:val="00AF7FF3"/>
    <w:rsid w:val="00B00C1B"/>
    <w:rsid w:val="00B04553"/>
    <w:rsid w:val="00B05B7B"/>
    <w:rsid w:val="00B1095D"/>
    <w:rsid w:val="00B10AB1"/>
    <w:rsid w:val="00B1250B"/>
    <w:rsid w:val="00B127B5"/>
    <w:rsid w:val="00B16DEA"/>
    <w:rsid w:val="00B21727"/>
    <w:rsid w:val="00B223A3"/>
    <w:rsid w:val="00B23529"/>
    <w:rsid w:val="00B24EAA"/>
    <w:rsid w:val="00B259A2"/>
    <w:rsid w:val="00B25A7C"/>
    <w:rsid w:val="00B313F5"/>
    <w:rsid w:val="00B31702"/>
    <w:rsid w:val="00B44EFA"/>
    <w:rsid w:val="00B50A3C"/>
    <w:rsid w:val="00B5196B"/>
    <w:rsid w:val="00B5771C"/>
    <w:rsid w:val="00B62F36"/>
    <w:rsid w:val="00B64CE9"/>
    <w:rsid w:val="00B6513D"/>
    <w:rsid w:val="00B67434"/>
    <w:rsid w:val="00B71C28"/>
    <w:rsid w:val="00B7416F"/>
    <w:rsid w:val="00B76672"/>
    <w:rsid w:val="00B81972"/>
    <w:rsid w:val="00B85DBC"/>
    <w:rsid w:val="00B93CE4"/>
    <w:rsid w:val="00BA06E5"/>
    <w:rsid w:val="00BA199B"/>
    <w:rsid w:val="00BA2BC0"/>
    <w:rsid w:val="00BB1EF5"/>
    <w:rsid w:val="00BB2459"/>
    <w:rsid w:val="00BB46C8"/>
    <w:rsid w:val="00BB61A5"/>
    <w:rsid w:val="00BC14ED"/>
    <w:rsid w:val="00BC15D4"/>
    <w:rsid w:val="00BC2D09"/>
    <w:rsid w:val="00BC312C"/>
    <w:rsid w:val="00BC7460"/>
    <w:rsid w:val="00BC78E2"/>
    <w:rsid w:val="00BD0B5B"/>
    <w:rsid w:val="00BD2871"/>
    <w:rsid w:val="00BD5227"/>
    <w:rsid w:val="00BD7C61"/>
    <w:rsid w:val="00BE1E1C"/>
    <w:rsid w:val="00BE5A80"/>
    <w:rsid w:val="00BE66D4"/>
    <w:rsid w:val="00BF2726"/>
    <w:rsid w:val="00BF2852"/>
    <w:rsid w:val="00BF620B"/>
    <w:rsid w:val="00C02C5D"/>
    <w:rsid w:val="00C0451E"/>
    <w:rsid w:val="00C04DF4"/>
    <w:rsid w:val="00C068D8"/>
    <w:rsid w:val="00C119CC"/>
    <w:rsid w:val="00C14CCB"/>
    <w:rsid w:val="00C16665"/>
    <w:rsid w:val="00C17E50"/>
    <w:rsid w:val="00C213AA"/>
    <w:rsid w:val="00C21F45"/>
    <w:rsid w:val="00C22D6C"/>
    <w:rsid w:val="00C23B45"/>
    <w:rsid w:val="00C3154B"/>
    <w:rsid w:val="00C34D96"/>
    <w:rsid w:val="00C35A20"/>
    <w:rsid w:val="00C37450"/>
    <w:rsid w:val="00C510C2"/>
    <w:rsid w:val="00C51E65"/>
    <w:rsid w:val="00C546C0"/>
    <w:rsid w:val="00C604CC"/>
    <w:rsid w:val="00C61FC9"/>
    <w:rsid w:val="00C634BB"/>
    <w:rsid w:val="00C64AC9"/>
    <w:rsid w:val="00C661A8"/>
    <w:rsid w:val="00C70CA6"/>
    <w:rsid w:val="00C80CE0"/>
    <w:rsid w:val="00C82A8C"/>
    <w:rsid w:val="00C83026"/>
    <w:rsid w:val="00C86790"/>
    <w:rsid w:val="00C935F9"/>
    <w:rsid w:val="00CA20FA"/>
    <w:rsid w:val="00CA518E"/>
    <w:rsid w:val="00CA53A3"/>
    <w:rsid w:val="00CA5BEE"/>
    <w:rsid w:val="00CB2372"/>
    <w:rsid w:val="00CB3B1F"/>
    <w:rsid w:val="00CB3E61"/>
    <w:rsid w:val="00CB59CF"/>
    <w:rsid w:val="00CB74B0"/>
    <w:rsid w:val="00CC17E3"/>
    <w:rsid w:val="00CC546B"/>
    <w:rsid w:val="00CC7083"/>
    <w:rsid w:val="00CD0A54"/>
    <w:rsid w:val="00CD50A4"/>
    <w:rsid w:val="00CD6F30"/>
    <w:rsid w:val="00CE447B"/>
    <w:rsid w:val="00CE68C0"/>
    <w:rsid w:val="00CF1B42"/>
    <w:rsid w:val="00CF4D2F"/>
    <w:rsid w:val="00CF72F6"/>
    <w:rsid w:val="00D03279"/>
    <w:rsid w:val="00D03547"/>
    <w:rsid w:val="00D03D0E"/>
    <w:rsid w:val="00D06D1E"/>
    <w:rsid w:val="00D217F3"/>
    <w:rsid w:val="00D23320"/>
    <w:rsid w:val="00D24634"/>
    <w:rsid w:val="00D27E14"/>
    <w:rsid w:val="00D315E6"/>
    <w:rsid w:val="00D35012"/>
    <w:rsid w:val="00D36B1E"/>
    <w:rsid w:val="00D40502"/>
    <w:rsid w:val="00D41AFD"/>
    <w:rsid w:val="00D429C8"/>
    <w:rsid w:val="00D43163"/>
    <w:rsid w:val="00D44AAA"/>
    <w:rsid w:val="00D5323B"/>
    <w:rsid w:val="00D62044"/>
    <w:rsid w:val="00D62EAD"/>
    <w:rsid w:val="00D67C43"/>
    <w:rsid w:val="00D71916"/>
    <w:rsid w:val="00D71B35"/>
    <w:rsid w:val="00D73E59"/>
    <w:rsid w:val="00D75099"/>
    <w:rsid w:val="00D850DE"/>
    <w:rsid w:val="00D85650"/>
    <w:rsid w:val="00D93D0A"/>
    <w:rsid w:val="00D95402"/>
    <w:rsid w:val="00DA0976"/>
    <w:rsid w:val="00DA2E07"/>
    <w:rsid w:val="00DB275C"/>
    <w:rsid w:val="00DB2D0C"/>
    <w:rsid w:val="00DB474E"/>
    <w:rsid w:val="00DB52E0"/>
    <w:rsid w:val="00DB5798"/>
    <w:rsid w:val="00DC1CF9"/>
    <w:rsid w:val="00DD1167"/>
    <w:rsid w:val="00DD3FDF"/>
    <w:rsid w:val="00DE2BF2"/>
    <w:rsid w:val="00DE4D33"/>
    <w:rsid w:val="00DF3678"/>
    <w:rsid w:val="00E00D64"/>
    <w:rsid w:val="00E01615"/>
    <w:rsid w:val="00E079C1"/>
    <w:rsid w:val="00E11F07"/>
    <w:rsid w:val="00E1388A"/>
    <w:rsid w:val="00E1658F"/>
    <w:rsid w:val="00E2118D"/>
    <w:rsid w:val="00E2414E"/>
    <w:rsid w:val="00E2457C"/>
    <w:rsid w:val="00E27AAD"/>
    <w:rsid w:val="00E3426D"/>
    <w:rsid w:val="00E34411"/>
    <w:rsid w:val="00E41E4F"/>
    <w:rsid w:val="00E445D1"/>
    <w:rsid w:val="00E4487C"/>
    <w:rsid w:val="00E466EF"/>
    <w:rsid w:val="00E51060"/>
    <w:rsid w:val="00E60DF7"/>
    <w:rsid w:val="00E62FF1"/>
    <w:rsid w:val="00E73950"/>
    <w:rsid w:val="00E770E5"/>
    <w:rsid w:val="00E7777B"/>
    <w:rsid w:val="00E811F1"/>
    <w:rsid w:val="00E90B93"/>
    <w:rsid w:val="00E90D85"/>
    <w:rsid w:val="00E95C5D"/>
    <w:rsid w:val="00EA0A87"/>
    <w:rsid w:val="00EA44DC"/>
    <w:rsid w:val="00EA56FD"/>
    <w:rsid w:val="00EC3B0A"/>
    <w:rsid w:val="00EC7B53"/>
    <w:rsid w:val="00EC7B80"/>
    <w:rsid w:val="00ED40A5"/>
    <w:rsid w:val="00ED4F33"/>
    <w:rsid w:val="00ED6C77"/>
    <w:rsid w:val="00EF0C6B"/>
    <w:rsid w:val="00EF22B0"/>
    <w:rsid w:val="00F004E1"/>
    <w:rsid w:val="00F038FC"/>
    <w:rsid w:val="00F03DC6"/>
    <w:rsid w:val="00F041AA"/>
    <w:rsid w:val="00F04EBC"/>
    <w:rsid w:val="00F07EFE"/>
    <w:rsid w:val="00F12DF8"/>
    <w:rsid w:val="00F16515"/>
    <w:rsid w:val="00F23FCC"/>
    <w:rsid w:val="00F23FEF"/>
    <w:rsid w:val="00F2467A"/>
    <w:rsid w:val="00F339DE"/>
    <w:rsid w:val="00F345A1"/>
    <w:rsid w:val="00F35106"/>
    <w:rsid w:val="00F35601"/>
    <w:rsid w:val="00F362C7"/>
    <w:rsid w:val="00F42222"/>
    <w:rsid w:val="00F42548"/>
    <w:rsid w:val="00F43605"/>
    <w:rsid w:val="00F4517C"/>
    <w:rsid w:val="00F5196F"/>
    <w:rsid w:val="00F5437D"/>
    <w:rsid w:val="00F56520"/>
    <w:rsid w:val="00F62F5C"/>
    <w:rsid w:val="00F63F3B"/>
    <w:rsid w:val="00F71510"/>
    <w:rsid w:val="00F73663"/>
    <w:rsid w:val="00F77F8A"/>
    <w:rsid w:val="00F805B3"/>
    <w:rsid w:val="00F81F26"/>
    <w:rsid w:val="00F8246A"/>
    <w:rsid w:val="00F82605"/>
    <w:rsid w:val="00F86853"/>
    <w:rsid w:val="00F913AF"/>
    <w:rsid w:val="00FA2AA0"/>
    <w:rsid w:val="00FA30CB"/>
    <w:rsid w:val="00FA624D"/>
    <w:rsid w:val="00FA66C0"/>
    <w:rsid w:val="00FA691A"/>
    <w:rsid w:val="00FA7C5C"/>
    <w:rsid w:val="00FB0CFC"/>
    <w:rsid w:val="00FB547E"/>
    <w:rsid w:val="00FB75CA"/>
    <w:rsid w:val="00FB7612"/>
    <w:rsid w:val="00FC6232"/>
    <w:rsid w:val="00FC624B"/>
    <w:rsid w:val="00FC75DF"/>
    <w:rsid w:val="00FD3216"/>
    <w:rsid w:val="00FD4C0C"/>
    <w:rsid w:val="00FD5517"/>
    <w:rsid w:val="00FD6273"/>
    <w:rsid w:val="00FE00B8"/>
    <w:rsid w:val="00FF354C"/>
  </w:rsids>
  <m:mathPr>
    <m:mathFont m:val="Cambria Math"/>
    <m:brkBin m:val="before"/>
    <m:brkBinSub m:val="--"/>
    <m:smallFrac/>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ddd,silver,#eaeaea"/>
    </o:shapedefaults>
    <o:shapelayout v:ext="edit">
      <o:idmap v:ext="edit" data="1"/>
    </o:shapelayout>
  </w:shapeDefaults>
  <w:decimalSymbol w:val="."/>
  <w:listSeparator w:val=","/>
  <w14:docId w14:val="60DDA42F"/>
  <w15:docId w15:val="{84D461B2-20DD-4714-AED1-2A3ABA35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uiPriority w:val="9"/>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 w:type="paragraph" w:customStyle="1" w:styleId="AppendixNote">
    <w:name w:val="AppendixNote"/>
    <w:basedOn w:val="Normal"/>
    <w:next w:val="Normal"/>
    <w:rsid w:val="000C7E0C"/>
    <w:pPr>
      <w:spacing w:after="200" w:line="240" w:lineRule="auto"/>
      <w:jc w:val="both"/>
    </w:pPr>
    <w:rPr>
      <w:i/>
      <w:iCs/>
      <w:sz w:val="19"/>
    </w:rPr>
  </w:style>
  <w:style w:type="paragraph" w:styleId="ListParagraph">
    <w:name w:val="List Paragraph"/>
    <w:basedOn w:val="Normal"/>
    <w:uiPriority w:val="34"/>
    <w:qFormat/>
    <w:rsid w:val="000C7E0C"/>
    <w:pPr>
      <w:ind w:left="720"/>
      <w:contextualSpacing/>
    </w:pPr>
  </w:style>
  <w:style w:type="character" w:customStyle="1" w:styleId="Heading3Char">
    <w:name w:val="Heading 3 Char"/>
    <w:basedOn w:val="DefaultParagraphFont"/>
    <w:link w:val="Heading3"/>
    <w:rsid w:val="00FD3216"/>
    <w:rPr>
      <w:rFonts w:cs="Arial"/>
      <w:b/>
      <w:bCs/>
      <w:iCs/>
      <w:sz w:val="24"/>
      <w:szCs w:val="26"/>
      <w:lang w:eastAsia="en-US"/>
    </w:rPr>
  </w:style>
  <w:style w:type="paragraph" w:customStyle="1" w:styleId="NumBC1">
    <w:name w:val="Num BC1"/>
    <w:basedOn w:val="Normal"/>
    <w:qFormat/>
    <w:rsid w:val="00987304"/>
    <w:pPr>
      <w:spacing w:before="100" w:after="100" w:line="240" w:lineRule="auto"/>
      <w:ind w:left="782" w:hanging="782"/>
      <w:jc w:val="both"/>
    </w:pPr>
    <w:rPr>
      <w:sz w:val="19"/>
    </w:rPr>
  </w:style>
  <w:style w:type="character" w:customStyle="1" w:styleId="Heading2Char">
    <w:name w:val="Heading 2 Char"/>
    <w:basedOn w:val="DefaultParagraphFont"/>
    <w:link w:val="Heading2"/>
    <w:uiPriority w:val="9"/>
    <w:rsid w:val="009925A4"/>
    <w:rPr>
      <w:rFonts w:cs="Arial"/>
      <w:b/>
      <w:iCs/>
      <w:sz w:val="28"/>
      <w:szCs w:val="28"/>
      <w:lang w:eastAsia="en-US"/>
    </w:rPr>
  </w:style>
  <w:style w:type="paragraph" w:customStyle="1" w:styleId="IASBNormalnparaL1">
    <w:name w:val="IASB Normal nparaL1"/>
    <w:basedOn w:val="Normal"/>
    <w:rsid w:val="00005F26"/>
    <w:pPr>
      <w:spacing w:before="100" w:line="240" w:lineRule="auto"/>
      <w:ind w:left="1564" w:hanging="782"/>
      <w:jc w:val="both"/>
    </w:pPr>
    <w:rPr>
      <w:sz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21002">
      <w:bodyDiv w:val="1"/>
      <w:marLeft w:val="0"/>
      <w:marRight w:val="0"/>
      <w:marTop w:val="0"/>
      <w:marBottom w:val="0"/>
      <w:divBdr>
        <w:top w:val="none" w:sz="0" w:space="0" w:color="auto"/>
        <w:left w:val="none" w:sz="0" w:space="0" w:color="auto"/>
        <w:bottom w:val="none" w:sz="0" w:space="0" w:color="auto"/>
        <w:right w:val="none" w:sz="0" w:space="0" w:color="auto"/>
      </w:divBdr>
    </w:div>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9A67-A10F-485B-964B-348699B951B0}">
  <ds:schemaRefs>
    <ds:schemaRef ds:uri="dacb3ef7-33a4-4aaf-8e2c-a382b35b1891"/>
    <ds:schemaRef ds:uri="2fffc6f8-0ce6-4feb-a150-9d1574269ef9"/>
    <ds:schemaRef ds:uri="http://purl.org/dc/term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5B1809E1-4C83-42AB-982D-1B302B3B6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C27BA-49EB-4200-ABBF-72DF2E8373E6}">
  <ds:schemaRefs>
    <ds:schemaRef ds:uri="http://schemas.microsoft.com/sharepoint/v3/contenttype/forms"/>
  </ds:schemaRefs>
</ds:datastoreItem>
</file>

<file path=customXml/itemProps4.xml><?xml version="1.0" encoding="utf-8"?>
<ds:datastoreItem xmlns:ds="http://schemas.openxmlformats.org/officeDocument/2006/customXml" ds:itemID="{4FC988AA-709E-45E5-8A3F-F0FC92A5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c:creator>
  <cp:keywords/>
  <cp:lastModifiedBy>Kathleen John</cp:lastModifiedBy>
  <cp:revision>2</cp:revision>
  <cp:lastPrinted>2019-11-29T18:32:00Z</cp:lastPrinted>
  <dcterms:created xsi:type="dcterms:W3CDTF">2020-03-17T23:52:00Z</dcterms:created>
  <dcterms:modified xsi:type="dcterms:W3CDTF">2020-03-17T23:52:00Z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