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ing for AASB Standard / Interpretations"/>
        <w:tblDescription w:val="Identification that the pronouncement is an AASB Standard or Interpretation, the pronouncement number, month of issue and title"/>
      </w:tblPr>
      <w:tblGrid>
        <w:gridCol w:w="4508"/>
        <w:gridCol w:w="4509"/>
      </w:tblGrid>
      <w:tr w:rsidR="00773F4F" w:rsidRPr="000A3347" w14:paraId="7F1C7583" w14:textId="77777777" w:rsidTr="00D9197D">
        <w:trPr>
          <w:trHeight w:val="278"/>
          <w:tblHeader/>
        </w:trPr>
        <w:tc>
          <w:tcPr>
            <w:tcW w:w="4508" w:type="dxa"/>
          </w:tcPr>
          <w:p w14:paraId="7F1C7580" w14:textId="677F719B" w:rsidR="00773F4F" w:rsidRPr="000A3347" w:rsidRDefault="000A3347" w:rsidP="00AD3955">
            <w:pPr>
              <w:pStyle w:val="AASBStandardCover"/>
              <w:rPr>
                <w:color w:val="auto"/>
                <w:sz w:val="24"/>
              </w:rPr>
            </w:pPr>
            <w:r w:rsidRPr="000A3347">
              <w:rPr>
                <w:color w:val="auto"/>
                <w:sz w:val="24"/>
              </w:rPr>
              <w:t xml:space="preserve">Compiled </w:t>
            </w:r>
            <w:r w:rsidR="00773F4F" w:rsidRPr="000A3347">
              <w:rPr>
                <w:color w:val="auto"/>
                <w:sz w:val="24"/>
              </w:rPr>
              <w:t xml:space="preserve">AASB </w:t>
            </w:r>
            <w:bookmarkStart w:id="0" w:name="DocType"/>
            <w:r w:rsidR="00773F4F" w:rsidRPr="000A3347">
              <w:rPr>
                <w:color w:val="auto"/>
                <w:sz w:val="24"/>
              </w:rPr>
              <w:t>Standard</w:t>
            </w:r>
            <w:bookmarkEnd w:id="0"/>
          </w:p>
        </w:tc>
        <w:tc>
          <w:tcPr>
            <w:tcW w:w="4509" w:type="dxa"/>
          </w:tcPr>
          <w:p w14:paraId="7F1C7582" w14:textId="44B277A8" w:rsidR="00773F4F" w:rsidRPr="000A3347" w:rsidRDefault="00773F4F" w:rsidP="000A3347">
            <w:pPr>
              <w:pStyle w:val="AASBStandardNumber"/>
              <w:rPr>
                <w:rFonts w:ascii="HelveticaNeueLT Std" w:hAnsi="HelveticaNeueLT Std"/>
                <w:b/>
                <w:color w:val="auto"/>
              </w:rPr>
            </w:pPr>
            <w:bookmarkStart w:id="1" w:name="DocTypeAbb"/>
            <w:r w:rsidRPr="000A3347">
              <w:rPr>
                <w:rFonts w:ascii="HelveticaNeueLT Std" w:hAnsi="HelveticaNeueLT Std"/>
                <w:b/>
                <w:color w:val="auto"/>
              </w:rPr>
              <w:t>AASB</w:t>
            </w:r>
            <w:bookmarkEnd w:id="1"/>
            <w:r w:rsidRPr="000A3347">
              <w:rPr>
                <w:rFonts w:ascii="HelveticaNeueLT Std" w:hAnsi="HelveticaNeueLT Std"/>
                <w:b/>
                <w:color w:val="auto"/>
              </w:rPr>
              <w:t xml:space="preserve"> </w:t>
            </w:r>
            <w:bookmarkStart w:id="2" w:name="DocNo"/>
            <w:bookmarkStart w:id="3" w:name="AASBNo"/>
            <w:r w:rsidR="004E45D2" w:rsidRPr="000A3347">
              <w:rPr>
                <w:rFonts w:ascii="HelveticaNeueLT Std" w:hAnsi="HelveticaNeueLT Std"/>
                <w:b/>
                <w:color w:val="auto"/>
              </w:rPr>
              <w:t>1060</w:t>
            </w:r>
            <w:bookmarkEnd w:id="2"/>
            <w:bookmarkEnd w:id="3"/>
          </w:p>
        </w:tc>
      </w:tr>
    </w:tbl>
    <w:p w14:paraId="691122FA" w14:textId="7E73D481" w:rsidR="006B1671" w:rsidRPr="009008FD" w:rsidRDefault="006B1671" w:rsidP="006B1671">
      <w:pPr>
        <w:pStyle w:val="AASBStandardTitle"/>
        <w:pBdr>
          <w:bottom w:val="single" w:sz="4" w:space="1" w:color="auto"/>
        </w:pBdr>
        <w:rPr>
          <w:color w:val="auto"/>
        </w:rPr>
      </w:pPr>
      <w:bookmarkStart w:id="4" w:name="DocTitle"/>
      <w:r w:rsidRPr="000A3347">
        <w:rPr>
          <w:color w:val="auto"/>
        </w:rPr>
        <w:t>General Purpose Financial Statements – Simplified Disclosures for For-Profit and Not-for-Profit Tier 2 Entities</w:t>
      </w:r>
      <w:bookmarkEnd w:id="4"/>
    </w:p>
    <w:p w14:paraId="119017C3" w14:textId="77777777" w:rsidR="006C5720" w:rsidRDefault="006C5720" w:rsidP="00164832">
      <w:pPr>
        <w:pStyle w:val="AASBNormal"/>
        <w:spacing w:before="0" w:after="0"/>
      </w:pPr>
      <w:bookmarkStart w:id="5" w:name="_Hlk78981539"/>
    </w:p>
    <w:p w14:paraId="390D331B" w14:textId="76D062D9" w:rsidR="000A3347" w:rsidRPr="009B4980" w:rsidRDefault="000A3347" w:rsidP="000A3347">
      <w:pPr>
        <w:pStyle w:val="AASBNormal"/>
      </w:pPr>
      <w:r w:rsidRPr="00B54F23">
        <w:t xml:space="preserve">This compiled Standard applies to annual periods </w:t>
      </w:r>
      <w:bookmarkStart w:id="6" w:name="ApplyTextCompile"/>
      <w:r w:rsidRPr="00B54F23">
        <w:t>beginning</w:t>
      </w:r>
      <w:bookmarkEnd w:id="6"/>
      <w:r w:rsidRPr="00B54F23">
        <w:t xml:space="preserve"> on or after </w:t>
      </w:r>
      <w:bookmarkStart w:id="7" w:name="ApplyDateCompile"/>
      <w:r w:rsidRPr="00B54F23">
        <w:t>1</w:t>
      </w:r>
      <w:r w:rsidR="00F40D77">
        <w:t xml:space="preserve"> </w:t>
      </w:r>
      <w:r w:rsidRPr="00B54F23">
        <w:t>J</w:t>
      </w:r>
      <w:r w:rsidR="00CE60D8">
        <w:t>uly 202</w:t>
      </w:r>
      <w:r w:rsidR="00D04490">
        <w:t>1</w:t>
      </w:r>
      <w:bookmarkEnd w:id="7"/>
      <w:r w:rsidR="00A919BD">
        <w:t>.</w:t>
      </w:r>
      <w:r w:rsidR="00251D0A">
        <w:t xml:space="preserve"> </w:t>
      </w:r>
      <w:r w:rsidRPr="00B54F23">
        <w:t xml:space="preserve"> Earlier application is permitted</w:t>
      </w:r>
      <w:r w:rsidR="00DD5C80">
        <w:t>.</w:t>
      </w:r>
      <w:r w:rsidR="00613864">
        <w:t xml:space="preserve">  </w:t>
      </w:r>
      <w:r w:rsidRPr="00B54F23">
        <w:t xml:space="preserve">It </w:t>
      </w:r>
      <w:r w:rsidRPr="009B4980">
        <w:t xml:space="preserve">incorporates relevant amendments made up to and including </w:t>
      </w:r>
      <w:bookmarkEnd w:id="5"/>
      <w:r w:rsidRPr="009B4980">
        <w:fldChar w:fldCharType="begin"/>
      </w:r>
      <w:r w:rsidRPr="009B4980">
        <w:instrText xml:space="preserve"> REF \* charformat CompileDate  \* MERGEFORMAT </w:instrText>
      </w:r>
      <w:r w:rsidRPr="009B4980">
        <w:fldChar w:fldCharType="separate"/>
      </w:r>
      <w:r w:rsidR="00454A6B" w:rsidRPr="00454A6B">
        <w:rPr>
          <w:lang w:val="en-US"/>
        </w:rPr>
        <w:t>29 March 2021</w:t>
      </w:r>
      <w:r w:rsidRPr="009B4980">
        <w:rPr>
          <w:lang w:val="en-US"/>
        </w:rPr>
        <w:fldChar w:fldCharType="end"/>
      </w:r>
      <w:r w:rsidRPr="009B4980">
        <w:rPr>
          <w:lang w:val="en-US"/>
        </w:rPr>
        <w:t>.</w:t>
      </w:r>
    </w:p>
    <w:p w14:paraId="4A6E6EF8" w14:textId="6E76B603" w:rsidR="000A3347" w:rsidRDefault="000A3347" w:rsidP="000A3347">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454A6B" w:rsidRPr="00454A6B">
        <w:t>17 August 2021</w:t>
      </w:r>
      <w:r w:rsidRPr="00745122">
        <w:fldChar w:fldCharType="end"/>
      </w:r>
      <w:r w:rsidRPr="000D35D8">
        <w:t xml:space="preserve"> by the staff of the Australian Accounting Standards Board.</w:t>
      </w:r>
    </w:p>
    <w:p w14:paraId="09A409F9" w14:textId="77777777" w:rsidR="000A3347" w:rsidRDefault="000A3347" w:rsidP="000A3347">
      <w:pPr>
        <w:pStyle w:val="AASBBase"/>
        <w:spacing w:before="100" w:after="100"/>
      </w:pPr>
      <w:bookmarkStart w:id="8" w:name="_Hlk78981336"/>
      <w:r w:rsidRPr="00896251">
        <w:t xml:space="preserve">Compilation no. </w:t>
      </w:r>
      <w:r>
        <w:t>1</w:t>
      </w:r>
    </w:p>
    <w:p w14:paraId="6627DE94" w14:textId="274D43BA" w:rsidR="00DE55EB" w:rsidRPr="00896251" w:rsidRDefault="00DE55EB" w:rsidP="000A3347">
      <w:pPr>
        <w:pStyle w:val="AASBBase"/>
        <w:spacing w:before="100" w:after="100"/>
      </w:pPr>
      <w:r w:rsidRPr="00DE55EB">
        <w:t>Compilation date:  30 June 2021</w:t>
      </w:r>
    </w:p>
    <w:p w14:paraId="6F0C9B84" w14:textId="231827FB" w:rsidR="00B6123E" w:rsidRPr="00155974" w:rsidRDefault="000A3347" w:rsidP="00F40D77">
      <w:pPr>
        <w:pStyle w:val="AASBBase"/>
        <w:spacing w:before="7200"/>
      </w:pPr>
      <w:r w:rsidRPr="00662611">
        <w:rPr>
          <w:noProof/>
          <w:lang w:eastAsia="en-AU"/>
        </w:rPr>
        <w:drawing>
          <wp:inline distT="0" distB="0" distL="0" distR="0" wp14:anchorId="4A46C121" wp14:editId="65A8FACE">
            <wp:extent cx="1677035" cy="1331595"/>
            <wp:effectExtent l="0" t="0" r="0" b="1905"/>
            <wp:docPr id="2" name="Picture 2"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035" cy="1331595"/>
                    </a:xfrm>
                    <a:prstGeom prst="rect">
                      <a:avLst/>
                    </a:prstGeom>
                    <a:noFill/>
                    <a:ln>
                      <a:noFill/>
                    </a:ln>
                  </pic:spPr>
                </pic:pic>
              </a:graphicData>
            </a:graphic>
          </wp:inline>
        </w:drawing>
      </w:r>
      <w:bookmarkEnd w:id="8"/>
    </w:p>
    <w:p w14:paraId="7F1C7586" w14:textId="77777777" w:rsidR="00773F4F" w:rsidRPr="00155974" w:rsidRDefault="00773F4F" w:rsidP="00F40D77">
      <w:pPr>
        <w:pStyle w:val="AASBBase"/>
        <w:rPr>
          <w:b/>
        </w:rPr>
        <w:sectPr w:rsidR="00773F4F" w:rsidRPr="00155974" w:rsidSect="0043355D">
          <w:pgSz w:w="11907" w:h="16839" w:code="9"/>
          <w:pgMar w:top="1440" w:right="1440" w:bottom="1440" w:left="1440" w:header="709" w:footer="709" w:gutter="0"/>
          <w:cols w:space="708"/>
          <w:docGrid w:linePitch="360"/>
        </w:sectPr>
      </w:pPr>
    </w:p>
    <w:p w14:paraId="602FCF8A" w14:textId="5019AFB1" w:rsidR="000A3347" w:rsidRDefault="000A3347" w:rsidP="000A3347">
      <w:pPr>
        <w:pStyle w:val="IASBSectionTitle2NonInd"/>
      </w:pPr>
      <w:bookmarkStart w:id="9" w:name="_Hlk78981586"/>
      <w:r>
        <w:lastRenderedPageBreak/>
        <w:t>Obtaining cop</w:t>
      </w:r>
      <w:r w:rsidR="00F40D77">
        <w:t>ies</w:t>
      </w:r>
      <w:r>
        <w:t xml:space="preserve"> of Accounting </w:t>
      </w:r>
      <w:fldSimple w:instr=" REF DocType  \* MERGEFORMAT " w:fldLock="1">
        <w:r w:rsidRPr="00CB4C3F">
          <w:t>Standard</w:t>
        </w:r>
      </w:fldSimple>
      <w:r w:rsidR="00F40D77">
        <w:t>s</w:t>
      </w:r>
    </w:p>
    <w:p w14:paraId="2539D7D2" w14:textId="77777777" w:rsidR="000A3347" w:rsidRDefault="000A3347" w:rsidP="000A3347">
      <w:pPr>
        <w:pStyle w:val="AASBPara"/>
      </w:pPr>
      <w:bookmarkStart w:id="10" w:name="_Hlk78975824"/>
      <w:r w:rsidRPr="000D35D8">
        <w:t xml:space="preserve">Compiled versions of Standards, original Standards and amending Standards (see Compilation Details) are available on the AASB website: </w:t>
      </w:r>
      <w:r w:rsidRPr="00F83272">
        <w:t>www.aasb.gov.au</w:t>
      </w:r>
      <w:r w:rsidRPr="000D35D8">
        <w:t>.</w:t>
      </w:r>
    </w:p>
    <w:p w14:paraId="37196257" w14:textId="77777777" w:rsidR="000A3347" w:rsidRDefault="000A3347" w:rsidP="000A3347">
      <w:pPr>
        <w:pStyle w:val="AASBBase"/>
      </w:pPr>
      <w:bookmarkStart w:id="11" w:name="_Hlk78976218"/>
      <w:bookmarkEnd w:id="10"/>
      <w:r>
        <w:t>Australian Accounting Standards Board</w:t>
      </w:r>
    </w:p>
    <w:p w14:paraId="63DE6F48" w14:textId="77777777" w:rsidR="000A3347" w:rsidRDefault="000A3347" w:rsidP="000A3347">
      <w:pPr>
        <w:pStyle w:val="AASBBase"/>
      </w:pPr>
      <w:r>
        <w:t>PO Box 204</w:t>
      </w:r>
    </w:p>
    <w:p w14:paraId="67600887" w14:textId="77777777" w:rsidR="000A3347" w:rsidRDefault="000A3347" w:rsidP="000A3347">
      <w:pPr>
        <w:pStyle w:val="AASBBase"/>
      </w:pPr>
      <w:r>
        <w:t>Collins Street West</w:t>
      </w:r>
    </w:p>
    <w:p w14:paraId="6A34080B" w14:textId="77777777" w:rsidR="000A3347" w:rsidRDefault="000A3347" w:rsidP="000A3347">
      <w:pPr>
        <w:pStyle w:val="AASBBase"/>
      </w:pPr>
      <w:r>
        <w:t>Victoria   8007</w:t>
      </w:r>
    </w:p>
    <w:p w14:paraId="69258880" w14:textId="77777777" w:rsidR="000A3347" w:rsidRDefault="000A3347" w:rsidP="000A3347">
      <w:pPr>
        <w:pStyle w:val="AASBPara"/>
      </w:pPr>
      <w:r>
        <w:t>AUSTRALIA</w:t>
      </w:r>
    </w:p>
    <w:p w14:paraId="5FF29607" w14:textId="77777777" w:rsidR="000A3347" w:rsidRDefault="000A3347" w:rsidP="000A3347">
      <w:pPr>
        <w:pStyle w:val="AASBBase"/>
        <w:tabs>
          <w:tab w:val="left" w:pos="907"/>
        </w:tabs>
      </w:pPr>
      <w:bookmarkStart w:id="12" w:name="_Hlk78981897"/>
      <w:r>
        <w:t>Phone:</w:t>
      </w:r>
      <w:r>
        <w:tab/>
        <w:t>(03) 9617 7600</w:t>
      </w:r>
    </w:p>
    <w:p w14:paraId="78726A39" w14:textId="77777777" w:rsidR="000A3347" w:rsidRDefault="000A3347" w:rsidP="000A3347">
      <w:pPr>
        <w:pStyle w:val="AASBBase"/>
        <w:tabs>
          <w:tab w:val="left" w:pos="907"/>
        </w:tabs>
      </w:pPr>
      <w:r>
        <w:t>E-mail:</w:t>
      </w:r>
      <w:r>
        <w:tab/>
      </w:r>
      <w:r w:rsidRPr="00165480">
        <w:t>standard@aasb.gov.au</w:t>
      </w:r>
    </w:p>
    <w:p w14:paraId="58620B2F" w14:textId="77777777" w:rsidR="000A3347" w:rsidRDefault="000A3347" w:rsidP="000A3347">
      <w:pPr>
        <w:pStyle w:val="AASBBase"/>
        <w:tabs>
          <w:tab w:val="left" w:pos="907"/>
        </w:tabs>
      </w:pPr>
      <w:r>
        <w:t>Website:</w:t>
      </w:r>
      <w:r>
        <w:tab/>
        <w:t>www.aasb.gov.au</w:t>
      </w:r>
    </w:p>
    <w:bookmarkEnd w:id="12"/>
    <w:p w14:paraId="4453FB4A" w14:textId="77777777" w:rsidR="000A3347" w:rsidRDefault="000A3347" w:rsidP="000A3347">
      <w:pPr>
        <w:pStyle w:val="IASBSectionTitle2NonInd"/>
      </w:pPr>
      <w:r>
        <w:t>Other enquiries</w:t>
      </w:r>
    </w:p>
    <w:p w14:paraId="64DC3154" w14:textId="77777777" w:rsidR="000A3347" w:rsidRDefault="000A3347" w:rsidP="000A3347">
      <w:pPr>
        <w:pStyle w:val="AASBBase"/>
        <w:tabs>
          <w:tab w:val="left" w:pos="907"/>
        </w:tabs>
      </w:pPr>
      <w:r>
        <w:t>Phone:</w:t>
      </w:r>
      <w:r>
        <w:tab/>
        <w:t>(03) 9617 7600</w:t>
      </w:r>
    </w:p>
    <w:p w14:paraId="6E5D4F7C" w14:textId="77777777" w:rsidR="000A3347" w:rsidRDefault="000A3347" w:rsidP="000A3347">
      <w:pPr>
        <w:pStyle w:val="AASBBase"/>
        <w:tabs>
          <w:tab w:val="left" w:pos="907"/>
        </w:tabs>
      </w:pPr>
      <w:r>
        <w:t>E-mail:</w:t>
      </w:r>
      <w:r>
        <w:tab/>
      </w:r>
      <w:r w:rsidRPr="00165480">
        <w:t>standard@aasb.gov.au</w:t>
      </w:r>
    </w:p>
    <w:p w14:paraId="0CBF3E70" w14:textId="77777777" w:rsidR="000A3347" w:rsidRDefault="000A3347" w:rsidP="001A0EBC">
      <w:pPr>
        <w:pStyle w:val="AASBBase"/>
        <w:tabs>
          <w:tab w:val="left" w:pos="907"/>
        </w:tabs>
        <w:spacing w:before="6200" w:after="200"/>
      </w:pPr>
      <w:bookmarkStart w:id="13" w:name="_Hlk78976253"/>
      <w:bookmarkEnd w:id="11"/>
      <w:r>
        <w:t>COPYRIGHT</w:t>
      </w:r>
    </w:p>
    <w:p w14:paraId="1FCB01DE" w14:textId="71EBFE98" w:rsidR="000A3347" w:rsidRDefault="000A3347" w:rsidP="000A3347">
      <w:pPr>
        <w:pStyle w:val="AASBPara"/>
      </w:pPr>
      <w:r>
        <w:t xml:space="preserve">© Commonwealth of Australia </w:t>
      </w:r>
      <w:bookmarkStart w:id="14" w:name="Year"/>
      <w:r>
        <w:t>20</w:t>
      </w:r>
      <w:r w:rsidR="00E27ED5">
        <w:t>2</w:t>
      </w:r>
      <w:r>
        <w:t>1</w:t>
      </w:r>
      <w:bookmarkEnd w:id="14"/>
    </w:p>
    <w:p w14:paraId="4A135772" w14:textId="44C3DDA3" w:rsidR="000A3347" w:rsidRDefault="000A3347" w:rsidP="005A4B08">
      <w:pPr>
        <w:pStyle w:val="AASBPara"/>
      </w:pPr>
      <w:r>
        <w:t xml:space="preserve">This compiled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630E9A49" w14:textId="60A9D75F" w:rsidR="000A3347" w:rsidRDefault="000A3347" w:rsidP="008F5B98">
      <w:pPr>
        <w:pStyle w:val="AASBPara"/>
        <w:spacing w:after="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bookmarkEnd w:id="9"/>
    <w:bookmarkEnd w:id="13"/>
    <w:p w14:paraId="7F1C7598" w14:textId="77777777" w:rsidR="00773F4F" w:rsidRPr="00155974" w:rsidRDefault="00773F4F" w:rsidP="008F5B98">
      <w:pPr>
        <w:pStyle w:val="AASBBase"/>
        <w:sectPr w:rsidR="00773F4F" w:rsidRPr="00155974" w:rsidSect="000804D6">
          <w:headerReference w:type="even" r:id="rId12"/>
          <w:headerReference w:type="default" r:id="rId13"/>
          <w:footerReference w:type="even" r:id="rId14"/>
          <w:footerReference w:type="default" r:id="rId15"/>
          <w:pgSz w:w="11907" w:h="16839" w:code="9"/>
          <w:pgMar w:top="1440" w:right="1440" w:bottom="1440" w:left="1440" w:header="709" w:footer="709" w:gutter="0"/>
          <w:pgNumType w:start="2"/>
          <w:cols w:space="708"/>
          <w:docGrid w:linePitch="360"/>
        </w:sectPr>
      </w:pPr>
    </w:p>
    <w:p w14:paraId="7F1C7599" w14:textId="77777777" w:rsidR="00773F4F" w:rsidRPr="00155974" w:rsidRDefault="00773F4F" w:rsidP="00022B10">
      <w:pPr>
        <w:pStyle w:val="ConvSectionTitle"/>
      </w:pPr>
      <w:r w:rsidRPr="00155974">
        <w:lastRenderedPageBreak/>
        <w:t>Contents</w:t>
      </w:r>
    </w:p>
    <w:p w14:paraId="6B228A52" w14:textId="5CE350B5" w:rsidR="00EA4070" w:rsidRPr="00155974" w:rsidRDefault="00EA4070" w:rsidP="00EA4070">
      <w:pPr>
        <w:pStyle w:val="ContentsCapsPlain"/>
        <w:spacing w:before="400"/>
      </w:pPr>
      <w:r w:rsidRPr="00155974">
        <w:t>PREFACE</w:t>
      </w:r>
    </w:p>
    <w:p w14:paraId="27214D93" w14:textId="26BEFC3B" w:rsidR="00EA4070" w:rsidRPr="00155974" w:rsidRDefault="00EA4070" w:rsidP="00EA4070">
      <w:pPr>
        <w:pStyle w:val="ContentsCapsBold"/>
        <w:rPr>
          <w:iCs/>
        </w:rPr>
      </w:pPr>
      <w:r w:rsidRPr="00155974">
        <w:rPr>
          <w:iCs/>
        </w:rPr>
        <w:t>ACCOUNTING STANDARD</w:t>
      </w:r>
    </w:p>
    <w:p w14:paraId="43A9B587" w14:textId="795650EF" w:rsidR="00EA4070" w:rsidRPr="00155974" w:rsidRDefault="00EA4070" w:rsidP="008B0EB1">
      <w:pPr>
        <w:pStyle w:val="ContentsCapsBold"/>
        <w:spacing w:after="200"/>
        <w:rPr>
          <w:i/>
          <w:iCs/>
        </w:rPr>
      </w:pPr>
      <w:r w:rsidRPr="00155974">
        <w:rPr>
          <w:iCs/>
        </w:rPr>
        <w:t xml:space="preserve">AASB </w:t>
      </w:r>
      <w:r>
        <w:fldChar w:fldCharType="begin"/>
      </w:r>
      <w:r>
        <w:instrText>REF \* charformat DocNo</w:instrText>
      </w:r>
      <w:r>
        <w:fldChar w:fldCharType="separate"/>
      </w:r>
      <w:r w:rsidR="00454A6B" w:rsidRPr="00454A6B">
        <w:t>1060</w:t>
      </w:r>
      <w:r>
        <w:fldChar w:fldCharType="end"/>
      </w:r>
      <w:r w:rsidRPr="00155974">
        <w:rPr>
          <w:iCs/>
        </w:rPr>
        <w:t xml:space="preserve"> </w:t>
      </w:r>
      <w:r w:rsidR="00927B97" w:rsidRPr="00927B97">
        <w:rPr>
          <w:i/>
          <w:caps/>
        </w:rPr>
        <w:fldChar w:fldCharType="begin"/>
      </w:r>
      <w:r w:rsidR="00927B97" w:rsidRPr="00927B97">
        <w:rPr>
          <w:i/>
          <w:caps/>
        </w:rPr>
        <w:instrText xml:space="preserve"> REF \* charformat DocTitle  \* MERGEFORMAT </w:instrText>
      </w:r>
      <w:r w:rsidR="00927B97" w:rsidRPr="00927B97">
        <w:rPr>
          <w:i/>
          <w:caps/>
        </w:rPr>
        <w:fldChar w:fldCharType="separate"/>
      </w:r>
      <w:r w:rsidR="00454A6B" w:rsidRPr="00454A6B">
        <w:rPr>
          <w:i/>
          <w:caps/>
        </w:rPr>
        <w:t>General Purpose Financial Statements – Simplified Disclosures for For-Profit and Not-for-Profit Tier 2 Entities</w:t>
      </w:r>
      <w:r w:rsidR="00927B97" w:rsidRPr="00927B97">
        <w:rPr>
          <w:i/>
          <w:caps/>
        </w:rPr>
        <w:fldChar w:fldCharType="end"/>
      </w:r>
    </w:p>
    <w:p w14:paraId="60A5CD90" w14:textId="654AEBF4" w:rsidR="00EA4070" w:rsidRPr="00155974" w:rsidRDefault="00EA4070" w:rsidP="00CC2C72">
      <w:pPr>
        <w:pStyle w:val="ContentsParaHead"/>
      </w:pPr>
      <w:r w:rsidRPr="00155974">
        <w:t>from paragraph</w:t>
      </w:r>
    </w:p>
    <w:p w14:paraId="53CBFF21" w14:textId="69D90E54" w:rsidR="00EA4070" w:rsidRPr="00155974" w:rsidRDefault="00EA4070" w:rsidP="008B0EB1">
      <w:pPr>
        <w:pStyle w:val="ContentsLevel2"/>
      </w:pPr>
      <w:r w:rsidRPr="00155974">
        <w:t>OBJECTIVE</w:t>
      </w:r>
      <w:r w:rsidRPr="00155974">
        <w:tab/>
      </w:r>
      <w:r w:rsidR="0033748A" w:rsidRPr="00155974">
        <w:t>1</w:t>
      </w:r>
    </w:p>
    <w:p w14:paraId="54076B74" w14:textId="096C03B2" w:rsidR="00EA4070" w:rsidRPr="00155974" w:rsidRDefault="00EA4070" w:rsidP="008B0EB1">
      <w:pPr>
        <w:pStyle w:val="ContentsLevel2"/>
      </w:pPr>
      <w:r w:rsidRPr="00155974">
        <w:t>SCOPE</w:t>
      </w:r>
      <w:r w:rsidRPr="00155974">
        <w:tab/>
      </w:r>
      <w:r w:rsidR="005767FC" w:rsidRPr="00155974">
        <w:t>3</w:t>
      </w:r>
    </w:p>
    <w:p w14:paraId="3BB23282" w14:textId="5219E05B" w:rsidR="00EA4070" w:rsidRPr="00155974" w:rsidRDefault="00EA4070" w:rsidP="008B0EB1">
      <w:pPr>
        <w:pStyle w:val="ContentsLevel2"/>
      </w:pPr>
      <w:r w:rsidRPr="00155974">
        <w:t>TIER 2 DISCLOSURES</w:t>
      </w:r>
    </w:p>
    <w:p w14:paraId="3E48783F" w14:textId="1F36657E" w:rsidR="00EA4070" w:rsidRPr="00155974" w:rsidRDefault="00D613B9" w:rsidP="008B0EB1">
      <w:pPr>
        <w:pStyle w:val="ContentsLevel1"/>
        <w:ind w:right="566"/>
        <w:rPr>
          <w:bCs/>
          <w:caps w:val="0"/>
        </w:rPr>
      </w:pPr>
      <w:r w:rsidRPr="00155974">
        <w:rPr>
          <w:bCs/>
          <w:caps w:val="0"/>
        </w:rPr>
        <w:t>Financial Statement Presentation</w:t>
      </w:r>
      <w:r w:rsidR="00A316CA" w:rsidRPr="00155974">
        <w:rPr>
          <w:bCs/>
          <w:caps w:val="0"/>
        </w:rPr>
        <w:tab/>
      </w:r>
      <w:r w:rsidR="001E2BB4" w:rsidRPr="00155974">
        <w:rPr>
          <w:bCs/>
          <w:caps w:val="0"/>
        </w:rPr>
        <w:t>8</w:t>
      </w:r>
    </w:p>
    <w:p w14:paraId="3B13A2FD" w14:textId="2E12F2F8" w:rsidR="00BD7AFA" w:rsidRPr="00155974" w:rsidRDefault="00A871CB" w:rsidP="008B0EB1">
      <w:pPr>
        <w:pStyle w:val="ContentsLevel1"/>
        <w:ind w:right="566"/>
        <w:rPr>
          <w:bCs/>
          <w:caps w:val="0"/>
        </w:rPr>
      </w:pPr>
      <w:r w:rsidRPr="00155974">
        <w:rPr>
          <w:bCs/>
          <w:caps w:val="0"/>
        </w:rPr>
        <w:t>Statement of Financial Position</w:t>
      </w:r>
      <w:r w:rsidR="00F42A85" w:rsidRPr="00155974">
        <w:rPr>
          <w:bCs/>
          <w:caps w:val="0"/>
        </w:rPr>
        <w:tab/>
      </w:r>
      <w:r w:rsidR="00842D1A" w:rsidRPr="00155974">
        <w:rPr>
          <w:bCs/>
          <w:caps w:val="0"/>
        </w:rPr>
        <w:t>34</w:t>
      </w:r>
    </w:p>
    <w:p w14:paraId="4A12E347" w14:textId="210FB339" w:rsidR="00F42A85" w:rsidRPr="00155974" w:rsidRDefault="004D2401" w:rsidP="008B0EB1">
      <w:pPr>
        <w:pStyle w:val="ContentsLevel1"/>
        <w:ind w:right="566"/>
        <w:rPr>
          <w:bCs/>
          <w:caps w:val="0"/>
        </w:rPr>
      </w:pPr>
      <w:r w:rsidRPr="00155974">
        <w:rPr>
          <w:bCs/>
          <w:caps w:val="0"/>
        </w:rPr>
        <w:t xml:space="preserve">Statement of Profit </w:t>
      </w:r>
      <w:r w:rsidR="004F4169" w:rsidRPr="00155974">
        <w:rPr>
          <w:bCs/>
          <w:caps w:val="0"/>
        </w:rPr>
        <w:t>or Loss and Other Comprehensive Income</w:t>
      </w:r>
      <w:r w:rsidR="004F4169" w:rsidRPr="00155974">
        <w:rPr>
          <w:bCs/>
          <w:caps w:val="0"/>
        </w:rPr>
        <w:tab/>
      </w:r>
      <w:r w:rsidR="00E313A5" w:rsidRPr="00155974">
        <w:rPr>
          <w:bCs/>
          <w:caps w:val="0"/>
        </w:rPr>
        <w:t>48</w:t>
      </w:r>
    </w:p>
    <w:p w14:paraId="3CBDE32C" w14:textId="3320A63F" w:rsidR="004F4169" w:rsidRPr="00155974" w:rsidRDefault="003C5663" w:rsidP="008B0EB1">
      <w:pPr>
        <w:pStyle w:val="ContentsLevel1"/>
        <w:ind w:right="566"/>
        <w:rPr>
          <w:bCs/>
          <w:caps w:val="0"/>
        </w:rPr>
      </w:pPr>
      <w:r w:rsidRPr="00155974">
        <w:rPr>
          <w:bCs/>
          <w:caps w:val="0"/>
        </w:rPr>
        <w:t>Statement of Changes in Equity and Statement of Income and Retained Earnings</w:t>
      </w:r>
      <w:r w:rsidRPr="00155974">
        <w:rPr>
          <w:bCs/>
          <w:caps w:val="0"/>
        </w:rPr>
        <w:tab/>
      </w:r>
      <w:r w:rsidR="00C82A05" w:rsidRPr="00155974">
        <w:rPr>
          <w:bCs/>
          <w:caps w:val="0"/>
        </w:rPr>
        <w:t>59</w:t>
      </w:r>
    </w:p>
    <w:p w14:paraId="7DA606CC" w14:textId="59097947" w:rsidR="009D2508" w:rsidRPr="00155974" w:rsidRDefault="009D2508" w:rsidP="008B0EB1">
      <w:pPr>
        <w:pStyle w:val="ContentsLevel1"/>
        <w:ind w:right="566"/>
        <w:rPr>
          <w:bCs/>
          <w:caps w:val="0"/>
        </w:rPr>
      </w:pPr>
      <w:r w:rsidRPr="00155974">
        <w:rPr>
          <w:bCs/>
          <w:caps w:val="0"/>
        </w:rPr>
        <w:t>Statement of Cash Flows</w:t>
      </w:r>
      <w:r w:rsidRPr="00155974">
        <w:rPr>
          <w:bCs/>
          <w:caps w:val="0"/>
        </w:rPr>
        <w:tab/>
      </w:r>
      <w:r w:rsidR="00A60A1A" w:rsidRPr="00155974">
        <w:rPr>
          <w:bCs/>
          <w:caps w:val="0"/>
        </w:rPr>
        <w:t>64</w:t>
      </w:r>
    </w:p>
    <w:p w14:paraId="72BD83A6" w14:textId="1EC6AE18" w:rsidR="009D2508" w:rsidRPr="00155974" w:rsidRDefault="00495545" w:rsidP="008B0EB1">
      <w:pPr>
        <w:pStyle w:val="ContentsLevel1"/>
        <w:ind w:right="566"/>
        <w:rPr>
          <w:bCs/>
          <w:caps w:val="0"/>
        </w:rPr>
      </w:pPr>
      <w:r w:rsidRPr="00155974">
        <w:rPr>
          <w:bCs/>
          <w:caps w:val="0"/>
        </w:rPr>
        <w:t>Notes to the Financial Statements</w:t>
      </w:r>
      <w:r w:rsidRPr="00155974">
        <w:rPr>
          <w:bCs/>
          <w:caps w:val="0"/>
        </w:rPr>
        <w:tab/>
      </w:r>
      <w:r w:rsidR="003B38CA" w:rsidRPr="00155974">
        <w:rPr>
          <w:bCs/>
          <w:caps w:val="0"/>
        </w:rPr>
        <w:t>90</w:t>
      </w:r>
    </w:p>
    <w:p w14:paraId="79B29662" w14:textId="05D388CE" w:rsidR="00495545" w:rsidRPr="00155974" w:rsidRDefault="003B13A4" w:rsidP="008B0EB1">
      <w:pPr>
        <w:pStyle w:val="ContentsLevel1"/>
        <w:ind w:right="566"/>
        <w:rPr>
          <w:bCs/>
          <w:caps w:val="0"/>
        </w:rPr>
      </w:pPr>
      <w:r w:rsidRPr="00155974">
        <w:rPr>
          <w:bCs/>
          <w:caps w:val="0"/>
        </w:rPr>
        <w:t xml:space="preserve">Consolidated </w:t>
      </w:r>
      <w:r w:rsidR="00BE43B7" w:rsidRPr="00155974">
        <w:rPr>
          <w:bCs/>
          <w:caps w:val="0"/>
        </w:rPr>
        <w:t>and Separate Financial Statements</w:t>
      </w:r>
      <w:r w:rsidR="00BE43B7" w:rsidRPr="00155974">
        <w:rPr>
          <w:bCs/>
          <w:caps w:val="0"/>
        </w:rPr>
        <w:tab/>
      </w:r>
      <w:r w:rsidR="002B64E6" w:rsidRPr="00155974">
        <w:rPr>
          <w:bCs/>
          <w:caps w:val="0"/>
        </w:rPr>
        <w:t>104</w:t>
      </w:r>
    </w:p>
    <w:p w14:paraId="14753996" w14:textId="28D45833" w:rsidR="00BE43B7" w:rsidRPr="00155974" w:rsidRDefault="00120C82" w:rsidP="008B0EB1">
      <w:pPr>
        <w:pStyle w:val="ContentsLevel1"/>
        <w:ind w:right="566"/>
        <w:rPr>
          <w:bCs/>
          <w:caps w:val="0"/>
        </w:rPr>
      </w:pPr>
      <w:r w:rsidRPr="00155974">
        <w:rPr>
          <w:bCs/>
          <w:caps w:val="0"/>
        </w:rPr>
        <w:t>Accounting Policies, Estimates and Errors</w:t>
      </w:r>
      <w:r w:rsidRPr="00155974">
        <w:rPr>
          <w:bCs/>
          <w:caps w:val="0"/>
        </w:rPr>
        <w:tab/>
      </w:r>
      <w:r w:rsidR="002B53CB" w:rsidRPr="00155974">
        <w:rPr>
          <w:bCs/>
          <w:caps w:val="0"/>
        </w:rPr>
        <w:t>106</w:t>
      </w:r>
    </w:p>
    <w:p w14:paraId="4CF139BE" w14:textId="775C4C8B" w:rsidR="00120C82" w:rsidRPr="00155974" w:rsidRDefault="00D2435C" w:rsidP="008B0EB1">
      <w:pPr>
        <w:pStyle w:val="ContentsLevel1"/>
        <w:ind w:right="566"/>
        <w:rPr>
          <w:bCs/>
          <w:caps w:val="0"/>
        </w:rPr>
      </w:pPr>
      <w:r w:rsidRPr="00155974">
        <w:rPr>
          <w:bCs/>
          <w:caps w:val="0"/>
        </w:rPr>
        <w:t>Basic Financial Instruments</w:t>
      </w:r>
      <w:r w:rsidRPr="00155974">
        <w:rPr>
          <w:bCs/>
          <w:caps w:val="0"/>
        </w:rPr>
        <w:tab/>
      </w:r>
      <w:r w:rsidR="00FD6354" w:rsidRPr="00155974">
        <w:rPr>
          <w:bCs/>
          <w:caps w:val="0"/>
        </w:rPr>
        <w:t>111</w:t>
      </w:r>
    </w:p>
    <w:p w14:paraId="394FA266" w14:textId="091070B6" w:rsidR="00D2435C" w:rsidRPr="00155974" w:rsidRDefault="00C40D3D" w:rsidP="008B0EB1">
      <w:pPr>
        <w:pStyle w:val="ContentsLevel1"/>
        <w:ind w:right="566"/>
        <w:rPr>
          <w:bCs/>
          <w:caps w:val="0"/>
        </w:rPr>
      </w:pPr>
      <w:r w:rsidRPr="00155974">
        <w:rPr>
          <w:bCs/>
          <w:caps w:val="0"/>
        </w:rPr>
        <w:t>Other Financial Instrument Issues – Hedg</w:t>
      </w:r>
      <w:r w:rsidR="001566E5" w:rsidRPr="00155974">
        <w:rPr>
          <w:bCs/>
          <w:caps w:val="0"/>
        </w:rPr>
        <w:t>ing Disclosures</w:t>
      </w:r>
      <w:r w:rsidR="001566E5" w:rsidRPr="00155974">
        <w:rPr>
          <w:bCs/>
          <w:caps w:val="0"/>
        </w:rPr>
        <w:tab/>
      </w:r>
      <w:r w:rsidR="002210E9" w:rsidRPr="00155974">
        <w:rPr>
          <w:bCs/>
          <w:caps w:val="0"/>
        </w:rPr>
        <w:t>120</w:t>
      </w:r>
    </w:p>
    <w:p w14:paraId="44573D41" w14:textId="3A5C0531" w:rsidR="001566E5" w:rsidRPr="00155974" w:rsidRDefault="00B84A9C" w:rsidP="008B0EB1">
      <w:pPr>
        <w:pStyle w:val="ContentsLevel1"/>
        <w:ind w:right="566"/>
        <w:rPr>
          <w:bCs/>
          <w:caps w:val="0"/>
        </w:rPr>
      </w:pPr>
      <w:r w:rsidRPr="00155974">
        <w:rPr>
          <w:bCs/>
          <w:caps w:val="0"/>
        </w:rPr>
        <w:t>Inventories</w:t>
      </w:r>
      <w:r w:rsidRPr="00155974">
        <w:rPr>
          <w:bCs/>
          <w:caps w:val="0"/>
        </w:rPr>
        <w:tab/>
      </w:r>
      <w:r w:rsidR="0012400F" w:rsidRPr="00155974">
        <w:rPr>
          <w:bCs/>
          <w:caps w:val="0"/>
        </w:rPr>
        <w:t>123</w:t>
      </w:r>
    </w:p>
    <w:p w14:paraId="0F8D63A2" w14:textId="6AA7224C" w:rsidR="00B84A9C" w:rsidRPr="00155974" w:rsidRDefault="00E1117A" w:rsidP="008B0EB1">
      <w:pPr>
        <w:pStyle w:val="ContentsLevel1"/>
        <w:ind w:right="566"/>
        <w:rPr>
          <w:bCs/>
          <w:caps w:val="0"/>
        </w:rPr>
      </w:pPr>
      <w:r w:rsidRPr="00155974">
        <w:rPr>
          <w:bCs/>
          <w:caps w:val="0"/>
        </w:rPr>
        <w:t>Investments in Associates</w:t>
      </w:r>
      <w:r w:rsidRPr="00155974">
        <w:rPr>
          <w:bCs/>
          <w:caps w:val="0"/>
        </w:rPr>
        <w:tab/>
      </w:r>
      <w:r w:rsidR="007C4039" w:rsidRPr="00155974">
        <w:rPr>
          <w:bCs/>
          <w:caps w:val="0"/>
        </w:rPr>
        <w:t>125</w:t>
      </w:r>
    </w:p>
    <w:p w14:paraId="60BC3583" w14:textId="0BE361BA" w:rsidR="00E1117A" w:rsidRPr="00155974" w:rsidRDefault="00E1117A" w:rsidP="008B0EB1">
      <w:pPr>
        <w:pStyle w:val="ContentsLevel1"/>
        <w:ind w:right="566"/>
        <w:rPr>
          <w:bCs/>
          <w:caps w:val="0"/>
        </w:rPr>
      </w:pPr>
      <w:r w:rsidRPr="00155974">
        <w:rPr>
          <w:bCs/>
          <w:caps w:val="0"/>
        </w:rPr>
        <w:t>Investments in Joint Ventures</w:t>
      </w:r>
      <w:r w:rsidRPr="00155974">
        <w:rPr>
          <w:bCs/>
          <w:caps w:val="0"/>
        </w:rPr>
        <w:tab/>
      </w:r>
      <w:r w:rsidR="00C626B9" w:rsidRPr="00155974">
        <w:rPr>
          <w:bCs/>
          <w:caps w:val="0"/>
        </w:rPr>
        <w:t>129</w:t>
      </w:r>
    </w:p>
    <w:p w14:paraId="7AB926C4" w14:textId="14125365" w:rsidR="003D0D40" w:rsidRPr="00155974" w:rsidRDefault="003D0D40" w:rsidP="008B0EB1">
      <w:pPr>
        <w:pStyle w:val="ContentsLevel1"/>
        <w:ind w:right="566"/>
        <w:rPr>
          <w:bCs/>
          <w:caps w:val="0"/>
        </w:rPr>
      </w:pPr>
      <w:r w:rsidRPr="00155974">
        <w:rPr>
          <w:bCs/>
          <w:caps w:val="0"/>
        </w:rPr>
        <w:t xml:space="preserve">Investment </w:t>
      </w:r>
      <w:r w:rsidR="009E1B63" w:rsidRPr="00155974">
        <w:rPr>
          <w:bCs/>
          <w:caps w:val="0"/>
        </w:rPr>
        <w:t>Property at Fair Value</w:t>
      </w:r>
      <w:r w:rsidR="009E1B63" w:rsidRPr="00155974">
        <w:rPr>
          <w:bCs/>
          <w:caps w:val="0"/>
        </w:rPr>
        <w:tab/>
      </w:r>
      <w:r w:rsidR="00DD4572" w:rsidRPr="00155974">
        <w:rPr>
          <w:bCs/>
          <w:caps w:val="0"/>
        </w:rPr>
        <w:t>132</w:t>
      </w:r>
    </w:p>
    <w:p w14:paraId="3BD54F4A" w14:textId="4BCF359B" w:rsidR="009E1B63" w:rsidRPr="00155974" w:rsidRDefault="00DE6C08" w:rsidP="008B0EB1">
      <w:pPr>
        <w:pStyle w:val="ContentsLevel1"/>
        <w:ind w:right="566"/>
        <w:rPr>
          <w:bCs/>
          <w:caps w:val="0"/>
        </w:rPr>
      </w:pPr>
      <w:r w:rsidRPr="00155974">
        <w:rPr>
          <w:bCs/>
          <w:caps w:val="0"/>
        </w:rPr>
        <w:t>Property, Plant and Equipment and Investment Property at Cost</w:t>
      </w:r>
      <w:r w:rsidRPr="00155974">
        <w:rPr>
          <w:bCs/>
          <w:caps w:val="0"/>
        </w:rPr>
        <w:tab/>
      </w:r>
      <w:r w:rsidR="00020A0C" w:rsidRPr="00155974">
        <w:rPr>
          <w:bCs/>
          <w:caps w:val="0"/>
        </w:rPr>
        <w:t>134</w:t>
      </w:r>
    </w:p>
    <w:p w14:paraId="18809166" w14:textId="5B5F36D7" w:rsidR="00DE6C08" w:rsidRPr="00155974" w:rsidRDefault="00967DB7" w:rsidP="008B0EB1">
      <w:pPr>
        <w:pStyle w:val="ContentsLevel1"/>
        <w:ind w:right="566"/>
        <w:rPr>
          <w:bCs/>
          <w:caps w:val="0"/>
        </w:rPr>
      </w:pPr>
      <w:r w:rsidRPr="00155974">
        <w:rPr>
          <w:bCs/>
          <w:caps w:val="0"/>
        </w:rPr>
        <w:t xml:space="preserve">Intangible Assets other </w:t>
      </w:r>
      <w:r w:rsidR="00680122" w:rsidRPr="00155974">
        <w:rPr>
          <w:bCs/>
          <w:caps w:val="0"/>
        </w:rPr>
        <w:t>than Goodwill</w:t>
      </w:r>
      <w:r w:rsidR="00680122" w:rsidRPr="00155974">
        <w:rPr>
          <w:bCs/>
          <w:caps w:val="0"/>
        </w:rPr>
        <w:tab/>
      </w:r>
      <w:r w:rsidR="000F63EE" w:rsidRPr="00155974">
        <w:rPr>
          <w:bCs/>
          <w:caps w:val="0"/>
        </w:rPr>
        <w:t>137</w:t>
      </w:r>
    </w:p>
    <w:p w14:paraId="2815E0D7" w14:textId="7F1A188C" w:rsidR="00680122" w:rsidRPr="00155974" w:rsidRDefault="001152E0" w:rsidP="008B0EB1">
      <w:pPr>
        <w:pStyle w:val="ContentsLevel1"/>
        <w:ind w:right="566"/>
        <w:rPr>
          <w:bCs/>
          <w:caps w:val="0"/>
        </w:rPr>
      </w:pPr>
      <w:r w:rsidRPr="00155974">
        <w:rPr>
          <w:bCs/>
          <w:caps w:val="0"/>
        </w:rPr>
        <w:t>Business Combination</w:t>
      </w:r>
      <w:r w:rsidR="00F1652D" w:rsidRPr="00155974">
        <w:rPr>
          <w:bCs/>
          <w:caps w:val="0"/>
        </w:rPr>
        <w:t>s</w:t>
      </w:r>
      <w:r w:rsidRPr="00155974">
        <w:rPr>
          <w:bCs/>
          <w:caps w:val="0"/>
        </w:rPr>
        <w:t xml:space="preserve"> and Goodwill</w:t>
      </w:r>
      <w:r w:rsidRPr="00155974">
        <w:rPr>
          <w:bCs/>
          <w:caps w:val="0"/>
        </w:rPr>
        <w:tab/>
      </w:r>
      <w:r w:rsidR="00B2477F" w:rsidRPr="00155974">
        <w:rPr>
          <w:bCs/>
          <w:caps w:val="0"/>
        </w:rPr>
        <w:t>142</w:t>
      </w:r>
    </w:p>
    <w:p w14:paraId="1852B5D6" w14:textId="76FB5448" w:rsidR="001152E0" w:rsidRPr="00155974" w:rsidRDefault="00426E6C" w:rsidP="008B0EB1">
      <w:pPr>
        <w:pStyle w:val="ContentsLevel1"/>
        <w:ind w:right="566"/>
        <w:rPr>
          <w:bCs/>
          <w:caps w:val="0"/>
        </w:rPr>
      </w:pPr>
      <w:r w:rsidRPr="00155974">
        <w:rPr>
          <w:bCs/>
          <w:caps w:val="0"/>
        </w:rPr>
        <w:t>Leases</w:t>
      </w:r>
      <w:r w:rsidRPr="00155974">
        <w:rPr>
          <w:bCs/>
          <w:caps w:val="0"/>
        </w:rPr>
        <w:tab/>
      </w:r>
      <w:r w:rsidR="006C7218" w:rsidRPr="00155974">
        <w:rPr>
          <w:bCs/>
          <w:caps w:val="0"/>
        </w:rPr>
        <w:t>144</w:t>
      </w:r>
    </w:p>
    <w:p w14:paraId="3F6EF04D" w14:textId="2BA2A8B7" w:rsidR="00426E6C" w:rsidRPr="00155974" w:rsidRDefault="00322346" w:rsidP="008B0EB1">
      <w:pPr>
        <w:pStyle w:val="ContentsLevel1"/>
        <w:ind w:right="566"/>
        <w:rPr>
          <w:bCs/>
          <w:caps w:val="0"/>
        </w:rPr>
      </w:pPr>
      <w:r w:rsidRPr="00155974">
        <w:rPr>
          <w:bCs/>
          <w:caps w:val="0"/>
        </w:rPr>
        <w:t>Provisions and Contingencies</w:t>
      </w:r>
      <w:r w:rsidRPr="00155974">
        <w:rPr>
          <w:bCs/>
          <w:caps w:val="0"/>
        </w:rPr>
        <w:tab/>
      </w:r>
      <w:r w:rsidR="003F6E8A" w:rsidRPr="00155974">
        <w:rPr>
          <w:bCs/>
          <w:caps w:val="0"/>
        </w:rPr>
        <w:t>153</w:t>
      </w:r>
    </w:p>
    <w:p w14:paraId="6FBB3B7E" w14:textId="215E4E2C" w:rsidR="00F7575F" w:rsidRPr="00155974" w:rsidRDefault="00BA6AEB" w:rsidP="008B0EB1">
      <w:pPr>
        <w:pStyle w:val="ContentsLevel1"/>
        <w:ind w:right="566"/>
        <w:rPr>
          <w:bCs/>
          <w:caps w:val="0"/>
        </w:rPr>
      </w:pPr>
      <w:r w:rsidRPr="00155974">
        <w:rPr>
          <w:bCs/>
          <w:caps w:val="0"/>
        </w:rPr>
        <w:t>Revenue</w:t>
      </w:r>
      <w:r w:rsidRPr="00155974">
        <w:rPr>
          <w:bCs/>
          <w:caps w:val="0"/>
        </w:rPr>
        <w:tab/>
      </w:r>
      <w:r w:rsidR="00C9232E" w:rsidRPr="00155974">
        <w:rPr>
          <w:bCs/>
          <w:caps w:val="0"/>
        </w:rPr>
        <w:t>157</w:t>
      </w:r>
    </w:p>
    <w:p w14:paraId="43B3F1D8" w14:textId="57B24630" w:rsidR="00BA6AEB" w:rsidRPr="00155974" w:rsidRDefault="00BA6AEB" w:rsidP="008B0EB1">
      <w:pPr>
        <w:pStyle w:val="ContentsLevel1"/>
        <w:ind w:right="566"/>
        <w:rPr>
          <w:bCs/>
          <w:caps w:val="0"/>
        </w:rPr>
      </w:pPr>
      <w:r w:rsidRPr="00155974">
        <w:rPr>
          <w:bCs/>
          <w:caps w:val="0"/>
        </w:rPr>
        <w:t xml:space="preserve">Government Grants of </w:t>
      </w:r>
      <w:r w:rsidR="00692B5F" w:rsidRPr="00155974">
        <w:rPr>
          <w:bCs/>
          <w:caps w:val="0"/>
        </w:rPr>
        <w:t>F</w:t>
      </w:r>
      <w:r w:rsidR="00454202" w:rsidRPr="00155974">
        <w:rPr>
          <w:bCs/>
          <w:caps w:val="0"/>
        </w:rPr>
        <w:t>or-Profit Entities</w:t>
      </w:r>
      <w:r w:rsidR="00F33015" w:rsidRPr="00155974">
        <w:rPr>
          <w:bCs/>
          <w:caps w:val="0"/>
        </w:rPr>
        <w:tab/>
      </w:r>
      <w:r w:rsidR="00D82220" w:rsidRPr="00155974">
        <w:rPr>
          <w:bCs/>
          <w:caps w:val="0"/>
        </w:rPr>
        <w:t>160</w:t>
      </w:r>
    </w:p>
    <w:p w14:paraId="272493DF" w14:textId="1DB9A9B1" w:rsidR="00F33015" w:rsidRPr="00155974" w:rsidRDefault="00F33015" w:rsidP="008B0EB1">
      <w:pPr>
        <w:pStyle w:val="ContentsLevel1"/>
        <w:ind w:right="566"/>
        <w:rPr>
          <w:bCs/>
          <w:caps w:val="0"/>
        </w:rPr>
      </w:pPr>
      <w:r w:rsidRPr="00155974">
        <w:rPr>
          <w:bCs/>
          <w:caps w:val="0"/>
        </w:rPr>
        <w:t>Borrowing Costs</w:t>
      </w:r>
      <w:r w:rsidRPr="00155974">
        <w:rPr>
          <w:bCs/>
          <w:caps w:val="0"/>
        </w:rPr>
        <w:tab/>
      </w:r>
      <w:r w:rsidR="0009142C" w:rsidRPr="00155974">
        <w:rPr>
          <w:bCs/>
          <w:caps w:val="0"/>
        </w:rPr>
        <w:t>161</w:t>
      </w:r>
    </w:p>
    <w:p w14:paraId="686D6A4E" w14:textId="4C64F334" w:rsidR="00F33015" w:rsidRPr="00155974" w:rsidRDefault="008F12B1" w:rsidP="008B0EB1">
      <w:pPr>
        <w:pStyle w:val="ContentsLevel1"/>
        <w:ind w:right="566"/>
        <w:rPr>
          <w:bCs/>
          <w:caps w:val="0"/>
        </w:rPr>
      </w:pPr>
      <w:r w:rsidRPr="00155974">
        <w:rPr>
          <w:bCs/>
          <w:caps w:val="0"/>
        </w:rPr>
        <w:t>Share-based Payment</w:t>
      </w:r>
      <w:r w:rsidRPr="00155974">
        <w:rPr>
          <w:bCs/>
          <w:caps w:val="0"/>
        </w:rPr>
        <w:tab/>
      </w:r>
      <w:r w:rsidR="00C767EC" w:rsidRPr="00155974">
        <w:rPr>
          <w:bCs/>
          <w:caps w:val="0"/>
        </w:rPr>
        <w:t>164</w:t>
      </w:r>
    </w:p>
    <w:p w14:paraId="173B8F4B" w14:textId="5228B0EA" w:rsidR="008F12B1" w:rsidRPr="00155974" w:rsidRDefault="00CB207D" w:rsidP="008B0EB1">
      <w:pPr>
        <w:pStyle w:val="ContentsLevel1"/>
        <w:ind w:right="566"/>
        <w:rPr>
          <w:bCs/>
          <w:caps w:val="0"/>
        </w:rPr>
      </w:pPr>
      <w:r w:rsidRPr="00155974">
        <w:rPr>
          <w:bCs/>
          <w:caps w:val="0"/>
        </w:rPr>
        <w:t>Impairment of Assets</w:t>
      </w:r>
      <w:r w:rsidRPr="00155974">
        <w:rPr>
          <w:bCs/>
          <w:caps w:val="0"/>
        </w:rPr>
        <w:tab/>
      </w:r>
      <w:r w:rsidR="006D4023" w:rsidRPr="00155974">
        <w:rPr>
          <w:bCs/>
          <w:caps w:val="0"/>
        </w:rPr>
        <w:t>169</w:t>
      </w:r>
    </w:p>
    <w:p w14:paraId="059072D3" w14:textId="75B4B72C" w:rsidR="00CB207D" w:rsidRPr="00155974" w:rsidRDefault="00A97DB0" w:rsidP="008B0EB1">
      <w:pPr>
        <w:pStyle w:val="ContentsLevel1"/>
        <w:ind w:right="566"/>
        <w:rPr>
          <w:bCs/>
          <w:caps w:val="0"/>
        </w:rPr>
      </w:pPr>
      <w:r w:rsidRPr="00155974">
        <w:rPr>
          <w:bCs/>
          <w:caps w:val="0"/>
        </w:rPr>
        <w:t>Employee Benefits</w:t>
      </w:r>
      <w:r w:rsidRPr="00155974">
        <w:rPr>
          <w:bCs/>
          <w:caps w:val="0"/>
        </w:rPr>
        <w:tab/>
      </w:r>
      <w:r w:rsidR="006277AF" w:rsidRPr="00155974">
        <w:rPr>
          <w:bCs/>
          <w:caps w:val="0"/>
        </w:rPr>
        <w:t>171</w:t>
      </w:r>
    </w:p>
    <w:p w14:paraId="3B3E06B6" w14:textId="366B0516" w:rsidR="00A97DB0" w:rsidRPr="00155974" w:rsidRDefault="00B37B67" w:rsidP="008B0EB1">
      <w:pPr>
        <w:pStyle w:val="ContentsLevel1"/>
        <w:ind w:right="566"/>
        <w:rPr>
          <w:bCs/>
          <w:caps w:val="0"/>
        </w:rPr>
      </w:pPr>
      <w:r w:rsidRPr="00155974">
        <w:rPr>
          <w:bCs/>
          <w:caps w:val="0"/>
        </w:rPr>
        <w:t>Income Tax</w:t>
      </w:r>
      <w:r w:rsidRPr="00155974">
        <w:rPr>
          <w:bCs/>
          <w:caps w:val="0"/>
        </w:rPr>
        <w:tab/>
      </w:r>
      <w:r w:rsidR="00781CD7" w:rsidRPr="00155974">
        <w:rPr>
          <w:bCs/>
          <w:caps w:val="0"/>
        </w:rPr>
        <w:t>17</w:t>
      </w:r>
      <w:r w:rsidR="00AE09D5" w:rsidRPr="00155974">
        <w:rPr>
          <w:bCs/>
          <w:caps w:val="0"/>
        </w:rPr>
        <w:t>6</w:t>
      </w:r>
    </w:p>
    <w:p w14:paraId="32732D79" w14:textId="4A745B41" w:rsidR="00B37B67" w:rsidRPr="00155974" w:rsidRDefault="00325BD0" w:rsidP="008B0EB1">
      <w:pPr>
        <w:pStyle w:val="ContentsLevel1"/>
        <w:ind w:right="566"/>
        <w:rPr>
          <w:bCs/>
          <w:caps w:val="0"/>
        </w:rPr>
      </w:pPr>
      <w:r w:rsidRPr="00155974">
        <w:rPr>
          <w:bCs/>
          <w:caps w:val="0"/>
        </w:rPr>
        <w:t>Foreign Currency Translation</w:t>
      </w:r>
      <w:r w:rsidRPr="00155974">
        <w:rPr>
          <w:bCs/>
          <w:caps w:val="0"/>
        </w:rPr>
        <w:tab/>
      </w:r>
      <w:r w:rsidR="00A40F41" w:rsidRPr="00155974">
        <w:rPr>
          <w:bCs/>
          <w:caps w:val="0"/>
        </w:rPr>
        <w:t>1</w:t>
      </w:r>
      <w:r w:rsidR="00AE09D5" w:rsidRPr="00155974">
        <w:rPr>
          <w:bCs/>
          <w:caps w:val="0"/>
        </w:rPr>
        <w:t>79</w:t>
      </w:r>
    </w:p>
    <w:p w14:paraId="505006F2" w14:textId="0CC37346" w:rsidR="00325BD0" w:rsidRPr="00155974" w:rsidRDefault="000F6D3A" w:rsidP="008B0EB1">
      <w:pPr>
        <w:pStyle w:val="ContentsLevel1"/>
        <w:ind w:right="566"/>
        <w:rPr>
          <w:bCs/>
          <w:caps w:val="0"/>
        </w:rPr>
      </w:pPr>
      <w:r w:rsidRPr="00155974">
        <w:rPr>
          <w:bCs/>
          <w:caps w:val="0"/>
        </w:rPr>
        <w:t>Hyperinflation</w:t>
      </w:r>
      <w:r w:rsidRPr="00155974">
        <w:rPr>
          <w:bCs/>
          <w:caps w:val="0"/>
        </w:rPr>
        <w:tab/>
      </w:r>
      <w:r w:rsidR="00524719" w:rsidRPr="00155974">
        <w:rPr>
          <w:bCs/>
          <w:caps w:val="0"/>
        </w:rPr>
        <w:t>18</w:t>
      </w:r>
      <w:r w:rsidR="00AE09D5" w:rsidRPr="00155974">
        <w:rPr>
          <w:bCs/>
          <w:caps w:val="0"/>
        </w:rPr>
        <w:t>3</w:t>
      </w:r>
    </w:p>
    <w:p w14:paraId="7A204EEC" w14:textId="04ECB05E" w:rsidR="000F6D3A" w:rsidRPr="00155974" w:rsidRDefault="003904EC" w:rsidP="008B0EB1">
      <w:pPr>
        <w:pStyle w:val="ContentsLevel1"/>
        <w:ind w:right="566"/>
        <w:rPr>
          <w:bCs/>
          <w:caps w:val="0"/>
        </w:rPr>
      </w:pPr>
      <w:r w:rsidRPr="00155974">
        <w:rPr>
          <w:bCs/>
          <w:caps w:val="0"/>
        </w:rPr>
        <w:t>Events after the End of the Reporting Period</w:t>
      </w:r>
      <w:r w:rsidRPr="00155974">
        <w:rPr>
          <w:bCs/>
          <w:caps w:val="0"/>
        </w:rPr>
        <w:tab/>
      </w:r>
      <w:r w:rsidR="00663544" w:rsidRPr="00155974">
        <w:rPr>
          <w:bCs/>
          <w:caps w:val="0"/>
        </w:rPr>
        <w:t>18</w:t>
      </w:r>
      <w:r w:rsidR="00AE09D5" w:rsidRPr="00155974">
        <w:rPr>
          <w:bCs/>
          <w:caps w:val="0"/>
        </w:rPr>
        <w:t>5</w:t>
      </w:r>
    </w:p>
    <w:p w14:paraId="4C526C70" w14:textId="5903463A" w:rsidR="003904EC" w:rsidRPr="00155974" w:rsidRDefault="002F28FB" w:rsidP="008B0EB1">
      <w:pPr>
        <w:pStyle w:val="ContentsLevel1"/>
        <w:ind w:right="566"/>
        <w:rPr>
          <w:bCs/>
          <w:caps w:val="0"/>
        </w:rPr>
      </w:pPr>
      <w:r w:rsidRPr="00155974">
        <w:rPr>
          <w:bCs/>
          <w:caps w:val="0"/>
        </w:rPr>
        <w:t>Related Party Disclosures</w:t>
      </w:r>
      <w:r w:rsidRPr="00155974">
        <w:rPr>
          <w:bCs/>
          <w:caps w:val="0"/>
        </w:rPr>
        <w:tab/>
      </w:r>
      <w:r w:rsidR="006E2F5A" w:rsidRPr="00155974">
        <w:rPr>
          <w:bCs/>
          <w:caps w:val="0"/>
        </w:rPr>
        <w:t>1</w:t>
      </w:r>
      <w:r w:rsidR="00AE09D5" w:rsidRPr="00155974">
        <w:rPr>
          <w:bCs/>
          <w:caps w:val="0"/>
        </w:rPr>
        <w:t>8</w:t>
      </w:r>
      <w:r w:rsidR="006E2F5A" w:rsidRPr="00155974">
        <w:rPr>
          <w:bCs/>
          <w:caps w:val="0"/>
        </w:rPr>
        <w:t>9</w:t>
      </w:r>
    </w:p>
    <w:p w14:paraId="110DCE5B" w14:textId="2F9EB336" w:rsidR="002F28FB" w:rsidRPr="00155974" w:rsidRDefault="00E70E8F" w:rsidP="008B0EB1">
      <w:pPr>
        <w:pStyle w:val="ContentsLevel1"/>
        <w:ind w:right="566"/>
        <w:rPr>
          <w:bCs/>
          <w:caps w:val="0"/>
        </w:rPr>
      </w:pPr>
      <w:r w:rsidRPr="00155974">
        <w:rPr>
          <w:bCs/>
          <w:caps w:val="0"/>
        </w:rPr>
        <w:t>Biological Assets</w:t>
      </w:r>
      <w:r w:rsidRPr="00155974">
        <w:rPr>
          <w:bCs/>
          <w:caps w:val="0"/>
        </w:rPr>
        <w:tab/>
      </w:r>
      <w:r w:rsidR="005B173E" w:rsidRPr="00155974">
        <w:rPr>
          <w:bCs/>
          <w:caps w:val="0"/>
        </w:rPr>
        <w:t>20</w:t>
      </w:r>
      <w:r w:rsidR="00AE09D5" w:rsidRPr="00155974">
        <w:rPr>
          <w:bCs/>
          <w:caps w:val="0"/>
        </w:rPr>
        <w:t>4</w:t>
      </w:r>
    </w:p>
    <w:p w14:paraId="678565A9" w14:textId="255613CD" w:rsidR="00E70E8F" w:rsidRPr="00155974" w:rsidRDefault="00993C72" w:rsidP="008B0EB1">
      <w:pPr>
        <w:pStyle w:val="ContentsLevel1"/>
        <w:ind w:right="566"/>
        <w:rPr>
          <w:bCs/>
          <w:caps w:val="0"/>
        </w:rPr>
      </w:pPr>
      <w:r w:rsidRPr="00155974">
        <w:rPr>
          <w:bCs/>
          <w:caps w:val="0"/>
        </w:rPr>
        <w:t>Transition to Australian Accounting Standards – Simplified Disclosures</w:t>
      </w:r>
      <w:r w:rsidRPr="00155974">
        <w:rPr>
          <w:bCs/>
          <w:caps w:val="0"/>
        </w:rPr>
        <w:tab/>
      </w:r>
      <w:r w:rsidR="002065F6" w:rsidRPr="00155974">
        <w:rPr>
          <w:bCs/>
          <w:caps w:val="0"/>
        </w:rPr>
        <w:t>20</w:t>
      </w:r>
      <w:r w:rsidR="0063053B" w:rsidRPr="00155974">
        <w:rPr>
          <w:bCs/>
          <w:caps w:val="0"/>
        </w:rPr>
        <w:t>6</w:t>
      </w:r>
    </w:p>
    <w:p w14:paraId="0C91480B" w14:textId="77455135" w:rsidR="00993C72" w:rsidRPr="00155974" w:rsidRDefault="00F13805" w:rsidP="008B0EB1">
      <w:pPr>
        <w:pStyle w:val="ContentsLevel1"/>
        <w:ind w:right="566"/>
        <w:rPr>
          <w:bCs/>
          <w:caps w:val="0"/>
        </w:rPr>
      </w:pPr>
      <w:r w:rsidRPr="00155974">
        <w:rPr>
          <w:bCs/>
          <w:caps w:val="0"/>
        </w:rPr>
        <w:t>Specific</w:t>
      </w:r>
      <w:r w:rsidR="00A56AF4" w:rsidRPr="00155974">
        <w:rPr>
          <w:bCs/>
          <w:caps w:val="0"/>
        </w:rPr>
        <w:t xml:space="preserve"> Disclosures for Not-</w:t>
      </w:r>
      <w:r w:rsidR="00FE2E39" w:rsidRPr="00155974">
        <w:rPr>
          <w:bCs/>
          <w:caps w:val="0"/>
        </w:rPr>
        <w:t>F</w:t>
      </w:r>
      <w:r w:rsidR="00A56AF4" w:rsidRPr="00155974">
        <w:rPr>
          <w:bCs/>
          <w:caps w:val="0"/>
        </w:rPr>
        <w:t xml:space="preserve">or-Profit Entities </w:t>
      </w:r>
      <w:r w:rsidR="00692B5F" w:rsidRPr="00155974">
        <w:rPr>
          <w:bCs/>
          <w:caps w:val="0"/>
        </w:rPr>
        <w:t xml:space="preserve">and Public Sector Entities </w:t>
      </w:r>
      <w:r w:rsidR="00FE2E39" w:rsidRPr="00155974">
        <w:rPr>
          <w:bCs/>
          <w:caps w:val="0"/>
        </w:rPr>
        <w:tab/>
      </w:r>
      <w:r w:rsidR="00EE7252" w:rsidRPr="00155974">
        <w:rPr>
          <w:bCs/>
          <w:caps w:val="0"/>
        </w:rPr>
        <w:t>21</w:t>
      </w:r>
      <w:r w:rsidR="000220B6" w:rsidRPr="00155974">
        <w:rPr>
          <w:bCs/>
          <w:caps w:val="0"/>
        </w:rPr>
        <w:t>4</w:t>
      </w:r>
    </w:p>
    <w:p w14:paraId="7D39EC9D" w14:textId="772D5407" w:rsidR="00EA4070" w:rsidRPr="00155974" w:rsidRDefault="00EA4070" w:rsidP="008B0EB1">
      <w:pPr>
        <w:pStyle w:val="ContentsLevel2"/>
      </w:pPr>
      <w:r w:rsidRPr="00155974">
        <w:t>COMMENCEMENT OF THE LEGISLATIVE INSTRUMENT</w:t>
      </w:r>
      <w:bookmarkStart w:id="15" w:name="ContentsMarker"/>
      <w:bookmarkEnd w:id="15"/>
    </w:p>
    <w:p w14:paraId="0BBF7CA2" w14:textId="7960E176" w:rsidR="00EA4070" w:rsidRPr="00155974" w:rsidRDefault="00EA4070" w:rsidP="008B0EB1">
      <w:pPr>
        <w:pStyle w:val="ContentsLevel1"/>
        <w:keepNext/>
        <w:ind w:right="567"/>
        <w:rPr>
          <w:b w:val="0"/>
        </w:rPr>
      </w:pPr>
      <w:r w:rsidRPr="00155974">
        <w:t>APPENDICES</w:t>
      </w:r>
    </w:p>
    <w:p w14:paraId="4A467766" w14:textId="7FD9D397" w:rsidR="003F2425" w:rsidRPr="00155974" w:rsidRDefault="000A3347" w:rsidP="008B0EB1">
      <w:pPr>
        <w:pStyle w:val="ContentsLevel2"/>
      </w:pPr>
      <w:r>
        <w:t xml:space="preserve">A  </w:t>
      </w:r>
      <w:r w:rsidR="003F2425" w:rsidRPr="00155974">
        <w:t>Defined terms</w:t>
      </w:r>
    </w:p>
    <w:p w14:paraId="4C1D13BD" w14:textId="35AA0270" w:rsidR="00EA4070" w:rsidRPr="00155974" w:rsidRDefault="000A3347" w:rsidP="008B0EB1">
      <w:pPr>
        <w:pStyle w:val="ContentsLevel2"/>
      </w:pPr>
      <w:r>
        <w:t>B</w:t>
      </w:r>
      <w:r w:rsidR="00A43A87">
        <w:t xml:space="preserve">  </w:t>
      </w:r>
      <w:r w:rsidR="00EA4070" w:rsidRPr="00155974">
        <w:t>Effective date</w:t>
      </w:r>
    </w:p>
    <w:p w14:paraId="522A1CBE" w14:textId="562C65AB" w:rsidR="001B387F" w:rsidRDefault="000A3347" w:rsidP="008B0EB1">
      <w:pPr>
        <w:pStyle w:val="ContentsLevel2"/>
      </w:pPr>
      <w:r>
        <w:lastRenderedPageBreak/>
        <w:t>C</w:t>
      </w:r>
      <w:r w:rsidR="00A43A87">
        <w:t xml:space="preserve">  </w:t>
      </w:r>
      <w:r w:rsidR="00EA4070" w:rsidRPr="00155974">
        <w:t>Amendments to other Standards</w:t>
      </w:r>
    </w:p>
    <w:p w14:paraId="38D3D256" w14:textId="77777777" w:rsidR="00D92F99" w:rsidRPr="00155974" w:rsidRDefault="00D92F99" w:rsidP="00D92F99">
      <w:pPr>
        <w:pStyle w:val="ContentsLevel2"/>
      </w:pPr>
      <w:r>
        <w:t>IMPLEMENTATION GUIDANCE</w:t>
      </w:r>
    </w:p>
    <w:p w14:paraId="1FE6E574" w14:textId="092EB270" w:rsidR="001B387F" w:rsidRPr="00155974" w:rsidRDefault="000A3347" w:rsidP="008B0EB1">
      <w:pPr>
        <w:pStyle w:val="ContentsLevel2"/>
      </w:pPr>
      <w:r>
        <w:t>COMPILATION DETAILS</w:t>
      </w:r>
    </w:p>
    <w:p w14:paraId="74E13163" w14:textId="77777777" w:rsidR="00FA06D8" w:rsidRDefault="00FA06D8" w:rsidP="008B0EB1">
      <w:pPr>
        <w:pStyle w:val="ContentsLevel1"/>
        <w:ind w:right="566"/>
      </w:pPr>
    </w:p>
    <w:p w14:paraId="2ACDFBEC" w14:textId="77777777" w:rsidR="00FA06D8" w:rsidRDefault="00FA06D8" w:rsidP="008B0EB1">
      <w:pPr>
        <w:pStyle w:val="ContentsLevel1"/>
        <w:ind w:right="566"/>
      </w:pPr>
    </w:p>
    <w:p w14:paraId="6888DC66" w14:textId="56F7BAFA" w:rsidR="00EA4070" w:rsidRDefault="00EA4070" w:rsidP="008B0EB1">
      <w:pPr>
        <w:pStyle w:val="ContentsLevel1"/>
        <w:ind w:right="566"/>
      </w:pPr>
      <w:r w:rsidRPr="00155974">
        <w:t>BASIS FOR CONCLUSIONS</w:t>
      </w:r>
    </w:p>
    <w:p w14:paraId="0DF8DFF6" w14:textId="0F3FAEB2" w:rsidR="00B76346" w:rsidRDefault="00B76346" w:rsidP="008B0EB1">
      <w:pPr>
        <w:pStyle w:val="ContentsLevel1"/>
        <w:ind w:right="566"/>
      </w:pPr>
      <w:r>
        <w:t>BASIS FOR CONCLUSIONS ON aasb 2020-7</w:t>
      </w:r>
    </w:p>
    <w:p w14:paraId="191D97B7" w14:textId="731BB501" w:rsidR="0050334B" w:rsidRPr="00155974" w:rsidRDefault="0050334B" w:rsidP="008B0EB1">
      <w:pPr>
        <w:pStyle w:val="ContentsLevel1"/>
        <w:ind w:right="566"/>
        <w:rPr>
          <w:b w:val="0"/>
        </w:rPr>
      </w:pPr>
      <w:r>
        <w:t>BASIS FOR CONCLUSIONS ON aasb 2020-9</w:t>
      </w:r>
    </w:p>
    <w:p w14:paraId="574CF692" w14:textId="6A22A8BD" w:rsidR="00E1475A" w:rsidRPr="00155974" w:rsidRDefault="00E1475A" w:rsidP="00E1475A">
      <w:pPr>
        <w:pStyle w:val="ContentsLevel1"/>
        <w:ind w:right="566"/>
        <w:rPr>
          <w:b w:val="0"/>
        </w:rPr>
      </w:pPr>
      <w:bookmarkStart w:id="16" w:name="TOCBottomStandard"/>
      <w:r>
        <w:t>BASIS FOR CONCLUSIONS ON aasb 2021-1</w:t>
      </w:r>
    </w:p>
    <w:p w14:paraId="3C63C292" w14:textId="13A1A007" w:rsidR="001762DD" w:rsidRDefault="001762DD" w:rsidP="00484FEE">
      <w:pPr>
        <w:pStyle w:val="ContentsLevel1"/>
      </w:pPr>
    </w:p>
    <w:p w14:paraId="3A84F4C6" w14:textId="77777777" w:rsidR="00484FEE" w:rsidRPr="00155974" w:rsidRDefault="00484FEE" w:rsidP="00484FEE">
      <w:pPr>
        <w:pStyle w:val="ContentsLevel1"/>
      </w:pPr>
    </w:p>
    <w:p w14:paraId="5F32D576" w14:textId="4195DAB4" w:rsidR="00EA4070" w:rsidRDefault="00EA4070" w:rsidP="00CA68DC">
      <w:pPr>
        <w:pBdr>
          <w:top w:val="single" w:sz="4" w:space="1" w:color="auto"/>
          <w:left w:val="single" w:sz="4" w:space="4" w:color="auto"/>
          <w:bottom w:val="single" w:sz="4" w:space="1" w:color="auto"/>
          <w:right w:val="single" w:sz="4" w:space="4" w:color="auto"/>
        </w:pBdr>
        <w:rPr>
          <w:i/>
        </w:rPr>
      </w:pPr>
      <w:r w:rsidRPr="00155974">
        <w:t xml:space="preserve">Australian Accounting Standard AASB </w:t>
      </w:r>
      <w:fldSimple w:instr=" REF \* charformat DocNo ">
        <w:r w:rsidR="00454A6B" w:rsidRPr="00454A6B">
          <w:t>1060</w:t>
        </w:r>
      </w:fldSimple>
      <w:r w:rsidR="00F84AF3">
        <w:t xml:space="preserve"> </w:t>
      </w:r>
      <w:r w:rsidR="00F84AF3">
        <w:rPr>
          <w:i/>
        </w:rPr>
        <w:fldChar w:fldCharType="begin"/>
      </w:r>
      <w:r w:rsidR="00F84AF3">
        <w:rPr>
          <w:i/>
        </w:rPr>
        <w:instrText xml:space="preserve"> REF \* charformat DocTitle </w:instrText>
      </w:r>
      <w:r w:rsidR="00F84AF3">
        <w:rPr>
          <w:i/>
        </w:rPr>
        <w:fldChar w:fldCharType="separate"/>
      </w:r>
      <w:r w:rsidR="00454A6B" w:rsidRPr="00454A6B">
        <w:rPr>
          <w:i/>
        </w:rPr>
        <w:t>General Purpose Financial Statements – Simplified Disclosures for For-Profit and Not-for-Profit Tier 2 Entities</w:t>
      </w:r>
      <w:r w:rsidR="00F84AF3">
        <w:rPr>
          <w:i/>
        </w:rPr>
        <w:fldChar w:fldCharType="end"/>
      </w:r>
      <w:r w:rsidR="00F84AF3">
        <w:t xml:space="preserve"> </w:t>
      </w:r>
      <w:r w:rsidR="000A3347" w:rsidRPr="000C726C">
        <w:rPr>
          <w:iCs/>
        </w:rPr>
        <w:t>(as amended)</w:t>
      </w:r>
      <w:r w:rsidRPr="00155974">
        <w:t xml:space="preserve"> is set out in paragraphs </w:t>
      </w:r>
      <w:r w:rsidR="00FD4143" w:rsidRPr="00155974">
        <w:t>1</w:t>
      </w:r>
      <w:r w:rsidR="00F52F8B" w:rsidRPr="00155974">
        <w:t xml:space="preserve"> </w:t>
      </w:r>
      <w:r w:rsidRPr="00155974">
        <w:t>–</w:t>
      </w:r>
      <w:r w:rsidR="00F52F8B" w:rsidRPr="00155974">
        <w:t xml:space="preserve"> </w:t>
      </w:r>
      <w:r w:rsidR="00DE6A12" w:rsidRPr="00155974">
        <w:t>24</w:t>
      </w:r>
      <w:r w:rsidR="00DE6A12">
        <w:t>3</w:t>
      </w:r>
      <w:r w:rsidR="00DE6A12" w:rsidRPr="00155974">
        <w:t xml:space="preserve"> </w:t>
      </w:r>
      <w:r w:rsidRPr="00155974">
        <w:t xml:space="preserve">and Appendices A – </w:t>
      </w:r>
      <w:r w:rsidRPr="00316260">
        <w:t>C</w:t>
      </w:r>
      <w:r w:rsidRPr="00155974">
        <w:t xml:space="preserve">. </w:t>
      </w:r>
      <w:r w:rsidR="008E037F">
        <w:t xml:space="preserve"> </w:t>
      </w:r>
      <w:r w:rsidRPr="00155974">
        <w:t xml:space="preserve">All the paragraphs have equal authority. </w:t>
      </w:r>
      <w:r w:rsidR="00613C1F">
        <w:t xml:space="preserve"> </w:t>
      </w:r>
      <w:r w:rsidR="00A9475D" w:rsidRPr="00120A9F">
        <w:rPr>
          <w:szCs w:val="19"/>
        </w:rPr>
        <w:t xml:space="preserve">Paragraphs in </w:t>
      </w:r>
      <w:r w:rsidR="00A9475D" w:rsidRPr="00120A9F">
        <w:rPr>
          <w:b/>
          <w:bCs/>
          <w:szCs w:val="19"/>
        </w:rPr>
        <w:t xml:space="preserve">bold type </w:t>
      </w:r>
      <w:r w:rsidR="00A9475D" w:rsidRPr="00120A9F">
        <w:rPr>
          <w:szCs w:val="19"/>
        </w:rPr>
        <w:t xml:space="preserve">state the main principles.  Terms defined in Appendix A are in </w:t>
      </w:r>
      <w:r w:rsidR="00A9475D" w:rsidRPr="00120A9F">
        <w:rPr>
          <w:i/>
          <w:szCs w:val="19"/>
        </w:rPr>
        <w:t>italics</w:t>
      </w:r>
      <w:r w:rsidR="00A9475D" w:rsidRPr="00120A9F">
        <w:rPr>
          <w:szCs w:val="19"/>
        </w:rPr>
        <w:t xml:space="preserve"> the first time they appear in the Standard.  </w:t>
      </w:r>
      <w:r w:rsidRPr="00155974">
        <w:t xml:space="preserve">AASB </w:t>
      </w:r>
      <w:fldSimple w:instr=" REF \* charformat DocNo ">
        <w:r w:rsidR="00454A6B" w:rsidRPr="00454A6B">
          <w:t>1060</w:t>
        </w:r>
      </w:fldSimple>
      <w:r w:rsidR="00626F24" w:rsidRPr="00155974">
        <w:t xml:space="preserve"> </w:t>
      </w:r>
      <w:r w:rsidRPr="00155974">
        <w:t xml:space="preserve">is to be read in the context of other Australian Accounting Standards, including AASB 1048 </w:t>
      </w:r>
      <w:r w:rsidRPr="00155974">
        <w:rPr>
          <w:i/>
        </w:rPr>
        <w:t>Interpretation of Standards</w:t>
      </w:r>
      <w:r w:rsidRPr="00155974">
        <w:t xml:space="preserve">, which identifies the Australian Accounting Interpretations, and AASB 1057 </w:t>
      </w:r>
      <w:r w:rsidRPr="00155974">
        <w:rPr>
          <w:i/>
        </w:rPr>
        <w:t>Application of Australian Accounting Standards.</w:t>
      </w:r>
      <w:r w:rsidR="00CC6CB9" w:rsidRPr="00155974">
        <w:rPr>
          <w:i/>
        </w:rPr>
        <w:t xml:space="preserve"> </w:t>
      </w:r>
      <w:r w:rsidR="00B95EF8">
        <w:rPr>
          <w:i/>
        </w:rPr>
        <w:t xml:space="preserve"> </w:t>
      </w:r>
      <w:r w:rsidR="00144BFD" w:rsidRPr="00155974">
        <w:rPr>
          <w:iCs/>
        </w:rPr>
        <w:t xml:space="preserve">In the absence of explicit guidance, AASB 108 </w:t>
      </w:r>
      <w:r w:rsidR="00144BFD" w:rsidRPr="00155974">
        <w:rPr>
          <w:i/>
        </w:rPr>
        <w:t>Accounting Policies, Changes in Accounting Estimates and Errors</w:t>
      </w:r>
      <w:r w:rsidR="00144BFD" w:rsidRPr="00155974">
        <w:rPr>
          <w:iCs/>
        </w:rPr>
        <w:t xml:space="preserve"> provides a basis for selecting and applying accounting policies</w:t>
      </w:r>
      <w:r w:rsidR="00144BFD" w:rsidRPr="00155974">
        <w:rPr>
          <w:i/>
        </w:rPr>
        <w:t>.</w:t>
      </w:r>
    </w:p>
    <w:p w14:paraId="2C07B8AC" w14:textId="77777777" w:rsidR="00F87AD4" w:rsidRDefault="00F87AD4" w:rsidP="00F87AD4">
      <w:pPr>
        <w:jc w:val="left"/>
        <w:rPr>
          <w:i/>
        </w:rPr>
      </w:pPr>
    </w:p>
    <w:p w14:paraId="3CD39769" w14:textId="77777777" w:rsidR="00F87AD4" w:rsidRDefault="00F87AD4" w:rsidP="00F87AD4">
      <w:pPr>
        <w:jc w:val="left"/>
        <w:rPr>
          <w:i/>
        </w:rPr>
      </w:pPr>
    </w:p>
    <w:p w14:paraId="724C8990" w14:textId="3F445DE9" w:rsidR="00F87AD4" w:rsidRPr="00155974" w:rsidRDefault="00F87AD4" w:rsidP="00F87AD4">
      <w:pPr>
        <w:jc w:val="left"/>
        <w:sectPr w:rsidR="00F87AD4" w:rsidRPr="00155974" w:rsidSect="000804D6">
          <w:headerReference w:type="even" r:id="rId16"/>
          <w:headerReference w:type="default" r:id="rId17"/>
          <w:footerReference w:type="default" r:id="rId18"/>
          <w:headerReference w:type="first" r:id="rId19"/>
          <w:pgSz w:w="11907" w:h="16840" w:code="9"/>
          <w:pgMar w:top="1440" w:right="1440" w:bottom="1440" w:left="1440" w:header="709" w:footer="709" w:gutter="0"/>
          <w:cols w:space="720"/>
          <w:docGrid w:linePitch="65"/>
        </w:sectPr>
      </w:pPr>
    </w:p>
    <w:bookmarkEnd w:id="16"/>
    <w:p w14:paraId="7F1C75B7" w14:textId="05BA2007" w:rsidR="00094E86" w:rsidRPr="00155974" w:rsidRDefault="00094E86" w:rsidP="00094E86">
      <w:pPr>
        <w:pStyle w:val="ConvSectionTitle"/>
      </w:pPr>
      <w:r w:rsidRPr="00155974">
        <w:lastRenderedPageBreak/>
        <w:t>Preface</w:t>
      </w:r>
    </w:p>
    <w:p w14:paraId="7F1C75B8" w14:textId="77777777" w:rsidR="00094E86" w:rsidRPr="00155974" w:rsidRDefault="00094E86" w:rsidP="00094E86">
      <w:pPr>
        <w:pStyle w:val="IASBSectionTitle1NonInd"/>
        <w:pBdr>
          <w:bottom w:val="single" w:sz="4" w:space="1" w:color="auto"/>
        </w:pBdr>
      </w:pPr>
      <w:r w:rsidRPr="00155974">
        <w:t>Introduction</w:t>
      </w:r>
    </w:p>
    <w:p w14:paraId="74640DEA" w14:textId="79288F2D" w:rsidR="00EA4070" w:rsidRPr="00155974" w:rsidRDefault="00EA4070" w:rsidP="00EA4070">
      <w:pPr>
        <w:pStyle w:val="NoNumPlain1"/>
      </w:pPr>
      <w:r w:rsidRPr="00155974">
        <w:t xml:space="preserve">The Australian Accounting Standards Board (AASB) develops, issues and maintains Australian Accounting Standards, including Interpretations. The AASB is </w:t>
      </w:r>
      <w:r w:rsidR="00F95105" w:rsidRPr="00155974">
        <w:t xml:space="preserve">an Australian Government </w:t>
      </w:r>
      <w:r w:rsidRPr="00155974">
        <w:t xml:space="preserve">entity under the </w:t>
      </w:r>
      <w:r w:rsidRPr="00155974">
        <w:rPr>
          <w:i/>
        </w:rPr>
        <w:t>Australian Securities and Investments Commission Act 2001</w:t>
      </w:r>
      <w:r w:rsidRPr="00155974">
        <w:t xml:space="preserve">. </w:t>
      </w:r>
    </w:p>
    <w:p w14:paraId="72E87E36" w14:textId="77777777" w:rsidR="00EA4070" w:rsidRPr="00155974" w:rsidRDefault="00EA4070" w:rsidP="00EA4070">
      <w:pPr>
        <w:pStyle w:val="NoNumPlain1"/>
      </w:pPr>
      <w:r w:rsidRPr="00155974">
        <w:t xml:space="preserve">AASB 1057 </w:t>
      </w:r>
      <w:r w:rsidRPr="00155974">
        <w:rPr>
          <w:i/>
        </w:rPr>
        <w:t>Application of Australian Accounting Standards</w:t>
      </w:r>
      <w:r w:rsidRPr="00155974">
        <w:t xml:space="preserve"> identifies the application of Standards to entities and financial statements. AASB 1053 </w:t>
      </w:r>
      <w:r w:rsidRPr="00155974">
        <w:rPr>
          <w:i/>
        </w:rPr>
        <w:t>Application of Tiers of Australian Accounting Standards</w:t>
      </w:r>
      <w:r w:rsidRPr="00155974">
        <w:t xml:space="preserve"> establishes a differential reporting framework consisting of two tiers of reporting requirements for preparing general purpose financial statements.</w:t>
      </w:r>
    </w:p>
    <w:p w14:paraId="72765982" w14:textId="50BCBC8D" w:rsidR="00EA4070" w:rsidRPr="00155974" w:rsidRDefault="00EA4070" w:rsidP="00EA4070">
      <w:pPr>
        <w:pStyle w:val="IASBSectionTitle1NonInd"/>
        <w:spacing w:before="240"/>
      </w:pPr>
      <w:r w:rsidRPr="00155974">
        <w:t>Main features of this Standard</w:t>
      </w:r>
    </w:p>
    <w:p w14:paraId="4154B335" w14:textId="77777777" w:rsidR="00EA4070" w:rsidRPr="00155974" w:rsidRDefault="00EA4070" w:rsidP="00EA4070">
      <w:pPr>
        <w:pStyle w:val="IASBSectionTitle2Ind"/>
      </w:pPr>
      <w:r w:rsidRPr="00155974">
        <w:t>Main requirements</w:t>
      </w:r>
    </w:p>
    <w:p w14:paraId="696BD025" w14:textId="033345E2" w:rsidR="00EA4070" w:rsidRPr="00155974" w:rsidRDefault="00EA4070" w:rsidP="000C6071">
      <w:pPr>
        <w:pStyle w:val="NoNumPlain1"/>
      </w:pPr>
      <w:r w:rsidRPr="00155974">
        <w:t xml:space="preserve">This Standard sets out a new, separate disclosure </w:t>
      </w:r>
      <w:r w:rsidR="00D61FAB" w:rsidRPr="00155974">
        <w:t>Standard</w:t>
      </w:r>
      <w:r w:rsidRPr="00155974">
        <w:t xml:space="preserve"> to be applied by all entities that are reporting under Tier 2 of the Differential Reporting Framework in AASB 1053</w:t>
      </w:r>
      <w:r w:rsidRPr="00155974">
        <w:rPr>
          <w:i/>
        </w:rPr>
        <w:t xml:space="preserve">. </w:t>
      </w:r>
      <w:r w:rsidRPr="00155974">
        <w:t xml:space="preserve">This Standard has been developed based on a new methodology and principles to be used in determining the Tier 2 disclosures that are necessary for meeting user needs, to replace the current Reduced Disclosure Requirements (RDR) framework. The methodology and principles applied are outlined in the Basis for Conclusions to this </w:t>
      </w:r>
      <w:r w:rsidR="00B42AD4" w:rsidRPr="00155974">
        <w:t>Standard</w:t>
      </w:r>
      <w:r w:rsidRPr="00155974">
        <w:t xml:space="preserve">. </w:t>
      </w:r>
    </w:p>
    <w:p w14:paraId="681CF7C0" w14:textId="610CA4F9" w:rsidR="00EA4070" w:rsidRPr="00155974" w:rsidRDefault="00EA4070" w:rsidP="000C6071">
      <w:pPr>
        <w:spacing w:after="100"/>
        <w:jc w:val="left"/>
      </w:pPr>
      <w:r w:rsidRPr="00155974">
        <w:t>This Standard does not change</w:t>
      </w:r>
      <w:r w:rsidR="002D64DE" w:rsidRPr="00155974">
        <w:t>:</w:t>
      </w:r>
      <w:r w:rsidRPr="00155974">
        <w:t xml:space="preserve"> </w:t>
      </w:r>
    </w:p>
    <w:p w14:paraId="3A597890" w14:textId="77777777" w:rsidR="00EA4070" w:rsidRPr="00155974" w:rsidRDefault="00EA4070" w:rsidP="000804D6">
      <w:pPr>
        <w:pStyle w:val="ListParagraph"/>
        <w:numPr>
          <w:ilvl w:val="0"/>
          <w:numId w:val="85"/>
        </w:numPr>
        <w:ind w:left="793" w:hanging="510"/>
      </w:pPr>
      <w:r w:rsidRPr="00155974">
        <w:t xml:space="preserve">which entities are permitted to apply Tier 2 reporting requirements; and </w:t>
      </w:r>
    </w:p>
    <w:p w14:paraId="1572F0CD" w14:textId="77777777" w:rsidR="00EA4070" w:rsidRPr="00155974" w:rsidRDefault="00EA4070" w:rsidP="000804D6">
      <w:pPr>
        <w:pStyle w:val="ListParagraph"/>
        <w:numPr>
          <w:ilvl w:val="0"/>
          <w:numId w:val="85"/>
        </w:numPr>
        <w:ind w:left="793" w:hanging="510"/>
      </w:pPr>
      <w:r w:rsidRPr="00155974">
        <w:t xml:space="preserve">the recognition and measurement requirements of Tier 2, which are the same as for Tier 1. </w:t>
      </w:r>
    </w:p>
    <w:p w14:paraId="79C38C00" w14:textId="6783F3B2" w:rsidR="00AB36C8" w:rsidRPr="00155974" w:rsidRDefault="00EA4070" w:rsidP="000C6071">
      <w:pPr>
        <w:spacing w:after="100"/>
      </w:pPr>
      <w:r w:rsidRPr="00155974">
        <w:t xml:space="preserve">The disclosures that are relevant to Tier 2 entities are set out in this separate </w:t>
      </w:r>
      <w:r w:rsidR="00D61FAB" w:rsidRPr="00155974">
        <w:t>Standard</w:t>
      </w:r>
      <w:r w:rsidR="002D64DE" w:rsidRPr="00155974">
        <w:t>.</w:t>
      </w:r>
      <w:r w:rsidRPr="00155974">
        <w:t xml:space="preserve"> </w:t>
      </w:r>
      <w:r w:rsidR="002D64DE" w:rsidRPr="00155974">
        <w:t>Disc</w:t>
      </w:r>
      <w:r w:rsidR="00B42AF2" w:rsidRPr="00155974">
        <w:t>l</w:t>
      </w:r>
      <w:r w:rsidR="002D64DE" w:rsidRPr="00155974">
        <w:t>osure requirements</w:t>
      </w:r>
      <w:r w:rsidRPr="00155974">
        <w:t xml:space="preserve"> </w:t>
      </w:r>
      <w:r w:rsidR="002D64DE" w:rsidRPr="00155974">
        <w:t xml:space="preserve">set out </w:t>
      </w:r>
      <w:r w:rsidRPr="00155974">
        <w:t xml:space="preserve">in the body or appendix of </w:t>
      </w:r>
      <w:r w:rsidR="002D64DE" w:rsidRPr="00155974">
        <w:t xml:space="preserve">other </w:t>
      </w:r>
      <w:r w:rsidRPr="00155974">
        <w:t>Standard</w:t>
      </w:r>
      <w:r w:rsidR="002D64DE" w:rsidRPr="00155974">
        <w:t>s will no longer be shaded or unshaded in relation to Tier 2 requirements</w:t>
      </w:r>
      <w:r w:rsidRPr="00155974">
        <w:t>.</w:t>
      </w:r>
    </w:p>
    <w:p w14:paraId="5A53062B" w14:textId="3234EBD6" w:rsidR="00275E6D" w:rsidRPr="00155974" w:rsidRDefault="00EA4070" w:rsidP="000C6071">
      <w:pPr>
        <w:pStyle w:val="NoNumPlain1"/>
      </w:pPr>
      <w:r w:rsidRPr="00155974">
        <w:t xml:space="preserve">While entities that comply with this Standard need to apply the recognition and measurement requirements </w:t>
      </w:r>
      <w:r w:rsidR="002D64DE" w:rsidRPr="00155974">
        <w:t xml:space="preserve">in </w:t>
      </w:r>
      <w:r w:rsidRPr="00155974">
        <w:t xml:space="preserve">other Standards, they </w:t>
      </w:r>
      <w:r w:rsidR="002D64DE" w:rsidRPr="00155974">
        <w:t>are</w:t>
      </w:r>
      <w:r w:rsidRPr="00155974">
        <w:t xml:space="preserve"> exempt from the disclosure requirements in specified paragraphs in other </w:t>
      </w:r>
      <w:r w:rsidR="00D61FAB" w:rsidRPr="00155974">
        <w:t>Standard</w:t>
      </w:r>
      <w:r w:rsidRPr="00155974">
        <w:t>s</w:t>
      </w:r>
      <w:r w:rsidR="009A3FAC" w:rsidRPr="00155974">
        <w:t>.</w:t>
      </w:r>
      <w:r w:rsidRPr="00155974">
        <w:t xml:space="preserve"> </w:t>
      </w:r>
      <w:r w:rsidR="009A3FAC" w:rsidRPr="00155974">
        <w:t>Tier 2 entities are also not required to comply with other</w:t>
      </w:r>
      <w:r w:rsidRPr="00155974">
        <w:t xml:space="preserve"> </w:t>
      </w:r>
      <w:r w:rsidR="00D61FAB" w:rsidRPr="00155974">
        <w:t>Standard</w:t>
      </w:r>
      <w:r w:rsidRPr="00155974">
        <w:t xml:space="preserve">s </w:t>
      </w:r>
      <w:r w:rsidR="00D22A14" w:rsidRPr="00155974">
        <w:t xml:space="preserve">that </w:t>
      </w:r>
      <w:r w:rsidRPr="00155974">
        <w:t xml:space="preserve">deal only with presentation and disclosure. Consequential amendments to the relevant </w:t>
      </w:r>
      <w:r w:rsidR="00D61FAB" w:rsidRPr="00155974">
        <w:t>Standard</w:t>
      </w:r>
      <w:r w:rsidRPr="00155974">
        <w:t xml:space="preserve">s </w:t>
      </w:r>
      <w:r w:rsidR="007E3C82" w:rsidRPr="00155974">
        <w:t xml:space="preserve">are </w:t>
      </w:r>
      <w:r w:rsidRPr="00155974">
        <w:t xml:space="preserve">set out in Appendix </w:t>
      </w:r>
      <w:r w:rsidR="00405F7A" w:rsidRPr="00155974">
        <w:t>C</w:t>
      </w:r>
      <w:r w:rsidRPr="00155974">
        <w:t xml:space="preserve">. </w:t>
      </w:r>
    </w:p>
    <w:p w14:paraId="3F965BB3" w14:textId="4558D3AA" w:rsidR="00D835CB" w:rsidRDefault="002A6029" w:rsidP="000C6071">
      <w:pPr>
        <w:spacing w:after="100"/>
      </w:pPr>
      <w:r w:rsidRPr="00155974">
        <w:t xml:space="preserve">While this </w:t>
      </w:r>
      <w:r w:rsidR="00D61FAB" w:rsidRPr="00155974">
        <w:t>Standard</w:t>
      </w:r>
      <w:r w:rsidRPr="00155974">
        <w:t xml:space="preserve"> include</w:t>
      </w:r>
      <w:r w:rsidR="00D8503E" w:rsidRPr="00155974">
        <w:t>s</w:t>
      </w:r>
      <w:r w:rsidRPr="00155974">
        <w:t xml:space="preserve"> certain presentation requirements, these </w:t>
      </w:r>
      <w:r w:rsidR="002D64DE" w:rsidRPr="00155974">
        <w:t>do</w:t>
      </w:r>
      <w:r w:rsidRPr="00155974">
        <w:t xml:space="preserve"> not result in presentations or classifications that are different to those required for Tier 1 entities</w:t>
      </w:r>
      <w:r w:rsidR="00D05663" w:rsidRPr="00155974">
        <w:t xml:space="preserve">. The only </w:t>
      </w:r>
      <w:r w:rsidRPr="00155974">
        <w:t>exception</w:t>
      </w:r>
      <w:r w:rsidR="00D835CB">
        <w:t>s are:</w:t>
      </w:r>
    </w:p>
    <w:p w14:paraId="171CF7AB" w14:textId="42DA27D0" w:rsidR="0016798B" w:rsidRDefault="006E58B0" w:rsidP="004B0ADC">
      <w:pPr>
        <w:pStyle w:val="ListParagraph"/>
        <w:numPr>
          <w:ilvl w:val="0"/>
          <w:numId w:val="85"/>
        </w:numPr>
        <w:ind w:left="794" w:hanging="510"/>
        <w:jc w:val="both"/>
      </w:pPr>
      <w:r>
        <w:t xml:space="preserve">the </w:t>
      </w:r>
      <w:r w:rsidR="00D835CB" w:rsidRPr="00155974">
        <w:t>option not to include a separate statement of changes in equity in certain circumstances, as set out in paragraph 26 of th</w:t>
      </w:r>
      <w:r w:rsidR="00A51635">
        <w:t>is</w:t>
      </w:r>
      <w:r w:rsidR="00D835CB" w:rsidRPr="00155974">
        <w:t xml:space="preserve"> Standard</w:t>
      </w:r>
      <w:r w:rsidR="00D835CB">
        <w:t>;</w:t>
      </w:r>
    </w:p>
    <w:p w14:paraId="31F20AAD" w14:textId="116C4B99" w:rsidR="00E91988" w:rsidRDefault="008C5BAE" w:rsidP="004B0ADC">
      <w:pPr>
        <w:pStyle w:val="ListParagraph"/>
        <w:numPr>
          <w:ilvl w:val="0"/>
          <w:numId w:val="85"/>
        </w:numPr>
        <w:ind w:left="794" w:hanging="510"/>
        <w:jc w:val="both"/>
      </w:pPr>
      <w:r w:rsidRPr="008C5BAE">
        <w:t>Tier 2 entities not being required to present an opening Australian-Accounting-Standards statement of financial position at the date of transition to Australian Accounting Standards</w:t>
      </w:r>
      <w:r w:rsidR="00B611D8">
        <w:t>; and</w:t>
      </w:r>
    </w:p>
    <w:p w14:paraId="587DC6AF" w14:textId="029CD99E" w:rsidR="002A6029" w:rsidRDefault="00962160" w:rsidP="004B0ADC">
      <w:pPr>
        <w:pStyle w:val="ListParagraph"/>
        <w:numPr>
          <w:ilvl w:val="0"/>
          <w:numId w:val="85"/>
        </w:numPr>
        <w:ind w:left="794" w:hanging="510"/>
        <w:jc w:val="both"/>
      </w:pPr>
      <w:r>
        <w:t xml:space="preserve">the </w:t>
      </w:r>
      <w:r w:rsidR="00A44575">
        <w:t xml:space="preserve">early </w:t>
      </w:r>
      <w:r>
        <w:t>tra</w:t>
      </w:r>
      <w:r w:rsidR="003F18C5">
        <w:t xml:space="preserve">nsition options for both for-profit and </w:t>
      </w:r>
      <w:r w:rsidR="00D835CB">
        <w:t xml:space="preserve">not-for-profit entities </w:t>
      </w:r>
      <w:r w:rsidR="003F18C5">
        <w:t>set out in Appendix B</w:t>
      </w:r>
      <w:r w:rsidR="7AEED2F9">
        <w:t xml:space="preserve"> of </w:t>
      </w:r>
      <w:r w:rsidR="00D835CB">
        <w:t>th</w:t>
      </w:r>
      <w:r w:rsidR="000D6C8D">
        <w:t>is</w:t>
      </w:r>
      <w:r w:rsidR="00D835CB">
        <w:t xml:space="preserve"> Standard</w:t>
      </w:r>
      <w:r w:rsidR="003F18C5">
        <w:t>.</w:t>
      </w:r>
    </w:p>
    <w:p w14:paraId="172CBA1A" w14:textId="77777777" w:rsidR="00EA4070" w:rsidRPr="00155974" w:rsidRDefault="00EA4070" w:rsidP="00EA4070">
      <w:pPr>
        <w:pStyle w:val="IASBSectionTitle2Ind"/>
      </w:pPr>
      <w:r w:rsidRPr="00155974">
        <w:t>Application date</w:t>
      </w:r>
    </w:p>
    <w:p w14:paraId="63ECB4C4" w14:textId="3A515D4E" w:rsidR="00EA4070" w:rsidRDefault="00EA4070" w:rsidP="00027914">
      <w:pPr>
        <w:pStyle w:val="IASBNormal"/>
      </w:pPr>
      <w:r w:rsidRPr="00155974">
        <w:t xml:space="preserve">This Standard applies to annual periods beginning on or after 1 July </w:t>
      </w:r>
      <w:r w:rsidR="003C5186" w:rsidRPr="00155974">
        <w:t>2021</w:t>
      </w:r>
      <w:r w:rsidRPr="00155974">
        <w:t>, with earlier application permitted.</w:t>
      </w:r>
    </w:p>
    <w:p w14:paraId="5E7556C5" w14:textId="77777777" w:rsidR="00797D0A" w:rsidRPr="00155974" w:rsidRDefault="00797D0A" w:rsidP="00797D0A">
      <w:pPr>
        <w:pStyle w:val="IASBNormal"/>
        <w:spacing w:after="0"/>
      </w:pPr>
    </w:p>
    <w:p w14:paraId="7F1C75CD" w14:textId="77777777" w:rsidR="00773F4F" w:rsidRPr="00155974" w:rsidRDefault="00773F4F" w:rsidP="00797D0A">
      <w:pPr>
        <w:pStyle w:val="IASBNormal"/>
        <w:spacing w:after="0"/>
        <w:sectPr w:rsidR="00773F4F" w:rsidRPr="00155974" w:rsidSect="000804D6">
          <w:footerReference w:type="default" r:id="rId20"/>
          <w:pgSz w:w="11907" w:h="16839" w:code="9"/>
          <w:pgMar w:top="1440" w:right="1440" w:bottom="1440" w:left="1440" w:header="709" w:footer="709" w:gutter="0"/>
          <w:cols w:space="708"/>
          <w:docGrid w:linePitch="360"/>
        </w:sectPr>
      </w:pPr>
    </w:p>
    <w:p w14:paraId="29E18562" w14:textId="7A3BA5C8" w:rsidR="0066325B" w:rsidRDefault="0066325B" w:rsidP="00ED5934">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fldSimple w:instr=" REF \* charformat DocNo ">
        <w:r w:rsidR="00454A6B" w:rsidRPr="00454A6B">
          <w:t>1060</w:t>
        </w:r>
      </w:fldSimple>
    </w:p>
    <w:p w14:paraId="4BC6D7F8" w14:textId="592ED3CE" w:rsidR="0066325B" w:rsidRDefault="0066325B" w:rsidP="00ED5934">
      <w:pPr>
        <w:pStyle w:val="IASBNormal"/>
        <w:pBdr>
          <w:top w:val="single" w:sz="4" w:space="1" w:color="auto"/>
          <w:left w:val="single" w:sz="4" w:space="4" w:color="auto"/>
          <w:bottom w:val="single" w:sz="4" w:space="5" w:color="auto"/>
          <w:right w:val="single" w:sz="4" w:space="4" w:color="auto"/>
        </w:pBdr>
      </w:pPr>
      <w:r>
        <w:t xml:space="preserve">The Australian Accounting Standards Board made Accounting Standard </w:t>
      </w:r>
      <w:r w:rsidR="00B42E1A" w:rsidRPr="000D35D8">
        <w:t>AASB</w:t>
      </w:r>
      <w:r w:rsidR="00F40D77">
        <w:t xml:space="preserve"> </w:t>
      </w:r>
      <w:fldSimple w:instr=" REF \* charformat DocNo ">
        <w:r w:rsidR="00454A6B" w:rsidRPr="00454A6B">
          <w:t>1060</w:t>
        </w:r>
      </w:fldSimple>
      <w:r w:rsidR="00B42E1A">
        <w:t xml:space="preserve"> </w:t>
      </w:r>
      <w:r w:rsidR="00084DB3">
        <w:rPr>
          <w:i/>
        </w:rPr>
        <w:fldChar w:fldCharType="begin"/>
      </w:r>
      <w:r w:rsidR="00084DB3">
        <w:rPr>
          <w:i/>
        </w:rPr>
        <w:instrText xml:space="preserve"> REF \* charformat DocTitle </w:instrText>
      </w:r>
      <w:r w:rsidR="00084DB3">
        <w:rPr>
          <w:i/>
        </w:rPr>
        <w:fldChar w:fldCharType="separate"/>
      </w:r>
      <w:r w:rsidR="00454A6B" w:rsidRPr="00454A6B">
        <w:rPr>
          <w:i/>
        </w:rPr>
        <w:t>General Purpose Financial Statements – Simplified Disclosures for For-Profit and Not-for-Profit Tier 2 Entities</w:t>
      </w:r>
      <w:r w:rsidR="00084DB3">
        <w:rPr>
          <w:i/>
        </w:rPr>
        <w:fldChar w:fldCharType="end"/>
      </w:r>
      <w:r w:rsidR="00B42E1A">
        <w:rPr>
          <w:i/>
        </w:rPr>
        <w:t xml:space="preserve"> </w:t>
      </w:r>
      <w:r w:rsidR="00B42E1A" w:rsidRPr="000D35D8">
        <w:t xml:space="preserve">under </w:t>
      </w:r>
      <w:r>
        <w:t>section</w:t>
      </w:r>
      <w:r w:rsidR="00F40D77">
        <w:t xml:space="preserve"> </w:t>
      </w:r>
      <w:r>
        <w:t xml:space="preserve">334 of the </w:t>
      </w:r>
      <w:r w:rsidRPr="000F61F2">
        <w:rPr>
          <w:i/>
          <w:iCs/>
        </w:rPr>
        <w:t>Corporations Act 2001</w:t>
      </w:r>
      <w:r>
        <w:t xml:space="preserve"> </w:t>
      </w:r>
      <w:r w:rsidRPr="000D35D8">
        <w:rPr>
          <w:iCs/>
        </w:rPr>
        <w:t xml:space="preserve">on </w:t>
      </w:r>
      <w:bookmarkStart w:id="17" w:name="MadeDate"/>
      <w:r w:rsidR="003576DA">
        <w:rPr>
          <w:iCs/>
        </w:rPr>
        <w:t>6 March 2020</w:t>
      </w:r>
      <w:bookmarkEnd w:id="17"/>
      <w:r>
        <w:t>.</w:t>
      </w:r>
    </w:p>
    <w:p w14:paraId="265816FE" w14:textId="13D42274" w:rsidR="0066325B" w:rsidRDefault="0066325B" w:rsidP="00ED5934">
      <w:pPr>
        <w:pStyle w:val="IASBNormal"/>
        <w:pBdr>
          <w:top w:val="single" w:sz="4" w:space="1" w:color="auto"/>
          <w:left w:val="single" w:sz="4" w:space="4" w:color="auto"/>
          <w:bottom w:val="single" w:sz="4" w:space="5" w:color="auto"/>
          <w:right w:val="single" w:sz="4" w:space="4" w:color="auto"/>
        </w:pBdr>
      </w:pPr>
      <w:r w:rsidRPr="000D35D8">
        <w:t>This compiled version of AASB</w:t>
      </w:r>
      <w:r w:rsidR="00F40D77">
        <w:t xml:space="preserve"> </w:t>
      </w:r>
      <w:r>
        <w:t xml:space="preserve">1060 </w:t>
      </w:r>
      <w:r w:rsidRPr="000D35D8">
        <w:t xml:space="preserve">applies to annual periods </w:t>
      </w:r>
      <w:fldSimple w:instr=" REF ApplyTextCompile \* charformat  \* MERGEFORMAT " w:fldLock="1">
        <w:r w:rsidRPr="000D35D8">
          <w:t>beginning</w:t>
        </w:r>
      </w:fldSimple>
      <w:r w:rsidRPr="000D35D8">
        <w:t xml:space="preserve"> on or after</w:t>
      </w:r>
      <w:r w:rsidR="00312EBB">
        <w:t xml:space="preserve"> </w:t>
      </w:r>
      <w:r w:rsidR="00324F3A" w:rsidRPr="007E7CEE">
        <w:rPr>
          <w:szCs w:val="19"/>
        </w:rPr>
        <w:fldChar w:fldCharType="begin"/>
      </w:r>
      <w:r w:rsidR="00324F3A" w:rsidRPr="007E7CEE">
        <w:rPr>
          <w:szCs w:val="19"/>
        </w:rPr>
        <w:instrText xml:space="preserve"> REF \* charformat ApplyDateCompile  \* MERGEFORMAT </w:instrText>
      </w:r>
      <w:r w:rsidR="00324F3A" w:rsidRPr="007E7CEE">
        <w:rPr>
          <w:szCs w:val="19"/>
        </w:rPr>
        <w:fldChar w:fldCharType="separate"/>
      </w:r>
      <w:r w:rsidR="00454A6B" w:rsidRPr="00454A6B">
        <w:rPr>
          <w:szCs w:val="19"/>
        </w:rPr>
        <w:t>1 July 2021</w:t>
      </w:r>
      <w:r w:rsidR="00324F3A" w:rsidRPr="007E7CEE">
        <w:rPr>
          <w:szCs w:val="19"/>
        </w:rPr>
        <w:fldChar w:fldCharType="end"/>
      </w:r>
      <w:r w:rsidR="00312EBB" w:rsidRPr="00F2266F" w:rsidDel="003576DA">
        <w:fldChar w:fldCharType="begin"/>
      </w:r>
      <w:r w:rsidR="00312EBB" w:rsidRPr="00F2266F" w:rsidDel="003576DA">
        <w:fldChar w:fldCharType="end"/>
      </w:r>
      <w:r w:rsidDel="00DA09C1">
        <w:t>.</w:t>
      </w:r>
      <w:r>
        <w:t xml:space="preserve">  </w:t>
      </w:r>
      <w:r w:rsidRPr="000D35D8">
        <w:t xml:space="preserve">It incorporates relevant amendments contained in other AASB Standards made by the AASB up to and including </w:t>
      </w:r>
      <w:fldSimple w:instr=" REF \* charformat CompileDate  \* MERGEFORMAT ">
        <w:r w:rsidR="00454A6B" w:rsidRPr="00454A6B">
          <w:rPr>
            <w:lang w:val="en-US"/>
          </w:rPr>
          <w:t>29 March 2021</w:t>
        </w:r>
      </w:fldSimple>
      <w:r w:rsidRPr="00F912AE">
        <w:t xml:space="preserve"> </w:t>
      </w:r>
      <w:r w:rsidRPr="000D35D8">
        <w:t>(see Compilation Details).</w:t>
      </w:r>
    </w:p>
    <w:p w14:paraId="5C423504" w14:textId="4211D3A9" w:rsidR="00EA4070" w:rsidRPr="007B76B8" w:rsidRDefault="00EA4070" w:rsidP="00961943">
      <w:pPr>
        <w:pStyle w:val="ConvStandardTitle1"/>
        <w:spacing w:after="200"/>
        <w:jc w:val="left"/>
      </w:pPr>
      <w:r w:rsidRPr="00155974">
        <w:t xml:space="preserve">Accounting Standard AASB </w:t>
      </w:r>
      <w:fldSimple w:instr=" REF \* charformat DocNo ">
        <w:r w:rsidR="00454A6B" w:rsidRPr="00454A6B">
          <w:t>1060</w:t>
        </w:r>
      </w:fldSimple>
      <w:r w:rsidR="00D11BB0">
        <w:br/>
      </w:r>
      <w:fldSimple w:instr=" REF \* charformat DocTitle  \* MERGEFORMAT ">
        <w:r w:rsidR="00454A6B" w:rsidRPr="000A3347">
          <w:t>General Purpose Financial Statements – Simplified Disclosures for For-Profit and Not-for-Profit Tier 2 Entities</w:t>
        </w:r>
      </w:fldSimple>
    </w:p>
    <w:p w14:paraId="72F8B9AF" w14:textId="77777777" w:rsidR="00EA4070" w:rsidRPr="00155974" w:rsidRDefault="00EA4070" w:rsidP="008D18C4">
      <w:pPr>
        <w:pStyle w:val="Heading2"/>
      </w:pPr>
      <w:r w:rsidRPr="00155974">
        <w:t>Objective</w:t>
      </w:r>
    </w:p>
    <w:p w14:paraId="4AF8699B" w14:textId="78718B1F" w:rsidR="00EA4070" w:rsidRPr="00155974" w:rsidRDefault="00315838" w:rsidP="000E61D3">
      <w:pPr>
        <w:pStyle w:val="NumPlain1"/>
        <w:numPr>
          <w:ilvl w:val="0"/>
          <w:numId w:val="84"/>
        </w:numPr>
        <w:ind w:left="782" w:hanging="782"/>
        <w:rPr>
          <w:i/>
        </w:rPr>
      </w:pPr>
      <w:r w:rsidRPr="00155974">
        <w:t>This Standard</w:t>
      </w:r>
      <w:r w:rsidR="00EA4070" w:rsidRPr="00155974">
        <w:t xml:space="preserve"> establishes disclosure requirements applicable to entities that are preparing general purpose financial statements and </w:t>
      </w:r>
      <w:r w:rsidR="00C74821" w:rsidRPr="00155974">
        <w:t>elect</w:t>
      </w:r>
      <w:r w:rsidR="00EA4070" w:rsidRPr="00155974">
        <w:t xml:space="preserve"> to apply the Tier 2 reporting requirements under AASB 1053 </w:t>
      </w:r>
      <w:r w:rsidR="00EA4070" w:rsidRPr="00155974">
        <w:rPr>
          <w:i/>
        </w:rPr>
        <w:t>Application of Tiers of Australian Accounting Standards</w:t>
      </w:r>
      <w:r w:rsidR="00EA4070" w:rsidRPr="00CF1F77">
        <w:rPr>
          <w:i/>
        </w:rPr>
        <w:t>.</w:t>
      </w:r>
      <w:r w:rsidR="00EA4070" w:rsidRPr="00155974">
        <w:rPr>
          <w:i/>
        </w:rPr>
        <w:t xml:space="preserve"> </w:t>
      </w:r>
      <w:bookmarkStart w:id="18" w:name="_Ref528608690"/>
    </w:p>
    <w:p w14:paraId="5D56AE71" w14:textId="55372D62" w:rsidR="007F2A3B" w:rsidRPr="00155974" w:rsidRDefault="00432977" w:rsidP="000E61D3">
      <w:pPr>
        <w:pStyle w:val="NumPlain1"/>
        <w:numPr>
          <w:ilvl w:val="0"/>
          <w:numId w:val="84"/>
        </w:numPr>
        <w:ind w:left="782" w:hanging="782"/>
      </w:pPr>
      <w:r w:rsidRPr="00155974">
        <w:t xml:space="preserve">Except to the extent specifically </w:t>
      </w:r>
      <w:r w:rsidR="00A74607" w:rsidRPr="00155974">
        <w:t xml:space="preserve">addressed in this </w:t>
      </w:r>
      <w:r w:rsidR="005B7287" w:rsidRPr="00155974">
        <w:t>S</w:t>
      </w:r>
      <w:r w:rsidR="00A74607" w:rsidRPr="00155974">
        <w:t xml:space="preserve">tandard, the </w:t>
      </w:r>
      <w:r w:rsidR="004E1B7F" w:rsidRPr="00155974">
        <w:t xml:space="preserve">definitions and </w:t>
      </w:r>
      <w:r w:rsidR="00A74607" w:rsidRPr="00155974">
        <w:t xml:space="preserve">presentation requirements of </w:t>
      </w:r>
      <w:r w:rsidRPr="00155974">
        <w:t>other Australian Accounting Standards continue to apply</w:t>
      </w:r>
      <w:r w:rsidR="00A024F0" w:rsidRPr="00155974">
        <w:t>.</w:t>
      </w:r>
      <w:r w:rsidR="0054735E" w:rsidRPr="00155974">
        <w:t xml:space="preserve"> Entities </w:t>
      </w:r>
      <w:r w:rsidR="00543CFE" w:rsidRPr="00155974">
        <w:t>are permitted to</w:t>
      </w:r>
      <w:r w:rsidR="0054735E" w:rsidRPr="00155974">
        <w:t xml:space="preserve"> refer to other </w:t>
      </w:r>
      <w:r w:rsidR="00FA610D" w:rsidRPr="00155974">
        <w:t>S</w:t>
      </w:r>
      <w:r w:rsidR="0054735E" w:rsidRPr="00155974">
        <w:t xml:space="preserve">tandards for guidance on </w:t>
      </w:r>
      <w:r w:rsidR="004D2ECC" w:rsidRPr="00155974">
        <w:t xml:space="preserve">the </w:t>
      </w:r>
      <w:r w:rsidR="0054735E" w:rsidRPr="00155974">
        <w:t>requirements</w:t>
      </w:r>
      <w:r w:rsidR="00975F23" w:rsidRPr="00155974">
        <w:t xml:space="preserve"> in this Standard</w:t>
      </w:r>
      <w:r w:rsidR="00B37046" w:rsidRPr="00155974">
        <w:t>, including</w:t>
      </w:r>
      <w:r w:rsidR="00B43736" w:rsidRPr="00155974">
        <w:t xml:space="preserve"> </w:t>
      </w:r>
      <w:r w:rsidR="00BF4013" w:rsidRPr="00155974">
        <w:t xml:space="preserve">AASB 7 </w:t>
      </w:r>
      <w:r w:rsidR="00BF4013" w:rsidRPr="00155974">
        <w:rPr>
          <w:i/>
        </w:rPr>
        <w:t>Financial Instruments: Disclosures</w:t>
      </w:r>
      <w:r w:rsidR="00BF4013" w:rsidRPr="00155974">
        <w:t xml:space="preserve">, </w:t>
      </w:r>
      <w:r w:rsidR="00BF4013" w:rsidRPr="00155974" w:rsidDel="00ED5934">
        <w:t>AASB</w:t>
      </w:r>
      <w:r w:rsidR="00ED5934">
        <w:t> </w:t>
      </w:r>
      <w:r w:rsidR="00BF4013" w:rsidRPr="00155974">
        <w:t xml:space="preserve">12 </w:t>
      </w:r>
      <w:r w:rsidR="00BF4013" w:rsidRPr="00155974">
        <w:rPr>
          <w:i/>
        </w:rPr>
        <w:t>Disclosure of Interests in Other Entities</w:t>
      </w:r>
      <w:r w:rsidR="00BF4013" w:rsidRPr="00155974">
        <w:t xml:space="preserve">, </w:t>
      </w:r>
      <w:r w:rsidR="00B43736" w:rsidRPr="00155974">
        <w:t xml:space="preserve">AASB 101 </w:t>
      </w:r>
      <w:r w:rsidR="00397CD8" w:rsidRPr="00155974">
        <w:rPr>
          <w:i/>
        </w:rPr>
        <w:t>Presentation</w:t>
      </w:r>
      <w:r w:rsidR="00F84437" w:rsidRPr="00155974">
        <w:rPr>
          <w:i/>
        </w:rPr>
        <w:t xml:space="preserve"> of Financial Statements</w:t>
      </w:r>
      <w:r w:rsidR="00B43736" w:rsidRPr="00155974">
        <w:rPr>
          <w:i/>
        </w:rPr>
        <w:t xml:space="preserve">, </w:t>
      </w:r>
      <w:r w:rsidR="00B43736" w:rsidRPr="00155974" w:rsidDel="002B7406">
        <w:t>AASB</w:t>
      </w:r>
      <w:r w:rsidR="002B7406">
        <w:t> </w:t>
      </w:r>
      <w:r w:rsidR="00B43736" w:rsidRPr="00155974">
        <w:t xml:space="preserve">107 </w:t>
      </w:r>
      <w:r w:rsidR="0078173A" w:rsidRPr="00155974">
        <w:rPr>
          <w:i/>
        </w:rPr>
        <w:t>Statement of Cash Flows</w:t>
      </w:r>
      <w:r w:rsidR="00EB1AA6" w:rsidRPr="00155974">
        <w:rPr>
          <w:i/>
        </w:rPr>
        <w:t xml:space="preserve"> </w:t>
      </w:r>
      <w:r w:rsidR="00EB1AA6" w:rsidRPr="00A551CF">
        <w:rPr>
          <w:iCs/>
        </w:rPr>
        <w:t>and</w:t>
      </w:r>
      <w:r w:rsidR="00EB1AA6" w:rsidRPr="00155974">
        <w:rPr>
          <w:i/>
        </w:rPr>
        <w:t xml:space="preserve"> </w:t>
      </w:r>
      <w:r w:rsidR="00EB1AA6" w:rsidRPr="00155974">
        <w:t>AASB 124</w:t>
      </w:r>
      <w:r w:rsidR="00EB1AA6" w:rsidRPr="00155974">
        <w:rPr>
          <w:i/>
        </w:rPr>
        <w:t xml:space="preserve"> </w:t>
      </w:r>
      <w:r w:rsidR="00CC6AFE" w:rsidRPr="00155974">
        <w:rPr>
          <w:i/>
        </w:rPr>
        <w:t>Related Party Disclosures</w:t>
      </w:r>
      <w:r w:rsidR="00BF4013" w:rsidRPr="00CF1F77">
        <w:rPr>
          <w:i/>
        </w:rPr>
        <w:t>.</w:t>
      </w:r>
    </w:p>
    <w:bookmarkEnd w:id="18"/>
    <w:p w14:paraId="36F8430A" w14:textId="77777777" w:rsidR="00EA4070" w:rsidRPr="00155974" w:rsidRDefault="00EA4070" w:rsidP="008D18C4">
      <w:pPr>
        <w:pStyle w:val="Heading2"/>
      </w:pPr>
      <w:r w:rsidRPr="00155974">
        <w:t>Scope</w:t>
      </w:r>
    </w:p>
    <w:p w14:paraId="6D30A767" w14:textId="1C790EC8" w:rsidR="00EA4070" w:rsidRPr="00155974" w:rsidRDefault="00EA4070" w:rsidP="000E61D3">
      <w:pPr>
        <w:pStyle w:val="NumPlain1"/>
        <w:numPr>
          <w:ilvl w:val="0"/>
          <w:numId w:val="84"/>
        </w:numPr>
        <w:ind w:left="782" w:hanging="782"/>
      </w:pPr>
      <w:r w:rsidRPr="00155974">
        <w:t xml:space="preserve">This Standard applies to all entities that </w:t>
      </w:r>
      <w:r w:rsidR="00D96903" w:rsidRPr="00155974">
        <w:t>elect</w:t>
      </w:r>
      <w:r w:rsidRPr="00155974">
        <w:t xml:space="preserve"> to apply Tier 2: Australian Accounting Standards – Simplified Disclosures under AASB 1053, including those that present consolidated financial statements in accordance with AASB 10 </w:t>
      </w:r>
      <w:r w:rsidRPr="00155974">
        <w:rPr>
          <w:i/>
        </w:rPr>
        <w:t xml:space="preserve">Consolidated Financial Statements </w:t>
      </w:r>
      <w:r w:rsidRPr="00155974">
        <w:t xml:space="preserve">and those that present separate financial statements in accordance with AASB 127 </w:t>
      </w:r>
      <w:r w:rsidRPr="00155974">
        <w:rPr>
          <w:i/>
        </w:rPr>
        <w:t xml:space="preserve">Separate Financial Statements. </w:t>
      </w:r>
      <w:r w:rsidRPr="00155974">
        <w:t xml:space="preserve">However, this </w:t>
      </w:r>
      <w:r w:rsidR="00D61FAB" w:rsidRPr="00155974">
        <w:t>Standard</w:t>
      </w:r>
      <w:r w:rsidRPr="00155974">
        <w:t xml:space="preserve"> does not apply to the structure and content of condensed interim financial statements prepared in accordance with AASB 134 </w:t>
      </w:r>
      <w:r w:rsidRPr="00155974">
        <w:rPr>
          <w:i/>
        </w:rPr>
        <w:t xml:space="preserve">Interim Financial </w:t>
      </w:r>
      <w:r w:rsidR="00925FC9" w:rsidRPr="00155974">
        <w:rPr>
          <w:i/>
        </w:rPr>
        <w:t>Reporting</w:t>
      </w:r>
      <w:r w:rsidRPr="000A458E">
        <w:rPr>
          <w:iCs/>
        </w:rPr>
        <w:t>.</w:t>
      </w:r>
    </w:p>
    <w:p w14:paraId="7E931346" w14:textId="6B38CCD8" w:rsidR="00EA4070" w:rsidRPr="00155974" w:rsidRDefault="00EA4070" w:rsidP="000E61D3">
      <w:pPr>
        <w:pStyle w:val="NumPlain1"/>
        <w:numPr>
          <w:ilvl w:val="0"/>
          <w:numId w:val="84"/>
        </w:numPr>
        <w:ind w:left="782" w:hanging="782"/>
      </w:pPr>
      <w:r w:rsidRPr="00155974">
        <w:t>Entities applying this Standard are required to apply all the recognition and measurement requirements in Australian Accounting Standards</w:t>
      </w:r>
      <w:r w:rsidRPr="00155974">
        <w:rPr>
          <w:vertAlign w:val="superscript"/>
        </w:rPr>
        <w:footnoteReference w:id="2"/>
      </w:r>
      <w:r w:rsidRPr="00155974">
        <w:t xml:space="preserve"> and apply this Standard in relation to disclosure requirements only.</w:t>
      </w:r>
    </w:p>
    <w:p w14:paraId="6B57642E" w14:textId="379827C7" w:rsidR="00EA4070" w:rsidRPr="00155974" w:rsidRDefault="00EA4070" w:rsidP="000E61D3">
      <w:pPr>
        <w:pStyle w:val="NumPlain1"/>
        <w:numPr>
          <w:ilvl w:val="0"/>
          <w:numId w:val="84"/>
        </w:numPr>
        <w:ind w:left="782" w:hanging="782"/>
      </w:pPr>
      <w:r w:rsidRPr="00155974">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in the financial statements and for the financial statements themselves.</w:t>
      </w:r>
    </w:p>
    <w:p w14:paraId="12AB2D61" w14:textId="633AD3C2" w:rsidR="00EA4070" w:rsidRPr="00155974" w:rsidRDefault="00EA4070" w:rsidP="000E61D3">
      <w:pPr>
        <w:pStyle w:val="NumPlain1"/>
        <w:numPr>
          <w:ilvl w:val="0"/>
          <w:numId w:val="84"/>
        </w:numPr>
        <w:ind w:left="782" w:hanging="782"/>
      </w:pPr>
      <w:r w:rsidRPr="00155974">
        <w:t xml:space="preserve">Similarly, entities that do not have equity as defined in AASB 132 </w:t>
      </w:r>
      <w:r w:rsidRPr="002B7406">
        <w:rPr>
          <w:i/>
          <w:iCs/>
        </w:rPr>
        <w:t>Financial Instruments: Presentation</w:t>
      </w:r>
      <w:r w:rsidRPr="00155974">
        <w:t xml:space="preserve"> (eg some mutual funds) and entities whose share capital is not equity (eg some co-operative entities) may need to adapt the financial statement presentation of members’ or unitholders’ interests.</w:t>
      </w:r>
    </w:p>
    <w:p w14:paraId="4BF88EAC" w14:textId="62DAAAD7" w:rsidR="00EA4070" w:rsidRPr="00155974" w:rsidRDefault="00EA4070" w:rsidP="00451716">
      <w:pPr>
        <w:pStyle w:val="NumPlain1"/>
        <w:keepNext/>
        <w:numPr>
          <w:ilvl w:val="0"/>
          <w:numId w:val="84"/>
        </w:numPr>
        <w:ind w:left="782" w:hanging="782"/>
      </w:pPr>
      <w:r w:rsidRPr="00155974">
        <w:t>AusCF paragraphs and footnotes included in this Standard apply only to:</w:t>
      </w:r>
    </w:p>
    <w:p w14:paraId="19862B50" w14:textId="79D8F37C" w:rsidR="00EA4070" w:rsidRPr="00155974" w:rsidRDefault="00EA4070" w:rsidP="00477BB8">
      <w:pPr>
        <w:pStyle w:val="ListParagraph"/>
        <w:ind w:left="1564" w:hanging="782"/>
        <w:jc w:val="both"/>
      </w:pPr>
      <w:r w:rsidRPr="00155974">
        <w:t>not-for-</w:t>
      </w:r>
      <w:r w:rsidRPr="00C16E2D">
        <w:rPr>
          <w:szCs w:val="19"/>
          <w:lang w:eastAsia="en-AU"/>
        </w:rPr>
        <w:t>profit</w:t>
      </w:r>
      <w:r w:rsidRPr="00155974">
        <w:t xml:space="preserve"> entities; and</w:t>
      </w:r>
    </w:p>
    <w:p w14:paraId="158E632C" w14:textId="1301E625" w:rsidR="00B47588" w:rsidRPr="00155974" w:rsidRDefault="000F5A18" w:rsidP="00477BB8">
      <w:pPr>
        <w:pStyle w:val="ListParagraph"/>
        <w:ind w:left="1564" w:hanging="782"/>
        <w:jc w:val="both"/>
      </w:pPr>
      <w:r w:rsidRPr="00155974">
        <w:t>for-profit</w:t>
      </w:r>
      <w:r w:rsidR="00271BF5" w:rsidRPr="00155974">
        <w:t xml:space="preserve"> </w:t>
      </w:r>
      <w:r w:rsidR="00540E0B" w:rsidRPr="00155974">
        <w:t xml:space="preserve">entities that are not applying the </w:t>
      </w:r>
      <w:r w:rsidR="00540E0B" w:rsidRPr="00155974">
        <w:rPr>
          <w:i/>
          <w:iCs/>
        </w:rPr>
        <w:t xml:space="preserve">Conceptual </w:t>
      </w:r>
      <w:r w:rsidR="00271BF5" w:rsidRPr="00155974">
        <w:rPr>
          <w:i/>
          <w:iCs/>
        </w:rPr>
        <w:t>Framework for Financial Reporting</w:t>
      </w:r>
      <w:r w:rsidR="00271BF5" w:rsidRPr="00155974">
        <w:t xml:space="preserve"> (as identified in AASB 1048 </w:t>
      </w:r>
      <w:r w:rsidR="00271BF5" w:rsidRPr="00155974">
        <w:rPr>
          <w:i/>
          <w:iCs/>
        </w:rPr>
        <w:t>Interpretation of Standards</w:t>
      </w:r>
      <w:r w:rsidR="00271BF5" w:rsidRPr="00155974">
        <w:t>)</w:t>
      </w:r>
      <w:r w:rsidR="009E769F" w:rsidRPr="00155974">
        <w:t xml:space="preserve">. </w:t>
      </w:r>
    </w:p>
    <w:p w14:paraId="7DF14232" w14:textId="38DA307E" w:rsidR="002B2AFF" w:rsidRPr="00155974" w:rsidRDefault="00EA4070" w:rsidP="00EA63C4">
      <w:pPr>
        <w:pStyle w:val="NumPlain1"/>
        <w:ind w:left="782"/>
      </w:pPr>
      <w:r w:rsidRPr="00155974">
        <w:t xml:space="preserve">Such entities are referred to as ‘AusCF entities’. For AusCF entities, the term ‘reporting entity’ is defined in AASB 1057 </w:t>
      </w:r>
      <w:r w:rsidRPr="00155974">
        <w:rPr>
          <w:i/>
        </w:rPr>
        <w:t>Application of Australian Accounting Standards</w:t>
      </w:r>
      <w:r w:rsidRPr="00155974">
        <w:t xml:space="preserve"> and Statement of Accounting Concepts SAC</w:t>
      </w:r>
      <w:r w:rsidR="009765A7">
        <w:t> </w:t>
      </w:r>
      <w:r w:rsidRPr="00155974">
        <w:t xml:space="preserve">1 </w:t>
      </w:r>
      <w:r w:rsidRPr="00155974">
        <w:rPr>
          <w:i/>
        </w:rPr>
        <w:t>Definition of the Reporting Entity</w:t>
      </w:r>
      <w:r w:rsidRPr="00155974">
        <w:t xml:space="preserve"> also applies. For-profit entities applying the </w:t>
      </w:r>
      <w:r w:rsidRPr="00155974">
        <w:rPr>
          <w:i/>
        </w:rPr>
        <w:t xml:space="preserve">Conceptual Framework for </w:t>
      </w:r>
      <w:r w:rsidRPr="00155974">
        <w:rPr>
          <w:i/>
        </w:rPr>
        <w:lastRenderedPageBreak/>
        <w:t>Financial Reporting</w:t>
      </w:r>
      <w:r w:rsidRPr="00155974">
        <w:t xml:space="preserve"> (as set out in paragraph Aus1.1 of the </w:t>
      </w:r>
      <w:r w:rsidRPr="00155974">
        <w:rPr>
          <w:i/>
        </w:rPr>
        <w:t>Conceptual Framework</w:t>
      </w:r>
      <w:r w:rsidRPr="00155974">
        <w:t>) shall not apply AusCF paragraphs or footnotes.</w:t>
      </w:r>
    </w:p>
    <w:p w14:paraId="4F7ECCEF" w14:textId="77777777" w:rsidR="00EA4070" w:rsidRPr="00155974" w:rsidRDefault="00EA4070" w:rsidP="00EA4070">
      <w:pPr>
        <w:pStyle w:val="Heading2"/>
      </w:pPr>
      <w:bookmarkStart w:id="19" w:name="TOCStart"/>
      <w:bookmarkEnd w:id="19"/>
      <w:r w:rsidRPr="00155974">
        <w:t>Tier 2 disclosures</w:t>
      </w:r>
    </w:p>
    <w:p w14:paraId="6F8BB529" w14:textId="77777777" w:rsidR="00EA4070" w:rsidRPr="00155974" w:rsidRDefault="00EA4070" w:rsidP="007C2EDF">
      <w:pPr>
        <w:pStyle w:val="IASBSectionTitle2Ind"/>
        <w:keepLines w:val="0"/>
        <w:rPr>
          <w:lang w:eastAsia="en-AU"/>
        </w:rPr>
      </w:pPr>
      <w:r w:rsidRPr="00155974">
        <w:rPr>
          <w:lang w:eastAsia="en-AU"/>
        </w:rPr>
        <w:t>Financial Statement Presentation</w:t>
      </w:r>
      <w:r w:rsidRPr="00155974">
        <w:rPr>
          <w:rStyle w:val="FootnoteReference"/>
          <w:sz w:val="22"/>
          <w:szCs w:val="22"/>
          <w:lang w:eastAsia="en-AU"/>
        </w:rPr>
        <w:footnoteReference w:id="3"/>
      </w:r>
    </w:p>
    <w:p w14:paraId="5DB1D5D6" w14:textId="0F7BE88F" w:rsidR="00EA4070" w:rsidRPr="00A551CF" w:rsidRDefault="00EA4070" w:rsidP="006F1D3E">
      <w:pPr>
        <w:pStyle w:val="IASBSectionTitle3Ind"/>
        <w:rPr>
          <w:lang w:eastAsia="en-AU"/>
        </w:rPr>
      </w:pPr>
      <w:r w:rsidRPr="00A551CF">
        <w:rPr>
          <w:lang w:eastAsia="en-AU"/>
        </w:rPr>
        <w:t>Scope</w:t>
      </w:r>
    </w:p>
    <w:p w14:paraId="4A27BBF0" w14:textId="4AE6C3ED" w:rsidR="00997E57" w:rsidRPr="00155974" w:rsidRDefault="00EA4070" w:rsidP="000E61D3">
      <w:pPr>
        <w:pStyle w:val="NumPlain1"/>
        <w:numPr>
          <w:ilvl w:val="0"/>
          <w:numId w:val="84"/>
        </w:numPr>
        <w:ind w:left="782" w:hanging="782"/>
        <w:rPr>
          <w:lang w:eastAsia="en-AU"/>
        </w:rPr>
      </w:pPr>
      <w:bookmarkStart w:id="20" w:name="_Ref35356217"/>
      <w:r w:rsidRPr="00155974">
        <w:rPr>
          <w:lang w:eastAsia="en-AU"/>
        </w:rPr>
        <w:t>This section explains fair presentation of financial statements, what compliance with Australian Accounting</w:t>
      </w:r>
      <w:r w:rsidRPr="00155974">
        <w:rPr>
          <w:u w:val="single"/>
          <w:lang w:eastAsia="en-AU"/>
        </w:rPr>
        <w:t xml:space="preserve"> </w:t>
      </w:r>
      <w:r w:rsidRPr="00155974">
        <w:rPr>
          <w:lang w:eastAsia="en-AU"/>
        </w:rPr>
        <w:t>Standards, including this Standard, requires and what a complete set of financial statements is.</w:t>
      </w:r>
      <w:r w:rsidR="00CF1EF5" w:rsidRPr="00155974">
        <w:rPr>
          <w:lang w:eastAsia="en-AU"/>
        </w:rPr>
        <w:t xml:space="preserve"> </w:t>
      </w:r>
      <w:r w:rsidR="00C256CB" w:rsidRPr="00155974">
        <w:rPr>
          <w:lang w:eastAsia="en-AU"/>
        </w:rPr>
        <w:t>[</w:t>
      </w:r>
      <w:r w:rsidR="0058144C" w:rsidRPr="00155974">
        <w:rPr>
          <w:i/>
          <w:iCs/>
          <w:lang w:eastAsia="en-AU"/>
        </w:rPr>
        <w:t>IFRS for SMEs</w:t>
      </w:r>
      <w:r w:rsidR="00C256CB" w:rsidRPr="00155974">
        <w:rPr>
          <w:lang w:eastAsia="en-AU"/>
        </w:rPr>
        <w:t xml:space="preserve"> Standard </w:t>
      </w:r>
      <w:r w:rsidR="00AF16E9" w:rsidRPr="00155974">
        <w:rPr>
          <w:lang w:eastAsia="en-AU"/>
        </w:rPr>
        <w:t xml:space="preserve">paragraph </w:t>
      </w:r>
      <w:r w:rsidR="00C256CB" w:rsidRPr="00155974">
        <w:rPr>
          <w:lang w:eastAsia="en-AU"/>
        </w:rPr>
        <w:t>3.1</w:t>
      </w:r>
      <w:r w:rsidR="00AF16E9" w:rsidRPr="00155974">
        <w:rPr>
          <w:lang w:eastAsia="en-AU"/>
        </w:rPr>
        <w:t>]</w:t>
      </w:r>
      <w:bookmarkEnd w:id="20"/>
    </w:p>
    <w:p w14:paraId="6D5FA8F8" w14:textId="77777777" w:rsidR="00EA4070" w:rsidRPr="00155974" w:rsidRDefault="00EA4070" w:rsidP="006A212A">
      <w:pPr>
        <w:pStyle w:val="IASBSectionTitle3Ind"/>
        <w:rPr>
          <w:lang w:eastAsia="en-AU"/>
        </w:rPr>
      </w:pPr>
      <w:r w:rsidRPr="00155974">
        <w:rPr>
          <w:lang w:eastAsia="en-AU"/>
        </w:rPr>
        <w:t>Fair presentation</w:t>
      </w:r>
    </w:p>
    <w:p w14:paraId="09E219E0" w14:textId="195D57B7" w:rsidR="00EA4070" w:rsidRPr="00155974" w:rsidRDefault="00EA4070" w:rsidP="000E61D3">
      <w:pPr>
        <w:pStyle w:val="NumPlain1"/>
        <w:numPr>
          <w:ilvl w:val="0"/>
          <w:numId w:val="84"/>
        </w:numPr>
        <w:ind w:left="782" w:hanging="782"/>
        <w:rPr>
          <w:lang w:eastAsia="en-AU"/>
        </w:rPr>
      </w:pPr>
      <w:bookmarkStart w:id="21" w:name="_Ref34575187"/>
      <w:r w:rsidRPr="00155974">
        <w:rPr>
          <w:lang w:eastAsia="en-AU"/>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155974">
        <w:rPr>
          <w:i/>
          <w:lang w:eastAsia="en-AU"/>
        </w:rPr>
        <w:t>Conceptual Framework for Financial Reporting</w:t>
      </w:r>
      <w:r w:rsidRPr="00155974">
        <w:rPr>
          <w:lang w:eastAsia="en-AU"/>
        </w:rPr>
        <w:t>:</w:t>
      </w:r>
      <w:bookmarkEnd w:id="21"/>
      <w:r w:rsidRPr="00155974">
        <w:rPr>
          <w:lang w:eastAsia="en-AU"/>
        </w:rPr>
        <w:t xml:space="preserve"> </w:t>
      </w:r>
    </w:p>
    <w:p w14:paraId="42074984" w14:textId="065F2CAF" w:rsidR="00EA4070" w:rsidRPr="00155974" w:rsidRDefault="00EA4070" w:rsidP="00477BB8">
      <w:pPr>
        <w:pStyle w:val="ListParagraph"/>
        <w:numPr>
          <w:ilvl w:val="0"/>
          <w:numId w:val="52"/>
        </w:numPr>
        <w:ind w:left="1564" w:hanging="782"/>
        <w:jc w:val="both"/>
      </w:pPr>
      <w:r w:rsidRPr="00155974">
        <w:t>The application of the recognition and measurement requirements in Australian Accounting Standards and the disclosures in this Standard, with additional disclosure when necessary, is presumed to result in financial statements that achieve a fair presentation of the financial position, financial performance and cash flows of Tier 2 entities.</w:t>
      </w:r>
    </w:p>
    <w:p w14:paraId="2C9C2E10" w14:textId="0C41EE26" w:rsidR="00EA4070" w:rsidRPr="00155974" w:rsidRDefault="00EA4070" w:rsidP="00477BB8">
      <w:pPr>
        <w:pStyle w:val="ListParagraph"/>
        <w:numPr>
          <w:ilvl w:val="0"/>
          <w:numId w:val="52"/>
        </w:numPr>
        <w:ind w:left="1564" w:hanging="782"/>
        <w:jc w:val="both"/>
        <w:rPr>
          <w:lang w:eastAsia="en-AU"/>
        </w:rPr>
      </w:pPr>
      <w:r w:rsidRPr="00155974">
        <w:rPr>
          <w:lang w:eastAsia="en-AU"/>
        </w:rPr>
        <w:t>As explained in paragraph 13 of AASB 1053, this Standard does not apply to an entity with public accountability.</w:t>
      </w:r>
    </w:p>
    <w:p w14:paraId="07E2AB32" w14:textId="36C56214" w:rsidR="00AF16E9" w:rsidRPr="00155974" w:rsidRDefault="00EA4070" w:rsidP="004E4871">
      <w:pPr>
        <w:spacing w:after="100"/>
        <w:ind w:left="782"/>
        <w:rPr>
          <w:szCs w:val="19"/>
          <w:lang w:eastAsia="en-AU"/>
        </w:rPr>
      </w:pPr>
      <w:r w:rsidRPr="00155974">
        <w:rPr>
          <w:szCs w:val="19"/>
          <w:lang w:eastAsia="en-AU"/>
        </w:rPr>
        <w:t>The additional disclosures referred to in (a) are necessary when compliance with the specific requirements in this Standard is insufficient to enable users to understand the effect of particular transactions, other events and conditions on the entity’s financial position and financial performance.</w:t>
      </w:r>
      <w:r w:rsidR="006E207F" w:rsidRPr="00155974">
        <w:rPr>
          <w:szCs w:val="19"/>
          <w:lang w:eastAsia="en-AU"/>
        </w:rPr>
        <w:t xml:space="preserve"> </w:t>
      </w:r>
      <w:r w:rsidR="00AF16E9" w:rsidRPr="00155974">
        <w:rPr>
          <w:szCs w:val="19"/>
          <w:lang w:eastAsia="en-AU"/>
        </w:rPr>
        <w:t xml:space="preserve">[Based on </w:t>
      </w:r>
      <w:r w:rsidR="00AF16E9" w:rsidRPr="00155974" w:rsidDel="0058144C">
        <w:rPr>
          <w:i/>
          <w:szCs w:val="19"/>
          <w:lang w:eastAsia="en-AU"/>
        </w:rPr>
        <w:t>IFRS</w:t>
      </w:r>
      <w:r w:rsidR="0058144C" w:rsidRPr="00155974">
        <w:rPr>
          <w:i/>
          <w:iCs/>
          <w:szCs w:val="19"/>
          <w:lang w:eastAsia="en-AU"/>
        </w:rPr>
        <w:t xml:space="preserve"> for SMEs</w:t>
      </w:r>
      <w:r w:rsidR="00AF16E9" w:rsidRPr="00155974">
        <w:rPr>
          <w:szCs w:val="19"/>
          <w:lang w:eastAsia="en-AU"/>
        </w:rPr>
        <w:t xml:space="preserve"> Standard paragraph 3.2]</w:t>
      </w:r>
    </w:p>
    <w:p w14:paraId="563600A7" w14:textId="03F069D4" w:rsidR="00EA4070" w:rsidRPr="00155974" w:rsidRDefault="0000004D" w:rsidP="004E4871">
      <w:pPr>
        <w:spacing w:after="100"/>
        <w:ind w:left="1565" w:hanging="1565"/>
        <w:rPr>
          <w:szCs w:val="19"/>
          <w:lang w:eastAsia="en-AU"/>
        </w:rPr>
      </w:pPr>
      <w:r w:rsidRPr="00155974">
        <w:rPr>
          <w:szCs w:val="19"/>
          <w:lang w:eastAsia="en-AU"/>
        </w:rPr>
        <w:t>AusCF</w:t>
      </w:r>
      <w:r w:rsidR="006F60D9" w:rsidRPr="00155974">
        <w:rPr>
          <w:szCs w:val="19"/>
          <w:lang w:eastAsia="en-AU"/>
        </w:rPr>
        <w:t>9</w:t>
      </w:r>
      <w:r w:rsidR="006879D4" w:rsidRPr="00155974">
        <w:rPr>
          <w:szCs w:val="19"/>
          <w:lang w:eastAsia="en-AU"/>
        </w:rPr>
        <w:tab/>
      </w:r>
      <w:r w:rsidR="00EA4070" w:rsidRPr="00155974">
        <w:rPr>
          <w:szCs w:val="19"/>
          <w:lang w:eastAsia="en-AU"/>
        </w:rPr>
        <w:t xml:space="preserve">Notwithstanding paragraph </w:t>
      </w:r>
      <w:r w:rsidR="002B3193" w:rsidRPr="00155974">
        <w:rPr>
          <w:szCs w:val="19"/>
          <w:lang w:eastAsia="en-AU"/>
        </w:rPr>
        <w:t>9</w:t>
      </w:r>
      <w:r w:rsidR="00EA4070" w:rsidRPr="00155974">
        <w:rPr>
          <w:szCs w:val="19"/>
          <w:lang w:eastAsia="en-AU"/>
        </w:rPr>
        <w:t xml:space="preserve">, in respect of AusCF entities,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00EA4070" w:rsidRPr="00155974">
        <w:rPr>
          <w:i/>
        </w:rPr>
        <w:t>Framework for the Preparation and Presentation of Financial Statements</w:t>
      </w:r>
      <w:r w:rsidR="00EA4070" w:rsidRPr="00155974">
        <w:rPr>
          <w:szCs w:val="19"/>
          <w:lang w:eastAsia="en-AU"/>
        </w:rPr>
        <w:t xml:space="preserve">: </w:t>
      </w:r>
    </w:p>
    <w:p w14:paraId="70C3F961" w14:textId="77777777" w:rsidR="00EA4070" w:rsidRPr="00155974" w:rsidRDefault="00EA4070" w:rsidP="004E4871">
      <w:pPr>
        <w:spacing w:after="100"/>
        <w:ind w:left="2347" w:hanging="782"/>
        <w:rPr>
          <w:szCs w:val="19"/>
          <w:lang w:eastAsia="en-AU"/>
        </w:rPr>
      </w:pPr>
      <w:r w:rsidRPr="00155974">
        <w:rPr>
          <w:szCs w:val="19"/>
          <w:lang w:eastAsia="en-AU"/>
        </w:rPr>
        <w:t>(a)</w:t>
      </w:r>
      <w:r w:rsidRPr="00155974">
        <w:rPr>
          <w:szCs w:val="19"/>
          <w:lang w:eastAsia="en-AU"/>
        </w:rPr>
        <w:tab/>
        <w:t>The application of the recognition and measurement requirements in Australian Accounting Standards and the disclosures in this Standard, with additional disclosure when necessary, is presumed to result in financial statements that achieve a fair presentation of the financial position, financial performance and cash flows of Tier 2 entities.</w:t>
      </w:r>
    </w:p>
    <w:p w14:paraId="294301F7" w14:textId="77777777" w:rsidR="00EA4070" w:rsidRPr="00155974" w:rsidRDefault="00EA4070" w:rsidP="004E4871">
      <w:pPr>
        <w:spacing w:after="100"/>
        <w:ind w:left="2347" w:hanging="782"/>
        <w:rPr>
          <w:szCs w:val="19"/>
          <w:lang w:eastAsia="en-AU"/>
        </w:rPr>
      </w:pPr>
      <w:r w:rsidRPr="00155974">
        <w:rPr>
          <w:szCs w:val="19"/>
          <w:lang w:eastAsia="en-AU"/>
        </w:rPr>
        <w:t>(b)</w:t>
      </w:r>
      <w:r w:rsidRPr="00155974">
        <w:rPr>
          <w:szCs w:val="19"/>
          <w:lang w:eastAsia="en-AU"/>
        </w:rPr>
        <w:tab/>
        <w:t>As explained in paragraph 13 of AASB 1053, this Standard does not apply to an entity with public accountability.</w:t>
      </w:r>
    </w:p>
    <w:p w14:paraId="0AAF20CC" w14:textId="74C4F966" w:rsidR="00EA4070" w:rsidRPr="00155974" w:rsidRDefault="00EA4070" w:rsidP="004E4871">
      <w:pPr>
        <w:spacing w:after="100"/>
        <w:ind w:left="1565"/>
        <w:rPr>
          <w:szCs w:val="19"/>
          <w:lang w:eastAsia="en-AU"/>
        </w:rPr>
      </w:pPr>
      <w:r w:rsidRPr="00155974">
        <w:rPr>
          <w:szCs w:val="19"/>
          <w:lang w:eastAsia="en-AU"/>
        </w:rPr>
        <w:t>The additional disclosures referred to in (a) are necessary when compliance with the specific requirements in this Standard is insufficient to enable users to understand the effect of particular transactions, other events and conditions on the entity’s financial position and financial performance.</w:t>
      </w:r>
      <w:r w:rsidR="006E207F" w:rsidRPr="00155974">
        <w:rPr>
          <w:szCs w:val="19"/>
          <w:lang w:eastAsia="en-AU"/>
        </w:rPr>
        <w:t xml:space="preserve"> </w:t>
      </w:r>
    </w:p>
    <w:p w14:paraId="7B89F132" w14:textId="213C57ED" w:rsidR="00EA4070" w:rsidRPr="00022B10" w:rsidRDefault="00EA4070" w:rsidP="00022B10">
      <w:pPr>
        <w:pStyle w:val="IASBSectionTitle3Ind"/>
        <w:rPr>
          <w:b w:val="0"/>
        </w:rPr>
      </w:pPr>
      <w:r w:rsidRPr="00022B10">
        <w:t>Compliance with Australian Accounting Standards – Simplified Disclosures</w:t>
      </w:r>
    </w:p>
    <w:p w14:paraId="1AD7AB8D" w14:textId="5859E099" w:rsidR="00CD464C" w:rsidRPr="00155974" w:rsidRDefault="00EA4070" w:rsidP="000E61D3">
      <w:pPr>
        <w:pStyle w:val="NumPlain1"/>
        <w:numPr>
          <w:ilvl w:val="0"/>
          <w:numId w:val="84"/>
        </w:numPr>
        <w:ind w:left="782" w:hanging="782"/>
        <w:rPr>
          <w:lang w:eastAsia="en-AU"/>
        </w:rPr>
      </w:pPr>
      <w:bookmarkStart w:id="22" w:name="_Ref34594056"/>
      <w:r w:rsidRPr="00155974">
        <w:rPr>
          <w:lang w:eastAsia="en-AU"/>
        </w:rPr>
        <w:t>An entity whose financial statements comply with the recognition and measurement requirements in Australian Accounting Standards</w:t>
      </w:r>
      <w:r w:rsidR="00AD7B48" w:rsidRPr="00155974">
        <w:rPr>
          <w:lang w:eastAsia="en-AU"/>
        </w:rPr>
        <w:t>,</w:t>
      </w:r>
      <w:r w:rsidR="00F61BCF" w:rsidRPr="00155974">
        <w:rPr>
          <w:lang w:eastAsia="en-AU"/>
        </w:rPr>
        <w:t xml:space="preserve"> the presentation requirements in those Standards as modified by this Standard</w:t>
      </w:r>
      <w:r w:rsidR="00943E8A" w:rsidRPr="00155974">
        <w:rPr>
          <w:lang w:eastAsia="en-AU"/>
        </w:rPr>
        <w:t>,</w:t>
      </w:r>
      <w:r w:rsidRPr="00155974">
        <w:rPr>
          <w:lang w:eastAsia="en-AU"/>
        </w:rPr>
        <w:t xml:space="preserve"> and the disclosure requirements in this Standard shall make an explicit and unreserved statement of such compliance in the notes. Financial statements shall not be described as complying with Australian Accounting Standards – Simplified Disclosures unless they comply with all </w:t>
      </w:r>
      <w:r w:rsidR="004300E6" w:rsidRPr="00155974">
        <w:rPr>
          <w:lang w:eastAsia="en-AU"/>
        </w:rPr>
        <w:t xml:space="preserve">of these </w:t>
      </w:r>
      <w:r w:rsidRPr="00155974">
        <w:rPr>
          <w:lang w:eastAsia="en-AU"/>
        </w:rPr>
        <w:t>requirements.</w:t>
      </w:r>
      <w:r w:rsidR="00CF1EF5" w:rsidRPr="00155974">
        <w:rPr>
          <w:lang w:eastAsia="en-AU"/>
        </w:rPr>
        <w:t xml:space="preserve"> </w:t>
      </w:r>
      <w:r w:rsidR="00CD464C" w:rsidRPr="00155974">
        <w:rPr>
          <w:lang w:eastAsia="en-AU"/>
        </w:rPr>
        <w:t xml:space="preserve">[Based on </w:t>
      </w:r>
      <w:r w:rsidR="00CD464C" w:rsidRPr="00155974" w:rsidDel="0058144C">
        <w:rPr>
          <w:i/>
          <w:lang w:eastAsia="en-AU"/>
        </w:rPr>
        <w:t>IFRS</w:t>
      </w:r>
      <w:r w:rsidR="0058144C" w:rsidRPr="00155974">
        <w:rPr>
          <w:i/>
          <w:iCs/>
          <w:lang w:eastAsia="en-AU"/>
        </w:rPr>
        <w:t xml:space="preserve"> for SMEs</w:t>
      </w:r>
      <w:r w:rsidR="00CD464C" w:rsidRPr="00155974">
        <w:rPr>
          <w:lang w:eastAsia="en-AU"/>
        </w:rPr>
        <w:t xml:space="preserve"> Standard paragraph 3.3]</w:t>
      </w:r>
      <w:bookmarkEnd w:id="22"/>
    </w:p>
    <w:p w14:paraId="2125AAC7" w14:textId="39A29FE9" w:rsidR="00EA4070" w:rsidRPr="00155974" w:rsidRDefault="00EA4070" w:rsidP="00451716">
      <w:pPr>
        <w:pStyle w:val="NumPlain1"/>
        <w:keepNext/>
        <w:numPr>
          <w:ilvl w:val="0"/>
          <w:numId w:val="84"/>
        </w:numPr>
        <w:ind w:left="782" w:hanging="782"/>
        <w:rPr>
          <w:lang w:eastAsia="en-AU"/>
        </w:rPr>
      </w:pPr>
      <w:bookmarkStart w:id="23" w:name="_Ref35361364"/>
      <w:r w:rsidRPr="00155974">
        <w:rPr>
          <w:lang w:eastAsia="en-AU"/>
        </w:rPr>
        <w:lastRenderedPageBreak/>
        <w:t>An entity shall disclose in the notes:</w:t>
      </w:r>
      <w:bookmarkEnd w:id="23"/>
    </w:p>
    <w:p w14:paraId="3F71CD4E" w14:textId="493153CB" w:rsidR="004E4871" w:rsidRPr="00155974" w:rsidRDefault="00EA4070" w:rsidP="00477BB8">
      <w:pPr>
        <w:pStyle w:val="ListParagraph"/>
        <w:numPr>
          <w:ilvl w:val="1"/>
          <w:numId w:val="23"/>
        </w:numPr>
        <w:ind w:left="1564" w:hanging="782"/>
        <w:jc w:val="both"/>
        <w:rPr>
          <w:lang w:eastAsia="en-AU"/>
        </w:rPr>
      </w:pPr>
      <w:r w:rsidRPr="00155974">
        <w:rPr>
          <w:lang w:eastAsia="en-AU"/>
        </w:rPr>
        <w:t>the statutory basis or other reporting framework, if any, under which the financial statements are prepared; and</w:t>
      </w:r>
    </w:p>
    <w:p w14:paraId="352C7D54" w14:textId="2F612DF0" w:rsidR="00BA6D6D" w:rsidRPr="00155974" w:rsidRDefault="00BA6D6D" w:rsidP="00477BB8">
      <w:pPr>
        <w:pStyle w:val="ListParagraph"/>
        <w:numPr>
          <w:ilvl w:val="1"/>
          <w:numId w:val="23"/>
        </w:numPr>
        <w:ind w:left="1564" w:hanging="782"/>
        <w:jc w:val="both"/>
        <w:rPr>
          <w:lang w:eastAsia="en-AU"/>
        </w:rPr>
      </w:pPr>
      <w:r w:rsidRPr="00155974">
        <w:rPr>
          <w:lang w:eastAsia="en-AU"/>
        </w:rPr>
        <w:t>whether, for the purposes of preparing the financial statements, it is a for-profit or not-for-profit entity.</w:t>
      </w:r>
    </w:p>
    <w:p w14:paraId="628DFC6A" w14:textId="45C0E271" w:rsidR="00056109" w:rsidRPr="008879D4" w:rsidRDefault="00EA4070" w:rsidP="000E61D3">
      <w:pPr>
        <w:pStyle w:val="NumPlain1"/>
        <w:numPr>
          <w:ilvl w:val="0"/>
          <w:numId w:val="84"/>
        </w:numPr>
        <w:ind w:left="782" w:hanging="782"/>
        <w:rPr>
          <w:lang w:eastAsia="en-AU"/>
        </w:rPr>
      </w:pPr>
      <w:bookmarkStart w:id="24" w:name="_Ref35359020"/>
      <w:bookmarkStart w:id="25" w:name="_Ref461013266"/>
      <w:r w:rsidRPr="00155974">
        <w:rPr>
          <w:lang w:eastAsia="en-AU"/>
        </w:rPr>
        <w:t>Entities applying Australian Accounting Standards – Simplified Disclosures shall not depart from a requirement in an Australian Accounting Standard, including this Standard.</w:t>
      </w:r>
      <w:bookmarkStart w:id="26" w:name="_Ref34575376"/>
      <w:bookmarkEnd w:id="24"/>
    </w:p>
    <w:p w14:paraId="41620FD0" w14:textId="633957B8" w:rsidR="00EA4070" w:rsidRPr="00155974" w:rsidRDefault="00EA4070" w:rsidP="000E61D3">
      <w:pPr>
        <w:pStyle w:val="NumPlain1"/>
        <w:numPr>
          <w:ilvl w:val="0"/>
          <w:numId w:val="84"/>
        </w:numPr>
        <w:ind w:left="782" w:hanging="782"/>
        <w:rPr>
          <w:lang w:eastAsia="en-AU"/>
        </w:rPr>
      </w:pPr>
      <w:r w:rsidRPr="00155974">
        <w:rPr>
          <w:lang w:eastAsia="en-AU"/>
        </w:rPr>
        <w:t xml:space="preserve">In the extremely rare circumstances when management concludes that compliance with a recognition and measurement requirement in an Australian Accounting Standard, or a presentation and disclosure requirement in this Standard, would be so misleading that it would conflict with the objective of financial statements set out in the </w:t>
      </w:r>
      <w:r w:rsidRPr="00155974">
        <w:rPr>
          <w:i/>
          <w:lang w:eastAsia="en-AU"/>
        </w:rPr>
        <w:t>Conceptual Framework for Financial Reporting</w:t>
      </w:r>
      <w:r w:rsidRPr="00155974">
        <w:rPr>
          <w:lang w:eastAsia="en-AU"/>
        </w:rPr>
        <w:t>, but the relevant regulatory framework prohibits departure from the requirement, the entity shall, to the maximum extent possible, reduce the perceived misleading aspects of compliance by disclosing the following:</w:t>
      </w:r>
      <w:bookmarkEnd w:id="26"/>
    </w:p>
    <w:p w14:paraId="6143AD10" w14:textId="3283A98D" w:rsidR="004E4871" w:rsidRDefault="00EA4070" w:rsidP="000E61D3">
      <w:pPr>
        <w:pStyle w:val="ListParagraph"/>
        <w:numPr>
          <w:ilvl w:val="1"/>
          <w:numId w:val="47"/>
        </w:numPr>
        <w:ind w:left="1564" w:hanging="782"/>
        <w:jc w:val="both"/>
        <w:rPr>
          <w:lang w:eastAsia="en-AU"/>
        </w:rPr>
      </w:pPr>
      <w:r w:rsidRPr="00155974">
        <w:rPr>
          <w:lang w:eastAsia="en-AU"/>
        </w:rPr>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5B5FB0">
        <w:rPr>
          <w:i/>
          <w:lang w:eastAsia="en-AU"/>
        </w:rPr>
        <w:t>Conceptual Framework for Financial Reporting</w:t>
      </w:r>
      <w:r w:rsidRPr="00155974">
        <w:rPr>
          <w:lang w:eastAsia="en-AU"/>
        </w:rPr>
        <w:t>; and</w:t>
      </w:r>
    </w:p>
    <w:p w14:paraId="71475DCD" w14:textId="0FEEF787" w:rsidR="00EA4070" w:rsidRPr="004E4871" w:rsidRDefault="00EA4070" w:rsidP="00477BB8">
      <w:pPr>
        <w:pStyle w:val="ListParagraph"/>
        <w:keepNext/>
        <w:numPr>
          <w:ilvl w:val="1"/>
          <w:numId w:val="47"/>
        </w:numPr>
        <w:ind w:left="1564" w:hanging="782"/>
        <w:jc w:val="both"/>
        <w:rPr>
          <w:lang w:eastAsia="en-AU"/>
        </w:rPr>
      </w:pPr>
      <w:r w:rsidRPr="004E4871">
        <w:rPr>
          <w:lang w:eastAsia="en-AU"/>
        </w:rPr>
        <w:t>for each period presented, the adjustments to each item in the financial statements that management has concluded would be necessary to achieve a fair presentation.</w:t>
      </w:r>
    </w:p>
    <w:p w14:paraId="075D5FCD" w14:textId="73989B8E" w:rsidR="00B216F8" w:rsidRPr="00155974" w:rsidRDefault="00B216F8" w:rsidP="005B5FB0">
      <w:pPr>
        <w:spacing w:after="100"/>
        <w:ind w:left="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3.7]</w:t>
      </w:r>
    </w:p>
    <w:p w14:paraId="59E667AC" w14:textId="203C25B0" w:rsidR="00EA4070" w:rsidRPr="00155974" w:rsidRDefault="009C7FC1" w:rsidP="004E4871">
      <w:pPr>
        <w:spacing w:after="100"/>
        <w:ind w:left="1565" w:hanging="1565"/>
        <w:rPr>
          <w:szCs w:val="19"/>
          <w:lang w:eastAsia="en-AU"/>
        </w:rPr>
      </w:pPr>
      <w:r w:rsidRPr="00155974">
        <w:rPr>
          <w:szCs w:val="19"/>
          <w:lang w:eastAsia="en-AU"/>
        </w:rPr>
        <w:t>AusCF13</w:t>
      </w:r>
      <w:r w:rsidR="001172A1" w:rsidRPr="00155974">
        <w:rPr>
          <w:szCs w:val="19"/>
          <w:lang w:eastAsia="en-AU"/>
        </w:rPr>
        <w:tab/>
      </w:r>
      <w:r w:rsidR="00EA4070" w:rsidRPr="00155974">
        <w:rPr>
          <w:szCs w:val="19"/>
          <w:lang w:eastAsia="en-AU"/>
        </w:rPr>
        <w:t xml:space="preserve">Notwithstanding paragraph </w:t>
      </w:r>
      <w:r w:rsidR="002B3193" w:rsidRPr="00155974">
        <w:rPr>
          <w:szCs w:val="19"/>
          <w:lang w:eastAsia="en-AU"/>
        </w:rPr>
        <w:t>13</w:t>
      </w:r>
      <w:r w:rsidR="00EA4070" w:rsidRPr="00155974">
        <w:rPr>
          <w:szCs w:val="19"/>
          <w:lang w:eastAsia="en-AU"/>
        </w:rPr>
        <w:t xml:space="preserve">, in respect of AusCF entities, in the extremely rare circumstances when management concludes that compliance with a recognition and measurement requirement in an Australian Accounting Standard, or a presentation and disclosure requirement in this </w:t>
      </w:r>
      <w:r w:rsidR="00BE253B" w:rsidRPr="00155974">
        <w:rPr>
          <w:szCs w:val="19"/>
          <w:lang w:eastAsia="en-AU"/>
        </w:rPr>
        <w:t>S</w:t>
      </w:r>
      <w:r w:rsidR="00EA4070" w:rsidRPr="00155974">
        <w:rPr>
          <w:szCs w:val="19"/>
          <w:lang w:eastAsia="en-AU"/>
        </w:rPr>
        <w:t xml:space="preserve">tandard, would be so misleading that it would conflict with the objective of financial statements set out in the </w:t>
      </w:r>
      <w:r w:rsidR="00EA4070" w:rsidRPr="00155974">
        <w:rPr>
          <w:i/>
        </w:rPr>
        <w:t>Framework for the Preparation and Presentation of Financial Statements</w:t>
      </w:r>
      <w:r w:rsidR="00EA4070" w:rsidRPr="00155974">
        <w:rPr>
          <w:szCs w:val="19"/>
          <w:lang w:eastAsia="en-AU"/>
        </w:rPr>
        <w:t>, but the relevant regulatory framework prohibits departure from the requirement, the entity shall, to the maximum extent possible, reduce the perceived misleading aspects of compliance by disclosing the following:</w:t>
      </w:r>
    </w:p>
    <w:p w14:paraId="4147635B" w14:textId="7BC83E38" w:rsidR="004E4871" w:rsidRDefault="00EA4070" w:rsidP="004E4871">
      <w:pPr>
        <w:spacing w:after="100"/>
        <w:ind w:left="2347" w:hanging="782"/>
        <w:rPr>
          <w:szCs w:val="19"/>
          <w:lang w:eastAsia="en-AU"/>
        </w:rPr>
      </w:pPr>
      <w:r w:rsidRPr="00155974">
        <w:rPr>
          <w:szCs w:val="19"/>
          <w:lang w:eastAsia="en-AU"/>
        </w:rPr>
        <w:t>(a)</w:t>
      </w:r>
      <w:r w:rsidRPr="00155974">
        <w:rPr>
          <w:szCs w:val="19"/>
          <w:lang w:eastAsia="en-AU"/>
        </w:rPr>
        <w:tab/>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155974">
        <w:rPr>
          <w:i/>
        </w:rPr>
        <w:t>Framework for the Preparation and Presentation of Financial Statements</w:t>
      </w:r>
      <w:r w:rsidRPr="00155974">
        <w:rPr>
          <w:szCs w:val="19"/>
          <w:lang w:eastAsia="en-AU"/>
        </w:rPr>
        <w:t>; and</w:t>
      </w:r>
    </w:p>
    <w:p w14:paraId="412E8EA5" w14:textId="5CA1ABC4" w:rsidR="00EA4070" w:rsidRPr="00155974" w:rsidRDefault="00EA4070" w:rsidP="004E4871">
      <w:pPr>
        <w:spacing w:after="100"/>
        <w:ind w:left="2347" w:hanging="782"/>
        <w:rPr>
          <w:szCs w:val="19"/>
          <w:lang w:eastAsia="en-AU"/>
        </w:rPr>
      </w:pPr>
      <w:r w:rsidRPr="00155974">
        <w:rPr>
          <w:szCs w:val="19"/>
          <w:lang w:eastAsia="en-AU"/>
        </w:rPr>
        <w:t>(b)</w:t>
      </w:r>
      <w:r w:rsidRPr="00155974">
        <w:rPr>
          <w:szCs w:val="19"/>
          <w:lang w:eastAsia="en-AU"/>
        </w:rPr>
        <w:tab/>
        <w:t>for each period presented, the adjustments to each item in the financial statements that management has concluded would be necessary to achieve a fair presentation.</w:t>
      </w:r>
    </w:p>
    <w:p w14:paraId="322335C5" w14:textId="77777777" w:rsidR="00EA4070" w:rsidRPr="00155974" w:rsidRDefault="00EA4070" w:rsidP="00022B10">
      <w:pPr>
        <w:pStyle w:val="IASBSectionTitle3Ind"/>
        <w:rPr>
          <w:lang w:eastAsia="en-AU"/>
        </w:rPr>
      </w:pPr>
      <w:r w:rsidRPr="00155974">
        <w:rPr>
          <w:lang w:eastAsia="en-AU"/>
        </w:rPr>
        <w:t>Going concern</w:t>
      </w:r>
    </w:p>
    <w:p w14:paraId="019E0FA8" w14:textId="4C07E7B3" w:rsidR="00B2574A" w:rsidRPr="00155974" w:rsidRDefault="00EA4070" w:rsidP="000E61D3">
      <w:pPr>
        <w:pStyle w:val="NumPlain1"/>
        <w:numPr>
          <w:ilvl w:val="0"/>
          <w:numId w:val="84"/>
        </w:numPr>
        <w:ind w:left="782" w:hanging="782"/>
        <w:rPr>
          <w:lang w:eastAsia="en-AU"/>
        </w:rPr>
      </w:pPr>
      <w:r w:rsidRPr="00155974">
        <w:rPr>
          <w:lang w:eastAsia="en-AU"/>
        </w:rPr>
        <w:t xml:space="preserve">When preparing financial statements, the management of an entity using </w:t>
      </w:r>
      <w:r w:rsidRPr="00155974">
        <w:t xml:space="preserve">Australian Accounting Standards – Simplified Disclosures </w:t>
      </w:r>
      <w:r w:rsidRPr="00155974">
        <w:rPr>
          <w:lang w:eastAsia="en-AU"/>
        </w:rPr>
        <w:t>shall make an assessment of the entity’s ability to continue as a going concern. An entity is a going concern unless management either intends to liquidate the entity or to cease operations, or has no realistic alternative but to do so. In assessing whether the going concern assumption is appropriate, management takes into account all available information about the future, which is at least, but is not limited to, twelve months from the reporting date.</w:t>
      </w:r>
      <w:r w:rsidR="00CF1EF5" w:rsidRPr="00155974">
        <w:rPr>
          <w:lang w:eastAsia="en-AU"/>
        </w:rPr>
        <w:t xml:space="preserve"> </w:t>
      </w:r>
      <w:r w:rsidR="00B2574A" w:rsidRPr="00155974">
        <w:rPr>
          <w:lang w:eastAsia="en-AU"/>
        </w:rPr>
        <w:t>[</w:t>
      </w:r>
      <w:r w:rsidR="0058144C" w:rsidRPr="00155974">
        <w:rPr>
          <w:i/>
          <w:iCs/>
          <w:lang w:eastAsia="en-AU"/>
        </w:rPr>
        <w:t>IFRS for SMEs</w:t>
      </w:r>
      <w:r w:rsidR="00B2574A" w:rsidRPr="00155974">
        <w:rPr>
          <w:lang w:eastAsia="en-AU"/>
        </w:rPr>
        <w:t xml:space="preserve"> Standard paragraph 3.8]</w:t>
      </w:r>
    </w:p>
    <w:p w14:paraId="5ADD0C34" w14:textId="66509385" w:rsidR="00BC6E8C" w:rsidRPr="00155974" w:rsidRDefault="00EA4070" w:rsidP="000E61D3">
      <w:pPr>
        <w:pStyle w:val="NumPlain1"/>
        <w:numPr>
          <w:ilvl w:val="0"/>
          <w:numId w:val="84"/>
        </w:numPr>
        <w:ind w:left="782" w:hanging="782"/>
        <w:rPr>
          <w:lang w:eastAsia="en-AU"/>
        </w:rPr>
      </w:pPr>
      <w:r w:rsidRPr="00155974">
        <w:rPr>
          <w:lang w:eastAsia="en-AU"/>
        </w:rPr>
        <w:t>When management is aware, in making its assessment, of material uncertainties related to events or conditions that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r w:rsidR="00CF1EF5" w:rsidRPr="00155974">
        <w:rPr>
          <w:lang w:eastAsia="en-AU"/>
        </w:rPr>
        <w:t xml:space="preserve"> </w:t>
      </w:r>
      <w:r w:rsidR="00BC6E8C" w:rsidRPr="00155974">
        <w:rPr>
          <w:lang w:eastAsia="en-AU"/>
        </w:rPr>
        <w:t>[</w:t>
      </w:r>
      <w:r w:rsidR="0058144C" w:rsidRPr="00155974">
        <w:rPr>
          <w:i/>
          <w:iCs/>
          <w:lang w:eastAsia="en-AU"/>
        </w:rPr>
        <w:t>IFRS for SMEs</w:t>
      </w:r>
      <w:r w:rsidR="00BC6E8C" w:rsidRPr="00155974">
        <w:rPr>
          <w:lang w:eastAsia="en-AU"/>
        </w:rPr>
        <w:t xml:space="preserve"> Standard paragraph 3.</w:t>
      </w:r>
      <w:r w:rsidR="00152E05" w:rsidRPr="00155974">
        <w:rPr>
          <w:lang w:eastAsia="en-AU"/>
        </w:rPr>
        <w:t>9</w:t>
      </w:r>
      <w:r w:rsidR="00BC6E8C" w:rsidRPr="00155974">
        <w:rPr>
          <w:lang w:eastAsia="en-AU"/>
        </w:rPr>
        <w:t>]</w:t>
      </w:r>
    </w:p>
    <w:p w14:paraId="290B6CF3" w14:textId="77777777" w:rsidR="00EA4070" w:rsidRPr="00155974" w:rsidRDefault="00EA4070" w:rsidP="00022B10">
      <w:pPr>
        <w:pStyle w:val="IASBSectionTitle3Ind"/>
        <w:rPr>
          <w:lang w:eastAsia="en-AU"/>
        </w:rPr>
      </w:pPr>
      <w:r w:rsidRPr="00022B10">
        <w:t>Frequency</w:t>
      </w:r>
      <w:r w:rsidRPr="00155974">
        <w:rPr>
          <w:lang w:eastAsia="en-AU"/>
        </w:rPr>
        <w:t xml:space="preserve"> of reporting</w:t>
      </w:r>
    </w:p>
    <w:p w14:paraId="365F7E05" w14:textId="3C3838D2" w:rsidR="00EA4070" w:rsidRPr="00155974" w:rsidRDefault="00EA4070" w:rsidP="000E61D3">
      <w:pPr>
        <w:pStyle w:val="NumPlain1"/>
        <w:numPr>
          <w:ilvl w:val="0"/>
          <w:numId w:val="84"/>
        </w:numPr>
        <w:ind w:left="782" w:hanging="782"/>
        <w:rPr>
          <w:lang w:eastAsia="en-AU"/>
        </w:rPr>
      </w:pPr>
      <w:r w:rsidRPr="00155974">
        <w:rPr>
          <w:lang w:eastAsia="en-AU"/>
        </w:rPr>
        <w:t>An entity shall present a complete set of financial statements (including comparative information</w:t>
      </w:r>
      <w:r w:rsidR="00D53C5C" w:rsidRPr="00155974">
        <w:rPr>
          <w:lang w:eastAsia="en-AU"/>
        </w:rPr>
        <w:t xml:space="preserve"> </w:t>
      </w:r>
      <w:r w:rsidRPr="00155974">
        <w:rPr>
          <w:lang w:eastAsia="en-AU"/>
        </w:rPr>
        <w:t>–</w:t>
      </w:r>
      <w:r w:rsidR="00D53C5C" w:rsidRPr="00155974">
        <w:rPr>
          <w:lang w:eastAsia="en-AU"/>
        </w:rPr>
        <w:t xml:space="preserve"> </w:t>
      </w:r>
      <w:r w:rsidRPr="00155974">
        <w:rPr>
          <w:lang w:eastAsia="en-AU"/>
        </w:rPr>
        <w:t>see paragraph</w:t>
      </w:r>
      <w:r w:rsidR="005C4A67" w:rsidRPr="00155974">
        <w:rPr>
          <w:lang w:eastAsia="en-AU"/>
        </w:rPr>
        <w:t xml:space="preserve"> </w:t>
      </w:r>
      <w:r w:rsidR="002B3193" w:rsidRPr="00155974">
        <w:rPr>
          <w:lang w:eastAsia="en-AU"/>
        </w:rPr>
        <w:t>20</w:t>
      </w:r>
      <w:r w:rsidRPr="00155974">
        <w:rPr>
          <w:lang w:eastAsia="en-AU"/>
        </w:rPr>
        <w:t>) at least annually. When the end of an entity’s reporting period changes and the annual financial statements are presented for a period longer or shorter than one year, the entity shall disclose the following:</w:t>
      </w:r>
    </w:p>
    <w:p w14:paraId="08725432" w14:textId="53E8B285" w:rsidR="00EA4070" w:rsidRPr="004E4871" w:rsidRDefault="00EA4070" w:rsidP="000E61D3">
      <w:pPr>
        <w:pStyle w:val="ListParagraph"/>
        <w:numPr>
          <w:ilvl w:val="0"/>
          <w:numId w:val="53"/>
        </w:numPr>
        <w:ind w:left="1564" w:hanging="782"/>
        <w:jc w:val="both"/>
        <w:rPr>
          <w:lang w:eastAsia="en-AU"/>
        </w:rPr>
      </w:pPr>
      <w:r w:rsidRPr="004E4871">
        <w:rPr>
          <w:lang w:eastAsia="en-AU"/>
        </w:rPr>
        <w:t>that fact;</w:t>
      </w:r>
    </w:p>
    <w:p w14:paraId="2514B57E" w14:textId="2115772E" w:rsidR="00EA4070" w:rsidRPr="004E4871" w:rsidRDefault="00EA4070" w:rsidP="000E61D3">
      <w:pPr>
        <w:pStyle w:val="ListParagraph"/>
        <w:numPr>
          <w:ilvl w:val="0"/>
          <w:numId w:val="53"/>
        </w:numPr>
        <w:ind w:left="1564" w:hanging="782"/>
        <w:jc w:val="both"/>
        <w:rPr>
          <w:lang w:eastAsia="en-AU"/>
        </w:rPr>
      </w:pPr>
      <w:r w:rsidRPr="004E4871">
        <w:rPr>
          <w:lang w:eastAsia="en-AU"/>
        </w:rPr>
        <w:t>the reason for using a longer or shorter period; and</w:t>
      </w:r>
    </w:p>
    <w:p w14:paraId="26836683" w14:textId="4F89D18A" w:rsidR="00EA4070" w:rsidRPr="004E4871" w:rsidRDefault="00EA4070" w:rsidP="00477BB8">
      <w:pPr>
        <w:pStyle w:val="ListParagraph"/>
        <w:keepNext/>
        <w:numPr>
          <w:ilvl w:val="0"/>
          <w:numId w:val="53"/>
        </w:numPr>
        <w:ind w:left="1564" w:hanging="782"/>
        <w:jc w:val="both"/>
        <w:rPr>
          <w:lang w:eastAsia="en-AU"/>
        </w:rPr>
      </w:pPr>
      <w:r w:rsidRPr="004E4871">
        <w:rPr>
          <w:lang w:eastAsia="en-AU"/>
        </w:rPr>
        <w:lastRenderedPageBreak/>
        <w:t>the fact that comparative amounts presented in the financial statements (including the related notes) are not entirely comparable.</w:t>
      </w:r>
    </w:p>
    <w:p w14:paraId="787A1AD5" w14:textId="1B7D29AB" w:rsidR="00AE3B19" w:rsidRPr="00155974" w:rsidRDefault="00AE3B19" w:rsidP="004E4871">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3.10]</w:t>
      </w:r>
    </w:p>
    <w:bookmarkEnd w:id="25"/>
    <w:p w14:paraId="69F5BF7B" w14:textId="34048D14" w:rsidR="00F42DB6" w:rsidRPr="00155974" w:rsidRDefault="00F42DB6" w:rsidP="00022B10">
      <w:pPr>
        <w:pStyle w:val="IASBSectionTitle3Ind"/>
        <w:rPr>
          <w:lang w:eastAsia="en-AU"/>
        </w:rPr>
      </w:pPr>
      <w:r w:rsidRPr="00155974">
        <w:rPr>
          <w:lang w:eastAsia="en-AU"/>
        </w:rPr>
        <w:t>Consistency of presentation</w:t>
      </w:r>
    </w:p>
    <w:p w14:paraId="13BFCFDE" w14:textId="3373FDB9" w:rsidR="00F42DB6" w:rsidRPr="00155974" w:rsidRDefault="00F42DB6" w:rsidP="000E61D3">
      <w:pPr>
        <w:pStyle w:val="NumPlain1"/>
        <w:numPr>
          <w:ilvl w:val="0"/>
          <w:numId w:val="84"/>
        </w:numPr>
        <w:ind w:left="782" w:hanging="782"/>
        <w:rPr>
          <w:lang w:eastAsia="en-AU"/>
        </w:rPr>
      </w:pPr>
      <w:r w:rsidRPr="00155974">
        <w:rPr>
          <w:lang w:eastAsia="en-AU"/>
        </w:rPr>
        <w:t>An entity shall retain the presentation and classification of items in the financial statements from one period to the next unless:</w:t>
      </w:r>
    </w:p>
    <w:p w14:paraId="409626A1" w14:textId="03D97A67" w:rsidR="00F42DB6" w:rsidRPr="004E4871" w:rsidRDefault="00F42DB6" w:rsidP="000E61D3">
      <w:pPr>
        <w:pStyle w:val="ListParagraph"/>
        <w:numPr>
          <w:ilvl w:val="0"/>
          <w:numId w:val="54"/>
        </w:numPr>
        <w:ind w:left="1564" w:hanging="782"/>
        <w:jc w:val="both"/>
        <w:rPr>
          <w:u w:val="single"/>
          <w:lang w:eastAsia="en-AU"/>
        </w:rPr>
      </w:pPr>
      <w:r w:rsidRPr="004E4871">
        <w:rPr>
          <w:lang w:eastAsia="en-AU"/>
        </w:rPr>
        <w:t xml:space="preserve">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 AASB 108 </w:t>
      </w:r>
      <w:r w:rsidRPr="004E4871">
        <w:rPr>
          <w:i/>
          <w:lang w:eastAsia="en-AU"/>
        </w:rPr>
        <w:t>Accounting Policies, Changes in Accounting Estimates and Errors</w:t>
      </w:r>
      <w:r w:rsidRPr="004E4871">
        <w:rPr>
          <w:lang w:eastAsia="en-AU"/>
        </w:rPr>
        <w:t>; or</w:t>
      </w:r>
    </w:p>
    <w:p w14:paraId="5B54C40E" w14:textId="49396CE0" w:rsidR="00F42DB6" w:rsidRPr="004E4871" w:rsidRDefault="00F42DB6" w:rsidP="00477BB8">
      <w:pPr>
        <w:pStyle w:val="ListParagraph"/>
        <w:keepNext/>
        <w:numPr>
          <w:ilvl w:val="0"/>
          <w:numId w:val="54"/>
        </w:numPr>
        <w:ind w:left="1564" w:hanging="782"/>
        <w:jc w:val="both"/>
        <w:rPr>
          <w:szCs w:val="19"/>
          <w:lang w:eastAsia="en-AU"/>
        </w:rPr>
      </w:pPr>
      <w:r w:rsidRPr="00155974">
        <w:t xml:space="preserve">Australian Accounting Standards – Simplified Disclosures </w:t>
      </w:r>
      <w:r w:rsidRPr="004E4871">
        <w:rPr>
          <w:szCs w:val="19"/>
          <w:lang w:eastAsia="en-AU"/>
        </w:rPr>
        <w:t>require a change in presentation.</w:t>
      </w:r>
    </w:p>
    <w:p w14:paraId="2433E68B" w14:textId="32644C94" w:rsidR="008D295C" w:rsidRPr="00155974" w:rsidRDefault="008D295C" w:rsidP="004E4871">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3.11]</w:t>
      </w:r>
    </w:p>
    <w:p w14:paraId="5DF2378F" w14:textId="3B12B4B4" w:rsidR="00F42DB6" w:rsidRPr="00155974" w:rsidRDefault="00F42DB6" w:rsidP="000E61D3">
      <w:pPr>
        <w:pStyle w:val="NumPlain1"/>
        <w:numPr>
          <w:ilvl w:val="0"/>
          <w:numId w:val="84"/>
        </w:numPr>
        <w:ind w:left="782" w:hanging="782"/>
        <w:rPr>
          <w:lang w:eastAsia="en-AU"/>
        </w:rPr>
      </w:pPr>
      <w:r w:rsidRPr="00155974">
        <w:rPr>
          <w:lang w:eastAsia="en-AU"/>
        </w:rPr>
        <w:t>When the presentation or classification of items in the financial statements is changed, an entity shall reclassify comparative amounts unless the reclassification is impracticable. When comparative amounts are reclassified, an entity shall disclose the following:</w:t>
      </w:r>
    </w:p>
    <w:p w14:paraId="304A470F" w14:textId="57AB235F" w:rsidR="00F42DB6" w:rsidRPr="00155974" w:rsidRDefault="00F42DB6" w:rsidP="000E61D3">
      <w:pPr>
        <w:pStyle w:val="ListParagraph"/>
        <w:numPr>
          <w:ilvl w:val="0"/>
          <w:numId w:val="55"/>
        </w:numPr>
        <w:ind w:left="1564" w:hanging="782"/>
        <w:jc w:val="both"/>
        <w:rPr>
          <w:lang w:eastAsia="en-AU"/>
        </w:rPr>
      </w:pPr>
      <w:r w:rsidRPr="00155974">
        <w:rPr>
          <w:lang w:eastAsia="en-AU"/>
        </w:rPr>
        <w:t>the nature of the reclassification;</w:t>
      </w:r>
    </w:p>
    <w:p w14:paraId="2C94E9AF" w14:textId="5B78E660" w:rsidR="00F42DB6" w:rsidRPr="00155974" w:rsidRDefault="00F42DB6" w:rsidP="000E61D3">
      <w:pPr>
        <w:pStyle w:val="ListParagraph"/>
        <w:numPr>
          <w:ilvl w:val="0"/>
          <w:numId w:val="55"/>
        </w:numPr>
        <w:ind w:left="1564" w:hanging="782"/>
        <w:jc w:val="both"/>
        <w:rPr>
          <w:lang w:eastAsia="en-AU"/>
        </w:rPr>
      </w:pPr>
      <w:r w:rsidRPr="00155974">
        <w:rPr>
          <w:lang w:eastAsia="en-AU"/>
        </w:rPr>
        <w:t>the amount of each item or class of items that is reclassified; and</w:t>
      </w:r>
    </w:p>
    <w:p w14:paraId="67D5B33E" w14:textId="482ADC2C" w:rsidR="00F42DB6" w:rsidRPr="00155974" w:rsidRDefault="00F42DB6" w:rsidP="004B0ADC">
      <w:pPr>
        <w:pStyle w:val="ListParagraph"/>
        <w:keepNext/>
        <w:numPr>
          <w:ilvl w:val="0"/>
          <w:numId w:val="55"/>
        </w:numPr>
        <w:ind w:left="1564" w:hanging="782"/>
        <w:jc w:val="both"/>
        <w:rPr>
          <w:lang w:eastAsia="en-AU"/>
        </w:rPr>
      </w:pPr>
      <w:r w:rsidRPr="00155974">
        <w:rPr>
          <w:lang w:eastAsia="en-AU"/>
        </w:rPr>
        <w:t>the reason for the reclassification.</w:t>
      </w:r>
    </w:p>
    <w:p w14:paraId="704335B8" w14:textId="4CDAAA1F" w:rsidR="0069370E" w:rsidRPr="00155974" w:rsidRDefault="0069370E" w:rsidP="004B0ADC">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3.12]</w:t>
      </w:r>
    </w:p>
    <w:p w14:paraId="2F69D7F2" w14:textId="3A4EA35B" w:rsidR="006B3460" w:rsidRPr="00155974" w:rsidRDefault="00F42DB6" w:rsidP="000E61D3">
      <w:pPr>
        <w:pStyle w:val="NumPlain1"/>
        <w:numPr>
          <w:ilvl w:val="0"/>
          <w:numId w:val="84"/>
        </w:numPr>
        <w:ind w:left="782" w:hanging="782"/>
        <w:rPr>
          <w:b/>
          <w:lang w:eastAsia="en-AU"/>
        </w:rPr>
      </w:pPr>
      <w:r w:rsidRPr="00155974">
        <w:rPr>
          <w:lang w:eastAsia="en-AU"/>
        </w:rPr>
        <w:t>If it is impracticable to reclassify comparative amounts, an entity shall disclose why reclassification was not practicable.</w:t>
      </w:r>
      <w:r w:rsidR="00CF1EF5" w:rsidRPr="00155974">
        <w:rPr>
          <w:lang w:eastAsia="en-AU"/>
        </w:rPr>
        <w:t xml:space="preserve"> </w:t>
      </w:r>
      <w:r w:rsidR="006B3460" w:rsidRPr="00155974">
        <w:rPr>
          <w:lang w:eastAsia="en-AU"/>
        </w:rPr>
        <w:t>[</w:t>
      </w:r>
      <w:r w:rsidR="0058144C" w:rsidRPr="00155974">
        <w:rPr>
          <w:i/>
          <w:iCs/>
          <w:lang w:eastAsia="en-AU"/>
        </w:rPr>
        <w:t>IFRS for SMEs</w:t>
      </w:r>
      <w:r w:rsidR="006B3460" w:rsidRPr="00155974">
        <w:rPr>
          <w:lang w:eastAsia="en-AU"/>
        </w:rPr>
        <w:t xml:space="preserve"> Standard paragraph 3.13]</w:t>
      </w:r>
    </w:p>
    <w:p w14:paraId="15E40FA6" w14:textId="77777777" w:rsidR="00F42DB6" w:rsidRPr="00155974" w:rsidRDefault="00F42DB6" w:rsidP="00022B10">
      <w:pPr>
        <w:pStyle w:val="IASBSectionTitle3Ind"/>
        <w:rPr>
          <w:lang w:eastAsia="en-AU"/>
        </w:rPr>
      </w:pPr>
      <w:r w:rsidRPr="00155974">
        <w:rPr>
          <w:lang w:eastAsia="en-AU"/>
        </w:rPr>
        <w:t>Comparative information</w:t>
      </w:r>
    </w:p>
    <w:p w14:paraId="2BF04106" w14:textId="2F4D6205" w:rsidR="004C2B15" w:rsidRPr="00155974" w:rsidRDefault="00F42DB6" w:rsidP="000E61D3">
      <w:pPr>
        <w:pStyle w:val="NumPlain1"/>
        <w:numPr>
          <w:ilvl w:val="0"/>
          <w:numId w:val="84"/>
        </w:numPr>
        <w:ind w:left="782" w:hanging="782"/>
        <w:rPr>
          <w:lang w:eastAsia="en-AU"/>
        </w:rPr>
      </w:pPr>
      <w:bookmarkStart w:id="27" w:name="_Ref34575759"/>
      <w:r w:rsidRPr="00155974">
        <w:rPr>
          <w:lang w:eastAsia="en-AU"/>
        </w:rPr>
        <w:t>Except when this Standard permits or requires otherwise, an entity shall disclose comparative information in respect of the previous comparable period for all amounts presented in the current period’s financial statements. An entity shall include comparative information for narrative and descriptive information when it is relevant to an understanding of the current period’s financial statements.</w:t>
      </w:r>
      <w:bookmarkEnd w:id="27"/>
      <w:r w:rsidR="00CF1EF5" w:rsidRPr="00155974">
        <w:rPr>
          <w:lang w:eastAsia="en-AU"/>
        </w:rPr>
        <w:t xml:space="preserve"> </w:t>
      </w:r>
      <w:r w:rsidR="004C2B15" w:rsidRPr="00155974">
        <w:rPr>
          <w:lang w:eastAsia="en-AU"/>
        </w:rPr>
        <w:t>[</w:t>
      </w:r>
      <w:r w:rsidR="0058144C" w:rsidRPr="00155974">
        <w:rPr>
          <w:i/>
          <w:iCs/>
          <w:lang w:eastAsia="en-AU"/>
        </w:rPr>
        <w:t>IFRS for SMEs</w:t>
      </w:r>
      <w:r w:rsidR="004C2B15" w:rsidRPr="00155974">
        <w:rPr>
          <w:lang w:eastAsia="en-AU"/>
        </w:rPr>
        <w:t xml:space="preserve"> Standard paragraph 3.14]</w:t>
      </w:r>
    </w:p>
    <w:p w14:paraId="4BE876C7" w14:textId="77777777" w:rsidR="00F42DB6" w:rsidRPr="00155974" w:rsidRDefault="00F42DB6" w:rsidP="00022B10">
      <w:pPr>
        <w:pStyle w:val="IASBSectionTitle3Ind"/>
        <w:rPr>
          <w:lang w:eastAsia="en-AU"/>
        </w:rPr>
      </w:pPr>
      <w:r w:rsidRPr="00155974">
        <w:rPr>
          <w:lang w:eastAsia="en-AU"/>
        </w:rPr>
        <w:t>Materiality and aggregation</w:t>
      </w:r>
    </w:p>
    <w:p w14:paraId="33E3CDFC" w14:textId="2AE4F104" w:rsidR="00B07331" w:rsidRPr="00155974" w:rsidRDefault="00F42DB6" w:rsidP="000E61D3">
      <w:pPr>
        <w:pStyle w:val="NumPlain1"/>
        <w:numPr>
          <w:ilvl w:val="0"/>
          <w:numId w:val="84"/>
        </w:numPr>
        <w:ind w:left="782" w:hanging="782"/>
        <w:rPr>
          <w:lang w:eastAsia="en-AU"/>
        </w:rPr>
      </w:pPr>
      <w:r w:rsidRPr="00155974">
        <w:rPr>
          <w:lang w:eastAsia="en-AU"/>
        </w:rPr>
        <w:t>An entity shall present separately each material class of similar items. An entity shall present separately items of a dissimilar nature or function unless they are immaterial.</w:t>
      </w:r>
      <w:r w:rsidR="00CF1EF5" w:rsidRPr="00155974">
        <w:rPr>
          <w:lang w:eastAsia="en-AU"/>
        </w:rPr>
        <w:t xml:space="preserve"> </w:t>
      </w:r>
      <w:r w:rsidR="00B07331" w:rsidRPr="00155974">
        <w:rPr>
          <w:lang w:eastAsia="en-AU"/>
        </w:rPr>
        <w:t>[</w:t>
      </w:r>
      <w:r w:rsidR="0058144C" w:rsidRPr="00155974">
        <w:rPr>
          <w:i/>
          <w:iCs/>
          <w:lang w:eastAsia="en-AU"/>
        </w:rPr>
        <w:t>IFRS for SMEs</w:t>
      </w:r>
      <w:r w:rsidR="00B07331" w:rsidRPr="00155974">
        <w:rPr>
          <w:lang w:eastAsia="en-AU"/>
        </w:rPr>
        <w:t xml:space="preserve"> Standard paragraph 3.</w:t>
      </w:r>
      <w:r w:rsidR="00B47EF1" w:rsidRPr="00155974">
        <w:rPr>
          <w:lang w:eastAsia="en-AU"/>
        </w:rPr>
        <w:t>15</w:t>
      </w:r>
      <w:r w:rsidR="00B07331" w:rsidRPr="00155974">
        <w:rPr>
          <w:lang w:eastAsia="en-AU"/>
        </w:rPr>
        <w:t>]</w:t>
      </w:r>
    </w:p>
    <w:p w14:paraId="7AAB4A57" w14:textId="2BFEF74D" w:rsidR="00880C04" w:rsidRPr="00155974" w:rsidRDefault="00F42DB6" w:rsidP="000E61D3">
      <w:pPr>
        <w:pStyle w:val="NumPlain1"/>
        <w:numPr>
          <w:ilvl w:val="0"/>
          <w:numId w:val="84"/>
        </w:numPr>
        <w:ind w:left="782" w:hanging="782"/>
      </w:pPr>
      <w:r w:rsidRPr="00155974">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r w:rsidR="00CF1EF5" w:rsidRPr="00155974">
        <w:t xml:space="preserve"> </w:t>
      </w:r>
      <w:r w:rsidR="00880C04" w:rsidRPr="00155974">
        <w:rPr>
          <w:szCs w:val="19"/>
          <w:lang w:eastAsia="en-AU"/>
        </w:rPr>
        <w:t xml:space="preserve">[Based on </w:t>
      </w:r>
      <w:r w:rsidR="0058144C" w:rsidRPr="00155974">
        <w:rPr>
          <w:i/>
          <w:iCs/>
          <w:szCs w:val="19"/>
          <w:lang w:eastAsia="en-AU"/>
        </w:rPr>
        <w:t>IFRS for SMEs</w:t>
      </w:r>
      <w:r w:rsidR="00880C04" w:rsidRPr="00155974">
        <w:rPr>
          <w:szCs w:val="19"/>
          <w:lang w:eastAsia="en-AU"/>
        </w:rPr>
        <w:t xml:space="preserve"> Standard paragraph 3.16]</w:t>
      </w:r>
    </w:p>
    <w:p w14:paraId="1B2E0085" w14:textId="6F621E6F" w:rsidR="00CB07A6" w:rsidRPr="00155974" w:rsidRDefault="00916061" w:rsidP="000E61D3">
      <w:pPr>
        <w:pStyle w:val="NumPlain1"/>
        <w:numPr>
          <w:ilvl w:val="0"/>
          <w:numId w:val="84"/>
        </w:numPr>
        <w:ind w:left="782" w:hanging="782"/>
        <w:rPr>
          <w:szCs w:val="19"/>
          <w:u w:val="single"/>
          <w:lang w:eastAsia="en-AU"/>
        </w:rPr>
      </w:pPr>
      <w:bookmarkStart w:id="28" w:name="_Ref35359575"/>
      <w:r w:rsidRPr="00155974">
        <w:t>This Standard</w:t>
      </w:r>
      <w:r w:rsidR="002E1DEB" w:rsidRPr="00155974">
        <w:t xml:space="preserve"> </w:t>
      </w:r>
      <w:r w:rsidR="00293116" w:rsidRPr="00155974">
        <w:t>specif</w:t>
      </w:r>
      <w:r w:rsidR="002E1DEB" w:rsidRPr="00155974">
        <w:t>ies</w:t>
      </w:r>
      <w:r w:rsidR="00293116" w:rsidRPr="00155974">
        <w:t xml:space="preserve"> information that is required to be included in the financial statements, which include the notes. An entity need not provide a specific disclosure if the information resulting from that disclosure is not material. This is the case even if </w:t>
      </w:r>
      <w:r w:rsidRPr="00155974">
        <w:t>this Standard</w:t>
      </w:r>
      <w:r w:rsidR="00814207" w:rsidRPr="00155974">
        <w:t xml:space="preserve"> </w:t>
      </w:r>
      <w:r w:rsidR="00293116" w:rsidRPr="00155974">
        <w:t>contains a list of specific requirements or describes them as minimum requirements.</w:t>
      </w:r>
      <w:bookmarkEnd w:id="28"/>
    </w:p>
    <w:p w14:paraId="46276868" w14:textId="77777777" w:rsidR="00F42DB6" w:rsidRPr="00155974" w:rsidRDefault="00F42DB6" w:rsidP="00022B10">
      <w:pPr>
        <w:pStyle w:val="IASBSectionTitle3Ind"/>
        <w:rPr>
          <w:lang w:eastAsia="en-AU"/>
        </w:rPr>
      </w:pPr>
      <w:r w:rsidRPr="00155974">
        <w:rPr>
          <w:lang w:eastAsia="en-AU"/>
        </w:rPr>
        <w:t>Offsetting</w:t>
      </w:r>
    </w:p>
    <w:p w14:paraId="70DD3F09" w14:textId="2D77774B" w:rsidR="00F42DB6" w:rsidRPr="00155974" w:rsidRDefault="00F42DB6" w:rsidP="000E61D3">
      <w:pPr>
        <w:pStyle w:val="NumPlain1"/>
        <w:numPr>
          <w:ilvl w:val="0"/>
          <w:numId w:val="84"/>
        </w:numPr>
        <w:ind w:left="782" w:hanging="782"/>
        <w:rPr>
          <w:lang w:eastAsia="en-AU"/>
        </w:rPr>
      </w:pPr>
      <w:bookmarkStart w:id="29" w:name="_Ref35359040"/>
      <w:r w:rsidRPr="00155974">
        <w:rPr>
          <w:lang w:eastAsia="en-AU"/>
        </w:rPr>
        <w:t>An entity shall not offset assets and liabilities or income and expenses, unless required or permitted by an Australian Accounting Standard.</w:t>
      </w:r>
      <w:bookmarkEnd w:id="29"/>
    </w:p>
    <w:p w14:paraId="72C833A1" w14:textId="77777777" w:rsidR="00F42DB6" w:rsidRPr="00155974" w:rsidRDefault="00F42DB6" w:rsidP="00022B10">
      <w:pPr>
        <w:pStyle w:val="IASBSectionTitle3Ind"/>
        <w:rPr>
          <w:lang w:eastAsia="en-AU"/>
        </w:rPr>
      </w:pPr>
      <w:r w:rsidRPr="00155974">
        <w:rPr>
          <w:lang w:eastAsia="en-AU"/>
        </w:rPr>
        <w:t>Complete set of financial statements</w:t>
      </w:r>
    </w:p>
    <w:p w14:paraId="05718EF8" w14:textId="3F4783DA" w:rsidR="00F42DB6" w:rsidRPr="00155974" w:rsidRDefault="00F42DB6" w:rsidP="00451716">
      <w:pPr>
        <w:pStyle w:val="NumPlain1"/>
        <w:keepNext/>
        <w:numPr>
          <w:ilvl w:val="0"/>
          <w:numId w:val="84"/>
        </w:numPr>
        <w:ind w:left="782" w:hanging="782"/>
        <w:rPr>
          <w:lang w:eastAsia="en-AU"/>
        </w:rPr>
      </w:pPr>
      <w:r w:rsidRPr="00155974">
        <w:rPr>
          <w:lang w:eastAsia="en-AU"/>
        </w:rPr>
        <w:t>A complete set of financial statements of an entity shall include all of the following:</w:t>
      </w:r>
    </w:p>
    <w:p w14:paraId="70866DB9" w14:textId="359A258D" w:rsidR="00F42DB6" w:rsidRPr="004E4871" w:rsidRDefault="00F42DB6" w:rsidP="000E61D3">
      <w:pPr>
        <w:pStyle w:val="ListParagraph"/>
        <w:numPr>
          <w:ilvl w:val="0"/>
          <w:numId w:val="56"/>
        </w:numPr>
        <w:ind w:left="1564" w:hanging="782"/>
        <w:jc w:val="both"/>
        <w:rPr>
          <w:lang w:eastAsia="en-AU"/>
        </w:rPr>
      </w:pPr>
      <w:r w:rsidRPr="004E4871">
        <w:rPr>
          <w:lang w:eastAsia="en-AU"/>
        </w:rPr>
        <w:t>a statement of financial position as at the reporting date;</w:t>
      </w:r>
    </w:p>
    <w:p w14:paraId="702C43CC" w14:textId="759F6684" w:rsidR="00F42DB6" w:rsidRPr="004E4871" w:rsidRDefault="00F42DB6" w:rsidP="00477BB8">
      <w:pPr>
        <w:pStyle w:val="ListParagraph"/>
        <w:keepNext/>
        <w:numPr>
          <w:ilvl w:val="0"/>
          <w:numId w:val="56"/>
        </w:numPr>
        <w:ind w:left="1564" w:hanging="782"/>
        <w:jc w:val="both"/>
        <w:rPr>
          <w:lang w:eastAsia="en-AU"/>
        </w:rPr>
      </w:pPr>
      <w:r w:rsidRPr="004E4871">
        <w:rPr>
          <w:lang w:eastAsia="en-AU"/>
        </w:rPr>
        <w:lastRenderedPageBreak/>
        <w:t>either:</w:t>
      </w:r>
    </w:p>
    <w:p w14:paraId="1057A8C3" w14:textId="6B7A9666" w:rsidR="004E4871" w:rsidRPr="004E4871" w:rsidRDefault="00F42DB6" w:rsidP="000E61D3">
      <w:pPr>
        <w:pStyle w:val="NumPlain1"/>
        <w:numPr>
          <w:ilvl w:val="0"/>
          <w:numId w:val="57"/>
        </w:numPr>
        <w:ind w:left="2347" w:hanging="782"/>
        <w:rPr>
          <w:lang w:eastAsia="en-AU"/>
        </w:rPr>
      </w:pPr>
      <w:r w:rsidRPr="004E4871">
        <w:rPr>
          <w:lang w:eastAsia="en-AU"/>
        </w:rPr>
        <w:t xml:space="preserve">a single statement of </w:t>
      </w:r>
      <w:r w:rsidR="00AE64E0" w:rsidRPr="004E4871">
        <w:rPr>
          <w:lang w:eastAsia="en-AU"/>
        </w:rPr>
        <w:t>profit or loss and other</w:t>
      </w:r>
      <w:r w:rsidRPr="004E4871">
        <w:rPr>
          <w:lang w:eastAsia="en-AU"/>
        </w:rPr>
        <w:t xml:space="preserve"> comprehensive income for the reporting period displaying all items of income and expense recognised during the period including those items recognised in determining profit or loss (which is a subtotal in the statement of comprehensive income) and items of other comprehensive income</w:t>
      </w:r>
      <w:r w:rsidR="00066964" w:rsidRPr="004E4871">
        <w:rPr>
          <w:lang w:eastAsia="en-AU"/>
        </w:rPr>
        <w:t>;</w:t>
      </w:r>
      <w:r w:rsidR="009A3AC2" w:rsidRPr="004E4871">
        <w:rPr>
          <w:lang w:eastAsia="en-AU"/>
        </w:rPr>
        <w:t xml:space="preserve"> or</w:t>
      </w:r>
    </w:p>
    <w:p w14:paraId="2B2D1DB6" w14:textId="58E8B280" w:rsidR="00F42DB6" w:rsidRPr="004E4871" w:rsidRDefault="00F42DB6" w:rsidP="000E61D3">
      <w:pPr>
        <w:pStyle w:val="ListParagraph"/>
        <w:numPr>
          <w:ilvl w:val="0"/>
          <w:numId w:val="57"/>
        </w:numPr>
        <w:ind w:left="2347" w:hanging="782"/>
        <w:jc w:val="both"/>
        <w:rPr>
          <w:lang w:eastAsia="en-AU"/>
        </w:rPr>
      </w:pPr>
      <w:r w:rsidRPr="004E4871">
        <w:rPr>
          <w:lang w:eastAsia="en-AU"/>
        </w:rPr>
        <w:t xml:space="preserve">a separate statement </w:t>
      </w:r>
      <w:r w:rsidR="00AE64E0" w:rsidRPr="004E4871">
        <w:rPr>
          <w:lang w:eastAsia="en-AU"/>
        </w:rPr>
        <w:t xml:space="preserve">of profit or loss </w:t>
      </w:r>
      <w:r w:rsidRPr="004E4871">
        <w:rPr>
          <w:lang w:eastAsia="en-AU"/>
        </w:rPr>
        <w:t xml:space="preserve">and a separate statement of comprehensive income. If an entity chooses to present both a statement </w:t>
      </w:r>
      <w:r w:rsidR="00C92090" w:rsidRPr="004E4871">
        <w:rPr>
          <w:lang w:eastAsia="en-AU"/>
        </w:rPr>
        <w:t xml:space="preserve">of profit or loss </w:t>
      </w:r>
      <w:r w:rsidRPr="004E4871">
        <w:rPr>
          <w:lang w:eastAsia="en-AU"/>
        </w:rPr>
        <w:t>and a statement of comprehensive income, the statement of comprehensive income begins with profit or loss and then displays the items of other comprehensive income</w:t>
      </w:r>
      <w:r w:rsidR="00B3179C" w:rsidRPr="004E4871">
        <w:rPr>
          <w:lang w:eastAsia="en-AU"/>
        </w:rPr>
        <w:t>;</w:t>
      </w:r>
    </w:p>
    <w:p w14:paraId="7CD9A80E" w14:textId="7214C49E" w:rsidR="00F42DB6" w:rsidRPr="00155974" w:rsidRDefault="00F42DB6" w:rsidP="000E61D3">
      <w:pPr>
        <w:pStyle w:val="ListParagraph"/>
        <w:numPr>
          <w:ilvl w:val="0"/>
          <w:numId w:val="56"/>
        </w:numPr>
        <w:ind w:left="1564" w:hanging="782"/>
        <w:jc w:val="both"/>
        <w:rPr>
          <w:lang w:eastAsia="en-AU"/>
        </w:rPr>
      </w:pPr>
      <w:r w:rsidRPr="00155974">
        <w:rPr>
          <w:lang w:eastAsia="en-AU"/>
        </w:rPr>
        <w:t>a statement of changes in equity for the reporting period;</w:t>
      </w:r>
    </w:p>
    <w:p w14:paraId="4511123A" w14:textId="21C7E5B9" w:rsidR="00F42DB6" w:rsidRPr="00155974" w:rsidRDefault="00F42DB6" w:rsidP="000E61D3">
      <w:pPr>
        <w:pStyle w:val="ListParagraph"/>
        <w:numPr>
          <w:ilvl w:val="0"/>
          <w:numId w:val="56"/>
        </w:numPr>
        <w:ind w:left="1564" w:hanging="782"/>
        <w:jc w:val="both"/>
        <w:rPr>
          <w:lang w:eastAsia="en-AU"/>
        </w:rPr>
      </w:pPr>
      <w:r w:rsidRPr="00155974">
        <w:rPr>
          <w:lang w:eastAsia="en-AU"/>
        </w:rPr>
        <w:t>a statement of cash flows for the reporting period; and</w:t>
      </w:r>
    </w:p>
    <w:p w14:paraId="3AF51FB3" w14:textId="0CC4BBA8" w:rsidR="00F42DB6" w:rsidRPr="00155974" w:rsidRDefault="00F42DB6" w:rsidP="00477BB8">
      <w:pPr>
        <w:pStyle w:val="ListParagraph"/>
        <w:keepNext/>
        <w:numPr>
          <w:ilvl w:val="0"/>
          <w:numId w:val="56"/>
        </w:numPr>
        <w:ind w:left="1564" w:hanging="782"/>
        <w:jc w:val="both"/>
        <w:rPr>
          <w:lang w:eastAsia="en-AU"/>
        </w:rPr>
      </w:pPr>
      <w:r w:rsidRPr="00155974">
        <w:rPr>
          <w:lang w:eastAsia="en-AU"/>
        </w:rPr>
        <w:t>notes, comprising significant accounting policies and other explanatory information.</w:t>
      </w:r>
    </w:p>
    <w:p w14:paraId="099B158D" w14:textId="3D05FC5D" w:rsidR="007F3324" w:rsidRPr="00155974" w:rsidRDefault="001A2DAF" w:rsidP="004E4871">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3.17]</w:t>
      </w:r>
    </w:p>
    <w:p w14:paraId="2F466480" w14:textId="725FE083" w:rsidR="00BD4880" w:rsidRPr="00155974" w:rsidRDefault="00F42DB6" w:rsidP="000E61D3">
      <w:pPr>
        <w:pStyle w:val="NumPlain1"/>
        <w:numPr>
          <w:ilvl w:val="0"/>
          <w:numId w:val="84"/>
        </w:numPr>
        <w:ind w:left="782" w:hanging="782"/>
        <w:rPr>
          <w:lang w:eastAsia="en-AU"/>
        </w:rPr>
      </w:pPr>
      <w:bookmarkStart w:id="30" w:name="_Ref34729963"/>
      <w:r w:rsidRPr="00155974">
        <w:rPr>
          <w:lang w:eastAsia="en-AU"/>
        </w:rPr>
        <w:t xml:space="preserve">If the only changes to equity during the periods for which financial statements are presented arise from profit or loss, payment of dividends, corrections of prior period errors, and changes in accounting policy, the entity may present a single statement of income and retained earnings in place of the statement of comprehensive income and statement of changes in equity (see paragraph </w:t>
      </w:r>
      <w:r w:rsidR="002B3193" w:rsidRPr="00155974">
        <w:rPr>
          <w:lang w:eastAsia="en-AU"/>
        </w:rPr>
        <w:t>6</w:t>
      </w:r>
      <w:r w:rsidR="00B165B4">
        <w:rPr>
          <w:lang w:eastAsia="en-AU"/>
        </w:rPr>
        <w:t>2</w:t>
      </w:r>
      <w:r w:rsidRPr="00155974">
        <w:rPr>
          <w:lang w:eastAsia="en-AU"/>
        </w:rPr>
        <w:t>).</w:t>
      </w:r>
      <w:r w:rsidR="00621BD4" w:rsidRPr="00155974">
        <w:rPr>
          <w:lang w:eastAsia="en-AU"/>
        </w:rPr>
        <w:t xml:space="preserve"> </w:t>
      </w:r>
      <w:r w:rsidR="00BD4880" w:rsidRPr="00155974">
        <w:rPr>
          <w:lang w:eastAsia="en-AU"/>
        </w:rPr>
        <w:t>[</w:t>
      </w:r>
      <w:r w:rsidR="0058144C" w:rsidRPr="00155974">
        <w:rPr>
          <w:i/>
          <w:iCs/>
          <w:lang w:eastAsia="en-AU"/>
        </w:rPr>
        <w:t>IFRS for SMEs</w:t>
      </w:r>
      <w:r w:rsidR="00BD4880" w:rsidRPr="00155974">
        <w:rPr>
          <w:lang w:eastAsia="en-AU"/>
        </w:rPr>
        <w:t xml:space="preserve"> Standard paragraph 3.18]</w:t>
      </w:r>
      <w:bookmarkEnd w:id="30"/>
    </w:p>
    <w:p w14:paraId="1DFE11AA" w14:textId="0B1A3EBE" w:rsidR="00F130F2" w:rsidRPr="00155974" w:rsidRDefault="00F42DB6" w:rsidP="000E61D3">
      <w:pPr>
        <w:pStyle w:val="NumPlain1"/>
        <w:numPr>
          <w:ilvl w:val="0"/>
          <w:numId w:val="84"/>
        </w:numPr>
        <w:ind w:left="782" w:hanging="782"/>
        <w:rPr>
          <w:lang w:eastAsia="en-AU"/>
        </w:rPr>
      </w:pPr>
      <w:r w:rsidRPr="00155974">
        <w:rPr>
          <w:lang w:eastAsia="en-AU"/>
        </w:rPr>
        <w:t xml:space="preserve">If an entity has no items of other comprehensive income in any of the periods for which financial statements are presented, it may present only a statement </w:t>
      </w:r>
      <w:r w:rsidR="00A41D34" w:rsidRPr="00155974">
        <w:rPr>
          <w:lang w:eastAsia="en-AU"/>
        </w:rPr>
        <w:t xml:space="preserve">of profit or loss </w:t>
      </w:r>
      <w:r w:rsidRPr="00155974">
        <w:rPr>
          <w:lang w:eastAsia="en-AU"/>
        </w:rPr>
        <w:t>or it may present a statement of comprehensive income in which the ‘bottom line’ is labelled ‘profit or loss’.</w:t>
      </w:r>
      <w:r w:rsidR="00621BD4" w:rsidRPr="00155974">
        <w:rPr>
          <w:lang w:eastAsia="en-AU"/>
        </w:rPr>
        <w:t xml:space="preserve"> </w:t>
      </w:r>
      <w:r w:rsidR="00F130F2" w:rsidRPr="00155974">
        <w:rPr>
          <w:lang w:eastAsia="en-AU"/>
        </w:rPr>
        <w:t>[</w:t>
      </w:r>
      <w:r w:rsidR="0058144C" w:rsidRPr="00155974">
        <w:rPr>
          <w:i/>
          <w:iCs/>
          <w:lang w:eastAsia="en-AU"/>
        </w:rPr>
        <w:t>IFRS for SMEs</w:t>
      </w:r>
      <w:r w:rsidR="00F130F2" w:rsidRPr="00155974">
        <w:rPr>
          <w:lang w:eastAsia="en-AU"/>
        </w:rPr>
        <w:t xml:space="preserve"> Standard paragraph 3.19]</w:t>
      </w:r>
    </w:p>
    <w:p w14:paraId="77ADDC94" w14:textId="08E5B86C" w:rsidR="00D42EAE" w:rsidRPr="00155974" w:rsidRDefault="00F42DB6" w:rsidP="000E61D3">
      <w:pPr>
        <w:pStyle w:val="NumPlain1"/>
        <w:numPr>
          <w:ilvl w:val="0"/>
          <w:numId w:val="84"/>
        </w:numPr>
        <w:ind w:left="782" w:hanging="782"/>
        <w:rPr>
          <w:lang w:eastAsia="en-AU"/>
        </w:rPr>
      </w:pPr>
      <w:r w:rsidRPr="00155974">
        <w:rPr>
          <w:lang w:eastAsia="en-AU"/>
        </w:rPr>
        <w:t xml:space="preserve">Because paragraph </w:t>
      </w:r>
      <w:r w:rsidR="002B3193" w:rsidRPr="00155974">
        <w:rPr>
          <w:lang w:eastAsia="en-AU"/>
        </w:rPr>
        <w:t>20</w:t>
      </w:r>
      <w:r w:rsidR="0016247B" w:rsidRPr="00155974">
        <w:rPr>
          <w:lang w:eastAsia="en-AU"/>
        </w:rPr>
        <w:t xml:space="preserve"> </w:t>
      </w:r>
      <w:r w:rsidRPr="00155974">
        <w:rPr>
          <w:lang w:eastAsia="en-AU"/>
        </w:rPr>
        <w:t>requires comparative amounts in respect of the previous period for all amounts presented in the financial statements, a complete set of financial statements means that an entity shall present, as a minimum, two of each of the required financial statements and related notes.</w:t>
      </w:r>
      <w:r w:rsidR="00621BD4" w:rsidRPr="00155974">
        <w:rPr>
          <w:lang w:eastAsia="en-AU"/>
        </w:rPr>
        <w:t xml:space="preserve"> </w:t>
      </w:r>
      <w:r w:rsidR="00D42EAE" w:rsidRPr="00155974">
        <w:rPr>
          <w:lang w:eastAsia="en-AU"/>
        </w:rPr>
        <w:t>[</w:t>
      </w:r>
      <w:r w:rsidR="0058144C" w:rsidRPr="00155974">
        <w:rPr>
          <w:i/>
          <w:iCs/>
          <w:lang w:eastAsia="en-AU"/>
        </w:rPr>
        <w:t>IFRS for SMEs</w:t>
      </w:r>
      <w:r w:rsidR="00D42EAE" w:rsidRPr="00155974">
        <w:rPr>
          <w:lang w:eastAsia="en-AU"/>
        </w:rPr>
        <w:t xml:space="preserve"> Standard paragraph 3.</w:t>
      </w:r>
      <w:r w:rsidR="004923C8" w:rsidRPr="00155974">
        <w:rPr>
          <w:lang w:eastAsia="en-AU"/>
        </w:rPr>
        <w:t>20]</w:t>
      </w:r>
    </w:p>
    <w:p w14:paraId="4D13884E" w14:textId="7230C6A7" w:rsidR="002D62AB" w:rsidRPr="00155974" w:rsidRDefault="00F42DB6" w:rsidP="000E61D3">
      <w:pPr>
        <w:pStyle w:val="NumPlain1"/>
        <w:numPr>
          <w:ilvl w:val="0"/>
          <w:numId w:val="84"/>
        </w:numPr>
        <w:ind w:left="782" w:hanging="782"/>
        <w:rPr>
          <w:lang w:eastAsia="en-AU"/>
        </w:rPr>
      </w:pPr>
      <w:r w:rsidRPr="00155974">
        <w:rPr>
          <w:lang w:eastAsia="en-AU"/>
        </w:rPr>
        <w:t>In a complete set of financial statements, an entity shall present each financial statement with equal prominence.</w:t>
      </w:r>
      <w:r w:rsidR="00621BD4" w:rsidRPr="00155974">
        <w:rPr>
          <w:lang w:eastAsia="en-AU"/>
        </w:rPr>
        <w:t xml:space="preserve"> </w:t>
      </w:r>
      <w:r w:rsidR="002D62AB" w:rsidRPr="00155974">
        <w:rPr>
          <w:lang w:eastAsia="en-AU"/>
        </w:rPr>
        <w:t>[</w:t>
      </w:r>
      <w:r w:rsidR="0058144C" w:rsidRPr="00155974">
        <w:rPr>
          <w:i/>
          <w:iCs/>
          <w:lang w:eastAsia="en-AU"/>
        </w:rPr>
        <w:t>IFRS for SMEs</w:t>
      </w:r>
      <w:r w:rsidR="002D62AB" w:rsidRPr="00155974">
        <w:rPr>
          <w:lang w:eastAsia="en-AU"/>
        </w:rPr>
        <w:t xml:space="preserve"> Standard paragraph 3.21]</w:t>
      </w:r>
    </w:p>
    <w:p w14:paraId="5858FFBD" w14:textId="5441F206" w:rsidR="002D62AB" w:rsidRPr="00155974" w:rsidRDefault="00F42DB6" w:rsidP="000E61D3">
      <w:pPr>
        <w:pStyle w:val="NumPlain1"/>
        <w:numPr>
          <w:ilvl w:val="0"/>
          <w:numId w:val="84"/>
        </w:numPr>
        <w:ind w:left="782" w:hanging="782"/>
        <w:rPr>
          <w:lang w:eastAsia="en-AU"/>
        </w:rPr>
      </w:pPr>
      <w:r w:rsidRPr="00155974">
        <w:rPr>
          <w:lang w:eastAsia="en-AU"/>
        </w:rPr>
        <w:t>An entity may use titles for the financial statements other than those used in this Standard as long as they are not misleading.</w:t>
      </w:r>
      <w:r w:rsidR="00621BD4" w:rsidRPr="00155974">
        <w:rPr>
          <w:lang w:eastAsia="en-AU"/>
        </w:rPr>
        <w:t xml:space="preserve"> </w:t>
      </w:r>
      <w:r w:rsidR="002D62AB" w:rsidRPr="00155974">
        <w:rPr>
          <w:lang w:eastAsia="en-AU"/>
        </w:rPr>
        <w:t>[</w:t>
      </w:r>
      <w:r w:rsidR="0058144C" w:rsidRPr="00155974">
        <w:rPr>
          <w:i/>
          <w:iCs/>
          <w:lang w:eastAsia="en-AU"/>
        </w:rPr>
        <w:t>IFRS for SMEs</w:t>
      </w:r>
      <w:r w:rsidR="002D62AB" w:rsidRPr="00155974">
        <w:rPr>
          <w:lang w:eastAsia="en-AU"/>
        </w:rPr>
        <w:t xml:space="preserve"> Standard paragraph 3.22]</w:t>
      </w:r>
    </w:p>
    <w:p w14:paraId="537B591D" w14:textId="77777777" w:rsidR="00F42DB6" w:rsidRPr="00155974" w:rsidRDefault="00F42DB6" w:rsidP="00022B10">
      <w:pPr>
        <w:pStyle w:val="IASBSectionTitle3Ind"/>
        <w:rPr>
          <w:lang w:eastAsia="en-AU"/>
        </w:rPr>
      </w:pPr>
      <w:r w:rsidRPr="00155974">
        <w:rPr>
          <w:lang w:eastAsia="en-AU"/>
        </w:rPr>
        <w:t>Identification of the financial statements</w:t>
      </w:r>
    </w:p>
    <w:p w14:paraId="3E169155" w14:textId="00EEA5AD" w:rsidR="00F42DB6" w:rsidRPr="00155974" w:rsidRDefault="00F42DB6" w:rsidP="000E61D3">
      <w:pPr>
        <w:pStyle w:val="NumPlain1"/>
        <w:numPr>
          <w:ilvl w:val="0"/>
          <w:numId w:val="84"/>
        </w:numPr>
        <w:ind w:left="782" w:hanging="782"/>
        <w:rPr>
          <w:lang w:eastAsia="en-AU"/>
        </w:rPr>
      </w:pPr>
      <w:r w:rsidRPr="00155974">
        <w:rPr>
          <w:lang w:eastAsia="en-AU"/>
        </w:rPr>
        <w:t>An entity shall clearly identify each of the financial statements and the notes and distinguish them from other information in the same document. In addition, an entity shall display the following information prominently and repeat it when necessary for an understanding of the information presented:</w:t>
      </w:r>
    </w:p>
    <w:p w14:paraId="02D23257" w14:textId="5E569AFD" w:rsidR="00F42DB6" w:rsidRPr="004E4871" w:rsidRDefault="00F42DB6" w:rsidP="000E61D3">
      <w:pPr>
        <w:pStyle w:val="ListParagraph"/>
        <w:numPr>
          <w:ilvl w:val="0"/>
          <w:numId w:val="58"/>
        </w:numPr>
        <w:ind w:left="1564" w:hanging="782"/>
        <w:jc w:val="both"/>
        <w:rPr>
          <w:lang w:eastAsia="en-AU"/>
        </w:rPr>
      </w:pPr>
      <w:r w:rsidRPr="004E4871">
        <w:rPr>
          <w:lang w:eastAsia="en-AU"/>
        </w:rPr>
        <w:t>the name of the reporting entity and any change in its name since the end of the preceding reporting period;</w:t>
      </w:r>
    </w:p>
    <w:p w14:paraId="54E1D985" w14:textId="3B84BE25" w:rsidR="00F42DB6" w:rsidRPr="004E4871" w:rsidRDefault="00F42DB6" w:rsidP="000E61D3">
      <w:pPr>
        <w:pStyle w:val="ListParagraph"/>
        <w:numPr>
          <w:ilvl w:val="0"/>
          <w:numId w:val="58"/>
        </w:numPr>
        <w:ind w:left="1564" w:hanging="782"/>
        <w:jc w:val="both"/>
        <w:rPr>
          <w:lang w:eastAsia="en-AU"/>
        </w:rPr>
      </w:pPr>
      <w:r w:rsidRPr="004E4871">
        <w:rPr>
          <w:lang w:eastAsia="en-AU"/>
        </w:rPr>
        <w:t>whether the financial statements cover the individual entity or a group of entities;</w:t>
      </w:r>
    </w:p>
    <w:p w14:paraId="776299B5" w14:textId="6E7F5566" w:rsidR="00F42DB6" w:rsidRPr="004E4871" w:rsidRDefault="00F42DB6" w:rsidP="000E61D3">
      <w:pPr>
        <w:pStyle w:val="ListParagraph"/>
        <w:numPr>
          <w:ilvl w:val="0"/>
          <w:numId w:val="58"/>
        </w:numPr>
        <w:ind w:left="1564" w:hanging="782"/>
        <w:jc w:val="both"/>
        <w:rPr>
          <w:lang w:eastAsia="en-AU"/>
        </w:rPr>
      </w:pPr>
      <w:r w:rsidRPr="004E4871">
        <w:rPr>
          <w:lang w:eastAsia="en-AU"/>
        </w:rPr>
        <w:t>the date of the end of the reporting period and the period covered by the financial statements;</w:t>
      </w:r>
    </w:p>
    <w:p w14:paraId="1CAFB628" w14:textId="25FC2098" w:rsidR="00F42DB6" w:rsidRPr="004E4871" w:rsidRDefault="00F42DB6" w:rsidP="000E61D3">
      <w:pPr>
        <w:pStyle w:val="ListParagraph"/>
        <w:numPr>
          <w:ilvl w:val="0"/>
          <w:numId w:val="58"/>
        </w:numPr>
        <w:ind w:left="1564" w:hanging="782"/>
        <w:jc w:val="both"/>
        <w:rPr>
          <w:lang w:eastAsia="en-AU"/>
        </w:rPr>
      </w:pPr>
      <w:r w:rsidRPr="004E4871">
        <w:rPr>
          <w:lang w:eastAsia="en-AU"/>
        </w:rPr>
        <w:t xml:space="preserve">the presentation currency, as defined in AASB 121 </w:t>
      </w:r>
      <w:r w:rsidRPr="004E4871">
        <w:rPr>
          <w:i/>
          <w:lang w:eastAsia="en-AU"/>
        </w:rPr>
        <w:t>The Effects of Changes in Foreign Exchange Rates</w:t>
      </w:r>
      <w:r w:rsidRPr="004E4871">
        <w:rPr>
          <w:lang w:eastAsia="en-AU"/>
        </w:rPr>
        <w:t>; and</w:t>
      </w:r>
    </w:p>
    <w:p w14:paraId="1BEBEAAF" w14:textId="547B287B" w:rsidR="00F42DB6" w:rsidRPr="004E4871" w:rsidRDefault="00F42DB6" w:rsidP="00477BB8">
      <w:pPr>
        <w:pStyle w:val="ListParagraph"/>
        <w:keepNext/>
        <w:numPr>
          <w:ilvl w:val="0"/>
          <w:numId w:val="58"/>
        </w:numPr>
        <w:ind w:left="1564" w:hanging="782"/>
        <w:jc w:val="both"/>
        <w:rPr>
          <w:lang w:eastAsia="en-AU"/>
        </w:rPr>
      </w:pPr>
      <w:r w:rsidRPr="004E4871">
        <w:rPr>
          <w:lang w:eastAsia="en-AU"/>
        </w:rPr>
        <w:t>the level of rounding, if any, used in presenting amounts in the financial statements.</w:t>
      </w:r>
    </w:p>
    <w:p w14:paraId="0DA5E5C0" w14:textId="0B761CAE" w:rsidR="00395172" w:rsidRPr="00155974" w:rsidRDefault="00395172" w:rsidP="00974B52">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3.23]</w:t>
      </w:r>
    </w:p>
    <w:p w14:paraId="4497005C" w14:textId="13CCD88B" w:rsidR="00F42DB6" w:rsidRPr="00155974" w:rsidRDefault="00F42DB6" w:rsidP="000E61D3">
      <w:pPr>
        <w:pStyle w:val="NumPlain1"/>
        <w:numPr>
          <w:ilvl w:val="0"/>
          <w:numId w:val="84"/>
        </w:numPr>
        <w:ind w:left="782" w:hanging="782"/>
        <w:rPr>
          <w:lang w:eastAsia="en-AU"/>
        </w:rPr>
      </w:pPr>
      <w:bookmarkStart w:id="31" w:name="_Ref35360009"/>
      <w:r w:rsidRPr="00155974">
        <w:rPr>
          <w:lang w:eastAsia="en-AU"/>
        </w:rPr>
        <w:t>An entity shall disclose the following, if not disclosed elsewhere in information published with the financial statements:</w:t>
      </w:r>
      <w:bookmarkEnd w:id="31"/>
    </w:p>
    <w:p w14:paraId="6FF59985" w14:textId="210E446C" w:rsidR="00F42DB6" w:rsidRPr="004E4871" w:rsidRDefault="00F42DB6" w:rsidP="000E61D3">
      <w:pPr>
        <w:pStyle w:val="ListParagraph"/>
        <w:numPr>
          <w:ilvl w:val="0"/>
          <w:numId w:val="59"/>
        </w:numPr>
        <w:ind w:left="1564" w:hanging="782"/>
        <w:jc w:val="both"/>
        <w:rPr>
          <w:lang w:eastAsia="en-AU"/>
        </w:rPr>
      </w:pPr>
      <w:r w:rsidRPr="004E4871">
        <w:rPr>
          <w:lang w:eastAsia="en-AU"/>
        </w:rPr>
        <w:t>the domicile and legal form of the entity, its country of incorporation and the address of its registered office (or principal place of business, if different from the registered office); and</w:t>
      </w:r>
    </w:p>
    <w:p w14:paraId="3C0F63D3" w14:textId="3B63B49B" w:rsidR="00F42DB6" w:rsidRPr="004E4871" w:rsidRDefault="00F42DB6" w:rsidP="00477BB8">
      <w:pPr>
        <w:pStyle w:val="ListParagraph"/>
        <w:keepNext/>
        <w:numPr>
          <w:ilvl w:val="0"/>
          <w:numId w:val="59"/>
        </w:numPr>
        <w:ind w:left="1564" w:hanging="782"/>
        <w:jc w:val="both"/>
        <w:rPr>
          <w:lang w:eastAsia="en-AU"/>
        </w:rPr>
      </w:pPr>
      <w:r w:rsidRPr="004E4871">
        <w:rPr>
          <w:lang w:eastAsia="en-AU"/>
        </w:rPr>
        <w:t>a description of the nature of the entity’s operations and its principal activities</w:t>
      </w:r>
      <w:r w:rsidR="005D7C53" w:rsidRPr="004E4871">
        <w:rPr>
          <w:lang w:eastAsia="en-AU"/>
        </w:rPr>
        <w:t>.</w:t>
      </w:r>
    </w:p>
    <w:p w14:paraId="1EBC62AD" w14:textId="4D36E426" w:rsidR="005D7C53" w:rsidRPr="00155974" w:rsidRDefault="005D7C53" w:rsidP="00233B7B">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3.24]</w:t>
      </w:r>
    </w:p>
    <w:p w14:paraId="35756DB2" w14:textId="77777777" w:rsidR="00F42DB6" w:rsidRPr="00155974" w:rsidRDefault="00F42DB6" w:rsidP="00022B10">
      <w:pPr>
        <w:pStyle w:val="IASBSectionTitle3Ind"/>
        <w:rPr>
          <w:lang w:eastAsia="en-AU"/>
        </w:rPr>
      </w:pPr>
      <w:r w:rsidRPr="00155974">
        <w:rPr>
          <w:lang w:eastAsia="en-AU"/>
        </w:rPr>
        <w:t>Presentation of information not required by this Standard</w:t>
      </w:r>
    </w:p>
    <w:p w14:paraId="7EBBA8DD" w14:textId="7B14822F" w:rsidR="0013478D" w:rsidRPr="00155974" w:rsidRDefault="00F42DB6" w:rsidP="000E61D3">
      <w:pPr>
        <w:pStyle w:val="NumPlain1"/>
        <w:numPr>
          <w:ilvl w:val="0"/>
          <w:numId w:val="84"/>
        </w:numPr>
        <w:ind w:left="782" w:hanging="782"/>
        <w:rPr>
          <w:lang w:eastAsia="en-AU"/>
        </w:rPr>
      </w:pPr>
      <w:bookmarkStart w:id="32" w:name="_Ref35356688"/>
      <w:r w:rsidRPr="00155974">
        <w:rPr>
          <w:lang w:eastAsia="en-AU"/>
        </w:rPr>
        <w:t xml:space="preserve">This Standard does not address presentation of segment information (AASB 8 </w:t>
      </w:r>
      <w:r w:rsidRPr="00155974">
        <w:rPr>
          <w:i/>
          <w:lang w:eastAsia="en-AU"/>
        </w:rPr>
        <w:t>Operating Segments</w:t>
      </w:r>
      <w:r w:rsidRPr="00155974">
        <w:rPr>
          <w:lang w:eastAsia="en-AU"/>
        </w:rPr>
        <w:t xml:space="preserve">), earnings per share (AASB 133 </w:t>
      </w:r>
      <w:r w:rsidRPr="00155974">
        <w:rPr>
          <w:i/>
          <w:lang w:eastAsia="en-AU"/>
        </w:rPr>
        <w:t>Earnings per Share</w:t>
      </w:r>
      <w:r w:rsidRPr="00155974">
        <w:rPr>
          <w:lang w:eastAsia="en-AU"/>
        </w:rPr>
        <w:t xml:space="preserve">), or interim financial reports (AASB 134). An entity making such </w:t>
      </w:r>
      <w:r w:rsidRPr="00155974">
        <w:rPr>
          <w:lang w:eastAsia="en-AU"/>
        </w:rPr>
        <w:lastRenderedPageBreak/>
        <w:t xml:space="preserve">disclosures shall apply the relevant </w:t>
      </w:r>
      <w:r w:rsidR="00D61FAB" w:rsidRPr="00155974">
        <w:rPr>
          <w:lang w:eastAsia="en-AU"/>
        </w:rPr>
        <w:t>Standard</w:t>
      </w:r>
      <w:r w:rsidRPr="00155974">
        <w:rPr>
          <w:lang w:eastAsia="en-AU"/>
        </w:rPr>
        <w:t>s in preparing and presenting the information.</w:t>
      </w:r>
      <w:r w:rsidR="00C25DF2" w:rsidRPr="00155974">
        <w:rPr>
          <w:lang w:eastAsia="en-AU"/>
        </w:rPr>
        <w:t xml:space="preserve"> </w:t>
      </w:r>
      <w:r w:rsidR="0013478D" w:rsidRPr="00155974">
        <w:rPr>
          <w:lang w:eastAsia="en-AU"/>
        </w:rPr>
        <w:t>[</w:t>
      </w:r>
      <w:r w:rsidR="0058144C" w:rsidRPr="00155974">
        <w:rPr>
          <w:i/>
          <w:iCs/>
          <w:lang w:eastAsia="en-AU"/>
        </w:rPr>
        <w:t>IFRS for SMEs</w:t>
      </w:r>
      <w:r w:rsidR="0013478D" w:rsidRPr="00155974">
        <w:rPr>
          <w:lang w:eastAsia="en-AU"/>
        </w:rPr>
        <w:t xml:space="preserve"> Standard paragraph 3.25]</w:t>
      </w:r>
      <w:bookmarkEnd w:id="32"/>
    </w:p>
    <w:p w14:paraId="1E455446" w14:textId="189CF148" w:rsidR="00F42DB6" w:rsidRPr="00155974" w:rsidRDefault="00F42DB6" w:rsidP="00022B10">
      <w:pPr>
        <w:pStyle w:val="IASBSectionTitle2Ind"/>
        <w:rPr>
          <w:lang w:eastAsia="en-AU"/>
        </w:rPr>
      </w:pPr>
      <w:r w:rsidRPr="00155974">
        <w:rPr>
          <w:lang w:eastAsia="en-AU"/>
        </w:rPr>
        <w:t>Statement of Financial Position</w:t>
      </w:r>
      <w:r w:rsidRPr="00155974">
        <w:rPr>
          <w:rStyle w:val="FootnoteReference"/>
          <w:sz w:val="22"/>
          <w:szCs w:val="22"/>
          <w:lang w:eastAsia="en-AU"/>
        </w:rPr>
        <w:footnoteReference w:id="4"/>
      </w:r>
    </w:p>
    <w:p w14:paraId="64BEB594" w14:textId="77777777" w:rsidR="00F42DB6" w:rsidRPr="00155974" w:rsidRDefault="00F42DB6" w:rsidP="00022B10">
      <w:pPr>
        <w:pStyle w:val="IASBSectionTitle3Ind"/>
        <w:rPr>
          <w:lang w:eastAsia="en-AU"/>
        </w:rPr>
      </w:pPr>
      <w:r w:rsidRPr="00155974">
        <w:rPr>
          <w:lang w:eastAsia="en-AU"/>
        </w:rPr>
        <w:t>Scope of this section</w:t>
      </w:r>
    </w:p>
    <w:p w14:paraId="4F48522C" w14:textId="191114DE" w:rsidR="00695B5E" w:rsidRPr="00155974" w:rsidRDefault="00F42DB6" w:rsidP="000E61D3">
      <w:pPr>
        <w:pStyle w:val="NumPlain1"/>
        <w:numPr>
          <w:ilvl w:val="0"/>
          <w:numId w:val="84"/>
        </w:numPr>
        <w:ind w:left="782" w:hanging="782"/>
        <w:rPr>
          <w:lang w:eastAsia="en-AU"/>
        </w:rPr>
      </w:pPr>
      <w:bookmarkStart w:id="33" w:name="_Ref35356697"/>
      <w:r w:rsidRPr="00155974">
        <w:rPr>
          <w:lang w:eastAsia="en-AU"/>
        </w:rPr>
        <w:t>This section sets out the information that is to be presented in a statement of financial position and how to present it. The statement of financial position (sometimes called the balance sheet) presents an entity’s assets, liabilities and equity as of a specific date – the end of the reporting period.</w:t>
      </w:r>
      <w:r w:rsidR="00C25DF2" w:rsidRPr="00155974">
        <w:rPr>
          <w:lang w:eastAsia="en-AU"/>
        </w:rPr>
        <w:t xml:space="preserve"> </w:t>
      </w:r>
      <w:r w:rsidR="00FF6FA0" w:rsidRPr="00155974">
        <w:rPr>
          <w:lang w:eastAsia="en-AU"/>
        </w:rPr>
        <w:t>[</w:t>
      </w:r>
      <w:r w:rsidR="0058144C" w:rsidRPr="00155974">
        <w:rPr>
          <w:i/>
          <w:iCs/>
          <w:lang w:eastAsia="en-AU"/>
        </w:rPr>
        <w:t>IFRS for SMEs</w:t>
      </w:r>
      <w:r w:rsidR="00FF6FA0" w:rsidRPr="00155974">
        <w:rPr>
          <w:lang w:eastAsia="en-AU"/>
        </w:rPr>
        <w:t xml:space="preserve"> Standard paragraph 4.1]</w:t>
      </w:r>
      <w:bookmarkEnd w:id="33"/>
    </w:p>
    <w:p w14:paraId="1CB1980C" w14:textId="61F3A500" w:rsidR="00F42DB6" w:rsidRPr="00155974" w:rsidRDefault="00F42DB6" w:rsidP="00022B10">
      <w:pPr>
        <w:pStyle w:val="IASBSectionTitle3Ind"/>
        <w:rPr>
          <w:szCs w:val="19"/>
          <w:lang w:eastAsia="en-AU"/>
        </w:rPr>
      </w:pPr>
      <w:r w:rsidRPr="00155974">
        <w:rPr>
          <w:lang w:eastAsia="en-AU"/>
        </w:rPr>
        <w:t>Information</w:t>
      </w:r>
      <w:r w:rsidRPr="00155974">
        <w:rPr>
          <w:szCs w:val="19"/>
          <w:lang w:eastAsia="en-AU"/>
        </w:rPr>
        <w:t xml:space="preserve"> </w:t>
      </w:r>
      <w:r w:rsidRPr="00155974">
        <w:rPr>
          <w:lang w:eastAsia="en-AU"/>
        </w:rPr>
        <w:t>to be presented in the statement of financial position</w:t>
      </w:r>
    </w:p>
    <w:p w14:paraId="6422D5F5" w14:textId="25FD50FF" w:rsidR="00F42DB6" w:rsidRPr="00155974" w:rsidRDefault="00F42DB6" w:rsidP="00451716">
      <w:pPr>
        <w:pStyle w:val="NumPlain1"/>
        <w:keepNext/>
        <w:numPr>
          <w:ilvl w:val="0"/>
          <w:numId w:val="84"/>
        </w:numPr>
        <w:ind w:left="782" w:hanging="782"/>
        <w:rPr>
          <w:lang w:eastAsia="en-AU"/>
        </w:rPr>
      </w:pPr>
      <w:bookmarkStart w:id="34" w:name="_Ref34651466"/>
      <w:r w:rsidRPr="00155974">
        <w:rPr>
          <w:lang w:eastAsia="en-AU"/>
        </w:rPr>
        <w:t>As a minimum, the statement of financial position shall include line items that present the following amounts:</w:t>
      </w:r>
      <w:bookmarkEnd w:id="34"/>
    </w:p>
    <w:p w14:paraId="2777016E" w14:textId="246AA477" w:rsidR="00F42DB6" w:rsidRPr="004E4871" w:rsidRDefault="00F42DB6" w:rsidP="000E61D3">
      <w:pPr>
        <w:pStyle w:val="ListParagraph"/>
        <w:numPr>
          <w:ilvl w:val="0"/>
          <w:numId w:val="60"/>
        </w:numPr>
        <w:ind w:left="1564" w:hanging="782"/>
        <w:jc w:val="both"/>
        <w:rPr>
          <w:lang w:eastAsia="en-AU"/>
        </w:rPr>
      </w:pPr>
      <w:r w:rsidRPr="004E4871">
        <w:rPr>
          <w:lang w:eastAsia="en-AU"/>
        </w:rPr>
        <w:t>cash and cash equivalents;</w:t>
      </w:r>
    </w:p>
    <w:p w14:paraId="1B7EA23E" w14:textId="2A343AE7" w:rsidR="00F42DB6" w:rsidRPr="004E4871" w:rsidRDefault="00F42DB6" w:rsidP="000E61D3">
      <w:pPr>
        <w:pStyle w:val="ListParagraph"/>
        <w:numPr>
          <w:ilvl w:val="0"/>
          <w:numId w:val="60"/>
        </w:numPr>
        <w:ind w:left="1564" w:hanging="782"/>
        <w:jc w:val="both"/>
        <w:rPr>
          <w:lang w:eastAsia="en-AU"/>
        </w:rPr>
      </w:pPr>
      <w:r w:rsidRPr="004E4871">
        <w:rPr>
          <w:lang w:eastAsia="en-AU"/>
        </w:rPr>
        <w:t>trade and other receivables;</w:t>
      </w:r>
    </w:p>
    <w:p w14:paraId="6422F0B9" w14:textId="30C4894F" w:rsidR="00F42DB6" w:rsidRPr="004E4871" w:rsidRDefault="00F42DB6" w:rsidP="000E61D3">
      <w:pPr>
        <w:pStyle w:val="ListParagraph"/>
        <w:numPr>
          <w:ilvl w:val="0"/>
          <w:numId w:val="60"/>
        </w:numPr>
        <w:ind w:left="1564" w:hanging="782"/>
        <w:jc w:val="both"/>
        <w:rPr>
          <w:lang w:eastAsia="en-AU"/>
        </w:rPr>
      </w:pPr>
      <w:r w:rsidRPr="004E4871">
        <w:rPr>
          <w:lang w:eastAsia="en-AU"/>
        </w:rPr>
        <w:t>financial assets (excluding amounts shown under (a), (b), (</w:t>
      </w:r>
      <w:r w:rsidR="00631EB8" w:rsidRPr="004E4871">
        <w:rPr>
          <w:lang w:eastAsia="en-AU"/>
        </w:rPr>
        <w:t>i</w:t>
      </w:r>
      <w:r w:rsidRPr="004E4871">
        <w:rPr>
          <w:lang w:eastAsia="en-AU"/>
        </w:rPr>
        <w:t>) and (</w:t>
      </w:r>
      <w:r w:rsidR="00631EB8" w:rsidRPr="004E4871">
        <w:rPr>
          <w:lang w:eastAsia="en-AU"/>
        </w:rPr>
        <w:t>j</w:t>
      </w:r>
      <w:r w:rsidRPr="004E4871">
        <w:rPr>
          <w:lang w:eastAsia="en-AU"/>
        </w:rPr>
        <w:t>));</w:t>
      </w:r>
    </w:p>
    <w:p w14:paraId="2B79DEFF" w14:textId="7ED469EC" w:rsidR="00F42DB6" w:rsidRPr="004E4871" w:rsidRDefault="00F42DB6" w:rsidP="000E61D3">
      <w:pPr>
        <w:pStyle w:val="ListParagraph"/>
        <w:numPr>
          <w:ilvl w:val="0"/>
          <w:numId w:val="60"/>
        </w:numPr>
        <w:ind w:left="1564" w:hanging="782"/>
        <w:jc w:val="both"/>
        <w:rPr>
          <w:lang w:eastAsia="en-AU"/>
        </w:rPr>
      </w:pPr>
      <w:r w:rsidRPr="004E4871">
        <w:rPr>
          <w:lang w:eastAsia="en-AU"/>
        </w:rPr>
        <w:t>inventories;</w:t>
      </w:r>
    </w:p>
    <w:p w14:paraId="7D6CA4CA" w14:textId="35F074DA" w:rsidR="00F42DB6" w:rsidRPr="004E4871" w:rsidRDefault="00F42DB6" w:rsidP="000E61D3">
      <w:pPr>
        <w:pStyle w:val="ListParagraph"/>
        <w:numPr>
          <w:ilvl w:val="0"/>
          <w:numId w:val="60"/>
        </w:numPr>
        <w:ind w:left="1564" w:hanging="782"/>
        <w:jc w:val="both"/>
        <w:rPr>
          <w:lang w:eastAsia="en-AU"/>
        </w:rPr>
      </w:pPr>
      <w:r w:rsidRPr="004E4871">
        <w:rPr>
          <w:lang w:eastAsia="en-AU"/>
        </w:rPr>
        <w:t>property, plant and equipment;</w:t>
      </w:r>
    </w:p>
    <w:p w14:paraId="4BFAD683" w14:textId="7836CE0E" w:rsidR="00F42DB6" w:rsidRPr="004E4871" w:rsidRDefault="00F42DB6" w:rsidP="000E61D3">
      <w:pPr>
        <w:pStyle w:val="ListParagraph"/>
        <w:numPr>
          <w:ilvl w:val="0"/>
          <w:numId w:val="60"/>
        </w:numPr>
        <w:ind w:left="1564" w:hanging="782"/>
        <w:jc w:val="both"/>
        <w:rPr>
          <w:strike/>
          <w:lang w:eastAsia="en-AU"/>
        </w:rPr>
      </w:pPr>
      <w:r w:rsidRPr="004E4871">
        <w:rPr>
          <w:lang w:eastAsia="en-AU"/>
        </w:rPr>
        <w:t>investment property;</w:t>
      </w:r>
    </w:p>
    <w:p w14:paraId="4C15EBDF" w14:textId="068BF78E" w:rsidR="00F42DB6" w:rsidRPr="004E4871" w:rsidRDefault="00F42DB6" w:rsidP="000E61D3">
      <w:pPr>
        <w:pStyle w:val="ListParagraph"/>
        <w:numPr>
          <w:ilvl w:val="0"/>
          <w:numId w:val="60"/>
        </w:numPr>
        <w:ind w:left="1564" w:hanging="782"/>
        <w:jc w:val="both"/>
        <w:rPr>
          <w:lang w:eastAsia="en-AU"/>
        </w:rPr>
      </w:pPr>
      <w:r w:rsidRPr="004E4871">
        <w:rPr>
          <w:lang w:eastAsia="en-AU"/>
        </w:rPr>
        <w:t>intangible assets;</w:t>
      </w:r>
    </w:p>
    <w:p w14:paraId="0006A727" w14:textId="598F8048" w:rsidR="00F42DB6" w:rsidRPr="004E4871" w:rsidRDefault="00F42DB6" w:rsidP="000E61D3">
      <w:pPr>
        <w:pStyle w:val="ListParagraph"/>
        <w:numPr>
          <w:ilvl w:val="0"/>
          <w:numId w:val="60"/>
        </w:numPr>
        <w:ind w:left="1564" w:hanging="782"/>
        <w:jc w:val="both"/>
        <w:rPr>
          <w:strike/>
          <w:lang w:eastAsia="en-AU"/>
        </w:rPr>
      </w:pPr>
      <w:r w:rsidRPr="004E4871">
        <w:rPr>
          <w:lang w:eastAsia="en-AU"/>
        </w:rPr>
        <w:t>biological assets;</w:t>
      </w:r>
    </w:p>
    <w:p w14:paraId="37C3583B" w14:textId="2D2AEA5A" w:rsidR="00F42DB6" w:rsidRPr="004E4871" w:rsidRDefault="00F42DB6" w:rsidP="000E61D3">
      <w:pPr>
        <w:pStyle w:val="ListParagraph"/>
        <w:numPr>
          <w:ilvl w:val="0"/>
          <w:numId w:val="60"/>
        </w:numPr>
        <w:ind w:left="1564" w:hanging="782"/>
        <w:jc w:val="both"/>
        <w:rPr>
          <w:lang w:eastAsia="en-AU"/>
        </w:rPr>
      </w:pPr>
      <w:r w:rsidRPr="004E4871">
        <w:rPr>
          <w:lang w:eastAsia="en-AU"/>
        </w:rPr>
        <w:t>investments in associates;</w:t>
      </w:r>
    </w:p>
    <w:p w14:paraId="5C1C956F" w14:textId="451EA411" w:rsidR="00F42DB6" w:rsidRPr="004E4871" w:rsidRDefault="00F42DB6" w:rsidP="000E61D3">
      <w:pPr>
        <w:pStyle w:val="ListParagraph"/>
        <w:numPr>
          <w:ilvl w:val="0"/>
          <w:numId w:val="60"/>
        </w:numPr>
        <w:ind w:left="1564" w:hanging="782"/>
        <w:jc w:val="both"/>
        <w:rPr>
          <w:strike/>
          <w:lang w:eastAsia="en-AU"/>
        </w:rPr>
      </w:pPr>
      <w:r w:rsidRPr="004E4871">
        <w:rPr>
          <w:lang w:eastAsia="en-AU"/>
        </w:rPr>
        <w:t xml:space="preserve">investments in joint ventures; </w:t>
      </w:r>
    </w:p>
    <w:p w14:paraId="4F9DAE52" w14:textId="01E7FA2F" w:rsidR="00F42DB6" w:rsidRPr="004E4871" w:rsidRDefault="00F42DB6" w:rsidP="000E61D3">
      <w:pPr>
        <w:pStyle w:val="ListParagraph"/>
        <w:numPr>
          <w:ilvl w:val="0"/>
          <w:numId w:val="60"/>
        </w:numPr>
        <w:ind w:left="1564" w:hanging="782"/>
        <w:jc w:val="both"/>
        <w:rPr>
          <w:lang w:eastAsia="en-AU"/>
        </w:rPr>
      </w:pPr>
      <w:r w:rsidRPr="004E4871">
        <w:rPr>
          <w:lang w:eastAsia="en-AU"/>
        </w:rPr>
        <w:t>trade and other payables;</w:t>
      </w:r>
    </w:p>
    <w:p w14:paraId="6F356850" w14:textId="02D9D536" w:rsidR="00F42DB6" w:rsidRPr="004E4871" w:rsidRDefault="00F42DB6" w:rsidP="000E61D3">
      <w:pPr>
        <w:pStyle w:val="ListParagraph"/>
        <w:numPr>
          <w:ilvl w:val="0"/>
          <w:numId w:val="60"/>
        </w:numPr>
        <w:ind w:left="1564" w:hanging="782"/>
        <w:jc w:val="both"/>
        <w:rPr>
          <w:lang w:eastAsia="en-AU"/>
        </w:rPr>
      </w:pPr>
      <w:r w:rsidRPr="004E4871">
        <w:rPr>
          <w:lang w:eastAsia="en-AU"/>
        </w:rPr>
        <w:t>financial liabilities (excluding amounts shown under (</w:t>
      </w:r>
      <w:r w:rsidR="0038455D" w:rsidRPr="004E4871">
        <w:rPr>
          <w:lang w:eastAsia="en-AU"/>
        </w:rPr>
        <w:t>k</w:t>
      </w:r>
      <w:r w:rsidRPr="004E4871">
        <w:rPr>
          <w:lang w:eastAsia="en-AU"/>
        </w:rPr>
        <w:t>) and (</w:t>
      </w:r>
      <w:r w:rsidR="00E7462F" w:rsidRPr="004E4871">
        <w:rPr>
          <w:lang w:eastAsia="en-AU"/>
        </w:rPr>
        <w:t>o</w:t>
      </w:r>
      <w:r w:rsidRPr="004E4871">
        <w:rPr>
          <w:lang w:eastAsia="en-AU"/>
        </w:rPr>
        <w:t>));</w:t>
      </w:r>
    </w:p>
    <w:p w14:paraId="6EEFADCF" w14:textId="5D8D9919" w:rsidR="00F42DB6" w:rsidRPr="004E4871" w:rsidRDefault="00F42DB6" w:rsidP="000E61D3">
      <w:pPr>
        <w:pStyle w:val="ListParagraph"/>
        <w:numPr>
          <w:ilvl w:val="0"/>
          <w:numId w:val="60"/>
        </w:numPr>
        <w:ind w:left="1564" w:hanging="782"/>
        <w:jc w:val="both"/>
        <w:rPr>
          <w:lang w:eastAsia="en-AU"/>
        </w:rPr>
      </w:pPr>
      <w:r w:rsidRPr="004E4871">
        <w:rPr>
          <w:lang w:eastAsia="en-AU"/>
        </w:rPr>
        <w:t>liabilities and assets for current tax;</w:t>
      </w:r>
    </w:p>
    <w:p w14:paraId="7BEBDC00" w14:textId="7900FEA6" w:rsidR="00F42DB6" w:rsidRPr="004E4871" w:rsidRDefault="00F42DB6" w:rsidP="000E61D3">
      <w:pPr>
        <w:pStyle w:val="ListParagraph"/>
        <w:numPr>
          <w:ilvl w:val="0"/>
          <w:numId w:val="60"/>
        </w:numPr>
        <w:ind w:left="1564" w:hanging="782"/>
        <w:jc w:val="both"/>
        <w:rPr>
          <w:lang w:eastAsia="en-AU"/>
        </w:rPr>
      </w:pPr>
      <w:r w:rsidRPr="004E4871">
        <w:rPr>
          <w:lang w:eastAsia="en-AU"/>
        </w:rPr>
        <w:t>deferred tax liabilities and deferred tax assets (these shall always be classified as non-current);</w:t>
      </w:r>
    </w:p>
    <w:p w14:paraId="2263EB4E" w14:textId="1A03D2FC" w:rsidR="00F42DB6" w:rsidRPr="004E4871" w:rsidRDefault="00F42DB6" w:rsidP="000E61D3">
      <w:pPr>
        <w:pStyle w:val="ListParagraph"/>
        <w:numPr>
          <w:ilvl w:val="0"/>
          <w:numId w:val="60"/>
        </w:numPr>
        <w:ind w:left="1564" w:hanging="782"/>
        <w:jc w:val="both"/>
        <w:rPr>
          <w:lang w:eastAsia="en-AU"/>
        </w:rPr>
      </w:pPr>
      <w:r w:rsidRPr="004E4871">
        <w:rPr>
          <w:lang w:eastAsia="en-AU"/>
        </w:rPr>
        <w:t>provisions;</w:t>
      </w:r>
    </w:p>
    <w:p w14:paraId="6E46DA30" w14:textId="1CFF4510" w:rsidR="00F42DB6" w:rsidRPr="004E4871" w:rsidRDefault="00F42DB6" w:rsidP="000E61D3">
      <w:pPr>
        <w:pStyle w:val="ListParagraph"/>
        <w:numPr>
          <w:ilvl w:val="0"/>
          <w:numId w:val="60"/>
        </w:numPr>
        <w:ind w:left="1564" w:hanging="782"/>
        <w:jc w:val="both"/>
        <w:rPr>
          <w:lang w:eastAsia="en-AU"/>
        </w:rPr>
      </w:pPr>
      <w:r w:rsidRPr="004E4871">
        <w:rPr>
          <w:lang w:eastAsia="en-AU"/>
        </w:rPr>
        <w:t>non-controlling interest</w:t>
      </w:r>
      <w:r w:rsidR="0089346C" w:rsidRPr="004E4871">
        <w:rPr>
          <w:lang w:eastAsia="en-AU"/>
        </w:rPr>
        <w:t>s</w:t>
      </w:r>
      <w:r w:rsidRPr="004E4871">
        <w:rPr>
          <w:lang w:eastAsia="en-AU"/>
        </w:rPr>
        <w:t>, presented within equity separately from the equity attributable to the owners of the parent;</w:t>
      </w:r>
    </w:p>
    <w:p w14:paraId="2F2D4EE3" w14:textId="6E492C45" w:rsidR="00F42DB6" w:rsidRPr="004E4871" w:rsidRDefault="00F42DB6" w:rsidP="000E61D3">
      <w:pPr>
        <w:pStyle w:val="ListParagraph"/>
        <w:numPr>
          <w:ilvl w:val="0"/>
          <w:numId w:val="60"/>
        </w:numPr>
        <w:ind w:left="1564" w:hanging="782"/>
        <w:jc w:val="both"/>
        <w:rPr>
          <w:lang w:eastAsia="en-AU"/>
        </w:rPr>
      </w:pPr>
      <w:r w:rsidRPr="004E4871">
        <w:rPr>
          <w:lang w:eastAsia="en-AU"/>
        </w:rPr>
        <w:t>equity attributable to the owners of the parent</w:t>
      </w:r>
      <w:r w:rsidR="00562484" w:rsidRPr="004E4871">
        <w:rPr>
          <w:lang w:eastAsia="en-AU"/>
        </w:rPr>
        <w:t>;</w:t>
      </w:r>
    </w:p>
    <w:p w14:paraId="2E9FB992" w14:textId="3A62905C" w:rsidR="00471B4F" w:rsidRPr="004E4871" w:rsidRDefault="00FB0B94" w:rsidP="000E61D3">
      <w:pPr>
        <w:pStyle w:val="ListParagraph"/>
        <w:numPr>
          <w:ilvl w:val="0"/>
          <w:numId w:val="60"/>
        </w:numPr>
        <w:ind w:left="1564" w:hanging="782"/>
        <w:jc w:val="both"/>
        <w:rPr>
          <w:i/>
          <w:iCs/>
          <w:lang w:eastAsia="en-AU"/>
        </w:rPr>
      </w:pPr>
      <w:r w:rsidRPr="004E4871">
        <w:rPr>
          <w:lang w:eastAsia="en-AU"/>
        </w:rPr>
        <w:t xml:space="preserve">the total of assets classified as held for sale and assets included in disposal groups classified as held for sale in accordance with AASB 5 </w:t>
      </w:r>
      <w:r w:rsidRPr="004E4871">
        <w:rPr>
          <w:i/>
          <w:iCs/>
          <w:lang w:eastAsia="en-AU"/>
        </w:rPr>
        <w:t>Non-current Assets Held for Sale and Discontinued Operations</w:t>
      </w:r>
      <w:r w:rsidR="00835D46" w:rsidRPr="004E4871">
        <w:rPr>
          <w:lang w:eastAsia="en-AU"/>
        </w:rPr>
        <w:t>;</w:t>
      </w:r>
      <w:r w:rsidR="00DF338A" w:rsidRPr="004E4871">
        <w:rPr>
          <w:lang w:eastAsia="en-AU"/>
        </w:rPr>
        <w:t xml:space="preserve"> and</w:t>
      </w:r>
    </w:p>
    <w:p w14:paraId="69D47D07" w14:textId="7F723DA3" w:rsidR="00FB0B94" w:rsidRPr="004E4871" w:rsidRDefault="00FB0B94" w:rsidP="00477BB8">
      <w:pPr>
        <w:pStyle w:val="ListParagraph"/>
        <w:keepNext/>
        <w:numPr>
          <w:ilvl w:val="0"/>
          <w:numId w:val="60"/>
        </w:numPr>
        <w:ind w:left="1564" w:hanging="782"/>
        <w:jc w:val="both"/>
        <w:rPr>
          <w:lang w:eastAsia="en-AU"/>
        </w:rPr>
      </w:pPr>
      <w:r w:rsidRPr="004E4871">
        <w:rPr>
          <w:lang w:eastAsia="en-AU"/>
        </w:rPr>
        <w:t>liabilities included in disposal groups classified as held for sale in accordance with AASB 5</w:t>
      </w:r>
      <w:r w:rsidR="00835D46" w:rsidRPr="004E4871">
        <w:rPr>
          <w:lang w:eastAsia="en-AU"/>
        </w:rPr>
        <w:t>.</w:t>
      </w:r>
    </w:p>
    <w:p w14:paraId="6B8A0CF7" w14:textId="389FF823" w:rsidR="001772EB" w:rsidRPr="00155974" w:rsidRDefault="001772EB" w:rsidP="00974B52">
      <w:pPr>
        <w:spacing w:after="100"/>
        <w:ind w:left="1564" w:hanging="782"/>
        <w:rPr>
          <w:i/>
          <w:iCs/>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4.2]</w:t>
      </w:r>
    </w:p>
    <w:p w14:paraId="7784884A" w14:textId="5CB3863B" w:rsidR="00A234CD" w:rsidRPr="00155974" w:rsidRDefault="00F42DB6" w:rsidP="000E61D3">
      <w:pPr>
        <w:pStyle w:val="NumPlain1"/>
        <w:numPr>
          <w:ilvl w:val="0"/>
          <w:numId w:val="84"/>
        </w:numPr>
        <w:ind w:left="782" w:hanging="782"/>
        <w:rPr>
          <w:lang w:eastAsia="en-AU"/>
        </w:rPr>
      </w:pPr>
      <w:r w:rsidRPr="00155974">
        <w:rPr>
          <w:lang w:eastAsia="en-AU"/>
        </w:rPr>
        <w:t>An entity shall present additional line items, headings and subtotals in the statement of financial position when such presentation is relevant to an understanding of the entity’s financial position.</w:t>
      </w:r>
      <w:r w:rsidR="00C25DF2" w:rsidRPr="00155974">
        <w:rPr>
          <w:lang w:eastAsia="en-AU"/>
        </w:rPr>
        <w:t xml:space="preserve"> </w:t>
      </w:r>
      <w:r w:rsidR="00042C01" w:rsidRPr="00155974">
        <w:rPr>
          <w:lang w:eastAsia="en-AU"/>
        </w:rPr>
        <w:t>[</w:t>
      </w:r>
      <w:r w:rsidR="0058144C" w:rsidRPr="00155974">
        <w:rPr>
          <w:i/>
          <w:iCs/>
          <w:lang w:eastAsia="en-AU"/>
        </w:rPr>
        <w:t>IFRS for SMEs</w:t>
      </w:r>
      <w:r w:rsidR="00042C01" w:rsidRPr="00155974">
        <w:rPr>
          <w:lang w:eastAsia="en-AU"/>
        </w:rPr>
        <w:t xml:space="preserve"> Standard paragraph 4.3]</w:t>
      </w:r>
    </w:p>
    <w:p w14:paraId="1C3908AB" w14:textId="77777777" w:rsidR="00F42DB6" w:rsidRPr="00155974" w:rsidRDefault="00F42DB6" w:rsidP="00022B10">
      <w:pPr>
        <w:pStyle w:val="IASBSectionTitle3Ind"/>
        <w:rPr>
          <w:lang w:eastAsia="en-AU"/>
        </w:rPr>
      </w:pPr>
      <w:r w:rsidRPr="00155974">
        <w:rPr>
          <w:lang w:eastAsia="en-AU"/>
        </w:rPr>
        <w:t>Current/non-current distinction</w:t>
      </w:r>
    </w:p>
    <w:p w14:paraId="599FB9CA" w14:textId="6E31748D" w:rsidR="00835A07" w:rsidRPr="00155974" w:rsidRDefault="00F42DB6" w:rsidP="000E61D3">
      <w:pPr>
        <w:pStyle w:val="NumPlain1"/>
        <w:numPr>
          <w:ilvl w:val="0"/>
          <w:numId w:val="84"/>
        </w:numPr>
        <w:ind w:left="782" w:hanging="782"/>
        <w:rPr>
          <w:lang w:eastAsia="en-AU"/>
        </w:rPr>
      </w:pPr>
      <w:r w:rsidRPr="00155974">
        <w:rPr>
          <w:lang w:eastAsia="en-AU"/>
        </w:rPr>
        <w:t>An entity shall present current and non-current assets, and current and non-current liabilities, as separate classifications in its statement of financial position in accordance with paragraphs</w:t>
      </w:r>
      <w:r w:rsidR="00A80227" w:rsidRPr="00155974">
        <w:rPr>
          <w:lang w:eastAsia="en-AU"/>
        </w:rPr>
        <w:t xml:space="preserve"> </w:t>
      </w:r>
      <w:r w:rsidR="002B3193" w:rsidRPr="00155974">
        <w:rPr>
          <w:lang w:eastAsia="en-AU"/>
        </w:rPr>
        <w:t>38</w:t>
      </w:r>
      <w:r w:rsidRPr="00155974">
        <w:rPr>
          <w:lang w:eastAsia="en-AU"/>
        </w:rPr>
        <w:t>–</w:t>
      </w:r>
      <w:r w:rsidR="002B3193" w:rsidRPr="00155974">
        <w:rPr>
          <w:lang w:eastAsia="en-AU"/>
        </w:rPr>
        <w:t>41</w:t>
      </w:r>
      <w:r w:rsidRPr="00155974">
        <w:rPr>
          <w:lang w:eastAsia="en-AU"/>
        </w:rPr>
        <w:t>, except when a presentation based on liquidity provides information that is reliable and more relevant. When that exception applies, all assets and liabilities shall be presented in order of approximate liquidity (ascending or descending).</w:t>
      </w:r>
      <w:r w:rsidR="00C25DF2" w:rsidRPr="00155974">
        <w:rPr>
          <w:lang w:eastAsia="en-AU"/>
        </w:rPr>
        <w:t xml:space="preserve"> </w:t>
      </w:r>
      <w:r w:rsidR="00835A07" w:rsidRPr="00155974">
        <w:rPr>
          <w:lang w:eastAsia="en-AU"/>
        </w:rPr>
        <w:t>[</w:t>
      </w:r>
      <w:r w:rsidR="0058144C" w:rsidRPr="00155974">
        <w:rPr>
          <w:i/>
          <w:iCs/>
          <w:lang w:eastAsia="en-AU"/>
        </w:rPr>
        <w:t>IFRS for SMEs</w:t>
      </w:r>
      <w:r w:rsidR="00835A07" w:rsidRPr="00155974">
        <w:rPr>
          <w:lang w:eastAsia="en-AU"/>
        </w:rPr>
        <w:t xml:space="preserve"> Standard paragraph 4.4]</w:t>
      </w:r>
    </w:p>
    <w:p w14:paraId="688EFA85" w14:textId="734CED63" w:rsidR="00F42DB6" w:rsidRPr="00155974" w:rsidRDefault="00F42DB6" w:rsidP="00022B10">
      <w:pPr>
        <w:pStyle w:val="IASBSectionTitle3Ind"/>
        <w:rPr>
          <w:lang w:eastAsia="en-AU"/>
        </w:rPr>
      </w:pPr>
      <w:r w:rsidRPr="00155974">
        <w:rPr>
          <w:lang w:eastAsia="en-AU"/>
        </w:rPr>
        <w:lastRenderedPageBreak/>
        <w:t>Current assets</w:t>
      </w:r>
    </w:p>
    <w:p w14:paraId="502DC144" w14:textId="7A512D5F" w:rsidR="00F42DB6" w:rsidRPr="00155974" w:rsidRDefault="00F42DB6" w:rsidP="00451716">
      <w:pPr>
        <w:pStyle w:val="NumPlain1"/>
        <w:keepNext/>
        <w:numPr>
          <w:ilvl w:val="0"/>
          <w:numId w:val="84"/>
        </w:numPr>
        <w:ind w:left="782" w:hanging="782"/>
        <w:rPr>
          <w:lang w:eastAsia="en-AU"/>
        </w:rPr>
      </w:pPr>
      <w:bookmarkStart w:id="35" w:name="_Ref34731637"/>
      <w:r w:rsidRPr="00155974">
        <w:rPr>
          <w:lang w:eastAsia="en-AU"/>
        </w:rPr>
        <w:t>An entity shall classify an asset as current when:</w:t>
      </w:r>
      <w:bookmarkEnd w:id="35"/>
    </w:p>
    <w:p w14:paraId="065C3EB3" w14:textId="5911E2D7" w:rsidR="00F42DB6" w:rsidRPr="00406624" w:rsidRDefault="00F42DB6" w:rsidP="000E61D3">
      <w:pPr>
        <w:pStyle w:val="ListParagraph"/>
        <w:numPr>
          <w:ilvl w:val="0"/>
          <w:numId w:val="61"/>
        </w:numPr>
        <w:ind w:left="1564" w:hanging="782"/>
        <w:jc w:val="both"/>
        <w:rPr>
          <w:lang w:eastAsia="en-AU"/>
        </w:rPr>
      </w:pPr>
      <w:r w:rsidRPr="00406624">
        <w:rPr>
          <w:lang w:eastAsia="en-AU"/>
        </w:rPr>
        <w:t>it expects to realise the asset, or intends to sell or consume it, in the entity’s normal operating cycle;</w:t>
      </w:r>
    </w:p>
    <w:p w14:paraId="1BDE0935" w14:textId="1E38340A" w:rsidR="00F42DB6" w:rsidRPr="00406624" w:rsidRDefault="00F42DB6" w:rsidP="000E61D3">
      <w:pPr>
        <w:pStyle w:val="ListParagraph"/>
        <w:numPr>
          <w:ilvl w:val="0"/>
          <w:numId w:val="61"/>
        </w:numPr>
        <w:ind w:left="1564" w:hanging="782"/>
        <w:jc w:val="both"/>
        <w:rPr>
          <w:lang w:eastAsia="en-AU"/>
        </w:rPr>
      </w:pPr>
      <w:r w:rsidRPr="00406624">
        <w:rPr>
          <w:lang w:eastAsia="en-AU"/>
        </w:rPr>
        <w:t>it holds the asset primarily for the purpose of trading;</w:t>
      </w:r>
    </w:p>
    <w:p w14:paraId="3014083A" w14:textId="6D31269E" w:rsidR="00F42DB6" w:rsidRPr="00406624" w:rsidRDefault="00F42DB6" w:rsidP="000E61D3">
      <w:pPr>
        <w:pStyle w:val="ListParagraph"/>
        <w:numPr>
          <w:ilvl w:val="0"/>
          <w:numId w:val="61"/>
        </w:numPr>
        <w:ind w:left="1564" w:hanging="782"/>
        <w:jc w:val="both"/>
        <w:rPr>
          <w:lang w:eastAsia="en-AU"/>
        </w:rPr>
      </w:pPr>
      <w:r w:rsidRPr="00406624">
        <w:rPr>
          <w:lang w:eastAsia="en-AU"/>
        </w:rPr>
        <w:t>it expects to realise the asset within twelve months after the reporting date; or</w:t>
      </w:r>
    </w:p>
    <w:p w14:paraId="0B8C67F9" w14:textId="11A36414" w:rsidR="00F42DB6" w:rsidRPr="00406624" w:rsidRDefault="00F42DB6" w:rsidP="00477BB8">
      <w:pPr>
        <w:pStyle w:val="ListParagraph"/>
        <w:keepNext/>
        <w:numPr>
          <w:ilvl w:val="0"/>
          <w:numId w:val="61"/>
        </w:numPr>
        <w:ind w:left="1564" w:hanging="782"/>
        <w:jc w:val="both"/>
        <w:rPr>
          <w:lang w:eastAsia="en-AU"/>
        </w:rPr>
      </w:pPr>
      <w:r w:rsidRPr="00406624">
        <w:rPr>
          <w:lang w:eastAsia="en-AU"/>
        </w:rPr>
        <w:t>the asset is cash or a cash equivalent, unless it is restricted from being exchanged or used to settle a liability for at least twelve months after the reporting date.</w:t>
      </w:r>
    </w:p>
    <w:p w14:paraId="4B24E184" w14:textId="2763AC65" w:rsidR="001C1217" w:rsidRPr="00155974" w:rsidRDefault="001C1217" w:rsidP="00406624">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4.5]</w:t>
      </w:r>
    </w:p>
    <w:p w14:paraId="23656BBD" w14:textId="4442FD4D" w:rsidR="009D7851" w:rsidRPr="00155974" w:rsidRDefault="00F42DB6" w:rsidP="000E61D3">
      <w:pPr>
        <w:pStyle w:val="NumPlain1"/>
        <w:numPr>
          <w:ilvl w:val="0"/>
          <w:numId w:val="84"/>
        </w:numPr>
        <w:ind w:left="782" w:hanging="782"/>
        <w:rPr>
          <w:lang w:eastAsia="en-AU"/>
        </w:rPr>
      </w:pPr>
      <w:r w:rsidRPr="00155974">
        <w:rPr>
          <w:lang w:eastAsia="en-AU"/>
        </w:rPr>
        <w:t>An entity shall classify all other assets as non-current. When the entity’s normal operating cycle is not clearly identifiable, its duration is assumed to be twelve months.</w:t>
      </w:r>
      <w:r w:rsidR="00C25DF2" w:rsidRPr="00155974">
        <w:rPr>
          <w:lang w:eastAsia="en-AU"/>
        </w:rPr>
        <w:t xml:space="preserve"> </w:t>
      </w:r>
      <w:r w:rsidR="009D7851" w:rsidRPr="00155974">
        <w:rPr>
          <w:lang w:eastAsia="en-AU"/>
        </w:rPr>
        <w:t>[</w:t>
      </w:r>
      <w:r w:rsidR="0058144C" w:rsidRPr="00155974">
        <w:rPr>
          <w:i/>
          <w:iCs/>
          <w:lang w:eastAsia="en-AU"/>
        </w:rPr>
        <w:t>IFRS for SMEs</w:t>
      </w:r>
      <w:r w:rsidR="009D7851" w:rsidRPr="00155974">
        <w:rPr>
          <w:lang w:eastAsia="en-AU"/>
        </w:rPr>
        <w:t xml:space="preserve"> Standard paragraph 4.6]</w:t>
      </w:r>
    </w:p>
    <w:p w14:paraId="7C9F66C6" w14:textId="38686557" w:rsidR="00F42DB6" w:rsidRPr="00155974" w:rsidRDefault="00F42DB6" w:rsidP="00022B10">
      <w:pPr>
        <w:pStyle w:val="IASBSectionTitle3Ind"/>
        <w:rPr>
          <w:lang w:eastAsia="en-AU"/>
        </w:rPr>
      </w:pPr>
      <w:r w:rsidRPr="00155974">
        <w:rPr>
          <w:lang w:eastAsia="en-AU"/>
        </w:rPr>
        <w:t>Current liabilities</w:t>
      </w:r>
    </w:p>
    <w:p w14:paraId="0A36C48D" w14:textId="16594153" w:rsidR="00F42DB6" w:rsidRPr="00155974" w:rsidRDefault="00F42DB6" w:rsidP="00451716">
      <w:pPr>
        <w:pStyle w:val="NumPlain1"/>
        <w:keepNext/>
        <w:numPr>
          <w:ilvl w:val="0"/>
          <w:numId w:val="84"/>
        </w:numPr>
        <w:ind w:left="782" w:hanging="782"/>
        <w:rPr>
          <w:lang w:eastAsia="en-AU"/>
        </w:rPr>
      </w:pPr>
      <w:r w:rsidRPr="00155974">
        <w:rPr>
          <w:lang w:eastAsia="en-AU"/>
        </w:rPr>
        <w:t>An entity shall classify a liability as current when:</w:t>
      </w:r>
    </w:p>
    <w:p w14:paraId="721F0A32" w14:textId="792BCCB0" w:rsidR="00F42DB6" w:rsidRPr="00AB5475" w:rsidRDefault="00F42DB6" w:rsidP="000E61D3">
      <w:pPr>
        <w:pStyle w:val="ListParagraph"/>
        <w:numPr>
          <w:ilvl w:val="0"/>
          <w:numId w:val="62"/>
        </w:numPr>
        <w:ind w:left="1564" w:hanging="782"/>
        <w:jc w:val="both"/>
        <w:rPr>
          <w:lang w:eastAsia="en-AU"/>
        </w:rPr>
      </w:pPr>
      <w:r w:rsidRPr="00AB5475">
        <w:rPr>
          <w:lang w:eastAsia="en-AU"/>
        </w:rPr>
        <w:t>it expects to settle the liability in the entity’s normal operating cycle;</w:t>
      </w:r>
    </w:p>
    <w:p w14:paraId="2BD70A1D" w14:textId="20587D57" w:rsidR="00F42DB6" w:rsidRPr="00AB5475" w:rsidRDefault="00F42DB6" w:rsidP="000E61D3">
      <w:pPr>
        <w:pStyle w:val="ListParagraph"/>
        <w:numPr>
          <w:ilvl w:val="0"/>
          <w:numId w:val="62"/>
        </w:numPr>
        <w:ind w:left="1564" w:hanging="782"/>
        <w:jc w:val="both"/>
        <w:rPr>
          <w:lang w:eastAsia="en-AU"/>
        </w:rPr>
      </w:pPr>
      <w:r w:rsidRPr="00AB5475">
        <w:rPr>
          <w:lang w:eastAsia="en-AU"/>
        </w:rPr>
        <w:t>it holds the liability primarily for the purpose of trading;</w:t>
      </w:r>
    </w:p>
    <w:p w14:paraId="73ABCE61" w14:textId="7DCD40C1" w:rsidR="00F42DB6" w:rsidRPr="00AB5475" w:rsidRDefault="00F42DB6" w:rsidP="000E61D3">
      <w:pPr>
        <w:pStyle w:val="ListParagraph"/>
        <w:numPr>
          <w:ilvl w:val="0"/>
          <w:numId w:val="62"/>
        </w:numPr>
        <w:ind w:left="1564" w:hanging="782"/>
        <w:jc w:val="both"/>
        <w:rPr>
          <w:lang w:eastAsia="en-AU"/>
        </w:rPr>
      </w:pPr>
      <w:r w:rsidRPr="00AB5475">
        <w:rPr>
          <w:lang w:eastAsia="en-AU"/>
        </w:rPr>
        <w:t>the liability is due to be settled within twelve months after the reporting date; or</w:t>
      </w:r>
    </w:p>
    <w:p w14:paraId="211942E5" w14:textId="463A1743" w:rsidR="00F42DB6" w:rsidRPr="00AB5475" w:rsidRDefault="00F42DB6" w:rsidP="00477BB8">
      <w:pPr>
        <w:pStyle w:val="ListParagraph"/>
        <w:keepNext/>
        <w:numPr>
          <w:ilvl w:val="0"/>
          <w:numId w:val="62"/>
        </w:numPr>
        <w:ind w:left="1564" w:hanging="782"/>
        <w:jc w:val="both"/>
        <w:rPr>
          <w:lang w:eastAsia="en-AU"/>
        </w:rPr>
      </w:pPr>
      <w:r w:rsidRPr="00AB5475">
        <w:rPr>
          <w:lang w:eastAsia="en-AU"/>
        </w:rPr>
        <w:t xml:space="preserve">the entity does not have an unconditional right to defer settlement of the liability for at least twelve months after reporting date. Terms of a liability that could, at the option of the counterparty, result in its settlement by the issue of equity instruments do not affect its classification. </w:t>
      </w:r>
    </w:p>
    <w:p w14:paraId="28822239" w14:textId="70B00512" w:rsidR="001A2BED" w:rsidRPr="00155974" w:rsidRDefault="001A2BED" w:rsidP="00233B7B">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4.7]</w:t>
      </w:r>
    </w:p>
    <w:p w14:paraId="1A08A65B" w14:textId="3D9B3597" w:rsidR="00853EC6" w:rsidRPr="00155974" w:rsidRDefault="00F42DB6" w:rsidP="000E61D3">
      <w:pPr>
        <w:pStyle w:val="NumPlain1"/>
        <w:numPr>
          <w:ilvl w:val="0"/>
          <w:numId w:val="84"/>
        </w:numPr>
        <w:ind w:left="782" w:hanging="782"/>
        <w:rPr>
          <w:lang w:eastAsia="en-AU"/>
        </w:rPr>
      </w:pPr>
      <w:bookmarkStart w:id="36" w:name="_Ref34731662"/>
      <w:r w:rsidRPr="00155974">
        <w:rPr>
          <w:lang w:eastAsia="en-AU"/>
        </w:rPr>
        <w:t>An entity shall classify all other liabilities as non-current.</w:t>
      </w:r>
      <w:r w:rsidR="00C25DF2" w:rsidRPr="00155974">
        <w:rPr>
          <w:lang w:eastAsia="en-AU"/>
        </w:rPr>
        <w:t xml:space="preserve"> </w:t>
      </w:r>
      <w:r w:rsidR="00853EC6" w:rsidRPr="00155974">
        <w:rPr>
          <w:lang w:eastAsia="en-AU"/>
        </w:rPr>
        <w:t>[</w:t>
      </w:r>
      <w:r w:rsidR="0058144C" w:rsidRPr="00155974">
        <w:rPr>
          <w:i/>
          <w:iCs/>
          <w:lang w:eastAsia="en-AU"/>
        </w:rPr>
        <w:t>IFRS for SMEs</w:t>
      </w:r>
      <w:r w:rsidR="00853EC6" w:rsidRPr="00155974">
        <w:rPr>
          <w:lang w:eastAsia="en-AU"/>
        </w:rPr>
        <w:t xml:space="preserve"> Standard paragraph 4.8]</w:t>
      </w:r>
      <w:bookmarkEnd w:id="36"/>
    </w:p>
    <w:p w14:paraId="59C010FE" w14:textId="77777777" w:rsidR="00F42DB6" w:rsidRPr="00155974" w:rsidRDefault="00F42DB6" w:rsidP="00022B10">
      <w:pPr>
        <w:pStyle w:val="IASBSectionTitle3Ind"/>
        <w:rPr>
          <w:lang w:eastAsia="en-AU"/>
        </w:rPr>
      </w:pPr>
      <w:r w:rsidRPr="00155974">
        <w:rPr>
          <w:lang w:eastAsia="en-AU"/>
        </w:rPr>
        <w:t>Sequencing of items and format of items in the statement of financial position</w:t>
      </w:r>
    </w:p>
    <w:p w14:paraId="3858D756" w14:textId="1D39FFDB" w:rsidR="00F42DB6" w:rsidRPr="00155974" w:rsidRDefault="00F42DB6" w:rsidP="000E61D3">
      <w:pPr>
        <w:pStyle w:val="NumPlain1"/>
        <w:numPr>
          <w:ilvl w:val="0"/>
          <w:numId w:val="84"/>
        </w:numPr>
        <w:ind w:left="782" w:hanging="782"/>
        <w:rPr>
          <w:lang w:eastAsia="en-AU"/>
        </w:rPr>
      </w:pPr>
      <w:r w:rsidRPr="00155974">
        <w:rPr>
          <w:lang w:eastAsia="en-AU"/>
        </w:rPr>
        <w:t xml:space="preserve">This Standard does not prescribe the sequence or format in which items are to be presented. Paragraph </w:t>
      </w:r>
      <w:r w:rsidR="002B3193" w:rsidRPr="00155974">
        <w:rPr>
          <w:lang w:eastAsia="en-AU"/>
        </w:rPr>
        <w:t>35</w:t>
      </w:r>
      <w:r w:rsidRPr="00155974">
        <w:rPr>
          <w:lang w:eastAsia="en-AU"/>
        </w:rPr>
        <w:t xml:space="preserve"> simply provides a list of items that are sufficiently different in nature or function to warrant separate presentation in the statement of financial position. In addition:</w:t>
      </w:r>
    </w:p>
    <w:p w14:paraId="4349C9C5" w14:textId="551923D6" w:rsidR="00F42DB6" w:rsidRPr="00AB5475" w:rsidRDefault="00F42DB6" w:rsidP="000E61D3">
      <w:pPr>
        <w:pStyle w:val="ListParagraph"/>
        <w:numPr>
          <w:ilvl w:val="0"/>
          <w:numId w:val="63"/>
        </w:numPr>
        <w:ind w:left="1564" w:hanging="782"/>
        <w:jc w:val="both"/>
        <w:rPr>
          <w:lang w:eastAsia="en-AU"/>
        </w:rPr>
      </w:pPr>
      <w:r w:rsidRPr="00AB5475">
        <w:rPr>
          <w:lang w:eastAsia="en-AU"/>
        </w:rPr>
        <w:t>line items are included when the size, nature or function of an item or aggregation of similar items is such that separate presentation is relevant to an understanding of the entity’s financial position; and</w:t>
      </w:r>
    </w:p>
    <w:p w14:paraId="00CE6802" w14:textId="4080BA2F" w:rsidR="00F42DB6" w:rsidRPr="00AB5475" w:rsidRDefault="00F42DB6" w:rsidP="00477BB8">
      <w:pPr>
        <w:pStyle w:val="ListParagraph"/>
        <w:keepNext/>
        <w:numPr>
          <w:ilvl w:val="0"/>
          <w:numId w:val="63"/>
        </w:numPr>
        <w:ind w:left="1564" w:hanging="782"/>
        <w:jc w:val="both"/>
        <w:rPr>
          <w:lang w:eastAsia="en-AU"/>
        </w:rPr>
      </w:pPr>
      <w:r w:rsidRPr="00AB5475">
        <w:rPr>
          <w:lang w:eastAsia="en-AU"/>
        </w:rPr>
        <w:t>the descriptions used and the sequencing of items or aggregation of similar items may be amended according to the nature of the entity and its transactions, to provide information that is relevant to an understanding of the entity’s financial position.</w:t>
      </w:r>
    </w:p>
    <w:p w14:paraId="0C6EBD32" w14:textId="65CE5EA3" w:rsidR="003E1F79" w:rsidRPr="00155974" w:rsidRDefault="003E1F79" w:rsidP="00233B7B">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4.9]</w:t>
      </w:r>
    </w:p>
    <w:p w14:paraId="0978B540" w14:textId="25737711" w:rsidR="00F42DB6" w:rsidRPr="00155974" w:rsidRDefault="00F42DB6" w:rsidP="000E61D3">
      <w:pPr>
        <w:pStyle w:val="NumPlain1"/>
        <w:numPr>
          <w:ilvl w:val="0"/>
          <w:numId w:val="84"/>
        </w:numPr>
        <w:ind w:left="782" w:hanging="782"/>
        <w:rPr>
          <w:lang w:eastAsia="en-AU"/>
        </w:rPr>
      </w:pPr>
      <w:bookmarkStart w:id="37" w:name="_Ref35353443"/>
      <w:r w:rsidRPr="00155974">
        <w:rPr>
          <w:lang w:eastAsia="en-AU"/>
        </w:rPr>
        <w:t>The judgement on whether additional items are presented separately is based on an assessment of all of the following:</w:t>
      </w:r>
      <w:bookmarkEnd w:id="37"/>
    </w:p>
    <w:p w14:paraId="76CE0548" w14:textId="5B233725" w:rsidR="00F42DB6" w:rsidRPr="00AB5475" w:rsidRDefault="00F42DB6" w:rsidP="000E61D3">
      <w:pPr>
        <w:pStyle w:val="ListParagraph"/>
        <w:numPr>
          <w:ilvl w:val="0"/>
          <w:numId w:val="64"/>
        </w:numPr>
        <w:ind w:left="1564" w:hanging="782"/>
        <w:jc w:val="both"/>
        <w:rPr>
          <w:lang w:eastAsia="en-AU"/>
        </w:rPr>
      </w:pPr>
      <w:r w:rsidRPr="00AB5475">
        <w:rPr>
          <w:lang w:eastAsia="en-AU"/>
        </w:rPr>
        <w:t>the amounts, nature and liquidity of assets;</w:t>
      </w:r>
    </w:p>
    <w:p w14:paraId="58AD86DD" w14:textId="71076ED0" w:rsidR="00F42DB6" w:rsidRPr="00AB5475" w:rsidRDefault="00F42DB6" w:rsidP="000E61D3">
      <w:pPr>
        <w:pStyle w:val="ListParagraph"/>
        <w:numPr>
          <w:ilvl w:val="0"/>
          <w:numId w:val="64"/>
        </w:numPr>
        <w:ind w:left="1564" w:hanging="782"/>
        <w:jc w:val="both"/>
        <w:rPr>
          <w:lang w:eastAsia="en-AU"/>
        </w:rPr>
      </w:pPr>
      <w:r w:rsidRPr="00AB5475">
        <w:rPr>
          <w:lang w:eastAsia="en-AU"/>
        </w:rPr>
        <w:t>the function of assets within the entity; and</w:t>
      </w:r>
    </w:p>
    <w:p w14:paraId="141BBD81" w14:textId="453322BD" w:rsidR="00F42DB6" w:rsidRPr="00AB5475" w:rsidRDefault="00F42DB6" w:rsidP="00451716">
      <w:pPr>
        <w:pStyle w:val="ListParagraph"/>
        <w:keepNext/>
        <w:numPr>
          <w:ilvl w:val="0"/>
          <w:numId w:val="64"/>
        </w:numPr>
        <w:ind w:left="1564" w:hanging="782"/>
        <w:jc w:val="both"/>
        <w:rPr>
          <w:lang w:eastAsia="en-AU"/>
        </w:rPr>
      </w:pPr>
      <w:r w:rsidRPr="00AB5475">
        <w:rPr>
          <w:lang w:eastAsia="en-AU"/>
        </w:rPr>
        <w:t>the amounts, nature and timing of liabilities.</w:t>
      </w:r>
    </w:p>
    <w:p w14:paraId="17741B01" w14:textId="39118F5F" w:rsidR="003E1F79" w:rsidRPr="00155974" w:rsidRDefault="003E1F79" w:rsidP="00077400">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4.10]</w:t>
      </w:r>
    </w:p>
    <w:p w14:paraId="0741C2F3" w14:textId="77777777" w:rsidR="00F42DB6" w:rsidRPr="00155974" w:rsidRDefault="00F42DB6" w:rsidP="00022B10">
      <w:pPr>
        <w:pStyle w:val="IASBSectionTitle3Ind"/>
        <w:rPr>
          <w:lang w:eastAsia="en-AU"/>
        </w:rPr>
      </w:pPr>
      <w:r w:rsidRPr="00155974">
        <w:rPr>
          <w:lang w:eastAsia="en-AU"/>
        </w:rPr>
        <w:t>Information to be presented either in the statement of financial position or in the notes</w:t>
      </w:r>
    </w:p>
    <w:p w14:paraId="00E0A9E4" w14:textId="55C88C31" w:rsidR="00F42DB6" w:rsidRPr="00155974" w:rsidRDefault="00F42DB6" w:rsidP="000E61D3">
      <w:pPr>
        <w:pStyle w:val="NumPlain1"/>
        <w:numPr>
          <w:ilvl w:val="0"/>
          <w:numId w:val="84"/>
        </w:numPr>
        <w:ind w:left="782" w:hanging="782"/>
        <w:rPr>
          <w:lang w:eastAsia="en-AU"/>
        </w:rPr>
      </w:pPr>
      <w:bookmarkStart w:id="38" w:name="_Ref34653808"/>
      <w:r w:rsidRPr="00155974">
        <w:rPr>
          <w:lang w:eastAsia="en-AU"/>
        </w:rPr>
        <w:t xml:space="preserve">An entity shall disclose, either in the statement of financial position or in the notes, </w:t>
      </w:r>
      <w:r w:rsidR="00B9662C" w:rsidRPr="00155974">
        <w:rPr>
          <w:lang w:eastAsia="en-AU"/>
        </w:rPr>
        <w:t xml:space="preserve">further </w:t>
      </w:r>
      <w:r w:rsidRPr="00155974">
        <w:rPr>
          <w:lang w:eastAsia="en-AU"/>
        </w:rPr>
        <w:t>subclassifications of the line items presented</w:t>
      </w:r>
      <w:r w:rsidR="009276F0" w:rsidRPr="00155974">
        <w:rPr>
          <w:lang w:eastAsia="en-AU"/>
        </w:rPr>
        <w:t xml:space="preserve">, classified in a manner appropriate to the entity’s operation. </w:t>
      </w:r>
      <w:r w:rsidR="009746D2" w:rsidRPr="00155974">
        <w:rPr>
          <w:lang w:eastAsia="en-AU"/>
        </w:rPr>
        <w:t xml:space="preserve">This </w:t>
      </w:r>
      <w:r w:rsidR="00A11161" w:rsidRPr="00155974">
        <w:rPr>
          <w:lang w:eastAsia="en-AU"/>
        </w:rPr>
        <w:t>includes for example</w:t>
      </w:r>
      <w:r w:rsidRPr="00155974">
        <w:rPr>
          <w:lang w:eastAsia="en-AU"/>
        </w:rPr>
        <w:t>:</w:t>
      </w:r>
      <w:bookmarkEnd w:id="38"/>
    </w:p>
    <w:p w14:paraId="45E2397D" w14:textId="5D8F4156" w:rsidR="00F42DB6" w:rsidRPr="00AB5475" w:rsidRDefault="00F42DB6" w:rsidP="000E61D3">
      <w:pPr>
        <w:pStyle w:val="ListParagraph"/>
        <w:numPr>
          <w:ilvl w:val="0"/>
          <w:numId w:val="65"/>
        </w:numPr>
        <w:ind w:left="1564" w:hanging="782"/>
        <w:jc w:val="both"/>
        <w:rPr>
          <w:lang w:eastAsia="en-AU"/>
        </w:rPr>
      </w:pPr>
      <w:r w:rsidRPr="00AB5475">
        <w:rPr>
          <w:lang w:eastAsia="en-AU"/>
        </w:rPr>
        <w:t>property, plant and equipment in classifications appropriate to the entity;</w:t>
      </w:r>
    </w:p>
    <w:p w14:paraId="12C449F4" w14:textId="5BCA64A5" w:rsidR="00F42DB6" w:rsidRPr="00AB5475" w:rsidRDefault="00F42DB6" w:rsidP="000E61D3">
      <w:pPr>
        <w:pStyle w:val="ListParagraph"/>
        <w:numPr>
          <w:ilvl w:val="0"/>
          <w:numId w:val="65"/>
        </w:numPr>
        <w:ind w:left="1564" w:hanging="782"/>
        <w:jc w:val="both"/>
        <w:rPr>
          <w:lang w:eastAsia="en-AU"/>
        </w:rPr>
      </w:pPr>
      <w:r w:rsidRPr="00AB5475">
        <w:rPr>
          <w:lang w:eastAsia="en-AU"/>
        </w:rPr>
        <w:t>trade and other receivables showing separately amounts due from related parties, amounts due from other parties and contract assets from contracts with customers;</w:t>
      </w:r>
    </w:p>
    <w:p w14:paraId="0F55D6E8" w14:textId="7E83F710" w:rsidR="00F42DB6" w:rsidRPr="00AB5475" w:rsidRDefault="00F42DB6" w:rsidP="00451716">
      <w:pPr>
        <w:pStyle w:val="ListParagraph"/>
        <w:keepNext/>
        <w:numPr>
          <w:ilvl w:val="0"/>
          <w:numId w:val="65"/>
        </w:numPr>
        <w:ind w:left="1564" w:hanging="782"/>
        <w:jc w:val="both"/>
        <w:rPr>
          <w:lang w:eastAsia="en-AU"/>
        </w:rPr>
      </w:pPr>
      <w:r w:rsidRPr="00AB5475">
        <w:rPr>
          <w:lang w:eastAsia="en-AU"/>
        </w:rPr>
        <w:lastRenderedPageBreak/>
        <w:t>inventories, showing separately amounts of inventories:</w:t>
      </w:r>
    </w:p>
    <w:p w14:paraId="6B223DC6" w14:textId="27AA1AF3" w:rsidR="00F42DB6" w:rsidRPr="005A1CC9" w:rsidRDefault="00F42DB6" w:rsidP="000E61D3">
      <w:pPr>
        <w:pStyle w:val="ListParagraph"/>
        <w:numPr>
          <w:ilvl w:val="0"/>
          <w:numId w:val="66"/>
        </w:numPr>
        <w:ind w:left="2347" w:hanging="782"/>
        <w:jc w:val="both"/>
        <w:rPr>
          <w:lang w:eastAsia="en-AU"/>
        </w:rPr>
      </w:pPr>
      <w:r w:rsidRPr="005A1CC9">
        <w:rPr>
          <w:lang w:eastAsia="en-AU"/>
        </w:rPr>
        <w:t>held for sale in the ordinary course of business;</w:t>
      </w:r>
    </w:p>
    <w:p w14:paraId="1BA8B750" w14:textId="43D892C0" w:rsidR="00F42DB6" w:rsidRPr="005A1CC9" w:rsidRDefault="00F42DB6" w:rsidP="000E61D3">
      <w:pPr>
        <w:pStyle w:val="ListParagraph"/>
        <w:numPr>
          <w:ilvl w:val="0"/>
          <w:numId w:val="66"/>
        </w:numPr>
        <w:ind w:left="2347" w:hanging="782"/>
        <w:jc w:val="both"/>
        <w:rPr>
          <w:lang w:eastAsia="en-AU"/>
        </w:rPr>
      </w:pPr>
      <w:r w:rsidRPr="005A1CC9">
        <w:rPr>
          <w:lang w:eastAsia="en-AU"/>
        </w:rPr>
        <w:t>in the process of production for such sale; and</w:t>
      </w:r>
    </w:p>
    <w:p w14:paraId="328D3E92" w14:textId="6682AB9C" w:rsidR="00F42DB6" w:rsidRPr="005A1CC9" w:rsidRDefault="00F42DB6" w:rsidP="000E61D3">
      <w:pPr>
        <w:pStyle w:val="ListParagraph"/>
        <w:numPr>
          <w:ilvl w:val="0"/>
          <w:numId w:val="66"/>
        </w:numPr>
        <w:ind w:left="2347" w:hanging="782"/>
        <w:jc w:val="both"/>
        <w:rPr>
          <w:lang w:eastAsia="en-AU"/>
        </w:rPr>
      </w:pPr>
      <w:r w:rsidRPr="005A1CC9">
        <w:rPr>
          <w:lang w:eastAsia="en-AU"/>
        </w:rPr>
        <w:t>in the form of materials or supplies to be consumed in the production process or in the rendering of services.</w:t>
      </w:r>
    </w:p>
    <w:p w14:paraId="6FA63DF4" w14:textId="3DFE7409" w:rsidR="00F42DB6" w:rsidRPr="00155974" w:rsidRDefault="00F42DB6" w:rsidP="000E61D3">
      <w:pPr>
        <w:pStyle w:val="ListParagraph"/>
        <w:numPr>
          <w:ilvl w:val="0"/>
          <w:numId w:val="65"/>
        </w:numPr>
        <w:ind w:left="1564" w:hanging="782"/>
        <w:jc w:val="both"/>
        <w:rPr>
          <w:lang w:eastAsia="en-AU"/>
        </w:rPr>
      </w:pPr>
      <w:r w:rsidRPr="00155974">
        <w:rPr>
          <w:lang w:eastAsia="en-AU"/>
        </w:rPr>
        <w:t xml:space="preserve">trade and other payables, showing separately amounts payable to trade suppliers, </w:t>
      </w:r>
      <w:r w:rsidR="0014684D" w:rsidRPr="00155974">
        <w:rPr>
          <w:lang w:eastAsia="en-AU"/>
        </w:rPr>
        <w:t xml:space="preserve">amounts </w:t>
      </w:r>
      <w:r w:rsidRPr="00155974">
        <w:rPr>
          <w:lang w:eastAsia="en-AU"/>
        </w:rPr>
        <w:t>payable to related parties, contract liabilities from contracts with customers and accruals;</w:t>
      </w:r>
    </w:p>
    <w:p w14:paraId="57A3AE74" w14:textId="65B65A7A" w:rsidR="00F42DB6" w:rsidRPr="00155974" w:rsidRDefault="00F42DB6" w:rsidP="000E61D3">
      <w:pPr>
        <w:pStyle w:val="ListParagraph"/>
        <w:numPr>
          <w:ilvl w:val="0"/>
          <w:numId w:val="65"/>
        </w:numPr>
        <w:ind w:left="1564" w:hanging="782"/>
        <w:jc w:val="both"/>
        <w:rPr>
          <w:lang w:eastAsia="en-AU"/>
        </w:rPr>
      </w:pPr>
      <w:r w:rsidRPr="00155974">
        <w:rPr>
          <w:lang w:eastAsia="en-AU"/>
        </w:rPr>
        <w:t>provisions for employee benefits and other provisions; and</w:t>
      </w:r>
    </w:p>
    <w:p w14:paraId="3D6878E0" w14:textId="1FB9F907" w:rsidR="00F42DB6" w:rsidRPr="00155974" w:rsidRDefault="00F42DB6" w:rsidP="00477BB8">
      <w:pPr>
        <w:pStyle w:val="ListParagraph"/>
        <w:keepNext/>
        <w:numPr>
          <w:ilvl w:val="0"/>
          <w:numId w:val="65"/>
        </w:numPr>
        <w:ind w:left="1564" w:hanging="782"/>
        <w:jc w:val="both"/>
        <w:rPr>
          <w:lang w:eastAsia="en-AU"/>
        </w:rPr>
      </w:pPr>
      <w:r w:rsidRPr="00155974">
        <w:rPr>
          <w:lang w:eastAsia="en-AU"/>
        </w:rPr>
        <w:t>classes of equity, such as paid-in capital, share premium, retained earnings and items of income and expense that, as required by Australian Accounting Standards, are recognised in other comprehensive income and presented separately in equity.</w:t>
      </w:r>
    </w:p>
    <w:p w14:paraId="36A4D5FA" w14:textId="7A24ECB7" w:rsidR="00E3292B" w:rsidRDefault="006A13A5" w:rsidP="00233B7B">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4.11]</w:t>
      </w:r>
      <w:bookmarkStart w:id="39" w:name="_Ref34731840"/>
    </w:p>
    <w:p w14:paraId="6BF1EFF5" w14:textId="759A10ED" w:rsidR="00F42DB6" w:rsidRPr="00155974" w:rsidRDefault="00F42DB6" w:rsidP="000E61D3">
      <w:pPr>
        <w:pStyle w:val="NumPlain1"/>
        <w:numPr>
          <w:ilvl w:val="0"/>
          <w:numId w:val="84"/>
        </w:numPr>
        <w:ind w:left="782" w:hanging="782"/>
        <w:rPr>
          <w:lang w:eastAsia="en-AU"/>
        </w:rPr>
      </w:pPr>
      <w:r w:rsidRPr="00155974">
        <w:rPr>
          <w:lang w:eastAsia="en-AU"/>
        </w:rPr>
        <w:t>An entity with share capital shall disclose the following, either in the statement of financial position or in the notes:</w:t>
      </w:r>
      <w:bookmarkEnd w:id="39"/>
    </w:p>
    <w:p w14:paraId="3B8F67E4" w14:textId="0EEE14DD" w:rsidR="00F42DB6" w:rsidRPr="00103490" w:rsidRDefault="00F42DB6" w:rsidP="00451716">
      <w:pPr>
        <w:pStyle w:val="ListParagraph"/>
        <w:keepNext/>
        <w:numPr>
          <w:ilvl w:val="0"/>
          <w:numId w:val="67"/>
        </w:numPr>
        <w:ind w:left="1564" w:hanging="782"/>
        <w:jc w:val="both"/>
        <w:rPr>
          <w:lang w:eastAsia="en-AU"/>
        </w:rPr>
      </w:pPr>
      <w:r w:rsidRPr="00103490">
        <w:rPr>
          <w:lang w:eastAsia="en-AU"/>
        </w:rPr>
        <w:t>for each class of share capital:</w:t>
      </w:r>
    </w:p>
    <w:p w14:paraId="0791603C" w14:textId="5EA3190E" w:rsidR="00F42DB6" w:rsidRPr="00CA23A0" w:rsidRDefault="00F42DB6" w:rsidP="000E61D3">
      <w:pPr>
        <w:pStyle w:val="ListParagraph"/>
        <w:numPr>
          <w:ilvl w:val="0"/>
          <w:numId w:val="68"/>
        </w:numPr>
        <w:ind w:left="2347" w:hanging="782"/>
        <w:jc w:val="both"/>
        <w:rPr>
          <w:lang w:eastAsia="en-AU"/>
        </w:rPr>
      </w:pPr>
      <w:r w:rsidRPr="00CA23A0">
        <w:rPr>
          <w:lang w:eastAsia="en-AU"/>
        </w:rPr>
        <w:t>the number of shares authorised</w:t>
      </w:r>
      <w:r w:rsidR="001D76E4" w:rsidRPr="00CA23A0">
        <w:rPr>
          <w:lang w:eastAsia="en-AU"/>
        </w:rPr>
        <w:t>;</w:t>
      </w:r>
    </w:p>
    <w:p w14:paraId="6F259F6E" w14:textId="320525D3" w:rsidR="00F42DB6" w:rsidRPr="00CA23A0" w:rsidRDefault="00F42DB6" w:rsidP="000E61D3">
      <w:pPr>
        <w:pStyle w:val="ListParagraph"/>
        <w:numPr>
          <w:ilvl w:val="0"/>
          <w:numId w:val="68"/>
        </w:numPr>
        <w:ind w:left="2347" w:hanging="782"/>
        <w:jc w:val="both"/>
        <w:rPr>
          <w:lang w:eastAsia="en-AU"/>
        </w:rPr>
      </w:pPr>
      <w:r w:rsidRPr="00CA23A0">
        <w:rPr>
          <w:lang w:eastAsia="en-AU"/>
        </w:rPr>
        <w:t>the number of shares issued and fully paid, and issued but not fully paid</w:t>
      </w:r>
      <w:r w:rsidR="001D76E4" w:rsidRPr="00CA23A0">
        <w:rPr>
          <w:lang w:eastAsia="en-AU"/>
        </w:rPr>
        <w:t>;</w:t>
      </w:r>
    </w:p>
    <w:p w14:paraId="116243AA" w14:textId="0A88CD2C" w:rsidR="00F42DB6" w:rsidRPr="00CA23A0" w:rsidRDefault="00F42DB6" w:rsidP="000E61D3">
      <w:pPr>
        <w:pStyle w:val="ListParagraph"/>
        <w:numPr>
          <w:ilvl w:val="0"/>
          <w:numId w:val="68"/>
        </w:numPr>
        <w:ind w:left="2347" w:hanging="782"/>
        <w:jc w:val="both"/>
        <w:rPr>
          <w:lang w:eastAsia="en-AU"/>
        </w:rPr>
      </w:pPr>
      <w:r w:rsidRPr="00CA23A0">
        <w:rPr>
          <w:lang w:eastAsia="en-AU"/>
        </w:rPr>
        <w:t>par value per share or that the shares have no par value</w:t>
      </w:r>
      <w:r w:rsidR="001D76E4" w:rsidRPr="00CA23A0">
        <w:rPr>
          <w:lang w:eastAsia="en-AU"/>
        </w:rPr>
        <w:t>;</w:t>
      </w:r>
    </w:p>
    <w:p w14:paraId="01CA7840" w14:textId="3D33C955" w:rsidR="00F42DB6" w:rsidRPr="00CA23A0" w:rsidRDefault="00F42DB6" w:rsidP="000E61D3">
      <w:pPr>
        <w:pStyle w:val="ListParagraph"/>
        <w:numPr>
          <w:ilvl w:val="0"/>
          <w:numId w:val="68"/>
        </w:numPr>
        <w:ind w:left="2347" w:hanging="782"/>
        <w:jc w:val="both"/>
        <w:rPr>
          <w:lang w:eastAsia="en-AU"/>
        </w:rPr>
      </w:pPr>
      <w:r w:rsidRPr="00CA23A0">
        <w:rPr>
          <w:lang w:eastAsia="en-AU"/>
        </w:rPr>
        <w:t>a reconciliation of the number of shares outstanding at the beginning and at the end of the period. This reconciliation need not be presented for prior periods</w:t>
      </w:r>
      <w:r w:rsidR="001D428C" w:rsidRPr="00CA23A0">
        <w:rPr>
          <w:lang w:eastAsia="en-AU"/>
        </w:rPr>
        <w:t>;</w:t>
      </w:r>
    </w:p>
    <w:p w14:paraId="4F73D829" w14:textId="06BF8C23" w:rsidR="00F42DB6" w:rsidRPr="00CA23A0" w:rsidRDefault="00F42DB6" w:rsidP="000E61D3">
      <w:pPr>
        <w:pStyle w:val="ListParagraph"/>
        <w:numPr>
          <w:ilvl w:val="0"/>
          <w:numId w:val="68"/>
        </w:numPr>
        <w:ind w:left="2347" w:hanging="782"/>
        <w:jc w:val="both"/>
        <w:rPr>
          <w:lang w:eastAsia="en-AU"/>
        </w:rPr>
      </w:pPr>
      <w:r w:rsidRPr="00CA23A0">
        <w:rPr>
          <w:lang w:eastAsia="en-AU"/>
        </w:rPr>
        <w:t>the rights, preferences and restrictions attaching to that class including restrictions on the distribution of dividends and the repayment of capital</w:t>
      </w:r>
      <w:r w:rsidR="001D428C" w:rsidRPr="00CA23A0">
        <w:rPr>
          <w:lang w:eastAsia="en-AU"/>
        </w:rPr>
        <w:t>;</w:t>
      </w:r>
    </w:p>
    <w:p w14:paraId="2A387D7B" w14:textId="7D6FCE69" w:rsidR="00F42DB6" w:rsidRPr="00CA23A0" w:rsidRDefault="00F42DB6" w:rsidP="000E61D3">
      <w:pPr>
        <w:pStyle w:val="ListParagraph"/>
        <w:numPr>
          <w:ilvl w:val="0"/>
          <w:numId w:val="68"/>
        </w:numPr>
        <w:ind w:left="2347" w:hanging="782"/>
        <w:jc w:val="both"/>
        <w:rPr>
          <w:lang w:eastAsia="en-AU"/>
        </w:rPr>
      </w:pPr>
      <w:r w:rsidRPr="00CA23A0">
        <w:rPr>
          <w:lang w:eastAsia="en-AU"/>
        </w:rPr>
        <w:t>shares in the entity held by the entity or by its subsidiaries or associates</w:t>
      </w:r>
      <w:r w:rsidR="001D428C" w:rsidRPr="00CA23A0">
        <w:rPr>
          <w:lang w:eastAsia="en-AU"/>
        </w:rPr>
        <w:t>; and</w:t>
      </w:r>
    </w:p>
    <w:p w14:paraId="5432A755" w14:textId="454E9F16" w:rsidR="00F42DB6" w:rsidRPr="00CA23A0" w:rsidRDefault="00F42DB6" w:rsidP="000E61D3">
      <w:pPr>
        <w:pStyle w:val="ListParagraph"/>
        <w:numPr>
          <w:ilvl w:val="0"/>
          <w:numId w:val="68"/>
        </w:numPr>
        <w:ind w:left="2347" w:hanging="782"/>
        <w:jc w:val="both"/>
        <w:rPr>
          <w:lang w:eastAsia="en-AU"/>
        </w:rPr>
      </w:pPr>
      <w:r w:rsidRPr="00CA23A0">
        <w:rPr>
          <w:lang w:eastAsia="en-AU"/>
        </w:rPr>
        <w:t>shares reserved for issue under options and contracts for the sale of shares, including the terms and amounts</w:t>
      </w:r>
      <w:r w:rsidR="001D428C" w:rsidRPr="00CA23A0">
        <w:rPr>
          <w:lang w:eastAsia="en-AU"/>
        </w:rPr>
        <w:t>; and</w:t>
      </w:r>
    </w:p>
    <w:p w14:paraId="364A44F1" w14:textId="7439DC17" w:rsidR="00F42DB6" w:rsidRPr="00155974" w:rsidRDefault="00F42DB6" w:rsidP="00451716">
      <w:pPr>
        <w:pStyle w:val="ListParagraph"/>
        <w:keepNext/>
        <w:numPr>
          <w:ilvl w:val="0"/>
          <w:numId w:val="67"/>
        </w:numPr>
        <w:ind w:left="1564" w:hanging="782"/>
        <w:jc w:val="both"/>
        <w:rPr>
          <w:lang w:eastAsia="en-AU"/>
        </w:rPr>
      </w:pPr>
      <w:r w:rsidRPr="00155974">
        <w:rPr>
          <w:lang w:eastAsia="en-AU"/>
        </w:rPr>
        <w:t>a description of each reserve within equity.</w:t>
      </w:r>
    </w:p>
    <w:p w14:paraId="05E00215" w14:textId="6F71F4CA" w:rsidR="00D20967" w:rsidRPr="00155974" w:rsidRDefault="00D20967" w:rsidP="00233B7B">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4.12]</w:t>
      </w:r>
    </w:p>
    <w:p w14:paraId="5C90BD93" w14:textId="6ABD5B09" w:rsidR="00C11FDA" w:rsidRPr="00155974" w:rsidRDefault="00F42DB6" w:rsidP="000E61D3">
      <w:pPr>
        <w:pStyle w:val="NumPlain1"/>
        <w:numPr>
          <w:ilvl w:val="0"/>
          <w:numId w:val="84"/>
        </w:numPr>
        <w:ind w:left="782" w:hanging="782"/>
        <w:rPr>
          <w:lang w:eastAsia="en-AU"/>
        </w:rPr>
      </w:pPr>
      <w:r w:rsidRPr="00155974">
        <w:rPr>
          <w:lang w:eastAsia="en-AU"/>
        </w:rPr>
        <w:t xml:space="preserve">An entity without share capital, such as a partnership or trust, shall disclose information equivalent to that required by paragraph </w:t>
      </w:r>
      <w:r w:rsidR="002B3193" w:rsidRPr="00155974">
        <w:rPr>
          <w:lang w:eastAsia="en-AU"/>
        </w:rPr>
        <w:t>45</w:t>
      </w:r>
      <w:r w:rsidRPr="00155974">
        <w:rPr>
          <w:lang w:eastAsia="en-AU"/>
        </w:rPr>
        <w:t>(a), showing changes during the period in each category of equity, and the rights, preferences and restrictions attaching to each category of equity.</w:t>
      </w:r>
      <w:r w:rsidR="008C215B" w:rsidRPr="00155974">
        <w:rPr>
          <w:lang w:eastAsia="en-AU"/>
        </w:rPr>
        <w:t xml:space="preserve"> </w:t>
      </w:r>
      <w:r w:rsidR="00C11FDA" w:rsidRPr="00155974">
        <w:rPr>
          <w:lang w:eastAsia="en-AU"/>
        </w:rPr>
        <w:t>[</w:t>
      </w:r>
      <w:r w:rsidR="0058144C" w:rsidRPr="00155974">
        <w:rPr>
          <w:i/>
          <w:iCs/>
          <w:lang w:eastAsia="en-AU"/>
        </w:rPr>
        <w:t>IFRS for SMEs</w:t>
      </w:r>
      <w:r w:rsidR="00C11FDA" w:rsidRPr="00155974">
        <w:rPr>
          <w:lang w:eastAsia="en-AU"/>
        </w:rPr>
        <w:t xml:space="preserve"> Standard paragraph 4.13]</w:t>
      </w:r>
    </w:p>
    <w:p w14:paraId="6EC2C7A3" w14:textId="7D5A4BB2" w:rsidR="00F42DB6" w:rsidRPr="00155974" w:rsidRDefault="00F42DB6" w:rsidP="000E61D3">
      <w:pPr>
        <w:pStyle w:val="NumPlain1"/>
        <w:numPr>
          <w:ilvl w:val="0"/>
          <w:numId w:val="84"/>
        </w:numPr>
        <w:ind w:left="782" w:hanging="782"/>
        <w:rPr>
          <w:lang w:eastAsia="en-AU"/>
        </w:rPr>
      </w:pPr>
      <w:bookmarkStart w:id="40" w:name="_Ref35356721"/>
      <w:r w:rsidRPr="00155974">
        <w:rPr>
          <w:lang w:eastAsia="en-AU"/>
        </w:rPr>
        <w:t xml:space="preserve">If, at the reporting date, an entity has </w:t>
      </w:r>
      <w:r w:rsidR="0056759F" w:rsidRPr="00155974">
        <w:rPr>
          <w:lang w:eastAsia="en-AU"/>
        </w:rPr>
        <w:t>any assets</w:t>
      </w:r>
      <w:r w:rsidR="00F4591D" w:rsidRPr="00155974">
        <w:rPr>
          <w:lang w:eastAsia="en-AU"/>
        </w:rPr>
        <w:t xml:space="preserve"> classified as held for sale</w:t>
      </w:r>
      <w:r w:rsidR="002B5D02" w:rsidRPr="00155974">
        <w:rPr>
          <w:lang w:eastAsia="en-AU"/>
        </w:rPr>
        <w:t xml:space="preserve">, or assets and liabilities that are included in </w:t>
      </w:r>
      <w:r w:rsidR="00F4591D" w:rsidRPr="00155974">
        <w:rPr>
          <w:lang w:eastAsia="en-AU"/>
        </w:rPr>
        <w:t xml:space="preserve">a disposal group that is classified as held for sale, </w:t>
      </w:r>
      <w:r w:rsidRPr="00155974">
        <w:rPr>
          <w:lang w:eastAsia="en-AU"/>
        </w:rPr>
        <w:t>the entity shall disclose the following information:</w:t>
      </w:r>
      <w:bookmarkEnd w:id="40"/>
    </w:p>
    <w:p w14:paraId="4171BCEA" w14:textId="045B8049" w:rsidR="00F42DB6" w:rsidRPr="00CA23A0" w:rsidRDefault="00F42DB6" w:rsidP="000E61D3">
      <w:pPr>
        <w:pStyle w:val="ListParagraph"/>
        <w:numPr>
          <w:ilvl w:val="0"/>
          <w:numId w:val="69"/>
        </w:numPr>
        <w:ind w:left="1564" w:hanging="782"/>
        <w:jc w:val="both"/>
        <w:rPr>
          <w:lang w:eastAsia="en-AU"/>
        </w:rPr>
      </w:pPr>
      <w:r w:rsidRPr="00CA23A0">
        <w:rPr>
          <w:lang w:eastAsia="en-AU"/>
        </w:rPr>
        <w:t>a description of the asset(s) or the group of assets and liabilities;</w:t>
      </w:r>
      <w:r w:rsidR="00F72B79" w:rsidRPr="00CA23A0">
        <w:rPr>
          <w:lang w:eastAsia="en-AU"/>
        </w:rPr>
        <w:t xml:space="preserve"> and</w:t>
      </w:r>
    </w:p>
    <w:p w14:paraId="43692ADC" w14:textId="45551383" w:rsidR="00F42DB6" w:rsidRPr="00CA23A0" w:rsidRDefault="00F42DB6" w:rsidP="00477BB8">
      <w:pPr>
        <w:pStyle w:val="ListParagraph"/>
        <w:keepNext/>
        <w:numPr>
          <w:ilvl w:val="0"/>
          <w:numId w:val="69"/>
        </w:numPr>
        <w:ind w:left="1564" w:hanging="782"/>
        <w:jc w:val="both"/>
        <w:rPr>
          <w:lang w:eastAsia="en-AU"/>
        </w:rPr>
      </w:pPr>
      <w:r w:rsidRPr="00CA23A0">
        <w:rPr>
          <w:lang w:eastAsia="en-AU"/>
        </w:rPr>
        <w:t>a description of the facts and circumstances of the sale</w:t>
      </w:r>
      <w:r w:rsidR="00581037" w:rsidRPr="00CA23A0">
        <w:rPr>
          <w:lang w:eastAsia="en-AU"/>
        </w:rPr>
        <w:t>,</w:t>
      </w:r>
      <w:r w:rsidRPr="00CA23A0">
        <w:rPr>
          <w:lang w:eastAsia="en-AU"/>
        </w:rPr>
        <w:t xml:space="preserve"> or </w:t>
      </w:r>
      <w:r w:rsidR="00581037" w:rsidRPr="00CA23A0">
        <w:rPr>
          <w:lang w:eastAsia="en-AU"/>
        </w:rPr>
        <w:t xml:space="preserve">leading to the expected disposal, </w:t>
      </w:r>
      <w:r w:rsidR="00E2598A" w:rsidRPr="00CA23A0">
        <w:rPr>
          <w:lang w:eastAsia="en-AU"/>
        </w:rPr>
        <w:t>and the expected manner and timing of that disposa</w:t>
      </w:r>
      <w:r w:rsidR="00785E76" w:rsidRPr="00CA23A0">
        <w:rPr>
          <w:lang w:eastAsia="en-AU"/>
        </w:rPr>
        <w:t>l.</w:t>
      </w:r>
    </w:p>
    <w:p w14:paraId="1CCF2D83" w14:textId="0EF32814" w:rsidR="00C11FDA" w:rsidRPr="00155974" w:rsidRDefault="00E23300" w:rsidP="00AB5475">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4.14]</w:t>
      </w:r>
    </w:p>
    <w:p w14:paraId="2B3DB566" w14:textId="5220B041" w:rsidR="00F42DB6" w:rsidRPr="00155974" w:rsidRDefault="00F42DB6" w:rsidP="00022B10">
      <w:pPr>
        <w:pStyle w:val="IASBSectionTitle2Ind"/>
        <w:rPr>
          <w:lang w:eastAsia="en-AU"/>
        </w:rPr>
      </w:pPr>
      <w:bookmarkStart w:id="41" w:name="StmtPLandOCI"/>
      <w:r w:rsidRPr="00155974">
        <w:rPr>
          <w:lang w:eastAsia="en-AU"/>
        </w:rPr>
        <w:t xml:space="preserve">Statement of </w:t>
      </w:r>
      <w:r w:rsidR="008763E1" w:rsidRPr="00155974">
        <w:rPr>
          <w:lang w:eastAsia="en-AU"/>
        </w:rPr>
        <w:t xml:space="preserve">Profit </w:t>
      </w:r>
      <w:r w:rsidR="00D345E7" w:rsidRPr="00155974">
        <w:rPr>
          <w:lang w:eastAsia="en-AU"/>
        </w:rPr>
        <w:t xml:space="preserve">or </w:t>
      </w:r>
      <w:r w:rsidR="008763E1" w:rsidRPr="00155974">
        <w:rPr>
          <w:lang w:eastAsia="en-AU"/>
        </w:rPr>
        <w:t xml:space="preserve">Loss </w:t>
      </w:r>
      <w:r w:rsidR="00D345E7" w:rsidRPr="00155974">
        <w:rPr>
          <w:lang w:eastAsia="en-AU"/>
        </w:rPr>
        <w:t xml:space="preserve">and </w:t>
      </w:r>
      <w:r w:rsidR="008763E1" w:rsidRPr="00155974">
        <w:rPr>
          <w:lang w:eastAsia="en-AU"/>
        </w:rPr>
        <w:t xml:space="preserve">Other </w:t>
      </w:r>
      <w:r w:rsidR="00F64D19" w:rsidRPr="00022B10">
        <w:t>C</w:t>
      </w:r>
      <w:r w:rsidR="008763E1" w:rsidRPr="00022B10">
        <w:t>omprehensive</w:t>
      </w:r>
      <w:r w:rsidR="008763E1" w:rsidRPr="00155974">
        <w:rPr>
          <w:lang w:eastAsia="en-AU"/>
        </w:rPr>
        <w:t xml:space="preserve"> </w:t>
      </w:r>
      <w:r w:rsidRPr="00155974">
        <w:rPr>
          <w:lang w:eastAsia="en-AU"/>
        </w:rPr>
        <w:t>Income</w:t>
      </w:r>
      <w:bookmarkEnd w:id="41"/>
      <w:r w:rsidRPr="00155974">
        <w:rPr>
          <w:rStyle w:val="FootnoteReference"/>
          <w:sz w:val="22"/>
          <w:szCs w:val="22"/>
          <w:lang w:eastAsia="en-AU"/>
        </w:rPr>
        <w:footnoteReference w:id="5"/>
      </w:r>
    </w:p>
    <w:p w14:paraId="7964C9D1" w14:textId="77777777" w:rsidR="00F42DB6" w:rsidRPr="00155974" w:rsidRDefault="00F42DB6" w:rsidP="00022B10">
      <w:pPr>
        <w:pStyle w:val="IASBSectionTitle3Ind"/>
        <w:rPr>
          <w:lang w:eastAsia="en-AU"/>
        </w:rPr>
      </w:pPr>
      <w:r w:rsidRPr="00155974">
        <w:rPr>
          <w:lang w:eastAsia="en-AU"/>
        </w:rPr>
        <w:t>Scope of this section</w:t>
      </w:r>
    </w:p>
    <w:p w14:paraId="3216D34B" w14:textId="6BDA5BC2" w:rsidR="00A2099B" w:rsidRPr="00155974" w:rsidRDefault="00F42DB6" w:rsidP="000E61D3">
      <w:pPr>
        <w:pStyle w:val="NumPlain1"/>
        <w:numPr>
          <w:ilvl w:val="0"/>
          <w:numId w:val="84"/>
        </w:numPr>
        <w:ind w:left="782" w:hanging="782"/>
        <w:rPr>
          <w:lang w:eastAsia="en-AU"/>
        </w:rPr>
      </w:pPr>
      <w:bookmarkStart w:id="42" w:name="_Ref35356747"/>
      <w:r w:rsidRPr="00155974">
        <w:rPr>
          <w:lang w:eastAsia="en-AU"/>
        </w:rPr>
        <w:t xml:space="preserve">This section requires an entity to present its total comprehensive income for a period—ie its financial performance for the period—in one or two financial statements. It sets out the information that is to be presented in those statements </w:t>
      </w:r>
      <w:r w:rsidR="00AF3D62" w:rsidRPr="00155974">
        <w:rPr>
          <w:lang w:eastAsia="en-AU"/>
        </w:rPr>
        <w:t xml:space="preserve">or in the notes </w:t>
      </w:r>
      <w:r w:rsidRPr="00155974">
        <w:rPr>
          <w:lang w:eastAsia="en-AU"/>
        </w:rPr>
        <w:t>and how to present it.</w:t>
      </w:r>
      <w:r w:rsidR="00C25DF2" w:rsidRPr="00155974">
        <w:rPr>
          <w:lang w:eastAsia="en-AU"/>
        </w:rPr>
        <w:t xml:space="preserve"> </w:t>
      </w:r>
      <w:r w:rsidR="00A2099B" w:rsidRPr="00155974">
        <w:rPr>
          <w:lang w:eastAsia="en-AU"/>
        </w:rPr>
        <w:t xml:space="preserve">[Based on </w:t>
      </w:r>
      <w:r w:rsidR="0058144C" w:rsidRPr="00155974">
        <w:rPr>
          <w:i/>
          <w:iCs/>
          <w:lang w:eastAsia="en-AU"/>
        </w:rPr>
        <w:t>IFRS for SMEs</w:t>
      </w:r>
      <w:r w:rsidR="00A2099B" w:rsidRPr="00155974">
        <w:rPr>
          <w:lang w:eastAsia="en-AU"/>
        </w:rPr>
        <w:t xml:space="preserve"> Standard paragraph 5.1]</w:t>
      </w:r>
      <w:bookmarkEnd w:id="42"/>
    </w:p>
    <w:p w14:paraId="3B6E9AE0" w14:textId="5263B891" w:rsidR="00F42DB6" w:rsidRPr="00155974" w:rsidRDefault="00F42DB6" w:rsidP="00022B10">
      <w:pPr>
        <w:pStyle w:val="IASBSectionTitle3Ind"/>
        <w:rPr>
          <w:lang w:eastAsia="en-AU"/>
        </w:rPr>
      </w:pPr>
      <w:r w:rsidRPr="00155974">
        <w:rPr>
          <w:lang w:eastAsia="en-AU"/>
        </w:rPr>
        <w:lastRenderedPageBreak/>
        <w:t>Presentation of total comprehensive income</w:t>
      </w:r>
    </w:p>
    <w:p w14:paraId="1D385041" w14:textId="54397297" w:rsidR="00F42DB6" w:rsidRPr="00155974" w:rsidRDefault="00F42DB6" w:rsidP="00C95A8C">
      <w:pPr>
        <w:pStyle w:val="NumPlain1"/>
        <w:keepNext/>
        <w:numPr>
          <w:ilvl w:val="0"/>
          <w:numId w:val="84"/>
        </w:numPr>
        <w:ind w:left="782" w:hanging="782"/>
        <w:rPr>
          <w:lang w:eastAsia="en-AU"/>
        </w:rPr>
      </w:pPr>
      <w:r w:rsidRPr="00155974">
        <w:rPr>
          <w:lang w:eastAsia="en-AU"/>
        </w:rPr>
        <w:t>An entity shall present its total comprehensive income for a period either:</w:t>
      </w:r>
    </w:p>
    <w:p w14:paraId="146B8F07" w14:textId="3AEDDBB4" w:rsidR="00F42DB6" w:rsidRPr="00CA23A0" w:rsidRDefault="00F42DB6" w:rsidP="000E61D3">
      <w:pPr>
        <w:pStyle w:val="ListParagraph"/>
        <w:numPr>
          <w:ilvl w:val="0"/>
          <w:numId w:val="70"/>
        </w:numPr>
        <w:ind w:left="1564" w:hanging="782"/>
        <w:jc w:val="both"/>
        <w:rPr>
          <w:lang w:eastAsia="en-AU"/>
        </w:rPr>
      </w:pPr>
      <w:r w:rsidRPr="00CA23A0">
        <w:rPr>
          <w:lang w:eastAsia="en-AU"/>
        </w:rPr>
        <w:t xml:space="preserve">in a single statement of </w:t>
      </w:r>
      <w:r w:rsidR="00CC2D10" w:rsidRPr="00CA23A0">
        <w:rPr>
          <w:lang w:eastAsia="en-AU"/>
        </w:rPr>
        <w:t xml:space="preserve">profit or loss and other </w:t>
      </w:r>
      <w:r w:rsidRPr="00CA23A0">
        <w:rPr>
          <w:lang w:eastAsia="en-AU"/>
        </w:rPr>
        <w:t>comprehensive income, in which case the statement of comprehensive income presents all items of income and expense recognised in the period; or</w:t>
      </w:r>
    </w:p>
    <w:p w14:paraId="7D5AC8F8" w14:textId="521261DB" w:rsidR="00F42DB6" w:rsidRPr="00CA23A0" w:rsidRDefault="00F42DB6" w:rsidP="00477BB8">
      <w:pPr>
        <w:pStyle w:val="ListParagraph"/>
        <w:keepNext/>
        <w:numPr>
          <w:ilvl w:val="0"/>
          <w:numId w:val="70"/>
        </w:numPr>
        <w:ind w:left="1564" w:hanging="782"/>
        <w:jc w:val="both"/>
        <w:rPr>
          <w:lang w:eastAsia="en-AU"/>
        </w:rPr>
      </w:pPr>
      <w:r w:rsidRPr="00CA23A0">
        <w:rPr>
          <w:lang w:eastAsia="en-AU"/>
        </w:rPr>
        <w:t>in two statements—a</w:t>
      </w:r>
      <w:r w:rsidR="00CC2D10" w:rsidRPr="00CA23A0">
        <w:rPr>
          <w:lang w:eastAsia="en-AU"/>
        </w:rPr>
        <w:t xml:space="preserve"> </w:t>
      </w:r>
      <w:r w:rsidRPr="00CA23A0">
        <w:rPr>
          <w:lang w:eastAsia="en-AU"/>
        </w:rPr>
        <w:t xml:space="preserve">statement </w:t>
      </w:r>
      <w:r w:rsidR="00561DE5" w:rsidRPr="00CA23A0">
        <w:rPr>
          <w:lang w:eastAsia="en-AU"/>
        </w:rPr>
        <w:t xml:space="preserve">of profit or loss </w:t>
      </w:r>
      <w:r w:rsidRPr="00CA23A0">
        <w:rPr>
          <w:lang w:eastAsia="en-AU"/>
        </w:rPr>
        <w:t xml:space="preserve">and a statement of comprehensive income—in which case the statement </w:t>
      </w:r>
      <w:r w:rsidR="006B3004" w:rsidRPr="00CA23A0">
        <w:rPr>
          <w:lang w:eastAsia="en-AU"/>
        </w:rPr>
        <w:t xml:space="preserve">of profit or loss </w:t>
      </w:r>
      <w:r w:rsidRPr="00CA23A0">
        <w:rPr>
          <w:lang w:eastAsia="en-AU"/>
        </w:rPr>
        <w:t>presents all items of income and expense recognised in the period except those that are recognised in total comprehensive income outside of profit or loss as permitted or required by other Australian Accounting Standards.</w:t>
      </w:r>
    </w:p>
    <w:p w14:paraId="554C7A4B" w14:textId="4FA26BF5" w:rsidR="00DA4ADC" w:rsidRPr="00155974" w:rsidRDefault="00DA4ADC" w:rsidP="00AB5475">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5.2]</w:t>
      </w:r>
    </w:p>
    <w:p w14:paraId="7BA39FBF" w14:textId="2640E3C1" w:rsidR="00AF1886" w:rsidRPr="00155974" w:rsidRDefault="00F42DB6" w:rsidP="000E61D3">
      <w:pPr>
        <w:pStyle w:val="NumPlain1"/>
        <w:numPr>
          <w:ilvl w:val="0"/>
          <w:numId w:val="84"/>
        </w:numPr>
        <w:ind w:left="782" w:hanging="782"/>
        <w:rPr>
          <w:lang w:eastAsia="en-AU"/>
        </w:rPr>
      </w:pPr>
      <w:r w:rsidRPr="00155974">
        <w:rPr>
          <w:lang w:eastAsia="en-AU"/>
        </w:rPr>
        <w:t>A change from the single-statement approach to the two-statement approach, or vice versa, is a change in accounting policy to which AASB 108 applies.</w:t>
      </w:r>
      <w:r w:rsidR="00C25DF2" w:rsidRPr="00155974">
        <w:rPr>
          <w:lang w:eastAsia="en-AU"/>
        </w:rPr>
        <w:t xml:space="preserve"> </w:t>
      </w:r>
      <w:r w:rsidR="00AF1886" w:rsidRPr="00155974">
        <w:rPr>
          <w:lang w:eastAsia="en-AU"/>
        </w:rPr>
        <w:t>[</w:t>
      </w:r>
      <w:r w:rsidR="0058144C" w:rsidRPr="00155974">
        <w:rPr>
          <w:i/>
          <w:iCs/>
          <w:lang w:eastAsia="en-AU"/>
        </w:rPr>
        <w:t>IFRS for SMEs</w:t>
      </w:r>
      <w:r w:rsidR="00AF1886" w:rsidRPr="00155974">
        <w:rPr>
          <w:lang w:eastAsia="en-AU"/>
        </w:rPr>
        <w:t xml:space="preserve"> Standard paragraph 5.3]</w:t>
      </w:r>
    </w:p>
    <w:p w14:paraId="1887FED7" w14:textId="77777777" w:rsidR="00F42DB6" w:rsidRPr="00155974" w:rsidRDefault="00F42DB6" w:rsidP="00022B10">
      <w:pPr>
        <w:pStyle w:val="IASBSectionTitle3Ind"/>
        <w:rPr>
          <w:lang w:eastAsia="en-AU"/>
        </w:rPr>
      </w:pPr>
      <w:r w:rsidRPr="00155974">
        <w:rPr>
          <w:lang w:eastAsia="en-AU"/>
        </w:rPr>
        <w:t>Single-statement approach</w:t>
      </w:r>
    </w:p>
    <w:p w14:paraId="34484DFB" w14:textId="226E2ABF" w:rsidR="00F42DB6" w:rsidRPr="00155974" w:rsidRDefault="00F42DB6" w:rsidP="000E61D3">
      <w:pPr>
        <w:pStyle w:val="NumPlain1"/>
        <w:numPr>
          <w:ilvl w:val="0"/>
          <w:numId w:val="84"/>
        </w:numPr>
        <w:ind w:left="782" w:hanging="782"/>
        <w:rPr>
          <w:lang w:eastAsia="en-AU"/>
        </w:rPr>
      </w:pPr>
      <w:bookmarkStart w:id="43" w:name="_Ref34659171"/>
      <w:r w:rsidRPr="00155974">
        <w:rPr>
          <w:lang w:eastAsia="en-AU"/>
        </w:rPr>
        <w:t xml:space="preserve">Under the single-statement approach, the statement of </w:t>
      </w:r>
      <w:r w:rsidR="003C67CE" w:rsidRPr="00155974">
        <w:rPr>
          <w:lang w:eastAsia="en-AU"/>
        </w:rPr>
        <w:t xml:space="preserve">profit or loss and other </w:t>
      </w:r>
      <w:r w:rsidRPr="00155974">
        <w:rPr>
          <w:lang w:eastAsia="en-AU"/>
        </w:rPr>
        <w:t>comprehensive income shall include all items of income and expense recognised in a period unless other Australian Accounting Standards require otherwise. Australian Accounting Standards provide different treatment for the following circumstances:</w:t>
      </w:r>
      <w:bookmarkEnd w:id="43"/>
    </w:p>
    <w:p w14:paraId="54E461C9" w14:textId="50CCB7B3" w:rsidR="00F42DB6" w:rsidRPr="00CA23A0" w:rsidRDefault="00F42DB6" w:rsidP="000E61D3">
      <w:pPr>
        <w:pStyle w:val="ListParagraph"/>
        <w:numPr>
          <w:ilvl w:val="0"/>
          <w:numId w:val="71"/>
        </w:numPr>
        <w:ind w:left="1564" w:hanging="782"/>
        <w:jc w:val="both"/>
        <w:rPr>
          <w:lang w:eastAsia="en-AU"/>
        </w:rPr>
      </w:pPr>
      <w:r w:rsidRPr="00CA23A0">
        <w:rPr>
          <w:lang w:eastAsia="en-AU"/>
        </w:rPr>
        <w:t>the effects of corrections of errors and changes in accounting policies are presented as retrospective adjustments of prior periods instead of as part of profit or loss in the period in which they arise (see AASB</w:t>
      </w:r>
      <w:r w:rsidR="00377BF6" w:rsidRPr="00CA23A0">
        <w:rPr>
          <w:lang w:eastAsia="en-AU"/>
        </w:rPr>
        <w:t> </w:t>
      </w:r>
      <w:r w:rsidRPr="00CA23A0">
        <w:rPr>
          <w:lang w:eastAsia="en-AU"/>
        </w:rPr>
        <w:t>108); and</w:t>
      </w:r>
    </w:p>
    <w:p w14:paraId="2984875F" w14:textId="7904A0AC" w:rsidR="00F42DB6" w:rsidRPr="00CA23A0" w:rsidRDefault="006D4710" w:rsidP="00477BB8">
      <w:pPr>
        <w:pStyle w:val="ListParagraph"/>
        <w:keepNext/>
        <w:numPr>
          <w:ilvl w:val="0"/>
          <w:numId w:val="71"/>
        </w:numPr>
        <w:ind w:left="1564" w:hanging="782"/>
        <w:jc w:val="both"/>
        <w:rPr>
          <w:lang w:eastAsia="en-AU"/>
        </w:rPr>
      </w:pPr>
      <w:r w:rsidRPr="00CA23A0">
        <w:rPr>
          <w:lang w:eastAsia="en-AU"/>
        </w:rPr>
        <w:t>items</w:t>
      </w:r>
      <w:r w:rsidR="00F42DB6" w:rsidRPr="00CA23A0">
        <w:rPr>
          <w:lang w:eastAsia="en-AU"/>
        </w:rPr>
        <w:t xml:space="preserve"> of other comprehensive income are recognised as part of total comprehensive income, outside of profit or loss, when they arise</w:t>
      </w:r>
      <w:r w:rsidR="00D60050" w:rsidRPr="00CA23A0">
        <w:rPr>
          <w:lang w:eastAsia="en-AU"/>
        </w:rPr>
        <w:t>.</w:t>
      </w:r>
    </w:p>
    <w:p w14:paraId="4F6CAFAB" w14:textId="5AFAE6EB" w:rsidR="00DE3A27" w:rsidRPr="00155974" w:rsidRDefault="00DE3A27" w:rsidP="00AB5475">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5.4]</w:t>
      </w:r>
    </w:p>
    <w:p w14:paraId="5C4A1CA1" w14:textId="4194D1A2" w:rsidR="00F42DB6" w:rsidRPr="00155974" w:rsidRDefault="00F42DB6" w:rsidP="000E61D3">
      <w:pPr>
        <w:pStyle w:val="NumPlain1"/>
        <w:numPr>
          <w:ilvl w:val="0"/>
          <w:numId w:val="84"/>
        </w:numPr>
        <w:ind w:left="782" w:hanging="782"/>
        <w:rPr>
          <w:lang w:eastAsia="en-AU"/>
        </w:rPr>
      </w:pPr>
      <w:bookmarkStart w:id="44" w:name="_Ref34578976"/>
      <w:r w:rsidRPr="00155974">
        <w:rPr>
          <w:lang w:eastAsia="en-AU"/>
        </w:rPr>
        <w:t>As a minimum, an entity shall include, in the statement</w:t>
      </w:r>
      <w:r w:rsidR="00162A98" w:rsidRPr="00155974">
        <w:rPr>
          <w:lang w:eastAsia="en-AU"/>
        </w:rPr>
        <w:t>(s) presenting profit or loss and other</w:t>
      </w:r>
      <w:r w:rsidRPr="00155974">
        <w:rPr>
          <w:lang w:eastAsia="en-AU"/>
        </w:rPr>
        <w:t xml:space="preserve"> comprehensive income, line items that present the following amounts for the period:</w:t>
      </w:r>
      <w:bookmarkEnd w:id="44"/>
    </w:p>
    <w:p w14:paraId="22393384" w14:textId="7D0A7419" w:rsidR="00F42DB6" w:rsidRPr="00CA23A0" w:rsidRDefault="00F42DB6" w:rsidP="000E61D3">
      <w:pPr>
        <w:pStyle w:val="ListParagraph"/>
        <w:numPr>
          <w:ilvl w:val="0"/>
          <w:numId w:val="72"/>
        </w:numPr>
        <w:ind w:left="1564" w:hanging="782"/>
        <w:jc w:val="both"/>
        <w:rPr>
          <w:lang w:eastAsia="en-AU"/>
        </w:rPr>
      </w:pPr>
      <w:r w:rsidRPr="00CA23A0">
        <w:rPr>
          <w:lang w:eastAsia="en-AU"/>
        </w:rPr>
        <w:t>revenue;</w:t>
      </w:r>
    </w:p>
    <w:p w14:paraId="077A1F6E" w14:textId="1514DABF" w:rsidR="00F42DB6" w:rsidRPr="00CA23A0" w:rsidRDefault="00F42DB6" w:rsidP="000E61D3">
      <w:pPr>
        <w:pStyle w:val="ListParagraph"/>
        <w:numPr>
          <w:ilvl w:val="0"/>
          <w:numId w:val="72"/>
        </w:numPr>
        <w:ind w:left="1564" w:hanging="782"/>
        <w:jc w:val="both"/>
        <w:rPr>
          <w:lang w:eastAsia="en-AU"/>
        </w:rPr>
      </w:pPr>
      <w:r w:rsidRPr="00CA23A0">
        <w:rPr>
          <w:lang w:eastAsia="en-AU"/>
        </w:rPr>
        <w:t>finance costs;</w:t>
      </w:r>
    </w:p>
    <w:p w14:paraId="73147595" w14:textId="5C188802" w:rsidR="00F42DB6" w:rsidRPr="00CA23A0" w:rsidRDefault="00F42DB6" w:rsidP="000E61D3">
      <w:pPr>
        <w:pStyle w:val="ListParagraph"/>
        <w:numPr>
          <w:ilvl w:val="0"/>
          <w:numId w:val="72"/>
        </w:numPr>
        <w:ind w:left="1564" w:hanging="782"/>
        <w:jc w:val="both"/>
        <w:rPr>
          <w:lang w:eastAsia="en-AU"/>
        </w:rPr>
      </w:pPr>
      <w:r w:rsidRPr="00CA23A0">
        <w:rPr>
          <w:lang w:eastAsia="en-AU"/>
        </w:rPr>
        <w:t xml:space="preserve">share of the profit or loss of investments in associates and joint ventures accounted for using the equity method (see AASB 128 </w:t>
      </w:r>
      <w:r w:rsidRPr="00CA23A0">
        <w:rPr>
          <w:i/>
          <w:lang w:eastAsia="en-AU"/>
        </w:rPr>
        <w:t>Investments in Associates and Joint Ventures</w:t>
      </w:r>
      <w:r w:rsidRPr="00CA23A0">
        <w:rPr>
          <w:iCs/>
          <w:lang w:eastAsia="en-AU"/>
        </w:rPr>
        <w:t>);</w:t>
      </w:r>
    </w:p>
    <w:p w14:paraId="72EFBEED" w14:textId="34269E87" w:rsidR="00F42DB6" w:rsidRPr="00CA23A0" w:rsidRDefault="00F42DB6" w:rsidP="000E61D3">
      <w:pPr>
        <w:pStyle w:val="ListParagraph"/>
        <w:numPr>
          <w:ilvl w:val="0"/>
          <w:numId w:val="72"/>
        </w:numPr>
        <w:ind w:left="1564" w:hanging="782"/>
        <w:jc w:val="both"/>
        <w:rPr>
          <w:lang w:eastAsia="en-AU"/>
        </w:rPr>
      </w:pPr>
      <w:r w:rsidRPr="00CA23A0">
        <w:rPr>
          <w:lang w:eastAsia="en-AU"/>
        </w:rPr>
        <w:t>tax expense;</w:t>
      </w:r>
    </w:p>
    <w:p w14:paraId="727C7637" w14:textId="489C66CD" w:rsidR="00F42DB6" w:rsidRPr="00CA23A0" w:rsidRDefault="00F42DB6" w:rsidP="00451716">
      <w:pPr>
        <w:pStyle w:val="ListParagraph"/>
        <w:keepNext/>
        <w:numPr>
          <w:ilvl w:val="0"/>
          <w:numId w:val="72"/>
        </w:numPr>
        <w:ind w:left="1564" w:hanging="782"/>
        <w:jc w:val="both"/>
        <w:rPr>
          <w:strike/>
          <w:lang w:eastAsia="en-AU"/>
        </w:rPr>
      </w:pPr>
      <w:r w:rsidRPr="00CA23A0">
        <w:rPr>
          <w:lang w:eastAsia="en-AU"/>
        </w:rPr>
        <w:t>a single amount for the total of:</w:t>
      </w:r>
    </w:p>
    <w:p w14:paraId="2BD02061" w14:textId="3320A46F" w:rsidR="00F42DB6" w:rsidRPr="00CA23A0" w:rsidRDefault="00F42DB6" w:rsidP="000E61D3">
      <w:pPr>
        <w:pStyle w:val="ListParagraph"/>
        <w:numPr>
          <w:ilvl w:val="0"/>
          <w:numId w:val="73"/>
        </w:numPr>
        <w:ind w:left="2347" w:hanging="782"/>
        <w:jc w:val="both"/>
        <w:rPr>
          <w:lang w:eastAsia="en-AU"/>
        </w:rPr>
      </w:pPr>
      <w:r w:rsidRPr="00CA23A0">
        <w:rPr>
          <w:lang w:eastAsia="en-AU"/>
        </w:rPr>
        <w:t>discontinued operations (see AASB 5 Non-current Assets Held for Sale and Discontinued Operations</w:t>
      </w:r>
      <w:r w:rsidRPr="00CA23A0">
        <w:rPr>
          <w:iCs/>
          <w:lang w:eastAsia="en-AU"/>
        </w:rPr>
        <w:t>)</w:t>
      </w:r>
      <w:r w:rsidRPr="00CA23A0">
        <w:rPr>
          <w:lang w:eastAsia="en-AU"/>
        </w:rPr>
        <w:t>; and</w:t>
      </w:r>
    </w:p>
    <w:p w14:paraId="6A770194" w14:textId="065107A0" w:rsidR="00F42DB6" w:rsidRPr="00CA23A0" w:rsidRDefault="00F42DB6" w:rsidP="000E61D3">
      <w:pPr>
        <w:pStyle w:val="ListParagraph"/>
        <w:numPr>
          <w:ilvl w:val="0"/>
          <w:numId w:val="73"/>
        </w:numPr>
        <w:ind w:left="2347" w:hanging="782"/>
        <w:jc w:val="both"/>
        <w:rPr>
          <w:lang w:eastAsia="en-AU"/>
        </w:rPr>
      </w:pPr>
      <w:r w:rsidRPr="00CA23A0">
        <w:rPr>
          <w:lang w:eastAsia="en-AU"/>
        </w:rPr>
        <w:t>the post-tax gain or loss attributable to an impairment, or reversal of an impairment, of the assets in the discontinued operation (see AASB 5), both at the time and subsequent to being classified as a discontinued operation and to the disposal of the net assets constituting the discontinued operation;</w:t>
      </w:r>
    </w:p>
    <w:p w14:paraId="72846A85" w14:textId="6D9E3BAC" w:rsidR="00F42DB6" w:rsidRPr="00155974" w:rsidRDefault="00F42DB6" w:rsidP="000E61D3">
      <w:pPr>
        <w:pStyle w:val="ListParagraph"/>
        <w:numPr>
          <w:ilvl w:val="0"/>
          <w:numId w:val="72"/>
        </w:numPr>
        <w:ind w:left="1564" w:hanging="782"/>
        <w:jc w:val="both"/>
        <w:rPr>
          <w:lang w:eastAsia="en-AU"/>
        </w:rPr>
      </w:pPr>
      <w:r w:rsidRPr="00155974">
        <w:rPr>
          <w:lang w:eastAsia="en-AU"/>
        </w:rPr>
        <w:t>profit or loss (if an entity has no items of other comprehensive income, this line need not be presented);</w:t>
      </w:r>
    </w:p>
    <w:p w14:paraId="5CF775C3" w14:textId="6A641850" w:rsidR="00F42DB6" w:rsidRPr="00155974" w:rsidRDefault="00F42DB6" w:rsidP="000E61D3">
      <w:pPr>
        <w:pStyle w:val="ListParagraph"/>
        <w:numPr>
          <w:ilvl w:val="0"/>
          <w:numId w:val="72"/>
        </w:numPr>
        <w:ind w:left="1564" w:hanging="782"/>
        <w:jc w:val="both"/>
        <w:rPr>
          <w:lang w:eastAsia="en-AU"/>
        </w:rPr>
      </w:pPr>
      <w:r w:rsidRPr="00155974">
        <w:rPr>
          <w:lang w:eastAsia="en-AU"/>
        </w:rPr>
        <w:t xml:space="preserve">each item of other comprehensive income (see paragraph </w:t>
      </w:r>
      <w:r w:rsidR="002B3193" w:rsidRPr="00155974">
        <w:rPr>
          <w:lang w:eastAsia="en-AU"/>
        </w:rPr>
        <w:t>51</w:t>
      </w:r>
      <w:r w:rsidRPr="00155974">
        <w:rPr>
          <w:lang w:eastAsia="en-AU"/>
        </w:rPr>
        <w:t>(b)) classified by nature (excluding amounts in (h)). Such items shall be grouped into those that, in accordance with other Australian Accounting Standards:</w:t>
      </w:r>
    </w:p>
    <w:p w14:paraId="1C6DA703" w14:textId="1D05A562" w:rsidR="00F42DB6" w:rsidRPr="00CA23A0" w:rsidRDefault="00F42DB6" w:rsidP="000E61D3">
      <w:pPr>
        <w:pStyle w:val="ListParagraph"/>
        <w:numPr>
          <w:ilvl w:val="0"/>
          <w:numId w:val="74"/>
        </w:numPr>
        <w:ind w:left="2347" w:hanging="782"/>
        <w:jc w:val="both"/>
        <w:rPr>
          <w:lang w:eastAsia="en-AU"/>
        </w:rPr>
      </w:pPr>
      <w:r w:rsidRPr="00CA23A0">
        <w:rPr>
          <w:lang w:eastAsia="en-AU"/>
        </w:rPr>
        <w:t>will not be reclassified subsequently to profit or loss; and</w:t>
      </w:r>
    </w:p>
    <w:p w14:paraId="35ACEA85" w14:textId="7CA65ECA" w:rsidR="00F42DB6" w:rsidRPr="00CA23A0" w:rsidRDefault="00F42DB6" w:rsidP="000E61D3">
      <w:pPr>
        <w:pStyle w:val="ListParagraph"/>
        <w:numPr>
          <w:ilvl w:val="0"/>
          <w:numId w:val="74"/>
        </w:numPr>
        <w:ind w:left="2347" w:hanging="782"/>
        <w:jc w:val="both"/>
        <w:rPr>
          <w:lang w:eastAsia="en-AU"/>
        </w:rPr>
      </w:pPr>
      <w:r w:rsidRPr="00CA23A0">
        <w:rPr>
          <w:lang w:eastAsia="en-AU"/>
        </w:rPr>
        <w:t>will be reclassified subsequently to profit or loss when specific conditions are met;</w:t>
      </w:r>
    </w:p>
    <w:p w14:paraId="45ADAE48" w14:textId="158F6272" w:rsidR="00F42DB6" w:rsidRPr="00155974" w:rsidRDefault="00F42DB6" w:rsidP="000E61D3">
      <w:pPr>
        <w:pStyle w:val="ListParagraph"/>
        <w:numPr>
          <w:ilvl w:val="0"/>
          <w:numId w:val="72"/>
        </w:numPr>
        <w:ind w:left="1564" w:hanging="782"/>
        <w:jc w:val="both"/>
        <w:rPr>
          <w:lang w:eastAsia="en-AU"/>
        </w:rPr>
      </w:pPr>
      <w:r w:rsidRPr="00155974">
        <w:rPr>
          <w:lang w:eastAsia="en-AU"/>
        </w:rPr>
        <w:t>share of the other comprehensive income of associates and joint ventures accounted for by the equity method; and</w:t>
      </w:r>
    </w:p>
    <w:p w14:paraId="3303E250" w14:textId="38C07B04" w:rsidR="00F42DB6" w:rsidRPr="00155974" w:rsidRDefault="00F42DB6" w:rsidP="00477BB8">
      <w:pPr>
        <w:pStyle w:val="ListParagraph"/>
        <w:keepNext/>
        <w:numPr>
          <w:ilvl w:val="0"/>
          <w:numId w:val="72"/>
        </w:numPr>
        <w:ind w:left="1564" w:hanging="782"/>
        <w:jc w:val="both"/>
        <w:rPr>
          <w:lang w:eastAsia="en-AU"/>
        </w:rPr>
      </w:pPr>
      <w:r w:rsidRPr="00155974">
        <w:rPr>
          <w:lang w:eastAsia="en-AU"/>
        </w:rPr>
        <w:t>total comprehensive income (if an entity has no items of other comprehensive income, it may use another term for this line such as profit or loss).</w:t>
      </w:r>
    </w:p>
    <w:p w14:paraId="1A8BB02A" w14:textId="6679BBD5" w:rsidR="00825ED3" w:rsidRPr="00155974" w:rsidRDefault="00825ED3" w:rsidP="00AB5475">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5.5]</w:t>
      </w:r>
    </w:p>
    <w:p w14:paraId="370DEEF4" w14:textId="4B3C2CDB" w:rsidR="00F42DB6" w:rsidRPr="00155974" w:rsidRDefault="00F42DB6" w:rsidP="000E61D3">
      <w:pPr>
        <w:pStyle w:val="NumPlain1"/>
        <w:numPr>
          <w:ilvl w:val="0"/>
          <w:numId w:val="84"/>
        </w:numPr>
        <w:ind w:left="782" w:hanging="782"/>
        <w:rPr>
          <w:lang w:eastAsia="en-AU"/>
        </w:rPr>
      </w:pPr>
      <w:bookmarkStart w:id="45" w:name="_Ref34579095"/>
      <w:r w:rsidRPr="00155974">
        <w:rPr>
          <w:lang w:eastAsia="en-AU"/>
        </w:rPr>
        <w:t>An entity shall disclose separately the following items in the statement</w:t>
      </w:r>
      <w:r w:rsidR="00C17AAB" w:rsidRPr="00155974">
        <w:rPr>
          <w:lang w:eastAsia="en-AU"/>
        </w:rPr>
        <w:t>(s) presenting profit or loss and other</w:t>
      </w:r>
      <w:r w:rsidRPr="00155974">
        <w:rPr>
          <w:lang w:eastAsia="en-AU"/>
        </w:rPr>
        <w:t xml:space="preserve"> comprehensive income as allocations for the period:</w:t>
      </w:r>
      <w:bookmarkEnd w:id="45"/>
    </w:p>
    <w:p w14:paraId="2C94E2F4" w14:textId="32DA183A" w:rsidR="00F42DB6" w:rsidRPr="00CA23A0" w:rsidRDefault="00F42DB6" w:rsidP="009D1705">
      <w:pPr>
        <w:pStyle w:val="ListParagraph"/>
        <w:keepNext/>
        <w:numPr>
          <w:ilvl w:val="0"/>
          <w:numId w:val="75"/>
        </w:numPr>
        <w:ind w:left="1564" w:hanging="782"/>
        <w:jc w:val="both"/>
        <w:rPr>
          <w:lang w:eastAsia="en-AU"/>
        </w:rPr>
      </w:pPr>
      <w:r w:rsidRPr="00CA23A0">
        <w:rPr>
          <w:lang w:eastAsia="en-AU"/>
        </w:rPr>
        <w:lastRenderedPageBreak/>
        <w:t>profit or loss for the period attributable to</w:t>
      </w:r>
      <w:r w:rsidR="007B74A0" w:rsidRPr="00CA23A0">
        <w:rPr>
          <w:lang w:eastAsia="en-AU"/>
        </w:rPr>
        <w:t>:</w:t>
      </w:r>
    </w:p>
    <w:p w14:paraId="66D37C16" w14:textId="73E0332C" w:rsidR="00F42DB6" w:rsidRPr="00CA23A0" w:rsidRDefault="00F42DB6" w:rsidP="000E61D3">
      <w:pPr>
        <w:pStyle w:val="ListParagraph"/>
        <w:numPr>
          <w:ilvl w:val="0"/>
          <w:numId w:val="76"/>
        </w:numPr>
        <w:ind w:left="2358" w:hanging="782"/>
        <w:jc w:val="both"/>
        <w:rPr>
          <w:lang w:eastAsia="en-AU"/>
        </w:rPr>
      </w:pPr>
      <w:r w:rsidRPr="00CA23A0">
        <w:rPr>
          <w:lang w:eastAsia="en-AU"/>
        </w:rPr>
        <w:t>non-controlling interest</w:t>
      </w:r>
      <w:r w:rsidR="005428B7" w:rsidRPr="00CA23A0">
        <w:rPr>
          <w:lang w:eastAsia="en-AU"/>
        </w:rPr>
        <w:t>s</w:t>
      </w:r>
      <w:r w:rsidRPr="00CA23A0">
        <w:rPr>
          <w:lang w:eastAsia="en-AU"/>
        </w:rPr>
        <w:t>; and</w:t>
      </w:r>
    </w:p>
    <w:p w14:paraId="5A4C42D7" w14:textId="7B181179" w:rsidR="00F42DB6" w:rsidRPr="00155974" w:rsidRDefault="00F42DB6" w:rsidP="000E61D3">
      <w:pPr>
        <w:pStyle w:val="ListParagraph"/>
        <w:numPr>
          <w:ilvl w:val="0"/>
          <w:numId w:val="76"/>
        </w:numPr>
        <w:ind w:left="2358" w:hanging="782"/>
        <w:jc w:val="both"/>
        <w:rPr>
          <w:lang w:eastAsia="en-AU"/>
        </w:rPr>
      </w:pPr>
      <w:r w:rsidRPr="00155974">
        <w:rPr>
          <w:lang w:eastAsia="en-AU"/>
        </w:rPr>
        <w:t>owners of the parent</w:t>
      </w:r>
      <w:r w:rsidR="005428B7" w:rsidRPr="00155974">
        <w:rPr>
          <w:lang w:eastAsia="en-AU"/>
        </w:rPr>
        <w:t>; and</w:t>
      </w:r>
    </w:p>
    <w:p w14:paraId="3AAD0CB2" w14:textId="65633DC6" w:rsidR="00F42DB6" w:rsidRPr="00155974" w:rsidRDefault="00F42DB6" w:rsidP="009D1705">
      <w:pPr>
        <w:pStyle w:val="ListParagraph"/>
        <w:keepNext/>
        <w:numPr>
          <w:ilvl w:val="0"/>
          <w:numId w:val="75"/>
        </w:numPr>
        <w:ind w:left="1564" w:hanging="782"/>
        <w:jc w:val="both"/>
        <w:rPr>
          <w:lang w:eastAsia="en-AU"/>
        </w:rPr>
      </w:pPr>
      <w:r w:rsidRPr="00155974">
        <w:rPr>
          <w:lang w:eastAsia="en-AU"/>
        </w:rPr>
        <w:t>total comprehensive income for the period attributable to</w:t>
      </w:r>
      <w:r w:rsidR="005428B7" w:rsidRPr="00155974">
        <w:rPr>
          <w:lang w:eastAsia="en-AU"/>
        </w:rPr>
        <w:t>:</w:t>
      </w:r>
    </w:p>
    <w:p w14:paraId="1BCCD34C" w14:textId="2B45C7A6" w:rsidR="00F42DB6" w:rsidRPr="00155974" w:rsidRDefault="00F42DB6" w:rsidP="000E61D3">
      <w:pPr>
        <w:pStyle w:val="ListParagraph"/>
        <w:numPr>
          <w:ilvl w:val="0"/>
          <w:numId w:val="77"/>
        </w:numPr>
        <w:ind w:left="2347" w:hanging="782"/>
        <w:jc w:val="both"/>
        <w:rPr>
          <w:lang w:eastAsia="en-AU"/>
        </w:rPr>
      </w:pPr>
      <w:r w:rsidRPr="00155974">
        <w:rPr>
          <w:lang w:eastAsia="en-AU"/>
        </w:rPr>
        <w:t>non-controlling interest</w:t>
      </w:r>
      <w:r w:rsidR="005428B7" w:rsidRPr="00155974">
        <w:rPr>
          <w:lang w:eastAsia="en-AU"/>
        </w:rPr>
        <w:t>s</w:t>
      </w:r>
      <w:r w:rsidRPr="00155974">
        <w:rPr>
          <w:lang w:eastAsia="en-AU"/>
        </w:rPr>
        <w:t>; and</w:t>
      </w:r>
    </w:p>
    <w:p w14:paraId="1BD2BACA" w14:textId="2F08E24E" w:rsidR="00F42DB6" w:rsidRPr="00155974" w:rsidRDefault="00F42DB6" w:rsidP="009D1705">
      <w:pPr>
        <w:pStyle w:val="ListParagraph"/>
        <w:keepNext/>
        <w:numPr>
          <w:ilvl w:val="0"/>
          <w:numId w:val="77"/>
        </w:numPr>
        <w:ind w:left="2347" w:hanging="782"/>
        <w:jc w:val="both"/>
        <w:rPr>
          <w:lang w:eastAsia="en-AU"/>
        </w:rPr>
      </w:pPr>
      <w:r w:rsidRPr="00155974">
        <w:rPr>
          <w:lang w:eastAsia="en-AU"/>
        </w:rPr>
        <w:t>owners of the parent.</w:t>
      </w:r>
    </w:p>
    <w:p w14:paraId="3DBE6D56" w14:textId="6727BAE2" w:rsidR="009C4A65" w:rsidRPr="00155974" w:rsidRDefault="009C4A65" w:rsidP="00AB5475">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5.6]</w:t>
      </w:r>
    </w:p>
    <w:p w14:paraId="7E54A95A" w14:textId="4DC92351" w:rsidR="00F42DB6" w:rsidRPr="00155974" w:rsidRDefault="00F42DB6" w:rsidP="00022B10">
      <w:pPr>
        <w:pStyle w:val="IASBSectionTitle3Ind"/>
        <w:rPr>
          <w:lang w:eastAsia="en-AU"/>
        </w:rPr>
      </w:pPr>
      <w:r w:rsidRPr="00155974">
        <w:rPr>
          <w:lang w:eastAsia="en-AU"/>
        </w:rPr>
        <w:t>Two-statement approach</w:t>
      </w:r>
    </w:p>
    <w:p w14:paraId="0D6F5CE4" w14:textId="02DE8A41" w:rsidR="00420A11" w:rsidRPr="00155974" w:rsidRDefault="00F42DB6" w:rsidP="000E61D3">
      <w:pPr>
        <w:pStyle w:val="NumPlain1"/>
        <w:numPr>
          <w:ilvl w:val="0"/>
          <w:numId w:val="84"/>
        </w:numPr>
        <w:ind w:left="782" w:hanging="782"/>
        <w:rPr>
          <w:lang w:eastAsia="en-AU"/>
        </w:rPr>
      </w:pPr>
      <w:r w:rsidRPr="00155974">
        <w:rPr>
          <w:lang w:eastAsia="en-AU"/>
        </w:rPr>
        <w:t xml:space="preserve">Under the two-statement approach, the statement </w:t>
      </w:r>
      <w:r w:rsidR="00196913" w:rsidRPr="00155974">
        <w:rPr>
          <w:lang w:eastAsia="en-AU"/>
        </w:rPr>
        <w:t xml:space="preserve">of profit or loss </w:t>
      </w:r>
      <w:r w:rsidRPr="00155974">
        <w:rPr>
          <w:lang w:eastAsia="en-AU"/>
        </w:rPr>
        <w:t xml:space="preserve">shall display, as a minimum, line items that present the amounts in paragraph </w:t>
      </w:r>
      <w:r w:rsidR="002B3193" w:rsidRPr="00155974">
        <w:rPr>
          <w:lang w:eastAsia="en-AU"/>
        </w:rPr>
        <w:t>52</w:t>
      </w:r>
      <w:r w:rsidRPr="00155974">
        <w:rPr>
          <w:lang w:eastAsia="en-AU"/>
        </w:rPr>
        <w:t>(a)–</w:t>
      </w:r>
      <w:r w:rsidR="002B3193" w:rsidRPr="00155974">
        <w:rPr>
          <w:lang w:eastAsia="en-AU"/>
        </w:rPr>
        <w:t>52</w:t>
      </w:r>
      <w:r w:rsidRPr="00155974">
        <w:rPr>
          <w:lang w:eastAsia="en-AU"/>
        </w:rPr>
        <w:t xml:space="preserve">(f) for the period, with profit or loss as the last line. The statement of comprehensive income shall begin with profit or loss as its first line and shall display, as a minimum, line items that present the amounts in paragraph </w:t>
      </w:r>
      <w:r w:rsidR="002B3193" w:rsidRPr="00155974">
        <w:rPr>
          <w:lang w:eastAsia="en-AU"/>
        </w:rPr>
        <w:t>52</w:t>
      </w:r>
      <w:r w:rsidRPr="00155974">
        <w:rPr>
          <w:lang w:eastAsia="en-AU"/>
        </w:rPr>
        <w:t>(g)–</w:t>
      </w:r>
      <w:r w:rsidR="002B3193" w:rsidRPr="00155974">
        <w:rPr>
          <w:lang w:eastAsia="en-AU"/>
        </w:rPr>
        <w:t>52</w:t>
      </w:r>
      <w:r w:rsidRPr="00155974">
        <w:rPr>
          <w:lang w:eastAsia="en-AU"/>
        </w:rPr>
        <w:t xml:space="preserve">(i) and paragraph </w:t>
      </w:r>
      <w:r w:rsidR="002B3193" w:rsidRPr="00155974">
        <w:rPr>
          <w:lang w:eastAsia="en-AU"/>
        </w:rPr>
        <w:t>53</w:t>
      </w:r>
      <w:r w:rsidR="00D120ED" w:rsidRPr="00155974">
        <w:rPr>
          <w:lang w:eastAsia="en-AU"/>
        </w:rPr>
        <w:t xml:space="preserve"> </w:t>
      </w:r>
      <w:r w:rsidRPr="00155974">
        <w:rPr>
          <w:lang w:eastAsia="en-AU"/>
        </w:rPr>
        <w:t>for the period.</w:t>
      </w:r>
      <w:r w:rsidR="00C25DF2" w:rsidRPr="00155974">
        <w:rPr>
          <w:lang w:eastAsia="en-AU"/>
        </w:rPr>
        <w:t xml:space="preserve"> </w:t>
      </w:r>
      <w:r w:rsidR="00420A11" w:rsidRPr="00155974">
        <w:rPr>
          <w:lang w:eastAsia="en-AU"/>
        </w:rPr>
        <w:t>[</w:t>
      </w:r>
      <w:r w:rsidR="0058144C" w:rsidRPr="00155974">
        <w:rPr>
          <w:i/>
          <w:iCs/>
          <w:lang w:eastAsia="en-AU"/>
        </w:rPr>
        <w:t>IFRS for SMEs</w:t>
      </w:r>
      <w:r w:rsidR="00420A11" w:rsidRPr="00155974">
        <w:rPr>
          <w:lang w:eastAsia="en-AU"/>
        </w:rPr>
        <w:t xml:space="preserve"> Standard paragraph 5.7]</w:t>
      </w:r>
    </w:p>
    <w:p w14:paraId="28D0592F" w14:textId="38C08E52" w:rsidR="00F42DB6" w:rsidRPr="00155974" w:rsidRDefault="00F42DB6" w:rsidP="00022B10">
      <w:pPr>
        <w:pStyle w:val="IASBSectionTitle3Ind"/>
        <w:rPr>
          <w:lang w:eastAsia="en-AU"/>
        </w:rPr>
      </w:pPr>
      <w:r w:rsidRPr="00155974">
        <w:rPr>
          <w:lang w:eastAsia="en-AU"/>
        </w:rPr>
        <w:t>Requirements applicable to both approaches</w:t>
      </w:r>
    </w:p>
    <w:p w14:paraId="1564B3F9" w14:textId="6E55D50F" w:rsidR="008B119B" w:rsidRPr="00155974" w:rsidRDefault="00F42DB6" w:rsidP="000E61D3">
      <w:pPr>
        <w:pStyle w:val="NumPlain1"/>
        <w:numPr>
          <w:ilvl w:val="0"/>
          <w:numId w:val="84"/>
        </w:numPr>
        <w:ind w:left="782" w:hanging="782"/>
        <w:rPr>
          <w:lang w:eastAsia="en-AU"/>
        </w:rPr>
      </w:pPr>
      <w:r w:rsidRPr="00155974">
        <w:rPr>
          <w:lang w:eastAsia="en-AU"/>
        </w:rPr>
        <w:t>Under AASB 108, the effects of corrections of errors and changes in accounting policies are presented as retrospective adjustments of prior periods instead of as part of profit or loss in the period in which they arise.</w:t>
      </w:r>
      <w:r w:rsidR="00C25DF2" w:rsidRPr="00155974">
        <w:rPr>
          <w:lang w:eastAsia="en-AU"/>
        </w:rPr>
        <w:t xml:space="preserve"> </w:t>
      </w:r>
      <w:r w:rsidR="008B119B" w:rsidRPr="00155974">
        <w:rPr>
          <w:lang w:eastAsia="en-AU"/>
        </w:rPr>
        <w:t>[</w:t>
      </w:r>
      <w:r w:rsidR="0058144C" w:rsidRPr="00155974">
        <w:rPr>
          <w:i/>
          <w:iCs/>
          <w:lang w:eastAsia="en-AU"/>
        </w:rPr>
        <w:t>IFRS for SMEs</w:t>
      </w:r>
      <w:r w:rsidR="008B119B" w:rsidRPr="00155974">
        <w:rPr>
          <w:lang w:eastAsia="en-AU"/>
        </w:rPr>
        <w:t xml:space="preserve"> Standard paragraph 5.</w:t>
      </w:r>
      <w:r w:rsidR="00EA549F" w:rsidRPr="00155974">
        <w:rPr>
          <w:lang w:eastAsia="en-AU"/>
        </w:rPr>
        <w:t>8</w:t>
      </w:r>
      <w:r w:rsidR="008B119B" w:rsidRPr="00155974">
        <w:rPr>
          <w:lang w:eastAsia="en-AU"/>
        </w:rPr>
        <w:t>]</w:t>
      </w:r>
    </w:p>
    <w:p w14:paraId="770320BF" w14:textId="6DDB8D78" w:rsidR="00561D55" w:rsidRPr="00155974" w:rsidRDefault="00F42DB6" w:rsidP="000E61D3">
      <w:pPr>
        <w:pStyle w:val="NumPlain1"/>
        <w:numPr>
          <w:ilvl w:val="0"/>
          <w:numId w:val="84"/>
        </w:numPr>
        <w:ind w:left="782" w:hanging="782"/>
        <w:rPr>
          <w:lang w:eastAsia="en-AU"/>
        </w:rPr>
      </w:pPr>
      <w:bookmarkStart w:id="46" w:name="_Ref35359390"/>
      <w:r w:rsidRPr="00155974">
        <w:rPr>
          <w:lang w:eastAsia="en-AU"/>
        </w:rPr>
        <w:t>An entity shall present additional line items, headings and subtotals in the statement</w:t>
      </w:r>
      <w:r w:rsidR="00E320B4" w:rsidRPr="00155974">
        <w:rPr>
          <w:lang w:eastAsia="en-AU"/>
        </w:rPr>
        <w:t>(s) presenting profit or loss and other</w:t>
      </w:r>
      <w:r w:rsidRPr="00155974">
        <w:rPr>
          <w:lang w:eastAsia="en-AU"/>
        </w:rPr>
        <w:t xml:space="preserve"> comprehensive income (and in the statement</w:t>
      </w:r>
      <w:r w:rsidR="00A41D34" w:rsidRPr="00155974">
        <w:rPr>
          <w:lang w:eastAsia="en-AU"/>
        </w:rPr>
        <w:t xml:space="preserve"> of profit or loss</w:t>
      </w:r>
      <w:r w:rsidRPr="00155974">
        <w:rPr>
          <w:lang w:eastAsia="en-AU"/>
        </w:rPr>
        <w:t>, if presented), when such presentation is relevant to an understanding of the entity’s financial performance.</w:t>
      </w:r>
      <w:r w:rsidR="00C25DF2" w:rsidRPr="00155974">
        <w:rPr>
          <w:lang w:eastAsia="en-AU"/>
        </w:rPr>
        <w:t xml:space="preserve"> </w:t>
      </w:r>
      <w:r w:rsidR="000E5766" w:rsidRPr="00155974">
        <w:rPr>
          <w:lang w:eastAsia="en-AU"/>
        </w:rPr>
        <w:t>[</w:t>
      </w:r>
      <w:r w:rsidR="0058144C" w:rsidRPr="00155974">
        <w:rPr>
          <w:i/>
          <w:iCs/>
          <w:lang w:eastAsia="en-AU"/>
        </w:rPr>
        <w:t>IFRS for SMEs</w:t>
      </w:r>
      <w:r w:rsidR="000E5766" w:rsidRPr="00155974">
        <w:rPr>
          <w:lang w:eastAsia="en-AU"/>
        </w:rPr>
        <w:t xml:space="preserve"> Standard paragraph 5.9]</w:t>
      </w:r>
      <w:bookmarkEnd w:id="46"/>
    </w:p>
    <w:p w14:paraId="26933E53" w14:textId="636CE0D1" w:rsidR="009145D7" w:rsidRPr="00155974" w:rsidRDefault="00F42DB6" w:rsidP="000E61D3">
      <w:pPr>
        <w:pStyle w:val="NumPlain1"/>
        <w:numPr>
          <w:ilvl w:val="0"/>
          <w:numId w:val="84"/>
        </w:numPr>
        <w:ind w:left="782" w:hanging="782"/>
        <w:rPr>
          <w:lang w:eastAsia="en-AU"/>
        </w:rPr>
      </w:pPr>
      <w:r w:rsidRPr="00155974">
        <w:rPr>
          <w:lang w:eastAsia="en-AU"/>
        </w:rPr>
        <w:t>An entity shall not present or describe any items of income and expense as ‘extraordinary items’ in the statement</w:t>
      </w:r>
      <w:r w:rsidR="00057BB9" w:rsidRPr="00155974">
        <w:rPr>
          <w:lang w:eastAsia="en-AU"/>
        </w:rPr>
        <w:t>(s) presenting p</w:t>
      </w:r>
      <w:r w:rsidR="00E320B4" w:rsidRPr="00155974">
        <w:rPr>
          <w:lang w:eastAsia="en-AU"/>
        </w:rPr>
        <w:t>ro</w:t>
      </w:r>
      <w:r w:rsidR="00057BB9" w:rsidRPr="00155974">
        <w:rPr>
          <w:lang w:eastAsia="en-AU"/>
        </w:rPr>
        <w:t>f</w:t>
      </w:r>
      <w:r w:rsidR="00E320B4" w:rsidRPr="00155974">
        <w:rPr>
          <w:lang w:eastAsia="en-AU"/>
        </w:rPr>
        <w:t>i</w:t>
      </w:r>
      <w:r w:rsidR="00057BB9" w:rsidRPr="00155974">
        <w:rPr>
          <w:lang w:eastAsia="en-AU"/>
        </w:rPr>
        <w:t xml:space="preserve">t or loss and other </w:t>
      </w:r>
      <w:r w:rsidRPr="00155974">
        <w:rPr>
          <w:lang w:eastAsia="en-AU"/>
        </w:rPr>
        <w:t>comprehensive income (or in the statement</w:t>
      </w:r>
      <w:r w:rsidR="00A41D34" w:rsidRPr="00155974">
        <w:rPr>
          <w:lang w:eastAsia="en-AU"/>
        </w:rPr>
        <w:t xml:space="preserve"> of profit or loss</w:t>
      </w:r>
      <w:r w:rsidRPr="00155974">
        <w:rPr>
          <w:lang w:eastAsia="en-AU"/>
        </w:rPr>
        <w:t>, if presented) or in the notes.</w:t>
      </w:r>
      <w:r w:rsidR="00C25DF2" w:rsidRPr="00155974">
        <w:rPr>
          <w:lang w:eastAsia="en-AU"/>
        </w:rPr>
        <w:t xml:space="preserve"> </w:t>
      </w:r>
      <w:r w:rsidR="009145D7" w:rsidRPr="00155974">
        <w:rPr>
          <w:lang w:eastAsia="en-AU"/>
        </w:rPr>
        <w:t>[</w:t>
      </w:r>
      <w:r w:rsidR="0058144C" w:rsidRPr="00155974">
        <w:rPr>
          <w:i/>
          <w:iCs/>
          <w:lang w:eastAsia="en-AU"/>
        </w:rPr>
        <w:t>IFRS for SMEs</w:t>
      </w:r>
      <w:r w:rsidR="009145D7" w:rsidRPr="00155974">
        <w:rPr>
          <w:lang w:eastAsia="en-AU"/>
        </w:rPr>
        <w:t xml:space="preserve"> Standard paragraph 5.10]</w:t>
      </w:r>
    </w:p>
    <w:p w14:paraId="5BD1ADF6" w14:textId="77777777" w:rsidR="00F42DB6" w:rsidRPr="00155974" w:rsidRDefault="00F42DB6" w:rsidP="00022B10">
      <w:pPr>
        <w:pStyle w:val="IASBSectionTitle3Ind"/>
        <w:rPr>
          <w:lang w:eastAsia="en-AU"/>
        </w:rPr>
      </w:pPr>
      <w:r w:rsidRPr="00155974">
        <w:rPr>
          <w:lang w:eastAsia="en-AU"/>
        </w:rPr>
        <w:t>Analysis of expenses</w:t>
      </w:r>
    </w:p>
    <w:p w14:paraId="160BA411" w14:textId="62F98D69" w:rsidR="00F42DB6" w:rsidRPr="00155974" w:rsidRDefault="00F42DB6" w:rsidP="000E61D3">
      <w:pPr>
        <w:pStyle w:val="NumPlain1"/>
        <w:numPr>
          <w:ilvl w:val="0"/>
          <w:numId w:val="84"/>
        </w:numPr>
        <w:ind w:left="782" w:hanging="782"/>
        <w:rPr>
          <w:lang w:eastAsia="en-AU"/>
        </w:rPr>
      </w:pPr>
      <w:bookmarkStart w:id="47" w:name="_Ref35356757"/>
      <w:r w:rsidRPr="00155974">
        <w:rPr>
          <w:lang w:eastAsia="en-AU"/>
        </w:rPr>
        <w:t xml:space="preserve">An entity shall present </w:t>
      </w:r>
      <w:r w:rsidR="005860A4" w:rsidRPr="00155974">
        <w:rPr>
          <w:lang w:eastAsia="en-AU"/>
        </w:rPr>
        <w:t xml:space="preserve">in the statement </w:t>
      </w:r>
      <w:r w:rsidR="00C6061E" w:rsidRPr="00155974">
        <w:rPr>
          <w:lang w:eastAsia="en-AU"/>
        </w:rPr>
        <w:t>o</w:t>
      </w:r>
      <w:r w:rsidR="005860A4" w:rsidRPr="00155974">
        <w:rPr>
          <w:lang w:eastAsia="en-AU"/>
        </w:rPr>
        <w:t xml:space="preserve">f profit or loss and other comprehensive income or in the notes </w:t>
      </w:r>
      <w:r w:rsidRPr="00155974">
        <w:rPr>
          <w:lang w:eastAsia="en-AU"/>
        </w:rPr>
        <w:t>an analysis of expenses using a classification based on either the nature of expenses or the function of expenses within the entity, whichever provides information that is reliable and more relevant.</w:t>
      </w:r>
      <w:bookmarkEnd w:id="47"/>
    </w:p>
    <w:p w14:paraId="57A1D0A7" w14:textId="77777777" w:rsidR="00F42DB6" w:rsidRPr="00E27694" w:rsidRDefault="00F42DB6" w:rsidP="009D1705">
      <w:pPr>
        <w:keepNext/>
        <w:spacing w:after="100"/>
        <w:ind w:left="1564" w:hanging="782"/>
        <w:rPr>
          <w:rFonts w:ascii="Arial" w:eastAsiaTheme="majorEastAsia" w:hAnsi="Arial" w:cs="Arial"/>
          <w:i/>
          <w:sz w:val="20"/>
        </w:rPr>
      </w:pPr>
      <w:r w:rsidRPr="00E27694">
        <w:rPr>
          <w:rFonts w:ascii="Arial" w:eastAsiaTheme="majorEastAsia" w:hAnsi="Arial" w:cs="Arial"/>
          <w:i/>
          <w:sz w:val="20"/>
        </w:rPr>
        <w:t>Analysis by nature of expense</w:t>
      </w:r>
    </w:p>
    <w:p w14:paraId="75CE8483" w14:textId="01A1EA26" w:rsidR="00F42DB6" w:rsidRPr="00FF452E" w:rsidRDefault="00F42DB6" w:rsidP="000E61D3">
      <w:pPr>
        <w:pStyle w:val="ListParagraph"/>
        <w:numPr>
          <w:ilvl w:val="0"/>
          <w:numId w:val="78"/>
        </w:numPr>
        <w:ind w:left="1564" w:hanging="782"/>
        <w:jc w:val="both"/>
        <w:rPr>
          <w:lang w:eastAsia="en-AU"/>
        </w:rPr>
      </w:pPr>
      <w:r w:rsidRPr="00FF452E">
        <w:rPr>
          <w:lang w:eastAsia="en-AU"/>
        </w:rPr>
        <w:t>Under this method of classification, expenses are aggregated in the statement</w:t>
      </w:r>
      <w:r w:rsidR="00F52A61" w:rsidRPr="00FF452E">
        <w:rPr>
          <w:lang w:eastAsia="en-AU"/>
        </w:rPr>
        <w:t>(s)</w:t>
      </w:r>
      <w:r w:rsidRPr="00FF452E">
        <w:rPr>
          <w:lang w:eastAsia="en-AU"/>
        </w:rPr>
        <w:t xml:space="preserve"> of </w:t>
      </w:r>
      <w:r w:rsidR="00F52A61" w:rsidRPr="00FF452E">
        <w:rPr>
          <w:lang w:eastAsia="en-AU"/>
        </w:rPr>
        <w:t>profit and loss and other</w:t>
      </w:r>
      <w:r w:rsidRPr="00FF452E">
        <w:rPr>
          <w:lang w:eastAsia="en-AU"/>
        </w:rPr>
        <w:t xml:space="preserve"> comprehensive income according to their nature (for example, depreciation, purchases of materials, transport costs, employee benefits and advertising costs) and are not reallocated among various functions within the entity.</w:t>
      </w:r>
    </w:p>
    <w:p w14:paraId="0EBE7A5F" w14:textId="77777777" w:rsidR="00F42DB6" w:rsidRPr="006F1D3E" w:rsidRDefault="00F42DB6" w:rsidP="00E27694">
      <w:pPr>
        <w:pStyle w:val="IASBSectionTitle4Ind"/>
        <w:spacing w:before="0" w:after="100"/>
        <w:rPr>
          <w:sz w:val="20"/>
          <w:lang w:eastAsia="en-AU"/>
        </w:rPr>
      </w:pPr>
      <w:r w:rsidRPr="006F1D3E">
        <w:rPr>
          <w:sz w:val="20"/>
          <w:lang w:eastAsia="en-AU"/>
        </w:rPr>
        <w:t>Analysis by function of expense</w:t>
      </w:r>
    </w:p>
    <w:p w14:paraId="3C694DD4" w14:textId="3BA05932" w:rsidR="00F42DB6" w:rsidRPr="00155974" w:rsidRDefault="00F42DB6" w:rsidP="00477BB8">
      <w:pPr>
        <w:pStyle w:val="ListParagraph"/>
        <w:keepNext/>
        <w:numPr>
          <w:ilvl w:val="0"/>
          <w:numId w:val="78"/>
        </w:numPr>
        <w:ind w:left="1564" w:hanging="782"/>
        <w:jc w:val="both"/>
        <w:rPr>
          <w:lang w:eastAsia="en-AU"/>
        </w:rPr>
      </w:pPr>
      <w:r w:rsidRPr="00155974">
        <w:rPr>
          <w:lang w:eastAsia="en-AU"/>
        </w:rPr>
        <w:t>Under this method of classification, expenses are aggregated according to their function as part of cost of sales or, for example, the costs of distribution or administrative activities. At a minimum, an entity discloses its cost of sales under this method separately from other expenses.</w:t>
      </w:r>
    </w:p>
    <w:p w14:paraId="1B1FB6FE" w14:textId="75082A5A" w:rsidR="001B35BB" w:rsidRPr="00155974" w:rsidRDefault="001B35BB" w:rsidP="00AB5475">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5.11]</w:t>
      </w:r>
    </w:p>
    <w:p w14:paraId="3669803E" w14:textId="77777777" w:rsidR="00F42DB6" w:rsidRPr="00155974" w:rsidRDefault="00F42DB6" w:rsidP="00022B10">
      <w:pPr>
        <w:pStyle w:val="IASBSectionTitle2Ind"/>
      </w:pPr>
      <w:r w:rsidRPr="00155974">
        <w:t>Statement of Changes in Equity and Statement of Income and Retained Earnings</w:t>
      </w:r>
      <w:r w:rsidRPr="00155974">
        <w:rPr>
          <w:rStyle w:val="FootnoteReference"/>
          <w:sz w:val="22"/>
          <w:szCs w:val="22"/>
        </w:rPr>
        <w:footnoteReference w:id="6"/>
      </w:r>
    </w:p>
    <w:p w14:paraId="0869AD95" w14:textId="77777777" w:rsidR="00F42DB6" w:rsidRPr="00155974" w:rsidRDefault="00F42DB6" w:rsidP="00022B10">
      <w:pPr>
        <w:pStyle w:val="IASBSectionTitle3Ind"/>
      </w:pPr>
      <w:r w:rsidRPr="00155974">
        <w:t>Scope of this section</w:t>
      </w:r>
    </w:p>
    <w:p w14:paraId="48E22579" w14:textId="118A9F25" w:rsidR="00144CB1" w:rsidRPr="00155974" w:rsidRDefault="00F42DB6" w:rsidP="000E61D3">
      <w:pPr>
        <w:pStyle w:val="NumPlain1"/>
        <w:numPr>
          <w:ilvl w:val="0"/>
          <w:numId w:val="84"/>
        </w:numPr>
        <w:ind w:left="782" w:hanging="782"/>
      </w:pPr>
      <w:bookmarkStart w:id="48" w:name="_Ref35356775"/>
      <w:r w:rsidRPr="00155974">
        <w:t>This section sets out requirements for presenting the changes in an entity’s equity for a period, either in a statement of changes in equity or, if specified conditions are met and an entity chooses, in a statement of income and retained earnings.</w:t>
      </w:r>
      <w:r w:rsidR="00C25DF2" w:rsidRPr="00155974">
        <w:t xml:space="preserve"> </w:t>
      </w:r>
      <w:r w:rsidR="00144CB1" w:rsidRPr="00155974">
        <w:rPr>
          <w:lang w:eastAsia="en-AU"/>
        </w:rPr>
        <w:tab/>
        <w:t>[</w:t>
      </w:r>
      <w:r w:rsidR="0058144C" w:rsidRPr="00155974">
        <w:rPr>
          <w:i/>
          <w:iCs/>
          <w:lang w:eastAsia="en-AU"/>
        </w:rPr>
        <w:t>IFRS for SMEs</w:t>
      </w:r>
      <w:r w:rsidR="00144CB1" w:rsidRPr="00155974">
        <w:rPr>
          <w:lang w:eastAsia="en-AU"/>
        </w:rPr>
        <w:t xml:space="preserve"> Standard paragraph 6.1]</w:t>
      </w:r>
      <w:bookmarkEnd w:id="48"/>
    </w:p>
    <w:p w14:paraId="5D572372" w14:textId="25F0F04C" w:rsidR="00F42DB6" w:rsidRPr="00022B10" w:rsidRDefault="00F42DB6" w:rsidP="00022B10">
      <w:pPr>
        <w:pStyle w:val="IASBSectionTitle3Ind"/>
        <w:rPr>
          <w:b w:val="0"/>
        </w:rPr>
      </w:pPr>
      <w:r w:rsidRPr="00022B10">
        <w:lastRenderedPageBreak/>
        <w:t>Statement of changes in equity</w:t>
      </w:r>
    </w:p>
    <w:p w14:paraId="72F7A25B" w14:textId="77777777" w:rsidR="00F42DB6" w:rsidRPr="00022B10" w:rsidRDefault="00F42DB6" w:rsidP="00022B10">
      <w:pPr>
        <w:pStyle w:val="IASBSectionTitle3Ind"/>
        <w:rPr>
          <w:b w:val="0"/>
        </w:rPr>
      </w:pPr>
      <w:r w:rsidRPr="00022B10">
        <w:t>Purpose</w:t>
      </w:r>
    </w:p>
    <w:p w14:paraId="16D55C23" w14:textId="67E79504" w:rsidR="00044D97" w:rsidRPr="00155974" w:rsidRDefault="00F42DB6" w:rsidP="000E61D3">
      <w:pPr>
        <w:pStyle w:val="NumPlain1"/>
        <w:numPr>
          <w:ilvl w:val="0"/>
          <w:numId w:val="84"/>
        </w:numPr>
        <w:ind w:left="782" w:hanging="782"/>
        <w:rPr>
          <w:b/>
        </w:rPr>
      </w:pPr>
      <w:r w:rsidRPr="00155974">
        <w:t>The statement of changes in equity presents an entity’s profit or loss for a reporting period, other comprehensive income for the period, the effects of changes in accounting policies and corrections of errors recognised in the period and the amounts of investments by, and dividends and other distributions to, owners in their capacity as owners during the period.</w:t>
      </w:r>
      <w:r w:rsidR="00C25DF2" w:rsidRPr="00155974">
        <w:t xml:space="preserve"> </w:t>
      </w:r>
      <w:r w:rsidR="00044D97" w:rsidRPr="00155974">
        <w:rPr>
          <w:lang w:eastAsia="en-AU"/>
        </w:rPr>
        <w:t>[</w:t>
      </w:r>
      <w:r w:rsidR="0058144C" w:rsidRPr="00155974">
        <w:rPr>
          <w:i/>
          <w:iCs/>
          <w:lang w:eastAsia="en-AU"/>
        </w:rPr>
        <w:t>IFRS for SMEs</w:t>
      </w:r>
      <w:r w:rsidR="00044D97" w:rsidRPr="00155974">
        <w:rPr>
          <w:lang w:eastAsia="en-AU"/>
        </w:rPr>
        <w:t xml:space="preserve"> Standard paragraph </w:t>
      </w:r>
      <w:r w:rsidR="00035258" w:rsidRPr="00155974">
        <w:rPr>
          <w:lang w:eastAsia="en-AU"/>
        </w:rPr>
        <w:t>6.2</w:t>
      </w:r>
      <w:r w:rsidR="00044D97" w:rsidRPr="00155974">
        <w:rPr>
          <w:lang w:eastAsia="en-AU"/>
        </w:rPr>
        <w:t>]</w:t>
      </w:r>
    </w:p>
    <w:p w14:paraId="593590BE" w14:textId="77777777" w:rsidR="00F42DB6" w:rsidRPr="00155974" w:rsidRDefault="00F42DB6" w:rsidP="00022B10">
      <w:pPr>
        <w:pStyle w:val="IASBSectionTitle3Ind"/>
      </w:pPr>
      <w:r w:rsidRPr="00155974">
        <w:t xml:space="preserve">Information to be </w:t>
      </w:r>
      <w:r w:rsidRPr="00022B10">
        <w:t>presented</w:t>
      </w:r>
      <w:r w:rsidRPr="00155974">
        <w:t xml:space="preserve"> in the statement of changes in equity</w:t>
      </w:r>
    </w:p>
    <w:p w14:paraId="76FEB810" w14:textId="13079711" w:rsidR="00F42DB6" w:rsidRPr="00155974" w:rsidRDefault="00F42DB6" w:rsidP="009D1705">
      <w:pPr>
        <w:pStyle w:val="NumPlain1"/>
        <w:keepNext/>
        <w:numPr>
          <w:ilvl w:val="0"/>
          <w:numId w:val="84"/>
        </w:numPr>
        <w:ind w:left="782" w:hanging="782"/>
      </w:pPr>
      <w:r w:rsidRPr="00155974">
        <w:t>The statement of changes in equity includes the following information:</w:t>
      </w:r>
    </w:p>
    <w:p w14:paraId="24E8455C" w14:textId="253B1EA0" w:rsidR="00F42DB6" w:rsidRPr="00FF452E" w:rsidRDefault="00F42DB6" w:rsidP="000E61D3">
      <w:pPr>
        <w:pStyle w:val="ListParagraph"/>
        <w:numPr>
          <w:ilvl w:val="0"/>
          <w:numId w:val="79"/>
        </w:numPr>
        <w:ind w:left="1564" w:hanging="782"/>
        <w:jc w:val="both"/>
      </w:pPr>
      <w:r w:rsidRPr="00FF452E">
        <w:t>total comprehensive income for the period, showing separately the total amounts attributable to owners of the parent and to non-controlling interests;</w:t>
      </w:r>
    </w:p>
    <w:p w14:paraId="7DB9A486" w14:textId="6812A37C" w:rsidR="00F42DB6" w:rsidRPr="00FF452E" w:rsidRDefault="00F42DB6" w:rsidP="000E61D3">
      <w:pPr>
        <w:pStyle w:val="ListParagraph"/>
        <w:numPr>
          <w:ilvl w:val="0"/>
          <w:numId w:val="79"/>
        </w:numPr>
        <w:ind w:left="1564" w:hanging="782"/>
        <w:jc w:val="both"/>
      </w:pPr>
      <w:r w:rsidRPr="00FF452E">
        <w:t>for each component of equity, the effects of retrospective application or retrospective restatement recognised in accordance with AASB 108; and</w:t>
      </w:r>
    </w:p>
    <w:p w14:paraId="55E99B2B" w14:textId="2E16B134" w:rsidR="00F42DB6" w:rsidRPr="00FF452E" w:rsidRDefault="00F42DB6" w:rsidP="000E61D3">
      <w:pPr>
        <w:pStyle w:val="ListParagraph"/>
        <w:numPr>
          <w:ilvl w:val="0"/>
          <w:numId w:val="79"/>
        </w:numPr>
        <w:ind w:left="1564" w:hanging="782"/>
        <w:jc w:val="both"/>
      </w:pPr>
      <w:r w:rsidRPr="00FF452E">
        <w:t>for each component of equity, a reconciliation between the carrying amount at the beginning and the end of the period, separately disclosing changes resulting from:</w:t>
      </w:r>
    </w:p>
    <w:p w14:paraId="7DF2AF70" w14:textId="3798D39C" w:rsidR="00F42DB6" w:rsidRPr="00FF452E" w:rsidRDefault="00F42DB6" w:rsidP="000E61D3">
      <w:pPr>
        <w:pStyle w:val="ListParagraph"/>
        <w:numPr>
          <w:ilvl w:val="0"/>
          <w:numId w:val="80"/>
        </w:numPr>
        <w:ind w:left="2347" w:hanging="782"/>
        <w:jc w:val="both"/>
      </w:pPr>
      <w:r w:rsidRPr="00FF452E">
        <w:t>profit or loss;</w:t>
      </w:r>
    </w:p>
    <w:p w14:paraId="14BF40EB" w14:textId="2D446CA1" w:rsidR="00BC17C6" w:rsidRDefault="00F42DB6" w:rsidP="000E61D3">
      <w:pPr>
        <w:pStyle w:val="NumPlain1"/>
        <w:numPr>
          <w:ilvl w:val="0"/>
          <w:numId w:val="80"/>
        </w:numPr>
        <w:ind w:left="2347" w:hanging="782"/>
      </w:pPr>
      <w:r w:rsidRPr="00155974">
        <w:t>other comprehensive income; and</w:t>
      </w:r>
    </w:p>
    <w:p w14:paraId="7E66C30E" w14:textId="3508259F" w:rsidR="00F42DB6" w:rsidRPr="00FF452E" w:rsidRDefault="00F42DB6" w:rsidP="00DF28F9">
      <w:pPr>
        <w:pStyle w:val="ListParagraph"/>
        <w:keepNext/>
        <w:numPr>
          <w:ilvl w:val="0"/>
          <w:numId w:val="80"/>
        </w:numPr>
        <w:ind w:left="2347" w:hanging="782"/>
        <w:jc w:val="both"/>
      </w:pPr>
      <w:r w:rsidRPr="00FF452E">
        <w:t>the amounts of investments by, and dividends and other distributions to, owners in their capacity as owners, showing separately issues of shares, treasury share transactions, dividends and other distributions to owners and changes in ownership interests in subsidiaries that do not result in a loss of control.</w:t>
      </w:r>
    </w:p>
    <w:p w14:paraId="1B55A805" w14:textId="14980308" w:rsidR="00BC5631" w:rsidRPr="00155974" w:rsidRDefault="00BC5631" w:rsidP="005D08FE">
      <w:pPr>
        <w:tabs>
          <w:tab w:val="left" w:pos="1056"/>
          <w:tab w:val="center" w:pos="2441"/>
        </w:tabs>
        <w:spacing w:after="100"/>
        <w:ind w:left="1564" w:hanging="782"/>
        <w:rPr>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w:t>
      </w:r>
      <w:r w:rsidR="00035258" w:rsidRPr="00155974">
        <w:rPr>
          <w:szCs w:val="19"/>
          <w:lang w:eastAsia="en-AU"/>
        </w:rPr>
        <w:t>6.3</w:t>
      </w:r>
      <w:r w:rsidRPr="00155974">
        <w:rPr>
          <w:szCs w:val="19"/>
          <w:lang w:eastAsia="en-AU"/>
        </w:rPr>
        <w:t>]</w:t>
      </w:r>
    </w:p>
    <w:p w14:paraId="4755E86C" w14:textId="1CBE7D64" w:rsidR="00F42DB6" w:rsidRPr="00022B10" w:rsidRDefault="00F42DB6" w:rsidP="00022B10">
      <w:pPr>
        <w:pStyle w:val="IASBSectionTitle3Ind"/>
        <w:rPr>
          <w:b w:val="0"/>
        </w:rPr>
      </w:pPr>
      <w:r w:rsidRPr="00022B10">
        <w:t>Statement of income and retained earnings</w:t>
      </w:r>
    </w:p>
    <w:p w14:paraId="45C24649" w14:textId="77777777" w:rsidR="00F42DB6" w:rsidRPr="00022B10" w:rsidRDefault="00F42DB6" w:rsidP="00022B10">
      <w:pPr>
        <w:pStyle w:val="IASBSectionTitle3Ind"/>
        <w:rPr>
          <w:b w:val="0"/>
        </w:rPr>
      </w:pPr>
      <w:r w:rsidRPr="00022B10">
        <w:t>Purpose</w:t>
      </w:r>
    </w:p>
    <w:p w14:paraId="4AF4FC02" w14:textId="3B1E7084" w:rsidR="003C5EF2" w:rsidRPr="00155974" w:rsidRDefault="00F42DB6" w:rsidP="000E61D3">
      <w:pPr>
        <w:pStyle w:val="NumPlain1"/>
        <w:numPr>
          <w:ilvl w:val="0"/>
          <w:numId w:val="84"/>
        </w:numPr>
        <w:ind w:left="782" w:hanging="782"/>
      </w:pPr>
      <w:r w:rsidRPr="00155974">
        <w:t xml:space="preserve">The statement of income and retained earnings presents an entity’s profit or loss and changes in retained earnings for a reporting period. Paragraph </w:t>
      </w:r>
      <w:r w:rsidR="002B3193" w:rsidRPr="00155974">
        <w:t>26</w:t>
      </w:r>
      <w:r w:rsidRPr="00155974">
        <w:t xml:space="preserve"> permits an entity to present a statement of income and retained earnings in place of a statement of comprehensive income and a statement of changes in equity if the only changes to its equity during the periods for which financial statements are presented arise from profit or loss, payment of dividends, corrections of prior period errors, and changes in accounting policy.</w:t>
      </w:r>
      <w:r w:rsidR="00C25DF2" w:rsidRPr="00155974">
        <w:t xml:space="preserve"> </w:t>
      </w:r>
      <w:r w:rsidR="003C5EF2" w:rsidRPr="00155974">
        <w:rPr>
          <w:lang w:eastAsia="en-AU"/>
        </w:rPr>
        <w:t>[</w:t>
      </w:r>
      <w:r w:rsidR="0058144C" w:rsidRPr="00155974">
        <w:rPr>
          <w:i/>
          <w:iCs/>
          <w:lang w:eastAsia="en-AU"/>
        </w:rPr>
        <w:t>IFRS for SMEs</w:t>
      </w:r>
      <w:r w:rsidR="003C5EF2" w:rsidRPr="00155974">
        <w:rPr>
          <w:lang w:eastAsia="en-AU"/>
        </w:rPr>
        <w:t xml:space="preserve"> Standard paragraph 6.4]</w:t>
      </w:r>
    </w:p>
    <w:p w14:paraId="65D2AB89" w14:textId="77777777" w:rsidR="00F42DB6" w:rsidRPr="00155974" w:rsidRDefault="00F42DB6" w:rsidP="00022B10">
      <w:pPr>
        <w:pStyle w:val="IASBSectionTitle3Ind"/>
      </w:pPr>
      <w:r w:rsidRPr="00155974">
        <w:t>Information to be presented in the statement of income and retained earnings</w:t>
      </w:r>
    </w:p>
    <w:p w14:paraId="5E0B8BC5" w14:textId="5BF2FE1E" w:rsidR="00F42DB6" w:rsidRPr="00155974" w:rsidRDefault="00F42DB6" w:rsidP="000E61D3">
      <w:pPr>
        <w:pStyle w:val="NumPlain1"/>
        <w:numPr>
          <w:ilvl w:val="0"/>
          <w:numId w:val="84"/>
        </w:numPr>
        <w:ind w:left="782" w:hanging="782"/>
      </w:pPr>
      <w:bookmarkStart w:id="49" w:name="_Ref34731073"/>
      <w:r w:rsidRPr="00155974">
        <w:t xml:space="preserve">An entity shall present, in the statement of income and retained earnings, the following items in addition to the information required by </w:t>
      </w:r>
      <w:r w:rsidR="00FC1B06" w:rsidRPr="00155974">
        <w:t>the s</w:t>
      </w:r>
      <w:r w:rsidRPr="00155974">
        <w:t xml:space="preserve">ection </w:t>
      </w:r>
      <w:r w:rsidR="00052179" w:rsidRPr="00155974">
        <w:t>covering the</w:t>
      </w:r>
      <w:r w:rsidRPr="00155974">
        <w:t xml:space="preserve"> </w:t>
      </w:r>
      <w:hyperlink w:anchor="StmtPLandOCI" w:history="1">
        <w:r w:rsidRPr="00155974">
          <w:t xml:space="preserve">Statement of </w:t>
        </w:r>
        <w:r w:rsidR="005C7A1E" w:rsidRPr="00155974">
          <w:t>Profit or Loss and Other Comprehensive Income</w:t>
        </w:r>
      </w:hyperlink>
      <w:r w:rsidRPr="00155974">
        <w:t>:</w:t>
      </w:r>
      <w:bookmarkEnd w:id="49"/>
    </w:p>
    <w:p w14:paraId="7BFDFF12" w14:textId="26B8FB36" w:rsidR="00F42DB6" w:rsidRPr="00FF452E" w:rsidRDefault="00F42DB6" w:rsidP="00DF28F9">
      <w:pPr>
        <w:pStyle w:val="ListParagraph"/>
        <w:numPr>
          <w:ilvl w:val="0"/>
          <w:numId w:val="81"/>
        </w:numPr>
        <w:ind w:left="1564" w:hanging="782"/>
        <w:jc w:val="both"/>
      </w:pPr>
      <w:r w:rsidRPr="00FF452E">
        <w:t>retained earnings at the beginning of the reporting period;</w:t>
      </w:r>
    </w:p>
    <w:p w14:paraId="5A2F5511" w14:textId="218A0E07" w:rsidR="00F42DB6" w:rsidRPr="00FF452E" w:rsidRDefault="00F42DB6" w:rsidP="00DF28F9">
      <w:pPr>
        <w:pStyle w:val="ListParagraph"/>
        <w:numPr>
          <w:ilvl w:val="0"/>
          <w:numId w:val="81"/>
        </w:numPr>
        <w:ind w:left="1564" w:hanging="782"/>
        <w:jc w:val="both"/>
      </w:pPr>
      <w:r w:rsidRPr="00FF452E">
        <w:t>dividends declared and paid or payable during the period;</w:t>
      </w:r>
    </w:p>
    <w:p w14:paraId="64DF4D02" w14:textId="4848D9FD" w:rsidR="00F42DB6" w:rsidRPr="00FF452E" w:rsidRDefault="00F42DB6" w:rsidP="00DF28F9">
      <w:pPr>
        <w:pStyle w:val="ListParagraph"/>
        <w:numPr>
          <w:ilvl w:val="0"/>
          <w:numId w:val="81"/>
        </w:numPr>
        <w:ind w:left="1564" w:hanging="782"/>
        <w:jc w:val="both"/>
      </w:pPr>
      <w:r w:rsidRPr="00FF452E">
        <w:t>restatements of retained earnings for corrections of prior period errors;</w:t>
      </w:r>
    </w:p>
    <w:p w14:paraId="659A2BC7" w14:textId="2DDFA8A3" w:rsidR="00F42DB6" w:rsidRPr="00FF452E" w:rsidRDefault="00F42DB6" w:rsidP="00DF28F9">
      <w:pPr>
        <w:pStyle w:val="ListParagraph"/>
        <w:numPr>
          <w:ilvl w:val="0"/>
          <w:numId w:val="81"/>
        </w:numPr>
        <w:ind w:left="1564" w:hanging="782"/>
        <w:jc w:val="both"/>
      </w:pPr>
      <w:r w:rsidRPr="00FF452E">
        <w:t>restatements of retained earnings for changes in accounting policy; and</w:t>
      </w:r>
    </w:p>
    <w:p w14:paraId="668E5A44" w14:textId="78553400" w:rsidR="00F42DB6" w:rsidRPr="00FF452E" w:rsidRDefault="00F42DB6" w:rsidP="00DF28F9">
      <w:pPr>
        <w:pStyle w:val="ListParagraph"/>
        <w:keepNext/>
        <w:numPr>
          <w:ilvl w:val="0"/>
          <w:numId w:val="81"/>
        </w:numPr>
        <w:ind w:left="1564" w:hanging="782"/>
        <w:jc w:val="both"/>
      </w:pPr>
      <w:r w:rsidRPr="00FF452E">
        <w:t>retained earnings at the end of the reporting period.</w:t>
      </w:r>
    </w:p>
    <w:p w14:paraId="7C29EAF9" w14:textId="148D1AE0" w:rsidR="00825E12" w:rsidRPr="00155974" w:rsidRDefault="00825E12" w:rsidP="004862A6">
      <w:pPr>
        <w:tabs>
          <w:tab w:val="left" w:pos="1056"/>
          <w:tab w:val="center" w:pos="2441"/>
        </w:tabs>
        <w:spacing w:after="100"/>
        <w:ind w:left="1564" w:hanging="782"/>
        <w:rPr>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w:t>
      </w:r>
      <w:r w:rsidR="00AB616B" w:rsidRPr="00155974">
        <w:rPr>
          <w:szCs w:val="19"/>
          <w:lang w:eastAsia="en-AU"/>
        </w:rPr>
        <w:t>6.5</w:t>
      </w:r>
      <w:r w:rsidRPr="00155974">
        <w:rPr>
          <w:szCs w:val="19"/>
          <w:lang w:eastAsia="en-AU"/>
        </w:rPr>
        <w:t>]</w:t>
      </w:r>
    </w:p>
    <w:p w14:paraId="24F3327C" w14:textId="77777777" w:rsidR="00F42DB6" w:rsidRPr="00155974" w:rsidRDefault="00F42DB6" w:rsidP="00022B10">
      <w:pPr>
        <w:pStyle w:val="IASBSectionTitle2Ind"/>
        <w:rPr>
          <w:rFonts w:eastAsiaTheme="majorEastAsia"/>
        </w:rPr>
      </w:pPr>
      <w:r w:rsidRPr="00155974">
        <w:rPr>
          <w:rFonts w:eastAsiaTheme="majorEastAsia"/>
        </w:rPr>
        <w:lastRenderedPageBreak/>
        <w:t>Statement of Cash Flows</w:t>
      </w:r>
      <w:r w:rsidRPr="00155974">
        <w:rPr>
          <w:rStyle w:val="FootnoteReference"/>
          <w:rFonts w:eastAsiaTheme="majorEastAsia"/>
          <w:bCs/>
          <w:iCs/>
          <w:sz w:val="22"/>
          <w:szCs w:val="22"/>
        </w:rPr>
        <w:footnoteReference w:id="7"/>
      </w:r>
    </w:p>
    <w:p w14:paraId="20E48C4D" w14:textId="127902A8" w:rsidR="00F42DB6" w:rsidRPr="00155974" w:rsidRDefault="00F42DB6" w:rsidP="00022B10">
      <w:pPr>
        <w:pStyle w:val="IASBSectionTitle3Ind"/>
        <w:rPr>
          <w:rFonts w:eastAsiaTheme="majorEastAsia"/>
        </w:rPr>
      </w:pPr>
      <w:r w:rsidRPr="00155974">
        <w:rPr>
          <w:rFonts w:eastAsiaTheme="majorEastAsia"/>
        </w:rPr>
        <w:t>Scope of this section</w:t>
      </w:r>
    </w:p>
    <w:p w14:paraId="377427CC" w14:textId="044CC252" w:rsidR="00590E48" w:rsidRPr="00155974" w:rsidRDefault="00F42DB6" w:rsidP="000E61D3">
      <w:pPr>
        <w:pStyle w:val="NumPlain1"/>
        <w:numPr>
          <w:ilvl w:val="0"/>
          <w:numId w:val="84"/>
        </w:numPr>
        <w:ind w:left="782" w:hanging="782"/>
        <w:rPr>
          <w:rFonts w:eastAsiaTheme="majorEastAsia"/>
        </w:rPr>
      </w:pPr>
      <w:bookmarkStart w:id="50" w:name="_Ref35356799"/>
      <w:r w:rsidRPr="00155974">
        <w:rPr>
          <w:rFonts w:eastAsiaTheme="majorEastAsia"/>
        </w:rPr>
        <w:t>This section sets out the information that is to be presented in a statement of cash flows and how to present it. The statement of cash flows provides information about the changes in cash and cash equivalents of an entity for a reporting period, showing separately changes from operating activities, investing activities and financing activities.</w:t>
      </w:r>
      <w:r w:rsidR="00C25DF2" w:rsidRPr="00155974">
        <w:rPr>
          <w:rFonts w:eastAsiaTheme="majorEastAsia"/>
        </w:rPr>
        <w:t xml:space="preserve"> </w:t>
      </w:r>
      <w:r w:rsidR="00590E48" w:rsidRPr="00155974">
        <w:rPr>
          <w:lang w:eastAsia="en-AU"/>
        </w:rPr>
        <w:t>[</w:t>
      </w:r>
      <w:r w:rsidR="0058144C" w:rsidRPr="00155974">
        <w:rPr>
          <w:i/>
          <w:lang w:eastAsia="en-AU"/>
        </w:rPr>
        <w:t>IFRS for SMEs</w:t>
      </w:r>
      <w:r w:rsidR="00590E48" w:rsidRPr="00155974">
        <w:rPr>
          <w:lang w:eastAsia="en-AU"/>
        </w:rPr>
        <w:t xml:space="preserve"> Standard paragraph 7.1]</w:t>
      </w:r>
      <w:bookmarkEnd w:id="50"/>
    </w:p>
    <w:p w14:paraId="1057B07A" w14:textId="42B09BFE" w:rsidR="00F42DB6" w:rsidRPr="00155974" w:rsidRDefault="00F42DB6" w:rsidP="00022B10">
      <w:pPr>
        <w:pStyle w:val="IASBSectionTitle3Ind"/>
        <w:rPr>
          <w:rFonts w:eastAsiaTheme="majorEastAsia"/>
        </w:rPr>
      </w:pPr>
      <w:r w:rsidRPr="00155974">
        <w:rPr>
          <w:rFonts w:eastAsiaTheme="majorEastAsia"/>
        </w:rPr>
        <w:t>Cash equivalents</w:t>
      </w:r>
    </w:p>
    <w:p w14:paraId="05B02A6A" w14:textId="19BCE2B2" w:rsidR="00B366B7" w:rsidRPr="00155974" w:rsidRDefault="00F42DB6" w:rsidP="000E61D3">
      <w:pPr>
        <w:pStyle w:val="NumPlain1"/>
        <w:numPr>
          <w:ilvl w:val="0"/>
          <w:numId w:val="84"/>
        </w:numPr>
        <w:ind w:left="782" w:hanging="782"/>
        <w:rPr>
          <w:rFonts w:eastAsiaTheme="majorEastAsia"/>
        </w:rPr>
      </w:pPr>
      <w:r w:rsidRPr="00155974">
        <w:rPr>
          <w:rFonts w:eastAsiaTheme="majorEastAsia"/>
        </w:rPr>
        <w:t>Cash equivalents are short-term, highly liquid investments that are readily convertible to known amounts of cash and that are subject to an insignificant risk of changes in value. They are held to meet short-term cash commitments instead of for investment or other purposes. Consequently, an investment normally qualifies as a cash equivalent only when it has a short maturity of, say, three months or less from the date of acquisition. Bank overdrafts are normally considered financing activities similar to borrowings. However, if they are repayable on demand and form an integral part of an entity’s cash management, bank overdrafts are a component of cash and cash equivalents.</w:t>
      </w:r>
      <w:r w:rsidR="00C25DF2" w:rsidRPr="00155974">
        <w:rPr>
          <w:rFonts w:eastAsiaTheme="majorEastAsia"/>
        </w:rPr>
        <w:t xml:space="preserve"> </w:t>
      </w:r>
      <w:r w:rsidR="00077369" w:rsidRPr="00155974">
        <w:rPr>
          <w:lang w:eastAsia="en-AU"/>
        </w:rPr>
        <w:t>[</w:t>
      </w:r>
      <w:r w:rsidR="0058144C" w:rsidRPr="00155974">
        <w:rPr>
          <w:i/>
          <w:lang w:eastAsia="en-AU"/>
        </w:rPr>
        <w:t>IFRS for SMEs</w:t>
      </w:r>
      <w:r w:rsidR="00077369" w:rsidRPr="00155974">
        <w:rPr>
          <w:lang w:eastAsia="en-AU"/>
        </w:rPr>
        <w:t xml:space="preserve"> Standard paragraph 7.2]</w:t>
      </w:r>
    </w:p>
    <w:p w14:paraId="70CDFEE6" w14:textId="5205F78D" w:rsidR="00F42DB6" w:rsidRPr="00155974" w:rsidRDefault="00F42DB6" w:rsidP="00022B10">
      <w:pPr>
        <w:pStyle w:val="IASBSectionTitle3Ind"/>
        <w:rPr>
          <w:rFonts w:eastAsiaTheme="majorEastAsia"/>
        </w:rPr>
      </w:pPr>
      <w:r w:rsidRPr="00155974">
        <w:rPr>
          <w:rFonts w:eastAsiaTheme="majorEastAsia"/>
        </w:rPr>
        <w:t>Information to be presented in the statement of cash flows</w:t>
      </w:r>
    </w:p>
    <w:p w14:paraId="72445CB6" w14:textId="7E5192F0" w:rsidR="0048170D" w:rsidRPr="00155974" w:rsidRDefault="00F42DB6" w:rsidP="000E61D3">
      <w:pPr>
        <w:pStyle w:val="NumPlain1"/>
        <w:numPr>
          <w:ilvl w:val="0"/>
          <w:numId w:val="84"/>
        </w:numPr>
        <w:ind w:left="782" w:hanging="782"/>
        <w:rPr>
          <w:rFonts w:eastAsiaTheme="majorEastAsia"/>
          <w:b/>
        </w:rPr>
      </w:pPr>
      <w:r w:rsidRPr="00155974">
        <w:rPr>
          <w:rFonts w:eastAsiaTheme="majorEastAsia"/>
        </w:rPr>
        <w:t>An entity shall present a statement of cash flows that presents cash flows for a reporting period classified by operating activities, investing activities and financing activities.</w:t>
      </w:r>
      <w:r w:rsidR="008064E4" w:rsidRPr="00155974">
        <w:rPr>
          <w:rFonts w:eastAsiaTheme="majorEastAsia"/>
        </w:rPr>
        <w:t xml:space="preserve"> </w:t>
      </w:r>
      <w:r w:rsidR="0048170D" w:rsidRPr="00155974">
        <w:rPr>
          <w:lang w:eastAsia="en-AU"/>
        </w:rPr>
        <w:t>[</w:t>
      </w:r>
      <w:r w:rsidR="0058144C" w:rsidRPr="00155974">
        <w:rPr>
          <w:i/>
          <w:lang w:eastAsia="en-AU"/>
        </w:rPr>
        <w:t>IFRS for SMEs</w:t>
      </w:r>
      <w:r w:rsidR="0048170D" w:rsidRPr="00155974">
        <w:rPr>
          <w:lang w:eastAsia="en-AU"/>
        </w:rPr>
        <w:t xml:space="preserve"> Standard paragraph 7.3]</w:t>
      </w:r>
    </w:p>
    <w:p w14:paraId="2DFB9CBE" w14:textId="18E6132E" w:rsidR="00F42DB6" w:rsidRPr="00155974" w:rsidRDefault="00F42DB6" w:rsidP="00022B10">
      <w:pPr>
        <w:pStyle w:val="IASBSectionTitle3Ind"/>
        <w:rPr>
          <w:rFonts w:eastAsiaTheme="majorEastAsia"/>
        </w:rPr>
      </w:pPr>
      <w:r w:rsidRPr="00155974">
        <w:rPr>
          <w:rFonts w:eastAsiaTheme="majorEastAsia"/>
        </w:rPr>
        <w:t>Operating activities</w:t>
      </w:r>
    </w:p>
    <w:p w14:paraId="28B90130" w14:textId="39B3BAAD"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Operating activities are the principal revenue-producing activities of the entity. Consequently, cash flows from operating activities generally result from the transactions and other events and conditions that enter into the determination of profit or loss. Examples of cash flows from operating activities are:</w:t>
      </w:r>
    </w:p>
    <w:p w14:paraId="5C6F51F2" w14:textId="77B8EC71"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receipts from the sale of goods and the rendering of services;</w:t>
      </w:r>
    </w:p>
    <w:p w14:paraId="35A7A401" w14:textId="0C53A26A"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receipts from royalties, fees, commissions and other revenue;</w:t>
      </w:r>
    </w:p>
    <w:p w14:paraId="7B4B9433" w14:textId="7F8A7D9E"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payments to suppliers for goods and services;</w:t>
      </w:r>
    </w:p>
    <w:p w14:paraId="1D816091" w14:textId="7F0210AE"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payments to and on behalf of employees;</w:t>
      </w:r>
    </w:p>
    <w:p w14:paraId="07624DDB" w14:textId="0D46CDD6"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payments or refunds of income tax, unless they can be specifically identified with financing and investing activities; and</w:t>
      </w:r>
    </w:p>
    <w:p w14:paraId="6151805B" w14:textId="7053507F" w:rsidR="00F42DB6" w:rsidRPr="00FF452E" w:rsidRDefault="00F42DB6" w:rsidP="000E61D3">
      <w:pPr>
        <w:pStyle w:val="ListParagraph"/>
        <w:numPr>
          <w:ilvl w:val="0"/>
          <w:numId w:val="82"/>
        </w:numPr>
        <w:ind w:left="1564" w:hanging="782"/>
        <w:jc w:val="both"/>
        <w:rPr>
          <w:rFonts w:eastAsiaTheme="majorEastAsia"/>
        </w:rPr>
      </w:pPr>
      <w:r w:rsidRPr="00FF452E">
        <w:rPr>
          <w:rFonts w:eastAsiaTheme="majorEastAsia"/>
        </w:rPr>
        <w:t>cash receipts and payments from investments, loans and other contracts held for dealing or trading purposes, which are similar to inventory acquired specifically for resale.</w:t>
      </w:r>
    </w:p>
    <w:p w14:paraId="7745017F" w14:textId="1A7EFDF2" w:rsidR="00873823" w:rsidRPr="00155974" w:rsidRDefault="00F42DB6" w:rsidP="00FF452E">
      <w:pPr>
        <w:spacing w:after="100"/>
        <w:ind w:left="782"/>
        <w:rPr>
          <w:rFonts w:eastAsiaTheme="majorEastAsia"/>
          <w:bCs/>
          <w:iCs/>
          <w:szCs w:val="19"/>
        </w:rPr>
      </w:pPr>
      <w:r w:rsidRPr="00155974">
        <w:rPr>
          <w:rFonts w:eastAsiaTheme="majorEastAsia"/>
          <w:bCs/>
          <w:iCs/>
          <w:szCs w:val="19"/>
        </w:rPr>
        <w:t>Some transactions, such as the sale of an item of plant by a manufacturing entity, may give rise to a gain or loss that is included in profit or loss. However, the cash flows relating to such transactions are cash flows from investing activities.</w:t>
      </w:r>
      <w:r w:rsidR="008064E4" w:rsidRPr="00155974">
        <w:rPr>
          <w:rFonts w:eastAsiaTheme="majorEastAsia"/>
          <w:bCs/>
          <w:iCs/>
          <w:szCs w:val="19"/>
        </w:rPr>
        <w:t xml:space="preserve"> </w:t>
      </w:r>
      <w:r w:rsidR="00873823" w:rsidRPr="00155974">
        <w:rPr>
          <w:szCs w:val="19"/>
          <w:lang w:eastAsia="en-AU"/>
        </w:rPr>
        <w:t>[</w:t>
      </w:r>
      <w:r w:rsidR="0058144C" w:rsidRPr="00155974">
        <w:rPr>
          <w:i/>
          <w:iCs/>
          <w:szCs w:val="19"/>
          <w:lang w:eastAsia="en-AU"/>
        </w:rPr>
        <w:t>IFRS for SMEs</w:t>
      </w:r>
      <w:r w:rsidR="00873823" w:rsidRPr="00155974">
        <w:rPr>
          <w:szCs w:val="19"/>
          <w:lang w:eastAsia="en-AU"/>
        </w:rPr>
        <w:t xml:space="preserve"> Standard paragraph 7.4]</w:t>
      </w:r>
    </w:p>
    <w:p w14:paraId="791AF98C" w14:textId="77777777" w:rsidR="00F42DB6" w:rsidRPr="00155974" w:rsidRDefault="00F42DB6" w:rsidP="00022B10">
      <w:pPr>
        <w:pStyle w:val="IASBSectionTitle3Ind"/>
        <w:rPr>
          <w:rFonts w:eastAsiaTheme="majorEastAsia"/>
        </w:rPr>
      </w:pPr>
      <w:r w:rsidRPr="00155974">
        <w:rPr>
          <w:rFonts w:eastAsiaTheme="majorEastAsia"/>
        </w:rPr>
        <w:t>Investing activities</w:t>
      </w:r>
    </w:p>
    <w:p w14:paraId="1AE47010" w14:textId="3F0D5743"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Investing activities are the acquisition and disposal of long-term assets and other investments not included in cash equivalents. Examples of cash flows arising from investing activities are:</w:t>
      </w:r>
    </w:p>
    <w:p w14:paraId="48ABE78F" w14:textId="47441C76"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payments to acquire property, plant and equipment (including self-constructed property, plant and equipment), intangible assets and other long-term assets;</w:t>
      </w:r>
    </w:p>
    <w:p w14:paraId="05DF3950" w14:textId="1B04AC51"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receipts from sales of property, plant and equipment, intangibles and other long-term assets;</w:t>
      </w:r>
    </w:p>
    <w:p w14:paraId="5FA655CD" w14:textId="1D5363EA"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payments to acquire equity or debt instruments of other entities and interests in joint ventures (other than payments for those instruments classified as cash equivalents or held for dealing or trading);</w:t>
      </w:r>
    </w:p>
    <w:p w14:paraId="0B368BF7" w14:textId="232CBC3C"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receipts from sales of equity or debt instruments of other entities and interests in joint ventures (other than receipts for those instruments classified as cash equivalents or held for dealing or trading);</w:t>
      </w:r>
    </w:p>
    <w:p w14:paraId="46A44B30" w14:textId="063E146E"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lastRenderedPageBreak/>
        <w:t>cash advances and loans made to other parties;</w:t>
      </w:r>
    </w:p>
    <w:p w14:paraId="27E53CB7" w14:textId="16A27025"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receipts from the repayment of advances and loans made to other parties;</w:t>
      </w:r>
    </w:p>
    <w:p w14:paraId="20570EE0" w14:textId="70B4E70C"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payments for futures contracts, forward contracts, option contracts and swap contracts, except when the contracts are held for dealing or trading, or the payments are classified as financing activities; and</w:t>
      </w:r>
    </w:p>
    <w:p w14:paraId="46E26B69" w14:textId="6710AC9F" w:rsidR="00F42DB6" w:rsidRPr="00FF452E" w:rsidRDefault="00F42DB6" w:rsidP="000E61D3">
      <w:pPr>
        <w:pStyle w:val="ListParagraph"/>
        <w:numPr>
          <w:ilvl w:val="0"/>
          <w:numId w:val="83"/>
        </w:numPr>
        <w:ind w:left="1564" w:hanging="782"/>
        <w:jc w:val="both"/>
        <w:rPr>
          <w:rFonts w:eastAsiaTheme="majorEastAsia"/>
        </w:rPr>
      </w:pPr>
      <w:r w:rsidRPr="00FF452E">
        <w:rPr>
          <w:rFonts w:eastAsiaTheme="majorEastAsia"/>
        </w:rPr>
        <w:t>cash receipts from futures contracts, forward contracts, option contracts and swap contracts, except when the contracts are held for dealing or trading, or the receipts are classified as financing activities.</w:t>
      </w:r>
    </w:p>
    <w:p w14:paraId="5049BBE6" w14:textId="14E0F107" w:rsidR="0046178D" w:rsidRPr="00155974" w:rsidRDefault="00F42DB6" w:rsidP="00FF452E">
      <w:pPr>
        <w:spacing w:after="100"/>
        <w:ind w:left="782"/>
        <w:rPr>
          <w:rFonts w:eastAsiaTheme="majorEastAsia"/>
          <w:bCs/>
          <w:iCs/>
          <w:szCs w:val="19"/>
        </w:rPr>
      </w:pPr>
      <w:r w:rsidRPr="00155974">
        <w:rPr>
          <w:rFonts w:eastAsiaTheme="majorEastAsia"/>
          <w:bCs/>
          <w:iCs/>
          <w:szCs w:val="19"/>
        </w:rPr>
        <w:t xml:space="preserve">When a contract is accounted for as a hedge (see </w:t>
      </w:r>
      <w:r w:rsidRPr="00155974">
        <w:rPr>
          <w:szCs w:val="19"/>
          <w:lang w:eastAsia="en-AU"/>
        </w:rPr>
        <w:t xml:space="preserve">AASB 9 </w:t>
      </w:r>
      <w:r w:rsidR="00BA59E7" w:rsidRPr="00155974">
        <w:rPr>
          <w:i/>
          <w:iCs/>
          <w:szCs w:val="19"/>
          <w:lang w:eastAsia="en-AU"/>
        </w:rPr>
        <w:t>Financial Instruments</w:t>
      </w:r>
      <w:r w:rsidR="00BA59E7" w:rsidRPr="00155974">
        <w:rPr>
          <w:szCs w:val="19"/>
          <w:lang w:eastAsia="en-AU"/>
        </w:rPr>
        <w:t xml:space="preserve"> </w:t>
      </w:r>
      <w:r w:rsidRPr="00155974">
        <w:rPr>
          <w:szCs w:val="19"/>
          <w:lang w:eastAsia="en-AU"/>
        </w:rPr>
        <w:t xml:space="preserve">and AASB 139 </w:t>
      </w:r>
      <w:r w:rsidRPr="00155974">
        <w:rPr>
          <w:i/>
          <w:szCs w:val="19"/>
          <w:lang w:eastAsia="en-AU"/>
        </w:rPr>
        <w:t>Financial Instruments: Recognition and Measurement</w:t>
      </w:r>
      <w:r w:rsidRPr="00155974">
        <w:rPr>
          <w:rFonts w:eastAsiaTheme="majorEastAsia"/>
          <w:bCs/>
          <w:iCs/>
          <w:szCs w:val="19"/>
        </w:rPr>
        <w:t>), an entity shall classify the cash flows of the contract in the same manner as the cash flows of the item being hedged.</w:t>
      </w:r>
      <w:r w:rsidR="00ED043B" w:rsidRPr="00155974">
        <w:rPr>
          <w:rFonts w:eastAsiaTheme="majorEastAsia"/>
          <w:bCs/>
          <w:iCs/>
          <w:szCs w:val="19"/>
        </w:rPr>
        <w:t xml:space="preserve"> </w:t>
      </w:r>
      <w:r w:rsidR="0046178D" w:rsidRPr="00155974">
        <w:rPr>
          <w:szCs w:val="19"/>
          <w:lang w:eastAsia="en-AU"/>
        </w:rPr>
        <w:t>[</w:t>
      </w:r>
      <w:r w:rsidR="0058144C" w:rsidRPr="00155974">
        <w:rPr>
          <w:i/>
          <w:iCs/>
          <w:szCs w:val="19"/>
          <w:lang w:eastAsia="en-AU"/>
        </w:rPr>
        <w:t>IFRS for SMEs</w:t>
      </w:r>
      <w:r w:rsidR="0046178D" w:rsidRPr="00155974">
        <w:rPr>
          <w:szCs w:val="19"/>
          <w:lang w:eastAsia="en-AU"/>
        </w:rPr>
        <w:t xml:space="preserve"> Standard paragraph 7.5]</w:t>
      </w:r>
    </w:p>
    <w:p w14:paraId="58103DE0" w14:textId="493E8947" w:rsidR="00F42DB6" w:rsidRPr="00155974" w:rsidRDefault="00F42DB6" w:rsidP="00022B10">
      <w:pPr>
        <w:pStyle w:val="IASBSectionTitle3Ind"/>
        <w:rPr>
          <w:rFonts w:eastAsiaTheme="majorEastAsia"/>
        </w:rPr>
      </w:pPr>
      <w:r w:rsidRPr="00155974">
        <w:rPr>
          <w:rFonts w:eastAsiaTheme="majorEastAsia"/>
        </w:rPr>
        <w:t>Financing activities</w:t>
      </w:r>
    </w:p>
    <w:p w14:paraId="02228ED3" w14:textId="1DDF4324"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Financing activities are activities that result in changes in the size and composition of the contributed equity and borrowings of an entity. Examples of cash flows arising from financing activities are:</w:t>
      </w:r>
    </w:p>
    <w:p w14:paraId="02CDDCF8" w14:textId="05BB33F2" w:rsidR="00F42DB6" w:rsidRPr="00A53B24" w:rsidRDefault="00F42DB6" w:rsidP="000E61D3">
      <w:pPr>
        <w:pStyle w:val="ListParagraph"/>
        <w:numPr>
          <w:ilvl w:val="0"/>
          <w:numId w:val="86"/>
        </w:numPr>
        <w:ind w:left="1564" w:hanging="782"/>
        <w:jc w:val="both"/>
        <w:rPr>
          <w:rFonts w:eastAsiaTheme="majorEastAsia"/>
          <w:bCs/>
          <w:iCs/>
          <w:szCs w:val="19"/>
        </w:rPr>
      </w:pPr>
      <w:r w:rsidRPr="00A53B24">
        <w:rPr>
          <w:rFonts w:eastAsiaTheme="majorEastAsia"/>
          <w:bCs/>
          <w:iCs/>
          <w:szCs w:val="19"/>
        </w:rPr>
        <w:t>cash proceeds from issuing shares or other equity instruments;</w:t>
      </w:r>
    </w:p>
    <w:p w14:paraId="2EA2BEEF" w14:textId="79C478C4" w:rsidR="00F42DB6" w:rsidRPr="00A53B24" w:rsidRDefault="00F42DB6" w:rsidP="000E61D3">
      <w:pPr>
        <w:pStyle w:val="ListParagraph"/>
        <w:numPr>
          <w:ilvl w:val="0"/>
          <w:numId w:val="86"/>
        </w:numPr>
        <w:ind w:left="1564" w:hanging="782"/>
        <w:jc w:val="both"/>
        <w:rPr>
          <w:rFonts w:eastAsiaTheme="majorEastAsia"/>
          <w:bCs/>
          <w:iCs/>
          <w:szCs w:val="19"/>
        </w:rPr>
      </w:pPr>
      <w:r w:rsidRPr="00A53B24">
        <w:rPr>
          <w:rFonts w:eastAsiaTheme="majorEastAsia"/>
          <w:bCs/>
          <w:iCs/>
          <w:szCs w:val="19"/>
        </w:rPr>
        <w:t>cash payments to owners to acquire or redeem the entity’s shares;</w:t>
      </w:r>
    </w:p>
    <w:p w14:paraId="3483A113" w14:textId="0159FDB4" w:rsidR="00F42DB6" w:rsidRPr="00A53B24" w:rsidRDefault="00F42DB6" w:rsidP="000E61D3">
      <w:pPr>
        <w:pStyle w:val="ListParagraph"/>
        <w:numPr>
          <w:ilvl w:val="0"/>
          <w:numId w:val="86"/>
        </w:numPr>
        <w:ind w:left="1564" w:hanging="782"/>
        <w:jc w:val="both"/>
        <w:rPr>
          <w:rFonts w:eastAsiaTheme="majorEastAsia"/>
          <w:bCs/>
          <w:iCs/>
          <w:szCs w:val="19"/>
        </w:rPr>
      </w:pPr>
      <w:r w:rsidRPr="00A53B24">
        <w:rPr>
          <w:rFonts w:eastAsiaTheme="majorEastAsia"/>
          <w:bCs/>
          <w:iCs/>
          <w:szCs w:val="19"/>
        </w:rPr>
        <w:t>cash proceeds from issuing debentures, loans, notes, bonds, mortgages and other short-term or long-term borrowings;</w:t>
      </w:r>
    </w:p>
    <w:p w14:paraId="38C72853" w14:textId="746697A9" w:rsidR="00F42DB6" w:rsidRPr="00A53B24" w:rsidRDefault="00F42DB6" w:rsidP="000E61D3">
      <w:pPr>
        <w:pStyle w:val="ListParagraph"/>
        <w:numPr>
          <w:ilvl w:val="0"/>
          <w:numId w:val="86"/>
        </w:numPr>
        <w:ind w:left="1564" w:hanging="782"/>
        <w:jc w:val="both"/>
        <w:rPr>
          <w:rFonts w:eastAsiaTheme="majorEastAsia"/>
          <w:bCs/>
          <w:iCs/>
          <w:szCs w:val="19"/>
        </w:rPr>
      </w:pPr>
      <w:r w:rsidRPr="00A53B24">
        <w:rPr>
          <w:rFonts w:eastAsiaTheme="majorEastAsia"/>
          <w:bCs/>
          <w:iCs/>
          <w:szCs w:val="19"/>
        </w:rPr>
        <w:t>cash repayments of amounts borrowed; and</w:t>
      </w:r>
    </w:p>
    <w:p w14:paraId="4B62CA80" w14:textId="1ED53438" w:rsidR="00F42DB6" w:rsidRPr="00A53B24" w:rsidRDefault="00F42DB6" w:rsidP="009D1705">
      <w:pPr>
        <w:pStyle w:val="ListParagraph"/>
        <w:keepNext/>
        <w:numPr>
          <w:ilvl w:val="0"/>
          <w:numId w:val="86"/>
        </w:numPr>
        <w:ind w:left="1564" w:hanging="782"/>
        <w:jc w:val="both"/>
        <w:rPr>
          <w:rFonts w:eastAsiaTheme="majorEastAsia"/>
          <w:bCs/>
          <w:iCs/>
          <w:szCs w:val="19"/>
        </w:rPr>
      </w:pPr>
      <w:r w:rsidRPr="00A53B24">
        <w:rPr>
          <w:rFonts w:eastAsiaTheme="majorEastAsia"/>
          <w:bCs/>
          <w:iCs/>
          <w:szCs w:val="19"/>
        </w:rPr>
        <w:t>cash payments by a lessee for the reduction of the outstanding liability relating to a lease.</w:t>
      </w:r>
    </w:p>
    <w:p w14:paraId="5BC59516" w14:textId="148B514B" w:rsidR="00405B86" w:rsidRPr="00155974" w:rsidRDefault="00405B86" w:rsidP="009764F3">
      <w:pPr>
        <w:spacing w:after="100"/>
        <w:ind w:left="1564" w:hanging="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7.6]</w:t>
      </w:r>
    </w:p>
    <w:p w14:paraId="27FF5BE1" w14:textId="75FEED11" w:rsidR="00F42DB6" w:rsidRPr="00155974" w:rsidRDefault="00F42DB6" w:rsidP="00022B10">
      <w:pPr>
        <w:pStyle w:val="IASBSectionTitle3Ind"/>
        <w:rPr>
          <w:rFonts w:eastAsiaTheme="majorEastAsia"/>
        </w:rPr>
      </w:pPr>
      <w:r w:rsidRPr="00155974">
        <w:rPr>
          <w:rFonts w:eastAsiaTheme="majorEastAsia"/>
        </w:rPr>
        <w:t>Reporting cash flows from operating activities</w:t>
      </w:r>
    </w:p>
    <w:p w14:paraId="0A74963E" w14:textId="191F8356" w:rsidR="00F42DB6" w:rsidRPr="00155974" w:rsidRDefault="00F42DB6" w:rsidP="004B0ADC">
      <w:pPr>
        <w:pStyle w:val="NumPlain1"/>
        <w:keepNext/>
        <w:numPr>
          <w:ilvl w:val="0"/>
          <w:numId w:val="84"/>
        </w:numPr>
        <w:ind w:left="782" w:hanging="782"/>
        <w:rPr>
          <w:rFonts w:eastAsiaTheme="majorEastAsia"/>
        </w:rPr>
      </w:pPr>
      <w:r w:rsidRPr="00155974">
        <w:rPr>
          <w:rFonts w:eastAsiaTheme="majorEastAsia"/>
        </w:rPr>
        <w:t>An entity shall present cash flows from operating activities using either:</w:t>
      </w:r>
    </w:p>
    <w:p w14:paraId="35B47149" w14:textId="74411717" w:rsidR="00F42DB6" w:rsidRPr="00A53B24" w:rsidRDefault="00F42DB6" w:rsidP="000E61D3">
      <w:pPr>
        <w:pStyle w:val="ListParagraph"/>
        <w:numPr>
          <w:ilvl w:val="0"/>
          <w:numId w:val="87"/>
        </w:numPr>
        <w:ind w:left="1564" w:hanging="782"/>
        <w:jc w:val="both"/>
        <w:rPr>
          <w:rFonts w:eastAsiaTheme="majorEastAsia"/>
          <w:bCs/>
          <w:iCs/>
          <w:szCs w:val="19"/>
        </w:rPr>
      </w:pPr>
      <w:r w:rsidRPr="00A53B24">
        <w:rPr>
          <w:rFonts w:eastAsiaTheme="majorEastAsia"/>
          <w:bCs/>
          <w:iCs/>
          <w:szCs w:val="19"/>
        </w:rPr>
        <w:t>the indirect method, whereby profit or loss is adjusted for the effects of non-cash transactions, any deferrals or accruals of past or future operating cash receipts or payments and items of income or expense associated with investing or financing cash flows; or</w:t>
      </w:r>
    </w:p>
    <w:p w14:paraId="666AD02A" w14:textId="001FC9E4" w:rsidR="00F42DB6" w:rsidRPr="00A53B24" w:rsidRDefault="00F42DB6" w:rsidP="00DF28F9">
      <w:pPr>
        <w:pStyle w:val="ListParagraph"/>
        <w:keepNext/>
        <w:numPr>
          <w:ilvl w:val="0"/>
          <w:numId w:val="87"/>
        </w:numPr>
        <w:ind w:left="1564" w:hanging="782"/>
        <w:jc w:val="both"/>
        <w:rPr>
          <w:rFonts w:eastAsiaTheme="majorEastAsia"/>
          <w:bCs/>
          <w:iCs/>
          <w:szCs w:val="19"/>
        </w:rPr>
      </w:pPr>
      <w:r w:rsidRPr="00A53B24">
        <w:rPr>
          <w:rFonts w:eastAsiaTheme="majorEastAsia"/>
          <w:bCs/>
          <w:iCs/>
          <w:szCs w:val="19"/>
        </w:rPr>
        <w:t>the direct method, whereby major classes of gross cash receipts and gross cash payments are disclosed.</w:t>
      </w:r>
    </w:p>
    <w:p w14:paraId="2302882E" w14:textId="3FBA631E" w:rsidR="003665BE" w:rsidRPr="00155974" w:rsidRDefault="003665BE" w:rsidP="009764F3">
      <w:pPr>
        <w:spacing w:after="100"/>
        <w:ind w:left="1564" w:hanging="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7.7]</w:t>
      </w:r>
    </w:p>
    <w:p w14:paraId="2AC0C283" w14:textId="77777777" w:rsidR="00F42DB6" w:rsidRPr="00155974" w:rsidRDefault="00F42DB6" w:rsidP="009D1705">
      <w:pPr>
        <w:keepNext/>
        <w:spacing w:after="100"/>
        <w:ind w:left="1564" w:hanging="782"/>
        <w:rPr>
          <w:rFonts w:ascii="Arial" w:eastAsiaTheme="majorEastAsia" w:hAnsi="Arial" w:cs="Arial"/>
          <w:i/>
          <w:sz w:val="20"/>
        </w:rPr>
      </w:pPr>
      <w:r w:rsidRPr="00155974">
        <w:rPr>
          <w:rFonts w:ascii="Arial" w:eastAsiaTheme="majorEastAsia" w:hAnsi="Arial" w:cs="Arial"/>
          <w:i/>
          <w:sz w:val="20"/>
        </w:rPr>
        <w:t>Indirect method</w:t>
      </w:r>
    </w:p>
    <w:p w14:paraId="3FF2DA9B" w14:textId="68FE4A1D"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Under the indirect method, the net cash flow from operating activities is determined by adjusting profit or loss for the effects of:</w:t>
      </w:r>
    </w:p>
    <w:p w14:paraId="62B93CEE" w14:textId="5E90DF1B" w:rsidR="00F42DB6" w:rsidRPr="00A53B24" w:rsidRDefault="00F42DB6" w:rsidP="000E61D3">
      <w:pPr>
        <w:pStyle w:val="ListParagraph"/>
        <w:numPr>
          <w:ilvl w:val="0"/>
          <w:numId w:val="88"/>
        </w:numPr>
        <w:ind w:left="1564" w:hanging="782"/>
        <w:jc w:val="both"/>
        <w:rPr>
          <w:rFonts w:eastAsiaTheme="majorEastAsia"/>
          <w:bCs/>
          <w:iCs/>
          <w:szCs w:val="19"/>
        </w:rPr>
      </w:pPr>
      <w:r w:rsidRPr="00A53B24">
        <w:rPr>
          <w:rFonts w:eastAsiaTheme="majorEastAsia"/>
          <w:bCs/>
          <w:iCs/>
          <w:szCs w:val="19"/>
        </w:rPr>
        <w:t>changes during the period in inventories and operating receivables and payables;</w:t>
      </w:r>
    </w:p>
    <w:p w14:paraId="77636161" w14:textId="76CC0040" w:rsidR="00F42DB6" w:rsidRPr="00A53B24" w:rsidRDefault="00F42DB6" w:rsidP="000E61D3">
      <w:pPr>
        <w:pStyle w:val="ListParagraph"/>
        <w:numPr>
          <w:ilvl w:val="0"/>
          <w:numId w:val="88"/>
        </w:numPr>
        <w:ind w:left="1564" w:hanging="782"/>
        <w:jc w:val="both"/>
        <w:rPr>
          <w:rFonts w:eastAsiaTheme="majorEastAsia"/>
          <w:bCs/>
          <w:iCs/>
          <w:szCs w:val="19"/>
        </w:rPr>
      </w:pPr>
      <w:r w:rsidRPr="00A53B24">
        <w:rPr>
          <w:rFonts w:eastAsiaTheme="majorEastAsia"/>
          <w:bCs/>
          <w:iCs/>
          <w:szCs w:val="19"/>
        </w:rPr>
        <w:t>non-cash items such as depreciation, provisions, deferred tax, accrued income (expenses) not yet received (paid) in cash, unrealised foreign currency gains and losses, undistributed profits of associates and non-controlling interests; and</w:t>
      </w:r>
    </w:p>
    <w:p w14:paraId="3A9BCE29" w14:textId="0B327FA1" w:rsidR="00F42DB6" w:rsidRPr="00A53B24" w:rsidRDefault="00F42DB6" w:rsidP="009D1705">
      <w:pPr>
        <w:pStyle w:val="ListParagraph"/>
        <w:keepNext/>
        <w:numPr>
          <w:ilvl w:val="0"/>
          <w:numId w:val="88"/>
        </w:numPr>
        <w:ind w:left="1564" w:hanging="782"/>
        <w:jc w:val="both"/>
        <w:rPr>
          <w:rFonts w:eastAsiaTheme="majorEastAsia"/>
          <w:bCs/>
          <w:iCs/>
          <w:szCs w:val="19"/>
        </w:rPr>
      </w:pPr>
      <w:r w:rsidRPr="00A53B24">
        <w:rPr>
          <w:rFonts w:eastAsiaTheme="majorEastAsia"/>
          <w:bCs/>
          <w:iCs/>
          <w:szCs w:val="19"/>
        </w:rPr>
        <w:t>all other items for which the cash effects relate to investing or financing.</w:t>
      </w:r>
    </w:p>
    <w:p w14:paraId="6EF0F4D4" w14:textId="6C794A91" w:rsidR="00547816" w:rsidRPr="00155974" w:rsidRDefault="000913BB" w:rsidP="009764F3">
      <w:pPr>
        <w:spacing w:after="100"/>
        <w:ind w:left="1564" w:hanging="782"/>
        <w:rPr>
          <w:rFonts w:eastAsiaTheme="majorEastAsia"/>
          <w:b/>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w:t>
      </w:r>
      <w:r w:rsidR="00B739F5" w:rsidRPr="00155974">
        <w:rPr>
          <w:szCs w:val="19"/>
          <w:lang w:eastAsia="en-AU"/>
        </w:rPr>
        <w:t>8</w:t>
      </w:r>
      <w:r w:rsidRPr="00155974">
        <w:rPr>
          <w:szCs w:val="19"/>
          <w:lang w:eastAsia="en-AU"/>
        </w:rPr>
        <w:t>]</w:t>
      </w:r>
    </w:p>
    <w:p w14:paraId="0640C18E" w14:textId="7E6E2C7F" w:rsidR="00F42DB6" w:rsidRPr="00155974" w:rsidRDefault="00F42DB6" w:rsidP="000E61D3">
      <w:pPr>
        <w:pStyle w:val="NumPlain1"/>
        <w:numPr>
          <w:ilvl w:val="0"/>
          <w:numId w:val="84"/>
        </w:numPr>
        <w:ind w:left="782" w:hanging="782"/>
        <w:rPr>
          <w:rFonts w:ascii="Arial" w:eastAsiaTheme="majorEastAsia" w:hAnsi="Arial" w:cs="Arial"/>
          <w:b/>
          <w:bCs/>
          <w:iCs/>
          <w:sz w:val="20"/>
        </w:rPr>
      </w:pPr>
      <w:bookmarkStart w:id="51" w:name="_Ref35359094"/>
      <w:r w:rsidRPr="00155974">
        <w:t>Alternatively, the net cash flow from operating activities may be presented under the indirect method by showing the revenues and expenses disclosed in the statement of comprehensive income and the changes during the period in inventories and operating receivables and payables.</w:t>
      </w:r>
      <w:bookmarkEnd w:id="51"/>
    </w:p>
    <w:p w14:paraId="7D4E2313" w14:textId="77777777" w:rsidR="00F42DB6" w:rsidRPr="00155974" w:rsidRDefault="00F42DB6" w:rsidP="009D1705">
      <w:pPr>
        <w:keepNext/>
        <w:spacing w:after="100"/>
        <w:ind w:left="1564" w:hanging="782"/>
        <w:rPr>
          <w:rFonts w:ascii="Arial" w:eastAsiaTheme="majorEastAsia" w:hAnsi="Arial" w:cs="Arial"/>
          <w:i/>
          <w:sz w:val="20"/>
        </w:rPr>
      </w:pPr>
      <w:r w:rsidRPr="00155974">
        <w:rPr>
          <w:rFonts w:ascii="Arial" w:eastAsiaTheme="majorEastAsia" w:hAnsi="Arial" w:cs="Arial"/>
          <w:i/>
          <w:sz w:val="20"/>
        </w:rPr>
        <w:t>Direct method</w:t>
      </w:r>
    </w:p>
    <w:p w14:paraId="39A47C79" w14:textId="63AE0EE7"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Under the direct method, net cash flow from operating activities is presented by disclosing information about major classes of gross cash receipts and gross cash payments. Such information may be obtained either:</w:t>
      </w:r>
    </w:p>
    <w:p w14:paraId="76480F70" w14:textId="2B56F804" w:rsidR="00F42DB6" w:rsidRPr="00A53B24" w:rsidRDefault="00F42DB6" w:rsidP="000E61D3">
      <w:pPr>
        <w:pStyle w:val="ListParagraph"/>
        <w:numPr>
          <w:ilvl w:val="0"/>
          <w:numId w:val="89"/>
        </w:numPr>
        <w:ind w:left="1564" w:hanging="782"/>
        <w:jc w:val="both"/>
        <w:rPr>
          <w:rFonts w:eastAsiaTheme="majorEastAsia"/>
          <w:bCs/>
          <w:iCs/>
          <w:szCs w:val="19"/>
        </w:rPr>
      </w:pPr>
      <w:r w:rsidRPr="00A53B24">
        <w:rPr>
          <w:rFonts w:eastAsiaTheme="majorEastAsia"/>
          <w:bCs/>
          <w:iCs/>
          <w:szCs w:val="19"/>
        </w:rPr>
        <w:t>from the accounting records of the entity; or</w:t>
      </w:r>
    </w:p>
    <w:p w14:paraId="45852197" w14:textId="42757198" w:rsidR="00F42DB6" w:rsidRPr="00A53B24" w:rsidRDefault="00F42DB6" w:rsidP="000E61D3">
      <w:pPr>
        <w:pStyle w:val="ListParagraph"/>
        <w:numPr>
          <w:ilvl w:val="0"/>
          <w:numId w:val="89"/>
        </w:numPr>
        <w:ind w:left="1564" w:hanging="782"/>
        <w:jc w:val="both"/>
        <w:rPr>
          <w:rFonts w:eastAsiaTheme="majorEastAsia"/>
          <w:bCs/>
          <w:iCs/>
          <w:szCs w:val="19"/>
        </w:rPr>
      </w:pPr>
      <w:r w:rsidRPr="00A53B24">
        <w:rPr>
          <w:rFonts w:eastAsiaTheme="majorEastAsia"/>
          <w:bCs/>
          <w:iCs/>
          <w:szCs w:val="19"/>
        </w:rPr>
        <w:t>by adjusting sales, cost of sales and other items in the statement of comprehensive income (or the statement</w:t>
      </w:r>
      <w:r w:rsidR="00A41D34" w:rsidRPr="00A53B24">
        <w:rPr>
          <w:rFonts w:eastAsiaTheme="majorEastAsia"/>
          <w:bCs/>
          <w:iCs/>
          <w:szCs w:val="19"/>
        </w:rPr>
        <w:t xml:space="preserve"> of profit or loss</w:t>
      </w:r>
      <w:r w:rsidRPr="00A53B24">
        <w:rPr>
          <w:rFonts w:eastAsiaTheme="majorEastAsia"/>
          <w:bCs/>
          <w:iCs/>
          <w:szCs w:val="19"/>
        </w:rPr>
        <w:t>, if presented) for:</w:t>
      </w:r>
    </w:p>
    <w:p w14:paraId="1F6678E5" w14:textId="2E939A47" w:rsidR="00F42DB6" w:rsidRPr="008E00F6" w:rsidRDefault="00F42DB6" w:rsidP="000E61D3">
      <w:pPr>
        <w:pStyle w:val="ListParagraph"/>
        <w:numPr>
          <w:ilvl w:val="0"/>
          <w:numId w:val="90"/>
        </w:numPr>
        <w:ind w:left="2347" w:hanging="782"/>
        <w:jc w:val="both"/>
        <w:rPr>
          <w:rFonts w:eastAsiaTheme="majorEastAsia"/>
          <w:bCs/>
          <w:iCs/>
          <w:szCs w:val="19"/>
        </w:rPr>
      </w:pPr>
      <w:r w:rsidRPr="008E00F6">
        <w:rPr>
          <w:rFonts w:eastAsiaTheme="majorEastAsia"/>
          <w:bCs/>
          <w:iCs/>
          <w:szCs w:val="19"/>
        </w:rPr>
        <w:lastRenderedPageBreak/>
        <w:t>changes during the period in inventories and operating receivables and payables;</w:t>
      </w:r>
    </w:p>
    <w:p w14:paraId="3938B744" w14:textId="6F926943" w:rsidR="00F42DB6" w:rsidRPr="008E00F6" w:rsidRDefault="00F42DB6" w:rsidP="000E61D3">
      <w:pPr>
        <w:pStyle w:val="ListParagraph"/>
        <w:numPr>
          <w:ilvl w:val="0"/>
          <w:numId w:val="90"/>
        </w:numPr>
        <w:ind w:left="2347" w:hanging="782"/>
        <w:jc w:val="both"/>
        <w:rPr>
          <w:rFonts w:eastAsiaTheme="majorEastAsia"/>
          <w:bCs/>
          <w:iCs/>
          <w:szCs w:val="19"/>
        </w:rPr>
      </w:pPr>
      <w:r w:rsidRPr="008E00F6">
        <w:rPr>
          <w:rFonts w:eastAsiaTheme="majorEastAsia"/>
          <w:bCs/>
          <w:iCs/>
          <w:szCs w:val="19"/>
        </w:rPr>
        <w:t>other non-cash items; and</w:t>
      </w:r>
    </w:p>
    <w:p w14:paraId="02C519AF" w14:textId="5EDD1684" w:rsidR="00AB1EB3" w:rsidRPr="008E00F6" w:rsidRDefault="00F42DB6" w:rsidP="009D1705">
      <w:pPr>
        <w:pStyle w:val="ListParagraph"/>
        <w:keepNext/>
        <w:numPr>
          <w:ilvl w:val="0"/>
          <w:numId w:val="90"/>
        </w:numPr>
        <w:ind w:left="2347" w:hanging="782"/>
        <w:jc w:val="both"/>
        <w:rPr>
          <w:rFonts w:eastAsiaTheme="majorEastAsia"/>
          <w:bCs/>
          <w:iCs/>
          <w:szCs w:val="19"/>
        </w:rPr>
      </w:pPr>
      <w:r w:rsidRPr="008E00F6">
        <w:rPr>
          <w:rFonts w:eastAsiaTheme="majorEastAsia"/>
          <w:bCs/>
          <w:iCs/>
          <w:szCs w:val="19"/>
        </w:rPr>
        <w:t>other items for which the cash effects are investing or financing cash flows.</w:t>
      </w:r>
    </w:p>
    <w:p w14:paraId="3FC2F2B7" w14:textId="042E8042" w:rsidR="008064E4" w:rsidRPr="00155974" w:rsidRDefault="008064E4" w:rsidP="009764F3">
      <w:pPr>
        <w:spacing w:after="100"/>
        <w:ind w:left="1564" w:hanging="782"/>
        <w:rPr>
          <w:rFonts w:eastAsiaTheme="majorEastAsia"/>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w:t>
      </w:r>
      <w:r w:rsidR="00713288" w:rsidRPr="00155974">
        <w:rPr>
          <w:szCs w:val="19"/>
          <w:lang w:eastAsia="en-AU"/>
        </w:rPr>
        <w:t>9</w:t>
      </w:r>
      <w:r w:rsidRPr="00155974">
        <w:rPr>
          <w:szCs w:val="19"/>
          <w:lang w:eastAsia="en-AU"/>
        </w:rPr>
        <w:t>]</w:t>
      </w:r>
    </w:p>
    <w:p w14:paraId="352BA552" w14:textId="77777777" w:rsidR="00F42DB6" w:rsidRPr="00155974" w:rsidRDefault="00F42DB6" w:rsidP="00022B10">
      <w:pPr>
        <w:pStyle w:val="IASBSectionTitle3Ind"/>
        <w:rPr>
          <w:rFonts w:eastAsiaTheme="majorEastAsia"/>
        </w:rPr>
      </w:pPr>
      <w:r w:rsidRPr="00155974">
        <w:rPr>
          <w:rFonts w:eastAsiaTheme="majorEastAsia"/>
        </w:rPr>
        <w:t>Reporting cash flows from investing and financing activities</w:t>
      </w:r>
    </w:p>
    <w:p w14:paraId="66721AEC" w14:textId="06FB26E4"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present separately major classes of gross cash receipts and gross cash payments arising from investing and financing activities. The aggregate cash flows arising from acquisitions and from disposals of subsidiaries or other business units shall be presented separately and classified as investing activities.</w:t>
      </w:r>
      <w:r w:rsidR="004A25DE" w:rsidRPr="00155974">
        <w:rPr>
          <w:rFonts w:eastAsiaTheme="majorEastAsia"/>
        </w:rPr>
        <w:t xml:space="preserve"> </w:t>
      </w:r>
      <w:r w:rsidR="004A25DE" w:rsidRPr="00155974">
        <w:rPr>
          <w:lang w:eastAsia="en-AU"/>
        </w:rPr>
        <w:t>[</w:t>
      </w:r>
      <w:r w:rsidR="0058144C" w:rsidRPr="00155974">
        <w:rPr>
          <w:i/>
          <w:lang w:eastAsia="en-AU"/>
        </w:rPr>
        <w:t>IFRS for SMEs</w:t>
      </w:r>
      <w:r w:rsidR="004A25DE" w:rsidRPr="00155974">
        <w:rPr>
          <w:lang w:eastAsia="en-AU"/>
        </w:rPr>
        <w:t xml:space="preserve"> Standard paragraph 7.10]</w:t>
      </w:r>
    </w:p>
    <w:p w14:paraId="427FAB4C" w14:textId="54576890" w:rsidR="00F42DB6" w:rsidRPr="00155974" w:rsidRDefault="00F42DB6" w:rsidP="00022B10">
      <w:pPr>
        <w:pStyle w:val="IASBSectionTitle3Ind"/>
        <w:rPr>
          <w:rFonts w:eastAsiaTheme="majorEastAsia"/>
        </w:rPr>
      </w:pPr>
      <w:r w:rsidRPr="00155974">
        <w:rPr>
          <w:rFonts w:eastAsiaTheme="majorEastAsia"/>
        </w:rPr>
        <w:t>Reporting cash flows on a net basis</w:t>
      </w:r>
    </w:p>
    <w:p w14:paraId="36DB5B1A" w14:textId="34B475E4" w:rsidR="00F42DB6" w:rsidRPr="00155974" w:rsidRDefault="00F42DB6" w:rsidP="000E61D3">
      <w:pPr>
        <w:pStyle w:val="NumPlain1"/>
        <w:numPr>
          <w:ilvl w:val="0"/>
          <w:numId w:val="84"/>
        </w:numPr>
        <w:ind w:left="782" w:hanging="782"/>
        <w:rPr>
          <w:rFonts w:eastAsiaTheme="majorEastAsia"/>
        </w:rPr>
      </w:pPr>
      <w:bookmarkStart w:id="52" w:name="_Ref34593161"/>
      <w:r w:rsidRPr="00155974">
        <w:rPr>
          <w:rFonts w:eastAsiaTheme="majorEastAsia"/>
        </w:rPr>
        <w:t>Cash flows arising from the following operating, investing or financing activities may be reported on a net basis:</w:t>
      </w:r>
      <w:bookmarkEnd w:id="52"/>
    </w:p>
    <w:p w14:paraId="1842BBC8" w14:textId="6D723866" w:rsidR="00F42DB6" w:rsidRPr="00896DB1" w:rsidRDefault="00F42DB6" w:rsidP="000E61D3">
      <w:pPr>
        <w:pStyle w:val="ListParagraph"/>
        <w:numPr>
          <w:ilvl w:val="0"/>
          <w:numId w:val="91"/>
        </w:numPr>
        <w:ind w:left="1564" w:hanging="782"/>
        <w:jc w:val="both"/>
        <w:rPr>
          <w:rFonts w:eastAsiaTheme="majorEastAsia"/>
          <w:bCs/>
          <w:iCs/>
          <w:szCs w:val="19"/>
        </w:rPr>
      </w:pPr>
      <w:r w:rsidRPr="00896DB1">
        <w:rPr>
          <w:rFonts w:eastAsiaTheme="majorEastAsia"/>
          <w:bCs/>
          <w:iCs/>
          <w:szCs w:val="19"/>
        </w:rPr>
        <w:t>cash receipts and payments on behalf of customers when the cash flows reflect the activities of the customer rather than those of the entity; and</w:t>
      </w:r>
    </w:p>
    <w:p w14:paraId="532A9822" w14:textId="2D5C5F37" w:rsidR="00F42DB6" w:rsidRPr="00896DB1" w:rsidRDefault="00F42DB6" w:rsidP="000E61D3">
      <w:pPr>
        <w:pStyle w:val="ListParagraph"/>
        <w:numPr>
          <w:ilvl w:val="0"/>
          <w:numId w:val="91"/>
        </w:numPr>
        <w:ind w:left="1564" w:hanging="782"/>
        <w:jc w:val="both"/>
        <w:rPr>
          <w:rFonts w:eastAsiaTheme="majorEastAsia"/>
          <w:bCs/>
          <w:iCs/>
          <w:szCs w:val="19"/>
        </w:rPr>
      </w:pPr>
      <w:r w:rsidRPr="00896DB1">
        <w:rPr>
          <w:rFonts w:eastAsiaTheme="majorEastAsia"/>
          <w:bCs/>
          <w:iCs/>
          <w:szCs w:val="19"/>
        </w:rPr>
        <w:t>cash receipts and payments for items in which the turnover is quick, the amounts are large, and the maturities are short.</w:t>
      </w:r>
    </w:p>
    <w:p w14:paraId="241B3E33" w14:textId="4D1D9C82" w:rsidR="00F42DB6" w:rsidRPr="00155974" w:rsidRDefault="00F42DB6" w:rsidP="004B0ADC">
      <w:pPr>
        <w:pStyle w:val="NumPlain1"/>
        <w:keepNext/>
        <w:numPr>
          <w:ilvl w:val="0"/>
          <w:numId w:val="84"/>
        </w:numPr>
        <w:ind w:left="782" w:hanging="782"/>
        <w:rPr>
          <w:rFonts w:eastAsiaTheme="majorEastAsia"/>
        </w:rPr>
      </w:pPr>
      <w:r w:rsidRPr="00155974">
        <w:rPr>
          <w:rFonts w:eastAsiaTheme="majorEastAsia"/>
        </w:rPr>
        <w:t xml:space="preserve">Examples of cash receipts and payments referred to in paragraph </w:t>
      </w:r>
      <w:r w:rsidR="003726E3" w:rsidRPr="00155974">
        <w:rPr>
          <w:rFonts w:eastAsiaTheme="majorEastAsia"/>
        </w:rPr>
        <w:t>75</w:t>
      </w:r>
      <w:r w:rsidRPr="00155974">
        <w:rPr>
          <w:rFonts w:eastAsiaTheme="majorEastAsia"/>
        </w:rPr>
        <w:t>(a) are:</w:t>
      </w:r>
    </w:p>
    <w:p w14:paraId="442DE8F1" w14:textId="4BBD792D" w:rsidR="00F42DB6" w:rsidRPr="00896DB1" w:rsidRDefault="00F42DB6" w:rsidP="000E61D3">
      <w:pPr>
        <w:pStyle w:val="ListParagraph"/>
        <w:numPr>
          <w:ilvl w:val="0"/>
          <w:numId w:val="92"/>
        </w:numPr>
        <w:ind w:left="1564" w:hanging="782"/>
        <w:jc w:val="both"/>
        <w:rPr>
          <w:rFonts w:eastAsiaTheme="majorEastAsia"/>
        </w:rPr>
      </w:pPr>
      <w:r w:rsidRPr="00896DB1">
        <w:rPr>
          <w:rFonts w:eastAsiaTheme="majorEastAsia"/>
        </w:rPr>
        <w:t>the acceptance and repayment of demand deposits of a bank;</w:t>
      </w:r>
    </w:p>
    <w:p w14:paraId="304E4B28" w14:textId="3EDE9607" w:rsidR="00F42DB6" w:rsidRPr="00896DB1" w:rsidRDefault="00F42DB6" w:rsidP="000E61D3">
      <w:pPr>
        <w:pStyle w:val="ListParagraph"/>
        <w:numPr>
          <w:ilvl w:val="0"/>
          <w:numId w:val="92"/>
        </w:numPr>
        <w:ind w:left="1564" w:hanging="782"/>
        <w:jc w:val="both"/>
        <w:rPr>
          <w:rFonts w:eastAsiaTheme="majorEastAsia"/>
        </w:rPr>
      </w:pPr>
      <w:r w:rsidRPr="00896DB1">
        <w:rPr>
          <w:rFonts w:eastAsiaTheme="majorEastAsia"/>
        </w:rPr>
        <w:t>funds held for customers by an investment entity; and</w:t>
      </w:r>
    </w:p>
    <w:p w14:paraId="46A5FCB2" w14:textId="7C2E6CD8" w:rsidR="00F42DB6" w:rsidRPr="00896DB1" w:rsidRDefault="00F42DB6" w:rsidP="000E61D3">
      <w:pPr>
        <w:pStyle w:val="ListParagraph"/>
        <w:numPr>
          <w:ilvl w:val="0"/>
          <w:numId w:val="92"/>
        </w:numPr>
        <w:ind w:left="1564" w:hanging="782"/>
        <w:jc w:val="both"/>
        <w:rPr>
          <w:rFonts w:eastAsiaTheme="majorEastAsia"/>
        </w:rPr>
      </w:pPr>
      <w:r w:rsidRPr="00896DB1">
        <w:rPr>
          <w:rFonts w:eastAsiaTheme="majorEastAsia"/>
        </w:rPr>
        <w:t>rents collected on behalf of, and paid over to, the owners of properties.</w:t>
      </w:r>
    </w:p>
    <w:p w14:paraId="68DC1739" w14:textId="0BB51D8E"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 xml:space="preserve">Examples of cash receipts and payments referred to in paragraph </w:t>
      </w:r>
      <w:r w:rsidR="003726E3" w:rsidRPr="00155974">
        <w:rPr>
          <w:rFonts w:eastAsiaTheme="majorEastAsia"/>
          <w:bCs/>
          <w:iCs/>
          <w:szCs w:val="19"/>
        </w:rPr>
        <w:t>75</w:t>
      </w:r>
      <w:r w:rsidRPr="00155974">
        <w:rPr>
          <w:rFonts w:eastAsiaTheme="majorEastAsia"/>
        </w:rPr>
        <w:t>(b) are advances made for, and the repayment of:</w:t>
      </w:r>
    </w:p>
    <w:p w14:paraId="5E73C863" w14:textId="1290758B" w:rsidR="00F42DB6" w:rsidRPr="00155974" w:rsidRDefault="00F42DB6" w:rsidP="000E61D3">
      <w:pPr>
        <w:pStyle w:val="NumPlain1"/>
        <w:numPr>
          <w:ilvl w:val="0"/>
          <w:numId w:val="93"/>
        </w:numPr>
        <w:ind w:left="1564" w:hanging="782"/>
        <w:rPr>
          <w:rFonts w:eastAsiaTheme="majorEastAsia"/>
        </w:rPr>
      </w:pPr>
      <w:r w:rsidRPr="00155974">
        <w:rPr>
          <w:rFonts w:eastAsiaTheme="majorEastAsia"/>
        </w:rPr>
        <w:t>principal amounts relating to credit card customers;</w:t>
      </w:r>
    </w:p>
    <w:p w14:paraId="1ADB6046" w14:textId="751D2B4A" w:rsidR="00F42DB6" w:rsidRPr="00155974" w:rsidRDefault="00F42DB6" w:rsidP="000E61D3">
      <w:pPr>
        <w:pStyle w:val="NumPlain1"/>
        <w:numPr>
          <w:ilvl w:val="0"/>
          <w:numId w:val="93"/>
        </w:numPr>
        <w:ind w:left="1564" w:hanging="782"/>
        <w:rPr>
          <w:rFonts w:eastAsiaTheme="majorEastAsia"/>
        </w:rPr>
      </w:pPr>
      <w:r w:rsidRPr="00155974">
        <w:rPr>
          <w:rFonts w:eastAsiaTheme="majorEastAsia"/>
        </w:rPr>
        <w:t>the purchase and sale of investments; and</w:t>
      </w:r>
    </w:p>
    <w:p w14:paraId="6D091CE4" w14:textId="179E1EA4" w:rsidR="00F42DB6" w:rsidRPr="00155974" w:rsidRDefault="00F42DB6" w:rsidP="000E61D3">
      <w:pPr>
        <w:pStyle w:val="NumPlain1"/>
        <w:numPr>
          <w:ilvl w:val="0"/>
          <w:numId w:val="93"/>
        </w:numPr>
        <w:ind w:left="1564" w:hanging="782"/>
        <w:rPr>
          <w:rFonts w:eastAsiaTheme="majorEastAsia"/>
        </w:rPr>
      </w:pPr>
      <w:r w:rsidRPr="00155974">
        <w:rPr>
          <w:rFonts w:eastAsiaTheme="majorEastAsia"/>
        </w:rPr>
        <w:t>other short-term borrowings, for example, those which have a maturity period of three months or less.</w:t>
      </w:r>
    </w:p>
    <w:p w14:paraId="11A65144" w14:textId="3BBD109F" w:rsidR="00F42DB6" w:rsidRPr="00155974" w:rsidRDefault="00F42DB6" w:rsidP="000E61D3">
      <w:pPr>
        <w:pStyle w:val="NumPlain1"/>
        <w:numPr>
          <w:ilvl w:val="0"/>
          <w:numId w:val="84"/>
        </w:numPr>
        <w:ind w:left="782" w:hanging="782"/>
        <w:rPr>
          <w:rFonts w:eastAsiaTheme="majorEastAsia"/>
        </w:rPr>
      </w:pPr>
      <w:bookmarkStart w:id="53" w:name="_Ref35359184"/>
      <w:r w:rsidRPr="00155974">
        <w:rPr>
          <w:rFonts w:eastAsiaTheme="majorEastAsia"/>
        </w:rPr>
        <w:t>Cash flows arising from each of the following activities of a financial institution may be reported on a net basis:</w:t>
      </w:r>
      <w:bookmarkEnd w:id="53"/>
    </w:p>
    <w:p w14:paraId="348849B0" w14:textId="2C15A53D" w:rsidR="00F42DB6" w:rsidRPr="00155974" w:rsidRDefault="00F42DB6" w:rsidP="000E61D3">
      <w:pPr>
        <w:pStyle w:val="NumPlain1"/>
        <w:numPr>
          <w:ilvl w:val="0"/>
          <w:numId w:val="94"/>
        </w:numPr>
        <w:ind w:left="1564" w:hanging="782"/>
        <w:rPr>
          <w:rFonts w:eastAsiaTheme="majorEastAsia"/>
        </w:rPr>
      </w:pPr>
      <w:r w:rsidRPr="00155974">
        <w:rPr>
          <w:rFonts w:eastAsiaTheme="majorEastAsia"/>
        </w:rPr>
        <w:t>cash receipts and payments for the acceptance and repayment of deposits with a fixed maturity date;</w:t>
      </w:r>
    </w:p>
    <w:p w14:paraId="6B7FB050" w14:textId="5570E110" w:rsidR="00F42DB6" w:rsidRPr="00155974" w:rsidRDefault="00F42DB6" w:rsidP="000E61D3">
      <w:pPr>
        <w:pStyle w:val="NumPlain1"/>
        <w:numPr>
          <w:ilvl w:val="0"/>
          <w:numId w:val="94"/>
        </w:numPr>
        <w:ind w:left="1564" w:hanging="782"/>
        <w:rPr>
          <w:rFonts w:eastAsiaTheme="majorEastAsia"/>
        </w:rPr>
      </w:pPr>
      <w:r w:rsidRPr="00155974">
        <w:rPr>
          <w:rFonts w:eastAsiaTheme="majorEastAsia"/>
        </w:rPr>
        <w:t>the placement of deposits with and withdrawal of deposits from other financial institutions; and</w:t>
      </w:r>
    </w:p>
    <w:p w14:paraId="26B7DA4C" w14:textId="60D3F336" w:rsidR="00CA016E" w:rsidRDefault="00F42DB6" w:rsidP="009764F3">
      <w:pPr>
        <w:pStyle w:val="NumPlain1"/>
        <w:ind w:left="1564" w:hanging="782"/>
        <w:rPr>
          <w:rFonts w:eastAsiaTheme="majorEastAsia"/>
        </w:rPr>
      </w:pPr>
      <w:r w:rsidRPr="00155974">
        <w:rPr>
          <w:rFonts w:eastAsiaTheme="majorEastAsia"/>
        </w:rPr>
        <w:t>(c)</w:t>
      </w:r>
      <w:r w:rsidRPr="00155974">
        <w:rPr>
          <w:rFonts w:eastAsiaTheme="majorEastAsia"/>
        </w:rPr>
        <w:tab/>
        <w:t>cash advances and loans made to customers and the repayment of those advances and loans.</w:t>
      </w:r>
    </w:p>
    <w:p w14:paraId="235D6D4D" w14:textId="75AA70D7" w:rsidR="00F42DB6" w:rsidRPr="004758A5" w:rsidRDefault="00F42DB6" w:rsidP="00022B10">
      <w:pPr>
        <w:pStyle w:val="IASBSectionTitle3Ind"/>
        <w:rPr>
          <w:rFonts w:eastAsiaTheme="majorEastAsia"/>
        </w:rPr>
      </w:pPr>
      <w:r w:rsidRPr="004758A5">
        <w:rPr>
          <w:rFonts w:eastAsiaTheme="majorEastAsia"/>
        </w:rPr>
        <w:t>Foreign currency cash flows</w:t>
      </w:r>
    </w:p>
    <w:p w14:paraId="5236D639" w14:textId="6C0FB42B"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record cash flows arising from transactions in a foreign currency in the entity’s functional currency by applying to the foreign currency amount the exchange rate between the functional currency and the foreign currency at the date of the cash flow. Paragraph 40 in AASB 121 explains when an exchange rate that approximates the actual rate can be used.</w:t>
      </w:r>
      <w:r w:rsidR="00570844" w:rsidRPr="00155974">
        <w:rPr>
          <w:rFonts w:eastAsiaTheme="majorEastAsia"/>
        </w:rPr>
        <w:t xml:space="preserve"> </w:t>
      </w:r>
      <w:r w:rsidR="00570844" w:rsidRPr="00155974">
        <w:rPr>
          <w:lang w:eastAsia="en-AU"/>
        </w:rPr>
        <w:t>[</w:t>
      </w:r>
      <w:r w:rsidR="0058144C" w:rsidRPr="00155974">
        <w:rPr>
          <w:i/>
          <w:lang w:eastAsia="en-AU"/>
        </w:rPr>
        <w:t>IFRS for SMEs</w:t>
      </w:r>
      <w:r w:rsidR="00570844" w:rsidRPr="00155974">
        <w:rPr>
          <w:lang w:eastAsia="en-AU"/>
        </w:rPr>
        <w:t xml:space="preserve"> Standard paragraph 7.</w:t>
      </w:r>
      <w:r w:rsidR="00D130A8" w:rsidRPr="00155974">
        <w:rPr>
          <w:lang w:eastAsia="en-AU"/>
        </w:rPr>
        <w:t>11</w:t>
      </w:r>
      <w:r w:rsidR="00570844" w:rsidRPr="00155974">
        <w:rPr>
          <w:lang w:eastAsia="en-AU"/>
        </w:rPr>
        <w:t>]</w:t>
      </w:r>
    </w:p>
    <w:p w14:paraId="1CC52BD7" w14:textId="317FD06E" w:rsidR="00F42DB6" w:rsidRPr="00155974" w:rsidRDefault="00F42DB6" w:rsidP="000E61D3">
      <w:pPr>
        <w:pStyle w:val="NumPlain1"/>
        <w:numPr>
          <w:ilvl w:val="0"/>
          <w:numId w:val="84"/>
        </w:numPr>
        <w:ind w:left="782" w:hanging="782"/>
        <w:rPr>
          <w:rFonts w:eastAsiaTheme="majorEastAsia"/>
        </w:rPr>
      </w:pPr>
      <w:bookmarkStart w:id="54" w:name="_Ref35353311"/>
      <w:r w:rsidRPr="00155974">
        <w:rPr>
          <w:rFonts w:eastAsiaTheme="majorEastAsia"/>
        </w:rPr>
        <w:t>The entity shall translate cash flows of a foreign subsidiary at the exchange rates between the entity’s functional currency and the foreign currency at the dates of the cash flows.</w:t>
      </w:r>
      <w:r w:rsidR="00D130A8" w:rsidRPr="00155974">
        <w:rPr>
          <w:rFonts w:eastAsiaTheme="majorEastAsia"/>
        </w:rPr>
        <w:t xml:space="preserve"> </w:t>
      </w:r>
      <w:r w:rsidR="00D130A8" w:rsidRPr="00155974">
        <w:rPr>
          <w:lang w:eastAsia="en-AU"/>
        </w:rPr>
        <w:t>[</w:t>
      </w:r>
      <w:r w:rsidR="0058144C" w:rsidRPr="00155974">
        <w:rPr>
          <w:i/>
          <w:lang w:eastAsia="en-AU"/>
        </w:rPr>
        <w:t>IFRS for SMEs</w:t>
      </w:r>
      <w:r w:rsidR="00D130A8" w:rsidRPr="00155974">
        <w:rPr>
          <w:lang w:eastAsia="en-AU"/>
        </w:rPr>
        <w:t xml:space="preserve"> Standard paragraph 7.</w:t>
      </w:r>
      <w:r w:rsidR="008C3F97" w:rsidRPr="00155974">
        <w:rPr>
          <w:lang w:eastAsia="en-AU"/>
        </w:rPr>
        <w:t>12</w:t>
      </w:r>
      <w:r w:rsidR="00D130A8" w:rsidRPr="00155974">
        <w:rPr>
          <w:lang w:eastAsia="en-AU"/>
        </w:rPr>
        <w:t>]</w:t>
      </w:r>
      <w:bookmarkEnd w:id="54"/>
    </w:p>
    <w:p w14:paraId="532F967E" w14:textId="05499B0E"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Unrealised gains and losses arising from changes in foreign currency exchange rates are not cash flows. However, to reconcile cash and cash equivalents at the beginning and the end of the period, the effect of exchange rate changes on cash and cash equivalents held or due in a foreign currency must be presented in the statement of cash flows. Consequently, the entity shall remeasure cash and cash equivalents held during the reporting period (such as amounts of foreign currency held and foreign currency bank accounts) at period-end exchange rates. The entity shall present the resulting unrealised gain or loss separately from cash flows from operating, investing and financing activities.</w:t>
      </w:r>
      <w:r w:rsidR="008C3F97" w:rsidRPr="00155974">
        <w:rPr>
          <w:rFonts w:eastAsiaTheme="majorEastAsia"/>
        </w:rPr>
        <w:t xml:space="preserve"> </w:t>
      </w:r>
      <w:r w:rsidR="008C3F97" w:rsidRPr="00155974">
        <w:rPr>
          <w:lang w:eastAsia="en-AU"/>
        </w:rPr>
        <w:t>[</w:t>
      </w:r>
      <w:r w:rsidR="0058144C" w:rsidRPr="00155974">
        <w:rPr>
          <w:i/>
          <w:lang w:eastAsia="en-AU"/>
        </w:rPr>
        <w:t>IFRS for SMEs</w:t>
      </w:r>
      <w:r w:rsidR="008C3F97" w:rsidRPr="00155974">
        <w:rPr>
          <w:lang w:eastAsia="en-AU"/>
        </w:rPr>
        <w:t xml:space="preserve"> Standard paragraph 7.13]</w:t>
      </w:r>
    </w:p>
    <w:p w14:paraId="63AD533C" w14:textId="77777777" w:rsidR="00F42DB6" w:rsidRPr="00155974" w:rsidRDefault="00F42DB6" w:rsidP="00022B10">
      <w:pPr>
        <w:pStyle w:val="IASBSectionTitle3Ind"/>
        <w:rPr>
          <w:rFonts w:eastAsiaTheme="majorEastAsia"/>
        </w:rPr>
      </w:pPr>
      <w:r w:rsidRPr="00155974">
        <w:rPr>
          <w:rFonts w:eastAsiaTheme="majorEastAsia"/>
        </w:rPr>
        <w:lastRenderedPageBreak/>
        <w:t>Interest and dividends</w:t>
      </w:r>
    </w:p>
    <w:p w14:paraId="0B5F217B" w14:textId="73CE266C"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present separately cash flows from interest and dividends received and paid. The entity shall classify cash flows consistently from period to period as operating, investing or financing activities.</w:t>
      </w:r>
      <w:r w:rsidR="00E508BA" w:rsidRPr="00155974">
        <w:rPr>
          <w:rFonts w:eastAsiaTheme="majorEastAsia"/>
        </w:rPr>
        <w:t xml:space="preserve"> </w:t>
      </w:r>
      <w:r w:rsidR="00E508BA" w:rsidRPr="00155974">
        <w:rPr>
          <w:lang w:eastAsia="en-AU"/>
        </w:rPr>
        <w:t>[</w:t>
      </w:r>
      <w:r w:rsidR="0058144C" w:rsidRPr="00155974">
        <w:rPr>
          <w:i/>
          <w:lang w:eastAsia="en-AU"/>
        </w:rPr>
        <w:t>IFRS for SMEs</w:t>
      </w:r>
      <w:r w:rsidR="00E508BA" w:rsidRPr="00155974">
        <w:rPr>
          <w:lang w:eastAsia="en-AU"/>
        </w:rPr>
        <w:t xml:space="preserve"> Standard paragraph 7.14]</w:t>
      </w:r>
    </w:p>
    <w:p w14:paraId="5B9428C0" w14:textId="46A5023B"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may classify interest paid and interest and dividends received as operating cash flows because they are included in profit or loss. Alternatively, the entity may classify interest paid and interest and dividends received as financing cash flows and investing cash flows respectively, because they are costs of obtaining financial resources or returns on investments.</w:t>
      </w:r>
      <w:r w:rsidR="00E508BA" w:rsidRPr="00155974">
        <w:rPr>
          <w:rFonts w:eastAsiaTheme="majorEastAsia"/>
        </w:rPr>
        <w:t xml:space="preserve"> </w:t>
      </w:r>
      <w:r w:rsidR="00E508BA" w:rsidRPr="00155974">
        <w:rPr>
          <w:lang w:eastAsia="en-AU"/>
        </w:rPr>
        <w:t>[</w:t>
      </w:r>
      <w:r w:rsidR="0058144C" w:rsidRPr="00155974">
        <w:rPr>
          <w:i/>
          <w:lang w:eastAsia="en-AU"/>
        </w:rPr>
        <w:t>IFRS for SMEs</w:t>
      </w:r>
      <w:r w:rsidR="00E508BA" w:rsidRPr="00155974">
        <w:rPr>
          <w:lang w:eastAsia="en-AU"/>
        </w:rPr>
        <w:t xml:space="preserve"> Standard paragraph 7.15]</w:t>
      </w:r>
    </w:p>
    <w:p w14:paraId="5DEC2903" w14:textId="43537B28" w:rsidR="00F42DB6" w:rsidRPr="00155974" w:rsidRDefault="00F42DB6" w:rsidP="000E61D3">
      <w:pPr>
        <w:pStyle w:val="NumPlain1"/>
        <w:numPr>
          <w:ilvl w:val="0"/>
          <w:numId w:val="84"/>
        </w:numPr>
        <w:ind w:left="782" w:hanging="782"/>
        <w:rPr>
          <w:rFonts w:eastAsiaTheme="majorEastAsia"/>
        </w:rPr>
      </w:pPr>
      <w:bookmarkStart w:id="55" w:name="_Ref34593774"/>
      <w:r w:rsidRPr="00155974">
        <w:rPr>
          <w:rFonts w:eastAsiaTheme="majorEastAsia"/>
        </w:rPr>
        <w:t>An entity may classify dividends paid as a financing cash flow because they are a cost of obtaining financial resources. Alternatively, the entity may classify dividends paid as a component of cash flows from operating activities because they are paid out of operating cash flows.</w:t>
      </w:r>
      <w:r w:rsidR="00E508BA" w:rsidRPr="00155974">
        <w:rPr>
          <w:rFonts w:eastAsiaTheme="majorEastAsia"/>
        </w:rPr>
        <w:t xml:space="preserve"> </w:t>
      </w:r>
      <w:r w:rsidR="00E508BA" w:rsidRPr="00155974">
        <w:rPr>
          <w:lang w:eastAsia="en-AU"/>
        </w:rPr>
        <w:t>[</w:t>
      </w:r>
      <w:r w:rsidR="0058144C" w:rsidRPr="00155974">
        <w:rPr>
          <w:i/>
          <w:lang w:eastAsia="en-AU"/>
        </w:rPr>
        <w:t>IFRS for SMEs</w:t>
      </w:r>
      <w:r w:rsidR="00E508BA" w:rsidRPr="00155974">
        <w:rPr>
          <w:lang w:eastAsia="en-AU"/>
        </w:rPr>
        <w:t xml:space="preserve"> Standard paragraph 7.16]</w:t>
      </w:r>
      <w:bookmarkEnd w:id="55"/>
    </w:p>
    <w:p w14:paraId="47EE3B12" w14:textId="6F73183F" w:rsidR="00F42DB6" w:rsidRPr="00155974" w:rsidRDefault="00F42DB6" w:rsidP="00022B10">
      <w:pPr>
        <w:pStyle w:val="IASBSectionTitle3Ind"/>
        <w:rPr>
          <w:rFonts w:eastAsiaTheme="majorEastAsia"/>
          <w:bCs/>
          <w:iCs/>
          <w:sz w:val="20"/>
        </w:rPr>
      </w:pPr>
      <w:r w:rsidRPr="00022B10">
        <w:rPr>
          <w:rFonts w:eastAsiaTheme="majorEastAsia"/>
        </w:rPr>
        <w:t>Income</w:t>
      </w:r>
      <w:r w:rsidRPr="00155974">
        <w:rPr>
          <w:rFonts w:eastAsiaTheme="majorEastAsia"/>
          <w:bCs/>
          <w:iCs/>
          <w:sz w:val="20"/>
        </w:rPr>
        <w:t xml:space="preserve"> tax</w:t>
      </w:r>
    </w:p>
    <w:p w14:paraId="195CF95C" w14:textId="76021D4A"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present separately cash flows arising from income tax and shall classify them as cash flows from operating activities unless they can be specifically identified with financing and investing activities. When tax cash flows are allocated over more than one class of activity, the entity shall disclose the total amount of taxes paid.</w:t>
      </w:r>
      <w:r w:rsidR="00D8536F" w:rsidRPr="00155974">
        <w:rPr>
          <w:rFonts w:eastAsiaTheme="majorEastAsia"/>
        </w:rPr>
        <w:t xml:space="preserve"> </w:t>
      </w:r>
      <w:r w:rsidR="00D8536F" w:rsidRPr="00155974">
        <w:rPr>
          <w:lang w:eastAsia="en-AU"/>
        </w:rPr>
        <w:t>[</w:t>
      </w:r>
      <w:r w:rsidR="0058144C" w:rsidRPr="00155974">
        <w:rPr>
          <w:i/>
          <w:lang w:eastAsia="en-AU"/>
        </w:rPr>
        <w:t>IFRS for SMEs</w:t>
      </w:r>
      <w:r w:rsidR="00D8536F" w:rsidRPr="00155974">
        <w:rPr>
          <w:lang w:eastAsia="en-AU"/>
        </w:rPr>
        <w:t xml:space="preserve"> Standard paragraph 7.</w:t>
      </w:r>
      <w:r w:rsidR="00901733" w:rsidRPr="00155974">
        <w:rPr>
          <w:lang w:eastAsia="en-AU"/>
        </w:rPr>
        <w:t>17</w:t>
      </w:r>
      <w:r w:rsidR="00D8536F" w:rsidRPr="00155974">
        <w:rPr>
          <w:lang w:eastAsia="en-AU"/>
        </w:rPr>
        <w:t>]</w:t>
      </w:r>
    </w:p>
    <w:p w14:paraId="1ED6ED67" w14:textId="77777777" w:rsidR="00F42DB6" w:rsidRPr="00155974" w:rsidRDefault="00F42DB6" w:rsidP="00022B10">
      <w:pPr>
        <w:pStyle w:val="IASBSectionTitle3Ind"/>
        <w:rPr>
          <w:rFonts w:eastAsiaTheme="majorEastAsia"/>
        </w:rPr>
      </w:pPr>
      <w:r w:rsidRPr="00155974">
        <w:rPr>
          <w:rFonts w:eastAsiaTheme="majorEastAsia"/>
        </w:rPr>
        <w:t>Non-cash transactions</w:t>
      </w:r>
    </w:p>
    <w:p w14:paraId="365E5DFD" w14:textId="4A2AA57B"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exclude from the statement of cash flows investing and financing transactions that do not require the use of cash or cash equivalents. An entity shall disclose such transactions elsewhere in the financial statements in a way that provides all the relevant information about those investing and financing activities.</w:t>
      </w:r>
      <w:r w:rsidR="00F97258" w:rsidRPr="00155974">
        <w:rPr>
          <w:rFonts w:eastAsiaTheme="majorEastAsia"/>
        </w:rPr>
        <w:t xml:space="preserve"> </w:t>
      </w:r>
      <w:r w:rsidR="00F97258" w:rsidRPr="00155974">
        <w:rPr>
          <w:lang w:eastAsia="en-AU"/>
        </w:rPr>
        <w:t>[</w:t>
      </w:r>
      <w:r w:rsidR="0058144C" w:rsidRPr="00155974">
        <w:rPr>
          <w:i/>
          <w:lang w:eastAsia="en-AU"/>
        </w:rPr>
        <w:t>IFRS for SMEs</w:t>
      </w:r>
      <w:r w:rsidR="00F97258" w:rsidRPr="00155974">
        <w:rPr>
          <w:lang w:eastAsia="en-AU"/>
        </w:rPr>
        <w:t xml:space="preserve"> Standard paragraph 7.18]</w:t>
      </w:r>
    </w:p>
    <w:p w14:paraId="5D487705" w14:textId="4E55363A"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Many investing and financing activities do not have a direct impact on current cash flows even though they affect the capital and asset structure of an entity. The exclusion of non-cash transactions from the statement of cash flows is consistent with the objective of a statement of cash flows because these items do not involve cash flows in the current period. Examples of non-cash transactions are:</w:t>
      </w:r>
    </w:p>
    <w:p w14:paraId="400AD8ED" w14:textId="3E265B26" w:rsidR="00F42DB6" w:rsidRPr="00615143" w:rsidRDefault="00F42DB6" w:rsidP="000E61D3">
      <w:pPr>
        <w:pStyle w:val="ListParagraph"/>
        <w:numPr>
          <w:ilvl w:val="0"/>
          <w:numId w:val="95"/>
        </w:numPr>
        <w:ind w:left="1564" w:hanging="782"/>
        <w:jc w:val="both"/>
        <w:rPr>
          <w:rFonts w:eastAsiaTheme="majorEastAsia"/>
          <w:bCs/>
          <w:iCs/>
          <w:szCs w:val="19"/>
        </w:rPr>
      </w:pPr>
      <w:r w:rsidRPr="00615143">
        <w:rPr>
          <w:rFonts w:eastAsiaTheme="majorEastAsia"/>
          <w:bCs/>
          <w:iCs/>
          <w:szCs w:val="19"/>
        </w:rPr>
        <w:t>the acquisition of assets either by assuming directly related liabilities or by means of a lease;</w:t>
      </w:r>
    </w:p>
    <w:p w14:paraId="7B30DB54" w14:textId="6083964C" w:rsidR="00F42DB6" w:rsidRPr="00615143" w:rsidRDefault="00F42DB6" w:rsidP="000E61D3">
      <w:pPr>
        <w:pStyle w:val="ListParagraph"/>
        <w:numPr>
          <w:ilvl w:val="0"/>
          <w:numId w:val="95"/>
        </w:numPr>
        <w:ind w:left="1564" w:hanging="782"/>
        <w:jc w:val="both"/>
        <w:rPr>
          <w:rFonts w:eastAsiaTheme="majorEastAsia"/>
          <w:bCs/>
          <w:iCs/>
          <w:szCs w:val="19"/>
        </w:rPr>
      </w:pPr>
      <w:r w:rsidRPr="00615143">
        <w:rPr>
          <w:rFonts w:eastAsiaTheme="majorEastAsia"/>
          <w:bCs/>
          <w:iCs/>
          <w:szCs w:val="19"/>
        </w:rPr>
        <w:t>the acquisition of an entity by means of an equity issue; and</w:t>
      </w:r>
    </w:p>
    <w:p w14:paraId="1C5B208D" w14:textId="3329C51E" w:rsidR="00F42DB6" w:rsidRPr="00615143" w:rsidRDefault="00F42DB6" w:rsidP="009D1705">
      <w:pPr>
        <w:pStyle w:val="ListParagraph"/>
        <w:keepNext/>
        <w:numPr>
          <w:ilvl w:val="0"/>
          <w:numId w:val="95"/>
        </w:numPr>
        <w:ind w:left="1564" w:hanging="782"/>
        <w:jc w:val="both"/>
        <w:rPr>
          <w:rFonts w:eastAsiaTheme="majorEastAsia"/>
          <w:bCs/>
          <w:iCs/>
          <w:szCs w:val="19"/>
        </w:rPr>
      </w:pPr>
      <w:r w:rsidRPr="00615143">
        <w:rPr>
          <w:rFonts w:eastAsiaTheme="majorEastAsia"/>
          <w:bCs/>
          <w:iCs/>
          <w:szCs w:val="19"/>
        </w:rPr>
        <w:t>the conversion of debt to equity.</w:t>
      </w:r>
    </w:p>
    <w:p w14:paraId="01A875F6" w14:textId="611B346D" w:rsidR="00367FAA" w:rsidRPr="00155974" w:rsidRDefault="00367FAA" w:rsidP="009764F3">
      <w:pPr>
        <w:spacing w:after="100"/>
        <w:ind w:left="1564" w:hanging="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7.19]</w:t>
      </w:r>
    </w:p>
    <w:p w14:paraId="6EFC7E96" w14:textId="77777777" w:rsidR="00F42DB6" w:rsidRPr="00155974" w:rsidRDefault="00F42DB6" w:rsidP="00022B10">
      <w:pPr>
        <w:pStyle w:val="IASBSectionTitle3Ind"/>
        <w:rPr>
          <w:rFonts w:eastAsiaTheme="majorEastAsia"/>
        </w:rPr>
      </w:pPr>
      <w:r w:rsidRPr="00155974">
        <w:rPr>
          <w:rFonts w:eastAsiaTheme="majorEastAsia"/>
        </w:rPr>
        <w:t>Components of cash and cash equivalents</w:t>
      </w:r>
    </w:p>
    <w:p w14:paraId="679137A0" w14:textId="360E2C6F"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present the components of cash and cash equivalents and shall present a reconciliation of the amounts presented in the statement of cash flows to the equivalent items presented in the statement of financial position. However, an entity is not required to present this reconciliation if the amount of cash and cash equivalents presented in the statement of cash flows is identical to the amount similarly described in the statement of financial position.</w:t>
      </w:r>
      <w:r w:rsidR="00831AD7" w:rsidRPr="00155974">
        <w:rPr>
          <w:rFonts w:eastAsiaTheme="majorEastAsia"/>
        </w:rPr>
        <w:t xml:space="preserve"> </w:t>
      </w:r>
      <w:r w:rsidR="00831AD7" w:rsidRPr="00155974">
        <w:rPr>
          <w:lang w:eastAsia="en-AU"/>
        </w:rPr>
        <w:t>[IFRS for SMEs Standard paragraph 7.</w:t>
      </w:r>
      <w:r w:rsidR="0037455A" w:rsidRPr="00155974">
        <w:rPr>
          <w:lang w:eastAsia="en-AU"/>
        </w:rPr>
        <w:t>20</w:t>
      </w:r>
      <w:r w:rsidR="00831AD7" w:rsidRPr="00155974">
        <w:rPr>
          <w:lang w:eastAsia="en-AU"/>
        </w:rPr>
        <w:t>]</w:t>
      </w:r>
    </w:p>
    <w:p w14:paraId="490FEE22" w14:textId="2169FDE5" w:rsidR="00F42DB6" w:rsidRPr="00155974" w:rsidRDefault="00F42DB6" w:rsidP="00022B10">
      <w:pPr>
        <w:pStyle w:val="IASBSectionTitle3Ind"/>
        <w:rPr>
          <w:rFonts w:eastAsiaTheme="majorEastAsia"/>
        </w:rPr>
      </w:pPr>
      <w:r w:rsidRPr="00155974">
        <w:rPr>
          <w:rFonts w:eastAsiaTheme="majorEastAsia"/>
        </w:rPr>
        <w:t>Other disclosures</w:t>
      </w:r>
    </w:p>
    <w:p w14:paraId="032F759B" w14:textId="6BB72425"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disclose, together with a commentary by management, the amount of significant cash and cash equivalent balances held by the entity that are not available for use by the entity. Cash and cash equivalents held by an entity may not be available for use by the entity because of, among other reasons, foreign exchange controls or legal restrictions.</w:t>
      </w:r>
      <w:r w:rsidR="00382CEA" w:rsidRPr="00155974">
        <w:rPr>
          <w:rFonts w:eastAsiaTheme="majorEastAsia"/>
        </w:rPr>
        <w:t xml:space="preserve"> </w:t>
      </w:r>
      <w:r w:rsidR="00382CEA" w:rsidRPr="00155974">
        <w:rPr>
          <w:lang w:eastAsia="en-AU"/>
        </w:rPr>
        <w:t>[</w:t>
      </w:r>
      <w:r w:rsidR="0058144C" w:rsidRPr="00155974">
        <w:rPr>
          <w:i/>
          <w:lang w:eastAsia="en-AU"/>
        </w:rPr>
        <w:t>IFRS for SMEs</w:t>
      </w:r>
      <w:r w:rsidR="00382CEA" w:rsidRPr="00155974">
        <w:rPr>
          <w:lang w:eastAsia="en-AU"/>
        </w:rPr>
        <w:t xml:space="preserve"> Standard paragraph 7.21]</w:t>
      </w:r>
    </w:p>
    <w:p w14:paraId="22C492C8" w14:textId="77777777" w:rsidR="00F42DB6" w:rsidRPr="00155974" w:rsidRDefault="00F42DB6" w:rsidP="00022B10">
      <w:pPr>
        <w:pStyle w:val="IASBSectionTitle2Ind"/>
        <w:rPr>
          <w:rFonts w:eastAsiaTheme="majorEastAsia"/>
        </w:rPr>
      </w:pPr>
      <w:r w:rsidRPr="00155974">
        <w:rPr>
          <w:rFonts w:eastAsiaTheme="majorEastAsia"/>
        </w:rPr>
        <w:t>Notes to the Financial Statements</w:t>
      </w:r>
      <w:r w:rsidRPr="00155974">
        <w:rPr>
          <w:rStyle w:val="FootnoteReference"/>
          <w:rFonts w:eastAsiaTheme="majorEastAsia"/>
          <w:bCs/>
          <w:iCs/>
          <w:sz w:val="22"/>
        </w:rPr>
        <w:footnoteReference w:id="8"/>
      </w:r>
    </w:p>
    <w:p w14:paraId="6A3FB7DA" w14:textId="77777777" w:rsidR="00F42DB6" w:rsidRPr="00155974" w:rsidRDefault="00F42DB6" w:rsidP="00022B10">
      <w:pPr>
        <w:pStyle w:val="IASBSectionTitle3Ind"/>
        <w:rPr>
          <w:rFonts w:eastAsiaTheme="majorEastAsia"/>
        </w:rPr>
      </w:pPr>
      <w:r w:rsidRPr="00155974">
        <w:rPr>
          <w:rFonts w:eastAsiaTheme="majorEastAsia"/>
        </w:rPr>
        <w:t>Scope of this section</w:t>
      </w:r>
    </w:p>
    <w:p w14:paraId="297D250D" w14:textId="6BF28484" w:rsidR="00F42DB6" w:rsidRPr="00155974" w:rsidRDefault="00F42DB6" w:rsidP="000E61D3">
      <w:pPr>
        <w:pStyle w:val="NumPlain1"/>
        <w:numPr>
          <w:ilvl w:val="0"/>
          <w:numId w:val="84"/>
        </w:numPr>
        <w:ind w:left="782" w:hanging="782"/>
        <w:rPr>
          <w:lang w:eastAsia="en-AU"/>
        </w:rPr>
      </w:pPr>
      <w:bookmarkStart w:id="56" w:name="_Ref35357318"/>
      <w:r w:rsidRPr="00155974">
        <w:rPr>
          <w:lang w:eastAsia="en-AU"/>
        </w:rPr>
        <w:t xml:space="preserve">This section sets out the principles underlying information that is to be presented in the notes to the financial statements and how to present it. Notes contain information in addition to that presented in the statement of financial position, </w:t>
      </w:r>
      <w:r w:rsidR="002A3736" w:rsidRPr="00155974">
        <w:rPr>
          <w:lang w:eastAsia="en-AU"/>
        </w:rPr>
        <w:t xml:space="preserve">the statement of profit or loss </w:t>
      </w:r>
      <w:r w:rsidR="005226B9" w:rsidRPr="00155974">
        <w:rPr>
          <w:lang w:eastAsia="en-AU"/>
        </w:rPr>
        <w:t xml:space="preserve"> and other comprehensive income (if presented), </w:t>
      </w:r>
      <w:r w:rsidR="00393140" w:rsidRPr="00155974">
        <w:rPr>
          <w:lang w:eastAsia="en-AU"/>
        </w:rPr>
        <w:t xml:space="preserve">the statement </w:t>
      </w:r>
      <w:r w:rsidR="00393140" w:rsidRPr="00155974">
        <w:rPr>
          <w:lang w:eastAsia="en-AU"/>
        </w:rPr>
        <w:lastRenderedPageBreak/>
        <w:t xml:space="preserve">of profit or loss </w:t>
      </w:r>
      <w:r w:rsidR="008A0E9C" w:rsidRPr="00155974">
        <w:rPr>
          <w:lang w:eastAsia="en-AU"/>
        </w:rPr>
        <w:t xml:space="preserve">and </w:t>
      </w:r>
      <w:r w:rsidRPr="00155974">
        <w:rPr>
          <w:lang w:eastAsia="en-AU"/>
        </w:rPr>
        <w:t>the statement of comprehensive income (if presented), the combined statement of income and retained earnings (if presented), the statement of changes in equity (if presented) and the statement of cash flows. Notes provide narrative descriptions or disaggregations of items presented in those statements and information about items that do not qualify for recognition in those statements. In addition to the requirements of this section, nearly every other section of this Standard requires disclosures that are normally presented in the notes.</w:t>
      </w:r>
      <w:r w:rsidR="00A77208" w:rsidRPr="00155974">
        <w:rPr>
          <w:lang w:eastAsia="en-AU"/>
        </w:rPr>
        <w:t xml:space="preserve"> [</w:t>
      </w:r>
      <w:r w:rsidR="0058144C" w:rsidRPr="00155974">
        <w:rPr>
          <w:i/>
          <w:iCs/>
          <w:lang w:eastAsia="en-AU"/>
        </w:rPr>
        <w:t>IFRS for SMEs</w:t>
      </w:r>
      <w:r w:rsidR="00A77208" w:rsidRPr="00155974">
        <w:rPr>
          <w:lang w:eastAsia="en-AU"/>
        </w:rPr>
        <w:t xml:space="preserve"> Standard paragraph </w:t>
      </w:r>
      <w:r w:rsidR="00705697" w:rsidRPr="00155974">
        <w:rPr>
          <w:lang w:eastAsia="en-AU"/>
        </w:rPr>
        <w:t>8.1</w:t>
      </w:r>
      <w:r w:rsidR="00A77208" w:rsidRPr="00155974">
        <w:rPr>
          <w:lang w:eastAsia="en-AU"/>
        </w:rPr>
        <w:t>]</w:t>
      </w:r>
      <w:bookmarkEnd w:id="56"/>
    </w:p>
    <w:p w14:paraId="41032B0E" w14:textId="3478C6D8" w:rsidR="00F42DB6" w:rsidRPr="00155974" w:rsidRDefault="00F42DB6" w:rsidP="00022B10">
      <w:pPr>
        <w:pStyle w:val="IASBSectionTitle3Ind"/>
        <w:rPr>
          <w:rFonts w:eastAsiaTheme="majorEastAsia"/>
        </w:rPr>
      </w:pPr>
      <w:r w:rsidRPr="00155974">
        <w:rPr>
          <w:rFonts w:eastAsiaTheme="majorEastAsia"/>
        </w:rPr>
        <w:t xml:space="preserve">Structure of the </w:t>
      </w:r>
      <w:r w:rsidR="000F2133" w:rsidRPr="00155974">
        <w:rPr>
          <w:rFonts w:eastAsiaTheme="majorEastAsia"/>
        </w:rPr>
        <w:t>notes</w:t>
      </w:r>
    </w:p>
    <w:p w14:paraId="31978EEE" w14:textId="7A4E9E41" w:rsidR="00F42DB6" w:rsidRPr="00155974" w:rsidRDefault="00F42DB6" w:rsidP="004B0ADC">
      <w:pPr>
        <w:pStyle w:val="NumPlain1"/>
        <w:keepNext/>
        <w:numPr>
          <w:ilvl w:val="0"/>
          <w:numId w:val="84"/>
        </w:numPr>
        <w:ind w:left="782" w:hanging="782"/>
        <w:rPr>
          <w:lang w:eastAsia="en-AU"/>
        </w:rPr>
      </w:pPr>
      <w:bookmarkStart w:id="57" w:name="_Ref35360966"/>
      <w:r w:rsidRPr="00155974">
        <w:rPr>
          <w:lang w:eastAsia="en-AU"/>
        </w:rPr>
        <w:t>The notes shall:</w:t>
      </w:r>
      <w:bookmarkEnd w:id="57"/>
    </w:p>
    <w:p w14:paraId="1E5307F2" w14:textId="76BE2342" w:rsidR="00F42DB6" w:rsidRPr="00615143" w:rsidRDefault="00F42DB6" w:rsidP="000E61D3">
      <w:pPr>
        <w:pStyle w:val="ListParagraph"/>
        <w:numPr>
          <w:ilvl w:val="0"/>
          <w:numId w:val="96"/>
        </w:numPr>
        <w:ind w:left="1564" w:hanging="782"/>
        <w:jc w:val="both"/>
        <w:rPr>
          <w:szCs w:val="19"/>
          <w:lang w:eastAsia="en-AU"/>
        </w:rPr>
      </w:pPr>
      <w:r w:rsidRPr="00615143">
        <w:rPr>
          <w:szCs w:val="19"/>
          <w:lang w:eastAsia="en-AU"/>
        </w:rPr>
        <w:t xml:space="preserve">present information about the basis of preparation of the financial statements and the specific accounting policies used, in accordance with paragraphs </w:t>
      </w:r>
      <w:r w:rsidR="003726E3" w:rsidRPr="00615143">
        <w:rPr>
          <w:szCs w:val="19"/>
          <w:lang w:eastAsia="en-AU"/>
        </w:rPr>
        <w:t>95</w:t>
      </w:r>
      <w:r w:rsidRPr="00615143">
        <w:rPr>
          <w:szCs w:val="19"/>
          <w:lang w:eastAsia="en-AU"/>
        </w:rPr>
        <w:t>–</w:t>
      </w:r>
      <w:r w:rsidR="003726E3" w:rsidRPr="00615143">
        <w:rPr>
          <w:szCs w:val="19"/>
          <w:lang w:eastAsia="en-AU"/>
        </w:rPr>
        <w:t>97</w:t>
      </w:r>
      <w:r w:rsidRPr="00615143">
        <w:rPr>
          <w:szCs w:val="19"/>
          <w:lang w:eastAsia="en-AU"/>
        </w:rPr>
        <w:t>;</w:t>
      </w:r>
    </w:p>
    <w:p w14:paraId="72648D54" w14:textId="775B8958" w:rsidR="00F42DB6" w:rsidRPr="00615143" w:rsidRDefault="00F42DB6" w:rsidP="000E61D3">
      <w:pPr>
        <w:pStyle w:val="ListParagraph"/>
        <w:numPr>
          <w:ilvl w:val="0"/>
          <w:numId w:val="96"/>
        </w:numPr>
        <w:ind w:left="1564" w:hanging="782"/>
        <w:jc w:val="both"/>
        <w:rPr>
          <w:szCs w:val="19"/>
          <w:lang w:eastAsia="en-AU"/>
        </w:rPr>
      </w:pPr>
      <w:r w:rsidRPr="00615143">
        <w:rPr>
          <w:szCs w:val="19"/>
          <w:lang w:eastAsia="en-AU"/>
        </w:rPr>
        <w:t>disclose the information required by this Standard that is not presented elsewhere in the financial statements; and</w:t>
      </w:r>
    </w:p>
    <w:p w14:paraId="168EB51F" w14:textId="0DB0E43E" w:rsidR="00F42DB6" w:rsidRPr="00615143" w:rsidRDefault="00F42DB6" w:rsidP="009D1705">
      <w:pPr>
        <w:pStyle w:val="ListParagraph"/>
        <w:keepNext/>
        <w:numPr>
          <w:ilvl w:val="0"/>
          <w:numId w:val="96"/>
        </w:numPr>
        <w:ind w:left="1564" w:hanging="782"/>
        <w:jc w:val="both"/>
        <w:rPr>
          <w:szCs w:val="19"/>
          <w:lang w:eastAsia="en-AU"/>
        </w:rPr>
      </w:pPr>
      <w:r w:rsidRPr="00615143">
        <w:rPr>
          <w:szCs w:val="19"/>
          <w:lang w:eastAsia="en-AU"/>
        </w:rPr>
        <w:t>provide information that is not presented elsewhere in the financial statements but is relevant to an understanding of any of them.</w:t>
      </w:r>
    </w:p>
    <w:p w14:paraId="6FC186EA" w14:textId="16FC161B" w:rsidR="00692685" w:rsidRPr="00155974" w:rsidRDefault="00692685" w:rsidP="009764F3">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8.2]</w:t>
      </w:r>
    </w:p>
    <w:p w14:paraId="7BC7256C" w14:textId="5FE8D8DB" w:rsidR="00F42DB6" w:rsidRPr="00155974" w:rsidRDefault="00F42DB6" w:rsidP="000E61D3">
      <w:pPr>
        <w:pStyle w:val="NumPlain1"/>
        <w:numPr>
          <w:ilvl w:val="0"/>
          <w:numId w:val="84"/>
        </w:numPr>
        <w:ind w:left="782" w:hanging="782"/>
        <w:rPr>
          <w:lang w:eastAsia="en-AU"/>
        </w:rPr>
      </w:pPr>
      <w:r w:rsidRPr="00155974">
        <w:rPr>
          <w:lang w:eastAsia="en-AU"/>
        </w:rPr>
        <w:t>An entity shall, as far as practicable, present the notes in a systematic manner. An entity shall cross-reference each item in the financial statements to any related information in the notes.</w:t>
      </w:r>
      <w:r w:rsidR="001F5C5F" w:rsidRPr="00155974">
        <w:rPr>
          <w:lang w:eastAsia="en-AU"/>
        </w:rPr>
        <w:t xml:space="preserve"> [</w:t>
      </w:r>
      <w:r w:rsidR="0058144C" w:rsidRPr="00155974">
        <w:rPr>
          <w:i/>
          <w:iCs/>
          <w:lang w:eastAsia="en-AU"/>
        </w:rPr>
        <w:t>IFRS for SMEs</w:t>
      </w:r>
      <w:r w:rsidR="001F5C5F" w:rsidRPr="00155974">
        <w:rPr>
          <w:lang w:eastAsia="en-AU"/>
        </w:rPr>
        <w:t xml:space="preserve"> Standard paragraph 8.3]</w:t>
      </w:r>
    </w:p>
    <w:p w14:paraId="21F3A529" w14:textId="7352FE94" w:rsidR="00F42DB6" w:rsidRPr="00155974" w:rsidRDefault="00F42DB6" w:rsidP="004B0ADC">
      <w:pPr>
        <w:pStyle w:val="NumPlain1"/>
        <w:keepNext/>
        <w:numPr>
          <w:ilvl w:val="0"/>
          <w:numId w:val="84"/>
        </w:numPr>
        <w:ind w:left="782" w:hanging="782"/>
      </w:pPr>
      <w:bookmarkStart w:id="58" w:name="_Ref35359623"/>
      <w:r w:rsidRPr="00155974">
        <w:t>Examples of systematic ordering or grouping of the notes include:</w:t>
      </w:r>
      <w:bookmarkEnd w:id="58"/>
      <w:r w:rsidRPr="00155974">
        <w:t xml:space="preserve"> </w:t>
      </w:r>
    </w:p>
    <w:p w14:paraId="1B13D25D" w14:textId="2873ED01" w:rsidR="00F42DB6" w:rsidRPr="00155974" w:rsidRDefault="00F42DB6" w:rsidP="000E61D3">
      <w:pPr>
        <w:pStyle w:val="ListParagraph"/>
        <w:numPr>
          <w:ilvl w:val="0"/>
          <w:numId w:val="97"/>
        </w:numPr>
        <w:ind w:left="1564" w:hanging="782"/>
        <w:jc w:val="both"/>
      </w:pPr>
      <w:r w:rsidRPr="00615143">
        <w:rPr>
          <w:szCs w:val="19"/>
          <w:lang w:eastAsia="en-AU"/>
        </w:rPr>
        <w:t>giving</w:t>
      </w:r>
      <w:r w:rsidRPr="00155974">
        <w:t xml:space="preserve"> </w:t>
      </w:r>
      <w:r w:rsidRPr="00615143">
        <w:rPr>
          <w:szCs w:val="19"/>
          <w:lang w:eastAsia="en-AU"/>
        </w:rPr>
        <w:t>prominence</w:t>
      </w:r>
      <w:r w:rsidRPr="00155974">
        <w:t xml:space="preserve"> to the areas of its activities that the entity considers to be most relevant to an understanding of its financial performance and financial position, such as grouping together information about particular operating activities; </w:t>
      </w:r>
    </w:p>
    <w:p w14:paraId="627A03AA" w14:textId="053F5A6F" w:rsidR="00F42DB6" w:rsidRPr="00155974" w:rsidRDefault="00F42DB6" w:rsidP="000E61D3">
      <w:pPr>
        <w:pStyle w:val="ListParagraph"/>
        <w:numPr>
          <w:ilvl w:val="0"/>
          <w:numId w:val="97"/>
        </w:numPr>
        <w:ind w:left="1564" w:hanging="782"/>
        <w:jc w:val="both"/>
      </w:pPr>
      <w:r w:rsidRPr="00155974">
        <w:t xml:space="preserve">grouping together information about items measured similarly such as assets measured at fair value; or </w:t>
      </w:r>
    </w:p>
    <w:p w14:paraId="7DEB6E57" w14:textId="593F7089" w:rsidR="00F42DB6" w:rsidRPr="00155974" w:rsidRDefault="00F42DB6" w:rsidP="000E61D3">
      <w:pPr>
        <w:pStyle w:val="ListParagraph"/>
        <w:numPr>
          <w:ilvl w:val="0"/>
          <w:numId w:val="97"/>
        </w:numPr>
        <w:ind w:left="1564" w:hanging="782"/>
        <w:jc w:val="both"/>
      </w:pPr>
      <w:r w:rsidRPr="00155974">
        <w:t xml:space="preserve">following the order of the line items in the statement(s) of profit or loss and other comprehensive income and the statement of financial position, such as: </w:t>
      </w:r>
    </w:p>
    <w:p w14:paraId="4BF4FACA" w14:textId="6331FEF4" w:rsidR="00F42DB6" w:rsidRPr="00615143" w:rsidRDefault="00F42DB6" w:rsidP="000E61D3">
      <w:pPr>
        <w:pStyle w:val="ListParagraph"/>
        <w:numPr>
          <w:ilvl w:val="0"/>
          <w:numId w:val="98"/>
        </w:numPr>
        <w:ind w:left="2347" w:hanging="782"/>
        <w:jc w:val="both"/>
        <w:outlineLvl w:val="4"/>
        <w:rPr>
          <w:rFonts w:eastAsiaTheme="majorEastAsia"/>
          <w:bCs/>
          <w:iCs/>
          <w:szCs w:val="19"/>
        </w:rPr>
      </w:pPr>
      <w:r w:rsidRPr="00615143">
        <w:rPr>
          <w:rFonts w:eastAsiaTheme="majorEastAsia"/>
          <w:bCs/>
          <w:iCs/>
          <w:szCs w:val="19"/>
        </w:rPr>
        <w:t xml:space="preserve">statement of compliance with Australian Accounting Standards – Simplified Disclosures (see paragraph </w:t>
      </w:r>
      <w:r w:rsidR="002B3193" w:rsidRPr="00615143">
        <w:rPr>
          <w:rFonts w:eastAsiaTheme="majorEastAsia"/>
          <w:bCs/>
          <w:iCs/>
          <w:szCs w:val="19"/>
        </w:rPr>
        <w:t>10</w:t>
      </w:r>
      <w:r w:rsidRPr="00615143">
        <w:rPr>
          <w:rFonts w:eastAsiaTheme="majorEastAsia"/>
          <w:bCs/>
          <w:iCs/>
          <w:szCs w:val="19"/>
        </w:rPr>
        <w:t xml:space="preserve">); </w:t>
      </w:r>
    </w:p>
    <w:p w14:paraId="1045E28A" w14:textId="100ECA1C" w:rsidR="00F42DB6" w:rsidRPr="00615143" w:rsidRDefault="00F42DB6" w:rsidP="000E61D3">
      <w:pPr>
        <w:pStyle w:val="ListParagraph"/>
        <w:numPr>
          <w:ilvl w:val="0"/>
          <w:numId w:val="98"/>
        </w:numPr>
        <w:ind w:left="2347" w:hanging="782"/>
        <w:jc w:val="both"/>
        <w:outlineLvl w:val="4"/>
        <w:rPr>
          <w:rFonts w:eastAsiaTheme="majorEastAsia"/>
          <w:bCs/>
          <w:iCs/>
          <w:szCs w:val="19"/>
        </w:rPr>
      </w:pPr>
      <w:r w:rsidRPr="00615143">
        <w:rPr>
          <w:rFonts w:eastAsiaTheme="majorEastAsia"/>
          <w:bCs/>
          <w:iCs/>
          <w:szCs w:val="19"/>
        </w:rPr>
        <w:t xml:space="preserve">significant accounting policies applied (see paragraph </w:t>
      </w:r>
      <w:r w:rsidR="003726E3" w:rsidRPr="00615143">
        <w:rPr>
          <w:szCs w:val="19"/>
          <w:lang w:eastAsia="en-AU"/>
        </w:rPr>
        <w:t>95</w:t>
      </w:r>
      <w:r w:rsidRPr="00615143">
        <w:rPr>
          <w:rFonts w:eastAsiaTheme="majorEastAsia"/>
          <w:bCs/>
          <w:iCs/>
          <w:szCs w:val="19"/>
        </w:rPr>
        <w:t xml:space="preserve">); </w:t>
      </w:r>
    </w:p>
    <w:p w14:paraId="641082BA" w14:textId="226C4421" w:rsidR="00F42DB6" w:rsidRPr="00155974" w:rsidRDefault="00F42DB6" w:rsidP="000E61D3">
      <w:pPr>
        <w:pStyle w:val="ListParagraph"/>
        <w:numPr>
          <w:ilvl w:val="0"/>
          <w:numId w:val="98"/>
        </w:numPr>
        <w:ind w:left="2347" w:hanging="782"/>
        <w:jc w:val="both"/>
        <w:outlineLvl w:val="4"/>
      </w:pPr>
      <w:r w:rsidRPr="00615143">
        <w:rPr>
          <w:rFonts w:eastAsiaTheme="majorEastAsia"/>
          <w:bCs/>
          <w:iCs/>
          <w:szCs w:val="19"/>
        </w:rPr>
        <w:t>supporting information for items presented in the statements of financial position and in the state</w:t>
      </w:r>
      <w:r w:rsidRPr="00155974">
        <w:t xml:space="preserve">ment(s) of profit or loss and other comprehensive income, and in the statements of changes in equity and of cash flows, in the order in which each statement and each line item is presented; and </w:t>
      </w:r>
    </w:p>
    <w:p w14:paraId="6873F50E" w14:textId="41AAEB59" w:rsidR="00F42DB6" w:rsidRPr="00155974" w:rsidRDefault="00F42DB6" w:rsidP="009D1705">
      <w:pPr>
        <w:pStyle w:val="ListParagraph"/>
        <w:keepNext/>
        <w:numPr>
          <w:ilvl w:val="0"/>
          <w:numId w:val="98"/>
        </w:numPr>
        <w:ind w:left="2347" w:hanging="782"/>
        <w:jc w:val="both"/>
        <w:outlineLvl w:val="4"/>
      </w:pPr>
      <w:r w:rsidRPr="00155974">
        <w:t xml:space="preserve">other disclosures, including: </w:t>
      </w:r>
    </w:p>
    <w:p w14:paraId="438D11F9" w14:textId="6BC70CE0" w:rsidR="00F42DB6" w:rsidRPr="00155974" w:rsidRDefault="00F42DB6" w:rsidP="000E61D3">
      <w:pPr>
        <w:pStyle w:val="ListParagraph"/>
        <w:numPr>
          <w:ilvl w:val="0"/>
          <w:numId w:val="99"/>
        </w:numPr>
        <w:ind w:left="3129" w:hanging="782"/>
        <w:jc w:val="both"/>
        <w:outlineLvl w:val="4"/>
      </w:pPr>
      <w:r w:rsidRPr="00155974">
        <w:t>contingent liabilities (see paragraph</w:t>
      </w:r>
      <w:r w:rsidR="002B3193" w:rsidRPr="00155974">
        <w:t xml:space="preserve"> 154</w:t>
      </w:r>
      <w:r w:rsidRPr="00155974">
        <w:t xml:space="preserve">) and unrecognised contractual commitments; and </w:t>
      </w:r>
    </w:p>
    <w:p w14:paraId="15F748EA" w14:textId="6B0BA045" w:rsidR="00F42DB6" w:rsidRPr="00155974" w:rsidRDefault="00F42DB6" w:rsidP="009D1705">
      <w:pPr>
        <w:pStyle w:val="ListParagraph"/>
        <w:keepNext/>
        <w:numPr>
          <w:ilvl w:val="0"/>
          <w:numId w:val="99"/>
        </w:numPr>
        <w:tabs>
          <w:tab w:val="left" w:pos="1056"/>
          <w:tab w:val="center" w:pos="2441"/>
        </w:tabs>
        <w:ind w:left="3129" w:hanging="782"/>
        <w:jc w:val="both"/>
      </w:pPr>
      <w:r w:rsidRPr="00155974">
        <w:t>non-financial disclosures.</w:t>
      </w:r>
    </w:p>
    <w:p w14:paraId="7A8E8573" w14:textId="02D43B9A" w:rsidR="004979F9" w:rsidRPr="00155974" w:rsidRDefault="004979F9" w:rsidP="009764F3">
      <w:pPr>
        <w:spacing w:after="100"/>
        <w:ind w:left="1564" w:hanging="782"/>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8.4]</w:t>
      </w:r>
    </w:p>
    <w:p w14:paraId="4AB4E91D" w14:textId="645005E2" w:rsidR="00F42DB6" w:rsidRPr="00155974" w:rsidRDefault="00F42DB6" w:rsidP="000E61D3">
      <w:pPr>
        <w:pStyle w:val="NumPlain1"/>
        <w:numPr>
          <w:ilvl w:val="0"/>
          <w:numId w:val="84"/>
        </w:numPr>
        <w:ind w:left="782" w:hanging="782"/>
        <w:rPr>
          <w:szCs w:val="19"/>
          <w:lang w:eastAsia="en-AU"/>
        </w:rPr>
      </w:pPr>
      <w:bookmarkStart w:id="59" w:name="_Ref34593882"/>
      <w:r w:rsidRPr="00155974">
        <w:t>An entity may present notes providing information about the basis of preparation of the financial statements and specific accounting policies as a separate section of the financial statements.</w:t>
      </w:r>
      <w:bookmarkEnd w:id="59"/>
    </w:p>
    <w:p w14:paraId="195FC88B" w14:textId="3D0651FC" w:rsidR="00F42DB6" w:rsidRPr="00155974" w:rsidRDefault="00F42DB6" w:rsidP="00022B10">
      <w:pPr>
        <w:pStyle w:val="IASBSectionTitle3Ind"/>
        <w:rPr>
          <w:rFonts w:eastAsiaTheme="majorEastAsia"/>
        </w:rPr>
      </w:pPr>
      <w:r w:rsidRPr="00155974">
        <w:rPr>
          <w:rFonts w:eastAsiaTheme="majorEastAsia"/>
        </w:rPr>
        <w:t>Disclosure of accounting policies</w:t>
      </w:r>
    </w:p>
    <w:p w14:paraId="0A9D2928" w14:textId="444830CE" w:rsidR="00F42DB6" w:rsidRPr="00155974" w:rsidRDefault="00F42DB6" w:rsidP="004B0ADC">
      <w:pPr>
        <w:pStyle w:val="NumPlain1"/>
        <w:keepNext/>
        <w:numPr>
          <w:ilvl w:val="0"/>
          <w:numId w:val="84"/>
        </w:numPr>
        <w:ind w:left="782" w:hanging="782"/>
        <w:rPr>
          <w:lang w:eastAsia="en-AU"/>
        </w:rPr>
      </w:pPr>
      <w:bookmarkStart w:id="60" w:name="_Ref34593909"/>
      <w:r w:rsidRPr="00155974">
        <w:rPr>
          <w:lang w:eastAsia="en-AU"/>
        </w:rPr>
        <w:t>An entity shall disclose the following in the significant accounting policies:</w:t>
      </w:r>
      <w:bookmarkEnd w:id="60"/>
    </w:p>
    <w:p w14:paraId="4A40A0E6" w14:textId="444859DD" w:rsidR="00F42DB6" w:rsidRPr="00356230" w:rsidRDefault="00F42DB6" w:rsidP="000E61D3">
      <w:pPr>
        <w:pStyle w:val="ListParagraph"/>
        <w:numPr>
          <w:ilvl w:val="0"/>
          <w:numId w:val="100"/>
        </w:numPr>
        <w:ind w:left="1564" w:hanging="782"/>
        <w:jc w:val="both"/>
        <w:rPr>
          <w:szCs w:val="19"/>
          <w:lang w:eastAsia="en-AU"/>
        </w:rPr>
      </w:pPr>
      <w:r w:rsidRPr="00356230">
        <w:rPr>
          <w:szCs w:val="19"/>
          <w:lang w:eastAsia="en-AU"/>
        </w:rPr>
        <w:t>the measurement basis (or bases) used in preparing the financial statements; and</w:t>
      </w:r>
    </w:p>
    <w:p w14:paraId="2C696854" w14:textId="592BC9B3" w:rsidR="00F42DB6" w:rsidRPr="00356230" w:rsidRDefault="00F42DB6" w:rsidP="009D1705">
      <w:pPr>
        <w:pStyle w:val="ListParagraph"/>
        <w:keepNext/>
        <w:numPr>
          <w:ilvl w:val="0"/>
          <w:numId w:val="100"/>
        </w:numPr>
        <w:ind w:left="1564" w:hanging="782"/>
        <w:jc w:val="both"/>
        <w:rPr>
          <w:szCs w:val="19"/>
          <w:lang w:eastAsia="en-AU"/>
        </w:rPr>
      </w:pPr>
      <w:r w:rsidRPr="00356230" w:rsidDel="002705B0">
        <w:rPr>
          <w:szCs w:val="19"/>
          <w:lang w:eastAsia="en-AU"/>
        </w:rPr>
        <w:tab/>
      </w:r>
      <w:r w:rsidRPr="00356230">
        <w:rPr>
          <w:szCs w:val="19"/>
          <w:lang w:eastAsia="en-AU"/>
        </w:rPr>
        <w:t>the other accounting policies used that are relevant to an understanding of the financial statements.</w:t>
      </w:r>
    </w:p>
    <w:p w14:paraId="193221C1" w14:textId="22FF47F5" w:rsidR="00045DE2" w:rsidRPr="00155974" w:rsidRDefault="00045DE2" w:rsidP="009764F3">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8.5]</w:t>
      </w:r>
    </w:p>
    <w:p w14:paraId="62D43103" w14:textId="77777777" w:rsidR="00F42DB6" w:rsidRPr="00155974" w:rsidRDefault="00F42DB6" w:rsidP="00022B10">
      <w:pPr>
        <w:pStyle w:val="IASBSectionTitle3Ind"/>
        <w:rPr>
          <w:rFonts w:eastAsiaTheme="majorEastAsia"/>
        </w:rPr>
      </w:pPr>
      <w:r w:rsidRPr="00155974">
        <w:rPr>
          <w:rFonts w:eastAsiaTheme="majorEastAsia"/>
        </w:rPr>
        <w:lastRenderedPageBreak/>
        <w:t>Information about judgements</w:t>
      </w:r>
    </w:p>
    <w:p w14:paraId="01691969" w14:textId="367840A6" w:rsidR="00F42DB6" w:rsidRPr="00155974" w:rsidRDefault="00F42DB6" w:rsidP="000E61D3">
      <w:pPr>
        <w:pStyle w:val="NumPlain1"/>
        <w:numPr>
          <w:ilvl w:val="0"/>
          <w:numId w:val="84"/>
        </w:numPr>
        <w:ind w:left="782" w:hanging="782"/>
        <w:rPr>
          <w:lang w:eastAsia="en-AU"/>
        </w:rPr>
      </w:pPr>
      <w:bookmarkStart w:id="61" w:name="_Ref35361619"/>
      <w:r w:rsidRPr="00155974">
        <w:rPr>
          <w:lang w:eastAsia="en-AU"/>
        </w:rPr>
        <w:t>An entity shall disclose, in the significant accounting policies or other notes, the judgements, apart from those involving estimations (see paragraph</w:t>
      </w:r>
      <w:r w:rsidR="00795214" w:rsidRPr="00155974">
        <w:rPr>
          <w:lang w:eastAsia="en-AU"/>
        </w:rPr>
        <w:t xml:space="preserve"> 97</w:t>
      </w:r>
      <w:r w:rsidRPr="00155974">
        <w:rPr>
          <w:lang w:eastAsia="en-AU"/>
        </w:rPr>
        <w:t>), that management has made in the process of applying the entity’s accounting policies and that have the most significant effect on the amounts recognised in the financial statements.</w:t>
      </w:r>
      <w:r w:rsidR="007A3718" w:rsidRPr="00155974">
        <w:rPr>
          <w:lang w:eastAsia="en-AU"/>
        </w:rPr>
        <w:t xml:space="preserve"> [</w:t>
      </w:r>
      <w:r w:rsidR="0058144C" w:rsidRPr="00155974">
        <w:rPr>
          <w:i/>
          <w:iCs/>
          <w:lang w:eastAsia="en-AU"/>
        </w:rPr>
        <w:t>IFRS for SMEs</w:t>
      </w:r>
      <w:r w:rsidR="007A3718" w:rsidRPr="00155974">
        <w:rPr>
          <w:lang w:eastAsia="en-AU"/>
        </w:rPr>
        <w:t xml:space="preserve"> Standard paragraph 8.6]</w:t>
      </w:r>
      <w:bookmarkEnd w:id="61"/>
    </w:p>
    <w:p w14:paraId="3800720A" w14:textId="77777777" w:rsidR="00F42DB6" w:rsidRPr="00155974" w:rsidRDefault="00F42DB6" w:rsidP="00022B10">
      <w:pPr>
        <w:pStyle w:val="IASBSectionTitle3Ind"/>
        <w:rPr>
          <w:rFonts w:eastAsiaTheme="majorEastAsia"/>
        </w:rPr>
      </w:pPr>
      <w:r w:rsidRPr="00155974">
        <w:rPr>
          <w:rFonts w:eastAsiaTheme="majorEastAsia"/>
        </w:rPr>
        <w:t>Information about key sources of estimation uncertainty</w:t>
      </w:r>
    </w:p>
    <w:p w14:paraId="0423B983" w14:textId="1C46A1DC" w:rsidR="00F42DB6" w:rsidRPr="00155974" w:rsidRDefault="00F42DB6" w:rsidP="000E61D3">
      <w:pPr>
        <w:pStyle w:val="NumPlain1"/>
        <w:numPr>
          <w:ilvl w:val="0"/>
          <w:numId w:val="84"/>
        </w:numPr>
        <w:ind w:left="782" w:hanging="782"/>
        <w:rPr>
          <w:lang w:eastAsia="en-AU"/>
        </w:rPr>
      </w:pPr>
      <w:bookmarkStart w:id="62" w:name="_Ref34593945"/>
      <w:r w:rsidRPr="00155974">
        <w:rPr>
          <w:lang w:eastAsia="en-AU"/>
        </w:rPr>
        <w:t>An entity shall disclose in the notes information about the key assumptions concerning the future, and other key sources of estimation uncertainty at the reporting date, that have a significant risk of causing a material adjustment to the carrying amounts of assets and liabilities within the next financial year. In respect of those assets and liabilities, the notes shall include details of:</w:t>
      </w:r>
      <w:bookmarkEnd w:id="62"/>
    </w:p>
    <w:p w14:paraId="6990874B" w14:textId="0AF09C98" w:rsidR="00F42DB6" w:rsidRPr="00762E35" w:rsidRDefault="00147EE3" w:rsidP="000E61D3">
      <w:pPr>
        <w:pStyle w:val="ListParagraph"/>
        <w:numPr>
          <w:ilvl w:val="0"/>
          <w:numId w:val="101"/>
        </w:numPr>
        <w:ind w:left="1564" w:hanging="782"/>
        <w:rPr>
          <w:szCs w:val="19"/>
          <w:lang w:eastAsia="en-AU"/>
        </w:rPr>
      </w:pPr>
      <w:r w:rsidRPr="00762E35">
        <w:rPr>
          <w:szCs w:val="19"/>
          <w:lang w:eastAsia="en-AU"/>
        </w:rPr>
        <w:tab/>
      </w:r>
      <w:r w:rsidR="00F42DB6" w:rsidRPr="00762E35">
        <w:rPr>
          <w:szCs w:val="19"/>
          <w:lang w:eastAsia="en-AU"/>
        </w:rPr>
        <w:t>their nature; and</w:t>
      </w:r>
    </w:p>
    <w:p w14:paraId="68A324A1" w14:textId="29C45E7D" w:rsidR="00F42DB6" w:rsidRPr="00762E35" w:rsidRDefault="00F42DB6" w:rsidP="009D1705">
      <w:pPr>
        <w:pStyle w:val="ListParagraph"/>
        <w:keepNext/>
        <w:numPr>
          <w:ilvl w:val="0"/>
          <w:numId w:val="101"/>
        </w:numPr>
        <w:ind w:left="1564" w:hanging="782"/>
        <w:jc w:val="both"/>
        <w:rPr>
          <w:szCs w:val="19"/>
          <w:lang w:eastAsia="en-AU"/>
        </w:rPr>
      </w:pPr>
      <w:r w:rsidRPr="00762E35">
        <w:rPr>
          <w:szCs w:val="19"/>
          <w:lang w:eastAsia="en-AU"/>
        </w:rPr>
        <w:t>their carrying amount as at the end of the reporting period.</w:t>
      </w:r>
    </w:p>
    <w:p w14:paraId="69D456A9" w14:textId="3333DC6C" w:rsidR="00AB3F0D" w:rsidRPr="00155974" w:rsidRDefault="00AB3F0D" w:rsidP="00147EE3">
      <w:pPr>
        <w:tabs>
          <w:tab w:val="left" w:pos="1056"/>
          <w:tab w:val="center" w:pos="2441"/>
        </w:tabs>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8.7]</w:t>
      </w:r>
    </w:p>
    <w:p w14:paraId="55C13344" w14:textId="0D99276F" w:rsidR="00F42DB6" w:rsidRPr="00155974" w:rsidRDefault="00F42DB6" w:rsidP="00022B10">
      <w:pPr>
        <w:pStyle w:val="IASBSectionTitle3Ind"/>
        <w:rPr>
          <w:rFonts w:eastAsiaTheme="majorEastAsia"/>
        </w:rPr>
      </w:pPr>
      <w:r w:rsidRPr="00155974">
        <w:rPr>
          <w:rFonts w:eastAsiaTheme="majorEastAsia"/>
        </w:rPr>
        <w:t>Audit fees</w:t>
      </w:r>
    </w:p>
    <w:p w14:paraId="6FD89E6D" w14:textId="629A725D" w:rsidR="00F42DB6" w:rsidRPr="00155974" w:rsidRDefault="00F42DB6" w:rsidP="004B0ADC">
      <w:pPr>
        <w:pStyle w:val="NumPlain1"/>
        <w:keepNext/>
        <w:numPr>
          <w:ilvl w:val="0"/>
          <w:numId w:val="84"/>
        </w:numPr>
        <w:ind w:left="782" w:hanging="782"/>
      </w:pPr>
      <w:bookmarkStart w:id="63" w:name="_Ref34594156"/>
      <w:r w:rsidRPr="00155974">
        <w:t>An</w:t>
      </w:r>
      <w:r w:rsidR="00CA016E" w:rsidRPr="00CA016E">
        <w:rPr>
          <w:rFonts w:ascii="Arial" w:hAnsi="Arial" w:cs="Arial"/>
          <w:bCs/>
          <w:sz w:val="22"/>
          <w:szCs w:val="22"/>
        </w:rPr>
        <w:t xml:space="preserve"> </w:t>
      </w:r>
      <w:r w:rsidRPr="00155974">
        <w:t>entity shall disclose fees to each auditor or reviewer, including any network firm, separately for:</w:t>
      </w:r>
      <w:bookmarkEnd w:id="63"/>
      <w:r w:rsidRPr="00155974">
        <w:t xml:space="preserve"> </w:t>
      </w:r>
    </w:p>
    <w:p w14:paraId="6442BCEC" w14:textId="6D699FAC" w:rsidR="00F42DB6" w:rsidRPr="00762E35" w:rsidRDefault="00F42DB6" w:rsidP="000E61D3">
      <w:pPr>
        <w:pStyle w:val="ListParagraph"/>
        <w:numPr>
          <w:ilvl w:val="0"/>
          <w:numId w:val="102"/>
        </w:numPr>
        <w:ind w:left="1564" w:hanging="782"/>
        <w:jc w:val="both"/>
        <w:rPr>
          <w:szCs w:val="19"/>
        </w:rPr>
      </w:pPr>
      <w:r w:rsidRPr="00762E35">
        <w:rPr>
          <w:szCs w:val="19"/>
        </w:rPr>
        <w:t xml:space="preserve">the audit or review of the financial statements; and </w:t>
      </w:r>
    </w:p>
    <w:p w14:paraId="6F56975A" w14:textId="081F8784" w:rsidR="00F42DB6" w:rsidRPr="00762E35" w:rsidRDefault="00F42DB6" w:rsidP="00DF28F9">
      <w:pPr>
        <w:pStyle w:val="ListParagraph"/>
        <w:numPr>
          <w:ilvl w:val="0"/>
          <w:numId w:val="102"/>
        </w:numPr>
        <w:ind w:left="1564" w:hanging="782"/>
        <w:jc w:val="both"/>
        <w:rPr>
          <w:szCs w:val="19"/>
        </w:rPr>
      </w:pPr>
      <w:r w:rsidRPr="00762E35">
        <w:rPr>
          <w:szCs w:val="19"/>
        </w:rPr>
        <w:t xml:space="preserve">all other services performed during the reporting period. </w:t>
      </w:r>
    </w:p>
    <w:p w14:paraId="67F94DEE" w14:textId="2744D1B8" w:rsidR="00F42DB6" w:rsidRPr="00155974" w:rsidRDefault="00F42DB6" w:rsidP="000E61D3">
      <w:pPr>
        <w:pStyle w:val="NumPlain1"/>
        <w:numPr>
          <w:ilvl w:val="0"/>
          <w:numId w:val="84"/>
        </w:numPr>
        <w:ind w:left="782" w:hanging="782"/>
      </w:pPr>
      <w:bookmarkStart w:id="64" w:name="_Ref35360722"/>
      <w:r w:rsidRPr="00155974">
        <w:t>For paragraph</w:t>
      </w:r>
      <w:r w:rsidR="00BB3D84" w:rsidRPr="00155974">
        <w:t xml:space="preserve"> </w:t>
      </w:r>
      <w:r w:rsidR="003726E3" w:rsidRPr="00155974">
        <w:t>98</w:t>
      </w:r>
      <w:r w:rsidRPr="00155974">
        <w:t>, an entity shall describe the nature of other services.</w:t>
      </w:r>
      <w:bookmarkEnd w:id="64"/>
    </w:p>
    <w:p w14:paraId="699239CD" w14:textId="0E798EE9" w:rsidR="00F70A08" w:rsidRPr="00155974" w:rsidRDefault="00F70A08" w:rsidP="00022B10">
      <w:pPr>
        <w:pStyle w:val="IASBSectionTitle3Ind"/>
        <w:rPr>
          <w:rFonts w:eastAsiaTheme="majorEastAsia"/>
        </w:rPr>
      </w:pPr>
      <w:r w:rsidRPr="00155974">
        <w:rPr>
          <w:rFonts w:eastAsiaTheme="majorEastAsia"/>
        </w:rPr>
        <w:t>Imputation credits</w:t>
      </w:r>
    </w:p>
    <w:p w14:paraId="29C051CE" w14:textId="10914C25" w:rsidR="00F70A08" w:rsidRPr="00155974" w:rsidRDefault="00F70A08" w:rsidP="000E61D3">
      <w:pPr>
        <w:pStyle w:val="NumPlain1"/>
        <w:numPr>
          <w:ilvl w:val="0"/>
          <w:numId w:val="84"/>
        </w:numPr>
        <w:ind w:left="782" w:hanging="782"/>
      </w:pPr>
      <w:bookmarkStart w:id="65" w:name="_Ref34734034"/>
      <w:r w:rsidRPr="00155974">
        <w:t xml:space="preserve">The term ‘imputation credits’ is used in paragraphs </w:t>
      </w:r>
      <w:r w:rsidR="00EA4C52" w:rsidRPr="00155974">
        <w:t>101</w:t>
      </w:r>
      <w:r w:rsidRPr="00155974">
        <w:t>-</w:t>
      </w:r>
      <w:r w:rsidR="008D1949" w:rsidRPr="00155974">
        <w:t>103</w:t>
      </w:r>
      <w:r w:rsidRPr="00155974">
        <w:t xml:space="preserve"> to also mean ‘franking credits’. The disclosures required by paragraphs </w:t>
      </w:r>
      <w:r w:rsidR="00EA4C52" w:rsidRPr="00155974">
        <w:t>101</w:t>
      </w:r>
      <w:r w:rsidR="00B65E42" w:rsidRPr="00155974">
        <w:t xml:space="preserve"> </w:t>
      </w:r>
      <w:r w:rsidRPr="00155974">
        <w:t xml:space="preserve">and </w:t>
      </w:r>
      <w:r w:rsidR="00B65E42" w:rsidRPr="00155974">
        <w:t>103</w:t>
      </w:r>
      <w:r w:rsidRPr="00155974">
        <w:t xml:space="preserve"> shall be made separately in respect of any New Zealand imputation credits and any Australian imputation credits.</w:t>
      </w:r>
      <w:bookmarkEnd w:id="65"/>
    </w:p>
    <w:p w14:paraId="520F07A1" w14:textId="61D204E7" w:rsidR="00F70A08" w:rsidRPr="00155974" w:rsidRDefault="00F70A08" w:rsidP="000E61D3">
      <w:pPr>
        <w:pStyle w:val="NumPlain1"/>
        <w:numPr>
          <w:ilvl w:val="0"/>
          <w:numId w:val="84"/>
        </w:numPr>
        <w:ind w:left="782" w:hanging="782"/>
      </w:pPr>
      <w:bookmarkStart w:id="66" w:name="_Ref34734149"/>
      <w:r w:rsidRPr="00155974">
        <w:t>An entity shall disclose the amount of imputation credits available for use in subsequent reporting periods.</w:t>
      </w:r>
      <w:bookmarkEnd w:id="66"/>
    </w:p>
    <w:p w14:paraId="25A48362" w14:textId="0FC9A3E4" w:rsidR="00F70A08" w:rsidRPr="00155974" w:rsidRDefault="00F70A08" w:rsidP="000E61D3">
      <w:pPr>
        <w:pStyle w:val="NumPlain1"/>
        <w:numPr>
          <w:ilvl w:val="0"/>
          <w:numId w:val="84"/>
        </w:numPr>
        <w:ind w:left="782" w:hanging="782"/>
      </w:pPr>
      <w:bookmarkStart w:id="67" w:name="_Ref34734046"/>
      <w:r w:rsidRPr="00155974">
        <w:t xml:space="preserve">For the purposes of determining the amount required to be disclosed in accordance with paragraph </w:t>
      </w:r>
      <w:r w:rsidR="000E216C" w:rsidRPr="00155974">
        <w:t>101</w:t>
      </w:r>
      <w:r w:rsidRPr="00155974">
        <w:t>, entities may have:</w:t>
      </w:r>
      <w:bookmarkEnd w:id="67"/>
    </w:p>
    <w:p w14:paraId="3350FC8D" w14:textId="3C9E9A83" w:rsidR="00F70A08" w:rsidRPr="00762E35" w:rsidRDefault="00F70A08" w:rsidP="000E61D3">
      <w:pPr>
        <w:pStyle w:val="ListParagraph"/>
        <w:numPr>
          <w:ilvl w:val="0"/>
          <w:numId w:val="103"/>
        </w:numPr>
        <w:ind w:left="1564" w:hanging="782"/>
        <w:jc w:val="both"/>
        <w:rPr>
          <w:szCs w:val="19"/>
        </w:rPr>
      </w:pPr>
      <w:r w:rsidRPr="00762E35">
        <w:rPr>
          <w:szCs w:val="19"/>
        </w:rPr>
        <w:t>imputation credits that will arise from the payment of the amount of the provision for income tax;</w:t>
      </w:r>
    </w:p>
    <w:p w14:paraId="44F57EAB" w14:textId="2B9A58FA" w:rsidR="00F70A08" w:rsidRPr="00762E35" w:rsidRDefault="00F70A08" w:rsidP="000E61D3">
      <w:pPr>
        <w:pStyle w:val="ListParagraph"/>
        <w:numPr>
          <w:ilvl w:val="0"/>
          <w:numId w:val="103"/>
        </w:numPr>
        <w:ind w:left="1564" w:hanging="782"/>
        <w:jc w:val="both"/>
        <w:rPr>
          <w:szCs w:val="19"/>
        </w:rPr>
      </w:pPr>
      <w:r w:rsidRPr="00762E35">
        <w:rPr>
          <w:szCs w:val="19"/>
        </w:rPr>
        <w:t>imputation debits that will arise from the payment of dividends recognised as a liability at the reporting date; and</w:t>
      </w:r>
    </w:p>
    <w:p w14:paraId="190950F9" w14:textId="5B5429F0" w:rsidR="00F70A08" w:rsidRPr="00762E35" w:rsidRDefault="00F70A08" w:rsidP="000E61D3">
      <w:pPr>
        <w:pStyle w:val="ListParagraph"/>
        <w:numPr>
          <w:ilvl w:val="0"/>
          <w:numId w:val="103"/>
        </w:numPr>
        <w:ind w:left="1564" w:hanging="782"/>
        <w:jc w:val="both"/>
        <w:rPr>
          <w:szCs w:val="19"/>
        </w:rPr>
      </w:pPr>
      <w:r w:rsidRPr="00762E35">
        <w:rPr>
          <w:szCs w:val="19"/>
        </w:rPr>
        <w:t>imputation credits that will arise from the receipt of dividends recognised as receivables at the reporting date.</w:t>
      </w:r>
    </w:p>
    <w:p w14:paraId="179FA5AA" w14:textId="14217D9B" w:rsidR="008373CE" w:rsidRPr="00155974" w:rsidRDefault="00F70A08" w:rsidP="000E61D3">
      <w:pPr>
        <w:pStyle w:val="NumPlain1"/>
        <w:numPr>
          <w:ilvl w:val="0"/>
          <w:numId w:val="84"/>
        </w:numPr>
        <w:ind w:left="782" w:hanging="782"/>
      </w:pPr>
      <w:bookmarkStart w:id="68" w:name="_Ref34734072"/>
      <w:r w:rsidRPr="00155974">
        <w:t>Where there are different classes of investors with different entitlements to imputation credits, disclosures shall be made about the nature of those entitlements for each class where this is relevant to an understanding of them.</w:t>
      </w:r>
      <w:bookmarkEnd w:id="68"/>
    </w:p>
    <w:p w14:paraId="568A1ABE" w14:textId="77777777" w:rsidR="00F42DB6" w:rsidRPr="00155974" w:rsidRDefault="00F42DB6" w:rsidP="00022B10">
      <w:pPr>
        <w:pStyle w:val="IASBSectionTitle2Ind"/>
        <w:rPr>
          <w:rFonts w:eastAsiaTheme="majorEastAsia"/>
        </w:rPr>
      </w:pPr>
      <w:r w:rsidRPr="00022B10">
        <w:rPr>
          <w:rFonts w:eastAsiaTheme="majorEastAsia"/>
        </w:rPr>
        <w:t>Consolidated</w:t>
      </w:r>
      <w:r w:rsidRPr="00155974">
        <w:rPr>
          <w:rFonts w:eastAsiaTheme="majorEastAsia"/>
        </w:rPr>
        <w:t xml:space="preserve"> and Separate Financial Statements</w:t>
      </w:r>
      <w:r w:rsidRPr="00155974">
        <w:rPr>
          <w:rStyle w:val="FootnoteReference"/>
          <w:rFonts w:eastAsiaTheme="majorEastAsia"/>
          <w:bCs/>
          <w:iCs/>
          <w:sz w:val="22"/>
        </w:rPr>
        <w:footnoteReference w:id="9"/>
      </w:r>
    </w:p>
    <w:p w14:paraId="0B30CBE9" w14:textId="77777777" w:rsidR="00F42DB6" w:rsidRPr="00155974" w:rsidRDefault="00F42DB6" w:rsidP="00022B10">
      <w:pPr>
        <w:pStyle w:val="IASBSectionTitle3Ind"/>
        <w:rPr>
          <w:rFonts w:eastAsiaTheme="majorEastAsia"/>
        </w:rPr>
      </w:pPr>
      <w:r w:rsidRPr="00155974">
        <w:rPr>
          <w:rFonts w:eastAsiaTheme="majorEastAsia"/>
        </w:rPr>
        <w:t>Disclosures in consolidated financial statements</w:t>
      </w:r>
    </w:p>
    <w:p w14:paraId="6A0B57CC" w14:textId="79E9998F" w:rsidR="00F42DB6" w:rsidRPr="00155974" w:rsidRDefault="00F42DB6" w:rsidP="00376917">
      <w:pPr>
        <w:pStyle w:val="NumPlain1"/>
        <w:keepNext/>
        <w:numPr>
          <w:ilvl w:val="0"/>
          <w:numId w:val="84"/>
        </w:numPr>
        <w:ind w:left="782" w:hanging="782"/>
        <w:rPr>
          <w:lang w:eastAsia="en-AU"/>
        </w:rPr>
      </w:pPr>
      <w:bookmarkStart w:id="69" w:name="_Ref35357354"/>
      <w:r w:rsidRPr="00155974">
        <w:rPr>
          <w:lang w:eastAsia="en-AU"/>
        </w:rPr>
        <w:t>The following disclosures shall be made in consolidated financial statements:</w:t>
      </w:r>
      <w:bookmarkEnd w:id="69"/>
    </w:p>
    <w:p w14:paraId="5034291D" w14:textId="46D9C217" w:rsidR="00F42DB6" w:rsidRPr="00762E35" w:rsidRDefault="00F42DB6" w:rsidP="000E61D3">
      <w:pPr>
        <w:pStyle w:val="ListParagraph"/>
        <w:numPr>
          <w:ilvl w:val="0"/>
          <w:numId w:val="104"/>
        </w:numPr>
        <w:ind w:left="1564" w:hanging="782"/>
        <w:jc w:val="both"/>
        <w:rPr>
          <w:szCs w:val="19"/>
          <w:lang w:eastAsia="en-AU"/>
        </w:rPr>
      </w:pPr>
      <w:r w:rsidRPr="00762E35">
        <w:rPr>
          <w:szCs w:val="19"/>
          <w:lang w:eastAsia="en-AU"/>
        </w:rPr>
        <w:t>the fact that the statements are consolidated financial statements;</w:t>
      </w:r>
    </w:p>
    <w:p w14:paraId="7C1A2EF9" w14:textId="2AF7C765" w:rsidR="00F42DB6" w:rsidRPr="00762E35" w:rsidRDefault="00F42DB6" w:rsidP="000E61D3">
      <w:pPr>
        <w:pStyle w:val="ListParagraph"/>
        <w:numPr>
          <w:ilvl w:val="0"/>
          <w:numId w:val="104"/>
        </w:numPr>
        <w:ind w:left="1564" w:hanging="782"/>
        <w:jc w:val="both"/>
        <w:rPr>
          <w:szCs w:val="19"/>
          <w:lang w:eastAsia="en-AU"/>
        </w:rPr>
      </w:pPr>
      <w:r w:rsidRPr="00762E35">
        <w:rPr>
          <w:szCs w:val="19"/>
          <w:lang w:eastAsia="en-AU"/>
        </w:rPr>
        <w:t>the basis for concluding that control exists when the parent does not own, directly or indirectly through subsidiaries, more than half of the voting power;</w:t>
      </w:r>
    </w:p>
    <w:p w14:paraId="138906D0" w14:textId="7EA93BC3" w:rsidR="00F42DB6" w:rsidRPr="00762E35" w:rsidRDefault="00F42DB6" w:rsidP="000E61D3">
      <w:pPr>
        <w:pStyle w:val="ListParagraph"/>
        <w:numPr>
          <w:ilvl w:val="0"/>
          <w:numId w:val="104"/>
        </w:numPr>
        <w:ind w:left="1564" w:hanging="782"/>
        <w:jc w:val="both"/>
        <w:rPr>
          <w:szCs w:val="19"/>
          <w:lang w:eastAsia="en-AU"/>
        </w:rPr>
      </w:pPr>
      <w:r w:rsidRPr="00762E35">
        <w:rPr>
          <w:szCs w:val="19"/>
          <w:lang w:eastAsia="en-AU"/>
        </w:rPr>
        <w:lastRenderedPageBreak/>
        <w:t>any difference in the reporting date of the financial statements of the parent and its subsidiaries used in the preparation of the consolidated financial statements; and</w:t>
      </w:r>
    </w:p>
    <w:p w14:paraId="0AD712E3" w14:textId="3D66B262" w:rsidR="00F42DB6" w:rsidRPr="00762E35" w:rsidRDefault="00F42DB6" w:rsidP="009D1705">
      <w:pPr>
        <w:pStyle w:val="ListParagraph"/>
        <w:keepNext/>
        <w:numPr>
          <w:ilvl w:val="0"/>
          <w:numId w:val="104"/>
        </w:numPr>
        <w:ind w:left="1564" w:hanging="782"/>
        <w:jc w:val="both"/>
        <w:rPr>
          <w:szCs w:val="19"/>
          <w:lang w:eastAsia="en-AU"/>
        </w:rPr>
      </w:pPr>
      <w:r w:rsidRPr="00762E35">
        <w:rPr>
          <w:szCs w:val="19"/>
          <w:lang w:eastAsia="en-AU"/>
        </w:rPr>
        <w:t>the nature and extent of any significant restrictions (for example resulting from borrowing arrangements or regulatory requirements) on the ability of subsidiaries to transfer funds to the parent in the form of cash dividends or to repay loans.</w:t>
      </w:r>
    </w:p>
    <w:p w14:paraId="555B7982" w14:textId="679BE03E" w:rsidR="004F0A7A" w:rsidRPr="00155974" w:rsidRDefault="004F0A7A" w:rsidP="009764F3">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9.23]</w:t>
      </w:r>
    </w:p>
    <w:p w14:paraId="23386F33" w14:textId="77777777" w:rsidR="00F42DB6" w:rsidRPr="00155974" w:rsidRDefault="00F42DB6" w:rsidP="00022B10">
      <w:pPr>
        <w:pStyle w:val="IASBSectionTitle3Ind"/>
        <w:rPr>
          <w:rFonts w:eastAsiaTheme="majorEastAsia"/>
        </w:rPr>
      </w:pPr>
      <w:r w:rsidRPr="00155974">
        <w:rPr>
          <w:rFonts w:eastAsiaTheme="majorEastAsia"/>
        </w:rPr>
        <w:t>Disclosures in separate financial statements</w:t>
      </w:r>
    </w:p>
    <w:p w14:paraId="470EBCB0" w14:textId="28D9D9B0" w:rsidR="00F42DB6" w:rsidRPr="00155974" w:rsidRDefault="00F42DB6" w:rsidP="000E61D3">
      <w:pPr>
        <w:pStyle w:val="NumPlain1"/>
        <w:numPr>
          <w:ilvl w:val="0"/>
          <w:numId w:val="84"/>
        </w:numPr>
        <w:ind w:left="782" w:hanging="782"/>
        <w:rPr>
          <w:lang w:eastAsia="en-AU"/>
        </w:rPr>
      </w:pPr>
      <w:bookmarkStart w:id="70" w:name="_Ref35357365"/>
      <w:r w:rsidRPr="00155974">
        <w:rPr>
          <w:lang w:eastAsia="en-AU"/>
        </w:rPr>
        <w:t>When a parent, an investor in an associate or a venturer with an interest in a joint venture prepares separate financial statements, those separate financial statements shall disclose:</w:t>
      </w:r>
      <w:bookmarkEnd w:id="70"/>
    </w:p>
    <w:p w14:paraId="1B697884" w14:textId="27D62DE6" w:rsidR="00F42DB6" w:rsidRPr="00221CB3" w:rsidRDefault="00F42DB6" w:rsidP="000E61D3">
      <w:pPr>
        <w:pStyle w:val="ListParagraph"/>
        <w:numPr>
          <w:ilvl w:val="0"/>
          <w:numId w:val="105"/>
        </w:numPr>
        <w:ind w:left="1564" w:hanging="782"/>
        <w:jc w:val="both"/>
        <w:rPr>
          <w:szCs w:val="19"/>
          <w:lang w:eastAsia="en-AU"/>
        </w:rPr>
      </w:pPr>
      <w:r w:rsidRPr="00221CB3">
        <w:rPr>
          <w:szCs w:val="19"/>
          <w:lang w:eastAsia="en-AU"/>
        </w:rPr>
        <w:t>that the statements are separate financial statements; and</w:t>
      </w:r>
    </w:p>
    <w:p w14:paraId="485CBC1A" w14:textId="5EAB914B" w:rsidR="00443ACC" w:rsidRPr="00221CB3" w:rsidRDefault="00F42DB6" w:rsidP="000E61D3">
      <w:pPr>
        <w:pStyle w:val="ListParagraph"/>
        <w:numPr>
          <w:ilvl w:val="0"/>
          <w:numId w:val="105"/>
        </w:numPr>
        <w:ind w:left="1564" w:hanging="782"/>
        <w:jc w:val="both"/>
        <w:rPr>
          <w:szCs w:val="19"/>
          <w:lang w:eastAsia="en-AU"/>
        </w:rPr>
      </w:pPr>
      <w:r w:rsidRPr="00221CB3">
        <w:rPr>
          <w:szCs w:val="19"/>
          <w:lang w:eastAsia="en-AU"/>
        </w:rPr>
        <w:t xml:space="preserve">a description of the methods used to account for the investments in subsidiaries, joint ventures and associates, </w:t>
      </w:r>
    </w:p>
    <w:p w14:paraId="36D75F82" w14:textId="77777777" w:rsidR="00FC0C82" w:rsidRDefault="00F42DB6" w:rsidP="00022B10">
      <w:pPr>
        <w:keepNext/>
        <w:spacing w:after="100"/>
        <w:ind w:left="782"/>
        <w:rPr>
          <w:szCs w:val="19"/>
          <w:lang w:eastAsia="en-AU"/>
        </w:rPr>
      </w:pPr>
      <w:r w:rsidRPr="00EC5ECF">
        <w:rPr>
          <w:szCs w:val="19"/>
          <w:lang w:eastAsia="en-AU"/>
        </w:rPr>
        <w:t>and shall identify the consolidated financial statements or other primary financial statements to which they relate.</w:t>
      </w:r>
    </w:p>
    <w:p w14:paraId="48ECBE0A" w14:textId="61F68F86" w:rsidR="007A1E76" w:rsidRPr="00155974" w:rsidRDefault="007A1E76" w:rsidP="00123F21">
      <w:pPr>
        <w:ind w:left="782"/>
        <w:rPr>
          <w:b/>
          <w:strike/>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9.27]</w:t>
      </w:r>
    </w:p>
    <w:p w14:paraId="21D8AFCC" w14:textId="77777777" w:rsidR="00F42DB6" w:rsidRPr="00155974" w:rsidRDefault="00F42DB6" w:rsidP="00022B10">
      <w:pPr>
        <w:pStyle w:val="IASBSectionTitle2Ind"/>
        <w:rPr>
          <w:rFonts w:eastAsiaTheme="majorEastAsia"/>
        </w:rPr>
      </w:pPr>
      <w:bookmarkStart w:id="71" w:name="AcctingPolicies"/>
      <w:r w:rsidRPr="00155974">
        <w:rPr>
          <w:rFonts w:eastAsiaTheme="majorEastAsia"/>
        </w:rPr>
        <w:t>Accounting Policies, Estimates and Errors</w:t>
      </w:r>
      <w:bookmarkEnd w:id="71"/>
      <w:r w:rsidRPr="00155974">
        <w:rPr>
          <w:rStyle w:val="FootnoteReference"/>
          <w:rFonts w:eastAsiaTheme="majorEastAsia"/>
          <w:bCs/>
          <w:iCs/>
          <w:sz w:val="22"/>
        </w:rPr>
        <w:footnoteReference w:id="10"/>
      </w:r>
    </w:p>
    <w:p w14:paraId="10DCED58" w14:textId="77777777" w:rsidR="00F42DB6" w:rsidRPr="00155974" w:rsidRDefault="00F42DB6" w:rsidP="00022B10">
      <w:pPr>
        <w:pStyle w:val="IASBSectionTitle3Ind"/>
        <w:rPr>
          <w:rFonts w:eastAsiaTheme="majorEastAsia"/>
        </w:rPr>
      </w:pPr>
      <w:r w:rsidRPr="00155974">
        <w:rPr>
          <w:rFonts w:eastAsiaTheme="majorEastAsia"/>
        </w:rPr>
        <w:t>Disclosure of a change in accounting policy</w:t>
      </w:r>
    </w:p>
    <w:p w14:paraId="068A0058" w14:textId="21219221" w:rsidR="00F42DB6" w:rsidRPr="00155974" w:rsidRDefault="00BC36EF" w:rsidP="000E61D3">
      <w:pPr>
        <w:pStyle w:val="NumPlain1"/>
        <w:numPr>
          <w:ilvl w:val="0"/>
          <w:numId w:val="84"/>
        </w:numPr>
        <w:ind w:left="782" w:hanging="782"/>
        <w:rPr>
          <w:lang w:eastAsia="en-AU"/>
        </w:rPr>
      </w:pPr>
      <w:bookmarkStart w:id="72" w:name="_Ref34649510"/>
      <w:r w:rsidRPr="00155974">
        <w:rPr>
          <w:lang w:eastAsia="en-AU"/>
        </w:rPr>
        <w:t>Subject to paragraph</w:t>
      </w:r>
      <w:r w:rsidR="0096398E" w:rsidRPr="00155974">
        <w:rPr>
          <w:lang w:eastAsia="en-AU"/>
        </w:rPr>
        <w:t xml:space="preserve"> </w:t>
      </w:r>
      <w:r w:rsidR="003726E3" w:rsidRPr="00155974">
        <w:rPr>
          <w:lang w:eastAsia="en-AU"/>
        </w:rPr>
        <w:t>107</w:t>
      </w:r>
      <w:r w:rsidRPr="00155974">
        <w:rPr>
          <w:lang w:eastAsia="en-AU"/>
        </w:rPr>
        <w:t xml:space="preserve">, </w:t>
      </w:r>
      <w:r w:rsidR="00DB0838" w:rsidRPr="00155974">
        <w:rPr>
          <w:lang w:eastAsia="en-AU"/>
        </w:rPr>
        <w:t xml:space="preserve">when </w:t>
      </w:r>
      <w:r w:rsidR="00F42DB6" w:rsidRPr="00155974">
        <w:rPr>
          <w:lang w:eastAsia="en-AU"/>
        </w:rPr>
        <w:t>initial application of an Australian Accounting Standard has an effect on the current period or any prior period, or might have an effect on future periods, an entity shall disclose the following:</w:t>
      </w:r>
      <w:bookmarkEnd w:id="72"/>
    </w:p>
    <w:p w14:paraId="2A969C3C" w14:textId="46B4F948" w:rsidR="00997B72" w:rsidRPr="00117A4B" w:rsidRDefault="00997B72" w:rsidP="000E61D3">
      <w:pPr>
        <w:pStyle w:val="ListParagraph"/>
        <w:numPr>
          <w:ilvl w:val="0"/>
          <w:numId w:val="106"/>
        </w:numPr>
        <w:ind w:left="1564" w:hanging="782"/>
        <w:jc w:val="both"/>
        <w:rPr>
          <w:rFonts w:eastAsiaTheme="majorEastAsia"/>
          <w:bCs/>
          <w:iCs/>
          <w:szCs w:val="19"/>
        </w:rPr>
      </w:pPr>
      <w:r w:rsidRPr="00117A4B">
        <w:rPr>
          <w:rFonts w:eastAsiaTheme="majorEastAsia"/>
          <w:bCs/>
          <w:iCs/>
          <w:szCs w:val="19"/>
        </w:rPr>
        <w:t>the nature of the change in accounting policy;</w:t>
      </w:r>
    </w:p>
    <w:p w14:paraId="6EF484D5" w14:textId="5DF2E8C5" w:rsidR="00997B72" w:rsidRPr="00117A4B" w:rsidRDefault="00997B72" w:rsidP="000E61D3">
      <w:pPr>
        <w:pStyle w:val="ListParagraph"/>
        <w:numPr>
          <w:ilvl w:val="0"/>
          <w:numId w:val="106"/>
        </w:numPr>
        <w:ind w:left="1564" w:hanging="782"/>
        <w:jc w:val="both"/>
        <w:rPr>
          <w:rFonts w:eastAsiaTheme="majorEastAsia"/>
          <w:bCs/>
          <w:iCs/>
          <w:szCs w:val="19"/>
        </w:rPr>
      </w:pPr>
      <w:r w:rsidRPr="00117A4B">
        <w:rPr>
          <w:rFonts w:eastAsiaTheme="majorEastAsia"/>
          <w:bCs/>
          <w:iCs/>
          <w:szCs w:val="19"/>
        </w:rPr>
        <w:t>for the current period and each prior period presented, to the extent practicable, the amount of the adjustment for each financial statement line item affected;</w:t>
      </w:r>
    </w:p>
    <w:p w14:paraId="3598D3D2" w14:textId="771EF57B" w:rsidR="00997B72" w:rsidRPr="00117A4B" w:rsidRDefault="00997B72" w:rsidP="000E61D3">
      <w:pPr>
        <w:pStyle w:val="ListParagraph"/>
        <w:numPr>
          <w:ilvl w:val="0"/>
          <w:numId w:val="106"/>
        </w:numPr>
        <w:ind w:left="1564" w:hanging="782"/>
        <w:jc w:val="both"/>
        <w:rPr>
          <w:rFonts w:eastAsiaTheme="majorEastAsia"/>
          <w:bCs/>
          <w:iCs/>
          <w:szCs w:val="19"/>
        </w:rPr>
      </w:pPr>
      <w:r w:rsidRPr="00117A4B">
        <w:rPr>
          <w:rFonts w:eastAsiaTheme="majorEastAsia"/>
          <w:bCs/>
          <w:iCs/>
          <w:szCs w:val="19"/>
        </w:rPr>
        <w:t>the amount of the adjustment relating to periods before those presented, to the extent practicable; and</w:t>
      </w:r>
    </w:p>
    <w:p w14:paraId="4302DD41" w14:textId="4CAFEE20" w:rsidR="00997B72" w:rsidRPr="00117A4B" w:rsidRDefault="00997B72" w:rsidP="009D1705">
      <w:pPr>
        <w:pStyle w:val="ListParagraph"/>
        <w:numPr>
          <w:ilvl w:val="0"/>
          <w:numId w:val="106"/>
        </w:numPr>
        <w:ind w:left="1564" w:hanging="782"/>
        <w:jc w:val="both"/>
        <w:rPr>
          <w:rFonts w:eastAsiaTheme="majorEastAsia"/>
          <w:bCs/>
          <w:iCs/>
          <w:szCs w:val="19"/>
        </w:rPr>
      </w:pPr>
      <w:r w:rsidRPr="00117A4B">
        <w:rPr>
          <w:rFonts w:eastAsiaTheme="majorEastAsia"/>
          <w:bCs/>
          <w:iCs/>
          <w:szCs w:val="19"/>
        </w:rPr>
        <w:t>an explanation if it is impracticable to determine the amounts to be disclosed in (b) or (c).</w:t>
      </w:r>
    </w:p>
    <w:p w14:paraId="5FEEE8C5" w14:textId="77777777" w:rsidR="00997B72" w:rsidRPr="00155974" w:rsidRDefault="00997B72" w:rsidP="009D1705">
      <w:pPr>
        <w:keepNext/>
        <w:spacing w:after="100"/>
        <w:ind w:left="782"/>
        <w:rPr>
          <w:rFonts w:eastAsiaTheme="majorEastAsia"/>
          <w:bCs/>
          <w:iCs/>
          <w:szCs w:val="19"/>
        </w:rPr>
      </w:pPr>
      <w:r w:rsidRPr="00155974">
        <w:rPr>
          <w:rFonts w:eastAsiaTheme="majorEastAsia"/>
          <w:bCs/>
          <w:iCs/>
          <w:szCs w:val="19"/>
        </w:rPr>
        <w:t>Financial statements of subsequent periods need not repeat these disclosures.</w:t>
      </w:r>
    </w:p>
    <w:p w14:paraId="6B64A574" w14:textId="4AED0230" w:rsidR="00997B72" w:rsidRPr="00155974" w:rsidRDefault="00997B72" w:rsidP="009764F3">
      <w:pPr>
        <w:spacing w:after="100"/>
        <w:ind w:left="782"/>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10.13]</w:t>
      </w:r>
    </w:p>
    <w:p w14:paraId="03CD60EB" w14:textId="188AFEA3" w:rsidR="00997B72" w:rsidRPr="004A5A12" w:rsidRDefault="00997B72" w:rsidP="000E61D3">
      <w:pPr>
        <w:pStyle w:val="NumPlain1"/>
        <w:numPr>
          <w:ilvl w:val="0"/>
          <w:numId w:val="84"/>
        </w:numPr>
        <w:ind w:left="782" w:hanging="782"/>
        <w:rPr>
          <w:lang w:eastAsia="en-AU"/>
        </w:rPr>
      </w:pPr>
      <w:bookmarkStart w:id="73" w:name="_Ref34649484"/>
      <w:r w:rsidRPr="00155974">
        <w:rPr>
          <w:rFonts w:eastAsiaTheme="majorEastAsia"/>
        </w:rPr>
        <w:t>Where an entity has selected a transition option under another Standard and there are specific transition disclosure requirements in that Standard, the entity shall apply the full transition disclosure requirements in that Standard instead of the requirements in paragraph</w:t>
      </w:r>
      <w:r w:rsidR="00C97BD6" w:rsidRPr="00155974">
        <w:rPr>
          <w:rFonts w:eastAsiaTheme="majorEastAsia"/>
        </w:rPr>
        <w:t xml:space="preserve"> </w:t>
      </w:r>
      <w:r w:rsidR="003726E3" w:rsidRPr="00155974">
        <w:rPr>
          <w:rFonts w:eastAsiaTheme="majorEastAsia"/>
        </w:rPr>
        <w:t>106</w:t>
      </w:r>
      <w:r w:rsidRPr="00155974">
        <w:rPr>
          <w:rFonts w:eastAsiaTheme="majorEastAsia"/>
        </w:rPr>
        <w:t>.</w:t>
      </w:r>
      <w:bookmarkEnd w:id="73"/>
    </w:p>
    <w:p w14:paraId="27577288" w14:textId="144F2535" w:rsidR="004A5A12" w:rsidRPr="00155974" w:rsidRDefault="004A5A12" w:rsidP="009764F3">
      <w:pPr>
        <w:pStyle w:val="NumPlain1"/>
        <w:ind w:left="782" w:hanging="782"/>
        <w:rPr>
          <w:lang w:eastAsia="en-AU"/>
        </w:rPr>
      </w:pPr>
      <w:r>
        <w:t>107A</w:t>
      </w:r>
      <w:r>
        <w:tab/>
        <w:t xml:space="preserve">In the reporting period in which an entity first applies AASB 2020-8 </w:t>
      </w:r>
      <w:r>
        <w:rPr>
          <w:i/>
          <w:iCs/>
        </w:rPr>
        <w:t>Amendments to Australian Accounting Standards – Interest Rate Benchmark Reform – Phase 2</w:t>
      </w:r>
      <w:r>
        <w:t>, the entity is not required to disclose the information that would otherwise be required by paragraph 106(b) in respect of the accounting policy changes made in applying AASB 2020-8.</w:t>
      </w:r>
    </w:p>
    <w:p w14:paraId="6F26A79C" w14:textId="335957EE"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When a voluntary change in accounting policy has an effect on the current period or any prior period, an entity shall disclose the following:</w:t>
      </w:r>
    </w:p>
    <w:p w14:paraId="38F90847" w14:textId="7FC2BE17" w:rsidR="00F42DB6" w:rsidRPr="00301F58" w:rsidRDefault="00F42DB6" w:rsidP="000E61D3">
      <w:pPr>
        <w:pStyle w:val="ListParagraph"/>
        <w:numPr>
          <w:ilvl w:val="0"/>
          <w:numId w:val="107"/>
        </w:numPr>
        <w:ind w:left="1564" w:hanging="782"/>
        <w:jc w:val="both"/>
        <w:rPr>
          <w:rFonts w:eastAsiaTheme="majorEastAsia"/>
          <w:bCs/>
          <w:iCs/>
          <w:szCs w:val="19"/>
        </w:rPr>
      </w:pPr>
      <w:r w:rsidRPr="00301F58">
        <w:rPr>
          <w:rFonts w:eastAsiaTheme="majorEastAsia"/>
          <w:bCs/>
          <w:iCs/>
          <w:szCs w:val="19"/>
        </w:rPr>
        <w:t>the nature of the change in accounting policy;</w:t>
      </w:r>
    </w:p>
    <w:p w14:paraId="44BF6854" w14:textId="3903F9F8" w:rsidR="00F42DB6" w:rsidRPr="00301F58" w:rsidRDefault="00F42DB6" w:rsidP="000E61D3">
      <w:pPr>
        <w:pStyle w:val="ListParagraph"/>
        <w:numPr>
          <w:ilvl w:val="0"/>
          <w:numId w:val="107"/>
        </w:numPr>
        <w:ind w:left="1564" w:hanging="782"/>
        <w:jc w:val="both"/>
        <w:rPr>
          <w:rFonts w:eastAsiaTheme="majorEastAsia"/>
          <w:bCs/>
          <w:iCs/>
          <w:szCs w:val="19"/>
        </w:rPr>
      </w:pPr>
      <w:r w:rsidRPr="00301F58">
        <w:rPr>
          <w:rFonts w:eastAsiaTheme="majorEastAsia"/>
          <w:bCs/>
          <w:iCs/>
          <w:szCs w:val="19"/>
        </w:rPr>
        <w:t>the reasons why applying the new accounting policy provides reliable and more relevant information;</w:t>
      </w:r>
    </w:p>
    <w:p w14:paraId="7E1244DD" w14:textId="63C9AE99" w:rsidR="00F42DB6" w:rsidRPr="00301F58" w:rsidRDefault="00F42DB6" w:rsidP="000E61D3">
      <w:pPr>
        <w:pStyle w:val="ListParagraph"/>
        <w:numPr>
          <w:ilvl w:val="0"/>
          <w:numId w:val="107"/>
        </w:numPr>
        <w:ind w:left="1564" w:hanging="782"/>
        <w:jc w:val="both"/>
        <w:rPr>
          <w:rFonts w:eastAsiaTheme="majorEastAsia"/>
          <w:bCs/>
          <w:iCs/>
          <w:szCs w:val="19"/>
        </w:rPr>
      </w:pPr>
      <w:r w:rsidRPr="00301F58">
        <w:rPr>
          <w:rFonts w:eastAsiaTheme="majorEastAsia"/>
          <w:bCs/>
          <w:iCs/>
          <w:szCs w:val="19"/>
        </w:rPr>
        <w:t>to the extent practicable, the amount of the adjustment for each financial statement line item affected, shown separately:</w:t>
      </w:r>
    </w:p>
    <w:p w14:paraId="1DE8D723" w14:textId="4B3C0178" w:rsidR="00F42DB6" w:rsidRPr="00301F58" w:rsidRDefault="00F42DB6" w:rsidP="000E61D3">
      <w:pPr>
        <w:pStyle w:val="ListParagraph"/>
        <w:numPr>
          <w:ilvl w:val="0"/>
          <w:numId w:val="108"/>
        </w:numPr>
        <w:ind w:left="2347" w:hanging="782"/>
        <w:jc w:val="both"/>
        <w:rPr>
          <w:rFonts w:eastAsiaTheme="majorEastAsia"/>
          <w:bCs/>
          <w:iCs/>
          <w:szCs w:val="19"/>
        </w:rPr>
      </w:pPr>
      <w:r w:rsidRPr="00301F58">
        <w:rPr>
          <w:rFonts w:eastAsiaTheme="majorEastAsia"/>
          <w:bCs/>
          <w:iCs/>
          <w:szCs w:val="19"/>
        </w:rPr>
        <w:t>for the current period;</w:t>
      </w:r>
    </w:p>
    <w:p w14:paraId="08920F24" w14:textId="581122EC" w:rsidR="00F42DB6" w:rsidRPr="00301F58" w:rsidRDefault="00F42DB6" w:rsidP="000E61D3">
      <w:pPr>
        <w:pStyle w:val="ListParagraph"/>
        <w:numPr>
          <w:ilvl w:val="0"/>
          <w:numId w:val="108"/>
        </w:numPr>
        <w:ind w:left="2347" w:hanging="782"/>
        <w:jc w:val="both"/>
        <w:rPr>
          <w:rFonts w:eastAsiaTheme="majorEastAsia"/>
          <w:bCs/>
          <w:iCs/>
          <w:szCs w:val="19"/>
        </w:rPr>
      </w:pPr>
      <w:r w:rsidRPr="00301F58">
        <w:rPr>
          <w:rFonts w:eastAsiaTheme="majorEastAsia"/>
          <w:bCs/>
          <w:iCs/>
          <w:szCs w:val="19"/>
        </w:rPr>
        <w:t>for each prior period presented; and</w:t>
      </w:r>
    </w:p>
    <w:p w14:paraId="665B9F1C" w14:textId="247598C5" w:rsidR="00F42DB6" w:rsidRPr="00301F58" w:rsidRDefault="00F42DB6" w:rsidP="000E61D3">
      <w:pPr>
        <w:pStyle w:val="ListParagraph"/>
        <w:numPr>
          <w:ilvl w:val="0"/>
          <w:numId w:val="108"/>
        </w:numPr>
        <w:ind w:left="2347" w:hanging="782"/>
        <w:jc w:val="both"/>
        <w:outlineLvl w:val="4"/>
        <w:rPr>
          <w:rFonts w:eastAsiaTheme="majorEastAsia"/>
          <w:bCs/>
          <w:iCs/>
          <w:szCs w:val="19"/>
        </w:rPr>
      </w:pPr>
      <w:r w:rsidRPr="00301F58">
        <w:rPr>
          <w:rFonts w:eastAsiaTheme="majorEastAsia"/>
          <w:bCs/>
          <w:iCs/>
          <w:szCs w:val="19"/>
        </w:rPr>
        <w:t>in the aggregate for periods before those presented</w:t>
      </w:r>
      <w:r w:rsidR="007B6737" w:rsidRPr="00301F58">
        <w:rPr>
          <w:rFonts w:eastAsiaTheme="majorEastAsia"/>
          <w:bCs/>
          <w:iCs/>
          <w:szCs w:val="19"/>
        </w:rPr>
        <w:t>; and</w:t>
      </w:r>
    </w:p>
    <w:p w14:paraId="63F3D680" w14:textId="4E7279A9" w:rsidR="00F42DB6" w:rsidRPr="00155974" w:rsidRDefault="00F42DB6" w:rsidP="000E61D3">
      <w:pPr>
        <w:pStyle w:val="ListParagraph"/>
        <w:numPr>
          <w:ilvl w:val="0"/>
          <w:numId w:val="107"/>
        </w:numPr>
        <w:ind w:left="1564" w:hanging="782"/>
        <w:jc w:val="both"/>
        <w:rPr>
          <w:rFonts w:eastAsiaTheme="majorEastAsia"/>
          <w:bCs/>
          <w:iCs/>
          <w:szCs w:val="19"/>
        </w:rPr>
      </w:pPr>
      <w:r w:rsidRPr="00301F58">
        <w:rPr>
          <w:rFonts w:eastAsiaTheme="majorEastAsia"/>
          <w:bCs/>
          <w:iCs/>
          <w:szCs w:val="19"/>
        </w:rPr>
        <w:lastRenderedPageBreak/>
        <w:tab/>
      </w:r>
      <w:r w:rsidRPr="00155974">
        <w:rPr>
          <w:rFonts w:eastAsiaTheme="majorEastAsia"/>
          <w:bCs/>
          <w:iCs/>
          <w:szCs w:val="19"/>
        </w:rPr>
        <w:t>an explanation if it is impracticable to determine the amounts to be disclosed in (c).</w:t>
      </w:r>
    </w:p>
    <w:p w14:paraId="1C78EAD5" w14:textId="026B8876" w:rsidR="00F42DB6" w:rsidRPr="00155974" w:rsidRDefault="00F42DB6" w:rsidP="009D1705">
      <w:pPr>
        <w:keepNext/>
        <w:spacing w:after="100"/>
        <w:ind w:left="782"/>
        <w:rPr>
          <w:rFonts w:eastAsiaTheme="majorEastAsia"/>
          <w:bCs/>
          <w:iCs/>
          <w:szCs w:val="19"/>
        </w:rPr>
      </w:pPr>
      <w:r w:rsidRPr="00155974">
        <w:rPr>
          <w:rFonts w:eastAsiaTheme="majorEastAsia"/>
          <w:bCs/>
          <w:iCs/>
          <w:szCs w:val="19"/>
        </w:rPr>
        <w:t>Financial statements of subsequent periods need not repeat these disclosures.</w:t>
      </w:r>
    </w:p>
    <w:p w14:paraId="725ED461" w14:textId="0179C49B" w:rsidR="0077745C" w:rsidRPr="00155974" w:rsidRDefault="0077745C" w:rsidP="009764F3">
      <w:pPr>
        <w:spacing w:after="100"/>
        <w:ind w:left="782"/>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10.14]</w:t>
      </w:r>
    </w:p>
    <w:p w14:paraId="65D5AA4B" w14:textId="77777777" w:rsidR="00F42DB6" w:rsidRPr="00155974" w:rsidRDefault="00F42DB6" w:rsidP="00022B10">
      <w:pPr>
        <w:pStyle w:val="IASBSectionTitle3Ind"/>
        <w:rPr>
          <w:rFonts w:eastAsiaTheme="majorEastAsia"/>
        </w:rPr>
      </w:pPr>
      <w:r w:rsidRPr="00155974">
        <w:rPr>
          <w:rFonts w:eastAsiaTheme="majorEastAsia"/>
        </w:rPr>
        <w:t>Disclosure of a change in estimate</w:t>
      </w:r>
    </w:p>
    <w:p w14:paraId="7279FF42" w14:textId="377827A1" w:rsidR="00506F33" w:rsidRPr="00155974" w:rsidRDefault="00F42DB6" w:rsidP="000E61D3">
      <w:pPr>
        <w:pStyle w:val="NumPlain1"/>
        <w:numPr>
          <w:ilvl w:val="0"/>
          <w:numId w:val="84"/>
        </w:numPr>
        <w:ind w:left="782" w:hanging="782"/>
        <w:rPr>
          <w:rFonts w:ascii="Arial" w:eastAsiaTheme="majorEastAsia" w:hAnsi="Arial" w:cs="Arial"/>
          <w:b/>
          <w:sz w:val="20"/>
        </w:rPr>
      </w:pPr>
      <w:r w:rsidRPr="00155974">
        <w:rPr>
          <w:rFonts w:eastAsiaTheme="majorEastAsia"/>
        </w:rPr>
        <w:t>An entity shall disclose the nature of any change in an accounting estimate and the effect of the change on assets, liabilities, income and expense for the current period. If it is practicable for the entity to estimate the effect of the change in one or more future periods, the entity shall disclose those estimates.</w:t>
      </w:r>
      <w:r w:rsidR="00911106" w:rsidRPr="00155974">
        <w:rPr>
          <w:rFonts w:eastAsiaTheme="majorEastAsia"/>
        </w:rPr>
        <w:t xml:space="preserve"> </w:t>
      </w:r>
      <w:r w:rsidR="00506F33" w:rsidRPr="00155974">
        <w:rPr>
          <w:lang w:eastAsia="en-AU"/>
        </w:rPr>
        <w:t>[</w:t>
      </w:r>
      <w:r w:rsidR="0058144C" w:rsidRPr="00155974">
        <w:rPr>
          <w:i/>
          <w:lang w:eastAsia="en-AU"/>
        </w:rPr>
        <w:t>IFRS for SMEs</w:t>
      </w:r>
      <w:r w:rsidR="00506F33" w:rsidRPr="00155974">
        <w:rPr>
          <w:lang w:eastAsia="en-AU"/>
        </w:rPr>
        <w:t xml:space="preserve"> Standard paragraph 10.18]</w:t>
      </w:r>
    </w:p>
    <w:p w14:paraId="135EA60D" w14:textId="6C2C915B" w:rsidR="00F42DB6" w:rsidRPr="00155974" w:rsidRDefault="00F42DB6" w:rsidP="00022B10">
      <w:pPr>
        <w:pStyle w:val="IASBSectionTitle3Ind"/>
        <w:rPr>
          <w:rFonts w:eastAsiaTheme="majorEastAsia"/>
        </w:rPr>
      </w:pPr>
      <w:r w:rsidRPr="00155974">
        <w:rPr>
          <w:rFonts w:eastAsiaTheme="majorEastAsia"/>
        </w:rPr>
        <w:t>Disclosure of prior period errors</w:t>
      </w:r>
    </w:p>
    <w:p w14:paraId="3114F16D" w14:textId="62F2ED29" w:rsidR="00F42DB6" w:rsidRPr="00155974" w:rsidRDefault="00F42DB6" w:rsidP="009D1705">
      <w:pPr>
        <w:pStyle w:val="NumPlain1"/>
        <w:keepNext/>
        <w:numPr>
          <w:ilvl w:val="0"/>
          <w:numId w:val="84"/>
        </w:numPr>
        <w:ind w:left="782" w:hanging="782"/>
        <w:rPr>
          <w:rFonts w:eastAsiaTheme="majorEastAsia"/>
        </w:rPr>
      </w:pPr>
      <w:r w:rsidRPr="00155974">
        <w:rPr>
          <w:rFonts w:eastAsiaTheme="majorEastAsia"/>
        </w:rPr>
        <w:t>An entity shall disclose the following about prior period errors:</w:t>
      </w:r>
    </w:p>
    <w:p w14:paraId="0B7EBEFD" w14:textId="605EC51D" w:rsidR="00F42DB6" w:rsidRPr="00FC0C82" w:rsidRDefault="00F42DB6" w:rsidP="000E61D3">
      <w:pPr>
        <w:pStyle w:val="ListParagraph"/>
        <w:numPr>
          <w:ilvl w:val="0"/>
          <w:numId w:val="109"/>
        </w:numPr>
        <w:ind w:left="1564" w:hanging="782"/>
        <w:jc w:val="both"/>
        <w:outlineLvl w:val="4"/>
        <w:rPr>
          <w:rFonts w:eastAsiaTheme="majorEastAsia"/>
          <w:bCs/>
          <w:iCs/>
          <w:szCs w:val="19"/>
        </w:rPr>
      </w:pPr>
      <w:r w:rsidRPr="00FC0C82">
        <w:rPr>
          <w:rFonts w:eastAsiaTheme="majorEastAsia"/>
          <w:bCs/>
          <w:iCs/>
          <w:szCs w:val="19"/>
        </w:rPr>
        <w:t>the nature of the prior period error;</w:t>
      </w:r>
    </w:p>
    <w:p w14:paraId="1871A1F7" w14:textId="2EBCD582" w:rsidR="00F42DB6" w:rsidRPr="00FC0C82" w:rsidRDefault="00F42DB6" w:rsidP="000E61D3">
      <w:pPr>
        <w:pStyle w:val="ListParagraph"/>
        <w:numPr>
          <w:ilvl w:val="0"/>
          <w:numId w:val="109"/>
        </w:numPr>
        <w:ind w:left="1564" w:hanging="782"/>
        <w:jc w:val="both"/>
        <w:outlineLvl w:val="4"/>
        <w:rPr>
          <w:rFonts w:eastAsiaTheme="majorEastAsia"/>
          <w:bCs/>
          <w:iCs/>
          <w:szCs w:val="19"/>
        </w:rPr>
      </w:pPr>
      <w:r w:rsidRPr="00FC0C82">
        <w:rPr>
          <w:rFonts w:eastAsiaTheme="majorEastAsia"/>
          <w:bCs/>
          <w:iCs/>
          <w:szCs w:val="19"/>
        </w:rPr>
        <w:t>for each prior period presented, to the extent practicable, the amount of the correction for each financial statement line item affected;</w:t>
      </w:r>
    </w:p>
    <w:p w14:paraId="5A5F4118" w14:textId="1D57AC41" w:rsidR="00F42DB6" w:rsidRPr="00FC0C82" w:rsidRDefault="00F42DB6" w:rsidP="000E61D3">
      <w:pPr>
        <w:pStyle w:val="ListParagraph"/>
        <w:numPr>
          <w:ilvl w:val="0"/>
          <w:numId w:val="109"/>
        </w:numPr>
        <w:ind w:left="1564" w:hanging="782"/>
        <w:jc w:val="both"/>
        <w:outlineLvl w:val="4"/>
        <w:rPr>
          <w:rFonts w:eastAsiaTheme="majorEastAsia"/>
          <w:bCs/>
          <w:iCs/>
          <w:szCs w:val="19"/>
        </w:rPr>
      </w:pPr>
      <w:r w:rsidRPr="00FC0C82">
        <w:rPr>
          <w:rFonts w:eastAsiaTheme="majorEastAsia"/>
          <w:bCs/>
          <w:iCs/>
          <w:szCs w:val="19"/>
        </w:rPr>
        <w:t>to the extent practicable, the amount of the correction at the beginning of the earliest prior period presented; and</w:t>
      </w:r>
    </w:p>
    <w:p w14:paraId="135110AF" w14:textId="4777ECCA" w:rsidR="00F42DB6" w:rsidRPr="00FC0C82" w:rsidRDefault="00F42DB6" w:rsidP="000E61D3">
      <w:pPr>
        <w:pStyle w:val="ListParagraph"/>
        <w:numPr>
          <w:ilvl w:val="0"/>
          <w:numId w:val="109"/>
        </w:numPr>
        <w:ind w:left="1564" w:hanging="782"/>
        <w:jc w:val="both"/>
        <w:outlineLvl w:val="4"/>
        <w:rPr>
          <w:rFonts w:eastAsiaTheme="majorEastAsia"/>
          <w:bCs/>
          <w:iCs/>
          <w:szCs w:val="19"/>
        </w:rPr>
      </w:pPr>
      <w:r w:rsidRPr="00FC0C82">
        <w:rPr>
          <w:rFonts w:eastAsiaTheme="majorEastAsia"/>
          <w:bCs/>
          <w:iCs/>
          <w:szCs w:val="19"/>
        </w:rPr>
        <w:t>an explanation if it is not practicable to determine the amounts to be disclosed in (b) or (c).</w:t>
      </w:r>
    </w:p>
    <w:p w14:paraId="27F9D0AF" w14:textId="2BE7326D" w:rsidR="00F42DB6" w:rsidRPr="00155974" w:rsidRDefault="00F42DB6" w:rsidP="00DF28F9">
      <w:pPr>
        <w:keepNext/>
        <w:spacing w:after="100"/>
        <w:ind w:left="782"/>
        <w:rPr>
          <w:szCs w:val="19"/>
          <w:lang w:eastAsia="en-AU"/>
        </w:rPr>
      </w:pPr>
      <w:r w:rsidRPr="00155974">
        <w:rPr>
          <w:szCs w:val="19"/>
          <w:lang w:eastAsia="en-AU"/>
        </w:rPr>
        <w:t>Financial statements of subsequent periods need not repeat these disclosures.</w:t>
      </w:r>
    </w:p>
    <w:p w14:paraId="5F8643A2" w14:textId="1795239C" w:rsidR="00DC1D74" w:rsidRPr="00155974" w:rsidRDefault="00DC1D74" w:rsidP="00F84449">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10.23]</w:t>
      </w:r>
    </w:p>
    <w:p w14:paraId="2947FA59" w14:textId="3430E804" w:rsidR="00B2031B" w:rsidRPr="00155974" w:rsidRDefault="00F42DB6" w:rsidP="00022B10">
      <w:pPr>
        <w:pStyle w:val="IASBSectionTitle2Ind"/>
        <w:rPr>
          <w:rFonts w:eastAsiaTheme="majorEastAsia"/>
        </w:rPr>
      </w:pPr>
      <w:r w:rsidRPr="00155974">
        <w:rPr>
          <w:rFonts w:eastAsiaTheme="majorEastAsia"/>
        </w:rPr>
        <w:t>Basic Financial Instruments</w:t>
      </w:r>
      <w:bookmarkStart w:id="74" w:name="_Ref8387487"/>
      <w:r w:rsidR="00D54D3F" w:rsidRPr="00155974">
        <w:rPr>
          <w:rStyle w:val="FootnoteReference"/>
          <w:rFonts w:eastAsiaTheme="majorEastAsia"/>
          <w:bCs/>
          <w:iCs/>
          <w:sz w:val="22"/>
          <w:szCs w:val="22"/>
        </w:rPr>
        <w:footnoteReference w:id="11"/>
      </w:r>
    </w:p>
    <w:p w14:paraId="079129FC" w14:textId="5DA6029B" w:rsidR="00F42DB6" w:rsidRPr="00155974" w:rsidRDefault="00F42DB6" w:rsidP="000E61D3">
      <w:pPr>
        <w:pStyle w:val="NumPlain1"/>
        <w:numPr>
          <w:ilvl w:val="0"/>
          <w:numId w:val="84"/>
        </w:numPr>
        <w:ind w:left="782" w:hanging="782"/>
        <w:rPr>
          <w:rFonts w:eastAsiaTheme="majorEastAsia"/>
        </w:rPr>
      </w:pPr>
      <w:bookmarkStart w:id="75" w:name="_Ref35357391"/>
      <w:bookmarkEnd w:id="74"/>
      <w:r w:rsidRPr="00155974">
        <w:rPr>
          <w:rFonts w:eastAsiaTheme="majorEastAsia"/>
        </w:rPr>
        <w:t xml:space="preserve">The disclosures required in </w:t>
      </w:r>
      <w:r w:rsidR="00A14E89" w:rsidRPr="00155974">
        <w:rPr>
          <w:rFonts w:eastAsiaTheme="majorEastAsia"/>
        </w:rPr>
        <w:t xml:space="preserve">this </w:t>
      </w:r>
      <w:r w:rsidRPr="00155974">
        <w:rPr>
          <w:rFonts w:eastAsiaTheme="majorEastAsia"/>
        </w:rPr>
        <w:t>Section apply to all financial instruments within the scope of AASB 9. In addition, if the entity uses hedge accounting, it shall make the additional disclosures in paragraphs</w:t>
      </w:r>
      <w:r w:rsidR="00D31A37" w:rsidRPr="00155974">
        <w:rPr>
          <w:rFonts w:eastAsiaTheme="majorEastAsia"/>
        </w:rPr>
        <w:t xml:space="preserve"> </w:t>
      </w:r>
      <w:r w:rsidR="003726E3" w:rsidRPr="00155974">
        <w:rPr>
          <w:rFonts w:eastAsiaTheme="majorEastAsia"/>
        </w:rPr>
        <w:t>120</w:t>
      </w:r>
      <w:r w:rsidRPr="00155974">
        <w:rPr>
          <w:rFonts w:eastAsiaTheme="majorEastAsia"/>
        </w:rPr>
        <w:t>–</w:t>
      </w:r>
      <w:r w:rsidR="003726E3" w:rsidRPr="00155974">
        <w:rPr>
          <w:rFonts w:eastAsiaTheme="majorEastAsia"/>
        </w:rPr>
        <w:t>122</w:t>
      </w:r>
      <w:r w:rsidRPr="00155974">
        <w:rPr>
          <w:rFonts w:eastAsiaTheme="majorEastAsia"/>
        </w:rPr>
        <w:t>.</w:t>
      </w:r>
      <w:bookmarkEnd w:id="75"/>
    </w:p>
    <w:p w14:paraId="2AE3FF87" w14:textId="77777777" w:rsidR="00F42DB6" w:rsidRPr="00155974" w:rsidRDefault="00F42DB6" w:rsidP="00022B10">
      <w:pPr>
        <w:pStyle w:val="IASBSectionTitle3Ind"/>
        <w:rPr>
          <w:rFonts w:eastAsiaTheme="majorEastAsia"/>
        </w:rPr>
      </w:pPr>
      <w:r w:rsidRPr="00155974">
        <w:rPr>
          <w:rFonts w:eastAsiaTheme="majorEastAsia"/>
        </w:rPr>
        <w:t>Disclosure of accounting policies for financial instruments</w:t>
      </w:r>
    </w:p>
    <w:p w14:paraId="07CEB6FD" w14:textId="4F83C7A0"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In accordance with paragraph</w:t>
      </w:r>
      <w:r w:rsidR="0057602B" w:rsidRPr="00155974">
        <w:rPr>
          <w:rFonts w:eastAsiaTheme="majorEastAsia"/>
        </w:rPr>
        <w:t xml:space="preserve"> 95</w:t>
      </w:r>
      <w:r w:rsidRPr="00155974">
        <w:rPr>
          <w:rFonts w:eastAsiaTheme="majorEastAsia"/>
        </w:rPr>
        <w:t>, an entity shall disclose, in the significant accounting policies, the measurement basis (or bases) used for financial instruments and the other accounting policies used for financial instruments that are relevant to an understanding of the financial statements.</w:t>
      </w:r>
      <w:r w:rsidR="00371D53" w:rsidRPr="00155974">
        <w:rPr>
          <w:rFonts w:eastAsiaTheme="majorEastAsia"/>
        </w:rPr>
        <w:t xml:space="preserve"> </w:t>
      </w:r>
      <w:r w:rsidR="00371D53" w:rsidRPr="00155974">
        <w:rPr>
          <w:lang w:eastAsia="en-AU"/>
        </w:rPr>
        <w:t>[</w:t>
      </w:r>
      <w:r w:rsidR="0058144C" w:rsidRPr="00155974">
        <w:rPr>
          <w:i/>
          <w:lang w:eastAsia="en-AU"/>
        </w:rPr>
        <w:t>IFRS for SMEs</w:t>
      </w:r>
      <w:r w:rsidR="00371D53" w:rsidRPr="00155974">
        <w:rPr>
          <w:lang w:eastAsia="en-AU"/>
        </w:rPr>
        <w:t xml:space="preserve"> Standard paragraph 11.40]</w:t>
      </w:r>
    </w:p>
    <w:p w14:paraId="204EAC54" w14:textId="77777777" w:rsidR="00F42DB6" w:rsidRPr="00155974" w:rsidRDefault="00F42DB6" w:rsidP="00022B10">
      <w:pPr>
        <w:pStyle w:val="IASBSectionTitle3Ind"/>
        <w:rPr>
          <w:rFonts w:eastAsiaTheme="majorEastAsia"/>
        </w:rPr>
      </w:pPr>
      <w:r w:rsidRPr="00155974">
        <w:rPr>
          <w:rFonts w:eastAsiaTheme="majorEastAsia"/>
        </w:rPr>
        <w:t>Statement of financial position—categories of financial assets and financial liabilities</w:t>
      </w:r>
    </w:p>
    <w:p w14:paraId="0535D0A3" w14:textId="37CE028B" w:rsidR="00F42DB6" w:rsidRPr="00155974" w:rsidRDefault="00F42DB6" w:rsidP="000E61D3">
      <w:pPr>
        <w:pStyle w:val="NumPlain1"/>
        <w:numPr>
          <w:ilvl w:val="0"/>
          <w:numId w:val="84"/>
        </w:numPr>
        <w:ind w:left="782" w:hanging="782"/>
        <w:rPr>
          <w:rFonts w:eastAsiaTheme="majorEastAsia"/>
        </w:rPr>
      </w:pPr>
      <w:bookmarkStart w:id="76" w:name="_Ref34651630"/>
      <w:r w:rsidRPr="00155974">
        <w:rPr>
          <w:rFonts w:eastAsiaTheme="majorEastAsia"/>
        </w:rPr>
        <w:t>An entity shall disclose the carrying amounts of each of the following categories of financial assets and financial liabilities at the reporting date, in total, either in the statement of financial position or in the notes:</w:t>
      </w:r>
      <w:bookmarkEnd w:id="76"/>
    </w:p>
    <w:p w14:paraId="7C91A094" w14:textId="5EC3DD8B" w:rsidR="00F42DB6" w:rsidRPr="009F3060" w:rsidRDefault="00F42DB6" w:rsidP="000E61D3">
      <w:pPr>
        <w:pStyle w:val="ListParagraph"/>
        <w:numPr>
          <w:ilvl w:val="0"/>
          <w:numId w:val="110"/>
        </w:numPr>
        <w:ind w:left="1564" w:hanging="782"/>
        <w:jc w:val="both"/>
        <w:rPr>
          <w:rFonts w:eastAsiaTheme="majorEastAsia"/>
          <w:bCs/>
          <w:iCs/>
          <w:szCs w:val="19"/>
        </w:rPr>
      </w:pPr>
      <w:r w:rsidRPr="009F3060">
        <w:rPr>
          <w:rFonts w:eastAsiaTheme="majorEastAsia"/>
          <w:bCs/>
          <w:iCs/>
          <w:szCs w:val="19"/>
        </w:rPr>
        <w:t>financial assets measured at fair value through profit or loss;</w:t>
      </w:r>
    </w:p>
    <w:p w14:paraId="5F97066D" w14:textId="1B17075F" w:rsidR="00F42DB6" w:rsidRPr="009F3060" w:rsidRDefault="00F42DB6" w:rsidP="000E61D3">
      <w:pPr>
        <w:pStyle w:val="ListParagraph"/>
        <w:numPr>
          <w:ilvl w:val="0"/>
          <w:numId w:val="110"/>
        </w:numPr>
        <w:ind w:left="1564" w:hanging="782"/>
        <w:jc w:val="both"/>
        <w:rPr>
          <w:rFonts w:eastAsiaTheme="majorEastAsia"/>
          <w:bCs/>
          <w:iCs/>
          <w:szCs w:val="19"/>
        </w:rPr>
      </w:pPr>
      <w:r w:rsidRPr="009F3060">
        <w:rPr>
          <w:rFonts w:eastAsiaTheme="majorEastAsia"/>
          <w:bCs/>
          <w:iCs/>
          <w:szCs w:val="19"/>
        </w:rPr>
        <w:t>financial assets measured at amortised cost;</w:t>
      </w:r>
    </w:p>
    <w:p w14:paraId="3FDE7B69" w14:textId="74884BAB" w:rsidR="00F42DB6" w:rsidRPr="009F3060" w:rsidRDefault="00F42DB6" w:rsidP="000E61D3">
      <w:pPr>
        <w:pStyle w:val="ListParagraph"/>
        <w:numPr>
          <w:ilvl w:val="0"/>
          <w:numId w:val="110"/>
        </w:numPr>
        <w:ind w:left="1564" w:hanging="782"/>
        <w:jc w:val="both"/>
        <w:rPr>
          <w:rFonts w:eastAsiaTheme="majorEastAsia"/>
          <w:bCs/>
          <w:iCs/>
          <w:szCs w:val="19"/>
        </w:rPr>
      </w:pPr>
      <w:r w:rsidRPr="009F3060">
        <w:rPr>
          <w:rFonts w:eastAsiaTheme="majorEastAsia"/>
          <w:bCs/>
          <w:iCs/>
          <w:szCs w:val="19"/>
        </w:rPr>
        <w:t xml:space="preserve">financial liabilities measured at fair value through profit or loss; </w:t>
      </w:r>
    </w:p>
    <w:p w14:paraId="5AFD0E13" w14:textId="419D645A" w:rsidR="00F42DB6" w:rsidRPr="009F3060" w:rsidRDefault="00F42DB6" w:rsidP="000E61D3">
      <w:pPr>
        <w:pStyle w:val="ListParagraph"/>
        <w:numPr>
          <w:ilvl w:val="0"/>
          <w:numId w:val="110"/>
        </w:numPr>
        <w:ind w:left="1564" w:hanging="782"/>
        <w:jc w:val="both"/>
        <w:rPr>
          <w:rFonts w:eastAsiaTheme="majorEastAsia"/>
          <w:bCs/>
          <w:iCs/>
          <w:szCs w:val="19"/>
        </w:rPr>
      </w:pPr>
      <w:r w:rsidRPr="009F3060">
        <w:rPr>
          <w:rFonts w:eastAsiaTheme="majorEastAsia"/>
          <w:bCs/>
          <w:iCs/>
          <w:szCs w:val="19"/>
        </w:rPr>
        <w:t>financial liabilities measured at amortised cost; and</w:t>
      </w:r>
    </w:p>
    <w:p w14:paraId="3911DFE5" w14:textId="1E6189A4" w:rsidR="00F42DB6" w:rsidRPr="009F3060" w:rsidRDefault="00F42DB6" w:rsidP="000E61D3">
      <w:pPr>
        <w:pStyle w:val="ListParagraph"/>
        <w:numPr>
          <w:ilvl w:val="0"/>
          <w:numId w:val="110"/>
        </w:numPr>
        <w:ind w:left="1564" w:hanging="782"/>
        <w:jc w:val="both"/>
        <w:rPr>
          <w:rFonts w:eastAsiaTheme="majorEastAsia"/>
          <w:bCs/>
          <w:iCs/>
          <w:szCs w:val="19"/>
        </w:rPr>
      </w:pPr>
      <w:r w:rsidRPr="009F3060">
        <w:rPr>
          <w:rFonts w:eastAsiaTheme="majorEastAsia"/>
          <w:bCs/>
          <w:iCs/>
          <w:szCs w:val="19"/>
        </w:rPr>
        <w:t>financial assets measured at fair value through other comprehensive income, showing separately:</w:t>
      </w:r>
    </w:p>
    <w:p w14:paraId="7DC72ABB" w14:textId="1EEA28AE" w:rsidR="00F42DB6" w:rsidRPr="009F3060" w:rsidRDefault="00F42DB6" w:rsidP="000E61D3">
      <w:pPr>
        <w:pStyle w:val="ListParagraph"/>
        <w:numPr>
          <w:ilvl w:val="0"/>
          <w:numId w:val="111"/>
        </w:numPr>
        <w:ind w:left="2347" w:hanging="782"/>
        <w:jc w:val="both"/>
        <w:rPr>
          <w:rFonts w:eastAsiaTheme="majorEastAsia"/>
          <w:bCs/>
          <w:iCs/>
          <w:szCs w:val="19"/>
        </w:rPr>
      </w:pPr>
      <w:r w:rsidRPr="009F3060">
        <w:rPr>
          <w:rFonts w:eastAsiaTheme="majorEastAsia"/>
          <w:bCs/>
          <w:iCs/>
          <w:szCs w:val="19"/>
        </w:rPr>
        <w:t xml:space="preserve">financial assets that are measured at fair value through other comprehensive income in accordance with paragraph 4.1.2A of AASB 9; and </w:t>
      </w:r>
    </w:p>
    <w:p w14:paraId="5CBF4044" w14:textId="1827555C" w:rsidR="00F42DB6" w:rsidRPr="009F3060" w:rsidRDefault="00F42DB6" w:rsidP="00DF28F9">
      <w:pPr>
        <w:pStyle w:val="ListParagraph"/>
        <w:keepNext/>
        <w:numPr>
          <w:ilvl w:val="0"/>
          <w:numId w:val="111"/>
        </w:numPr>
        <w:ind w:left="2347" w:hanging="782"/>
        <w:jc w:val="both"/>
        <w:outlineLvl w:val="4"/>
        <w:rPr>
          <w:rFonts w:eastAsiaTheme="majorEastAsia"/>
          <w:bCs/>
          <w:iCs/>
          <w:szCs w:val="19"/>
        </w:rPr>
      </w:pPr>
      <w:r w:rsidRPr="009F3060">
        <w:rPr>
          <w:rFonts w:eastAsiaTheme="majorEastAsia"/>
          <w:bCs/>
          <w:iCs/>
          <w:szCs w:val="19"/>
        </w:rPr>
        <w:t>investments in equity instruments designated as such upon initial recognition in accordance with paragraph 5.7.5 of AASB 9.</w:t>
      </w:r>
    </w:p>
    <w:p w14:paraId="4C67E557" w14:textId="0D8E288F" w:rsidR="001564AF" w:rsidRPr="00155974" w:rsidRDefault="001564AF" w:rsidP="00F84449">
      <w:pPr>
        <w:spacing w:after="100"/>
        <w:ind w:firstLine="782"/>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11.41]</w:t>
      </w:r>
    </w:p>
    <w:p w14:paraId="3011661E" w14:textId="21B6AADA" w:rsidR="00F42DB6" w:rsidRPr="00155974" w:rsidRDefault="00F42DB6" w:rsidP="000E61D3">
      <w:pPr>
        <w:pStyle w:val="NumPlain1"/>
        <w:numPr>
          <w:ilvl w:val="0"/>
          <w:numId w:val="84"/>
        </w:numPr>
        <w:ind w:left="782" w:hanging="782"/>
        <w:rPr>
          <w:rFonts w:eastAsiaTheme="majorEastAsia"/>
        </w:rPr>
      </w:pPr>
      <w:bookmarkStart w:id="77" w:name="_Ref35360825"/>
      <w:r w:rsidRPr="00155974">
        <w:rPr>
          <w:rFonts w:eastAsiaTheme="majorEastAsia"/>
        </w:rPr>
        <w:lastRenderedPageBreak/>
        <w:t>An entity shall disclose information that enables users of its financial statements to evaluate the significance of financial instruments for its financial position and performance. For example, for long-term debt such information would normally include the terms and conditions of the debt instrument (such as interest rate, maturity, repayment schedule, and restrictions that the debt instrument imposes on the entity).</w:t>
      </w:r>
      <w:r w:rsidR="00495939" w:rsidRPr="00155974">
        <w:rPr>
          <w:rFonts w:eastAsiaTheme="majorEastAsia"/>
        </w:rPr>
        <w:t xml:space="preserve"> </w:t>
      </w:r>
      <w:r w:rsidR="00495939" w:rsidRPr="00155974">
        <w:rPr>
          <w:lang w:eastAsia="en-AU"/>
        </w:rPr>
        <w:t>[</w:t>
      </w:r>
      <w:r w:rsidR="0058144C" w:rsidRPr="00155974">
        <w:rPr>
          <w:i/>
          <w:lang w:eastAsia="en-AU"/>
        </w:rPr>
        <w:t>IFRS for SMEs</w:t>
      </w:r>
      <w:r w:rsidR="00495939" w:rsidRPr="00155974">
        <w:rPr>
          <w:lang w:eastAsia="en-AU"/>
        </w:rPr>
        <w:t xml:space="preserve"> Standard paragraph 11.42]</w:t>
      </w:r>
      <w:bookmarkEnd w:id="77"/>
    </w:p>
    <w:p w14:paraId="26875894" w14:textId="396A6CFD" w:rsidR="00F42DB6" w:rsidRPr="00155974" w:rsidRDefault="00F42DB6" w:rsidP="000E61D3">
      <w:pPr>
        <w:pStyle w:val="NumPlain1"/>
        <w:numPr>
          <w:ilvl w:val="0"/>
          <w:numId w:val="84"/>
        </w:numPr>
        <w:ind w:left="782" w:hanging="782"/>
        <w:rPr>
          <w:rFonts w:eastAsiaTheme="majorEastAsia"/>
        </w:rPr>
      </w:pPr>
      <w:bookmarkStart w:id="78" w:name="_Ref34651643"/>
      <w:r w:rsidRPr="00155974">
        <w:rPr>
          <w:rFonts w:eastAsiaTheme="majorEastAsia"/>
        </w:rPr>
        <w:t>For all financial assets and financial liabilities measured at fair value, the entity shall disclose the basis for determining fair value, for example, quoted market price in an active market or a valuation technique. When a valuation technique is used, the entity shall disclose the assumptions applied in determining fair value for each class of financial assets or financial liabilities. For example, if applicable, an entity discloses information about the assumptions relating to prepayment rates, rates of estimated credit losses, and interest rates or discount rates.</w:t>
      </w:r>
      <w:r w:rsidR="007A1FF8" w:rsidRPr="00155974">
        <w:rPr>
          <w:rFonts w:eastAsiaTheme="majorEastAsia"/>
        </w:rPr>
        <w:t xml:space="preserve"> </w:t>
      </w:r>
      <w:r w:rsidR="007A1FF8" w:rsidRPr="00155974">
        <w:rPr>
          <w:lang w:eastAsia="en-AU"/>
        </w:rPr>
        <w:t>[</w:t>
      </w:r>
      <w:r w:rsidR="0058144C" w:rsidRPr="00155974">
        <w:rPr>
          <w:i/>
          <w:lang w:eastAsia="en-AU"/>
        </w:rPr>
        <w:t>IFRS for SMEs</w:t>
      </w:r>
      <w:r w:rsidR="007A1FF8" w:rsidRPr="00155974">
        <w:rPr>
          <w:lang w:eastAsia="en-AU"/>
        </w:rPr>
        <w:t xml:space="preserve"> Standard paragraph 11.43]</w:t>
      </w:r>
      <w:bookmarkEnd w:id="78"/>
    </w:p>
    <w:p w14:paraId="7B0492EE" w14:textId="16CBFA62" w:rsidR="00F42DB6" w:rsidRPr="00155974" w:rsidRDefault="00F42DB6" w:rsidP="00022B10">
      <w:pPr>
        <w:pStyle w:val="IASBSectionTitle3Ind"/>
        <w:rPr>
          <w:rFonts w:eastAsiaTheme="majorEastAsia"/>
        </w:rPr>
      </w:pPr>
      <w:r w:rsidRPr="00155974">
        <w:rPr>
          <w:rFonts w:eastAsiaTheme="majorEastAsia"/>
        </w:rPr>
        <w:t>Derecognition</w:t>
      </w:r>
    </w:p>
    <w:p w14:paraId="7985AEF7" w14:textId="77B0AC4B"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If an entity has transferred financial assets to another party in a transaction that does not qualify for derecognition (see paragraph 3.2.15 of AASB 9), the entity shall disclose the following for each class of such financial assets:</w:t>
      </w:r>
    </w:p>
    <w:p w14:paraId="18963956" w14:textId="24FF3C3A" w:rsidR="00F42DB6" w:rsidRPr="009F3060" w:rsidRDefault="00F42DB6" w:rsidP="000E61D3">
      <w:pPr>
        <w:pStyle w:val="ListParagraph"/>
        <w:numPr>
          <w:ilvl w:val="0"/>
          <w:numId w:val="112"/>
        </w:numPr>
        <w:ind w:left="1564" w:hanging="782"/>
        <w:jc w:val="both"/>
        <w:outlineLvl w:val="4"/>
        <w:rPr>
          <w:rFonts w:eastAsiaTheme="majorEastAsia"/>
          <w:bCs/>
          <w:iCs/>
          <w:szCs w:val="19"/>
        </w:rPr>
      </w:pPr>
      <w:r w:rsidRPr="009F3060">
        <w:rPr>
          <w:rFonts w:eastAsiaTheme="majorEastAsia"/>
          <w:bCs/>
          <w:iCs/>
          <w:szCs w:val="19"/>
        </w:rPr>
        <w:t>the nature of the assets;</w:t>
      </w:r>
    </w:p>
    <w:p w14:paraId="5622589B" w14:textId="6EB6509D" w:rsidR="00F42DB6" w:rsidRPr="009F3060" w:rsidRDefault="00F42DB6" w:rsidP="000E61D3">
      <w:pPr>
        <w:pStyle w:val="ListParagraph"/>
        <w:numPr>
          <w:ilvl w:val="0"/>
          <w:numId w:val="112"/>
        </w:numPr>
        <w:ind w:left="1564" w:hanging="782"/>
        <w:jc w:val="both"/>
        <w:outlineLvl w:val="4"/>
        <w:rPr>
          <w:rFonts w:eastAsiaTheme="majorEastAsia"/>
          <w:bCs/>
          <w:iCs/>
          <w:szCs w:val="19"/>
        </w:rPr>
      </w:pPr>
      <w:r w:rsidRPr="009F3060">
        <w:rPr>
          <w:rFonts w:eastAsiaTheme="majorEastAsia"/>
          <w:bCs/>
          <w:iCs/>
          <w:szCs w:val="19"/>
        </w:rPr>
        <w:t>the nature of the risks and rewards of ownership to which the entity remains exposed; and</w:t>
      </w:r>
    </w:p>
    <w:p w14:paraId="7EAE0D45" w14:textId="633F852E" w:rsidR="00F42DB6" w:rsidRPr="009F3060" w:rsidRDefault="00F42DB6" w:rsidP="00A91E8B">
      <w:pPr>
        <w:pStyle w:val="ListParagraph"/>
        <w:keepNext/>
        <w:numPr>
          <w:ilvl w:val="0"/>
          <w:numId w:val="112"/>
        </w:numPr>
        <w:ind w:left="1564" w:hanging="782"/>
        <w:jc w:val="both"/>
        <w:outlineLvl w:val="4"/>
        <w:rPr>
          <w:rFonts w:eastAsiaTheme="majorEastAsia"/>
          <w:bCs/>
          <w:iCs/>
          <w:szCs w:val="19"/>
        </w:rPr>
      </w:pPr>
      <w:r w:rsidRPr="009F3060">
        <w:rPr>
          <w:rFonts w:eastAsiaTheme="majorEastAsia"/>
          <w:bCs/>
          <w:iCs/>
          <w:szCs w:val="19"/>
        </w:rPr>
        <w:t>the carrying amounts of the assets and of any associated liabilities that the entity continues to recognise.</w:t>
      </w:r>
    </w:p>
    <w:p w14:paraId="7DADC733" w14:textId="24264C59" w:rsidR="003C706C" w:rsidRPr="00155974" w:rsidRDefault="003C706C" w:rsidP="00834691">
      <w:pPr>
        <w:spacing w:after="100"/>
        <w:ind w:left="1564" w:hanging="782"/>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11.45]</w:t>
      </w:r>
    </w:p>
    <w:p w14:paraId="763FFD89" w14:textId="77777777" w:rsidR="00F42DB6" w:rsidRPr="00155974" w:rsidRDefault="00F42DB6" w:rsidP="00022B10">
      <w:pPr>
        <w:pStyle w:val="IASBSectionTitle3Ind"/>
        <w:rPr>
          <w:rFonts w:eastAsiaTheme="majorEastAsia"/>
        </w:rPr>
      </w:pPr>
      <w:r w:rsidRPr="00155974">
        <w:rPr>
          <w:rFonts w:eastAsiaTheme="majorEastAsia"/>
        </w:rPr>
        <w:t>Collateral</w:t>
      </w:r>
    </w:p>
    <w:p w14:paraId="0FEE5926" w14:textId="4FCEBFAB"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When an entity has pledged financial assets as collateral for liabilities or contingent liabilities, it shall disclose the following:</w:t>
      </w:r>
    </w:p>
    <w:p w14:paraId="45DEBB54" w14:textId="6CA964DC" w:rsidR="00F42DB6" w:rsidRPr="009F3060" w:rsidRDefault="00F42DB6" w:rsidP="000E61D3">
      <w:pPr>
        <w:pStyle w:val="ListParagraph"/>
        <w:numPr>
          <w:ilvl w:val="0"/>
          <w:numId w:val="113"/>
        </w:numPr>
        <w:ind w:left="1564" w:hanging="782"/>
        <w:jc w:val="both"/>
        <w:outlineLvl w:val="4"/>
        <w:rPr>
          <w:rFonts w:eastAsiaTheme="majorEastAsia"/>
          <w:bCs/>
          <w:iCs/>
          <w:szCs w:val="19"/>
        </w:rPr>
      </w:pPr>
      <w:r w:rsidRPr="009F3060">
        <w:rPr>
          <w:rFonts w:eastAsiaTheme="majorEastAsia"/>
          <w:bCs/>
          <w:iCs/>
          <w:szCs w:val="19"/>
        </w:rPr>
        <w:t>the carrying amount of the financial assets pledged as collateral; and</w:t>
      </w:r>
    </w:p>
    <w:p w14:paraId="0CC56C05" w14:textId="398F2AB5" w:rsidR="00F42DB6" w:rsidRPr="009F3060" w:rsidRDefault="00F42DB6" w:rsidP="00DF28F9">
      <w:pPr>
        <w:pStyle w:val="ListParagraph"/>
        <w:keepNext/>
        <w:numPr>
          <w:ilvl w:val="0"/>
          <w:numId w:val="113"/>
        </w:numPr>
        <w:ind w:left="1564" w:hanging="782"/>
        <w:jc w:val="both"/>
        <w:outlineLvl w:val="4"/>
        <w:rPr>
          <w:rFonts w:eastAsiaTheme="majorEastAsia"/>
          <w:bCs/>
          <w:iCs/>
          <w:szCs w:val="19"/>
        </w:rPr>
      </w:pPr>
      <w:r w:rsidRPr="009F3060">
        <w:rPr>
          <w:rFonts w:eastAsiaTheme="majorEastAsia"/>
          <w:bCs/>
          <w:iCs/>
          <w:szCs w:val="19"/>
        </w:rPr>
        <w:t>the terms and conditions relating to its pledge.</w:t>
      </w:r>
    </w:p>
    <w:p w14:paraId="3ACB9B0B" w14:textId="6C4BC4E7" w:rsidR="00780725" w:rsidRPr="00155974" w:rsidRDefault="00780725" w:rsidP="00F84449">
      <w:pPr>
        <w:spacing w:after="100"/>
        <w:ind w:left="1564" w:hanging="782"/>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w:t>
      </w:r>
      <w:r w:rsidR="007144A1" w:rsidRPr="00155974">
        <w:rPr>
          <w:szCs w:val="19"/>
          <w:lang w:eastAsia="en-AU"/>
        </w:rPr>
        <w:t>1.46</w:t>
      </w:r>
      <w:r w:rsidRPr="00155974">
        <w:rPr>
          <w:szCs w:val="19"/>
          <w:lang w:eastAsia="en-AU"/>
        </w:rPr>
        <w:t>]</w:t>
      </w:r>
    </w:p>
    <w:p w14:paraId="0CCDC1E1" w14:textId="77777777" w:rsidR="00F42DB6" w:rsidRPr="00155974" w:rsidRDefault="00F42DB6" w:rsidP="00022B10">
      <w:pPr>
        <w:pStyle w:val="IASBSectionTitle3Ind"/>
        <w:rPr>
          <w:rFonts w:eastAsiaTheme="majorEastAsia"/>
        </w:rPr>
      </w:pPr>
      <w:r w:rsidRPr="00155974">
        <w:rPr>
          <w:rFonts w:eastAsiaTheme="majorEastAsia"/>
        </w:rPr>
        <w:t>Defaults and breaches on loans payable</w:t>
      </w:r>
    </w:p>
    <w:p w14:paraId="4C9381D8" w14:textId="499BD7DD"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For loans payable recognised at the reporting date for which there is a breach of terms or a default of principal, interest, sinking fund or redemption terms that have not been remedied by the reporting date, an entity shall disclose the following:</w:t>
      </w:r>
    </w:p>
    <w:p w14:paraId="51E922A5" w14:textId="4466330D" w:rsidR="00F42DB6" w:rsidRPr="009F3060" w:rsidRDefault="00F42DB6" w:rsidP="000E61D3">
      <w:pPr>
        <w:pStyle w:val="ListParagraph"/>
        <w:numPr>
          <w:ilvl w:val="0"/>
          <w:numId w:val="114"/>
        </w:numPr>
        <w:ind w:left="1564" w:hanging="782"/>
        <w:jc w:val="both"/>
        <w:outlineLvl w:val="4"/>
        <w:rPr>
          <w:rFonts w:eastAsiaTheme="majorEastAsia"/>
          <w:bCs/>
          <w:iCs/>
          <w:szCs w:val="19"/>
        </w:rPr>
      </w:pPr>
      <w:r w:rsidRPr="009F3060">
        <w:rPr>
          <w:rFonts w:eastAsiaTheme="majorEastAsia"/>
          <w:bCs/>
          <w:iCs/>
          <w:szCs w:val="19"/>
        </w:rPr>
        <w:t>details of that breach or default;</w:t>
      </w:r>
    </w:p>
    <w:p w14:paraId="77E2F259" w14:textId="1FC156A3" w:rsidR="00F42DB6" w:rsidRPr="009F3060" w:rsidRDefault="00F42DB6" w:rsidP="000E61D3">
      <w:pPr>
        <w:pStyle w:val="ListParagraph"/>
        <w:numPr>
          <w:ilvl w:val="0"/>
          <w:numId w:val="114"/>
        </w:numPr>
        <w:ind w:left="1564" w:hanging="782"/>
        <w:jc w:val="both"/>
        <w:outlineLvl w:val="4"/>
        <w:rPr>
          <w:rFonts w:eastAsiaTheme="majorEastAsia"/>
          <w:bCs/>
          <w:iCs/>
          <w:szCs w:val="19"/>
        </w:rPr>
      </w:pPr>
      <w:r w:rsidRPr="009F3060">
        <w:rPr>
          <w:rFonts w:eastAsiaTheme="majorEastAsia"/>
          <w:bCs/>
          <w:iCs/>
          <w:szCs w:val="19"/>
        </w:rPr>
        <w:t>the carrying amount of the related loans payable at the reporting date; and</w:t>
      </w:r>
    </w:p>
    <w:p w14:paraId="58783B70" w14:textId="572567AE" w:rsidR="00F42DB6" w:rsidRPr="009F3060" w:rsidRDefault="00F42DB6" w:rsidP="00DF28F9">
      <w:pPr>
        <w:pStyle w:val="ListParagraph"/>
        <w:keepNext/>
        <w:numPr>
          <w:ilvl w:val="0"/>
          <w:numId w:val="114"/>
        </w:numPr>
        <w:ind w:left="1564" w:hanging="782"/>
        <w:jc w:val="both"/>
        <w:outlineLvl w:val="4"/>
        <w:rPr>
          <w:rFonts w:eastAsiaTheme="majorEastAsia"/>
          <w:bCs/>
          <w:iCs/>
          <w:szCs w:val="19"/>
        </w:rPr>
      </w:pPr>
      <w:r w:rsidRPr="009F3060">
        <w:rPr>
          <w:rFonts w:eastAsiaTheme="majorEastAsia"/>
          <w:bCs/>
          <w:iCs/>
          <w:szCs w:val="19"/>
        </w:rPr>
        <w:t>whether the breach or default was remedied, or the terms of the loans payable were renegotiated, before the financial statements were authorised for issue.</w:t>
      </w:r>
    </w:p>
    <w:p w14:paraId="32CD3C90" w14:textId="31CDB234" w:rsidR="004D4860" w:rsidRPr="00155974" w:rsidRDefault="004D4860" w:rsidP="00834691">
      <w:pPr>
        <w:spacing w:after="100"/>
        <w:ind w:left="1564" w:hanging="782"/>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w:t>
      </w:r>
      <w:r w:rsidR="007144A1" w:rsidRPr="00155974">
        <w:rPr>
          <w:szCs w:val="19"/>
          <w:lang w:eastAsia="en-AU"/>
        </w:rPr>
        <w:t>1.47</w:t>
      </w:r>
      <w:r w:rsidRPr="00155974">
        <w:rPr>
          <w:szCs w:val="19"/>
          <w:lang w:eastAsia="en-AU"/>
        </w:rPr>
        <w:t>]</w:t>
      </w:r>
    </w:p>
    <w:p w14:paraId="178D2250" w14:textId="77777777" w:rsidR="00F42DB6" w:rsidRPr="00155974" w:rsidRDefault="00F42DB6" w:rsidP="00022B10">
      <w:pPr>
        <w:pStyle w:val="IASBSectionTitle3Ind"/>
        <w:rPr>
          <w:rFonts w:eastAsiaTheme="majorEastAsia"/>
        </w:rPr>
      </w:pPr>
      <w:r w:rsidRPr="00155974">
        <w:rPr>
          <w:rFonts w:eastAsiaTheme="majorEastAsia"/>
        </w:rPr>
        <w:t>Items of income, expense, gains or losses</w:t>
      </w:r>
    </w:p>
    <w:p w14:paraId="1C6A1CC0" w14:textId="7AB523D4" w:rsidR="00F42DB6" w:rsidRPr="00155974" w:rsidRDefault="00F42DB6" w:rsidP="004B0ADC">
      <w:pPr>
        <w:pStyle w:val="NumPlain1"/>
        <w:keepNext/>
        <w:numPr>
          <w:ilvl w:val="0"/>
          <w:numId w:val="84"/>
        </w:numPr>
        <w:ind w:left="782" w:hanging="782"/>
        <w:rPr>
          <w:rFonts w:eastAsiaTheme="majorEastAsia"/>
        </w:rPr>
      </w:pPr>
      <w:bookmarkStart w:id="79" w:name="_Ref34659404"/>
      <w:r w:rsidRPr="00155974">
        <w:rPr>
          <w:rFonts w:eastAsiaTheme="majorEastAsia"/>
        </w:rPr>
        <w:t>An entity shall disclose the following items of income, expense, gains or losses:</w:t>
      </w:r>
      <w:bookmarkEnd w:id="79"/>
    </w:p>
    <w:p w14:paraId="2DDDA261" w14:textId="07AAC377" w:rsidR="00F42DB6" w:rsidRPr="009F3060" w:rsidRDefault="00F42DB6" w:rsidP="004B0ADC">
      <w:pPr>
        <w:pStyle w:val="ListParagraph"/>
        <w:keepNext/>
        <w:numPr>
          <w:ilvl w:val="0"/>
          <w:numId w:val="115"/>
        </w:numPr>
        <w:ind w:left="1564" w:hanging="782"/>
        <w:jc w:val="both"/>
        <w:outlineLvl w:val="4"/>
        <w:rPr>
          <w:rFonts w:eastAsiaTheme="majorEastAsia"/>
          <w:bCs/>
          <w:iCs/>
          <w:szCs w:val="19"/>
        </w:rPr>
      </w:pPr>
      <w:r w:rsidRPr="009F3060">
        <w:rPr>
          <w:rFonts w:eastAsiaTheme="majorEastAsia"/>
          <w:bCs/>
          <w:iCs/>
          <w:szCs w:val="19"/>
        </w:rPr>
        <w:t>income, expense, gains or losses, including changes in fair value, recognised on:</w:t>
      </w:r>
    </w:p>
    <w:p w14:paraId="2AAB38A8" w14:textId="51076E74"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financial assets measured at fair value through profit or loss;</w:t>
      </w:r>
    </w:p>
    <w:p w14:paraId="05A96192" w14:textId="252535BA"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financial liabilities measured at fair value through profit or loss;</w:t>
      </w:r>
    </w:p>
    <w:p w14:paraId="4E10DE07" w14:textId="1F8AF564"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 xml:space="preserve">financial assets measured at amortised cost; </w:t>
      </w:r>
    </w:p>
    <w:p w14:paraId="78229106" w14:textId="30F4C87C"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financial liabilities measured at amortised cost;</w:t>
      </w:r>
    </w:p>
    <w:p w14:paraId="61229541" w14:textId="7B182A10"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investments in equity instruments designated at fair value through other comprehensive income in accordance with paragraph 5.7.5 of AASB 9; and</w:t>
      </w:r>
    </w:p>
    <w:p w14:paraId="06C4C50B" w14:textId="0A85617C" w:rsidR="00F42DB6" w:rsidRPr="00AA177E" w:rsidRDefault="00F42DB6" w:rsidP="000E61D3">
      <w:pPr>
        <w:pStyle w:val="ListParagraph"/>
        <w:numPr>
          <w:ilvl w:val="0"/>
          <w:numId w:val="116"/>
        </w:numPr>
        <w:ind w:left="2347" w:hanging="782"/>
        <w:jc w:val="both"/>
        <w:outlineLvl w:val="4"/>
        <w:rPr>
          <w:rFonts w:eastAsiaTheme="majorEastAsia"/>
          <w:bCs/>
          <w:iCs/>
          <w:szCs w:val="19"/>
        </w:rPr>
      </w:pPr>
      <w:r w:rsidRPr="00AA177E">
        <w:rPr>
          <w:rFonts w:eastAsiaTheme="majorEastAsia"/>
          <w:bCs/>
          <w:iCs/>
          <w:szCs w:val="19"/>
        </w:rPr>
        <w:t xml:space="preserve">financial assets measured at fair value through other comprehensive income in accordance with paragraph 4.1.2A of AASB 9, showing separately the amount of gain </w:t>
      </w:r>
      <w:r w:rsidRPr="00AA177E">
        <w:rPr>
          <w:rFonts w:eastAsiaTheme="majorEastAsia"/>
          <w:bCs/>
          <w:iCs/>
          <w:szCs w:val="19"/>
        </w:rPr>
        <w:lastRenderedPageBreak/>
        <w:t>or loss recognised in other comprehensive income during the period and the amount reclassified upon derecognition from accumulated other comprehensive income to profit or loss for the period</w:t>
      </w:r>
      <w:r w:rsidR="00443F2A" w:rsidRPr="00AA177E">
        <w:rPr>
          <w:rFonts w:eastAsiaTheme="majorEastAsia"/>
          <w:bCs/>
          <w:iCs/>
          <w:szCs w:val="19"/>
        </w:rPr>
        <w:t>;</w:t>
      </w:r>
    </w:p>
    <w:p w14:paraId="45C7F616" w14:textId="3402DD2C" w:rsidR="00F42DB6" w:rsidRPr="00155974" w:rsidRDefault="00F42DB6" w:rsidP="000E61D3">
      <w:pPr>
        <w:pStyle w:val="ListParagraph"/>
        <w:numPr>
          <w:ilvl w:val="0"/>
          <w:numId w:val="115"/>
        </w:numPr>
        <w:ind w:left="1564" w:hanging="782"/>
        <w:jc w:val="both"/>
        <w:outlineLvl w:val="4"/>
        <w:rPr>
          <w:rFonts w:eastAsiaTheme="majorEastAsia"/>
          <w:bCs/>
          <w:iCs/>
          <w:szCs w:val="19"/>
        </w:rPr>
      </w:pPr>
      <w:r w:rsidRPr="00155974">
        <w:rPr>
          <w:rFonts w:eastAsiaTheme="majorEastAsia"/>
          <w:bCs/>
          <w:iCs/>
          <w:szCs w:val="19"/>
        </w:rPr>
        <w:tab/>
        <w:t>total interest income and total interest expense (calculated using the effective interest method) for financial assets or financial liabilities that are not measured at fair value through profit or loss; and</w:t>
      </w:r>
    </w:p>
    <w:p w14:paraId="23388196" w14:textId="6CEBB401" w:rsidR="00F42DB6" w:rsidRPr="00155974" w:rsidRDefault="00F42DB6" w:rsidP="00DF28F9">
      <w:pPr>
        <w:pStyle w:val="ListParagraph"/>
        <w:keepNext/>
        <w:numPr>
          <w:ilvl w:val="0"/>
          <w:numId w:val="115"/>
        </w:numPr>
        <w:ind w:left="1564" w:hanging="782"/>
        <w:jc w:val="both"/>
        <w:outlineLvl w:val="4"/>
        <w:rPr>
          <w:rFonts w:eastAsiaTheme="majorEastAsia"/>
          <w:bCs/>
          <w:iCs/>
          <w:szCs w:val="19"/>
        </w:rPr>
      </w:pPr>
      <w:r w:rsidRPr="00155974">
        <w:rPr>
          <w:rFonts w:eastAsiaTheme="majorEastAsia"/>
          <w:bCs/>
          <w:iCs/>
          <w:szCs w:val="19"/>
        </w:rPr>
        <w:tab/>
        <w:t>the amount of any impairment loss for each class of financial asset.</w:t>
      </w:r>
    </w:p>
    <w:p w14:paraId="1C0F94F5" w14:textId="3B3A381A" w:rsidR="00502235" w:rsidRPr="00155974" w:rsidRDefault="00502235" w:rsidP="00834691">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11.48]</w:t>
      </w:r>
    </w:p>
    <w:p w14:paraId="6EE3D0AD" w14:textId="166A9007" w:rsidR="00F42DB6" w:rsidRPr="00155974" w:rsidRDefault="00F42DB6" w:rsidP="00022B10">
      <w:pPr>
        <w:pStyle w:val="IASBSectionTitle2Ind"/>
        <w:rPr>
          <w:rFonts w:eastAsiaTheme="majorEastAsia"/>
          <w:sz w:val="20"/>
        </w:rPr>
      </w:pPr>
      <w:r w:rsidRPr="00155974">
        <w:rPr>
          <w:rFonts w:eastAsiaTheme="majorEastAsia"/>
        </w:rPr>
        <w:t xml:space="preserve">Other Financial Instrument Issues – Hedging </w:t>
      </w:r>
      <w:r w:rsidR="00A2014F" w:rsidRPr="00155974">
        <w:rPr>
          <w:rFonts w:eastAsiaTheme="majorEastAsia"/>
        </w:rPr>
        <w:t>D</w:t>
      </w:r>
      <w:r w:rsidRPr="00155974">
        <w:rPr>
          <w:rFonts w:eastAsiaTheme="majorEastAsia"/>
        </w:rPr>
        <w:t>isclosures</w:t>
      </w:r>
      <w:r w:rsidRPr="00155974">
        <w:rPr>
          <w:rStyle w:val="FootnoteReference"/>
          <w:rFonts w:eastAsiaTheme="majorEastAsia"/>
          <w:bCs/>
          <w:iCs/>
          <w:sz w:val="22"/>
        </w:rPr>
        <w:footnoteReference w:id="12"/>
      </w:r>
    </w:p>
    <w:p w14:paraId="2D489614" w14:textId="6CD3EE83" w:rsidR="00F42DB6" w:rsidRPr="00155974" w:rsidRDefault="00F42DB6" w:rsidP="000E61D3">
      <w:pPr>
        <w:pStyle w:val="NumPlain1"/>
        <w:numPr>
          <w:ilvl w:val="0"/>
          <w:numId w:val="84"/>
        </w:numPr>
        <w:ind w:left="782" w:hanging="782"/>
        <w:rPr>
          <w:rFonts w:eastAsiaTheme="majorEastAsia"/>
        </w:rPr>
      </w:pPr>
      <w:bookmarkStart w:id="80" w:name="_Ref34651251"/>
      <w:r w:rsidRPr="00155974">
        <w:rPr>
          <w:rFonts w:eastAsiaTheme="majorEastAsia"/>
        </w:rPr>
        <w:t>An entity shall disclose the following separately for each category of risk exposures that it decides to hedge and for which hedge accounting is applied:</w:t>
      </w:r>
      <w:bookmarkEnd w:id="80"/>
    </w:p>
    <w:p w14:paraId="54B25348" w14:textId="03EC9547" w:rsidR="00F42DB6" w:rsidRPr="00AA177E" w:rsidRDefault="00F42DB6" w:rsidP="000E61D3">
      <w:pPr>
        <w:pStyle w:val="ListParagraph"/>
        <w:numPr>
          <w:ilvl w:val="0"/>
          <w:numId w:val="117"/>
        </w:numPr>
        <w:ind w:left="1564" w:hanging="782"/>
        <w:jc w:val="both"/>
        <w:outlineLvl w:val="4"/>
        <w:rPr>
          <w:rFonts w:eastAsiaTheme="majorEastAsia"/>
          <w:bCs/>
          <w:iCs/>
          <w:szCs w:val="19"/>
        </w:rPr>
      </w:pPr>
      <w:r w:rsidRPr="00AA177E">
        <w:rPr>
          <w:rFonts w:eastAsiaTheme="majorEastAsia"/>
          <w:bCs/>
          <w:iCs/>
          <w:szCs w:val="19"/>
        </w:rPr>
        <w:t>a description of the hedge;</w:t>
      </w:r>
    </w:p>
    <w:p w14:paraId="5831DF13" w14:textId="26276610" w:rsidR="00F42DB6" w:rsidRPr="00AA177E" w:rsidRDefault="00F42DB6" w:rsidP="000E61D3">
      <w:pPr>
        <w:pStyle w:val="ListParagraph"/>
        <w:numPr>
          <w:ilvl w:val="0"/>
          <w:numId w:val="117"/>
        </w:numPr>
        <w:ind w:left="1564" w:hanging="782"/>
        <w:jc w:val="both"/>
        <w:outlineLvl w:val="4"/>
        <w:rPr>
          <w:rFonts w:eastAsiaTheme="majorEastAsia"/>
          <w:bCs/>
          <w:iCs/>
          <w:szCs w:val="19"/>
        </w:rPr>
      </w:pPr>
      <w:r w:rsidRPr="00AA177E">
        <w:rPr>
          <w:rFonts w:eastAsiaTheme="majorEastAsia"/>
          <w:bCs/>
          <w:iCs/>
          <w:szCs w:val="19"/>
        </w:rPr>
        <w:t>a description of the financial instruments designated as hedging instruments and their fair values at the reporting date; and</w:t>
      </w:r>
    </w:p>
    <w:p w14:paraId="0C47C7A7" w14:textId="5083402A" w:rsidR="00F42DB6" w:rsidRPr="00AA177E" w:rsidRDefault="00F42DB6" w:rsidP="00DF28F9">
      <w:pPr>
        <w:pStyle w:val="ListParagraph"/>
        <w:keepNext/>
        <w:numPr>
          <w:ilvl w:val="0"/>
          <w:numId w:val="117"/>
        </w:numPr>
        <w:ind w:left="1564" w:hanging="782"/>
        <w:jc w:val="both"/>
        <w:outlineLvl w:val="4"/>
        <w:rPr>
          <w:rFonts w:eastAsiaTheme="majorEastAsia"/>
          <w:bCs/>
          <w:iCs/>
          <w:szCs w:val="19"/>
        </w:rPr>
      </w:pPr>
      <w:r w:rsidRPr="00AA177E">
        <w:rPr>
          <w:rFonts w:eastAsiaTheme="majorEastAsia"/>
          <w:bCs/>
          <w:iCs/>
          <w:szCs w:val="19"/>
        </w:rPr>
        <w:t>the nature of the risks being hedged, including a description of the hedged item.</w:t>
      </w:r>
    </w:p>
    <w:p w14:paraId="387E9A81" w14:textId="303081B8" w:rsidR="0077159F" w:rsidRPr="00155974" w:rsidRDefault="0077159F" w:rsidP="00834691">
      <w:pPr>
        <w:spacing w:after="100"/>
        <w:ind w:left="1564" w:hanging="782"/>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12.27]</w:t>
      </w:r>
    </w:p>
    <w:p w14:paraId="38C30CCA" w14:textId="7746C71A" w:rsidR="00F42DB6" w:rsidRPr="00155974" w:rsidRDefault="00F42DB6" w:rsidP="004B0ADC">
      <w:pPr>
        <w:pStyle w:val="NumPlain1"/>
        <w:keepNext/>
        <w:numPr>
          <w:ilvl w:val="0"/>
          <w:numId w:val="84"/>
        </w:numPr>
        <w:ind w:left="782" w:hanging="782"/>
        <w:rPr>
          <w:rFonts w:eastAsiaTheme="majorEastAsia"/>
        </w:rPr>
      </w:pPr>
      <w:bookmarkStart w:id="81" w:name="_Ref35360133"/>
      <w:r w:rsidRPr="00155974">
        <w:rPr>
          <w:rFonts w:eastAsiaTheme="majorEastAsia"/>
        </w:rPr>
        <w:t>For fair value hedges, the entity shall disclose the following:</w:t>
      </w:r>
      <w:bookmarkEnd w:id="81"/>
    </w:p>
    <w:p w14:paraId="2DCE60EC" w14:textId="5641689E" w:rsidR="00F42DB6" w:rsidRPr="00AA177E" w:rsidRDefault="00F42DB6" w:rsidP="000E61D3">
      <w:pPr>
        <w:pStyle w:val="ListParagraph"/>
        <w:numPr>
          <w:ilvl w:val="0"/>
          <w:numId w:val="118"/>
        </w:numPr>
        <w:ind w:left="1564" w:hanging="782"/>
        <w:jc w:val="both"/>
        <w:outlineLvl w:val="4"/>
        <w:rPr>
          <w:rFonts w:eastAsiaTheme="majorEastAsia"/>
          <w:bCs/>
          <w:iCs/>
          <w:szCs w:val="19"/>
        </w:rPr>
      </w:pPr>
      <w:r w:rsidRPr="00AA177E">
        <w:rPr>
          <w:rFonts w:eastAsiaTheme="majorEastAsia"/>
          <w:bCs/>
          <w:iCs/>
          <w:szCs w:val="19"/>
        </w:rPr>
        <w:t>the amount of the change in fair value of the hedging instrument recognised in profit or loss for the period; and</w:t>
      </w:r>
    </w:p>
    <w:p w14:paraId="616918C5" w14:textId="26575BAD" w:rsidR="00F42DB6" w:rsidRPr="00AA177E" w:rsidRDefault="00F42DB6" w:rsidP="00DF28F9">
      <w:pPr>
        <w:pStyle w:val="ListParagraph"/>
        <w:keepNext/>
        <w:numPr>
          <w:ilvl w:val="0"/>
          <w:numId w:val="118"/>
        </w:numPr>
        <w:ind w:left="1564" w:hanging="782"/>
        <w:jc w:val="both"/>
        <w:outlineLvl w:val="4"/>
        <w:rPr>
          <w:rFonts w:eastAsiaTheme="majorEastAsia"/>
          <w:bCs/>
          <w:iCs/>
          <w:szCs w:val="19"/>
        </w:rPr>
      </w:pPr>
      <w:r w:rsidRPr="00AA177E">
        <w:rPr>
          <w:rFonts w:eastAsiaTheme="majorEastAsia"/>
          <w:bCs/>
          <w:iCs/>
          <w:szCs w:val="19"/>
        </w:rPr>
        <w:t>the amount of the change in fair value of the hedged item recognised in profit or loss for the period.</w:t>
      </w:r>
    </w:p>
    <w:p w14:paraId="526BB7F7" w14:textId="4FED4004" w:rsidR="00B70810" w:rsidRPr="00155974" w:rsidRDefault="00B70810" w:rsidP="00834691">
      <w:pPr>
        <w:spacing w:after="100"/>
        <w:ind w:left="1564" w:hanging="782"/>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9D2F7E" w:rsidRPr="00155974">
        <w:rPr>
          <w:szCs w:val="19"/>
          <w:lang w:eastAsia="en-AU"/>
        </w:rPr>
        <w:t>2</w:t>
      </w:r>
      <w:r w:rsidRPr="00155974">
        <w:rPr>
          <w:szCs w:val="19"/>
          <w:lang w:eastAsia="en-AU"/>
        </w:rPr>
        <w:t>.2</w:t>
      </w:r>
      <w:r w:rsidR="009D2F7E" w:rsidRPr="00155974">
        <w:rPr>
          <w:szCs w:val="19"/>
          <w:lang w:eastAsia="en-AU"/>
        </w:rPr>
        <w:t>8</w:t>
      </w:r>
      <w:r w:rsidRPr="00155974">
        <w:rPr>
          <w:szCs w:val="19"/>
          <w:lang w:eastAsia="en-AU"/>
        </w:rPr>
        <w:t>]</w:t>
      </w:r>
    </w:p>
    <w:p w14:paraId="17E83202" w14:textId="71512C73" w:rsidR="00F42DB6" w:rsidRPr="00155974" w:rsidRDefault="00F42DB6" w:rsidP="000E61D3">
      <w:pPr>
        <w:pStyle w:val="NumPlain1"/>
        <w:numPr>
          <w:ilvl w:val="0"/>
          <w:numId w:val="84"/>
        </w:numPr>
        <w:ind w:left="782" w:hanging="782"/>
        <w:rPr>
          <w:rFonts w:eastAsiaTheme="majorEastAsia"/>
        </w:rPr>
      </w:pPr>
      <w:bookmarkStart w:id="82" w:name="_Ref34651264"/>
      <w:r w:rsidRPr="00155974">
        <w:rPr>
          <w:rFonts w:eastAsiaTheme="majorEastAsia"/>
        </w:rPr>
        <w:t>For cash flow hedges</w:t>
      </w:r>
      <w:r w:rsidR="000C2478" w:rsidRPr="00155974">
        <w:rPr>
          <w:rFonts w:eastAsiaTheme="majorEastAsia"/>
        </w:rPr>
        <w:t xml:space="preserve"> and hedges of </w:t>
      </w:r>
      <w:r w:rsidR="00304D74" w:rsidRPr="00155974">
        <w:rPr>
          <w:rFonts w:eastAsiaTheme="majorEastAsia"/>
        </w:rPr>
        <w:t xml:space="preserve">a </w:t>
      </w:r>
      <w:r w:rsidR="000C2478" w:rsidRPr="00155974">
        <w:rPr>
          <w:rFonts w:eastAsiaTheme="majorEastAsia"/>
        </w:rPr>
        <w:t>net investment</w:t>
      </w:r>
      <w:r w:rsidR="00304D74" w:rsidRPr="00155974">
        <w:rPr>
          <w:rFonts w:eastAsiaTheme="majorEastAsia"/>
        </w:rPr>
        <w:t xml:space="preserve"> in a foreign operation</w:t>
      </w:r>
      <w:r w:rsidRPr="00155974">
        <w:rPr>
          <w:rFonts w:eastAsiaTheme="majorEastAsia"/>
        </w:rPr>
        <w:t>, an entity shall disclose the following:</w:t>
      </w:r>
      <w:bookmarkEnd w:id="82"/>
    </w:p>
    <w:p w14:paraId="41D3348B" w14:textId="0064D35E" w:rsidR="00F42DB6" w:rsidRPr="00AA177E" w:rsidRDefault="00F42DB6" w:rsidP="000E61D3">
      <w:pPr>
        <w:pStyle w:val="ListParagraph"/>
        <w:numPr>
          <w:ilvl w:val="0"/>
          <w:numId w:val="119"/>
        </w:numPr>
        <w:ind w:left="1564" w:hanging="782"/>
        <w:jc w:val="both"/>
        <w:outlineLvl w:val="4"/>
        <w:rPr>
          <w:rFonts w:eastAsiaTheme="majorEastAsia"/>
          <w:bCs/>
          <w:iCs/>
          <w:szCs w:val="19"/>
        </w:rPr>
      </w:pPr>
      <w:r w:rsidRPr="00AA177E">
        <w:rPr>
          <w:rFonts w:eastAsiaTheme="majorEastAsia"/>
          <w:bCs/>
          <w:iCs/>
          <w:szCs w:val="19"/>
        </w:rPr>
        <w:t>the periods when the cash flows are expected to occur and when they are expected to affect profit or loss;</w:t>
      </w:r>
    </w:p>
    <w:p w14:paraId="5E938CB7" w14:textId="370D769F" w:rsidR="00F42DB6" w:rsidRPr="00AA177E" w:rsidRDefault="00F42DB6" w:rsidP="000E61D3">
      <w:pPr>
        <w:pStyle w:val="ListParagraph"/>
        <w:numPr>
          <w:ilvl w:val="0"/>
          <w:numId w:val="119"/>
        </w:numPr>
        <w:ind w:left="1564" w:hanging="782"/>
        <w:jc w:val="both"/>
        <w:outlineLvl w:val="4"/>
        <w:rPr>
          <w:rFonts w:eastAsiaTheme="majorEastAsia"/>
          <w:bCs/>
          <w:iCs/>
          <w:szCs w:val="19"/>
        </w:rPr>
      </w:pPr>
      <w:r w:rsidRPr="00AA177E">
        <w:rPr>
          <w:rFonts w:eastAsiaTheme="majorEastAsia"/>
          <w:bCs/>
          <w:iCs/>
          <w:szCs w:val="19"/>
        </w:rPr>
        <w:t>a description of any forecast transaction for which hedge accounting had previously been used, but which is no longer expected to occur;</w:t>
      </w:r>
    </w:p>
    <w:p w14:paraId="5D8A289D" w14:textId="1A8C7174" w:rsidR="00F42DB6" w:rsidRPr="00AA177E" w:rsidRDefault="00F42DB6" w:rsidP="000E61D3">
      <w:pPr>
        <w:pStyle w:val="ListParagraph"/>
        <w:numPr>
          <w:ilvl w:val="0"/>
          <w:numId w:val="119"/>
        </w:numPr>
        <w:ind w:left="1564" w:hanging="782"/>
        <w:jc w:val="both"/>
        <w:outlineLvl w:val="4"/>
        <w:rPr>
          <w:rFonts w:eastAsiaTheme="majorEastAsia"/>
          <w:bCs/>
          <w:iCs/>
          <w:szCs w:val="19"/>
        </w:rPr>
      </w:pPr>
      <w:r w:rsidRPr="00AA177E">
        <w:rPr>
          <w:rFonts w:eastAsiaTheme="majorEastAsia"/>
          <w:bCs/>
          <w:iCs/>
          <w:szCs w:val="19"/>
        </w:rPr>
        <w:t>the amount of the change in fair value of the hedging instrument that was recognised in other comprehensive income during the period;</w:t>
      </w:r>
    </w:p>
    <w:p w14:paraId="1844EA9A" w14:textId="18E94024" w:rsidR="00F42DB6" w:rsidRPr="00AA177E" w:rsidRDefault="00F42DB6" w:rsidP="000E61D3">
      <w:pPr>
        <w:pStyle w:val="ListParagraph"/>
        <w:numPr>
          <w:ilvl w:val="0"/>
          <w:numId w:val="119"/>
        </w:numPr>
        <w:ind w:left="1564" w:hanging="782"/>
        <w:jc w:val="both"/>
        <w:outlineLvl w:val="4"/>
        <w:rPr>
          <w:rFonts w:eastAsiaTheme="majorEastAsia"/>
          <w:bCs/>
          <w:iCs/>
          <w:szCs w:val="19"/>
        </w:rPr>
      </w:pPr>
      <w:r w:rsidRPr="00AA177E">
        <w:rPr>
          <w:rFonts w:eastAsiaTheme="majorEastAsia"/>
          <w:bCs/>
          <w:iCs/>
          <w:szCs w:val="19"/>
        </w:rPr>
        <w:t>the amount that was reclassified to profit or loss for the period; and</w:t>
      </w:r>
    </w:p>
    <w:p w14:paraId="26E8C813" w14:textId="474E661E" w:rsidR="00F42DB6" w:rsidRPr="00AA177E" w:rsidRDefault="00F42DB6" w:rsidP="000E44A1">
      <w:pPr>
        <w:pStyle w:val="ListParagraph"/>
        <w:keepNext/>
        <w:numPr>
          <w:ilvl w:val="0"/>
          <w:numId w:val="119"/>
        </w:numPr>
        <w:ind w:left="1564" w:hanging="782"/>
        <w:jc w:val="both"/>
        <w:rPr>
          <w:rFonts w:eastAsiaTheme="majorEastAsia"/>
          <w:bCs/>
          <w:iCs/>
          <w:szCs w:val="19"/>
        </w:rPr>
      </w:pPr>
      <w:r w:rsidRPr="00AA177E">
        <w:rPr>
          <w:rFonts w:eastAsiaTheme="majorEastAsia"/>
          <w:bCs/>
          <w:iCs/>
          <w:szCs w:val="19"/>
        </w:rPr>
        <w:t>the amount of any excess of the cumulative change in fair value of the hedging instrument over the cumulative change in the fair value of the expected cash flows that was recognised in profit or loss for the period.</w:t>
      </w:r>
    </w:p>
    <w:p w14:paraId="581EE167" w14:textId="5BBDC0ED" w:rsidR="00EB3742" w:rsidRPr="00246254" w:rsidRDefault="00EB3742" w:rsidP="00834691">
      <w:pPr>
        <w:spacing w:after="100"/>
        <w:ind w:left="1564" w:hanging="782"/>
        <w:rPr>
          <w:rFonts w:eastAsiaTheme="majorEastAsia"/>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12.29</w:t>
      </w:r>
      <w:r w:rsidRPr="00246254">
        <w:rPr>
          <w:szCs w:val="19"/>
          <w:lang w:eastAsia="en-AU"/>
        </w:rPr>
        <w:t>]</w:t>
      </w:r>
    </w:p>
    <w:p w14:paraId="4EBBE70F" w14:textId="07DF32DA" w:rsidR="00F42DB6" w:rsidRPr="00155974" w:rsidRDefault="00F42DB6" w:rsidP="00022B10">
      <w:pPr>
        <w:pStyle w:val="IASBSectionTitle2Ind"/>
        <w:rPr>
          <w:rFonts w:eastAsiaTheme="majorEastAsia"/>
          <w:sz w:val="20"/>
        </w:rPr>
      </w:pPr>
      <w:r w:rsidRPr="00155974">
        <w:rPr>
          <w:rFonts w:eastAsiaTheme="majorEastAsia"/>
        </w:rPr>
        <w:t>Inventories</w:t>
      </w:r>
      <w:r w:rsidRPr="00155974">
        <w:rPr>
          <w:rStyle w:val="FootnoteReference"/>
          <w:rFonts w:eastAsiaTheme="majorEastAsia"/>
          <w:bCs/>
          <w:iCs/>
          <w:sz w:val="22"/>
        </w:rPr>
        <w:footnoteReference w:id="13"/>
      </w:r>
    </w:p>
    <w:p w14:paraId="199C0F3B" w14:textId="18AE9CFB" w:rsidR="00F42DB6" w:rsidRPr="00155974" w:rsidRDefault="00F42DB6" w:rsidP="004B0ADC">
      <w:pPr>
        <w:pStyle w:val="NumPlain1"/>
        <w:keepNext/>
        <w:numPr>
          <w:ilvl w:val="0"/>
          <w:numId w:val="84"/>
        </w:numPr>
        <w:ind w:left="782" w:hanging="782"/>
        <w:rPr>
          <w:rFonts w:eastAsiaTheme="majorEastAsia"/>
        </w:rPr>
      </w:pPr>
      <w:bookmarkStart w:id="83" w:name="_Ref34651365"/>
      <w:r w:rsidRPr="00155974">
        <w:rPr>
          <w:rFonts w:eastAsiaTheme="majorEastAsia"/>
        </w:rPr>
        <w:t>An entity shall disclose the following:</w:t>
      </w:r>
      <w:bookmarkEnd w:id="83"/>
    </w:p>
    <w:p w14:paraId="130109AD" w14:textId="25B059DA" w:rsidR="00F42DB6" w:rsidRPr="00AA177E" w:rsidRDefault="00F42DB6" w:rsidP="000E61D3">
      <w:pPr>
        <w:pStyle w:val="ListParagraph"/>
        <w:numPr>
          <w:ilvl w:val="0"/>
          <w:numId w:val="120"/>
        </w:numPr>
        <w:ind w:left="1564" w:hanging="782"/>
        <w:jc w:val="both"/>
        <w:outlineLvl w:val="4"/>
        <w:rPr>
          <w:rFonts w:eastAsiaTheme="majorEastAsia"/>
          <w:bCs/>
          <w:iCs/>
          <w:szCs w:val="19"/>
        </w:rPr>
      </w:pPr>
      <w:r w:rsidRPr="00AA177E">
        <w:rPr>
          <w:rFonts w:eastAsiaTheme="majorEastAsia"/>
          <w:bCs/>
          <w:iCs/>
          <w:szCs w:val="19"/>
        </w:rPr>
        <w:t>the accounting policies adopted in measuring inventories, including the cost formula used;</w:t>
      </w:r>
    </w:p>
    <w:p w14:paraId="29DCF104" w14:textId="7973C893" w:rsidR="00F42DB6" w:rsidRPr="00AA177E" w:rsidRDefault="00F42DB6" w:rsidP="000E61D3">
      <w:pPr>
        <w:pStyle w:val="ListParagraph"/>
        <w:numPr>
          <w:ilvl w:val="0"/>
          <w:numId w:val="120"/>
        </w:numPr>
        <w:ind w:left="1564" w:hanging="782"/>
        <w:jc w:val="both"/>
        <w:outlineLvl w:val="4"/>
        <w:rPr>
          <w:rFonts w:eastAsiaTheme="majorEastAsia"/>
          <w:bCs/>
          <w:iCs/>
          <w:szCs w:val="19"/>
        </w:rPr>
      </w:pPr>
      <w:r w:rsidRPr="00AA177E">
        <w:rPr>
          <w:rFonts w:eastAsiaTheme="majorEastAsia"/>
          <w:bCs/>
          <w:iCs/>
          <w:szCs w:val="19"/>
        </w:rPr>
        <w:t>the total carrying amount of inventories and the carrying amount in classifications appropriate to the entity;</w:t>
      </w:r>
    </w:p>
    <w:p w14:paraId="1C16DEA7" w14:textId="69E29B12" w:rsidR="00F42DB6" w:rsidRPr="00AA177E" w:rsidRDefault="00F42DB6" w:rsidP="000E61D3">
      <w:pPr>
        <w:pStyle w:val="ListParagraph"/>
        <w:numPr>
          <w:ilvl w:val="0"/>
          <w:numId w:val="120"/>
        </w:numPr>
        <w:ind w:left="1564" w:hanging="782"/>
        <w:jc w:val="both"/>
        <w:outlineLvl w:val="4"/>
        <w:rPr>
          <w:rFonts w:eastAsiaTheme="majorEastAsia"/>
          <w:bCs/>
          <w:iCs/>
          <w:szCs w:val="19"/>
        </w:rPr>
      </w:pPr>
      <w:r w:rsidRPr="00AA177E">
        <w:rPr>
          <w:rFonts w:eastAsiaTheme="majorEastAsia"/>
          <w:bCs/>
          <w:iCs/>
          <w:szCs w:val="19"/>
        </w:rPr>
        <w:t>the amount of inventories recognised as an expense during the period;</w:t>
      </w:r>
    </w:p>
    <w:p w14:paraId="346868FC" w14:textId="3564027E" w:rsidR="00F42DB6" w:rsidRPr="00AA177E" w:rsidRDefault="00F42DB6" w:rsidP="000E61D3">
      <w:pPr>
        <w:pStyle w:val="ListParagraph"/>
        <w:numPr>
          <w:ilvl w:val="0"/>
          <w:numId w:val="120"/>
        </w:numPr>
        <w:ind w:left="1564" w:hanging="782"/>
        <w:jc w:val="both"/>
        <w:outlineLvl w:val="4"/>
        <w:rPr>
          <w:rFonts w:eastAsiaTheme="majorEastAsia"/>
          <w:bCs/>
          <w:iCs/>
          <w:szCs w:val="19"/>
        </w:rPr>
      </w:pPr>
      <w:r w:rsidRPr="00AA177E">
        <w:rPr>
          <w:rFonts w:eastAsiaTheme="majorEastAsia"/>
          <w:bCs/>
          <w:iCs/>
          <w:szCs w:val="19"/>
        </w:rPr>
        <w:t xml:space="preserve">impairment losses recognised or reversed in profit or loss in accordance with AASB 102 </w:t>
      </w:r>
      <w:r w:rsidRPr="00AA177E">
        <w:rPr>
          <w:rFonts w:eastAsiaTheme="majorEastAsia"/>
          <w:bCs/>
          <w:i/>
          <w:iCs/>
          <w:szCs w:val="19"/>
        </w:rPr>
        <w:t>Inventories</w:t>
      </w:r>
      <w:r w:rsidRPr="00AA177E">
        <w:rPr>
          <w:rFonts w:eastAsiaTheme="majorEastAsia"/>
          <w:bCs/>
          <w:iCs/>
          <w:szCs w:val="19"/>
        </w:rPr>
        <w:t>; and</w:t>
      </w:r>
    </w:p>
    <w:p w14:paraId="24906DDB" w14:textId="58C06667" w:rsidR="00F42DB6" w:rsidRPr="00AA177E" w:rsidRDefault="00F42DB6" w:rsidP="000E44A1">
      <w:pPr>
        <w:pStyle w:val="ListParagraph"/>
        <w:keepNext/>
        <w:numPr>
          <w:ilvl w:val="0"/>
          <w:numId w:val="120"/>
        </w:numPr>
        <w:ind w:left="1564" w:hanging="782"/>
        <w:jc w:val="both"/>
        <w:rPr>
          <w:szCs w:val="19"/>
          <w:lang w:eastAsia="en-AU"/>
        </w:rPr>
      </w:pPr>
      <w:r w:rsidRPr="00AA177E">
        <w:rPr>
          <w:szCs w:val="19"/>
          <w:lang w:eastAsia="en-AU"/>
        </w:rPr>
        <w:lastRenderedPageBreak/>
        <w:t>the total carrying amount of inventories pledged as security for liabilities.</w:t>
      </w:r>
    </w:p>
    <w:p w14:paraId="3CCA84F9" w14:textId="199F3E62" w:rsidR="00B524E6" w:rsidRPr="00155974" w:rsidRDefault="00B524E6" w:rsidP="00834691">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13.22]</w:t>
      </w:r>
    </w:p>
    <w:p w14:paraId="53D32A06" w14:textId="0CBB7B8A" w:rsidR="00F42DB6" w:rsidRPr="00155974" w:rsidRDefault="00F42DB6" w:rsidP="000E61D3">
      <w:pPr>
        <w:pStyle w:val="NumPlain1"/>
        <w:numPr>
          <w:ilvl w:val="0"/>
          <w:numId w:val="84"/>
        </w:numPr>
        <w:ind w:left="782" w:hanging="782"/>
      </w:pPr>
      <w:bookmarkStart w:id="84" w:name="_Ref34662750"/>
      <w:r w:rsidRPr="00155974">
        <w:rPr>
          <w:lang w:eastAsia="en-AU"/>
        </w:rPr>
        <w:t xml:space="preserve">Not-for-profit entities shall disclose </w:t>
      </w:r>
      <w:r w:rsidRPr="00155974">
        <w:t>the basis on which any loss of service potential of inventories held for distribution is assessed, or the bases when more than one basis is used</w:t>
      </w:r>
      <w:r w:rsidRPr="00155974">
        <w:rPr>
          <w:lang w:eastAsia="en-AU"/>
        </w:rPr>
        <w:t>, in addition to the information required by paragraph</w:t>
      </w:r>
      <w:r w:rsidR="00C83BD3" w:rsidRPr="00155974">
        <w:rPr>
          <w:lang w:eastAsia="en-AU"/>
        </w:rPr>
        <w:t xml:space="preserve"> </w:t>
      </w:r>
      <w:r w:rsidR="003726E3" w:rsidRPr="00155974">
        <w:rPr>
          <w:lang w:eastAsia="en-AU"/>
        </w:rPr>
        <w:t>123</w:t>
      </w:r>
      <w:r w:rsidRPr="00155974">
        <w:rPr>
          <w:lang w:eastAsia="en-AU"/>
        </w:rPr>
        <w:t>.</w:t>
      </w:r>
      <w:bookmarkEnd w:id="84"/>
      <w:r w:rsidRPr="00155974">
        <w:rPr>
          <w:lang w:eastAsia="en-AU"/>
        </w:rPr>
        <w:t xml:space="preserve"> </w:t>
      </w:r>
    </w:p>
    <w:p w14:paraId="057CF573" w14:textId="5B4600DE" w:rsidR="00F42DB6" w:rsidRPr="00155974" w:rsidRDefault="00F42DB6" w:rsidP="00022B10">
      <w:pPr>
        <w:pStyle w:val="IASBSectionTitle2Ind"/>
        <w:rPr>
          <w:rFonts w:eastAsiaTheme="majorEastAsia"/>
        </w:rPr>
      </w:pPr>
      <w:r w:rsidRPr="00155974">
        <w:rPr>
          <w:rFonts w:eastAsiaTheme="majorEastAsia"/>
        </w:rPr>
        <w:t>Investments in Associates</w:t>
      </w:r>
      <w:bookmarkStart w:id="85" w:name="_Ref8387556"/>
      <w:r w:rsidRPr="00155974">
        <w:rPr>
          <w:rStyle w:val="FootnoteReference"/>
          <w:rFonts w:eastAsiaTheme="majorEastAsia"/>
          <w:bCs/>
          <w:iCs/>
          <w:sz w:val="22"/>
        </w:rPr>
        <w:footnoteReference w:id="14"/>
      </w:r>
      <w:bookmarkEnd w:id="85"/>
    </w:p>
    <w:p w14:paraId="42EC0E16" w14:textId="6B17C4CC" w:rsidR="00F42DB6" w:rsidRPr="00155974" w:rsidRDefault="00F42DB6" w:rsidP="004B0ADC">
      <w:pPr>
        <w:pStyle w:val="NumPlain1"/>
        <w:keepNext/>
        <w:numPr>
          <w:ilvl w:val="0"/>
          <w:numId w:val="84"/>
        </w:numPr>
        <w:ind w:left="782" w:hanging="782"/>
        <w:rPr>
          <w:rFonts w:eastAsiaTheme="majorEastAsia"/>
        </w:rPr>
      </w:pPr>
      <w:bookmarkStart w:id="86" w:name="_Ref35358706"/>
      <w:r w:rsidRPr="00155974">
        <w:rPr>
          <w:rFonts w:eastAsiaTheme="majorEastAsia"/>
        </w:rPr>
        <w:t>An entity shall disclose the following:</w:t>
      </w:r>
      <w:bookmarkEnd w:id="86"/>
    </w:p>
    <w:p w14:paraId="74E5305D" w14:textId="7D5BB70A" w:rsidR="00F42DB6" w:rsidRPr="00AA177E" w:rsidRDefault="00F42DB6" w:rsidP="000E61D3">
      <w:pPr>
        <w:pStyle w:val="ListParagraph"/>
        <w:numPr>
          <w:ilvl w:val="0"/>
          <w:numId w:val="121"/>
        </w:numPr>
        <w:ind w:left="1564" w:hanging="782"/>
        <w:jc w:val="both"/>
        <w:rPr>
          <w:rFonts w:eastAsiaTheme="majorEastAsia"/>
          <w:bCs/>
          <w:iCs/>
          <w:szCs w:val="19"/>
        </w:rPr>
      </w:pPr>
      <w:r w:rsidRPr="00AA177E">
        <w:rPr>
          <w:rFonts w:eastAsiaTheme="majorEastAsia"/>
          <w:bCs/>
          <w:iCs/>
          <w:szCs w:val="19"/>
        </w:rPr>
        <w:t>its accounting policy for investments in associates;</w:t>
      </w:r>
    </w:p>
    <w:p w14:paraId="177D5FD7" w14:textId="4289F537" w:rsidR="00F42DB6" w:rsidRPr="00AA177E" w:rsidRDefault="00F42DB6" w:rsidP="000E61D3">
      <w:pPr>
        <w:pStyle w:val="ListParagraph"/>
        <w:numPr>
          <w:ilvl w:val="0"/>
          <w:numId w:val="121"/>
        </w:numPr>
        <w:ind w:left="1564" w:hanging="782"/>
        <w:jc w:val="both"/>
        <w:rPr>
          <w:rFonts w:eastAsiaTheme="majorEastAsia"/>
          <w:bCs/>
          <w:iCs/>
          <w:szCs w:val="19"/>
        </w:rPr>
      </w:pPr>
      <w:r w:rsidRPr="00AA177E">
        <w:rPr>
          <w:rFonts w:eastAsiaTheme="majorEastAsia"/>
          <w:bCs/>
          <w:iCs/>
          <w:szCs w:val="19"/>
        </w:rPr>
        <w:t xml:space="preserve">the carrying amount of investments in associates (see paragraph </w:t>
      </w:r>
      <w:r w:rsidR="002B3193" w:rsidRPr="00AA177E">
        <w:rPr>
          <w:rFonts w:eastAsiaTheme="majorEastAsia"/>
          <w:bCs/>
          <w:iCs/>
          <w:szCs w:val="19"/>
        </w:rPr>
        <w:t>35</w:t>
      </w:r>
      <w:r w:rsidRPr="00AA177E">
        <w:rPr>
          <w:rFonts w:eastAsiaTheme="majorEastAsia"/>
          <w:bCs/>
          <w:iCs/>
          <w:szCs w:val="19"/>
        </w:rPr>
        <w:t>(</w:t>
      </w:r>
      <w:r w:rsidR="00FA635F" w:rsidRPr="00AA177E">
        <w:rPr>
          <w:rFonts w:eastAsiaTheme="majorEastAsia"/>
          <w:bCs/>
          <w:iCs/>
          <w:szCs w:val="19"/>
        </w:rPr>
        <w:t>i</w:t>
      </w:r>
      <w:r w:rsidRPr="00AA177E">
        <w:rPr>
          <w:rFonts w:eastAsiaTheme="majorEastAsia"/>
          <w:bCs/>
          <w:iCs/>
          <w:szCs w:val="19"/>
        </w:rPr>
        <w:t>)); and</w:t>
      </w:r>
    </w:p>
    <w:p w14:paraId="3FD27EEA" w14:textId="41911F1D" w:rsidR="00F42DB6" w:rsidRPr="00AA177E" w:rsidRDefault="00F42DB6" w:rsidP="000E44A1">
      <w:pPr>
        <w:pStyle w:val="ListParagraph"/>
        <w:keepNext/>
        <w:numPr>
          <w:ilvl w:val="0"/>
          <w:numId w:val="121"/>
        </w:numPr>
        <w:ind w:left="1564" w:hanging="782"/>
        <w:jc w:val="both"/>
        <w:rPr>
          <w:rFonts w:eastAsiaTheme="majorEastAsia"/>
          <w:bCs/>
          <w:iCs/>
          <w:szCs w:val="19"/>
        </w:rPr>
      </w:pPr>
      <w:r w:rsidRPr="00AA177E">
        <w:rPr>
          <w:rFonts w:eastAsiaTheme="majorEastAsia"/>
          <w:bCs/>
          <w:iCs/>
          <w:szCs w:val="19"/>
        </w:rPr>
        <w:t>the fair value of investments in associates accounted for using the equity method for which there are published price quotations.</w:t>
      </w:r>
    </w:p>
    <w:p w14:paraId="3EE90B5D" w14:textId="0D28F9DD" w:rsidR="00E43398" w:rsidRPr="00155974" w:rsidRDefault="00E43398" w:rsidP="00834691">
      <w:pPr>
        <w:spacing w:after="100"/>
        <w:ind w:left="1564" w:hanging="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14.12]</w:t>
      </w:r>
    </w:p>
    <w:p w14:paraId="4CA1A82B" w14:textId="780658F7" w:rsidR="00326652" w:rsidRPr="00155974" w:rsidRDefault="00F42DB6" w:rsidP="000E61D3">
      <w:pPr>
        <w:pStyle w:val="NumPlain1"/>
        <w:numPr>
          <w:ilvl w:val="0"/>
          <w:numId w:val="84"/>
        </w:numPr>
        <w:ind w:left="782" w:hanging="782"/>
        <w:rPr>
          <w:rFonts w:eastAsiaTheme="majorEastAsia"/>
        </w:rPr>
      </w:pPr>
      <w:bookmarkStart w:id="87" w:name="_Ref35360164"/>
      <w:r w:rsidRPr="00155974">
        <w:rPr>
          <w:rFonts w:eastAsiaTheme="majorEastAsia"/>
        </w:rPr>
        <w:t>For investments in associates accounted for by the cost model, an investor shall disclose the amount of dividends and other distributions recognised as income.</w:t>
      </w:r>
      <w:r w:rsidR="00825941" w:rsidRPr="00155974">
        <w:rPr>
          <w:rFonts w:eastAsiaTheme="majorEastAsia"/>
        </w:rPr>
        <w:t xml:space="preserve"> </w:t>
      </w:r>
      <w:r w:rsidR="00B14844" w:rsidRPr="00155974">
        <w:rPr>
          <w:lang w:eastAsia="en-AU"/>
        </w:rPr>
        <w:t>[</w:t>
      </w:r>
      <w:r w:rsidR="0058144C" w:rsidRPr="00155974">
        <w:rPr>
          <w:i/>
          <w:lang w:eastAsia="en-AU"/>
        </w:rPr>
        <w:t>IFRS for SMEs</w:t>
      </w:r>
      <w:r w:rsidR="00B14844" w:rsidRPr="00155974">
        <w:rPr>
          <w:lang w:eastAsia="en-AU"/>
        </w:rPr>
        <w:t xml:space="preserve"> Standard paragraph 14.13]</w:t>
      </w:r>
      <w:bookmarkEnd w:id="87"/>
    </w:p>
    <w:p w14:paraId="63775EC8" w14:textId="0D78FA8A" w:rsidR="009C015B" w:rsidRPr="00155974" w:rsidRDefault="00F42DB6" w:rsidP="000E61D3">
      <w:pPr>
        <w:pStyle w:val="NumPlain1"/>
        <w:numPr>
          <w:ilvl w:val="0"/>
          <w:numId w:val="84"/>
        </w:numPr>
        <w:ind w:left="782" w:hanging="782"/>
        <w:rPr>
          <w:rFonts w:eastAsiaTheme="majorEastAsia"/>
        </w:rPr>
      </w:pPr>
      <w:r w:rsidRPr="00155974">
        <w:rPr>
          <w:rFonts w:eastAsiaTheme="majorEastAsia"/>
        </w:rPr>
        <w:t>For investments in associates accounted for by the equity method, an investor shall disclose separately its share of the profit or loss of such associates and its share of any discontinued operations of such associates.</w:t>
      </w:r>
      <w:r w:rsidR="00825941" w:rsidRPr="00155974">
        <w:rPr>
          <w:rFonts w:eastAsiaTheme="majorEastAsia"/>
        </w:rPr>
        <w:t xml:space="preserve"> </w:t>
      </w:r>
      <w:r w:rsidR="009C015B" w:rsidRPr="00155974">
        <w:rPr>
          <w:lang w:eastAsia="en-AU"/>
        </w:rPr>
        <w:t>[</w:t>
      </w:r>
      <w:r w:rsidR="0058144C" w:rsidRPr="00155974">
        <w:rPr>
          <w:i/>
          <w:lang w:eastAsia="en-AU"/>
        </w:rPr>
        <w:t>IFRS for SMEs</w:t>
      </w:r>
      <w:r w:rsidR="009C015B" w:rsidRPr="00155974">
        <w:rPr>
          <w:lang w:eastAsia="en-AU"/>
        </w:rPr>
        <w:t xml:space="preserve"> Standard paragraph 14.14]</w:t>
      </w:r>
    </w:p>
    <w:p w14:paraId="6B7918B6" w14:textId="75303794" w:rsidR="00F42DB6" w:rsidRPr="00155974" w:rsidRDefault="00F42DB6" w:rsidP="000E61D3">
      <w:pPr>
        <w:pStyle w:val="NumPlain1"/>
        <w:numPr>
          <w:ilvl w:val="0"/>
          <w:numId w:val="84"/>
        </w:numPr>
        <w:ind w:left="782" w:hanging="782"/>
        <w:rPr>
          <w:strike/>
          <w:lang w:eastAsia="en-AU"/>
        </w:rPr>
      </w:pPr>
      <w:bookmarkStart w:id="88" w:name="_Ref35358718"/>
      <w:r w:rsidRPr="00155974">
        <w:rPr>
          <w:lang w:eastAsia="en-AU"/>
        </w:rPr>
        <w:t xml:space="preserve">For investments in associates accounted for </w:t>
      </w:r>
      <w:r w:rsidR="00CD4543" w:rsidRPr="00155974">
        <w:rPr>
          <w:lang w:eastAsia="en-AU"/>
        </w:rPr>
        <w:t>in accordance with AASB 9</w:t>
      </w:r>
      <w:r w:rsidRPr="00155974">
        <w:rPr>
          <w:lang w:eastAsia="en-AU"/>
        </w:rPr>
        <w:t xml:space="preserve">, an investor shall make the disclosures required by paragraphs </w:t>
      </w:r>
      <w:r w:rsidR="003726E3" w:rsidRPr="00155974">
        <w:rPr>
          <w:lang w:eastAsia="en-AU"/>
        </w:rPr>
        <w:t>113</w:t>
      </w:r>
      <w:r w:rsidRPr="00155974">
        <w:rPr>
          <w:lang w:eastAsia="en-AU"/>
        </w:rPr>
        <w:t>–</w:t>
      </w:r>
      <w:r w:rsidR="003726E3" w:rsidRPr="00155974">
        <w:rPr>
          <w:lang w:eastAsia="en-AU"/>
        </w:rPr>
        <w:t>115</w:t>
      </w:r>
      <w:r w:rsidRPr="00155974">
        <w:rPr>
          <w:lang w:eastAsia="en-AU"/>
        </w:rPr>
        <w:t>.</w:t>
      </w:r>
      <w:r w:rsidR="00825941" w:rsidRPr="00155974">
        <w:rPr>
          <w:lang w:eastAsia="en-AU"/>
        </w:rPr>
        <w:t xml:space="preserve"> [Based on </w:t>
      </w:r>
      <w:r w:rsidR="0058144C" w:rsidRPr="00155974">
        <w:rPr>
          <w:i/>
          <w:iCs/>
          <w:lang w:eastAsia="en-AU"/>
        </w:rPr>
        <w:t>IFRS for SMEs</w:t>
      </w:r>
      <w:r w:rsidR="00825941" w:rsidRPr="00155974">
        <w:rPr>
          <w:lang w:eastAsia="en-AU"/>
        </w:rPr>
        <w:t xml:space="preserve"> Standard paragraph 14.15]</w:t>
      </w:r>
      <w:bookmarkEnd w:id="88"/>
    </w:p>
    <w:p w14:paraId="60506656" w14:textId="437CDC07" w:rsidR="00F42DB6" w:rsidRPr="00155974" w:rsidRDefault="00F42DB6" w:rsidP="00022B10">
      <w:pPr>
        <w:pStyle w:val="IASBSectionTitle2Ind"/>
        <w:rPr>
          <w:rFonts w:eastAsiaTheme="majorEastAsia"/>
          <w:sz w:val="20"/>
        </w:rPr>
      </w:pPr>
      <w:r w:rsidRPr="00155974">
        <w:rPr>
          <w:rFonts w:eastAsiaTheme="majorEastAsia"/>
        </w:rPr>
        <w:t>Investments in Joint Ventures</w:t>
      </w:r>
      <w:r w:rsidRPr="00155974">
        <w:rPr>
          <w:rStyle w:val="FootnoteReference"/>
          <w:rFonts w:eastAsiaTheme="majorEastAsia"/>
          <w:bCs/>
          <w:iCs/>
          <w:sz w:val="22"/>
        </w:rPr>
        <w:footnoteReference w:id="15"/>
      </w:r>
    </w:p>
    <w:p w14:paraId="0772E5C2" w14:textId="2811D1C9" w:rsidR="00F42DB6" w:rsidRPr="00155974" w:rsidRDefault="00F42DB6" w:rsidP="000E61D3">
      <w:pPr>
        <w:pStyle w:val="NumPlain1"/>
        <w:keepNext/>
        <w:numPr>
          <w:ilvl w:val="0"/>
          <w:numId w:val="84"/>
        </w:numPr>
        <w:ind w:left="782" w:hanging="782"/>
        <w:rPr>
          <w:lang w:eastAsia="en-AU"/>
        </w:rPr>
      </w:pPr>
      <w:bookmarkStart w:id="89" w:name="_Ref35358729"/>
      <w:r w:rsidRPr="00155974">
        <w:rPr>
          <w:lang w:eastAsia="en-AU"/>
        </w:rPr>
        <w:t>An entity shall disclose the following:</w:t>
      </w:r>
      <w:bookmarkEnd w:id="89"/>
    </w:p>
    <w:p w14:paraId="5DE50842" w14:textId="77637718" w:rsidR="00F42DB6" w:rsidRPr="00587A1B" w:rsidRDefault="00F42DB6" w:rsidP="000E61D3">
      <w:pPr>
        <w:pStyle w:val="ListParagraph"/>
        <w:numPr>
          <w:ilvl w:val="0"/>
          <w:numId w:val="122"/>
        </w:numPr>
        <w:ind w:left="1564" w:hanging="782"/>
        <w:jc w:val="both"/>
        <w:rPr>
          <w:rFonts w:eastAsiaTheme="majorEastAsia"/>
          <w:bCs/>
          <w:iCs/>
          <w:szCs w:val="19"/>
        </w:rPr>
      </w:pPr>
      <w:r w:rsidRPr="00587A1B">
        <w:rPr>
          <w:szCs w:val="19"/>
          <w:lang w:eastAsia="en-AU"/>
        </w:rPr>
        <w:t xml:space="preserve">the accounting policy it uses for recognising its interests in joint ventures; </w:t>
      </w:r>
    </w:p>
    <w:p w14:paraId="367AC270" w14:textId="3DDCD293" w:rsidR="00F42DB6" w:rsidRPr="00587A1B" w:rsidRDefault="00F42DB6" w:rsidP="000E61D3">
      <w:pPr>
        <w:pStyle w:val="ListParagraph"/>
        <w:numPr>
          <w:ilvl w:val="0"/>
          <w:numId w:val="122"/>
        </w:numPr>
        <w:ind w:left="1564" w:hanging="782"/>
        <w:jc w:val="both"/>
        <w:rPr>
          <w:rFonts w:eastAsiaTheme="majorEastAsia"/>
          <w:bCs/>
          <w:iCs/>
          <w:szCs w:val="19"/>
        </w:rPr>
      </w:pPr>
      <w:r w:rsidRPr="00587A1B">
        <w:rPr>
          <w:rFonts w:eastAsiaTheme="majorEastAsia"/>
          <w:bCs/>
          <w:iCs/>
          <w:szCs w:val="19"/>
        </w:rPr>
        <w:t xml:space="preserve">the carrying amount of investments in joint ventures (see paragraph </w:t>
      </w:r>
      <w:r w:rsidR="002B3193" w:rsidRPr="00587A1B">
        <w:rPr>
          <w:rFonts w:eastAsiaTheme="majorEastAsia"/>
          <w:bCs/>
          <w:iCs/>
          <w:szCs w:val="19"/>
        </w:rPr>
        <w:t>35</w:t>
      </w:r>
      <w:r w:rsidRPr="00587A1B">
        <w:rPr>
          <w:rFonts w:eastAsiaTheme="majorEastAsia"/>
          <w:bCs/>
          <w:iCs/>
          <w:szCs w:val="19"/>
        </w:rPr>
        <w:t>(</w:t>
      </w:r>
      <w:r w:rsidR="002F4EAC" w:rsidRPr="00587A1B">
        <w:rPr>
          <w:rFonts w:eastAsiaTheme="majorEastAsia"/>
          <w:bCs/>
          <w:iCs/>
          <w:szCs w:val="19"/>
        </w:rPr>
        <w:t>j</w:t>
      </w:r>
      <w:r w:rsidRPr="00587A1B">
        <w:rPr>
          <w:rFonts w:eastAsiaTheme="majorEastAsia"/>
          <w:bCs/>
          <w:iCs/>
          <w:szCs w:val="19"/>
        </w:rPr>
        <w:t>));</w:t>
      </w:r>
    </w:p>
    <w:p w14:paraId="1E822333" w14:textId="5B8718CF" w:rsidR="00F42DB6" w:rsidRPr="00587A1B" w:rsidRDefault="00F42DB6" w:rsidP="000E61D3">
      <w:pPr>
        <w:pStyle w:val="ListParagraph"/>
        <w:numPr>
          <w:ilvl w:val="0"/>
          <w:numId w:val="122"/>
        </w:numPr>
        <w:ind w:left="1564" w:hanging="782"/>
        <w:jc w:val="both"/>
        <w:rPr>
          <w:rFonts w:eastAsiaTheme="majorEastAsia"/>
          <w:bCs/>
          <w:iCs/>
          <w:szCs w:val="19"/>
        </w:rPr>
      </w:pPr>
      <w:r w:rsidRPr="00587A1B">
        <w:rPr>
          <w:rFonts w:eastAsiaTheme="majorEastAsia"/>
          <w:bCs/>
          <w:iCs/>
          <w:szCs w:val="19"/>
        </w:rPr>
        <w:t>the fair value of investments in joint ventures accounted for using the equity method for which there are published price quotations; and</w:t>
      </w:r>
    </w:p>
    <w:p w14:paraId="018D0D35" w14:textId="68CF9B02" w:rsidR="00F42DB6" w:rsidRPr="00587A1B" w:rsidRDefault="00F42DB6" w:rsidP="000E44A1">
      <w:pPr>
        <w:pStyle w:val="ListParagraph"/>
        <w:keepNext/>
        <w:numPr>
          <w:ilvl w:val="0"/>
          <w:numId w:val="122"/>
        </w:numPr>
        <w:ind w:left="1564" w:hanging="782"/>
        <w:jc w:val="both"/>
        <w:rPr>
          <w:rFonts w:eastAsiaTheme="majorEastAsia"/>
          <w:bCs/>
          <w:iCs/>
          <w:szCs w:val="19"/>
        </w:rPr>
      </w:pPr>
      <w:r w:rsidRPr="00587A1B">
        <w:rPr>
          <w:rFonts w:eastAsiaTheme="majorEastAsia"/>
          <w:bCs/>
          <w:iCs/>
          <w:szCs w:val="19"/>
        </w:rPr>
        <w:t>the aggregate amount of its commitments relating to joint ventures, including its share in the capital commitments that have been incurred jointly with other venturers, as well as its share of the capital commitments of the joint ventures themselves.</w:t>
      </w:r>
    </w:p>
    <w:p w14:paraId="018FFB18" w14:textId="694F77D7" w:rsidR="00380E9C" w:rsidRPr="00155974" w:rsidRDefault="00380E9C" w:rsidP="00834691">
      <w:pPr>
        <w:spacing w:after="100"/>
        <w:ind w:left="1564" w:hanging="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15.19]</w:t>
      </w:r>
    </w:p>
    <w:p w14:paraId="1B406E24" w14:textId="7F7A8572"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 xml:space="preserve">For joint ventures accounted for in accordance with the equity method, the venturer shall also make the disclosures required by paragraph </w:t>
      </w:r>
      <w:r w:rsidR="00333007">
        <w:rPr>
          <w:rFonts w:eastAsiaTheme="majorEastAsia"/>
        </w:rPr>
        <w:t>127</w:t>
      </w:r>
      <w:r w:rsidRPr="00155974">
        <w:rPr>
          <w:rFonts w:eastAsiaTheme="majorEastAsia"/>
        </w:rPr>
        <w:t xml:space="preserve"> for equity method investments.</w:t>
      </w:r>
      <w:r w:rsidR="006B438B" w:rsidRPr="00155974">
        <w:rPr>
          <w:rFonts w:eastAsiaTheme="majorEastAsia"/>
        </w:rPr>
        <w:t xml:space="preserve"> </w:t>
      </w:r>
      <w:r w:rsidR="00FD227D" w:rsidRPr="00155974">
        <w:rPr>
          <w:lang w:eastAsia="en-AU"/>
        </w:rPr>
        <w:t>[</w:t>
      </w:r>
      <w:r w:rsidR="0058144C" w:rsidRPr="00155974">
        <w:rPr>
          <w:i/>
          <w:lang w:eastAsia="en-AU"/>
        </w:rPr>
        <w:t>IFRS for SMEs</w:t>
      </w:r>
      <w:r w:rsidR="00FD227D" w:rsidRPr="00155974">
        <w:rPr>
          <w:lang w:eastAsia="en-AU"/>
        </w:rPr>
        <w:t xml:space="preserve"> Standard paragraph 15.20]</w:t>
      </w:r>
    </w:p>
    <w:p w14:paraId="11CE244A" w14:textId="529160D4" w:rsidR="00F42DB6" w:rsidRPr="00155974" w:rsidRDefault="00F42DB6" w:rsidP="000E61D3">
      <w:pPr>
        <w:pStyle w:val="NumPlain1"/>
        <w:numPr>
          <w:ilvl w:val="0"/>
          <w:numId w:val="84"/>
        </w:numPr>
        <w:ind w:left="782" w:hanging="782"/>
        <w:rPr>
          <w:strike/>
          <w:lang w:eastAsia="en-AU"/>
        </w:rPr>
      </w:pPr>
      <w:bookmarkStart w:id="90" w:name="_Ref35358746"/>
      <w:r w:rsidRPr="00155974">
        <w:rPr>
          <w:lang w:eastAsia="en-AU"/>
        </w:rPr>
        <w:t xml:space="preserve">For joint ventures accounted for in accordance with </w:t>
      </w:r>
      <w:r w:rsidR="00211D7B" w:rsidRPr="00155974">
        <w:rPr>
          <w:lang w:eastAsia="en-AU"/>
        </w:rPr>
        <w:t>AASB 9</w:t>
      </w:r>
      <w:r w:rsidRPr="00155974">
        <w:rPr>
          <w:lang w:eastAsia="en-AU"/>
        </w:rPr>
        <w:t xml:space="preserve">, the venturer shall make the disclosures required by paragraphs </w:t>
      </w:r>
      <w:r w:rsidR="003726E3" w:rsidRPr="00155974">
        <w:rPr>
          <w:lang w:eastAsia="en-AU"/>
        </w:rPr>
        <w:t>113</w:t>
      </w:r>
      <w:r w:rsidR="006B7207" w:rsidRPr="00155974">
        <w:rPr>
          <w:lang w:eastAsia="en-AU"/>
        </w:rPr>
        <w:t>–</w:t>
      </w:r>
      <w:r w:rsidR="003726E3" w:rsidRPr="00155974">
        <w:rPr>
          <w:lang w:eastAsia="en-AU"/>
        </w:rPr>
        <w:t>115</w:t>
      </w:r>
      <w:r w:rsidRPr="00155974">
        <w:rPr>
          <w:lang w:eastAsia="en-AU"/>
        </w:rPr>
        <w:t>.</w:t>
      </w:r>
      <w:r w:rsidR="00B84DB0" w:rsidRPr="00155974">
        <w:rPr>
          <w:lang w:eastAsia="en-AU"/>
        </w:rPr>
        <w:t xml:space="preserve"> [Based on </w:t>
      </w:r>
      <w:r w:rsidR="0058144C" w:rsidRPr="00155974">
        <w:rPr>
          <w:i/>
          <w:iCs/>
          <w:lang w:eastAsia="en-AU"/>
        </w:rPr>
        <w:t>IFRS for SMEs</w:t>
      </w:r>
      <w:r w:rsidR="00B84DB0" w:rsidRPr="00155974">
        <w:rPr>
          <w:lang w:eastAsia="en-AU"/>
        </w:rPr>
        <w:t xml:space="preserve"> Standard paragraph 15.21]</w:t>
      </w:r>
      <w:bookmarkEnd w:id="90"/>
    </w:p>
    <w:p w14:paraId="2D47CD65" w14:textId="4C074D45" w:rsidR="00F42DB6" w:rsidRPr="00155974" w:rsidRDefault="00F42DB6" w:rsidP="00022B10">
      <w:pPr>
        <w:pStyle w:val="IASBSectionTitle2Ind"/>
        <w:rPr>
          <w:sz w:val="20"/>
          <w:lang w:eastAsia="en-AU"/>
        </w:rPr>
      </w:pPr>
      <w:r w:rsidRPr="00155974">
        <w:rPr>
          <w:rFonts w:eastAsiaTheme="majorEastAsia"/>
        </w:rPr>
        <w:t>Investment Property at Fair Value</w:t>
      </w:r>
      <w:r w:rsidRPr="00155974">
        <w:rPr>
          <w:rStyle w:val="FootnoteReference"/>
          <w:rFonts w:eastAsiaTheme="majorEastAsia"/>
          <w:bCs/>
          <w:iCs/>
          <w:sz w:val="22"/>
          <w:szCs w:val="22"/>
        </w:rPr>
        <w:footnoteReference w:id="16"/>
      </w:r>
    </w:p>
    <w:p w14:paraId="369F62C3" w14:textId="4F2C2E67" w:rsidR="00F42DB6" w:rsidRPr="00155974" w:rsidRDefault="00F42DB6" w:rsidP="000E61D3">
      <w:pPr>
        <w:pStyle w:val="NumPlain1"/>
        <w:numPr>
          <w:ilvl w:val="0"/>
          <w:numId w:val="84"/>
        </w:numPr>
        <w:ind w:left="782" w:hanging="782"/>
        <w:rPr>
          <w:lang w:eastAsia="en-AU"/>
        </w:rPr>
      </w:pPr>
      <w:r w:rsidRPr="00155974">
        <w:rPr>
          <w:lang w:eastAsia="en-AU"/>
        </w:rPr>
        <w:t xml:space="preserve">An entity shall disclose the following for all investment property accounted for at fair value through profit or loss (paragraph 33 of AASB 140 </w:t>
      </w:r>
      <w:r w:rsidRPr="00155974">
        <w:rPr>
          <w:i/>
          <w:lang w:eastAsia="en-AU"/>
        </w:rPr>
        <w:t>Investment Property</w:t>
      </w:r>
      <w:r w:rsidRPr="00155974">
        <w:rPr>
          <w:iCs/>
          <w:lang w:eastAsia="en-AU"/>
        </w:rPr>
        <w:t>)</w:t>
      </w:r>
      <w:r w:rsidRPr="00155974">
        <w:rPr>
          <w:lang w:eastAsia="en-AU"/>
        </w:rPr>
        <w:t>:</w:t>
      </w:r>
    </w:p>
    <w:p w14:paraId="1B9CAFFA" w14:textId="1A5E71EF" w:rsidR="00F42DB6" w:rsidRPr="00587A1B" w:rsidRDefault="00F42DB6" w:rsidP="000E61D3">
      <w:pPr>
        <w:pStyle w:val="ListParagraph"/>
        <w:numPr>
          <w:ilvl w:val="0"/>
          <w:numId w:val="123"/>
        </w:numPr>
        <w:ind w:left="1564" w:hanging="782"/>
        <w:jc w:val="both"/>
        <w:rPr>
          <w:szCs w:val="19"/>
          <w:lang w:eastAsia="en-AU"/>
        </w:rPr>
      </w:pPr>
      <w:r w:rsidRPr="00587A1B">
        <w:rPr>
          <w:szCs w:val="19"/>
          <w:lang w:eastAsia="en-AU"/>
        </w:rPr>
        <w:t>the methods and significant assumptions applied in determining the fair value of investment property</w:t>
      </w:r>
      <w:r w:rsidR="00C7046F" w:rsidRPr="00587A1B">
        <w:rPr>
          <w:szCs w:val="19"/>
          <w:lang w:eastAsia="en-AU"/>
        </w:rPr>
        <w:t>;</w:t>
      </w:r>
    </w:p>
    <w:p w14:paraId="6517DB31" w14:textId="344599B1" w:rsidR="00F42DB6" w:rsidRPr="00587A1B" w:rsidRDefault="00F42DB6" w:rsidP="000E61D3">
      <w:pPr>
        <w:pStyle w:val="ListParagraph"/>
        <w:numPr>
          <w:ilvl w:val="0"/>
          <w:numId w:val="123"/>
        </w:numPr>
        <w:ind w:left="1564" w:hanging="782"/>
        <w:jc w:val="both"/>
        <w:rPr>
          <w:szCs w:val="19"/>
          <w:lang w:eastAsia="en-AU"/>
        </w:rPr>
      </w:pPr>
      <w:r w:rsidRPr="00587A1B">
        <w:rPr>
          <w:szCs w:val="19"/>
          <w:lang w:eastAsia="en-AU"/>
        </w:rPr>
        <w:lastRenderedPageBreak/>
        <w:t>the extent to which the fair value of investment property (as measured or disclosed in the financial statements) is based on a valuation by an independent valuer who holds a recognised and relevant professional qualification and has recent experience in the location and class of the investment property being valued. If there has been no such valuation, that fact shall be disclosed</w:t>
      </w:r>
      <w:r w:rsidR="00C7046F" w:rsidRPr="00587A1B">
        <w:rPr>
          <w:szCs w:val="19"/>
          <w:lang w:eastAsia="en-AU"/>
        </w:rPr>
        <w:t>;</w:t>
      </w:r>
    </w:p>
    <w:p w14:paraId="5F40CAAE" w14:textId="6D25FA28" w:rsidR="00F42DB6" w:rsidRPr="00587A1B" w:rsidRDefault="00F42DB6" w:rsidP="000E61D3">
      <w:pPr>
        <w:pStyle w:val="ListParagraph"/>
        <w:numPr>
          <w:ilvl w:val="0"/>
          <w:numId w:val="123"/>
        </w:numPr>
        <w:ind w:left="1564" w:hanging="782"/>
        <w:jc w:val="both"/>
        <w:rPr>
          <w:szCs w:val="19"/>
          <w:lang w:eastAsia="en-AU"/>
        </w:rPr>
      </w:pPr>
      <w:r w:rsidRPr="00587A1B">
        <w:rPr>
          <w:szCs w:val="19"/>
          <w:lang w:eastAsia="en-AU"/>
        </w:rPr>
        <w:t>the existence and amounts of restrictions on the realisability of investment property or the remittance of income and proceeds of disposal</w:t>
      </w:r>
      <w:r w:rsidR="00C7046F" w:rsidRPr="00587A1B">
        <w:rPr>
          <w:szCs w:val="19"/>
          <w:lang w:eastAsia="en-AU"/>
        </w:rPr>
        <w:t>;</w:t>
      </w:r>
    </w:p>
    <w:p w14:paraId="53AC53EB" w14:textId="64FACF15" w:rsidR="00F42DB6" w:rsidRPr="00587A1B" w:rsidRDefault="00F42DB6" w:rsidP="000E61D3">
      <w:pPr>
        <w:pStyle w:val="ListParagraph"/>
        <w:numPr>
          <w:ilvl w:val="0"/>
          <w:numId w:val="123"/>
        </w:numPr>
        <w:ind w:left="1564" w:hanging="782"/>
        <w:jc w:val="both"/>
        <w:rPr>
          <w:szCs w:val="19"/>
          <w:lang w:eastAsia="en-AU"/>
        </w:rPr>
      </w:pPr>
      <w:r w:rsidRPr="00587A1B">
        <w:rPr>
          <w:szCs w:val="19"/>
          <w:lang w:eastAsia="en-AU"/>
        </w:rPr>
        <w:t>contractual obligations to purchase, construct or develop investment property or for repairs, maintenance or enhancements</w:t>
      </w:r>
      <w:r w:rsidR="00C7046F" w:rsidRPr="00587A1B">
        <w:rPr>
          <w:szCs w:val="19"/>
          <w:lang w:eastAsia="en-AU"/>
        </w:rPr>
        <w:t>; and</w:t>
      </w:r>
    </w:p>
    <w:p w14:paraId="151C4EFE" w14:textId="04E750E5" w:rsidR="00F42DB6" w:rsidRPr="00587A1B" w:rsidRDefault="00F42DB6" w:rsidP="000E61D3">
      <w:pPr>
        <w:pStyle w:val="ListParagraph"/>
        <w:numPr>
          <w:ilvl w:val="0"/>
          <w:numId w:val="123"/>
        </w:numPr>
        <w:ind w:left="1564" w:hanging="782"/>
        <w:jc w:val="both"/>
        <w:rPr>
          <w:szCs w:val="19"/>
          <w:lang w:eastAsia="en-AU"/>
        </w:rPr>
      </w:pPr>
      <w:r w:rsidRPr="00587A1B">
        <w:rPr>
          <w:szCs w:val="19"/>
          <w:lang w:eastAsia="en-AU"/>
        </w:rPr>
        <w:t>a reconciliation between the carrying amounts of investment property at the beginning and end of the period, showing separately:</w:t>
      </w:r>
    </w:p>
    <w:p w14:paraId="7A0F19F9" w14:textId="391702C3" w:rsidR="00F42DB6" w:rsidRPr="00587A1B" w:rsidRDefault="00F42DB6" w:rsidP="000E61D3">
      <w:pPr>
        <w:pStyle w:val="ListParagraph"/>
        <w:numPr>
          <w:ilvl w:val="0"/>
          <w:numId w:val="124"/>
        </w:numPr>
        <w:ind w:left="2347" w:hanging="782"/>
        <w:jc w:val="both"/>
        <w:rPr>
          <w:szCs w:val="19"/>
          <w:lang w:eastAsia="en-AU"/>
        </w:rPr>
      </w:pPr>
      <w:r w:rsidRPr="00587A1B">
        <w:rPr>
          <w:szCs w:val="19"/>
          <w:lang w:eastAsia="en-AU"/>
        </w:rPr>
        <w:t>additions, disclosing separately those additions resulting from acquisitions through business combinations;</w:t>
      </w:r>
    </w:p>
    <w:p w14:paraId="30644C09" w14:textId="42D1B4B4" w:rsidR="00F42DB6" w:rsidRPr="00587A1B" w:rsidRDefault="00F42DB6" w:rsidP="000E61D3">
      <w:pPr>
        <w:pStyle w:val="ListParagraph"/>
        <w:numPr>
          <w:ilvl w:val="0"/>
          <w:numId w:val="124"/>
        </w:numPr>
        <w:ind w:left="2347" w:hanging="782"/>
        <w:jc w:val="both"/>
        <w:rPr>
          <w:szCs w:val="19"/>
          <w:lang w:eastAsia="en-AU"/>
        </w:rPr>
      </w:pPr>
      <w:r w:rsidRPr="00587A1B">
        <w:rPr>
          <w:szCs w:val="19"/>
          <w:lang w:eastAsia="en-AU"/>
        </w:rPr>
        <w:t>net gains or losses from fair value adjustments;</w:t>
      </w:r>
    </w:p>
    <w:p w14:paraId="12C5C260" w14:textId="020E2A45" w:rsidR="00F42DB6" w:rsidRPr="00587A1B" w:rsidRDefault="00F42DB6" w:rsidP="000E61D3">
      <w:pPr>
        <w:pStyle w:val="ListParagraph"/>
        <w:numPr>
          <w:ilvl w:val="0"/>
          <w:numId w:val="124"/>
        </w:numPr>
        <w:ind w:left="2347" w:hanging="782"/>
        <w:jc w:val="both"/>
        <w:rPr>
          <w:strike/>
          <w:szCs w:val="19"/>
          <w:lang w:eastAsia="en-AU"/>
        </w:rPr>
      </w:pPr>
      <w:r w:rsidRPr="00587A1B">
        <w:rPr>
          <w:szCs w:val="19"/>
          <w:lang w:eastAsia="en-AU"/>
        </w:rPr>
        <w:t>transfers to and from investment property carried at cost less accumulated depreciation and impairment (see paragraph 57 of AASB 140);</w:t>
      </w:r>
    </w:p>
    <w:p w14:paraId="47BE8CD4" w14:textId="74785A7A" w:rsidR="00F42DB6" w:rsidRPr="00587A1B" w:rsidRDefault="00F42DB6" w:rsidP="000E61D3">
      <w:pPr>
        <w:pStyle w:val="ListParagraph"/>
        <w:numPr>
          <w:ilvl w:val="0"/>
          <w:numId w:val="124"/>
        </w:numPr>
        <w:ind w:left="2347" w:hanging="782"/>
        <w:jc w:val="both"/>
        <w:rPr>
          <w:szCs w:val="19"/>
          <w:lang w:eastAsia="en-AU"/>
        </w:rPr>
      </w:pPr>
      <w:r w:rsidRPr="00587A1B">
        <w:rPr>
          <w:szCs w:val="19"/>
          <w:lang w:eastAsia="en-AU"/>
        </w:rPr>
        <w:t>transfers to and from inventories and owner-occupied property; and</w:t>
      </w:r>
    </w:p>
    <w:p w14:paraId="742D8471" w14:textId="735D9AD5" w:rsidR="00F42DB6" w:rsidRPr="00587A1B" w:rsidRDefault="00F42DB6" w:rsidP="000E44A1">
      <w:pPr>
        <w:pStyle w:val="ListParagraph"/>
        <w:keepNext/>
        <w:numPr>
          <w:ilvl w:val="0"/>
          <w:numId w:val="124"/>
        </w:numPr>
        <w:ind w:left="2347" w:hanging="782"/>
        <w:jc w:val="both"/>
        <w:rPr>
          <w:szCs w:val="19"/>
          <w:lang w:eastAsia="en-AU"/>
        </w:rPr>
      </w:pPr>
      <w:r w:rsidRPr="00587A1B">
        <w:rPr>
          <w:szCs w:val="19"/>
          <w:lang w:eastAsia="en-AU"/>
        </w:rPr>
        <w:t>other changes.</w:t>
      </w:r>
    </w:p>
    <w:p w14:paraId="774B58EC" w14:textId="59A0EC92" w:rsidR="00555A30" w:rsidRPr="00155974" w:rsidRDefault="00F42DB6" w:rsidP="00834691">
      <w:pPr>
        <w:spacing w:after="100"/>
        <w:ind w:left="1564" w:hanging="782"/>
        <w:rPr>
          <w:szCs w:val="19"/>
          <w:lang w:eastAsia="en-AU"/>
        </w:rPr>
      </w:pPr>
      <w:r w:rsidRPr="00155974">
        <w:rPr>
          <w:szCs w:val="19"/>
          <w:lang w:eastAsia="en-AU"/>
        </w:rPr>
        <w:t>This reconciliation need not be presented for prior periods.</w:t>
      </w:r>
      <w:r w:rsidR="00A14A2A" w:rsidRPr="00155974">
        <w:rPr>
          <w:szCs w:val="19"/>
          <w:lang w:eastAsia="en-AU"/>
        </w:rPr>
        <w:t xml:space="preserve"> </w:t>
      </w:r>
      <w:r w:rsidR="00555A30" w:rsidRPr="00155974">
        <w:rPr>
          <w:szCs w:val="19"/>
          <w:lang w:eastAsia="en-AU"/>
        </w:rPr>
        <w:t>[</w:t>
      </w:r>
      <w:r w:rsidR="0058144C" w:rsidRPr="00155974">
        <w:rPr>
          <w:i/>
          <w:iCs/>
          <w:szCs w:val="19"/>
          <w:lang w:eastAsia="en-AU"/>
        </w:rPr>
        <w:t>IFRS for SMEs</w:t>
      </w:r>
      <w:r w:rsidR="00555A30" w:rsidRPr="00155974">
        <w:rPr>
          <w:szCs w:val="19"/>
          <w:lang w:eastAsia="en-AU"/>
        </w:rPr>
        <w:t xml:space="preserve"> Standard paragraph 16.10]</w:t>
      </w:r>
    </w:p>
    <w:p w14:paraId="34D7A3FB" w14:textId="749DB86F" w:rsidR="00F42DB6" w:rsidRPr="00155974" w:rsidRDefault="00F42DB6" w:rsidP="000E61D3">
      <w:pPr>
        <w:pStyle w:val="NumPlain1"/>
        <w:numPr>
          <w:ilvl w:val="0"/>
          <w:numId w:val="84"/>
        </w:numPr>
        <w:ind w:left="782" w:hanging="782"/>
        <w:rPr>
          <w:u w:val="single"/>
          <w:lang w:eastAsia="en-AU"/>
        </w:rPr>
      </w:pPr>
      <w:r w:rsidRPr="00155974">
        <w:rPr>
          <w:lang w:eastAsia="en-AU"/>
        </w:rPr>
        <w:t xml:space="preserve">1n accordance with </w:t>
      </w:r>
      <w:r w:rsidR="00076150" w:rsidRPr="00155974">
        <w:rPr>
          <w:lang w:eastAsia="en-AU"/>
        </w:rPr>
        <w:t xml:space="preserve">the </w:t>
      </w:r>
      <w:r w:rsidR="00595330" w:rsidRPr="00155974">
        <w:rPr>
          <w:lang w:eastAsia="en-AU"/>
        </w:rPr>
        <w:t>section</w:t>
      </w:r>
      <w:r w:rsidR="00595330" w:rsidRPr="00155974" w:rsidDel="00076150">
        <w:rPr>
          <w:lang w:eastAsia="en-AU"/>
        </w:rPr>
        <w:t xml:space="preserve"> </w:t>
      </w:r>
      <w:r w:rsidR="00595330" w:rsidRPr="00155974">
        <w:rPr>
          <w:lang w:eastAsia="en-AU"/>
        </w:rPr>
        <w:t xml:space="preserve">covering </w:t>
      </w:r>
      <w:hyperlink w:anchor="Leases" w:history="1">
        <w:r w:rsidR="00076150" w:rsidRPr="00155974">
          <w:rPr>
            <w:lang w:eastAsia="en-AU"/>
          </w:rPr>
          <w:t>Leases</w:t>
        </w:r>
      </w:hyperlink>
      <w:r w:rsidR="00C544FC" w:rsidRPr="00155974">
        <w:rPr>
          <w:lang w:eastAsia="en-AU"/>
        </w:rPr>
        <w:t>,</w:t>
      </w:r>
      <w:r w:rsidRPr="00155974">
        <w:rPr>
          <w:lang w:eastAsia="en-AU"/>
        </w:rPr>
        <w:t xml:space="preserve"> the owner of an investment property provides lessors’ disclosures about leases into which it has entered. A lessee that holds a right-of-use asset that is an investment property provides lessees’ disclosures as required by </w:t>
      </w:r>
      <w:r w:rsidR="003D192E" w:rsidRPr="00155974">
        <w:rPr>
          <w:lang w:eastAsia="en-AU"/>
        </w:rPr>
        <w:t>that</w:t>
      </w:r>
      <w:r w:rsidRPr="00155974">
        <w:rPr>
          <w:lang w:eastAsia="en-AU"/>
        </w:rPr>
        <w:t xml:space="preserve"> </w:t>
      </w:r>
      <w:r w:rsidR="00C544FC" w:rsidRPr="00155974">
        <w:rPr>
          <w:lang w:eastAsia="en-AU"/>
        </w:rPr>
        <w:t xml:space="preserve">section </w:t>
      </w:r>
      <w:r w:rsidRPr="00155974">
        <w:rPr>
          <w:lang w:eastAsia="en-AU"/>
        </w:rPr>
        <w:t>for any leases into which it has entered.</w:t>
      </w:r>
      <w:r w:rsidR="002014A0" w:rsidRPr="00155974">
        <w:rPr>
          <w:lang w:eastAsia="en-AU"/>
        </w:rPr>
        <w:t xml:space="preserve"> [Based on </w:t>
      </w:r>
      <w:r w:rsidR="0058144C" w:rsidRPr="00155974">
        <w:rPr>
          <w:i/>
          <w:iCs/>
          <w:lang w:eastAsia="en-AU"/>
        </w:rPr>
        <w:t>IFRS for SMEs</w:t>
      </w:r>
      <w:r w:rsidR="002014A0" w:rsidRPr="00155974">
        <w:rPr>
          <w:lang w:eastAsia="en-AU"/>
        </w:rPr>
        <w:t xml:space="preserve"> Standard paragraph 1</w:t>
      </w:r>
      <w:r w:rsidR="00FF038B" w:rsidRPr="00155974">
        <w:rPr>
          <w:lang w:eastAsia="en-AU"/>
        </w:rPr>
        <w:t>6</w:t>
      </w:r>
      <w:r w:rsidR="002014A0" w:rsidRPr="00155974">
        <w:rPr>
          <w:lang w:eastAsia="en-AU"/>
        </w:rPr>
        <w:t>.1</w:t>
      </w:r>
      <w:r w:rsidR="00FF038B" w:rsidRPr="00155974">
        <w:rPr>
          <w:lang w:eastAsia="en-AU"/>
        </w:rPr>
        <w:t>1</w:t>
      </w:r>
      <w:r w:rsidR="002014A0" w:rsidRPr="00155974">
        <w:rPr>
          <w:lang w:eastAsia="en-AU"/>
        </w:rPr>
        <w:t>]</w:t>
      </w:r>
    </w:p>
    <w:p w14:paraId="27439A2F" w14:textId="05B7139D" w:rsidR="00F42DB6" w:rsidRPr="00155974" w:rsidRDefault="00F42DB6" w:rsidP="00022B10">
      <w:pPr>
        <w:pStyle w:val="IASBSectionTitle2Ind"/>
        <w:rPr>
          <w:sz w:val="20"/>
          <w:lang w:eastAsia="en-AU"/>
        </w:rPr>
      </w:pPr>
      <w:bookmarkStart w:id="91" w:name="PPE"/>
      <w:r w:rsidRPr="00155974">
        <w:rPr>
          <w:lang w:eastAsia="en-AU"/>
        </w:rPr>
        <w:t xml:space="preserve">Property, Plant </w:t>
      </w:r>
      <w:r w:rsidRPr="00022B10">
        <w:t>and</w:t>
      </w:r>
      <w:r w:rsidRPr="00155974">
        <w:rPr>
          <w:lang w:eastAsia="en-AU"/>
        </w:rPr>
        <w:t xml:space="preserve"> Equipment and Investment Property at Cost</w:t>
      </w:r>
      <w:bookmarkEnd w:id="91"/>
      <w:r w:rsidRPr="00155974">
        <w:rPr>
          <w:rStyle w:val="FootnoteReference"/>
          <w:sz w:val="22"/>
          <w:szCs w:val="22"/>
          <w:lang w:eastAsia="en-AU"/>
        </w:rPr>
        <w:footnoteReference w:id="17"/>
      </w:r>
      <w:r w:rsidRPr="00155974">
        <w:rPr>
          <w:lang w:eastAsia="en-AU"/>
        </w:rPr>
        <w:t xml:space="preserve"> </w:t>
      </w:r>
    </w:p>
    <w:p w14:paraId="677EBA24" w14:textId="2B11EB9C" w:rsidR="00F42DB6" w:rsidRPr="00155974" w:rsidRDefault="00F42DB6" w:rsidP="000E61D3">
      <w:pPr>
        <w:pStyle w:val="NumPlain1"/>
        <w:numPr>
          <w:ilvl w:val="0"/>
          <w:numId w:val="84"/>
        </w:numPr>
        <w:ind w:left="782" w:hanging="782"/>
        <w:rPr>
          <w:lang w:eastAsia="en-AU"/>
        </w:rPr>
      </w:pPr>
      <w:bookmarkStart w:id="92" w:name="_Ref34656421"/>
      <w:r w:rsidRPr="00155974">
        <w:rPr>
          <w:lang w:eastAsia="en-AU"/>
        </w:rPr>
        <w:t xml:space="preserve">An entity shall disclose the following for each class of property, plant and equipment determined in accordance with paragraph </w:t>
      </w:r>
      <w:r w:rsidR="002B3193" w:rsidRPr="00155974">
        <w:rPr>
          <w:lang w:eastAsia="en-AU"/>
        </w:rPr>
        <w:t>44</w:t>
      </w:r>
      <w:r w:rsidRPr="00155974">
        <w:rPr>
          <w:lang w:eastAsia="en-AU"/>
        </w:rPr>
        <w:t>(a) and separately for investment property carried at cost less accumulated depreciation and impairment:</w:t>
      </w:r>
      <w:bookmarkEnd w:id="92"/>
    </w:p>
    <w:p w14:paraId="03B7D258" w14:textId="0AA94BC1" w:rsidR="00F42DB6" w:rsidRPr="00587A1B" w:rsidRDefault="00F42DB6" w:rsidP="000E61D3">
      <w:pPr>
        <w:pStyle w:val="ListParagraph"/>
        <w:numPr>
          <w:ilvl w:val="0"/>
          <w:numId w:val="125"/>
        </w:numPr>
        <w:ind w:left="1564" w:hanging="782"/>
        <w:jc w:val="both"/>
        <w:rPr>
          <w:szCs w:val="19"/>
          <w:lang w:eastAsia="en-AU"/>
        </w:rPr>
      </w:pPr>
      <w:r w:rsidRPr="00587A1B">
        <w:rPr>
          <w:szCs w:val="19"/>
          <w:lang w:eastAsia="en-AU"/>
        </w:rPr>
        <w:t>the measurement bases used for determining the gross carrying amount;</w:t>
      </w:r>
    </w:p>
    <w:p w14:paraId="3E0D3696" w14:textId="1BCBF033" w:rsidR="00F42DB6" w:rsidRPr="00587A1B" w:rsidRDefault="00F42DB6" w:rsidP="000E61D3">
      <w:pPr>
        <w:pStyle w:val="ListParagraph"/>
        <w:numPr>
          <w:ilvl w:val="0"/>
          <w:numId w:val="125"/>
        </w:numPr>
        <w:ind w:left="1564" w:hanging="782"/>
        <w:jc w:val="both"/>
        <w:rPr>
          <w:szCs w:val="19"/>
          <w:lang w:eastAsia="en-AU"/>
        </w:rPr>
      </w:pPr>
      <w:r w:rsidRPr="00587A1B">
        <w:rPr>
          <w:szCs w:val="19"/>
          <w:lang w:eastAsia="en-AU"/>
        </w:rPr>
        <w:t>the depreciation methods used;</w:t>
      </w:r>
    </w:p>
    <w:p w14:paraId="1BF3F050" w14:textId="79CA9A22" w:rsidR="00F42DB6" w:rsidRPr="00587A1B" w:rsidRDefault="00F42DB6" w:rsidP="000E61D3">
      <w:pPr>
        <w:pStyle w:val="ListParagraph"/>
        <w:numPr>
          <w:ilvl w:val="0"/>
          <w:numId w:val="125"/>
        </w:numPr>
        <w:ind w:left="1564" w:hanging="782"/>
        <w:jc w:val="both"/>
        <w:rPr>
          <w:szCs w:val="19"/>
          <w:lang w:eastAsia="en-AU"/>
        </w:rPr>
      </w:pPr>
      <w:r w:rsidRPr="00587A1B">
        <w:rPr>
          <w:szCs w:val="19"/>
          <w:lang w:eastAsia="en-AU"/>
        </w:rPr>
        <w:t>the useful lives or the depreciation rates used;</w:t>
      </w:r>
    </w:p>
    <w:p w14:paraId="7856DC0A" w14:textId="6C8800BC" w:rsidR="00F42DB6" w:rsidRPr="00587A1B" w:rsidRDefault="00F42DB6" w:rsidP="000E61D3">
      <w:pPr>
        <w:pStyle w:val="ListParagraph"/>
        <w:numPr>
          <w:ilvl w:val="0"/>
          <w:numId w:val="125"/>
        </w:numPr>
        <w:ind w:left="1564" w:hanging="782"/>
        <w:jc w:val="both"/>
        <w:rPr>
          <w:szCs w:val="19"/>
          <w:lang w:eastAsia="en-AU"/>
        </w:rPr>
      </w:pPr>
      <w:r w:rsidRPr="00587A1B">
        <w:rPr>
          <w:szCs w:val="19"/>
          <w:lang w:eastAsia="en-AU"/>
        </w:rPr>
        <w:t>the gross carrying amount and the accumulated depreciation (aggregated with accumulated impairment losses) at the beginning and end of the reporting period; and</w:t>
      </w:r>
    </w:p>
    <w:p w14:paraId="37446791" w14:textId="38912C33" w:rsidR="00F42DB6" w:rsidRPr="00587A1B" w:rsidRDefault="00F42DB6" w:rsidP="000E61D3">
      <w:pPr>
        <w:pStyle w:val="ListParagraph"/>
        <w:numPr>
          <w:ilvl w:val="0"/>
          <w:numId w:val="125"/>
        </w:numPr>
        <w:ind w:left="1564" w:hanging="782"/>
        <w:jc w:val="both"/>
        <w:rPr>
          <w:szCs w:val="19"/>
          <w:lang w:eastAsia="en-AU"/>
        </w:rPr>
      </w:pPr>
      <w:r w:rsidRPr="00587A1B">
        <w:rPr>
          <w:szCs w:val="19"/>
          <w:lang w:eastAsia="en-AU"/>
        </w:rPr>
        <w:t>a reconciliation of the carrying amount at the beginning and end of the reporting period</w:t>
      </w:r>
      <w:r w:rsidR="00E63862" w:rsidRPr="00587A1B">
        <w:rPr>
          <w:szCs w:val="19"/>
          <w:lang w:eastAsia="en-AU"/>
        </w:rPr>
        <w:t>,</w:t>
      </w:r>
      <w:r w:rsidRPr="00587A1B">
        <w:rPr>
          <w:szCs w:val="19"/>
          <w:lang w:eastAsia="en-AU"/>
        </w:rPr>
        <w:t xml:space="preserve"> showing separately:</w:t>
      </w:r>
    </w:p>
    <w:p w14:paraId="5645E9EF" w14:textId="34597CC4"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additions;</w:t>
      </w:r>
    </w:p>
    <w:p w14:paraId="532C61DF" w14:textId="681435AE" w:rsidR="00F42DB6" w:rsidRPr="00587A1B" w:rsidRDefault="0071252B" w:rsidP="000E61D3">
      <w:pPr>
        <w:pStyle w:val="ListParagraph"/>
        <w:numPr>
          <w:ilvl w:val="0"/>
          <w:numId w:val="126"/>
        </w:numPr>
        <w:ind w:left="2347" w:hanging="782"/>
        <w:jc w:val="both"/>
        <w:rPr>
          <w:szCs w:val="19"/>
          <w:lang w:eastAsia="en-AU"/>
        </w:rPr>
      </w:pPr>
      <w:r w:rsidRPr="00587A1B">
        <w:rPr>
          <w:szCs w:val="19"/>
          <w:lang w:eastAsia="en-AU"/>
        </w:rPr>
        <w:t xml:space="preserve">assets classified as held for sale or included in a </w:t>
      </w:r>
      <w:r w:rsidR="006535BE" w:rsidRPr="00587A1B">
        <w:rPr>
          <w:szCs w:val="19"/>
          <w:lang w:eastAsia="en-AU"/>
        </w:rPr>
        <w:t xml:space="preserve">disposal group classified as held for sale in accordance with AASB 5 and other </w:t>
      </w:r>
      <w:r w:rsidR="00F42DB6" w:rsidRPr="00587A1B">
        <w:rPr>
          <w:szCs w:val="19"/>
          <w:lang w:eastAsia="en-AU"/>
        </w:rPr>
        <w:t>disposals;</w:t>
      </w:r>
    </w:p>
    <w:p w14:paraId="68B37F00" w14:textId="6A5C432D"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acquisitions through business combinations;</w:t>
      </w:r>
    </w:p>
    <w:p w14:paraId="491C1EC8" w14:textId="708A15EC"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 xml:space="preserve">increases or decreases resulting from revaluations under AASB 116 and from impairment losses recognised or reversed in other comprehensive income in accordance with AASB 136 </w:t>
      </w:r>
      <w:r w:rsidRPr="00587A1B">
        <w:rPr>
          <w:i/>
          <w:szCs w:val="19"/>
          <w:lang w:eastAsia="en-AU"/>
        </w:rPr>
        <w:t>Impairment of Assets</w:t>
      </w:r>
      <w:r w:rsidRPr="00587A1B">
        <w:rPr>
          <w:szCs w:val="19"/>
          <w:lang w:eastAsia="en-AU"/>
        </w:rPr>
        <w:t>;</w:t>
      </w:r>
    </w:p>
    <w:p w14:paraId="56D5BB31" w14:textId="7C77F33F"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transfers to and from investment property carried at fair value through profit or loss (see paragraph 57 of AASB 140);</w:t>
      </w:r>
    </w:p>
    <w:p w14:paraId="607B2D27" w14:textId="20BBA31D"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impairment losses recognised or reversed in profit or loss in accordance with AASB 136;</w:t>
      </w:r>
    </w:p>
    <w:p w14:paraId="70800FA6" w14:textId="596D4050"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depreciation; and</w:t>
      </w:r>
    </w:p>
    <w:p w14:paraId="7BE55560" w14:textId="4F49206B" w:rsidR="00F42DB6" w:rsidRPr="00587A1B" w:rsidRDefault="00F42DB6" w:rsidP="000E61D3">
      <w:pPr>
        <w:pStyle w:val="ListParagraph"/>
        <w:numPr>
          <w:ilvl w:val="0"/>
          <w:numId w:val="126"/>
        </w:numPr>
        <w:ind w:left="2347" w:hanging="782"/>
        <w:jc w:val="both"/>
        <w:rPr>
          <w:szCs w:val="19"/>
          <w:lang w:eastAsia="en-AU"/>
        </w:rPr>
      </w:pPr>
      <w:r w:rsidRPr="00587A1B">
        <w:rPr>
          <w:szCs w:val="19"/>
          <w:lang w:eastAsia="en-AU"/>
        </w:rPr>
        <w:t>other changes.</w:t>
      </w:r>
    </w:p>
    <w:p w14:paraId="280950AB" w14:textId="2282E562" w:rsidR="00F42DB6" w:rsidRPr="00155974" w:rsidRDefault="00F42DB6" w:rsidP="000E44A1">
      <w:pPr>
        <w:keepNext/>
        <w:spacing w:after="100"/>
        <w:ind w:left="2347" w:hanging="782"/>
        <w:rPr>
          <w:szCs w:val="19"/>
          <w:lang w:eastAsia="en-AU"/>
        </w:rPr>
      </w:pPr>
      <w:r w:rsidRPr="00155974">
        <w:rPr>
          <w:szCs w:val="19"/>
          <w:lang w:eastAsia="en-AU"/>
        </w:rPr>
        <w:lastRenderedPageBreak/>
        <w:t>This reconciliation need not be presented for prior periods.</w:t>
      </w:r>
    </w:p>
    <w:p w14:paraId="12A6A59D" w14:textId="63AC3CFD" w:rsidR="005E0B6A" w:rsidRPr="00155974" w:rsidRDefault="004F2519" w:rsidP="00834691">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17.31]</w:t>
      </w:r>
    </w:p>
    <w:p w14:paraId="08686F4A" w14:textId="135F0A90" w:rsidR="00F42DB6" w:rsidRPr="00155974" w:rsidRDefault="00F42DB6" w:rsidP="004B0ADC">
      <w:pPr>
        <w:pStyle w:val="NumPlain1"/>
        <w:keepNext/>
        <w:numPr>
          <w:ilvl w:val="0"/>
          <w:numId w:val="84"/>
        </w:numPr>
        <w:ind w:left="782" w:hanging="782"/>
        <w:rPr>
          <w:b/>
          <w:lang w:eastAsia="en-AU"/>
        </w:rPr>
      </w:pPr>
      <w:r w:rsidRPr="00155974">
        <w:rPr>
          <w:lang w:eastAsia="en-AU"/>
        </w:rPr>
        <w:t>An entity shall also disclose the following:</w:t>
      </w:r>
    </w:p>
    <w:p w14:paraId="29822215" w14:textId="436D7D2A" w:rsidR="00F42DB6" w:rsidRPr="00587A1B" w:rsidRDefault="00F42DB6" w:rsidP="000E61D3">
      <w:pPr>
        <w:pStyle w:val="ListParagraph"/>
        <w:numPr>
          <w:ilvl w:val="0"/>
          <w:numId w:val="127"/>
        </w:numPr>
        <w:ind w:left="1564" w:hanging="782"/>
        <w:jc w:val="both"/>
        <w:rPr>
          <w:szCs w:val="19"/>
          <w:lang w:eastAsia="en-AU"/>
        </w:rPr>
      </w:pPr>
      <w:r w:rsidRPr="00587A1B">
        <w:rPr>
          <w:szCs w:val="19"/>
          <w:lang w:eastAsia="en-AU"/>
        </w:rPr>
        <w:t>the existence and carrying amounts of property, plant and equipment to which the entity has restricted title or that is pledged as security for liabilities;</w:t>
      </w:r>
    </w:p>
    <w:p w14:paraId="00623BF3" w14:textId="5A679B5C" w:rsidR="00F42DB6" w:rsidRPr="00587A1B" w:rsidRDefault="00F42DB6" w:rsidP="000E61D3">
      <w:pPr>
        <w:pStyle w:val="ListParagraph"/>
        <w:numPr>
          <w:ilvl w:val="0"/>
          <w:numId w:val="127"/>
        </w:numPr>
        <w:ind w:left="1564" w:hanging="782"/>
        <w:jc w:val="both"/>
        <w:rPr>
          <w:szCs w:val="19"/>
          <w:lang w:eastAsia="en-AU"/>
        </w:rPr>
      </w:pPr>
      <w:r w:rsidRPr="00587A1B">
        <w:rPr>
          <w:szCs w:val="19"/>
          <w:lang w:eastAsia="en-AU"/>
        </w:rPr>
        <w:t>the amount of contractual commitments for the acquisition of property, plant and equipment; and</w:t>
      </w:r>
    </w:p>
    <w:p w14:paraId="53A29538" w14:textId="53BFEFDD" w:rsidR="00F42DB6" w:rsidRPr="00587A1B" w:rsidRDefault="00F42DB6" w:rsidP="000E44A1">
      <w:pPr>
        <w:pStyle w:val="ListParagraph"/>
        <w:keepNext/>
        <w:numPr>
          <w:ilvl w:val="0"/>
          <w:numId w:val="127"/>
        </w:numPr>
        <w:ind w:left="1564" w:hanging="782"/>
        <w:jc w:val="both"/>
        <w:rPr>
          <w:szCs w:val="19"/>
          <w:lang w:eastAsia="en-AU"/>
        </w:rPr>
      </w:pPr>
      <w:r w:rsidRPr="00587A1B">
        <w:rPr>
          <w:szCs w:val="19"/>
          <w:lang w:eastAsia="en-AU"/>
        </w:rPr>
        <w:t>if an entity has investment property whose fair value cannot be measured reliably</w:t>
      </w:r>
      <w:r w:rsidR="00F879A3" w:rsidRPr="00587A1B">
        <w:rPr>
          <w:szCs w:val="19"/>
          <w:lang w:eastAsia="en-AU"/>
        </w:rPr>
        <w:t>,</w:t>
      </w:r>
      <w:r w:rsidRPr="00587A1B">
        <w:rPr>
          <w:szCs w:val="19"/>
          <w:lang w:eastAsia="en-AU"/>
        </w:rPr>
        <w:t xml:space="preserve"> it shall disclose that fact and the reasons why fair value cannot be measured reliably for those items of investment property.</w:t>
      </w:r>
    </w:p>
    <w:p w14:paraId="50AC421F" w14:textId="18472098" w:rsidR="00A32E5E" w:rsidRDefault="00061766" w:rsidP="00834691">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17.32]</w:t>
      </w:r>
      <w:bookmarkStart w:id="93" w:name="_Ref34656450"/>
    </w:p>
    <w:p w14:paraId="1F436B2D" w14:textId="1DAEA994" w:rsidR="00F42DB6" w:rsidRPr="00155974" w:rsidRDefault="00F42DB6" w:rsidP="004B0ADC">
      <w:pPr>
        <w:pStyle w:val="NumPlain1"/>
        <w:keepNext/>
        <w:numPr>
          <w:ilvl w:val="0"/>
          <w:numId w:val="84"/>
        </w:numPr>
        <w:ind w:left="782" w:hanging="782"/>
        <w:rPr>
          <w:lang w:eastAsia="en-AU"/>
        </w:rPr>
      </w:pPr>
      <w:r w:rsidRPr="00155974">
        <w:rPr>
          <w:lang w:eastAsia="en-AU"/>
        </w:rPr>
        <w:t>If items of property, plant and equipment are stated at revalued amounts, an entity shall disclose the following:</w:t>
      </w:r>
      <w:bookmarkEnd w:id="93"/>
    </w:p>
    <w:p w14:paraId="78735970" w14:textId="39599BB9" w:rsidR="00F42DB6" w:rsidRPr="00587A1B" w:rsidRDefault="00F42DB6" w:rsidP="000E61D3">
      <w:pPr>
        <w:pStyle w:val="ListParagraph"/>
        <w:numPr>
          <w:ilvl w:val="0"/>
          <w:numId w:val="128"/>
        </w:numPr>
        <w:ind w:left="1564" w:hanging="782"/>
        <w:jc w:val="both"/>
        <w:rPr>
          <w:szCs w:val="19"/>
          <w:lang w:eastAsia="en-AU"/>
        </w:rPr>
      </w:pPr>
      <w:r w:rsidRPr="00587A1B">
        <w:rPr>
          <w:szCs w:val="19"/>
          <w:lang w:eastAsia="en-AU"/>
        </w:rPr>
        <w:t>the effective date of the revaluation;</w:t>
      </w:r>
    </w:p>
    <w:p w14:paraId="7C3B1173" w14:textId="3DB7CBF1" w:rsidR="00F42DB6" w:rsidRPr="00587A1B" w:rsidRDefault="00F42DB6" w:rsidP="000E61D3">
      <w:pPr>
        <w:pStyle w:val="ListParagraph"/>
        <w:numPr>
          <w:ilvl w:val="0"/>
          <w:numId w:val="128"/>
        </w:numPr>
        <w:ind w:left="1564" w:hanging="782"/>
        <w:jc w:val="both"/>
        <w:rPr>
          <w:szCs w:val="19"/>
          <w:lang w:eastAsia="en-AU"/>
        </w:rPr>
      </w:pPr>
      <w:r w:rsidRPr="00587A1B">
        <w:rPr>
          <w:szCs w:val="19"/>
          <w:lang w:eastAsia="en-AU"/>
        </w:rPr>
        <w:t>whether an independent valuer was involved;</w:t>
      </w:r>
    </w:p>
    <w:p w14:paraId="01195B0C" w14:textId="4F17BE2F" w:rsidR="00F42DB6" w:rsidRPr="00587A1B" w:rsidRDefault="00F42DB6" w:rsidP="000E61D3">
      <w:pPr>
        <w:pStyle w:val="ListParagraph"/>
        <w:numPr>
          <w:ilvl w:val="0"/>
          <w:numId w:val="128"/>
        </w:numPr>
        <w:ind w:left="1564" w:hanging="782"/>
        <w:jc w:val="both"/>
        <w:rPr>
          <w:szCs w:val="19"/>
          <w:lang w:eastAsia="en-AU"/>
        </w:rPr>
      </w:pPr>
      <w:r w:rsidRPr="00587A1B">
        <w:rPr>
          <w:szCs w:val="19"/>
          <w:lang w:eastAsia="en-AU"/>
        </w:rPr>
        <w:t>the methods and significant assumptions applied in estimating the items’ fair values; and</w:t>
      </w:r>
    </w:p>
    <w:p w14:paraId="10683929" w14:textId="438E80A4" w:rsidR="00F42DB6" w:rsidRPr="00587A1B" w:rsidRDefault="00F42DB6" w:rsidP="000E44A1">
      <w:pPr>
        <w:pStyle w:val="ListParagraph"/>
        <w:keepNext/>
        <w:numPr>
          <w:ilvl w:val="0"/>
          <w:numId w:val="128"/>
        </w:numPr>
        <w:ind w:left="1564" w:hanging="782"/>
        <w:jc w:val="both"/>
        <w:rPr>
          <w:szCs w:val="19"/>
          <w:lang w:eastAsia="en-AU"/>
        </w:rPr>
      </w:pPr>
      <w:r w:rsidRPr="00587A1B">
        <w:rPr>
          <w:szCs w:val="19"/>
          <w:lang w:eastAsia="en-AU"/>
        </w:rPr>
        <w:t>the revaluation surplus, indicating the change for the period and any restrictions on the distribution of the balance to shareholders.</w:t>
      </w:r>
    </w:p>
    <w:p w14:paraId="3F1A4A24" w14:textId="38691881" w:rsidR="005A511F" w:rsidRPr="00155974" w:rsidRDefault="005A511F" w:rsidP="00834691">
      <w:pPr>
        <w:spacing w:after="100"/>
        <w:ind w:left="1564" w:hanging="782"/>
        <w:rPr>
          <w:szCs w:val="19"/>
          <w:lang w:eastAsia="en-AU"/>
        </w:rPr>
      </w:pPr>
      <w:r w:rsidRPr="00155974">
        <w:rPr>
          <w:szCs w:val="19"/>
          <w:lang w:eastAsia="en-AU"/>
        </w:rPr>
        <w:t>[</w:t>
      </w:r>
      <w:r w:rsidR="0025348B"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25348B" w:rsidRPr="00155974">
        <w:rPr>
          <w:szCs w:val="19"/>
          <w:lang w:eastAsia="en-AU"/>
        </w:rPr>
        <w:t>7</w:t>
      </w:r>
      <w:r w:rsidRPr="00155974">
        <w:rPr>
          <w:szCs w:val="19"/>
          <w:lang w:eastAsia="en-AU"/>
        </w:rPr>
        <w:t>.</w:t>
      </w:r>
      <w:r w:rsidR="0025348B" w:rsidRPr="00155974">
        <w:rPr>
          <w:szCs w:val="19"/>
          <w:lang w:eastAsia="en-AU"/>
        </w:rPr>
        <w:t>33</w:t>
      </w:r>
      <w:r w:rsidRPr="00155974">
        <w:rPr>
          <w:szCs w:val="19"/>
          <w:lang w:eastAsia="en-AU"/>
        </w:rPr>
        <w:t>]</w:t>
      </w:r>
    </w:p>
    <w:p w14:paraId="74FDFD6A" w14:textId="67EA369A" w:rsidR="00F42DB6" w:rsidRPr="00155974" w:rsidRDefault="00F42DB6" w:rsidP="00022B10">
      <w:pPr>
        <w:pStyle w:val="IASBSectionTitle2Ind"/>
        <w:rPr>
          <w:sz w:val="20"/>
          <w:lang w:eastAsia="en-AU"/>
        </w:rPr>
      </w:pPr>
      <w:bookmarkStart w:id="94" w:name="Intangibles"/>
      <w:r w:rsidRPr="00155974">
        <w:rPr>
          <w:lang w:eastAsia="en-AU"/>
        </w:rPr>
        <w:t>Intangible Assets other than Goodwill</w:t>
      </w:r>
      <w:bookmarkEnd w:id="94"/>
      <w:r w:rsidRPr="00155974">
        <w:rPr>
          <w:rStyle w:val="FootnoteReference"/>
          <w:sz w:val="22"/>
          <w:szCs w:val="22"/>
          <w:lang w:eastAsia="en-AU"/>
        </w:rPr>
        <w:footnoteReference w:id="18"/>
      </w:r>
    </w:p>
    <w:p w14:paraId="4EEFCDF5" w14:textId="1CBFEF4A" w:rsidR="00F42DB6" w:rsidRPr="00155974" w:rsidRDefault="00F42DB6" w:rsidP="004B0ADC">
      <w:pPr>
        <w:pStyle w:val="NumPlain1"/>
        <w:keepNext/>
        <w:numPr>
          <w:ilvl w:val="0"/>
          <w:numId w:val="84"/>
        </w:numPr>
        <w:ind w:left="782" w:hanging="782"/>
        <w:rPr>
          <w:lang w:eastAsia="en-AU"/>
        </w:rPr>
      </w:pPr>
      <w:r w:rsidRPr="00155974">
        <w:rPr>
          <w:lang w:eastAsia="en-AU"/>
        </w:rPr>
        <w:t>An entity shall disclose the following for each class of intangible assets:</w:t>
      </w:r>
    </w:p>
    <w:p w14:paraId="60BD12FC" w14:textId="4CE9F0B7" w:rsidR="00F42DB6" w:rsidRPr="00834691" w:rsidRDefault="00F42DB6" w:rsidP="000E61D3">
      <w:pPr>
        <w:pStyle w:val="ListParagraph"/>
        <w:numPr>
          <w:ilvl w:val="0"/>
          <w:numId w:val="129"/>
        </w:numPr>
        <w:ind w:left="1564" w:hanging="782"/>
        <w:jc w:val="both"/>
        <w:rPr>
          <w:szCs w:val="19"/>
          <w:lang w:eastAsia="en-AU"/>
        </w:rPr>
      </w:pPr>
      <w:r w:rsidRPr="00834691">
        <w:rPr>
          <w:szCs w:val="19"/>
          <w:lang w:eastAsia="en-AU"/>
        </w:rPr>
        <w:t>the useful lives or the amortisation rates used;</w:t>
      </w:r>
    </w:p>
    <w:p w14:paraId="508E255D" w14:textId="45C46DDA" w:rsidR="00F42DB6" w:rsidRPr="00834691" w:rsidRDefault="00F42DB6" w:rsidP="000E61D3">
      <w:pPr>
        <w:pStyle w:val="ListParagraph"/>
        <w:numPr>
          <w:ilvl w:val="0"/>
          <w:numId w:val="129"/>
        </w:numPr>
        <w:ind w:left="1564" w:hanging="782"/>
        <w:jc w:val="both"/>
        <w:rPr>
          <w:szCs w:val="19"/>
          <w:lang w:eastAsia="en-AU"/>
        </w:rPr>
      </w:pPr>
      <w:r w:rsidRPr="00834691">
        <w:rPr>
          <w:szCs w:val="19"/>
          <w:lang w:eastAsia="en-AU"/>
        </w:rPr>
        <w:t>the amortisation methods used;</w:t>
      </w:r>
    </w:p>
    <w:p w14:paraId="783C3620" w14:textId="1BB72814" w:rsidR="00F42DB6" w:rsidRPr="00834691" w:rsidRDefault="00F42DB6" w:rsidP="000E61D3">
      <w:pPr>
        <w:pStyle w:val="ListParagraph"/>
        <w:numPr>
          <w:ilvl w:val="0"/>
          <w:numId w:val="129"/>
        </w:numPr>
        <w:ind w:left="1564" w:hanging="782"/>
        <w:jc w:val="both"/>
        <w:rPr>
          <w:szCs w:val="19"/>
          <w:lang w:eastAsia="en-AU"/>
        </w:rPr>
      </w:pPr>
      <w:r w:rsidRPr="00834691">
        <w:rPr>
          <w:szCs w:val="19"/>
          <w:lang w:eastAsia="en-AU"/>
        </w:rPr>
        <w:t>the gross carrying amount and any accumulated amortisation (aggregated with accumulated impairment losses) at the beginning and end of the reporting period;</w:t>
      </w:r>
    </w:p>
    <w:p w14:paraId="38F5658F" w14:textId="5C893F9C" w:rsidR="00F42DB6" w:rsidRPr="00834691" w:rsidRDefault="00F42DB6" w:rsidP="000E61D3">
      <w:pPr>
        <w:pStyle w:val="ListParagraph"/>
        <w:numPr>
          <w:ilvl w:val="0"/>
          <w:numId w:val="129"/>
        </w:numPr>
        <w:ind w:left="1564" w:hanging="782"/>
        <w:jc w:val="both"/>
        <w:rPr>
          <w:szCs w:val="19"/>
          <w:lang w:eastAsia="en-AU"/>
        </w:rPr>
      </w:pPr>
      <w:r w:rsidRPr="00834691">
        <w:rPr>
          <w:szCs w:val="19"/>
          <w:lang w:eastAsia="en-AU"/>
        </w:rPr>
        <w:t xml:space="preserve">the line item(s) in </w:t>
      </w:r>
      <w:r w:rsidR="00770FDA" w:rsidRPr="00834691">
        <w:rPr>
          <w:szCs w:val="19"/>
          <w:lang w:eastAsia="en-AU"/>
        </w:rPr>
        <w:t xml:space="preserve">the statement of profit or loss and other comprehensive income (if presented), </w:t>
      </w:r>
      <w:r w:rsidR="00182343" w:rsidRPr="00834691">
        <w:rPr>
          <w:szCs w:val="19"/>
          <w:lang w:eastAsia="en-AU"/>
        </w:rPr>
        <w:t xml:space="preserve">the statement of profit or loss and </w:t>
      </w:r>
      <w:r w:rsidRPr="00834691">
        <w:rPr>
          <w:szCs w:val="19"/>
          <w:lang w:eastAsia="en-AU"/>
        </w:rPr>
        <w:t xml:space="preserve">the statement of comprehensive income </w:t>
      </w:r>
      <w:r w:rsidR="00B24CC4" w:rsidRPr="00834691">
        <w:rPr>
          <w:szCs w:val="19"/>
          <w:lang w:eastAsia="en-AU"/>
        </w:rPr>
        <w:t>(</w:t>
      </w:r>
      <w:r w:rsidRPr="00834691">
        <w:rPr>
          <w:szCs w:val="19"/>
          <w:lang w:eastAsia="en-AU"/>
        </w:rPr>
        <w:t>if presented)</w:t>
      </w:r>
      <w:r w:rsidR="00E05353" w:rsidRPr="00834691">
        <w:rPr>
          <w:szCs w:val="19"/>
          <w:lang w:eastAsia="en-AU"/>
        </w:rPr>
        <w:t xml:space="preserve">, or </w:t>
      </w:r>
      <w:r w:rsidR="00B74083" w:rsidRPr="00834691">
        <w:rPr>
          <w:szCs w:val="19"/>
          <w:lang w:eastAsia="en-AU"/>
        </w:rPr>
        <w:t xml:space="preserve">the combined </w:t>
      </w:r>
      <w:r w:rsidR="006A51CD" w:rsidRPr="00834691">
        <w:rPr>
          <w:szCs w:val="19"/>
          <w:lang w:eastAsia="en-AU"/>
        </w:rPr>
        <w:t xml:space="preserve">statement of </w:t>
      </w:r>
      <w:r w:rsidR="005C405B" w:rsidRPr="00834691">
        <w:rPr>
          <w:szCs w:val="19"/>
          <w:lang w:eastAsia="en-AU"/>
        </w:rPr>
        <w:t>income and retained earnings (if presented)</w:t>
      </w:r>
      <w:r w:rsidRPr="00834691">
        <w:rPr>
          <w:szCs w:val="19"/>
          <w:lang w:eastAsia="en-AU"/>
        </w:rPr>
        <w:t xml:space="preserve"> in which any amortisation of intangible assets is included; and</w:t>
      </w:r>
    </w:p>
    <w:p w14:paraId="3945E336" w14:textId="185A344B" w:rsidR="00F42DB6" w:rsidRPr="00834691" w:rsidRDefault="00F42DB6" w:rsidP="000E61D3">
      <w:pPr>
        <w:pStyle w:val="ListParagraph"/>
        <w:numPr>
          <w:ilvl w:val="0"/>
          <w:numId w:val="129"/>
        </w:numPr>
        <w:ind w:left="1564" w:hanging="782"/>
        <w:jc w:val="both"/>
        <w:rPr>
          <w:szCs w:val="19"/>
          <w:lang w:eastAsia="en-AU"/>
        </w:rPr>
      </w:pPr>
      <w:r w:rsidRPr="00834691">
        <w:rPr>
          <w:szCs w:val="19"/>
          <w:lang w:eastAsia="en-AU"/>
        </w:rPr>
        <w:t>a reconciliation of the carrying amount at the beginning and end of the reporting period</w:t>
      </w:r>
      <w:r w:rsidR="00091A7B" w:rsidRPr="00834691">
        <w:rPr>
          <w:szCs w:val="19"/>
          <w:lang w:eastAsia="en-AU"/>
        </w:rPr>
        <w:t>,</w:t>
      </w:r>
      <w:r w:rsidRPr="00834691">
        <w:rPr>
          <w:szCs w:val="19"/>
          <w:lang w:eastAsia="en-AU"/>
        </w:rPr>
        <w:t xml:space="preserve"> showing separately:</w:t>
      </w:r>
    </w:p>
    <w:p w14:paraId="492A544D" w14:textId="5794D4F2" w:rsidR="00F42DB6" w:rsidRPr="00834691" w:rsidRDefault="00F42DB6" w:rsidP="000E61D3">
      <w:pPr>
        <w:pStyle w:val="ListParagraph"/>
        <w:numPr>
          <w:ilvl w:val="0"/>
          <w:numId w:val="130"/>
        </w:numPr>
        <w:ind w:left="2347" w:hanging="782"/>
        <w:jc w:val="both"/>
        <w:rPr>
          <w:szCs w:val="19"/>
          <w:lang w:eastAsia="en-AU"/>
        </w:rPr>
      </w:pPr>
      <w:r w:rsidRPr="00834691">
        <w:rPr>
          <w:szCs w:val="19"/>
          <w:lang w:eastAsia="en-AU"/>
        </w:rPr>
        <w:t>additions;</w:t>
      </w:r>
    </w:p>
    <w:p w14:paraId="77F0E4F6" w14:textId="03BA2E7F" w:rsidR="00F42DB6" w:rsidRPr="00834691" w:rsidRDefault="006535BE" w:rsidP="000E61D3">
      <w:pPr>
        <w:pStyle w:val="ListParagraph"/>
        <w:numPr>
          <w:ilvl w:val="0"/>
          <w:numId w:val="130"/>
        </w:numPr>
        <w:ind w:left="2347" w:hanging="782"/>
        <w:jc w:val="both"/>
        <w:rPr>
          <w:szCs w:val="19"/>
          <w:lang w:eastAsia="en-AU"/>
        </w:rPr>
      </w:pPr>
      <w:r w:rsidRPr="00834691">
        <w:rPr>
          <w:szCs w:val="19"/>
          <w:lang w:eastAsia="en-AU"/>
        </w:rPr>
        <w:t xml:space="preserve">assets classified as held for sale or included in a disposal group classified as held for sale in accordance with AASB 5 and other </w:t>
      </w:r>
      <w:r w:rsidR="00F42DB6" w:rsidRPr="00834691">
        <w:rPr>
          <w:szCs w:val="19"/>
          <w:lang w:eastAsia="en-AU"/>
        </w:rPr>
        <w:t>disposals;</w:t>
      </w:r>
    </w:p>
    <w:p w14:paraId="6F8CAD25" w14:textId="189664CD" w:rsidR="00F42DB6" w:rsidRPr="00834691" w:rsidRDefault="00F42DB6" w:rsidP="000E61D3">
      <w:pPr>
        <w:pStyle w:val="ListParagraph"/>
        <w:numPr>
          <w:ilvl w:val="0"/>
          <w:numId w:val="130"/>
        </w:numPr>
        <w:ind w:left="2347" w:hanging="782"/>
        <w:jc w:val="both"/>
        <w:rPr>
          <w:szCs w:val="19"/>
          <w:lang w:eastAsia="en-AU"/>
        </w:rPr>
      </w:pPr>
      <w:r w:rsidRPr="00834691">
        <w:rPr>
          <w:szCs w:val="19"/>
          <w:lang w:eastAsia="en-AU"/>
        </w:rPr>
        <w:t>acquisitions through business combinations;</w:t>
      </w:r>
    </w:p>
    <w:p w14:paraId="7484CA62" w14:textId="5579BE5A" w:rsidR="006E442B" w:rsidRPr="00834691" w:rsidRDefault="00264A56" w:rsidP="000E61D3">
      <w:pPr>
        <w:pStyle w:val="ListParagraph"/>
        <w:numPr>
          <w:ilvl w:val="0"/>
          <w:numId w:val="130"/>
        </w:numPr>
        <w:ind w:left="2347" w:hanging="782"/>
        <w:jc w:val="both"/>
        <w:rPr>
          <w:szCs w:val="19"/>
          <w:lang w:eastAsia="en-AU"/>
        </w:rPr>
      </w:pPr>
      <w:r w:rsidRPr="00834691">
        <w:rPr>
          <w:szCs w:val="19"/>
          <w:lang w:eastAsia="en-AU"/>
        </w:rPr>
        <w:t xml:space="preserve">increases or decreases resulting from revaluations </w:t>
      </w:r>
      <w:r w:rsidR="000F3348" w:rsidRPr="00834691">
        <w:rPr>
          <w:szCs w:val="19"/>
          <w:lang w:eastAsia="en-AU"/>
        </w:rPr>
        <w:t>under</w:t>
      </w:r>
      <w:r w:rsidRPr="00834691">
        <w:rPr>
          <w:szCs w:val="19"/>
          <w:lang w:eastAsia="en-AU"/>
        </w:rPr>
        <w:t xml:space="preserve"> AASB 13</w:t>
      </w:r>
      <w:r w:rsidR="00701D98" w:rsidRPr="00834691">
        <w:rPr>
          <w:szCs w:val="19"/>
          <w:lang w:eastAsia="en-AU"/>
        </w:rPr>
        <w:t>8</w:t>
      </w:r>
      <w:r w:rsidRPr="00834691">
        <w:rPr>
          <w:szCs w:val="19"/>
          <w:lang w:eastAsia="en-AU"/>
        </w:rPr>
        <w:t xml:space="preserve"> and from impairment losses recognised or reversed in other comprehensive income in accordance with </w:t>
      </w:r>
      <w:r w:rsidRPr="00834691" w:rsidDel="00F84449">
        <w:rPr>
          <w:szCs w:val="19"/>
          <w:lang w:eastAsia="en-AU"/>
        </w:rPr>
        <w:t>AASB</w:t>
      </w:r>
      <w:r w:rsidR="00F84449">
        <w:rPr>
          <w:szCs w:val="19"/>
          <w:lang w:eastAsia="en-AU"/>
        </w:rPr>
        <w:t> </w:t>
      </w:r>
      <w:r w:rsidRPr="00834691">
        <w:rPr>
          <w:szCs w:val="19"/>
          <w:lang w:eastAsia="en-AU"/>
        </w:rPr>
        <w:t>136</w:t>
      </w:r>
      <w:r w:rsidR="000E6E43" w:rsidRPr="00834691">
        <w:rPr>
          <w:szCs w:val="19"/>
          <w:lang w:eastAsia="en-AU"/>
        </w:rPr>
        <w:t>;</w:t>
      </w:r>
    </w:p>
    <w:p w14:paraId="02DB6758" w14:textId="3A88562B" w:rsidR="00F42DB6" w:rsidRPr="00834691" w:rsidRDefault="00F42DB6" w:rsidP="000E61D3">
      <w:pPr>
        <w:pStyle w:val="ListParagraph"/>
        <w:numPr>
          <w:ilvl w:val="0"/>
          <w:numId w:val="130"/>
        </w:numPr>
        <w:ind w:left="2347" w:hanging="782"/>
        <w:jc w:val="both"/>
        <w:rPr>
          <w:szCs w:val="19"/>
          <w:lang w:eastAsia="en-AU"/>
        </w:rPr>
      </w:pPr>
      <w:r w:rsidRPr="00834691">
        <w:rPr>
          <w:szCs w:val="19"/>
          <w:lang w:eastAsia="en-AU"/>
        </w:rPr>
        <w:t>amortisation;</w:t>
      </w:r>
    </w:p>
    <w:p w14:paraId="36185B09" w14:textId="411B772E" w:rsidR="00F42DB6" w:rsidRPr="00834691" w:rsidRDefault="00F42DB6" w:rsidP="000E61D3">
      <w:pPr>
        <w:pStyle w:val="ListParagraph"/>
        <w:numPr>
          <w:ilvl w:val="0"/>
          <w:numId w:val="130"/>
        </w:numPr>
        <w:ind w:left="2347" w:hanging="782"/>
        <w:jc w:val="both"/>
        <w:rPr>
          <w:szCs w:val="19"/>
          <w:lang w:eastAsia="en-AU"/>
        </w:rPr>
      </w:pPr>
      <w:r w:rsidRPr="00834691">
        <w:rPr>
          <w:szCs w:val="19"/>
          <w:lang w:eastAsia="en-AU"/>
        </w:rPr>
        <w:t>impairment losses</w:t>
      </w:r>
      <w:r w:rsidR="00E27F5A" w:rsidRPr="00834691">
        <w:rPr>
          <w:szCs w:val="19"/>
          <w:lang w:eastAsia="en-AU"/>
        </w:rPr>
        <w:t xml:space="preserve"> recognised or reversed </w:t>
      </w:r>
      <w:r w:rsidR="00A629FB" w:rsidRPr="00834691">
        <w:rPr>
          <w:szCs w:val="19"/>
          <w:lang w:eastAsia="en-AU"/>
        </w:rPr>
        <w:t xml:space="preserve">in profit or loss in accordance with </w:t>
      </w:r>
      <w:r w:rsidR="00A629FB" w:rsidRPr="00834691" w:rsidDel="00834691">
        <w:rPr>
          <w:szCs w:val="19"/>
          <w:lang w:eastAsia="en-AU"/>
        </w:rPr>
        <w:t>AASB</w:t>
      </w:r>
      <w:r w:rsidR="00834691">
        <w:rPr>
          <w:szCs w:val="19"/>
          <w:lang w:eastAsia="en-AU"/>
        </w:rPr>
        <w:t> </w:t>
      </w:r>
      <w:r w:rsidR="00A629FB" w:rsidRPr="00834691">
        <w:rPr>
          <w:szCs w:val="19"/>
          <w:lang w:eastAsia="en-AU"/>
        </w:rPr>
        <w:t>136</w:t>
      </w:r>
      <w:r w:rsidRPr="00834691">
        <w:rPr>
          <w:szCs w:val="19"/>
          <w:lang w:eastAsia="en-AU"/>
        </w:rPr>
        <w:t>; and</w:t>
      </w:r>
    </w:p>
    <w:p w14:paraId="5F69275C" w14:textId="04F9A12F" w:rsidR="00F42DB6" w:rsidRPr="00834691" w:rsidRDefault="00F42DB6" w:rsidP="000E61D3">
      <w:pPr>
        <w:pStyle w:val="ListParagraph"/>
        <w:numPr>
          <w:ilvl w:val="0"/>
          <w:numId w:val="130"/>
        </w:numPr>
        <w:ind w:left="2347" w:hanging="782"/>
        <w:jc w:val="both"/>
        <w:rPr>
          <w:szCs w:val="19"/>
          <w:lang w:eastAsia="en-AU"/>
        </w:rPr>
      </w:pPr>
      <w:r w:rsidRPr="00834691">
        <w:rPr>
          <w:szCs w:val="19"/>
          <w:lang w:eastAsia="en-AU"/>
        </w:rPr>
        <w:t>other changes.</w:t>
      </w:r>
    </w:p>
    <w:p w14:paraId="39ED26DB" w14:textId="77777777" w:rsidR="0096063D" w:rsidRPr="00155974" w:rsidRDefault="00F42DB6" w:rsidP="000E44A1">
      <w:pPr>
        <w:keepNext/>
        <w:spacing w:after="100"/>
        <w:ind w:left="1565"/>
        <w:rPr>
          <w:szCs w:val="19"/>
          <w:lang w:eastAsia="en-AU"/>
        </w:rPr>
      </w:pPr>
      <w:r w:rsidRPr="00155974">
        <w:rPr>
          <w:szCs w:val="19"/>
          <w:lang w:eastAsia="en-AU"/>
        </w:rPr>
        <w:t>This reconciliation need not be presented for prior periods.</w:t>
      </w:r>
      <w:r w:rsidR="000234E4" w:rsidRPr="00155974">
        <w:rPr>
          <w:szCs w:val="19"/>
          <w:lang w:eastAsia="en-AU"/>
        </w:rPr>
        <w:t xml:space="preserve"> </w:t>
      </w:r>
    </w:p>
    <w:p w14:paraId="3ACF4015" w14:textId="32DDD46C" w:rsidR="00F975BF" w:rsidRPr="00155974" w:rsidRDefault="00F975BF" w:rsidP="00834691">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18.27]</w:t>
      </w:r>
    </w:p>
    <w:p w14:paraId="0F6CEE31" w14:textId="7F54428D" w:rsidR="00F42DB6" w:rsidRPr="00155974" w:rsidRDefault="00F42DB6" w:rsidP="004B0ADC">
      <w:pPr>
        <w:pStyle w:val="NumPlain1"/>
        <w:keepNext/>
        <w:numPr>
          <w:ilvl w:val="0"/>
          <w:numId w:val="84"/>
        </w:numPr>
        <w:ind w:left="782" w:hanging="782"/>
        <w:rPr>
          <w:lang w:eastAsia="en-AU"/>
        </w:rPr>
      </w:pPr>
      <w:r w:rsidRPr="00155974">
        <w:rPr>
          <w:lang w:eastAsia="en-AU"/>
        </w:rPr>
        <w:t>An entity shall also disclose:</w:t>
      </w:r>
    </w:p>
    <w:p w14:paraId="60FA8A31" w14:textId="77A941C4" w:rsidR="00F42DB6" w:rsidRPr="00834691" w:rsidRDefault="00F42DB6" w:rsidP="000E61D3">
      <w:pPr>
        <w:pStyle w:val="ListParagraph"/>
        <w:numPr>
          <w:ilvl w:val="0"/>
          <w:numId w:val="131"/>
        </w:numPr>
        <w:ind w:left="1564" w:hanging="782"/>
        <w:jc w:val="both"/>
        <w:rPr>
          <w:szCs w:val="19"/>
          <w:lang w:eastAsia="en-AU"/>
        </w:rPr>
      </w:pPr>
      <w:r w:rsidRPr="00834691">
        <w:rPr>
          <w:szCs w:val="19"/>
          <w:lang w:eastAsia="en-AU"/>
        </w:rPr>
        <w:t>a description, the carrying amount and remaining amortisation period of any individual intangible asset that is material to the entity’s financial statements;</w:t>
      </w:r>
    </w:p>
    <w:p w14:paraId="06946314" w14:textId="334CF729" w:rsidR="00F42DB6" w:rsidRPr="00834691" w:rsidRDefault="00F42DB6" w:rsidP="000E61D3">
      <w:pPr>
        <w:pStyle w:val="ListParagraph"/>
        <w:numPr>
          <w:ilvl w:val="0"/>
          <w:numId w:val="131"/>
        </w:numPr>
        <w:ind w:left="1564" w:hanging="782"/>
        <w:jc w:val="both"/>
        <w:rPr>
          <w:szCs w:val="19"/>
          <w:lang w:eastAsia="en-AU"/>
        </w:rPr>
      </w:pPr>
      <w:r w:rsidRPr="00834691">
        <w:rPr>
          <w:szCs w:val="19"/>
          <w:lang w:eastAsia="en-AU"/>
        </w:rPr>
        <w:lastRenderedPageBreak/>
        <w:t>for intangible assets acquired by way of a government grant and initially recognised at fair value (see paragraph 44 of AASB 138):</w:t>
      </w:r>
    </w:p>
    <w:p w14:paraId="05A9B19D" w14:textId="2AB2BC95" w:rsidR="00F42DB6" w:rsidRPr="009764F3" w:rsidRDefault="00F42DB6" w:rsidP="000E61D3">
      <w:pPr>
        <w:pStyle w:val="ListParagraph"/>
        <w:numPr>
          <w:ilvl w:val="0"/>
          <w:numId w:val="132"/>
        </w:numPr>
        <w:ind w:left="2347" w:hanging="782"/>
        <w:jc w:val="both"/>
        <w:rPr>
          <w:szCs w:val="19"/>
          <w:lang w:eastAsia="en-AU"/>
        </w:rPr>
      </w:pPr>
      <w:r w:rsidRPr="009764F3">
        <w:rPr>
          <w:szCs w:val="19"/>
          <w:lang w:eastAsia="en-AU"/>
        </w:rPr>
        <w:t>the fair value initially recognised for these assets; and</w:t>
      </w:r>
    </w:p>
    <w:p w14:paraId="5A0F821D" w14:textId="25F96E0E" w:rsidR="00F42DB6" w:rsidRPr="009764F3" w:rsidRDefault="00F42DB6" w:rsidP="000E61D3">
      <w:pPr>
        <w:pStyle w:val="ListParagraph"/>
        <w:numPr>
          <w:ilvl w:val="0"/>
          <w:numId w:val="132"/>
        </w:numPr>
        <w:ind w:left="2347" w:hanging="782"/>
        <w:jc w:val="both"/>
        <w:rPr>
          <w:szCs w:val="19"/>
          <w:lang w:eastAsia="en-AU"/>
        </w:rPr>
      </w:pPr>
      <w:r w:rsidRPr="009764F3">
        <w:rPr>
          <w:szCs w:val="19"/>
          <w:lang w:eastAsia="en-AU"/>
        </w:rPr>
        <w:t>their carrying amounts</w:t>
      </w:r>
      <w:r w:rsidR="003C05A4" w:rsidRPr="009764F3">
        <w:rPr>
          <w:szCs w:val="19"/>
          <w:lang w:eastAsia="en-AU"/>
        </w:rPr>
        <w:t>;</w:t>
      </w:r>
    </w:p>
    <w:p w14:paraId="1FFF8793" w14:textId="6CFFE553" w:rsidR="00F42DB6" w:rsidRPr="00155974" w:rsidRDefault="00F42DB6" w:rsidP="000E61D3">
      <w:pPr>
        <w:pStyle w:val="ListParagraph"/>
        <w:numPr>
          <w:ilvl w:val="0"/>
          <w:numId w:val="131"/>
        </w:numPr>
        <w:ind w:left="1564" w:hanging="782"/>
        <w:jc w:val="both"/>
        <w:rPr>
          <w:szCs w:val="19"/>
          <w:lang w:eastAsia="en-AU"/>
        </w:rPr>
      </w:pPr>
      <w:r w:rsidRPr="00155974">
        <w:rPr>
          <w:szCs w:val="19"/>
          <w:lang w:eastAsia="en-AU"/>
        </w:rPr>
        <w:tab/>
        <w:t>the existence and carrying amounts of intangible assets to which the entity has restricted title or that are pledged as security for liabilities; and</w:t>
      </w:r>
    </w:p>
    <w:p w14:paraId="2900E19A" w14:textId="300DA3FA" w:rsidR="00F42DB6" w:rsidRPr="00155974" w:rsidRDefault="00F42DB6" w:rsidP="000E44A1">
      <w:pPr>
        <w:pStyle w:val="ListParagraph"/>
        <w:keepNext/>
        <w:numPr>
          <w:ilvl w:val="0"/>
          <w:numId w:val="131"/>
        </w:numPr>
        <w:ind w:left="1564" w:hanging="782"/>
        <w:jc w:val="both"/>
        <w:rPr>
          <w:szCs w:val="19"/>
          <w:lang w:eastAsia="en-AU"/>
        </w:rPr>
      </w:pPr>
      <w:r w:rsidRPr="00155974">
        <w:rPr>
          <w:szCs w:val="19"/>
          <w:lang w:eastAsia="en-AU"/>
        </w:rPr>
        <w:tab/>
        <w:t>the amount of contractual commitments for the acquisition of intangible assets.</w:t>
      </w:r>
    </w:p>
    <w:p w14:paraId="3776DDE9" w14:textId="032AF89F" w:rsidR="00AC7155" w:rsidRPr="00155974" w:rsidRDefault="008C220C" w:rsidP="00834691">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18.28]</w:t>
      </w:r>
    </w:p>
    <w:p w14:paraId="21DBAA90" w14:textId="2290A6E2" w:rsidR="00F42DB6" w:rsidRPr="00155974" w:rsidRDefault="00F42DB6" w:rsidP="000E61D3">
      <w:pPr>
        <w:pStyle w:val="NumPlain1"/>
        <w:numPr>
          <w:ilvl w:val="0"/>
          <w:numId w:val="84"/>
        </w:numPr>
        <w:ind w:left="782" w:hanging="782"/>
        <w:rPr>
          <w:lang w:eastAsia="en-AU"/>
        </w:rPr>
      </w:pPr>
      <w:bookmarkStart w:id="95" w:name="_Ref34655989"/>
      <w:r w:rsidRPr="00155974">
        <w:rPr>
          <w:lang w:eastAsia="en-AU"/>
        </w:rPr>
        <w:t>An entity shall disclose the aggregate amount of research and development expenditure recognised as an expense during the period. Research and development expenditure comprises all expenditure that is directly attributable to research or development activities. (</w:t>
      </w:r>
      <w:r w:rsidR="002B5400" w:rsidRPr="00155974">
        <w:rPr>
          <w:lang w:eastAsia="en-AU"/>
        </w:rPr>
        <w:t>S</w:t>
      </w:r>
      <w:r w:rsidRPr="00155974">
        <w:rPr>
          <w:lang w:eastAsia="en-AU"/>
        </w:rPr>
        <w:t xml:space="preserve">ee paragraphs 66 and 67 of AASB 138 for guidance on the type of expenditure to be included for the purpose of the disclosure requirement in paragraph </w:t>
      </w:r>
      <w:r w:rsidR="003726E3" w:rsidRPr="00155974">
        <w:rPr>
          <w:lang w:eastAsia="en-AU"/>
        </w:rPr>
        <w:t>139</w:t>
      </w:r>
      <w:r w:rsidR="0061405A" w:rsidRPr="00155974">
        <w:rPr>
          <w:lang w:eastAsia="en-AU"/>
        </w:rPr>
        <w:t>.</w:t>
      </w:r>
      <w:r w:rsidRPr="00155974">
        <w:rPr>
          <w:lang w:eastAsia="en-AU"/>
        </w:rPr>
        <w:t>)</w:t>
      </w:r>
      <w:r w:rsidR="00273BD6" w:rsidRPr="00155974">
        <w:rPr>
          <w:lang w:eastAsia="en-AU"/>
        </w:rPr>
        <w:t xml:space="preserve"> [Based on </w:t>
      </w:r>
      <w:r w:rsidR="0058144C" w:rsidRPr="00155974">
        <w:rPr>
          <w:i/>
          <w:iCs/>
          <w:lang w:eastAsia="en-AU"/>
        </w:rPr>
        <w:t>IFRS for SMEs</w:t>
      </w:r>
      <w:r w:rsidR="00273BD6" w:rsidRPr="00155974">
        <w:rPr>
          <w:lang w:eastAsia="en-AU"/>
        </w:rPr>
        <w:t xml:space="preserve"> Standard paragraph 18.29]</w:t>
      </w:r>
      <w:bookmarkEnd w:id="95"/>
    </w:p>
    <w:p w14:paraId="032B1315" w14:textId="74FB77C7" w:rsidR="00F42DB6" w:rsidRPr="00155974" w:rsidRDefault="00F42DB6" w:rsidP="004B0ADC">
      <w:pPr>
        <w:pStyle w:val="NumPlain1"/>
        <w:keepNext/>
        <w:numPr>
          <w:ilvl w:val="0"/>
          <w:numId w:val="84"/>
        </w:numPr>
        <w:ind w:left="782" w:hanging="782"/>
        <w:rPr>
          <w:lang w:eastAsia="en-AU"/>
        </w:rPr>
      </w:pPr>
      <w:r w:rsidRPr="00155974">
        <w:rPr>
          <w:lang w:eastAsia="en-AU"/>
        </w:rPr>
        <w:t>If items of intangible assets are stated at revalued amounts, an entity shall disclose the following:</w:t>
      </w:r>
    </w:p>
    <w:p w14:paraId="2687CC05" w14:textId="0D67CA50" w:rsidR="00F42DB6" w:rsidRPr="00155974" w:rsidRDefault="00F42DB6" w:rsidP="00834691">
      <w:pPr>
        <w:spacing w:after="100"/>
        <w:ind w:left="1564" w:hanging="782"/>
        <w:rPr>
          <w:szCs w:val="19"/>
          <w:lang w:eastAsia="en-AU"/>
        </w:rPr>
      </w:pPr>
      <w:r w:rsidRPr="00155974">
        <w:rPr>
          <w:szCs w:val="19"/>
          <w:lang w:eastAsia="en-AU"/>
        </w:rPr>
        <w:t>(a)</w:t>
      </w:r>
      <w:r w:rsidRPr="00155974">
        <w:rPr>
          <w:szCs w:val="19"/>
          <w:lang w:eastAsia="en-AU"/>
        </w:rPr>
        <w:tab/>
        <w:t>the effective date of the revaluation;</w:t>
      </w:r>
    </w:p>
    <w:p w14:paraId="42AAA8EC" w14:textId="0F1E030D" w:rsidR="00F42DB6" w:rsidRPr="00155974" w:rsidRDefault="00F42DB6" w:rsidP="00834691">
      <w:pPr>
        <w:spacing w:after="100"/>
        <w:ind w:left="1564" w:hanging="782"/>
        <w:rPr>
          <w:szCs w:val="19"/>
          <w:lang w:eastAsia="en-AU"/>
        </w:rPr>
      </w:pPr>
      <w:r w:rsidRPr="00155974">
        <w:rPr>
          <w:szCs w:val="19"/>
          <w:lang w:eastAsia="en-AU"/>
        </w:rPr>
        <w:t>(b)</w:t>
      </w:r>
      <w:r w:rsidRPr="00155974">
        <w:rPr>
          <w:szCs w:val="19"/>
          <w:lang w:eastAsia="en-AU"/>
        </w:rPr>
        <w:tab/>
        <w:t>whether an independent valuer was involved;</w:t>
      </w:r>
    </w:p>
    <w:p w14:paraId="281F2CB1" w14:textId="4E1B79D7" w:rsidR="00F42DB6" w:rsidRPr="00155974" w:rsidRDefault="00F42DB6" w:rsidP="00834691">
      <w:pPr>
        <w:spacing w:after="100"/>
        <w:ind w:left="1564" w:hanging="782"/>
        <w:rPr>
          <w:szCs w:val="19"/>
          <w:lang w:eastAsia="en-AU"/>
        </w:rPr>
      </w:pPr>
      <w:r w:rsidRPr="00155974">
        <w:rPr>
          <w:szCs w:val="19"/>
          <w:lang w:eastAsia="en-AU"/>
        </w:rPr>
        <w:t>(c)</w:t>
      </w:r>
      <w:r w:rsidRPr="00155974">
        <w:rPr>
          <w:szCs w:val="19"/>
          <w:lang w:eastAsia="en-AU"/>
        </w:rPr>
        <w:tab/>
        <w:t>the methods and significant assumptions applied in estimating the items’ fair values;</w:t>
      </w:r>
      <w:r w:rsidR="0057454E" w:rsidRPr="00155974">
        <w:rPr>
          <w:szCs w:val="19"/>
          <w:lang w:eastAsia="en-AU"/>
        </w:rPr>
        <w:t xml:space="preserve"> and</w:t>
      </w:r>
    </w:p>
    <w:p w14:paraId="4F025CAA" w14:textId="6E2F150F" w:rsidR="00F42DB6" w:rsidRPr="00155974" w:rsidRDefault="00F42DB6" w:rsidP="00834691">
      <w:pPr>
        <w:spacing w:after="100"/>
        <w:ind w:left="1564" w:hanging="782"/>
        <w:rPr>
          <w:szCs w:val="19"/>
          <w:lang w:eastAsia="en-AU"/>
        </w:rPr>
      </w:pPr>
      <w:r w:rsidRPr="00155974">
        <w:rPr>
          <w:szCs w:val="19"/>
          <w:lang w:eastAsia="en-AU"/>
        </w:rPr>
        <w:t>(</w:t>
      </w:r>
      <w:r w:rsidR="0040500A" w:rsidRPr="00155974">
        <w:rPr>
          <w:szCs w:val="19"/>
          <w:lang w:eastAsia="en-AU"/>
        </w:rPr>
        <w:t>d</w:t>
      </w:r>
      <w:r w:rsidRPr="00155974">
        <w:rPr>
          <w:szCs w:val="19"/>
          <w:lang w:eastAsia="en-AU"/>
        </w:rPr>
        <w:t>)</w:t>
      </w:r>
      <w:r w:rsidRPr="00155974">
        <w:rPr>
          <w:szCs w:val="19"/>
          <w:lang w:eastAsia="en-AU"/>
        </w:rPr>
        <w:tab/>
        <w:t>the revaluation surplus, indicating the change for the period and any restrictions on the distribution of the balance to shareholders</w:t>
      </w:r>
      <w:r w:rsidR="0057454E" w:rsidRPr="00155974">
        <w:rPr>
          <w:szCs w:val="19"/>
          <w:lang w:eastAsia="en-AU"/>
        </w:rPr>
        <w:t>.</w:t>
      </w:r>
    </w:p>
    <w:p w14:paraId="137E5E61" w14:textId="2445AF9F" w:rsidR="00F42DB6" w:rsidRPr="00155974" w:rsidRDefault="00F42DB6" w:rsidP="000E61D3">
      <w:pPr>
        <w:pStyle w:val="NumPlain1"/>
        <w:numPr>
          <w:ilvl w:val="0"/>
          <w:numId w:val="84"/>
        </w:numPr>
        <w:ind w:left="782" w:hanging="782"/>
        <w:rPr>
          <w:lang w:eastAsia="en-AU"/>
        </w:rPr>
      </w:pPr>
      <w:r w:rsidRPr="00155974">
        <w:rPr>
          <w:lang w:eastAsia="en-AU"/>
        </w:rPr>
        <w:t>An entity shall also disclose for an intangible asset assessed as having an indefinite useful life, the carrying amount of that asset and the reasons supporting the assessment of an indefinite useful life. In giving these reasons, the entity shall describe the factor(s) that played a significant role in determining that the asset has an indefinite useful life.</w:t>
      </w:r>
    </w:p>
    <w:p w14:paraId="7D7986D3" w14:textId="44E0F663" w:rsidR="00F42DB6" w:rsidRPr="00155974" w:rsidRDefault="00F42DB6" w:rsidP="00022B10">
      <w:pPr>
        <w:pStyle w:val="IASBSectionTitle2Ind"/>
        <w:rPr>
          <w:sz w:val="20"/>
          <w:lang w:eastAsia="en-AU"/>
        </w:rPr>
      </w:pPr>
      <w:r w:rsidRPr="00155974">
        <w:rPr>
          <w:lang w:eastAsia="en-AU"/>
        </w:rPr>
        <w:t>Business Combinations and Goodwill</w:t>
      </w:r>
      <w:r w:rsidRPr="00155974">
        <w:rPr>
          <w:rStyle w:val="FootnoteReference"/>
          <w:sz w:val="22"/>
          <w:szCs w:val="22"/>
          <w:lang w:eastAsia="en-AU"/>
        </w:rPr>
        <w:footnoteReference w:id="19"/>
      </w:r>
    </w:p>
    <w:p w14:paraId="3A364896" w14:textId="77777777" w:rsidR="00F42DB6" w:rsidRPr="00155974" w:rsidRDefault="00F42DB6" w:rsidP="00022B10">
      <w:pPr>
        <w:pStyle w:val="IASBSectionTitle3Ind"/>
        <w:rPr>
          <w:lang w:eastAsia="en-AU"/>
        </w:rPr>
      </w:pPr>
      <w:r w:rsidRPr="00155974">
        <w:rPr>
          <w:lang w:eastAsia="en-AU"/>
        </w:rPr>
        <w:t>For business combination(s) during the reporting period</w:t>
      </w:r>
    </w:p>
    <w:p w14:paraId="4F8B66C0" w14:textId="05591E71" w:rsidR="00F42DB6" w:rsidRPr="00155974" w:rsidRDefault="00F42DB6" w:rsidP="004B0ADC">
      <w:pPr>
        <w:pStyle w:val="NumPlain1"/>
        <w:keepNext/>
        <w:numPr>
          <w:ilvl w:val="0"/>
          <w:numId w:val="84"/>
        </w:numPr>
        <w:ind w:left="782" w:hanging="782"/>
        <w:rPr>
          <w:lang w:eastAsia="en-AU"/>
        </w:rPr>
      </w:pPr>
      <w:bookmarkStart w:id="96" w:name="_Ref35360044"/>
      <w:r w:rsidRPr="00155974">
        <w:rPr>
          <w:lang w:eastAsia="en-AU"/>
        </w:rPr>
        <w:t>For each business combination during the period, the acquirer shall disclose the following:</w:t>
      </w:r>
      <w:bookmarkEnd w:id="96"/>
    </w:p>
    <w:p w14:paraId="31F1BFCC" w14:textId="16588D5B"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the names and descriptions of the combining entities or businesses;</w:t>
      </w:r>
    </w:p>
    <w:p w14:paraId="2257CC1A" w14:textId="5E33A63C"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the acquisition date;</w:t>
      </w:r>
    </w:p>
    <w:p w14:paraId="1D3DD6DE" w14:textId="7E7D4541"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the percentage of voting equity instruments acquired;</w:t>
      </w:r>
    </w:p>
    <w:p w14:paraId="6868B8D2" w14:textId="26D6B950"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the cost of the combination and a description of the components of that cost (such as cash, equity instruments and debt instruments);</w:t>
      </w:r>
    </w:p>
    <w:p w14:paraId="148736A5" w14:textId="168FFEB8"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the amounts recognised at the acquisition date for each class of the acquiree’s assets, liabilities and contingent liabilities, including goodwill;</w:t>
      </w:r>
    </w:p>
    <w:p w14:paraId="22481011" w14:textId="2D2B855A"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 xml:space="preserve">the amount of any excess recognised in profit or loss in accordance with paragraph 34 of AASB 3 </w:t>
      </w:r>
      <w:r w:rsidRPr="00F84449">
        <w:rPr>
          <w:i/>
          <w:szCs w:val="19"/>
          <w:lang w:eastAsia="en-AU"/>
        </w:rPr>
        <w:t>Business Combinations</w:t>
      </w:r>
      <w:r w:rsidRPr="00F84449">
        <w:rPr>
          <w:szCs w:val="19"/>
          <w:lang w:eastAsia="en-AU"/>
        </w:rPr>
        <w:t xml:space="preserve"> and the line item in the statement of comprehensive income (and in the statement</w:t>
      </w:r>
      <w:r w:rsidR="00C7014C" w:rsidRPr="00F84449">
        <w:rPr>
          <w:szCs w:val="19"/>
          <w:lang w:eastAsia="en-AU"/>
        </w:rPr>
        <w:t xml:space="preserve"> of profit or loss</w:t>
      </w:r>
      <w:r w:rsidRPr="00F84449">
        <w:rPr>
          <w:szCs w:val="19"/>
          <w:lang w:eastAsia="en-AU"/>
        </w:rPr>
        <w:t xml:space="preserve">, if presented) in which the excess is recognised; </w:t>
      </w:r>
    </w:p>
    <w:p w14:paraId="419D1186" w14:textId="79A7A37C" w:rsidR="00F42DB6" w:rsidRPr="00F84449" w:rsidRDefault="00F42DB6" w:rsidP="000E61D3">
      <w:pPr>
        <w:pStyle w:val="ListParagraph"/>
        <w:numPr>
          <w:ilvl w:val="0"/>
          <w:numId w:val="133"/>
        </w:numPr>
        <w:ind w:left="1564" w:hanging="782"/>
        <w:jc w:val="both"/>
        <w:rPr>
          <w:szCs w:val="19"/>
          <w:lang w:eastAsia="en-AU"/>
        </w:rPr>
      </w:pPr>
      <w:r w:rsidRPr="00F84449">
        <w:rPr>
          <w:szCs w:val="19"/>
          <w:lang w:eastAsia="en-AU"/>
        </w:rPr>
        <w:t>a qualitative description of the factors that make up the goodwill recognised, such as expected synergies from combining operations of the acquiree and the acquirer, or intangible assets or other items not recognised in accordance with paragraphs 10</w:t>
      </w:r>
      <w:r w:rsidR="00262B1B" w:rsidRPr="00F84449">
        <w:rPr>
          <w:szCs w:val="19"/>
          <w:lang w:eastAsia="en-AU"/>
        </w:rPr>
        <w:t>–</w:t>
      </w:r>
      <w:r w:rsidRPr="00F84449">
        <w:rPr>
          <w:szCs w:val="19"/>
          <w:lang w:eastAsia="en-AU"/>
        </w:rPr>
        <w:t>14 of AASB 3; and</w:t>
      </w:r>
    </w:p>
    <w:p w14:paraId="41B6281B" w14:textId="2F37CB6D" w:rsidR="00F42DB6" w:rsidRPr="00F84449" w:rsidRDefault="00F42DB6" w:rsidP="00057305">
      <w:pPr>
        <w:pStyle w:val="ListParagraph"/>
        <w:keepNext/>
        <w:numPr>
          <w:ilvl w:val="0"/>
          <w:numId w:val="133"/>
        </w:numPr>
        <w:ind w:left="1564" w:hanging="782"/>
        <w:jc w:val="both"/>
        <w:rPr>
          <w:szCs w:val="19"/>
          <w:lang w:eastAsia="en-AU"/>
        </w:rPr>
      </w:pPr>
      <w:r w:rsidRPr="00F84449">
        <w:rPr>
          <w:szCs w:val="19"/>
          <w:lang w:eastAsia="en-AU"/>
        </w:rPr>
        <w:t>for each business combination in which the acquirer holds less than 100 per cent of the equity interests in the acquiree at the acquisition date, the acquirer shall disclose the amount of the non-controlling interest in the acquiree recognised at the acquisition date and the measurement basis for that amount.</w:t>
      </w:r>
    </w:p>
    <w:p w14:paraId="58EFE047" w14:textId="043D042F" w:rsidR="00F865B3" w:rsidRPr="00155974" w:rsidRDefault="00F865B3" w:rsidP="004B5E15">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8757A7" w:rsidRPr="00155974">
        <w:rPr>
          <w:szCs w:val="19"/>
          <w:lang w:eastAsia="en-AU"/>
        </w:rPr>
        <w:t>9.25</w:t>
      </w:r>
      <w:r w:rsidRPr="00155974">
        <w:rPr>
          <w:szCs w:val="19"/>
          <w:lang w:eastAsia="en-AU"/>
        </w:rPr>
        <w:t>]</w:t>
      </w:r>
    </w:p>
    <w:p w14:paraId="042D7944" w14:textId="77777777" w:rsidR="00F42DB6" w:rsidRPr="00155974" w:rsidRDefault="00F42DB6" w:rsidP="00022B10">
      <w:pPr>
        <w:pStyle w:val="IASBSectionTitle3Ind"/>
        <w:rPr>
          <w:lang w:eastAsia="en-AU"/>
        </w:rPr>
      </w:pPr>
      <w:r w:rsidRPr="00155974">
        <w:rPr>
          <w:lang w:eastAsia="en-AU"/>
        </w:rPr>
        <w:lastRenderedPageBreak/>
        <w:t>For all business combinations</w:t>
      </w:r>
    </w:p>
    <w:p w14:paraId="5F91D6EE" w14:textId="46F18CCC" w:rsidR="00F42DB6" w:rsidRPr="00155974" w:rsidRDefault="00F42DB6" w:rsidP="000E61D3">
      <w:pPr>
        <w:pStyle w:val="NumPlain1"/>
        <w:numPr>
          <w:ilvl w:val="0"/>
          <w:numId w:val="84"/>
        </w:numPr>
        <w:ind w:left="782" w:hanging="782"/>
        <w:rPr>
          <w:lang w:eastAsia="en-AU"/>
        </w:rPr>
      </w:pPr>
      <w:r w:rsidRPr="00155974">
        <w:rPr>
          <w:lang w:eastAsia="en-AU"/>
        </w:rPr>
        <w:t>An acquirer shall disclose a reconciliation of the carrying amount of goodwill at the beginning and end of the reporting period, showing separately:</w:t>
      </w:r>
    </w:p>
    <w:p w14:paraId="78EF4F42" w14:textId="0A83E659" w:rsidR="00F42DB6" w:rsidRPr="00DA56E7" w:rsidRDefault="00F42DB6" w:rsidP="000E61D3">
      <w:pPr>
        <w:pStyle w:val="ListParagraph"/>
        <w:numPr>
          <w:ilvl w:val="0"/>
          <w:numId w:val="134"/>
        </w:numPr>
        <w:ind w:left="1564" w:hanging="782"/>
        <w:jc w:val="both"/>
        <w:rPr>
          <w:szCs w:val="19"/>
          <w:lang w:eastAsia="en-AU"/>
        </w:rPr>
      </w:pPr>
      <w:r w:rsidRPr="00DA56E7">
        <w:rPr>
          <w:szCs w:val="19"/>
          <w:lang w:eastAsia="en-AU"/>
        </w:rPr>
        <w:t>changes arising from new business combinations;</w:t>
      </w:r>
    </w:p>
    <w:p w14:paraId="0FC09F46" w14:textId="01289E55" w:rsidR="00F42DB6" w:rsidRPr="00DA56E7" w:rsidRDefault="00F42DB6" w:rsidP="000E61D3">
      <w:pPr>
        <w:pStyle w:val="ListParagraph"/>
        <w:numPr>
          <w:ilvl w:val="0"/>
          <w:numId w:val="134"/>
        </w:numPr>
        <w:ind w:left="1564" w:hanging="782"/>
        <w:jc w:val="both"/>
        <w:rPr>
          <w:szCs w:val="19"/>
          <w:lang w:eastAsia="en-AU"/>
        </w:rPr>
      </w:pPr>
      <w:r w:rsidRPr="00DA56E7">
        <w:rPr>
          <w:szCs w:val="19"/>
          <w:lang w:eastAsia="en-AU"/>
        </w:rPr>
        <w:t>impairment losses;</w:t>
      </w:r>
    </w:p>
    <w:p w14:paraId="6BAB037D" w14:textId="7F268DE3" w:rsidR="00F42DB6" w:rsidRPr="00DA56E7" w:rsidRDefault="00F42DB6" w:rsidP="000E61D3">
      <w:pPr>
        <w:pStyle w:val="ListParagraph"/>
        <w:numPr>
          <w:ilvl w:val="0"/>
          <w:numId w:val="134"/>
        </w:numPr>
        <w:ind w:left="1564" w:hanging="782"/>
        <w:jc w:val="both"/>
        <w:rPr>
          <w:szCs w:val="19"/>
          <w:lang w:eastAsia="en-AU"/>
        </w:rPr>
      </w:pPr>
      <w:r w:rsidRPr="00DA56E7">
        <w:rPr>
          <w:szCs w:val="19"/>
          <w:lang w:eastAsia="en-AU"/>
        </w:rPr>
        <w:t>disposals of previously acquired businesses; and</w:t>
      </w:r>
    </w:p>
    <w:p w14:paraId="1AB1C20E" w14:textId="051E37CA" w:rsidR="00F42DB6" w:rsidRPr="00DA56E7" w:rsidRDefault="00F42DB6" w:rsidP="000E44A1">
      <w:pPr>
        <w:pStyle w:val="ListParagraph"/>
        <w:keepNext/>
        <w:numPr>
          <w:ilvl w:val="0"/>
          <w:numId w:val="134"/>
        </w:numPr>
        <w:ind w:left="1564" w:hanging="782"/>
        <w:jc w:val="both"/>
        <w:rPr>
          <w:szCs w:val="19"/>
          <w:lang w:eastAsia="en-AU"/>
        </w:rPr>
      </w:pPr>
      <w:r w:rsidRPr="00DA56E7">
        <w:rPr>
          <w:szCs w:val="19"/>
          <w:lang w:eastAsia="en-AU"/>
        </w:rPr>
        <w:t>other changes.</w:t>
      </w:r>
    </w:p>
    <w:p w14:paraId="59872E4E" w14:textId="3C4988E5" w:rsidR="00A32E5E" w:rsidRDefault="00F42DB6" w:rsidP="00B028CA">
      <w:pPr>
        <w:spacing w:after="100"/>
        <w:ind w:left="782"/>
        <w:rPr>
          <w:szCs w:val="19"/>
          <w:lang w:eastAsia="en-AU"/>
        </w:rPr>
      </w:pPr>
      <w:r w:rsidRPr="00155974">
        <w:rPr>
          <w:szCs w:val="19"/>
          <w:lang w:eastAsia="en-AU"/>
        </w:rPr>
        <w:t>This reconciliation need not be presented for prior periods.</w:t>
      </w:r>
      <w:r w:rsidR="00225B74" w:rsidRPr="00155974">
        <w:rPr>
          <w:szCs w:val="19"/>
          <w:lang w:eastAsia="en-AU"/>
        </w:rPr>
        <w:t xml:space="preserve"> </w:t>
      </w:r>
      <w:r w:rsidR="00C51DC0" w:rsidRPr="00155974">
        <w:rPr>
          <w:szCs w:val="19"/>
          <w:lang w:eastAsia="en-AU"/>
        </w:rPr>
        <w:t xml:space="preserve">[Based on </w:t>
      </w:r>
      <w:r w:rsidR="0058144C" w:rsidRPr="00155974">
        <w:rPr>
          <w:i/>
          <w:iCs/>
          <w:szCs w:val="19"/>
          <w:lang w:eastAsia="en-AU"/>
        </w:rPr>
        <w:t>IFRS for SMEs</w:t>
      </w:r>
      <w:r w:rsidR="00C51DC0" w:rsidRPr="00155974">
        <w:rPr>
          <w:szCs w:val="19"/>
          <w:lang w:eastAsia="en-AU"/>
        </w:rPr>
        <w:t xml:space="preserve"> Standard paragraph 19.26]</w:t>
      </w:r>
    </w:p>
    <w:p w14:paraId="1F1D1FBC" w14:textId="7F4D3172" w:rsidR="00F42DB6" w:rsidRPr="00155974" w:rsidRDefault="00F42DB6" w:rsidP="00022B10">
      <w:pPr>
        <w:pStyle w:val="IASBSectionTitle2Ind"/>
        <w:rPr>
          <w:szCs w:val="19"/>
          <w:lang w:eastAsia="en-AU"/>
        </w:rPr>
      </w:pPr>
      <w:bookmarkStart w:id="97" w:name="Leases"/>
      <w:r w:rsidRPr="00155974">
        <w:rPr>
          <w:lang w:eastAsia="en-AU"/>
        </w:rPr>
        <w:t>Leases</w:t>
      </w:r>
      <w:bookmarkEnd w:id="97"/>
      <w:r w:rsidRPr="00155974">
        <w:rPr>
          <w:rStyle w:val="FootnoteReference"/>
          <w:sz w:val="22"/>
          <w:szCs w:val="22"/>
          <w:lang w:eastAsia="en-AU"/>
        </w:rPr>
        <w:footnoteReference w:id="20"/>
      </w:r>
    </w:p>
    <w:p w14:paraId="3B5728C4" w14:textId="4F6EE085" w:rsidR="00F42DB6" w:rsidRPr="00155974" w:rsidRDefault="00F42DB6" w:rsidP="00043CE4">
      <w:pPr>
        <w:pStyle w:val="NumPlain1"/>
        <w:keepNext/>
        <w:numPr>
          <w:ilvl w:val="0"/>
          <w:numId w:val="84"/>
        </w:numPr>
        <w:ind w:left="782" w:hanging="782"/>
        <w:rPr>
          <w:lang w:eastAsia="en-AU"/>
        </w:rPr>
      </w:pPr>
      <w:bookmarkStart w:id="98" w:name="_Ref34656716"/>
      <w:r w:rsidRPr="00155974">
        <w:rPr>
          <w:lang w:eastAsia="en-AU"/>
        </w:rPr>
        <w:t>A lessee shall make the following disclosures for leases:</w:t>
      </w:r>
      <w:bookmarkEnd w:id="98"/>
    </w:p>
    <w:p w14:paraId="19C3CD42" w14:textId="7D44CEAF" w:rsidR="00F42DB6" w:rsidRPr="00DA56E7" w:rsidRDefault="00F42DB6" w:rsidP="000E61D3">
      <w:pPr>
        <w:pStyle w:val="ListParagraph"/>
        <w:numPr>
          <w:ilvl w:val="0"/>
          <w:numId w:val="135"/>
        </w:numPr>
        <w:ind w:left="1564" w:hanging="782"/>
        <w:jc w:val="both"/>
        <w:rPr>
          <w:szCs w:val="19"/>
          <w:lang w:eastAsia="en-AU"/>
        </w:rPr>
      </w:pPr>
      <w:r w:rsidRPr="00DA56E7">
        <w:rPr>
          <w:szCs w:val="19"/>
          <w:lang w:eastAsia="en-AU"/>
        </w:rPr>
        <w:t xml:space="preserve">for each class of </w:t>
      </w:r>
      <w:r w:rsidR="00E276C0" w:rsidRPr="00DA56E7">
        <w:rPr>
          <w:szCs w:val="19"/>
          <w:lang w:eastAsia="en-AU"/>
        </w:rPr>
        <w:t xml:space="preserve">underlying asset, </w:t>
      </w:r>
      <w:r w:rsidRPr="00DA56E7">
        <w:rPr>
          <w:szCs w:val="19"/>
          <w:lang w:eastAsia="en-AU"/>
        </w:rPr>
        <w:t xml:space="preserve">the net carrying amount </w:t>
      </w:r>
      <w:r w:rsidR="00E276C0" w:rsidRPr="00DA56E7">
        <w:rPr>
          <w:szCs w:val="19"/>
          <w:lang w:eastAsia="en-AU"/>
        </w:rPr>
        <w:t xml:space="preserve">of the right-of-use asset </w:t>
      </w:r>
      <w:r w:rsidRPr="00DA56E7">
        <w:rPr>
          <w:szCs w:val="19"/>
          <w:lang w:eastAsia="en-AU"/>
        </w:rPr>
        <w:t>at the end of the reporting period;</w:t>
      </w:r>
    </w:p>
    <w:p w14:paraId="07A61F97" w14:textId="7698EB15" w:rsidR="00F42DB6" w:rsidRPr="00DA56E7" w:rsidRDefault="00F42DB6" w:rsidP="00043CE4">
      <w:pPr>
        <w:pStyle w:val="ListParagraph"/>
        <w:keepNext/>
        <w:numPr>
          <w:ilvl w:val="0"/>
          <w:numId w:val="135"/>
        </w:numPr>
        <w:ind w:left="1564" w:hanging="782"/>
        <w:jc w:val="both"/>
        <w:rPr>
          <w:szCs w:val="19"/>
          <w:lang w:eastAsia="en-AU"/>
        </w:rPr>
      </w:pPr>
      <w:r w:rsidRPr="00DA56E7">
        <w:rPr>
          <w:szCs w:val="19"/>
          <w:lang w:eastAsia="en-AU"/>
        </w:rPr>
        <w:t>the total of future lease payments at the end of the reporting period, for each of the following periods:</w:t>
      </w:r>
    </w:p>
    <w:p w14:paraId="0B16A9B1" w14:textId="637F6C67" w:rsidR="00F42DB6" w:rsidRPr="00684A76" w:rsidRDefault="00F42DB6" w:rsidP="000E61D3">
      <w:pPr>
        <w:pStyle w:val="ListParagraph"/>
        <w:numPr>
          <w:ilvl w:val="0"/>
          <w:numId w:val="136"/>
        </w:numPr>
        <w:ind w:left="2347" w:hanging="782"/>
        <w:jc w:val="both"/>
        <w:rPr>
          <w:szCs w:val="19"/>
          <w:lang w:eastAsia="en-AU"/>
        </w:rPr>
      </w:pPr>
      <w:r w:rsidRPr="00684A76">
        <w:rPr>
          <w:szCs w:val="19"/>
          <w:lang w:eastAsia="en-AU"/>
        </w:rPr>
        <w:t>not later than one year;</w:t>
      </w:r>
    </w:p>
    <w:p w14:paraId="7F78A9DD" w14:textId="2A6E9B4A" w:rsidR="00F42DB6" w:rsidRPr="00684A76" w:rsidRDefault="00F42DB6" w:rsidP="000E61D3">
      <w:pPr>
        <w:pStyle w:val="ListParagraph"/>
        <w:numPr>
          <w:ilvl w:val="0"/>
          <w:numId w:val="136"/>
        </w:numPr>
        <w:ind w:left="2347" w:hanging="782"/>
        <w:jc w:val="both"/>
        <w:rPr>
          <w:szCs w:val="19"/>
          <w:lang w:eastAsia="en-AU"/>
        </w:rPr>
      </w:pPr>
      <w:r w:rsidRPr="00684A76">
        <w:rPr>
          <w:szCs w:val="19"/>
          <w:lang w:eastAsia="en-AU"/>
        </w:rPr>
        <w:t>later than one year and not later than five years; and</w:t>
      </w:r>
    </w:p>
    <w:p w14:paraId="531976D3" w14:textId="704820A0" w:rsidR="00F42DB6" w:rsidRPr="00684A76" w:rsidRDefault="00F42DB6" w:rsidP="000E61D3">
      <w:pPr>
        <w:pStyle w:val="ListParagraph"/>
        <w:numPr>
          <w:ilvl w:val="0"/>
          <w:numId w:val="136"/>
        </w:numPr>
        <w:ind w:left="2347" w:hanging="782"/>
        <w:jc w:val="both"/>
        <w:rPr>
          <w:szCs w:val="19"/>
          <w:lang w:eastAsia="en-AU"/>
        </w:rPr>
      </w:pPr>
      <w:r w:rsidRPr="00684A76">
        <w:rPr>
          <w:szCs w:val="19"/>
          <w:lang w:eastAsia="en-AU"/>
        </w:rPr>
        <w:t>later than five years</w:t>
      </w:r>
      <w:r w:rsidR="008811B2" w:rsidRPr="00684A76">
        <w:rPr>
          <w:szCs w:val="19"/>
          <w:lang w:eastAsia="en-AU"/>
        </w:rPr>
        <w:t>; and</w:t>
      </w:r>
    </w:p>
    <w:p w14:paraId="12F05A17" w14:textId="1A18838D" w:rsidR="00F42DB6" w:rsidRPr="00155974" w:rsidRDefault="00F42DB6" w:rsidP="000E44A1">
      <w:pPr>
        <w:pStyle w:val="ListParagraph"/>
        <w:keepNext/>
        <w:numPr>
          <w:ilvl w:val="0"/>
          <w:numId w:val="135"/>
        </w:numPr>
        <w:ind w:left="1564" w:hanging="782"/>
        <w:jc w:val="both"/>
        <w:rPr>
          <w:szCs w:val="19"/>
          <w:lang w:eastAsia="en-AU"/>
        </w:rPr>
      </w:pPr>
      <w:r w:rsidRPr="00155974">
        <w:rPr>
          <w:szCs w:val="19"/>
          <w:lang w:eastAsia="en-AU"/>
        </w:rPr>
        <w:tab/>
        <w:t>a general description of the lessee’s significant leasing arrangements including, for example, information about variable lease payments, extension and termination options, residual value guarantees, subleases and restrictions imposed by lease arrangements.</w:t>
      </w:r>
    </w:p>
    <w:p w14:paraId="6486142B" w14:textId="3B0500E7" w:rsidR="002D561E" w:rsidRPr="00155974" w:rsidRDefault="002D561E" w:rsidP="00B028CA">
      <w:pPr>
        <w:spacing w:after="100"/>
        <w:ind w:left="1349"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20.13]</w:t>
      </w:r>
    </w:p>
    <w:p w14:paraId="29BCEB3D" w14:textId="4A0083F8" w:rsidR="00F42DB6" w:rsidRPr="00155974" w:rsidRDefault="00F42DB6" w:rsidP="000E61D3">
      <w:pPr>
        <w:pStyle w:val="NumPlain1"/>
        <w:numPr>
          <w:ilvl w:val="0"/>
          <w:numId w:val="84"/>
        </w:numPr>
        <w:ind w:left="782" w:hanging="782"/>
        <w:rPr>
          <w:lang w:eastAsia="en-AU"/>
        </w:rPr>
      </w:pPr>
      <w:r w:rsidRPr="00155974">
        <w:rPr>
          <w:lang w:eastAsia="en-AU"/>
        </w:rPr>
        <w:t xml:space="preserve">In addition, the requirements for disclosure about assets in accordance with </w:t>
      </w:r>
      <w:r w:rsidR="00DE2EBD" w:rsidRPr="00155974">
        <w:rPr>
          <w:lang w:eastAsia="en-AU"/>
        </w:rPr>
        <w:t xml:space="preserve">paragraphs </w:t>
      </w:r>
      <w:r w:rsidR="003726E3" w:rsidRPr="00155974">
        <w:rPr>
          <w:lang w:eastAsia="en-AU"/>
        </w:rPr>
        <w:t>134</w:t>
      </w:r>
      <w:r w:rsidR="007B5B26" w:rsidRPr="00155974">
        <w:rPr>
          <w:lang w:eastAsia="en-AU"/>
        </w:rPr>
        <w:t>(</w:t>
      </w:r>
      <w:r w:rsidR="00D95A9A" w:rsidRPr="00155974">
        <w:rPr>
          <w:lang w:eastAsia="en-AU"/>
        </w:rPr>
        <w:t>e)(i)</w:t>
      </w:r>
      <w:r w:rsidR="00972D3D" w:rsidRPr="00155974">
        <w:rPr>
          <w:lang w:eastAsia="en-AU"/>
        </w:rPr>
        <w:t xml:space="preserve"> and</w:t>
      </w:r>
      <w:r w:rsidR="002A39ED" w:rsidRPr="00155974">
        <w:rPr>
          <w:lang w:eastAsia="en-AU"/>
        </w:rPr>
        <w:t xml:space="preserve"> </w:t>
      </w:r>
      <w:r w:rsidR="00D95A9A" w:rsidRPr="00155974">
        <w:rPr>
          <w:lang w:eastAsia="en-AU"/>
        </w:rPr>
        <w:t>(</w:t>
      </w:r>
      <w:r w:rsidR="0056084B" w:rsidRPr="00155974">
        <w:rPr>
          <w:lang w:eastAsia="en-AU"/>
        </w:rPr>
        <w:t>v</w:t>
      </w:r>
      <w:r w:rsidR="00D95A9A" w:rsidRPr="00155974">
        <w:rPr>
          <w:lang w:eastAsia="en-AU"/>
        </w:rPr>
        <w:t>ii)</w:t>
      </w:r>
      <w:r w:rsidR="008210B5" w:rsidRPr="00155974">
        <w:rPr>
          <w:lang w:eastAsia="en-AU"/>
        </w:rPr>
        <w:t xml:space="preserve"> and</w:t>
      </w:r>
      <w:r w:rsidR="00A83132" w:rsidRPr="00155974">
        <w:rPr>
          <w:lang w:eastAsia="en-AU"/>
        </w:rPr>
        <w:t xml:space="preserve"> </w:t>
      </w:r>
      <w:r w:rsidR="003726E3" w:rsidRPr="00155974">
        <w:rPr>
          <w:lang w:eastAsia="en-AU"/>
        </w:rPr>
        <w:t>136</w:t>
      </w:r>
      <w:r w:rsidR="00B41D3B" w:rsidRPr="00155974">
        <w:rPr>
          <w:lang w:eastAsia="en-AU"/>
        </w:rPr>
        <w:t xml:space="preserve"> </w:t>
      </w:r>
      <w:r w:rsidRPr="00155974">
        <w:rPr>
          <w:lang w:eastAsia="en-AU"/>
        </w:rPr>
        <w:t>apply to lessees for the right-of-use assets.</w:t>
      </w:r>
      <w:r w:rsidR="00B37502" w:rsidRPr="00155974">
        <w:rPr>
          <w:lang w:eastAsia="en-AU"/>
        </w:rPr>
        <w:t xml:space="preserve"> [Based on </w:t>
      </w:r>
      <w:r w:rsidR="0058144C" w:rsidRPr="00155974">
        <w:rPr>
          <w:i/>
          <w:iCs/>
          <w:lang w:eastAsia="en-AU"/>
        </w:rPr>
        <w:t>IFRS for SMEs</w:t>
      </w:r>
      <w:r w:rsidR="00B37502" w:rsidRPr="00155974">
        <w:rPr>
          <w:lang w:eastAsia="en-AU"/>
        </w:rPr>
        <w:t xml:space="preserve"> Standard paragraph 20.14]</w:t>
      </w:r>
    </w:p>
    <w:p w14:paraId="4F99568E" w14:textId="1253A4E9" w:rsidR="00F42DB6" w:rsidRPr="00155974" w:rsidRDefault="00F42DB6" w:rsidP="000E61D3">
      <w:pPr>
        <w:pStyle w:val="NumPlain1"/>
        <w:numPr>
          <w:ilvl w:val="0"/>
          <w:numId w:val="84"/>
        </w:numPr>
        <w:ind w:left="782" w:hanging="782"/>
        <w:rPr>
          <w:lang w:eastAsia="en-AU"/>
        </w:rPr>
      </w:pPr>
      <w:bookmarkStart w:id="99" w:name="_Ref34656727"/>
      <w:r w:rsidRPr="00155974">
        <w:rPr>
          <w:lang w:eastAsia="en-AU"/>
        </w:rPr>
        <w:t xml:space="preserve">A lessee shall make the following disclosures for short-term leases and leases of low-value assets that are not recognised as right-of-use assets under the exemption in paragraph 6 of AASB 16 </w:t>
      </w:r>
      <w:r w:rsidRPr="00155974">
        <w:rPr>
          <w:i/>
          <w:lang w:eastAsia="en-AU"/>
        </w:rPr>
        <w:t>Leases</w:t>
      </w:r>
      <w:r w:rsidRPr="00155974">
        <w:rPr>
          <w:lang w:eastAsia="en-AU"/>
        </w:rPr>
        <w:t>:</w:t>
      </w:r>
      <w:bookmarkEnd w:id="99"/>
    </w:p>
    <w:p w14:paraId="489A65CB" w14:textId="397B8194" w:rsidR="00F42DB6" w:rsidRPr="00684A76" w:rsidRDefault="00F42DB6" w:rsidP="000E61D3">
      <w:pPr>
        <w:pStyle w:val="ListParagraph"/>
        <w:numPr>
          <w:ilvl w:val="0"/>
          <w:numId w:val="137"/>
        </w:numPr>
        <w:ind w:left="1564" w:hanging="782"/>
        <w:jc w:val="both"/>
        <w:rPr>
          <w:strike/>
          <w:szCs w:val="19"/>
          <w:lang w:eastAsia="en-AU"/>
        </w:rPr>
      </w:pPr>
      <w:r w:rsidRPr="00684A76">
        <w:rPr>
          <w:szCs w:val="19"/>
          <w:lang w:eastAsia="en-AU"/>
        </w:rPr>
        <w:t>the amount of its lease commitments for short-term leases if the portfolio of short-term leases to which it is committed at the end of the reporting period is dissimilar to the portfolio of short-term leases to which the short-term lease expense disclosed applying paragraph (b) below relates; and</w:t>
      </w:r>
    </w:p>
    <w:p w14:paraId="663FFF46" w14:textId="5226DDEF" w:rsidR="00F42DB6" w:rsidRPr="00684A76" w:rsidRDefault="00F42DB6" w:rsidP="000E44A1">
      <w:pPr>
        <w:pStyle w:val="ListParagraph"/>
        <w:keepNext/>
        <w:numPr>
          <w:ilvl w:val="0"/>
          <w:numId w:val="137"/>
        </w:numPr>
        <w:ind w:left="1564" w:hanging="782"/>
        <w:jc w:val="both"/>
        <w:rPr>
          <w:szCs w:val="19"/>
          <w:lang w:eastAsia="en-AU"/>
        </w:rPr>
      </w:pPr>
      <w:r w:rsidRPr="00684A76">
        <w:rPr>
          <w:szCs w:val="19"/>
          <w:lang w:eastAsia="en-AU"/>
        </w:rPr>
        <w:t xml:space="preserve">lease payments recognised as an expense. </w:t>
      </w:r>
    </w:p>
    <w:p w14:paraId="40311B2A" w14:textId="381D0B7E" w:rsidR="00F42DB6" w:rsidRDefault="008A6274" w:rsidP="0075072B">
      <w:pPr>
        <w:spacing w:after="100"/>
        <w:ind w:left="1564" w:hanging="782"/>
        <w:rPr>
          <w:szCs w:val="19"/>
          <w:u w:val="single"/>
          <w:lang w:eastAsia="en-AU"/>
        </w:rPr>
      </w:pPr>
      <w:r w:rsidRPr="00155974">
        <w:rPr>
          <w:szCs w:val="19"/>
          <w:lang w:eastAsia="en-AU"/>
        </w:rPr>
        <w:t>[</w:t>
      </w:r>
      <w:r w:rsidR="00E13A07"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E13A07" w:rsidRPr="00155974">
        <w:rPr>
          <w:szCs w:val="19"/>
          <w:lang w:eastAsia="en-AU"/>
        </w:rPr>
        <w:t>20</w:t>
      </w:r>
      <w:r w:rsidRPr="00155974">
        <w:rPr>
          <w:szCs w:val="19"/>
          <w:lang w:eastAsia="en-AU"/>
        </w:rPr>
        <w:t>.1</w:t>
      </w:r>
      <w:r w:rsidR="00E13A07" w:rsidRPr="00155974">
        <w:rPr>
          <w:szCs w:val="19"/>
          <w:lang w:eastAsia="en-AU"/>
        </w:rPr>
        <w:t>6</w:t>
      </w:r>
      <w:r w:rsidRPr="00155974">
        <w:rPr>
          <w:szCs w:val="19"/>
          <w:lang w:eastAsia="en-AU"/>
        </w:rPr>
        <w:t>]</w:t>
      </w:r>
      <w:r w:rsidRPr="00155974" w:rsidDel="008A6274">
        <w:rPr>
          <w:szCs w:val="19"/>
          <w:lang w:eastAsia="en-AU"/>
        </w:rPr>
        <w:t xml:space="preserve"> </w:t>
      </w:r>
    </w:p>
    <w:p w14:paraId="6AC7DF40" w14:textId="5509BAE0" w:rsidR="007F578E" w:rsidRDefault="007F578E" w:rsidP="004B0ADC">
      <w:pPr>
        <w:pStyle w:val="NumPlain1"/>
        <w:keepNext/>
        <w:ind w:left="782" w:hanging="782"/>
      </w:pPr>
      <w:r>
        <w:t>146A</w:t>
      </w:r>
      <w:r>
        <w:tab/>
        <w:t xml:space="preserve">If a lessee applies the practical expedient in paragraph 46A of AASB 16, the lessee shall disclose: </w:t>
      </w:r>
    </w:p>
    <w:p w14:paraId="4E786EDA" w14:textId="4D4EA94E" w:rsidR="007F578E" w:rsidRPr="007F578E" w:rsidRDefault="007F578E" w:rsidP="000E61D3">
      <w:pPr>
        <w:pStyle w:val="ListParagraph"/>
        <w:numPr>
          <w:ilvl w:val="0"/>
          <w:numId w:val="50"/>
        </w:numPr>
        <w:ind w:left="1564" w:hanging="782"/>
        <w:jc w:val="both"/>
      </w:pPr>
      <w:r w:rsidRPr="007F578E">
        <w:t>that it has applied the practical expedient to all rent concessions that meet the conditions in AASB</w:t>
      </w:r>
      <w:r w:rsidR="00551C68">
        <w:t> </w:t>
      </w:r>
      <w:r w:rsidRPr="007F578E">
        <w:t xml:space="preserve">16 paragraph 46B or, if not applied to all such rent concessions, information about the nature of the contracts to which it has applied the practical expedient (see AASB 16 paragraph 2); and </w:t>
      </w:r>
    </w:p>
    <w:p w14:paraId="12571C73" w14:textId="0FD08B30" w:rsidR="007F578E" w:rsidRPr="007F578E" w:rsidRDefault="007F578E" w:rsidP="000E61D3">
      <w:pPr>
        <w:pStyle w:val="ListParagraph"/>
        <w:numPr>
          <w:ilvl w:val="0"/>
          <w:numId w:val="50"/>
        </w:numPr>
        <w:ind w:left="1564" w:hanging="782"/>
        <w:jc w:val="both"/>
      </w:pPr>
      <w:r w:rsidRPr="007F578E">
        <w:t xml:space="preserve">the amount recognised in profit or loss for the reporting period to reflect changes in lease payments that arise from rent concessions to which the lessee has applied the practical expedient in AASB 16 paragraph 46A. </w:t>
      </w:r>
    </w:p>
    <w:p w14:paraId="48B8532E" w14:textId="13D7694D" w:rsidR="007F578E" w:rsidRDefault="007F578E" w:rsidP="00E4100A">
      <w:pPr>
        <w:spacing w:after="100"/>
        <w:ind w:left="782"/>
        <w:rPr>
          <w:szCs w:val="19"/>
          <w:u w:val="single"/>
          <w:lang w:eastAsia="en-AU"/>
        </w:rPr>
      </w:pPr>
      <w:r>
        <w:rPr>
          <w:szCs w:val="19"/>
        </w:rPr>
        <w:t>In the reporting period in which a lessee first applies the practical expedient in AASB 16 paragraph 46A, the lessee is not required to disclose the information</w:t>
      </w:r>
      <w:r w:rsidR="003900EF" w:rsidRPr="003900EF">
        <w:t xml:space="preserve"> </w:t>
      </w:r>
      <w:r w:rsidR="003900EF" w:rsidRPr="003900EF">
        <w:rPr>
          <w:szCs w:val="19"/>
        </w:rPr>
        <w:t>that would otherwise be</w:t>
      </w:r>
      <w:r>
        <w:rPr>
          <w:szCs w:val="19"/>
        </w:rPr>
        <w:t xml:space="preserve"> required by paragraph 106(b)</w:t>
      </w:r>
      <w:r w:rsidR="002622A6" w:rsidRPr="002622A6">
        <w:t xml:space="preserve"> </w:t>
      </w:r>
      <w:r w:rsidR="002622A6" w:rsidRPr="002622A6">
        <w:rPr>
          <w:szCs w:val="19"/>
        </w:rPr>
        <w:t>in respect of the accounting policy changes made in applying the practical expedient.</w:t>
      </w:r>
    </w:p>
    <w:p w14:paraId="36EBE1F7" w14:textId="2737A392" w:rsidR="00F42DB6" w:rsidRPr="00155974" w:rsidRDefault="00F42DB6" w:rsidP="00022B10">
      <w:pPr>
        <w:pStyle w:val="IASBSectionTitle3Ind"/>
        <w:rPr>
          <w:lang w:eastAsia="en-AU"/>
        </w:rPr>
      </w:pPr>
      <w:r w:rsidRPr="00155974">
        <w:rPr>
          <w:lang w:eastAsia="en-AU"/>
        </w:rPr>
        <w:t>Finance Lease</w:t>
      </w:r>
      <w:r w:rsidR="00D116E4" w:rsidRPr="00155974">
        <w:rPr>
          <w:lang w:eastAsia="en-AU"/>
        </w:rPr>
        <w:t>s</w:t>
      </w:r>
      <w:r w:rsidR="00881AF9" w:rsidRPr="00155974">
        <w:rPr>
          <w:lang w:eastAsia="en-AU"/>
        </w:rPr>
        <w:t xml:space="preserve"> </w:t>
      </w:r>
      <w:r w:rsidR="00BA7FA1" w:rsidRPr="00155974">
        <w:rPr>
          <w:lang w:eastAsia="en-AU"/>
        </w:rPr>
        <w:t>–</w:t>
      </w:r>
      <w:r w:rsidRPr="00155974">
        <w:rPr>
          <w:lang w:eastAsia="en-AU"/>
        </w:rPr>
        <w:t xml:space="preserve"> Lessor</w:t>
      </w:r>
      <w:r w:rsidR="00D116E4" w:rsidRPr="00155974">
        <w:rPr>
          <w:lang w:eastAsia="en-AU"/>
        </w:rPr>
        <w:t>s</w:t>
      </w:r>
    </w:p>
    <w:p w14:paraId="05648FF7" w14:textId="6893CDA9" w:rsidR="00F42DB6" w:rsidRPr="00155974" w:rsidRDefault="00F42DB6" w:rsidP="004B0ADC">
      <w:pPr>
        <w:pStyle w:val="NumPlain1"/>
        <w:keepNext/>
        <w:numPr>
          <w:ilvl w:val="0"/>
          <w:numId w:val="84"/>
        </w:numPr>
        <w:ind w:left="782" w:hanging="782"/>
        <w:rPr>
          <w:lang w:eastAsia="en-AU"/>
        </w:rPr>
      </w:pPr>
      <w:bookmarkStart w:id="100" w:name="_Ref35360205"/>
      <w:r w:rsidRPr="00155974">
        <w:rPr>
          <w:lang w:eastAsia="en-AU"/>
        </w:rPr>
        <w:t>A lessor shall make the following disclosures for finance leases:</w:t>
      </w:r>
      <w:bookmarkEnd w:id="100"/>
    </w:p>
    <w:p w14:paraId="7DF3B704" w14:textId="0C0C29D5" w:rsidR="00F42DB6" w:rsidRPr="00684A76" w:rsidRDefault="00F42DB6" w:rsidP="000E61D3">
      <w:pPr>
        <w:pStyle w:val="ListParagraph"/>
        <w:numPr>
          <w:ilvl w:val="0"/>
          <w:numId w:val="138"/>
        </w:numPr>
        <w:ind w:left="1564" w:hanging="782"/>
        <w:jc w:val="both"/>
        <w:rPr>
          <w:szCs w:val="19"/>
          <w:lang w:eastAsia="en-AU"/>
        </w:rPr>
      </w:pPr>
      <w:r w:rsidRPr="00684A76">
        <w:rPr>
          <w:szCs w:val="19"/>
          <w:lang w:eastAsia="en-AU"/>
        </w:rPr>
        <w:t xml:space="preserve">a reconciliation between the gross investment in the lease at the end of the reporting period and the present value of lease payments receivable at the end of the reporting period. In addition, a lessor </w:t>
      </w:r>
      <w:r w:rsidRPr="00684A76">
        <w:rPr>
          <w:szCs w:val="19"/>
          <w:lang w:eastAsia="en-AU"/>
        </w:rPr>
        <w:lastRenderedPageBreak/>
        <w:t>shall disclose the gross investment in the lease and the present value of lease payments receivable at the end of the reporting period, for each of the following periods:</w:t>
      </w:r>
    </w:p>
    <w:p w14:paraId="09C10ED1" w14:textId="49AD7DB6" w:rsidR="00F42DB6" w:rsidRPr="00684A76" w:rsidRDefault="00F42DB6" w:rsidP="000E61D3">
      <w:pPr>
        <w:pStyle w:val="ListParagraph"/>
        <w:numPr>
          <w:ilvl w:val="0"/>
          <w:numId w:val="139"/>
        </w:numPr>
        <w:ind w:left="2347" w:hanging="782"/>
        <w:jc w:val="both"/>
        <w:rPr>
          <w:szCs w:val="19"/>
          <w:lang w:eastAsia="en-AU"/>
        </w:rPr>
      </w:pPr>
      <w:r w:rsidRPr="00684A76">
        <w:rPr>
          <w:szCs w:val="19"/>
          <w:lang w:eastAsia="en-AU"/>
        </w:rPr>
        <w:t>not later than one year;</w:t>
      </w:r>
    </w:p>
    <w:p w14:paraId="4E620CDD" w14:textId="1FBC84D6" w:rsidR="00F42DB6" w:rsidRPr="00684A76" w:rsidRDefault="00F42DB6" w:rsidP="000E61D3">
      <w:pPr>
        <w:pStyle w:val="ListParagraph"/>
        <w:numPr>
          <w:ilvl w:val="0"/>
          <w:numId w:val="139"/>
        </w:numPr>
        <w:ind w:left="2347" w:hanging="782"/>
        <w:jc w:val="both"/>
        <w:rPr>
          <w:szCs w:val="19"/>
          <w:lang w:eastAsia="en-AU"/>
        </w:rPr>
      </w:pPr>
      <w:r w:rsidRPr="00684A76">
        <w:rPr>
          <w:szCs w:val="19"/>
          <w:lang w:eastAsia="en-AU"/>
        </w:rPr>
        <w:t>later than one year and not later than five years; and</w:t>
      </w:r>
    </w:p>
    <w:p w14:paraId="2294692E" w14:textId="1E40D7CB" w:rsidR="00F42DB6" w:rsidRPr="00684A76" w:rsidRDefault="00F42DB6" w:rsidP="000E61D3">
      <w:pPr>
        <w:pStyle w:val="ListParagraph"/>
        <w:numPr>
          <w:ilvl w:val="0"/>
          <w:numId w:val="139"/>
        </w:numPr>
        <w:ind w:left="2347" w:hanging="782"/>
        <w:jc w:val="both"/>
        <w:rPr>
          <w:szCs w:val="19"/>
          <w:lang w:eastAsia="en-AU"/>
        </w:rPr>
      </w:pPr>
      <w:r w:rsidRPr="00684A76">
        <w:rPr>
          <w:szCs w:val="19"/>
          <w:lang w:eastAsia="en-AU"/>
        </w:rPr>
        <w:t>later than five years</w:t>
      </w:r>
      <w:r w:rsidR="00267090" w:rsidRPr="00684A76">
        <w:rPr>
          <w:szCs w:val="19"/>
          <w:lang w:eastAsia="en-AU"/>
        </w:rPr>
        <w:t>;</w:t>
      </w:r>
    </w:p>
    <w:p w14:paraId="3293DCF5" w14:textId="38A33640" w:rsidR="00F42DB6" w:rsidRPr="00155974" w:rsidRDefault="00F42DB6" w:rsidP="000E61D3">
      <w:pPr>
        <w:pStyle w:val="ListParagraph"/>
        <w:numPr>
          <w:ilvl w:val="0"/>
          <w:numId w:val="138"/>
        </w:numPr>
        <w:ind w:left="1564" w:hanging="782"/>
        <w:jc w:val="both"/>
        <w:rPr>
          <w:szCs w:val="19"/>
          <w:lang w:eastAsia="en-AU"/>
        </w:rPr>
      </w:pPr>
      <w:r w:rsidRPr="00155974">
        <w:rPr>
          <w:szCs w:val="19"/>
          <w:lang w:eastAsia="en-AU"/>
        </w:rPr>
        <w:tab/>
        <w:t>unearned finance income;</w:t>
      </w:r>
    </w:p>
    <w:p w14:paraId="6D907546" w14:textId="6865153B" w:rsidR="00F42DB6" w:rsidRPr="00155974" w:rsidRDefault="00F42DB6" w:rsidP="000E61D3">
      <w:pPr>
        <w:pStyle w:val="ListParagraph"/>
        <w:numPr>
          <w:ilvl w:val="0"/>
          <w:numId w:val="138"/>
        </w:numPr>
        <w:ind w:left="1564" w:hanging="782"/>
        <w:jc w:val="both"/>
        <w:rPr>
          <w:szCs w:val="19"/>
          <w:lang w:eastAsia="en-AU"/>
        </w:rPr>
      </w:pPr>
      <w:r w:rsidRPr="00155974">
        <w:rPr>
          <w:szCs w:val="19"/>
          <w:lang w:eastAsia="en-AU"/>
        </w:rPr>
        <w:tab/>
        <w:t>the unguaranteed residual values accruing to the benefit of the lessor;</w:t>
      </w:r>
    </w:p>
    <w:p w14:paraId="59EFE934" w14:textId="08EC6C6D" w:rsidR="00F42DB6" w:rsidRPr="00155974" w:rsidRDefault="00F42DB6" w:rsidP="000E61D3">
      <w:pPr>
        <w:pStyle w:val="ListParagraph"/>
        <w:numPr>
          <w:ilvl w:val="0"/>
          <w:numId w:val="138"/>
        </w:numPr>
        <w:ind w:left="1564" w:hanging="782"/>
        <w:jc w:val="both"/>
        <w:rPr>
          <w:szCs w:val="19"/>
          <w:lang w:eastAsia="en-AU"/>
        </w:rPr>
      </w:pPr>
      <w:r w:rsidRPr="00155974">
        <w:rPr>
          <w:szCs w:val="19"/>
          <w:lang w:eastAsia="en-AU"/>
        </w:rPr>
        <w:tab/>
        <w:t>the loss allowance for uncollectable lease payments receivable;</w:t>
      </w:r>
    </w:p>
    <w:p w14:paraId="63D24395" w14:textId="71084BF7" w:rsidR="00F42DB6" w:rsidRPr="00684A76" w:rsidRDefault="00F42DB6" w:rsidP="000E61D3">
      <w:pPr>
        <w:pStyle w:val="ListParagraph"/>
        <w:numPr>
          <w:ilvl w:val="0"/>
          <w:numId w:val="138"/>
        </w:numPr>
        <w:ind w:left="1564" w:hanging="782"/>
        <w:jc w:val="both"/>
        <w:rPr>
          <w:szCs w:val="19"/>
          <w:lang w:eastAsia="en-AU"/>
        </w:rPr>
      </w:pPr>
      <w:r w:rsidRPr="00155974">
        <w:rPr>
          <w:szCs w:val="19"/>
          <w:lang w:eastAsia="en-AU"/>
        </w:rPr>
        <w:tab/>
        <w:t>income relating to variable lease payments not included in the measurement of the net investment in the lease; and</w:t>
      </w:r>
    </w:p>
    <w:p w14:paraId="1477A737" w14:textId="66572FAD" w:rsidR="00F42DB6" w:rsidRPr="00155974" w:rsidRDefault="00F42DB6" w:rsidP="000E44A1">
      <w:pPr>
        <w:pStyle w:val="ListParagraph"/>
        <w:keepNext/>
        <w:numPr>
          <w:ilvl w:val="0"/>
          <w:numId w:val="138"/>
        </w:numPr>
        <w:ind w:left="1564" w:hanging="782"/>
        <w:jc w:val="both"/>
        <w:rPr>
          <w:szCs w:val="19"/>
          <w:lang w:eastAsia="en-AU"/>
        </w:rPr>
      </w:pPr>
      <w:r w:rsidRPr="00155974">
        <w:rPr>
          <w:szCs w:val="19"/>
          <w:lang w:eastAsia="en-AU"/>
        </w:rPr>
        <w:tab/>
        <w:t>a general description of the lessor’s significant leasing arrangements, including, for example, information about</w:t>
      </w:r>
      <w:r w:rsidR="002E79B8" w:rsidRPr="00155974">
        <w:rPr>
          <w:szCs w:val="19"/>
          <w:lang w:eastAsia="en-AU"/>
        </w:rPr>
        <w:t xml:space="preserve"> variable lease payments</w:t>
      </w:r>
      <w:r w:rsidRPr="00155974">
        <w:rPr>
          <w:szCs w:val="19"/>
          <w:lang w:eastAsia="en-AU"/>
        </w:rPr>
        <w:t>, renewal or purchase options and escalation clauses, subleases, and restrictions imposed by lease arrangements.</w:t>
      </w:r>
    </w:p>
    <w:p w14:paraId="62B535AF" w14:textId="23303A60" w:rsidR="005124E1" w:rsidRPr="00155974" w:rsidRDefault="005124E1" w:rsidP="00684A76">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20.23]</w:t>
      </w:r>
    </w:p>
    <w:p w14:paraId="4D5694AA" w14:textId="1C8AE4D8" w:rsidR="00F42DB6" w:rsidRPr="00155974" w:rsidRDefault="00F42DB6" w:rsidP="00022B10">
      <w:pPr>
        <w:pStyle w:val="IASBSectionTitle3Ind"/>
        <w:rPr>
          <w:lang w:eastAsia="en-AU"/>
        </w:rPr>
      </w:pPr>
      <w:r w:rsidRPr="00155974">
        <w:rPr>
          <w:lang w:eastAsia="en-AU"/>
        </w:rPr>
        <w:t>Operating Leases</w:t>
      </w:r>
      <w:r w:rsidR="00E02EAB" w:rsidRPr="00155974">
        <w:rPr>
          <w:lang w:eastAsia="en-AU"/>
        </w:rPr>
        <w:t xml:space="preserve"> </w:t>
      </w:r>
      <w:r w:rsidR="005213D2" w:rsidRPr="00155974">
        <w:rPr>
          <w:lang w:eastAsia="en-AU"/>
        </w:rPr>
        <w:t>–</w:t>
      </w:r>
      <w:r w:rsidRPr="00155974">
        <w:rPr>
          <w:lang w:eastAsia="en-AU"/>
        </w:rPr>
        <w:t xml:space="preserve"> Lessor</w:t>
      </w:r>
      <w:r w:rsidR="001909B6" w:rsidRPr="00155974">
        <w:rPr>
          <w:lang w:eastAsia="en-AU"/>
        </w:rPr>
        <w:t>s</w:t>
      </w:r>
      <w:r w:rsidRPr="00155974">
        <w:rPr>
          <w:lang w:eastAsia="en-AU"/>
        </w:rPr>
        <w:t xml:space="preserve"> </w:t>
      </w:r>
    </w:p>
    <w:p w14:paraId="3807C11C" w14:textId="0945CCAD" w:rsidR="00F42DB6" w:rsidRPr="00155974" w:rsidRDefault="00F42DB6" w:rsidP="004B0ADC">
      <w:pPr>
        <w:pStyle w:val="NumPlain1"/>
        <w:keepNext/>
        <w:numPr>
          <w:ilvl w:val="0"/>
          <w:numId w:val="84"/>
        </w:numPr>
        <w:ind w:left="782" w:hanging="782"/>
        <w:rPr>
          <w:lang w:eastAsia="en-AU"/>
        </w:rPr>
      </w:pPr>
      <w:bookmarkStart w:id="101" w:name="_Ref35360225"/>
      <w:r w:rsidRPr="00155974">
        <w:rPr>
          <w:lang w:eastAsia="en-AU"/>
        </w:rPr>
        <w:t>A lessor shall disclose the following for operating leases:</w:t>
      </w:r>
      <w:bookmarkEnd w:id="101"/>
    </w:p>
    <w:p w14:paraId="1C881CCD" w14:textId="39CCDDE2" w:rsidR="00F42DB6" w:rsidRPr="00155974" w:rsidRDefault="00F42DB6" w:rsidP="004B0ADC">
      <w:pPr>
        <w:pStyle w:val="ListParagraph"/>
        <w:keepNext/>
        <w:numPr>
          <w:ilvl w:val="0"/>
          <w:numId w:val="140"/>
        </w:numPr>
        <w:ind w:left="1564" w:hanging="782"/>
        <w:jc w:val="both"/>
        <w:rPr>
          <w:szCs w:val="19"/>
          <w:lang w:eastAsia="en-AU"/>
        </w:rPr>
      </w:pPr>
      <w:r w:rsidRPr="00155974">
        <w:rPr>
          <w:szCs w:val="19"/>
          <w:lang w:eastAsia="en-AU"/>
        </w:rPr>
        <w:tab/>
        <w:t>the future lease payments under non-cancellable operating leases for each of the following periods:</w:t>
      </w:r>
    </w:p>
    <w:p w14:paraId="2CC59ED8" w14:textId="0368FF5F" w:rsidR="00F42DB6" w:rsidRPr="00684A76" w:rsidRDefault="00F42DB6" w:rsidP="000E61D3">
      <w:pPr>
        <w:pStyle w:val="ListParagraph"/>
        <w:numPr>
          <w:ilvl w:val="0"/>
          <w:numId w:val="141"/>
        </w:numPr>
        <w:ind w:left="2347" w:hanging="782"/>
        <w:jc w:val="both"/>
        <w:rPr>
          <w:szCs w:val="19"/>
          <w:lang w:eastAsia="en-AU"/>
        </w:rPr>
      </w:pPr>
      <w:r w:rsidRPr="00684A76">
        <w:rPr>
          <w:szCs w:val="19"/>
          <w:lang w:eastAsia="en-AU"/>
        </w:rPr>
        <w:t>not later than one year;</w:t>
      </w:r>
    </w:p>
    <w:p w14:paraId="346B8B0D" w14:textId="6E1991F0" w:rsidR="00F42DB6" w:rsidRPr="00684A76" w:rsidRDefault="00F42DB6" w:rsidP="000E61D3">
      <w:pPr>
        <w:pStyle w:val="ListParagraph"/>
        <w:numPr>
          <w:ilvl w:val="0"/>
          <w:numId w:val="141"/>
        </w:numPr>
        <w:ind w:left="2347" w:hanging="782"/>
        <w:jc w:val="both"/>
        <w:rPr>
          <w:szCs w:val="19"/>
          <w:lang w:eastAsia="en-AU"/>
        </w:rPr>
      </w:pPr>
      <w:r w:rsidRPr="00684A76">
        <w:rPr>
          <w:szCs w:val="19"/>
          <w:lang w:eastAsia="en-AU"/>
        </w:rPr>
        <w:t>later than one year and not later than five years; and</w:t>
      </w:r>
    </w:p>
    <w:p w14:paraId="1CC24F9C" w14:textId="66008764" w:rsidR="00F42DB6" w:rsidRPr="00684A76" w:rsidRDefault="00F42DB6" w:rsidP="000E61D3">
      <w:pPr>
        <w:pStyle w:val="ListParagraph"/>
        <w:numPr>
          <w:ilvl w:val="0"/>
          <w:numId w:val="141"/>
        </w:numPr>
        <w:ind w:left="2347" w:hanging="782"/>
        <w:jc w:val="both"/>
        <w:rPr>
          <w:szCs w:val="19"/>
          <w:lang w:eastAsia="en-AU"/>
        </w:rPr>
      </w:pPr>
      <w:r w:rsidRPr="00684A76">
        <w:rPr>
          <w:szCs w:val="19"/>
          <w:lang w:eastAsia="en-AU"/>
        </w:rPr>
        <w:t>later than five years</w:t>
      </w:r>
      <w:r w:rsidR="00267090" w:rsidRPr="00684A76">
        <w:rPr>
          <w:szCs w:val="19"/>
          <w:lang w:eastAsia="en-AU"/>
        </w:rPr>
        <w:t>;</w:t>
      </w:r>
    </w:p>
    <w:p w14:paraId="6574DE00" w14:textId="3D56F40D" w:rsidR="00F42DB6" w:rsidRPr="00155974" w:rsidRDefault="00F42DB6" w:rsidP="000E61D3">
      <w:pPr>
        <w:pStyle w:val="ListParagraph"/>
        <w:numPr>
          <w:ilvl w:val="0"/>
          <w:numId w:val="140"/>
        </w:numPr>
        <w:ind w:left="1564" w:hanging="782"/>
        <w:jc w:val="both"/>
        <w:rPr>
          <w:szCs w:val="19"/>
          <w:lang w:eastAsia="en-AU"/>
        </w:rPr>
      </w:pPr>
      <w:r w:rsidRPr="00155974">
        <w:rPr>
          <w:szCs w:val="19"/>
          <w:lang w:eastAsia="en-AU"/>
        </w:rPr>
        <w:t>total variable lease payments that do not depend on an index, or a rate, recognised as income; and</w:t>
      </w:r>
    </w:p>
    <w:p w14:paraId="4F758708" w14:textId="4BDD5FB4" w:rsidR="00F42DB6" w:rsidRPr="00155974" w:rsidRDefault="00F42DB6" w:rsidP="000E44A1">
      <w:pPr>
        <w:pStyle w:val="ListParagraph"/>
        <w:keepNext/>
        <w:numPr>
          <w:ilvl w:val="0"/>
          <w:numId w:val="140"/>
        </w:numPr>
        <w:ind w:left="1564" w:hanging="782"/>
        <w:jc w:val="both"/>
        <w:rPr>
          <w:szCs w:val="19"/>
          <w:lang w:eastAsia="en-AU"/>
        </w:rPr>
      </w:pPr>
      <w:r w:rsidRPr="00155974">
        <w:rPr>
          <w:szCs w:val="19"/>
          <w:lang w:eastAsia="en-AU"/>
        </w:rPr>
        <w:tab/>
        <w:t>a general description of the lessor’s significant leasing arrangements, including, for example, information about</w:t>
      </w:r>
      <w:r w:rsidR="00654B9A" w:rsidRPr="00155974">
        <w:rPr>
          <w:szCs w:val="19"/>
          <w:lang w:eastAsia="en-AU"/>
        </w:rPr>
        <w:t xml:space="preserve"> variable lease payments</w:t>
      </w:r>
      <w:r w:rsidRPr="00155974">
        <w:rPr>
          <w:szCs w:val="19"/>
          <w:lang w:eastAsia="en-AU"/>
        </w:rPr>
        <w:t>, renewal or purchase options and escalation clauses and restrictions imposed by lease arrangements.</w:t>
      </w:r>
    </w:p>
    <w:p w14:paraId="5EFD7792" w14:textId="0C3C3372" w:rsidR="000D07B7" w:rsidRPr="00155974" w:rsidRDefault="000D07B7" w:rsidP="00684A76">
      <w:pPr>
        <w:spacing w:after="100"/>
        <w:ind w:left="1564" w:hanging="782"/>
        <w:rPr>
          <w:szCs w:val="19"/>
          <w:lang w:eastAsia="en-AU"/>
        </w:rPr>
      </w:pPr>
      <w:r w:rsidRPr="00155974">
        <w:rPr>
          <w:szCs w:val="19"/>
          <w:lang w:eastAsia="en-AU"/>
        </w:rPr>
        <w:t>[</w:t>
      </w:r>
      <w:r w:rsidR="00955F77"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955F77" w:rsidRPr="00155974">
        <w:rPr>
          <w:szCs w:val="19"/>
          <w:lang w:eastAsia="en-AU"/>
        </w:rPr>
        <w:t>20</w:t>
      </w:r>
      <w:r w:rsidRPr="00155974">
        <w:rPr>
          <w:szCs w:val="19"/>
          <w:lang w:eastAsia="en-AU"/>
        </w:rPr>
        <w:t>.</w:t>
      </w:r>
      <w:r w:rsidR="00955F77" w:rsidRPr="00155974">
        <w:rPr>
          <w:szCs w:val="19"/>
          <w:lang w:eastAsia="en-AU"/>
        </w:rPr>
        <w:t>30</w:t>
      </w:r>
      <w:r w:rsidRPr="00155974">
        <w:rPr>
          <w:szCs w:val="19"/>
          <w:lang w:eastAsia="en-AU"/>
        </w:rPr>
        <w:t>]</w:t>
      </w:r>
    </w:p>
    <w:p w14:paraId="6ACA205C" w14:textId="1BCE7411" w:rsidR="00F42DB6" w:rsidRPr="00155974" w:rsidRDefault="00F42DB6" w:rsidP="000E61D3">
      <w:pPr>
        <w:pStyle w:val="NumPlain1"/>
        <w:numPr>
          <w:ilvl w:val="0"/>
          <w:numId w:val="84"/>
        </w:numPr>
        <w:ind w:left="782" w:hanging="782"/>
        <w:rPr>
          <w:b/>
          <w:szCs w:val="19"/>
          <w:lang w:eastAsia="en-AU"/>
        </w:rPr>
      </w:pPr>
      <w:r w:rsidRPr="00155974">
        <w:rPr>
          <w:szCs w:val="19"/>
          <w:lang w:eastAsia="en-AU"/>
        </w:rPr>
        <w:t xml:space="preserve">In addition, the requirements for disclosure about assets in accordance with </w:t>
      </w:r>
      <w:r w:rsidR="001C260E" w:rsidRPr="00155974">
        <w:rPr>
          <w:szCs w:val="19"/>
          <w:lang w:eastAsia="en-AU"/>
        </w:rPr>
        <w:t xml:space="preserve">the </w:t>
      </w:r>
      <w:r w:rsidR="00795A79" w:rsidRPr="00155974">
        <w:rPr>
          <w:szCs w:val="19"/>
          <w:lang w:eastAsia="en-AU"/>
        </w:rPr>
        <w:t>s</w:t>
      </w:r>
      <w:r w:rsidRPr="00155974">
        <w:rPr>
          <w:szCs w:val="19"/>
          <w:lang w:eastAsia="en-AU"/>
        </w:rPr>
        <w:t xml:space="preserve">ections </w:t>
      </w:r>
      <w:r w:rsidR="00D12FAF" w:rsidRPr="00155974">
        <w:rPr>
          <w:szCs w:val="19"/>
          <w:lang w:eastAsia="en-AU"/>
        </w:rPr>
        <w:t>covering</w:t>
      </w:r>
      <w:r w:rsidR="00721D96" w:rsidRPr="00155974">
        <w:rPr>
          <w:szCs w:val="19"/>
          <w:lang w:eastAsia="en-AU"/>
        </w:rPr>
        <w:t xml:space="preserve"> </w:t>
      </w:r>
      <w:r w:rsidR="001C260E" w:rsidRPr="00155974">
        <w:rPr>
          <w:szCs w:val="19"/>
          <w:lang w:eastAsia="en-AU"/>
        </w:rPr>
        <w:t xml:space="preserve">of </w:t>
      </w:r>
      <w:hyperlink w:anchor="PPE" w:history="1">
        <w:r w:rsidR="00FD30D5" w:rsidRPr="00155974">
          <w:rPr>
            <w:lang w:eastAsia="en-AU"/>
          </w:rPr>
          <w:t>Property, Plant and Equipment and Investment Property at Cost</w:t>
        </w:r>
      </w:hyperlink>
      <w:r w:rsidRPr="00155974">
        <w:rPr>
          <w:szCs w:val="19"/>
          <w:lang w:eastAsia="en-AU"/>
        </w:rPr>
        <w:t xml:space="preserve">, </w:t>
      </w:r>
      <w:hyperlink w:anchor="Intangibles" w:history="1">
        <w:r w:rsidR="00262328" w:rsidRPr="00155974">
          <w:rPr>
            <w:lang w:eastAsia="en-AU"/>
          </w:rPr>
          <w:t>Intangible Assets other than Goodwill</w:t>
        </w:r>
      </w:hyperlink>
      <w:r w:rsidRPr="00155974">
        <w:rPr>
          <w:szCs w:val="19"/>
          <w:lang w:eastAsia="en-AU"/>
        </w:rPr>
        <w:t>,</w:t>
      </w:r>
      <w:r w:rsidR="00B724F4" w:rsidRPr="00155974">
        <w:rPr>
          <w:szCs w:val="19"/>
          <w:lang w:eastAsia="en-AU"/>
        </w:rPr>
        <w:t xml:space="preserve"> and </w:t>
      </w:r>
      <w:hyperlink w:anchor="ImpairmentofAssets" w:history="1">
        <w:r w:rsidR="009E3D16" w:rsidRPr="00155974">
          <w:rPr>
            <w:lang w:eastAsia="en-AU"/>
          </w:rPr>
          <w:t>Impairment of Assets</w:t>
        </w:r>
      </w:hyperlink>
      <w:r w:rsidR="009E3D16" w:rsidRPr="00155974" w:rsidDel="009E3D16">
        <w:rPr>
          <w:szCs w:val="19"/>
          <w:lang w:eastAsia="en-AU"/>
        </w:rPr>
        <w:t xml:space="preserve"> </w:t>
      </w:r>
      <w:r w:rsidRPr="00155974">
        <w:rPr>
          <w:szCs w:val="19"/>
          <w:lang w:eastAsia="en-AU"/>
        </w:rPr>
        <w:t>apply to lessors for assets provided under operating leases.</w:t>
      </w:r>
      <w:r w:rsidR="004B2B73" w:rsidRPr="00155974">
        <w:rPr>
          <w:szCs w:val="19"/>
          <w:lang w:eastAsia="en-AU"/>
        </w:rPr>
        <w:t xml:space="preserve"> [</w:t>
      </w:r>
      <w:r w:rsidR="0058144C" w:rsidRPr="00155974">
        <w:rPr>
          <w:i/>
          <w:iCs/>
          <w:szCs w:val="19"/>
          <w:lang w:eastAsia="en-AU"/>
        </w:rPr>
        <w:t>IFRS for SMEs</w:t>
      </w:r>
      <w:r w:rsidR="004B2B73" w:rsidRPr="00155974">
        <w:rPr>
          <w:szCs w:val="19"/>
          <w:lang w:eastAsia="en-AU"/>
        </w:rPr>
        <w:t xml:space="preserve"> Standard paragraph </w:t>
      </w:r>
      <w:r w:rsidR="009F428B" w:rsidRPr="00155974">
        <w:rPr>
          <w:szCs w:val="19"/>
          <w:lang w:eastAsia="en-AU"/>
        </w:rPr>
        <w:t>20</w:t>
      </w:r>
      <w:r w:rsidR="004B2B73" w:rsidRPr="00155974">
        <w:rPr>
          <w:szCs w:val="19"/>
          <w:lang w:eastAsia="en-AU"/>
        </w:rPr>
        <w:t>.</w:t>
      </w:r>
      <w:r w:rsidR="009F428B" w:rsidRPr="00155974">
        <w:rPr>
          <w:szCs w:val="19"/>
          <w:lang w:eastAsia="en-AU"/>
        </w:rPr>
        <w:t>31</w:t>
      </w:r>
      <w:r w:rsidR="004B2B73" w:rsidRPr="00155974">
        <w:rPr>
          <w:szCs w:val="19"/>
          <w:lang w:eastAsia="en-AU"/>
        </w:rPr>
        <w:t>]</w:t>
      </w:r>
    </w:p>
    <w:p w14:paraId="67485D2F" w14:textId="77777777" w:rsidR="00F42DB6" w:rsidRPr="00155974" w:rsidRDefault="00F42DB6" w:rsidP="00022B10">
      <w:pPr>
        <w:pStyle w:val="IASBSectionTitle3Ind"/>
        <w:rPr>
          <w:lang w:eastAsia="en-AU"/>
        </w:rPr>
      </w:pPr>
      <w:r w:rsidRPr="00155974">
        <w:rPr>
          <w:lang w:eastAsia="en-AU"/>
        </w:rPr>
        <w:t xml:space="preserve">Sale and leaseback transactions </w:t>
      </w:r>
    </w:p>
    <w:p w14:paraId="5064D185" w14:textId="78B5E55A" w:rsidR="00F42DB6" w:rsidRPr="00155974" w:rsidRDefault="00F42DB6" w:rsidP="000E61D3">
      <w:pPr>
        <w:pStyle w:val="NumPlain1"/>
        <w:numPr>
          <w:ilvl w:val="0"/>
          <w:numId w:val="84"/>
        </w:numPr>
        <w:ind w:left="782" w:hanging="782"/>
        <w:rPr>
          <w:lang w:eastAsia="en-AU"/>
        </w:rPr>
      </w:pPr>
      <w:r w:rsidRPr="00155974">
        <w:rPr>
          <w:lang w:eastAsia="en-AU"/>
        </w:rPr>
        <w:t>Disclosure requirements for lessees and lessors apply equally to sale and leaseback transactions. The required description of significant leasing arrangements includes description of unique or unusual provisions of the agreement or terms of the sale and leaseback transactions.</w:t>
      </w:r>
      <w:r w:rsidR="00B063F9" w:rsidRPr="00155974">
        <w:rPr>
          <w:lang w:eastAsia="en-AU"/>
        </w:rPr>
        <w:t xml:space="preserve"> [</w:t>
      </w:r>
      <w:r w:rsidR="0058144C" w:rsidRPr="00155974">
        <w:rPr>
          <w:i/>
          <w:iCs/>
          <w:lang w:eastAsia="en-AU"/>
        </w:rPr>
        <w:t>IFRS for SMEs</w:t>
      </w:r>
      <w:r w:rsidR="00B063F9" w:rsidRPr="00155974">
        <w:rPr>
          <w:lang w:eastAsia="en-AU"/>
        </w:rPr>
        <w:t xml:space="preserve"> Standard paragraph 20.35]</w:t>
      </w:r>
    </w:p>
    <w:p w14:paraId="46C6B3F5" w14:textId="77777777" w:rsidR="00F42DB6" w:rsidRPr="00155974" w:rsidRDefault="00F42DB6" w:rsidP="00022B10">
      <w:pPr>
        <w:pStyle w:val="IASBSectionTitle3Ind"/>
        <w:rPr>
          <w:szCs w:val="19"/>
          <w:lang w:eastAsia="en-AU"/>
        </w:rPr>
      </w:pPr>
      <w:r w:rsidRPr="00155974">
        <w:rPr>
          <w:lang w:eastAsia="en-AU"/>
        </w:rPr>
        <w:t>Not-for-profit lessees – Leases with significantly below-market terms and conditions</w:t>
      </w:r>
    </w:p>
    <w:p w14:paraId="4FF29346" w14:textId="18B2501B" w:rsidR="00F42DB6" w:rsidRPr="00155974" w:rsidRDefault="00F42DB6" w:rsidP="000E61D3">
      <w:pPr>
        <w:pStyle w:val="NumPlain1"/>
        <w:numPr>
          <w:ilvl w:val="0"/>
          <w:numId w:val="84"/>
        </w:numPr>
        <w:ind w:left="782" w:hanging="782"/>
      </w:pPr>
      <w:bookmarkStart w:id="102" w:name="_Ref34656775"/>
      <w:r w:rsidRPr="00155974">
        <w:t>In addition to the disclosures required in paragraphs</w:t>
      </w:r>
      <w:r w:rsidR="00C939F8" w:rsidRPr="00155974">
        <w:t xml:space="preserve"> </w:t>
      </w:r>
      <w:r w:rsidR="003726E3" w:rsidRPr="00155974">
        <w:t>144</w:t>
      </w:r>
      <w:r w:rsidR="00262B1B" w:rsidRPr="00155974">
        <w:rPr>
          <w:lang w:eastAsia="en-AU"/>
        </w:rPr>
        <w:t>–</w:t>
      </w:r>
      <w:r w:rsidR="003726E3" w:rsidRPr="00155974">
        <w:t>146</w:t>
      </w:r>
      <w:r w:rsidRPr="00155974">
        <w:t>, where a lessee is a not-for-profit entity and elects to measure a class or classes of right-of-use assets at initial recognition at cost in accordance with paragraphs 23</w:t>
      </w:r>
      <w:r w:rsidR="00262B1B" w:rsidRPr="00155974">
        <w:rPr>
          <w:lang w:eastAsia="en-AU"/>
        </w:rPr>
        <w:t>–</w:t>
      </w:r>
      <w:r w:rsidRPr="00155974">
        <w:t>25 of AASB 16 for leases that have significantly below-market terms and conditions principally to enable the entity to further its objectives, the lessee shall disclose information that helps users of financial statements to assess:</w:t>
      </w:r>
      <w:bookmarkEnd w:id="102"/>
    </w:p>
    <w:p w14:paraId="2808B308" w14:textId="06AD5316" w:rsidR="00F42DB6" w:rsidRPr="00684A76" w:rsidRDefault="00F42DB6" w:rsidP="000E61D3">
      <w:pPr>
        <w:pStyle w:val="ListParagraph"/>
        <w:numPr>
          <w:ilvl w:val="0"/>
          <w:numId w:val="142"/>
        </w:numPr>
        <w:ind w:left="1564" w:hanging="782"/>
        <w:jc w:val="both"/>
        <w:rPr>
          <w:color w:val="000000" w:themeColor="text1"/>
          <w:szCs w:val="19"/>
        </w:rPr>
      </w:pPr>
      <w:r w:rsidRPr="00684A76">
        <w:rPr>
          <w:szCs w:val="19"/>
        </w:rPr>
        <w:t>the</w:t>
      </w:r>
      <w:r w:rsidRPr="00684A76">
        <w:rPr>
          <w:color w:val="000000" w:themeColor="text1"/>
          <w:szCs w:val="19"/>
        </w:rPr>
        <w:t xml:space="preserve"> entity’s dependence on leases that have significantly below-market terms and conditions principally to enable the entity to further its objectives; and</w:t>
      </w:r>
    </w:p>
    <w:p w14:paraId="70C90222" w14:textId="42592C8A" w:rsidR="00F42DB6" w:rsidRPr="00684A76" w:rsidRDefault="00F42DB6" w:rsidP="00043CE4">
      <w:pPr>
        <w:pStyle w:val="ListParagraph"/>
        <w:keepNext/>
        <w:numPr>
          <w:ilvl w:val="0"/>
          <w:numId w:val="142"/>
        </w:numPr>
        <w:ind w:left="1564" w:hanging="782"/>
        <w:jc w:val="both"/>
        <w:rPr>
          <w:color w:val="000000" w:themeColor="text1"/>
          <w:szCs w:val="19"/>
        </w:rPr>
      </w:pPr>
      <w:r w:rsidRPr="00684A76">
        <w:rPr>
          <w:szCs w:val="19"/>
        </w:rPr>
        <w:t>the</w:t>
      </w:r>
      <w:r w:rsidRPr="00684A76">
        <w:rPr>
          <w:color w:val="000000" w:themeColor="text1"/>
          <w:szCs w:val="19"/>
        </w:rPr>
        <w:t xml:space="preserve"> nature and terms of the leases, including:</w:t>
      </w:r>
    </w:p>
    <w:p w14:paraId="6A63D673" w14:textId="720E70CA" w:rsidR="00F42DB6" w:rsidRPr="00684A76" w:rsidRDefault="00F42DB6" w:rsidP="000E61D3">
      <w:pPr>
        <w:pStyle w:val="ListParagraph"/>
        <w:numPr>
          <w:ilvl w:val="0"/>
          <w:numId w:val="143"/>
        </w:numPr>
        <w:ind w:left="2347" w:hanging="782"/>
        <w:jc w:val="both"/>
        <w:rPr>
          <w:color w:val="000000" w:themeColor="text1"/>
          <w:szCs w:val="19"/>
        </w:rPr>
      </w:pPr>
      <w:r w:rsidRPr="00684A76">
        <w:rPr>
          <w:color w:val="000000" w:themeColor="text1"/>
          <w:szCs w:val="19"/>
        </w:rPr>
        <w:t>the lease payments;</w:t>
      </w:r>
    </w:p>
    <w:p w14:paraId="1326DC9C" w14:textId="2F09DA3D" w:rsidR="00F42DB6" w:rsidRPr="00684A76" w:rsidRDefault="00F42DB6" w:rsidP="000E61D3">
      <w:pPr>
        <w:pStyle w:val="ListParagraph"/>
        <w:numPr>
          <w:ilvl w:val="0"/>
          <w:numId w:val="143"/>
        </w:numPr>
        <w:ind w:left="2347" w:hanging="782"/>
        <w:jc w:val="both"/>
        <w:rPr>
          <w:color w:val="000000" w:themeColor="text1"/>
          <w:szCs w:val="19"/>
        </w:rPr>
      </w:pPr>
      <w:r w:rsidRPr="00684A76">
        <w:rPr>
          <w:color w:val="000000" w:themeColor="text1"/>
          <w:szCs w:val="19"/>
        </w:rPr>
        <w:t>the lease term;</w:t>
      </w:r>
    </w:p>
    <w:p w14:paraId="54EA168D" w14:textId="28061C85" w:rsidR="00F42DB6" w:rsidRPr="00684A76" w:rsidRDefault="00F42DB6" w:rsidP="000E61D3">
      <w:pPr>
        <w:pStyle w:val="ListParagraph"/>
        <w:numPr>
          <w:ilvl w:val="0"/>
          <w:numId w:val="143"/>
        </w:numPr>
        <w:ind w:left="2347" w:hanging="782"/>
        <w:jc w:val="both"/>
        <w:rPr>
          <w:color w:val="000000" w:themeColor="text1"/>
          <w:szCs w:val="19"/>
        </w:rPr>
      </w:pPr>
      <w:r w:rsidRPr="00684A76">
        <w:rPr>
          <w:color w:val="000000" w:themeColor="text1"/>
          <w:szCs w:val="19"/>
        </w:rPr>
        <w:t>a description of the underlying assets; and</w:t>
      </w:r>
    </w:p>
    <w:p w14:paraId="336FFCCF" w14:textId="0D80E34D" w:rsidR="00F42DB6" w:rsidRPr="00684A76" w:rsidRDefault="00F42DB6" w:rsidP="000E61D3">
      <w:pPr>
        <w:pStyle w:val="ListParagraph"/>
        <w:numPr>
          <w:ilvl w:val="0"/>
          <w:numId w:val="143"/>
        </w:numPr>
        <w:ind w:left="2347" w:hanging="782"/>
        <w:jc w:val="both"/>
        <w:rPr>
          <w:color w:val="000000" w:themeColor="text1"/>
          <w:szCs w:val="19"/>
        </w:rPr>
      </w:pPr>
      <w:r w:rsidRPr="00684A76">
        <w:rPr>
          <w:color w:val="000000" w:themeColor="text1"/>
          <w:szCs w:val="19"/>
        </w:rPr>
        <w:lastRenderedPageBreak/>
        <w:t>restrictions on the use of the underlying assets specific to the entity.</w:t>
      </w:r>
    </w:p>
    <w:p w14:paraId="6A426604" w14:textId="7212B0E1" w:rsidR="00F42DB6" w:rsidRPr="00155974" w:rsidRDefault="00F42DB6" w:rsidP="000E61D3">
      <w:pPr>
        <w:pStyle w:val="NumPlain1"/>
        <w:numPr>
          <w:ilvl w:val="0"/>
          <w:numId w:val="84"/>
        </w:numPr>
        <w:ind w:left="782" w:hanging="782"/>
      </w:pPr>
      <w:bookmarkStart w:id="103" w:name="_Ref34744197"/>
      <w:r w:rsidRPr="00155974">
        <w:t>The disclosures provided by a not</w:t>
      </w:r>
      <w:r w:rsidRPr="00155974">
        <w:noBreakHyphen/>
        <w:t>for</w:t>
      </w:r>
      <w:r w:rsidRPr="00155974">
        <w:noBreakHyphen/>
        <w:t xml:space="preserve">profit entity in accordance with paragraph </w:t>
      </w:r>
      <w:r w:rsidR="003726E3" w:rsidRPr="00155974">
        <w:t>151</w:t>
      </w:r>
      <w:r w:rsidR="00CC5233" w:rsidRPr="00155974">
        <w:t xml:space="preserve"> </w:t>
      </w:r>
      <w:r w:rsidRPr="00155974">
        <w:t>shall be provided individually for each material lease that has significantly below-market terms and conditions principally to enable the entity to further its objectives or in aggregate for leases involving right-of-use assets of a similar nature. 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103"/>
    </w:p>
    <w:p w14:paraId="215E2536" w14:textId="6743BF3A" w:rsidR="00F42DB6" w:rsidRPr="00155974" w:rsidRDefault="00F42DB6" w:rsidP="00022B10">
      <w:pPr>
        <w:pStyle w:val="IASBSectionTitle2Ind"/>
        <w:rPr>
          <w:sz w:val="20"/>
          <w:lang w:eastAsia="en-AU"/>
        </w:rPr>
      </w:pPr>
      <w:bookmarkStart w:id="104" w:name="ProvisionsandContingencies"/>
      <w:r w:rsidRPr="00155974">
        <w:rPr>
          <w:lang w:eastAsia="en-AU"/>
        </w:rPr>
        <w:t>Provisions and Contingencies</w:t>
      </w:r>
      <w:bookmarkEnd w:id="104"/>
      <w:r w:rsidRPr="00155974">
        <w:rPr>
          <w:rStyle w:val="FootnoteReference"/>
          <w:sz w:val="22"/>
          <w:szCs w:val="22"/>
          <w:lang w:eastAsia="en-AU"/>
        </w:rPr>
        <w:footnoteReference w:id="21"/>
      </w:r>
      <w:r w:rsidRPr="00155974">
        <w:rPr>
          <w:lang w:eastAsia="en-AU"/>
        </w:rPr>
        <w:t xml:space="preserve"> </w:t>
      </w:r>
    </w:p>
    <w:p w14:paraId="33C65A37" w14:textId="77777777" w:rsidR="00F42DB6" w:rsidRPr="00155974" w:rsidRDefault="00F42DB6" w:rsidP="00022B10">
      <w:pPr>
        <w:pStyle w:val="IASBSectionTitle3Ind"/>
        <w:rPr>
          <w:lang w:eastAsia="en-AU"/>
        </w:rPr>
      </w:pPr>
      <w:r w:rsidRPr="00155974">
        <w:rPr>
          <w:lang w:eastAsia="en-AU"/>
        </w:rPr>
        <w:t>Disclosures about provisions</w:t>
      </w:r>
    </w:p>
    <w:p w14:paraId="5B7FC266" w14:textId="410E4EA6" w:rsidR="00F42DB6" w:rsidRPr="00155974" w:rsidRDefault="00F42DB6" w:rsidP="00043CE4">
      <w:pPr>
        <w:pStyle w:val="NumPlain1"/>
        <w:keepNext/>
        <w:numPr>
          <w:ilvl w:val="0"/>
          <w:numId w:val="84"/>
        </w:numPr>
        <w:ind w:left="782" w:hanging="782"/>
        <w:rPr>
          <w:lang w:eastAsia="en-AU"/>
        </w:rPr>
      </w:pPr>
      <w:bookmarkStart w:id="105" w:name="_Ref34738593"/>
      <w:r w:rsidRPr="00155974">
        <w:rPr>
          <w:lang w:eastAsia="en-AU"/>
        </w:rPr>
        <w:t>For each class of provision, an entity shall disclose all of the following:</w:t>
      </w:r>
      <w:bookmarkEnd w:id="105"/>
    </w:p>
    <w:p w14:paraId="4F51BBC3" w14:textId="249CB14E" w:rsidR="00F42DB6" w:rsidRPr="00155974" w:rsidRDefault="00F42DB6" w:rsidP="00043CE4">
      <w:pPr>
        <w:pStyle w:val="ListParagraph"/>
        <w:keepNext/>
        <w:numPr>
          <w:ilvl w:val="0"/>
          <w:numId w:val="144"/>
        </w:numPr>
        <w:ind w:left="1564" w:hanging="782"/>
        <w:jc w:val="both"/>
        <w:rPr>
          <w:szCs w:val="19"/>
        </w:rPr>
      </w:pPr>
      <w:r w:rsidRPr="00155974">
        <w:rPr>
          <w:szCs w:val="19"/>
        </w:rPr>
        <w:tab/>
        <w:t>a reconciliation showing:</w:t>
      </w:r>
    </w:p>
    <w:p w14:paraId="0D9D1996" w14:textId="2A4AB6E2" w:rsidR="00F42DB6" w:rsidRPr="00320634" w:rsidRDefault="00F42DB6" w:rsidP="000E61D3">
      <w:pPr>
        <w:pStyle w:val="ListParagraph"/>
        <w:numPr>
          <w:ilvl w:val="0"/>
          <w:numId w:val="145"/>
        </w:numPr>
        <w:ind w:left="2347" w:hanging="782"/>
        <w:jc w:val="both"/>
        <w:rPr>
          <w:szCs w:val="19"/>
          <w:lang w:eastAsia="en-AU"/>
        </w:rPr>
      </w:pPr>
      <w:r w:rsidRPr="00320634">
        <w:rPr>
          <w:szCs w:val="19"/>
          <w:lang w:eastAsia="en-AU"/>
        </w:rPr>
        <w:t>the carrying amount at the beginning and end of the period;</w:t>
      </w:r>
    </w:p>
    <w:p w14:paraId="5EEB38A0" w14:textId="0F56C2C3" w:rsidR="00F42DB6" w:rsidRPr="00320634" w:rsidRDefault="00F42DB6" w:rsidP="000E61D3">
      <w:pPr>
        <w:pStyle w:val="ListParagraph"/>
        <w:numPr>
          <w:ilvl w:val="0"/>
          <w:numId w:val="145"/>
        </w:numPr>
        <w:ind w:left="2347" w:hanging="782"/>
        <w:jc w:val="both"/>
        <w:rPr>
          <w:szCs w:val="19"/>
          <w:lang w:eastAsia="en-AU"/>
        </w:rPr>
      </w:pPr>
      <w:r w:rsidRPr="00320634">
        <w:rPr>
          <w:szCs w:val="19"/>
          <w:lang w:eastAsia="en-AU"/>
        </w:rPr>
        <w:t>additions during the period, including adjustments that result from changes in measuring the discounted amount;</w:t>
      </w:r>
    </w:p>
    <w:p w14:paraId="00E8479E" w14:textId="0E7A7155" w:rsidR="00F42DB6" w:rsidRPr="00320634" w:rsidRDefault="00F42DB6" w:rsidP="000E61D3">
      <w:pPr>
        <w:pStyle w:val="ListParagraph"/>
        <w:numPr>
          <w:ilvl w:val="0"/>
          <w:numId w:val="145"/>
        </w:numPr>
        <w:ind w:left="2347" w:hanging="782"/>
        <w:jc w:val="both"/>
        <w:rPr>
          <w:szCs w:val="19"/>
          <w:lang w:eastAsia="en-AU"/>
        </w:rPr>
      </w:pPr>
      <w:r w:rsidRPr="00320634">
        <w:rPr>
          <w:szCs w:val="19"/>
          <w:lang w:eastAsia="en-AU"/>
        </w:rPr>
        <w:t>amounts charged against the provision during the period; and</w:t>
      </w:r>
    </w:p>
    <w:p w14:paraId="6A1024AE" w14:textId="0A5A9017" w:rsidR="00F42DB6" w:rsidRPr="00320634" w:rsidRDefault="00F42DB6" w:rsidP="000E61D3">
      <w:pPr>
        <w:pStyle w:val="ListParagraph"/>
        <w:numPr>
          <w:ilvl w:val="0"/>
          <w:numId w:val="145"/>
        </w:numPr>
        <w:ind w:left="2347" w:hanging="782"/>
        <w:jc w:val="both"/>
        <w:rPr>
          <w:szCs w:val="19"/>
          <w:lang w:eastAsia="en-AU"/>
        </w:rPr>
      </w:pPr>
      <w:r w:rsidRPr="00320634">
        <w:rPr>
          <w:szCs w:val="19"/>
          <w:lang w:eastAsia="en-AU"/>
        </w:rPr>
        <w:t>unused amounts reversed during the period</w:t>
      </w:r>
      <w:r w:rsidR="005F2B06" w:rsidRPr="00320634">
        <w:rPr>
          <w:szCs w:val="19"/>
          <w:lang w:eastAsia="en-AU"/>
        </w:rPr>
        <w:t>;</w:t>
      </w:r>
    </w:p>
    <w:p w14:paraId="085C0E78" w14:textId="4F567D66" w:rsidR="00F42DB6" w:rsidRPr="00155974" w:rsidRDefault="00F42DB6" w:rsidP="000E61D3">
      <w:pPr>
        <w:pStyle w:val="ListParagraph"/>
        <w:numPr>
          <w:ilvl w:val="0"/>
          <w:numId w:val="144"/>
        </w:numPr>
        <w:ind w:left="1564" w:hanging="782"/>
        <w:jc w:val="both"/>
        <w:rPr>
          <w:szCs w:val="19"/>
        </w:rPr>
      </w:pPr>
      <w:r w:rsidRPr="00155974">
        <w:rPr>
          <w:szCs w:val="19"/>
        </w:rPr>
        <w:t>a brief description of the nature of the obligation and the expected amount and timing of any resulting payments;</w:t>
      </w:r>
    </w:p>
    <w:p w14:paraId="4EA3B5B5" w14:textId="441590FD" w:rsidR="00F42DB6" w:rsidRPr="00155974" w:rsidRDefault="00F42DB6" w:rsidP="000E61D3">
      <w:pPr>
        <w:pStyle w:val="ListParagraph"/>
        <w:numPr>
          <w:ilvl w:val="0"/>
          <w:numId w:val="144"/>
        </w:numPr>
        <w:ind w:left="1564" w:hanging="782"/>
        <w:jc w:val="both"/>
        <w:rPr>
          <w:szCs w:val="19"/>
        </w:rPr>
      </w:pPr>
      <w:r w:rsidRPr="00155974">
        <w:rPr>
          <w:szCs w:val="19"/>
        </w:rPr>
        <w:tab/>
        <w:t>an indication of the uncertainties about the amount or timing of those outflows; and</w:t>
      </w:r>
    </w:p>
    <w:p w14:paraId="797ECFB8" w14:textId="0A681913" w:rsidR="00F42DB6" w:rsidRPr="00155974" w:rsidRDefault="00F42DB6" w:rsidP="00376917">
      <w:pPr>
        <w:pStyle w:val="ListParagraph"/>
        <w:keepNext/>
        <w:numPr>
          <w:ilvl w:val="0"/>
          <w:numId w:val="144"/>
        </w:numPr>
        <w:ind w:left="1564" w:hanging="782"/>
        <w:jc w:val="both"/>
        <w:rPr>
          <w:szCs w:val="19"/>
        </w:rPr>
      </w:pPr>
      <w:r w:rsidRPr="00155974">
        <w:rPr>
          <w:szCs w:val="19"/>
        </w:rPr>
        <w:tab/>
        <w:t>the amount of any expected reimbursement, stating the amount of any asset that has been recognised for that expected reimbursement.</w:t>
      </w:r>
    </w:p>
    <w:p w14:paraId="2643915C" w14:textId="752CB370" w:rsidR="002B0496" w:rsidRPr="00155974" w:rsidRDefault="00F42DB6" w:rsidP="00320634">
      <w:pPr>
        <w:spacing w:after="100"/>
        <w:ind w:left="1564" w:hanging="782"/>
        <w:rPr>
          <w:szCs w:val="19"/>
          <w:lang w:eastAsia="en-AU"/>
        </w:rPr>
      </w:pPr>
      <w:r w:rsidRPr="00155974">
        <w:rPr>
          <w:szCs w:val="19"/>
          <w:lang w:eastAsia="en-AU"/>
        </w:rPr>
        <w:t>Comparative information for prior periods is not required.</w:t>
      </w:r>
      <w:r w:rsidR="00B20953" w:rsidRPr="00155974">
        <w:rPr>
          <w:szCs w:val="19"/>
          <w:lang w:eastAsia="en-AU"/>
        </w:rPr>
        <w:t xml:space="preserve"> </w:t>
      </w:r>
      <w:r w:rsidR="002B0496" w:rsidRPr="00155974">
        <w:rPr>
          <w:szCs w:val="19"/>
          <w:lang w:eastAsia="en-AU"/>
        </w:rPr>
        <w:t>[</w:t>
      </w:r>
      <w:r w:rsidR="0058144C" w:rsidRPr="00155974">
        <w:rPr>
          <w:i/>
          <w:iCs/>
          <w:szCs w:val="19"/>
          <w:lang w:eastAsia="en-AU"/>
        </w:rPr>
        <w:t>IFRS for SMEs</w:t>
      </w:r>
      <w:r w:rsidR="002B0496" w:rsidRPr="00155974">
        <w:rPr>
          <w:szCs w:val="19"/>
          <w:lang w:eastAsia="en-AU"/>
        </w:rPr>
        <w:t xml:space="preserve"> Standard paragraph 21.14]</w:t>
      </w:r>
    </w:p>
    <w:p w14:paraId="730FEB62" w14:textId="54498496" w:rsidR="00F42DB6" w:rsidRPr="00155974" w:rsidRDefault="00F42DB6" w:rsidP="00022B10">
      <w:pPr>
        <w:pStyle w:val="IASBSectionTitle3Ind"/>
        <w:rPr>
          <w:lang w:eastAsia="en-AU"/>
        </w:rPr>
      </w:pPr>
      <w:r w:rsidRPr="00155974">
        <w:rPr>
          <w:lang w:eastAsia="en-AU"/>
        </w:rPr>
        <w:t>Disclosures about contingent liabilities</w:t>
      </w:r>
    </w:p>
    <w:p w14:paraId="44C5F9C0" w14:textId="072712E8" w:rsidR="00F42DB6" w:rsidRPr="00155974" w:rsidRDefault="00F42DB6" w:rsidP="000E61D3">
      <w:pPr>
        <w:pStyle w:val="NumPlain1"/>
        <w:numPr>
          <w:ilvl w:val="0"/>
          <w:numId w:val="84"/>
        </w:numPr>
        <w:ind w:left="782" w:hanging="782"/>
        <w:rPr>
          <w:lang w:eastAsia="en-AU"/>
        </w:rPr>
      </w:pPr>
      <w:bookmarkStart w:id="106" w:name="_Ref34733617"/>
      <w:r w:rsidRPr="00155974">
        <w:rPr>
          <w:lang w:eastAsia="en-AU"/>
        </w:rPr>
        <w:t>Unless the possibility of any outflow of resources in settlement is remote, an entity shall disclose, for each class of contingent liability at the reporting date, a brief description of the nature of the contingent liability and, when practicable:</w:t>
      </w:r>
      <w:bookmarkEnd w:id="106"/>
    </w:p>
    <w:p w14:paraId="7A0B0AFF" w14:textId="2DDA69A6" w:rsidR="00F42DB6" w:rsidRPr="00320634" w:rsidRDefault="00F42DB6" w:rsidP="000E61D3">
      <w:pPr>
        <w:pStyle w:val="ListParagraph"/>
        <w:numPr>
          <w:ilvl w:val="0"/>
          <w:numId w:val="146"/>
        </w:numPr>
        <w:ind w:left="1564" w:hanging="782"/>
        <w:jc w:val="both"/>
        <w:rPr>
          <w:i/>
          <w:szCs w:val="19"/>
          <w:lang w:eastAsia="en-AU"/>
        </w:rPr>
      </w:pPr>
      <w:r w:rsidRPr="00320634">
        <w:rPr>
          <w:szCs w:val="19"/>
          <w:lang w:eastAsia="en-AU"/>
        </w:rPr>
        <w:t>an estimate of its financial effect, measured in accordance with paragraphs 36</w:t>
      </w:r>
      <w:r w:rsidR="00262B1B" w:rsidRPr="00320634">
        <w:rPr>
          <w:szCs w:val="19"/>
          <w:lang w:eastAsia="en-AU"/>
        </w:rPr>
        <w:t>–</w:t>
      </w:r>
      <w:r w:rsidRPr="00320634">
        <w:rPr>
          <w:szCs w:val="19"/>
          <w:lang w:eastAsia="en-AU"/>
        </w:rPr>
        <w:t xml:space="preserve">52 of AASB 137 </w:t>
      </w:r>
      <w:r w:rsidRPr="00320634">
        <w:rPr>
          <w:i/>
          <w:szCs w:val="19"/>
          <w:lang w:eastAsia="en-AU"/>
        </w:rPr>
        <w:t>Provisions, Contingent Liabilities and Contingent Assets</w:t>
      </w:r>
      <w:r w:rsidRPr="00320634">
        <w:rPr>
          <w:szCs w:val="19"/>
          <w:lang w:eastAsia="en-AU"/>
        </w:rPr>
        <w:t>;</w:t>
      </w:r>
    </w:p>
    <w:p w14:paraId="14B1C716" w14:textId="2F13CC1D" w:rsidR="00F42DB6" w:rsidRPr="00320634" w:rsidRDefault="00F42DB6" w:rsidP="000E61D3">
      <w:pPr>
        <w:pStyle w:val="ListParagraph"/>
        <w:numPr>
          <w:ilvl w:val="0"/>
          <w:numId w:val="146"/>
        </w:numPr>
        <w:ind w:left="1564" w:hanging="782"/>
        <w:jc w:val="both"/>
        <w:rPr>
          <w:szCs w:val="19"/>
          <w:lang w:eastAsia="en-AU"/>
        </w:rPr>
      </w:pPr>
      <w:r w:rsidRPr="00320634">
        <w:rPr>
          <w:szCs w:val="19"/>
          <w:lang w:eastAsia="en-AU"/>
        </w:rPr>
        <w:t>an indication of the uncertainties relating to the amount or timing of any outflow; and</w:t>
      </w:r>
    </w:p>
    <w:p w14:paraId="032F4095" w14:textId="258A40F7" w:rsidR="00F42DB6" w:rsidRPr="00320634" w:rsidRDefault="00F42DB6" w:rsidP="000E61D3">
      <w:pPr>
        <w:pStyle w:val="ListParagraph"/>
        <w:numPr>
          <w:ilvl w:val="0"/>
          <w:numId w:val="146"/>
        </w:numPr>
        <w:ind w:left="1564" w:hanging="782"/>
        <w:jc w:val="both"/>
        <w:rPr>
          <w:szCs w:val="19"/>
          <w:lang w:eastAsia="en-AU"/>
        </w:rPr>
      </w:pPr>
      <w:r w:rsidRPr="00320634">
        <w:rPr>
          <w:szCs w:val="19"/>
          <w:lang w:eastAsia="en-AU"/>
        </w:rPr>
        <w:t>the possibility of any reimbursement.</w:t>
      </w:r>
    </w:p>
    <w:p w14:paraId="46CD4056" w14:textId="4EECD8BB" w:rsidR="00F42DB6" w:rsidRPr="00155974" w:rsidRDefault="00F42DB6" w:rsidP="007F38FE">
      <w:pPr>
        <w:spacing w:after="100"/>
        <w:ind w:left="782"/>
        <w:rPr>
          <w:szCs w:val="19"/>
          <w:lang w:eastAsia="en-AU"/>
        </w:rPr>
      </w:pPr>
      <w:r w:rsidRPr="00155974">
        <w:rPr>
          <w:szCs w:val="19"/>
          <w:lang w:eastAsia="en-AU"/>
        </w:rPr>
        <w:t>If it is impracticable to make one or more of these disclosures, that fact shall be stated.</w:t>
      </w:r>
      <w:r w:rsidR="009130EA" w:rsidRPr="00155974">
        <w:rPr>
          <w:szCs w:val="19"/>
          <w:lang w:eastAsia="en-AU"/>
        </w:rPr>
        <w:t xml:space="preserve"> [</w:t>
      </w:r>
      <w:r w:rsidR="0058144C" w:rsidRPr="00155974">
        <w:rPr>
          <w:i/>
          <w:iCs/>
          <w:szCs w:val="19"/>
          <w:lang w:eastAsia="en-AU"/>
        </w:rPr>
        <w:t>IFRS for SMEs</w:t>
      </w:r>
      <w:r w:rsidR="009130EA" w:rsidRPr="00155974">
        <w:rPr>
          <w:szCs w:val="19"/>
          <w:lang w:eastAsia="en-AU"/>
        </w:rPr>
        <w:t xml:space="preserve"> Standard paragraph 21.15]</w:t>
      </w:r>
    </w:p>
    <w:p w14:paraId="4B2A0387" w14:textId="77777777" w:rsidR="00F42DB6" w:rsidRPr="00155974" w:rsidRDefault="00F42DB6" w:rsidP="00022B10">
      <w:pPr>
        <w:pStyle w:val="IASBSectionTitle3Ind"/>
        <w:rPr>
          <w:lang w:eastAsia="en-AU"/>
        </w:rPr>
      </w:pPr>
      <w:r w:rsidRPr="00155974">
        <w:rPr>
          <w:lang w:eastAsia="en-AU"/>
        </w:rPr>
        <w:t>Disclosures about contingent assets</w:t>
      </w:r>
    </w:p>
    <w:p w14:paraId="25D62C2F" w14:textId="6F436050" w:rsidR="00F42DB6" w:rsidRPr="00155974" w:rsidRDefault="00F42DB6" w:rsidP="000E61D3">
      <w:pPr>
        <w:pStyle w:val="NumPlain1"/>
        <w:numPr>
          <w:ilvl w:val="0"/>
          <w:numId w:val="84"/>
        </w:numPr>
        <w:ind w:left="782" w:hanging="782"/>
        <w:rPr>
          <w:u w:val="single"/>
          <w:lang w:eastAsia="en-AU"/>
        </w:rPr>
      </w:pPr>
      <w:bookmarkStart w:id="107" w:name="_Ref34738543"/>
      <w:r w:rsidRPr="00155974">
        <w:rPr>
          <w:lang w:eastAsia="en-AU"/>
        </w:rPr>
        <w:t>If an inflow of economic benefits is probable (more likely than not) but not virtually certain, an entity shall disclose a description of the nature of the contingent assets at the end of the reporting period and</w:t>
      </w:r>
      <w:r w:rsidR="003725F7" w:rsidRPr="00155974">
        <w:rPr>
          <w:lang w:eastAsia="en-AU"/>
        </w:rPr>
        <w:t>, where practicable</w:t>
      </w:r>
      <w:r w:rsidR="007D5682" w:rsidRPr="00155974">
        <w:rPr>
          <w:lang w:eastAsia="en-AU"/>
        </w:rPr>
        <w:t>,</w:t>
      </w:r>
      <w:r w:rsidRPr="00155974">
        <w:rPr>
          <w:lang w:eastAsia="en-AU"/>
        </w:rPr>
        <w:t xml:space="preserve"> an estimate of their financial effect, measured using the principles set out in paragraphs 36</w:t>
      </w:r>
      <w:r w:rsidR="008E7C2B" w:rsidRPr="00155974">
        <w:rPr>
          <w:lang w:eastAsia="en-AU"/>
        </w:rPr>
        <w:t>–</w:t>
      </w:r>
      <w:r w:rsidRPr="00155974">
        <w:rPr>
          <w:lang w:eastAsia="en-AU"/>
        </w:rPr>
        <w:t xml:space="preserve">52 of AASB 137. Where any of the information required by </w:t>
      </w:r>
      <w:r w:rsidR="009C49C8" w:rsidRPr="00155974">
        <w:rPr>
          <w:lang w:eastAsia="en-AU"/>
        </w:rPr>
        <w:t xml:space="preserve">this </w:t>
      </w:r>
      <w:r w:rsidRPr="00155974">
        <w:rPr>
          <w:lang w:eastAsia="en-AU"/>
        </w:rPr>
        <w:t>paragraph is not disclosed because it is not practicable to do so, that fact shall be stated.</w:t>
      </w:r>
      <w:r w:rsidR="00C8454E" w:rsidRPr="00155974">
        <w:rPr>
          <w:lang w:eastAsia="en-AU"/>
        </w:rPr>
        <w:t xml:space="preserve"> [Based on </w:t>
      </w:r>
      <w:r w:rsidR="0058144C" w:rsidRPr="00155974">
        <w:rPr>
          <w:i/>
          <w:iCs/>
          <w:lang w:eastAsia="en-AU"/>
        </w:rPr>
        <w:t>IFRS for SMEs</w:t>
      </w:r>
      <w:r w:rsidR="00C8454E" w:rsidRPr="00155974">
        <w:rPr>
          <w:lang w:eastAsia="en-AU"/>
        </w:rPr>
        <w:t xml:space="preserve"> Standard paragraph 21.16]</w:t>
      </w:r>
      <w:bookmarkEnd w:id="107"/>
    </w:p>
    <w:p w14:paraId="2469CE42" w14:textId="77777777" w:rsidR="00F42DB6" w:rsidRPr="00155974" w:rsidRDefault="00F42DB6" w:rsidP="00022B10">
      <w:pPr>
        <w:pStyle w:val="IASBSectionTitle3Ind"/>
        <w:rPr>
          <w:lang w:eastAsia="en-AU"/>
        </w:rPr>
      </w:pPr>
      <w:r w:rsidRPr="00155974">
        <w:rPr>
          <w:lang w:eastAsia="en-AU"/>
        </w:rPr>
        <w:t>Prejudicial disclosures</w:t>
      </w:r>
    </w:p>
    <w:p w14:paraId="0A1A82E3" w14:textId="152EDE91" w:rsidR="00F42DB6" w:rsidRPr="00155974" w:rsidRDefault="00F42DB6" w:rsidP="000E61D3">
      <w:pPr>
        <w:pStyle w:val="NumPlain1"/>
        <w:numPr>
          <w:ilvl w:val="0"/>
          <w:numId w:val="84"/>
        </w:numPr>
        <w:ind w:left="782" w:hanging="782"/>
        <w:rPr>
          <w:lang w:eastAsia="en-AU"/>
        </w:rPr>
      </w:pPr>
      <w:r w:rsidRPr="00155974">
        <w:rPr>
          <w:lang w:eastAsia="en-AU"/>
        </w:rPr>
        <w:t>In extremely rare cases, disclosure of some or all of the information required by paragraphs</w:t>
      </w:r>
      <w:r w:rsidR="0032600E" w:rsidRPr="00155974">
        <w:rPr>
          <w:lang w:eastAsia="en-AU"/>
        </w:rPr>
        <w:t xml:space="preserve"> 153</w:t>
      </w:r>
      <w:r w:rsidR="008E7C2B" w:rsidRPr="00155974">
        <w:rPr>
          <w:lang w:eastAsia="en-AU"/>
        </w:rPr>
        <w:t>–</w:t>
      </w:r>
      <w:r w:rsidR="00835AA5" w:rsidRPr="00155974">
        <w:rPr>
          <w:lang w:eastAsia="en-AU"/>
        </w:rPr>
        <w:t xml:space="preserve">155 </w:t>
      </w:r>
      <w:r w:rsidRPr="00155974">
        <w:rPr>
          <w:lang w:eastAsia="en-AU"/>
        </w:rPr>
        <w:t xml:space="preserve">can be expected to prejudice seriously the position of the entity in a dispute with other parties on the subject matter of the provision, contingent liability or contingent asset. In such cases, an entity need not disclose the </w:t>
      </w:r>
      <w:r w:rsidRPr="00155974">
        <w:rPr>
          <w:lang w:eastAsia="en-AU"/>
        </w:rPr>
        <w:lastRenderedPageBreak/>
        <w:t>information, but shall disclose the general nature of the dispute, together with the fact that, and reason why, the information has not been disclosed.</w:t>
      </w:r>
      <w:r w:rsidR="00631BDE" w:rsidRPr="00155974">
        <w:rPr>
          <w:lang w:eastAsia="en-AU"/>
        </w:rPr>
        <w:t xml:space="preserve"> [</w:t>
      </w:r>
      <w:r w:rsidR="0058144C" w:rsidRPr="00155974">
        <w:rPr>
          <w:i/>
          <w:iCs/>
          <w:lang w:eastAsia="en-AU"/>
        </w:rPr>
        <w:t>IFRS for SMEs</w:t>
      </w:r>
      <w:r w:rsidR="00631BDE" w:rsidRPr="00155974">
        <w:rPr>
          <w:lang w:eastAsia="en-AU"/>
        </w:rPr>
        <w:t xml:space="preserve"> Standard paragraph 21.17]</w:t>
      </w:r>
    </w:p>
    <w:p w14:paraId="6FC8A4BF" w14:textId="7FEBA117" w:rsidR="00F42DB6" w:rsidRPr="00155974" w:rsidRDefault="00F42DB6" w:rsidP="00022B10">
      <w:pPr>
        <w:pStyle w:val="IASBSectionTitle2Ind"/>
        <w:rPr>
          <w:sz w:val="20"/>
          <w:lang w:eastAsia="en-AU"/>
        </w:rPr>
      </w:pPr>
      <w:r w:rsidRPr="00155974">
        <w:rPr>
          <w:lang w:eastAsia="en-AU"/>
        </w:rPr>
        <w:t>Revenue</w:t>
      </w:r>
      <w:r w:rsidRPr="00155974">
        <w:rPr>
          <w:rStyle w:val="FootnoteReference"/>
          <w:sz w:val="22"/>
          <w:szCs w:val="22"/>
          <w:lang w:eastAsia="en-AU"/>
        </w:rPr>
        <w:footnoteReference w:id="22"/>
      </w:r>
    </w:p>
    <w:p w14:paraId="7F6523ED" w14:textId="77777777" w:rsidR="00F42DB6" w:rsidRPr="00155974" w:rsidRDefault="00F42DB6" w:rsidP="00022B10">
      <w:pPr>
        <w:pStyle w:val="IASBSectionTitle3Ind"/>
        <w:rPr>
          <w:lang w:eastAsia="en-AU"/>
        </w:rPr>
      </w:pPr>
      <w:r w:rsidRPr="00155974">
        <w:rPr>
          <w:lang w:eastAsia="en-AU"/>
        </w:rPr>
        <w:t>General disclosures about revenue</w:t>
      </w:r>
    </w:p>
    <w:p w14:paraId="662034B4" w14:textId="0D8FDFE7" w:rsidR="00F42DB6" w:rsidRPr="00155974" w:rsidRDefault="00F42DB6" w:rsidP="004B0ADC">
      <w:pPr>
        <w:pStyle w:val="NumPlain1"/>
        <w:keepNext/>
        <w:numPr>
          <w:ilvl w:val="0"/>
          <w:numId w:val="84"/>
        </w:numPr>
        <w:ind w:left="782" w:hanging="782"/>
        <w:rPr>
          <w:lang w:eastAsia="en-AU"/>
        </w:rPr>
      </w:pPr>
      <w:r w:rsidRPr="00155974">
        <w:rPr>
          <w:lang w:eastAsia="en-AU"/>
        </w:rPr>
        <w:t>An entity shall disclose:</w:t>
      </w:r>
    </w:p>
    <w:p w14:paraId="7C92D619" w14:textId="43EB01B2" w:rsidR="00F42DB6" w:rsidRPr="00320634" w:rsidRDefault="00F42DB6" w:rsidP="000E61D3">
      <w:pPr>
        <w:pStyle w:val="ListParagraph"/>
        <w:numPr>
          <w:ilvl w:val="0"/>
          <w:numId w:val="147"/>
        </w:numPr>
        <w:ind w:left="1564" w:hanging="782"/>
        <w:jc w:val="both"/>
        <w:rPr>
          <w:szCs w:val="19"/>
          <w:lang w:eastAsia="en-AU"/>
        </w:rPr>
      </w:pPr>
      <w:r w:rsidRPr="00320634">
        <w:rPr>
          <w:szCs w:val="19"/>
          <w:lang w:eastAsia="en-AU"/>
        </w:rPr>
        <w:t>information about its performance obligations in contracts with customers, including a description of when the entity typically satisfies its performance obligations, the significant payment terms, the nature of the goods or services that the entity has promised to transfer, obligations for returns, refunds and other similar obligations and types of warranties and related obligations; and</w:t>
      </w:r>
    </w:p>
    <w:p w14:paraId="282C6ED3" w14:textId="29ACEBD2" w:rsidR="00F42DB6" w:rsidRPr="00320634" w:rsidRDefault="00F42DB6" w:rsidP="004B0ADC">
      <w:pPr>
        <w:pStyle w:val="ListParagraph"/>
        <w:keepNext/>
        <w:numPr>
          <w:ilvl w:val="0"/>
          <w:numId w:val="147"/>
        </w:numPr>
        <w:ind w:left="1564" w:hanging="782"/>
        <w:jc w:val="both"/>
        <w:rPr>
          <w:szCs w:val="19"/>
          <w:u w:val="single"/>
          <w:lang w:eastAsia="en-AU"/>
        </w:rPr>
      </w:pPr>
      <w:r w:rsidRPr="00320634">
        <w:rPr>
          <w:szCs w:val="19"/>
          <w:lang w:eastAsia="en-AU"/>
        </w:rPr>
        <w:t xml:space="preserve">the amount of each category of revenue recognised during the period, disaggregated into categories that depict how the nature, amount, timing and uncertainty of revenue and cash flows are affected by economic factors. An entity </w:t>
      </w:r>
      <w:r w:rsidR="00591B2D" w:rsidRPr="00320634">
        <w:rPr>
          <w:szCs w:val="19"/>
          <w:lang w:eastAsia="en-AU"/>
        </w:rPr>
        <w:t xml:space="preserve">applies </w:t>
      </w:r>
      <w:r w:rsidRPr="00320634">
        <w:rPr>
          <w:szCs w:val="19"/>
          <w:lang w:eastAsia="en-AU"/>
        </w:rPr>
        <w:t xml:space="preserve">the guidance in AASB 15 </w:t>
      </w:r>
      <w:r w:rsidRPr="00320634">
        <w:rPr>
          <w:i/>
          <w:szCs w:val="19"/>
          <w:lang w:eastAsia="en-AU"/>
        </w:rPr>
        <w:t>Revenue from Contracts with Customers</w:t>
      </w:r>
      <w:r w:rsidRPr="00320634">
        <w:rPr>
          <w:szCs w:val="19"/>
          <w:lang w:eastAsia="en-AU"/>
        </w:rPr>
        <w:t xml:space="preserve"> paragraphs B87</w:t>
      </w:r>
      <w:r w:rsidR="007C2976" w:rsidRPr="00320634">
        <w:rPr>
          <w:szCs w:val="19"/>
          <w:lang w:eastAsia="en-AU"/>
        </w:rPr>
        <w:t>–</w:t>
      </w:r>
      <w:r w:rsidRPr="00320634">
        <w:rPr>
          <w:szCs w:val="19"/>
          <w:lang w:eastAsia="en-AU"/>
        </w:rPr>
        <w:t>B89 when selecting the categories to use to disaggregate revenue.</w:t>
      </w:r>
      <w:r w:rsidRPr="00320634">
        <w:rPr>
          <w:szCs w:val="19"/>
          <w:u w:val="single"/>
          <w:lang w:eastAsia="en-AU"/>
        </w:rPr>
        <w:t xml:space="preserve"> </w:t>
      </w:r>
    </w:p>
    <w:p w14:paraId="048A2A38" w14:textId="421D2E14" w:rsidR="00241F0D" w:rsidRPr="00155974" w:rsidRDefault="00241F0D" w:rsidP="007F38FE">
      <w:pPr>
        <w:spacing w:after="100"/>
        <w:ind w:left="782"/>
        <w:rPr>
          <w:strike/>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23.30]</w:t>
      </w:r>
    </w:p>
    <w:p w14:paraId="4BA4644D" w14:textId="77777777" w:rsidR="00F42DB6" w:rsidRPr="00155974" w:rsidRDefault="00F42DB6" w:rsidP="00022B10">
      <w:pPr>
        <w:pStyle w:val="IASBSectionTitle3Ind"/>
        <w:rPr>
          <w:lang w:eastAsia="en-AU"/>
        </w:rPr>
      </w:pPr>
      <w:r w:rsidRPr="00155974">
        <w:rPr>
          <w:lang w:eastAsia="en-AU"/>
        </w:rPr>
        <w:t xml:space="preserve">Disclosures relating to performance obligations satisfied over time </w:t>
      </w:r>
    </w:p>
    <w:p w14:paraId="7CA8BB08" w14:textId="0DCE48AB" w:rsidR="00F42DB6" w:rsidRPr="00155974" w:rsidRDefault="00F42DB6" w:rsidP="000E61D3">
      <w:pPr>
        <w:pStyle w:val="NumPlain1"/>
        <w:numPr>
          <w:ilvl w:val="0"/>
          <w:numId w:val="84"/>
        </w:numPr>
        <w:ind w:left="782" w:hanging="782"/>
        <w:rPr>
          <w:strike/>
          <w:lang w:eastAsia="en-AU"/>
        </w:rPr>
      </w:pPr>
      <w:r w:rsidRPr="00155974">
        <w:rPr>
          <w:lang w:eastAsia="en-AU"/>
        </w:rPr>
        <w:t xml:space="preserve">For performance obligations that an entity satisfies over time, an entity shall disclose the methods used to recognise revenue (for example, a description of the output methods or input methods used and how those methods are applied). </w:t>
      </w:r>
      <w:r w:rsidR="00570DBE" w:rsidRPr="00155974">
        <w:rPr>
          <w:lang w:eastAsia="en-AU"/>
        </w:rPr>
        <w:t>[</w:t>
      </w:r>
      <w:r w:rsidR="00E15E01" w:rsidRPr="00155974">
        <w:rPr>
          <w:lang w:eastAsia="en-AU"/>
        </w:rPr>
        <w:t xml:space="preserve">Based on </w:t>
      </w:r>
      <w:r w:rsidR="0058144C" w:rsidRPr="00155974">
        <w:rPr>
          <w:i/>
          <w:iCs/>
          <w:lang w:eastAsia="en-AU"/>
        </w:rPr>
        <w:t>IFRS for SMEs</w:t>
      </w:r>
      <w:r w:rsidR="00570DBE" w:rsidRPr="00155974">
        <w:rPr>
          <w:lang w:eastAsia="en-AU"/>
        </w:rPr>
        <w:t xml:space="preserve"> Standard paragraph </w:t>
      </w:r>
      <w:r w:rsidR="00E15E01" w:rsidRPr="00155974">
        <w:rPr>
          <w:lang w:eastAsia="en-AU"/>
        </w:rPr>
        <w:t>23</w:t>
      </w:r>
      <w:r w:rsidR="00570DBE" w:rsidRPr="00155974">
        <w:rPr>
          <w:lang w:eastAsia="en-AU"/>
        </w:rPr>
        <w:t>.</w:t>
      </w:r>
      <w:r w:rsidR="00E15E01" w:rsidRPr="00155974">
        <w:rPr>
          <w:lang w:eastAsia="en-AU"/>
        </w:rPr>
        <w:t>31</w:t>
      </w:r>
      <w:r w:rsidR="00570DBE" w:rsidRPr="00155974">
        <w:rPr>
          <w:lang w:eastAsia="en-AU"/>
        </w:rPr>
        <w:t>]</w:t>
      </w:r>
    </w:p>
    <w:p w14:paraId="701C12AC" w14:textId="3DC67E98" w:rsidR="00F42DB6" w:rsidRPr="00155974" w:rsidRDefault="00F42DB6" w:rsidP="000E61D3">
      <w:pPr>
        <w:pStyle w:val="NumPlain1"/>
        <w:numPr>
          <w:ilvl w:val="0"/>
          <w:numId w:val="84"/>
        </w:numPr>
        <w:ind w:left="782" w:hanging="782"/>
        <w:rPr>
          <w:strike/>
          <w:lang w:eastAsia="en-AU"/>
        </w:rPr>
      </w:pPr>
      <w:r w:rsidRPr="00155974">
        <w:rPr>
          <w:lang w:eastAsia="en-AU"/>
        </w:rPr>
        <w:t xml:space="preserve">An entity shall disclose the closing balances of contract assets and contract liabilities from contracts with customers, if not otherwise separately presented or disclosed. </w:t>
      </w:r>
      <w:r w:rsidR="00E15E01" w:rsidRPr="00155974">
        <w:rPr>
          <w:lang w:eastAsia="en-AU"/>
        </w:rPr>
        <w:t xml:space="preserve">[Based on </w:t>
      </w:r>
      <w:r w:rsidR="0058144C" w:rsidRPr="00155974">
        <w:rPr>
          <w:i/>
          <w:iCs/>
          <w:lang w:eastAsia="en-AU"/>
        </w:rPr>
        <w:t>IFRS for SMEs</w:t>
      </w:r>
      <w:r w:rsidR="00E15E01" w:rsidRPr="00155974">
        <w:rPr>
          <w:lang w:eastAsia="en-AU"/>
        </w:rPr>
        <w:t xml:space="preserve"> Standard paragraph 23.32]</w:t>
      </w:r>
    </w:p>
    <w:p w14:paraId="35548624" w14:textId="7B52F19A" w:rsidR="00F42DB6" w:rsidRPr="00AE7A7E" w:rsidRDefault="00F42DB6" w:rsidP="00022B10">
      <w:pPr>
        <w:pStyle w:val="IASBSectionTitle2Ind"/>
        <w:rPr>
          <w:lang w:eastAsia="en-AU"/>
        </w:rPr>
      </w:pPr>
      <w:r w:rsidRPr="00AE7A7E">
        <w:rPr>
          <w:lang w:eastAsia="en-AU"/>
        </w:rPr>
        <w:t>Government Grants</w:t>
      </w:r>
      <w:r w:rsidR="00644FFF" w:rsidRPr="00AE7A7E">
        <w:rPr>
          <w:lang w:eastAsia="en-AU"/>
        </w:rPr>
        <w:t xml:space="preserve"> of </w:t>
      </w:r>
      <w:r w:rsidR="00B54DCD" w:rsidRPr="00AE7A7E">
        <w:rPr>
          <w:lang w:eastAsia="en-AU"/>
        </w:rPr>
        <w:t>For</w:t>
      </w:r>
      <w:r w:rsidR="00644FFF" w:rsidRPr="00AE7A7E">
        <w:rPr>
          <w:lang w:eastAsia="en-AU"/>
        </w:rPr>
        <w:t>-</w:t>
      </w:r>
      <w:r w:rsidR="00B54DCD" w:rsidRPr="00AE7A7E">
        <w:rPr>
          <w:lang w:eastAsia="en-AU"/>
        </w:rPr>
        <w:t>Profit Entities</w:t>
      </w:r>
      <w:r w:rsidRPr="00AE7A7E">
        <w:rPr>
          <w:rStyle w:val="FootnoteReference"/>
          <w:color w:val="231F20"/>
          <w:sz w:val="22"/>
          <w:szCs w:val="22"/>
          <w:lang w:eastAsia="en-AU"/>
        </w:rPr>
        <w:footnoteReference w:id="23"/>
      </w:r>
    </w:p>
    <w:p w14:paraId="06AAE581" w14:textId="380BA20C" w:rsidR="00F42DB6" w:rsidRPr="00155974" w:rsidRDefault="00F42DB6" w:rsidP="004B0ADC">
      <w:pPr>
        <w:pStyle w:val="NumPlain1"/>
        <w:keepNext/>
        <w:numPr>
          <w:ilvl w:val="0"/>
          <w:numId w:val="84"/>
        </w:numPr>
        <w:ind w:left="782" w:hanging="782"/>
        <w:rPr>
          <w:lang w:eastAsia="en-AU"/>
        </w:rPr>
      </w:pPr>
      <w:r w:rsidRPr="00155974">
        <w:rPr>
          <w:lang w:eastAsia="en-AU"/>
        </w:rPr>
        <w:t>A for-profit entity shall disclose the following:</w:t>
      </w:r>
    </w:p>
    <w:p w14:paraId="653331D8" w14:textId="69DFAF2D" w:rsidR="00F42DB6" w:rsidRPr="00155974" w:rsidRDefault="00F42DB6" w:rsidP="000E61D3">
      <w:pPr>
        <w:pStyle w:val="ListParagraph"/>
        <w:numPr>
          <w:ilvl w:val="0"/>
          <w:numId w:val="148"/>
        </w:numPr>
        <w:ind w:left="1564" w:hanging="782"/>
        <w:jc w:val="both"/>
        <w:rPr>
          <w:szCs w:val="19"/>
          <w:lang w:eastAsia="en-AU"/>
        </w:rPr>
      </w:pPr>
      <w:r w:rsidRPr="00155974">
        <w:rPr>
          <w:szCs w:val="19"/>
          <w:lang w:eastAsia="en-AU"/>
        </w:rPr>
        <w:t>the nature and amounts of government grants recognised in the financial statements;</w:t>
      </w:r>
    </w:p>
    <w:p w14:paraId="1EECF8C1" w14:textId="129260FE" w:rsidR="00A32E5E" w:rsidRDefault="00F42DB6" w:rsidP="000E61D3">
      <w:pPr>
        <w:pStyle w:val="ListParagraph"/>
        <w:numPr>
          <w:ilvl w:val="0"/>
          <w:numId w:val="148"/>
        </w:numPr>
        <w:ind w:left="1564" w:hanging="782"/>
        <w:jc w:val="both"/>
        <w:rPr>
          <w:szCs w:val="19"/>
          <w:lang w:eastAsia="en-AU"/>
        </w:rPr>
      </w:pPr>
      <w:r w:rsidRPr="00155974">
        <w:rPr>
          <w:szCs w:val="19"/>
          <w:lang w:eastAsia="en-AU"/>
        </w:rPr>
        <w:tab/>
        <w:t xml:space="preserve">unfulfilled conditions and other contingencies attaching to government grants that have been recognised in income; </w:t>
      </w:r>
    </w:p>
    <w:p w14:paraId="03C9701F" w14:textId="149FA075" w:rsidR="00F42DB6" w:rsidRPr="00155974" w:rsidRDefault="00F42DB6" w:rsidP="000E61D3">
      <w:pPr>
        <w:pStyle w:val="ListParagraph"/>
        <w:numPr>
          <w:ilvl w:val="0"/>
          <w:numId w:val="148"/>
        </w:numPr>
        <w:ind w:left="1564" w:hanging="782"/>
        <w:jc w:val="both"/>
        <w:rPr>
          <w:szCs w:val="19"/>
          <w:lang w:eastAsia="en-AU"/>
        </w:rPr>
      </w:pPr>
      <w:r w:rsidRPr="00155974">
        <w:rPr>
          <w:szCs w:val="19"/>
          <w:lang w:eastAsia="en-AU"/>
        </w:rPr>
        <w:tab/>
        <w:t>an indication of other forms of government assistance</w:t>
      </w:r>
      <w:r w:rsidR="006F3769" w:rsidRPr="00155974">
        <w:rPr>
          <w:szCs w:val="19"/>
          <w:lang w:eastAsia="en-AU"/>
        </w:rPr>
        <w:t xml:space="preserve"> as defined in AASB 120 </w:t>
      </w:r>
      <w:r w:rsidR="00D53D9E" w:rsidRPr="00155974">
        <w:rPr>
          <w:i/>
          <w:iCs/>
          <w:szCs w:val="19"/>
          <w:lang w:eastAsia="en-AU"/>
        </w:rPr>
        <w:t xml:space="preserve">Accounting for Government Grants and Disclosure of Government Assistance </w:t>
      </w:r>
      <w:r w:rsidRPr="00155974">
        <w:rPr>
          <w:szCs w:val="19"/>
          <w:lang w:eastAsia="en-AU"/>
        </w:rPr>
        <w:t>from which the entity has directly benefited; and</w:t>
      </w:r>
    </w:p>
    <w:p w14:paraId="61DEFE19" w14:textId="4ADB541D" w:rsidR="00F42DB6" w:rsidRPr="00155974" w:rsidRDefault="00F42DB6" w:rsidP="00376917">
      <w:pPr>
        <w:pStyle w:val="ListParagraph"/>
        <w:keepNext/>
        <w:numPr>
          <w:ilvl w:val="0"/>
          <w:numId w:val="148"/>
        </w:numPr>
        <w:ind w:left="1564" w:hanging="782"/>
        <w:jc w:val="both"/>
        <w:rPr>
          <w:szCs w:val="19"/>
          <w:lang w:eastAsia="en-AU"/>
        </w:rPr>
      </w:pPr>
      <w:r w:rsidRPr="00155974">
        <w:rPr>
          <w:szCs w:val="19"/>
          <w:lang w:eastAsia="en-AU"/>
        </w:rPr>
        <w:tab/>
        <w:t>the accounting policy adopted for government grants, including the methods of presentation adopted in the financial statements.</w:t>
      </w:r>
    </w:p>
    <w:p w14:paraId="5C78DE25" w14:textId="02F36916" w:rsidR="00C10AA5" w:rsidRPr="00155974" w:rsidRDefault="00C10AA5" w:rsidP="00BC09B3">
      <w:pPr>
        <w:spacing w:after="120"/>
        <w:ind w:left="1564" w:hanging="782"/>
        <w:rPr>
          <w:szCs w:val="19"/>
          <w:lang w:eastAsia="en-AU"/>
        </w:rPr>
      </w:pPr>
      <w:r w:rsidRPr="00155974">
        <w:rPr>
          <w:szCs w:val="19"/>
          <w:lang w:eastAsia="en-AU"/>
        </w:rPr>
        <w:t>[</w:t>
      </w:r>
      <w:r w:rsidR="008B5F8D"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8B5F8D" w:rsidRPr="00155974">
        <w:rPr>
          <w:szCs w:val="19"/>
          <w:lang w:eastAsia="en-AU"/>
        </w:rPr>
        <w:t>24</w:t>
      </w:r>
      <w:r w:rsidRPr="00155974">
        <w:rPr>
          <w:szCs w:val="19"/>
          <w:lang w:eastAsia="en-AU"/>
        </w:rPr>
        <w:t>.</w:t>
      </w:r>
      <w:r w:rsidR="008B5F8D" w:rsidRPr="00155974">
        <w:rPr>
          <w:szCs w:val="19"/>
          <w:lang w:eastAsia="en-AU"/>
        </w:rPr>
        <w:t>6</w:t>
      </w:r>
      <w:r w:rsidRPr="00155974">
        <w:rPr>
          <w:szCs w:val="19"/>
          <w:lang w:eastAsia="en-AU"/>
        </w:rPr>
        <w:t>]</w:t>
      </w:r>
    </w:p>
    <w:p w14:paraId="44D7059A" w14:textId="1A58EAF5" w:rsidR="00F42DB6" w:rsidRPr="00155974" w:rsidRDefault="00F42DB6" w:rsidP="00022B10">
      <w:pPr>
        <w:pStyle w:val="IASBSectionTitle2Ind"/>
        <w:rPr>
          <w:sz w:val="20"/>
          <w:lang w:eastAsia="en-AU"/>
        </w:rPr>
      </w:pPr>
      <w:r w:rsidRPr="00155974">
        <w:rPr>
          <w:lang w:eastAsia="en-AU"/>
        </w:rPr>
        <w:t>Borrowing Costs</w:t>
      </w:r>
      <w:r w:rsidRPr="00155974">
        <w:rPr>
          <w:rStyle w:val="FootnoteReference"/>
          <w:sz w:val="22"/>
          <w:szCs w:val="22"/>
          <w:lang w:eastAsia="en-AU"/>
        </w:rPr>
        <w:footnoteReference w:id="24"/>
      </w:r>
    </w:p>
    <w:p w14:paraId="07FEBB44" w14:textId="4F1318A1" w:rsidR="00F42DB6" w:rsidRPr="00155974" w:rsidRDefault="00F42DB6" w:rsidP="000E61D3">
      <w:pPr>
        <w:pStyle w:val="NumPlain1"/>
        <w:numPr>
          <w:ilvl w:val="0"/>
          <w:numId w:val="84"/>
        </w:numPr>
        <w:ind w:left="782" w:hanging="782"/>
        <w:rPr>
          <w:lang w:eastAsia="en-AU"/>
        </w:rPr>
      </w:pPr>
      <w:r w:rsidRPr="00155974">
        <w:rPr>
          <w:lang w:eastAsia="en-AU"/>
        </w:rPr>
        <w:t xml:space="preserve">Paragraph </w:t>
      </w:r>
      <w:r w:rsidR="002B3193" w:rsidRPr="00155974">
        <w:rPr>
          <w:lang w:eastAsia="en-AU"/>
        </w:rPr>
        <w:t>52</w:t>
      </w:r>
      <w:r w:rsidRPr="00155974">
        <w:rPr>
          <w:lang w:eastAsia="en-AU"/>
        </w:rPr>
        <w:t xml:space="preserve">(b) requires disclosure of finance costs. Paragraph </w:t>
      </w:r>
      <w:r w:rsidR="003726E3" w:rsidRPr="00155974">
        <w:rPr>
          <w:lang w:eastAsia="en-AU"/>
        </w:rPr>
        <w:t>119</w:t>
      </w:r>
      <w:r w:rsidRPr="00155974">
        <w:rPr>
          <w:lang w:eastAsia="en-AU"/>
        </w:rPr>
        <w:t xml:space="preserve">(b) requires disclosure of total interest expense (using the effective interest method) for financial liabilities that are not </w:t>
      </w:r>
      <w:r w:rsidR="0063063C" w:rsidRPr="00155974">
        <w:rPr>
          <w:lang w:eastAsia="en-AU"/>
        </w:rPr>
        <w:t xml:space="preserve">measured </w:t>
      </w:r>
      <w:r w:rsidRPr="00155974">
        <w:rPr>
          <w:lang w:eastAsia="en-AU"/>
        </w:rPr>
        <w:t xml:space="preserve">at fair value through profit or loss. </w:t>
      </w:r>
      <w:r w:rsidR="0047256E" w:rsidRPr="00155974">
        <w:rPr>
          <w:lang w:eastAsia="en-AU"/>
        </w:rPr>
        <w:t>[</w:t>
      </w:r>
      <w:r w:rsidR="0058144C" w:rsidRPr="00155974">
        <w:rPr>
          <w:i/>
          <w:iCs/>
          <w:lang w:eastAsia="en-AU"/>
        </w:rPr>
        <w:t>IFRS for SMEs</w:t>
      </w:r>
      <w:r w:rsidR="0047256E" w:rsidRPr="00155974">
        <w:rPr>
          <w:lang w:eastAsia="en-AU"/>
        </w:rPr>
        <w:t xml:space="preserve"> Standard paragraph </w:t>
      </w:r>
      <w:r w:rsidR="006B0DE0" w:rsidRPr="00155974">
        <w:rPr>
          <w:lang w:eastAsia="en-AU"/>
        </w:rPr>
        <w:t>2</w:t>
      </w:r>
      <w:r w:rsidR="0047256E" w:rsidRPr="00155974">
        <w:rPr>
          <w:lang w:eastAsia="en-AU"/>
        </w:rPr>
        <w:t>5.</w:t>
      </w:r>
      <w:r w:rsidR="006B0DE0" w:rsidRPr="00155974">
        <w:rPr>
          <w:lang w:eastAsia="en-AU"/>
        </w:rPr>
        <w:t>3</w:t>
      </w:r>
      <w:r w:rsidR="0047256E" w:rsidRPr="00155974">
        <w:rPr>
          <w:lang w:eastAsia="en-AU"/>
        </w:rPr>
        <w:t>]</w:t>
      </w:r>
    </w:p>
    <w:p w14:paraId="5262DCC5" w14:textId="45D49E63" w:rsidR="00F42DB6" w:rsidRPr="00155974" w:rsidRDefault="00F42DB6" w:rsidP="000E61D3">
      <w:pPr>
        <w:pStyle w:val="NumPlain1"/>
        <w:numPr>
          <w:ilvl w:val="0"/>
          <w:numId w:val="84"/>
        </w:numPr>
        <w:ind w:left="782" w:hanging="782"/>
        <w:rPr>
          <w:lang w:eastAsia="en-AU"/>
        </w:rPr>
      </w:pPr>
      <w:r w:rsidRPr="00155974">
        <w:rPr>
          <w:lang w:eastAsia="en-AU"/>
        </w:rPr>
        <w:t>An entity shall disclose the amount of borrowing costs capitalised during the period.</w:t>
      </w:r>
    </w:p>
    <w:p w14:paraId="35BC4CD4" w14:textId="570C5FDE" w:rsidR="00F42DB6" w:rsidRPr="00155974" w:rsidRDefault="00F42DB6" w:rsidP="000E61D3">
      <w:pPr>
        <w:pStyle w:val="NumPlain1"/>
        <w:numPr>
          <w:ilvl w:val="0"/>
          <w:numId w:val="84"/>
        </w:numPr>
        <w:ind w:left="782" w:hanging="782"/>
      </w:pPr>
      <w:bookmarkStart w:id="108" w:name="_Ref34746681"/>
      <w:r w:rsidRPr="00155974">
        <w:t>A not-for-profit public sector entity shall disclose the accounting policy adopted for borrowing costs.</w:t>
      </w:r>
      <w:bookmarkEnd w:id="108"/>
    </w:p>
    <w:p w14:paraId="4325E87C" w14:textId="18CFACBD" w:rsidR="00F42DB6" w:rsidRPr="00155974" w:rsidRDefault="00F42DB6" w:rsidP="00022B10">
      <w:pPr>
        <w:pStyle w:val="IASBSectionTitle2Ind"/>
        <w:rPr>
          <w:rFonts w:eastAsiaTheme="majorEastAsia"/>
          <w:bCs/>
          <w:iCs/>
          <w:sz w:val="20"/>
        </w:rPr>
      </w:pPr>
      <w:r w:rsidRPr="00155974">
        <w:rPr>
          <w:lang w:eastAsia="en-AU"/>
        </w:rPr>
        <w:lastRenderedPageBreak/>
        <w:t>Share-based Payment</w:t>
      </w:r>
      <w:r w:rsidRPr="00155974">
        <w:rPr>
          <w:rStyle w:val="FootnoteReference"/>
          <w:sz w:val="22"/>
          <w:szCs w:val="22"/>
          <w:lang w:eastAsia="en-AU"/>
        </w:rPr>
        <w:footnoteReference w:id="25"/>
      </w:r>
    </w:p>
    <w:p w14:paraId="2054B29E" w14:textId="72228B20"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disclose the following information about the nature and extent of share-based payment arrangements that existed during the period:</w:t>
      </w:r>
      <w:r w:rsidRPr="00155974">
        <w:rPr>
          <w:rFonts w:eastAsiaTheme="majorEastAsia"/>
          <w:b/>
          <w:i/>
        </w:rPr>
        <w:t xml:space="preserve"> </w:t>
      </w:r>
    </w:p>
    <w:p w14:paraId="6C551B82" w14:textId="5B36AB6F" w:rsidR="00F42DB6" w:rsidRPr="00320634" w:rsidRDefault="00F42DB6" w:rsidP="000E61D3">
      <w:pPr>
        <w:pStyle w:val="ListParagraph"/>
        <w:numPr>
          <w:ilvl w:val="0"/>
          <w:numId w:val="149"/>
        </w:numPr>
        <w:ind w:left="1564" w:hanging="782"/>
        <w:jc w:val="both"/>
        <w:rPr>
          <w:rFonts w:eastAsiaTheme="majorEastAsia"/>
        </w:rPr>
      </w:pPr>
      <w:r w:rsidRPr="00320634">
        <w:rPr>
          <w:rFonts w:eastAsiaTheme="majorEastAsia"/>
        </w:rPr>
        <w:t>a description of each type of share-based payment arrangement that existed at any time during the period, including the general terms and conditions of each arrangement, such as vesting requirements, the maximum term of options granted, and the method of settlement (for example, whether in cash or equity). An entity with substantially similar types of share-based payment arrangements may aggregate this information</w:t>
      </w:r>
      <w:r w:rsidR="00D65B32" w:rsidRPr="00320634">
        <w:rPr>
          <w:rFonts w:eastAsiaTheme="majorEastAsia"/>
        </w:rPr>
        <w:t>; and</w:t>
      </w:r>
    </w:p>
    <w:p w14:paraId="180D2857" w14:textId="29F3C4D8" w:rsidR="00F42DB6" w:rsidRPr="00320634" w:rsidRDefault="00F42DB6" w:rsidP="000E61D3">
      <w:pPr>
        <w:pStyle w:val="ListParagraph"/>
        <w:numPr>
          <w:ilvl w:val="0"/>
          <w:numId w:val="149"/>
        </w:numPr>
        <w:ind w:left="1564" w:hanging="782"/>
        <w:jc w:val="both"/>
        <w:rPr>
          <w:rFonts w:eastAsiaTheme="majorEastAsia"/>
          <w:bCs/>
          <w:iCs/>
          <w:szCs w:val="19"/>
        </w:rPr>
      </w:pPr>
      <w:r w:rsidRPr="00320634">
        <w:rPr>
          <w:rFonts w:eastAsiaTheme="majorEastAsia"/>
          <w:bCs/>
          <w:iCs/>
          <w:szCs w:val="19"/>
        </w:rPr>
        <w:t>the number and weighted average exercise prices of share options for each of the following groups of options:</w:t>
      </w:r>
    </w:p>
    <w:p w14:paraId="4BD14A7A" w14:textId="07D365F1"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outstanding at the beginning of the period;</w:t>
      </w:r>
    </w:p>
    <w:p w14:paraId="3722FEFD" w14:textId="53FA8F5D"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granted during the period;</w:t>
      </w:r>
    </w:p>
    <w:p w14:paraId="549D137D" w14:textId="4E5AC132"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forfeited during the period;</w:t>
      </w:r>
    </w:p>
    <w:p w14:paraId="29018B9C" w14:textId="0AB26FE9"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exercised during the period;</w:t>
      </w:r>
    </w:p>
    <w:p w14:paraId="3B55BA69" w14:textId="025F0719"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expired during the period;</w:t>
      </w:r>
    </w:p>
    <w:p w14:paraId="62DD26B5" w14:textId="129FFEE9" w:rsidR="00F42DB6" w:rsidRPr="00320634" w:rsidRDefault="00F42DB6" w:rsidP="000E61D3">
      <w:pPr>
        <w:pStyle w:val="ListParagraph"/>
        <w:numPr>
          <w:ilvl w:val="0"/>
          <w:numId w:val="150"/>
        </w:numPr>
        <w:ind w:left="2347" w:hanging="782"/>
        <w:jc w:val="both"/>
        <w:rPr>
          <w:rFonts w:eastAsiaTheme="majorEastAsia"/>
          <w:bCs/>
          <w:iCs/>
          <w:szCs w:val="19"/>
        </w:rPr>
      </w:pPr>
      <w:r w:rsidRPr="00320634">
        <w:rPr>
          <w:rFonts w:eastAsiaTheme="majorEastAsia"/>
          <w:bCs/>
          <w:iCs/>
          <w:szCs w:val="19"/>
        </w:rPr>
        <w:t>outstanding at the end of the period; and</w:t>
      </w:r>
    </w:p>
    <w:p w14:paraId="5922E26B" w14:textId="1F02E64C" w:rsidR="00F42DB6" w:rsidRPr="00320634" w:rsidRDefault="00F42DB6" w:rsidP="000F7825">
      <w:pPr>
        <w:pStyle w:val="ListParagraph"/>
        <w:keepNext/>
        <w:numPr>
          <w:ilvl w:val="0"/>
          <w:numId w:val="150"/>
        </w:numPr>
        <w:ind w:left="2347" w:hanging="782"/>
        <w:jc w:val="both"/>
        <w:rPr>
          <w:rFonts w:eastAsiaTheme="majorEastAsia"/>
          <w:bCs/>
          <w:iCs/>
          <w:szCs w:val="19"/>
        </w:rPr>
      </w:pPr>
      <w:r w:rsidRPr="00320634">
        <w:rPr>
          <w:rFonts w:eastAsiaTheme="majorEastAsia"/>
          <w:bCs/>
          <w:iCs/>
          <w:szCs w:val="19"/>
        </w:rPr>
        <w:t>exercisable at the end of the period.</w:t>
      </w:r>
    </w:p>
    <w:p w14:paraId="4DAA3DBB" w14:textId="2AA4B5B4" w:rsidR="00327BE2" w:rsidRPr="00155974" w:rsidRDefault="00327BE2" w:rsidP="00320634">
      <w:pPr>
        <w:spacing w:after="100"/>
        <w:ind w:left="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26.18]</w:t>
      </w:r>
    </w:p>
    <w:p w14:paraId="2A54F598" w14:textId="7F4BAA33"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For equity-settled share-based payment arrangements, an entity shall disclose information about how it measured the fair value of goods or services received or the value of the equity instruments granted. If a valuation methodology was used, the entity shall disclose the method and its reason for choosing it.</w:t>
      </w:r>
      <w:r w:rsidR="00E663F3" w:rsidRPr="00155974">
        <w:rPr>
          <w:rFonts w:eastAsiaTheme="majorEastAsia"/>
        </w:rPr>
        <w:t xml:space="preserve"> </w:t>
      </w:r>
      <w:r w:rsidR="00E663F3" w:rsidRPr="00155974">
        <w:rPr>
          <w:lang w:eastAsia="en-AU"/>
        </w:rPr>
        <w:t>[</w:t>
      </w:r>
      <w:r w:rsidR="0058144C" w:rsidRPr="00155974">
        <w:rPr>
          <w:i/>
          <w:lang w:eastAsia="en-AU"/>
        </w:rPr>
        <w:t>IFRS for SMEs</w:t>
      </w:r>
      <w:r w:rsidR="00E663F3" w:rsidRPr="00155974">
        <w:rPr>
          <w:lang w:eastAsia="en-AU"/>
        </w:rPr>
        <w:t xml:space="preserve"> Standard paragraph 26.19]</w:t>
      </w:r>
    </w:p>
    <w:p w14:paraId="185E9014" w14:textId="14CD6CCD" w:rsidR="00F42DB6" w:rsidRPr="009B542D" w:rsidRDefault="00F42DB6" w:rsidP="000E61D3">
      <w:pPr>
        <w:pStyle w:val="NumPlain1"/>
        <w:numPr>
          <w:ilvl w:val="0"/>
          <w:numId w:val="84"/>
        </w:numPr>
        <w:ind w:left="782" w:hanging="782"/>
        <w:rPr>
          <w:rFonts w:eastAsiaTheme="majorEastAsia"/>
        </w:rPr>
      </w:pPr>
      <w:r w:rsidRPr="009B542D">
        <w:rPr>
          <w:rFonts w:eastAsiaTheme="majorEastAsia"/>
        </w:rPr>
        <w:t>For cash-settled share-based payment arrangements, an entity shall disclose information about how the liability was measured.</w:t>
      </w:r>
      <w:r w:rsidR="009867D7" w:rsidRPr="009B542D">
        <w:rPr>
          <w:rFonts w:eastAsiaTheme="majorEastAsia"/>
        </w:rPr>
        <w:t xml:space="preserve"> </w:t>
      </w:r>
      <w:r w:rsidR="009867D7" w:rsidRPr="009B542D">
        <w:rPr>
          <w:lang w:eastAsia="en-AU"/>
        </w:rPr>
        <w:t>[</w:t>
      </w:r>
      <w:r w:rsidR="0058144C" w:rsidRPr="009B542D">
        <w:rPr>
          <w:i/>
          <w:lang w:eastAsia="en-AU"/>
        </w:rPr>
        <w:t>IFRS for SMEs</w:t>
      </w:r>
      <w:r w:rsidR="009867D7" w:rsidRPr="009B542D">
        <w:rPr>
          <w:lang w:eastAsia="en-AU"/>
        </w:rPr>
        <w:t xml:space="preserve"> Standard paragraph 26.20]</w:t>
      </w:r>
    </w:p>
    <w:p w14:paraId="7ECA0A28" w14:textId="27D3BB22" w:rsidR="00F42DB6" w:rsidRPr="009B542D" w:rsidRDefault="00F42DB6" w:rsidP="000E61D3">
      <w:pPr>
        <w:pStyle w:val="NumPlain1"/>
        <w:numPr>
          <w:ilvl w:val="0"/>
          <w:numId w:val="84"/>
        </w:numPr>
        <w:ind w:left="782" w:hanging="782"/>
        <w:rPr>
          <w:rFonts w:eastAsiaTheme="majorEastAsia"/>
        </w:rPr>
      </w:pPr>
      <w:r w:rsidRPr="009B542D">
        <w:rPr>
          <w:rFonts w:eastAsiaTheme="majorEastAsia"/>
        </w:rPr>
        <w:t>For share-based payment arrangements that were modified during the period, an entity shall disclose an explanation of those modifications.</w:t>
      </w:r>
      <w:r w:rsidR="002641BF" w:rsidRPr="009B542D">
        <w:rPr>
          <w:rFonts w:eastAsiaTheme="majorEastAsia"/>
        </w:rPr>
        <w:t xml:space="preserve"> </w:t>
      </w:r>
      <w:r w:rsidR="002641BF" w:rsidRPr="009B542D">
        <w:rPr>
          <w:lang w:eastAsia="en-AU"/>
        </w:rPr>
        <w:t>[</w:t>
      </w:r>
      <w:r w:rsidR="0058144C" w:rsidRPr="009B542D">
        <w:rPr>
          <w:i/>
          <w:lang w:eastAsia="en-AU"/>
        </w:rPr>
        <w:t>IFRS for SMEs</w:t>
      </w:r>
      <w:r w:rsidR="002641BF" w:rsidRPr="009B542D">
        <w:rPr>
          <w:lang w:eastAsia="en-AU"/>
        </w:rPr>
        <w:t xml:space="preserve"> Standard paragraph 26.21]</w:t>
      </w:r>
    </w:p>
    <w:p w14:paraId="6D73ED4D" w14:textId="114BAB6F" w:rsidR="00F42DB6" w:rsidRPr="009B542D" w:rsidRDefault="00F42DB6" w:rsidP="000E61D3">
      <w:pPr>
        <w:pStyle w:val="NumPlain1"/>
        <w:numPr>
          <w:ilvl w:val="0"/>
          <w:numId w:val="84"/>
        </w:numPr>
        <w:ind w:left="782" w:hanging="782"/>
        <w:rPr>
          <w:rFonts w:eastAsiaTheme="majorEastAsia"/>
        </w:rPr>
      </w:pPr>
      <w:r w:rsidRPr="009B542D">
        <w:rPr>
          <w:rFonts w:eastAsiaTheme="majorEastAsia"/>
        </w:rPr>
        <w:t>An entity shall disclose the following information about the effect of share-based payment transactions on the entity’s profit or loss for the period and on its financial position:</w:t>
      </w:r>
    </w:p>
    <w:p w14:paraId="13639D42" w14:textId="4D49BE30" w:rsidR="00F42DB6" w:rsidRPr="009B542D" w:rsidRDefault="00F42DB6" w:rsidP="000E61D3">
      <w:pPr>
        <w:pStyle w:val="ListParagraph"/>
        <w:numPr>
          <w:ilvl w:val="0"/>
          <w:numId w:val="151"/>
        </w:numPr>
        <w:ind w:left="1564" w:hanging="782"/>
        <w:jc w:val="both"/>
        <w:outlineLvl w:val="4"/>
        <w:rPr>
          <w:rFonts w:eastAsiaTheme="majorEastAsia"/>
          <w:bCs/>
          <w:iCs/>
          <w:szCs w:val="19"/>
        </w:rPr>
      </w:pPr>
      <w:r w:rsidRPr="009B542D">
        <w:rPr>
          <w:rFonts w:eastAsiaTheme="majorEastAsia"/>
          <w:bCs/>
          <w:iCs/>
          <w:szCs w:val="19"/>
        </w:rPr>
        <w:t>the total expense recognised in profit or loss for the period; and</w:t>
      </w:r>
    </w:p>
    <w:p w14:paraId="6F94B13C" w14:textId="21120358" w:rsidR="00F42DB6" w:rsidRPr="009B542D" w:rsidRDefault="00F42DB6" w:rsidP="000F7825">
      <w:pPr>
        <w:pStyle w:val="ListParagraph"/>
        <w:keepNext/>
        <w:numPr>
          <w:ilvl w:val="0"/>
          <w:numId w:val="151"/>
        </w:numPr>
        <w:ind w:left="1564" w:hanging="782"/>
        <w:jc w:val="both"/>
        <w:rPr>
          <w:szCs w:val="19"/>
          <w:lang w:eastAsia="en-AU"/>
        </w:rPr>
      </w:pPr>
      <w:r w:rsidRPr="009B542D">
        <w:rPr>
          <w:szCs w:val="19"/>
          <w:lang w:eastAsia="en-AU"/>
        </w:rPr>
        <w:t>the total carrying amount at the end of the period for liabilities arising from share-based payment transactions.</w:t>
      </w:r>
    </w:p>
    <w:p w14:paraId="0FCE2455" w14:textId="3962E31B" w:rsidR="003307FD" w:rsidRPr="009B542D" w:rsidRDefault="001352CF" w:rsidP="00C95B1E">
      <w:pPr>
        <w:spacing w:after="100"/>
        <w:ind w:left="1564" w:hanging="782"/>
        <w:rPr>
          <w:szCs w:val="19"/>
          <w:lang w:eastAsia="en-AU"/>
        </w:rPr>
      </w:pPr>
      <w:r w:rsidRPr="009B542D">
        <w:rPr>
          <w:szCs w:val="19"/>
          <w:lang w:eastAsia="en-AU"/>
        </w:rPr>
        <w:t>[</w:t>
      </w:r>
      <w:r w:rsidR="0058144C" w:rsidRPr="009B542D">
        <w:rPr>
          <w:i/>
          <w:iCs/>
          <w:szCs w:val="19"/>
          <w:lang w:eastAsia="en-AU"/>
        </w:rPr>
        <w:t>IFRS for SMEs</w:t>
      </w:r>
      <w:r w:rsidRPr="009B542D">
        <w:rPr>
          <w:szCs w:val="19"/>
          <w:lang w:eastAsia="en-AU"/>
        </w:rPr>
        <w:t xml:space="preserve"> Standard paragraph 26.</w:t>
      </w:r>
      <w:r w:rsidR="001F5FC3" w:rsidRPr="009B542D">
        <w:rPr>
          <w:szCs w:val="19"/>
          <w:lang w:eastAsia="en-AU"/>
        </w:rPr>
        <w:t>23</w:t>
      </w:r>
      <w:r w:rsidRPr="009B542D">
        <w:rPr>
          <w:szCs w:val="19"/>
          <w:lang w:eastAsia="en-AU"/>
        </w:rPr>
        <w:t>]</w:t>
      </w:r>
    </w:p>
    <w:p w14:paraId="33D6EB07" w14:textId="2766C261" w:rsidR="00F42DB6" w:rsidRPr="009B542D" w:rsidRDefault="00F42DB6" w:rsidP="00022B10">
      <w:pPr>
        <w:pStyle w:val="IASBSectionTitle2Ind"/>
        <w:rPr>
          <w:rFonts w:eastAsia="Bookman Old Style"/>
          <w:sz w:val="20"/>
        </w:rPr>
      </w:pPr>
      <w:bookmarkStart w:id="109" w:name="ImpairmentofAssets"/>
      <w:r w:rsidRPr="009B542D">
        <w:rPr>
          <w:sz w:val="22"/>
          <w:szCs w:val="22"/>
          <w:lang w:eastAsia="en-AU"/>
        </w:rPr>
        <w:t>Impairment of Assets</w:t>
      </w:r>
      <w:bookmarkEnd w:id="109"/>
      <w:r w:rsidRPr="009B542D">
        <w:rPr>
          <w:rStyle w:val="FootnoteReference"/>
          <w:sz w:val="22"/>
          <w:szCs w:val="22"/>
          <w:lang w:eastAsia="en-AU"/>
        </w:rPr>
        <w:footnoteReference w:id="26"/>
      </w:r>
    </w:p>
    <w:p w14:paraId="57033FD6" w14:textId="0BB7A6D1" w:rsidR="00F42DB6" w:rsidRPr="009B542D" w:rsidRDefault="00F42DB6" w:rsidP="00043CE4">
      <w:pPr>
        <w:pStyle w:val="NumPlain1"/>
        <w:keepNext/>
        <w:numPr>
          <w:ilvl w:val="0"/>
          <w:numId w:val="84"/>
        </w:numPr>
        <w:ind w:left="782" w:hanging="782"/>
        <w:rPr>
          <w:rFonts w:eastAsia="Bookman Old Style"/>
        </w:rPr>
      </w:pPr>
      <w:bookmarkStart w:id="110" w:name="_Ref34660003"/>
      <w:r w:rsidRPr="009B542D">
        <w:rPr>
          <w:rFonts w:eastAsia="Bookman Old Style"/>
        </w:rPr>
        <w:t>An entity shall disclose the following for each class of assets indicated in paragraph</w:t>
      </w:r>
      <w:r w:rsidR="002132B0" w:rsidRPr="009B542D">
        <w:rPr>
          <w:rFonts w:eastAsia="Bookman Old Style"/>
        </w:rPr>
        <w:t xml:space="preserve"> </w:t>
      </w:r>
      <w:r w:rsidR="003726E3" w:rsidRPr="009B542D">
        <w:rPr>
          <w:rFonts w:eastAsia="Bookman Old Style"/>
        </w:rPr>
        <w:t>170</w:t>
      </w:r>
      <w:r w:rsidRPr="009B542D">
        <w:rPr>
          <w:rFonts w:eastAsia="Bookman Old Style"/>
        </w:rPr>
        <w:t>:</w:t>
      </w:r>
      <w:bookmarkEnd w:id="110"/>
    </w:p>
    <w:p w14:paraId="32B4DBD8" w14:textId="0CCE44B3" w:rsidR="00F42DB6" w:rsidRPr="009B542D" w:rsidRDefault="00F42DB6" w:rsidP="000E61D3">
      <w:pPr>
        <w:pStyle w:val="ListParagraph"/>
        <w:widowControl w:val="0"/>
        <w:numPr>
          <w:ilvl w:val="0"/>
          <w:numId w:val="152"/>
        </w:numPr>
        <w:autoSpaceDE w:val="0"/>
        <w:autoSpaceDN w:val="0"/>
        <w:spacing w:before="140"/>
        <w:ind w:left="1564" w:hanging="782"/>
        <w:jc w:val="both"/>
        <w:rPr>
          <w:rFonts w:eastAsia="Bookman Old Style"/>
          <w:szCs w:val="19"/>
        </w:rPr>
      </w:pPr>
      <w:r w:rsidRPr="009B542D">
        <w:rPr>
          <w:rFonts w:eastAsia="Bookman Old Style"/>
          <w:szCs w:val="19"/>
        </w:rPr>
        <w:t>the amount of impairment losses recognised in profit or loss during the period and the line item(s) in the statement of comprehensive income (and in the statement</w:t>
      </w:r>
      <w:r w:rsidR="00C7014C" w:rsidRPr="009B542D">
        <w:rPr>
          <w:rFonts w:eastAsia="Bookman Old Style"/>
          <w:szCs w:val="19"/>
        </w:rPr>
        <w:t xml:space="preserve"> of profit or loss</w:t>
      </w:r>
      <w:r w:rsidRPr="009B542D">
        <w:rPr>
          <w:rFonts w:eastAsia="Bookman Old Style"/>
          <w:szCs w:val="19"/>
        </w:rPr>
        <w:t>, if presented) in which those impairment losses are included; and</w:t>
      </w:r>
    </w:p>
    <w:p w14:paraId="5F62C4E9" w14:textId="602E36FB" w:rsidR="00F42DB6" w:rsidRPr="009B542D" w:rsidRDefault="00F42DB6" w:rsidP="000F7825">
      <w:pPr>
        <w:pStyle w:val="ListParagraph"/>
        <w:keepNext/>
        <w:widowControl w:val="0"/>
        <w:numPr>
          <w:ilvl w:val="0"/>
          <w:numId w:val="152"/>
        </w:numPr>
        <w:autoSpaceDE w:val="0"/>
        <w:autoSpaceDN w:val="0"/>
        <w:spacing w:before="140"/>
        <w:ind w:left="1564" w:hanging="782"/>
        <w:jc w:val="both"/>
        <w:rPr>
          <w:rFonts w:eastAsia="Bookman Old Style"/>
          <w:szCs w:val="19"/>
        </w:rPr>
      </w:pPr>
      <w:r w:rsidRPr="009B542D">
        <w:rPr>
          <w:rFonts w:eastAsia="Bookman Old Style"/>
          <w:szCs w:val="19"/>
        </w:rPr>
        <w:t>the amount of reversals of impairment losses recognised in profit or loss during the period and the line item(s) in the statement of comprehensive income (and in the statement</w:t>
      </w:r>
      <w:r w:rsidR="00C7014C" w:rsidRPr="009B542D">
        <w:rPr>
          <w:rFonts w:eastAsia="Bookman Old Style"/>
          <w:szCs w:val="19"/>
        </w:rPr>
        <w:t xml:space="preserve"> of profit or loss</w:t>
      </w:r>
      <w:r w:rsidRPr="009B542D">
        <w:rPr>
          <w:rFonts w:eastAsia="Bookman Old Style"/>
          <w:szCs w:val="19"/>
        </w:rPr>
        <w:t>, if presented) in which those impairment losses are reversed.</w:t>
      </w:r>
    </w:p>
    <w:p w14:paraId="0713951B" w14:textId="31B8B5AE" w:rsidR="00E6086D" w:rsidRPr="009B542D" w:rsidRDefault="00E6086D" w:rsidP="00C95B1E">
      <w:pPr>
        <w:widowControl w:val="0"/>
        <w:autoSpaceDE w:val="0"/>
        <w:autoSpaceDN w:val="0"/>
        <w:spacing w:before="140" w:after="100"/>
        <w:ind w:left="1564" w:hanging="782"/>
        <w:rPr>
          <w:rFonts w:eastAsia="Bookman Old Style"/>
          <w:szCs w:val="19"/>
        </w:rPr>
      </w:pPr>
      <w:r w:rsidRPr="009B542D">
        <w:rPr>
          <w:szCs w:val="19"/>
          <w:lang w:eastAsia="en-AU"/>
        </w:rPr>
        <w:t>[</w:t>
      </w:r>
      <w:r w:rsidR="0058144C" w:rsidRPr="009B542D">
        <w:rPr>
          <w:i/>
          <w:iCs/>
          <w:szCs w:val="19"/>
          <w:lang w:eastAsia="en-AU"/>
        </w:rPr>
        <w:t>IFRS for SMEs</w:t>
      </w:r>
      <w:r w:rsidRPr="009B542D">
        <w:rPr>
          <w:szCs w:val="19"/>
          <w:lang w:eastAsia="en-AU"/>
        </w:rPr>
        <w:t xml:space="preserve"> Standard paragraph 27.32]</w:t>
      </w:r>
    </w:p>
    <w:p w14:paraId="1DAC2067" w14:textId="2E0B8856" w:rsidR="00F42DB6" w:rsidRPr="009B542D" w:rsidRDefault="00F42DB6" w:rsidP="00043CE4">
      <w:pPr>
        <w:pStyle w:val="NumPlain1"/>
        <w:keepNext/>
        <w:numPr>
          <w:ilvl w:val="0"/>
          <w:numId w:val="84"/>
        </w:numPr>
        <w:ind w:left="782" w:hanging="782"/>
        <w:rPr>
          <w:rFonts w:eastAsia="Bookman Old Style"/>
        </w:rPr>
      </w:pPr>
      <w:bookmarkStart w:id="111" w:name="_Ref34659987"/>
      <w:r w:rsidRPr="009B542D">
        <w:rPr>
          <w:rFonts w:eastAsia="Bookman Old Style"/>
        </w:rPr>
        <w:t xml:space="preserve">An entity shall disclose the information required by paragraph </w:t>
      </w:r>
      <w:r w:rsidR="003726E3" w:rsidRPr="009B542D">
        <w:rPr>
          <w:rFonts w:eastAsia="Bookman Old Style"/>
        </w:rPr>
        <w:t>169</w:t>
      </w:r>
      <w:r w:rsidRPr="009B542D">
        <w:rPr>
          <w:rFonts w:eastAsia="Bookman Old Style"/>
        </w:rPr>
        <w:t xml:space="preserve"> for each of the following classes of asset:</w:t>
      </w:r>
      <w:bookmarkEnd w:id="111"/>
    </w:p>
    <w:p w14:paraId="01798461" w14:textId="7E196E96" w:rsidR="00136773" w:rsidRPr="009B542D" w:rsidRDefault="00F42DB6" w:rsidP="000E61D3">
      <w:pPr>
        <w:pStyle w:val="ListParagraph"/>
        <w:widowControl w:val="0"/>
        <w:numPr>
          <w:ilvl w:val="0"/>
          <w:numId w:val="153"/>
        </w:numPr>
        <w:autoSpaceDE w:val="0"/>
        <w:autoSpaceDN w:val="0"/>
        <w:ind w:left="1564" w:hanging="782"/>
        <w:jc w:val="both"/>
        <w:rPr>
          <w:rFonts w:eastAsia="Bookman Old Style"/>
          <w:szCs w:val="19"/>
        </w:rPr>
      </w:pPr>
      <w:r w:rsidRPr="009B542D">
        <w:rPr>
          <w:rFonts w:eastAsia="Bookman Old Style"/>
          <w:szCs w:val="19"/>
        </w:rPr>
        <w:t>property, plant and equipment</w:t>
      </w:r>
      <w:r w:rsidR="0096775D" w:rsidRPr="009B542D">
        <w:rPr>
          <w:rFonts w:eastAsia="Bookman Old Style"/>
          <w:szCs w:val="19"/>
        </w:rPr>
        <w:t>;</w:t>
      </w:r>
    </w:p>
    <w:p w14:paraId="6F63D1BA" w14:textId="30B46EAC" w:rsidR="00F42DB6" w:rsidRPr="009B542D" w:rsidRDefault="00F42DB6" w:rsidP="000E61D3">
      <w:pPr>
        <w:pStyle w:val="ListParagraph"/>
        <w:widowControl w:val="0"/>
        <w:numPr>
          <w:ilvl w:val="0"/>
          <w:numId w:val="153"/>
        </w:numPr>
        <w:autoSpaceDE w:val="0"/>
        <w:autoSpaceDN w:val="0"/>
        <w:ind w:left="1564" w:hanging="782"/>
        <w:jc w:val="both"/>
        <w:rPr>
          <w:rFonts w:eastAsia="Bookman Old Style"/>
          <w:szCs w:val="19"/>
        </w:rPr>
      </w:pPr>
      <w:r w:rsidRPr="009B542D">
        <w:rPr>
          <w:rFonts w:eastAsia="Bookman Old Style"/>
          <w:szCs w:val="19"/>
        </w:rPr>
        <w:lastRenderedPageBreak/>
        <w:t>investment property accounted for by the cost method;</w:t>
      </w:r>
    </w:p>
    <w:p w14:paraId="6371C341" w14:textId="150691D5" w:rsidR="00F42DB6" w:rsidRPr="009B542D" w:rsidRDefault="00F42DB6" w:rsidP="000E61D3">
      <w:pPr>
        <w:pStyle w:val="ListParagraph"/>
        <w:widowControl w:val="0"/>
        <w:numPr>
          <w:ilvl w:val="0"/>
          <w:numId w:val="153"/>
        </w:numPr>
        <w:autoSpaceDE w:val="0"/>
        <w:autoSpaceDN w:val="0"/>
        <w:ind w:left="1564" w:hanging="782"/>
        <w:jc w:val="both"/>
        <w:rPr>
          <w:rFonts w:eastAsia="Bookman Old Style"/>
          <w:szCs w:val="19"/>
        </w:rPr>
      </w:pPr>
      <w:r w:rsidRPr="009B542D">
        <w:rPr>
          <w:rFonts w:eastAsia="Bookman Old Style"/>
          <w:szCs w:val="19"/>
        </w:rPr>
        <w:t>goodwill;</w:t>
      </w:r>
    </w:p>
    <w:p w14:paraId="1E5C8A07" w14:textId="38154796" w:rsidR="00F42DB6" w:rsidRPr="009B542D" w:rsidRDefault="00F42DB6" w:rsidP="000E61D3">
      <w:pPr>
        <w:pStyle w:val="ListParagraph"/>
        <w:widowControl w:val="0"/>
        <w:numPr>
          <w:ilvl w:val="0"/>
          <w:numId w:val="153"/>
        </w:numPr>
        <w:autoSpaceDE w:val="0"/>
        <w:autoSpaceDN w:val="0"/>
        <w:ind w:left="1564" w:hanging="782"/>
        <w:jc w:val="both"/>
        <w:rPr>
          <w:rFonts w:eastAsia="Bookman Old Style"/>
          <w:szCs w:val="19"/>
        </w:rPr>
      </w:pPr>
      <w:r w:rsidRPr="009B542D">
        <w:rPr>
          <w:rFonts w:eastAsia="Bookman Old Style"/>
          <w:szCs w:val="19"/>
        </w:rPr>
        <w:t>intangible assets other than goodwill;</w:t>
      </w:r>
    </w:p>
    <w:p w14:paraId="5F27FA38" w14:textId="2368099B" w:rsidR="00F42DB6" w:rsidRPr="00320634" w:rsidRDefault="00F42DB6" w:rsidP="000E61D3">
      <w:pPr>
        <w:pStyle w:val="ListParagraph"/>
        <w:widowControl w:val="0"/>
        <w:numPr>
          <w:ilvl w:val="0"/>
          <w:numId w:val="153"/>
        </w:numPr>
        <w:autoSpaceDE w:val="0"/>
        <w:autoSpaceDN w:val="0"/>
        <w:ind w:left="1564" w:hanging="782"/>
        <w:jc w:val="both"/>
        <w:rPr>
          <w:rFonts w:eastAsia="Bookman Old Style"/>
          <w:szCs w:val="19"/>
          <w:lang w:val="en-US"/>
        </w:rPr>
      </w:pPr>
      <w:r w:rsidRPr="00320634">
        <w:rPr>
          <w:rFonts w:eastAsia="Bookman Old Style"/>
          <w:szCs w:val="19"/>
          <w:lang w:val="en-US"/>
        </w:rPr>
        <w:t>investments in associates; and</w:t>
      </w:r>
    </w:p>
    <w:p w14:paraId="1BB721B8" w14:textId="6945370E" w:rsidR="00F42DB6" w:rsidRPr="00320634" w:rsidRDefault="00F42DB6" w:rsidP="000F7825">
      <w:pPr>
        <w:pStyle w:val="ListParagraph"/>
        <w:keepNext/>
        <w:widowControl w:val="0"/>
        <w:numPr>
          <w:ilvl w:val="0"/>
          <w:numId w:val="153"/>
        </w:numPr>
        <w:autoSpaceDE w:val="0"/>
        <w:autoSpaceDN w:val="0"/>
        <w:ind w:left="1564" w:hanging="782"/>
        <w:jc w:val="both"/>
        <w:rPr>
          <w:rFonts w:eastAsia="Bookman Old Style"/>
          <w:szCs w:val="19"/>
          <w:lang w:val="en-US"/>
        </w:rPr>
      </w:pPr>
      <w:r w:rsidRPr="00320634">
        <w:rPr>
          <w:rFonts w:eastAsia="Bookman Old Style"/>
          <w:szCs w:val="19"/>
          <w:lang w:val="en-US"/>
        </w:rPr>
        <w:t>investments in joint ventures.</w:t>
      </w:r>
    </w:p>
    <w:p w14:paraId="62477E85" w14:textId="161E8F42" w:rsidR="00290C66" w:rsidRPr="00155974" w:rsidRDefault="00290C66" w:rsidP="00C95B1E">
      <w:pPr>
        <w:widowControl w:val="0"/>
        <w:autoSpaceDE w:val="0"/>
        <w:autoSpaceDN w:val="0"/>
        <w:spacing w:after="100"/>
        <w:ind w:left="1564" w:hanging="782"/>
        <w:rPr>
          <w:rFonts w:eastAsia="Bookman Old Style"/>
          <w:szCs w:val="19"/>
          <w:lang w:val="en-US"/>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27.33]</w:t>
      </w:r>
    </w:p>
    <w:p w14:paraId="73E393F6" w14:textId="26B65932" w:rsidR="00F42DB6" w:rsidRPr="00155974" w:rsidRDefault="00F42DB6" w:rsidP="00022B10">
      <w:pPr>
        <w:pStyle w:val="IASBSectionTitle2Ind"/>
        <w:rPr>
          <w:sz w:val="20"/>
          <w:lang w:eastAsia="en-AU"/>
        </w:rPr>
      </w:pPr>
      <w:r w:rsidRPr="00155974">
        <w:rPr>
          <w:lang w:eastAsia="en-AU"/>
        </w:rPr>
        <w:t>Employee Benefits</w:t>
      </w:r>
      <w:r w:rsidRPr="00155974">
        <w:rPr>
          <w:rStyle w:val="FootnoteReference"/>
          <w:sz w:val="22"/>
          <w:szCs w:val="22"/>
          <w:lang w:eastAsia="en-AU"/>
        </w:rPr>
        <w:footnoteReference w:id="27"/>
      </w:r>
    </w:p>
    <w:p w14:paraId="7CB04A69" w14:textId="77777777" w:rsidR="00F42DB6" w:rsidRPr="00155974" w:rsidRDefault="00F42DB6" w:rsidP="00022B10">
      <w:pPr>
        <w:pStyle w:val="IASBSectionTitle3Ind"/>
        <w:rPr>
          <w:lang w:eastAsia="en-AU"/>
        </w:rPr>
      </w:pPr>
      <w:r w:rsidRPr="00155974">
        <w:rPr>
          <w:lang w:eastAsia="en-AU"/>
        </w:rPr>
        <w:t>Disclosures about short-term employee benefits</w:t>
      </w:r>
    </w:p>
    <w:p w14:paraId="12239CB4" w14:textId="2D6A9B0D" w:rsidR="00F42DB6" w:rsidRPr="00155974" w:rsidRDefault="00F42DB6" w:rsidP="000E61D3">
      <w:pPr>
        <w:pStyle w:val="NumPlain1"/>
        <w:numPr>
          <w:ilvl w:val="0"/>
          <w:numId w:val="84"/>
        </w:numPr>
        <w:ind w:left="782" w:hanging="782"/>
        <w:rPr>
          <w:b/>
          <w:lang w:eastAsia="en-AU"/>
        </w:rPr>
      </w:pPr>
      <w:r w:rsidRPr="00155974">
        <w:rPr>
          <w:lang w:eastAsia="en-AU"/>
        </w:rPr>
        <w:t>This section does not require specific disclosures about short-term employee benefits.</w:t>
      </w:r>
      <w:r w:rsidR="00C43F2A" w:rsidRPr="00155974">
        <w:rPr>
          <w:lang w:eastAsia="en-AU"/>
        </w:rPr>
        <w:t xml:space="preserve"> [</w:t>
      </w:r>
      <w:r w:rsidR="0058144C" w:rsidRPr="00155974">
        <w:rPr>
          <w:i/>
          <w:iCs/>
          <w:lang w:eastAsia="en-AU"/>
        </w:rPr>
        <w:t>IFRS for SMEs</w:t>
      </w:r>
      <w:r w:rsidR="00C43F2A" w:rsidRPr="00155974">
        <w:rPr>
          <w:lang w:eastAsia="en-AU"/>
        </w:rPr>
        <w:t xml:space="preserve"> Standard paragraph 28.39]</w:t>
      </w:r>
    </w:p>
    <w:p w14:paraId="7B3F50EC" w14:textId="77777777" w:rsidR="00F42DB6" w:rsidRPr="00155974" w:rsidRDefault="00F42DB6" w:rsidP="00022B10">
      <w:pPr>
        <w:pStyle w:val="IASBSectionTitle3Ind"/>
        <w:rPr>
          <w:lang w:eastAsia="en-AU"/>
        </w:rPr>
      </w:pPr>
      <w:r w:rsidRPr="00155974">
        <w:rPr>
          <w:lang w:eastAsia="en-AU"/>
        </w:rPr>
        <w:t>Disclosures about defined contribution plans</w:t>
      </w:r>
    </w:p>
    <w:p w14:paraId="47105C07" w14:textId="6DCB092A" w:rsidR="00F42DB6" w:rsidRPr="00155974" w:rsidRDefault="00F42DB6" w:rsidP="000E61D3">
      <w:pPr>
        <w:pStyle w:val="NumPlain1"/>
        <w:numPr>
          <w:ilvl w:val="0"/>
          <w:numId w:val="84"/>
        </w:numPr>
        <w:ind w:left="782" w:hanging="782"/>
        <w:rPr>
          <w:lang w:eastAsia="en-AU"/>
        </w:rPr>
      </w:pPr>
      <w:bookmarkStart w:id="112" w:name="_Ref34739686"/>
      <w:r w:rsidRPr="00155974">
        <w:rPr>
          <w:lang w:eastAsia="en-AU"/>
        </w:rPr>
        <w:t>An entity shall disclose the amount recognised in profit or loss as an expense for defined contribution plans. If an entity treats a defined benefit multi-employer plan as a defined contribution plan because sufficient information is not available to use defined benefit accounting (see paragraph 34 of AASB 119)</w:t>
      </w:r>
      <w:r w:rsidR="00546D17" w:rsidRPr="00155974">
        <w:rPr>
          <w:lang w:eastAsia="en-AU"/>
        </w:rPr>
        <w:t>,</w:t>
      </w:r>
      <w:r w:rsidRPr="00155974">
        <w:rPr>
          <w:lang w:eastAsia="en-AU"/>
        </w:rPr>
        <w:t xml:space="preserve"> it shall disclose the fact that it is a defined benefit plan and the reason why it is being accounted for as a defined contribution plan, along with any available information about the plan’s surplus or deficit and the implications, if any, for the entity.</w:t>
      </w:r>
      <w:r w:rsidR="003E66C1" w:rsidRPr="00155974">
        <w:rPr>
          <w:lang w:eastAsia="en-AU"/>
        </w:rPr>
        <w:t xml:space="preserve"> [</w:t>
      </w:r>
      <w:r w:rsidR="0058144C" w:rsidRPr="00155974">
        <w:rPr>
          <w:i/>
          <w:iCs/>
          <w:lang w:eastAsia="en-AU"/>
        </w:rPr>
        <w:t>IFRS for SMEs</w:t>
      </w:r>
      <w:r w:rsidR="003E66C1" w:rsidRPr="00155974">
        <w:rPr>
          <w:lang w:eastAsia="en-AU"/>
        </w:rPr>
        <w:t xml:space="preserve"> Standard paragraph 2</w:t>
      </w:r>
      <w:r w:rsidR="007E2599" w:rsidRPr="00155974">
        <w:rPr>
          <w:lang w:eastAsia="en-AU"/>
        </w:rPr>
        <w:t>8</w:t>
      </w:r>
      <w:r w:rsidR="003E66C1" w:rsidRPr="00155974">
        <w:rPr>
          <w:lang w:eastAsia="en-AU"/>
        </w:rPr>
        <w:t>.</w:t>
      </w:r>
      <w:r w:rsidR="007E2599" w:rsidRPr="00155974">
        <w:rPr>
          <w:lang w:eastAsia="en-AU"/>
        </w:rPr>
        <w:t>40</w:t>
      </w:r>
      <w:r w:rsidR="003E66C1" w:rsidRPr="00155974">
        <w:rPr>
          <w:lang w:eastAsia="en-AU"/>
        </w:rPr>
        <w:t>]</w:t>
      </w:r>
      <w:bookmarkEnd w:id="112"/>
    </w:p>
    <w:p w14:paraId="59A760C4" w14:textId="77777777" w:rsidR="00F42DB6" w:rsidRPr="00155974" w:rsidRDefault="00F42DB6" w:rsidP="00022B10">
      <w:pPr>
        <w:pStyle w:val="IASBSectionTitle3Ind"/>
        <w:rPr>
          <w:lang w:eastAsia="en-AU"/>
        </w:rPr>
      </w:pPr>
      <w:r w:rsidRPr="00155974">
        <w:rPr>
          <w:lang w:eastAsia="en-AU"/>
        </w:rPr>
        <w:t>Disclosures about defined benefit plans</w:t>
      </w:r>
    </w:p>
    <w:p w14:paraId="05383272" w14:textId="5492AB6D" w:rsidR="00F42DB6" w:rsidRPr="00155974" w:rsidRDefault="00F42DB6" w:rsidP="000E61D3">
      <w:pPr>
        <w:pStyle w:val="NumPlain1"/>
        <w:numPr>
          <w:ilvl w:val="0"/>
          <w:numId w:val="84"/>
        </w:numPr>
        <w:ind w:left="782" w:hanging="782"/>
        <w:rPr>
          <w:lang w:eastAsia="en-AU"/>
        </w:rPr>
      </w:pPr>
      <w:bookmarkStart w:id="113" w:name="_Ref35359933"/>
      <w:r w:rsidRPr="00155974">
        <w:rPr>
          <w:lang w:eastAsia="en-AU"/>
        </w:rPr>
        <w:t xml:space="preserve">An entity shall disclose the following information about defined benefit plans (except for any defined multi-employer benefit plans that are accounted for as a defined contribution plans in accordance with paragraph 34 of AASB 119, for which the disclosures in paragraph </w:t>
      </w:r>
      <w:r w:rsidR="00700FD8" w:rsidRPr="00155974">
        <w:rPr>
          <w:lang w:eastAsia="en-AU"/>
        </w:rPr>
        <w:t>172</w:t>
      </w:r>
      <w:r w:rsidRPr="00155974">
        <w:rPr>
          <w:lang w:eastAsia="en-AU"/>
        </w:rPr>
        <w:t xml:space="preserve"> apply instead). If an entity has more than one defined benefit plan, these disclosures may be made in total, separately for each plan, or in such groupings as are considered to be the most useful:</w:t>
      </w:r>
      <w:bookmarkEnd w:id="113"/>
    </w:p>
    <w:p w14:paraId="57F400D3" w14:textId="1F5DF352" w:rsidR="00F42DB6" w:rsidRPr="00320634" w:rsidRDefault="00F42DB6" w:rsidP="000E61D3">
      <w:pPr>
        <w:pStyle w:val="ListParagraph"/>
        <w:numPr>
          <w:ilvl w:val="0"/>
          <w:numId w:val="154"/>
        </w:numPr>
        <w:ind w:left="1564" w:hanging="782"/>
        <w:jc w:val="both"/>
        <w:rPr>
          <w:szCs w:val="19"/>
          <w:lang w:eastAsia="en-AU"/>
        </w:rPr>
      </w:pPr>
      <w:r w:rsidRPr="00320634">
        <w:rPr>
          <w:szCs w:val="19"/>
          <w:lang w:eastAsia="en-AU"/>
        </w:rPr>
        <w:t>a general description of the type of plan, including funding policy;</w:t>
      </w:r>
    </w:p>
    <w:p w14:paraId="1493D17A" w14:textId="78B197E6" w:rsidR="00F42DB6" w:rsidRPr="00320634" w:rsidRDefault="00F42DB6" w:rsidP="000E61D3">
      <w:pPr>
        <w:pStyle w:val="ListParagraph"/>
        <w:numPr>
          <w:ilvl w:val="0"/>
          <w:numId w:val="154"/>
        </w:numPr>
        <w:ind w:left="1564" w:hanging="782"/>
        <w:jc w:val="both"/>
        <w:rPr>
          <w:szCs w:val="19"/>
          <w:lang w:eastAsia="en-AU"/>
        </w:rPr>
      </w:pPr>
      <w:r w:rsidRPr="00320634">
        <w:rPr>
          <w:szCs w:val="19"/>
          <w:lang w:eastAsia="en-AU"/>
        </w:rPr>
        <w:t>a reconciliation of opening and closing balances of the defined benefit obligation showing separately benefits paid and all other changes;</w:t>
      </w:r>
    </w:p>
    <w:p w14:paraId="05D7DEC2" w14:textId="14DC797A" w:rsidR="00F42DB6" w:rsidRPr="00320634" w:rsidRDefault="00F42DB6" w:rsidP="000E61D3">
      <w:pPr>
        <w:pStyle w:val="ListParagraph"/>
        <w:numPr>
          <w:ilvl w:val="0"/>
          <w:numId w:val="154"/>
        </w:numPr>
        <w:ind w:left="1564" w:hanging="782"/>
        <w:jc w:val="both"/>
        <w:rPr>
          <w:szCs w:val="19"/>
          <w:lang w:eastAsia="en-AU"/>
        </w:rPr>
      </w:pPr>
      <w:r w:rsidRPr="00320634">
        <w:rPr>
          <w:szCs w:val="19"/>
          <w:lang w:eastAsia="en-AU"/>
        </w:rPr>
        <w:t>a reconciliation of the opening and closing balances of the fair value of plan assets and of the opening and closing balances of any reimbursement right recognised as an asset, showing separately, if applicable:</w:t>
      </w:r>
    </w:p>
    <w:p w14:paraId="45897D1C" w14:textId="692D08C5" w:rsidR="00F42DB6" w:rsidRPr="00320634" w:rsidRDefault="00F42DB6" w:rsidP="000E61D3">
      <w:pPr>
        <w:pStyle w:val="ListParagraph"/>
        <w:numPr>
          <w:ilvl w:val="0"/>
          <w:numId w:val="155"/>
        </w:numPr>
        <w:ind w:left="2347" w:hanging="782"/>
        <w:jc w:val="both"/>
        <w:rPr>
          <w:szCs w:val="19"/>
          <w:lang w:eastAsia="en-AU"/>
        </w:rPr>
      </w:pPr>
      <w:r w:rsidRPr="00320634">
        <w:rPr>
          <w:szCs w:val="19"/>
          <w:lang w:eastAsia="en-AU"/>
        </w:rPr>
        <w:t>contributions;</w:t>
      </w:r>
    </w:p>
    <w:p w14:paraId="469183B2" w14:textId="7FB66A65" w:rsidR="00F42DB6" w:rsidRPr="00320634" w:rsidRDefault="00F42DB6" w:rsidP="000E61D3">
      <w:pPr>
        <w:pStyle w:val="ListParagraph"/>
        <w:numPr>
          <w:ilvl w:val="0"/>
          <w:numId w:val="155"/>
        </w:numPr>
        <w:ind w:left="2347" w:hanging="782"/>
        <w:jc w:val="both"/>
        <w:rPr>
          <w:szCs w:val="19"/>
          <w:lang w:eastAsia="en-AU"/>
        </w:rPr>
      </w:pPr>
      <w:r w:rsidRPr="00320634">
        <w:rPr>
          <w:szCs w:val="19"/>
          <w:lang w:eastAsia="en-AU"/>
        </w:rPr>
        <w:t>benefits paid; and</w:t>
      </w:r>
    </w:p>
    <w:p w14:paraId="57762C6A" w14:textId="141C9610" w:rsidR="00F42DB6" w:rsidRPr="00320634" w:rsidRDefault="00F42DB6" w:rsidP="000E61D3">
      <w:pPr>
        <w:pStyle w:val="ListParagraph"/>
        <w:numPr>
          <w:ilvl w:val="0"/>
          <w:numId w:val="155"/>
        </w:numPr>
        <w:ind w:left="2347" w:hanging="782"/>
        <w:jc w:val="both"/>
        <w:rPr>
          <w:szCs w:val="19"/>
          <w:lang w:eastAsia="en-AU"/>
        </w:rPr>
      </w:pPr>
      <w:r w:rsidRPr="00320634">
        <w:rPr>
          <w:szCs w:val="19"/>
          <w:lang w:eastAsia="en-AU"/>
        </w:rPr>
        <w:t>other changes in plan assets</w:t>
      </w:r>
      <w:r w:rsidR="00915F81" w:rsidRPr="00320634">
        <w:rPr>
          <w:szCs w:val="19"/>
          <w:lang w:eastAsia="en-AU"/>
        </w:rPr>
        <w:t>;</w:t>
      </w:r>
    </w:p>
    <w:p w14:paraId="402DEF78" w14:textId="218EBDD1" w:rsidR="00F42DB6" w:rsidRPr="00155974" w:rsidRDefault="00F42DB6" w:rsidP="000E61D3">
      <w:pPr>
        <w:pStyle w:val="ListParagraph"/>
        <w:numPr>
          <w:ilvl w:val="0"/>
          <w:numId w:val="154"/>
        </w:numPr>
        <w:ind w:left="1564" w:hanging="782"/>
        <w:jc w:val="both"/>
        <w:rPr>
          <w:szCs w:val="19"/>
          <w:lang w:eastAsia="en-AU"/>
        </w:rPr>
      </w:pPr>
      <w:r w:rsidRPr="00155974">
        <w:rPr>
          <w:szCs w:val="19"/>
          <w:lang w:eastAsia="en-AU"/>
        </w:rPr>
        <w:tab/>
        <w:t>the total cost relating to defined benefit plans for the period</w:t>
      </w:r>
      <w:r w:rsidR="000E2A5B" w:rsidRPr="00155974">
        <w:rPr>
          <w:szCs w:val="19"/>
          <w:lang w:eastAsia="en-AU"/>
        </w:rPr>
        <w:t>;</w:t>
      </w:r>
    </w:p>
    <w:p w14:paraId="3D48B685" w14:textId="143240FA" w:rsidR="00F42DB6" w:rsidRPr="00155974" w:rsidRDefault="00F42DB6" w:rsidP="000E61D3">
      <w:pPr>
        <w:pStyle w:val="ListParagraph"/>
        <w:numPr>
          <w:ilvl w:val="0"/>
          <w:numId w:val="154"/>
        </w:numPr>
        <w:ind w:left="1564" w:hanging="782"/>
        <w:jc w:val="both"/>
        <w:rPr>
          <w:szCs w:val="19"/>
          <w:lang w:eastAsia="en-AU"/>
        </w:rPr>
      </w:pPr>
      <w:r w:rsidRPr="00155974">
        <w:rPr>
          <w:szCs w:val="19"/>
          <w:lang w:eastAsia="en-AU"/>
        </w:rPr>
        <w:tab/>
        <w:t>for each major class of plan assets, which shall include, but is not limited to, equity instruments, debt instruments, property, and all other assets, the percentage or amount that each major class constitutes of the fair value of the total plan assets at the reporting date;</w:t>
      </w:r>
    </w:p>
    <w:p w14:paraId="298EE3AF" w14:textId="6BF57378" w:rsidR="00F42DB6" w:rsidRPr="00155974" w:rsidRDefault="00F42DB6" w:rsidP="004B0ADC">
      <w:pPr>
        <w:pStyle w:val="ListParagraph"/>
        <w:keepNext/>
        <w:numPr>
          <w:ilvl w:val="0"/>
          <w:numId w:val="154"/>
        </w:numPr>
        <w:ind w:left="1564" w:hanging="782"/>
        <w:jc w:val="both"/>
        <w:rPr>
          <w:szCs w:val="19"/>
          <w:lang w:eastAsia="en-AU"/>
        </w:rPr>
      </w:pPr>
      <w:r w:rsidRPr="00155974">
        <w:rPr>
          <w:szCs w:val="19"/>
          <w:lang w:eastAsia="en-AU"/>
        </w:rPr>
        <w:tab/>
        <w:t>the amounts included in the fair value of plan assets for:</w:t>
      </w:r>
    </w:p>
    <w:p w14:paraId="69C18278" w14:textId="425BAFEA" w:rsidR="00F42DB6" w:rsidRPr="00155974" w:rsidRDefault="00F42DB6" w:rsidP="000E61D3">
      <w:pPr>
        <w:pStyle w:val="ListParagraph"/>
        <w:numPr>
          <w:ilvl w:val="0"/>
          <w:numId w:val="156"/>
        </w:numPr>
        <w:ind w:left="2347" w:hanging="782"/>
        <w:jc w:val="both"/>
        <w:rPr>
          <w:szCs w:val="19"/>
          <w:lang w:eastAsia="en-AU"/>
        </w:rPr>
      </w:pPr>
      <w:r w:rsidRPr="00155974">
        <w:rPr>
          <w:szCs w:val="19"/>
          <w:lang w:eastAsia="en-AU"/>
        </w:rPr>
        <w:t>each class of the entity’s own financial instruments; and</w:t>
      </w:r>
    </w:p>
    <w:p w14:paraId="3FB723E3" w14:textId="52787E72" w:rsidR="00F42DB6" w:rsidRPr="00155974" w:rsidRDefault="00F42DB6" w:rsidP="000E61D3">
      <w:pPr>
        <w:pStyle w:val="ListParagraph"/>
        <w:numPr>
          <w:ilvl w:val="0"/>
          <w:numId w:val="156"/>
        </w:numPr>
        <w:ind w:left="2347" w:hanging="782"/>
        <w:jc w:val="both"/>
        <w:rPr>
          <w:szCs w:val="19"/>
          <w:lang w:eastAsia="en-AU"/>
        </w:rPr>
      </w:pPr>
      <w:r w:rsidRPr="00155974">
        <w:rPr>
          <w:szCs w:val="19"/>
          <w:lang w:eastAsia="en-AU"/>
        </w:rPr>
        <w:t>any property occupied by, or other assets used by, the entity.</w:t>
      </w:r>
    </w:p>
    <w:p w14:paraId="6FE8A3B0" w14:textId="1516BA8A" w:rsidR="00F42DB6" w:rsidRPr="00155974" w:rsidRDefault="00F42DB6" w:rsidP="000E61D3">
      <w:pPr>
        <w:pStyle w:val="ListParagraph"/>
        <w:numPr>
          <w:ilvl w:val="0"/>
          <w:numId w:val="154"/>
        </w:numPr>
        <w:ind w:left="1564" w:hanging="782"/>
        <w:jc w:val="both"/>
        <w:rPr>
          <w:szCs w:val="19"/>
          <w:lang w:eastAsia="en-AU"/>
        </w:rPr>
      </w:pPr>
      <w:r w:rsidRPr="00155974">
        <w:rPr>
          <w:szCs w:val="19"/>
          <w:lang w:eastAsia="en-AU"/>
        </w:rPr>
        <w:tab/>
        <w:t>the actual return on plan assets; and</w:t>
      </w:r>
    </w:p>
    <w:p w14:paraId="4ADC8A2D" w14:textId="4986F3E0" w:rsidR="00F42DB6" w:rsidRPr="00155974" w:rsidRDefault="00F42DB6" w:rsidP="00043CE4">
      <w:pPr>
        <w:pStyle w:val="ListParagraph"/>
        <w:keepNext/>
        <w:numPr>
          <w:ilvl w:val="0"/>
          <w:numId w:val="154"/>
        </w:numPr>
        <w:ind w:left="1564" w:hanging="782"/>
        <w:jc w:val="both"/>
        <w:rPr>
          <w:szCs w:val="19"/>
          <w:lang w:eastAsia="en-AU"/>
        </w:rPr>
      </w:pPr>
      <w:r w:rsidRPr="00155974">
        <w:rPr>
          <w:szCs w:val="19"/>
          <w:lang w:eastAsia="en-AU"/>
        </w:rPr>
        <w:tab/>
        <w:t>the principal actuarial assumptions used, including, when applicable:</w:t>
      </w:r>
    </w:p>
    <w:p w14:paraId="09ADC847" w14:textId="5946B5F6" w:rsidR="00F42DB6" w:rsidRPr="00320634" w:rsidRDefault="00F42DB6" w:rsidP="000E61D3">
      <w:pPr>
        <w:pStyle w:val="ListParagraph"/>
        <w:numPr>
          <w:ilvl w:val="0"/>
          <w:numId w:val="157"/>
        </w:numPr>
        <w:ind w:left="2347" w:hanging="782"/>
        <w:jc w:val="both"/>
        <w:rPr>
          <w:szCs w:val="19"/>
          <w:lang w:eastAsia="en-AU"/>
        </w:rPr>
      </w:pPr>
      <w:r w:rsidRPr="00320634">
        <w:rPr>
          <w:szCs w:val="19"/>
          <w:lang w:eastAsia="en-AU"/>
        </w:rPr>
        <w:t>the discount rates;</w:t>
      </w:r>
    </w:p>
    <w:p w14:paraId="6AE8FCCB" w14:textId="08BF7331" w:rsidR="00F42DB6" w:rsidRPr="00320634" w:rsidRDefault="00F42DB6" w:rsidP="000E61D3">
      <w:pPr>
        <w:pStyle w:val="ListParagraph"/>
        <w:numPr>
          <w:ilvl w:val="0"/>
          <w:numId w:val="157"/>
        </w:numPr>
        <w:ind w:left="2347" w:hanging="782"/>
        <w:jc w:val="both"/>
        <w:rPr>
          <w:szCs w:val="19"/>
          <w:lang w:eastAsia="en-AU"/>
        </w:rPr>
      </w:pPr>
      <w:r w:rsidRPr="00320634">
        <w:rPr>
          <w:szCs w:val="19"/>
          <w:lang w:eastAsia="en-AU"/>
        </w:rPr>
        <w:lastRenderedPageBreak/>
        <w:t>the expected rates of return on any plan assets for the periods presented in the financial statements;</w:t>
      </w:r>
    </w:p>
    <w:p w14:paraId="0736F003" w14:textId="33B2C397" w:rsidR="00F42DB6" w:rsidRPr="00320634" w:rsidRDefault="00F42DB6" w:rsidP="000E61D3">
      <w:pPr>
        <w:pStyle w:val="ListParagraph"/>
        <w:numPr>
          <w:ilvl w:val="0"/>
          <w:numId w:val="157"/>
        </w:numPr>
        <w:ind w:left="2347" w:hanging="782"/>
        <w:jc w:val="both"/>
        <w:rPr>
          <w:szCs w:val="19"/>
          <w:lang w:eastAsia="en-AU"/>
        </w:rPr>
      </w:pPr>
      <w:r w:rsidRPr="00320634">
        <w:rPr>
          <w:szCs w:val="19"/>
          <w:lang w:eastAsia="en-AU"/>
        </w:rPr>
        <w:t>the expected rates of salary increases;</w:t>
      </w:r>
    </w:p>
    <w:p w14:paraId="61A244BB" w14:textId="6C0658CF" w:rsidR="00F42DB6" w:rsidRPr="00320634" w:rsidRDefault="00F42DB6" w:rsidP="000E61D3">
      <w:pPr>
        <w:pStyle w:val="ListParagraph"/>
        <w:numPr>
          <w:ilvl w:val="0"/>
          <w:numId w:val="157"/>
        </w:numPr>
        <w:ind w:left="2347" w:hanging="782"/>
        <w:jc w:val="both"/>
        <w:rPr>
          <w:szCs w:val="19"/>
          <w:lang w:eastAsia="en-AU"/>
        </w:rPr>
      </w:pPr>
      <w:r w:rsidRPr="00320634">
        <w:rPr>
          <w:szCs w:val="19"/>
          <w:lang w:eastAsia="en-AU"/>
        </w:rPr>
        <w:t>medical cost trend rates; and</w:t>
      </w:r>
    </w:p>
    <w:p w14:paraId="2933A921" w14:textId="4A89FF0D" w:rsidR="00F42DB6" w:rsidRPr="00320634" w:rsidRDefault="00F42DB6" w:rsidP="000E61D3">
      <w:pPr>
        <w:pStyle w:val="ListParagraph"/>
        <w:numPr>
          <w:ilvl w:val="0"/>
          <w:numId w:val="157"/>
        </w:numPr>
        <w:ind w:left="2347" w:hanging="782"/>
        <w:jc w:val="both"/>
        <w:rPr>
          <w:szCs w:val="19"/>
          <w:lang w:eastAsia="en-AU"/>
        </w:rPr>
      </w:pPr>
      <w:r w:rsidRPr="00320634">
        <w:rPr>
          <w:szCs w:val="19"/>
          <w:lang w:eastAsia="en-AU"/>
        </w:rPr>
        <w:t>any other material actuarial assumptions used.</w:t>
      </w:r>
    </w:p>
    <w:p w14:paraId="051F1502" w14:textId="2B0A6752" w:rsidR="001F7328" w:rsidRPr="00155974" w:rsidRDefault="00F42DB6" w:rsidP="00320634">
      <w:pPr>
        <w:spacing w:after="100"/>
        <w:ind w:left="782"/>
        <w:rPr>
          <w:lang w:eastAsia="en-AU"/>
        </w:rPr>
      </w:pPr>
      <w:r w:rsidRPr="00155974">
        <w:rPr>
          <w:lang w:eastAsia="en-AU"/>
        </w:rPr>
        <w:t>The reconciliations in (</w:t>
      </w:r>
      <w:r w:rsidR="003B786A" w:rsidRPr="00155974">
        <w:rPr>
          <w:lang w:eastAsia="en-AU"/>
        </w:rPr>
        <w:t>b</w:t>
      </w:r>
      <w:r w:rsidRPr="00155974">
        <w:rPr>
          <w:lang w:eastAsia="en-AU"/>
        </w:rPr>
        <w:t>) and (</w:t>
      </w:r>
      <w:r w:rsidR="003B786A" w:rsidRPr="00155974">
        <w:rPr>
          <w:lang w:eastAsia="en-AU"/>
        </w:rPr>
        <w:t>c</w:t>
      </w:r>
      <w:r w:rsidRPr="00155974">
        <w:rPr>
          <w:lang w:eastAsia="en-AU"/>
        </w:rPr>
        <w:t xml:space="preserve">) need not be presented for prior periods. A subsidiary that recognises and measures employee benefit expense on the basis of a contractual agreement or stated policy for charging the net defined benefit cost or based on their contributions payable for the period (see paragraph 41 of </w:t>
      </w:r>
      <w:r w:rsidRPr="00155974" w:rsidDel="00F803B8">
        <w:rPr>
          <w:lang w:eastAsia="en-AU"/>
        </w:rPr>
        <w:t>AASB</w:t>
      </w:r>
      <w:r w:rsidR="00F803B8">
        <w:rPr>
          <w:lang w:eastAsia="en-AU"/>
        </w:rPr>
        <w:t> </w:t>
      </w:r>
      <w:r w:rsidRPr="00155974">
        <w:rPr>
          <w:lang w:eastAsia="en-AU"/>
        </w:rPr>
        <w:t>119)</w:t>
      </w:r>
      <w:r w:rsidR="009C1164" w:rsidRPr="00155974">
        <w:rPr>
          <w:lang w:eastAsia="en-AU"/>
        </w:rPr>
        <w:t>,</w:t>
      </w:r>
      <w:r w:rsidRPr="00155974">
        <w:rPr>
          <w:lang w:eastAsia="en-AU"/>
        </w:rPr>
        <w:t xml:space="preserve"> shall, in its separate financial statements, describe the contractual agreement or stated policy for charging the net defined benefit cost or the fact that there is no such policy, </w:t>
      </w:r>
      <w:r w:rsidR="00416889" w:rsidRPr="00155974">
        <w:rPr>
          <w:lang w:eastAsia="en-AU"/>
        </w:rPr>
        <w:t xml:space="preserve">and </w:t>
      </w:r>
      <w:r w:rsidRPr="00155974">
        <w:rPr>
          <w:lang w:eastAsia="en-AU"/>
        </w:rPr>
        <w:t>the policy for determining the contributions to be paid by the entity and shall make the disclosures in (a)–(</w:t>
      </w:r>
      <w:r w:rsidR="003B786A" w:rsidRPr="00155974">
        <w:rPr>
          <w:lang w:eastAsia="en-AU"/>
        </w:rPr>
        <w:t>h</w:t>
      </w:r>
      <w:r w:rsidRPr="00155974">
        <w:rPr>
          <w:lang w:eastAsia="en-AU"/>
        </w:rPr>
        <w:t>) for the plan as a whole.</w:t>
      </w:r>
      <w:r w:rsidR="00B36724" w:rsidRPr="00155974">
        <w:rPr>
          <w:lang w:eastAsia="en-AU"/>
        </w:rPr>
        <w:t xml:space="preserve"> The subsidiary can disclose this information </w:t>
      </w:r>
      <w:r w:rsidR="0083650E" w:rsidRPr="00155974">
        <w:rPr>
          <w:lang w:eastAsia="en-AU"/>
        </w:rPr>
        <w:t>by cross</w:t>
      </w:r>
      <w:r w:rsidR="00671AC4" w:rsidRPr="00155974">
        <w:rPr>
          <w:lang w:eastAsia="en-AU"/>
        </w:rPr>
        <w:t>-</w:t>
      </w:r>
      <w:r w:rsidR="0083650E" w:rsidRPr="00155974">
        <w:rPr>
          <w:lang w:eastAsia="en-AU"/>
        </w:rPr>
        <w:t>reference to disclosures in another group entity’s financial statements if</w:t>
      </w:r>
      <w:r w:rsidR="001F7328" w:rsidRPr="00155974">
        <w:rPr>
          <w:lang w:eastAsia="en-AU"/>
        </w:rPr>
        <w:t>:</w:t>
      </w:r>
    </w:p>
    <w:p w14:paraId="0CB656AD" w14:textId="1D6F731C" w:rsidR="00192392" w:rsidRPr="00026155" w:rsidRDefault="003E739D" w:rsidP="000E61D3">
      <w:pPr>
        <w:pStyle w:val="ListParagraph"/>
        <w:numPr>
          <w:ilvl w:val="0"/>
          <w:numId w:val="154"/>
        </w:numPr>
        <w:ind w:left="1564" w:hanging="782"/>
        <w:jc w:val="both"/>
        <w:rPr>
          <w:szCs w:val="19"/>
          <w:lang w:eastAsia="en-AU"/>
        </w:rPr>
      </w:pPr>
      <w:r w:rsidRPr="00026155">
        <w:rPr>
          <w:szCs w:val="19"/>
          <w:lang w:eastAsia="en-AU"/>
        </w:rPr>
        <w:tab/>
      </w:r>
      <w:r w:rsidR="0083650E" w:rsidRPr="00026155">
        <w:rPr>
          <w:szCs w:val="19"/>
          <w:lang w:eastAsia="en-AU"/>
        </w:rPr>
        <w:t xml:space="preserve">that group entity’s financial statements separately identify </w:t>
      </w:r>
      <w:r w:rsidR="00D057C2" w:rsidRPr="00026155">
        <w:rPr>
          <w:szCs w:val="19"/>
          <w:lang w:eastAsia="en-AU"/>
        </w:rPr>
        <w:t>and disclose the information required about the plan</w:t>
      </w:r>
      <w:r w:rsidR="00192392" w:rsidRPr="00026155">
        <w:rPr>
          <w:szCs w:val="19"/>
          <w:lang w:eastAsia="en-AU"/>
        </w:rPr>
        <w:t>;</w:t>
      </w:r>
      <w:r w:rsidR="00D057C2" w:rsidRPr="00026155">
        <w:rPr>
          <w:szCs w:val="19"/>
          <w:lang w:eastAsia="en-AU"/>
        </w:rPr>
        <w:t xml:space="preserve"> and </w:t>
      </w:r>
    </w:p>
    <w:p w14:paraId="3DEC1FBE" w14:textId="09EF301A" w:rsidR="00F42DB6" w:rsidRPr="00026155" w:rsidRDefault="003E739D" w:rsidP="00FB2D77">
      <w:pPr>
        <w:pStyle w:val="ListParagraph"/>
        <w:keepNext/>
        <w:numPr>
          <w:ilvl w:val="0"/>
          <w:numId w:val="154"/>
        </w:numPr>
        <w:ind w:left="1564" w:hanging="782"/>
        <w:jc w:val="both"/>
        <w:rPr>
          <w:szCs w:val="19"/>
          <w:lang w:eastAsia="en-AU"/>
        </w:rPr>
      </w:pPr>
      <w:r w:rsidRPr="00026155">
        <w:rPr>
          <w:szCs w:val="19"/>
          <w:lang w:eastAsia="en-AU"/>
        </w:rPr>
        <w:tab/>
      </w:r>
      <w:r w:rsidR="00D057C2" w:rsidRPr="00026155">
        <w:rPr>
          <w:szCs w:val="19"/>
          <w:lang w:eastAsia="en-AU"/>
        </w:rPr>
        <w:t>that group entity’s financial statemen</w:t>
      </w:r>
      <w:r w:rsidR="00257482" w:rsidRPr="00026155">
        <w:rPr>
          <w:szCs w:val="19"/>
          <w:lang w:eastAsia="en-AU"/>
        </w:rPr>
        <w:t xml:space="preserve">ts are available to users of the financial statements on the same terms as the financial statements of the entity and at the same time as, or earlier than, the financial statements of the entity. </w:t>
      </w:r>
    </w:p>
    <w:p w14:paraId="546EB7FD" w14:textId="04C4115F" w:rsidR="003B786A" w:rsidRPr="00155974" w:rsidRDefault="003B786A" w:rsidP="004E42C7">
      <w:pPr>
        <w:spacing w:after="100"/>
        <w:ind w:left="1564" w:hanging="782"/>
        <w:rPr>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28.41]</w:t>
      </w:r>
    </w:p>
    <w:p w14:paraId="50B46182" w14:textId="77777777" w:rsidR="00F42DB6" w:rsidRPr="00155974" w:rsidRDefault="00F42DB6" w:rsidP="00022B10">
      <w:pPr>
        <w:pStyle w:val="IASBSectionTitle3Ind"/>
        <w:rPr>
          <w:lang w:eastAsia="en-AU"/>
        </w:rPr>
      </w:pPr>
      <w:r w:rsidRPr="00155974">
        <w:rPr>
          <w:lang w:eastAsia="en-AU"/>
        </w:rPr>
        <w:t>Disclosures about termination benefits</w:t>
      </w:r>
    </w:p>
    <w:p w14:paraId="330DA7A5" w14:textId="70DB2B12" w:rsidR="00F42DB6" w:rsidRPr="00155974" w:rsidRDefault="00F42DB6" w:rsidP="000E61D3">
      <w:pPr>
        <w:pStyle w:val="NumPlain1"/>
        <w:numPr>
          <w:ilvl w:val="0"/>
          <w:numId w:val="84"/>
        </w:numPr>
        <w:ind w:left="782" w:hanging="782"/>
        <w:rPr>
          <w:lang w:eastAsia="en-AU"/>
        </w:rPr>
      </w:pPr>
      <w:bookmarkStart w:id="114" w:name="_Ref35359945"/>
      <w:r w:rsidRPr="00155974">
        <w:rPr>
          <w:lang w:eastAsia="en-AU"/>
        </w:rPr>
        <w:t>For each category of termination benefits that an entity provides to its employees, the entity shall disclose the nature of the benefit, the amount of its obligation and the extent of funding at the reporting date.</w:t>
      </w:r>
      <w:r w:rsidR="003D732D" w:rsidRPr="00155974">
        <w:rPr>
          <w:lang w:eastAsia="en-AU"/>
        </w:rPr>
        <w:t xml:space="preserve"> [</w:t>
      </w:r>
      <w:r w:rsidR="0058144C" w:rsidRPr="00155974">
        <w:rPr>
          <w:i/>
          <w:iCs/>
          <w:lang w:eastAsia="en-AU"/>
        </w:rPr>
        <w:t>IFRS for SMEs</w:t>
      </w:r>
      <w:r w:rsidR="003D732D" w:rsidRPr="00155974">
        <w:rPr>
          <w:lang w:eastAsia="en-AU"/>
        </w:rPr>
        <w:t xml:space="preserve"> Standard paragraph 2</w:t>
      </w:r>
      <w:r w:rsidR="003C6404" w:rsidRPr="00155974">
        <w:rPr>
          <w:lang w:eastAsia="en-AU"/>
        </w:rPr>
        <w:t>8</w:t>
      </w:r>
      <w:r w:rsidR="003D732D" w:rsidRPr="00155974">
        <w:rPr>
          <w:lang w:eastAsia="en-AU"/>
        </w:rPr>
        <w:t>.</w:t>
      </w:r>
      <w:r w:rsidR="003C6404" w:rsidRPr="00155974">
        <w:rPr>
          <w:lang w:eastAsia="en-AU"/>
        </w:rPr>
        <w:t>43</w:t>
      </w:r>
      <w:r w:rsidR="003D732D" w:rsidRPr="00155974">
        <w:rPr>
          <w:lang w:eastAsia="en-AU"/>
        </w:rPr>
        <w:t>]</w:t>
      </w:r>
      <w:bookmarkEnd w:id="114"/>
    </w:p>
    <w:p w14:paraId="2DE5429A" w14:textId="706F5972" w:rsidR="00F42DB6" w:rsidRPr="00155974" w:rsidRDefault="00F42DB6" w:rsidP="000E61D3">
      <w:pPr>
        <w:pStyle w:val="NumPlain1"/>
        <w:numPr>
          <w:ilvl w:val="0"/>
          <w:numId w:val="84"/>
        </w:numPr>
        <w:ind w:left="782" w:hanging="782"/>
        <w:rPr>
          <w:lang w:eastAsia="en-AU"/>
        </w:rPr>
      </w:pPr>
      <w:bookmarkStart w:id="115" w:name="_Ref35359959"/>
      <w:r w:rsidRPr="00155974">
        <w:rPr>
          <w:lang w:eastAsia="en-AU"/>
        </w:rPr>
        <w:t xml:space="preserve">When there is uncertainty about the number of employees who will accept an offer of termination benefits, a contingent liability exists. </w:t>
      </w:r>
      <w:r w:rsidR="00262654" w:rsidRPr="00155974">
        <w:rPr>
          <w:lang w:eastAsia="en-AU"/>
        </w:rPr>
        <w:t>The s</w:t>
      </w:r>
      <w:r w:rsidRPr="00155974">
        <w:rPr>
          <w:lang w:eastAsia="en-AU"/>
        </w:rPr>
        <w:t xml:space="preserve">ection </w:t>
      </w:r>
      <w:r w:rsidR="004E6970" w:rsidRPr="00155974">
        <w:rPr>
          <w:lang w:eastAsia="en-AU"/>
        </w:rPr>
        <w:t>covering</w:t>
      </w:r>
      <w:r w:rsidRPr="00155974">
        <w:rPr>
          <w:lang w:eastAsia="en-AU"/>
        </w:rPr>
        <w:t xml:space="preserve"> </w:t>
      </w:r>
      <w:r w:rsidR="00002B90" w:rsidRPr="00155974">
        <w:rPr>
          <w:lang w:eastAsia="en-AU"/>
        </w:rPr>
        <w:t>Provisions and Contingencies</w:t>
      </w:r>
      <w:r w:rsidRPr="00155974">
        <w:rPr>
          <w:lang w:eastAsia="en-AU"/>
        </w:rPr>
        <w:t xml:space="preserve"> requires an entity to disclose information about its contingent liabilities unless the possibility of an outflow in settlement is remote.</w:t>
      </w:r>
      <w:r w:rsidR="003D732D" w:rsidRPr="00155974">
        <w:rPr>
          <w:lang w:eastAsia="en-AU"/>
        </w:rPr>
        <w:t xml:space="preserve"> [</w:t>
      </w:r>
      <w:r w:rsidR="0058144C" w:rsidRPr="00155974">
        <w:rPr>
          <w:i/>
          <w:iCs/>
          <w:lang w:eastAsia="en-AU"/>
        </w:rPr>
        <w:t>IFRS for SMEs</w:t>
      </w:r>
      <w:r w:rsidR="003D732D" w:rsidRPr="00155974">
        <w:rPr>
          <w:lang w:eastAsia="en-AU"/>
        </w:rPr>
        <w:t xml:space="preserve"> Standard paragraph 2</w:t>
      </w:r>
      <w:r w:rsidR="003C6404" w:rsidRPr="00155974">
        <w:rPr>
          <w:lang w:eastAsia="en-AU"/>
        </w:rPr>
        <w:t>8</w:t>
      </w:r>
      <w:r w:rsidR="003D732D" w:rsidRPr="00155974">
        <w:rPr>
          <w:lang w:eastAsia="en-AU"/>
        </w:rPr>
        <w:t>.</w:t>
      </w:r>
      <w:r w:rsidR="003C6404" w:rsidRPr="00155974">
        <w:rPr>
          <w:lang w:eastAsia="en-AU"/>
        </w:rPr>
        <w:t>44</w:t>
      </w:r>
      <w:r w:rsidR="003D732D" w:rsidRPr="00155974">
        <w:rPr>
          <w:lang w:eastAsia="en-AU"/>
        </w:rPr>
        <w:t>]</w:t>
      </w:r>
      <w:bookmarkEnd w:id="115"/>
    </w:p>
    <w:p w14:paraId="6D42F1A7" w14:textId="41BF0FF2" w:rsidR="00F42DB6" w:rsidRPr="00155974" w:rsidRDefault="00F42DB6" w:rsidP="00022B10">
      <w:pPr>
        <w:pStyle w:val="IASBSectionTitle2Ind"/>
        <w:rPr>
          <w:rFonts w:eastAsiaTheme="majorEastAsia"/>
          <w:bCs/>
          <w:iCs/>
          <w:sz w:val="20"/>
        </w:rPr>
      </w:pPr>
      <w:r w:rsidRPr="00155974">
        <w:rPr>
          <w:lang w:eastAsia="en-AU"/>
        </w:rPr>
        <w:t>Income Tax</w:t>
      </w:r>
      <w:r w:rsidRPr="00155974">
        <w:rPr>
          <w:rStyle w:val="FootnoteReference"/>
          <w:sz w:val="22"/>
          <w:szCs w:val="22"/>
          <w:lang w:eastAsia="en-AU"/>
        </w:rPr>
        <w:footnoteReference w:id="28"/>
      </w:r>
    </w:p>
    <w:p w14:paraId="3C3D7EE4" w14:textId="225E17FA" w:rsidR="00F42DB6" w:rsidRPr="00155974" w:rsidRDefault="00F42DB6" w:rsidP="000E61D3">
      <w:pPr>
        <w:pStyle w:val="NumPlain1"/>
        <w:numPr>
          <w:ilvl w:val="0"/>
          <w:numId w:val="84"/>
        </w:numPr>
        <w:ind w:left="782" w:hanging="782"/>
        <w:rPr>
          <w:lang w:eastAsia="en-AU"/>
        </w:rPr>
      </w:pPr>
      <w:r w:rsidRPr="00155974">
        <w:rPr>
          <w:lang w:eastAsia="en-AU"/>
        </w:rPr>
        <w:t>An entity shall disclose information that enables users of its financial statements to evaluate the nature and financial effect of the current and deferred tax consequences of recognised transactions and other events.</w:t>
      </w:r>
      <w:r w:rsidR="006A2825" w:rsidRPr="00155974">
        <w:rPr>
          <w:lang w:eastAsia="en-AU"/>
        </w:rPr>
        <w:t xml:space="preserve"> [</w:t>
      </w:r>
      <w:r w:rsidR="0058144C" w:rsidRPr="00155974">
        <w:rPr>
          <w:i/>
          <w:iCs/>
          <w:lang w:eastAsia="en-AU"/>
        </w:rPr>
        <w:t>IFRS for SMEs</w:t>
      </w:r>
      <w:r w:rsidR="006A2825" w:rsidRPr="00155974">
        <w:rPr>
          <w:lang w:eastAsia="en-AU"/>
        </w:rPr>
        <w:t xml:space="preserve"> Standard paragraph 29.38]</w:t>
      </w:r>
    </w:p>
    <w:p w14:paraId="1E39C7F9" w14:textId="231D6AEB" w:rsidR="00F42DB6" w:rsidRPr="00155974" w:rsidRDefault="00F42DB6" w:rsidP="000E61D3">
      <w:pPr>
        <w:pStyle w:val="NumPlain1"/>
        <w:numPr>
          <w:ilvl w:val="0"/>
          <w:numId w:val="84"/>
        </w:numPr>
        <w:ind w:left="782" w:hanging="782"/>
        <w:rPr>
          <w:lang w:eastAsia="en-AU"/>
        </w:rPr>
      </w:pPr>
      <w:r w:rsidRPr="00155974">
        <w:rPr>
          <w:lang w:eastAsia="en-AU"/>
        </w:rPr>
        <w:t>An entity shall disclose separately the major components of tax expense (income). Such components of tax expense (income) may include:</w:t>
      </w:r>
    </w:p>
    <w:p w14:paraId="29B95873" w14:textId="38151715"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current tax expense (income);</w:t>
      </w:r>
    </w:p>
    <w:p w14:paraId="46830812" w14:textId="1C235EF7"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any adjustments recognised in the period for current tax of prior periods;</w:t>
      </w:r>
    </w:p>
    <w:p w14:paraId="2BD981A4" w14:textId="13FEF782"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the amount of deferred tax expense (income) relating to the origination and reversal of temporary differences;</w:t>
      </w:r>
    </w:p>
    <w:p w14:paraId="524F4805" w14:textId="3769FE89"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the amount of deferred tax expense (income) relating to changes in tax rates or the imposition of new taxes;</w:t>
      </w:r>
    </w:p>
    <w:p w14:paraId="468AC0AE" w14:textId="78568C1B"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the amount of the benefit arising from a previously unrecognised tax loss, tax credit or temporary difference of a prior period that is used to reduce tax expense;</w:t>
      </w:r>
    </w:p>
    <w:p w14:paraId="540EBD62" w14:textId="2B49ECCF"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adjustments to deferred tax expense (income) arising from a change in the tax status of the entity or its shareholders;</w:t>
      </w:r>
    </w:p>
    <w:p w14:paraId="54844133" w14:textId="4E0E848F" w:rsidR="00F42DB6" w:rsidRPr="002D3722" w:rsidRDefault="00F42DB6" w:rsidP="000E61D3">
      <w:pPr>
        <w:pStyle w:val="ListParagraph"/>
        <w:numPr>
          <w:ilvl w:val="0"/>
          <w:numId w:val="158"/>
        </w:numPr>
        <w:ind w:left="1564" w:hanging="782"/>
        <w:jc w:val="both"/>
        <w:rPr>
          <w:szCs w:val="19"/>
          <w:lang w:eastAsia="en-AU"/>
        </w:rPr>
      </w:pPr>
      <w:r w:rsidRPr="002D3722">
        <w:rPr>
          <w:szCs w:val="19"/>
          <w:lang w:eastAsia="en-AU"/>
        </w:rPr>
        <w:t xml:space="preserve">deferred tax expense (income) arising from the write-down, or reversal of a previous write-down, of a deferred tax asset in accordance with paragraph 56 of AASB 112 </w:t>
      </w:r>
      <w:r w:rsidRPr="002D3722">
        <w:rPr>
          <w:i/>
          <w:szCs w:val="19"/>
          <w:lang w:eastAsia="en-AU"/>
        </w:rPr>
        <w:t>Income Taxes</w:t>
      </w:r>
      <w:r w:rsidRPr="002D3722">
        <w:rPr>
          <w:szCs w:val="19"/>
          <w:lang w:eastAsia="en-AU"/>
        </w:rPr>
        <w:t>; and</w:t>
      </w:r>
    </w:p>
    <w:p w14:paraId="70C6313E" w14:textId="1E00471B" w:rsidR="00F42DB6" w:rsidRPr="002D3722" w:rsidRDefault="00F42DB6" w:rsidP="00FB2D77">
      <w:pPr>
        <w:pStyle w:val="ListParagraph"/>
        <w:keepNext/>
        <w:numPr>
          <w:ilvl w:val="0"/>
          <w:numId w:val="158"/>
        </w:numPr>
        <w:ind w:left="1564" w:hanging="782"/>
        <w:jc w:val="both"/>
        <w:rPr>
          <w:szCs w:val="19"/>
          <w:lang w:eastAsia="en-AU"/>
        </w:rPr>
      </w:pPr>
      <w:r w:rsidRPr="002D3722">
        <w:rPr>
          <w:szCs w:val="19"/>
          <w:lang w:eastAsia="en-AU"/>
        </w:rPr>
        <w:lastRenderedPageBreak/>
        <w:t>the amount of tax expense (income) relating to those changes in accounting policies and errors that are included in profit or loss in accordance with AASB 108, because they cannot be accounted for retrospectively.</w:t>
      </w:r>
    </w:p>
    <w:p w14:paraId="57B51757" w14:textId="0ECA97A8" w:rsidR="00474B22" w:rsidRPr="00155974" w:rsidRDefault="00474B22" w:rsidP="000B6E86">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29.</w:t>
      </w:r>
      <w:r w:rsidR="007A1EC1" w:rsidRPr="00155974">
        <w:rPr>
          <w:szCs w:val="19"/>
          <w:lang w:eastAsia="en-AU"/>
        </w:rPr>
        <w:t>39</w:t>
      </w:r>
      <w:r w:rsidRPr="00155974">
        <w:rPr>
          <w:szCs w:val="19"/>
          <w:lang w:eastAsia="en-AU"/>
        </w:rPr>
        <w:t>]</w:t>
      </w:r>
    </w:p>
    <w:p w14:paraId="7E5C110E" w14:textId="3A9B710B" w:rsidR="00F42DB6" w:rsidRPr="00155974" w:rsidRDefault="00F42DB6" w:rsidP="00043CE4">
      <w:pPr>
        <w:pStyle w:val="NumPlain1"/>
        <w:keepNext/>
        <w:numPr>
          <w:ilvl w:val="0"/>
          <w:numId w:val="84"/>
        </w:numPr>
        <w:ind w:left="782" w:hanging="782"/>
        <w:rPr>
          <w:lang w:eastAsia="en-AU"/>
        </w:rPr>
      </w:pPr>
      <w:bookmarkStart w:id="116" w:name="_Ref35360912"/>
      <w:r w:rsidRPr="00155974">
        <w:rPr>
          <w:lang w:eastAsia="en-AU"/>
        </w:rPr>
        <w:t>An entity shall disclose the following separately:</w:t>
      </w:r>
      <w:bookmarkEnd w:id="116"/>
    </w:p>
    <w:p w14:paraId="2D0737E7" w14:textId="0BB49288" w:rsidR="00F42DB6" w:rsidRPr="002D3722" w:rsidRDefault="00F42DB6" w:rsidP="000E61D3">
      <w:pPr>
        <w:pStyle w:val="ListParagraph"/>
        <w:numPr>
          <w:ilvl w:val="0"/>
          <w:numId w:val="159"/>
        </w:numPr>
        <w:ind w:left="1564" w:hanging="782"/>
        <w:jc w:val="both"/>
        <w:rPr>
          <w:szCs w:val="19"/>
          <w:lang w:eastAsia="en-AU"/>
        </w:rPr>
      </w:pPr>
      <w:r w:rsidRPr="002D3722">
        <w:rPr>
          <w:szCs w:val="19"/>
          <w:lang w:eastAsia="en-AU"/>
        </w:rPr>
        <w:t>the aggregate current and deferred tax relating to items that are recognised as items of other comprehensive income</w:t>
      </w:r>
      <w:r w:rsidR="006819A9" w:rsidRPr="002D3722">
        <w:rPr>
          <w:szCs w:val="19"/>
          <w:lang w:eastAsia="en-AU"/>
        </w:rPr>
        <w:t>;</w:t>
      </w:r>
    </w:p>
    <w:p w14:paraId="08F86F77" w14:textId="296615F8" w:rsidR="00F42DB6" w:rsidRPr="002D3722" w:rsidRDefault="00F42DB6" w:rsidP="000E61D3">
      <w:pPr>
        <w:pStyle w:val="ListParagraph"/>
        <w:numPr>
          <w:ilvl w:val="0"/>
          <w:numId w:val="159"/>
        </w:numPr>
        <w:ind w:left="1564" w:hanging="782"/>
        <w:jc w:val="both"/>
        <w:rPr>
          <w:szCs w:val="19"/>
          <w:lang w:eastAsia="en-AU"/>
        </w:rPr>
      </w:pPr>
      <w:r w:rsidRPr="002D3722">
        <w:rPr>
          <w:szCs w:val="19"/>
          <w:lang w:eastAsia="en-AU"/>
        </w:rPr>
        <w:t>the aggregate current and deferred tax relating to items that are charged or credited directly to equity</w:t>
      </w:r>
      <w:r w:rsidR="00C65CAE" w:rsidRPr="002D3722">
        <w:rPr>
          <w:szCs w:val="19"/>
          <w:lang w:eastAsia="en-AU"/>
        </w:rPr>
        <w:t>;</w:t>
      </w:r>
    </w:p>
    <w:p w14:paraId="7932B081" w14:textId="6DB26D54" w:rsidR="00043622" w:rsidRPr="002D3722" w:rsidRDefault="00F42DB6" w:rsidP="000E61D3">
      <w:pPr>
        <w:pStyle w:val="ListParagraph"/>
        <w:numPr>
          <w:ilvl w:val="0"/>
          <w:numId w:val="159"/>
        </w:numPr>
        <w:ind w:left="1564" w:hanging="782"/>
        <w:jc w:val="both"/>
        <w:rPr>
          <w:szCs w:val="19"/>
          <w:lang w:eastAsia="en-AU"/>
        </w:rPr>
      </w:pPr>
      <w:r w:rsidRPr="002D3722">
        <w:rPr>
          <w:szCs w:val="19"/>
          <w:lang w:eastAsia="en-AU"/>
        </w:rPr>
        <w:t xml:space="preserve">an explanation of </w:t>
      </w:r>
      <w:r w:rsidR="00043622" w:rsidRPr="002D3722">
        <w:rPr>
          <w:szCs w:val="19"/>
          <w:lang w:eastAsia="en-AU"/>
        </w:rPr>
        <w:t>the relationship between tax expense (income) and accounting profit in either or both of the following forms:</w:t>
      </w:r>
    </w:p>
    <w:p w14:paraId="28AA4421" w14:textId="67AA4A4F" w:rsidR="00043622" w:rsidRPr="002D3722" w:rsidRDefault="00043622" w:rsidP="000E61D3">
      <w:pPr>
        <w:pStyle w:val="ListParagraph"/>
        <w:numPr>
          <w:ilvl w:val="0"/>
          <w:numId w:val="160"/>
        </w:numPr>
        <w:ind w:left="2347" w:hanging="782"/>
        <w:jc w:val="both"/>
        <w:rPr>
          <w:szCs w:val="19"/>
          <w:lang w:eastAsia="en-AU"/>
        </w:rPr>
      </w:pPr>
      <w:r w:rsidRPr="002D3722">
        <w:rPr>
          <w:szCs w:val="19"/>
          <w:lang w:eastAsia="en-AU"/>
        </w:rPr>
        <w:t>a numerical reconciliation between tax expense (income) and product of accounting profit multiplied by the applicable tax rate(s), disclosing also the basis on which the applicable tax rate(s) is (are computed</w:t>
      </w:r>
      <w:r w:rsidR="001332FB" w:rsidRPr="002D3722">
        <w:rPr>
          <w:szCs w:val="19"/>
          <w:lang w:eastAsia="en-AU"/>
        </w:rPr>
        <w:t>)</w:t>
      </w:r>
      <w:r w:rsidRPr="002D3722">
        <w:rPr>
          <w:szCs w:val="19"/>
          <w:lang w:eastAsia="en-AU"/>
        </w:rPr>
        <w:t>; or</w:t>
      </w:r>
    </w:p>
    <w:p w14:paraId="3DD8D3D7" w14:textId="0AF1A3C6" w:rsidR="00F42DB6" w:rsidRPr="002D3722" w:rsidRDefault="00043622" w:rsidP="000E61D3">
      <w:pPr>
        <w:pStyle w:val="ListParagraph"/>
        <w:numPr>
          <w:ilvl w:val="0"/>
          <w:numId w:val="160"/>
        </w:numPr>
        <w:ind w:left="2347" w:hanging="782"/>
        <w:jc w:val="both"/>
        <w:rPr>
          <w:szCs w:val="19"/>
          <w:lang w:eastAsia="en-AU"/>
        </w:rPr>
      </w:pPr>
      <w:r w:rsidRPr="002D3722">
        <w:rPr>
          <w:szCs w:val="19"/>
          <w:lang w:eastAsia="en-AU"/>
        </w:rPr>
        <w:t>a numerical reconciliation between the average effective tax rate and the applicable tax rate, disclosing also the basis on which the applicable tax rate is computed</w:t>
      </w:r>
      <w:r w:rsidR="00CD6442" w:rsidRPr="002D3722">
        <w:rPr>
          <w:szCs w:val="19"/>
          <w:lang w:eastAsia="en-AU"/>
        </w:rPr>
        <w:t xml:space="preserve"> </w:t>
      </w:r>
      <w:r w:rsidR="00387BBD" w:rsidRPr="002D3722">
        <w:rPr>
          <w:szCs w:val="19"/>
          <w:lang w:eastAsia="en-AU"/>
        </w:rPr>
        <w:t>;</w:t>
      </w:r>
    </w:p>
    <w:p w14:paraId="4243AE01" w14:textId="7324AC0F" w:rsidR="00F42DB6" w:rsidRPr="00155974" w:rsidRDefault="00F42DB6" w:rsidP="000E61D3">
      <w:pPr>
        <w:pStyle w:val="ListParagraph"/>
        <w:numPr>
          <w:ilvl w:val="0"/>
          <w:numId w:val="159"/>
        </w:numPr>
        <w:ind w:left="1564" w:hanging="782"/>
        <w:jc w:val="both"/>
        <w:rPr>
          <w:szCs w:val="19"/>
          <w:lang w:eastAsia="en-AU"/>
        </w:rPr>
      </w:pPr>
      <w:r w:rsidRPr="00155974">
        <w:rPr>
          <w:szCs w:val="19"/>
          <w:lang w:eastAsia="en-AU"/>
        </w:rPr>
        <w:tab/>
        <w:t>an explanation of changes in the applicable tax rate(s) compared with the previous reporting period</w:t>
      </w:r>
      <w:r w:rsidR="00387BBD" w:rsidRPr="00155974">
        <w:rPr>
          <w:szCs w:val="19"/>
          <w:lang w:eastAsia="en-AU"/>
        </w:rPr>
        <w:t>;</w:t>
      </w:r>
    </w:p>
    <w:p w14:paraId="39774078" w14:textId="60E9A014" w:rsidR="00F42DB6" w:rsidRPr="00155974" w:rsidRDefault="00F42DB6" w:rsidP="004B0ADC">
      <w:pPr>
        <w:pStyle w:val="ListParagraph"/>
        <w:keepNext/>
        <w:numPr>
          <w:ilvl w:val="0"/>
          <w:numId w:val="159"/>
        </w:numPr>
        <w:ind w:left="1564" w:hanging="782"/>
        <w:jc w:val="both"/>
        <w:rPr>
          <w:szCs w:val="19"/>
          <w:lang w:eastAsia="en-AU"/>
        </w:rPr>
      </w:pPr>
      <w:r w:rsidRPr="00155974">
        <w:rPr>
          <w:szCs w:val="19"/>
          <w:lang w:eastAsia="en-AU"/>
        </w:rPr>
        <w:tab/>
        <w:t>for each type of temporary difference and for each type of unused tax losses and tax credits:</w:t>
      </w:r>
    </w:p>
    <w:p w14:paraId="2EF108D9" w14:textId="7DAEF701" w:rsidR="00F42DB6" w:rsidRPr="002D3722" w:rsidRDefault="00F42DB6" w:rsidP="000E61D3">
      <w:pPr>
        <w:pStyle w:val="ListParagraph"/>
        <w:numPr>
          <w:ilvl w:val="0"/>
          <w:numId w:val="161"/>
        </w:numPr>
        <w:ind w:left="2347" w:hanging="782"/>
        <w:jc w:val="both"/>
        <w:rPr>
          <w:szCs w:val="19"/>
          <w:lang w:eastAsia="en-AU"/>
        </w:rPr>
      </w:pPr>
      <w:r w:rsidRPr="002D3722">
        <w:rPr>
          <w:szCs w:val="19"/>
          <w:lang w:eastAsia="en-AU"/>
        </w:rPr>
        <w:t>the amount of deferred tax liabilities and deferred tax assets at the end of the reporting period; and</w:t>
      </w:r>
    </w:p>
    <w:p w14:paraId="6FED2AB8" w14:textId="3C46D61A" w:rsidR="00F42DB6" w:rsidRPr="002D3722" w:rsidRDefault="00F42DB6" w:rsidP="000E61D3">
      <w:pPr>
        <w:pStyle w:val="ListParagraph"/>
        <w:numPr>
          <w:ilvl w:val="0"/>
          <w:numId w:val="161"/>
        </w:numPr>
        <w:ind w:left="2347" w:hanging="782"/>
        <w:jc w:val="both"/>
        <w:rPr>
          <w:szCs w:val="19"/>
          <w:lang w:eastAsia="en-AU"/>
        </w:rPr>
      </w:pPr>
      <w:r w:rsidRPr="002D3722">
        <w:rPr>
          <w:szCs w:val="19"/>
          <w:lang w:eastAsia="en-AU"/>
        </w:rPr>
        <w:t>an analysis of the change in deferred tax liabilities and deferred tax assets during the period</w:t>
      </w:r>
      <w:r w:rsidR="00924FDE" w:rsidRPr="002D3722">
        <w:rPr>
          <w:szCs w:val="19"/>
          <w:lang w:eastAsia="en-AU"/>
        </w:rPr>
        <w:t>;</w:t>
      </w:r>
    </w:p>
    <w:p w14:paraId="788CD664" w14:textId="04907D4A" w:rsidR="00F42DB6" w:rsidRPr="00155974" w:rsidRDefault="00F42DB6" w:rsidP="000E61D3">
      <w:pPr>
        <w:pStyle w:val="ListParagraph"/>
        <w:numPr>
          <w:ilvl w:val="0"/>
          <w:numId w:val="159"/>
        </w:numPr>
        <w:ind w:left="1564" w:hanging="782"/>
        <w:jc w:val="both"/>
        <w:rPr>
          <w:szCs w:val="19"/>
          <w:lang w:eastAsia="en-AU"/>
        </w:rPr>
      </w:pPr>
      <w:r w:rsidRPr="00155974">
        <w:rPr>
          <w:szCs w:val="19"/>
          <w:lang w:eastAsia="en-AU"/>
        </w:rPr>
        <w:t>the amount (and expiry date, if any) of deductible temporary differences, unused tax losses and unused tax credits for which no deferred tax asset is recognised in the statement of financial position</w:t>
      </w:r>
      <w:r w:rsidR="00924FDE" w:rsidRPr="00155974">
        <w:rPr>
          <w:szCs w:val="19"/>
          <w:lang w:eastAsia="en-AU"/>
        </w:rPr>
        <w:t>; and</w:t>
      </w:r>
    </w:p>
    <w:p w14:paraId="4E09BCC7" w14:textId="36232B31" w:rsidR="00F42DB6" w:rsidRPr="00155974" w:rsidRDefault="00F42DB6" w:rsidP="00FB2D77">
      <w:pPr>
        <w:pStyle w:val="ListParagraph"/>
        <w:keepNext/>
        <w:numPr>
          <w:ilvl w:val="0"/>
          <w:numId w:val="159"/>
        </w:numPr>
        <w:ind w:left="1564" w:hanging="782"/>
        <w:jc w:val="both"/>
        <w:rPr>
          <w:szCs w:val="19"/>
          <w:lang w:eastAsia="en-AU"/>
        </w:rPr>
      </w:pPr>
      <w:r w:rsidRPr="00155974">
        <w:rPr>
          <w:szCs w:val="19"/>
          <w:lang w:eastAsia="en-AU"/>
        </w:rPr>
        <w:tab/>
        <w:t>in the circumstances described in paragraph 52A of AASB 112, an explanation of the nature of the potential income tax consequences that would result from the payment of dividends to its shareholders.</w:t>
      </w:r>
    </w:p>
    <w:p w14:paraId="12BE7CB5" w14:textId="0D28C69A" w:rsidR="00E05585" w:rsidRPr="00155974" w:rsidRDefault="00E05585" w:rsidP="00205707">
      <w:pPr>
        <w:spacing w:after="100"/>
        <w:ind w:left="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29.40]</w:t>
      </w:r>
    </w:p>
    <w:p w14:paraId="5F77DD00" w14:textId="57865DDE" w:rsidR="00F42DB6" w:rsidRPr="00155974" w:rsidRDefault="00F42DB6" w:rsidP="00022B10">
      <w:pPr>
        <w:pStyle w:val="IASBSectionTitle2Ind"/>
        <w:rPr>
          <w:rFonts w:eastAsiaTheme="majorEastAsia"/>
          <w:bCs/>
          <w:iCs/>
          <w:sz w:val="20"/>
        </w:rPr>
      </w:pPr>
      <w:r w:rsidRPr="00155974">
        <w:rPr>
          <w:lang w:eastAsia="en-AU"/>
        </w:rPr>
        <w:t xml:space="preserve">Foreign </w:t>
      </w:r>
      <w:r w:rsidR="00C72BD0" w:rsidRPr="00155974">
        <w:rPr>
          <w:lang w:eastAsia="en-AU"/>
        </w:rPr>
        <w:t>Currency Translation</w:t>
      </w:r>
      <w:r w:rsidRPr="00155974">
        <w:rPr>
          <w:rStyle w:val="FootnoteReference"/>
          <w:sz w:val="22"/>
          <w:szCs w:val="22"/>
          <w:lang w:eastAsia="en-AU"/>
        </w:rPr>
        <w:footnoteReference w:id="29"/>
      </w:r>
    </w:p>
    <w:p w14:paraId="1466337A" w14:textId="7057A8C1" w:rsidR="00F42DB6" w:rsidRPr="00155974" w:rsidRDefault="00F42DB6" w:rsidP="000E61D3">
      <w:pPr>
        <w:pStyle w:val="NumPlain1"/>
        <w:numPr>
          <w:ilvl w:val="0"/>
          <w:numId w:val="84"/>
        </w:numPr>
        <w:ind w:left="782" w:hanging="782"/>
        <w:rPr>
          <w:b/>
          <w:bCs/>
          <w:iCs/>
          <w:lang w:eastAsia="en-AU"/>
        </w:rPr>
      </w:pPr>
      <w:r w:rsidRPr="00155974">
        <w:rPr>
          <w:lang w:eastAsia="en-AU"/>
        </w:rPr>
        <w:t xml:space="preserve">In paragraphs </w:t>
      </w:r>
      <w:r w:rsidR="003726E3" w:rsidRPr="00155974">
        <w:rPr>
          <w:lang w:eastAsia="en-AU"/>
        </w:rPr>
        <w:t>18</w:t>
      </w:r>
      <w:r w:rsidR="00C34C49" w:rsidRPr="00155974">
        <w:rPr>
          <w:lang w:eastAsia="en-AU"/>
        </w:rPr>
        <w:t>1</w:t>
      </w:r>
      <w:r w:rsidR="008748E1" w:rsidRPr="00155974">
        <w:rPr>
          <w:lang w:eastAsia="en-AU"/>
        </w:rPr>
        <w:t xml:space="preserve"> </w:t>
      </w:r>
      <w:r w:rsidRPr="00155974">
        <w:rPr>
          <w:lang w:eastAsia="en-AU"/>
        </w:rPr>
        <w:t>and</w:t>
      </w:r>
      <w:r w:rsidR="008748E1" w:rsidRPr="00155974">
        <w:rPr>
          <w:lang w:eastAsia="en-AU"/>
        </w:rPr>
        <w:t xml:space="preserve"> </w:t>
      </w:r>
      <w:r w:rsidR="003726E3" w:rsidRPr="00155974">
        <w:rPr>
          <w:lang w:eastAsia="en-AU"/>
        </w:rPr>
        <w:t>18</w:t>
      </w:r>
      <w:r w:rsidR="00C34C49" w:rsidRPr="00155974">
        <w:rPr>
          <w:lang w:eastAsia="en-AU"/>
        </w:rPr>
        <w:t>2</w:t>
      </w:r>
      <w:r w:rsidRPr="00155974">
        <w:rPr>
          <w:lang w:eastAsia="en-AU"/>
        </w:rPr>
        <w:t xml:space="preserve">, references to ‘functional currency’ </w:t>
      </w:r>
      <w:r w:rsidR="00235214" w:rsidRPr="00155974">
        <w:rPr>
          <w:lang w:eastAsia="en-AU"/>
        </w:rPr>
        <w:t>are</w:t>
      </w:r>
      <w:r w:rsidRPr="00155974">
        <w:rPr>
          <w:lang w:eastAsia="en-AU"/>
        </w:rPr>
        <w:t>, in the case of a group, to the functional currency of the parent.</w:t>
      </w:r>
      <w:r w:rsidR="003A204B" w:rsidRPr="00155974">
        <w:rPr>
          <w:lang w:eastAsia="en-AU"/>
        </w:rPr>
        <w:t xml:space="preserve"> [</w:t>
      </w:r>
      <w:r w:rsidR="0058144C" w:rsidRPr="00155974">
        <w:rPr>
          <w:i/>
          <w:iCs/>
          <w:lang w:eastAsia="en-AU"/>
        </w:rPr>
        <w:t>IFRS for SMEs</w:t>
      </w:r>
      <w:r w:rsidR="003A204B" w:rsidRPr="00155974">
        <w:rPr>
          <w:lang w:eastAsia="en-AU"/>
        </w:rPr>
        <w:t xml:space="preserve"> Standard paragraph 30.24]</w:t>
      </w:r>
    </w:p>
    <w:p w14:paraId="2FD18711" w14:textId="719B4F52" w:rsidR="00F42DB6" w:rsidRPr="00155974" w:rsidRDefault="00F42DB6" w:rsidP="00043CE4">
      <w:pPr>
        <w:pStyle w:val="NumPlain1"/>
        <w:keepNext/>
        <w:numPr>
          <w:ilvl w:val="0"/>
          <w:numId w:val="84"/>
        </w:numPr>
        <w:ind w:left="782" w:hanging="782"/>
        <w:rPr>
          <w:b/>
          <w:bCs/>
          <w:iCs/>
          <w:lang w:eastAsia="en-AU"/>
        </w:rPr>
      </w:pPr>
      <w:r w:rsidRPr="00155974">
        <w:rPr>
          <w:lang w:eastAsia="en-AU"/>
        </w:rPr>
        <w:t>An entity shall disclose the following:</w:t>
      </w:r>
    </w:p>
    <w:p w14:paraId="1437766A" w14:textId="7E3CD030" w:rsidR="00F42DB6" w:rsidRPr="002D3722" w:rsidRDefault="00F42DB6" w:rsidP="000E61D3">
      <w:pPr>
        <w:pStyle w:val="ListParagraph"/>
        <w:numPr>
          <w:ilvl w:val="0"/>
          <w:numId w:val="162"/>
        </w:numPr>
        <w:ind w:left="1564" w:hanging="782"/>
        <w:jc w:val="both"/>
        <w:rPr>
          <w:b/>
          <w:bCs/>
          <w:iCs/>
          <w:szCs w:val="19"/>
          <w:lang w:eastAsia="en-AU"/>
        </w:rPr>
      </w:pPr>
      <w:r w:rsidRPr="002D3722">
        <w:rPr>
          <w:szCs w:val="19"/>
          <w:lang w:eastAsia="en-AU"/>
        </w:rPr>
        <w:t>the amount of exchange differences recognised in profit or loss during the period, except for those arising on financial instruments measured at fair value through profit or loss in accordance with AASB 9; and</w:t>
      </w:r>
    </w:p>
    <w:p w14:paraId="2EC66ED1" w14:textId="2252F64C" w:rsidR="00F42DB6" w:rsidRPr="002D3722" w:rsidRDefault="00F42DB6" w:rsidP="00FB2D77">
      <w:pPr>
        <w:pStyle w:val="ListParagraph"/>
        <w:keepNext/>
        <w:numPr>
          <w:ilvl w:val="0"/>
          <w:numId w:val="162"/>
        </w:numPr>
        <w:ind w:left="1564" w:hanging="782"/>
        <w:jc w:val="both"/>
        <w:rPr>
          <w:szCs w:val="19"/>
          <w:lang w:eastAsia="en-AU"/>
        </w:rPr>
      </w:pPr>
      <w:r w:rsidRPr="002D3722">
        <w:rPr>
          <w:szCs w:val="19"/>
          <w:lang w:eastAsia="en-AU"/>
        </w:rPr>
        <w:t>the amount of exchange differences arising during the period and classified in a separate component of equity at the end of the period.</w:t>
      </w:r>
    </w:p>
    <w:p w14:paraId="070BBF0F" w14:textId="6DF1F7C3" w:rsidR="003A204B" w:rsidRPr="00155974" w:rsidRDefault="003A204B" w:rsidP="00205707">
      <w:pPr>
        <w:spacing w:after="100"/>
        <w:ind w:left="782"/>
        <w:rPr>
          <w:b/>
          <w:bCs/>
          <w:iCs/>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30.25]</w:t>
      </w:r>
    </w:p>
    <w:p w14:paraId="0D960525" w14:textId="76BAD338" w:rsidR="00F42DB6" w:rsidRPr="00155974" w:rsidRDefault="00F42DB6" w:rsidP="000E61D3">
      <w:pPr>
        <w:pStyle w:val="NumPlain1"/>
        <w:numPr>
          <w:ilvl w:val="0"/>
          <w:numId w:val="84"/>
        </w:numPr>
        <w:ind w:left="782" w:hanging="782"/>
        <w:rPr>
          <w:b/>
          <w:bCs/>
          <w:iCs/>
          <w:lang w:eastAsia="en-AU"/>
        </w:rPr>
      </w:pPr>
      <w:bookmarkStart w:id="117" w:name="_Ref34660618"/>
      <w:r w:rsidRPr="00155974">
        <w:rPr>
          <w:lang w:eastAsia="en-AU"/>
        </w:rPr>
        <w:t>An entity shall disclose the currency in which the financial statements are presented. When the presentation currency is different from the functional currency, an entity shall state that fact and shall disclose the functional currency and the reason for using a different presentation currency.</w:t>
      </w:r>
      <w:r w:rsidR="009C44BB" w:rsidRPr="00155974">
        <w:rPr>
          <w:lang w:eastAsia="en-AU"/>
        </w:rPr>
        <w:t xml:space="preserve"> [</w:t>
      </w:r>
      <w:r w:rsidR="0058144C" w:rsidRPr="00155974">
        <w:rPr>
          <w:i/>
          <w:iCs/>
          <w:lang w:eastAsia="en-AU"/>
        </w:rPr>
        <w:t>IFRS for SMEs</w:t>
      </w:r>
      <w:r w:rsidR="009C44BB" w:rsidRPr="00155974">
        <w:rPr>
          <w:lang w:eastAsia="en-AU"/>
        </w:rPr>
        <w:t xml:space="preserve"> Standard paragraph 30.26]</w:t>
      </w:r>
      <w:bookmarkEnd w:id="117"/>
    </w:p>
    <w:p w14:paraId="4F501F47" w14:textId="4695C3C2" w:rsidR="00F42DB6" w:rsidRPr="00155974" w:rsidRDefault="00F42DB6" w:rsidP="000E61D3">
      <w:pPr>
        <w:pStyle w:val="NumPlain1"/>
        <w:numPr>
          <w:ilvl w:val="0"/>
          <w:numId w:val="84"/>
        </w:numPr>
        <w:ind w:left="782" w:hanging="782"/>
        <w:rPr>
          <w:lang w:eastAsia="en-AU"/>
        </w:rPr>
      </w:pPr>
      <w:bookmarkStart w:id="118" w:name="_Ref34660631"/>
      <w:r w:rsidRPr="00155974">
        <w:rPr>
          <w:lang w:eastAsia="en-AU"/>
        </w:rPr>
        <w:t>When there is a change in the functional currency of either the reporting entity or a significant foreign operation, the entity shall disclose that fact and the reason for the change in functional currency.</w:t>
      </w:r>
      <w:r w:rsidR="00624FAF" w:rsidRPr="00155974">
        <w:rPr>
          <w:lang w:eastAsia="en-AU"/>
        </w:rPr>
        <w:t xml:space="preserve"> [</w:t>
      </w:r>
      <w:r w:rsidR="0058144C" w:rsidRPr="00155974">
        <w:rPr>
          <w:i/>
          <w:iCs/>
          <w:lang w:eastAsia="en-AU"/>
        </w:rPr>
        <w:t>IFRS for SMEs</w:t>
      </w:r>
      <w:r w:rsidR="00624FAF" w:rsidRPr="00155974">
        <w:rPr>
          <w:lang w:eastAsia="en-AU"/>
        </w:rPr>
        <w:t xml:space="preserve"> Standard paragraph 30.27]</w:t>
      </w:r>
      <w:bookmarkEnd w:id="118"/>
    </w:p>
    <w:p w14:paraId="35FA5CC2" w14:textId="4569952F" w:rsidR="00F42DB6" w:rsidRPr="00155974" w:rsidRDefault="00F42DB6" w:rsidP="00022B10">
      <w:pPr>
        <w:pStyle w:val="IASBSectionTitle2Ind"/>
        <w:rPr>
          <w:rFonts w:eastAsiaTheme="majorEastAsia"/>
          <w:sz w:val="20"/>
        </w:rPr>
      </w:pPr>
      <w:r w:rsidRPr="00155974">
        <w:rPr>
          <w:rFonts w:eastAsiaTheme="majorEastAsia"/>
        </w:rPr>
        <w:lastRenderedPageBreak/>
        <w:t>Hyperinflation</w:t>
      </w:r>
      <w:r w:rsidRPr="00155974">
        <w:rPr>
          <w:rStyle w:val="FootnoteReference"/>
          <w:rFonts w:eastAsiaTheme="majorEastAsia"/>
          <w:bCs/>
          <w:iCs/>
          <w:sz w:val="22"/>
          <w:szCs w:val="22"/>
        </w:rPr>
        <w:footnoteReference w:id="30"/>
      </w:r>
    </w:p>
    <w:p w14:paraId="60C55145" w14:textId="3444EA4F"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 xml:space="preserve">An entity to which AASB 129 </w:t>
      </w:r>
      <w:r w:rsidRPr="00155974">
        <w:rPr>
          <w:rFonts w:eastAsiaTheme="majorEastAsia"/>
          <w:i/>
        </w:rPr>
        <w:t>Financial Reporting in Hyperinflationary Economies</w:t>
      </w:r>
      <w:r w:rsidRPr="00155974">
        <w:rPr>
          <w:rFonts w:eastAsiaTheme="majorEastAsia"/>
        </w:rPr>
        <w:t xml:space="preserve"> applies shall disclose the following:</w:t>
      </w:r>
    </w:p>
    <w:p w14:paraId="0CCBB942" w14:textId="1F4C778A" w:rsidR="00F42DB6" w:rsidRPr="002D3722" w:rsidRDefault="00F42DB6" w:rsidP="000E61D3">
      <w:pPr>
        <w:pStyle w:val="ListParagraph"/>
        <w:numPr>
          <w:ilvl w:val="0"/>
          <w:numId w:val="163"/>
        </w:numPr>
        <w:ind w:left="1564" w:hanging="782"/>
        <w:jc w:val="both"/>
        <w:rPr>
          <w:rFonts w:eastAsiaTheme="majorEastAsia"/>
          <w:bCs/>
          <w:iCs/>
          <w:szCs w:val="19"/>
        </w:rPr>
      </w:pPr>
      <w:r w:rsidRPr="002D3722">
        <w:rPr>
          <w:rFonts w:eastAsiaTheme="majorEastAsia"/>
          <w:bCs/>
          <w:iCs/>
          <w:szCs w:val="19"/>
        </w:rPr>
        <w:t xml:space="preserve">the fact that financial statements and other prior period data have been restated for changes in the general purchasing power of the functional currency; </w:t>
      </w:r>
    </w:p>
    <w:p w14:paraId="7E8ECFBF" w14:textId="5392B0B0" w:rsidR="00F42DB6" w:rsidRPr="002D3722" w:rsidRDefault="00F42DB6" w:rsidP="000E61D3">
      <w:pPr>
        <w:pStyle w:val="ListParagraph"/>
        <w:numPr>
          <w:ilvl w:val="0"/>
          <w:numId w:val="163"/>
        </w:numPr>
        <w:ind w:left="1564" w:hanging="782"/>
        <w:jc w:val="both"/>
        <w:rPr>
          <w:rFonts w:eastAsiaTheme="majorEastAsia"/>
          <w:szCs w:val="19"/>
        </w:rPr>
      </w:pPr>
      <w:r w:rsidRPr="002D3722">
        <w:rPr>
          <w:rFonts w:eastAsiaTheme="majorEastAsia"/>
          <w:szCs w:val="19"/>
        </w:rPr>
        <w:t>the identity and level of the price index at the reporting date and changes during the current reporting period and the previous reporting period</w:t>
      </w:r>
      <w:r w:rsidR="0023350E" w:rsidRPr="002D3722">
        <w:rPr>
          <w:rFonts w:eastAsiaTheme="majorEastAsia"/>
          <w:szCs w:val="19"/>
        </w:rPr>
        <w:t>; and</w:t>
      </w:r>
    </w:p>
    <w:p w14:paraId="47C4CA1F" w14:textId="3D913BAF" w:rsidR="00F42DB6" w:rsidRPr="002D3722" w:rsidRDefault="00A75A9B" w:rsidP="00FB2D77">
      <w:pPr>
        <w:pStyle w:val="ListParagraph"/>
        <w:keepNext/>
        <w:numPr>
          <w:ilvl w:val="0"/>
          <w:numId w:val="163"/>
        </w:numPr>
        <w:ind w:left="1564" w:hanging="782"/>
        <w:jc w:val="both"/>
        <w:rPr>
          <w:rFonts w:eastAsiaTheme="majorEastAsia"/>
          <w:bCs/>
          <w:iCs/>
          <w:szCs w:val="19"/>
        </w:rPr>
      </w:pPr>
      <w:r w:rsidRPr="002D3722">
        <w:rPr>
          <w:rFonts w:eastAsiaTheme="majorEastAsia"/>
          <w:bCs/>
          <w:iCs/>
          <w:szCs w:val="19"/>
        </w:rPr>
        <w:t xml:space="preserve">the </w:t>
      </w:r>
      <w:r w:rsidR="0023350E" w:rsidRPr="002D3722">
        <w:rPr>
          <w:rFonts w:eastAsiaTheme="majorEastAsia"/>
          <w:bCs/>
          <w:iCs/>
          <w:szCs w:val="19"/>
        </w:rPr>
        <w:t xml:space="preserve">amount of gain or loss on monetary items. </w:t>
      </w:r>
    </w:p>
    <w:p w14:paraId="3BA8704D" w14:textId="601E2A5B" w:rsidR="00A36A51" w:rsidRPr="00155974" w:rsidRDefault="00A36A51" w:rsidP="00205707">
      <w:pPr>
        <w:spacing w:after="100"/>
        <w:ind w:left="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31.15]</w:t>
      </w:r>
    </w:p>
    <w:p w14:paraId="638AEB4A" w14:textId="1C793C6E"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that applies AASB 129 shall also disclose whether the financial statements are based on a historical cost approach or a current cost approach.</w:t>
      </w:r>
    </w:p>
    <w:p w14:paraId="0FDDBD6C" w14:textId="77777777" w:rsidR="00F42DB6" w:rsidRPr="00155974" w:rsidRDefault="00F42DB6" w:rsidP="00022B10">
      <w:pPr>
        <w:pStyle w:val="IASBSectionTitle2Ind"/>
        <w:rPr>
          <w:lang w:eastAsia="en-AU"/>
        </w:rPr>
      </w:pPr>
      <w:r w:rsidRPr="00155974">
        <w:rPr>
          <w:lang w:eastAsia="en-AU"/>
        </w:rPr>
        <w:t>Events after the End of the Reporting Period</w:t>
      </w:r>
      <w:r w:rsidRPr="00155974">
        <w:rPr>
          <w:rStyle w:val="FootnoteReference"/>
          <w:sz w:val="22"/>
          <w:szCs w:val="22"/>
          <w:lang w:eastAsia="en-AU"/>
        </w:rPr>
        <w:footnoteReference w:id="31"/>
      </w:r>
    </w:p>
    <w:p w14:paraId="6AF9F51B" w14:textId="77777777" w:rsidR="00F42DB6" w:rsidRPr="00155974" w:rsidRDefault="00F42DB6" w:rsidP="00022B10">
      <w:pPr>
        <w:pStyle w:val="IASBSectionTitle3Ind"/>
        <w:rPr>
          <w:rFonts w:eastAsiaTheme="majorEastAsia"/>
        </w:rPr>
      </w:pPr>
      <w:r w:rsidRPr="00155974">
        <w:rPr>
          <w:rFonts w:eastAsiaTheme="majorEastAsia"/>
        </w:rPr>
        <w:t>Adjusting events after the end of the reporting period</w:t>
      </w:r>
    </w:p>
    <w:p w14:paraId="123CFD5B" w14:textId="004BE1E5" w:rsidR="00F42DB6" w:rsidRPr="00155974" w:rsidRDefault="00F42DB6" w:rsidP="000E61D3">
      <w:pPr>
        <w:pStyle w:val="NumPlain1"/>
        <w:numPr>
          <w:ilvl w:val="0"/>
          <w:numId w:val="84"/>
        </w:numPr>
        <w:ind w:left="782" w:hanging="782"/>
        <w:rPr>
          <w:rFonts w:eastAsiaTheme="majorEastAsia"/>
        </w:rPr>
      </w:pPr>
      <w:bookmarkStart w:id="119" w:name="_Ref35360068"/>
      <w:r w:rsidRPr="00155974">
        <w:rPr>
          <w:rFonts w:eastAsiaTheme="majorEastAsia"/>
        </w:rPr>
        <w:t>An entity shall adjust the amounts recognised in its financial statements, including related disclosures, to reflect adjusting events after the end of the reporting period.</w:t>
      </w:r>
      <w:r w:rsidR="00213989" w:rsidRPr="00155974">
        <w:rPr>
          <w:rFonts w:eastAsiaTheme="majorEastAsia"/>
        </w:rPr>
        <w:t xml:space="preserve"> </w:t>
      </w:r>
      <w:r w:rsidR="00213989" w:rsidRPr="00155974">
        <w:rPr>
          <w:lang w:eastAsia="en-AU"/>
        </w:rPr>
        <w:t>[</w:t>
      </w:r>
      <w:r w:rsidR="0058144C" w:rsidRPr="00155974">
        <w:rPr>
          <w:i/>
          <w:lang w:eastAsia="en-AU"/>
        </w:rPr>
        <w:t>IFRS for SMEs</w:t>
      </w:r>
      <w:r w:rsidR="00213989" w:rsidRPr="00155974">
        <w:rPr>
          <w:lang w:eastAsia="en-AU"/>
        </w:rPr>
        <w:t xml:space="preserve"> Standard paragraph 32.4]</w:t>
      </w:r>
      <w:bookmarkEnd w:id="119"/>
    </w:p>
    <w:p w14:paraId="48D038F1" w14:textId="77777777" w:rsidR="00F42DB6" w:rsidRPr="00155974" w:rsidRDefault="00F42DB6" w:rsidP="00022B10">
      <w:pPr>
        <w:pStyle w:val="IASBSectionTitle3Ind"/>
        <w:rPr>
          <w:rFonts w:eastAsiaTheme="majorEastAsia"/>
        </w:rPr>
      </w:pPr>
      <w:r w:rsidRPr="00155974">
        <w:rPr>
          <w:rFonts w:eastAsiaTheme="majorEastAsia"/>
        </w:rPr>
        <w:t>Date of authorisation for issue</w:t>
      </w:r>
    </w:p>
    <w:p w14:paraId="772547D2" w14:textId="535B53BA"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disclose the date when the financial statements were authorised for issue and who gave that authorisation. If the entity’s owners or others have the power to amend the financial statements after issue, the entity shall disclose that fact.</w:t>
      </w:r>
      <w:r w:rsidR="004F52B2" w:rsidRPr="00155974">
        <w:rPr>
          <w:rFonts w:eastAsiaTheme="majorEastAsia"/>
        </w:rPr>
        <w:t xml:space="preserve"> </w:t>
      </w:r>
      <w:r w:rsidR="004F52B2" w:rsidRPr="00155974">
        <w:rPr>
          <w:lang w:eastAsia="en-AU"/>
        </w:rPr>
        <w:t>[</w:t>
      </w:r>
      <w:r w:rsidR="0058144C" w:rsidRPr="00155974">
        <w:rPr>
          <w:i/>
          <w:lang w:eastAsia="en-AU"/>
        </w:rPr>
        <w:t>IFRS for SMEs</w:t>
      </w:r>
      <w:r w:rsidR="004F52B2" w:rsidRPr="00155974">
        <w:rPr>
          <w:lang w:eastAsia="en-AU"/>
        </w:rPr>
        <w:t xml:space="preserve"> Standard paragraph 32.9]</w:t>
      </w:r>
    </w:p>
    <w:p w14:paraId="6C412E0F" w14:textId="77777777" w:rsidR="00F42DB6" w:rsidRPr="00155974" w:rsidRDefault="00F42DB6" w:rsidP="00022B10">
      <w:pPr>
        <w:pStyle w:val="IASBSectionTitle3Ind"/>
        <w:rPr>
          <w:rFonts w:eastAsiaTheme="majorEastAsia"/>
        </w:rPr>
      </w:pPr>
      <w:r w:rsidRPr="00155974">
        <w:rPr>
          <w:rFonts w:eastAsiaTheme="majorEastAsia"/>
        </w:rPr>
        <w:t>Non-adjusting events after the end of the reporting period</w:t>
      </w:r>
    </w:p>
    <w:p w14:paraId="1B90EF83" w14:textId="710441E9"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An entity shall disclose the following for each category of non-adjusting event after the end of the reporting period:</w:t>
      </w:r>
    </w:p>
    <w:p w14:paraId="22412406" w14:textId="07AB8A0F" w:rsidR="00F42DB6" w:rsidRPr="002D3722" w:rsidRDefault="00F42DB6" w:rsidP="000E61D3">
      <w:pPr>
        <w:pStyle w:val="ListParagraph"/>
        <w:numPr>
          <w:ilvl w:val="0"/>
          <w:numId w:val="164"/>
        </w:numPr>
        <w:ind w:left="1564" w:hanging="782"/>
        <w:jc w:val="both"/>
        <w:rPr>
          <w:rFonts w:eastAsiaTheme="majorEastAsia"/>
          <w:bCs/>
          <w:iCs/>
          <w:szCs w:val="19"/>
        </w:rPr>
      </w:pPr>
      <w:r w:rsidRPr="002D3722">
        <w:rPr>
          <w:rFonts w:eastAsiaTheme="majorEastAsia"/>
          <w:bCs/>
          <w:iCs/>
          <w:szCs w:val="19"/>
        </w:rPr>
        <w:t>the nature of the event; and</w:t>
      </w:r>
    </w:p>
    <w:p w14:paraId="380FACD5" w14:textId="5ADC20FD" w:rsidR="00F42DB6" w:rsidRPr="002D3722" w:rsidRDefault="00F42DB6" w:rsidP="00FB2D77">
      <w:pPr>
        <w:pStyle w:val="ListParagraph"/>
        <w:keepNext/>
        <w:numPr>
          <w:ilvl w:val="0"/>
          <w:numId w:val="164"/>
        </w:numPr>
        <w:ind w:left="1564" w:hanging="782"/>
        <w:jc w:val="both"/>
        <w:rPr>
          <w:rFonts w:eastAsiaTheme="majorEastAsia"/>
          <w:bCs/>
          <w:iCs/>
          <w:szCs w:val="19"/>
        </w:rPr>
      </w:pPr>
      <w:r w:rsidRPr="002D3722">
        <w:rPr>
          <w:rFonts w:eastAsiaTheme="majorEastAsia"/>
          <w:bCs/>
          <w:iCs/>
          <w:szCs w:val="19"/>
        </w:rPr>
        <w:t>an estimate of its financial effect or a statement that such an estimate cannot be made.</w:t>
      </w:r>
    </w:p>
    <w:p w14:paraId="63D65541" w14:textId="71A7F3D0" w:rsidR="00610ECC" w:rsidRPr="00155974" w:rsidRDefault="00610ECC" w:rsidP="00205707">
      <w:pPr>
        <w:spacing w:after="100"/>
        <w:ind w:left="782"/>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32.10]</w:t>
      </w:r>
    </w:p>
    <w:p w14:paraId="4C663920" w14:textId="4B6183E0" w:rsidR="00F42DB6" w:rsidRPr="00155974" w:rsidRDefault="00F42DB6" w:rsidP="000E61D3">
      <w:pPr>
        <w:pStyle w:val="NumPlain1"/>
        <w:numPr>
          <w:ilvl w:val="0"/>
          <w:numId w:val="84"/>
        </w:numPr>
        <w:ind w:left="782" w:hanging="782"/>
        <w:rPr>
          <w:rFonts w:eastAsiaTheme="majorEastAsia"/>
        </w:rPr>
      </w:pPr>
      <w:r w:rsidRPr="00155974">
        <w:rPr>
          <w:rFonts w:eastAsiaTheme="majorEastAsia"/>
        </w:rPr>
        <w:t>The following are examples of non-adjusting events after the end of the reporting period that would generally result in disclosure; the disclosures will reflect information that becomes known after the end of the reporting period but before the financial statements are authorised for issue:</w:t>
      </w:r>
    </w:p>
    <w:p w14:paraId="08AA60FD" w14:textId="49EA64F3" w:rsidR="00F42DB6" w:rsidRPr="002D3722" w:rsidRDefault="00F42DB6" w:rsidP="000E61D3">
      <w:pPr>
        <w:pStyle w:val="ListParagraph"/>
        <w:numPr>
          <w:ilvl w:val="0"/>
          <w:numId w:val="165"/>
        </w:numPr>
        <w:ind w:left="1564" w:hanging="782"/>
        <w:jc w:val="both"/>
        <w:rPr>
          <w:rFonts w:eastAsiaTheme="majorEastAsia"/>
          <w:bCs/>
          <w:iCs/>
          <w:szCs w:val="19"/>
        </w:rPr>
      </w:pPr>
      <w:r w:rsidRPr="002D3722">
        <w:rPr>
          <w:rFonts w:eastAsiaTheme="majorEastAsia"/>
          <w:bCs/>
          <w:iCs/>
          <w:szCs w:val="19"/>
        </w:rPr>
        <w:t>a major business combination or disposal of a major subsidiary;</w:t>
      </w:r>
    </w:p>
    <w:p w14:paraId="0B576DA8" w14:textId="402F8C5A" w:rsidR="00F42DB6" w:rsidRPr="002D3722" w:rsidRDefault="00F42DB6" w:rsidP="000E61D3">
      <w:pPr>
        <w:pStyle w:val="ListParagraph"/>
        <w:numPr>
          <w:ilvl w:val="0"/>
          <w:numId w:val="165"/>
        </w:numPr>
        <w:ind w:left="1564" w:hanging="782"/>
        <w:jc w:val="both"/>
        <w:rPr>
          <w:rFonts w:eastAsiaTheme="majorEastAsia"/>
          <w:bCs/>
          <w:iCs/>
          <w:szCs w:val="19"/>
        </w:rPr>
      </w:pPr>
      <w:r w:rsidRPr="002D3722">
        <w:rPr>
          <w:rFonts w:eastAsiaTheme="majorEastAsia"/>
          <w:bCs/>
          <w:iCs/>
          <w:szCs w:val="19"/>
        </w:rPr>
        <w:t>announcement of a plan to discontinue an operation;</w:t>
      </w:r>
    </w:p>
    <w:p w14:paraId="34166BCC" w14:textId="7B283CDF" w:rsidR="00F42DB6" w:rsidRPr="002D3722" w:rsidRDefault="00F42DB6" w:rsidP="000E61D3">
      <w:pPr>
        <w:pStyle w:val="ListParagraph"/>
        <w:numPr>
          <w:ilvl w:val="0"/>
          <w:numId w:val="165"/>
        </w:numPr>
        <w:ind w:left="1564" w:hanging="782"/>
        <w:jc w:val="both"/>
        <w:rPr>
          <w:rFonts w:eastAsiaTheme="majorEastAsia"/>
          <w:bCs/>
          <w:iCs/>
          <w:szCs w:val="19"/>
        </w:rPr>
      </w:pPr>
      <w:r w:rsidRPr="002D3722">
        <w:rPr>
          <w:rFonts w:eastAsiaTheme="majorEastAsia"/>
          <w:bCs/>
          <w:iCs/>
          <w:szCs w:val="19"/>
        </w:rPr>
        <w:t xml:space="preserve">major purchases of assets, </w:t>
      </w:r>
      <w:r w:rsidR="00223DA6" w:rsidRPr="002D3722">
        <w:rPr>
          <w:rFonts w:eastAsiaTheme="majorEastAsia"/>
          <w:bCs/>
          <w:iCs/>
          <w:szCs w:val="19"/>
        </w:rPr>
        <w:t>classifications of assets as held for sale in accordance with AASB 5</w:t>
      </w:r>
      <w:r w:rsidR="00CD5130" w:rsidRPr="002D3722">
        <w:rPr>
          <w:rFonts w:eastAsiaTheme="majorEastAsia"/>
          <w:bCs/>
          <w:iCs/>
          <w:szCs w:val="19"/>
        </w:rPr>
        <w:t xml:space="preserve">, other </w:t>
      </w:r>
      <w:r w:rsidRPr="002D3722">
        <w:rPr>
          <w:rFonts w:eastAsiaTheme="majorEastAsia"/>
          <w:bCs/>
          <w:iCs/>
          <w:szCs w:val="19"/>
        </w:rPr>
        <w:t>disposals of assets, or expropriation of major assets by government;</w:t>
      </w:r>
    </w:p>
    <w:p w14:paraId="5B323990" w14:textId="51B43198" w:rsidR="00F42DB6" w:rsidRPr="002D3722" w:rsidRDefault="00F42DB6" w:rsidP="000E61D3">
      <w:pPr>
        <w:pStyle w:val="ListParagraph"/>
        <w:numPr>
          <w:ilvl w:val="0"/>
          <w:numId w:val="165"/>
        </w:numPr>
        <w:ind w:left="1564" w:hanging="782"/>
        <w:jc w:val="both"/>
        <w:rPr>
          <w:rFonts w:eastAsiaTheme="majorEastAsia"/>
          <w:bCs/>
          <w:iCs/>
          <w:szCs w:val="19"/>
        </w:rPr>
      </w:pPr>
      <w:r w:rsidRPr="002D3722">
        <w:rPr>
          <w:rFonts w:eastAsiaTheme="majorEastAsia"/>
          <w:bCs/>
          <w:iCs/>
          <w:szCs w:val="19"/>
        </w:rPr>
        <w:t>the destruction of a major production plant by a fire;</w:t>
      </w:r>
    </w:p>
    <w:p w14:paraId="30D73BF4" w14:textId="08DF745B" w:rsidR="00F42DB6" w:rsidRPr="002D3722" w:rsidRDefault="00F42DB6" w:rsidP="000E61D3">
      <w:pPr>
        <w:pStyle w:val="ListParagraph"/>
        <w:numPr>
          <w:ilvl w:val="0"/>
          <w:numId w:val="165"/>
        </w:numPr>
        <w:ind w:left="1564" w:hanging="782"/>
        <w:jc w:val="both"/>
        <w:outlineLvl w:val="4"/>
        <w:rPr>
          <w:rFonts w:eastAsiaTheme="majorEastAsia"/>
          <w:bCs/>
          <w:iCs/>
          <w:szCs w:val="19"/>
        </w:rPr>
      </w:pPr>
      <w:r w:rsidRPr="002D3722">
        <w:rPr>
          <w:rFonts w:eastAsiaTheme="majorEastAsia"/>
          <w:bCs/>
          <w:iCs/>
          <w:szCs w:val="19"/>
        </w:rPr>
        <w:t>announcement, or commencement of the implementation, of a major restructuring;</w:t>
      </w:r>
    </w:p>
    <w:p w14:paraId="4C23D608" w14:textId="58CEC877" w:rsidR="00F42DB6" w:rsidRPr="002D3722" w:rsidRDefault="00F42DB6" w:rsidP="000E61D3">
      <w:pPr>
        <w:pStyle w:val="ListParagraph"/>
        <w:numPr>
          <w:ilvl w:val="0"/>
          <w:numId w:val="165"/>
        </w:numPr>
        <w:ind w:left="1564" w:hanging="782"/>
        <w:jc w:val="both"/>
        <w:outlineLvl w:val="4"/>
        <w:rPr>
          <w:rFonts w:eastAsiaTheme="majorEastAsia"/>
          <w:bCs/>
          <w:iCs/>
          <w:szCs w:val="19"/>
        </w:rPr>
      </w:pPr>
      <w:r w:rsidRPr="002D3722">
        <w:rPr>
          <w:rFonts w:eastAsiaTheme="majorEastAsia"/>
          <w:bCs/>
          <w:iCs/>
          <w:szCs w:val="19"/>
        </w:rPr>
        <w:t>issues or repurchases of an entity’s debt or equity instruments;</w:t>
      </w:r>
    </w:p>
    <w:p w14:paraId="15D6DB4F" w14:textId="0FED6B01" w:rsidR="00F42DB6" w:rsidRPr="002D3722" w:rsidRDefault="00F42DB6" w:rsidP="000E61D3">
      <w:pPr>
        <w:pStyle w:val="ListParagraph"/>
        <w:numPr>
          <w:ilvl w:val="0"/>
          <w:numId w:val="165"/>
        </w:numPr>
        <w:ind w:left="1564" w:hanging="782"/>
        <w:jc w:val="both"/>
        <w:outlineLvl w:val="4"/>
        <w:rPr>
          <w:rFonts w:eastAsiaTheme="majorEastAsia"/>
          <w:bCs/>
          <w:iCs/>
          <w:szCs w:val="19"/>
        </w:rPr>
      </w:pPr>
      <w:r w:rsidRPr="002D3722">
        <w:rPr>
          <w:rFonts w:eastAsiaTheme="majorEastAsia"/>
          <w:bCs/>
          <w:iCs/>
          <w:szCs w:val="19"/>
        </w:rPr>
        <w:t>abnormally large changes in asset prices or foreign exchange rates;</w:t>
      </w:r>
    </w:p>
    <w:p w14:paraId="6EA8167A" w14:textId="222EBCD0" w:rsidR="00F42DB6" w:rsidRPr="002D3722" w:rsidRDefault="00F42DB6" w:rsidP="000E61D3">
      <w:pPr>
        <w:pStyle w:val="ListParagraph"/>
        <w:numPr>
          <w:ilvl w:val="0"/>
          <w:numId w:val="165"/>
        </w:numPr>
        <w:ind w:left="1564" w:hanging="782"/>
        <w:jc w:val="both"/>
        <w:outlineLvl w:val="4"/>
        <w:rPr>
          <w:rFonts w:eastAsiaTheme="majorEastAsia"/>
          <w:bCs/>
          <w:iCs/>
          <w:szCs w:val="19"/>
        </w:rPr>
      </w:pPr>
      <w:r w:rsidRPr="002D3722">
        <w:rPr>
          <w:rFonts w:eastAsiaTheme="majorEastAsia"/>
          <w:bCs/>
          <w:iCs/>
          <w:szCs w:val="19"/>
        </w:rPr>
        <w:t>changes in tax rates or tax laws enacted or announced that have a significant effect on current and deferred tax assets and liabilities;</w:t>
      </w:r>
    </w:p>
    <w:p w14:paraId="417329AD" w14:textId="760E3AEC" w:rsidR="00F42DB6" w:rsidRPr="002D3722" w:rsidRDefault="00F42DB6" w:rsidP="000E61D3">
      <w:pPr>
        <w:pStyle w:val="ListParagraph"/>
        <w:numPr>
          <w:ilvl w:val="0"/>
          <w:numId w:val="165"/>
        </w:numPr>
        <w:ind w:left="1564" w:hanging="782"/>
        <w:jc w:val="both"/>
        <w:outlineLvl w:val="4"/>
        <w:rPr>
          <w:rFonts w:eastAsiaTheme="majorEastAsia"/>
          <w:bCs/>
          <w:iCs/>
          <w:szCs w:val="19"/>
        </w:rPr>
      </w:pPr>
      <w:r w:rsidRPr="002D3722">
        <w:rPr>
          <w:rFonts w:eastAsiaTheme="majorEastAsia"/>
          <w:bCs/>
          <w:iCs/>
          <w:szCs w:val="19"/>
        </w:rPr>
        <w:t>entering into significant commitments or contingent liabilities, for example, by issuing significant guarantees; and</w:t>
      </w:r>
    </w:p>
    <w:p w14:paraId="7A12A64A" w14:textId="1AF754E4" w:rsidR="00F42DB6" w:rsidRPr="002D3722" w:rsidRDefault="00F42DB6" w:rsidP="00FB2D77">
      <w:pPr>
        <w:pStyle w:val="ListParagraph"/>
        <w:keepNext/>
        <w:numPr>
          <w:ilvl w:val="0"/>
          <w:numId w:val="165"/>
        </w:numPr>
        <w:ind w:left="1564" w:hanging="782"/>
        <w:jc w:val="both"/>
        <w:rPr>
          <w:szCs w:val="19"/>
          <w:lang w:eastAsia="en-AU"/>
        </w:rPr>
      </w:pPr>
      <w:r w:rsidRPr="002D3722">
        <w:rPr>
          <w:szCs w:val="19"/>
          <w:lang w:eastAsia="en-AU"/>
        </w:rPr>
        <w:lastRenderedPageBreak/>
        <w:t>commencement of major litigation arising solely out of events that occurred after the end of the reporting period.</w:t>
      </w:r>
    </w:p>
    <w:p w14:paraId="78DD5D62" w14:textId="53416C52" w:rsidR="005C61CD" w:rsidRPr="00155974" w:rsidRDefault="005C61CD" w:rsidP="00205707">
      <w:pPr>
        <w:spacing w:after="100"/>
        <w:ind w:left="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55140A" w:rsidRPr="00155974">
        <w:rPr>
          <w:szCs w:val="19"/>
          <w:lang w:eastAsia="en-AU"/>
        </w:rPr>
        <w:t>32</w:t>
      </w:r>
      <w:r w:rsidRPr="00155974">
        <w:rPr>
          <w:szCs w:val="19"/>
          <w:lang w:eastAsia="en-AU"/>
        </w:rPr>
        <w:t>.1</w:t>
      </w:r>
      <w:r w:rsidR="0055140A" w:rsidRPr="00155974">
        <w:rPr>
          <w:szCs w:val="19"/>
          <w:lang w:eastAsia="en-AU"/>
        </w:rPr>
        <w:t>1</w:t>
      </w:r>
      <w:r w:rsidRPr="00155974">
        <w:rPr>
          <w:szCs w:val="19"/>
          <w:lang w:eastAsia="en-AU"/>
        </w:rPr>
        <w:t>]</w:t>
      </w:r>
    </w:p>
    <w:p w14:paraId="7BC08215" w14:textId="7A8C40D6" w:rsidR="00F42DB6" w:rsidRPr="00155974" w:rsidRDefault="00F42DB6" w:rsidP="00022B10">
      <w:pPr>
        <w:pStyle w:val="IASBSectionTitle2Ind"/>
        <w:rPr>
          <w:lang w:eastAsia="en-AU"/>
        </w:rPr>
      </w:pPr>
      <w:r w:rsidRPr="00155974">
        <w:rPr>
          <w:lang w:eastAsia="en-AU"/>
        </w:rPr>
        <w:t>Related Party Disclosures</w:t>
      </w:r>
      <w:r w:rsidRPr="00155974">
        <w:rPr>
          <w:rStyle w:val="FootnoteReference"/>
          <w:sz w:val="22"/>
          <w:szCs w:val="22"/>
          <w:lang w:eastAsia="en-AU"/>
        </w:rPr>
        <w:footnoteReference w:id="32"/>
      </w:r>
    </w:p>
    <w:p w14:paraId="234B472F" w14:textId="77777777" w:rsidR="00F42DB6" w:rsidRPr="00155974" w:rsidRDefault="00F42DB6" w:rsidP="00022B10">
      <w:pPr>
        <w:pStyle w:val="IASBSectionTitle3Ind"/>
        <w:rPr>
          <w:rFonts w:eastAsiaTheme="majorEastAsia"/>
        </w:rPr>
      </w:pPr>
      <w:r w:rsidRPr="00155974">
        <w:rPr>
          <w:rFonts w:eastAsiaTheme="majorEastAsia"/>
        </w:rPr>
        <w:t>Scope of this section</w:t>
      </w:r>
    </w:p>
    <w:p w14:paraId="0CA6A008" w14:textId="6E89AA09" w:rsidR="00F42DB6" w:rsidRPr="00155974" w:rsidRDefault="00F42DB6" w:rsidP="000E61D3">
      <w:pPr>
        <w:pStyle w:val="NumPlain1"/>
        <w:numPr>
          <w:ilvl w:val="0"/>
          <w:numId w:val="84"/>
        </w:numPr>
        <w:ind w:left="782" w:hanging="782"/>
        <w:rPr>
          <w:lang w:eastAsia="en-AU"/>
        </w:rPr>
      </w:pPr>
      <w:bookmarkStart w:id="120" w:name="_Ref35358804"/>
      <w:r w:rsidRPr="00155974">
        <w:rPr>
          <w:lang w:eastAsia="en-AU"/>
        </w:rPr>
        <w:t>This section requires an entity to include in its financial statements the disclosures necessary to draw attention to the possibility that its financial position and profit or loss have been affected by the existence of related parties and by transactions and outstanding balances with such parties.</w:t>
      </w:r>
      <w:r w:rsidR="0009719D" w:rsidRPr="00155974">
        <w:rPr>
          <w:lang w:eastAsia="en-AU"/>
        </w:rPr>
        <w:t xml:space="preserve"> [</w:t>
      </w:r>
      <w:r w:rsidR="0058144C" w:rsidRPr="00155974">
        <w:rPr>
          <w:i/>
          <w:iCs/>
          <w:lang w:eastAsia="en-AU"/>
        </w:rPr>
        <w:t>IFRS for SMEs</w:t>
      </w:r>
      <w:r w:rsidR="0009719D" w:rsidRPr="00155974">
        <w:rPr>
          <w:lang w:eastAsia="en-AU"/>
        </w:rPr>
        <w:t xml:space="preserve"> Standard paragraph 33.1]</w:t>
      </w:r>
      <w:bookmarkEnd w:id="120"/>
    </w:p>
    <w:p w14:paraId="6F5604CE" w14:textId="18D66CED" w:rsidR="00F42DB6" w:rsidRPr="00155974" w:rsidRDefault="00F42DB6" w:rsidP="000E61D3">
      <w:pPr>
        <w:pStyle w:val="NumPlain1"/>
        <w:numPr>
          <w:ilvl w:val="0"/>
          <w:numId w:val="84"/>
        </w:numPr>
        <w:ind w:left="782" w:hanging="782"/>
        <w:rPr>
          <w:lang w:eastAsia="en-AU"/>
        </w:rPr>
      </w:pPr>
      <w:r w:rsidRPr="00155974">
        <w:rPr>
          <w:lang w:eastAsia="en-AU"/>
        </w:rPr>
        <w:t>In considering each possible related party relationship, an entity shall assess the substance of the relationship and not merely the legal form.</w:t>
      </w:r>
      <w:r w:rsidR="00E76F29" w:rsidRPr="00155974">
        <w:rPr>
          <w:lang w:eastAsia="en-AU"/>
        </w:rPr>
        <w:t xml:space="preserve"> [</w:t>
      </w:r>
      <w:r w:rsidR="0058144C" w:rsidRPr="00155974">
        <w:rPr>
          <w:i/>
          <w:iCs/>
          <w:lang w:eastAsia="en-AU"/>
        </w:rPr>
        <w:t>IFRS for SMEs</w:t>
      </w:r>
      <w:r w:rsidR="00E76F29" w:rsidRPr="00155974">
        <w:rPr>
          <w:lang w:eastAsia="en-AU"/>
        </w:rPr>
        <w:t xml:space="preserve"> Standard paragraph 33.3]</w:t>
      </w:r>
    </w:p>
    <w:p w14:paraId="520351FD" w14:textId="628FFA78" w:rsidR="00F42DB6" w:rsidRPr="00155974" w:rsidRDefault="00F42DB6" w:rsidP="00043CE4">
      <w:pPr>
        <w:pStyle w:val="NumPlain1"/>
        <w:keepNext/>
        <w:numPr>
          <w:ilvl w:val="0"/>
          <w:numId w:val="84"/>
        </w:numPr>
        <w:ind w:left="782" w:hanging="782"/>
        <w:rPr>
          <w:lang w:eastAsia="en-AU"/>
        </w:rPr>
      </w:pPr>
      <w:r w:rsidRPr="00155974">
        <w:rPr>
          <w:lang w:eastAsia="en-AU"/>
        </w:rPr>
        <w:t>In the context of this Standard, the following are not necessarily related parties:</w:t>
      </w:r>
    </w:p>
    <w:p w14:paraId="646D3A30" w14:textId="56292DD5" w:rsidR="00F42DB6" w:rsidRPr="002D3722" w:rsidRDefault="00F42DB6" w:rsidP="000E61D3">
      <w:pPr>
        <w:pStyle w:val="ListParagraph"/>
        <w:numPr>
          <w:ilvl w:val="0"/>
          <w:numId w:val="166"/>
        </w:numPr>
        <w:ind w:left="1564" w:hanging="782"/>
        <w:jc w:val="both"/>
        <w:rPr>
          <w:szCs w:val="19"/>
          <w:lang w:eastAsia="en-AU"/>
        </w:rPr>
      </w:pPr>
      <w:r w:rsidRPr="002D3722">
        <w:rPr>
          <w:szCs w:val="19"/>
          <w:lang w:eastAsia="en-AU"/>
        </w:rPr>
        <w:t>two entities simply because they have a director or other member of key management personnel in common;</w:t>
      </w:r>
    </w:p>
    <w:p w14:paraId="4D5E3720" w14:textId="04D02BB5" w:rsidR="00F42DB6" w:rsidRPr="002D3722" w:rsidRDefault="00F42DB6" w:rsidP="000E61D3">
      <w:pPr>
        <w:pStyle w:val="ListParagraph"/>
        <w:numPr>
          <w:ilvl w:val="0"/>
          <w:numId w:val="166"/>
        </w:numPr>
        <w:ind w:left="1564" w:hanging="782"/>
        <w:jc w:val="both"/>
        <w:rPr>
          <w:szCs w:val="19"/>
          <w:lang w:eastAsia="en-AU"/>
        </w:rPr>
      </w:pPr>
      <w:r w:rsidRPr="002D3722">
        <w:rPr>
          <w:szCs w:val="19"/>
          <w:lang w:eastAsia="en-AU"/>
        </w:rPr>
        <w:t>two venturers simply because they share joint control over a joint venture;</w:t>
      </w:r>
    </w:p>
    <w:p w14:paraId="3275B1D9" w14:textId="412984BD" w:rsidR="00F42DB6" w:rsidRPr="002D3722" w:rsidRDefault="00F42DB6" w:rsidP="000E61D3">
      <w:pPr>
        <w:pStyle w:val="ListParagraph"/>
        <w:numPr>
          <w:ilvl w:val="0"/>
          <w:numId w:val="166"/>
        </w:numPr>
        <w:ind w:left="1564" w:hanging="782"/>
        <w:jc w:val="both"/>
        <w:rPr>
          <w:szCs w:val="19"/>
          <w:lang w:eastAsia="en-AU"/>
        </w:rPr>
      </w:pPr>
      <w:r w:rsidRPr="002D3722">
        <w:rPr>
          <w:szCs w:val="19"/>
          <w:lang w:eastAsia="en-AU"/>
        </w:rPr>
        <w:t>any of the following simply by virtue of their normal dealings with an entity (even though they may affect the freedom of action of an entity or participate in its decision-making process):</w:t>
      </w:r>
    </w:p>
    <w:p w14:paraId="6834A8E6" w14:textId="70D61329" w:rsidR="00F42DB6" w:rsidRPr="002D3722" w:rsidRDefault="00F42DB6" w:rsidP="000E61D3">
      <w:pPr>
        <w:pStyle w:val="ListParagraph"/>
        <w:numPr>
          <w:ilvl w:val="0"/>
          <w:numId w:val="167"/>
        </w:numPr>
        <w:ind w:left="2347" w:hanging="782"/>
        <w:jc w:val="both"/>
        <w:rPr>
          <w:szCs w:val="19"/>
          <w:lang w:eastAsia="en-AU"/>
        </w:rPr>
      </w:pPr>
      <w:r w:rsidRPr="002D3722">
        <w:rPr>
          <w:szCs w:val="19"/>
          <w:lang w:eastAsia="en-AU"/>
        </w:rPr>
        <w:t>providers of finance;</w:t>
      </w:r>
    </w:p>
    <w:p w14:paraId="47405BF1" w14:textId="5FA9F731" w:rsidR="00F42DB6" w:rsidRPr="002D3722" w:rsidRDefault="00F42DB6" w:rsidP="000E61D3">
      <w:pPr>
        <w:pStyle w:val="ListParagraph"/>
        <w:numPr>
          <w:ilvl w:val="0"/>
          <w:numId w:val="167"/>
        </w:numPr>
        <w:ind w:left="2347" w:hanging="782"/>
        <w:jc w:val="both"/>
        <w:rPr>
          <w:szCs w:val="19"/>
          <w:lang w:eastAsia="en-AU"/>
        </w:rPr>
      </w:pPr>
      <w:r w:rsidRPr="002D3722">
        <w:rPr>
          <w:szCs w:val="19"/>
          <w:lang w:eastAsia="en-AU"/>
        </w:rPr>
        <w:t>trade unions;</w:t>
      </w:r>
    </w:p>
    <w:p w14:paraId="0B1404F8" w14:textId="167CF0D7" w:rsidR="00F42DB6" w:rsidRPr="002D3722" w:rsidRDefault="00F42DB6" w:rsidP="000E61D3">
      <w:pPr>
        <w:pStyle w:val="ListParagraph"/>
        <w:numPr>
          <w:ilvl w:val="0"/>
          <w:numId w:val="167"/>
        </w:numPr>
        <w:ind w:left="2347" w:hanging="782"/>
        <w:jc w:val="both"/>
        <w:rPr>
          <w:szCs w:val="19"/>
          <w:lang w:eastAsia="en-AU"/>
        </w:rPr>
      </w:pPr>
      <w:r w:rsidRPr="002D3722">
        <w:rPr>
          <w:szCs w:val="19"/>
          <w:lang w:eastAsia="en-AU"/>
        </w:rPr>
        <w:t>public utilities; or</w:t>
      </w:r>
    </w:p>
    <w:p w14:paraId="1A0F5E76" w14:textId="52301A02" w:rsidR="00F42DB6" w:rsidRPr="002D3722" w:rsidRDefault="00F42DB6" w:rsidP="000E61D3">
      <w:pPr>
        <w:pStyle w:val="ListParagraph"/>
        <w:numPr>
          <w:ilvl w:val="0"/>
          <w:numId w:val="167"/>
        </w:numPr>
        <w:ind w:left="2347" w:hanging="782"/>
        <w:jc w:val="both"/>
        <w:rPr>
          <w:szCs w:val="19"/>
          <w:lang w:eastAsia="en-AU"/>
        </w:rPr>
      </w:pPr>
      <w:r w:rsidRPr="002D3722">
        <w:rPr>
          <w:szCs w:val="19"/>
          <w:lang w:eastAsia="en-AU"/>
        </w:rPr>
        <w:t>government departments and agencies</w:t>
      </w:r>
      <w:r w:rsidR="00B2185B" w:rsidRPr="002D3722">
        <w:rPr>
          <w:szCs w:val="19"/>
          <w:lang w:eastAsia="en-AU"/>
        </w:rPr>
        <w:t>; and</w:t>
      </w:r>
    </w:p>
    <w:p w14:paraId="5AA78977" w14:textId="1A629785" w:rsidR="00F42DB6" w:rsidRPr="00155974" w:rsidRDefault="00F42DB6" w:rsidP="00FB2D77">
      <w:pPr>
        <w:pStyle w:val="ListParagraph"/>
        <w:keepNext/>
        <w:numPr>
          <w:ilvl w:val="0"/>
          <w:numId w:val="166"/>
        </w:numPr>
        <w:ind w:left="1564" w:hanging="782"/>
        <w:jc w:val="both"/>
        <w:rPr>
          <w:szCs w:val="19"/>
          <w:lang w:eastAsia="en-AU"/>
        </w:rPr>
      </w:pPr>
      <w:r w:rsidRPr="00155974">
        <w:rPr>
          <w:szCs w:val="19"/>
          <w:lang w:eastAsia="en-AU"/>
        </w:rPr>
        <w:tab/>
        <w:t>a customer, supplier, franchisor, distributor or general agent with whom an entity transacts a significant volume of business, merely by virtue of the resulting economic dependence.</w:t>
      </w:r>
    </w:p>
    <w:p w14:paraId="5F5D3DCD" w14:textId="751D8FBE" w:rsidR="005745B8" w:rsidRPr="00155974" w:rsidRDefault="005745B8" w:rsidP="00205707">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33.4]</w:t>
      </w:r>
    </w:p>
    <w:p w14:paraId="1ACFC655" w14:textId="77777777" w:rsidR="00F42DB6" w:rsidRPr="00155974" w:rsidRDefault="00F42DB6" w:rsidP="00022B10">
      <w:pPr>
        <w:pStyle w:val="IASBSectionTitle3Ind"/>
        <w:rPr>
          <w:rFonts w:eastAsiaTheme="majorEastAsia"/>
        </w:rPr>
      </w:pPr>
      <w:r w:rsidRPr="00155974">
        <w:rPr>
          <w:rFonts w:eastAsiaTheme="majorEastAsia"/>
        </w:rPr>
        <w:t>Disclosure of parent-subsidiary relationships</w:t>
      </w:r>
    </w:p>
    <w:p w14:paraId="2FF8585D" w14:textId="0A206F74" w:rsidR="00F42DB6" w:rsidRPr="00155974" w:rsidRDefault="00F42DB6" w:rsidP="000E61D3">
      <w:pPr>
        <w:pStyle w:val="NumPlain1"/>
        <w:numPr>
          <w:ilvl w:val="0"/>
          <w:numId w:val="84"/>
        </w:numPr>
        <w:ind w:left="782" w:hanging="782"/>
        <w:rPr>
          <w:lang w:eastAsia="en-AU"/>
        </w:rPr>
      </w:pPr>
      <w:bookmarkStart w:id="121" w:name="_Ref34661287"/>
      <w:r w:rsidRPr="00155974">
        <w:rPr>
          <w:lang w:eastAsia="en-AU"/>
        </w:rPr>
        <w:t>Relationships between a parent and its subsidiaries shall be disclosed irrespective of whether there have been related party transactions. An entity shall disclose the name of its parent and, if different, the ultimate controlling party. If neither the entity’s parent nor the ultimate controlling party produces financial statements available for public use, the name of the next most senior parent that does so (if any) shall also be disclosed.</w:t>
      </w:r>
      <w:r w:rsidR="002E6E9E" w:rsidRPr="00155974">
        <w:rPr>
          <w:lang w:eastAsia="en-AU"/>
        </w:rPr>
        <w:t xml:space="preserve"> [</w:t>
      </w:r>
      <w:r w:rsidR="0058144C" w:rsidRPr="00155974">
        <w:rPr>
          <w:i/>
          <w:iCs/>
          <w:lang w:eastAsia="en-AU"/>
        </w:rPr>
        <w:t>IFRS for SMEs</w:t>
      </w:r>
      <w:r w:rsidR="002E6E9E" w:rsidRPr="00155974">
        <w:rPr>
          <w:lang w:eastAsia="en-AU"/>
        </w:rPr>
        <w:t xml:space="preserve"> Standard paragraph 33.5]</w:t>
      </w:r>
      <w:bookmarkEnd w:id="121"/>
    </w:p>
    <w:p w14:paraId="6562A513" w14:textId="77777777" w:rsidR="00F42DB6" w:rsidRPr="00155974" w:rsidRDefault="00F42DB6" w:rsidP="00022B10">
      <w:pPr>
        <w:pStyle w:val="IASBSectionTitle3Ind"/>
        <w:rPr>
          <w:rFonts w:eastAsiaTheme="majorEastAsia"/>
        </w:rPr>
      </w:pPr>
      <w:r w:rsidRPr="00155974">
        <w:rPr>
          <w:rFonts w:eastAsiaTheme="majorEastAsia"/>
        </w:rPr>
        <w:t>Disclosure of key management personnel compensation</w:t>
      </w:r>
    </w:p>
    <w:p w14:paraId="1463BA13" w14:textId="5B205001" w:rsidR="00F42DB6" w:rsidRPr="00155974" w:rsidRDefault="00F42DB6" w:rsidP="000E61D3">
      <w:pPr>
        <w:pStyle w:val="NumPlain1"/>
        <w:numPr>
          <w:ilvl w:val="0"/>
          <w:numId w:val="84"/>
        </w:numPr>
        <w:ind w:left="782" w:hanging="782"/>
        <w:rPr>
          <w:lang w:eastAsia="en-AU"/>
        </w:rPr>
      </w:pPr>
      <w:r w:rsidRPr="00155974">
        <w:rPr>
          <w:lang w:eastAsia="en-AU"/>
        </w:rPr>
        <w:t xml:space="preserve">Key management personnel are those persons having authority and responsibility for planning, directing and controlling the activities of the entity, directly or indirectly, including any director (whether executive or otherwise) of that entity. Compensation includes all employee benefits (as defined in AASB 119) including those in the form of share-based payment (see AASB 2 </w:t>
      </w:r>
      <w:r w:rsidRPr="00155974">
        <w:rPr>
          <w:i/>
          <w:lang w:eastAsia="en-AU"/>
        </w:rPr>
        <w:t>Share-based Payment</w:t>
      </w:r>
      <w:r w:rsidRPr="00155974">
        <w:rPr>
          <w:lang w:eastAsia="en-AU"/>
        </w:rPr>
        <w:t>). Employee benefits include all forms of consideration paid, payable or provided by the entity, or on behalf of the entity (for example, by its parent or by a shareholder), in exchange for services rendered to the entity. It also includes such consideration paid on behalf of a parent of the entity in respect of goods or services provided to the entity.</w:t>
      </w:r>
      <w:r w:rsidR="00290A9A" w:rsidRPr="00155974">
        <w:rPr>
          <w:lang w:eastAsia="en-AU"/>
        </w:rPr>
        <w:t xml:space="preserve"> [</w:t>
      </w:r>
      <w:r w:rsidR="0058144C" w:rsidRPr="00155974">
        <w:rPr>
          <w:i/>
          <w:iCs/>
          <w:lang w:eastAsia="en-AU"/>
        </w:rPr>
        <w:t>IFRS for SMEs</w:t>
      </w:r>
      <w:r w:rsidR="00290A9A" w:rsidRPr="00155974">
        <w:rPr>
          <w:lang w:eastAsia="en-AU"/>
        </w:rPr>
        <w:t xml:space="preserve"> Standard paragraph 33.6]</w:t>
      </w:r>
    </w:p>
    <w:p w14:paraId="50E61B28" w14:textId="01AA28C8" w:rsidR="00F42DB6" w:rsidRPr="00155974" w:rsidRDefault="00F42DB6" w:rsidP="000E61D3">
      <w:pPr>
        <w:pStyle w:val="NumPlain1"/>
        <w:numPr>
          <w:ilvl w:val="0"/>
          <w:numId w:val="84"/>
        </w:numPr>
        <w:ind w:left="782" w:hanging="782"/>
        <w:rPr>
          <w:lang w:eastAsia="en-AU"/>
        </w:rPr>
      </w:pPr>
      <w:bookmarkStart w:id="122" w:name="_Ref34661098"/>
      <w:r w:rsidRPr="00155974">
        <w:rPr>
          <w:lang w:eastAsia="en-AU"/>
        </w:rPr>
        <w:t>An entity shall disclose key management personnel compensation in total.</w:t>
      </w:r>
      <w:r w:rsidR="00DB4884" w:rsidRPr="00155974">
        <w:rPr>
          <w:lang w:eastAsia="en-AU"/>
        </w:rPr>
        <w:t xml:space="preserve"> [</w:t>
      </w:r>
      <w:r w:rsidR="0058144C" w:rsidRPr="00155974">
        <w:rPr>
          <w:i/>
          <w:iCs/>
          <w:lang w:eastAsia="en-AU"/>
        </w:rPr>
        <w:t>IFRS for SMEs</w:t>
      </w:r>
      <w:r w:rsidR="00DB4884" w:rsidRPr="00155974">
        <w:rPr>
          <w:lang w:eastAsia="en-AU"/>
        </w:rPr>
        <w:t xml:space="preserve"> Standard paragraph 33.7]</w:t>
      </w:r>
      <w:bookmarkEnd w:id="122"/>
    </w:p>
    <w:p w14:paraId="26ACA679" w14:textId="19430FF8" w:rsidR="00F42DB6" w:rsidRPr="00155974" w:rsidRDefault="00F42DB6" w:rsidP="000E61D3">
      <w:pPr>
        <w:pStyle w:val="NumPlain1"/>
        <w:numPr>
          <w:ilvl w:val="0"/>
          <w:numId w:val="84"/>
        </w:numPr>
        <w:ind w:left="782" w:hanging="782"/>
        <w:rPr>
          <w:lang w:eastAsia="en-AU"/>
        </w:rPr>
      </w:pPr>
      <w:bookmarkStart w:id="123" w:name="_Ref35359215"/>
      <w:r w:rsidRPr="00155974">
        <w:rPr>
          <w:lang w:eastAsia="en-AU"/>
        </w:rPr>
        <w:t xml:space="preserve">If an entity obtains key management personnel services from another entity (the ‘management entity’), the entity is not required to apply the requirements in paragraph </w:t>
      </w:r>
      <w:r w:rsidR="003726E3" w:rsidRPr="00155974">
        <w:rPr>
          <w:lang w:eastAsia="en-AU"/>
        </w:rPr>
        <w:t>19</w:t>
      </w:r>
      <w:r w:rsidR="00E04AE1" w:rsidRPr="00155974">
        <w:rPr>
          <w:lang w:eastAsia="en-AU"/>
        </w:rPr>
        <w:t>4</w:t>
      </w:r>
      <w:r w:rsidRPr="00155974">
        <w:rPr>
          <w:lang w:eastAsia="en-AU"/>
        </w:rPr>
        <w:t xml:space="preserve"> to the compensation paid or payable by the management entity to the management entity’s employees or directors.</w:t>
      </w:r>
      <w:bookmarkEnd w:id="123"/>
    </w:p>
    <w:p w14:paraId="487B3ABC" w14:textId="3CC8567D" w:rsidR="00F42DB6" w:rsidRPr="00155974" w:rsidRDefault="00F42DB6" w:rsidP="000E61D3">
      <w:pPr>
        <w:pStyle w:val="NumPlain1"/>
        <w:numPr>
          <w:ilvl w:val="0"/>
          <w:numId w:val="84"/>
        </w:numPr>
        <w:ind w:left="782" w:hanging="782"/>
        <w:rPr>
          <w:lang w:eastAsia="en-AU"/>
        </w:rPr>
      </w:pPr>
      <w:bookmarkStart w:id="124" w:name="_Ref35359228"/>
      <w:r w:rsidRPr="00155974">
        <w:rPr>
          <w:lang w:eastAsia="en-AU"/>
        </w:rPr>
        <w:t>Amounts incurred by the entity for the provision of key management personnel services that are provided by a separate management entity shall be disclosed.</w:t>
      </w:r>
      <w:bookmarkEnd w:id="124"/>
    </w:p>
    <w:p w14:paraId="3A8922C7" w14:textId="77777777" w:rsidR="00F42DB6" w:rsidRPr="00155974" w:rsidRDefault="00F42DB6" w:rsidP="00022B10">
      <w:pPr>
        <w:pStyle w:val="IASBSectionTitle3Ind"/>
        <w:rPr>
          <w:rFonts w:eastAsiaTheme="majorEastAsia"/>
        </w:rPr>
      </w:pPr>
      <w:r w:rsidRPr="00155974">
        <w:rPr>
          <w:rFonts w:eastAsiaTheme="majorEastAsia"/>
        </w:rPr>
        <w:lastRenderedPageBreak/>
        <w:t>Disclosure of related party transactions</w:t>
      </w:r>
    </w:p>
    <w:p w14:paraId="3A07F606" w14:textId="6CAAD87E" w:rsidR="00F42DB6" w:rsidRPr="00155974" w:rsidRDefault="00F42DB6" w:rsidP="000E61D3">
      <w:pPr>
        <w:pStyle w:val="NumPlain1"/>
        <w:numPr>
          <w:ilvl w:val="0"/>
          <w:numId w:val="84"/>
        </w:numPr>
        <w:ind w:left="782" w:hanging="782"/>
        <w:rPr>
          <w:lang w:eastAsia="en-AU"/>
        </w:rPr>
      </w:pPr>
      <w:r w:rsidRPr="00155974">
        <w:rPr>
          <w:lang w:eastAsia="en-AU"/>
        </w:rPr>
        <w:t>A related party transaction is a transfer of resources, services or obligations between a reporting entity and a related party, regardless of whether a price is charged. Examples of related party transactions that are common to entities within the scope of this Standard include, but are not limited to:</w:t>
      </w:r>
    </w:p>
    <w:p w14:paraId="5E7613D4" w14:textId="535B8628" w:rsidR="00F42DB6" w:rsidRPr="002D3722" w:rsidRDefault="00F42DB6" w:rsidP="000E61D3">
      <w:pPr>
        <w:pStyle w:val="ListParagraph"/>
        <w:numPr>
          <w:ilvl w:val="0"/>
          <w:numId w:val="168"/>
        </w:numPr>
        <w:ind w:left="1564" w:hanging="782"/>
        <w:jc w:val="both"/>
        <w:rPr>
          <w:szCs w:val="19"/>
          <w:lang w:eastAsia="en-AU"/>
        </w:rPr>
      </w:pPr>
      <w:r w:rsidRPr="002D3722">
        <w:rPr>
          <w:szCs w:val="19"/>
          <w:lang w:eastAsia="en-AU"/>
        </w:rPr>
        <w:t>transactions between an entity and its principal owner(s);</w:t>
      </w:r>
    </w:p>
    <w:p w14:paraId="72E38913" w14:textId="79369940" w:rsidR="00F42DB6" w:rsidRPr="002D3722" w:rsidRDefault="00F42DB6" w:rsidP="000E61D3">
      <w:pPr>
        <w:pStyle w:val="ListParagraph"/>
        <w:numPr>
          <w:ilvl w:val="0"/>
          <w:numId w:val="168"/>
        </w:numPr>
        <w:ind w:left="1564" w:hanging="782"/>
        <w:jc w:val="both"/>
        <w:rPr>
          <w:szCs w:val="19"/>
          <w:lang w:eastAsia="en-AU"/>
        </w:rPr>
      </w:pPr>
      <w:r w:rsidRPr="002D3722">
        <w:rPr>
          <w:szCs w:val="19"/>
          <w:lang w:eastAsia="en-AU"/>
        </w:rPr>
        <w:t>transactions between an entity and another entity when both entities are under the common control of a single entity or person; and</w:t>
      </w:r>
    </w:p>
    <w:p w14:paraId="1E0E8EAC" w14:textId="3EA21B98" w:rsidR="00F42DB6" w:rsidRPr="002D3722" w:rsidRDefault="00F42DB6" w:rsidP="00FB2D77">
      <w:pPr>
        <w:pStyle w:val="ListParagraph"/>
        <w:keepNext/>
        <w:numPr>
          <w:ilvl w:val="0"/>
          <w:numId w:val="168"/>
        </w:numPr>
        <w:ind w:left="1564" w:hanging="782"/>
        <w:jc w:val="both"/>
        <w:rPr>
          <w:szCs w:val="19"/>
          <w:lang w:eastAsia="en-AU"/>
        </w:rPr>
      </w:pPr>
      <w:r w:rsidRPr="002D3722">
        <w:rPr>
          <w:szCs w:val="19"/>
          <w:lang w:eastAsia="en-AU"/>
        </w:rPr>
        <w:t>transactions in which an entity or person that controls the reporting entity incurs expenses directly that otherwise would have been borne by the reporting entity.</w:t>
      </w:r>
    </w:p>
    <w:p w14:paraId="13C56FC9" w14:textId="2EE1C156" w:rsidR="00300344" w:rsidRPr="00155974" w:rsidRDefault="00300344" w:rsidP="00AD603B">
      <w:pPr>
        <w:spacing w:after="100"/>
        <w:ind w:left="1564" w:hanging="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33.8]</w:t>
      </w:r>
    </w:p>
    <w:p w14:paraId="2F841E33" w14:textId="6F2B4A1E" w:rsidR="00F42DB6" w:rsidRPr="00155974" w:rsidRDefault="00F42DB6" w:rsidP="000E61D3">
      <w:pPr>
        <w:pStyle w:val="NumPlain1"/>
        <w:numPr>
          <w:ilvl w:val="0"/>
          <w:numId w:val="84"/>
        </w:numPr>
        <w:ind w:left="782" w:hanging="782"/>
        <w:rPr>
          <w:lang w:eastAsia="en-AU"/>
        </w:rPr>
      </w:pPr>
      <w:bookmarkStart w:id="125" w:name="_Ref34661324"/>
      <w:r w:rsidRPr="00155974">
        <w:rPr>
          <w:lang w:eastAsia="en-AU"/>
        </w:rPr>
        <w:t xml:space="preserve">If an entity has related party transactions, it shall disclose the nature of the related party relationship as well as information about the transactions, outstanding balances and commitments necessary for an understanding of the potential effect of the relationship on the financial statements. Those disclosure requirements are in addition to the requirements in paragraph </w:t>
      </w:r>
      <w:r w:rsidR="003726E3" w:rsidRPr="00155974">
        <w:rPr>
          <w:lang w:eastAsia="en-AU"/>
        </w:rPr>
        <w:t>19</w:t>
      </w:r>
      <w:r w:rsidR="00035F7D" w:rsidRPr="00155974">
        <w:rPr>
          <w:lang w:eastAsia="en-AU"/>
        </w:rPr>
        <w:t>4</w:t>
      </w:r>
      <w:r w:rsidRPr="00155974">
        <w:rPr>
          <w:lang w:eastAsia="en-AU"/>
        </w:rPr>
        <w:t xml:space="preserve"> to disclose key management personnel compensation. At a minimum, disclosures shall include:</w:t>
      </w:r>
      <w:bookmarkEnd w:id="125"/>
    </w:p>
    <w:p w14:paraId="7A874977" w14:textId="6C096D0F" w:rsidR="00F42DB6" w:rsidRPr="002D3722" w:rsidRDefault="00F42DB6" w:rsidP="000E61D3">
      <w:pPr>
        <w:pStyle w:val="ListParagraph"/>
        <w:numPr>
          <w:ilvl w:val="0"/>
          <w:numId w:val="169"/>
        </w:numPr>
        <w:ind w:left="1564" w:hanging="782"/>
        <w:jc w:val="both"/>
        <w:rPr>
          <w:szCs w:val="19"/>
          <w:lang w:eastAsia="en-AU"/>
        </w:rPr>
      </w:pPr>
      <w:r w:rsidRPr="002D3722">
        <w:rPr>
          <w:szCs w:val="19"/>
          <w:lang w:eastAsia="en-AU"/>
        </w:rPr>
        <w:t>the amount of the transactions;</w:t>
      </w:r>
    </w:p>
    <w:p w14:paraId="331A4A40" w14:textId="40A9C64B" w:rsidR="00F42DB6" w:rsidRPr="002D3722" w:rsidRDefault="00F42DB6" w:rsidP="00043CE4">
      <w:pPr>
        <w:pStyle w:val="ListParagraph"/>
        <w:keepNext/>
        <w:numPr>
          <w:ilvl w:val="0"/>
          <w:numId w:val="169"/>
        </w:numPr>
        <w:ind w:left="1564" w:hanging="782"/>
        <w:jc w:val="both"/>
        <w:rPr>
          <w:szCs w:val="19"/>
          <w:lang w:eastAsia="en-AU"/>
        </w:rPr>
      </w:pPr>
      <w:r w:rsidRPr="002D3722">
        <w:rPr>
          <w:szCs w:val="19"/>
          <w:lang w:eastAsia="en-AU"/>
        </w:rPr>
        <w:t>the amount of outstanding balances and:</w:t>
      </w:r>
    </w:p>
    <w:p w14:paraId="129F4202" w14:textId="4C29102D" w:rsidR="00F42DB6" w:rsidRPr="002D3722" w:rsidRDefault="00F42DB6" w:rsidP="000E61D3">
      <w:pPr>
        <w:pStyle w:val="ListParagraph"/>
        <w:numPr>
          <w:ilvl w:val="0"/>
          <w:numId w:val="170"/>
        </w:numPr>
        <w:ind w:left="2347" w:hanging="782"/>
        <w:jc w:val="both"/>
        <w:rPr>
          <w:szCs w:val="19"/>
          <w:lang w:eastAsia="en-AU"/>
        </w:rPr>
      </w:pPr>
      <w:r w:rsidRPr="002D3722">
        <w:rPr>
          <w:szCs w:val="19"/>
          <w:lang w:eastAsia="en-AU"/>
        </w:rPr>
        <w:t>their terms and conditions, including whether they are secured and the nature of the consideration to be provided in settlement; and</w:t>
      </w:r>
    </w:p>
    <w:p w14:paraId="02B40885" w14:textId="5E5E5B86" w:rsidR="00F42DB6" w:rsidRPr="002D3722" w:rsidRDefault="00F42DB6" w:rsidP="000E61D3">
      <w:pPr>
        <w:pStyle w:val="ListParagraph"/>
        <w:numPr>
          <w:ilvl w:val="0"/>
          <w:numId w:val="170"/>
        </w:numPr>
        <w:ind w:left="2347" w:hanging="782"/>
        <w:jc w:val="both"/>
        <w:rPr>
          <w:szCs w:val="19"/>
          <w:lang w:eastAsia="en-AU"/>
        </w:rPr>
      </w:pPr>
      <w:r w:rsidRPr="002D3722">
        <w:rPr>
          <w:szCs w:val="19"/>
          <w:lang w:eastAsia="en-AU"/>
        </w:rPr>
        <w:t>details of any guarantees given or received</w:t>
      </w:r>
      <w:r w:rsidR="00A363CC" w:rsidRPr="002D3722">
        <w:rPr>
          <w:szCs w:val="19"/>
          <w:lang w:eastAsia="en-AU"/>
        </w:rPr>
        <w:t>;</w:t>
      </w:r>
    </w:p>
    <w:p w14:paraId="4FB775DC" w14:textId="64EA00F7" w:rsidR="00F42DB6" w:rsidRPr="00155974" w:rsidRDefault="00F42DB6" w:rsidP="000E61D3">
      <w:pPr>
        <w:pStyle w:val="ListParagraph"/>
        <w:numPr>
          <w:ilvl w:val="0"/>
          <w:numId w:val="169"/>
        </w:numPr>
        <w:ind w:left="1564" w:hanging="782"/>
        <w:jc w:val="both"/>
        <w:rPr>
          <w:szCs w:val="19"/>
          <w:lang w:eastAsia="en-AU"/>
        </w:rPr>
      </w:pPr>
      <w:r w:rsidRPr="00155974">
        <w:rPr>
          <w:szCs w:val="19"/>
          <w:lang w:eastAsia="en-AU"/>
        </w:rPr>
        <w:tab/>
        <w:t>provisions for uncollectable receivables related to the amount of outstanding balances; and</w:t>
      </w:r>
    </w:p>
    <w:p w14:paraId="4C3164D2" w14:textId="0033E30B" w:rsidR="00F42DB6" w:rsidRPr="00155974" w:rsidRDefault="00F42DB6" w:rsidP="000E61D3">
      <w:pPr>
        <w:pStyle w:val="ListParagraph"/>
        <w:numPr>
          <w:ilvl w:val="0"/>
          <w:numId w:val="169"/>
        </w:numPr>
        <w:ind w:left="1564" w:hanging="782"/>
        <w:jc w:val="both"/>
        <w:rPr>
          <w:szCs w:val="19"/>
          <w:lang w:eastAsia="en-AU"/>
        </w:rPr>
      </w:pPr>
      <w:r w:rsidRPr="00155974">
        <w:rPr>
          <w:szCs w:val="19"/>
          <w:lang w:eastAsia="en-AU"/>
        </w:rPr>
        <w:t>the expense recognised during the period in respect of bad or doubtful debts due from related parties.</w:t>
      </w:r>
    </w:p>
    <w:p w14:paraId="1DF5AC59" w14:textId="25C2BB23" w:rsidR="00F42DB6" w:rsidRPr="00155974" w:rsidRDefault="00F42DB6" w:rsidP="009E1AF9">
      <w:pPr>
        <w:spacing w:after="100"/>
        <w:ind w:left="782"/>
        <w:rPr>
          <w:szCs w:val="19"/>
          <w:lang w:eastAsia="en-AU"/>
        </w:rPr>
      </w:pPr>
      <w:r w:rsidRPr="00155974">
        <w:rPr>
          <w:szCs w:val="19"/>
          <w:lang w:eastAsia="en-AU"/>
        </w:rPr>
        <w:t>Such transactions could include purchases, sales or transfers of goods or services; leases; guarantees; and settlements by the entity on behalf of the related party or vice versa.</w:t>
      </w:r>
      <w:r w:rsidR="00E41C3F" w:rsidRPr="00155974">
        <w:rPr>
          <w:szCs w:val="19"/>
          <w:lang w:eastAsia="en-AU"/>
        </w:rPr>
        <w:t xml:space="preserve"> [</w:t>
      </w:r>
      <w:r w:rsidR="0058144C" w:rsidRPr="00155974">
        <w:rPr>
          <w:i/>
          <w:iCs/>
          <w:szCs w:val="19"/>
          <w:lang w:eastAsia="en-AU"/>
        </w:rPr>
        <w:t>IFRS for SMEs</w:t>
      </w:r>
      <w:r w:rsidR="00E41C3F" w:rsidRPr="00155974">
        <w:rPr>
          <w:szCs w:val="19"/>
          <w:lang w:eastAsia="en-AU"/>
        </w:rPr>
        <w:t xml:space="preserve"> Standard paragraph 33.9]</w:t>
      </w:r>
    </w:p>
    <w:p w14:paraId="74E1A6EC" w14:textId="2AE7EA08" w:rsidR="00F42DB6" w:rsidRPr="00155974" w:rsidRDefault="00F42DB6" w:rsidP="00043CE4">
      <w:pPr>
        <w:pStyle w:val="NumPlain1"/>
        <w:keepNext/>
        <w:numPr>
          <w:ilvl w:val="0"/>
          <w:numId w:val="84"/>
        </w:numPr>
        <w:ind w:left="782" w:hanging="782"/>
        <w:rPr>
          <w:lang w:eastAsia="en-AU"/>
        </w:rPr>
      </w:pPr>
      <w:bookmarkStart w:id="126" w:name="_Ref34661303"/>
      <w:r w:rsidRPr="00155974">
        <w:rPr>
          <w:lang w:eastAsia="en-AU"/>
        </w:rPr>
        <w:t xml:space="preserve">An entity shall make the disclosures required by paragraph </w:t>
      </w:r>
      <w:r w:rsidR="003726E3" w:rsidRPr="00155974">
        <w:rPr>
          <w:lang w:eastAsia="en-AU"/>
        </w:rPr>
        <w:t>19</w:t>
      </w:r>
      <w:r w:rsidR="008F6888" w:rsidRPr="00155974">
        <w:rPr>
          <w:lang w:eastAsia="en-AU"/>
        </w:rPr>
        <w:t>8</w:t>
      </w:r>
      <w:r w:rsidRPr="00155974">
        <w:rPr>
          <w:lang w:eastAsia="en-AU"/>
        </w:rPr>
        <w:t xml:space="preserve"> separately for each of the following categories:</w:t>
      </w:r>
      <w:bookmarkEnd w:id="126"/>
    </w:p>
    <w:p w14:paraId="0FCDAEB6" w14:textId="6199D245" w:rsidR="00F42DB6" w:rsidRPr="002D3722" w:rsidRDefault="00F42DB6" w:rsidP="000E61D3">
      <w:pPr>
        <w:pStyle w:val="ListParagraph"/>
        <w:numPr>
          <w:ilvl w:val="0"/>
          <w:numId w:val="171"/>
        </w:numPr>
        <w:ind w:left="1564" w:hanging="782"/>
        <w:jc w:val="both"/>
        <w:rPr>
          <w:szCs w:val="19"/>
          <w:lang w:eastAsia="en-AU"/>
        </w:rPr>
      </w:pPr>
      <w:r w:rsidRPr="002D3722">
        <w:rPr>
          <w:szCs w:val="19"/>
          <w:lang w:eastAsia="en-AU"/>
        </w:rPr>
        <w:t>entities with control, joint control or significant influence over the entity;</w:t>
      </w:r>
    </w:p>
    <w:p w14:paraId="60B44313" w14:textId="65248086" w:rsidR="00F42DB6" w:rsidRPr="002D3722" w:rsidRDefault="00F42DB6" w:rsidP="000E61D3">
      <w:pPr>
        <w:pStyle w:val="ListParagraph"/>
        <w:numPr>
          <w:ilvl w:val="0"/>
          <w:numId w:val="171"/>
        </w:numPr>
        <w:ind w:left="1564" w:hanging="782"/>
        <w:jc w:val="both"/>
        <w:rPr>
          <w:szCs w:val="19"/>
          <w:lang w:eastAsia="en-AU"/>
        </w:rPr>
      </w:pPr>
      <w:r w:rsidRPr="002D3722">
        <w:rPr>
          <w:szCs w:val="19"/>
          <w:lang w:eastAsia="en-AU"/>
        </w:rPr>
        <w:t>entities over which the entity has control, joint control or significant influence;</w:t>
      </w:r>
    </w:p>
    <w:p w14:paraId="7E7E0A43" w14:textId="44638CA4" w:rsidR="00F42DB6" w:rsidRPr="002D3722" w:rsidRDefault="00F42DB6" w:rsidP="000E61D3">
      <w:pPr>
        <w:pStyle w:val="ListParagraph"/>
        <w:numPr>
          <w:ilvl w:val="0"/>
          <w:numId w:val="171"/>
        </w:numPr>
        <w:ind w:left="1564" w:hanging="782"/>
        <w:jc w:val="both"/>
        <w:rPr>
          <w:szCs w:val="19"/>
          <w:lang w:eastAsia="en-AU"/>
        </w:rPr>
      </w:pPr>
      <w:r w:rsidRPr="002D3722">
        <w:rPr>
          <w:szCs w:val="19"/>
          <w:lang w:eastAsia="en-AU"/>
        </w:rPr>
        <w:t>key management personnel of the entity or its parent (in the aggregate); and</w:t>
      </w:r>
    </w:p>
    <w:p w14:paraId="445CAECA" w14:textId="294BCC59" w:rsidR="00F42DB6" w:rsidRPr="002D3722" w:rsidRDefault="00F42DB6" w:rsidP="00FB2D77">
      <w:pPr>
        <w:pStyle w:val="ListParagraph"/>
        <w:keepNext/>
        <w:numPr>
          <w:ilvl w:val="0"/>
          <w:numId w:val="171"/>
        </w:numPr>
        <w:ind w:left="1564" w:hanging="782"/>
        <w:jc w:val="both"/>
        <w:rPr>
          <w:szCs w:val="19"/>
          <w:lang w:eastAsia="en-AU"/>
        </w:rPr>
      </w:pPr>
      <w:r w:rsidRPr="002D3722">
        <w:rPr>
          <w:szCs w:val="19"/>
          <w:lang w:eastAsia="en-AU"/>
        </w:rPr>
        <w:t>other related parties.</w:t>
      </w:r>
    </w:p>
    <w:p w14:paraId="10B5943B" w14:textId="3A91FEB7" w:rsidR="004357F1" w:rsidRPr="00155974" w:rsidRDefault="004357F1" w:rsidP="009E1AF9">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33.10]</w:t>
      </w:r>
    </w:p>
    <w:p w14:paraId="32AA5E5D" w14:textId="3BBFA43D" w:rsidR="00F42DB6" w:rsidRPr="00155974" w:rsidRDefault="00F42DB6" w:rsidP="00043CE4">
      <w:pPr>
        <w:pStyle w:val="NumPlain1"/>
        <w:keepNext/>
        <w:numPr>
          <w:ilvl w:val="0"/>
          <w:numId w:val="84"/>
        </w:numPr>
        <w:ind w:left="782" w:hanging="782"/>
        <w:rPr>
          <w:lang w:eastAsia="en-AU"/>
        </w:rPr>
      </w:pPr>
      <w:bookmarkStart w:id="127" w:name="_Ref35360097"/>
      <w:r w:rsidRPr="00155974">
        <w:rPr>
          <w:lang w:eastAsia="en-AU"/>
        </w:rPr>
        <w:t xml:space="preserve">An entity is exempt from the disclosure requirements of paragraph </w:t>
      </w:r>
      <w:r w:rsidR="001B3A36" w:rsidRPr="00155974">
        <w:rPr>
          <w:lang w:eastAsia="en-AU"/>
        </w:rPr>
        <w:t>19</w:t>
      </w:r>
      <w:r w:rsidR="00182C2E">
        <w:rPr>
          <w:lang w:eastAsia="en-AU"/>
        </w:rPr>
        <w:t>8</w:t>
      </w:r>
      <w:r w:rsidRPr="00155974">
        <w:rPr>
          <w:lang w:eastAsia="en-AU"/>
        </w:rPr>
        <w:t xml:space="preserve"> in relation to:</w:t>
      </w:r>
      <w:bookmarkEnd w:id="127"/>
    </w:p>
    <w:p w14:paraId="4CF2ED9A" w14:textId="5BEB3DB5" w:rsidR="00F42DB6" w:rsidRPr="002D3722" w:rsidRDefault="00F42DB6" w:rsidP="000E61D3">
      <w:pPr>
        <w:pStyle w:val="ListParagraph"/>
        <w:numPr>
          <w:ilvl w:val="0"/>
          <w:numId w:val="172"/>
        </w:numPr>
        <w:ind w:left="1564" w:hanging="782"/>
        <w:jc w:val="both"/>
        <w:rPr>
          <w:szCs w:val="19"/>
          <w:lang w:eastAsia="en-AU"/>
        </w:rPr>
      </w:pPr>
      <w:r w:rsidRPr="002D3722">
        <w:rPr>
          <w:szCs w:val="19"/>
          <w:lang w:eastAsia="en-AU"/>
        </w:rPr>
        <w:t>a state (a national, regional or local government) that has control, joint control or significant influence over the reporting entity; and</w:t>
      </w:r>
    </w:p>
    <w:p w14:paraId="1E92024A" w14:textId="6AAB3E9D" w:rsidR="00F42DB6" w:rsidRPr="002D3722" w:rsidRDefault="00F42DB6" w:rsidP="000E61D3">
      <w:pPr>
        <w:pStyle w:val="ListParagraph"/>
        <w:numPr>
          <w:ilvl w:val="0"/>
          <w:numId w:val="172"/>
        </w:numPr>
        <w:ind w:left="1564" w:hanging="782"/>
        <w:jc w:val="both"/>
        <w:rPr>
          <w:szCs w:val="19"/>
          <w:lang w:eastAsia="en-AU"/>
        </w:rPr>
      </w:pPr>
      <w:r w:rsidRPr="002D3722">
        <w:rPr>
          <w:szCs w:val="19"/>
          <w:lang w:eastAsia="en-AU"/>
        </w:rPr>
        <w:t>another entity that is a related party because the same state has control, joint control or significant influence over both the reporting entity and the other entity.</w:t>
      </w:r>
    </w:p>
    <w:p w14:paraId="626EA673" w14:textId="37F6F0D4" w:rsidR="003D3C89" w:rsidRPr="00155974" w:rsidRDefault="00F42DB6" w:rsidP="009E1AF9">
      <w:pPr>
        <w:spacing w:after="100"/>
        <w:ind w:left="782"/>
        <w:rPr>
          <w:szCs w:val="19"/>
          <w:lang w:eastAsia="en-AU"/>
        </w:rPr>
      </w:pPr>
      <w:r w:rsidRPr="00155974">
        <w:rPr>
          <w:szCs w:val="19"/>
          <w:lang w:eastAsia="en-AU"/>
        </w:rPr>
        <w:t>However, the entity must still disclose a parent-subsidiary relationship as required by paragraph</w:t>
      </w:r>
      <w:r w:rsidR="008D53E0" w:rsidRPr="00155974">
        <w:rPr>
          <w:szCs w:val="19"/>
          <w:lang w:eastAsia="en-AU"/>
        </w:rPr>
        <w:t xml:space="preserve"> </w:t>
      </w:r>
      <w:r w:rsidR="003726E3" w:rsidRPr="00155974">
        <w:rPr>
          <w:szCs w:val="19"/>
          <w:lang w:eastAsia="en-AU"/>
        </w:rPr>
        <w:t>19</w:t>
      </w:r>
      <w:r w:rsidR="001B3A36" w:rsidRPr="00155974">
        <w:rPr>
          <w:szCs w:val="19"/>
          <w:lang w:eastAsia="en-AU"/>
        </w:rPr>
        <w:t>2</w:t>
      </w:r>
      <w:r w:rsidRPr="00155974">
        <w:rPr>
          <w:szCs w:val="19"/>
          <w:lang w:eastAsia="en-AU"/>
        </w:rPr>
        <w:t>.</w:t>
      </w:r>
      <w:r w:rsidR="00B775B7" w:rsidRPr="00155974">
        <w:rPr>
          <w:szCs w:val="19"/>
          <w:lang w:eastAsia="en-AU"/>
        </w:rPr>
        <w:t xml:space="preserve"> [</w:t>
      </w:r>
      <w:r w:rsidR="0058144C" w:rsidRPr="00155974">
        <w:rPr>
          <w:i/>
          <w:iCs/>
          <w:szCs w:val="19"/>
          <w:lang w:eastAsia="en-AU"/>
        </w:rPr>
        <w:t>IFRS for SMEs</w:t>
      </w:r>
      <w:r w:rsidR="00B775B7" w:rsidRPr="00155974">
        <w:rPr>
          <w:szCs w:val="19"/>
          <w:lang w:eastAsia="en-AU"/>
        </w:rPr>
        <w:t xml:space="preserve"> Standard paragraph 33.1</w:t>
      </w:r>
      <w:r w:rsidR="00FD6547" w:rsidRPr="00155974">
        <w:rPr>
          <w:szCs w:val="19"/>
          <w:lang w:eastAsia="en-AU"/>
        </w:rPr>
        <w:t>1</w:t>
      </w:r>
      <w:r w:rsidR="00B775B7" w:rsidRPr="00155974">
        <w:rPr>
          <w:szCs w:val="19"/>
          <w:lang w:eastAsia="en-AU"/>
        </w:rPr>
        <w:t>]</w:t>
      </w:r>
    </w:p>
    <w:p w14:paraId="49F47440" w14:textId="764AB601" w:rsidR="00F42DB6" w:rsidRPr="00155974" w:rsidRDefault="00F42DB6" w:rsidP="00043CE4">
      <w:pPr>
        <w:pStyle w:val="NumPlain1"/>
        <w:keepNext/>
        <w:numPr>
          <w:ilvl w:val="0"/>
          <w:numId w:val="84"/>
        </w:numPr>
        <w:ind w:left="782" w:hanging="782"/>
        <w:rPr>
          <w:lang w:eastAsia="en-AU"/>
        </w:rPr>
      </w:pPr>
      <w:r w:rsidRPr="00155974">
        <w:rPr>
          <w:lang w:eastAsia="en-AU"/>
        </w:rPr>
        <w:t>The following are examples of transactions that shall be disclosed if they are with a related party:</w:t>
      </w:r>
    </w:p>
    <w:p w14:paraId="421C995C" w14:textId="468E0286"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purchases or sales of goods (finished or unfinished);</w:t>
      </w:r>
    </w:p>
    <w:p w14:paraId="5E343DA7" w14:textId="5103A153"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purchases or sales of property and other assets;</w:t>
      </w:r>
    </w:p>
    <w:p w14:paraId="152E2AB4" w14:textId="1350D468"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rendering or receiving of services;</w:t>
      </w:r>
    </w:p>
    <w:p w14:paraId="2728F89C" w14:textId="1EF158CC"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leases;</w:t>
      </w:r>
    </w:p>
    <w:p w14:paraId="69D63B81" w14:textId="2BE85ABC"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transfers of research and development;</w:t>
      </w:r>
    </w:p>
    <w:p w14:paraId="5AB5C4F7" w14:textId="0BEDA2DC"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transfers under licence agreements;</w:t>
      </w:r>
    </w:p>
    <w:p w14:paraId="0A52104D" w14:textId="368D8D1E"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transfers under finance arrangements (including loans and equity contributions in cash or in kind);</w:t>
      </w:r>
    </w:p>
    <w:p w14:paraId="094801EA" w14:textId="6F6B7E67"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lastRenderedPageBreak/>
        <w:t>provision of guarantees or collateral;</w:t>
      </w:r>
    </w:p>
    <w:p w14:paraId="2A7E1A5E" w14:textId="09DD32B4" w:rsidR="00F42DB6"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 xml:space="preserve">settlement of liabilities on behalf of the entity or by the entity on behalf of another party; </w:t>
      </w:r>
    </w:p>
    <w:p w14:paraId="0CA50A8B" w14:textId="05EECB7B" w:rsidR="00E06FC4" w:rsidRPr="002D3722" w:rsidRDefault="00F42DB6" w:rsidP="000E61D3">
      <w:pPr>
        <w:pStyle w:val="ListParagraph"/>
        <w:numPr>
          <w:ilvl w:val="0"/>
          <w:numId w:val="173"/>
        </w:numPr>
        <w:ind w:left="1564" w:hanging="782"/>
        <w:jc w:val="both"/>
        <w:rPr>
          <w:szCs w:val="19"/>
          <w:lang w:eastAsia="en-AU"/>
        </w:rPr>
      </w:pPr>
      <w:r w:rsidRPr="002D3722">
        <w:rPr>
          <w:szCs w:val="19"/>
          <w:lang w:eastAsia="en-AU"/>
        </w:rPr>
        <w:t>participation by a parent or subsidiary in a defined benefit plan that shares risks between group entities</w:t>
      </w:r>
      <w:r w:rsidR="008B6E7A" w:rsidRPr="002D3722">
        <w:rPr>
          <w:szCs w:val="19"/>
          <w:lang w:eastAsia="en-AU"/>
        </w:rPr>
        <w:t>;</w:t>
      </w:r>
      <w:r w:rsidR="005C1F9F" w:rsidRPr="002D3722">
        <w:rPr>
          <w:szCs w:val="19"/>
          <w:lang w:eastAsia="en-AU"/>
        </w:rPr>
        <w:t xml:space="preserve"> and</w:t>
      </w:r>
      <w:r w:rsidR="008B6E7A" w:rsidRPr="002D3722">
        <w:rPr>
          <w:szCs w:val="19"/>
          <w:lang w:eastAsia="en-AU"/>
        </w:rPr>
        <w:t xml:space="preserve"> </w:t>
      </w:r>
    </w:p>
    <w:p w14:paraId="42C65001" w14:textId="7ED047CB" w:rsidR="00F42DB6" w:rsidRPr="002D3722" w:rsidRDefault="00E36423" w:rsidP="00FB2D77">
      <w:pPr>
        <w:pStyle w:val="ListParagraph"/>
        <w:keepNext/>
        <w:numPr>
          <w:ilvl w:val="0"/>
          <w:numId w:val="173"/>
        </w:numPr>
        <w:ind w:left="1564" w:hanging="782"/>
        <w:jc w:val="both"/>
        <w:rPr>
          <w:szCs w:val="19"/>
        </w:rPr>
      </w:pPr>
      <w:r w:rsidRPr="002D3722">
        <w:rPr>
          <w:szCs w:val="19"/>
        </w:rPr>
        <w:t>commitments to do something if a particular event occurs, or does not occur in the future, including executory contracts</w:t>
      </w:r>
      <w:r w:rsidR="00A07697" w:rsidRPr="00155974">
        <w:rPr>
          <w:rStyle w:val="FootnoteReference"/>
          <w:sz w:val="20"/>
        </w:rPr>
        <w:footnoteReference w:id="33"/>
      </w:r>
      <w:r w:rsidR="00A07697" w:rsidRPr="002D3722">
        <w:rPr>
          <w:sz w:val="20"/>
        </w:rPr>
        <w:t xml:space="preserve"> </w:t>
      </w:r>
      <w:r w:rsidRPr="002D3722">
        <w:rPr>
          <w:szCs w:val="19"/>
        </w:rPr>
        <w:t>(recognised or unrecognised).</w:t>
      </w:r>
    </w:p>
    <w:p w14:paraId="314D3508" w14:textId="1781C4AB" w:rsidR="003C1829" w:rsidRPr="00155974" w:rsidRDefault="003C1829" w:rsidP="009E1AF9">
      <w:pPr>
        <w:spacing w:after="100"/>
        <w:ind w:left="1564" w:hanging="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33.12]</w:t>
      </w:r>
    </w:p>
    <w:p w14:paraId="4CF8179F" w14:textId="68628AD1" w:rsidR="00F42DB6" w:rsidRPr="00155974" w:rsidRDefault="00F42DB6" w:rsidP="000E61D3">
      <w:pPr>
        <w:pStyle w:val="NumPlain1"/>
        <w:numPr>
          <w:ilvl w:val="0"/>
          <w:numId w:val="84"/>
        </w:numPr>
        <w:ind w:left="782" w:hanging="782"/>
        <w:rPr>
          <w:lang w:eastAsia="en-AU"/>
        </w:rPr>
      </w:pPr>
      <w:r w:rsidRPr="00155974">
        <w:rPr>
          <w:lang w:eastAsia="en-AU"/>
        </w:rPr>
        <w:t>An entity shall not state that related party transactions were made on terms equivalent to those that prevail in arm’s length transactions unless such terms can be substantiated.</w:t>
      </w:r>
      <w:r w:rsidR="004A18CB" w:rsidRPr="00155974">
        <w:rPr>
          <w:lang w:eastAsia="en-AU"/>
        </w:rPr>
        <w:t xml:space="preserve"> [</w:t>
      </w:r>
      <w:r w:rsidR="0058144C" w:rsidRPr="00155974">
        <w:rPr>
          <w:i/>
          <w:iCs/>
          <w:lang w:eastAsia="en-AU"/>
        </w:rPr>
        <w:t>IFRS for SMEs</w:t>
      </w:r>
      <w:r w:rsidR="004A18CB" w:rsidRPr="00155974">
        <w:rPr>
          <w:lang w:eastAsia="en-AU"/>
        </w:rPr>
        <w:t xml:space="preserve"> Standard paragraph 33.13]</w:t>
      </w:r>
    </w:p>
    <w:p w14:paraId="64AEFFC2" w14:textId="277464B2" w:rsidR="00F42DB6" w:rsidRPr="00155974" w:rsidRDefault="00F42DB6" w:rsidP="000E61D3">
      <w:pPr>
        <w:pStyle w:val="NumPlain1"/>
        <w:numPr>
          <w:ilvl w:val="0"/>
          <w:numId w:val="84"/>
        </w:numPr>
        <w:ind w:left="782" w:hanging="782"/>
        <w:rPr>
          <w:lang w:eastAsia="en-AU"/>
        </w:rPr>
      </w:pPr>
      <w:bookmarkStart w:id="128" w:name="_Ref35358816"/>
      <w:r w:rsidRPr="00155974">
        <w:rPr>
          <w:lang w:eastAsia="en-AU"/>
        </w:rPr>
        <w:t>An entity may disclose items of a similar nature in the aggregate except when separate disclosure is necessary for an understanding of the effects of related party transactions on the financial statements of the entity.</w:t>
      </w:r>
      <w:r w:rsidR="004A18CB" w:rsidRPr="00155974">
        <w:rPr>
          <w:lang w:eastAsia="en-AU"/>
        </w:rPr>
        <w:t xml:space="preserve"> [</w:t>
      </w:r>
      <w:r w:rsidR="0058144C" w:rsidRPr="00155974">
        <w:rPr>
          <w:i/>
          <w:iCs/>
          <w:lang w:eastAsia="en-AU"/>
        </w:rPr>
        <w:t>IFRS for SMEs</w:t>
      </w:r>
      <w:r w:rsidR="004A18CB" w:rsidRPr="00155974">
        <w:rPr>
          <w:lang w:eastAsia="en-AU"/>
        </w:rPr>
        <w:t xml:space="preserve"> Standard paragraph 33.14]</w:t>
      </w:r>
      <w:bookmarkEnd w:id="128"/>
    </w:p>
    <w:p w14:paraId="350D30B1" w14:textId="77777777" w:rsidR="00F42DB6" w:rsidRPr="00155974" w:rsidRDefault="00F42DB6" w:rsidP="00022B10">
      <w:pPr>
        <w:pStyle w:val="IASBSectionTitle2Ind"/>
        <w:rPr>
          <w:lang w:eastAsia="en-AU"/>
        </w:rPr>
      </w:pPr>
      <w:r w:rsidRPr="00155974">
        <w:rPr>
          <w:lang w:eastAsia="en-AU"/>
        </w:rPr>
        <w:t>Biological Assets</w:t>
      </w:r>
      <w:r w:rsidRPr="00155974">
        <w:rPr>
          <w:rStyle w:val="FootnoteReference"/>
          <w:sz w:val="22"/>
          <w:szCs w:val="22"/>
          <w:lang w:eastAsia="en-AU"/>
        </w:rPr>
        <w:footnoteReference w:id="34"/>
      </w:r>
    </w:p>
    <w:p w14:paraId="5611BEAE" w14:textId="77777777" w:rsidR="00F42DB6" w:rsidRPr="00155974" w:rsidRDefault="00F42DB6" w:rsidP="00022B10">
      <w:pPr>
        <w:pStyle w:val="IASBSectionTitle3Ind"/>
        <w:rPr>
          <w:lang w:eastAsia="en-AU"/>
        </w:rPr>
      </w:pPr>
      <w:r w:rsidRPr="00155974">
        <w:rPr>
          <w:lang w:eastAsia="en-AU"/>
        </w:rPr>
        <w:t>Disclosures – fair value model</w:t>
      </w:r>
    </w:p>
    <w:p w14:paraId="01CD04E3" w14:textId="0CEA5D5B" w:rsidR="00F42DB6" w:rsidRPr="00155974" w:rsidRDefault="00F42DB6" w:rsidP="00043CE4">
      <w:pPr>
        <w:pStyle w:val="NumPlain1"/>
        <w:keepNext/>
        <w:numPr>
          <w:ilvl w:val="0"/>
          <w:numId w:val="84"/>
        </w:numPr>
        <w:ind w:left="782" w:hanging="782"/>
        <w:rPr>
          <w:rFonts w:eastAsiaTheme="majorEastAsia"/>
        </w:rPr>
      </w:pPr>
      <w:r w:rsidRPr="00155974">
        <w:rPr>
          <w:rFonts w:eastAsiaTheme="majorEastAsia"/>
        </w:rPr>
        <w:t>An entity shall disclose the following with respect to its biological assets measured at fair value:</w:t>
      </w:r>
    </w:p>
    <w:p w14:paraId="31412C9E" w14:textId="175F3F1E" w:rsidR="00F42DB6" w:rsidRPr="002D3722" w:rsidRDefault="00F42DB6" w:rsidP="000E61D3">
      <w:pPr>
        <w:pStyle w:val="ListParagraph"/>
        <w:numPr>
          <w:ilvl w:val="0"/>
          <w:numId w:val="174"/>
        </w:numPr>
        <w:ind w:left="1564" w:hanging="782"/>
        <w:jc w:val="both"/>
        <w:outlineLvl w:val="4"/>
        <w:rPr>
          <w:rFonts w:eastAsiaTheme="majorEastAsia"/>
          <w:bCs/>
          <w:iCs/>
          <w:szCs w:val="19"/>
        </w:rPr>
      </w:pPr>
      <w:r w:rsidRPr="002D3722">
        <w:rPr>
          <w:rFonts w:eastAsiaTheme="majorEastAsia"/>
          <w:bCs/>
          <w:iCs/>
          <w:szCs w:val="19"/>
        </w:rPr>
        <w:t>a description of each class of its biological assets.</w:t>
      </w:r>
    </w:p>
    <w:p w14:paraId="2C596D10" w14:textId="3C052BDA" w:rsidR="00F42DB6" w:rsidRPr="002D3722" w:rsidRDefault="00F42DB6" w:rsidP="000E61D3">
      <w:pPr>
        <w:pStyle w:val="ListParagraph"/>
        <w:numPr>
          <w:ilvl w:val="0"/>
          <w:numId w:val="174"/>
        </w:numPr>
        <w:ind w:left="1564" w:hanging="782"/>
        <w:jc w:val="both"/>
        <w:outlineLvl w:val="4"/>
        <w:rPr>
          <w:rFonts w:eastAsiaTheme="majorEastAsia"/>
          <w:bCs/>
          <w:iCs/>
          <w:szCs w:val="19"/>
        </w:rPr>
      </w:pPr>
      <w:r w:rsidRPr="002D3722">
        <w:rPr>
          <w:rFonts w:eastAsiaTheme="majorEastAsia"/>
          <w:bCs/>
          <w:iCs/>
          <w:szCs w:val="19"/>
        </w:rPr>
        <w:t>the methods and significant assumptions applied in determining the fair value of each category of agricultural produce at the point of harvest and each category of biological assets.</w:t>
      </w:r>
    </w:p>
    <w:p w14:paraId="7DB9CA1D" w14:textId="2D702EC0" w:rsidR="00F42DB6" w:rsidRPr="002D3722" w:rsidRDefault="00F42DB6" w:rsidP="000E61D3">
      <w:pPr>
        <w:pStyle w:val="ListParagraph"/>
        <w:numPr>
          <w:ilvl w:val="0"/>
          <w:numId w:val="174"/>
        </w:numPr>
        <w:ind w:left="1564" w:hanging="782"/>
        <w:jc w:val="both"/>
        <w:outlineLvl w:val="4"/>
        <w:rPr>
          <w:rFonts w:eastAsiaTheme="majorEastAsia"/>
          <w:bCs/>
          <w:iCs/>
          <w:szCs w:val="19"/>
        </w:rPr>
      </w:pPr>
      <w:r w:rsidRPr="002D3722">
        <w:rPr>
          <w:rFonts w:eastAsiaTheme="majorEastAsia"/>
          <w:bCs/>
          <w:iCs/>
          <w:szCs w:val="19"/>
        </w:rPr>
        <w:t>a reconciliation of changes in the carrying amount of biological assets between the beginning and the end of the current period. The reconciliation shall include:</w:t>
      </w:r>
    </w:p>
    <w:p w14:paraId="5B8BA96D" w14:textId="43BE4C73"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the gain or loss arising from changes in fair value less costs to sell;</w:t>
      </w:r>
    </w:p>
    <w:p w14:paraId="17EFB436" w14:textId="7687A34D"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increases resulting from purchases;</w:t>
      </w:r>
    </w:p>
    <w:p w14:paraId="61E12786" w14:textId="4C90C4C5"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decreases resulting from harvest;</w:t>
      </w:r>
    </w:p>
    <w:p w14:paraId="15B62A75" w14:textId="68D9A6E2"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increases resulting from business combinations;</w:t>
      </w:r>
    </w:p>
    <w:p w14:paraId="088777C4" w14:textId="00E42CD5"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net exchange differences arising on the translation of financial statements into a different presentation currency and on the translation of a foreign operation into the presentation currency of the reporting entity; and</w:t>
      </w:r>
    </w:p>
    <w:p w14:paraId="500A4297" w14:textId="4C989D1A" w:rsidR="00F42DB6" w:rsidRPr="002D3722" w:rsidRDefault="00F42DB6" w:rsidP="000E61D3">
      <w:pPr>
        <w:pStyle w:val="ListParagraph"/>
        <w:numPr>
          <w:ilvl w:val="0"/>
          <w:numId w:val="175"/>
        </w:numPr>
        <w:ind w:left="2347" w:hanging="782"/>
        <w:jc w:val="both"/>
        <w:outlineLvl w:val="4"/>
        <w:rPr>
          <w:rFonts w:eastAsiaTheme="majorEastAsia"/>
          <w:bCs/>
          <w:iCs/>
          <w:szCs w:val="19"/>
        </w:rPr>
      </w:pPr>
      <w:r w:rsidRPr="002D3722">
        <w:rPr>
          <w:rFonts w:eastAsiaTheme="majorEastAsia"/>
          <w:bCs/>
          <w:iCs/>
          <w:szCs w:val="19"/>
        </w:rPr>
        <w:t>other changes.</w:t>
      </w:r>
    </w:p>
    <w:p w14:paraId="2B1AE9C8" w14:textId="77777777" w:rsidR="005116F8" w:rsidRPr="00155974" w:rsidRDefault="00F42DB6" w:rsidP="00FB2D77">
      <w:pPr>
        <w:keepNext/>
        <w:spacing w:after="100"/>
        <w:ind w:left="1565"/>
        <w:outlineLvl w:val="4"/>
        <w:rPr>
          <w:rFonts w:eastAsiaTheme="majorEastAsia"/>
          <w:bCs/>
          <w:iCs/>
          <w:szCs w:val="19"/>
        </w:rPr>
      </w:pPr>
      <w:r w:rsidRPr="00155974">
        <w:rPr>
          <w:rFonts w:eastAsiaTheme="majorEastAsia"/>
          <w:bCs/>
          <w:iCs/>
          <w:szCs w:val="19"/>
        </w:rPr>
        <w:t>This reconciliation need not be presented for prior periods.</w:t>
      </w:r>
      <w:r w:rsidR="003B7258" w:rsidRPr="00155974">
        <w:rPr>
          <w:rFonts w:eastAsiaTheme="majorEastAsia"/>
          <w:bCs/>
          <w:iCs/>
          <w:szCs w:val="19"/>
        </w:rPr>
        <w:t xml:space="preserve"> </w:t>
      </w:r>
    </w:p>
    <w:p w14:paraId="34A97106" w14:textId="73415119" w:rsidR="00F42DB6" w:rsidRPr="00155974" w:rsidRDefault="003B7258" w:rsidP="00156796">
      <w:pPr>
        <w:spacing w:after="100"/>
        <w:ind w:firstLine="782"/>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34.7]</w:t>
      </w:r>
    </w:p>
    <w:p w14:paraId="6361C8AC" w14:textId="77777777" w:rsidR="00F42DB6" w:rsidRPr="00155974" w:rsidRDefault="00F42DB6" w:rsidP="00022B10">
      <w:pPr>
        <w:pStyle w:val="IASBSectionTitle3Ind"/>
        <w:rPr>
          <w:lang w:eastAsia="en-AU"/>
        </w:rPr>
      </w:pPr>
      <w:r w:rsidRPr="00155974">
        <w:rPr>
          <w:lang w:eastAsia="en-AU"/>
        </w:rPr>
        <w:t>Disclosures – cost model</w:t>
      </w:r>
    </w:p>
    <w:p w14:paraId="395C51FD" w14:textId="160C2442" w:rsidR="00F42DB6" w:rsidRPr="00155974" w:rsidRDefault="00F42DB6" w:rsidP="004B0ADC">
      <w:pPr>
        <w:pStyle w:val="NumPlain1"/>
        <w:keepNext/>
        <w:numPr>
          <w:ilvl w:val="0"/>
          <w:numId w:val="84"/>
        </w:numPr>
        <w:ind w:left="782" w:hanging="782"/>
        <w:rPr>
          <w:rFonts w:eastAsiaTheme="majorEastAsia"/>
        </w:rPr>
      </w:pPr>
      <w:r w:rsidRPr="00155974">
        <w:rPr>
          <w:rFonts w:eastAsiaTheme="majorEastAsia"/>
        </w:rPr>
        <w:t>An entity shall disclose the following with respect to its biological assets measured using the cost model:</w:t>
      </w:r>
    </w:p>
    <w:p w14:paraId="25C23925" w14:textId="15CFD15B" w:rsidR="00F42DB6" w:rsidRPr="00843FE7" w:rsidRDefault="00F42DB6" w:rsidP="000E61D3">
      <w:pPr>
        <w:pStyle w:val="ListParagraph"/>
        <w:numPr>
          <w:ilvl w:val="0"/>
          <w:numId w:val="176"/>
        </w:numPr>
        <w:ind w:left="1564" w:hanging="782"/>
        <w:jc w:val="both"/>
        <w:outlineLvl w:val="4"/>
        <w:rPr>
          <w:rFonts w:eastAsiaTheme="majorEastAsia"/>
          <w:bCs/>
          <w:iCs/>
          <w:szCs w:val="19"/>
        </w:rPr>
      </w:pPr>
      <w:r w:rsidRPr="00843FE7">
        <w:rPr>
          <w:rFonts w:eastAsiaTheme="majorEastAsia"/>
          <w:bCs/>
          <w:iCs/>
          <w:szCs w:val="19"/>
        </w:rPr>
        <w:t>a description of each class of its biological assets;</w:t>
      </w:r>
    </w:p>
    <w:p w14:paraId="2716F8F0" w14:textId="609F4601" w:rsidR="00F42DB6" w:rsidRPr="00843FE7" w:rsidRDefault="00F42DB6" w:rsidP="000E61D3">
      <w:pPr>
        <w:pStyle w:val="ListParagraph"/>
        <w:numPr>
          <w:ilvl w:val="0"/>
          <w:numId w:val="176"/>
        </w:numPr>
        <w:ind w:left="1564" w:hanging="782"/>
        <w:jc w:val="both"/>
        <w:outlineLvl w:val="4"/>
        <w:rPr>
          <w:rFonts w:eastAsiaTheme="majorEastAsia"/>
          <w:bCs/>
          <w:iCs/>
          <w:szCs w:val="19"/>
        </w:rPr>
      </w:pPr>
      <w:r w:rsidRPr="00843FE7">
        <w:rPr>
          <w:rFonts w:eastAsiaTheme="majorEastAsia"/>
          <w:bCs/>
          <w:iCs/>
          <w:szCs w:val="19"/>
        </w:rPr>
        <w:t>an explanation of why fair value cannot be measured reliably;</w:t>
      </w:r>
    </w:p>
    <w:p w14:paraId="3758E761" w14:textId="594D8C2C" w:rsidR="00F42DB6" w:rsidRPr="00843FE7" w:rsidRDefault="00F42DB6" w:rsidP="000E61D3">
      <w:pPr>
        <w:pStyle w:val="ListParagraph"/>
        <w:numPr>
          <w:ilvl w:val="0"/>
          <w:numId w:val="176"/>
        </w:numPr>
        <w:ind w:left="1564" w:hanging="782"/>
        <w:jc w:val="both"/>
        <w:outlineLvl w:val="4"/>
        <w:rPr>
          <w:rFonts w:eastAsiaTheme="majorEastAsia"/>
          <w:bCs/>
          <w:iCs/>
          <w:szCs w:val="19"/>
        </w:rPr>
      </w:pPr>
      <w:r w:rsidRPr="00843FE7">
        <w:rPr>
          <w:rFonts w:eastAsiaTheme="majorEastAsia"/>
          <w:bCs/>
          <w:iCs/>
          <w:szCs w:val="19"/>
        </w:rPr>
        <w:t>the depreciation method used;</w:t>
      </w:r>
    </w:p>
    <w:p w14:paraId="68B1460F" w14:textId="0F075ED6" w:rsidR="00F42DB6" w:rsidRPr="00843FE7" w:rsidRDefault="00F42DB6" w:rsidP="000E61D3">
      <w:pPr>
        <w:pStyle w:val="ListParagraph"/>
        <w:numPr>
          <w:ilvl w:val="0"/>
          <w:numId w:val="176"/>
        </w:numPr>
        <w:ind w:left="1564" w:hanging="782"/>
        <w:jc w:val="both"/>
        <w:outlineLvl w:val="4"/>
        <w:rPr>
          <w:rFonts w:eastAsiaTheme="majorEastAsia"/>
          <w:bCs/>
          <w:iCs/>
          <w:szCs w:val="19"/>
        </w:rPr>
      </w:pPr>
      <w:r w:rsidRPr="00843FE7">
        <w:rPr>
          <w:rFonts w:eastAsiaTheme="majorEastAsia"/>
          <w:bCs/>
          <w:iCs/>
          <w:szCs w:val="19"/>
        </w:rPr>
        <w:t>the useful lives or the depreciation rates used; and</w:t>
      </w:r>
    </w:p>
    <w:p w14:paraId="73D994C6" w14:textId="28CDEBF8" w:rsidR="00F42DB6" w:rsidRPr="00843FE7" w:rsidRDefault="00F42DB6" w:rsidP="00FB2D77">
      <w:pPr>
        <w:pStyle w:val="ListParagraph"/>
        <w:keepNext/>
        <w:numPr>
          <w:ilvl w:val="0"/>
          <w:numId w:val="176"/>
        </w:numPr>
        <w:ind w:left="1564" w:hanging="782"/>
        <w:jc w:val="both"/>
        <w:rPr>
          <w:szCs w:val="19"/>
          <w:lang w:eastAsia="en-AU"/>
        </w:rPr>
      </w:pPr>
      <w:r w:rsidRPr="00843FE7">
        <w:rPr>
          <w:szCs w:val="19"/>
          <w:lang w:eastAsia="en-AU"/>
        </w:rPr>
        <w:t>the gross carrying amount and the accumulated depreciation (aggregated with accumulated impairment losses) at the beginning and end of the period.</w:t>
      </w:r>
    </w:p>
    <w:p w14:paraId="281DCDD7" w14:textId="2BD112CF" w:rsidR="001410B6" w:rsidRPr="00155974" w:rsidRDefault="001410B6" w:rsidP="00156796">
      <w:pPr>
        <w:spacing w:after="100"/>
        <w:ind w:left="1564" w:hanging="782"/>
        <w:rPr>
          <w:szCs w:val="19"/>
          <w:lang w:eastAsia="en-AU"/>
        </w:rPr>
      </w:pPr>
      <w:r w:rsidRPr="00155974">
        <w:rPr>
          <w:szCs w:val="19"/>
          <w:lang w:eastAsia="en-AU"/>
        </w:rPr>
        <w:t>[</w:t>
      </w:r>
      <w:r w:rsidR="00291526"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34.10]</w:t>
      </w:r>
    </w:p>
    <w:p w14:paraId="5039DC72" w14:textId="654CCE7F" w:rsidR="00F42DB6" w:rsidRPr="00155974" w:rsidRDefault="00F42DB6" w:rsidP="00022B10">
      <w:pPr>
        <w:pStyle w:val="IASBSectionTitle2Ind"/>
        <w:rPr>
          <w:lang w:eastAsia="en-AU"/>
        </w:rPr>
      </w:pPr>
      <w:r w:rsidRPr="00022B10">
        <w:lastRenderedPageBreak/>
        <w:t>Transition</w:t>
      </w:r>
      <w:r w:rsidRPr="00155974">
        <w:rPr>
          <w:lang w:eastAsia="en-AU"/>
        </w:rPr>
        <w:t xml:space="preserve"> to Australian Accounting Standards – Simplified Disclosures</w:t>
      </w:r>
      <w:r w:rsidRPr="00155974">
        <w:rPr>
          <w:rStyle w:val="FootnoteReference"/>
          <w:sz w:val="22"/>
          <w:szCs w:val="22"/>
          <w:lang w:eastAsia="en-AU"/>
        </w:rPr>
        <w:footnoteReference w:id="35"/>
      </w:r>
    </w:p>
    <w:p w14:paraId="56CAD45C" w14:textId="5A477F13" w:rsidR="00F42DB6" w:rsidRPr="00155974" w:rsidRDefault="00F42DB6" w:rsidP="000E61D3">
      <w:pPr>
        <w:pStyle w:val="NumPlain1"/>
        <w:numPr>
          <w:ilvl w:val="0"/>
          <w:numId w:val="84"/>
        </w:numPr>
        <w:ind w:left="782" w:hanging="782"/>
        <w:rPr>
          <w:lang w:eastAsia="en-AU"/>
        </w:rPr>
      </w:pPr>
      <w:r w:rsidRPr="00155974">
        <w:rPr>
          <w:lang w:eastAsia="en-AU"/>
        </w:rPr>
        <w:t xml:space="preserve">The following disclosures </w:t>
      </w:r>
      <w:r w:rsidR="00420DCE" w:rsidRPr="00155974">
        <w:rPr>
          <w:lang w:eastAsia="en-AU"/>
        </w:rPr>
        <w:t>are</w:t>
      </w:r>
      <w:r w:rsidRPr="00155974">
        <w:rPr>
          <w:lang w:eastAsia="en-AU"/>
        </w:rPr>
        <w:t xml:space="preserve"> provided where an entity </w:t>
      </w:r>
      <w:r w:rsidR="00F90020" w:rsidRPr="00155974">
        <w:rPr>
          <w:lang w:eastAsia="en-AU"/>
        </w:rPr>
        <w:t>applies the requirements of AASB 1</w:t>
      </w:r>
      <w:r w:rsidR="007258AA" w:rsidRPr="00155974">
        <w:rPr>
          <w:lang w:eastAsia="en-AU"/>
        </w:rPr>
        <w:t xml:space="preserve"> </w:t>
      </w:r>
      <w:r w:rsidR="007258AA" w:rsidRPr="00155974">
        <w:rPr>
          <w:i/>
          <w:iCs/>
          <w:lang w:eastAsia="en-AU"/>
        </w:rPr>
        <w:t>First-time Adoption of Australian Accounting Standards</w:t>
      </w:r>
      <w:r w:rsidR="00F90020" w:rsidRPr="00155974">
        <w:rPr>
          <w:lang w:eastAsia="en-AU"/>
        </w:rPr>
        <w:t xml:space="preserve">. </w:t>
      </w:r>
      <w:r w:rsidR="00DA7E18" w:rsidRPr="00155974">
        <w:rPr>
          <w:lang w:eastAsia="en-AU"/>
        </w:rPr>
        <w:t xml:space="preserve">If an entity </w:t>
      </w:r>
      <w:r w:rsidR="00E767B5" w:rsidRPr="00155974">
        <w:rPr>
          <w:lang w:eastAsia="en-AU"/>
        </w:rPr>
        <w:t xml:space="preserve">applies the requirements of AASB 108 </w:t>
      </w:r>
      <w:r w:rsidR="008F46ED" w:rsidRPr="00155974">
        <w:rPr>
          <w:lang w:eastAsia="en-AU"/>
        </w:rPr>
        <w:t>on first-time adoption</w:t>
      </w:r>
      <w:r w:rsidR="007258AA" w:rsidRPr="00155974">
        <w:rPr>
          <w:lang w:eastAsia="en-AU"/>
        </w:rPr>
        <w:t xml:space="preserve">, it shall provide the disclosures required by </w:t>
      </w:r>
      <w:r w:rsidR="00B61611" w:rsidRPr="00155974">
        <w:rPr>
          <w:lang w:eastAsia="en-AU"/>
        </w:rPr>
        <w:t>the s</w:t>
      </w:r>
      <w:r w:rsidR="007258AA" w:rsidRPr="00155974">
        <w:rPr>
          <w:lang w:eastAsia="en-AU"/>
        </w:rPr>
        <w:t xml:space="preserve">ection </w:t>
      </w:r>
      <w:r w:rsidR="00B61611" w:rsidRPr="00155974">
        <w:rPr>
          <w:lang w:eastAsia="en-AU"/>
        </w:rPr>
        <w:t xml:space="preserve">of </w:t>
      </w:r>
      <w:hyperlink w:anchor="AcctingPolicies" w:history="1">
        <w:r w:rsidR="00B61611" w:rsidRPr="00155974">
          <w:rPr>
            <w:lang w:eastAsia="en-AU"/>
          </w:rPr>
          <w:t>Accounting Policies, Estimates and Errors</w:t>
        </w:r>
      </w:hyperlink>
      <w:r w:rsidR="007258AA" w:rsidRPr="00155974">
        <w:rPr>
          <w:lang w:eastAsia="en-AU"/>
        </w:rPr>
        <w:t>.</w:t>
      </w:r>
      <w:r w:rsidR="007B193E" w:rsidRPr="00155974">
        <w:rPr>
          <w:lang w:eastAsia="en-AU"/>
        </w:rPr>
        <w:t xml:space="preserve"> AASB 1053 </w:t>
      </w:r>
      <w:r w:rsidR="007B193E" w:rsidRPr="00155974">
        <w:rPr>
          <w:i/>
          <w:iCs/>
          <w:lang w:eastAsia="en-AU"/>
        </w:rPr>
        <w:t>Application of Tiers of Australian Accounting Standards</w:t>
      </w:r>
      <w:r w:rsidR="007B193E" w:rsidRPr="00155974">
        <w:rPr>
          <w:lang w:eastAsia="en-AU"/>
        </w:rPr>
        <w:t xml:space="preserve"> sets out </w:t>
      </w:r>
      <w:r w:rsidR="00474785" w:rsidRPr="00155974">
        <w:rPr>
          <w:lang w:eastAsia="en-AU"/>
        </w:rPr>
        <w:t xml:space="preserve">the requirements for which Standard may be applied upon first-time adoption. </w:t>
      </w:r>
    </w:p>
    <w:p w14:paraId="2C2425DA" w14:textId="1607EE35" w:rsidR="007258AA" w:rsidRPr="00155974" w:rsidRDefault="007258AA" w:rsidP="000E61D3">
      <w:pPr>
        <w:pStyle w:val="NumPlain1"/>
        <w:numPr>
          <w:ilvl w:val="0"/>
          <w:numId w:val="84"/>
        </w:numPr>
        <w:ind w:left="782" w:hanging="782"/>
        <w:rPr>
          <w:lang w:eastAsia="en-AU"/>
        </w:rPr>
      </w:pPr>
      <w:r w:rsidRPr="00155974">
        <w:rPr>
          <w:lang w:eastAsia="en-AU"/>
        </w:rPr>
        <w:t xml:space="preserve">If an entity </w:t>
      </w:r>
      <w:r w:rsidR="00293F25" w:rsidRPr="00155974">
        <w:rPr>
          <w:lang w:eastAsia="en-AU"/>
        </w:rPr>
        <w:t xml:space="preserve">is resuming </w:t>
      </w:r>
      <w:r w:rsidR="008C0098" w:rsidRPr="00155974">
        <w:rPr>
          <w:lang w:eastAsia="en-AU"/>
        </w:rPr>
        <w:t>the application of Tier 2 reporting requirements</w:t>
      </w:r>
      <w:r w:rsidR="00362C3F" w:rsidRPr="00155974">
        <w:rPr>
          <w:lang w:eastAsia="en-AU"/>
        </w:rPr>
        <w:t xml:space="preserve"> in accordance with</w:t>
      </w:r>
      <w:r w:rsidR="00E73788" w:rsidRPr="00155974">
        <w:rPr>
          <w:lang w:eastAsia="en-AU"/>
        </w:rPr>
        <w:t xml:space="preserve"> AASB 1053</w:t>
      </w:r>
      <w:r w:rsidR="00362C3F" w:rsidRPr="00155974">
        <w:rPr>
          <w:lang w:eastAsia="en-AU"/>
        </w:rPr>
        <w:t xml:space="preserve"> paragraph</w:t>
      </w:r>
      <w:r w:rsidR="00E73788" w:rsidRPr="00155974">
        <w:rPr>
          <w:lang w:eastAsia="en-AU"/>
        </w:rPr>
        <w:t> </w:t>
      </w:r>
      <w:r w:rsidR="00362C3F" w:rsidRPr="00155974">
        <w:rPr>
          <w:lang w:eastAsia="en-AU"/>
        </w:rPr>
        <w:t>19B(e)</w:t>
      </w:r>
      <w:r w:rsidR="006D6E9C" w:rsidRPr="00155974">
        <w:rPr>
          <w:lang w:eastAsia="en-AU"/>
        </w:rPr>
        <w:t>,</w:t>
      </w:r>
      <w:r w:rsidR="00F009A9" w:rsidRPr="00155974">
        <w:rPr>
          <w:lang w:eastAsia="en-AU"/>
        </w:rPr>
        <w:t xml:space="preserve"> </w:t>
      </w:r>
      <w:r w:rsidR="00362C3F" w:rsidRPr="00155974">
        <w:rPr>
          <w:lang w:eastAsia="en-AU"/>
        </w:rPr>
        <w:t xml:space="preserve">it shall </w:t>
      </w:r>
      <w:r w:rsidR="00E73788" w:rsidRPr="00155974">
        <w:rPr>
          <w:lang w:eastAsia="en-AU"/>
        </w:rPr>
        <w:t>provide the disclosure</w:t>
      </w:r>
      <w:r w:rsidR="006D6E9C" w:rsidRPr="00155974">
        <w:rPr>
          <w:lang w:eastAsia="en-AU"/>
        </w:rPr>
        <w:t>s</w:t>
      </w:r>
      <w:r w:rsidR="00E73788" w:rsidRPr="00155974">
        <w:rPr>
          <w:lang w:eastAsia="en-AU"/>
        </w:rPr>
        <w:t xml:space="preserve"> required by paragraph</w:t>
      </w:r>
      <w:r w:rsidR="006D6E9C" w:rsidRPr="00155974">
        <w:rPr>
          <w:lang w:eastAsia="en-AU"/>
        </w:rPr>
        <w:t>s</w:t>
      </w:r>
      <w:r w:rsidR="00E73788" w:rsidRPr="00155974">
        <w:rPr>
          <w:lang w:eastAsia="en-AU"/>
        </w:rPr>
        <w:t xml:space="preserve"> </w:t>
      </w:r>
      <w:r w:rsidR="00ED0A29" w:rsidRPr="00155974">
        <w:rPr>
          <w:lang w:eastAsia="en-AU"/>
        </w:rPr>
        <w:t>2</w:t>
      </w:r>
      <w:r w:rsidR="007C2E37" w:rsidRPr="00155974">
        <w:rPr>
          <w:lang w:eastAsia="en-AU"/>
        </w:rPr>
        <w:t>09</w:t>
      </w:r>
      <w:r w:rsidR="0059205A" w:rsidRPr="00155974">
        <w:rPr>
          <w:lang w:eastAsia="en-AU"/>
        </w:rPr>
        <w:t>(a) and (b)</w:t>
      </w:r>
      <w:r w:rsidR="00F009A9" w:rsidRPr="00155974">
        <w:rPr>
          <w:lang w:eastAsia="en-AU"/>
        </w:rPr>
        <w:t>, but</w:t>
      </w:r>
      <w:r w:rsidR="00E73788" w:rsidRPr="00155974">
        <w:rPr>
          <w:lang w:eastAsia="en-AU"/>
        </w:rPr>
        <w:t xml:space="preserve"> need not provide </w:t>
      </w:r>
      <w:r w:rsidR="006D6E9C" w:rsidRPr="00155974">
        <w:rPr>
          <w:lang w:eastAsia="en-AU"/>
        </w:rPr>
        <w:t xml:space="preserve">the </w:t>
      </w:r>
      <w:r w:rsidR="00E73788" w:rsidRPr="00155974">
        <w:rPr>
          <w:lang w:eastAsia="en-AU"/>
        </w:rPr>
        <w:t xml:space="preserve">other disclosures </w:t>
      </w:r>
      <w:r w:rsidR="006D6E9C" w:rsidRPr="00155974">
        <w:rPr>
          <w:lang w:eastAsia="en-AU"/>
        </w:rPr>
        <w:t>set out in this section</w:t>
      </w:r>
      <w:r w:rsidR="00F009A9" w:rsidRPr="00155974">
        <w:rPr>
          <w:lang w:eastAsia="en-AU"/>
        </w:rPr>
        <w:t>.</w:t>
      </w:r>
    </w:p>
    <w:p w14:paraId="782AA1F7" w14:textId="45CB3270" w:rsidR="00F42DB6" w:rsidRPr="00155974" w:rsidRDefault="00F42DB6" w:rsidP="00022B10">
      <w:pPr>
        <w:pStyle w:val="IASBSectionTitle3Ind"/>
        <w:rPr>
          <w:lang w:eastAsia="en-AU"/>
        </w:rPr>
      </w:pPr>
      <w:r w:rsidRPr="00155974">
        <w:rPr>
          <w:lang w:eastAsia="en-AU"/>
        </w:rPr>
        <w:t xml:space="preserve">Explanation of transition to Australian Accounting Standards – Simplified Disclosures </w:t>
      </w:r>
    </w:p>
    <w:p w14:paraId="16947938" w14:textId="0ECB6A3E" w:rsidR="00F42DB6" w:rsidRPr="00155974" w:rsidRDefault="00F42DB6" w:rsidP="000E61D3">
      <w:pPr>
        <w:pStyle w:val="NumPlain1"/>
        <w:numPr>
          <w:ilvl w:val="0"/>
          <w:numId w:val="84"/>
        </w:numPr>
        <w:ind w:left="782" w:hanging="782"/>
        <w:rPr>
          <w:lang w:eastAsia="en-AU"/>
        </w:rPr>
      </w:pPr>
      <w:bookmarkStart w:id="129" w:name="_Ref35361893"/>
      <w:r w:rsidRPr="00155974">
        <w:rPr>
          <w:lang w:eastAsia="en-AU"/>
        </w:rPr>
        <w:t>An entity shall explain how the transition from its previous financial reporting framework to Australian Accounting Standards – Simplified Disclosures affected its reported financial position, financial performance and cash flows.</w:t>
      </w:r>
      <w:r w:rsidR="00570129" w:rsidRPr="00155974">
        <w:rPr>
          <w:lang w:eastAsia="en-AU"/>
        </w:rPr>
        <w:t xml:space="preserve"> [</w:t>
      </w:r>
      <w:r w:rsidR="0058144C" w:rsidRPr="00155974">
        <w:rPr>
          <w:i/>
          <w:iCs/>
          <w:lang w:eastAsia="en-AU"/>
        </w:rPr>
        <w:t>IFRS for SMEs</w:t>
      </w:r>
      <w:r w:rsidR="00570129" w:rsidRPr="00155974">
        <w:rPr>
          <w:lang w:eastAsia="en-AU"/>
        </w:rPr>
        <w:t xml:space="preserve"> Standard paragraph 35.12]</w:t>
      </w:r>
      <w:bookmarkEnd w:id="129"/>
    </w:p>
    <w:p w14:paraId="58FB0FD1" w14:textId="7CC1C9E0" w:rsidR="00F42DB6" w:rsidRPr="00155974" w:rsidRDefault="00F42DB6" w:rsidP="000E61D3">
      <w:pPr>
        <w:pStyle w:val="NumPlain1"/>
        <w:numPr>
          <w:ilvl w:val="0"/>
          <w:numId w:val="84"/>
        </w:numPr>
        <w:ind w:left="782" w:hanging="782"/>
        <w:rPr>
          <w:lang w:eastAsia="en-AU"/>
        </w:rPr>
      </w:pPr>
      <w:bookmarkStart w:id="130" w:name="_Ref34743861"/>
      <w:r w:rsidRPr="00155974">
        <w:rPr>
          <w:lang w:eastAsia="en-AU"/>
        </w:rPr>
        <w:t>An entity that has applied Australian Accounting Standards or IFRSs in a previous period, as described in paragraph 4A of AASB 1, shall disclose:</w:t>
      </w:r>
      <w:bookmarkEnd w:id="130"/>
    </w:p>
    <w:p w14:paraId="329AA0CA" w14:textId="4F6028FA" w:rsidR="00F42DB6" w:rsidRPr="00843FE7" w:rsidRDefault="00F42DB6" w:rsidP="000E61D3">
      <w:pPr>
        <w:pStyle w:val="ListParagraph"/>
        <w:numPr>
          <w:ilvl w:val="0"/>
          <w:numId w:val="177"/>
        </w:numPr>
        <w:ind w:left="1564" w:hanging="782"/>
        <w:jc w:val="both"/>
        <w:rPr>
          <w:szCs w:val="19"/>
          <w:lang w:eastAsia="en-AU"/>
        </w:rPr>
      </w:pPr>
      <w:r w:rsidRPr="00843FE7">
        <w:rPr>
          <w:szCs w:val="19"/>
          <w:lang w:eastAsia="en-AU"/>
        </w:rPr>
        <w:t>the reason it stopped applying Australian Accounting Standards or IFRSs;</w:t>
      </w:r>
    </w:p>
    <w:p w14:paraId="71173361" w14:textId="3710DECE" w:rsidR="00F42DB6" w:rsidRPr="00843FE7" w:rsidRDefault="00F42DB6" w:rsidP="000E61D3">
      <w:pPr>
        <w:pStyle w:val="ListParagraph"/>
        <w:numPr>
          <w:ilvl w:val="0"/>
          <w:numId w:val="177"/>
        </w:numPr>
        <w:ind w:left="1564" w:hanging="782"/>
        <w:jc w:val="both"/>
        <w:rPr>
          <w:szCs w:val="19"/>
          <w:lang w:eastAsia="en-AU"/>
        </w:rPr>
      </w:pPr>
      <w:r w:rsidRPr="00843FE7">
        <w:rPr>
          <w:szCs w:val="19"/>
          <w:lang w:eastAsia="en-AU"/>
        </w:rPr>
        <w:t>the reason it is resuming the application of Australian Accounting Standards or IFRSs; and</w:t>
      </w:r>
    </w:p>
    <w:p w14:paraId="221B13D1" w14:textId="1D405277" w:rsidR="00F42DB6" w:rsidRPr="00843FE7" w:rsidRDefault="00F42DB6" w:rsidP="00FB2D77">
      <w:pPr>
        <w:pStyle w:val="ListParagraph"/>
        <w:keepNext/>
        <w:numPr>
          <w:ilvl w:val="0"/>
          <w:numId w:val="177"/>
        </w:numPr>
        <w:ind w:left="1564" w:hanging="782"/>
        <w:jc w:val="both"/>
        <w:rPr>
          <w:szCs w:val="19"/>
          <w:lang w:eastAsia="en-AU"/>
        </w:rPr>
      </w:pPr>
      <w:r w:rsidRPr="00843FE7">
        <w:rPr>
          <w:szCs w:val="19"/>
          <w:lang w:eastAsia="en-AU"/>
        </w:rPr>
        <w:t>whether it has applied AASB 1 or has applied Australian Accounting Standards – Simplified Disclosures retrospectively in accordance with AASB 108.</w:t>
      </w:r>
    </w:p>
    <w:p w14:paraId="7E33022E" w14:textId="17FFFAB9" w:rsidR="003F2C59" w:rsidRPr="00155974" w:rsidRDefault="003F2C59" w:rsidP="00394E63">
      <w:pPr>
        <w:spacing w:after="100"/>
        <w:ind w:left="782"/>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35.12A]</w:t>
      </w:r>
    </w:p>
    <w:p w14:paraId="03D3EAE8" w14:textId="77777777" w:rsidR="00F42DB6" w:rsidRPr="00155974" w:rsidRDefault="00F42DB6" w:rsidP="00022B10">
      <w:pPr>
        <w:pStyle w:val="IASBSectionTitle3Ind"/>
        <w:rPr>
          <w:lang w:eastAsia="en-AU"/>
        </w:rPr>
      </w:pPr>
      <w:r w:rsidRPr="00155974">
        <w:rPr>
          <w:lang w:eastAsia="en-AU"/>
        </w:rPr>
        <w:t>Reconciliations</w:t>
      </w:r>
    </w:p>
    <w:p w14:paraId="73E77FAC" w14:textId="34C25192" w:rsidR="00F42DB6" w:rsidRPr="00155974" w:rsidRDefault="00F42DB6" w:rsidP="000E61D3">
      <w:pPr>
        <w:pStyle w:val="NumPlain1"/>
        <w:numPr>
          <w:ilvl w:val="0"/>
          <w:numId w:val="84"/>
        </w:numPr>
        <w:ind w:left="782" w:hanging="782"/>
        <w:rPr>
          <w:lang w:eastAsia="en-AU"/>
        </w:rPr>
      </w:pPr>
      <w:bookmarkStart w:id="131" w:name="_Ref34661726"/>
      <w:r w:rsidRPr="00155974">
        <w:rPr>
          <w:lang w:eastAsia="en-AU"/>
        </w:rPr>
        <w:t>An entity’s first financial statements prepared using Australian Accounting Standards – Simplified Disclosures shall include:</w:t>
      </w:r>
      <w:bookmarkEnd w:id="131"/>
    </w:p>
    <w:p w14:paraId="1319EEEF" w14:textId="47A85999" w:rsidR="00F42DB6" w:rsidRPr="00843FE7" w:rsidRDefault="00F42DB6" w:rsidP="000E61D3">
      <w:pPr>
        <w:pStyle w:val="ListParagraph"/>
        <w:numPr>
          <w:ilvl w:val="0"/>
          <w:numId w:val="178"/>
        </w:numPr>
        <w:ind w:left="1564" w:hanging="782"/>
        <w:jc w:val="both"/>
        <w:rPr>
          <w:szCs w:val="19"/>
          <w:lang w:eastAsia="en-AU"/>
        </w:rPr>
      </w:pPr>
      <w:r w:rsidRPr="00843FE7">
        <w:rPr>
          <w:szCs w:val="19"/>
          <w:lang w:eastAsia="en-AU"/>
        </w:rPr>
        <w:t>a description of the nature of each change in accounting policy;</w:t>
      </w:r>
    </w:p>
    <w:p w14:paraId="64F00DA1" w14:textId="20822F88" w:rsidR="00F42DB6" w:rsidRPr="00843FE7" w:rsidRDefault="00F42DB6" w:rsidP="000E61D3">
      <w:pPr>
        <w:pStyle w:val="ListParagraph"/>
        <w:numPr>
          <w:ilvl w:val="0"/>
          <w:numId w:val="178"/>
        </w:numPr>
        <w:ind w:left="1564" w:hanging="782"/>
        <w:jc w:val="both"/>
        <w:rPr>
          <w:szCs w:val="19"/>
          <w:lang w:eastAsia="en-AU"/>
        </w:rPr>
      </w:pPr>
      <w:r w:rsidRPr="00843FE7">
        <w:rPr>
          <w:szCs w:val="19"/>
          <w:lang w:eastAsia="en-AU"/>
        </w:rPr>
        <w:t>reconciliations of its equity determined in accordance with its previous financial reporting framework to its equity determined in accordance with Australian Accounting Standards – Simplified Disclosures for both of the following dates:</w:t>
      </w:r>
    </w:p>
    <w:p w14:paraId="6847CC47" w14:textId="3D662BEE" w:rsidR="00F42DB6" w:rsidRPr="00843FE7" w:rsidRDefault="00F42DB6" w:rsidP="000E61D3">
      <w:pPr>
        <w:pStyle w:val="ListParagraph"/>
        <w:numPr>
          <w:ilvl w:val="0"/>
          <w:numId w:val="179"/>
        </w:numPr>
        <w:ind w:left="2347" w:hanging="782"/>
        <w:jc w:val="both"/>
        <w:rPr>
          <w:szCs w:val="19"/>
          <w:lang w:eastAsia="en-AU"/>
        </w:rPr>
      </w:pPr>
      <w:r w:rsidRPr="00843FE7">
        <w:rPr>
          <w:szCs w:val="19"/>
          <w:lang w:eastAsia="en-AU"/>
        </w:rPr>
        <w:t>the date of transition to Australian Accounting Standards – Simplified Disclosures; and</w:t>
      </w:r>
    </w:p>
    <w:p w14:paraId="2574A420" w14:textId="13B013CB" w:rsidR="00F42DB6" w:rsidRPr="00843FE7" w:rsidRDefault="00F42DB6" w:rsidP="000E61D3">
      <w:pPr>
        <w:pStyle w:val="ListParagraph"/>
        <w:numPr>
          <w:ilvl w:val="0"/>
          <w:numId w:val="179"/>
        </w:numPr>
        <w:ind w:left="2347" w:hanging="782"/>
        <w:jc w:val="both"/>
        <w:rPr>
          <w:szCs w:val="19"/>
          <w:lang w:eastAsia="en-AU"/>
        </w:rPr>
      </w:pPr>
      <w:r w:rsidRPr="00843FE7">
        <w:rPr>
          <w:szCs w:val="19"/>
          <w:lang w:eastAsia="en-AU"/>
        </w:rPr>
        <w:t>the end of the latest period presented in the entity’s most recent annual financial statements determined in accordance with its previous financial reporting framework</w:t>
      </w:r>
      <w:r w:rsidR="00E00712" w:rsidRPr="00843FE7">
        <w:rPr>
          <w:szCs w:val="19"/>
          <w:lang w:eastAsia="en-AU"/>
        </w:rPr>
        <w:t>; and</w:t>
      </w:r>
    </w:p>
    <w:p w14:paraId="06C91B6C" w14:textId="64F40D6A" w:rsidR="00F42DB6" w:rsidRPr="00155974" w:rsidRDefault="00F42DB6" w:rsidP="00FB2D77">
      <w:pPr>
        <w:pStyle w:val="ListParagraph"/>
        <w:keepNext/>
        <w:numPr>
          <w:ilvl w:val="0"/>
          <w:numId w:val="178"/>
        </w:numPr>
        <w:ind w:left="1564" w:hanging="782"/>
        <w:jc w:val="both"/>
        <w:rPr>
          <w:szCs w:val="19"/>
          <w:lang w:eastAsia="en-AU"/>
        </w:rPr>
      </w:pPr>
      <w:r w:rsidRPr="00155974">
        <w:rPr>
          <w:szCs w:val="19"/>
          <w:lang w:eastAsia="en-AU"/>
        </w:rPr>
        <w:t>a reconciliation of the profit or loss determined in accordance with its previous financial reporting framework for the latest period in the entity’s most recent annual financial statements to its profit or loss determined in accordance with Australian Accounting Standards – Simplified Disclosures for the same period.</w:t>
      </w:r>
    </w:p>
    <w:p w14:paraId="78585AB5" w14:textId="524255FC" w:rsidR="00EA2C2C" w:rsidRPr="00155974" w:rsidRDefault="00EA2C2C" w:rsidP="00394E63">
      <w:pPr>
        <w:spacing w:after="100"/>
        <w:ind w:left="782"/>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w:t>
      </w:r>
      <w:r w:rsidR="00B6129E" w:rsidRPr="00155974">
        <w:rPr>
          <w:szCs w:val="19"/>
          <w:lang w:eastAsia="en-AU"/>
        </w:rPr>
        <w:t>35</w:t>
      </w:r>
      <w:r w:rsidRPr="00155974">
        <w:rPr>
          <w:szCs w:val="19"/>
          <w:lang w:eastAsia="en-AU"/>
        </w:rPr>
        <w:t>.1</w:t>
      </w:r>
      <w:r w:rsidR="00B6129E" w:rsidRPr="00155974">
        <w:rPr>
          <w:szCs w:val="19"/>
          <w:lang w:eastAsia="en-AU"/>
        </w:rPr>
        <w:t>3</w:t>
      </w:r>
      <w:r w:rsidRPr="00155974">
        <w:rPr>
          <w:szCs w:val="19"/>
          <w:lang w:eastAsia="en-AU"/>
        </w:rPr>
        <w:t>]</w:t>
      </w:r>
    </w:p>
    <w:p w14:paraId="6C2DAFC2" w14:textId="55E99487" w:rsidR="00F42DB6" w:rsidRPr="00155974" w:rsidRDefault="00F42DB6" w:rsidP="000E61D3">
      <w:pPr>
        <w:pStyle w:val="NumPlain1"/>
        <w:numPr>
          <w:ilvl w:val="0"/>
          <w:numId w:val="84"/>
        </w:numPr>
        <w:ind w:left="782" w:hanging="782"/>
        <w:rPr>
          <w:lang w:eastAsia="en-AU"/>
        </w:rPr>
      </w:pPr>
      <w:bookmarkStart w:id="132" w:name="_Ref35361927"/>
      <w:r w:rsidRPr="00155974">
        <w:rPr>
          <w:lang w:eastAsia="en-AU"/>
        </w:rPr>
        <w:t xml:space="preserve">If an entity becomes aware of errors made under its previous financial reporting framework, the reconciliations required by paragraph </w:t>
      </w:r>
      <w:r w:rsidR="003726E3" w:rsidRPr="00155974">
        <w:rPr>
          <w:lang w:eastAsia="en-AU"/>
        </w:rPr>
        <w:t>21</w:t>
      </w:r>
      <w:r w:rsidR="004258F2" w:rsidRPr="00155974">
        <w:rPr>
          <w:lang w:eastAsia="en-AU"/>
        </w:rPr>
        <w:t>0</w:t>
      </w:r>
      <w:r w:rsidRPr="00155974">
        <w:rPr>
          <w:lang w:eastAsia="en-AU"/>
        </w:rPr>
        <w:t>(b) and (c) shall, to the extent practicable, distinguish the correction of those errors from changes in accounting policies.</w:t>
      </w:r>
      <w:r w:rsidR="00184B9E" w:rsidRPr="00155974">
        <w:rPr>
          <w:lang w:eastAsia="en-AU"/>
        </w:rPr>
        <w:t xml:space="preserve"> [</w:t>
      </w:r>
      <w:r w:rsidR="0058144C" w:rsidRPr="00155974">
        <w:rPr>
          <w:i/>
          <w:iCs/>
          <w:lang w:eastAsia="en-AU"/>
        </w:rPr>
        <w:t>IFRS for SMEs</w:t>
      </w:r>
      <w:r w:rsidR="00184B9E" w:rsidRPr="00155974">
        <w:rPr>
          <w:lang w:eastAsia="en-AU"/>
        </w:rPr>
        <w:t xml:space="preserve"> Standard paragraph 35.14]</w:t>
      </w:r>
      <w:bookmarkEnd w:id="132"/>
    </w:p>
    <w:p w14:paraId="2FBCA827" w14:textId="775863C6" w:rsidR="00F42DB6" w:rsidRPr="00155974" w:rsidRDefault="00F42DB6" w:rsidP="000E61D3">
      <w:pPr>
        <w:pStyle w:val="NumPlain1"/>
        <w:numPr>
          <w:ilvl w:val="0"/>
          <w:numId w:val="84"/>
        </w:numPr>
        <w:ind w:left="782" w:hanging="782"/>
        <w:rPr>
          <w:lang w:eastAsia="en-AU"/>
        </w:rPr>
      </w:pPr>
      <w:bookmarkStart w:id="133" w:name="_Ref35361940"/>
      <w:r w:rsidRPr="00155974">
        <w:rPr>
          <w:lang w:eastAsia="en-AU"/>
        </w:rPr>
        <w:t>If an entity did not present financial statements for previous periods, it shall disclose that fact in its first financial statements that conform to Australian Accounting Standards – Simplified Disclosures.</w:t>
      </w:r>
      <w:r w:rsidR="00993409" w:rsidRPr="00155974">
        <w:rPr>
          <w:lang w:eastAsia="en-AU"/>
        </w:rPr>
        <w:t xml:space="preserve"> [</w:t>
      </w:r>
      <w:r w:rsidR="0058144C" w:rsidRPr="00155974">
        <w:rPr>
          <w:i/>
          <w:iCs/>
          <w:lang w:eastAsia="en-AU"/>
        </w:rPr>
        <w:t>IFRS for SMEs</w:t>
      </w:r>
      <w:r w:rsidR="00993409" w:rsidRPr="00155974">
        <w:rPr>
          <w:lang w:eastAsia="en-AU"/>
        </w:rPr>
        <w:t xml:space="preserve"> Standard paragraph 35.15]</w:t>
      </w:r>
      <w:bookmarkEnd w:id="133"/>
    </w:p>
    <w:p w14:paraId="738BB19D" w14:textId="2C51BAD9" w:rsidR="00F42DB6" w:rsidRPr="00155974" w:rsidRDefault="00F42DB6" w:rsidP="000E61D3">
      <w:pPr>
        <w:pStyle w:val="NumPlain1"/>
        <w:numPr>
          <w:ilvl w:val="0"/>
          <w:numId w:val="84"/>
        </w:numPr>
        <w:ind w:left="782" w:hanging="782"/>
      </w:pPr>
      <w:bookmarkStart w:id="134" w:name="_Ref34662779"/>
      <w:r w:rsidRPr="00155974">
        <w:t>In rare circumstances, a not-for-profit public sector entity may experience extreme difficulties in complying with the requirements of certain Australian Accounting Standards due to information deficiencies that have caused the entity to state non-compliance with previous GAAP. In these cases, the conditions specified in paragraph 3 of AASB 1 for the application of AASB 1 are taken to be satisfied provided the entity:</w:t>
      </w:r>
      <w:bookmarkEnd w:id="134"/>
      <w:r w:rsidRPr="00155974">
        <w:t xml:space="preserve"> </w:t>
      </w:r>
    </w:p>
    <w:p w14:paraId="5129BEE2" w14:textId="5DF43A21" w:rsidR="00F42DB6" w:rsidRPr="00843FE7" w:rsidRDefault="00F42DB6" w:rsidP="00043CE4">
      <w:pPr>
        <w:pStyle w:val="ListParagraph"/>
        <w:keepNext/>
        <w:numPr>
          <w:ilvl w:val="0"/>
          <w:numId w:val="180"/>
        </w:numPr>
        <w:ind w:left="1564" w:hanging="782"/>
        <w:jc w:val="both"/>
        <w:rPr>
          <w:szCs w:val="19"/>
        </w:rPr>
      </w:pPr>
      <w:r w:rsidRPr="00843FE7">
        <w:rPr>
          <w:szCs w:val="19"/>
        </w:rPr>
        <w:lastRenderedPageBreak/>
        <w:t xml:space="preserve">discloses in its first Australian-Accounting-Standards-Simplified-Disclosures financial statements: </w:t>
      </w:r>
    </w:p>
    <w:p w14:paraId="498CBED7" w14:textId="71FF2CA8" w:rsidR="00F42DB6" w:rsidRPr="00843FE7" w:rsidRDefault="00F42DB6" w:rsidP="000E61D3">
      <w:pPr>
        <w:pStyle w:val="ListParagraph"/>
        <w:numPr>
          <w:ilvl w:val="0"/>
          <w:numId w:val="181"/>
        </w:numPr>
        <w:ind w:left="2347" w:hanging="782"/>
        <w:jc w:val="both"/>
        <w:rPr>
          <w:szCs w:val="19"/>
        </w:rPr>
      </w:pPr>
      <w:r w:rsidRPr="00843FE7">
        <w:rPr>
          <w:szCs w:val="19"/>
        </w:rPr>
        <w:t xml:space="preserve">an explanation of information deficiencies and its strategy for rectifying those deficiencies; and </w:t>
      </w:r>
    </w:p>
    <w:p w14:paraId="378216AC" w14:textId="5A91BEE3" w:rsidR="00F42DB6" w:rsidRPr="00843FE7" w:rsidRDefault="00CC3317" w:rsidP="000E61D3">
      <w:pPr>
        <w:pStyle w:val="ListParagraph"/>
        <w:numPr>
          <w:ilvl w:val="0"/>
          <w:numId w:val="181"/>
        </w:numPr>
        <w:ind w:left="2347" w:hanging="782"/>
        <w:jc w:val="both"/>
        <w:rPr>
          <w:szCs w:val="19"/>
        </w:rPr>
      </w:pPr>
      <w:r w:rsidRPr="00843FE7">
        <w:rPr>
          <w:szCs w:val="19"/>
          <w:lang w:eastAsia="en-AU"/>
        </w:rPr>
        <w:t xml:space="preserve">the </w:t>
      </w:r>
      <w:r w:rsidR="00F42DB6" w:rsidRPr="00155974">
        <w:t xml:space="preserve">Australian Accounting Standards that have not been complied with; and </w:t>
      </w:r>
    </w:p>
    <w:p w14:paraId="14AC92CA" w14:textId="6C2B4370" w:rsidR="00F42DB6" w:rsidRPr="00843FE7" w:rsidRDefault="00F42DB6" w:rsidP="000E61D3">
      <w:pPr>
        <w:pStyle w:val="ListParagraph"/>
        <w:numPr>
          <w:ilvl w:val="0"/>
          <w:numId w:val="180"/>
        </w:numPr>
        <w:ind w:left="1564" w:hanging="782"/>
        <w:jc w:val="both"/>
        <w:rPr>
          <w:szCs w:val="19"/>
        </w:rPr>
      </w:pPr>
      <w:r w:rsidRPr="00843FE7">
        <w:rPr>
          <w:szCs w:val="19"/>
        </w:rPr>
        <w:t>makes an explicit and unreserved statement of compliance with other Australian Accounting Standards for which there are no information deficiencies.</w:t>
      </w:r>
    </w:p>
    <w:p w14:paraId="6AD16FE1" w14:textId="79202BD1" w:rsidR="00F42DB6" w:rsidRPr="00155974" w:rsidRDefault="00E27262" w:rsidP="004B0ADC">
      <w:pPr>
        <w:pStyle w:val="IASBSectionTitle2Ind"/>
        <w:rPr>
          <w:lang w:eastAsia="en-AU"/>
        </w:rPr>
      </w:pPr>
      <w:r w:rsidRPr="00155974">
        <w:rPr>
          <w:lang w:eastAsia="en-AU"/>
        </w:rPr>
        <w:t>Specific</w:t>
      </w:r>
      <w:r w:rsidR="00F42DB6" w:rsidRPr="00155974">
        <w:rPr>
          <w:lang w:eastAsia="en-AU"/>
        </w:rPr>
        <w:t xml:space="preserve"> </w:t>
      </w:r>
      <w:r w:rsidR="003228F0" w:rsidRPr="00155974">
        <w:rPr>
          <w:lang w:eastAsia="en-AU"/>
        </w:rPr>
        <w:t>Disclosures</w:t>
      </w:r>
      <w:r w:rsidR="00F42DB6" w:rsidRPr="00155974">
        <w:rPr>
          <w:lang w:eastAsia="en-AU"/>
        </w:rPr>
        <w:t xml:space="preserve"> for Not-for-Profit </w:t>
      </w:r>
      <w:r w:rsidR="003228F0" w:rsidRPr="00155974">
        <w:rPr>
          <w:lang w:eastAsia="en-AU"/>
        </w:rPr>
        <w:t>Entities</w:t>
      </w:r>
      <w:r w:rsidR="00F42DB6" w:rsidRPr="00155974">
        <w:rPr>
          <w:lang w:eastAsia="en-AU"/>
        </w:rPr>
        <w:t xml:space="preserve"> and Public </w:t>
      </w:r>
      <w:r w:rsidR="003228F0" w:rsidRPr="00155974">
        <w:rPr>
          <w:lang w:eastAsia="en-AU"/>
        </w:rPr>
        <w:t>Sector Entities</w:t>
      </w:r>
    </w:p>
    <w:p w14:paraId="5D7AA635" w14:textId="5D16E14B" w:rsidR="0029218B" w:rsidRDefault="0029218B" w:rsidP="000E61D3">
      <w:pPr>
        <w:pStyle w:val="NumPlain1"/>
        <w:numPr>
          <w:ilvl w:val="0"/>
          <w:numId w:val="84"/>
        </w:numPr>
        <w:ind w:left="782" w:hanging="782"/>
        <w:rPr>
          <w:lang w:eastAsia="en-AU"/>
        </w:rPr>
      </w:pPr>
      <w:r w:rsidRPr="00155974">
        <w:rPr>
          <w:lang w:eastAsia="en-AU"/>
        </w:rPr>
        <w:t>The following table identifies which paragraphs in this Standard are applicable</w:t>
      </w:r>
      <w:r w:rsidR="002E163D" w:rsidRPr="00155974">
        <w:rPr>
          <w:lang w:eastAsia="en-AU"/>
        </w:rPr>
        <w:t xml:space="preserve"> only</w:t>
      </w:r>
      <w:r w:rsidRPr="00155974">
        <w:rPr>
          <w:lang w:eastAsia="en-AU"/>
        </w:rPr>
        <w:t xml:space="preserve"> to not-for-profit private sector entities and public sector entities</w:t>
      </w:r>
      <w:r w:rsidR="00896FB6" w:rsidRPr="00155974">
        <w:rPr>
          <w:lang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Caption w:val="Appendix D table"/>
        <w:tblDescription w:val="Summary of dislcosures in other standards and interpretations not applicable"/>
      </w:tblPr>
      <w:tblGrid>
        <w:gridCol w:w="850"/>
        <w:gridCol w:w="1559"/>
        <w:gridCol w:w="951"/>
        <w:gridCol w:w="951"/>
        <w:gridCol w:w="951"/>
        <w:gridCol w:w="951"/>
        <w:gridCol w:w="951"/>
        <w:gridCol w:w="951"/>
        <w:gridCol w:w="952"/>
      </w:tblGrid>
      <w:tr w:rsidR="00C40310" w14:paraId="334571B3" w14:textId="77777777" w:rsidTr="00A53D71">
        <w:trPr>
          <w:cantSplit/>
          <w:tblHeader/>
        </w:trPr>
        <w:tc>
          <w:tcPr>
            <w:tcW w:w="850" w:type="dxa"/>
            <w:shd w:val="clear" w:color="auto" w:fill="auto"/>
            <w:vAlign w:val="bottom"/>
          </w:tcPr>
          <w:p w14:paraId="10796DC4" w14:textId="4B6531E9" w:rsidR="00C40310" w:rsidRDefault="00C40310" w:rsidP="00DF1E20">
            <w:pPr>
              <w:pStyle w:val="TableHeading"/>
              <w:jc w:val="center"/>
            </w:pPr>
            <w:r w:rsidRPr="000D6251">
              <w:t>Para</w:t>
            </w:r>
          </w:p>
        </w:tc>
        <w:tc>
          <w:tcPr>
            <w:tcW w:w="1559" w:type="dxa"/>
            <w:shd w:val="clear" w:color="auto" w:fill="auto"/>
            <w:vAlign w:val="bottom"/>
          </w:tcPr>
          <w:p w14:paraId="1D74C3BC" w14:textId="0438A292" w:rsidR="00C40310" w:rsidRDefault="00C40310" w:rsidP="00DF1E20">
            <w:pPr>
              <w:pStyle w:val="TableHeading"/>
              <w:jc w:val="center"/>
            </w:pPr>
            <w:r w:rsidRPr="000D6251">
              <w:t>Disclosure</w:t>
            </w:r>
          </w:p>
        </w:tc>
        <w:tc>
          <w:tcPr>
            <w:tcW w:w="951" w:type="dxa"/>
            <w:shd w:val="clear" w:color="auto" w:fill="auto"/>
            <w:vAlign w:val="bottom"/>
          </w:tcPr>
          <w:p w14:paraId="2385BA5F" w14:textId="0BC1763C" w:rsidR="00C40310" w:rsidRDefault="00C40310" w:rsidP="00DF1E20">
            <w:pPr>
              <w:pStyle w:val="TableHeading"/>
              <w:jc w:val="center"/>
            </w:pPr>
            <w:r w:rsidRPr="000D6251">
              <w:t>Not-for-profit (NFP) entities</w:t>
            </w:r>
          </w:p>
        </w:tc>
        <w:tc>
          <w:tcPr>
            <w:tcW w:w="951" w:type="dxa"/>
            <w:shd w:val="clear" w:color="auto" w:fill="auto"/>
            <w:vAlign w:val="bottom"/>
          </w:tcPr>
          <w:p w14:paraId="5C4B9564" w14:textId="17E1A24F" w:rsidR="00C40310" w:rsidRDefault="00C40310" w:rsidP="00DF1E20">
            <w:pPr>
              <w:pStyle w:val="TableHeading"/>
              <w:jc w:val="center"/>
            </w:pPr>
            <w:r w:rsidRPr="000D6251">
              <w:t>NFP public sector entities</w:t>
            </w:r>
          </w:p>
        </w:tc>
        <w:tc>
          <w:tcPr>
            <w:tcW w:w="951" w:type="dxa"/>
            <w:shd w:val="clear" w:color="auto" w:fill="auto"/>
            <w:vAlign w:val="bottom"/>
          </w:tcPr>
          <w:p w14:paraId="5AAF1716" w14:textId="461C6141" w:rsidR="00C40310" w:rsidRDefault="00C40310" w:rsidP="00DF1E20">
            <w:pPr>
              <w:pStyle w:val="TableHeading"/>
              <w:jc w:val="center"/>
            </w:pPr>
            <w:r w:rsidRPr="000D6251">
              <w:t>Public sector entities (whether for-profit or NFP)</w:t>
            </w:r>
          </w:p>
        </w:tc>
        <w:tc>
          <w:tcPr>
            <w:tcW w:w="951" w:type="dxa"/>
            <w:shd w:val="clear" w:color="auto" w:fill="auto"/>
            <w:vAlign w:val="bottom"/>
          </w:tcPr>
          <w:p w14:paraId="0A158734" w14:textId="49CBC910" w:rsidR="00C40310" w:rsidRDefault="00C40310" w:rsidP="00DF1E20">
            <w:pPr>
              <w:pStyle w:val="TableHeading"/>
              <w:jc w:val="center"/>
            </w:pPr>
            <w:r w:rsidRPr="000D6251">
              <w:t>Govern-ment depart-ments</w:t>
            </w:r>
          </w:p>
        </w:tc>
        <w:tc>
          <w:tcPr>
            <w:tcW w:w="951" w:type="dxa"/>
            <w:shd w:val="clear" w:color="auto" w:fill="auto"/>
            <w:vAlign w:val="bottom"/>
          </w:tcPr>
          <w:p w14:paraId="76F0920E" w14:textId="090132E2" w:rsidR="00C40310" w:rsidRDefault="00C40310" w:rsidP="00DF1E20">
            <w:pPr>
              <w:pStyle w:val="TableHeading"/>
              <w:jc w:val="center"/>
            </w:pPr>
            <w:r w:rsidRPr="000D6251">
              <w:t>Govern-ment depart-ments and certain other public sector entities</w:t>
            </w:r>
            <w:r w:rsidR="007B2AC5" w:rsidRPr="006C365C">
              <w:rPr>
                <w:rStyle w:val="FootnoteReference"/>
                <w:szCs w:val="19"/>
              </w:rPr>
              <w:footnoteReference w:id="36"/>
            </w:r>
          </w:p>
        </w:tc>
        <w:tc>
          <w:tcPr>
            <w:tcW w:w="951" w:type="dxa"/>
            <w:shd w:val="clear" w:color="auto" w:fill="auto"/>
            <w:vAlign w:val="bottom"/>
          </w:tcPr>
          <w:p w14:paraId="06201DD3" w14:textId="0E09CCE4" w:rsidR="00C40310" w:rsidRDefault="00C40310" w:rsidP="00DF1E20">
            <w:pPr>
              <w:pStyle w:val="TableHeading"/>
              <w:jc w:val="center"/>
            </w:pPr>
            <w:r w:rsidRPr="000D6251">
              <w:t>Entities in scope of AASB 1051</w:t>
            </w:r>
            <w:r w:rsidR="007B2AC5" w:rsidRPr="006C365C">
              <w:rPr>
                <w:rStyle w:val="FootnoteReference"/>
                <w:szCs w:val="19"/>
              </w:rPr>
              <w:footnoteReference w:id="37"/>
            </w:r>
          </w:p>
        </w:tc>
        <w:tc>
          <w:tcPr>
            <w:tcW w:w="952" w:type="dxa"/>
            <w:shd w:val="clear" w:color="auto" w:fill="auto"/>
            <w:vAlign w:val="bottom"/>
          </w:tcPr>
          <w:p w14:paraId="1924C926" w14:textId="2905F091" w:rsidR="00C40310" w:rsidRDefault="00C40310" w:rsidP="00DF1E20">
            <w:pPr>
              <w:pStyle w:val="TableHeading"/>
              <w:jc w:val="center"/>
            </w:pPr>
            <w:r w:rsidRPr="000D6251">
              <w:t>Entities in scope of AASB 1055</w:t>
            </w:r>
            <w:r w:rsidR="007B2AC5" w:rsidRPr="006C365C">
              <w:rPr>
                <w:rStyle w:val="FootnoteReference"/>
                <w:szCs w:val="19"/>
              </w:rPr>
              <w:footnoteReference w:id="38"/>
            </w:r>
          </w:p>
        </w:tc>
      </w:tr>
      <w:tr w:rsidR="007B2AC5" w14:paraId="0399A5FB" w14:textId="77777777" w:rsidTr="00A53D71">
        <w:trPr>
          <w:cantSplit/>
        </w:trPr>
        <w:tc>
          <w:tcPr>
            <w:tcW w:w="850" w:type="dxa"/>
            <w:shd w:val="clear" w:color="auto" w:fill="auto"/>
          </w:tcPr>
          <w:p w14:paraId="0A27B107" w14:textId="5ABEE25B" w:rsidR="007B2AC5" w:rsidRDefault="007B2AC5" w:rsidP="002C242D">
            <w:pPr>
              <w:pStyle w:val="TableRow"/>
              <w:jc w:val="left"/>
            </w:pPr>
            <w:r w:rsidRPr="00791047">
              <w:t>124</w:t>
            </w:r>
          </w:p>
        </w:tc>
        <w:tc>
          <w:tcPr>
            <w:tcW w:w="1559" w:type="dxa"/>
            <w:shd w:val="clear" w:color="auto" w:fill="auto"/>
          </w:tcPr>
          <w:p w14:paraId="2FBF1A95" w14:textId="67FE946C" w:rsidR="007B2AC5" w:rsidRDefault="007B2AC5" w:rsidP="002C242D">
            <w:pPr>
              <w:pStyle w:val="TableRow"/>
              <w:jc w:val="left"/>
            </w:pPr>
            <w:r w:rsidRPr="00791047">
              <w:t>Inventories – basis on which loss of service potential is assessed</w:t>
            </w:r>
          </w:p>
        </w:tc>
        <w:tc>
          <w:tcPr>
            <w:tcW w:w="951" w:type="dxa"/>
            <w:shd w:val="clear" w:color="auto" w:fill="auto"/>
            <w:vAlign w:val="center"/>
          </w:tcPr>
          <w:p w14:paraId="516B9314" w14:textId="2C90EB7F" w:rsidR="007B2AC5" w:rsidRDefault="007B2AC5" w:rsidP="00DF1E20">
            <w:pPr>
              <w:pStyle w:val="TableRow"/>
              <w:jc w:val="center"/>
            </w:pPr>
            <w:r w:rsidRPr="00791047">
              <w:t>X</w:t>
            </w:r>
          </w:p>
        </w:tc>
        <w:tc>
          <w:tcPr>
            <w:tcW w:w="951" w:type="dxa"/>
            <w:shd w:val="clear" w:color="auto" w:fill="auto"/>
            <w:vAlign w:val="center"/>
          </w:tcPr>
          <w:p w14:paraId="26F65503" w14:textId="77777777" w:rsidR="007B2AC5" w:rsidRDefault="007B2AC5" w:rsidP="00DF1E20">
            <w:pPr>
              <w:pStyle w:val="TableRow"/>
              <w:jc w:val="center"/>
            </w:pPr>
          </w:p>
        </w:tc>
        <w:tc>
          <w:tcPr>
            <w:tcW w:w="951" w:type="dxa"/>
            <w:shd w:val="clear" w:color="auto" w:fill="auto"/>
            <w:vAlign w:val="center"/>
          </w:tcPr>
          <w:p w14:paraId="53281966" w14:textId="77777777" w:rsidR="007B2AC5" w:rsidRDefault="007B2AC5" w:rsidP="00DF1E20">
            <w:pPr>
              <w:pStyle w:val="TableRow"/>
              <w:jc w:val="center"/>
            </w:pPr>
          </w:p>
        </w:tc>
        <w:tc>
          <w:tcPr>
            <w:tcW w:w="951" w:type="dxa"/>
            <w:shd w:val="clear" w:color="auto" w:fill="auto"/>
            <w:vAlign w:val="center"/>
          </w:tcPr>
          <w:p w14:paraId="44633891" w14:textId="77777777" w:rsidR="007B2AC5" w:rsidRDefault="007B2AC5" w:rsidP="00DF1E20">
            <w:pPr>
              <w:pStyle w:val="TableRow"/>
              <w:jc w:val="center"/>
            </w:pPr>
          </w:p>
        </w:tc>
        <w:tc>
          <w:tcPr>
            <w:tcW w:w="951" w:type="dxa"/>
            <w:shd w:val="clear" w:color="auto" w:fill="auto"/>
            <w:vAlign w:val="center"/>
          </w:tcPr>
          <w:p w14:paraId="2D7DFCB3" w14:textId="77777777" w:rsidR="007B2AC5" w:rsidRDefault="007B2AC5" w:rsidP="00DF1E20">
            <w:pPr>
              <w:pStyle w:val="TableRow"/>
              <w:jc w:val="center"/>
            </w:pPr>
          </w:p>
        </w:tc>
        <w:tc>
          <w:tcPr>
            <w:tcW w:w="951" w:type="dxa"/>
            <w:shd w:val="clear" w:color="auto" w:fill="auto"/>
            <w:vAlign w:val="center"/>
          </w:tcPr>
          <w:p w14:paraId="555439B1" w14:textId="77777777" w:rsidR="007B2AC5" w:rsidRDefault="007B2AC5" w:rsidP="00DF1E20">
            <w:pPr>
              <w:pStyle w:val="TableRow"/>
              <w:jc w:val="center"/>
            </w:pPr>
          </w:p>
        </w:tc>
        <w:tc>
          <w:tcPr>
            <w:tcW w:w="952" w:type="dxa"/>
            <w:shd w:val="clear" w:color="auto" w:fill="auto"/>
            <w:vAlign w:val="center"/>
          </w:tcPr>
          <w:p w14:paraId="1B360CE6" w14:textId="77777777" w:rsidR="007B2AC5" w:rsidRDefault="007B2AC5" w:rsidP="00DF1E20">
            <w:pPr>
              <w:pStyle w:val="TableRow"/>
              <w:jc w:val="center"/>
            </w:pPr>
          </w:p>
        </w:tc>
      </w:tr>
      <w:tr w:rsidR="007B2AC5" w14:paraId="345EDCBB" w14:textId="77777777" w:rsidTr="00A53D71">
        <w:trPr>
          <w:cantSplit/>
        </w:trPr>
        <w:tc>
          <w:tcPr>
            <w:tcW w:w="850" w:type="dxa"/>
            <w:shd w:val="clear" w:color="auto" w:fill="auto"/>
          </w:tcPr>
          <w:p w14:paraId="38813A2B" w14:textId="4EA72F11" w:rsidR="007B2AC5" w:rsidRDefault="007B2AC5" w:rsidP="002C242D">
            <w:pPr>
              <w:pStyle w:val="TableRow"/>
              <w:jc w:val="left"/>
            </w:pPr>
            <w:r w:rsidRPr="00791047">
              <w:t>151–152</w:t>
            </w:r>
          </w:p>
        </w:tc>
        <w:tc>
          <w:tcPr>
            <w:tcW w:w="1559" w:type="dxa"/>
            <w:shd w:val="clear" w:color="auto" w:fill="auto"/>
          </w:tcPr>
          <w:p w14:paraId="50A14F00" w14:textId="7EC58766" w:rsidR="007B2AC5" w:rsidRDefault="007B2AC5" w:rsidP="002C242D">
            <w:pPr>
              <w:pStyle w:val="TableRow"/>
              <w:jc w:val="left"/>
            </w:pPr>
            <w:r w:rsidRPr="00791047">
              <w:t>Leases with significantly below-market terms and conditions</w:t>
            </w:r>
          </w:p>
        </w:tc>
        <w:tc>
          <w:tcPr>
            <w:tcW w:w="951" w:type="dxa"/>
            <w:shd w:val="clear" w:color="auto" w:fill="auto"/>
            <w:vAlign w:val="center"/>
          </w:tcPr>
          <w:p w14:paraId="5760827F" w14:textId="7AE8474B" w:rsidR="007B2AC5" w:rsidRDefault="007B2AC5" w:rsidP="00DF1E20">
            <w:pPr>
              <w:pStyle w:val="TableRow"/>
              <w:jc w:val="center"/>
            </w:pPr>
            <w:r w:rsidRPr="00791047">
              <w:t>X</w:t>
            </w:r>
          </w:p>
        </w:tc>
        <w:tc>
          <w:tcPr>
            <w:tcW w:w="951" w:type="dxa"/>
            <w:shd w:val="clear" w:color="auto" w:fill="auto"/>
            <w:vAlign w:val="center"/>
          </w:tcPr>
          <w:p w14:paraId="2C7B37A0" w14:textId="77777777" w:rsidR="007B2AC5" w:rsidRDefault="007B2AC5" w:rsidP="00DF1E20">
            <w:pPr>
              <w:pStyle w:val="TableRow"/>
              <w:jc w:val="center"/>
            </w:pPr>
          </w:p>
        </w:tc>
        <w:tc>
          <w:tcPr>
            <w:tcW w:w="951" w:type="dxa"/>
            <w:shd w:val="clear" w:color="auto" w:fill="auto"/>
            <w:vAlign w:val="center"/>
          </w:tcPr>
          <w:p w14:paraId="0E11C7C6" w14:textId="77777777" w:rsidR="007B2AC5" w:rsidRDefault="007B2AC5" w:rsidP="00DF1E20">
            <w:pPr>
              <w:pStyle w:val="TableRow"/>
              <w:jc w:val="center"/>
            </w:pPr>
          </w:p>
        </w:tc>
        <w:tc>
          <w:tcPr>
            <w:tcW w:w="951" w:type="dxa"/>
            <w:shd w:val="clear" w:color="auto" w:fill="auto"/>
            <w:vAlign w:val="center"/>
          </w:tcPr>
          <w:p w14:paraId="5B29B7D1" w14:textId="77777777" w:rsidR="007B2AC5" w:rsidRDefault="007B2AC5" w:rsidP="00DF1E20">
            <w:pPr>
              <w:pStyle w:val="TableRow"/>
              <w:jc w:val="center"/>
            </w:pPr>
          </w:p>
        </w:tc>
        <w:tc>
          <w:tcPr>
            <w:tcW w:w="951" w:type="dxa"/>
            <w:shd w:val="clear" w:color="auto" w:fill="auto"/>
            <w:vAlign w:val="center"/>
          </w:tcPr>
          <w:p w14:paraId="6A7DB24D" w14:textId="77777777" w:rsidR="007B2AC5" w:rsidRDefault="007B2AC5" w:rsidP="00DF1E20">
            <w:pPr>
              <w:pStyle w:val="TableRow"/>
              <w:jc w:val="center"/>
            </w:pPr>
          </w:p>
        </w:tc>
        <w:tc>
          <w:tcPr>
            <w:tcW w:w="951" w:type="dxa"/>
            <w:shd w:val="clear" w:color="auto" w:fill="auto"/>
            <w:vAlign w:val="center"/>
          </w:tcPr>
          <w:p w14:paraId="732E2AF5" w14:textId="77777777" w:rsidR="007B2AC5" w:rsidRDefault="007B2AC5" w:rsidP="00DF1E20">
            <w:pPr>
              <w:pStyle w:val="TableRow"/>
              <w:jc w:val="center"/>
            </w:pPr>
          </w:p>
        </w:tc>
        <w:tc>
          <w:tcPr>
            <w:tcW w:w="952" w:type="dxa"/>
            <w:shd w:val="clear" w:color="auto" w:fill="auto"/>
            <w:vAlign w:val="center"/>
          </w:tcPr>
          <w:p w14:paraId="4D32E3ED" w14:textId="77777777" w:rsidR="007B2AC5" w:rsidRDefault="007B2AC5" w:rsidP="00DF1E20">
            <w:pPr>
              <w:pStyle w:val="TableRow"/>
              <w:jc w:val="center"/>
            </w:pPr>
          </w:p>
        </w:tc>
      </w:tr>
      <w:tr w:rsidR="007B2AC5" w14:paraId="470499EA" w14:textId="77777777" w:rsidTr="00A53D71">
        <w:trPr>
          <w:cantSplit/>
        </w:trPr>
        <w:tc>
          <w:tcPr>
            <w:tcW w:w="850" w:type="dxa"/>
            <w:shd w:val="clear" w:color="auto" w:fill="auto"/>
          </w:tcPr>
          <w:p w14:paraId="3646BF69" w14:textId="3C03F02C" w:rsidR="007B2AC5" w:rsidRDefault="007B2AC5" w:rsidP="002C242D">
            <w:pPr>
              <w:pStyle w:val="TableRow"/>
              <w:jc w:val="left"/>
            </w:pPr>
            <w:r w:rsidRPr="00791047">
              <w:t>163</w:t>
            </w:r>
          </w:p>
        </w:tc>
        <w:tc>
          <w:tcPr>
            <w:tcW w:w="1559" w:type="dxa"/>
            <w:shd w:val="clear" w:color="auto" w:fill="auto"/>
          </w:tcPr>
          <w:p w14:paraId="5329F1F0" w14:textId="7E219F6C" w:rsidR="007B2AC5" w:rsidRDefault="007B2AC5" w:rsidP="002C242D">
            <w:pPr>
              <w:pStyle w:val="TableRow"/>
              <w:jc w:val="left"/>
            </w:pPr>
            <w:r w:rsidRPr="00791047">
              <w:t>Borrowing costs</w:t>
            </w:r>
          </w:p>
        </w:tc>
        <w:tc>
          <w:tcPr>
            <w:tcW w:w="951" w:type="dxa"/>
            <w:shd w:val="clear" w:color="auto" w:fill="auto"/>
            <w:vAlign w:val="center"/>
          </w:tcPr>
          <w:p w14:paraId="0B337961" w14:textId="77777777" w:rsidR="007B2AC5" w:rsidRDefault="007B2AC5" w:rsidP="00DF1E20">
            <w:pPr>
              <w:pStyle w:val="TableRow"/>
              <w:jc w:val="center"/>
            </w:pPr>
          </w:p>
        </w:tc>
        <w:tc>
          <w:tcPr>
            <w:tcW w:w="951" w:type="dxa"/>
            <w:shd w:val="clear" w:color="auto" w:fill="auto"/>
            <w:vAlign w:val="center"/>
          </w:tcPr>
          <w:p w14:paraId="50C43503" w14:textId="6AEDF176" w:rsidR="007B2AC5" w:rsidRDefault="007B2AC5" w:rsidP="00DF1E20">
            <w:pPr>
              <w:pStyle w:val="TableRow"/>
              <w:jc w:val="center"/>
            </w:pPr>
            <w:r w:rsidRPr="00791047">
              <w:t>X</w:t>
            </w:r>
          </w:p>
        </w:tc>
        <w:tc>
          <w:tcPr>
            <w:tcW w:w="951" w:type="dxa"/>
            <w:shd w:val="clear" w:color="auto" w:fill="auto"/>
            <w:vAlign w:val="center"/>
          </w:tcPr>
          <w:p w14:paraId="12328577" w14:textId="77777777" w:rsidR="007B2AC5" w:rsidRDefault="007B2AC5" w:rsidP="00DF1E20">
            <w:pPr>
              <w:pStyle w:val="TableRow"/>
              <w:jc w:val="center"/>
            </w:pPr>
          </w:p>
        </w:tc>
        <w:tc>
          <w:tcPr>
            <w:tcW w:w="951" w:type="dxa"/>
            <w:shd w:val="clear" w:color="auto" w:fill="auto"/>
            <w:vAlign w:val="center"/>
          </w:tcPr>
          <w:p w14:paraId="3736E3BF" w14:textId="77777777" w:rsidR="007B2AC5" w:rsidRDefault="007B2AC5" w:rsidP="00DF1E20">
            <w:pPr>
              <w:pStyle w:val="TableRow"/>
              <w:jc w:val="center"/>
            </w:pPr>
          </w:p>
        </w:tc>
        <w:tc>
          <w:tcPr>
            <w:tcW w:w="951" w:type="dxa"/>
            <w:shd w:val="clear" w:color="auto" w:fill="auto"/>
            <w:vAlign w:val="center"/>
          </w:tcPr>
          <w:p w14:paraId="4FCBF518" w14:textId="77777777" w:rsidR="007B2AC5" w:rsidRDefault="007B2AC5" w:rsidP="00DF1E20">
            <w:pPr>
              <w:pStyle w:val="TableRow"/>
              <w:jc w:val="center"/>
            </w:pPr>
          </w:p>
        </w:tc>
        <w:tc>
          <w:tcPr>
            <w:tcW w:w="951" w:type="dxa"/>
            <w:shd w:val="clear" w:color="auto" w:fill="auto"/>
            <w:vAlign w:val="center"/>
          </w:tcPr>
          <w:p w14:paraId="5E868A56" w14:textId="77777777" w:rsidR="007B2AC5" w:rsidRDefault="007B2AC5" w:rsidP="00DF1E20">
            <w:pPr>
              <w:pStyle w:val="TableRow"/>
              <w:jc w:val="center"/>
            </w:pPr>
          </w:p>
        </w:tc>
        <w:tc>
          <w:tcPr>
            <w:tcW w:w="952" w:type="dxa"/>
            <w:shd w:val="clear" w:color="auto" w:fill="auto"/>
            <w:vAlign w:val="center"/>
          </w:tcPr>
          <w:p w14:paraId="6A75DF4E" w14:textId="77777777" w:rsidR="007B2AC5" w:rsidRDefault="007B2AC5" w:rsidP="00DF1E20">
            <w:pPr>
              <w:pStyle w:val="TableRow"/>
              <w:jc w:val="center"/>
            </w:pPr>
          </w:p>
        </w:tc>
      </w:tr>
      <w:tr w:rsidR="007B2AC5" w14:paraId="1DBA473F" w14:textId="77777777" w:rsidTr="00A53D71">
        <w:trPr>
          <w:cantSplit/>
        </w:trPr>
        <w:tc>
          <w:tcPr>
            <w:tcW w:w="850" w:type="dxa"/>
            <w:shd w:val="clear" w:color="auto" w:fill="auto"/>
          </w:tcPr>
          <w:p w14:paraId="16917309" w14:textId="45552631" w:rsidR="007B2AC5" w:rsidRDefault="007B2AC5" w:rsidP="002C242D">
            <w:pPr>
              <w:pStyle w:val="TableRow"/>
              <w:jc w:val="left"/>
            </w:pPr>
            <w:r w:rsidRPr="00791047">
              <w:t>213</w:t>
            </w:r>
          </w:p>
        </w:tc>
        <w:tc>
          <w:tcPr>
            <w:tcW w:w="1559" w:type="dxa"/>
            <w:shd w:val="clear" w:color="auto" w:fill="auto"/>
          </w:tcPr>
          <w:p w14:paraId="64F6EF9E" w14:textId="6EA6F60C" w:rsidR="007B2AC5" w:rsidRDefault="007B2AC5" w:rsidP="002C242D">
            <w:pPr>
              <w:pStyle w:val="TableRow"/>
              <w:jc w:val="left"/>
            </w:pPr>
            <w:r w:rsidRPr="00791047">
              <w:t>Transition – difficulties in complying with requirements of certain Australian Accounting Standards</w:t>
            </w:r>
          </w:p>
        </w:tc>
        <w:tc>
          <w:tcPr>
            <w:tcW w:w="951" w:type="dxa"/>
            <w:shd w:val="clear" w:color="auto" w:fill="auto"/>
            <w:vAlign w:val="center"/>
          </w:tcPr>
          <w:p w14:paraId="705367F2" w14:textId="77777777" w:rsidR="007B2AC5" w:rsidRDefault="007B2AC5" w:rsidP="00DF1E20">
            <w:pPr>
              <w:pStyle w:val="TableRow"/>
              <w:jc w:val="center"/>
            </w:pPr>
          </w:p>
        </w:tc>
        <w:tc>
          <w:tcPr>
            <w:tcW w:w="951" w:type="dxa"/>
            <w:shd w:val="clear" w:color="auto" w:fill="auto"/>
            <w:vAlign w:val="center"/>
          </w:tcPr>
          <w:p w14:paraId="4AC7B02A" w14:textId="163A18CE" w:rsidR="007B2AC5" w:rsidRDefault="007B2AC5" w:rsidP="00DF1E20">
            <w:pPr>
              <w:pStyle w:val="TableRow"/>
              <w:jc w:val="center"/>
            </w:pPr>
            <w:r w:rsidRPr="00791047">
              <w:t>X</w:t>
            </w:r>
          </w:p>
        </w:tc>
        <w:tc>
          <w:tcPr>
            <w:tcW w:w="951" w:type="dxa"/>
            <w:shd w:val="clear" w:color="auto" w:fill="auto"/>
            <w:vAlign w:val="center"/>
          </w:tcPr>
          <w:p w14:paraId="69BE21D5" w14:textId="77777777" w:rsidR="007B2AC5" w:rsidRDefault="007B2AC5" w:rsidP="00DF1E20">
            <w:pPr>
              <w:pStyle w:val="TableRow"/>
              <w:jc w:val="center"/>
            </w:pPr>
          </w:p>
        </w:tc>
        <w:tc>
          <w:tcPr>
            <w:tcW w:w="951" w:type="dxa"/>
            <w:shd w:val="clear" w:color="auto" w:fill="auto"/>
            <w:vAlign w:val="center"/>
          </w:tcPr>
          <w:p w14:paraId="3E24DBC5" w14:textId="77777777" w:rsidR="007B2AC5" w:rsidRDefault="007B2AC5" w:rsidP="00DF1E20">
            <w:pPr>
              <w:pStyle w:val="TableRow"/>
              <w:jc w:val="center"/>
            </w:pPr>
          </w:p>
        </w:tc>
        <w:tc>
          <w:tcPr>
            <w:tcW w:w="951" w:type="dxa"/>
            <w:shd w:val="clear" w:color="auto" w:fill="auto"/>
            <w:vAlign w:val="center"/>
          </w:tcPr>
          <w:p w14:paraId="270FE3EB" w14:textId="77777777" w:rsidR="007B2AC5" w:rsidRDefault="007B2AC5" w:rsidP="00DF1E20">
            <w:pPr>
              <w:pStyle w:val="TableRow"/>
              <w:jc w:val="center"/>
            </w:pPr>
          </w:p>
        </w:tc>
        <w:tc>
          <w:tcPr>
            <w:tcW w:w="951" w:type="dxa"/>
            <w:shd w:val="clear" w:color="auto" w:fill="auto"/>
            <w:vAlign w:val="center"/>
          </w:tcPr>
          <w:p w14:paraId="27A76F8F" w14:textId="77777777" w:rsidR="007B2AC5" w:rsidRDefault="007B2AC5" w:rsidP="00DF1E20">
            <w:pPr>
              <w:pStyle w:val="TableRow"/>
              <w:jc w:val="center"/>
            </w:pPr>
          </w:p>
        </w:tc>
        <w:tc>
          <w:tcPr>
            <w:tcW w:w="952" w:type="dxa"/>
            <w:shd w:val="clear" w:color="auto" w:fill="auto"/>
            <w:vAlign w:val="center"/>
          </w:tcPr>
          <w:p w14:paraId="5D6F9BD6" w14:textId="77777777" w:rsidR="007B2AC5" w:rsidRDefault="007B2AC5" w:rsidP="00DF1E20">
            <w:pPr>
              <w:pStyle w:val="TableRow"/>
              <w:jc w:val="center"/>
            </w:pPr>
          </w:p>
        </w:tc>
      </w:tr>
      <w:tr w:rsidR="007B2AC5" w14:paraId="7FFE82FC" w14:textId="77777777" w:rsidTr="00A53D71">
        <w:trPr>
          <w:cantSplit/>
        </w:trPr>
        <w:tc>
          <w:tcPr>
            <w:tcW w:w="850" w:type="dxa"/>
            <w:shd w:val="clear" w:color="auto" w:fill="auto"/>
          </w:tcPr>
          <w:p w14:paraId="0E4C01F3" w14:textId="4DD666C9" w:rsidR="007B2AC5" w:rsidRDefault="007B2AC5" w:rsidP="002C242D">
            <w:pPr>
              <w:pStyle w:val="TableRow"/>
              <w:jc w:val="left"/>
            </w:pPr>
            <w:r w:rsidRPr="00791047">
              <w:t>215</w:t>
            </w:r>
          </w:p>
        </w:tc>
        <w:tc>
          <w:tcPr>
            <w:tcW w:w="1559" w:type="dxa"/>
            <w:shd w:val="clear" w:color="auto" w:fill="auto"/>
          </w:tcPr>
          <w:p w14:paraId="14F37463" w14:textId="3531FF97" w:rsidR="007B2AC5" w:rsidRDefault="007B2AC5" w:rsidP="002C242D">
            <w:pPr>
              <w:pStyle w:val="TableRow"/>
              <w:jc w:val="left"/>
            </w:pPr>
            <w:r w:rsidRPr="00791047">
              <w:t>Contributions</w:t>
            </w:r>
          </w:p>
        </w:tc>
        <w:tc>
          <w:tcPr>
            <w:tcW w:w="951" w:type="dxa"/>
            <w:shd w:val="clear" w:color="auto" w:fill="auto"/>
            <w:vAlign w:val="center"/>
          </w:tcPr>
          <w:p w14:paraId="5AC4BAC7" w14:textId="77777777" w:rsidR="007B2AC5" w:rsidRDefault="007B2AC5" w:rsidP="00DF1E20">
            <w:pPr>
              <w:pStyle w:val="TableRow"/>
              <w:jc w:val="center"/>
            </w:pPr>
          </w:p>
        </w:tc>
        <w:tc>
          <w:tcPr>
            <w:tcW w:w="951" w:type="dxa"/>
            <w:shd w:val="clear" w:color="auto" w:fill="auto"/>
            <w:vAlign w:val="center"/>
          </w:tcPr>
          <w:p w14:paraId="483E42B4" w14:textId="77777777" w:rsidR="007B2AC5" w:rsidRDefault="007B2AC5" w:rsidP="00DF1E20">
            <w:pPr>
              <w:pStyle w:val="TableRow"/>
              <w:jc w:val="center"/>
            </w:pPr>
          </w:p>
        </w:tc>
        <w:tc>
          <w:tcPr>
            <w:tcW w:w="951" w:type="dxa"/>
            <w:shd w:val="clear" w:color="auto" w:fill="auto"/>
            <w:vAlign w:val="center"/>
          </w:tcPr>
          <w:p w14:paraId="1791C823" w14:textId="77777777" w:rsidR="007B2AC5" w:rsidRDefault="007B2AC5" w:rsidP="00DF1E20">
            <w:pPr>
              <w:pStyle w:val="TableRow"/>
              <w:jc w:val="center"/>
            </w:pPr>
          </w:p>
        </w:tc>
        <w:tc>
          <w:tcPr>
            <w:tcW w:w="951" w:type="dxa"/>
            <w:shd w:val="clear" w:color="auto" w:fill="auto"/>
            <w:vAlign w:val="center"/>
          </w:tcPr>
          <w:p w14:paraId="4EB7AAE6" w14:textId="5A272423" w:rsidR="007B2AC5" w:rsidRDefault="007B2AC5" w:rsidP="00DF1E20">
            <w:pPr>
              <w:pStyle w:val="TableRow"/>
              <w:jc w:val="center"/>
            </w:pPr>
            <w:r w:rsidRPr="00791047">
              <w:t>X</w:t>
            </w:r>
          </w:p>
        </w:tc>
        <w:tc>
          <w:tcPr>
            <w:tcW w:w="951" w:type="dxa"/>
            <w:shd w:val="clear" w:color="auto" w:fill="auto"/>
            <w:vAlign w:val="center"/>
          </w:tcPr>
          <w:p w14:paraId="77241EA1" w14:textId="77777777" w:rsidR="007B2AC5" w:rsidRDefault="007B2AC5" w:rsidP="00DF1E20">
            <w:pPr>
              <w:pStyle w:val="TableRow"/>
              <w:jc w:val="center"/>
            </w:pPr>
          </w:p>
        </w:tc>
        <w:tc>
          <w:tcPr>
            <w:tcW w:w="951" w:type="dxa"/>
            <w:shd w:val="clear" w:color="auto" w:fill="auto"/>
            <w:vAlign w:val="center"/>
          </w:tcPr>
          <w:p w14:paraId="3FB807F7" w14:textId="77777777" w:rsidR="007B2AC5" w:rsidRDefault="007B2AC5" w:rsidP="00DF1E20">
            <w:pPr>
              <w:pStyle w:val="TableRow"/>
              <w:jc w:val="center"/>
            </w:pPr>
          </w:p>
        </w:tc>
        <w:tc>
          <w:tcPr>
            <w:tcW w:w="952" w:type="dxa"/>
            <w:shd w:val="clear" w:color="auto" w:fill="auto"/>
            <w:vAlign w:val="center"/>
          </w:tcPr>
          <w:p w14:paraId="121663C7" w14:textId="77777777" w:rsidR="007B2AC5" w:rsidRDefault="007B2AC5" w:rsidP="00DF1E20">
            <w:pPr>
              <w:pStyle w:val="TableRow"/>
              <w:jc w:val="center"/>
            </w:pPr>
          </w:p>
        </w:tc>
      </w:tr>
      <w:tr w:rsidR="007B2AC5" w14:paraId="227117D1" w14:textId="77777777" w:rsidTr="00A53D71">
        <w:trPr>
          <w:cantSplit/>
        </w:trPr>
        <w:tc>
          <w:tcPr>
            <w:tcW w:w="850" w:type="dxa"/>
            <w:shd w:val="clear" w:color="auto" w:fill="auto"/>
          </w:tcPr>
          <w:p w14:paraId="61F3F881" w14:textId="2AA23C37" w:rsidR="007B2AC5" w:rsidRDefault="007B2AC5" w:rsidP="002C242D">
            <w:pPr>
              <w:pStyle w:val="TableRow"/>
              <w:jc w:val="left"/>
            </w:pPr>
            <w:r w:rsidRPr="00791047">
              <w:t>216–218</w:t>
            </w:r>
          </w:p>
        </w:tc>
        <w:tc>
          <w:tcPr>
            <w:tcW w:w="1559" w:type="dxa"/>
            <w:shd w:val="clear" w:color="auto" w:fill="auto"/>
          </w:tcPr>
          <w:p w14:paraId="6791498C" w14:textId="2CECDA3B" w:rsidR="007B2AC5" w:rsidRDefault="007B2AC5" w:rsidP="002C242D">
            <w:pPr>
              <w:pStyle w:val="TableRow"/>
              <w:jc w:val="left"/>
            </w:pPr>
            <w:r w:rsidRPr="00791047">
              <w:t>Restructure of administrative arrangements</w:t>
            </w:r>
          </w:p>
        </w:tc>
        <w:tc>
          <w:tcPr>
            <w:tcW w:w="951" w:type="dxa"/>
            <w:shd w:val="clear" w:color="auto" w:fill="auto"/>
            <w:vAlign w:val="center"/>
          </w:tcPr>
          <w:p w14:paraId="4BBF7426" w14:textId="77777777" w:rsidR="007B2AC5" w:rsidRDefault="007B2AC5" w:rsidP="00DF1E20">
            <w:pPr>
              <w:pStyle w:val="TableRow"/>
              <w:jc w:val="center"/>
            </w:pPr>
          </w:p>
        </w:tc>
        <w:tc>
          <w:tcPr>
            <w:tcW w:w="951" w:type="dxa"/>
            <w:shd w:val="clear" w:color="auto" w:fill="auto"/>
            <w:vAlign w:val="center"/>
          </w:tcPr>
          <w:p w14:paraId="0AD7AC0D" w14:textId="77777777" w:rsidR="007B2AC5" w:rsidRDefault="007B2AC5" w:rsidP="00DF1E20">
            <w:pPr>
              <w:pStyle w:val="TableRow"/>
              <w:jc w:val="center"/>
            </w:pPr>
          </w:p>
        </w:tc>
        <w:tc>
          <w:tcPr>
            <w:tcW w:w="951" w:type="dxa"/>
            <w:shd w:val="clear" w:color="auto" w:fill="auto"/>
            <w:vAlign w:val="center"/>
          </w:tcPr>
          <w:p w14:paraId="0EF024D3" w14:textId="77777777" w:rsidR="007B2AC5" w:rsidRDefault="007B2AC5" w:rsidP="00DF1E20">
            <w:pPr>
              <w:pStyle w:val="TableRow"/>
              <w:jc w:val="center"/>
            </w:pPr>
          </w:p>
        </w:tc>
        <w:tc>
          <w:tcPr>
            <w:tcW w:w="951" w:type="dxa"/>
            <w:shd w:val="clear" w:color="auto" w:fill="auto"/>
            <w:vAlign w:val="center"/>
          </w:tcPr>
          <w:p w14:paraId="2DC16BAD" w14:textId="157CD184" w:rsidR="007B2AC5" w:rsidRDefault="007B2AC5" w:rsidP="00DF1E20">
            <w:pPr>
              <w:pStyle w:val="TableRow"/>
              <w:jc w:val="center"/>
            </w:pPr>
            <w:r w:rsidRPr="00791047">
              <w:t>X</w:t>
            </w:r>
          </w:p>
        </w:tc>
        <w:tc>
          <w:tcPr>
            <w:tcW w:w="951" w:type="dxa"/>
            <w:shd w:val="clear" w:color="auto" w:fill="auto"/>
            <w:vAlign w:val="center"/>
          </w:tcPr>
          <w:p w14:paraId="704C8816" w14:textId="77777777" w:rsidR="007B2AC5" w:rsidRDefault="007B2AC5" w:rsidP="00DF1E20">
            <w:pPr>
              <w:pStyle w:val="TableRow"/>
              <w:jc w:val="center"/>
            </w:pPr>
          </w:p>
        </w:tc>
        <w:tc>
          <w:tcPr>
            <w:tcW w:w="951" w:type="dxa"/>
            <w:shd w:val="clear" w:color="auto" w:fill="auto"/>
            <w:vAlign w:val="center"/>
          </w:tcPr>
          <w:p w14:paraId="430DB5B1" w14:textId="77777777" w:rsidR="007B2AC5" w:rsidRDefault="007B2AC5" w:rsidP="00DF1E20">
            <w:pPr>
              <w:pStyle w:val="TableRow"/>
              <w:jc w:val="center"/>
            </w:pPr>
          </w:p>
        </w:tc>
        <w:tc>
          <w:tcPr>
            <w:tcW w:w="952" w:type="dxa"/>
            <w:shd w:val="clear" w:color="auto" w:fill="auto"/>
            <w:vAlign w:val="center"/>
          </w:tcPr>
          <w:p w14:paraId="00003154" w14:textId="77777777" w:rsidR="007B2AC5" w:rsidRDefault="007B2AC5" w:rsidP="00DF1E20">
            <w:pPr>
              <w:pStyle w:val="TableRow"/>
              <w:jc w:val="center"/>
            </w:pPr>
          </w:p>
        </w:tc>
      </w:tr>
      <w:tr w:rsidR="007B2AC5" w14:paraId="4743A841" w14:textId="77777777" w:rsidTr="00A53D71">
        <w:trPr>
          <w:cantSplit/>
        </w:trPr>
        <w:tc>
          <w:tcPr>
            <w:tcW w:w="850" w:type="dxa"/>
            <w:shd w:val="clear" w:color="auto" w:fill="auto"/>
          </w:tcPr>
          <w:p w14:paraId="67AB7E86" w14:textId="707E84C0" w:rsidR="007B2AC5" w:rsidRDefault="007B2AC5" w:rsidP="002C242D">
            <w:pPr>
              <w:pStyle w:val="TableRow"/>
              <w:jc w:val="left"/>
            </w:pPr>
            <w:r w:rsidRPr="00791047">
              <w:t>219–220</w:t>
            </w:r>
          </w:p>
        </w:tc>
        <w:tc>
          <w:tcPr>
            <w:tcW w:w="1559" w:type="dxa"/>
            <w:shd w:val="clear" w:color="auto" w:fill="auto"/>
          </w:tcPr>
          <w:p w14:paraId="3921BAE3" w14:textId="40B7A4BF" w:rsidR="007B2AC5" w:rsidRDefault="007B2AC5" w:rsidP="002C242D">
            <w:pPr>
              <w:pStyle w:val="TableRow"/>
              <w:jc w:val="left"/>
            </w:pPr>
            <w:r w:rsidRPr="00791047">
              <w:t>Administered items</w:t>
            </w:r>
          </w:p>
        </w:tc>
        <w:tc>
          <w:tcPr>
            <w:tcW w:w="951" w:type="dxa"/>
            <w:shd w:val="clear" w:color="auto" w:fill="auto"/>
            <w:vAlign w:val="center"/>
          </w:tcPr>
          <w:p w14:paraId="5E0B78FE" w14:textId="77777777" w:rsidR="007B2AC5" w:rsidRDefault="007B2AC5" w:rsidP="00DF1E20">
            <w:pPr>
              <w:pStyle w:val="TableRow"/>
              <w:jc w:val="center"/>
            </w:pPr>
          </w:p>
        </w:tc>
        <w:tc>
          <w:tcPr>
            <w:tcW w:w="951" w:type="dxa"/>
            <w:shd w:val="clear" w:color="auto" w:fill="auto"/>
            <w:vAlign w:val="center"/>
          </w:tcPr>
          <w:p w14:paraId="792DA301" w14:textId="77777777" w:rsidR="007B2AC5" w:rsidRDefault="007B2AC5" w:rsidP="00DF1E20">
            <w:pPr>
              <w:pStyle w:val="TableRow"/>
              <w:jc w:val="center"/>
            </w:pPr>
          </w:p>
        </w:tc>
        <w:tc>
          <w:tcPr>
            <w:tcW w:w="951" w:type="dxa"/>
            <w:shd w:val="clear" w:color="auto" w:fill="auto"/>
            <w:vAlign w:val="center"/>
          </w:tcPr>
          <w:p w14:paraId="66D34B6E" w14:textId="77777777" w:rsidR="007B2AC5" w:rsidRDefault="007B2AC5" w:rsidP="00DF1E20">
            <w:pPr>
              <w:pStyle w:val="TableRow"/>
              <w:jc w:val="center"/>
            </w:pPr>
          </w:p>
        </w:tc>
        <w:tc>
          <w:tcPr>
            <w:tcW w:w="951" w:type="dxa"/>
            <w:shd w:val="clear" w:color="auto" w:fill="auto"/>
            <w:vAlign w:val="center"/>
          </w:tcPr>
          <w:p w14:paraId="5301B4B8" w14:textId="60381BE9" w:rsidR="007B2AC5" w:rsidRDefault="007B2AC5" w:rsidP="00DF1E20">
            <w:pPr>
              <w:pStyle w:val="TableRow"/>
              <w:jc w:val="center"/>
            </w:pPr>
            <w:r w:rsidRPr="00791047">
              <w:t>X</w:t>
            </w:r>
          </w:p>
        </w:tc>
        <w:tc>
          <w:tcPr>
            <w:tcW w:w="951" w:type="dxa"/>
            <w:shd w:val="clear" w:color="auto" w:fill="auto"/>
            <w:vAlign w:val="center"/>
          </w:tcPr>
          <w:p w14:paraId="037ED70E" w14:textId="77777777" w:rsidR="007B2AC5" w:rsidRDefault="007B2AC5" w:rsidP="00DF1E20">
            <w:pPr>
              <w:pStyle w:val="TableRow"/>
              <w:jc w:val="center"/>
            </w:pPr>
          </w:p>
        </w:tc>
        <w:tc>
          <w:tcPr>
            <w:tcW w:w="951" w:type="dxa"/>
            <w:shd w:val="clear" w:color="auto" w:fill="auto"/>
            <w:vAlign w:val="center"/>
          </w:tcPr>
          <w:p w14:paraId="340CF041" w14:textId="77777777" w:rsidR="007B2AC5" w:rsidRDefault="007B2AC5" w:rsidP="00DF1E20">
            <w:pPr>
              <w:pStyle w:val="TableRow"/>
              <w:jc w:val="center"/>
            </w:pPr>
          </w:p>
        </w:tc>
        <w:tc>
          <w:tcPr>
            <w:tcW w:w="952" w:type="dxa"/>
            <w:shd w:val="clear" w:color="auto" w:fill="auto"/>
            <w:vAlign w:val="center"/>
          </w:tcPr>
          <w:p w14:paraId="6F69C1FB" w14:textId="77777777" w:rsidR="007B2AC5" w:rsidRDefault="007B2AC5" w:rsidP="00DF1E20">
            <w:pPr>
              <w:pStyle w:val="TableRow"/>
              <w:jc w:val="center"/>
            </w:pPr>
          </w:p>
        </w:tc>
      </w:tr>
      <w:tr w:rsidR="007B2AC5" w14:paraId="66705F81" w14:textId="77777777" w:rsidTr="00A53D71">
        <w:trPr>
          <w:cantSplit/>
        </w:trPr>
        <w:tc>
          <w:tcPr>
            <w:tcW w:w="850" w:type="dxa"/>
            <w:shd w:val="clear" w:color="auto" w:fill="auto"/>
          </w:tcPr>
          <w:p w14:paraId="099A9903" w14:textId="6393A264" w:rsidR="007B2AC5" w:rsidRDefault="007B2AC5" w:rsidP="002C242D">
            <w:pPr>
              <w:pStyle w:val="NumPlain1"/>
              <w:jc w:val="left"/>
              <w:rPr>
                <w:lang w:eastAsia="en-AU"/>
              </w:rPr>
            </w:pPr>
            <w:r w:rsidRPr="00791047">
              <w:t>221</w:t>
            </w:r>
          </w:p>
        </w:tc>
        <w:tc>
          <w:tcPr>
            <w:tcW w:w="1559" w:type="dxa"/>
            <w:shd w:val="clear" w:color="auto" w:fill="auto"/>
          </w:tcPr>
          <w:p w14:paraId="0AECC1F0" w14:textId="31C9D3FC" w:rsidR="007B2AC5" w:rsidRDefault="007B2AC5" w:rsidP="002C242D">
            <w:pPr>
              <w:pStyle w:val="NumPlain1"/>
              <w:jc w:val="left"/>
              <w:rPr>
                <w:lang w:eastAsia="en-AU"/>
              </w:rPr>
            </w:pPr>
            <w:r w:rsidRPr="00791047">
              <w:t>Land under roads</w:t>
            </w:r>
          </w:p>
        </w:tc>
        <w:tc>
          <w:tcPr>
            <w:tcW w:w="951" w:type="dxa"/>
            <w:shd w:val="clear" w:color="auto" w:fill="auto"/>
            <w:vAlign w:val="center"/>
          </w:tcPr>
          <w:p w14:paraId="37D8D05B" w14:textId="77777777" w:rsidR="007B2AC5" w:rsidRDefault="007B2AC5" w:rsidP="00DF1E20">
            <w:pPr>
              <w:pStyle w:val="NumPlain1"/>
              <w:jc w:val="center"/>
              <w:rPr>
                <w:lang w:eastAsia="en-AU"/>
              </w:rPr>
            </w:pPr>
          </w:p>
        </w:tc>
        <w:tc>
          <w:tcPr>
            <w:tcW w:w="951" w:type="dxa"/>
            <w:shd w:val="clear" w:color="auto" w:fill="auto"/>
            <w:vAlign w:val="center"/>
          </w:tcPr>
          <w:p w14:paraId="13BE076E" w14:textId="77777777" w:rsidR="007B2AC5" w:rsidRDefault="007B2AC5" w:rsidP="00DF1E20">
            <w:pPr>
              <w:pStyle w:val="NumPlain1"/>
              <w:jc w:val="center"/>
              <w:rPr>
                <w:lang w:eastAsia="en-AU"/>
              </w:rPr>
            </w:pPr>
          </w:p>
        </w:tc>
        <w:tc>
          <w:tcPr>
            <w:tcW w:w="951" w:type="dxa"/>
            <w:shd w:val="clear" w:color="auto" w:fill="auto"/>
            <w:vAlign w:val="center"/>
          </w:tcPr>
          <w:p w14:paraId="7C2FCEAA" w14:textId="77777777" w:rsidR="007B2AC5" w:rsidRDefault="007B2AC5" w:rsidP="00DF1E20">
            <w:pPr>
              <w:pStyle w:val="NumPlain1"/>
              <w:jc w:val="center"/>
              <w:rPr>
                <w:lang w:eastAsia="en-AU"/>
              </w:rPr>
            </w:pPr>
          </w:p>
        </w:tc>
        <w:tc>
          <w:tcPr>
            <w:tcW w:w="951" w:type="dxa"/>
            <w:shd w:val="clear" w:color="auto" w:fill="auto"/>
            <w:vAlign w:val="center"/>
          </w:tcPr>
          <w:p w14:paraId="51184971" w14:textId="77777777" w:rsidR="007B2AC5" w:rsidRDefault="007B2AC5" w:rsidP="00DF1E20">
            <w:pPr>
              <w:pStyle w:val="NumPlain1"/>
              <w:jc w:val="center"/>
              <w:rPr>
                <w:lang w:eastAsia="en-AU"/>
              </w:rPr>
            </w:pPr>
          </w:p>
        </w:tc>
        <w:tc>
          <w:tcPr>
            <w:tcW w:w="951" w:type="dxa"/>
            <w:shd w:val="clear" w:color="auto" w:fill="auto"/>
            <w:vAlign w:val="center"/>
          </w:tcPr>
          <w:p w14:paraId="2BC64D4B" w14:textId="77777777" w:rsidR="007B2AC5" w:rsidRDefault="007B2AC5" w:rsidP="00DF1E20">
            <w:pPr>
              <w:pStyle w:val="NumPlain1"/>
              <w:jc w:val="center"/>
              <w:rPr>
                <w:lang w:eastAsia="en-AU"/>
              </w:rPr>
            </w:pPr>
          </w:p>
        </w:tc>
        <w:tc>
          <w:tcPr>
            <w:tcW w:w="951" w:type="dxa"/>
            <w:shd w:val="clear" w:color="auto" w:fill="auto"/>
            <w:vAlign w:val="center"/>
          </w:tcPr>
          <w:p w14:paraId="718FF688" w14:textId="26D6357A" w:rsidR="007B2AC5" w:rsidRDefault="007B2AC5" w:rsidP="00DF1E20">
            <w:pPr>
              <w:pStyle w:val="NumPlain1"/>
              <w:jc w:val="center"/>
              <w:rPr>
                <w:lang w:eastAsia="en-AU"/>
              </w:rPr>
            </w:pPr>
            <w:r w:rsidRPr="00791047">
              <w:t>X</w:t>
            </w:r>
          </w:p>
        </w:tc>
        <w:tc>
          <w:tcPr>
            <w:tcW w:w="952" w:type="dxa"/>
            <w:shd w:val="clear" w:color="auto" w:fill="auto"/>
            <w:vAlign w:val="center"/>
          </w:tcPr>
          <w:p w14:paraId="3AF1B9C4" w14:textId="77777777" w:rsidR="007B2AC5" w:rsidRDefault="007B2AC5" w:rsidP="00DF1E20">
            <w:pPr>
              <w:pStyle w:val="NumPlain1"/>
              <w:jc w:val="center"/>
              <w:rPr>
                <w:lang w:eastAsia="en-AU"/>
              </w:rPr>
            </w:pPr>
          </w:p>
        </w:tc>
      </w:tr>
      <w:tr w:rsidR="007B2AC5" w14:paraId="3773B42D" w14:textId="77777777" w:rsidTr="00A53D71">
        <w:trPr>
          <w:cantSplit/>
        </w:trPr>
        <w:tc>
          <w:tcPr>
            <w:tcW w:w="850" w:type="dxa"/>
            <w:shd w:val="clear" w:color="auto" w:fill="auto"/>
          </w:tcPr>
          <w:p w14:paraId="171CFF6D" w14:textId="02CE5560" w:rsidR="007B2AC5" w:rsidRDefault="007B2AC5" w:rsidP="002C242D">
            <w:pPr>
              <w:pStyle w:val="NumPlain1"/>
              <w:jc w:val="left"/>
              <w:rPr>
                <w:lang w:eastAsia="en-AU"/>
              </w:rPr>
            </w:pPr>
            <w:r w:rsidRPr="00791047">
              <w:t>222–225</w:t>
            </w:r>
          </w:p>
        </w:tc>
        <w:tc>
          <w:tcPr>
            <w:tcW w:w="1559" w:type="dxa"/>
            <w:shd w:val="clear" w:color="auto" w:fill="auto"/>
          </w:tcPr>
          <w:p w14:paraId="4E7FB092" w14:textId="40AE055D" w:rsidR="007B2AC5" w:rsidRDefault="007B2AC5" w:rsidP="002C242D">
            <w:pPr>
              <w:pStyle w:val="NumPlain1"/>
              <w:jc w:val="left"/>
              <w:rPr>
                <w:lang w:eastAsia="en-AU"/>
              </w:rPr>
            </w:pPr>
            <w:r w:rsidRPr="00791047">
              <w:t>Budgetary reporting</w:t>
            </w:r>
          </w:p>
        </w:tc>
        <w:tc>
          <w:tcPr>
            <w:tcW w:w="951" w:type="dxa"/>
            <w:shd w:val="clear" w:color="auto" w:fill="auto"/>
            <w:vAlign w:val="center"/>
          </w:tcPr>
          <w:p w14:paraId="13A59ED1" w14:textId="77777777" w:rsidR="007B2AC5" w:rsidRDefault="007B2AC5" w:rsidP="00DF1E20">
            <w:pPr>
              <w:pStyle w:val="NumPlain1"/>
              <w:jc w:val="center"/>
              <w:rPr>
                <w:lang w:eastAsia="en-AU"/>
              </w:rPr>
            </w:pPr>
          </w:p>
        </w:tc>
        <w:tc>
          <w:tcPr>
            <w:tcW w:w="951" w:type="dxa"/>
            <w:shd w:val="clear" w:color="auto" w:fill="auto"/>
            <w:vAlign w:val="center"/>
          </w:tcPr>
          <w:p w14:paraId="53CA803B" w14:textId="77777777" w:rsidR="007B2AC5" w:rsidRDefault="007B2AC5" w:rsidP="00DF1E20">
            <w:pPr>
              <w:pStyle w:val="NumPlain1"/>
              <w:jc w:val="center"/>
              <w:rPr>
                <w:lang w:eastAsia="en-AU"/>
              </w:rPr>
            </w:pPr>
          </w:p>
        </w:tc>
        <w:tc>
          <w:tcPr>
            <w:tcW w:w="951" w:type="dxa"/>
            <w:shd w:val="clear" w:color="auto" w:fill="auto"/>
            <w:vAlign w:val="center"/>
          </w:tcPr>
          <w:p w14:paraId="1AA63C24" w14:textId="77777777" w:rsidR="007B2AC5" w:rsidRDefault="007B2AC5" w:rsidP="00DF1E20">
            <w:pPr>
              <w:pStyle w:val="NumPlain1"/>
              <w:jc w:val="center"/>
              <w:rPr>
                <w:lang w:eastAsia="en-AU"/>
              </w:rPr>
            </w:pPr>
          </w:p>
        </w:tc>
        <w:tc>
          <w:tcPr>
            <w:tcW w:w="951" w:type="dxa"/>
            <w:shd w:val="clear" w:color="auto" w:fill="auto"/>
            <w:vAlign w:val="center"/>
          </w:tcPr>
          <w:p w14:paraId="765DE959" w14:textId="77777777" w:rsidR="007B2AC5" w:rsidRDefault="007B2AC5" w:rsidP="00DF1E20">
            <w:pPr>
              <w:pStyle w:val="NumPlain1"/>
              <w:jc w:val="center"/>
              <w:rPr>
                <w:lang w:eastAsia="en-AU"/>
              </w:rPr>
            </w:pPr>
          </w:p>
        </w:tc>
        <w:tc>
          <w:tcPr>
            <w:tcW w:w="951" w:type="dxa"/>
            <w:shd w:val="clear" w:color="auto" w:fill="auto"/>
            <w:vAlign w:val="center"/>
          </w:tcPr>
          <w:p w14:paraId="0BCDE4FC" w14:textId="77777777" w:rsidR="007B2AC5" w:rsidRDefault="007B2AC5" w:rsidP="00DF1E20">
            <w:pPr>
              <w:pStyle w:val="NumPlain1"/>
              <w:jc w:val="center"/>
              <w:rPr>
                <w:lang w:eastAsia="en-AU"/>
              </w:rPr>
            </w:pPr>
          </w:p>
        </w:tc>
        <w:tc>
          <w:tcPr>
            <w:tcW w:w="951" w:type="dxa"/>
            <w:shd w:val="clear" w:color="auto" w:fill="auto"/>
            <w:vAlign w:val="center"/>
          </w:tcPr>
          <w:p w14:paraId="74D64F84" w14:textId="77777777" w:rsidR="007B2AC5" w:rsidRDefault="007B2AC5" w:rsidP="00DF1E20">
            <w:pPr>
              <w:pStyle w:val="NumPlain1"/>
              <w:jc w:val="center"/>
              <w:rPr>
                <w:lang w:eastAsia="en-AU"/>
              </w:rPr>
            </w:pPr>
          </w:p>
        </w:tc>
        <w:tc>
          <w:tcPr>
            <w:tcW w:w="952" w:type="dxa"/>
            <w:shd w:val="clear" w:color="auto" w:fill="auto"/>
            <w:vAlign w:val="center"/>
          </w:tcPr>
          <w:p w14:paraId="5CB56F17" w14:textId="6F10912F" w:rsidR="007B2AC5" w:rsidRDefault="007B2AC5" w:rsidP="00DF1E20">
            <w:pPr>
              <w:pStyle w:val="NumPlain1"/>
              <w:jc w:val="center"/>
              <w:rPr>
                <w:lang w:eastAsia="en-AU"/>
              </w:rPr>
            </w:pPr>
            <w:r w:rsidRPr="00791047">
              <w:t>X</w:t>
            </w:r>
          </w:p>
        </w:tc>
      </w:tr>
      <w:tr w:rsidR="007B2AC5" w14:paraId="06400CB1" w14:textId="77777777" w:rsidTr="00A53D71">
        <w:trPr>
          <w:cantSplit/>
        </w:trPr>
        <w:tc>
          <w:tcPr>
            <w:tcW w:w="850" w:type="dxa"/>
            <w:shd w:val="clear" w:color="auto" w:fill="auto"/>
          </w:tcPr>
          <w:p w14:paraId="4A1512FD" w14:textId="699EA518" w:rsidR="007B2AC5" w:rsidRDefault="007B2AC5" w:rsidP="002C242D">
            <w:pPr>
              <w:pStyle w:val="NumPlain1"/>
              <w:jc w:val="left"/>
              <w:rPr>
                <w:lang w:eastAsia="en-AU"/>
              </w:rPr>
            </w:pPr>
            <w:r w:rsidRPr="00791047">
              <w:t>226–237</w:t>
            </w:r>
          </w:p>
        </w:tc>
        <w:tc>
          <w:tcPr>
            <w:tcW w:w="1559" w:type="dxa"/>
            <w:shd w:val="clear" w:color="auto" w:fill="auto"/>
          </w:tcPr>
          <w:p w14:paraId="2586425D" w14:textId="06306EA7" w:rsidR="007B2AC5" w:rsidRDefault="007B2AC5" w:rsidP="002C242D">
            <w:pPr>
              <w:pStyle w:val="NumPlain1"/>
              <w:jc w:val="left"/>
              <w:rPr>
                <w:lang w:eastAsia="en-AU"/>
              </w:rPr>
            </w:pPr>
            <w:r w:rsidRPr="00791047">
              <w:t>Income of NFP entities</w:t>
            </w:r>
          </w:p>
        </w:tc>
        <w:tc>
          <w:tcPr>
            <w:tcW w:w="951" w:type="dxa"/>
            <w:shd w:val="clear" w:color="auto" w:fill="auto"/>
            <w:vAlign w:val="center"/>
          </w:tcPr>
          <w:p w14:paraId="2AACA415" w14:textId="0B11A37C" w:rsidR="007B2AC5" w:rsidRDefault="007B2AC5" w:rsidP="00DF1E20">
            <w:pPr>
              <w:pStyle w:val="NumPlain1"/>
              <w:jc w:val="center"/>
              <w:rPr>
                <w:lang w:eastAsia="en-AU"/>
              </w:rPr>
            </w:pPr>
            <w:r w:rsidRPr="00791047">
              <w:t>X</w:t>
            </w:r>
          </w:p>
        </w:tc>
        <w:tc>
          <w:tcPr>
            <w:tcW w:w="951" w:type="dxa"/>
            <w:shd w:val="clear" w:color="auto" w:fill="auto"/>
            <w:vAlign w:val="center"/>
          </w:tcPr>
          <w:p w14:paraId="3C1F793E" w14:textId="77777777" w:rsidR="007B2AC5" w:rsidRDefault="007B2AC5" w:rsidP="00DF1E20">
            <w:pPr>
              <w:pStyle w:val="NumPlain1"/>
              <w:jc w:val="center"/>
              <w:rPr>
                <w:lang w:eastAsia="en-AU"/>
              </w:rPr>
            </w:pPr>
          </w:p>
        </w:tc>
        <w:tc>
          <w:tcPr>
            <w:tcW w:w="951" w:type="dxa"/>
            <w:shd w:val="clear" w:color="auto" w:fill="auto"/>
            <w:vAlign w:val="center"/>
          </w:tcPr>
          <w:p w14:paraId="1E7B2188" w14:textId="77777777" w:rsidR="007B2AC5" w:rsidRDefault="007B2AC5" w:rsidP="00DF1E20">
            <w:pPr>
              <w:pStyle w:val="NumPlain1"/>
              <w:jc w:val="center"/>
              <w:rPr>
                <w:lang w:eastAsia="en-AU"/>
              </w:rPr>
            </w:pPr>
          </w:p>
        </w:tc>
        <w:tc>
          <w:tcPr>
            <w:tcW w:w="951" w:type="dxa"/>
            <w:shd w:val="clear" w:color="auto" w:fill="auto"/>
            <w:vAlign w:val="center"/>
          </w:tcPr>
          <w:p w14:paraId="74C2285C" w14:textId="77777777" w:rsidR="007B2AC5" w:rsidRDefault="007B2AC5" w:rsidP="00DF1E20">
            <w:pPr>
              <w:pStyle w:val="NumPlain1"/>
              <w:jc w:val="center"/>
              <w:rPr>
                <w:lang w:eastAsia="en-AU"/>
              </w:rPr>
            </w:pPr>
          </w:p>
        </w:tc>
        <w:tc>
          <w:tcPr>
            <w:tcW w:w="951" w:type="dxa"/>
            <w:shd w:val="clear" w:color="auto" w:fill="auto"/>
            <w:vAlign w:val="center"/>
          </w:tcPr>
          <w:p w14:paraId="579335F9" w14:textId="77777777" w:rsidR="007B2AC5" w:rsidRDefault="007B2AC5" w:rsidP="00DF1E20">
            <w:pPr>
              <w:pStyle w:val="NumPlain1"/>
              <w:jc w:val="center"/>
              <w:rPr>
                <w:lang w:eastAsia="en-AU"/>
              </w:rPr>
            </w:pPr>
          </w:p>
        </w:tc>
        <w:tc>
          <w:tcPr>
            <w:tcW w:w="951" w:type="dxa"/>
            <w:shd w:val="clear" w:color="auto" w:fill="auto"/>
            <w:vAlign w:val="center"/>
          </w:tcPr>
          <w:p w14:paraId="458A88AB" w14:textId="77777777" w:rsidR="007B2AC5" w:rsidRDefault="007B2AC5" w:rsidP="00DF1E20">
            <w:pPr>
              <w:pStyle w:val="NumPlain1"/>
              <w:jc w:val="center"/>
              <w:rPr>
                <w:lang w:eastAsia="en-AU"/>
              </w:rPr>
            </w:pPr>
          </w:p>
        </w:tc>
        <w:tc>
          <w:tcPr>
            <w:tcW w:w="952" w:type="dxa"/>
            <w:shd w:val="clear" w:color="auto" w:fill="auto"/>
            <w:vAlign w:val="center"/>
          </w:tcPr>
          <w:p w14:paraId="6EA9E195" w14:textId="77777777" w:rsidR="007B2AC5" w:rsidRDefault="007B2AC5" w:rsidP="00DF1E20">
            <w:pPr>
              <w:pStyle w:val="NumPlain1"/>
              <w:jc w:val="center"/>
              <w:rPr>
                <w:lang w:eastAsia="en-AU"/>
              </w:rPr>
            </w:pPr>
          </w:p>
        </w:tc>
      </w:tr>
      <w:tr w:rsidR="007B2AC5" w14:paraId="001F98FD" w14:textId="77777777" w:rsidTr="00A53D71">
        <w:trPr>
          <w:cantSplit/>
        </w:trPr>
        <w:tc>
          <w:tcPr>
            <w:tcW w:w="850" w:type="dxa"/>
            <w:shd w:val="clear" w:color="auto" w:fill="auto"/>
          </w:tcPr>
          <w:p w14:paraId="6B5713F2" w14:textId="3EB982F8" w:rsidR="007B2AC5" w:rsidRDefault="007B2AC5" w:rsidP="002C242D">
            <w:pPr>
              <w:pStyle w:val="NumPlain1"/>
              <w:jc w:val="left"/>
              <w:rPr>
                <w:lang w:eastAsia="en-AU"/>
              </w:rPr>
            </w:pPr>
            <w:r w:rsidRPr="00791047">
              <w:lastRenderedPageBreak/>
              <w:t>238–241</w:t>
            </w:r>
          </w:p>
        </w:tc>
        <w:tc>
          <w:tcPr>
            <w:tcW w:w="1559" w:type="dxa"/>
            <w:shd w:val="clear" w:color="auto" w:fill="auto"/>
          </w:tcPr>
          <w:p w14:paraId="06A527E6" w14:textId="6DE24366" w:rsidR="007B2AC5" w:rsidRDefault="007B2AC5" w:rsidP="002C242D">
            <w:pPr>
              <w:pStyle w:val="NumPlain1"/>
              <w:jc w:val="left"/>
              <w:rPr>
                <w:lang w:eastAsia="en-AU"/>
              </w:rPr>
            </w:pPr>
            <w:r w:rsidRPr="00791047">
              <w:t>Compliance with parliamentary appropriations and related authorities for expenditure</w:t>
            </w:r>
          </w:p>
        </w:tc>
        <w:tc>
          <w:tcPr>
            <w:tcW w:w="951" w:type="dxa"/>
            <w:shd w:val="clear" w:color="auto" w:fill="auto"/>
            <w:vAlign w:val="center"/>
          </w:tcPr>
          <w:p w14:paraId="08F85523" w14:textId="77777777" w:rsidR="007B2AC5" w:rsidRDefault="007B2AC5" w:rsidP="00DF1E20">
            <w:pPr>
              <w:pStyle w:val="NumPlain1"/>
              <w:jc w:val="center"/>
              <w:rPr>
                <w:lang w:eastAsia="en-AU"/>
              </w:rPr>
            </w:pPr>
          </w:p>
        </w:tc>
        <w:tc>
          <w:tcPr>
            <w:tcW w:w="951" w:type="dxa"/>
            <w:shd w:val="clear" w:color="auto" w:fill="auto"/>
            <w:vAlign w:val="center"/>
          </w:tcPr>
          <w:p w14:paraId="39E6C421" w14:textId="77777777" w:rsidR="007B2AC5" w:rsidRDefault="007B2AC5" w:rsidP="00DF1E20">
            <w:pPr>
              <w:pStyle w:val="NumPlain1"/>
              <w:jc w:val="center"/>
              <w:rPr>
                <w:lang w:eastAsia="en-AU"/>
              </w:rPr>
            </w:pPr>
          </w:p>
        </w:tc>
        <w:tc>
          <w:tcPr>
            <w:tcW w:w="951" w:type="dxa"/>
            <w:shd w:val="clear" w:color="auto" w:fill="auto"/>
            <w:vAlign w:val="center"/>
          </w:tcPr>
          <w:p w14:paraId="64FF0A77" w14:textId="77777777" w:rsidR="007B2AC5" w:rsidRDefault="007B2AC5" w:rsidP="00DF1E20">
            <w:pPr>
              <w:pStyle w:val="NumPlain1"/>
              <w:jc w:val="center"/>
              <w:rPr>
                <w:lang w:eastAsia="en-AU"/>
              </w:rPr>
            </w:pPr>
          </w:p>
        </w:tc>
        <w:tc>
          <w:tcPr>
            <w:tcW w:w="951" w:type="dxa"/>
            <w:shd w:val="clear" w:color="auto" w:fill="auto"/>
            <w:vAlign w:val="center"/>
          </w:tcPr>
          <w:p w14:paraId="27416753" w14:textId="77777777" w:rsidR="007B2AC5" w:rsidRDefault="007B2AC5" w:rsidP="00DF1E20">
            <w:pPr>
              <w:pStyle w:val="NumPlain1"/>
              <w:jc w:val="center"/>
              <w:rPr>
                <w:lang w:eastAsia="en-AU"/>
              </w:rPr>
            </w:pPr>
          </w:p>
        </w:tc>
        <w:tc>
          <w:tcPr>
            <w:tcW w:w="951" w:type="dxa"/>
            <w:shd w:val="clear" w:color="auto" w:fill="auto"/>
            <w:vAlign w:val="center"/>
          </w:tcPr>
          <w:p w14:paraId="1325AACE" w14:textId="1C40A20F" w:rsidR="007B2AC5" w:rsidRDefault="007B2AC5" w:rsidP="00DF1E20">
            <w:pPr>
              <w:pStyle w:val="NumPlain1"/>
              <w:jc w:val="center"/>
              <w:rPr>
                <w:lang w:eastAsia="en-AU"/>
              </w:rPr>
            </w:pPr>
            <w:r w:rsidRPr="00791047">
              <w:t>X</w:t>
            </w:r>
          </w:p>
        </w:tc>
        <w:tc>
          <w:tcPr>
            <w:tcW w:w="951" w:type="dxa"/>
            <w:shd w:val="clear" w:color="auto" w:fill="auto"/>
            <w:vAlign w:val="center"/>
          </w:tcPr>
          <w:p w14:paraId="27165789" w14:textId="77777777" w:rsidR="007B2AC5" w:rsidRDefault="007B2AC5" w:rsidP="00DF1E20">
            <w:pPr>
              <w:pStyle w:val="NumPlain1"/>
              <w:jc w:val="center"/>
              <w:rPr>
                <w:lang w:eastAsia="en-AU"/>
              </w:rPr>
            </w:pPr>
          </w:p>
        </w:tc>
        <w:tc>
          <w:tcPr>
            <w:tcW w:w="952" w:type="dxa"/>
            <w:shd w:val="clear" w:color="auto" w:fill="auto"/>
            <w:vAlign w:val="center"/>
          </w:tcPr>
          <w:p w14:paraId="1F28ED2D" w14:textId="77777777" w:rsidR="007B2AC5" w:rsidRDefault="007B2AC5" w:rsidP="00DF1E20">
            <w:pPr>
              <w:pStyle w:val="NumPlain1"/>
              <w:jc w:val="center"/>
              <w:rPr>
                <w:lang w:eastAsia="en-AU"/>
              </w:rPr>
            </w:pPr>
          </w:p>
        </w:tc>
      </w:tr>
      <w:tr w:rsidR="007B2AC5" w14:paraId="6821C920" w14:textId="77777777" w:rsidTr="00A53D71">
        <w:trPr>
          <w:cantSplit/>
        </w:trPr>
        <w:tc>
          <w:tcPr>
            <w:tcW w:w="850" w:type="dxa"/>
            <w:shd w:val="clear" w:color="auto" w:fill="auto"/>
          </w:tcPr>
          <w:p w14:paraId="479255AB" w14:textId="7695D29E" w:rsidR="007B2AC5" w:rsidRDefault="007B2AC5" w:rsidP="002C242D">
            <w:pPr>
              <w:pStyle w:val="NumPlain1"/>
              <w:jc w:val="left"/>
              <w:rPr>
                <w:lang w:eastAsia="en-AU"/>
              </w:rPr>
            </w:pPr>
            <w:r w:rsidRPr="00791047">
              <w:t>242–243</w:t>
            </w:r>
          </w:p>
        </w:tc>
        <w:tc>
          <w:tcPr>
            <w:tcW w:w="1559" w:type="dxa"/>
            <w:shd w:val="clear" w:color="auto" w:fill="auto"/>
          </w:tcPr>
          <w:p w14:paraId="53ED4F32" w14:textId="6CBDE7F0" w:rsidR="007B2AC5" w:rsidRDefault="007B2AC5" w:rsidP="002C242D">
            <w:pPr>
              <w:pStyle w:val="NumPlain1"/>
              <w:jc w:val="left"/>
              <w:rPr>
                <w:lang w:eastAsia="en-AU"/>
              </w:rPr>
            </w:pPr>
            <w:r w:rsidRPr="00791047">
              <w:t>Service concession arrangements</w:t>
            </w:r>
          </w:p>
        </w:tc>
        <w:tc>
          <w:tcPr>
            <w:tcW w:w="951" w:type="dxa"/>
            <w:shd w:val="clear" w:color="auto" w:fill="auto"/>
            <w:vAlign w:val="center"/>
          </w:tcPr>
          <w:p w14:paraId="52041558" w14:textId="77777777" w:rsidR="007B2AC5" w:rsidRDefault="007B2AC5" w:rsidP="00DF1E20">
            <w:pPr>
              <w:pStyle w:val="NumPlain1"/>
              <w:jc w:val="center"/>
              <w:rPr>
                <w:lang w:eastAsia="en-AU"/>
              </w:rPr>
            </w:pPr>
          </w:p>
        </w:tc>
        <w:tc>
          <w:tcPr>
            <w:tcW w:w="951" w:type="dxa"/>
            <w:shd w:val="clear" w:color="auto" w:fill="auto"/>
            <w:vAlign w:val="center"/>
          </w:tcPr>
          <w:p w14:paraId="01B3A531" w14:textId="77777777" w:rsidR="007B2AC5" w:rsidRDefault="007B2AC5" w:rsidP="00DF1E20">
            <w:pPr>
              <w:pStyle w:val="NumPlain1"/>
              <w:jc w:val="center"/>
              <w:rPr>
                <w:lang w:eastAsia="en-AU"/>
              </w:rPr>
            </w:pPr>
          </w:p>
        </w:tc>
        <w:tc>
          <w:tcPr>
            <w:tcW w:w="951" w:type="dxa"/>
            <w:shd w:val="clear" w:color="auto" w:fill="auto"/>
            <w:vAlign w:val="center"/>
          </w:tcPr>
          <w:p w14:paraId="63D50292" w14:textId="4C77DBCC" w:rsidR="007B2AC5" w:rsidRDefault="007B2AC5" w:rsidP="00DF1E20">
            <w:pPr>
              <w:pStyle w:val="NumPlain1"/>
              <w:jc w:val="center"/>
              <w:rPr>
                <w:lang w:eastAsia="en-AU"/>
              </w:rPr>
            </w:pPr>
            <w:r w:rsidRPr="00791047">
              <w:t>X</w:t>
            </w:r>
          </w:p>
        </w:tc>
        <w:tc>
          <w:tcPr>
            <w:tcW w:w="951" w:type="dxa"/>
            <w:shd w:val="clear" w:color="auto" w:fill="auto"/>
            <w:vAlign w:val="center"/>
          </w:tcPr>
          <w:p w14:paraId="7DD0769A" w14:textId="77777777" w:rsidR="007B2AC5" w:rsidRDefault="007B2AC5" w:rsidP="00DF1E20">
            <w:pPr>
              <w:pStyle w:val="NumPlain1"/>
              <w:jc w:val="center"/>
              <w:rPr>
                <w:lang w:eastAsia="en-AU"/>
              </w:rPr>
            </w:pPr>
          </w:p>
        </w:tc>
        <w:tc>
          <w:tcPr>
            <w:tcW w:w="951" w:type="dxa"/>
            <w:shd w:val="clear" w:color="auto" w:fill="auto"/>
            <w:vAlign w:val="center"/>
          </w:tcPr>
          <w:p w14:paraId="4162E170" w14:textId="77777777" w:rsidR="007B2AC5" w:rsidRDefault="007B2AC5" w:rsidP="00DF1E20">
            <w:pPr>
              <w:pStyle w:val="NumPlain1"/>
              <w:jc w:val="center"/>
              <w:rPr>
                <w:lang w:eastAsia="en-AU"/>
              </w:rPr>
            </w:pPr>
          </w:p>
        </w:tc>
        <w:tc>
          <w:tcPr>
            <w:tcW w:w="951" w:type="dxa"/>
            <w:shd w:val="clear" w:color="auto" w:fill="auto"/>
            <w:vAlign w:val="center"/>
          </w:tcPr>
          <w:p w14:paraId="096F6A52" w14:textId="77777777" w:rsidR="007B2AC5" w:rsidRDefault="007B2AC5" w:rsidP="00DF1E20">
            <w:pPr>
              <w:pStyle w:val="NumPlain1"/>
              <w:jc w:val="center"/>
              <w:rPr>
                <w:lang w:eastAsia="en-AU"/>
              </w:rPr>
            </w:pPr>
          </w:p>
        </w:tc>
        <w:tc>
          <w:tcPr>
            <w:tcW w:w="952" w:type="dxa"/>
            <w:shd w:val="clear" w:color="auto" w:fill="auto"/>
            <w:vAlign w:val="center"/>
          </w:tcPr>
          <w:p w14:paraId="124E7D18" w14:textId="77777777" w:rsidR="007B2AC5" w:rsidRDefault="007B2AC5" w:rsidP="00DF1E20">
            <w:pPr>
              <w:pStyle w:val="NumPlain1"/>
              <w:jc w:val="center"/>
              <w:rPr>
                <w:lang w:eastAsia="en-AU"/>
              </w:rPr>
            </w:pPr>
          </w:p>
        </w:tc>
      </w:tr>
    </w:tbl>
    <w:p w14:paraId="7FBDEBFE" w14:textId="77777777" w:rsidR="00F42DB6" w:rsidRPr="00155974" w:rsidRDefault="00F42DB6" w:rsidP="00022B10">
      <w:pPr>
        <w:pStyle w:val="IASBSectionTitle2Ind"/>
        <w:rPr>
          <w:lang w:eastAsia="en-AU"/>
        </w:rPr>
      </w:pPr>
      <w:r w:rsidRPr="00155974">
        <w:rPr>
          <w:lang w:eastAsia="en-AU"/>
        </w:rPr>
        <w:t>Contributions</w:t>
      </w:r>
      <w:r w:rsidRPr="00155974">
        <w:rPr>
          <w:rStyle w:val="FootnoteReference"/>
          <w:sz w:val="22"/>
          <w:szCs w:val="22"/>
          <w:lang w:eastAsia="en-AU"/>
        </w:rPr>
        <w:footnoteReference w:id="39"/>
      </w:r>
    </w:p>
    <w:p w14:paraId="341366C9" w14:textId="09358E24" w:rsidR="00F42DB6" w:rsidRPr="00155974" w:rsidRDefault="00F42DB6" w:rsidP="000E61D3">
      <w:pPr>
        <w:pStyle w:val="NumPlain1"/>
        <w:numPr>
          <w:ilvl w:val="0"/>
          <w:numId w:val="84"/>
        </w:numPr>
        <w:ind w:left="782" w:hanging="782"/>
      </w:pPr>
      <w:bookmarkStart w:id="135" w:name="_Ref34662900"/>
      <w:r w:rsidRPr="00155974">
        <w:t>A government department shall disclose liabilities that were assumed during the reporting period by the government or other entity.</w:t>
      </w:r>
      <w:bookmarkEnd w:id="135"/>
    </w:p>
    <w:p w14:paraId="739BFB81" w14:textId="77777777" w:rsidR="00A34A0E" w:rsidRPr="00155974" w:rsidRDefault="00A34A0E" w:rsidP="00022B10">
      <w:pPr>
        <w:pStyle w:val="IASBSectionTitle2Ind"/>
        <w:rPr>
          <w:lang w:eastAsia="en-AU"/>
        </w:rPr>
      </w:pPr>
      <w:r w:rsidRPr="00155974">
        <w:rPr>
          <w:lang w:eastAsia="en-AU"/>
        </w:rPr>
        <w:t>Restructure of administrative arrangements</w:t>
      </w:r>
      <w:r w:rsidRPr="00155974">
        <w:rPr>
          <w:rStyle w:val="FootnoteReference"/>
          <w:sz w:val="22"/>
          <w:szCs w:val="22"/>
          <w:lang w:eastAsia="en-AU"/>
        </w:rPr>
        <w:footnoteReference w:id="40"/>
      </w:r>
    </w:p>
    <w:p w14:paraId="420C7CF3" w14:textId="2B7DAED9" w:rsidR="00A34A0E" w:rsidRPr="00155974" w:rsidRDefault="00A34A0E" w:rsidP="000E61D3">
      <w:pPr>
        <w:pStyle w:val="NumPlain1"/>
        <w:numPr>
          <w:ilvl w:val="0"/>
          <w:numId w:val="84"/>
        </w:numPr>
        <w:ind w:left="782" w:hanging="782"/>
      </w:pPr>
      <w:bookmarkStart w:id="136" w:name="_Ref34662921"/>
      <w:r w:rsidRPr="00155974">
        <w:t>When activities are transferred as a consequence of a restructure of administrative arrangements, a government controlled not-for-profit transferee entity shall disclose the expenses and income attributable to the transferred activities for the reporting period, showing separately those expenses and items of income recognised by the transferor during the reporting period. If disclosure of this information would be impracticable, that fact shall be disclosed, together with an explanation of why this is the case.</w:t>
      </w:r>
      <w:bookmarkEnd w:id="136"/>
      <w:r w:rsidRPr="00155974">
        <w:t xml:space="preserve"> </w:t>
      </w:r>
    </w:p>
    <w:p w14:paraId="74223E21" w14:textId="0FA98504" w:rsidR="00A34A0E" w:rsidRPr="00155974" w:rsidRDefault="00A34A0E" w:rsidP="000E61D3">
      <w:pPr>
        <w:pStyle w:val="NumPlain1"/>
        <w:numPr>
          <w:ilvl w:val="0"/>
          <w:numId w:val="84"/>
        </w:numPr>
        <w:ind w:left="782" w:hanging="782"/>
      </w:pPr>
      <w:bookmarkStart w:id="137" w:name="_Ref34663486"/>
      <w:r w:rsidRPr="00155974">
        <w:t>For each material transfer, the assets and liabilities transferred as a consequence of a restructure of administrative arrangements during the reporting period shall be disclosed by class, and the counterparty transferor/transferee entity shall be identified. With respect to transfers that are individually immaterial, the assets and liabilities transferred shall be disclosed on an aggregate basis.</w:t>
      </w:r>
      <w:bookmarkEnd w:id="137"/>
      <w:r w:rsidRPr="00155974">
        <w:t xml:space="preserve"> </w:t>
      </w:r>
    </w:p>
    <w:p w14:paraId="45A204B9" w14:textId="0A1F98FD" w:rsidR="00A34A0E" w:rsidRPr="00155974" w:rsidRDefault="00A34A0E" w:rsidP="000E61D3">
      <w:pPr>
        <w:pStyle w:val="NumPlain1"/>
        <w:numPr>
          <w:ilvl w:val="0"/>
          <w:numId w:val="84"/>
        </w:numPr>
        <w:ind w:left="782" w:hanging="782"/>
      </w:pPr>
      <w:bookmarkStart w:id="138" w:name="_Ref34662945"/>
      <w:r w:rsidRPr="00155974">
        <w:t xml:space="preserve">The disclosures required by paragraph </w:t>
      </w:r>
      <w:r w:rsidR="003726E3" w:rsidRPr="00155974">
        <w:t>217</w:t>
      </w:r>
      <w:r w:rsidR="006F58A8" w:rsidRPr="00155974">
        <w:t xml:space="preserve"> </w:t>
      </w:r>
      <w:r w:rsidRPr="00155974">
        <w:t>will assist users to identify the assets and liabilities recognised or derecognised as a result of a restructure of administrative arrangements separately from other assets and liabilities and to identify the transferor/transferee entity.</w:t>
      </w:r>
      <w:bookmarkEnd w:id="138"/>
    </w:p>
    <w:p w14:paraId="675AFC11" w14:textId="38A53A25" w:rsidR="00F42DB6" w:rsidRPr="00155974" w:rsidRDefault="00F22DB4" w:rsidP="00022B10">
      <w:pPr>
        <w:pStyle w:val="IASBSectionTitle2Ind"/>
        <w:rPr>
          <w:b w:val="0"/>
        </w:rPr>
      </w:pPr>
      <w:r w:rsidRPr="00155974">
        <w:t xml:space="preserve">Administered </w:t>
      </w:r>
      <w:r w:rsidR="00E56911" w:rsidRPr="00155974">
        <w:t>items</w:t>
      </w:r>
      <w:r w:rsidR="00F42DB6" w:rsidRPr="00155974">
        <w:rPr>
          <w:rStyle w:val="FootnoteReference"/>
          <w:sz w:val="22"/>
          <w:szCs w:val="22"/>
        </w:rPr>
        <w:footnoteReference w:id="41"/>
      </w:r>
    </w:p>
    <w:p w14:paraId="28850A38" w14:textId="1A33CEFE" w:rsidR="00F42DB6" w:rsidRPr="00155974" w:rsidRDefault="00F42DB6" w:rsidP="000E61D3">
      <w:pPr>
        <w:pStyle w:val="NumPlain1"/>
        <w:numPr>
          <w:ilvl w:val="0"/>
          <w:numId w:val="84"/>
        </w:numPr>
        <w:ind w:left="782" w:hanging="782"/>
      </w:pPr>
      <w:bookmarkStart w:id="139" w:name="_Ref34662971"/>
      <w:r w:rsidRPr="00155974">
        <w:t>A government department shall disclose the following in its complete set of financial statements in relation to activities administered by the government department:</w:t>
      </w:r>
      <w:bookmarkEnd w:id="139"/>
      <w:r w:rsidRPr="00155974">
        <w:t xml:space="preserve"> </w:t>
      </w:r>
    </w:p>
    <w:p w14:paraId="12E5CB5B" w14:textId="18C602EC" w:rsidR="00F42DB6" w:rsidRPr="00843FE7" w:rsidRDefault="00F42DB6" w:rsidP="000E61D3">
      <w:pPr>
        <w:pStyle w:val="ListParagraph"/>
        <w:numPr>
          <w:ilvl w:val="0"/>
          <w:numId w:val="182"/>
        </w:numPr>
        <w:ind w:left="1564" w:hanging="782"/>
        <w:jc w:val="both"/>
        <w:rPr>
          <w:szCs w:val="19"/>
        </w:rPr>
      </w:pPr>
      <w:r w:rsidRPr="00843FE7">
        <w:rPr>
          <w:szCs w:val="19"/>
        </w:rPr>
        <w:t>administered income, showing separately each major class of income;</w:t>
      </w:r>
    </w:p>
    <w:p w14:paraId="14B720B4" w14:textId="40CE9399" w:rsidR="00F42DB6" w:rsidRPr="00843FE7" w:rsidRDefault="00F42DB6" w:rsidP="000E61D3">
      <w:pPr>
        <w:pStyle w:val="ListParagraph"/>
        <w:numPr>
          <w:ilvl w:val="0"/>
          <w:numId w:val="182"/>
        </w:numPr>
        <w:ind w:left="1564" w:hanging="782"/>
        <w:jc w:val="both"/>
        <w:rPr>
          <w:szCs w:val="19"/>
        </w:rPr>
      </w:pPr>
      <w:r w:rsidRPr="00843FE7">
        <w:rPr>
          <w:szCs w:val="19"/>
        </w:rPr>
        <w:t>administered expenses, showing separately each major class of expense;</w:t>
      </w:r>
    </w:p>
    <w:p w14:paraId="506E472C" w14:textId="500126ED" w:rsidR="00F42DB6" w:rsidRPr="00155974" w:rsidRDefault="00F42DB6" w:rsidP="000E61D3">
      <w:pPr>
        <w:pStyle w:val="ListParagraph"/>
        <w:numPr>
          <w:ilvl w:val="0"/>
          <w:numId w:val="182"/>
        </w:numPr>
        <w:ind w:left="1564" w:hanging="782"/>
        <w:jc w:val="both"/>
        <w:rPr>
          <w:szCs w:val="19"/>
        </w:rPr>
      </w:pPr>
      <w:r w:rsidRPr="00155974">
        <w:rPr>
          <w:szCs w:val="19"/>
        </w:rPr>
        <w:tab/>
        <w:t xml:space="preserve">administered assets, showing separately each major class of asset; and </w:t>
      </w:r>
    </w:p>
    <w:p w14:paraId="31AD3C26" w14:textId="573F43D6" w:rsidR="00F42DB6" w:rsidRPr="00155974" w:rsidRDefault="00F42DB6" w:rsidP="000E61D3">
      <w:pPr>
        <w:pStyle w:val="ListParagraph"/>
        <w:numPr>
          <w:ilvl w:val="0"/>
          <w:numId w:val="182"/>
        </w:numPr>
        <w:ind w:left="1564" w:hanging="782"/>
        <w:jc w:val="both"/>
        <w:rPr>
          <w:szCs w:val="19"/>
        </w:rPr>
      </w:pPr>
      <w:r w:rsidRPr="00155974">
        <w:rPr>
          <w:szCs w:val="19"/>
        </w:rPr>
        <w:tab/>
        <w:t>administered liabilities, showing separately each major class of liability.</w:t>
      </w:r>
    </w:p>
    <w:p w14:paraId="5DE95D7D" w14:textId="7EF953BD" w:rsidR="00F42DB6" w:rsidRPr="00155974" w:rsidRDefault="00F42DB6" w:rsidP="000E61D3">
      <w:pPr>
        <w:pStyle w:val="NumPlain1"/>
        <w:numPr>
          <w:ilvl w:val="0"/>
          <w:numId w:val="84"/>
        </w:numPr>
        <w:ind w:left="782" w:hanging="782"/>
      </w:pPr>
      <w:bookmarkStart w:id="140" w:name="_Ref34662987"/>
      <w:r w:rsidRPr="00155974">
        <w:t>Details of the broad categories of recipients and the amounts transferred to those recipients shall be disclosed in the government department’s complete set of financial statements.</w:t>
      </w:r>
      <w:bookmarkEnd w:id="140"/>
    </w:p>
    <w:p w14:paraId="5CB45C86" w14:textId="13256198" w:rsidR="00F42DB6" w:rsidRPr="00155974" w:rsidRDefault="007A322D" w:rsidP="00022B10">
      <w:pPr>
        <w:pStyle w:val="IASBSectionTitle2Ind"/>
        <w:rPr>
          <w:b w:val="0"/>
        </w:rPr>
      </w:pPr>
      <w:r w:rsidRPr="00155974">
        <w:lastRenderedPageBreak/>
        <w:t>L</w:t>
      </w:r>
      <w:r w:rsidR="00F22DB4" w:rsidRPr="00155974">
        <w:t>and under roads</w:t>
      </w:r>
      <w:r w:rsidR="00F42DB6" w:rsidRPr="00155974">
        <w:rPr>
          <w:rStyle w:val="FootnoteReference"/>
          <w:sz w:val="22"/>
          <w:szCs w:val="22"/>
        </w:rPr>
        <w:footnoteReference w:id="42"/>
      </w:r>
    </w:p>
    <w:p w14:paraId="0E4E71E6" w14:textId="7FFD93C4" w:rsidR="00F42DB6" w:rsidRPr="00155974" w:rsidRDefault="00F42DB6" w:rsidP="000E61D3">
      <w:pPr>
        <w:pStyle w:val="NumPlain1"/>
        <w:numPr>
          <w:ilvl w:val="0"/>
          <w:numId w:val="84"/>
        </w:numPr>
        <w:ind w:left="782" w:hanging="782"/>
      </w:pPr>
      <w:bookmarkStart w:id="141" w:name="_Ref34663017"/>
      <w:r w:rsidRPr="00155974">
        <w:t xml:space="preserve">An entity which applies AASB 1051 </w:t>
      </w:r>
      <w:r w:rsidRPr="00155974">
        <w:rPr>
          <w:i/>
        </w:rPr>
        <w:t>Land Under Roads</w:t>
      </w:r>
      <w:r w:rsidRPr="00155974">
        <w:t xml:space="preserve"> shall disclose its accounting policy for land under roads acquired before the end of the first reporting period ending on or after 31 December 2007, in each reporting period to which AASB 1051 is applied.</w:t>
      </w:r>
      <w:bookmarkEnd w:id="141"/>
    </w:p>
    <w:p w14:paraId="727449A3" w14:textId="42528599" w:rsidR="00F42DB6" w:rsidRPr="00155974" w:rsidRDefault="00E56911" w:rsidP="00022B10">
      <w:pPr>
        <w:pStyle w:val="IASBSectionTitle2Ind"/>
        <w:rPr>
          <w:b w:val="0"/>
        </w:rPr>
      </w:pPr>
      <w:r w:rsidRPr="00155974">
        <w:t>Budgetary reporting</w:t>
      </w:r>
      <w:r w:rsidR="00F42DB6" w:rsidRPr="00155974">
        <w:rPr>
          <w:rStyle w:val="FootnoteReference"/>
          <w:sz w:val="22"/>
          <w:szCs w:val="22"/>
        </w:rPr>
        <w:footnoteReference w:id="43"/>
      </w:r>
    </w:p>
    <w:p w14:paraId="7239DE2F" w14:textId="0A7128DA" w:rsidR="00F42DB6" w:rsidRPr="00155974" w:rsidRDefault="00F42DB6" w:rsidP="00043CE4">
      <w:pPr>
        <w:pStyle w:val="NumPlain1"/>
        <w:keepNext/>
        <w:numPr>
          <w:ilvl w:val="0"/>
          <w:numId w:val="84"/>
        </w:numPr>
        <w:ind w:left="782" w:hanging="782"/>
      </w:pPr>
      <w:bookmarkStart w:id="142" w:name="_Ref34663105"/>
      <w:r w:rsidRPr="00155974">
        <w:t xml:space="preserve">Where an entity applies AASB 1055 </w:t>
      </w:r>
      <w:r w:rsidRPr="00155974">
        <w:rPr>
          <w:i/>
        </w:rPr>
        <w:t>Budgetary Reporting</w:t>
      </w:r>
      <w:r w:rsidRPr="00155974">
        <w:t xml:space="preserve"> and its budgeted:</w:t>
      </w:r>
      <w:bookmarkEnd w:id="142"/>
      <w:r w:rsidRPr="00155974">
        <w:t xml:space="preserve"> </w:t>
      </w:r>
    </w:p>
    <w:p w14:paraId="310DA789" w14:textId="5BAC2F6E" w:rsidR="00F42DB6" w:rsidRPr="00801D3F" w:rsidRDefault="00F42DB6" w:rsidP="00043CE4">
      <w:pPr>
        <w:pStyle w:val="ListParagraph"/>
        <w:numPr>
          <w:ilvl w:val="0"/>
          <w:numId w:val="183"/>
        </w:numPr>
        <w:ind w:left="1564" w:hanging="782"/>
        <w:jc w:val="both"/>
        <w:rPr>
          <w:szCs w:val="19"/>
        </w:rPr>
      </w:pPr>
      <w:r w:rsidRPr="00801D3F">
        <w:rPr>
          <w:szCs w:val="19"/>
        </w:rPr>
        <w:t xml:space="preserve">statement of financial position; </w:t>
      </w:r>
    </w:p>
    <w:p w14:paraId="73E11359" w14:textId="7E011C57" w:rsidR="00F42DB6" w:rsidRPr="00801D3F" w:rsidRDefault="00F42DB6" w:rsidP="000E61D3">
      <w:pPr>
        <w:pStyle w:val="ListParagraph"/>
        <w:numPr>
          <w:ilvl w:val="0"/>
          <w:numId w:val="183"/>
        </w:numPr>
        <w:ind w:left="1564" w:hanging="782"/>
        <w:jc w:val="both"/>
        <w:rPr>
          <w:szCs w:val="19"/>
        </w:rPr>
      </w:pPr>
      <w:r w:rsidRPr="00801D3F">
        <w:rPr>
          <w:szCs w:val="19"/>
        </w:rPr>
        <w:t xml:space="preserve">statement of profit or loss and other comprehensive income; </w:t>
      </w:r>
    </w:p>
    <w:p w14:paraId="1CB042B5" w14:textId="774283C5" w:rsidR="00F42DB6" w:rsidRPr="00801D3F" w:rsidRDefault="00F42DB6" w:rsidP="000E61D3">
      <w:pPr>
        <w:pStyle w:val="ListParagraph"/>
        <w:numPr>
          <w:ilvl w:val="0"/>
          <w:numId w:val="183"/>
        </w:numPr>
        <w:ind w:left="1564" w:hanging="782"/>
        <w:jc w:val="both"/>
        <w:rPr>
          <w:szCs w:val="19"/>
        </w:rPr>
      </w:pPr>
      <w:r w:rsidRPr="00801D3F">
        <w:rPr>
          <w:szCs w:val="19"/>
        </w:rPr>
        <w:t xml:space="preserve">statement of changes in equity; or </w:t>
      </w:r>
    </w:p>
    <w:p w14:paraId="30FBD985" w14:textId="40E94A51" w:rsidR="00F42DB6" w:rsidRPr="00801D3F" w:rsidRDefault="00F42DB6" w:rsidP="000E61D3">
      <w:pPr>
        <w:pStyle w:val="ListParagraph"/>
        <w:numPr>
          <w:ilvl w:val="0"/>
          <w:numId w:val="183"/>
        </w:numPr>
        <w:ind w:left="1564" w:hanging="782"/>
        <w:jc w:val="both"/>
        <w:rPr>
          <w:szCs w:val="19"/>
        </w:rPr>
      </w:pPr>
      <w:r w:rsidRPr="00801D3F">
        <w:rPr>
          <w:szCs w:val="19"/>
        </w:rPr>
        <w:t xml:space="preserve">statement of cash flows; </w:t>
      </w:r>
    </w:p>
    <w:p w14:paraId="48D48CE5" w14:textId="77777777" w:rsidR="00F42DB6" w:rsidRPr="00155974" w:rsidRDefault="00F42DB6" w:rsidP="00971385">
      <w:pPr>
        <w:spacing w:after="100"/>
        <w:ind w:left="782"/>
        <w:rPr>
          <w:szCs w:val="19"/>
        </w:rPr>
      </w:pPr>
      <w:r w:rsidRPr="00155974">
        <w:rPr>
          <w:szCs w:val="19"/>
        </w:rPr>
        <w:t xml:space="preserve">reflecting controlled items is presented to parliament and is separately identified as relating to that entity, the entity shall disclose for the reporting period: </w:t>
      </w:r>
    </w:p>
    <w:p w14:paraId="1D2E1545" w14:textId="50D4D333" w:rsidR="00F42DB6" w:rsidRPr="00155974" w:rsidRDefault="00F42DB6" w:rsidP="000E61D3">
      <w:pPr>
        <w:pStyle w:val="ListParagraph"/>
        <w:numPr>
          <w:ilvl w:val="0"/>
          <w:numId w:val="183"/>
        </w:numPr>
        <w:ind w:left="1564" w:hanging="782"/>
        <w:jc w:val="both"/>
        <w:rPr>
          <w:szCs w:val="19"/>
        </w:rPr>
      </w:pPr>
      <w:r w:rsidRPr="00155974">
        <w:rPr>
          <w:szCs w:val="19"/>
        </w:rPr>
        <w:tab/>
        <w:t>that original budgeted financial statement presented to parliament, presented and classified on a basis that is consistent with the presentation and classification adopted in the corresponding financial statement prepared in accordance with</w:t>
      </w:r>
      <w:r w:rsidR="001D16D4" w:rsidRPr="00155974">
        <w:rPr>
          <w:szCs w:val="19"/>
        </w:rPr>
        <w:t xml:space="preserve"> Australian Accounting Standards</w:t>
      </w:r>
      <w:r w:rsidRPr="00155974">
        <w:rPr>
          <w:szCs w:val="19"/>
        </w:rPr>
        <w:t xml:space="preserve">; and </w:t>
      </w:r>
    </w:p>
    <w:p w14:paraId="0BF2B702" w14:textId="0FB73A33" w:rsidR="00F42DB6" w:rsidRPr="00155974" w:rsidRDefault="00F42DB6" w:rsidP="000E61D3">
      <w:pPr>
        <w:pStyle w:val="ListParagraph"/>
        <w:numPr>
          <w:ilvl w:val="0"/>
          <w:numId w:val="183"/>
        </w:numPr>
        <w:ind w:left="1564" w:hanging="782"/>
        <w:jc w:val="both"/>
        <w:rPr>
          <w:szCs w:val="19"/>
        </w:rPr>
      </w:pPr>
      <w:r w:rsidRPr="00155974">
        <w:rPr>
          <w:szCs w:val="19"/>
        </w:rPr>
        <w:tab/>
        <w:t>explanations of major variances between the actual amounts presented in the financial statements and the corresponding original budget amounts.</w:t>
      </w:r>
    </w:p>
    <w:p w14:paraId="79639161" w14:textId="00623BF7" w:rsidR="00F42DB6" w:rsidRPr="00155974" w:rsidRDefault="00F42DB6" w:rsidP="000E61D3">
      <w:pPr>
        <w:pStyle w:val="NumPlain1"/>
        <w:numPr>
          <w:ilvl w:val="0"/>
          <w:numId w:val="84"/>
        </w:numPr>
        <w:ind w:left="782" w:hanging="782"/>
      </w:pPr>
      <w:r w:rsidRPr="00155974">
        <w:t xml:space="preserve">Where an entity within the </w:t>
      </w:r>
      <w:r w:rsidR="00A9557B" w:rsidRPr="00155974">
        <w:t>General Government Sector (</w:t>
      </w:r>
      <w:r w:rsidRPr="00155974">
        <w:t>GGS</w:t>
      </w:r>
      <w:r w:rsidR="00D04FDB" w:rsidRPr="00155974">
        <w:t>)</w:t>
      </w:r>
      <w:r w:rsidRPr="00155974">
        <w:t xml:space="preserve">’s budgeted financial information reflecting major classes of administered income and expenses, or major classes of administered assets and liabilities, is presented to parliament and is separately identified as relating to that entity, the entity shall disclose for the reporting period: </w:t>
      </w:r>
    </w:p>
    <w:p w14:paraId="7BCD2547" w14:textId="5AD04748" w:rsidR="00F42DB6" w:rsidRPr="00801D3F" w:rsidRDefault="00F42DB6" w:rsidP="000E61D3">
      <w:pPr>
        <w:pStyle w:val="ListParagraph"/>
        <w:numPr>
          <w:ilvl w:val="0"/>
          <w:numId w:val="184"/>
        </w:numPr>
        <w:ind w:left="1564" w:hanging="782"/>
        <w:jc w:val="both"/>
        <w:rPr>
          <w:szCs w:val="19"/>
        </w:rPr>
      </w:pPr>
      <w:r w:rsidRPr="00801D3F">
        <w:rPr>
          <w:szCs w:val="19"/>
        </w:rPr>
        <w:t xml:space="preserve">that original budgeted financial information presented to parliament, presented and classified on a basis that is consistent with the presentation and classification adopted for the corresponding information about administered items disclosed in accordance with AASB </w:t>
      </w:r>
      <w:r w:rsidRPr="00801D3F">
        <w:rPr>
          <w:iCs/>
          <w:szCs w:val="19"/>
        </w:rPr>
        <w:t>1050</w:t>
      </w:r>
      <w:r w:rsidRPr="00801D3F">
        <w:rPr>
          <w:i/>
          <w:szCs w:val="19"/>
        </w:rPr>
        <w:t xml:space="preserve"> Administered Items</w:t>
      </w:r>
      <w:r w:rsidRPr="00801D3F">
        <w:rPr>
          <w:szCs w:val="19"/>
        </w:rPr>
        <w:t>; and</w:t>
      </w:r>
    </w:p>
    <w:p w14:paraId="081C1C7E" w14:textId="024C9A07" w:rsidR="00F42DB6" w:rsidRPr="00801D3F" w:rsidRDefault="00F42DB6" w:rsidP="000E61D3">
      <w:pPr>
        <w:pStyle w:val="ListParagraph"/>
        <w:numPr>
          <w:ilvl w:val="0"/>
          <w:numId w:val="184"/>
        </w:numPr>
        <w:ind w:left="1564" w:hanging="782"/>
        <w:jc w:val="both"/>
        <w:rPr>
          <w:color w:val="000000" w:themeColor="text1"/>
          <w:szCs w:val="19"/>
        </w:rPr>
      </w:pPr>
      <w:r w:rsidRPr="00801D3F">
        <w:rPr>
          <w:color w:val="000000" w:themeColor="text1"/>
          <w:szCs w:val="19"/>
        </w:rPr>
        <w:t>explanations of major variances between the actual amounts disclosed in the financial statements in accordance with AASB 1050 and the corresponding original budget amounts.</w:t>
      </w:r>
    </w:p>
    <w:p w14:paraId="397DBF74" w14:textId="35A0FEDE" w:rsidR="00F42DB6" w:rsidRPr="00155974" w:rsidRDefault="00F42DB6" w:rsidP="000E61D3">
      <w:pPr>
        <w:pStyle w:val="NumPlain1"/>
        <w:numPr>
          <w:ilvl w:val="0"/>
          <w:numId w:val="84"/>
        </w:numPr>
        <w:ind w:left="782" w:hanging="782"/>
      </w:pPr>
      <w:bookmarkStart w:id="143" w:name="_Ref34744593"/>
      <w:r w:rsidRPr="00155974">
        <w:t>Comparative budgetary information in respect of the previous period need not be disclosed.</w:t>
      </w:r>
      <w:bookmarkEnd w:id="143"/>
      <w:r w:rsidRPr="00155974">
        <w:t xml:space="preserve"> </w:t>
      </w:r>
    </w:p>
    <w:p w14:paraId="28268907" w14:textId="13759D14" w:rsidR="00F42DB6" w:rsidRPr="00155974" w:rsidRDefault="00F42DB6" w:rsidP="000E61D3">
      <w:pPr>
        <w:pStyle w:val="NumPlain1"/>
        <w:numPr>
          <w:ilvl w:val="0"/>
          <w:numId w:val="84"/>
        </w:numPr>
        <w:ind w:left="782" w:hanging="782"/>
        <w:rPr>
          <w:i/>
        </w:rPr>
      </w:pPr>
      <w:bookmarkStart w:id="144" w:name="_Ref34663117"/>
      <w:r w:rsidRPr="00155974">
        <w:t>When disclosing budgetary information under</w:t>
      </w:r>
      <w:r w:rsidR="009E4428" w:rsidRPr="00155974">
        <w:t xml:space="preserve"> paragraphs</w:t>
      </w:r>
      <w:r w:rsidR="009D5344" w:rsidRPr="00155974">
        <w:t xml:space="preserve"> </w:t>
      </w:r>
      <w:r w:rsidR="00520795" w:rsidRPr="00155974">
        <w:t>222</w:t>
      </w:r>
      <w:r w:rsidR="00D94546" w:rsidRPr="00155974">
        <w:t>–</w:t>
      </w:r>
      <w:r w:rsidR="00520795" w:rsidRPr="00155974">
        <w:t>224</w:t>
      </w:r>
      <w:r w:rsidRPr="00155974">
        <w:t xml:space="preserve">, </w:t>
      </w:r>
      <w:r w:rsidR="003A2B90" w:rsidRPr="00155974">
        <w:t>an</w:t>
      </w:r>
      <w:r w:rsidRPr="00155974">
        <w:t xml:space="preserve"> entity </w:t>
      </w:r>
      <w:r w:rsidR="00C50E3E" w:rsidRPr="00155974">
        <w:t xml:space="preserve">shall </w:t>
      </w:r>
      <w:r w:rsidRPr="00155974">
        <w:t xml:space="preserve">comply with the requirements in AASB 1055 </w:t>
      </w:r>
      <w:r w:rsidRPr="00155974">
        <w:rPr>
          <w:i/>
        </w:rPr>
        <w:t>Budgetary Reporting</w:t>
      </w:r>
      <w:r w:rsidRPr="00155974">
        <w:rPr>
          <w:iCs/>
        </w:rPr>
        <w:t>.</w:t>
      </w:r>
      <w:bookmarkEnd w:id="144"/>
    </w:p>
    <w:p w14:paraId="69639ABF" w14:textId="5DCE5DF3" w:rsidR="00F42DB6" w:rsidRPr="00155974" w:rsidRDefault="000A080D" w:rsidP="00022B10">
      <w:pPr>
        <w:pStyle w:val="IASBSectionTitle2Ind"/>
        <w:rPr>
          <w:b w:val="0"/>
        </w:rPr>
      </w:pPr>
      <w:r w:rsidRPr="00155974">
        <w:t>Income of not-for-profit entities</w:t>
      </w:r>
      <w:r w:rsidR="00F42DB6" w:rsidRPr="00155974">
        <w:rPr>
          <w:rStyle w:val="FootnoteReference"/>
          <w:sz w:val="22"/>
          <w:szCs w:val="22"/>
        </w:rPr>
        <w:footnoteReference w:id="44"/>
      </w:r>
    </w:p>
    <w:p w14:paraId="2D347CFC" w14:textId="2E73D3E3" w:rsidR="00F42DB6" w:rsidRPr="00155974" w:rsidRDefault="00F42DB6" w:rsidP="000E61D3">
      <w:pPr>
        <w:pStyle w:val="NumPlain1"/>
        <w:numPr>
          <w:ilvl w:val="0"/>
          <w:numId w:val="84"/>
        </w:numPr>
        <w:ind w:left="782" w:hanging="782"/>
      </w:pPr>
      <w:bookmarkStart w:id="145" w:name="_Ref34663159"/>
      <w:r w:rsidRPr="00155974">
        <w:t xml:space="preserve">The objective of the disclosure requirements is for an entity to disclose sufficient information to enable users of financial statements to understand the effects of volunteer services and other transactions where an entity acquires an asset for consideration that is significantly less than fair value principally to enable the entity to further its objectives on the financial position, financial performance and cash flows of the entity. Paragraphs </w:t>
      </w:r>
      <w:r w:rsidR="00DD5895" w:rsidRPr="00155974">
        <w:t>227</w:t>
      </w:r>
      <w:r w:rsidR="00E66005" w:rsidRPr="00155974">
        <w:t>–</w:t>
      </w:r>
      <w:r w:rsidR="00C45916" w:rsidRPr="00155974">
        <w:t>24</w:t>
      </w:r>
      <w:r w:rsidR="00034262">
        <w:t>1</w:t>
      </w:r>
      <w:r w:rsidR="00C45916" w:rsidRPr="00155974">
        <w:t xml:space="preserve"> </w:t>
      </w:r>
      <w:r w:rsidRPr="00155974">
        <w:t>specify requirements relating to this objective.</w:t>
      </w:r>
      <w:bookmarkEnd w:id="145"/>
      <w:r w:rsidRPr="00155974">
        <w:t xml:space="preserve"> </w:t>
      </w:r>
    </w:p>
    <w:p w14:paraId="51ABA317" w14:textId="2BFF48EE" w:rsidR="00F42DB6" w:rsidRPr="00155974" w:rsidRDefault="00F42DB6" w:rsidP="000E61D3">
      <w:pPr>
        <w:pStyle w:val="NumPlain1"/>
        <w:numPr>
          <w:ilvl w:val="0"/>
          <w:numId w:val="84"/>
        </w:numPr>
        <w:ind w:left="782" w:hanging="782"/>
      </w:pPr>
      <w:r w:rsidRPr="00155974">
        <w:t xml:space="preserve">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 </w:t>
      </w:r>
    </w:p>
    <w:p w14:paraId="409C9780" w14:textId="5DC0E688" w:rsidR="00F42DB6" w:rsidRPr="00155974" w:rsidRDefault="00F42DB6" w:rsidP="000E61D3">
      <w:pPr>
        <w:pStyle w:val="NumPlain1"/>
        <w:numPr>
          <w:ilvl w:val="0"/>
          <w:numId w:val="84"/>
        </w:numPr>
        <w:ind w:left="782" w:hanging="782"/>
      </w:pPr>
      <w:r w:rsidRPr="00155974">
        <w:t xml:space="preserve">An entity need not disclose information in accordance with </w:t>
      </w:r>
      <w:r w:rsidR="00697E65" w:rsidRPr="00155974">
        <w:t xml:space="preserve">paragraphs </w:t>
      </w:r>
      <w:r w:rsidR="008C67F6" w:rsidRPr="00155974">
        <w:t>226</w:t>
      </w:r>
      <w:r w:rsidR="00BE728D" w:rsidRPr="00155974">
        <w:t>–</w:t>
      </w:r>
      <w:r w:rsidR="008C67F6" w:rsidRPr="00155974">
        <w:t>24</w:t>
      </w:r>
      <w:r w:rsidR="00F37A33">
        <w:t>1</w:t>
      </w:r>
      <w:r w:rsidR="004F0431" w:rsidRPr="00155974" w:rsidDel="00BD036F">
        <w:t xml:space="preserve"> </w:t>
      </w:r>
      <w:r w:rsidRPr="00155974">
        <w:t xml:space="preserve">if it has provided the information in accordance with </w:t>
      </w:r>
      <w:r w:rsidR="00BD036F" w:rsidRPr="00155974">
        <w:t xml:space="preserve">other </w:t>
      </w:r>
      <w:r w:rsidR="00697E65" w:rsidRPr="00155974">
        <w:t xml:space="preserve">sections in this </w:t>
      </w:r>
      <w:r w:rsidRPr="00155974">
        <w:t xml:space="preserve">Standard. </w:t>
      </w:r>
    </w:p>
    <w:p w14:paraId="526CE3CA" w14:textId="6E7B52CC" w:rsidR="00F42DB6" w:rsidRPr="00155974" w:rsidRDefault="00F42DB6" w:rsidP="000E61D3">
      <w:pPr>
        <w:pStyle w:val="NumPlain1"/>
        <w:numPr>
          <w:ilvl w:val="0"/>
          <w:numId w:val="84"/>
        </w:numPr>
        <w:ind w:left="782" w:hanging="782"/>
        <w:rPr>
          <w:color w:val="000000" w:themeColor="text1"/>
        </w:rPr>
      </w:pPr>
      <w:bookmarkStart w:id="146" w:name="_Ref34663173"/>
      <w:r w:rsidRPr="00155974">
        <w:t>An entity shall disclose income recognised during the period, disaggregated into categories that reflect how the nature and amount of income (and the resultant cash flows) are affected by economic factors. An entity considers disclosing separately the following</w:t>
      </w:r>
      <w:r w:rsidRPr="00155974">
        <w:rPr>
          <w:color w:val="000000" w:themeColor="text1"/>
        </w:rPr>
        <w:t xml:space="preserve"> categories of income:</w:t>
      </w:r>
      <w:bookmarkEnd w:id="146"/>
      <w:r w:rsidRPr="00155974">
        <w:rPr>
          <w:color w:val="000000" w:themeColor="text1"/>
        </w:rPr>
        <w:t xml:space="preserve"> </w:t>
      </w:r>
    </w:p>
    <w:p w14:paraId="366B9181" w14:textId="3BE1CCCC" w:rsidR="00F42DB6" w:rsidRPr="00625A9F" w:rsidRDefault="00F42DB6" w:rsidP="000E61D3">
      <w:pPr>
        <w:pStyle w:val="ListParagraph"/>
        <w:numPr>
          <w:ilvl w:val="0"/>
          <w:numId w:val="185"/>
        </w:numPr>
        <w:ind w:left="1564" w:hanging="782"/>
        <w:jc w:val="both"/>
        <w:rPr>
          <w:color w:val="000000" w:themeColor="text1"/>
          <w:szCs w:val="19"/>
        </w:rPr>
      </w:pPr>
      <w:r w:rsidRPr="00625A9F">
        <w:rPr>
          <w:color w:val="000000" w:themeColor="text1"/>
          <w:szCs w:val="19"/>
        </w:rPr>
        <w:t xml:space="preserve">grants, bequests and donations of cash, other financial assets and goods; </w:t>
      </w:r>
    </w:p>
    <w:p w14:paraId="57B9C286" w14:textId="56BE7275" w:rsidR="00F42DB6" w:rsidRPr="00625A9F" w:rsidRDefault="00F42DB6" w:rsidP="000E61D3">
      <w:pPr>
        <w:pStyle w:val="ListParagraph"/>
        <w:numPr>
          <w:ilvl w:val="0"/>
          <w:numId w:val="185"/>
        </w:numPr>
        <w:ind w:left="1564" w:hanging="782"/>
        <w:jc w:val="both"/>
        <w:rPr>
          <w:color w:val="000000" w:themeColor="text1"/>
          <w:szCs w:val="19"/>
        </w:rPr>
      </w:pPr>
      <w:r w:rsidRPr="00625A9F">
        <w:rPr>
          <w:color w:val="000000" w:themeColor="text1"/>
          <w:szCs w:val="19"/>
        </w:rPr>
        <w:lastRenderedPageBreak/>
        <w:t xml:space="preserve">recognised volunteer services; and </w:t>
      </w:r>
    </w:p>
    <w:p w14:paraId="0C688585" w14:textId="3E88D94D" w:rsidR="00F42DB6" w:rsidRPr="00625A9F" w:rsidRDefault="00F42DB6" w:rsidP="000E61D3">
      <w:pPr>
        <w:pStyle w:val="ListParagraph"/>
        <w:numPr>
          <w:ilvl w:val="0"/>
          <w:numId w:val="185"/>
        </w:numPr>
        <w:ind w:left="1564" w:hanging="782"/>
        <w:jc w:val="both"/>
        <w:rPr>
          <w:color w:val="000000" w:themeColor="text1"/>
          <w:szCs w:val="19"/>
        </w:rPr>
      </w:pPr>
      <w:r w:rsidRPr="00625A9F">
        <w:rPr>
          <w:color w:val="000000" w:themeColor="text1"/>
          <w:szCs w:val="19"/>
        </w:rPr>
        <w:t xml:space="preserve">for government departments and other public sector entities, appropriation amounts recognised as income, by class of appropriation. </w:t>
      </w:r>
    </w:p>
    <w:p w14:paraId="20D6F5F1" w14:textId="77777777" w:rsidR="00F42DB6" w:rsidRPr="00022B10" w:rsidRDefault="00F42DB6" w:rsidP="00022B10">
      <w:pPr>
        <w:pStyle w:val="IASBSectionTitle3Ind"/>
        <w:rPr>
          <w:b w:val="0"/>
        </w:rPr>
      </w:pPr>
      <w:r w:rsidRPr="00022B10">
        <w:t xml:space="preserve">Non-contractual income arising from statutory requirements </w:t>
      </w:r>
    </w:p>
    <w:p w14:paraId="71A5E1FC" w14:textId="272B27FC" w:rsidR="00F42DB6" w:rsidRPr="00155974" w:rsidRDefault="00F42DB6" w:rsidP="000E61D3">
      <w:pPr>
        <w:pStyle w:val="NumPlain1"/>
        <w:numPr>
          <w:ilvl w:val="0"/>
          <w:numId w:val="84"/>
        </w:numPr>
        <w:ind w:left="782" w:hanging="782"/>
      </w:pPr>
      <w:r w:rsidRPr="00155974">
        <w:t xml:space="preserve">An entity shall disclose income arising from statutory requirements (such as taxes, rates and fines) recognised during the period, disaggregated into categories that reflect how the nature and amount of income (and the resultant cash flows) are affected by economic factors. </w:t>
      </w:r>
    </w:p>
    <w:p w14:paraId="03DB6CAC" w14:textId="353DF04B" w:rsidR="00F42DB6" w:rsidRPr="00155974" w:rsidRDefault="00F42DB6" w:rsidP="000E61D3">
      <w:pPr>
        <w:pStyle w:val="NumPlain1"/>
        <w:numPr>
          <w:ilvl w:val="0"/>
          <w:numId w:val="84"/>
        </w:numPr>
        <w:ind w:left="782" w:hanging="782"/>
      </w:pPr>
      <w:r w:rsidRPr="00155974">
        <w:t>To meet the objective in paragraph</w:t>
      </w:r>
      <w:r w:rsidR="00CA758D" w:rsidRPr="00155974">
        <w:t xml:space="preserve"> </w:t>
      </w:r>
      <w:r w:rsidR="003726E3" w:rsidRPr="00155974">
        <w:t>226</w:t>
      </w:r>
      <w:r w:rsidRPr="00155974">
        <w:t>, an entity shall consider disclosing information about assets and liabilities recognised at the reporting date in accordance with AASB 1058</w:t>
      </w:r>
      <w:r w:rsidR="001D5CC3" w:rsidRPr="00155974">
        <w:t xml:space="preserve"> </w:t>
      </w:r>
      <w:r w:rsidR="00D279E5" w:rsidRPr="00155974">
        <w:rPr>
          <w:i/>
          <w:iCs/>
        </w:rPr>
        <w:t>Income of Not-for-Profit Entities</w:t>
      </w:r>
      <w:r w:rsidRPr="00155974">
        <w:t xml:space="preserve">, including the amounts of: </w:t>
      </w:r>
    </w:p>
    <w:p w14:paraId="13E4BA29" w14:textId="193F024D" w:rsidR="00F42DB6" w:rsidRPr="00155974" w:rsidRDefault="00F42DB6" w:rsidP="000E61D3">
      <w:pPr>
        <w:pStyle w:val="ListParagraph"/>
        <w:numPr>
          <w:ilvl w:val="0"/>
          <w:numId w:val="186"/>
        </w:numPr>
        <w:ind w:left="1564" w:hanging="782"/>
        <w:jc w:val="both"/>
        <w:rPr>
          <w:color w:val="000000" w:themeColor="text1"/>
          <w:szCs w:val="19"/>
        </w:rPr>
      </w:pPr>
      <w:r w:rsidRPr="00155974">
        <w:rPr>
          <w:color w:val="000000" w:themeColor="text1"/>
          <w:szCs w:val="19"/>
        </w:rPr>
        <w:t xml:space="preserve">receivables that are not a financial asset as defined in AASB 132 (eg income tax receivable from a taxpayer), and: </w:t>
      </w:r>
    </w:p>
    <w:p w14:paraId="48C668CC" w14:textId="5FFE332E" w:rsidR="00F42DB6" w:rsidRPr="00625A9F" w:rsidRDefault="00F42DB6" w:rsidP="000E61D3">
      <w:pPr>
        <w:pStyle w:val="ListParagraph"/>
        <w:numPr>
          <w:ilvl w:val="0"/>
          <w:numId w:val="187"/>
        </w:numPr>
        <w:ind w:left="2347" w:hanging="782"/>
        <w:jc w:val="both"/>
        <w:rPr>
          <w:color w:val="000000" w:themeColor="text1"/>
          <w:szCs w:val="19"/>
        </w:rPr>
      </w:pPr>
      <w:r w:rsidRPr="00625A9F">
        <w:rPr>
          <w:color w:val="000000" w:themeColor="text1"/>
          <w:szCs w:val="19"/>
        </w:rPr>
        <w:t xml:space="preserve">interest income recognised in relation to such receivables during the period; and </w:t>
      </w:r>
    </w:p>
    <w:p w14:paraId="7EAF32E5" w14:textId="7BF1E803" w:rsidR="00F42DB6" w:rsidRPr="00625A9F" w:rsidRDefault="00F42DB6" w:rsidP="000E61D3">
      <w:pPr>
        <w:pStyle w:val="ListParagraph"/>
        <w:numPr>
          <w:ilvl w:val="0"/>
          <w:numId w:val="187"/>
        </w:numPr>
        <w:ind w:left="2347" w:hanging="782"/>
        <w:jc w:val="both"/>
        <w:rPr>
          <w:color w:val="000000" w:themeColor="text1"/>
          <w:szCs w:val="19"/>
        </w:rPr>
      </w:pPr>
      <w:r w:rsidRPr="00625A9F">
        <w:rPr>
          <w:color w:val="000000" w:themeColor="text1"/>
          <w:szCs w:val="19"/>
        </w:rPr>
        <w:t xml:space="preserve">impairment losses recognised in relation to such receivables during the period; and </w:t>
      </w:r>
    </w:p>
    <w:p w14:paraId="224084C3" w14:textId="0A5EC4F6" w:rsidR="00F42DB6" w:rsidRPr="00155974" w:rsidRDefault="00F42DB6" w:rsidP="000E61D3">
      <w:pPr>
        <w:pStyle w:val="ListParagraph"/>
        <w:numPr>
          <w:ilvl w:val="0"/>
          <w:numId w:val="186"/>
        </w:numPr>
        <w:ind w:left="1564" w:hanging="782"/>
        <w:jc w:val="both"/>
        <w:rPr>
          <w:color w:val="000000" w:themeColor="text1"/>
          <w:szCs w:val="19"/>
        </w:rPr>
      </w:pPr>
      <w:r w:rsidRPr="00625A9F">
        <w:rPr>
          <w:color w:val="000000" w:themeColor="text1"/>
          <w:szCs w:val="19"/>
        </w:rPr>
        <w:tab/>
      </w:r>
      <w:r w:rsidRPr="00155974">
        <w:rPr>
          <w:color w:val="000000" w:themeColor="text1"/>
          <w:szCs w:val="19"/>
        </w:rPr>
        <w:t xml:space="preserve">financial liabilities relating to prepaid taxes or rates for which the taxable event has yet to occur, and the future period(s) to which those taxes or rates relate. </w:t>
      </w:r>
    </w:p>
    <w:p w14:paraId="2031F333" w14:textId="66ACA083" w:rsidR="00F42DB6" w:rsidRPr="00155974" w:rsidRDefault="00F42DB6" w:rsidP="000E61D3">
      <w:pPr>
        <w:pStyle w:val="NumPlain1"/>
        <w:numPr>
          <w:ilvl w:val="0"/>
          <w:numId w:val="84"/>
        </w:numPr>
        <w:ind w:left="782" w:hanging="782"/>
      </w:pPr>
      <w:r w:rsidRPr="00155974">
        <w:t xml:space="preserve">Other information that may be appropriate for an entity to disclose includes, for each class of taxation income that the entity cannot measure reliably during the period in which the taxable event occurs (see paragraphs B28–B31 of AASB 1058): </w:t>
      </w:r>
    </w:p>
    <w:p w14:paraId="374BB482" w14:textId="2FEC55A8" w:rsidR="00F42DB6" w:rsidRPr="00625A9F" w:rsidRDefault="00F42DB6" w:rsidP="000E61D3">
      <w:pPr>
        <w:pStyle w:val="ListParagraph"/>
        <w:numPr>
          <w:ilvl w:val="0"/>
          <w:numId w:val="188"/>
        </w:numPr>
        <w:ind w:left="1564" w:hanging="782"/>
        <w:jc w:val="both"/>
        <w:rPr>
          <w:color w:val="000000" w:themeColor="text1"/>
          <w:szCs w:val="19"/>
        </w:rPr>
      </w:pPr>
      <w:r w:rsidRPr="00625A9F">
        <w:rPr>
          <w:color w:val="000000" w:themeColor="text1"/>
          <w:szCs w:val="19"/>
        </w:rPr>
        <w:t xml:space="preserve">information about the nature of the tax; </w:t>
      </w:r>
    </w:p>
    <w:p w14:paraId="6E58B5EB" w14:textId="22F8AA46" w:rsidR="00F42DB6" w:rsidRPr="00625A9F" w:rsidRDefault="00F42DB6" w:rsidP="000E61D3">
      <w:pPr>
        <w:pStyle w:val="ListParagraph"/>
        <w:numPr>
          <w:ilvl w:val="0"/>
          <w:numId w:val="188"/>
        </w:numPr>
        <w:ind w:left="1564" w:hanging="782"/>
        <w:jc w:val="both"/>
        <w:rPr>
          <w:color w:val="000000" w:themeColor="text1"/>
          <w:szCs w:val="19"/>
        </w:rPr>
      </w:pPr>
      <w:r w:rsidRPr="00625A9F">
        <w:rPr>
          <w:color w:val="000000" w:themeColor="text1"/>
          <w:szCs w:val="19"/>
        </w:rPr>
        <w:t xml:space="preserve">the reason(s) why that income cannot be measured reliably; and </w:t>
      </w:r>
    </w:p>
    <w:p w14:paraId="5C47D847" w14:textId="4544B6E6" w:rsidR="00F42DB6" w:rsidRPr="00625A9F" w:rsidRDefault="00F42DB6" w:rsidP="000E61D3">
      <w:pPr>
        <w:pStyle w:val="ListParagraph"/>
        <w:numPr>
          <w:ilvl w:val="0"/>
          <w:numId w:val="188"/>
        </w:numPr>
        <w:ind w:left="1564" w:hanging="782"/>
        <w:jc w:val="both"/>
        <w:rPr>
          <w:color w:val="000000" w:themeColor="text1"/>
          <w:szCs w:val="19"/>
        </w:rPr>
      </w:pPr>
      <w:r w:rsidRPr="00625A9F">
        <w:rPr>
          <w:color w:val="000000" w:themeColor="text1"/>
          <w:szCs w:val="19"/>
        </w:rPr>
        <w:t xml:space="preserve">when that uncertainty might be resolved. </w:t>
      </w:r>
    </w:p>
    <w:p w14:paraId="4B4108D0" w14:textId="77777777" w:rsidR="00F42DB6" w:rsidRPr="00022B10" w:rsidRDefault="00F42DB6" w:rsidP="00022B10">
      <w:pPr>
        <w:pStyle w:val="IASBSectionTitle3Ind"/>
        <w:rPr>
          <w:b w:val="0"/>
        </w:rPr>
      </w:pPr>
      <w:r w:rsidRPr="00022B10">
        <w:t xml:space="preserve">Transfers to enable an entity to acquire or construct a recognisable non-financial asset to be controlled by the entity </w:t>
      </w:r>
    </w:p>
    <w:p w14:paraId="18FBF86B" w14:textId="37350146" w:rsidR="00F42DB6" w:rsidRPr="00155974" w:rsidRDefault="00F42DB6" w:rsidP="000E61D3">
      <w:pPr>
        <w:pStyle w:val="NumPlain1"/>
        <w:numPr>
          <w:ilvl w:val="0"/>
          <w:numId w:val="84"/>
        </w:numPr>
        <w:ind w:left="782" w:hanging="782"/>
      </w:pPr>
      <w:r w:rsidRPr="00155974">
        <w:t xml:space="preserve">An entity shall disclose the opening and closing balances of financial assets arising from transfers to enable an entity to acquire or construct recognisable non-financial assets to be controlled by the entity and the associated liabilities arising from such transfers, if not otherwise separately presented or disclosed. An entity shall also disclose income recognised in the reporting period arising from the reduction of an associated liability. </w:t>
      </w:r>
    </w:p>
    <w:p w14:paraId="1575E715" w14:textId="0CBD957C" w:rsidR="00F42DB6" w:rsidRPr="00155974" w:rsidRDefault="00F42DB6" w:rsidP="000E61D3">
      <w:pPr>
        <w:pStyle w:val="NumPlain1"/>
        <w:numPr>
          <w:ilvl w:val="0"/>
          <w:numId w:val="84"/>
        </w:numPr>
        <w:ind w:left="782" w:hanging="782"/>
      </w:pPr>
      <w:r w:rsidRPr="00155974">
        <w:t>An entity shall disclose information about its obligations under such transfers, including a description of when the entity typically satisfies its obligations (for example, as the asset is constructed, upon completion of construction or when the asset is acquired).</w:t>
      </w:r>
    </w:p>
    <w:p w14:paraId="672ECBAC" w14:textId="6F4FA4BA" w:rsidR="00F42DB6" w:rsidRPr="00155974" w:rsidRDefault="00F42DB6" w:rsidP="000E61D3">
      <w:pPr>
        <w:pStyle w:val="NumPlain1"/>
        <w:numPr>
          <w:ilvl w:val="0"/>
          <w:numId w:val="84"/>
        </w:numPr>
        <w:ind w:left="782" w:hanging="782"/>
      </w:pPr>
      <w:r w:rsidRPr="00155974">
        <w:t xml:space="preserve">An entity shall disclose the judgements, and changes in the judgements, made in </w:t>
      </w:r>
      <w:r w:rsidR="00EF14C9" w:rsidRPr="00155974">
        <w:t xml:space="preserve">applying </w:t>
      </w:r>
      <w:r w:rsidRPr="00155974">
        <w:t>AASB</w:t>
      </w:r>
      <w:r w:rsidR="00FF1794" w:rsidRPr="00155974">
        <w:t> </w:t>
      </w:r>
      <w:r w:rsidRPr="00155974">
        <w:t xml:space="preserve">1058 that significantly affect the determination of the amount and timing of income arising from transfers to enable an entity to acquire or construct a recognisable non-financial asset to be controlled by the entity. In particular, an entity shall explain the judgements, and changes in the judgements, made in determining the timing of satisfaction of obligations (see paragraphs </w:t>
      </w:r>
      <w:r w:rsidR="001679B4" w:rsidRPr="00155974">
        <w:t>236</w:t>
      </w:r>
      <w:r w:rsidRPr="00155974">
        <w:t xml:space="preserve"> and </w:t>
      </w:r>
      <w:r w:rsidR="001679B4" w:rsidRPr="00155974">
        <w:t>237</w:t>
      </w:r>
      <w:r w:rsidRPr="00155974">
        <w:t xml:space="preserve">). </w:t>
      </w:r>
    </w:p>
    <w:p w14:paraId="0948646C" w14:textId="13D0F1AF" w:rsidR="00F42DB6" w:rsidRPr="00155974" w:rsidRDefault="00F42DB6" w:rsidP="000E61D3">
      <w:pPr>
        <w:pStyle w:val="NumPlain1"/>
        <w:numPr>
          <w:ilvl w:val="0"/>
          <w:numId w:val="84"/>
        </w:numPr>
        <w:ind w:left="782" w:hanging="782"/>
      </w:pPr>
      <w:r w:rsidRPr="00155974">
        <w:t>For obligations that an entity satisfies over time, an entity shall disclose the methods used to recognise income (for example, a description of the output methods or input methods used and how those methods are applied).</w:t>
      </w:r>
    </w:p>
    <w:p w14:paraId="39413C08" w14:textId="628891CB" w:rsidR="00F42DB6" w:rsidRPr="00155974" w:rsidRDefault="00F42DB6" w:rsidP="000E61D3">
      <w:pPr>
        <w:pStyle w:val="NumPlain1"/>
        <w:numPr>
          <w:ilvl w:val="0"/>
          <w:numId w:val="84"/>
        </w:numPr>
        <w:ind w:left="782" w:hanging="782"/>
      </w:pPr>
      <w:bookmarkStart w:id="147" w:name="_Ref34663306"/>
      <w:r w:rsidRPr="00155974">
        <w:t>For obligations satisfied at a point in time, an entity shall disclose the significant judgements made in evaluating when it has satisfied its obligations.</w:t>
      </w:r>
      <w:bookmarkEnd w:id="147"/>
      <w:r w:rsidRPr="00155974">
        <w:t xml:space="preserve"> </w:t>
      </w:r>
    </w:p>
    <w:p w14:paraId="16A8CC9C" w14:textId="77777777" w:rsidR="00F42DB6" w:rsidRPr="00022B10" w:rsidRDefault="00F42DB6" w:rsidP="00022B10">
      <w:pPr>
        <w:pStyle w:val="IASBSectionTitle3Ind"/>
        <w:rPr>
          <w:b w:val="0"/>
        </w:rPr>
      </w:pPr>
      <w:r w:rsidRPr="00022B10">
        <w:t>Compliance with parliamentary appropriations and other related authorities for expenditure</w:t>
      </w:r>
    </w:p>
    <w:p w14:paraId="64BE3E02" w14:textId="30A46B8E" w:rsidR="00F42DB6" w:rsidRPr="00155974" w:rsidRDefault="00F42DB6" w:rsidP="000E61D3">
      <w:pPr>
        <w:pStyle w:val="NumPlain1"/>
        <w:numPr>
          <w:ilvl w:val="0"/>
          <w:numId w:val="84"/>
        </w:numPr>
        <w:ind w:left="782" w:hanging="782"/>
      </w:pPr>
      <w:bookmarkStart w:id="148" w:name="_Ref34663352"/>
      <w:r w:rsidRPr="00155974">
        <w:t xml:space="preserve">Paragraphs </w:t>
      </w:r>
      <w:r w:rsidR="003726E3" w:rsidRPr="00155974">
        <w:t>239</w:t>
      </w:r>
      <w:r w:rsidR="005444E3" w:rsidRPr="00155974">
        <w:t xml:space="preserve"> to </w:t>
      </w:r>
      <w:r w:rsidR="003726E3" w:rsidRPr="00155974">
        <w:t>241</w:t>
      </w:r>
      <w:r w:rsidR="005444E3" w:rsidRPr="00155974">
        <w:t xml:space="preserve"> </w:t>
      </w:r>
      <w:r w:rsidRPr="00155974">
        <w:t xml:space="preserve">apply only to government departments and other public sector entities that obtain part or all of their spending authority for the period from a parliamentary appropriation. The amounts disclosed in accordance with paragraphs </w:t>
      </w:r>
      <w:r w:rsidR="006B797E" w:rsidRPr="00155974">
        <w:t>239</w:t>
      </w:r>
      <w:r w:rsidR="00DF3A72" w:rsidRPr="00155974">
        <w:t>–</w:t>
      </w:r>
      <w:r w:rsidR="006B797E" w:rsidRPr="00155974">
        <w:t>241</w:t>
      </w:r>
      <w:r w:rsidRPr="00155974">
        <w:t xml:space="preserve"> include any amounts appropriated in respect of which the entity recognises revenue or other income in accordance with another Australian Accounting Standard.</w:t>
      </w:r>
      <w:bookmarkEnd w:id="148"/>
      <w:r w:rsidRPr="00155974">
        <w:t xml:space="preserve"> </w:t>
      </w:r>
    </w:p>
    <w:p w14:paraId="715DBB8C" w14:textId="6F83830E" w:rsidR="00F42DB6" w:rsidRPr="00155974" w:rsidRDefault="00F42DB6" w:rsidP="000E61D3">
      <w:pPr>
        <w:pStyle w:val="NumPlain1"/>
        <w:keepNext/>
        <w:numPr>
          <w:ilvl w:val="0"/>
          <w:numId w:val="84"/>
        </w:numPr>
        <w:ind w:left="782" w:hanging="782"/>
      </w:pPr>
      <w:bookmarkStart w:id="149" w:name="_Ref34662161"/>
      <w:r w:rsidRPr="00155974">
        <w:lastRenderedPageBreak/>
        <w:t>An entity shall disclose:</w:t>
      </w:r>
      <w:bookmarkEnd w:id="149"/>
      <w:r w:rsidRPr="00155974">
        <w:t xml:space="preserve"> </w:t>
      </w:r>
    </w:p>
    <w:p w14:paraId="33F0EE7C" w14:textId="78298160" w:rsidR="00F42DB6" w:rsidRPr="00155974" w:rsidRDefault="00F42DB6" w:rsidP="000E61D3">
      <w:pPr>
        <w:pStyle w:val="ListParagraph"/>
        <w:numPr>
          <w:ilvl w:val="0"/>
          <w:numId w:val="189"/>
        </w:numPr>
        <w:ind w:left="1564" w:hanging="782"/>
        <w:jc w:val="both"/>
        <w:rPr>
          <w:color w:val="000000" w:themeColor="text1"/>
          <w:szCs w:val="19"/>
        </w:rPr>
      </w:pPr>
      <w:r w:rsidRPr="00625A9F">
        <w:rPr>
          <w:color w:val="000000" w:themeColor="text1"/>
          <w:szCs w:val="19"/>
        </w:rPr>
        <w:tab/>
      </w:r>
      <w:r w:rsidRPr="00155974">
        <w:rPr>
          <w:color w:val="000000" w:themeColor="text1"/>
          <w:szCs w:val="19"/>
        </w:rPr>
        <w:t xml:space="preserve">a summary of the recurrent, capital or other major categories of amounts authorised for expenditure (including parliamentary appropriations), disclosing separately: </w:t>
      </w:r>
    </w:p>
    <w:p w14:paraId="3CF9D201" w14:textId="3CF8DA16" w:rsidR="00F42DB6" w:rsidRPr="00625A9F" w:rsidRDefault="00F42DB6" w:rsidP="000E61D3">
      <w:pPr>
        <w:pStyle w:val="ListParagraph"/>
        <w:numPr>
          <w:ilvl w:val="0"/>
          <w:numId w:val="190"/>
        </w:numPr>
        <w:ind w:left="2347" w:hanging="782"/>
        <w:jc w:val="both"/>
        <w:rPr>
          <w:color w:val="000000" w:themeColor="text1"/>
          <w:szCs w:val="19"/>
        </w:rPr>
      </w:pPr>
      <w:r w:rsidRPr="00625A9F">
        <w:rPr>
          <w:color w:val="000000" w:themeColor="text1"/>
          <w:szCs w:val="19"/>
        </w:rPr>
        <w:t xml:space="preserve">the original amounts appropriated; and </w:t>
      </w:r>
    </w:p>
    <w:p w14:paraId="56FA4ABA" w14:textId="10737F5E" w:rsidR="00F42DB6" w:rsidRPr="00625A9F" w:rsidRDefault="00F42DB6" w:rsidP="000E61D3">
      <w:pPr>
        <w:pStyle w:val="ListParagraph"/>
        <w:numPr>
          <w:ilvl w:val="0"/>
          <w:numId w:val="190"/>
        </w:numPr>
        <w:ind w:left="2347" w:hanging="782"/>
        <w:jc w:val="both"/>
        <w:rPr>
          <w:color w:val="000000" w:themeColor="text1"/>
          <w:szCs w:val="19"/>
        </w:rPr>
      </w:pPr>
      <w:r w:rsidRPr="00625A9F">
        <w:rPr>
          <w:color w:val="000000" w:themeColor="text1"/>
          <w:szCs w:val="19"/>
        </w:rPr>
        <w:t xml:space="preserve">the total of any supplementary amounts appropriated and amounts authorised other than by way of appropriation (eg by the Treasurer, other Minister or other legislative authority); </w:t>
      </w:r>
    </w:p>
    <w:p w14:paraId="5B119DA8" w14:textId="61DC1D1E" w:rsidR="00F42DB6" w:rsidRPr="00625A9F" w:rsidRDefault="00F42DB6" w:rsidP="000E61D3">
      <w:pPr>
        <w:pStyle w:val="ListParagraph"/>
        <w:numPr>
          <w:ilvl w:val="0"/>
          <w:numId w:val="189"/>
        </w:numPr>
        <w:ind w:left="1564" w:hanging="782"/>
        <w:jc w:val="both"/>
        <w:rPr>
          <w:color w:val="000000" w:themeColor="text1"/>
          <w:szCs w:val="19"/>
        </w:rPr>
      </w:pPr>
      <w:r w:rsidRPr="00625A9F">
        <w:rPr>
          <w:color w:val="000000" w:themeColor="text1"/>
          <w:szCs w:val="19"/>
        </w:rPr>
        <w:t xml:space="preserve">the expenditures in respect of each of the items disclosed in (a) above; and </w:t>
      </w:r>
    </w:p>
    <w:p w14:paraId="4DDA18F0" w14:textId="00DB3DA4" w:rsidR="00F42DB6" w:rsidRPr="00625A9F" w:rsidRDefault="00F42DB6" w:rsidP="000E61D3">
      <w:pPr>
        <w:pStyle w:val="ListParagraph"/>
        <w:numPr>
          <w:ilvl w:val="0"/>
          <w:numId w:val="189"/>
        </w:numPr>
        <w:ind w:left="1564" w:hanging="782"/>
        <w:jc w:val="both"/>
        <w:rPr>
          <w:color w:val="000000" w:themeColor="text1"/>
          <w:szCs w:val="19"/>
        </w:rPr>
      </w:pPr>
      <w:r w:rsidRPr="00625A9F">
        <w:rPr>
          <w:color w:val="000000" w:themeColor="text1"/>
          <w:szCs w:val="19"/>
        </w:rPr>
        <w:t xml:space="preserve">the reasons for any material variances between the amounts appropriated or otherwise authorised and the resulting associated expenditures, and any financial consequences for the entity of unauthorised expenditure. </w:t>
      </w:r>
    </w:p>
    <w:p w14:paraId="42FB8009" w14:textId="383AF465" w:rsidR="00F42DB6" w:rsidRPr="00155974" w:rsidRDefault="00F42DB6" w:rsidP="000E61D3">
      <w:pPr>
        <w:pStyle w:val="NumPlain1"/>
        <w:numPr>
          <w:ilvl w:val="0"/>
          <w:numId w:val="84"/>
        </w:numPr>
        <w:ind w:left="782" w:hanging="782"/>
      </w:pPr>
      <w:r w:rsidRPr="00155974">
        <w:t>For the purposes of resource allocation decisions, including assessments of accountability, AASB</w:t>
      </w:r>
      <w:r w:rsidR="00B01C5F" w:rsidRPr="00155974">
        <w:t> </w:t>
      </w:r>
      <w:r w:rsidRPr="00155974">
        <w:t xml:space="preserve">1058 requires that users of financial statements of government departments and other public sector entities that obtain part or all of their spending authority for the period from a parliamentary appropriation be provided with information about the amounts appropriated or otherwise authorised for the entity’s use, and whether the entity’s expenditures were as authorised. This information may be based on acquittal processes applied by an entity. When spending limits imposed by parliamentary appropriation or other authorisation have not been complied with, information regarding the amount of, and reasons for, the non-compliance is relevant for assessing the performance of management, the likely consequences of non-compliance, and the ability of the entity to continue to provide services at a similar or different level in the future. </w:t>
      </w:r>
    </w:p>
    <w:p w14:paraId="4F8840A5" w14:textId="7E158B3C" w:rsidR="006C365C" w:rsidRPr="00A33FCA" w:rsidRDefault="00F42DB6" w:rsidP="000E61D3">
      <w:pPr>
        <w:pStyle w:val="NumPlain1"/>
        <w:numPr>
          <w:ilvl w:val="0"/>
          <w:numId w:val="84"/>
        </w:numPr>
        <w:ind w:left="782" w:hanging="782"/>
      </w:pPr>
      <w:bookmarkStart w:id="150" w:name="_Ref34662176"/>
      <w:bookmarkStart w:id="151" w:name="_Ref34663368"/>
      <w:r w:rsidRPr="00155974">
        <w:t>Broad summaries of the major categories of appropriations and associated expenditures, rather than detailed reporting of appropriations for each activity or output, is sufficient for most users of such an entity’s financial statements. Determining the level of detail and the structure of the summarised information is a matter of judgement. To develop effective disclosures, entities also subject to AASB 1055 might consider the variance disclosure requirements in that Standard at the same time.</w:t>
      </w:r>
      <w:bookmarkEnd w:id="150"/>
      <w:bookmarkEnd w:id="151"/>
    </w:p>
    <w:p w14:paraId="4FB4AB7D" w14:textId="0DF372D0" w:rsidR="00F42DB6" w:rsidRPr="00155974" w:rsidRDefault="00BC791E" w:rsidP="00022B10">
      <w:pPr>
        <w:pStyle w:val="IASBSectionTitle2Ind"/>
      </w:pPr>
      <w:r w:rsidRPr="00155974">
        <w:t>Service concession arrangements: grantors that are public sector entities</w:t>
      </w:r>
      <w:r w:rsidR="00F42DB6" w:rsidRPr="00155974">
        <w:rPr>
          <w:rStyle w:val="FootnoteReference"/>
          <w:sz w:val="22"/>
          <w:szCs w:val="22"/>
        </w:rPr>
        <w:footnoteReference w:id="45"/>
      </w:r>
    </w:p>
    <w:p w14:paraId="6123C867" w14:textId="5D88C132" w:rsidR="00F42DB6" w:rsidRPr="00155974" w:rsidRDefault="00F42DB6" w:rsidP="000E61D3">
      <w:pPr>
        <w:pStyle w:val="NumPlain1"/>
        <w:numPr>
          <w:ilvl w:val="0"/>
          <w:numId w:val="84"/>
        </w:numPr>
        <w:ind w:left="782" w:hanging="782"/>
      </w:pPr>
      <w:bookmarkStart w:id="152" w:name="_Ref34662231"/>
      <w:r w:rsidRPr="00155974">
        <w:t xml:space="preserve">The objective of the disclosure requirements is for a public sector </w:t>
      </w:r>
      <w:r w:rsidR="004858BD" w:rsidRPr="00155974">
        <w:t xml:space="preserve">grantor </w:t>
      </w:r>
      <w:r w:rsidRPr="00155974">
        <w:t>to disclose sufficient information to enable users of financial statements to understand the nature, amount, timing and uncertainty of assets, liabilities, revenue and cash flows arising from service concession arrangements. To achieve this, an entity shall consider disclosing qualitative and quantitative information about its service concession arrangements, including the following:</w:t>
      </w:r>
      <w:bookmarkEnd w:id="152"/>
      <w:r w:rsidRPr="00155974">
        <w:t xml:space="preserve"> </w:t>
      </w:r>
    </w:p>
    <w:p w14:paraId="34CC0A22" w14:textId="51F3B2FD" w:rsidR="00F42DB6" w:rsidRPr="00625A9F" w:rsidRDefault="00F42DB6" w:rsidP="000E61D3">
      <w:pPr>
        <w:pStyle w:val="ListParagraph"/>
        <w:numPr>
          <w:ilvl w:val="0"/>
          <w:numId w:val="191"/>
        </w:numPr>
        <w:ind w:left="1564" w:hanging="782"/>
        <w:jc w:val="both"/>
        <w:rPr>
          <w:szCs w:val="19"/>
        </w:rPr>
      </w:pPr>
      <w:r w:rsidRPr="00625A9F">
        <w:rPr>
          <w:szCs w:val="19"/>
        </w:rPr>
        <w:t xml:space="preserve">a description of the arrangements; </w:t>
      </w:r>
    </w:p>
    <w:p w14:paraId="12AD97B7" w14:textId="14B7E2A9" w:rsidR="00F42DB6" w:rsidRPr="00625A9F" w:rsidRDefault="00F42DB6" w:rsidP="000E61D3">
      <w:pPr>
        <w:pStyle w:val="ListParagraph"/>
        <w:numPr>
          <w:ilvl w:val="0"/>
          <w:numId w:val="191"/>
        </w:numPr>
        <w:ind w:left="1564" w:hanging="782"/>
        <w:jc w:val="both"/>
        <w:rPr>
          <w:szCs w:val="19"/>
        </w:rPr>
      </w:pPr>
      <w:r w:rsidRPr="00625A9F">
        <w:rPr>
          <w:szCs w:val="19"/>
        </w:rPr>
        <w:t xml:space="preserve">significant terms of the arrangements that may affect the amount, timing and uncertainty of future cash flows (eg the period of the arrangement, re-pricing dates and the basis upon which re-pricing or renegotiation is determined); </w:t>
      </w:r>
    </w:p>
    <w:p w14:paraId="28A20765" w14:textId="41E333C3" w:rsidR="00F42DB6" w:rsidRPr="00625A9F" w:rsidRDefault="00F42DB6" w:rsidP="005A53A2">
      <w:pPr>
        <w:pStyle w:val="ListParagraph"/>
        <w:keepNext/>
        <w:numPr>
          <w:ilvl w:val="0"/>
          <w:numId w:val="191"/>
        </w:numPr>
        <w:ind w:left="1564" w:hanging="782"/>
        <w:jc w:val="both"/>
        <w:rPr>
          <w:szCs w:val="19"/>
        </w:rPr>
      </w:pPr>
      <w:r w:rsidRPr="00625A9F">
        <w:rPr>
          <w:szCs w:val="19"/>
        </w:rPr>
        <w:t xml:space="preserve">the nature and extent (eg quantity, time period, or amount, as appropriate) of: </w:t>
      </w:r>
    </w:p>
    <w:p w14:paraId="6B028535" w14:textId="3AB895D1" w:rsidR="00F42DB6" w:rsidRPr="00625A9F" w:rsidRDefault="00F42DB6" w:rsidP="000E61D3">
      <w:pPr>
        <w:pStyle w:val="ListParagraph"/>
        <w:numPr>
          <w:ilvl w:val="0"/>
          <w:numId w:val="192"/>
        </w:numPr>
        <w:ind w:left="2347" w:hanging="782"/>
        <w:jc w:val="both"/>
        <w:rPr>
          <w:szCs w:val="19"/>
        </w:rPr>
      </w:pPr>
      <w:r w:rsidRPr="00625A9F">
        <w:rPr>
          <w:szCs w:val="19"/>
        </w:rPr>
        <w:t xml:space="preserve">rights to receive specified services from the operator; </w:t>
      </w:r>
    </w:p>
    <w:p w14:paraId="5ABD2216" w14:textId="159F8034" w:rsidR="00F42DB6" w:rsidRPr="00625A9F" w:rsidRDefault="00F42DB6" w:rsidP="000E61D3">
      <w:pPr>
        <w:pStyle w:val="ListParagraph"/>
        <w:numPr>
          <w:ilvl w:val="0"/>
          <w:numId w:val="192"/>
        </w:numPr>
        <w:ind w:left="2347" w:hanging="782"/>
        <w:jc w:val="both"/>
        <w:rPr>
          <w:szCs w:val="19"/>
        </w:rPr>
      </w:pPr>
      <w:r w:rsidRPr="00625A9F">
        <w:rPr>
          <w:szCs w:val="19"/>
        </w:rPr>
        <w:t xml:space="preserve">the carrying amount of service concession assets as at the end of the reporting period, including separate disclosure for existing assets of the grantor reclassified as service concession assets during the reporting period; </w:t>
      </w:r>
    </w:p>
    <w:p w14:paraId="24D18C1F" w14:textId="3AA28F4D" w:rsidR="00F42DB6" w:rsidRPr="00625A9F" w:rsidRDefault="00F42DB6" w:rsidP="000E61D3">
      <w:pPr>
        <w:pStyle w:val="ListParagraph"/>
        <w:numPr>
          <w:ilvl w:val="0"/>
          <w:numId w:val="192"/>
        </w:numPr>
        <w:ind w:left="2347" w:hanging="782"/>
        <w:jc w:val="both"/>
        <w:rPr>
          <w:szCs w:val="19"/>
        </w:rPr>
      </w:pPr>
      <w:r w:rsidRPr="00625A9F">
        <w:rPr>
          <w:szCs w:val="19"/>
        </w:rPr>
        <w:t xml:space="preserve">rights to receive specified assets at the end of an arrangement; </w:t>
      </w:r>
    </w:p>
    <w:p w14:paraId="15F94AD8" w14:textId="4DD8934A" w:rsidR="00F42DB6" w:rsidRPr="00625A9F" w:rsidRDefault="00F42DB6" w:rsidP="000E61D3">
      <w:pPr>
        <w:pStyle w:val="ListParagraph"/>
        <w:numPr>
          <w:ilvl w:val="0"/>
          <w:numId w:val="192"/>
        </w:numPr>
        <w:ind w:left="2347" w:hanging="782"/>
        <w:jc w:val="both"/>
        <w:rPr>
          <w:szCs w:val="19"/>
        </w:rPr>
      </w:pPr>
      <w:r w:rsidRPr="00625A9F">
        <w:rPr>
          <w:szCs w:val="19"/>
        </w:rPr>
        <w:t xml:space="preserve">renewal and termination options; </w:t>
      </w:r>
    </w:p>
    <w:p w14:paraId="17B9022F" w14:textId="30DF27F3" w:rsidR="00F42DB6" w:rsidRPr="00625A9F" w:rsidRDefault="00F42DB6" w:rsidP="000E61D3">
      <w:pPr>
        <w:pStyle w:val="ListParagraph"/>
        <w:numPr>
          <w:ilvl w:val="0"/>
          <w:numId w:val="192"/>
        </w:numPr>
        <w:ind w:left="2347" w:hanging="782"/>
        <w:jc w:val="both"/>
        <w:rPr>
          <w:szCs w:val="19"/>
        </w:rPr>
      </w:pPr>
      <w:r w:rsidRPr="00625A9F">
        <w:rPr>
          <w:szCs w:val="19"/>
        </w:rPr>
        <w:t xml:space="preserve">other rights and obligations (eg major overhaul of service concession assets); and </w:t>
      </w:r>
    </w:p>
    <w:p w14:paraId="2F958404" w14:textId="026076F9" w:rsidR="00F42DB6" w:rsidRPr="00625A9F" w:rsidRDefault="00F42DB6" w:rsidP="000E61D3">
      <w:pPr>
        <w:pStyle w:val="ListParagraph"/>
        <w:numPr>
          <w:ilvl w:val="0"/>
          <w:numId w:val="192"/>
        </w:numPr>
        <w:ind w:left="2347" w:hanging="782"/>
        <w:jc w:val="both"/>
        <w:rPr>
          <w:szCs w:val="19"/>
        </w:rPr>
      </w:pPr>
      <w:r w:rsidRPr="00625A9F">
        <w:rPr>
          <w:szCs w:val="19"/>
        </w:rPr>
        <w:t xml:space="preserve">obligations to provide the operator with access to service concession assets or other revenue-generating assets; and </w:t>
      </w:r>
    </w:p>
    <w:p w14:paraId="15F6571C" w14:textId="49C0E5D4" w:rsidR="00F42DB6" w:rsidRPr="00155974" w:rsidRDefault="00F42DB6" w:rsidP="000E61D3">
      <w:pPr>
        <w:pStyle w:val="ListParagraph"/>
        <w:numPr>
          <w:ilvl w:val="0"/>
          <w:numId w:val="191"/>
        </w:numPr>
        <w:ind w:left="1564" w:hanging="782"/>
        <w:jc w:val="both"/>
        <w:rPr>
          <w:szCs w:val="19"/>
        </w:rPr>
      </w:pPr>
      <w:r w:rsidRPr="00155974">
        <w:rPr>
          <w:szCs w:val="19"/>
        </w:rPr>
        <w:tab/>
        <w:t xml:space="preserve">changes in arrangements occurring during the reporting period. </w:t>
      </w:r>
    </w:p>
    <w:p w14:paraId="267895DB" w14:textId="07415BD3" w:rsidR="00F42DB6" w:rsidRPr="00155974" w:rsidRDefault="00F42DB6" w:rsidP="000E61D3">
      <w:pPr>
        <w:pStyle w:val="NumPlain1"/>
        <w:numPr>
          <w:ilvl w:val="0"/>
          <w:numId w:val="84"/>
        </w:numPr>
        <w:ind w:left="782" w:hanging="782"/>
      </w:pPr>
      <w:bookmarkStart w:id="153" w:name="_Ref34663415"/>
      <w:r w:rsidRPr="00155974">
        <w:t xml:space="preserve">The disclosures provided by an entity in accordance with paragraph </w:t>
      </w:r>
      <w:r w:rsidR="003726E3" w:rsidRPr="00155974">
        <w:t>242</w:t>
      </w:r>
      <w:r w:rsidR="005444E3" w:rsidRPr="00155974">
        <w:t xml:space="preserve"> </w:t>
      </w:r>
      <w:r w:rsidRPr="00155974">
        <w:t>are provided individually for each material service concession arrangement or in aggregate for service concession arrangements involving services of a similar nature, in addition to disclosures required by</w:t>
      </w:r>
      <w:r w:rsidR="007923F1" w:rsidRPr="00155974">
        <w:t xml:space="preserve"> </w:t>
      </w:r>
      <w:r w:rsidR="00CE754A" w:rsidRPr="00155974">
        <w:t>the s</w:t>
      </w:r>
      <w:r w:rsidR="007923F1" w:rsidRPr="00155974">
        <w:t>ection</w:t>
      </w:r>
      <w:r w:rsidR="006C1A02" w:rsidRPr="00155974">
        <w:t>s</w:t>
      </w:r>
      <w:r w:rsidR="007923F1" w:rsidRPr="00155974">
        <w:t xml:space="preserve"> </w:t>
      </w:r>
      <w:r w:rsidR="00CE754A" w:rsidRPr="00155974">
        <w:t xml:space="preserve">covering </w:t>
      </w:r>
      <w:r w:rsidR="0018692C" w:rsidRPr="00155974">
        <w:t xml:space="preserve">Property, Plant and </w:t>
      </w:r>
      <w:r w:rsidR="0018692C" w:rsidRPr="00155974">
        <w:lastRenderedPageBreak/>
        <w:t xml:space="preserve">Equipment and Investment Property at Cost </w:t>
      </w:r>
      <w:r w:rsidR="007923F1" w:rsidRPr="00155974">
        <w:t xml:space="preserve">and </w:t>
      </w:r>
      <w:r w:rsidR="004C5CBA" w:rsidRPr="00155974">
        <w:t>Intangible Assets other than Goodwill</w:t>
      </w:r>
      <w:r w:rsidRPr="00155974">
        <w:t xml:space="preserve">. Service concession assets of a similar nature may form a subset of a class of assets disclosed in accordance with </w:t>
      </w:r>
      <w:r w:rsidR="00F73596" w:rsidRPr="00155974">
        <w:t>these s</w:t>
      </w:r>
      <w:r w:rsidR="00956940" w:rsidRPr="00155974">
        <w:t>ection</w:t>
      </w:r>
      <w:r w:rsidR="005B475A" w:rsidRPr="00155974">
        <w:t>s</w:t>
      </w:r>
      <w:r w:rsidR="00956940" w:rsidRPr="00155974">
        <w:t xml:space="preserve"> </w:t>
      </w:r>
      <w:r w:rsidRPr="00155974">
        <w:t xml:space="preserve">or may be included in more than one class of assets disclosed in accordance with </w:t>
      </w:r>
      <w:r w:rsidR="00035C5A" w:rsidRPr="00155974">
        <w:t>these s</w:t>
      </w:r>
      <w:r w:rsidR="0001542F" w:rsidRPr="00155974">
        <w:t>ection</w:t>
      </w:r>
      <w:r w:rsidR="000A2309" w:rsidRPr="00155974">
        <w:t>s</w:t>
      </w:r>
      <w:r w:rsidRPr="00155974">
        <w:t xml:space="preserve">. For example, for the purposes of </w:t>
      </w:r>
      <w:r w:rsidR="00290985" w:rsidRPr="00155974">
        <w:t>the s</w:t>
      </w:r>
      <w:r w:rsidR="00AA0F52" w:rsidRPr="00155974">
        <w:t>ection</w:t>
      </w:r>
      <w:r w:rsidR="00290985" w:rsidRPr="00155974">
        <w:t xml:space="preserve"> covering Property, Plant and Equipment and Investment Property at Cost</w:t>
      </w:r>
      <w:r w:rsidRPr="00155974">
        <w:t xml:space="preserve">, a toll bridge may be included in the same class as other bridges, and for the purposes of paragraph </w:t>
      </w:r>
      <w:r w:rsidR="003726E3" w:rsidRPr="00155974">
        <w:t>242</w:t>
      </w:r>
      <w:r w:rsidR="00764006" w:rsidRPr="00155974">
        <w:t xml:space="preserve"> </w:t>
      </w:r>
      <w:r w:rsidRPr="00155974">
        <w:t>may be included with service concession assets reported in aggregate as toll roads.</w:t>
      </w:r>
      <w:bookmarkEnd w:id="153"/>
    </w:p>
    <w:p w14:paraId="7B19AD60" w14:textId="77777777" w:rsidR="00F42DB6" w:rsidRPr="00155974" w:rsidRDefault="00F42DB6" w:rsidP="00F42DB6">
      <w:pPr>
        <w:pStyle w:val="Heading2"/>
      </w:pPr>
      <w:r w:rsidRPr="00155974">
        <w:t>Commencement of the legislative instrument</w:t>
      </w:r>
    </w:p>
    <w:p w14:paraId="5C375927" w14:textId="4E1A6D8D" w:rsidR="00F72BA9" w:rsidRPr="00C644DB" w:rsidRDefault="00517B17" w:rsidP="00022B10">
      <w:pPr>
        <w:pStyle w:val="NumPlain1"/>
        <w:numPr>
          <w:ilvl w:val="0"/>
          <w:numId w:val="84"/>
        </w:numPr>
        <w:spacing w:after="0"/>
        <w:ind w:left="782" w:hanging="782"/>
        <w:jc w:val="left"/>
        <w:rPr>
          <w:color w:val="000000"/>
          <w:szCs w:val="19"/>
          <w:lang w:eastAsia="en-AU"/>
        </w:rPr>
      </w:pPr>
      <w:r>
        <w:rPr>
          <w:lang w:eastAsia="en-AU"/>
        </w:rPr>
        <w:t>[Repealed]</w:t>
      </w:r>
    </w:p>
    <w:p w14:paraId="66E98ED1" w14:textId="77777777" w:rsidR="00C644DB" w:rsidRPr="00155974" w:rsidRDefault="00C644DB" w:rsidP="00530A1E">
      <w:pPr>
        <w:pStyle w:val="NumPlain1"/>
        <w:spacing w:after="0"/>
        <w:jc w:val="left"/>
        <w:rPr>
          <w:color w:val="000000"/>
          <w:szCs w:val="19"/>
          <w:lang w:eastAsia="en-AU"/>
        </w:rPr>
      </w:pPr>
    </w:p>
    <w:p w14:paraId="231D2C45" w14:textId="65828BBA" w:rsidR="00F72BA9" w:rsidRPr="00155974" w:rsidRDefault="00F72BA9" w:rsidP="00A97D39">
      <w:pPr>
        <w:ind w:left="510" w:hanging="510"/>
        <w:jc w:val="left"/>
        <w:rPr>
          <w:color w:val="000000"/>
          <w:szCs w:val="19"/>
          <w:lang w:eastAsia="en-AU"/>
        </w:rPr>
        <w:sectPr w:rsidR="00F72BA9" w:rsidRPr="00155974" w:rsidSect="000804D6">
          <w:headerReference w:type="even" r:id="rId21"/>
          <w:footerReference w:type="default" r:id="rId22"/>
          <w:headerReference w:type="first" r:id="rId23"/>
          <w:pgSz w:w="11907" w:h="16840" w:code="9"/>
          <w:pgMar w:top="1440" w:right="1440" w:bottom="1440" w:left="1440" w:header="720" w:footer="720" w:gutter="0"/>
          <w:cols w:space="720"/>
        </w:sectPr>
      </w:pPr>
    </w:p>
    <w:p w14:paraId="39D6FAA8" w14:textId="3CCCD34A" w:rsidR="00465240" w:rsidRPr="00155974" w:rsidRDefault="00465240" w:rsidP="00022B10">
      <w:pPr>
        <w:pStyle w:val="ConvSectionTitle"/>
      </w:pPr>
      <w:r w:rsidRPr="00155974">
        <w:lastRenderedPageBreak/>
        <w:t xml:space="preserve">Appendix </w:t>
      </w:r>
      <w:r w:rsidR="00347A37" w:rsidRPr="00155974">
        <w:t>A</w:t>
      </w:r>
      <w:r w:rsidR="00913223">
        <w:br/>
      </w:r>
      <w:r w:rsidRPr="00155974">
        <w:t xml:space="preserve">Defined </w:t>
      </w:r>
      <w:r w:rsidR="00DB643C" w:rsidRPr="00155974">
        <w:t>terms</w:t>
      </w:r>
    </w:p>
    <w:p w14:paraId="6CB0AEE3" w14:textId="14160095" w:rsidR="00465240" w:rsidRPr="00A97D39" w:rsidRDefault="002D2C2B" w:rsidP="00022B10">
      <w:pPr>
        <w:pStyle w:val="ContentsLevel1"/>
        <w:spacing w:before="100" w:after="100"/>
        <w:ind w:right="0"/>
        <w:jc w:val="left"/>
        <w:rPr>
          <w:b w:val="0"/>
          <w:bCs/>
          <w:szCs w:val="19"/>
        </w:rPr>
      </w:pPr>
      <w:r w:rsidRPr="00155974">
        <w:rPr>
          <w:b w:val="0"/>
          <w:bCs/>
          <w:i/>
          <w:caps w:val="0"/>
        </w:rPr>
        <w:t xml:space="preserve">This appendix is an integral part of the </w:t>
      </w:r>
      <w:r w:rsidR="00347A37" w:rsidRPr="00155974">
        <w:rPr>
          <w:b w:val="0"/>
          <w:bCs/>
          <w:i/>
          <w:caps w:val="0"/>
        </w:rPr>
        <w:t>S</w:t>
      </w:r>
      <w:r w:rsidRPr="00155974">
        <w:rPr>
          <w:b w:val="0"/>
          <w:bCs/>
          <w:i/>
          <w:caps w:val="0"/>
        </w:rPr>
        <w:t>tandard.</w:t>
      </w:r>
    </w:p>
    <w:p w14:paraId="67654641" w14:textId="586D63F2" w:rsidR="008E00D6" w:rsidRPr="00155974" w:rsidRDefault="008E00D6" w:rsidP="00022B10">
      <w:pPr>
        <w:pStyle w:val="ContentsLevel1"/>
        <w:spacing w:after="100"/>
        <w:ind w:right="0"/>
        <w:rPr>
          <w:b w:val="0"/>
          <w:bCs/>
          <w:caps w:val="0"/>
          <w:szCs w:val="19"/>
        </w:rPr>
      </w:pPr>
      <w:r w:rsidRPr="00155974">
        <w:rPr>
          <w:b w:val="0"/>
          <w:bCs/>
          <w:szCs w:val="19"/>
        </w:rPr>
        <w:t>T</w:t>
      </w:r>
      <w:r w:rsidR="002D2C2B" w:rsidRPr="00155974">
        <w:rPr>
          <w:b w:val="0"/>
          <w:bCs/>
          <w:caps w:val="0"/>
          <w:szCs w:val="19"/>
        </w:rPr>
        <w:t xml:space="preserve">he following terms </w:t>
      </w:r>
      <w:r w:rsidR="00F10D0B" w:rsidRPr="00155974">
        <w:rPr>
          <w:b w:val="0"/>
          <w:bCs/>
          <w:caps w:val="0"/>
          <w:szCs w:val="19"/>
        </w:rPr>
        <w:t xml:space="preserve">are used in this Standard with the </w:t>
      </w:r>
      <w:r w:rsidR="002D2C2B" w:rsidRPr="00155974">
        <w:rPr>
          <w:b w:val="0"/>
          <w:bCs/>
          <w:caps w:val="0"/>
          <w:szCs w:val="19"/>
        </w:rPr>
        <w:t>mea</w:t>
      </w:r>
      <w:r w:rsidR="00AC5E18" w:rsidRPr="00155974">
        <w:rPr>
          <w:b w:val="0"/>
          <w:bCs/>
          <w:caps w:val="0"/>
          <w:szCs w:val="19"/>
        </w:rPr>
        <w:t>nings</w:t>
      </w:r>
      <w:r w:rsidR="00F10D0B" w:rsidRPr="00155974">
        <w:rPr>
          <w:b w:val="0"/>
          <w:bCs/>
          <w:caps w:val="0"/>
          <w:szCs w:val="19"/>
        </w:rPr>
        <w:t xml:space="preserve"> specified.</w:t>
      </w:r>
      <w:r w:rsidR="00AC5E18" w:rsidRPr="00155974">
        <w:rPr>
          <w:b w:val="0"/>
          <w:bCs/>
          <w:caps w:val="0"/>
          <w:szCs w:val="19"/>
        </w:rPr>
        <w:t xml:space="preserve"> </w:t>
      </w:r>
      <w:r w:rsidR="00D67211" w:rsidRPr="00155974">
        <w:rPr>
          <w:b w:val="0"/>
          <w:bCs/>
          <w:caps w:val="0"/>
          <w:szCs w:val="19"/>
        </w:rPr>
        <w:t xml:space="preserve">Except to the extent specifically addressed in this Standard, the definitions </w:t>
      </w:r>
      <w:r w:rsidR="00CB4388" w:rsidRPr="00155974">
        <w:rPr>
          <w:b w:val="0"/>
          <w:bCs/>
          <w:caps w:val="0"/>
          <w:szCs w:val="19"/>
        </w:rPr>
        <w:t>in</w:t>
      </w:r>
      <w:r w:rsidR="00D67211" w:rsidRPr="00155974">
        <w:rPr>
          <w:b w:val="0"/>
          <w:bCs/>
          <w:caps w:val="0"/>
          <w:szCs w:val="19"/>
        </w:rPr>
        <w:t xml:space="preserve"> other Australian Accounting Standards </w:t>
      </w:r>
      <w:r w:rsidR="00AC5E18" w:rsidRPr="00155974">
        <w:rPr>
          <w:b w:val="0"/>
          <w:bCs/>
          <w:caps w:val="0"/>
          <w:szCs w:val="19"/>
        </w:rPr>
        <w:t>als</w:t>
      </w:r>
      <w:r w:rsidR="00347A37" w:rsidRPr="00155974">
        <w:rPr>
          <w:b w:val="0"/>
          <w:bCs/>
          <w:caps w:val="0"/>
          <w:szCs w:val="19"/>
        </w:rPr>
        <w:t>o</w:t>
      </w:r>
      <w:r w:rsidR="00AC5E18" w:rsidRPr="00155974">
        <w:rPr>
          <w:b w:val="0"/>
          <w:bCs/>
          <w:caps w:val="0"/>
          <w:szCs w:val="19"/>
        </w:rPr>
        <w:t xml:space="preserve"> </w:t>
      </w:r>
      <w:r w:rsidR="00D67211" w:rsidRPr="00155974">
        <w:rPr>
          <w:b w:val="0"/>
          <w:bCs/>
          <w:caps w:val="0"/>
          <w:szCs w:val="19"/>
        </w:rPr>
        <w:t>apply.</w:t>
      </w:r>
    </w:p>
    <w:p w14:paraId="6C303247" w14:textId="0E724118" w:rsidR="00F10D0B" w:rsidRPr="00155974" w:rsidRDefault="00164617" w:rsidP="008458E0">
      <w:pPr>
        <w:pStyle w:val="ContentsLevel1"/>
        <w:spacing w:before="240" w:after="100"/>
        <w:ind w:right="567"/>
        <w:contextualSpacing/>
        <w:jc w:val="left"/>
        <w:rPr>
          <w:caps w:val="0"/>
          <w:szCs w:val="19"/>
        </w:rPr>
      </w:pPr>
      <w:r w:rsidRPr="00155974">
        <w:rPr>
          <w:caps w:val="0"/>
          <w:szCs w:val="19"/>
        </w:rPr>
        <w:t>P</w:t>
      </w:r>
      <w:r w:rsidR="00F10D0B" w:rsidRPr="00155974">
        <w:rPr>
          <w:caps w:val="0"/>
          <w:szCs w:val="19"/>
        </w:rPr>
        <w:t>resentation of the financial statements</w:t>
      </w:r>
    </w:p>
    <w:p w14:paraId="705184D8" w14:textId="00649407" w:rsidR="00F10D0B" w:rsidRPr="00155974" w:rsidRDefault="00F10D0B" w:rsidP="00561DE1">
      <w:pPr>
        <w:pStyle w:val="NumPlain1"/>
        <w:ind w:left="782"/>
      </w:pPr>
      <w:r w:rsidRPr="00155974">
        <w:rPr>
          <w:i/>
        </w:rPr>
        <w:t>General purpose financial statements</w:t>
      </w:r>
      <w:r w:rsidRPr="00155974">
        <w:t xml:space="preserve"> (referred to as ‘financial statements’) are those intended to meet the needs of users who are not in a position to require an entity to prepare reports tailored to their particular information needs. </w:t>
      </w:r>
    </w:p>
    <w:p w14:paraId="026239CD" w14:textId="7D556D2A" w:rsidR="00F10D0B" w:rsidRPr="00155974" w:rsidRDefault="00F10D0B" w:rsidP="006C365C">
      <w:pPr>
        <w:pStyle w:val="DefnPara"/>
        <w:spacing w:after="100"/>
        <w:ind w:left="782" w:firstLine="0"/>
        <w:jc w:val="both"/>
        <w:rPr>
          <w:sz w:val="19"/>
          <w:szCs w:val="19"/>
        </w:rPr>
      </w:pPr>
      <w:r w:rsidRPr="00155974">
        <w:rPr>
          <w:i/>
          <w:sz w:val="19"/>
          <w:szCs w:val="19"/>
        </w:rPr>
        <w:t>Impracticable</w:t>
      </w:r>
      <w:r w:rsidR="00B84D31" w:rsidRPr="00155974">
        <w:rPr>
          <w:sz w:val="19"/>
          <w:szCs w:val="19"/>
        </w:rPr>
        <w:t xml:space="preserve"> </w:t>
      </w:r>
      <w:r w:rsidRPr="00155974">
        <w:rPr>
          <w:sz w:val="19"/>
          <w:szCs w:val="19"/>
        </w:rPr>
        <w:t xml:space="preserve">Applying a requirement is impracticable when the entity cannot apply it after making every reasonable effort to do so. </w:t>
      </w:r>
    </w:p>
    <w:p w14:paraId="0D500D2C" w14:textId="77777777" w:rsidR="00F10D0B" w:rsidRPr="00155974" w:rsidRDefault="00F10D0B" w:rsidP="006C365C">
      <w:pPr>
        <w:pStyle w:val="DefnPara"/>
        <w:spacing w:after="100"/>
        <w:ind w:left="782" w:firstLine="0"/>
        <w:jc w:val="both"/>
        <w:rPr>
          <w:sz w:val="19"/>
          <w:szCs w:val="19"/>
        </w:rPr>
      </w:pPr>
      <w:r w:rsidRPr="00155974">
        <w:rPr>
          <w:i/>
          <w:sz w:val="19"/>
          <w:szCs w:val="19"/>
        </w:rPr>
        <w:t>International Financial Reporting Standards (IFRSs)</w:t>
      </w:r>
      <w:r w:rsidRPr="00155974">
        <w:rPr>
          <w:sz w:val="19"/>
          <w:szCs w:val="19"/>
        </w:rPr>
        <w:t xml:space="preserve"> are Standards and Interpretations issued by the International Accounting Standards Board (IASB).  They comprise: </w:t>
      </w:r>
    </w:p>
    <w:p w14:paraId="5315FE18" w14:textId="77777777" w:rsidR="00F10D0B" w:rsidRPr="00155974" w:rsidRDefault="00F10D0B" w:rsidP="00561DE1">
      <w:pPr>
        <w:pStyle w:val="DefnSubpoint1"/>
        <w:spacing w:after="100"/>
        <w:ind w:left="1564" w:hanging="782"/>
        <w:jc w:val="both"/>
        <w:rPr>
          <w:sz w:val="19"/>
          <w:szCs w:val="19"/>
        </w:rPr>
      </w:pPr>
      <w:r w:rsidRPr="00155974">
        <w:rPr>
          <w:sz w:val="19"/>
          <w:szCs w:val="19"/>
        </w:rPr>
        <w:t>(a)</w:t>
      </w:r>
      <w:r w:rsidRPr="00155974">
        <w:rPr>
          <w:sz w:val="19"/>
          <w:szCs w:val="19"/>
        </w:rPr>
        <w:tab/>
        <w:t xml:space="preserve">International Financial Reporting Standards; </w:t>
      </w:r>
    </w:p>
    <w:p w14:paraId="0DC1B687" w14:textId="77777777" w:rsidR="00F10D0B" w:rsidRPr="00155974" w:rsidRDefault="00F10D0B" w:rsidP="00561DE1">
      <w:pPr>
        <w:pStyle w:val="DefnSubpoint1"/>
        <w:spacing w:after="100"/>
        <w:ind w:left="1564" w:hanging="782"/>
        <w:jc w:val="both"/>
        <w:rPr>
          <w:sz w:val="19"/>
          <w:szCs w:val="19"/>
        </w:rPr>
      </w:pPr>
      <w:r w:rsidRPr="00155974">
        <w:rPr>
          <w:sz w:val="19"/>
          <w:szCs w:val="19"/>
        </w:rPr>
        <w:t>(b)</w:t>
      </w:r>
      <w:r w:rsidRPr="00155974">
        <w:rPr>
          <w:sz w:val="19"/>
          <w:szCs w:val="19"/>
        </w:rPr>
        <w:tab/>
        <w:t xml:space="preserve">International Accounting Standards; </w:t>
      </w:r>
    </w:p>
    <w:p w14:paraId="5B841F19" w14:textId="77777777" w:rsidR="00F10D0B" w:rsidRPr="00155974" w:rsidRDefault="00F10D0B" w:rsidP="00561DE1">
      <w:pPr>
        <w:pStyle w:val="DefnSubpoint1"/>
        <w:spacing w:after="100"/>
        <w:ind w:left="1564" w:hanging="782"/>
        <w:jc w:val="both"/>
        <w:rPr>
          <w:sz w:val="19"/>
          <w:szCs w:val="19"/>
        </w:rPr>
      </w:pPr>
      <w:r w:rsidRPr="00155974">
        <w:rPr>
          <w:sz w:val="19"/>
          <w:szCs w:val="19"/>
        </w:rPr>
        <w:t>(c)</w:t>
      </w:r>
      <w:r w:rsidRPr="00155974">
        <w:rPr>
          <w:sz w:val="19"/>
          <w:szCs w:val="19"/>
        </w:rPr>
        <w:tab/>
        <w:t>IFRIC Interpretations; and</w:t>
      </w:r>
    </w:p>
    <w:p w14:paraId="5E323634" w14:textId="76A9FBEA" w:rsidR="00F10D0B" w:rsidRPr="00155974" w:rsidRDefault="00F10D0B" w:rsidP="00561DE1">
      <w:pPr>
        <w:pStyle w:val="DefnSubpoint1"/>
        <w:spacing w:after="100"/>
        <w:ind w:left="1564" w:hanging="782"/>
        <w:jc w:val="both"/>
        <w:rPr>
          <w:sz w:val="19"/>
          <w:szCs w:val="19"/>
        </w:rPr>
      </w:pPr>
      <w:r w:rsidRPr="00155974">
        <w:rPr>
          <w:sz w:val="19"/>
          <w:szCs w:val="19"/>
        </w:rPr>
        <w:t>(d)</w:t>
      </w:r>
      <w:r w:rsidRPr="00155974">
        <w:rPr>
          <w:sz w:val="19"/>
          <w:szCs w:val="19"/>
        </w:rPr>
        <w:tab/>
        <w:t>SIC Interpretations.</w:t>
      </w:r>
      <w:r w:rsidRPr="00155974">
        <w:rPr>
          <w:rStyle w:val="FootnoteReference"/>
          <w:sz w:val="19"/>
          <w:szCs w:val="19"/>
        </w:rPr>
        <w:footnoteReference w:id="46"/>
      </w:r>
      <w:r w:rsidRPr="00155974">
        <w:rPr>
          <w:sz w:val="19"/>
          <w:szCs w:val="19"/>
        </w:rPr>
        <w:t xml:space="preserve"> </w:t>
      </w:r>
    </w:p>
    <w:p w14:paraId="5B3628DC" w14:textId="4E5A2FA3" w:rsidR="00A17AA5" w:rsidRPr="00155974" w:rsidRDefault="00A17AA5" w:rsidP="00D843C0">
      <w:pPr>
        <w:pStyle w:val="DefnPara"/>
        <w:spacing w:after="100"/>
        <w:ind w:left="782" w:firstLine="0"/>
        <w:jc w:val="both"/>
        <w:rPr>
          <w:i/>
          <w:sz w:val="19"/>
          <w:szCs w:val="19"/>
        </w:rPr>
      </w:pPr>
      <w:r w:rsidRPr="00155974">
        <w:rPr>
          <w:i/>
          <w:sz w:val="19"/>
          <w:szCs w:val="19"/>
        </w:rPr>
        <w:t>Material</w:t>
      </w:r>
      <w:r w:rsidR="00EC2844" w:rsidRPr="00155974">
        <w:rPr>
          <w:sz w:val="19"/>
          <w:szCs w:val="19"/>
        </w:rPr>
        <w:t>:</w:t>
      </w:r>
    </w:p>
    <w:p w14:paraId="47942CC9" w14:textId="77777777" w:rsidR="00FF3D75" w:rsidRPr="00155974" w:rsidRDefault="00FF3D75" w:rsidP="00D843C0">
      <w:pPr>
        <w:tabs>
          <w:tab w:val="left" w:pos="4253"/>
        </w:tabs>
        <w:spacing w:before="100" w:after="100"/>
        <w:ind w:left="782"/>
        <w:rPr>
          <w:szCs w:val="19"/>
          <w:lang w:val="en-US"/>
        </w:rPr>
      </w:pPr>
      <w:bookmarkStart w:id="154" w:name="F78337581"/>
      <w:r w:rsidRPr="00155974">
        <w:rPr>
          <w:b/>
          <w:szCs w:val="19"/>
          <w:lang w:val="en-US"/>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bookmarkEnd w:id="154"/>
    </w:p>
    <w:p w14:paraId="1A87045F" w14:textId="77777777" w:rsidR="00FF3D75" w:rsidRPr="00155974" w:rsidRDefault="00FF3D75" w:rsidP="00C51DB3">
      <w:pPr>
        <w:tabs>
          <w:tab w:val="left" w:pos="4253"/>
        </w:tabs>
        <w:spacing w:before="100" w:after="100"/>
        <w:ind w:left="782"/>
        <w:rPr>
          <w:szCs w:val="19"/>
          <w:lang w:val="en-US"/>
        </w:rPr>
      </w:pPr>
      <w:bookmarkStart w:id="155" w:name="F78337583"/>
      <w:r w:rsidRPr="00155974">
        <w:rPr>
          <w:szCs w:val="19"/>
          <w:lang w:val="en-US"/>
        </w:rPr>
        <w:t>Materiality depends on the nature or magnitude of information, or both. An entity assesses whether information, either individually or in combination with other information, is material in the context of its financial statements taken as a whole.</w:t>
      </w:r>
      <w:bookmarkEnd w:id="155"/>
    </w:p>
    <w:p w14:paraId="48BF72D3" w14:textId="77777777" w:rsidR="00FF3D75" w:rsidRPr="00155974" w:rsidRDefault="00FF3D75" w:rsidP="00C51DB3">
      <w:pPr>
        <w:tabs>
          <w:tab w:val="left" w:pos="4253"/>
        </w:tabs>
        <w:spacing w:before="100" w:after="100"/>
        <w:ind w:left="782"/>
        <w:rPr>
          <w:szCs w:val="19"/>
          <w:lang w:val="en-US"/>
        </w:rPr>
      </w:pPr>
      <w:bookmarkStart w:id="156" w:name="F78337584"/>
      <w:r w:rsidRPr="00155974">
        <w:rPr>
          <w:szCs w:val="19"/>
          <w:lang w:val="en-US"/>
        </w:rPr>
        <w:t>Information is obscured if it is communicated in a way that would have a similar effect for primary users of financial statements to omitting or misstating that information. The following are examples of circumstances that may result in material information being obscured:</w:t>
      </w:r>
      <w:bookmarkEnd w:id="156"/>
    </w:p>
    <w:p w14:paraId="73A4D8F9" w14:textId="77777777" w:rsidR="00FF3D75" w:rsidRPr="00155974" w:rsidRDefault="00FF3D75" w:rsidP="00C51DB3">
      <w:pPr>
        <w:spacing w:before="100"/>
        <w:ind w:left="1564" w:hanging="782"/>
        <w:rPr>
          <w:szCs w:val="19"/>
          <w:lang w:val="en-US"/>
        </w:rPr>
      </w:pPr>
      <w:r w:rsidRPr="00155974">
        <w:rPr>
          <w:szCs w:val="19"/>
          <w:lang w:val="en-US"/>
        </w:rPr>
        <w:t>(a)</w:t>
      </w:r>
      <w:r w:rsidRPr="00155974">
        <w:rPr>
          <w:szCs w:val="19"/>
          <w:lang w:val="en-US"/>
        </w:rPr>
        <w:tab/>
      </w:r>
      <w:bookmarkStart w:id="157" w:name="F78337588"/>
      <w:r w:rsidRPr="00155974">
        <w:rPr>
          <w:szCs w:val="19"/>
          <w:lang w:val="en-US"/>
        </w:rPr>
        <w:t>information regarding a material item, transaction or other event is disclosed in the financial statements but the language used is vague or unclear;</w:t>
      </w:r>
      <w:bookmarkEnd w:id="157"/>
    </w:p>
    <w:p w14:paraId="1624BDDF" w14:textId="77777777" w:rsidR="00FF3D75" w:rsidRPr="00155974" w:rsidRDefault="00FF3D75" w:rsidP="00C51DB3">
      <w:pPr>
        <w:spacing w:before="100"/>
        <w:ind w:left="1564" w:hanging="782"/>
        <w:rPr>
          <w:szCs w:val="19"/>
          <w:lang w:val="en-US"/>
        </w:rPr>
      </w:pPr>
      <w:r w:rsidRPr="00155974">
        <w:rPr>
          <w:szCs w:val="19"/>
          <w:lang w:val="en-US"/>
        </w:rPr>
        <w:t>(b)</w:t>
      </w:r>
      <w:r w:rsidRPr="00155974">
        <w:rPr>
          <w:szCs w:val="19"/>
          <w:lang w:val="en-US"/>
        </w:rPr>
        <w:tab/>
      </w:r>
      <w:bookmarkStart w:id="158" w:name="F78337590"/>
      <w:r w:rsidRPr="00155974">
        <w:rPr>
          <w:szCs w:val="19"/>
          <w:lang w:val="en-US"/>
        </w:rPr>
        <w:t>information regarding a material item, transaction or other event is scattered throughout the financial statements;</w:t>
      </w:r>
      <w:bookmarkEnd w:id="158"/>
    </w:p>
    <w:p w14:paraId="1A94DFC4" w14:textId="77777777" w:rsidR="00FF3D75" w:rsidRPr="00155974" w:rsidRDefault="00FF3D75" w:rsidP="00C51DB3">
      <w:pPr>
        <w:spacing w:before="100"/>
        <w:ind w:left="1564" w:hanging="782"/>
        <w:rPr>
          <w:szCs w:val="19"/>
          <w:lang w:val="en-US"/>
        </w:rPr>
      </w:pPr>
      <w:r w:rsidRPr="00155974">
        <w:rPr>
          <w:szCs w:val="19"/>
          <w:lang w:val="en-US"/>
        </w:rPr>
        <w:t>(c)</w:t>
      </w:r>
      <w:r w:rsidRPr="00155974">
        <w:rPr>
          <w:szCs w:val="19"/>
          <w:lang w:val="en-US"/>
        </w:rPr>
        <w:tab/>
      </w:r>
      <w:bookmarkStart w:id="159" w:name="F78337592"/>
      <w:r w:rsidRPr="00155974">
        <w:rPr>
          <w:szCs w:val="19"/>
          <w:lang w:val="en-US"/>
        </w:rPr>
        <w:t>dissimilar items, transactions or other events are inappropriately aggregated;</w:t>
      </w:r>
      <w:bookmarkEnd w:id="159"/>
    </w:p>
    <w:p w14:paraId="5C592E2E" w14:textId="77777777" w:rsidR="00FF3D75" w:rsidRPr="00155974" w:rsidRDefault="00FF3D75" w:rsidP="00C51DB3">
      <w:pPr>
        <w:spacing w:before="100"/>
        <w:ind w:left="1564" w:hanging="782"/>
        <w:rPr>
          <w:szCs w:val="19"/>
          <w:lang w:val="en-US"/>
        </w:rPr>
      </w:pPr>
      <w:r w:rsidRPr="00155974">
        <w:rPr>
          <w:szCs w:val="19"/>
          <w:lang w:val="en-US"/>
        </w:rPr>
        <w:t>(d)</w:t>
      </w:r>
      <w:r w:rsidRPr="00155974">
        <w:rPr>
          <w:szCs w:val="19"/>
          <w:lang w:val="en-US"/>
        </w:rPr>
        <w:tab/>
      </w:r>
      <w:bookmarkStart w:id="160" w:name="F78337594"/>
      <w:r w:rsidRPr="00155974">
        <w:rPr>
          <w:szCs w:val="19"/>
          <w:lang w:val="en-US"/>
        </w:rPr>
        <w:t>similar items, transactions or other events are inappropriately disaggregated; and</w:t>
      </w:r>
      <w:bookmarkEnd w:id="160"/>
    </w:p>
    <w:p w14:paraId="644D7B97" w14:textId="77777777" w:rsidR="00FF3D75" w:rsidRPr="00155974" w:rsidRDefault="00FF3D75" w:rsidP="00C51DB3">
      <w:pPr>
        <w:spacing w:before="100"/>
        <w:ind w:left="1564" w:hanging="782"/>
        <w:rPr>
          <w:szCs w:val="19"/>
          <w:lang w:val="en-US"/>
        </w:rPr>
      </w:pPr>
      <w:r w:rsidRPr="00155974">
        <w:rPr>
          <w:szCs w:val="19"/>
          <w:lang w:val="en-US"/>
        </w:rPr>
        <w:t>(e)</w:t>
      </w:r>
      <w:r w:rsidRPr="00155974">
        <w:rPr>
          <w:szCs w:val="19"/>
          <w:lang w:val="en-US"/>
        </w:rPr>
        <w:tab/>
      </w:r>
      <w:bookmarkStart w:id="161" w:name="F78337596"/>
      <w:r w:rsidRPr="00155974">
        <w:rPr>
          <w:szCs w:val="19"/>
          <w:lang w:val="en-US"/>
        </w:rPr>
        <w:t>the understandability of the financial statements is reduced as a result of material information being hidden by immaterial information to the extent that a primary user is unable to determine what information is material.</w:t>
      </w:r>
      <w:bookmarkEnd w:id="161"/>
    </w:p>
    <w:p w14:paraId="0B8B4ABE" w14:textId="290EDD72" w:rsidR="00FF3D75" w:rsidRPr="00155974" w:rsidRDefault="00F10D0B" w:rsidP="00C51DB3">
      <w:pPr>
        <w:tabs>
          <w:tab w:val="left" w:pos="4253"/>
        </w:tabs>
        <w:spacing w:before="100" w:after="100"/>
        <w:ind w:left="782"/>
        <w:rPr>
          <w:szCs w:val="19"/>
          <w:lang w:val="en-US"/>
        </w:rPr>
      </w:pPr>
      <w:bookmarkStart w:id="162" w:name="F78337597"/>
      <w:r w:rsidRPr="00155974">
        <w:rPr>
          <w:szCs w:val="19"/>
          <w:lang w:val="en-US"/>
        </w:rPr>
        <w:t xml:space="preserve">Assessing whether </w:t>
      </w:r>
      <w:r w:rsidR="00FF3D75" w:rsidRPr="00155974">
        <w:rPr>
          <w:szCs w:val="19"/>
          <w:lang w:val="en-US"/>
        </w:rPr>
        <w:t xml:space="preserve">information </w:t>
      </w:r>
      <w:r w:rsidRPr="00155974">
        <w:rPr>
          <w:szCs w:val="19"/>
          <w:lang w:val="en-US"/>
        </w:rPr>
        <w:t xml:space="preserve">could </w:t>
      </w:r>
      <w:r w:rsidR="00FF3D75" w:rsidRPr="00155974">
        <w:rPr>
          <w:szCs w:val="19"/>
          <w:lang w:val="en-US"/>
        </w:rPr>
        <w:t xml:space="preserve">reasonably be expected to </w:t>
      </w:r>
      <w:r w:rsidRPr="00155974">
        <w:rPr>
          <w:szCs w:val="19"/>
          <w:lang w:val="en-US"/>
        </w:rPr>
        <w:t xml:space="preserve">influence decisions </w:t>
      </w:r>
      <w:r w:rsidR="00FF3D75" w:rsidRPr="00155974">
        <w:rPr>
          <w:szCs w:val="19"/>
          <w:lang w:val="en-US"/>
        </w:rPr>
        <w:t>made by the primary users of a specific reporting entity’s general purpose financial statements</w:t>
      </w:r>
      <w:r w:rsidR="008D25C6" w:rsidRPr="00155974">
        <w:rPr>
          <w:szCs w:val="19"/>
          <w:lang w:val="en-US"/>
        </w:rPr>
        <w:t xml:space="preserve"> </w:t>
      </w:r>
      <w:r w:rsidRPr="00155974">
        <w:rPr>
          <w:szCs w:val="19"/>
          <w:lang w:val="en-US"/>
        </w:rPr>
        <w:t xml:space="preserve">requires </w:t>
      </w:r>
      <w:r w:rsidR="00FF3D75" w:rsidRPr="00155974">
        <w:rPr>
          <w:szCs w:val="19"/>
          <w:lang w:val="en-US"/>
        </w:rPr>
        <w:t xml:space="preserve">an entity to consider </w:t>
      </w:r>
      <w:r w:rsidRPr="00155974">
        <w:rPr>
          <w:szCs w:val="19"/>
          <w:lang w:val="en-US"/>
        </w:rPr>
        <w:t>the characteristics of those users</w:t>
      </w:r>
      <w:r w:rsidR="00FF3D75" w:rsidRPr="00155974">
        <w:rPr>
          <w:szCs w:val="19"/>
          <w:lang w:val="en-US"/>
        </w:rPr>
        <w:t xml:space="preserve"> while also considering the entity’s own circumstances.</w:t>
      </w:r>
      <w:bookmarkEnd w:id="162"/>
    </w:p>
    <w:p w14:paraId="5416E86C" w14:textId="79BF0A4D" w:rsidR="00F10D0B" w:rsidRPr="00155974" w:rsidRDefault="00FF3D75" w:rsidP="00D61A88">
      <w:pPr>
        <w:pStyle w:val="DefnPara"/>
        <w:spacing w:after="100"/>
        <w:ind w:left="782" w:firstLine="0"/>
        <w:jc w:val="both"/>
        <w:rPr>
          <w:b w:val="0"/>
          <w:bCs/>
          <w:sz w:val="19"/>
          <w:szCs w:val="19"/>
        </w:rPr>
      </w:pPr>
      <w:bookmarkStart w:id="163" w:name="F78337598"/>
      <w:r w:rsidRPr="00155974">
        <w:rPr>
          <w:b w:val="0"/>
          <w:bCs/>
          <w:sz w:val="19"/>
          <w:szCs w:val="19"/>
        </w:rPr>
        <w:t>Many existing and potential investors, lenders and other creditors cannot require reporting entities to provide information directly to them and must rely on general purpose financial statements for much of the financial information they need. Consequently, they are the primary users to whom general purpose financial statements are directed. Financial statements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bookmarkEnd w:id="163"/>
    </w:p>
    <w:p w14:paraId="18FA8DFF" w14:textId="77777777" w:rsidR="00F10D0B" w:rsidRPr="00155974" w:rsidRDefault="00F10D0B" w:rsidP="00D61A88">
      <w:pPr>
        <w:pStyle w:val="DefnPara"/>
        <w:spacing w:after="100"/>
        <w:ind w:left="782" w:firstLine="0"/>
        <w:jc w:val="both"/>
        <w:rPr>
          <w:sz w:val="19"/>
          <w:szCs w:val="19"/>
        </w:rPr>
      </w:pPr>
      <w:r w:rsidRPr="00155974">
        <w:rPr>
          <w:i/>
          <w:iCs/>
          <w:sz w:val="19"/>
          <w:szCs w:val="19"/>
        </w:rPr>
        <w:t>Notes</w:t>
      </w:r>
      <w:r w:rsidRPr="00155974">
        <w:rPr>
          <w:sz w:val="19"/>
          <w:szCs w:val="19"/>
        </w:rPr>
        <w:t xml:space="preserve"> contain information in addition to that presented in the statement of financial position, statement(s) of profit or loss and other comprehensive income, separate income statement (if presented), statement of changes in equity and statement of cash flows.  Notes provide narrative </w:t>
      </w:r>
      <w:r w:rsidRPr="00155974">
        <w:rPr>
          <w:sz w:val="19"/>
          <w:szCs w:val="19"/>
        </w:rPr>
        <w:lastRenderedPageBreak/>
        <w:t xml:space="preserve">descriptions or disaggregations of items presented in those statements and information about items that do not qualify for recognition in those statements. </w:t>
      </w:r>
    </w:p>
    <w:p w14:paraId="5F262B35"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Other comprehensive income</w:t>
      </w:r>
      <w:r w:rsidRPr="00155974">
        <w:rPr>
          <w:sz w:val="19"/>
          <w:szCs w:val="19"/>
        </w:rPr>
        <w:t xml:space="preserve"> comprises items of income and expense (including reclassification adjustments) that are not recognised in profit or loss as required or permitted by other Australian Accounting Standards. </w:t>
      </w:r>
    </w:p>
    <w:p w14:paraId="56546A3E" w14:textId="77777777" w:rsidR="00F10D0B" w:rsidRPr="00155974" w:rsidRDefault="00F10D0B" w:rsidP="00AC079F">
      <w:pPr>
        <w:pStyle w:val="DefnPara"/>
        <w:spacing w:after="100"/>
        <w:ind w:left="782" w:firstLine="0"/>
        <w:jc w:val="both"/>
        <w:rPr>
          <w:b w:val="0"/>
          <w:sz w:val="19"/>
          <w:szCs w:val="19"/>
        </w:rPr>
      </w:pPr>
      <w:r w:rsidRPr="00155974">
        <w:rPr>
          <w:b w:val="0"/>
          <w:sz w:val="19"/>
          <w:szCs w:val="19"/>
        </w:rPr>
        <w:t xml:space="preserve">The components of other comprehensive income include: </w:t>
      </w:r>
    </w:p>
    <w:p w14:paraId="7F7CAC21" w14:textId="77777777" w:rsidR="00F10D0B" w:rsidRPr="00155974" w:rsidRDefault="00F10D0B" w:rsidP="00561DE1">
      <w:pPr>
        <w:pStyle w:val="DefnSubpoint1"/>
        <w:spacing w:after="100"/>
        <w:ind w:left="1564" w:hanging="782"/>
        <w:jc w:val="both"/>
        <w:rPr>
          <w:b w:val="0"/>
          <w:sz w:val="19"/>
          <w:szCs w:val="19"/>
        </w:rPr>
      </w:pPr>
      <w:r w:rsidRPr="00155974">
        <w:rPr>
          <w:b w:val="0"/>
          <w:sz w:val="19"/>
          <w:szCs w:val="19"/>
        </w:rPr>
        <w:t>(a)</w:t>
      </w:r>
      <w:r w:rsidRPr="00155974">
        <w:rPr>
          <w:b w:val="0"/>
          <w:sz w:val="19"/>
          <w:szCs w:val="19"/>
        </w:rPr>
        <w:tab/>
        <w:t xml:space="preserve">changes in revaluation surplus (see AASB 116 </w:t>
      </w:r>
      <w:r w:rsidRPr="00155974">
        <w:rPr>
          <w:b w:val="0"/>
          <w:i/>
          <w:sz w:val="19"/>
          <w:szCs w:val="19"/>
        </w:rPr>
        <w:t>Property, Plant and Equipment</w:t>
      </w:r>
      <w:r w:rsidRPr="00155974">
        <w:rPr>
          <w:b w:val="0"/>
          <w:sz w:val="19"/>
          <w:szCs w:val="19"/>
        </w:rPr>
        <w:t xml:space="preserve"> and AASB 138 </w:t>
      </w:r>
      <w:r w:rsidRPr="00155974">
        <w:rPr>
          <w:b w:val="0"/>
          <w:i/>
          <w:sz w:val="19"/>
          <w:szCs w:val="19"/>
        </w:rPr>
        <w:t>Intangible Assets</w:t>
      </w:r>
      <w:r w:rsidRPr="00155974">
        <w:rPr>
          <w:b w:val="0"/>
          <w:sz w:val="19"/>
          <w:szCs w:val="19"/>
        </w:rPr>
        <w:t xml:space="preserve">); </w:t>
      </w:r>
    </w:p>
    <w:p w14:paraId="6CE4657F" w14:textId="77777777" w:rsidR="00F10D0B" w:rsidRPr="00155974" w:rsidRDefault="00F10D0B" w:rsidP="00561DE1">
      <w:pPr>
        <w:pStyle w:val="DefnSubpoint1"/>
        <w:spacing w:after="100"/>
        <w:ind w:left="1564" w:hanging="782"/>
        <w:jc w:val="both"/>
        <w:rPr>
          <w:b w:val="0"/>
          <w:sz w:val="19"/>
          <w:szCs w:val="19"/>
        </w:rPr>
      </w:pPr>
      <w:r w:rsidRPr="00155974">
        <w:rPr>
          <w:b w:val="0"/>
          <w:sz w:val="19"/>
          <w:szCs w:val="19"/>
        </w:rPr>
        <w:t>(b)</w:t>
      </w:r>
      <w:r w:rsidRPr="00155974">
        <w:rPr>
          <w:b w:val="0"/>
          <w:sz w:val="19"/>
          <w:szCs w:val="19"/>
        </w:rPr>
        <w:tab/>
        <w:t xml:space="preserve">remeasurements of defined benefit plans (see AASB 119 </w:t>
      </w:r>
      <w:r w:rsidRPr="00155974">
        <w:rPr>
          <w:b w:val="0"/>
          <w:i/>
          <w:sz w:val="19"/>
          <w:szCs w:val="19"/>
        </w:rPr>
        <w:t>Employee Benefits</w:t>
      </w:r>
      <w:r w:rsidRPr="00155974">
        <w:rPr>
          <w:b w:val="0"/>
          <w:sz w:val="19"/>
          <w:szCs w:val="19"/>
        </w:rPr>
        <w:t xml:space="preserve">); </w:t>
      </w:r>
    </w:p>
    <w:p w14:paraId="1116AE8D" w14:textId="77777777" w:rsidR="00F10D0B" w:rsidRPr="00155974" w:rsidRDefault="00F10D0B" w:rsidP="00561DE1">
      <w:pPr>
        <w:pStyle w:val="DefnSubpoint1"/>
        <w:spacing w:after="100"/>
        <w:ind w:left="1564" w:hanging="782"/>
        <w:jc w:val="both"/>
        <w:rPr>
          <w:b w:val="0"/>
          <w:sz w:val="19"/>
          <w:szCs w:val="19"/>
        </w:rPr>
      </w:pPr>
      <w:r w:rsidRPr="00155974">
        <w:rPr>
          <w:b w:val="0"/>
          <w:sz w:val="19"/>
          <w:szCs w:val="19"/>
        </w:rPr>
        <w:t>(c)</w:t>
      </w:r>
      <w:r w:rsidRPr="00155974">
        <w:rPr>
          <w:b w:val="0"/>
          <w:sz w:val="19"/>
          <w:szCs w:val="19"/>
        </w:rPr>
        <w:tab/>
        <w:t xml:space="preserve">gains and losses arising from translating the financial statements of a foreign operation (see AASB 121 </w:t>
      </w:r>
      <w:r w:rsidRPr="00155974">
        <w:rPr>
          <w:b w:val="0"/>
          <w:i/>
          <w:sz w:val="19"/>
          <w:szCs w:val="19"/>
        </w:rPr>
        <w:t>The Effects of Changes in Foreign Exchange Rates</w:t>
      </w:r>
      <w:r w:rsidRPr="00155974">
        <w:rPr>
          <w:b w:val="0"/>
          <w:sz w:val="19"/>
          <w:szCs w:val="19"/>
        </w:rPr>
        <w:t xml:space="preserve">); </w:t>
      </w:r>
    </w:p>
    <w:p w14:paraId="34D8654C" w14:textId="4F8026D0" w:rsidR="00776DF9" w:rsidRPr="00155974" w:rsidRDefault="00F10D0B" w:rsidP="00561DE1">
      <w:pPr>
        <w:pStyle w:val="DefnSubpoint1"/>
        <w:spacing w:after="100"/>
        <w:ind w:left="1564" w:hanging="782"/>
        <w:jc w:val="both"/>
        <w:rPr>
          <w:b w:val="0"/>
          <w:sz w:val="19"/>
          <w:szCs w:val="19"/>
        </w:rPr>
      </w:pPr>
      <w:r w:rsidRPr="00155974">
        <w:rPr>
          <w:b w:val="0"/>
          <w:sz w:val="19"/>
          <w:szCs w:val="19"/>
        </w:rPr>
        <w:t>(d)</w:t>
      </w:r>
      <w:r w:rsidRPr="00155974">
        <w:rPr>
          <w:b w:val="0"/>
          <w:sz w:val="19"/>
          <w:szCs w:val="19"/>
        </w:rPr>
        <w:tab/>
      </w:r>
      <w:r w:rsidR="00776DF9" w:rsidRPr="00155974">
        <w:rPr>
          <w:b w:val="0"/>
          <w:sz w:val="19"/>
          <w:szCs w:val="19"/>
        </w:rPr>
        <w:t>gains and losses from investments in equity instruments designated at fair value through other</w:t>
      </w:r>
      <w:r w:rsidR="00AC079F" w:rsidRPr="00155974">
        <w:rPr>
          <w:b w:val="0"/>
          <w:sz w:val="19"/>
          <w:szCs w:val="19"/>
        </w:rPr>
        <w:t xml:space="preserve"> </w:t>
      </w:r>
      <w:r w:rsidR="00776DF9" w:rsidRPr="00155974">
        <w:rPr>
          <w:b w:val="0"/>
          <w:sz w:val="19"/>
          <w:szCs w:val="19"/>
        </w:rPr>
        <w:t xml:space="preserve">comprehensive income in accordance with paragraph 5.7.5 of AASB 9 </w:t>
      </w:r>
      <w:r w:rsidR="00776DF9" w:rsidRPr="00155974">
        <w:rPr>
          <w:b w:val="0"/>
          <w:i/>
          <w:iCs/>
          <w:sz w:val="19"/>
          <w:szCs w:val="19"/>
        </w:rPr>
        <w:t>Financial Instruments</w:t>
      </w:r>
      <w:r w:rsidR="00776DF9" w:rsidRPr="00155974">
        <w:rPr>
          <w:b w:val="0"/>
          <w:sz w:val="19"/>
          <w:szCs w:val="19"/>
        </w:rPr>
        <w:t>;</w:t>
      </w:r>
    </w:p>
    <w:p w14:paraId="0B155CD9" w14:textId="47B8D78B" w:rsidR="00B77771" w:rsidRPr="00155974" w:rsidRDefault="00C272B0" w:rsidP="00561DE1">
      <w:pPr>
        <w:pStyle w:val="DefnSubpoint1"/>
        <w:spacing w:after="100"/>
        <w:ind w:left="1564" w:hanging="782"/>
        <w:jc w:val="both"/>
        <w:rPr>
          <w:b w:val="0"/>
          <w:sz w:val="19"/>
          <w:szCs w:val="19"/>
        </w:rPr>
      </w:pPr>
      <w:r w:rsidRPr="00155974">
        <w:rPr>
          <w:b w:val="0"/>
          <w:sz w:val="19"/>
          <w:szCs w:val="19"/>
        </w:rPr>
        <w:t>(da)</w:t>
      </w:r>
      <w:r w:rsidRPr="00155974">
        <w:rPr>
          <w:b w:val="0"/>
          <w:sz w:val="19"/>
          <w:szCs w:val="19"/>
        </w:rPr>
        <w:tab/>
        <w:t>gains and losses on financial assets measured at fair value through other comprehensive income in accordance with paragraph 4.1.2A of AASB 9;</w:t>
      </w:r>
    </w:p>
    <w:p w14:paraId="24F78613" w14:textId="58AD8F47" w:rsidR="00C272B0" w:rsidRPr="00155974" w:rsidRDefault="004A6339" w:rsidP="00561DE1">
      <w:pPr>
        <w:pStyle w:val="DefnSubpoint1"/>
        <w:spacing w:after="100"/>
        <w:ind w:left="1564" w:hanging="782"/>
        <w:jc w:val="both"/>
        <w:rPr>
          <w:b w:val="0"/>
          <w:sz w:val="19"/>
          <w:szCs w:val="19"/>
        </w:rPr>
      </w:pPr>
      <w:r w:rsidRPr="00155974">
        <w:rPr>
          <w:b w:val="0"/>
          <w:sz w:val="19"/>
          <w:szCs w:val="19"/>
        </w:rPr>
        <w:t>(e)</w:t>
      </w:r>
      <w:r w:rsidRPr="00155974">
        <w:rPr>
          <w:b w:val="0"/>
          <w:sz w:val="19"/>
          <w:szCs w:val="19"/>
        </w:rPr>
        <w:tab/>
      </w:r>
      <w:r w:rsidR="00F4012A" w:rsidRPr="00155974">
        <w:rPr>
          <w:b w:val="0"/>
          <w:sz w:val="19"/>
          <w:szCs w:val="19"/>
        </w:rPr>
        <w:t>the effective portion of gains and losses on hedging instruments in a cash flow hedge and the gains and losses on hedging instruments that hedge investments in equity instruments measured at fair value through other comprehensive income in accordance with paragraph 5.7.5 of AASB 9 (see Chapter 6 of AASB 9);</w:t>
      </w:r>
    </w:p>
    <w:p w14:paraId="1B3AE04A" w14:textId="3E396354" w:rsidR="00F4012A" w:rsidRPr="00155974" w:rsidRDefault="00F4012A" w:rsidP="00561DE1">
      <w:pPr>
        <w:pStyle w:val="DefnSubpoint1"/>
        <w:spacing w:after="100"/>
        <w:ind w:left="1564" w:hanging="782"/>
        <w:rPr>
          <w:b w:val="0"/>
          <w:sz w:val="19"/>
          <w:szCs w:val="19"/>
        </w:rPr>
      </w:pPr>
      <w:r w:rsidRPr="00155974">
        <w:rPr>
          <w:b w:val="0"/>
          <w:sz w:val="19"/>
          <w:szCs w:val="19"/>
        </w:rPr>
        <w:t>(f)</w:t>
      </w:r>
      <w:r w:rsidRPr="00155974">
        <w:rPr>
          <w:b w:val="0"/>
          <w:sz w:val="19"/>
          <w:szCs w:val="19"/>
        </w:rPr>
        <w:tab/>
      </w:r>
      <w:r w:rsidR="00A228BA" w:rsidRPr="00155974">
        <w:rPr>
          <w:b w:val="0"/>
          <w:sz w:val="19"/>
          <w:szCs w:val="19"/>
        </w:rPr>
        <w:t>for particular liabilities designated as at fair value through profit or loss, the amount of the change in fair value that is attributable to changes in the liability’s credit risk (see paragraph 5.7.7 of AASB 9);</w:t>
      </w:r>
    </w:p>
    <w:p w14:paraId="4A5BC8F6" w14:textId="3E6C9EE7" w:rsidR="00A228BA" w:rsidRPr="00155974" w:rsidRDefault="00822F98" w:rsidP="00561DE1">
      <w:pPr>
        <w:pStyle w:val="DefnSubpoint1"/>
        <w:spacing w:after="100"/>
        <w:ind w:left="1564" w:hanging="782"/>
        <w:jc w:val="both"/>
        <w:rPr>
          <w:b w:val="0"/>
          <w:sz w:val="19"/>
          <w:szCs w:val="19"/>
        </w:rPr>
      </w:pPr>
      <w:r w:rsidRPr="00155974">
        <w:rPr>
          <w:b w:val="0"/>
          <w:sz w:val="19"/>
          <w:szCs w:val="19"/>
        </w:rPr>
        <w:t>(g)</w:t>
      </w:r>
      <w:r w:rsidRPr="00155974">
        <w:rPr>
          <w:b w:val="0"/>
          <w:sz w:val="19"/>
          <w:szCs w:val="19"/>
        </w:rPr>
        <w:tab/>
        <w:t xml:space="preserve">changes in the value of the time value of options when separating the intrinsic value and time value of an option contract and designating as the hedging instrument only the changes in the intrinsic value (see Chapter 6 of AASB 9); </w:t>
      </w:r>
    </w:p>
    <w:p w14:paraId="5A105F89" w14:textId="10538EC6" w:rsidR="00822F98" w:rsidRPr="00155974" w:rsidRDefault="000939C8" w:rsidP="00561DE1">
      <w:pPr>
        <w:pStyle w:val="DefnSubpoint1"/>
        <w:spacing w:after="100"/>
        <w:ind w:left="1564" w:hanging="782"/>
        <w:jc w:val="both"/>
        <w:rPr>
          <w:b w:val="0"/>
          <w:sz w:val="19"/>
          <w:szCs w:val="19"/>
        </w:rPr>
      </w:pPr>
      <w:r w:rsidRPr="00155974">
        <w:rPr>
          <w:b w:val="0"/>
          <w:sz w:val="19"/>
          <w:szCs w:val="19"/>
        </w:rPr>
        <w:t>(h)</w:t>
      </w:r>
      <w:r w:rsidRPr="00155974">
        <w:rPr>
          <w:b w:val="0"/>
          <w:sz w:val="19"/>
          <w:szCs w:val="19"/>
        </w:rP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 AASB 9)</w:t>
      </w:r>
      <w:r w:rsidR="00C24D87" w:rsidRPr="00155974">
        <w:rPr>
          <w:b w:val="0"/>
          <w:sz w:val="19"/>
          <w:szCs w:val="19"/>
        </w:rPr>
        <w:t>;</w:t>
      </w:r>
    </w:p>
    <w:p w14:paraId="672A1972" w14:textId="4430A8E5" w:rsidR="00F4012A" w:rsidRPr="00155974" w:rsidRDefault="00C24D87" w:rsidP="00561DE1">
      <w:pPr>
        <w:pStyle w:val="DefnSubpoint1"/>
        <w:spacing w:after="100"/>
        <w:ind w:left="1564" w:hanging="782"/>
        <w:jc w:val="both"/>
        <w:rPr>
          <w:b w:val="0"/>
          <w:sz w:val="19"/>
          <w:szCs w:val="19"/>
        </w:rPr>
      </w:pPr>
      <w:r w:rsidRPr="00155974">
        <w:rPr>
          <w:b w:val="0"/>
          <w:sz w:val="19"/>
          <w:szCs w:val="19"/>
        </w:rPr>
        <w:t>(i)</w:t>
      </w:r>
      <w:r w:rsidRPr="00155974">
        <w:rPr>
          <w:b w:val="0"/>
          <w:sz w:val="19"/>
          <w:szCs w:val="19"/>
        </w:rPr>
        <w:tab/>
      </w:r>
      <w:r w:rsidR="00CC2B57" w:rsidRPr="00155974">
        <w:rPr>
          <w:b w:val="0"/>
          <w:sz w:val="19"/>
          <w:szCs w:val="19"/>
        </w:rPr>
        <w:t xml:space="preserve">insurance finance income and expenses from contracts issued within the scope of AASB 17 </w:t>
      </w:r>
      <w:r w:rsidR="00CC2B57" w:rsidRPr="00155974">
        <w:rPr>
          <w:b w:val="0"/>
          <w:i/>
          <w:iCs/>
          <w:sz w:val="19"/>
          <w:szCs w:val="19"/>
        </w:rPr>
        <w:t>Insurance</w:t>
      </w:r>
      <w:r w:rsidR="00CC2B57" w:rsidRPr="00155974">
        <w:rPr>
          <w:b w:val="0"/>
          <w:sz w:val="19"/>
          <w:szCs w:val="19"/>
        </w:rPr>
        <w:t xml:space="preserve"> </w:t>
      </w:r>
      <w:r w:rsidR="00CC2B57" w:rsidRPr="00155974">
        <w:rPr>
          <w:b w:val="0"/>
          <w:i/>
          <w:iCs/>
          <w:sz w:val="19"/>
          <w:szCs w:val="19"/>
        </w:rPr>
        <w:t xml:space="preserve">Contracts </w:t>
      </w:r>
      <w:r w:rsidR="00CC2B57" w:rsidRPr="00155974">
        <w:rPr>
          <w:b w:val="0"/>
          <w:sz w:val="19"/>
          <w:szCs w:val="19"/>
        </w:rPr>
        <w:t>excluded from profit or loss when total insurance finance income or expenses is disaggregated to include in profit or loss an amount determined by a systematic allocation applying paragraph 88(b) of AASB 17, or by an amount that eliminates accounting mismatches with the finance income or expenses arising on the underlying items, applying paragraph 89(b) of AASB 17; and</w:t>
      </w:r>
    </w:p>
    <w:p w14:paraId="49E2AAAC" w14:textId="31BCA39D" w:rsidR="00CC2B57" w:rsidRPr="00155974" w:rsidRDefault="001A15F7" w:rsidP="00561DE1">
      <w:pPr>
        <w:pStyle w:val="DefnSubpoint1"/>
        <w:spacing w:after="100"/>
        <w:ind w:left="1564" w:hanging="782"/>
        <w:jc w:val="both"/>
        <w:rPr>
          <w:b w:val="0"/>
          <w:sz w:val="19"/>
          <w:szCs w:val="19"/>
        </w:rPr>
      </w:pPr>
      <w:r w:rsidRPr="00155974">
        <w:rPr>
          <w:b w:val="0"/>
          <w:sz w:val="19"/>
          <w:szCs w:val="19"/>
        </w:rPr>
        <w:t>(j)</w:t>
      </w:r>
      <w:r w:rsidRPr="00155974">
        <w:rPr>
          <w:b w:val="0"/>
          <w:sz w:val="19"/>
          <w:szCs w:val="19"/>
        </w:rPr>
        <w:tab/>
      </w:r>
      <w:r w:rsidR="00AF5A32" w:rsidRPr="00155974">
        <w:rPr>
          <w:b w:val="0"/>
          <w:sz w:val="19"/>
          <w:szCs w:val="19"/>
        </w:rPr>
        <w:t>finance income and expenses from reinsurance contracts held excluded from profit or loss when total reinsurance finance income or expenses is disaggregated to include in profit or loss an amount determined by a systematic allocation applying paragraph 88(b) of AASB 17.</w:t>
      </w:r>
    </w:p>
    <w:p w14:paraId="56791EFE" w14:textId="64DBF313" w:rsidR="00F10D0B" w:rsidRPr="00155974" w:rsidRDefault="00F10D0B" w:rsidP="00433C99">
      <w:pPr>
        <w:pStyle w:val="DefnPara"/>
        <w:spacing w:after="100"/>
        <w:ind w:left="782" w:firstLine="0"/>
        <w:jc w:val="both"/>
        <w:rPr>
          <w:sz w:val="19"/>
          <w:szCs w:val="19"/>
        </w:rPr>
      </w:pPr>
      <w:r w:rsidRPr="00155974">
        <w:rPr>
          <w:bCs/>
          <w:i/>
          <w:iCs/>
          <w:sz w:val="19"/>
          <w:szCs w:val="19"/>
        </w:rPr>
        <w:t>Owners</w:t>
      </w:r>
      <w:r w:rsidRPr="00155974">
        <w:rPr>
          <w:sz w:val="19"/>
          <w:szCs w:val="19"/>
        </w:rPr>
        <w:t xml:space="preserve"> are holders of instruments classified as equity. </w:t>
      </w:r>
    </w:p>
    <w:p w14:paraId="7FA6CADD"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Profit or loss</w:t>
      </w:r>
      <w:r w:rsidRPr="00155974">
        <w:rPr>
          <w:sz w:val="19"/>
          <w:szCs w:val="19"/>
        </w:rPr>
        <w:t xml:space="preserve"> is the total of income less expenses, excluding the components of other comprehensive income. </w:t>
      </w:r>
    </w:p>
    <w:p w14:paraId="3CC18343"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Reclassification adjustments</w:t>
      </w:r>
      <w:r w:rsidRPr="00155974">
        <w:rPr>
          <w:sz w:val="19"/>
          <w:szCs w:val="19"/>
        </w:rPr>
        <w:t xml:space="preserve"> are amounts reclassified to profit or loss in the current period that were recognised in other comprehensive income in the current or previous periods. </w:t>
      </w:r>
    </w:p>
    <w:p w14:paraId="66D5684B"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Total comprehensive income</w:t>
      </w:r>
      <w:r w:rsidRPr="00155974">
        <w:rPr>
          <w:sz w:val="19"/>
          <w:szCs w:val="19"/>
        </w:rPr>
        <w:t xml:space="preserve"> is the change in equity during a period resulting from transactions and other events, other than those changes resulting from transactions with owners in their capacity as owners. </w:t>
      </w:r>
    </w:p>
    <w:p w14:paraId="240F05FA" w14:textId="77777777" w:rsidR="00F10D0B" w:rsidRPr="00155974" w:rsidRDefault="00F10D0B" w:rsidP="00D61A88">
      <w:pPr>
        <w:pStyle w:val="DefnPara"/>
        <w:spacing w:after="100"/>
        <w:ind w:left="782" w:firstLine="0"/>
        <w:jc w:val="both"/>
        <w:rPr>
          <w:b w:val="0"/>
          <w:sz w:val="19"/>
          <w:szCs w:val="19"/>
        </w:rPr>
      </w:pPr>
      <w:r w:rsidRPr="00155974">
        <w:rPr>
          <w:b w:val="0"/>
          <w:sz w:val="19"/>
          <w:szCs w:val="19"/>
        </w:rPr>
        <w:t xml:space="preserve">Total comprehensive income comprises all components of ‘profit or loss’ and of ‘other comprehensive income’. </w:t>
      </w:r>
    </w:p>
    <w:p w14:paraId="48A50A80" w14:textId="0D571DB3" w:rsidR="00F10D0B" w:rsidRPr="00155974" w:rsidRDefault="00164617" w:rsidP="00D61A88">
      <w:pPr>
        <w:pStyle w:val="DefnPara"/>
        <w:spacing w:after="100"/>
        <w:ind w:left="0" w:firstLine="0"/>
        <w:jc w:val="both"/>
        <w:rPr>
          <w:bCs/>
          <w:sz w:val="19"/>
          <w:szCs w:val="19"/>
        </w:rPr>
      </w:pPr>
      <w:r w:rsidRPr="00155974">
        <w:rPr>
          <w:bCs/>
          <w:sz w:val="19"/>
          <w:szCs w:val="19"/>
        </w:rPr>
        <w:t xml:space="preserve">Statement of </w:t>
      </w:r>
      <w:r w:rsidR="00556935" w:rsidRPr="00155974">
        <w:rPr>
          <w:bCs/>
          <w:sz w:val="19"/>
          <w:szCs w:val="19"/>
        </w:rPr>
        <w:t>Cash Flows</w:t>
      </w:r>
    </w:p>
    <w:p w14:paraId="6057ED0B" w14:textId="77777777" w:rsidR="006853A8" w:rsidRPr="00155974" w:rsidRDefault="006853A8" w:rsidP="00D61A88">
      <w:pPr>
        <w:pStyle w:val="IASBNormalnparaP"/>
        <w:rPr>
          <w:szCs w:val="19"/>
        </w:rPr>
      </w:pPr>
      <w:r w:rsidRPr="00155974">
        <w:rPr>
          <w:b/>
          <w:i/>
          <w:szCs w:val="19"/>
        </w:rPr>
        <w:t>Cash</w:t>
      </w:r>
      <w:r w:rsidRPr="00155974">
        <w:rPr>
          <w:b/>
          <w:szCs w:val="19"/>
        </w:rPr>
        <w:t xml:space="preserve"> comprises cash on hand and demand deposits.</w:t>
      </w:r>
    </w:p>
    <w:p w14:paraId="282DAA85" w14:textId="77777777" w:rsidR="006853A8" w:rsidRPr="00155974" w:rsidRDefault="006853A8" w:rsidP="00D61A88">
      <w:pPr>
        <w:pStyle w:val="IASBNormalnparaP"/>
        <w:rPr>
          <w:szCs w:val="19"/>
        </w:rPr>
      </w:pPr>
      <w:r w:rsidRPr="00155974">
        <w:rPr>
          <w:b/>
          <w:i/>
          <w:szCs w:val="19"/>
        </w:rPr>
        <w:t>Cash equivalents</w:t>
      </w:r>
      <w:r w:rsidRPr="00155974">
        <w:rPr>
          <w:b/>
          <w:szCs w:val="19"/>
        </w:rPr>
        <w:t xml:space="preserve"> are short-term, highly liquid investments that are readily convertible to known amounts of cash and which are subject to an insignificant risk of changes in value.</w:t>
      </w:r>
    </w:p>
    <w:p w14:paraId="7AF37CE4" w14:textId="77777777" w:rsidR="006853A8" w:rsidRPr="00155974" w:rsidRDefault="006853A8" w:rsidP="00D61A88">
      <w:pPr>
        <w:pStyle w:val="IASBNormalnparaP"/>
        <w:rPr>
          <w:szCs w:val="19"/>
        </w:rPr>
      </w:pPr>
      <w:r w:rsidRPr="00155974">
        <w:rPr>
          <w:b/>
          <w:i/>
          <w:szCs w:val="19"/>
        </w:rPr>
        <w:t>Cash flows</w:t>
      </w:r>
      <w:r w:rsidRPr="00155974">
        <w:rPr>
          <w:b/>
          <w:szCs w:val="19"/>
        </w:rPr>
        <w:t xml:space="preserve"> are inflows and outflows of cash and cash equivalents.</w:t>
      </w:r>
    </w:p>
    <w:p w14:paraId="6A0B2917" w14:textId="77777777" w:rsidR="006853A8" w:rsidRPr="00155974" w:rsidRDefault="006853A8" w:rsidP="00D61A88">
      <w:pPr>
        <w:pStyle w:val="IASBNormalnparaP"/>
        <w:rPr>
          <w:szCs w:val="19"/>
        </w:rPr>
      </w:pPr>
      <w:r w:rsidRPr="00155974">
        <w:rPr>
          <w:b/>
          <w:i/>
          <w:szCs w:val="19"/>
        </w:rPr>
        <w:t>Operating activities</w:t>
      </w:r>
      <w:r w:rsidRPr="00155974">
        <w:rPr>
          <w:b/>
          <w:szCs w:val="19"/>
        </w:rPr>
        <w:t xml:space="preserve"> are the principal revenue-producing activities of the entity and other activities that are not investing or financing activities.</w:t>
      </w:r>
    </w:p>
    <w:p w14:paraId="493457B5" w14:textId="77777777" w:rsidR="006853A8" w:rsidRPr="00155974" w:rsidRDefault="006853A8" w:rsidP="00D61A88">
      <w:pPr>
        <w:pStyle w:val="IASBNormalnparaP"/>
        <w:rPr>
          <w:szCs w:val="19"/>
        </w:rPr>
      </w:pPr>
      <w:r w:rsidRPr="00155974">
        <w:rPr>
          <w:b/>
          <w:i/>
          <w:szCs w:val="19"/>
        </w:rPr>
        <w:lastRenderedPageBreak/>
        <w:t>Investing activities</w:t>
      </w:r>
      <w:r w:rsidRPr="00155974">
        <w:rPr>
          <w:b/>
          <w:szCs w:val="19"/>
        </w:rPr>
        <w:t xml:space="preserve"> are the acquisition and disposal of long-term assets and other investments not included in cash equivalents.</w:t>
      </w:r>
    </w:p>
    <w:p w14:paraId="78159A5C" w14:textId="77777777" w:rsidR="006853A8" w:rsidRPr="00155974" w:rsidRDefault="006853A8" w:rsidP="00D61A88">
      <w:pPr>
        <w:pStyle w:val="IASBNormalnparaP"/>
        <w:rPr>
          <w:rFonts w:eastAsiaTheme="majorEastAsia"/>
          <w:szCs w:val="19"/>
        </w:rPr>
      </w:pPr>
      <w:r w:rsidRPr="00155974">
        <w:rPr>
          <w:b/>
          <w:i/>
          <w:szCs w:val="19"/>
        </w:rPr>
        <w:t>Financing activities</w:t>
      </w:r>
      <w:r w:rsidRPr="00155974">
        <w:rPr>
          <w:b/>
          <w:szCs w:val="19"/>
        </w:rPr>
        <w:t xml:space="preserve"> are activities </w:t>
      </w:r>
      <w:r w:rsidRPr="00155974">
        <w:rPr>
          <w:rFonts w:eastAsiaTheme="majorEastAsia"/>
          <w:b/>
          <w:szCs w:val="19"/>
        </w:rPr>
        <w:t xml:space="preserve">that </w:t>
      </w:r>
      <w:r w:rsidRPr="00155974">
        <w:rPr>
          <w:b/>
          <w:szCs w:val="19"/>
        </w:rPr>
        <w:t xml:space="preserve">result in </w:t>
      </w:r>
      <w:r w:rsidRPr="00155974">
        <w:rPr>
          <w:rFonts w:eastAsiaTheme="majorEastAsia"/>
          <w:b/>
          <w:szCs w:val="19"/>
        </w:rPr>
        <w:t xml:space="preserve">changes in </w:t>
      </w:r>
      <w:r w:rsidRPr="00155974">
        <w:rPr>
          <w:b/>
          <w:szCs w:val="19"/>
        </w:rPr>
        <w:t>the size</w:t>
      </w:r>
      <w:r w:rsidRPr="00155974">
        <w:rPr>
          <w:rFonts w:eastAsiaTheme="majorEastAsia"/>
          <w:b/>
          <w:szCs w:val="19"/>
        </w:rPr>
        <w:t xml:space="preserve"> and </w:t>
      </w:r>
      <w:r w:rsidRPr="00155974">
        <w:rPr>
          <w:b/>
          <w:szCs w:val="19"/>
        </w:rPr>
        <w:t>composition of the contributed equity</w:t>
      </w:r>
      <w:r w:rsidRPr="00155974">
        <w:rPr>
          <w:rFonts w:eastAsiaTheme="majorEastAsia"/>
          <w:b/>
          <w:szCs w:val="19"/>
        </w:rPr>
        <w:t xml:space="preserve"> and </w:t>
      </w:r>
      <w:r w:rsidRPr="00155974">
        <w:rPr>
          <w:b/>
          <w:szCs w:val="19"/>
        </w:rPr>
        <w:t xml:space="preserve">borrowings </w:t>
      </w:r>
      <w:r w:rsidRPr="00155974">
        <w:rPr>
          <w:rFonts w:eastAsiaTheme="majorEastAsia"/>
          <w:b/>
          <w:szCs w:val="19"/>
        </w:rPr>
        <w:t>of the entity</w:t>
      </w:r>
      <w:r w:rsidRPr="00155974">
        <w:rPr>
          <w:rFonts w:eastAsiaTheme="majorEastAsia"/>
          <w:b/>
          <w:bCs/>
          <w:iCs/>
          <w:szCs w:val="19"/>
        </w:rPr>
        <w:t>.</w:t>
      </w:r>
    </w:p>
    <w:p w14:paraId="5C9D3039" w14:textId="01D962E6" w:rsidR="00164617" w:rsidRPr="00155974" w:rsidRDefault="00164617" w:rsidP="00D61A88">
      <w:pPr>
        <w:pStyle w:val="DefnPara"/>
        <w:spacing w:after="100"/>
        <w:ind w:left="0" w:firstLine="0"/>
        <w:jc w:val="both"/>
        <w:rPr>
          <w:bCs/>
          <w:sz w:val="19"/>
          <w:szCs w:val="19"/>
        </w:rPr>
      </w:pPr>
      <w:r w:rsidRPr="00155974">
        <w:rPr>
          <w:bCs/>
          <w:sz w:val="19"/>
          <w:szCs w:val="19"/>
        </w:rPr>
        <w:t xml:space="preserve">Financial </w:t>
      </w:r>
      <w:r w:rsidR="005A484B" w:rsidRPr="00155974">
        <w:rPr>
          <w:bCs/>
          <w:sz w:val="19"/>
          <w:szCs w:val="19"/>
        </w:rPr>
        <w:t>instruments</w:t>
      </w:r>
    </w:p>
    <w:p w14:paraId="256CF302" w14:textId="77777777" w:rsidR="005B7386" w:rsidRPr="00155974" w:rsidRDefault="005B7386" w:rsidP="00D61A88">
      <w:pPr>
        <w:pStyle w:val="IASBNormalnparaP"/>
        <w:rPr>
          <w:b/>
          <w:i/>
          <w:szCs w:val="19"/>
        </w:rPr>
      </w:pPr>
      <w:r w:rsidRPr="00155974">
        <w:rPr>
          <w:b/>
          <w:i/>
          <w:szCs w:val="19"/>
        </w:rPr>
        <w:t xml:space="preserve">Loans payable </w:t>
      </w:r>
      <w:r w:rsidRPr="00155974">
        <w:rPr>
          <w:b/>
          <w:iCs/>
          <w:szCs w:val="19"/>
        </w:rPr>
        <w:t>are financial liabilities, other than short-term trade payables on normal credit terms.</w:t>
      </w:r>
    </w:p>
    <w:p w14:paraId="4659628E" w14:textId="3EEC604C" w:rsidR="00164617" w:rsidRPr="00155974" w:rsidRDefault="00164617" w:rsidP="00D61A88">
      <w:pPr>
        <w:pStyle w:val="DefnPara"/>
        <w:spacing w:after="100"/>
        <w:ind w:left="0" w:firstLine="0"/>
        <w:jc w:val="both"/>
        <w:rPr>
          <w:bCs/>
          <w:sz w:val="19"/>
          <w:szCs w:val="19"/>
        </w:rPr>
      </w:pPr>
      <w:r w:rsidRPr="00155974">
        <w:rPr>
          <w:bCs/>
          <w:sz w:val="19"/>
          <w:szCs w:val="19"/>
        </w:rPr>
        <w:t>Related party disclosures</w:t>
      </w:r>
    </w:p>
    <w:p w14:paraId="10C8F1F3" w14:textId="77777777" w:rsidR="00A43A0C" w:rsidRPr="00155974" w:rsidRDefault="00A43A0C" w:rsidP="00D61A88">
      <w:pPr>
        <w:pStyle w:val="IASBNormalnparaP"/>
        <w:rPr>
          <w:b/>
          <w:szCs w:val="19"/>
          <w:lang w:eastAsia="en-AU"/>
        </w:rPr>
      </w:pPr>
      <w:r w:rsidRPr="00155974">
        <w:rPr>
          <w:b/>
          <w:szCs w:val="19"/>
          <w:lang w:eastAsia="en-AU"/>
        </w:rPr>
        <w:t xml:space="preserve">A </w:t>
      </w:r>
      <w:r w:rsidRPr="00155974">
        <w:rPr>
          <w:b/>
          <w:i/>
          <w:szCs w:val="19"/>
          <w:lang w:eastAsia="en-AU"/>
        </w:rPr>
        <w:t>related party</w:t>
      </w:r>
      <w:r w:rsidRPr="00155974">
        <w:rPr>
          <w:b/>
          <w:szCs w:val="19"/>
          <w:lang w:eastAsia="en-AU"/>
        </w:rPr>
        <w:t xml:space="preserve"> is a person or entity that is related to the entity that is preparing its financial statements (the reporting entity):</w:t>
      </w:r>
    </w:p>
    <w:p w14:paraId="07F6ADD4" w14:textId="77777777" w:rsidR="00A43A0C" w:rsidRPr="00155974" w:rsidRDefault="00A43A0C" w:rsidP="00561DE1">
      <w:pPr>
        <w:spacing w:after="100"/>
        <w:ind w:left="1564" w:hanging="782"/>
        <w:rPr>
          <w:b/>
          <w:szCs w:val="19"/>
          <w:lang w:eastAsia="en-AU"/>
        </w:rPr>
      </w:pPr>
      <w:r w:rsidRPr="00155974">
        <w:rPr>
          <w:b/>
          <w:szCs w:val="19"/>
          <w:lang w:eastAsia="en-AU"/>
        </w:rPr>
        <w:t>(a)</w:t>
      </w:r>
      <w:r w:rsidRPr="00155974">
        <w:rPr>
          <w:b/>
          <w:szCs w:val="19"/>
          <w:lang w:eastAsia="en-AU"/>
        </w:rPr>
        <w:tab/>
        <w:t>a person or a close member of that person’s family is related to a reporting entity if that person:</w:t>
      </w:r>
    </w:p>
    <w:p w14:paraId="1D775A7C" w14:textId="77777777" w:rsidR="00A43A0C" w:rsidRPr="00155974" w:rsidRDefault="00A43A0C" w:rsidP="00561DE1">
      <w:pPr>
        <w:spacing w:after="100"/>
        <w:ind w:left="2347" w:hanging="782"/>
        <w:rPr>
          <w:b/>
          <w:szCs w:val="19"/>
          <w:lang w:eastAsia="en-AU"/>
        </w:rPr>
      </w:pPr>
      <w:r w:rsidRPr="00155974">
        <w:rPr>
          <w:b/>
          <w:szCs w:val="19"/>
          <w:lang w:eastAsia="en-AU"/>
        </w:rPr>
        <w:t>(i)</w:t>
      </w:r>
      <w:r w:rsidRPr="00155974">
        <w:rPr>
          <w:b/>
          <w:szCs w:val="19"/>
          <w:lang w:eastAsia="en-AU"/>
        </w:rPr>
        <w:tab/>
        <w:t>is a member of the key management personnel of the reporting entity or of a parent of the reporting entity;</w:t>
      </w:r>
    </w:p>
    <w:p w14:paraId="06D710EE" w14:textId="77777777" w:rsidR="00A43A0C" w:rsidRPr="00155974" w:rsidRDefault="00A43A0C" w:rsidP="00561DE1">
      <w:pPr>
        <w:spacing w:after="100"/>
        <w:ind w:left="2347" w:hanging="782"/>
        <w:rPr>
          <w:b/>
          <w:szCs w:val="19"/>
          <w:lang w:eastAsia="en-AU"/>
        </w:rPr>
      </w:pPr>
      <w:r w:rsidRPr="00155974">
        <w:rPr>
          <w:b/>
          <w:szCs w:val="19"/>
          <w:lang w:eastAsia="en-AU"/>
        </w:rPr>
        <w:t>(ii)</w:t>
      </w:r>
      <w:r w:rsidRPr="00155974">
        <w:rPr>
          <w:b/>
          <w:szCs w:val="19"/>
          <w:lang w:eastAsia="en-AU"/>
        </w:rPr>
        <w:tab/>
        <w:t>has control or joint control over the reporting entity; or</w:t>
      </w:r>
    </w:p>
    <w:p w14:paraId="03B131B0" w14:textId="77777777" w:rsidR="00A43A0C" w:rsidRPr="00155974" w:rsidRDefault="00A43A0C" w:rsidP="00561DE1">
      <w:pPr>
        <w:spacing w:after="100"/>
        <w:ind w:left="2347" w:hanging="782"/>
        <w:rPr>
          <w:b/>
          <w:szCs w:val="19"/>
          <w:lang w:eastAsia="en-AU"/>
        </w:rPr>
      </w:pPr>
      <w:r w:rsidRPr="00155974">
        <w:rPr>
          <w:b/>
          <w:szCs w:val="19"/>
          <w:lang w:eastAsia="en-AU"/>
        </w:rPr>
        <w:t>(iii)</w:t>
      </w:r>
      <w:r w:rsidRPr="00155974">
        <w:rPr>
          <w:b/>
          <w:szCs w:val="19"/>
          <w:lang w:eastAsia="en-AU"/>
        </w:rPr>
        <w:tab/>
        <w:t>has significant influence over the reporting entity.</w:t>
      </w:r>
    </w:p>
    <w:p w14:paraId="3FCBDB65" w14:textId="77777777" w:rsidR="00A43A0C" w:rsidRPr="00155974" w:rsidRDefault="00A43A0C" w:rsidP="00561DE1">
      <w:pPr>
        <w:spacing w:after="100"/>
        <w:ind w:left="1564" w:hanging="782"/>
        <w:rPr>
          <w:b/>
          <w:szCs w:val="19"/>
          <w:lang w:eastAsia="en-AU"/>
        </w:rPr>
      </w:pPr>
      <w:r w:rsidRPr="00155974">
        <w:rPr>
          <w:b/>
          <w:szCs w:val="19"/>
          <w:lang w:eastAsia="en-AU"/>
        </w:rPr>
        <w:t>(b)</w:t>
      </w:r>
      <w:r w:rsidRPr="00155974">
        <w:rPr>
          <w:b/>
          <w:szCs w:val="19"/>
          <w:lang w:eastAsia="en-AU"/>
        </w:rPr>
        <w:tab/>
        <w:t>an entity is related to a reporting entity if any of the following conditions applies:</w:t>
      </w:r>
    </w:p>
    <w:p w14:paraId="0AAC7CD9" w14:textId="77777777" w:rsidR="00A43A0C" w:rsidRPr="00155974" w:rsidRDefault="00A43A0C" w:rsidP="00561DE1">
      <w:pPr>
        <w:spacing w:after="100"/>
        <w:ind w:left="2347" w:hanging="782"/>
        <w:rPr>
          <w:b/>
          <w:szCs w:val="19"/>
          <w:lang w:eastAsia="en-AU"/>
        </w:rPr>
      </w:pPr>
      <w:r w:rsidRPr="00155974">
        <w:rPr>
          <w:b/>
          <w:szCs w:val="19"/>
          <w:lang w:eastAsia="en-AU"/>
        </w:rPr>
        <w:t>(i)</w:t>
      </w:r>
      <w:r w:rsidRPr="00155974">
        <w:rPr>
          <w:b/>
          <w:szCs w:val="19"/>
          <w:lang w:eastAsia="en-AU"/>
        </w:rPr>
        <w:tab/>
        <w:t>the entity and the reporting entity are members of the same group (which means that each parent, subsidiary and fellow subsidiary is related to the others).</w:t>
      </w:r>
    </w:p>
    <w:p w14:paraId="163E4B6E" w14:textId="77777777" w:rsidR="00A43A0C" w:rsidRPr="00155974" w:rsidRDefault="00A43A0C" w:rsidP="00561DE1">
      <w:pPr>
        <w:spacing w:after="100"/>
        <w:ind w:left="2347" w:hanging="782"/>
        <w:rPr>
          <w:b/>
          <w:szCs w:val="19"/>
          <w:lang w:eastAsia="en-AU"/>
        </w:rPr>
      </w:pPr>
      <w:r w:rsidRPr="00155974">
        <w:rPr>
          <w:b/>
          <w:szCs w:val="19"/>
          <w:lang w:eastAsia="en-AU"/>
        </w:rPr>
        <w:t>(ii)</w:t>
      </w:r>
      <w:r w:rsidRPr="00155974">
        <w:rPr>
          <w:b/>
          <w:szCs w:val="19"/>
          <w:lang w:eastAsia="en-AU"/>
        </w:rPr>
        <w:tab/>
        <w:t>one entity is an associate or joint venture of the other entity (or an associate or joint venture of a member of a group of which the other entity is a member).</w:t>
      </w:r>
    </w:p>
    <w:p w14:paraId="6EE07015" w14:textId="77777777" w:rsidR="00A43A0C" w:rsidRPr="00155974" w:rsidRDefault="00A43A0C" w:rsidP="00561DE1">
      <w:pPr>
        <w:spacing w:after="100"/>
        <w:ind w:left="2347" w:hanging="782"/>
        <w:rPr>
          <w:b/>
          <w:szCs w:val="19"/>
          <w:lang w:eastAsia="en-AU"/>
        </w:rPr>
      </w:pPr>
      <w:r w:rsidRPr="00155974">
        <w:rPr>
          <w:b/>
          <w:szCs w:val="19"/>
          <w:lang w:eastAsia="en-AU"/>
        </w:rPr>
        <w:t>(iii)</w:t>
      </w:r>
      <w:r w:rsidRPr="00155974">
        <w:rPr>
          <w:b/>
          <w:szCs w:val="19"/>
          <w:lang w:eastAsia="en-AU"/>
        </w:rPr>
        <w:tab/>
        <w:t>both entities are joint ventures of the same third entity.</w:t>
      </w:r>
    </w:p>
    <w:p w14:paraId="3338CD84" w14:textId="77777777" w:rsidR="00A43A0C" w:rsidRPr="00155974" w:rsidRDefault="00A43A0C" w:rsidP="00561DE1">
      <w:pPr>
        <w:spacing w:after="100"/>
        <w:ind w:left="2347" w:hanging="782"/>
        <w:rPr>
          <w:b/>
          <w:szCs w:val="19"/>
          <w:lang w:eastAsia="en-AU"/>
        </w:rPr>
      </w:pPr>
      <w:r w:rsidRPr="00155974">
        <w:rPr>
          <w:b/>
          <w:szCs w:val="19"/>
          <w:lang w:eastAsia="en-AU"/>
        </w:rPr>
        <w:t>(iv)</w:t>
      </w:r>
      <w:r w:rsidRPr="00155974">
        <w:rPr>
          <w:b/>
          <w:szCs w:val="19"/>
          <w:lang w:eastAsia="en-AU"/>
        </w:rPr>
        <w:tab/>
        <w:t>one entity is a joint venture of a third entity and the other entity is an associate of the third entity.</w:t>
      </w:r>
    </w:p>
    <w:p w14:paraId="25310C68" w14:textId="77777777" w:rsidR="00A43A0C" w:rsidRPr="00155974" w:rsidRDefault="00A43A0C" w:rsidP="00561DE1">
      <w:pPr>
        <w:spacing w:after="100"/>
        <w:ind w:left="2347" w:hanging="782"/>
        <w:rPr>
          <w:b/>
          <w:szCs w:val="19"/>
          <w:lang w:eastAsia="en-AU"/>
        </w:rPr>
      </w:pPr>
      <w:r w:rsidRPr="00155974">
        <w:rPr>
          <w:b/>
          <w:szCs w:val="19"/>
          <w:lang w:eastAsia="en-AU"/>
        </w:rPr>
        <w:t>(v)</w:t>
      </w:r>
      <w:r w:rsidRPr="00155974">
        <w:rPr>
          <w:b/>
          <w:szCs w:val="19"/>
          <w:lang w:eastAsia="en-AU"/>
        </w:rPr>
        <w:tab/>
        <w:t>the entity is a post-employment benefit plan for the benefit of employees of either the reporting entity or an entity related to the reporting entity. If the reporting entity is itself such a plan, the sponsoring employers are also related to the reporting entity.</w:t>
      </w:r>
    </w:p>
    <w:p w14:paraId="65B5C83F" w14:textId="77777777" w:rsidR="00A43A0C" w:rsidRPr="00155974" w:rsidRDefault="00A43A0C" w:rsidP="00561DE1">
      <w:pPr>
        <w:spacing w:after="100"/>
        <w:ind w:left="2347" w:hanging="782"/>
        <w:rPr>
          <w:b/>
          <w:szCs w:val="19"/>
          <w:lang w:eastAsia="en-AU"/>
        </w:rPr>
      </w:pPr>
      <w:r w:rsidRPr="00155974">
        <w:rPr>
          <w:b/>
          <w:szCs w:val="19"/>
          <w:lang w:eastAsia="en-AU"/>
        </w:rPr>
        <w:t>(vi)</w:t>
      </w:r>
      <w:r w:rsidRPr="00155974">
        <w:rPr>
          <w:b/>
          <w:szCs w:val="19"/>
          <w:lang w:eastAsia="en-AU"/>
        </w:rPr>
        <w:tab/>
        <w:t>the entity is controlled or jointly controlled by a person identified in (a).</w:t>
      </w:r>
    </w:p>
    <w:p w14:paraId="09D00A42" w14:textId="77777777" w:rsidR="00A43A0C" w:rsidRPr="00155974" w:rsidRDefault="00A43A0C" w:rsidP="00561DE1">
      <w:pPr>
        <w:spacing w:after="100"/>
        <w:ind w:left="2347" w:hanging="782"/>
        <w:rPr>
          <w:b/>
          <w:szCs w:val="19"/>
          <w:lang w:eastAsia="en-AU"/>
        </w:rPr>
      </w:pPr>
      <w:r w:rsidRPr="00155974">
        <w:rPr>
          <w:b/>
          <w:szCs w:val="19"/>
          <w:lang w:eastAsia="en-AU"/>
        </w:rPr>
        <w:t>(vii)</w:t>
      </w:r>
      <w:r w:rsidRPr="00155974">
        <w:rPr>
          <w:b/>
          <w:szCs w:val="19"/>
          <w:lang w:eastAsia="en-AU"/>
        </w:rPr>
        <w:tab/>
        <w:t>the entity, or any member of a group of which it is a part, provides key management personnel services to the reporting entity or to the parent of the reporting entity.</w:t>
      </w:r>
    </w:p>
    <w:p w14:paraId="0D2632A3" w14:textId="77777777" w:rsidR="00A43A0C" w:rsidRPr="00155974" w:rsidRDefault="00A43A0C" w:rsidP="00561DE1">
      <w:pPr>
        <w:spacing w:after="100"/>
        <w:ind w:left="2347" w:hanging="782"/>
        <w:rPr>
          <w:b/>
          <w:szCs w:val="19"/>
          <w:lang w:eastAsia="en-AU"/>
        </w:rPr>
      </w:pPr>
      <w:r w:rsidRPr="00155974">
        <w:rPr>
          <w:b/>
          <w:szCs w:val="19"/>
          <w:lang w:eastAsia="en-AU"/>
        </w:rPr>
        <w:t>(viii)</w:t>
      </w:r>
      <w:r w:rsidRPr="00155974">
        <w:rPr>
          <w:b/>
          <w:szCs w:val="19"/>
          <w:lang w:eastAsia="en-AU"/>
        </w:rPr>
        <w:tab/>
        <w:t>a person identified in (a)(ii) has significant influence over the entity or is a member of the key management personnel of the entity (or of a parent of the entity).</w:t>
      </w:r>
    </w:p>
    <w:p w14:paraId="4074DF69" w14:textId="24D25F7C" w:rsidR="00D10BA3" w:rsidRPr="00155974" w:rsidRDefault="00D10BA3" w:rsidP="00D61A88">
      <w:pPr>
        <w:pStyle w:val="IASBNormalnparaP"/>
        <w:rPr>
          <w:b/>
          <w:szCs w:val="19"/>
        </w:rPr>
      </w:pPr>
      <w:r w:rsidRPr="00155974">
        <w:rPr>
          <w:b/>
          <w:i/>
          <w:iCs/>
          <w:szCs w:val="19"/>
        </w:rPr>
        <w:t>A related party transaction</w:t>
      </w:r>
      <w:r w:rsidRPr="00155974">
        <w:rPr>
          <w:b/>
          <w:szCs w:val="19"/>
        </w:rPr>
        <w:t xml:space="preserve"> is a transfer of resources, services or obligations between a reporting entity and a related party, regardless of whether a price is charged.</w:t>
      </w:r>
    </w:p>
    <w:p w14:paraId="74DA1297" w14:textId="47AE509B" w:rsidR="00D10BA3" w:rsidRPr="00155974" w:rsidRDefault="00D10BA3" w:rsidP="00D61A88">
      <w:pPr>
        <w:pStyle w:val="IASBNormalnparaP"/>
        <w:rPr>
          <w:b/>
          <w:szCs w:val="19"/>
        </w:rPr>
      </w:pPr>
      <w:r w:rsidRPr="00155974">
        <w:rPr>
          <w:b/>
          <w:i/>
          <w:iCs/>
          <w:szCs w:val="19"/>
        </w:rPr>
        <w:t xml:space="preserve">Close members of the family of a person </w:t>
      </w:r>
      <w:r w:rsidRPr="00155974">
        <w:rPr>
          <w:b/>
          <w:szCs w:val="19"/>
        </w:rPr>
        <w:t>are those family members who may be expected to influence,</w:t>
      </w:r>
      <w:r w:rsidR="00C72BF3" w:rsidRPr="00155974">
        <w:rPr>
          <w:b/>
          <w:szCs w:val="19"/>
        </w:rPr>
        <w:t xml:space="preserve"> </w:t>
      </w:r>
      <w:r w:rsidRPr="00155974">
        <w:rPr>
          <w:b/>
          <w:szCs w:val="19"/>
        </w:rPr>
        <w:t>or be influenced by, that person in their dealings with the entity and include:</w:t>
      </w:r>
    </w:p>
    <w:p w14:paraId="6D082C54" w14:textId="72D21E93" w:rsidR="00D10BA3" w:rsidRPr="00155974" w:rsidRDefault="00D10BA3" w:rsidP="00561DE1">
      <w:pPr>
        <w:spacing w:after="100"/>
        <w:ind w:left="1564" w:hanging="782"/>
        <w:rPr>
          <w:b/>
          <w:szCs w:val="19"/>
        </w:rPr>
      </w:pPr>
      <w:r w:rsidRPr="00155974">
        <w:rPr>
          <w:b/>
          <w:szCs w:val="19"/>
        </w:rPr>
        <w:t>(a)</w:t>
      </w:r>
      <w:r w:rsidR="00C72BF3" w:rsidRPr="00155974">
        <w:rPr>
          <w:b/>
          <w:szCs w:val="19"/>
        </w:rPr>
        <w:tab/>
      </w:r>
      <w:r w:rsidRPr="00155974">
        <w:rPr>
          <w:b/>
          <w:szCs w:val="19"/>
        </w:rPr>
        <w:t>that person’s children and spouse or domestic partner;</w:t>
      </w:r>
    </w:p>
    <w:p w14:paraId="6D998DEC" w14:textId="5B6181FB" w:rsidR="00D10BA3" w:rsidRPr="00155974" w:rsidRDefault="00D10BA3" w:rsidP="00561DE1">
      <w:pPr>
        <w:spacing w:after="100"/>
        <w:ind w:left="1564" w:hanging="782"/>
        <w:rPr>
          <w:b/>
          <w:szCs w:val="19"/>
        </w:rPr>
      </w:pPr>
      <w:r w:rsidRPr="00155974">
        <w:rPr>
          <w:b/>
          <w:szCs w:val="19"/>
        </w:rPr>
        <w:t>(b)</w:t>
      </w:r>
      <w:r w:rsidR="00C72BF3" w:rsidRPr="00155974">
        <w:rPr>
          <w:b/>
          <w:szCs w:val="19"/>
        </w:rPr>
        <w:tab/>
      </w:r>
      <w:r w:rsidRPr="00155974">
        <w:rPr>
          <w:b/>
          <w:szCs w:val="19"/>
        </w:rPr>
        <w:t>children of that person’s spouse or domestic partner; and</w:t>
      </w:r>
    </w:p>
    <w:p w14:paraId="36E676DE" w14:textId="5B6F6423" w:rsidR="00D10BA3" w:rsidRPr="00155974" w:rsidRDefault="00D10BA3" w:rsidP="00561DE1">
      <w:pPr>
        <w:spacing w:after="100"/>
        <w:ind w:left="1564" w:hanging="782"/>
        <w:rPr>
          <w:b/>
          <w:szCs w:val="19"/>
        </w:rPr>
      </w:pPr>
      <w:r w:rsidRPr="00155974">
        <w:rPr>
          <w:b/>
          <w:szCs w:val="19"/>
        </w:rPr>
        <w:t>(c)</w:t>
      </w:r>
      <w:r w:rsidR="00C72BF3" w:rsidRPr="00155974">
        <w:rPr>
          <w:b/>
          <w:szCs w:val="19"/>
        </w:rPr>
        <w:tab/>
      </w:r>
      <w:r w:rsidRPr="00155974">
        <w:rPr>
          <w:b/>
          <w:szCs w:val="19"/>
        </w:rPr>
        <w:t>dependants of that person or that person’s spouse or domestic partner.</w:t>
      </w:r>
    </w:p>
    <w:p w14:paraId="0A76EC9C" w14:textId="0132D025" w:rsidR="00D10BA3" w:rsidRPr="00155974" w:rsidRDefault="00D10BA3" w:rsidP="00D61A88">
      <w:pPr>
        <w:pStyle w:val="IASBNormalnparaP"/>
        <w:rPr>
          <w:b/>
          <w:szCs w:val="19"/>
        </w:rPr>
      </w:pPr>
      <w:r w:rsidRPr="00155974">
        <w:rPr>
          <w:b/>
          <w:i/>
          <w:iCs/>
          <w:szCs w:val="19"/>
        </w:rPr>
        <w:t>Compensation</w:t>
      </w:r>
      <w:r w:rsidRPr="00155974">
        <w:rPr>
          <w:b/>
          <w:szCs w:val="19"/>
        </w:rPr>
        <w:t xml:space="preserve"> includes all employee benefits (as defined in AASB 119 </w:t>
      </w:r>
      <w:r w:rsidRPr="00155974">
        <w:rPr>
          <w:b/>
          <w:i/>
          <w:iCs/>
          <w:szCs w:val="19"/>
        </w:rPr>
        <w:t>Employee Benefits</w:t>
      </w:r>
      <w:r w:rsidRPr="00155974">
        <w:rPr>
          <w:b/>
          <w:szCs w:val="19"/>
        </w:rPr>
        <w:t>) including</w:t>
      </w:r>
      <w:r w:rsidR="00033692" w:rsidRPr="00155974">
        <w:rPr>
          <w:b/>
          <w:szCs w:val="19"/>
        </w:rPr>
        <w:t xml:space="preserve"> </w:t>
      </w:r>
      <w:r w:rsidRPr="00155974">
        <w:rPr>
          <w:b/>
          <w:szCs w:val="19"/>
        </w:rPr>
        <w:t xml:space="preserve">employee benefits to which AASB 2 </w:t>
      </w:r>
      <w:r w:rsidRPr="00155974">
        <w:rPr>
          <w:b/>
          <w:i/>
          <w:iCs/>
          <w:szCs w:val="19"/>
        </w:rPr>
        <w:t>Share-based Payment</w:t>
      </w:r>
      <w:r w:rsidRPr="00155974">
        <w:rPr>
          <w:b/>
          <w:szCs w:val="19"/>
        </w:rPr>
        <w:t xml:space="preserve"> applies. Employee benefits are all forms of</w:t>
      </w:r>
      <w:r w:rsidR="00033692" w:rsidRPr="00155974">
        <w:rPr>
          <w:b/>
          <w:szCs w:val="19"/>
        </w:rPr>
        <w:t xml:space="preserve"> </w:t>
      </w:r>
      <w:r w:rsidRPr="00155974">
        <w:rPr>
          <w:b/>
          <w:szCs w:val="19"/>
        </w:rPr>
        <w:t>consideration paid, payable or provided by the entity, or on behalf of the entity, in exchange for</w:t>
      </w:r>
      <w:r w:rsidR="00033692" w:rsidRPr="00155974">
        <w:rPr>
          <w:b/>
          <w:szCs w:val="19"/>
        </w:rPr>
        <w:t xml:space="preserve"> </w:t>
      </w:r>
      <w:r w:rsidRPr="00155974">
        <w:rPr>
          <w:b/>
          <w:szCs w:val="19"/>
        </w:rPr>
        <w:t>services rendered to the entity. It also includes such consideration paid on behalf of a parent of the</w:t>
      </w:r>
      <w:r w:rsidR="00033692" w:rsidRPr="00155974">
        <w:rPr>
          <w:b/>
          <w:szCs w:val="19"/>
        </w:rPr>
        <w:t xml:space="preserve"> </w:t>
      </w:r>
      <w:r w:rsidRPr="00155974">
        <w:rPr>
          <w:b/>
          <w:szCs w:val="19"/>
        </w:rPr>
        <w:t>entity in respect of the entity. Compensation includes:</w:t>
      </w:r>
    </w:p>
    <w:p w14:paraId="2ED3E264" w14:textId="74D372E9" w:rsidR="00D10BA3" w:rsidRPr="00155974" w:rsidRDefault="00D10BA3" w:rsidP="00561DE1">
      <w:pPr>
        <w:spacing w:after="100"/>
        <w:ind w:left="1564" w:hanging="782"/>
        <w:rPr>
          <w:b/>
          <w:szCs w:val="19"/>
        </w:rPr>
      </w:pPr>
      <w:r w:rsidRPr="00155974">
        <w:rPr>
          <w:b/>
          <w:szCs w:val="19"/>
        </w:rPr>
        <w:t>(a)</w:t>
      </w:r>
      <w:r w:rsidR="003A695A" w:rsidRPr="00155974">
        <w:rPr>
          <w:b/>
          <w:szCs w:val="19"/>
        </w:rPr>
        <w:tab/>
      </w:r>
      <w:r w:rsidRPr="00155974">
        <w:rPr>
          <w:b/>
          <w:szCs w:val="19"/>
        </w:rPr>
        <w:t>short-term employee benefits, such as wages, salaries and social security contributions, paid</w:t>
      </w:r>
      <w:r w:rsidR="003A695A" w:rsidRPr="00155974">
        <w:rPr>
          <w:b/>
          <w:szCs w:val="19"/>
        </w:rPr>
        <w:t xml:space="preserve"> </w:t>
      </w:r>
      <w:r w:rsidRPr="00155974">
        <w:rPr>
          <w:b/>
          <w:szCs w:val="19"/>
        </w:rPr>
        <w:t>annual leave and paid sick leave, profit-sharing and bonuses (if payable within twelve</w:t>
      </w:r>
      <w:r w:rsidR="003A695A" w:rsidRPr="00155974">
        <w:rPr>
          <w:b/>
          <w:szCs w:val="19"/>
        </w:rPr>
        <w:t xml:space="preserve"> </w:t>
      </w:r>
      <w:r w:rsidRPr="00155974">
        <w:rPr>
          <w:b/>
          <w:szCs w:val="19"/>
        </w:rPr>
        <w:t>months of the end of the period) and non-monetary benefits (such as medical care, housing,</w:t>
      </w:r>
      <w:r w:rsidR="003A695A" w:rsidRPr="00155974">
        <w:rPr>
          <w:b/>
          <w:szCs w:val="19"/>
        </w:rPr>
        <w:t xml:space="preserve"> </w:t>
      </w:r>
      <w:r w:rsidRPr="00155974">
        <w:rPr>
          <w:b/>
          <w:szCs w:val="19"/>
        </w:rPr>
        <w:t>cars and free or subsidised goods or services) for current employees;</w:t>
      </w:r>
    </w:p>
    <w:p w14:paraId="629E1C28" w14:textId="0EE97118" w:rsidR="00D10BA3" w:rsidRPr="00155974" w:rsidRDefault="00D10BA3" w:rsidP="00561DE1">
      <w:pPr>
        <w:spacing w:after="100"/>
        <w:ind w:left="1564" w:hanging="782"/>
        <w:rPr>
          <w:b/>
          <w:szCs w:val="19"/>
        </w:rPr>
      </w:pPr>
      <w:r w:rsidRPr="00155974">
        <w:rPr>
          <w:b/>
          <w:szCs w:val="19"/>
        </w:rPr>
        <w:t>(b)</w:t>
      </w:r>
      <w:r w:rsidR="003A695A" w:rsidRPr="00155974">
        <w:rPr>
          <w:b/>
          <w:szCs w:val="19"/>
        </w:rPr>
        <w:tab/>
      </w:r>
      <w:r w:rsidRPr="00155974">
        <w:rPr>
          <w:b/>
          <w:szCs w:val="19"/>
        </w:rPr>
        <w:t>post-employment benefits such as pensions, other retirement benefits, post-employment life</w:t>
      </w:r>
      <w:r w:rsidR="003A695A" w:rsidRPr="00155974">
        <w:rPr>
          <w:b/>
          <w:szCs w:val="19"/>
        </w:rPr>
        <w:t xml:space="preserve"> </w:t>
      </w:r>
      <w:r w:rsidRPr="00155974">
        <w:rPr>
          <w:b/>
          <w:szCs w:val="19"/>
        </w:rPr>
        <w:t>insurance and post-employment medical care;</w:t>
      </w:r>
    </w:p>
    <w:p w14:paraId="4767B23B" w14:textId="4F2930AC" w:rsidR="00D10BA3" w:rsidRPr="00155974" w:rsidRDefault="00D10BA3" w:rsidP="00561DE1">
      <w:pPr>
        <w:spacing w:after="100"/>
        <w:ind w:left="1564" w:hanging="782"/>
        <w:rPr>
          <w:b/>
          <w:szCs w:val="19"/>
        </w:rPr>
      </w:pPr>
      <w:r w:rsidRPr="00155974">
        <w:rPr>
          <w:b/>
          <w:szCs w:val="19"/>
        </w:rPr>
        <w:lastRenderedPageBreak/>
        <w:t>(c)</w:t>
      </w:r>
      <w:r w:rsidR="003A695A" w:rsidRPr="00155974">
        <w:rPr>
          <w:b/>
          <w:i/>
          <w:iCs/>
          <w:szCs w:val="19"/>
        </w:rPr>
        <w:tab/>
      </w:r>
      <w:r w:rsidRPr="00155974">
        <w:rPr>
          <w:b/>
          <w:szCs w:val="19"/>
        </w:rPr>
        <w:t>other long-term employee benefits, including long-service leave or sabbatical leave, jubilee</w:t>
      </w:r>
      <w:r w:rsidR="003A695A" w:rsidRPr="00155974">
        <w:rPr>
          <w:b/>
          <w:szCs w:val="19"/>
        </w:rPr>
        <w:t xml:space="preserve"> </w:t>
      </w:r>
      <w:r w:rsidRPr="00155974">
        <w:rPr>
          <w:b/>
          <w:szCs w:val="19"/>
        </w:rPr>
        <w:t>or other long-service benefits, long-term disability benefits and, if they are not payable</w:t>
      </w:r>
      <w:r w:rsidR="003A695A" w:rsidRPr="00155974">
        <w:rPr>
          <w:b/>
          <w:szCs w:val="19"/>
        </w:rPr>
        <w:t xml:space="preserve"> </w:t>
      </w:r>
      <w:r w:rsidRPr="00155974">
        <w:rPr>
          <w:b/>
          <w:szCs w:val="19"/>
        </w:rPr>
        <w:t>wholly within twelve months after the end of the period, profit-sharing, bonuses and</w:t>
      </w:r>
      <w:r w:rsidR="003A695A" w:rsidRPr="00155974">
        <w:rPr>
          <w:b/>
          <w:szCs w:val="19"/>
        </w:rPr>
        <w:t xml:space="preserve"> </w:t>
      </w:r>
      <w:r w:rsidRPr="00155974">
        <w:rPr>
          <w:b/>
          <w:szCs w:val="19"/>
        </w:rPr>
        <w:t>deferred compensation;</w:t>
      </w:r>
    </w:p>
    <w:p w14:paraId="702D6F5A" w14:textId="697800BB" w:rsidR="00D10BA3" w:rsidRPr="00155974" w:rsidRDefault="00D10BA3" w:rsidP="00561DE1">
      <w:pPr>
        <w:spacing w:after="100"/>
        <w:ind w:left="1564" w:hanging="782"/>
        <w:rPr>
          <w:b/>
          <w:szCs w:val="19"/>
        </w:rPr>
      </w:pPr>
      <w:r w:rsidRPr="00155974">
        <w:rPr>
          <w:b/>
          <w:szCs w:val="19"/>
        </w:rPr>
        <w:t>(d)</w:t>
      </w:r>
      <w:r w:rsidR="003A695A" w:rsidRPr="00155974">
        <w:rPr>
          <w:b/>
          <w:szCs w:val="19"/>
        </w:rPr>
        <w:tab/>
      </w:r>
      <w:r w:rsidRPr="00155974">
        <w:rPr>
          <w:b/>
          <w:szCs w:val="19"/>
        </w:rPr>
        <w:t>termination benefits; and</w:t>
      </w:r>
    </w:p>
    <w:p w14:paraId="1A15BB72" w14:textId="5900BA90" w:rsidR="00D10BA3" w:rsidRPr="00155974" w:rsidRDefault="00D10BA3" w:rsidP="00561DE1">
      <w:pPr>
        <w:spacing w:after="100"/>
        <w:ind w:left="1564" w:hanging="782"/>
        <w:rPr>
          <w:b/>
          <w:szCs w:val="19"/>
        </w:rPr>
      </w:pPr>
      <w:r w:rsidRPr="00155974">
        <w:rPr>
          <w:b/>
          <w:szCs w:val="19"/>
        </w:rPr>
        <w:t>(e)</w:t>
      </w:r>
      <w:r w:rsidR="003A695A" w:rsidRPr="00155974">
        <w:rPr>
          <w:b/>
          <w:szCs w:val="19"/>
        </w:rPr>
        <w:tab/>
      </w:r>
      <w:r w:rsidRPr="00155974">
        <w:rPr>
          <w:b/>
          <w:szCs w:val="19"/>
        </w:rPr>
        <w:t>share-based payment.</w:t>
      </w:r>
    </w:p>
    <w:p w14:paraId="5DC34784" w14:textId="49E6C78F" w:rsidR="00D10BA3" w:rsidRPr="00155974" w:rsidRDefault="00D10BA3" w:rsidP="00D61A88">
      <w:pPr>
        <w:pStyle w:val="IASBNormalnparaP"/>
        <w:rPr>
          <w:b/>
          <w:szCs w:val="19"/>
        </w:rPr>
      </w:pPr>
      <w:r w:rsidRPr="00155974">
        <w:rPr>
          <w:b/>
          <w:i/>
          <w:iCs/>
          <w:szCs w:val="19"/>
        </w:rPr>
        <w:t xml:space="preserve">Key management personnel </w:t>
      </w:r>
      <w:r w:rsidRPr="00155974">
        <w:rPr>
          <w:b/>
          <w:szCs w:val="19"/>
        </w:rPr>
        <w:t>are those persons having authority and responsibility for planning,</w:t>
      </w:r>
      <w:r w:rsidR="003A695A" w:rsidRPr="00155974">
        <w:rPr>
          <w:b/>
          <w:szCs w:val="19"/>
        </w:rPr>
        <w:t xml:space="preserve"> </w:t>
      </w:r>
      <w:r w:rsidRPr="00155974">
        <w:rPr>
          <w:b/>
          <w:szCs w:val="19"/>
        </w:rPr>
        <w:t>directing and controlling the activities of the entity, directly or indirectly, including any director</w:t>
      </w:r>
      <w:r w:rsidR="003A695A" w:rsidRPr="00155974">
        <w:rPr>
          <w:b/>
          <w:szCs w:val="19"/>
        </w:rPr>
        <w:t xml:space="preserve"> </w:t>
      </w:r>
      <w:r w:rsidRPr="00155974">
        <w:rPr>
          <w:b/>
          <w:szCs w:val="19"/>
        </w:rPr>
        <w:t>(whether executive or otherwise) of that entity.</w:t>
      </w:r>
    </w:p>
    <w:p w14:paraId="14C58A16" w14:textId="0C60062F" w:rsidR="00D10BA3" w:rsidRPr="00155974" w:rsidRDefault="00D10BA3" w:rsidP="00CF688C">
      <w:pPr>
        <w:pStyle w:val="IASBNormalnparaP"/>
        <w:rPr>
          <w:b/>
          <w:szCs w:val="19"/>
        </w:rPr>
      </w:pPr>
      <w:r w:rsidRPr="00155974">
        <w:rPr>
          <w:b/>
          <w:i/>
          <w:iCs/>
          <w:szCs w:val="19"/>
        </w:rPr>
        <w:t xml:space="preserve">Government </w:t>
      </w:r>
      <w:r w:rsidRPr="00155974">
        <w:rPr>
          <w:b/>
          <w:szCs w:val="19"/>
        </w:rPr>
        <w:t>refers to government, government agencies and similar bodies whether local, national or</w:t>
      </w:r>
      <w:r w:rsidR="00CF688C" w:rsidRPr="00155974">
        <w:rPr>
          <w:b/>
          <w:szCs w:val="19"/>
        </w:rPr>
        <w:t xml:space="preserve"> </w:t>
      </w:r>
      <w:r w:rsidRPr="00155974">
        <w:rPr>
          <w:b/>
          <w:szCs w:val="19"/>
        </w:rPr>
        <w:t>international.</w:t>
      </w:r>
    </w:p>
    <w:p w14:paraId="6FA09DC6" w14:textId="7C275A6D" w:rsidR="00D10BA3" w:rsidRPr="00155974" w:rsidRDefault="00D10BA3" w:rsidP="00D61A88">
      <w:pPr>
        <w:pStyle w:val="IASBNormalnparaP"/>
        <w:rPr>
          <w:b/>
          <w:szCs w:val="19"/>
        </w:rPr>
      </w:pPr>
      <w:r w:rsidRPr="00155974">
        <w:rPr>
          <w:b/>
          <w:i/>
          <w:iCs/>
          <w:szCs w:val="19"/>
        </w:rPr>
        <w:t xml:space="preserve">A government-related entity </w:t>
      </w:r>
      <w:r w:rsidRPr="00155974">
        <w:rPr>
          <w:b/>
          <w:szCs w:val="19"/>
        </w:rPr>
        <w:t>is an entity that is controlled, jointly controlled or significantly influenced</w:t>
      </w:r>
      <w:r w:rsidR="0066236F" w:rsidRPr="00155974">
        <w:rPr>
          <w:b/>
          <w:szCs w:val="19"/>
        </w:rPr>
        <w:t xml:space="preserve"> </w:t>
      </w:r>
      <w:r w:rsidRPr="00155974">
        <w:rPr>
          <w:b/>
          <w:szCs w:val="19"/>
        </w:rPr>
        <w:t>by a government.</w:t>
      </w:r>
    </w:p>
    <w:p w14:paraId="44C8F1A2" w14:textId="53E37841" w:rsidR="003923EF" w:rsidRPr="00155974" w:rsidRDefault="00D10BA3" w:rsidP="00D61A88">
      <w:pPr>
        <w:pStyle w:val="IASBNormalnparaP"/>
        <w:rPr>
          <w:b/>
          <w:szCs w:val="19"/>
        </w:rPr>
      </w:pPr>
      <w:r w:rsidRPr="00155974">
        <w:rPr>
          <w:b/>
          <w:szCs w:val="19"/>
        </w:rPr>
        <w:t>The terms ‘control’ and ‘investment entity’, ‘joint control’ and ‘significant influence’ are defined in</w:t>
      </w:r>
      <w:r w:rsidR="00382F34" w:rsidRPr="00155974">
        <w:rPr>
          <w:b/>
          <w:szCs w:val="19"/>
        </w:rPr>
        <w:t xml:space="preserve"> </w:t>
      </w:r>
      <w:r w:rsidRPr="00155974">
        <w:rPr>
          <w:b/>
          <w:szCs w:val="19"/>
        </w:rPr>
        <w:t>AASB 10</w:t>
      </w:r>
      <w:r w:rsidR="0096064C" w:rsidRPr="00155974">
        <w:rPr>
          <w:b/>
          <w:szCs w:val="19"/>
        </w:rPr>
        <w:t xml:space="preserve"> </w:t>
      </w:r>
      <w:r w:rsidR="0096064C" w:rsidRPr="00155974">
        <w:rPr>
          <w:b/>
          <w:i/>
          <w:iCs/>
          <w:szCs w:val="19"/>
        </w:rPr>
        <w:t>Consolidated Financial Statements</w:t>
      </w:r>
      <w:r w:rsidRPr="00155974">
        <w:rPr>
          <w:b/>
          <w:szCs w:val="19"/>
        </w:rPr>
        <w:t xml:space="preserve">, AASB 11 </w:t>
      </w:r>
      <w:r w:rsidRPr="00155974">
        <w:rPr>
          <w:b/>
          <w:i/>
          <w:iCs/>
          <w:szCs w:val="19"/>
        </w:rPr>
        <w:t>Joint Arrangements</w:t>
      </w:r>
      <w:r w:rsidRPr="00155974">
        <w:rPr>
          <w:b/>
          <w:szCs w:val="19"/>
        </w:rPr>
        <w:t xml:space="preserve"> and AASB 128 </w:t>
      </w:r>
      <w:r w:rsidRPr="00155974">
        <w:rPr>
          <w:b/>
          <w:i/>
          <w:iCs/>
          <w:szCs w:val="19"/>
        </w:rPr>
        <w:t>Investments in Associates and Joint Ventures</w:t>
      </w:r>
      <w:r w:rsidR="00382F34" w:rsidRPr="00155974">
        <w:rPr>
          <w:b/>
          <w:szCs w:val="19"/>
        </w:rPr>
        <w:t xml:space="preserve"> </w:t>
      </w:r>
      <w:r w:rsidRPr="00155974">
        <w:rPr>
          <w:b/>
          <w:szCs w:val="19"/>
        </w:rPr>
        <w:t>respectively and are used in this Standard with the meanings specified in those Australian Accounting</w:t>
      </w:r>
      <w:r w:rsidR="00D0179F" w:rsidRPr="00155974">
        <w:rPr>
          <w:b/>
          <w:szCs w:val="19"/>
        </w:rPr>
        <w:t xml:space="preserve"> </w:t>
      </w:r>
      <w:r w:rsidRPr="00155974">
        <w:rPr>
          <w:b/>
          <w:szCs w:val="19"/>
        </w:rPr>
        <w:t>Standards.</w:t>
      </w:r>
    </w:p>
    <w:p w14:paraId="761EE0E2" w14:textId="77777777" w:rsidR="00B22C45" w:rsidRPr="00155974" w:rsidRDefault="00B22C45" w:rsidP="00C51DB3">
      <w:pPr>
        <w:rPr>
          <w:szCs w:val="19"/>
        </w:rPr>
      </w:pPr>
    </w:p>
    <w:p w14:paraId="02B262EA" w14:textId="77777777" w:rsidR="004A5F3E" w:rsidRPr="00155974" w:rsidRDefault="004A5F3E" w:rsidP="00C51DB3">
      <w:pPr>
        <w:rPr>
          <w:szCs w:val="19"/>
        </w:rPr>
        <w:sectPr w:rsidR="004A5F3E" w:rsidRPr="00155974" w:rsidSect="008415C2">
          <w:headerReference w:type="even" r:id="rId24"/>
          <w:headerReference w:type="default" r:id="rId25"/>
          <w:footerReference w:type="default" r:id="rId26"/>
          <w:headerReference w:type="first" r:id="rId27"/>
          <w:pgSz w:w="11907" w:h="16840" w:code="9"/>
          <w:pgMar w:top="1440" w:right="1440" w:bottom="1440" w:left="1440" w:header="720" w:footer="720" w:gutter="0"/>
          <w:cols w:space="720"/>
          <w:docGrid w:linePitch="258"/>
        </w:sectPr>
      </w:pPr>
    </w:p>
    <w:p w14:paraId="500635A5" w14:textId="50226E21" w:rsidR="00F42DB6" w:rsidRPr="00155974" w:rsidRDefault="00090648" w:rsidP="00022B10">
      <w:pPr>
        <w:pStyle w:val="ConvSectionTitle"/>
      </w:pPr>
      <w:r w:rsidRPr="00155974">
        <w:lastRenderedPageBreak/>
        <w:t>Appendix B</w:t>
      </w:r>
      <w:r w:rsidR="00913223">
        <w:br/>
      </w:r>
      <w:r w:rsidRPr="00155974">
        <w:t>Effective date</w:t>
      </w:r>
    </w:p>
    <w:p w14:paraId="1944ED36" w14:textId="37FDC4DB" w:rsidR="00F42DB6" w:rsidRPr="00155974" w:rsidRDefault="003522C2" w:rsidP="00022B10">
      <w:pPr>
        <w:pStyle w:val="ContentsLevel1"/>
        <w:spacing w:before="100" w:after="100"/>
        <w:ind w:right="0"/>
        <w:rPr>
          <w:b w:val="0"/>
          <w:bCs/>
          <w:i/>
        </w:rPr>
      </w:pPr>
      <w:bookmarkStart w:id="164" w:name="_Hlk32938743"/>
      <w:r w:rsidRPr="00155974">
        <w:rPr>
          <w:b w:val="0"/>
          <w:bCs/>
          <w:i/>
          <w:caps w:val="0"/>
        </w:rPr>
        <w:t xml:space="preserve">This </w:t>
      </w:r>
      <w:r w:rsidR="00E6530D" w:rsidRPr="00155974">
        <w:rPr>
          <w:b w:val="0"/>
          <w:bCs/>
          <w:i/>
          <w:caps w:val="0"/>
        </w:rPr>
        <w:t xml:space="preserve">appendix is an integral part of the </w:t>
      </w:r>
      <w:r w:rsidR="00971DBF" w:rsidRPr="00155974">
        <w:rPr>
          <w:b w:val="0"/>
          <w:bCs/>
          <w:i/>
          <w:caps w:val="0"/>
        </w:rPr>
        <w:t>Standard</w:t>
      </w:r>
      <w:r w:rsidR="00E6530D" w:rsidRPr="00155974">
        <w:rPr>
          <w:b w:val="0"/>
          <w:bCs/>
          <w:i/>
          <w:caps w:val="0"/>
        </w:rPr>
        <w:t xml:space="preserve">. </w:t>
      </w:r>
    </w:p>
    <w:bookmarkEnd w:id="164"/>
    <w:p w14:paraId="044CE42C" w14:textId="2670305E" w:rsidR="00F42DB6" w:rsidRPr="00155974" w:rsidRDefault="00F42DB6" w:rsidP="00F42DB6">
      <w:pPr>
        <w:pStyle w:val="Heading2"/>
      </w:pPr>
      <w:r w:rsidRPr="00155974">
        <w:t>Effective date</w:t>
      </w:r>
    </w:p>
    <w:p w14:paraId="7A20B2CD" w14:textId="2D94F69A" w:rsidR="008D2B4D" w:rsidRPr="00155974" w:rsidRDefault="00A74766" w:rsidP="00561DE1">
      <w:pPr>
        <w:pStyle w:val="ContentsLevel1"/>
        <w:spacing w:after="100"/>
        <w:ind w:left="782" w:right="0" w:hanging="782"/>
        <w:rPr>
          <w:b w:val="0"/>
          <w:bCs/>
          <w:caps w:val="0"/>
        </w:rPr>
      </w:pPr>
      <w:r w:rsidRPr="00155974">
        <w:rPr>
          <w:b w:val="0"/>
          <w:bCs/>
        </w:rPr>
        <w:t>B</w:t>
      </w:r>
      <w:r w:rsidR="00F42DB6" w:rsidRPr="00155974">
        <w:rPr>
          <w:b w:val="0"/>
          <w:bCs/>
        </w:rPr>
        <w:t>1</w:t>
      </w:r>
      <w:r w:rsidR="00F42DB6" w:rsidRPr="00155974">
        <w:tab/>
      </w:r>
      <w:r w:rsidR="0082578F" w:rsidRPr="00155974">
        <w:rPr>
          <w:b w:val="0"/>
          <w:bCs/>
          <w:caps w:val="0"/>
        </w:rPr>
        <w:t xml:space="preserve">An entity shall apply this </w:t>
      </w:r>
      <w:r w:rsidR="007C5F23" w:rsidRPr="00155974">
        <w:rPr>
          <w:b w:val="0"/>
          <w:bCs/>
          <w:caps w:val="0"/>
        </w:rPr>
        <w:t>S</w:t>
      </w:r>
      <w:r w:rsidR="0082578F" w:rsidRPr="00155974">
        <w:rPr>
          <w:b w:val="0"/>
          <w:bCs/>
          <w:caps w:val="0"/>
        </w:rPr>
        <w:t>tandard for annual reporting periods beginning on or after 1 July 2021.</w:t>
      </w:r>
      <w:r w:rsidR="00C8289F" w:rsidRPr="00155974">
        <w:rPr>
          <w:b w:val="0"/>
          <w:bCs/>
          <w:caps w:val="0"/>
        </w:rPr>
        <w:t xml:space="preserve"> </w:t>
      </w:r>
      <w:r w:rsidR="00FB5569" w:rsidRPr="00155974">
        <w:rPr>
          <w:b w:val="0"/>
          <w:bCs/>
          <w:caps w:val="0"/>
        </w:rPr>
        <w:t xml:space="preserve">Earlier </w:t>
      </w:r>
      <w:r w:rsidR="0082578F" w:rsidRPr="00155974">
        <w:rPr>
          <w:b w:val="0"/>
          <w:bCs/>
          <w:caps w:val="0"/>
        </w:rPr>
        <w:t xml:space="preserve">application is permitted. </w:t>
      </w:r>
      <w:r w:rsidR="003C52A9" w:rsidRPr="00155974">
        <w:rPr>
          <w:b w:val="0"/>
          <w:bCs/>
          <w:caps w:val="0"/>
        </w:rPr>
        <w:t>I</w:t>
      </w:r>
      <w:r w:rsidR="0082578F" w:rsidRPr="00155974">
        <w:rPr>
          <w:b w:val="0"/>
          <w:bCs/>
          <w:caps w:val="0"/>
        </w:rPr>
        <w:t xml:space="preserve">f an entity applies this </w:t>
      </w:r>
      <w:r w:rsidR="00CA3380" w:rsidRPr="00155974">
        <w:rPr>
          <w:b w:val="0"/>
          <w:bCs/>
          <w:caps w:val="0"/>
        </w:rPr>
        <w:t>S</w:t>
      </w:r>
      <w:r w:rsidR="0082578F" w:rsidRPr="00155974">
        <w:rPr>
          <w:b w:val="0"/>
          <w:bCs/>
          <w:caps w:val="0"/>
        </w:rPr>
        <w:t>tandard earlier</w:t>
      </w:r>
      <w:r w:rsidR="008D2B4D" w:rsidRPr="00155974">
        <w:rPr>
          <w:b w:val="0"/>
          <w:bCs/>
          <w:caps w:val="0"/>
        </w:rPr>
        <w:t>:</w:t>
      </w:r>
    </w:p>
    <w:p w14:paraId="36BB13E2" w14:textId="2CB30255" w:rsidR="00723757" w:rsidRPr="00155974" w:rsidRDefault="0082578F" w:rsidP="000E61D3">
      <w:pPr>
        <w:pStyle w:val="NumCPlain1"/>
        <w:numPr>
          <w:ilvl w:val="0"/>
          <w:numId w:val="32"/>
        </w:numPr>
        <w:ind w:left="1564" w:hanging="782"/>
        <w:rPr>
          <w:bCs/>
          <w:caps/>
        </w:rPr>
      </w:pPr>
      <w:r w:rsidRPr="00155974">
        <w:rPr>
          <w:bCs/>
        </w:rPr>
        <w:t>it shall disclose that fact</w:t>
      </w:r>
      <w:r w:rsidR="00723757" w:rsidRPr="00155974">
        <w:rPr>
          <w:bCs/>
        </w:rPr>
        <w:t>; and</w:t>
      </w:r>
    </w:p>
    <w:p w14:paraId="14DA1E44" w14:textId="40056124" w:rsidR="00F42DB6" w:rsidRPr="00812F45" w:rsidRDefault="00DF206A" w:rsidP="000E61D3">
      <w:pPr>
        <w:pStyle w:val="NumCPlain1"/>
        <w:numPr>
          <w:ilvl w:val="0"/>
          <w:numId w:val="32"/>
        </w:numPr>
        <w:ind w:left="1564" w:hanging="782"/>
        <w:rPr>
          <w:bCs/>
          <w:caps/>
        </w:rPr>
      </w:pPr>
      <w:r>
        <w:rPr>
          <w:szCs w:val="19"/>
        </w:rPr>
        <w:t xml:space="preserve">if the entity is a for-profit private sector entity – </w:t>
      </w:r>
      <w:r w:rsidR="00723757" w:rsidRPr="00155974">
        <w:rPr>
          <w:bCs/>
        </w:rPr>
        <w:t xml:space="preserve">it may elect to apply the short-term exemptions </w:t>
      </w:r>
      <w:r w:rsidR="00EB39AC" w:rsidRPr="00155974">
        <w:rPr>
          <w:bCs/>
        </w:rPr>
        <w:t>in AASB 1053</w:t>
      </w:r>
      <w:r w:rsidR="00FF0730" w:rsidRPr="00155974">
        <w:rPr>
          <w:bCs/>
        </w:rPr>
        <w:t xml:space="preserve"> </w:t>
      </w:r>
      <w:r w:rsidR="004E3530" w:rsidRPr="00155974">
        <w:rPr>
          <w:bCs/>
          <w:i/>
          <w:iCs/>
        </w:rPr>
        <w:t xml:space="preserve">Application of Tiers of Australian Accounting Standards </w:t>
      </w:r>
      <w:r w:rsidR="004E3530" w:rsidRPr="00155974">
        <w:rPr>
          <w:bCs/>
        </w:rPr>
        <w:t>Appendix E, where applicable</w:t>
      </w:r>
      <w:r w:rsidR="00812F45">
        <w:rPr>
          <w:bCs/>
        </w:rPr>
        <w:t>; or</w:t>
      </w:r>
    </w:p>
    <w:p w14:paraId="337EA625" w14:textId="38A18854" w:rsidR="00812F45" w:rsidRPr="00155974" w:rsidRDefault="009569B6" w:rsidP="000E61D3">
      <w:pPr>
        <w:pStyle w:val="NumCPlain1"/>
        <w:numPr>
          <w:ilvl w:val="0"/>
          <w:numId w:val="32"/>
        </w:numPr>
        <w:ind w:left="1564" w:hanging="782"/>
        <w:rPr>
          <w:bCs/>
          <w:caps/>
        </w:rPr>
      </w:pPr>
      <w:r>
        <w:rPr>
          <w:szCs w:val="19"/>
        </w:rPr>
        <w:t>if the entity is a not-for-profit entity – notwithstanding paragraph 20, it may elect not to present comparative information in the notes to the financial statements if the entity did not disclose the comparable information in its most recent previous general purpose financial statements.</w:t>
      </w:r>
    </w:p>
    <w:p w14:paraId="0EC7C59D" w14:textId="77777777" w:rsidR="00F42DB6" w:rsidRPr="009513EE" w:rsidRDefault="00F42DB6" w:rsidP="009513EE">
      <w:pPr>
        <w:pStyle w:val="ContentsLevel1"/>
        <w:spacing w:after="0"/>
        <w:ind w:left="782" w:right="0" w:hanging="782"/>
        <w:jc w:val="left"/>
        <w:rPr>
          <w:b w:val="0"/>
          <w:bCs/>
        </w:rPr>
      </w:pPr>
    </w:p>
    <w:p w14:paraId="6D00B8CE" w14:textId="77777777" w:rsidR="005E103E" w:rsidRPr="009513EE" w:rsidRDefault="005E103E" w:rsidP="009513EE">
      <w:pPr>
        <w:pStyle w:val="ContentsLevel1"/>
        <w:spacing w:after="0"/>
        <w:ind w:left="782" w:right="0" w:hanging="782"/>
        <w:jc w:val="left"/>
        <w:rPr>
          <w:b w:val="0"/>
          <w:bCs/>
        </w:rPr>
        <w:sectPr w:rsidR="005E103E" w:rsidRPr="009513EE" w:rsidSect="008415C2">
          <w:footerReference w:type="default" r:id="rId28"/>
          <w:pgSz w:w="11907" w:h="16840" w:code="9"/>
          <w:pgMar w:top="1440" w:right="1440" w:bottom="1440" w:left="1440" w:header="720" w:footer="720" w:gutter="0"/>
          <w:cols w:space="720"/>
          <w:docGrid w:linePitch="258"/>
        </w:sectPr>
      </w:pPr>
    </w:p>
    <w:p w14:paraId="688105A9" w14:textId="340019B7" w:rsidR="00F42DB6" w:rsidRPr="00155974" w:rsidRDefault="00F42DB6" w:rsidP="00022B10">
      <w:pPr>
        <w:pStyle w:val="ConvSectionTitle"/>
      </w:pPr>
      <w:r w:rsidRPr="00155974">
        <w:lastRenderedPageBreak/>
        <w:t xml:space="preserve">Appendix </w:t>
      </w:r>
      <w:r w:rsidR="00677765" w:rsidRPr="00155974">
        <w:t>C</w:t>
      </w:r>
      <w:r w:rsidR="00913223">
        <w:br/>
      </w:r>
      <w:r w:rsidRPr="00155974">
        <w:t xml:space="preserve">Amendments to </w:t>
      </w:r>
      <w:r w:rsidR="00AF444E" w:rsidRPr="00155974">
        <w:t>o</w:t>
      </w:r>
      <w:r w:rsidRPr="00155974">
        <w:t>ther Standards</w:t>
      </w:r>
    </w:p>
    <w:p w14:paraId="38C30221" w14:textId="4E02B7CA" w:rsidR="00F42DB6" w:rsidRPr="00155974" w:rsidRDefault="0082578F" w:rsidP="00913223">
      <w:pPr>
        <w:pStyle w:val="ContentsLevel1"/>
        <w:tabs>
          <w:tab w:val="clear" w:pos="9027"/>
        </w:tabs>
        <w:spacing w:before="100" w:after="100"/>
        <w:ind w:right="0"/>
        <w:rPr>
          <w:rFonts w:ascii="Arial" w:hAnsi="Arial" w:cs="Arial"/>
          <w:b w:val="0"/>
          <w:i/>
          <w:sz w:val="26"/>
          <w:szCs w:val="26"/>
        </w:rPr>
      </w:pPr>
      <w:r w:rsidRPr="00155974">
        <w:rPr>
          <w:b w:val="0"/>
          <w:bCs/>
          <w:i/>
          <w:caps w:val="0"/>
        </w:rPr>
        <w:t xml:space="preserve">This appendix sets out the amendments to other Australian </w:t>
      </w:r>
      <w:r w:rsidR="00E02E87" w:rsidRPr="00155974">
        <w:rPr>
          <w:b w:val="0"/>
          <w:bCs/>
          <w:i/>
          <w:caps w:val="0"/>
        </w:rPr>
        <w:t xml:space="preserve">Accounting Standards </w:t>
      </w:r>
      <w:r w:rsidRPr="00155974">
        <w:rPr>
          <w:b w:val="0"/>
          <w:bCs/>
          <w:i/>
          <w:caps w:val="0"/>
        </w:rPr>
        <w:t>that are a consequence of the AASB issuing this Standard.</w:t>
      </w:r>
    </w:p>
    <w:p w14:paraId="2C358EBF" w14:textId="6469A983" w:rsidR="00F42DB6" w:rsidRPr="00155974" w:rsidRDefault="00F42DB6" w:rsidP="00245C15">
      <w:pPr>
        <w:pStyle w:val="NumPlain1"/>
        <w:pBdr>
          <w:top w:val="single" w:sz="4" w:space="1" w:color="auto"/>
          <w:left w:val="single" w:sz="4" w:space="4" w:color="auto"/>
          <w:bottom w:val="single" w:sz="4" w:space="1" w:color="auto"/>
          <w:right w:val="single" w:sz="4" w:space="4" w:color="auto"/>
        </w:pBdr>
      </w:pPr>
      <w:r w:rsidRPr="00155974">
        <w:t xml:space="preserve">The amendments set out in this appendix apply to entities and financial statements in accordance with the application of the Standards and Interpretations set out in AASB 1057 </w:t>
      </w:r>
      <w:r w:rsidRPr="00155974">
        <w:rPr>
          <w:i/>
        </w:rPr>
        <w:t>Application of Australian Accounting Standards</w:t>
      </w:r>
      <w:r w:rsidRPr="00155974">
        <w:t xml:space="preserve">. </w:t>
      </w:r>
    </w:p>
    <w:p w14:paraId="1DB1F84D" w14:textId="4498FD5A" w:rsidR="00F42DB6" w:rsidRPr="00155974" w:rsidRDefault="00F42DB6" w:rsidP="00245C15">
      <w:pPr>
        <w:pStyle w:val="NumPlain1"/>
        <w:pBdr>
          <w:top w:val="single" w:sz="4" w:space="1" w:color="auto"/>
          <w:left w:val="single" w:sz="4" w:space="4" w:color="auto"/>
          <w:bottom w:val="single" w:sz="4" w:space="1" w:color="auto"/>
          <w:right w:val="single" w:sz="4" w:space="4" w:color="auto"/>
        </w:pBdr>
      </w:pPr>
      <w:r w:rsidRPr="00155974">
        <w:t>The amendments apply to annual reporting periods beginning on or after 1 July 202</w:t>
      </w:r>
      <w:r w:rsidR="00FA16B0" w:rsidRPr="00155974">
        <w:t>1</w:t>
      </w:r>
      <w:r w:rsidRPr="00155974">
        <w:t>.</w:t>
      </w:r>
    </w:p>
    <w:p w14:paraId="4F8F5D51" w14:textId="77777777" w:rsidR="00F42DB6" w:rsidRPr="00155974" w:rsidRDefault="00F42DB6" w:rsidP="00245C15">
      <w:pPr>
        <w:pStyle w:val="NumPlain1"/>
        <w:pBdr>
          <w:top w:val="single" w:sz="4" w:space="1" w:color="auto"/>
          <w:left w:val="single" w:sz="4" w:space="4" w:color="auto"/>
          <w:bottom w:val="single" w:sz="4" w:space="1" w:color="auto"/>
          <w:right w:val="single" w:sz="4" w:space="4" w:color="auto"/>
        </w:pBdr>
      </w:pPr>
      <w:r w:rsidRPr="00155974">
        <w:t>If an entity applies this Standard to an earlier period, it shall also apply these amendments to that earlier period.</w:t>
      </w:r>
    </w:p>
    <w:p w14:paraId="49FBC0DF" w14:textId="77777777" w:rsidR="00F42DB6" w:rsidRPr="00155974" w:rsidRDefault="00F42DB6" w:rsidP="00245C15">
      <w:pPr>
        <w:pStyle w:val="NumPlain1"/>
        <w:pBdr>
          <w:top w:val="single" w:sz="4" w:space="1" w:color="auto"/>
          <w:left w:val="single" w:sz="4" w:space="4" w:color="auto"/>
          <w:bottom w:val="single" w:sz="4" w:space="1" w:color="auto"/>
          <w:right w:val="single" w:sz="4" w:space="4" w:color="auto"/>
        </w:pBdr>
      </w:pPr>
      <w:r w:rsidRPr="00155974">
        <w:t xml:space="preserve">Amendments are made to the latest principal version of a Standard (or an Interpretation), unless otherwise indicated. The amendments also apply, as far as possible, to earlier principal versions of the amended Standards and Interpretations when this Standard is applied for earlier periods, as necessary. </w:t>
      </w:r>
    </w:p>
    <w:p w14:paraId="5A22F9AF" w14:textId="77777777" w:rsidR="00F42DB6" w:rsidRPr="00155974" w:rsidRDefault="00F42DB6" w:rsidP="00245C15">
      <w:pPr>
        <w:pStyle w:val="NumPlain1"/>
        <w:pBdr>
          <w:top w:val="single" w:sz="4" w:space="1" w:color="auto"/>
          <w:left w:val="single" w:sz="4" w:space="4" w:color="auto"/>
          <w:bottom w:val="single" w:sz="4" w:space="1" w:color="auto"/>
          <w:right w:val="single" w:sz="4" w:space="4" w:color="auto"/>
        </w:pBdr>
      </w:pPr>
      <w:r w:rsidRPr="00155974">
        <w:t>This appendix uses underlining, striking out and other typographical material to identify some of the amendments to a Standard or an Interpretation, in order to make the amendments more understandable. However, the amendments made by this appendix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14:paraId="0AD1A424" w14:textId="51DE663D" w:rsidR="00F42DB6" w:rsidRPr="00245C15" w:rsidRDefault="00F42DB6" w:rsidP="00245C15">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245C15">
        <w:rPr>
          <w:rFonts w:ascii="Arial" w:hAnsi="Arial" w:cs="Arial"/>
          <w:b/>
          <w:sz w:val="24"/>
          <w:szCs w:val="24"/>
        </w:rPr>
        <w:t>AASB 1 First-time Adoption of Australian Accounting Standards</w:t>
      </w:r>
      <w:r w:rsidR="00B8681E" w:rsidRPr="00245C15">
        <w:rPr>
          <w:rFonts w:ascii="Arial" w:hAnsi="Arial" w:cs="Arial"/>
          <w:b/>
          <w:sz w:val="24"/>
          <w:szCs w:val="24"/>
        </w:rPr>
        <w:t xml:space="preserve"> (</w:t>
      </w:r>
      <w:r w:rsidR="00D2261B" w:rsidRPr="00245C15">
        <w:rPr>
          <w:rFonts w:ascii="Arial" w:hAnsi="Arial" w:cs="Arial"/>
          <w:b/>
          <w:sz w:val="24"/>
          <w:szCs w:val="24"/>
        </w:rPr>
        <w:t>July 2015</w:t>
      </w:r>
      <w:r w:rsidR="00B8681E" w:rsidRPr="00245C15">
        <w:rPr>
          <w:rFonts w:ascii="Arial" w:hAnsi="Arial" w:cs="Arial"/>
          <w:b/>
          <w:sz w:val="24"/>
          <w:szCs w:val="24"/>
        </w:rPr>
        <w:t>)</w:t>
      </w:r>
    </w:p>
    <w:p w14:paraId="2792AC55" w14:textId="03834185" w:rsidR="00F42DB6" w:rsidRPr="00155974" w:rsidRDefault="006C65B0" w:rsidP="00245C15">
      <w:pPr>
        <w:pStyle w:val="NumPlain1"/>
        <w:ind w:left="782" w:hanging="782"/>
      </w:pPr>
      <w:r w:rsidRPr="00155974">
        <w:t>The</w:t>
      </w:r>
      <w:r w:rsidR="00F42DB6" w:rsidRPr="00155974">
        <w:t xml:space="preserve"> footnote to paragraph 1 is amended.</w:t>
      </w:r>
    </w:p>
    <w:p w14:paraId="40E9F5A5" w14:textId="3BBFC5EA" w:rsidR="00F42DB6" w:rsidRPr="00155974" w:rsidRDefault="00F42DB6" w:rsidP="00245C15">
      <w:pPr>
        <w:pStyle w:val="NumPlain1"/>
        <w:ind w:left="782" w:hanging="782"/>
      </w:pPr>
      <w:r w:rsidRPr="00155974">
        <w:t>1</w:t>
      </w:r>
      <w:r w:rsidRPr="00155974">
        <w:tab/>
        <w:t xml:space="preserve">[Aus] The term ‘Australian Accounting Standards’ refers to Standards (including Interpretations) made by the AASB that apply to any reporting period beginning on or after 1 January 2005. In this context, the term encompasses Australian Accounting Standards – </w:t>
      </w:r>
      <w:r w:rsidRPr="00155974">
        <w:rPr>
          <w:strike/>
        </w:rPr>
        <w:t>Reduced Disclosure Requirements</w:t>
      </w:r>
      <w:r w:rsidRPr="00155974">
        <w:t xml:space="preserve"> </w:t>
      </w:r>
      <w:r w:rsidRPr="00155974">
        <w:rPr>
          <w:u w:val="single"/>
        </w:rPr>
        <w:t>Simplified Disclosures</w:t>
      </w:r>
      <w:r w:rsidR="00533108" w:rsidRPr="00155974">
        <w:t>,</w:t>
      </w:r>
      <w:r w:rsidRPr="00155974">
        <w:rPr>
          <w:u w:val="single"/>
        </w:rPr>
        <w:t xml:space="preserve"> </w:t>
      </w:r>
      <w:r w:rsidRPr="00155974">
        <w:t xml:space="preserve">which some entities are permitted to apply in accordance with AASB 1053 </w:t>
      </w:r>
      <w:r w:rsidRPr="00155974">
        <w:rPr>
          <w:i/>
        </w:rPr>
        <w:t>Application of Tiers of Australian Accounting Standards</w:t>
      </w:r>
      <w:r w:rsidRPr="00155974">
        <w:t xml:space="preserve"> in preparing general purpose financial statements.</w:t>
      </w:r>
    </w:p>
    <w:p w14:paraId="6A81A0B1" w14:textId="6B9024D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F is deleted and replaced by the following</w:t>
      </w:r>
      <w:r w:rsidR="00A01009" w:rsidRPr="00155974">
        <w:t xml:space="preserve"> </w:t>
      </w:r>
      <w:r w:rsidR="00EE4349" w:rsidRPr="00155974">
        <w:t>Appendix</w:t>
      </w:r>
      <w:r w:rsidR="00A01009" w:rsidRPr="00155974">
        <w:t>.</w:t>
      </w:r>
    </w:p>
    <w:p w14:paraId="075DCA86" w14:textId="6D5278D8" w:rsidR="00F42DB6" w:rsidRPr="00155974" w:rsidRDefault="00F42DB6" w:rsidP="00EC3436">
      <w:pPr>
        <w:pStyle w:val="Heading2"/>
        <w:pBdr>
          <w:bottom w:val="none" w:sz="0" w:space="0" w:color="auto"/>
        </w:pBdr>
        <w:rPr>
          <w:b w:val="0"/>
          <w:sz w:val="22"/>
          <w:szCs w:val="22"/>
        </w:rPr>
      </w:pPr>
      <w:r w:rsidRPr="00155974">
        <w:rPr>
          <w:sz w:val="22"/>
          <w:szCs w:val="22"/>
        </w:rPr>
        <w:t>Appendix F</w:t>
      </w:r>
      <w:r w:rsidR="00EC3436">
        <w:rPr>
          <w:sz w:val="22"/>
          <w:szCs w:val="22"/>
        </w:rPr>
        <w:br/>
      </w:r>
      <w:r w:rsidRPr="00155974">
        <w:rPr>
          <w:sz w:val="22"/>
          <w:szCs w:val="22"/>
        </w:rPr>
        <w:t>Australian simplified disclosures for Tier 2 entities</w:t>
      </w:r>
    </w:p>
    <w:p w14:paraId="342F33BF" w14:textId="77777777" w:rsidR="00F42DB6" w:rsidRPr="00155974" w:rsidRDefault="00F42DB6" w:rsidP="00A43F5E">
      <w:pPr>
        <w:spacing w:before="100" w:after="100"/>
        <w:jc w:val="left"/>
        <w:rPr>
          <w:i/>
          <w:szCs w:val="19"/>
        </w:rPr>
      </w:pPr>
      <w:r w:rsidRPr="00155974">
        <w:rPr>
          <w:i/>
          <w:szCs w:val="19"/>
        </w:rPr>
        <w:t>This appendix is an integral part of the Standard.</w:t>
      </w:r>
    </w:p>
    <w:p w14:paraId="11E101A7" w14:textId="64DEBAB1" w:rsidR="00F42DB6" w:rsidRDefault="00F42DB6" w:rsidP="007A6BC8">
      <w:pPr>
        <w:pStyle w:val="NumCPlain1"/>
        <w:numPr>
          <w:ilvl w:val="0"/>
          <w:numId w:val="0"/>
        </w:numPr>
        <w:ind w:left="782" w:hanging="782"/>
        <w:rPr>
          <w:b/>
          <w:i/>
        </w:rPr>
      </w:pPr>
      <w:r w:rsidRPr="00155974">
        <w:rPr>
          <w:b/>
        </w:rPr>
        <w:t>AusF1</w:t>
      </w:r>
      <w:r w:rsidRPr="00155974">
        <w:rPr>
          <w:b/>
        </w:rPr>
        <w:tab/>
      </w:r>
      <w:r w:rsidR="00ED4725">
        <w:rPr>
          <w:b/>
        </w:rPr>
        <w:t>The following</w:t>
      </w:r>
      <w:r w:rsidRPr="00155974">
        <w:rPr>
          <w:b/>
        </w:rPr>
        <w:t xml:space="preserve"> do not apply to entities preparing general purpose financial statements that apply </w:t>
      </w:r>
      <w:r w:rsidRPr="00155974" w:rsidDel="00143099">
        <w:rPr>
          <w:b/>
        </w:rPr>
        <w:t>AASB</w:t>
      </w:r>
      <w:r w:rsidR="00143099">
        <w:rPr>
          <w:b/>
        </w:rPr>
        <w:t> </w:t>
      </w:r>
      <w:r w:rsidR="00626F24" w:rsidRPr="00155974">
        <w:rPr>
          <w:b/>
        </w:rPr>
        <w:t xml:space="preserve">1060 </w:t>
      </w:r>
      <w:r w:rsidR="00300FA2" w:rsidRPr="00155974">
        <w:rPr>
          <w:b/>
          <w:i/>
        </w:rPr>
        <w:t>General Purpose Financial Statements – Simplified Disclosures for For-Profit and Not-for-Profit Tier 2 Entities</w:t>
      </w:r>
      <w:r w:rsidR="005F355A" w:rsidRPr="004114AF">
        <w:rPr>
          <w:b/>
        </w:rPr>
        <w:t>:</w:t>
      </w:r>
    </w:p>
    <w:p w14:paraId="09ED7095" w14:textId="533ECE77" w:rsidR="00272938" w:rsidRDefault="00272938" w:rsidP="00A43F5E">
      <w:pPr>
        <w:pStyle w:val="Default"/>
        <w:spacing w:after="115"/>
        <w:ind w:left="1564" w:hanging="782"/>
        <w:rPr>
          <w:sz w:val="19"/>
          <w:szCs w:val="19"/>
        </w:rPr>
      </w:pPr>
      <w:r>
        <w:rPr>
          <w:b/>
          <w:bCs/>
          <w:sz w:val="19"/>
          <w:szCs w:val="19"/>
        </w:rPr>
        <w:t>(a)</w:t>
      </w:r>
      <w:r>
        <w:rPr>
          <w:b/>
          <w:bCs/>
          <w:sz w:val="19"/>
          <w:szCs w:val="19"/>
        </w:rPr>
        <w:tab/>
        <w:t>paragraphs Aus3.2 and 20-33; and</w:t>
      </w:r>
    </w:p>
    <w:p w14:paraId="7504AC10" w14:textId="31EA9D74" w:rsidR="00272938" w:rsidRDefault="00272938" w:rsidP="00A43F5E">
      <w:pPr>
        <w:pStyle w:val="Default"/>
        <w:spacing w:after="115"/>
        <w:ind w:left="1564" w:hanging="782"/>
        <w:rPr>
          <w:sz w:val="19"/>
          <w:szCs w:val="19"/>
        </w:rPr>
      </w:pPr>
      <w:r>
        <w:rPr>
          <w:b/>
          <w:bCs/>
          <w:sz w:val="19"/>
          <w:szCs w:val="19"/>
        </w:rPr>
        <w:t>(b)</w:t>
      </w:r>
      <w:r>
        <w:rPr>
          <w:b/>
          <w:bCs/>
          <w:sz w:val="19"/>
          <w:szCs w:val="19"/>
        </w:rPr>
        <w:tab/>
        <w:t>in paragraph 6, the text ‘and present’.</w:t>
      </w:r>
    </w:p>
    <w:p w14:paraId="0009204A" w14:textId="191F8248" w:rsidR="00F42DB6" w:rsidRPr="00887540" w:rsidRDefault="00F42DB6" w:rsidP="005A53A2">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887540">
        <w:rPr>
          <w:rFonts w:ascii="Arial" w:hAnsi="Arial" w:cs="Arial"/>
          <w:b/>
          <w:sz w:val="24"/>
          <w:szCs w:val="24"/>
        </w:rPr>
        <w:t>AASB 2 Share-based Payment</w:t>
      </w:r>
      <w:r w:rsidR="00BF2F7D" w:rsidRPr="00887540">
        <w:rPr>
          <w:rFonts w:ascii="Arial" w:hAnsi="Arial" w:cs="Arial"/>
          <w:b/>
          <w:sz w:val="24"/>
          <w:szCs w:val="24"/>
        </w:rPr>
        <w:t xml:space="preserve"> (July 20</w:t>
      </w:r>
      <w:r w:rsidR="004A49B0" w:rsidRPr="00887540">
        <w:rPr>
          <w:rFonts w:ascii="Arial" w:hAnsi="Arial" w:cs="Arial"/>
          <w:b/>
          <w:sz w:val="24"/>
          <w:szCs w:val="24"/>
        </w:rPr>
        <w:t>15</w:t>
      </w:r>
      <w:r w:rsidR="00BF2F7D" w:rsidRPr="00887540">
        <w:rPr>
          <w:rFonts w:ascii="Arial" w:hAnsi="Arial" w:cs="Arial"/>
          <w:b/>
          <w:sz w:val="24"/>
          <w:szCs w:val="24"/>
        </w:rPr>
        <w:t>)</w:t>
      </w:r>
    </w:p>
    <w:p w14:paraId="79286855" w14:textId="13E23EAD" w:rsidR="00F42DB6" w:rsidRPr="00155974" w:rsidRDefault="00F42DB6" w:rsidP="005A53A2">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C74D6B" w:rsidRPr="00155974">
        <w:t xml:space="preserve"> Appendix.</w:t>
      </w:r>
    </w:p>
    <w:p w14:paraId="524CDDC5" w14:textId="1E278251" w:rsidR="00F42DB6" w:rsidRPr="00155974" w:rsidRDefault="00F42DB6" w:rsidP="00EC3436">
      <w:pPr>
        <w:pStyle w:val="Heading2"/>
        <w:pBdr>
          <w:bottom w:val="none" w:sz="0" w:space="0" w:color="auto"/>
        </w:pBdr>
        <w:rPr>
          <w:b w:val="0"/>
          <w:sz w:val="22"/>
          <w:szCs w:val="22"/>
        </w:rPr>
      </w:pPr>
      <w:r w:rsidRPr="00155974">
        <w:rPr>
          <w:sz w:val="22"/>
          <w:szCs w:val="22"/>
        </w:rPr>
        <w:t>Appendix C</w:t>
      </w:r>
      <w:r w:rsidR="00EC3436">
        <w:rPr>
          <w:sz w:val="22"/>
          <w:szCs w:val="22"/>
        </w:rPr>
        <w:br/>
      </w:r>
      <w:r w:rsidRPr="00155974">
        <w:rPr>
          <w:sz w:val="22"/>
          <w:szCs w:val="22"/>
        </w:rPr>
        <w:t>Australian simplified disclosures for Tier 2 entities</w:t>
      </w:r>
    </w:p>
    <w:p w14:paraId="69E4C241" w14:textId="77777777" w:rsidR="00F42DB6" w:rsidRPr="00155974" w:rsidRDefault="00F42DB6" w:rsidP="00A43F5E">
      <w:pPr>
        <w:spacing w:before="100" w:after="100"/>
        <w:jc w:val="left"/>
        <w:rPr>
          <w:i/>
          <w:szCs w:val="19"/>
        </w:rPr>
      </w:pPr>
      <w:r w:rsidRPr="00155974">
        <w:rPr>
          <w:i/>
          <w:szCs w:val="19"/>
        </w:rPr>
        <w:t>This appendix is an integral part of the Standard.</w:t>
      </w:r>
    </w:p>
    <w:p w14:paraId="7D0BEAE0" w14:textId="61B99DD3" w:rsidR="00F35CD0" w:rsidRPr="00155974" w:rsidRDefault="00F42DB6" w:rsidP="00713F0B">
      <w:pPr>
        <w:pStyle w:val="NumCPlain1"/>
        <w:numPr>
          <w:ilvl w:val="0"/>
          <w:numId w:val="0"/>
        </w:numPr>
        <w:ind w:left="782" w:hanging="782"/>
      </w:pPr>
      <w:r w:rsidRPr="00155974">
        <w:rPr>
          <w:b/>
        </w:rPr>
        <w:t>AusC1</w:t>
      </w:r>
      <w:r w:rsidRPr="00155974">
        <w:rPr>
          <w:b/>
        </w:rPr>
        <w:tab/>
        <w:t>Paragraphs 44</w:t>
      </w:r>
      <w:r w:rsidR="00A42F83" w:rsidRPr="00155974">
        <w:rPr>
          <w:b/>
        </w:rPr>
        <w:t>–</w:t>
      </w:r>
      <w:r w:rsidRPr="00155974">
        <w:rPr>
          <w:b/>
        </w:rPr>
        <w:t xml:space="preserve">52 do not apply to entities preparing general purpose financial statements that apply AASB </w:t>
      </w:r>
      <w:r w:rsidR="00626F24" w:rsidRPr="00155974">
        <w:rPr>
          <w:b/>
        </w:rPr>
        <w:t xml:space="preserve">1060 </w:t>
      </w:r>
      <w:r w:rsidR="00300FA2" w:rsidRPr="00155974">
        <w:rPr>
          <w:b/>
          <w:i/>
        </w:rPr>
        <w:t>General Purpose Financial Statements – Simplified Disclosures for For-Profit and Not-for-Profit Tier 2 Entities</w:t>
      </w:r>
      <w:r w:rsidRPr="00155974">
        <w:rPr>
          <w:b/>
          <w:i/>
        </w:rPr>
        <w:t>.</w:t>
      </w:r>
    </w:p>
    <w:p w14:paraId="152E42D0" w14:textId="5DFE3A35" w:rsidR="00F42DB6" w:rsidRPr="00155974" w:rsidRDefault="00F42DB6" w:rsidP="00713F0B">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3 </w:t>
      </w:r>
      <w:r w:rsidRPr="00155974">
        <w:rPr>
          <w:rFonts w:ascii="Arial" w:hAnsi="Arial" w:cs="Arial"/>
          <w:b/>
          <w:i/>
          <w:sz w:val="24"/>
          <w:szCs w:val="24"/>
        </w:rPr>
        <w:t>Business Combinations</w:t>
      </w:r>
      <w:r w:rsidR="00672068" w:rsidRPr="00155974">
        <w:rPr>
          <w:rFonts w:ascii="Arial" w:hAnsi="Arial" w:cs="Arial"/>
          <w:b/>
          <w:i/>
          <w:sz w:val="24"/>
          <w:szCs w:val="24"/>
        </w:rPr>
        <w:t xml:space="preserve"> </w:t>
      </w:r>
      <w:r w:rsidR="00672068" w:rsidRPr="00155974">
        <w:rPr>
          <w:rFonts w:ascii="Arial" w:hAnsi="Arial" w:cs="Arial"/>
          <w:b/>
          <w:iCs/>
          <w:sz w:val="24"/>
          <w:szCs w:val="24"/>
        </w:rPr>
        <w:t>(</w:t>
      </w:r>
      <w:r w:rsidR="0012250E" w:rsidRPr="00155974">
        <w:rPr>
          <w:rFonts w:ascii="Arial" w:hAnsi="Arial" w:cs="Arial"/>
          <w:b/>
          <w:iCs/>
          <w:sz w:val="24"/>
          <w:szCs w:val="24"/>
        </w:rPr>
        <w:t>August 2015)</w:t>
      </w:r>
    </w:p>
    <w:p w14:paraId="2AC5DB96" w14:textId="698B1BF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F96D46" w:rsidRPr="00155974">
        <w:t xml:space="preserve"> </w:t>
      </w:r>
      <w:r w:rsidR="00672068" w:rsidRPr="00155974">
        <w:t>Appendix.</w:t>
      </w:r>
    </w:p>
    <w:p w14:paraId="42386802" w14:textId="4FCFD851" w:rsidR="00F42DB6" w:rsidRPr="00155974" w:rsidRDefault="00F42DB6" w:rsidP="00EC3436">
      <w:pPr>
        <w:pStyle w:val="Heading2"/>
        <w:pBdr>
          <w:bottom w:val="none" w:sz="0" w:space="0" w:color="auto"/>
        </w:pBdr>
        <w:rPr>
          <w:b w:val="0"/>
          <w:sz w:val="22"/>
          <w:szCs w:val="22"/>
        </w:rPr>
      </w:pPr>
      <w:r w:rsidRPr="00155974">
        <w:rPr>
          <w:sz w:val="22"/>
          <w:szCs w:val="22"/>
        </w:rPr>
        <w:t>Appendix C</w:t>
      </w:r>
      <w:r w:rsidR="00EC3436">
        <w:rPr>
          <w:sz w:val="22"/>
          <w:szCs w:val="22"/>
        </w:rPr>
        <w:br/>
      </w:r>
      <w:r w:rsidRPr="00155974">
        <w:rPr>
          <w:sz w:val="22"/>
          <w:szCs w:val="22"/>
        </w:rPr>
        <w:t>Australian simplified disclosures for Tier 2 entities</w:t>
      </w:r>
    </w:p>
    <w:p w14:paraId="08FAEFB1" w14:textId="77777777" w:rsidR="00F42DB6" w:rsidRPr="00155974" w:rsidRDefault="00F42DB6" w:rsidP="000873F4">
      <w:pPr>
        <w:spacing w:before="100" w:after="100"/>
        <w:jc w:val="left"/>
        <w:rPr>
          <w:i/>
          <w:szCs w:val="19"/>
        </w:rPr>
      </w:pPr>
      <w:r w:rsidRPr="00155974">
        <w:rPr>
          <w:i/>
          <w:szCs w:val="19"/>
        </w:rPr>
        <w:t>This appendix is an integral part of the Standard.</w:t>
      </w:r>
    </w:p>
    <w:p w14:paraId="1DCA2069" w14:textId="151672FF" w:rsidR="00F42DB6" w:rsidRPr="00155974" w:rsidRDefault="00F42DB6" w:rsidP="007A6BC8">
      <w:pPr>
        <w:pStyle w:val="NumCPlain1"/>
        <w:numPr>
          <w:ilvl w:val="0"/>
          <w:numId w:val="0"/>
        </w:numPr>
        <w:ind w:left="782" w:hanging="782"/>
        <w:rPr>
          <w:b/>
          <w:i/>
        </w:rPr>
      </w:pPr>
      <w:r w:rsidRPr="00155974">
        <w:rPr>
          <w:b/>
        </w:rPr>
        <w:t>AusC1</w:t>
      </w:r>
      <w:r w:rsidRPr="00155974">
        <w:rPr>
          <w:b/>
        </w:rPr>
        <w:tab/>
      </w:r>
      <w:r w:rsidR="008613D7" w:rsidRPr="00155974">
        <w:rPr>
          <w:b/>
        </w:rPr>
        <w:t>Paragraphs 59</w:t>
      </w:r>
      <w:r w:rsidR="00A42F83" w:rsidRPr="00155974">
        <w:rPr>
          <w:b/>
        </w:rPr>
        <w:t>–</w:t>
      </w:r>
      <w:r w:rsidR="003B2888" w:rsidRPr="00155974">
        <w:rPr>
          <w:b/>
        </w:rPr>
        <w:t>63</w:t>
      </w:r>
      <w:r w:rsidR="00067F9F" w:rsidRPr="00155974">
        <w:rPr>
          <w:b/>
        </w:rPr>
        <w:t xml:space="preserve"> and B64</w:t>
      </w:r>
      <w:r w:rsidR="00A42F83" w:rsidRPr="00155974">
        <w:rPr>
          <w:b/>
        </w:rPr>
        <w:t>–</w:t>
      </w:r>
      <w:r w:rsidR="00755199" w:rsidRPr="00155974">
        <w:rPr>
          <w:b/>
        </w:rPr>
        <w:t>B</w:t>
      </w:r>
      <w:r w:rsidR="00067F9F" w:rsidRPr="00155974">
        <w:rPr>
          <w:b/>
        </w:rPr>
        <w:t>67</w:t>
      </w:r>
      <w:r w:rsidRPr="00155974">
        <w:rPr>
          <w:b/>
        </w:rPr>
        <w:t xml:space="preserve"> do not apply to entities preparing general purpose financial statements that apply AASB </w:t>
      </w:r>
      <w:r w:rsidR="00626F24" w:rsidRPr="00155974">
        <w:rPr>
          <w:b/>
        </w:rPr>
        <w:t xml:space="preserve">1060 </w:t>
      </w:r>
      <w:r w:rsidR="00300FA2" w:rsidRPr="00155974">
        <w:rPr>
          <w:b/>
          <w:i/>
        </w:rPr>
        <w:t>General Purpose Financial Statements – Simplified Disclosures for For-Profit and Not-for-Profit Tier 2 Entities</w:t>
      </w:r>
      <w:r w:rsidR="002A6B1F" w:rsidRPr="00155974">
        <w:rPr>
          <w:b/>
          <w:iCs/>
        </w:rPr>
        <w:t>.</w:t>
      </w:r>
    </w:p>
    <w:p w14:paraId="013A08B1" w14:textId="25DCFCB1" w:rsidR="00F42DB6" w:rsidRPr="00155974" w:rsidRDefault="00F42DB6" w:rsidP="005A53A2">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5 </w:t>
      </w:r>
      <w:r w:rsidRPr="00155974">
        <w:rPr>
          <w:rFonts w:ascii="Arial" w:hAnsi="Arial" w:cs="Arial"/>
          <w:b/>
          <w:i/>
          <w:sz w:val="24"/>
          <w:szCs w:val="24"/>
        </w:rPr>
        <w:t>Non-current Assets Held for Sale and Discontinued Operations</w:t>
      </w:r>
      <w:r w:rsidR="001B3B81" w:rsidRPr="00155974">
        <w:rPr>
          <w:rFonts w:ascii="Arial" w:hAnsi="Arial" w:cs="Arial"/>
          <w:b/>
          <w:i/>
          <w:sz w:val="24"/>
          <w:szCs w:val="24"/>
        </w:rPr>
        <w:t xml:space="preserve"> </w:t>
      </w:r>
      <w:r w:rsidR="001B3B81" w:rsidRPr="00155974">
        <w:rPr>
          <w:rFonts w:ascii="Arial" w:hAnsi="Arial" w:cs="Arial"/>
          <w:b/>
          <w:iCs/>
          <w:sz w:val="24"/>
          <w:szCs w:val="24"/>
        </w:rPr>
        <w:t>(</w:t>
      </w:r>
      <w:r w:rsidR="00E872A0" w:rsidRPr="00155974">
        <w:rPr>
          <w:rFonts w:ascii="Arial" w:hAnsi="Arial" w:cs="Arial"/>
          <w:b/>
          <w:iCs/>
          <w:sz w:val="24"/>
          <w:szCs w:val="24"/>
        </w:rPr>
        <w:t>August 2015)</w:t>
      </w:r>
    </w:p>
    <w:p w14:paraId="2A6C18B6" w14:textId="3458D62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D is deleted and replaced by the following</w:t>
      </w:r>
      <w:r w:rsidR="004032E5" w:rsidRPr="00155974">
        <w:t xml:space="preserve"> Appendix.</w:t>
      </w:r>
    </w:p>
    <w:p w14:paraId="70DBFBD9" w14:textId="783AC79C" w:rsidR="00F42DB6" w:rsidRPr="00155974" w:rsidRDefault="00F42DB6" w:rsidP="00EC3436">
      <w:pPr>
        <w:pStyle w:val="Heading2"/>
        <w:pBdr>
          <w:bottom w:val="none" w:sz="0" w:space="0" w:color="auto"/>
        </w:pBdr>
        <w:rPr>
          <w:b w:val="0"/>
          <w:sz w:val="22"/>
          <w:szCs w:val="22"/>
        </w:rPr>
      </w:pPr>
      <w:r w:rsidRPr="00155974">
        <w:rPr>
          <w:sz w:val="22"/>
          <w:szCs w:val="22"/>
        </w:rPr>
        <w:t>Appendix D</w:t>
      </w:r>
      <w:r w:rsidR="00EC3436">
        <w:rPr>
          <w:sz w:val="22"/>
          <w:szCs w:val="22"/>
        </w:rPr>
        <w:br/>
      </w:r>
      <w:r w:rsidRPr="00155974">
        <w:rPr>
          <w:sz w:val="22"/>
          <w:szCs w:val="22"/>
        </w:rPr>
        <w:t>Australian simplified disclosures for Tier 2 entities</w:t>
      </w:r>
    </w:p>
    <w:p w14:paraId="4259B01A" w14:textId="77777777" w:rsidR="00F42DB6" w:rsidRPr="00155974" w:rsidRDefault="00F42DB6" w:rsidP="00A43F5E">
      <w:pPr>
        <w:spacing w:before="100" w:after="100"/>
        <w:jc w:val="left"/>
        <w:rPr>
          <w:i/>
          <w:szCs w:val="19"/>
        </w:rPr>
      </w:pPr>
      <w:r w:rsidRPr="00155974">
        <w:rPr>
          <w:i/>
          <w:szCs w:val="19"/>
        </w:rPr>
        <w:t>This appendix is an integral part of the Standard.</w:t>
      </w:r>
    </w:p>
    <w:p w14:paraId="05C5A5D9" w14:textId="19466FEA" w:rsidR="00F42DB6" w:rsidRPr="00155974" w:rsidRDefault="00F42DB6" w:rsidP="007A6BC8">
      <w:pPr>
        <w:pStyle w:val="NumCPlain1"/>
        <w:numPr>
          <w:ilvl w:val="0"/>
          <w:numId w:val="0"/>
        </w:numPr>
        <w:ind w:left="782" w:hanging="782"/>
        <w:rPr>
          <w:b/>
          <w:i/>
        </w:rPr>
      </w:pPr>
      <w:r w:rsidRPr="00155974">
        <w:rPr>
          <w:b/>
        </w:rPr>
        <w:t>AusD1</w:t>
      </w:r>
      <w:r w:rsidRPr="00155974">
        <w:rPr>
          <w:b/>
        </w:rPr>
        <w:tab/>
        <w:t xml:space="preserve">Paragraphs </w:t>
      </w:r>
      <w:r w:rsidR="00CC7F83" w:rsidRPr="00155974">
        <w:rPr>
          <w:b/>
        </w:rPr>
        <w:t xml:space="preserve">30, </w:t>
      </w:r>
      <w:r w:rsidR="004D2284" w:rsidRPr="00155974">
        <w:rPr>
          <w:b/>
        </w:rPr>
        <w:t>33</w:t>
      </w:r>
      <w:r w:rsidR="006D33CE" w:rsidRPr="00155974">
        <w:rPr>
          <w:b/>
        </w:rPr>
        <w:t xml:space="preserve">, 35, </w:t>
      </w:r>
      <w:r w:rsidR="00CD4642" w:rsidRPr="00155974">
        <w:rPr>
          <w:b/>
        </w:rPr>
        <w:t>36A</w:t>
      </w:r>
      <w:r w:rsidR="00EE7AF5" w:rsidRPr="00155974">
        <w:rPr>
          <w:b/>
        </w:rPr>
        <w:t>, 41 and 42</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A78257D" w14:textId="47094C02" w:rsidR="00F42DB6" w:rsidRPr="00155974" w:rsidRDefault="00F42DB6" w:rsidP="005A53A2">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6 </w:t>
      </w:r>
      <w:r w:rsidRPr="00155974">
        <w:rPr>
          <w:rFonts w:ascii="Arial" w:hAnsi="Arial" w:cs="Arial"/>
          <w:b/>
          <w:i/>
          <w:sz w:val="24"/>
          <w:szCs w:val="24"/>
        </w:rPr>
        <w:t>Exploration for and Evaluation of Mineral Resources</w:t>
      </w:r>
      <w:r w:rsidR="004032E5" w:rsidRPr="00155974">
        <w:rPr>
          <w:rFonts w:ascii="Arial" w:hAnsi="Arial" w:cs="Arial"/>
          <w:b/>
          <w:i/>
          <w:sz w:val="24"/>
          <w:szCs w:val="24"/>
        </w:rPr>
        <w:t xml:space="preserve"> </w:t>
      </w:r>
      <w:r w:rsidR="004032E5" w:rsidRPr="00155974">
        <w:rPr>
          <w:rFonts w:ascii="Arial" w:hAnsi="Arial" w:cs="Arial"/>
          <w:b/>
          <w:iCs/>
          <w:sz w:val="24"/>
          <w:szCs w:val="24"/>
        </w:rPr>
        <w:t>(</w:t>
      </w:r>
      <w:r w:rsidR="00735DA2" w:rsidRPr="00155974">
        <w:rPr>
          <w:rFonts w:ascii="Arial" w:hAnsi="Arial" w:cs="Arial"/>
          <w:b/>
          <w:iCs/>
          <w:sz w:val="24"/>
          <w:szCs w:val="24"/>
        </w:rPr>
        <w:t>August 2015)</w:t>
      </w:r>
    </w:p>
    <w:p w14:paraId="3E42F3F8"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added.</w:t>
      </w:r>
    </w:p>
    <w:p w14:paraId="02B4C7CE" w14:textId="52C00A2C" w:rsidR="00F42DB6" w:rsidRPr="00155974" w:rsidRDefault="00F42DB6" w:rsidP="00EC3436">
      <w:pPr>
        <w:pStyle w:val="Heading2"/>
        <w:pBdr>
          <w:bottom w:val="none" w:sz="0" w:space="0" w:color="auto"/>
        </w:pBdr>
        <w:rPr>
          <w:b w:val="0"/>
          <w:sz w:val="22"/>
          <w:szCs w:val="22"/>
        </w:rPr>
      </w:pPr>
      <w:r w:rsidRPr="00155974">
        <w:rPr>
          <w:sz w:val="22"/>
          <w:szCs w:val="22"/>
        </w:rPr>
        <w:t>Appendix C</w:t>
      </w:r>
      <w:r w:rsidR="00EC3436">
        <w:rPr>
          <w:sz w:val="22"/>
          <w:szCs w:val="22"/>
        </w:rPr>
        <w:br/>
      </w:r>
      <w:r w:rsidRPr="00155974">
        <w:rPr>
          <w:sz w:val="22"/>
          <w:szCs w:val="22"/>
        </w:rPr>
        <w:t>Australian simplified disclosures for Tier 2 entities</w:t>
      </w:r>
    </w:p>
    <w:p w14:paraId="6C61E95F" w14:textId="77777777" w:rsidR="00F42DB6" w:rsidRPr="00155974" w:rsidRDefault="00F42DB6" w:rsidP="00A43F5E">
      <w:pPr>
        <w:spacing w:before="100" w:after="100"/>
        <w:jc w:val="left"/>
        <w:rPr>
          <w:i/>
          <w:szCs w:val="19"/>
        </w:rPr>
      </w:pPr>
      <w:r w:rsidRPr="00155974">
        <w:rPr>
          <w:i/>
          <w:szCs w:val="19"/>
        </w:rPr>
        <w:t>This appendix is an integral part of the Standard.</w:t>
      </w:r>
    </w:p>
    <w:p w14:paraId="0342E2EB" w14:textId="3E401E3A" w:rsidR="00F42DB6" w:rsidRPr="00155974" w:rsidRDefault="00F42DB6" w:rsidP="007A6BC8">
      <w:pPr>
        <w:pStyle w:val="NumCPlain1"/>
        <w:numPr>
          <w:ilvl w:val="0"/>
          <w:numId w:val="0"/>
        </w:numPr>
        <w:ind w:left="782" w:hanging="782"/>
        <w:rPr>
          <w:b/>
          <w:i/>
        </w:rPr>
      </w:pPr>
      <w:r w:rsidRPr="00155974">
        <w:rPr>
          <w:b/>
        </w:rPr>
        <w:t>AusC1</w:t>
      </w:r>
      <w:r w:rsidRPr="00155974">
        <w:rPr>
          <w:b/>
        </w:rPr>
        <w:tab/>
        <w:t>Paragraphs 23</w:t>
      </w:r>
      <w:r w:rsidR="0002741E" w:rsidRPr="00155974">
        <w:rPr>
          <w:b/>
        </w:rPr>
        <w:t>–</w:t>
      </w:r>
      <w:r w:rsidRPr="00155974">
        <w:rPr>
          <w:b/>
        </w:rPr>
        <w:t xml:space="preserve">25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8081016" w14:textId="2354D21D"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7 </w:t>
      </w:r>
      <w:r w:rsidRPr="00155974">
        <w:rPr>
          <w:rFonts w:ascii="Arial" w:hAnsi="Arial" w:cs="Arial"/>
          <w:b/>
          <w:i/>
          <w:sz w:val="24"/>
          <w:szCs w:val="24"/>
        </w:rPr>
        <w:t xml:space="preserve">Financial Instruments: Disclosure </w:t>
      </w:r>
      <w:r w:rsidR="0052640F" w:rsidRPr="00155974">
        <w:rPr>
          <w:rFonts w:ascii="Arial" w:hAnsi="Arial" w:cs="Arial"/>
          <w:b/>
          <w:iCs/>
          <w:sz w:val="24"/>
          <w:szCs w:val="24"/>
        </w:rPr>
        <w:t>(</w:t>
      </w:r>
      <w:r w:rsidR="008A1D4E" w:rsidRPr="00155974">
        <w:rPr>
          <w:rFonts w:ascii="Arial" w:hAnsi="Arial" w:cs="Arial"/>
          <w:b/>
          <w:iCs/>
          <w:sz w:val="24"/>
          <w:szCs w:val="24"/>
        </w:rPr>
        <w:t>August 2005)</w:t>
      </w:r>
    </w:p>
    <w:p w14:paraId="09DD1084" w14:textId="77777777" w:rsidR="00BD6E4B" w:rsidRPr="00155974" w:rsidRDefault="00BD6E4B" w:rsidP="00BD6E4B">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rPr>
          <w:szCs w:val="19"/>
        </w:rPr>
        <w:t xml:space="preserve">The </w:t>
      </w:r>
      <w:r w:rsidR="00F42DB6" w:rsidRPr="00155974">
        <w:rPr>
          <w:szCs w:val="19"/>
        </w:rPr>
        <w:t>footnote to paragraph B32 is deleted</w:t>
      </w:r>
      <w:r w:rsidR="00F96D46" w:rsidRPr="00155974">
        <w:rPr>
          <w:szCs w:val="19"/>
        </w:rPr>
        <w:t>.</w:t>
      </w:r>
      <w:r w:rsidRPr="00155974">
        <w:rPr>
          <w:szCs w:val="19"/>
        </w:rPr>
        <w:t xml:space="preserve"> </w:t>
      </w:r>
      <w:r w:rsidRPr="00155974">
        <w:t>Appendix D is deleted and replaced by the following Appendix.</w:t>
      </w:r>
    </w:p>
    <w:p w14:paraId="1922C0A5" w14:textId="36B2D0BF" w:rsidR="00F42DB6" w:rsidRPr="00155974" w:rsidRDefault="00F42DB6" w:rsidP="00BC0971">
      <w:pPr>
        <w:pStyle w:val="Heading2"/>
        <w:pBdr>
          <w:bottom w:val="none" w:sz="0" w:space="0" w:color="auto"/>
        </w:pBdr>
        <w:rPr>
          <w:b w:val="0"/>
          <w:sz w:val="22"/>
          <w:szCs w:val="22"/>
        </w:rPr>
      </w:pPr>
      <w:r w:rsidRPr="00155974">
        <w:rPr>
          <w:sz w:val="22"/>
          <w:szCs w:val="22"/>
        </w:rPr>
        <w:t>Appendix D</w:t>
      </w:r>
      <w:r w:rsidR="00BC0971">
        <w:rPr>
          <w:sz w:val="22"/>
          <w:szCs w:val="22"/>
        </w:rPr>
        <w:br/>
      </w:r>
      <w:r w:rsidRPr="00155974">
        <w:rPr>
          <w:sz w:val="22"/>
          <w:szCs w:val="22"/>
        </w:rPr>
        <w:t>Australian simplified disclosures for Tier 2 entities</w:t>
      </w:r>
    </w:p>
    <w:p w14:paraId="6545301D" w14:textId="77777777" w:rsidR="00F42DB6" w:rsidRPr="00155974" w:rsidRDefault="00F42DB6" w:rsidP="00A43F5E">
      <w:pPr>
        <w:spacing w:before="100" w:after="100"/>
        <w:jc w:val="left"/>
        <w:rPr>
          <w:i/>
          <w:szCs w:val="19"/>
        </w:rPr>
      </w:pPr>
      <w:r w:rsidRPr="00155974">
        <w:rPr>
          <w:i/>
          <w:szCs w:val="19"/>
        </w:rPr>
        <w:t>This appendix is an integral part of the Standard.</w:t>
      </w:r>
    </w:p>
    <w:p w14:paraId="75E3F8BF" w14:textId="6BF63009" w:rsidR="00F35CD0" w:rsidRPr="00155974" w:rsidRDefault="00F42DB6" w:rsidP="00352682">
      <w:pPr>
        <w:pStyle w:val="NumCPlain1"/>
        <w:numPr>
          <w:ilvl w:val="0"/>
          <w:numId w:val="0"/>
        </w:numPr>
        <w:ind w:left="782" w:hanging="782"/>
      </w:pPr>
      <w:r w:rsidRPr="00155974">
        <w:rPr>
          <w:b/>
        </w:rPr>
        <w:t>AusD1</w:t>
      </w:r>
      <w:r w:rsidRPr="00155974">
        <w:rPr>
          <w:b/>
        </w:rPr>
        <w:tab/>
        <w:t xml:space="preserve">This Standard does not apply to entities preparing general purpose financial statements that apply </w:t>
      </w:r>
      <w:r w:rsidR="00626F24" w:rsidRPr="004D6420">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45EEFDFD" w14:textId="4D3E9B98" w:rsidR="00F42DB6" w:rsidRPr="00155974" w:rsidRDefault="00F42DB6" w:rsidP="00352682">
      <w:pPr>
        <w:keepNext/>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8 </w:t>
      </w:r>
      <w:r w:rsidRPr="00155974">
        <w:rPr>
          <w:rFonts w:ascii="Arial" w:hAnsi="Arial" w:cs="Arial"/>
          <w:b/>
          <w:i/>
          <w:sz w:val="24"/>
          <w:szCs w:val="24"/>
        </w:rPr>
        <w:t>Operating Segments</w:t>
      </w:r>
      <w:r w:rsidRPr="00155974">
        <w:rPr>
          <w:rFonts w:ascii="Arial" w:hAnsi="Arial" w:cs="Arial"/>
          <w:b/>
          <w:sz w:val="24"/>
          <w:szCs w:val="24"/>
        </w:rPr>
        <w:t xml:space="preserve"> </w:t>
      </w:r>
      <w:r w:rsidR="009D0045" w:rsidRPr="00155974">
        <w:rPr>
          <w:rFonts w:ascii="Arial" w:hAnsi="Arial" w:cs="Arial"/>
          <w:b/>
          <w:sz w:val="24"/>
          <w:szCs w:val="24"/>
        </w:rPr>
        <w:t>(</w:t>
      </w:r>
      <w:r w:rsidR="0096245A" w:rsidRPr="00155974">
        <w:rPr>
          <w:rFonts w:ascii="Arial" w:hAnsi="Arial" w:cs="Arial"/>
          <w:b/>
          <w:sz w:val="24"/>
          <w:szCs w:val="24"/>
        </w:rPr>
        <w:t>August 2015</w:t>
      </w:r>
      <w:r w:rsidR="004D42D6" w:rsidRPr="00155974">
        <w:rPr>
          <w:rFonts w:ascii="Arial" w:hAnsi="Arial" w:cs="Arial"/>
          <w:b/>
          <w:sz w:val="24"/>
          <w:szCs w:val="24"/>
        </w:rPr>
        <w:t>)</w:t>
      </w:r>
    </w:p>
    <w:p w14:paraId="7C92B955" w14:textId="7085E489" w:rsidR="00F42DB6" w:rsidRPr="00155974" w:rsidRDefault="00F42DB6" w:rsidP="00352682">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B2082E" w:rsidRPr="00155974">
        <w:t xml:space="preserve"> Appendix.</w:t>
      </w:r>
    </w:p>
    <w:p w14:paraId="6FFD6D67" w14:textId="22D6538E" w:rsidR="00F42DB6" w:rsidRPr="00155974" w:rsidRDefault="00F42DB6" w:rsidP="00BC0971">
      <w:pPr>
        <w:pStyle w:val="Heading2"/>
        <w:pBdr>
          <w:bottom w:val="none" w:sz="0" w:space="0" w:color="auto"/>
        </w:pBdr>
        <w:rPr>
          <w:b w:val="0"/>
          <w:sz w:val="22"/>
          <w:szCs w:val="22"/>
        </w:rPr>
      </w:pPr>
      <w:r w:rsidRPr="00155974">
        <w:rPr>
          <w:sz w:val="22"/>
          <w:szCs w:val="22"/>
        </w:rPr>
        <w:t>Appendix C</w:t>
      </w:r>
      <w:r w:rsidR="00BC0971">
        <w:rPr>
          <w:sz w:val="22"/>
          <w:szCs w:val="22"/>
        </w:rPr>
        <w:br/>
      </w:r>
      <w:r w:rsidRPr="00155974">
        <w:rPr>
          <w:sz w:val="22"/>
          <w:szCs w:val="22"/>
        </w:rPr>
        <w:t>Australian simplified disclosures for Tier 2 entities</w:t>
      </w:r>
    </w:p>
    <w:p w14:paraId="685AFD27" w14:textId="77777777" w:rsidR="00F42DB6" w:rsidRPr="00155974" w:rsidRDefault="00F42DB6" w:rsidP="000873F4">
      <w:pPr>
        <w:spacing w:before="100" w:after="100"/>
        <w:jc w:val="left"/>
        <w:rPr>
          <w:i/>
          <w:szCs w:val="19"/>
        </w:rPr>
      </w:pPr>
      <w:r w:rsidRPr="00155974">
        <w:rPr>
          <w:i/>
          <w:szCs w:val="19"/>
        </w:rPr>
        <w:t>This appendix is an integral part of the Standard.</w:t>
      </w:r>
    </w:p>
    <w:p w14:paraId="05AEC160" w14:textId="73CEC345" w:rsidR="00F42DB6" w:rsidRPr="00155974" w:rsidRDefault="00F42DB6" w:rsidP="007A6BC8">
      <w:pPr>
        <w:pStyle w:val="NumCPlain1"/>
        <w:numPr>
          <w:ilvl w:val="0"/>
          <w:numId w:val="0"/>
        </w:numPr>
        <w:ind w:left="782" w:hanging="782"/>
        <w:rPr>
          <w:b/>
        </w:rPr>
      </w:pPr>
      <w:r w:rsidRPr="00155974">
        <w:rPr>
          <w:b/>
        </w:rPr>
        <w:t>AusC1</w:t>
      </w:r>
      <w:r w:rsidRPr="00155974">
        <w:rPr>
          <w:b/>
        </w:rPr>
        <w:tab/>
        <w:t>Paragraphs 5</w:t>
      </w:r>
      <w:r w:rsidR="0002741E" w:rsidRPr="00155974">
        <w:rPr>
          <w:b/>
        </w:rPr>
        <w:t>–</w:t>
      </w:r>
      <w:r w:rsidRPr="00155974">
        <w:rPr>
          <w:b/>
        </w:rPr>
        <w:t xml:space="preserve">34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r w:rsidRPr="00155974">
        <w:rPr>
          <w:b/>
        </w:rPr>
        <w:t xml:space="preserve"> If an entity applying </w:t>
      </w:r>
      <w:r w:rsidR="00626F24" w:rsidRPr="00155974">
        <w:rPr>
          <w:b/>
        </w:rPr>
        <w:t>AASB 1060</w:t>
      </w:r>
      <w:r w:rsidRPr="00155974">
        <w:rPr>
          <w:b/>
        </w:rPr>
        <w:t xml:space="preserve"> elects to provide segment disclosures, it shall apply this </w:t>
      </w:r>
      <w:r w:rsidR="002C4720" w:rsidRPr="00155974">
        <w:rPr>
          <w:b/>
        </w:rPr>
        <w:t>S</w:t>
      </w:r>
      <w:r w:rsidRPr="00155974">
        <w:rPr>
          <w:b/>
        </w:rPr>
        <w:t xml:space="preserve">tandard in preparing and presenting the information. </w:t>
      </w:r>
    </w:p>
    <w:p w14:paraId="1C3D2B30" w14:textId="7AE6B3FC"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 </w:t>
      </w:r>
      <w:r w:rsidRPr="00155974">
        <w:rPr>
          <w:rFonts w:ascii="Arial" w:hAnsi="Arial" w:cs="Arial"/>
          <w:b/>
          <w:i/>
          <w:sz w:val="24"/>
          <w:szCs w:val="24"/>
        </w:rPr>
        <w:t>Consolidated Financial Statements</w:t>
      </w:r>
      <w:r w:rsidR="00BD2338" w:rsidRPr="00155974">
        <w:rPr>
          <w:rFonts w:ascii="Arial" w:hAnsi="Arial" w:cs="Arial"/>
          <w:b/>
          <w:i/>
          <w:sz w:val="24"/>
          <w:szCs w:val="24"/>
        </w:rPr>
        <w:t xml:space="preserve"> </w:t>
      </w:r>
      <w:r w:rsidR="00BD2338" w:rsidRPr="00155974">
        <w:rPr>
          <w:rFonts w:ascii="Arial" w:hAnsi="Arial" w:cs="Arial"/>
          <w:b/>
          <w:iCs/>
          <w:sz w:val="24"/>
          <w:szCs w:val="24"/>
        </w:rPr>
        <w:t>(</w:t>
      </w:r>
      <w:r w:rsidR="00E32DED" w:rsidRPr="00155974">
        <w:rPr>
          <w:rFonts w:ascii="Arial" w:hAnsi="Arial" w:cs="Arial"/>
          <w:b/>
          <w:iCs/>
          <w:sz w:val="24"/>
          <w:szCs w:val="24"/>
        </w:rPr>
        <w:t>July 2015</w:t>
      </w:r>
      <w:r w:rsidR="00532B1E" w:rsidRPr="00155974">
        <w:rPr>
          <w:rFonts w:ascii="Arial" w:hAnsi="Arial" w:cs="Arial"/>
          <w:b/>
          <w:iCs/>
          <w:sz w:val="24"/>
          <w:szCs w:val="24"/>
        </w:rPr>
        <w:t>)</w:t>
      </w:r>
    </w:p>
    <w:p w14:paraId="71AE8376" w14:textId="1BD1586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ind w:left="782" w:hanging="782"/>
        <w:jc w:val="left"/>
      </w:pPr>
      <w:r w:rsidRPr="00155974">
        <w:t xml:space="preserve">Paragraph Aus4.1 and </w:t>
      </w:r>
      <w:r w:rsidR="00DF2B95" w:rsidRPr="00155974">
        <w:t xml:space="preserve">paragraph </w:t>
      </w:r>
      <w:r w:rsidRPr="00155974">
        <w:t xml:space="preserve">AG1 </w:t>
      </w:r>
      <w:r w:rsidR="005673DC" w:rsidRPr="00155974">
        <w:t xml:space="preserve">in the accompanying Australian Application Guidance are </w:t>
      </w:r>
      <w:r w:rsidRPr="00155974">
        <w:t>amended.</w:t>
      </w:r>
    </w:p>
    <w:p w14:paraId="4EF63A74" w14:textId="72BA95FC" w:rsidR="00F42DB6" w:rsidRPr="00155974" w:rsidRDefault="00F42DB6" w:rsidP="00BC0971">
      <w:pPr>
        <w:pStyle w:val="NumCPlain1"/>
        <w:numPr>
          <w:ilvl w:val="0"/>
          <w:numId w:val="0"/>
        </w:numPr>
        <w:ind w:left="782" w:hanging="782"/>
      </w:pPr>
      <w:r w:rsidRPr="00155974">
        <w:t xml:space="preserve">Aus4.1 </w:t>
      </w:r>
      <w:r w:rsidRPr="00155974">
        <w:tab/>
        <w:t xml:space="preserve">Notwithstanding paragraph 4(a)(iv), a parent that meets the criteria in paragraphs 4(a)(i), 4(a)(ii) and 4(a)(iii) need not present consolidated financial statements if its ultimate or any intermediate parent produces financial statements that are available for public use in which subsidiaries are consolidated or are measured at fair value through profit or loss in accordance with this Standard and: </w:t>
      </w:r>
    </w:p>
    <w:p w14:paraId="572D6641" w14:textId="77777777" w:rsidR="00F42DB6" w:rsidRPr="00155974" w:rsidRDefault="00F42DB6" w:rsidP="000E61D3">
      <w:pPr>
        <w:pStyle w:val="NumCPlain1"/>
        <w:numPr>
          <w:ilvl w:val="0"/>
          <w:numId w:val="33"/>
        </w:numPr>
        <w:ind w:left="1564" w:hanging="782"/>
      </w:pPr>
      <w:r w:rsidRPr="00155974">
        <w:t xml:space="preserve">the parent and its ultimate or intermediate parent are: </w:t>
      </w:r>
    </w:p>
    <w:p w14:paraId="03B8BDF5" w14:textId="77777777" w:rsidR="00F42DB6" w:rsidRPr="00155974" w:rsidRDefault="00F42DB6" w:rsidP="00BC0971">
      <w:pPr>
        <w:pStyle w:val="NumCPlain1"/>
        <w:numPr>
          <w:ilvl w:val="0"/>
          <w:numId w:val="0"/>
        </w:numPr>
        <w:ind w:left="2370" w:hanging="782"/>
      </w:pPr>
      <w:r w:rsidRPr="00155974">
        <w:t>(i)</w:t>
      </w:r>
      <w:r w:rsidRPr="00155974">
        <w:tab/>
        <w:t xml:space="preserve">both not-for-profit entities complying with Australian Accounting Standards; or </w:t>
      </w:r>
    </w:p>
    <w:p w14:paraId="615C1A85" w14:textId="77777777" w:rsidR="00F42DB6" w:rsidRPr="00155974" w:rsidRDefault="00F42DB6" w:rsidP="00BC0971">
      <w:pPr>
        <w:pStyle w:val="NumCPlain1"/>
        <w:numPr>
          <w:ilvl w:val="0"/>
          <w:numId w:val="0"/>
        </w:numPr>
        <w:ind w:left="2370" w:hanging="782"/>
      </w:pPr>
      <w:r w:rsidRPr="00155974">
        <w:t>(ii)</w:t>
      </w:r>
      <w:r w:rsidRPr="00155974">
        <w:tab/>
        <w:t xml:space="preserve">both entities complying with Australian Accounting Standards – </w:t>
      </w:r>
      <w:r w:rsidRPr="00155974">
        <w:rPr>
          <w:strike/>
        </w:rPr>
        <w:t xml:space="preserve">Reduced Disclosure Requirements </w:t>
      </w:r>
      <w:r w:rsidRPr="00155974">
        <w:rPr>
          <w:u w:val="single"/>
        </w:rPr>
        <w:t>Simplified Disclosures</w:t>
      </w:r>
      <w:r w:rsidRPr="00155974">
        <w:t xml:space="preserve">; or </w:t>
      </w:r>
    </w:p>
    <w:p w14:paraId="25725B33" w14:textId="7625D7DE" w:rsidR="00F42DB6" w:rsidRPr="00155974" w:rsidRDefault="00F42DB6" w:rsidP="000E61D3">
      <w:pPr>
        <w:pStyle w:val="NumCPlain1"/>
        <w:numPr>
          <w:ilvl w:val="0"/>
          <w:numId w:val="33"/>
        </w:numPr>
        <w:ind w:left="1564" w:hanging="782"/>
      </w:pPr>
      <w:r w:rsidRPr="00155974">
        <w:t xml:space="preserve">the parent is an entity complying with Australian Accounting Standards – </w:t>
      </w:r>
      <w:r w:rsidRPr="00155974">
        <w:rPr>
          <w:strike/>
        </w:rPr>
        <w:t>Reduced Disclosure Requirements</w:t>
      </w:r>
      <w:r w:rsidRPr="00155974">
        <w:t xml:space="preserve"> </w:t>
      </w:r>
      <w:r w:rsidRPr="00155974">
        <w:rPr>
          <w:u w:val="single"/>
        </w:rPr>
        <w:t xml:space="preserve">Simplified Disclosures </w:t>
      </w:r>
      <w:r w:rsidRPr="00155974">
        <w:t>and its ultimate or intermediate parent is a not-for-profit entity complying with Australian Accounting Standards</w:t>
      </w:r>
      <w:r w:rsidR="002D6831" w:rsidRPr="00155974">
        <w:t>.</w:t>
      </w:r>
    </w:p>
    <w:p w14:paraId="2F21892C" w14:textId="77777777" w:rsidR="00F42DB6" w:rsidRPr="00155974" w:rsidRDefault="00F42DB6" w:rsidP="00BC0971">
      <w:pPr>
        <w:pStyle w:val="NumCPlain1"/>
        <w:numPr>
          <w:ilvl w:val="0"/>
          <w:numId w:val="0"/>
        </w:numPr>
        <w:ind w:left="782" w:hanging="782"/>
      </w:pPr>
      <w:r w:rsidRPr="00155974">
        <w:t>AG1</w:t>
      </w:r>
      <w:r w:rsidRPr="00155974">
        <w:tab/>
        <w:t>…</w:t>
      </w:r>
    </w:p>
    <w:p w14:paraId="34982810" w14:textId="77777777" w:rsidR="00F42DB6" w:rsidRPr="00155974" w:rsidRDefault="00F42DB6" w:rsidP="00BC0971">
      <w:pPr>
        <w:pStyle w:val="NumCPlain1"/>
        <w:numPr>
          <w:ilvl w:val="0"/>
          <w:numId w:val="0"/>
        </w:numPr>
        <w:ind w:left="782"/>
      </w:pPr>
      <w:r w:rsidRPr="00155974">
        <w:t xml:space="preserve">Australian Accounting Standards consist of two tiers of reporting requirements for preparing general purpose financial statements: </w:t>
      </w:r>
    </w:p>
    <w:p w14:paraId="4C45C7CD" w14:textId="77777777" w:rsidR="00F42DB6" w:rsidRPr="00155974" w:rsidRDefault="00F42DB6" w:rsidP="00BC0971">
      <w:pPr>
        <w:pStyle w:val="NumCPlain1"/>
        <w:numPr>
          <w:ilvl w:val="0"/>
          <w:numId w:val="0"/>
        </w:numPr>
        <w:ind w:left="1564" w:hanging="782"/>
      </w:pPr>
      <w:r w:rsidRPr="00155974">
        <w:t>(a)</w:t>
      </w:r>
      <w:r w:rsidRPr="00155974">
        <w:tab/>
        <w:t xml:space="preserve">Tier 1: Australian Accounting Standards; and </w:t>
      </w:r>
    </w:p>
    <w:p w14:paraId="2C0EE315" w14:textId="77777777" w:rsidR="00F42DB6" w:rsidRPr="00155974" w:rsidRDefault="00F42DB6" w:rsidP="00BC0971">
      <w:pPr>
        <w:pStyle w:val="NumCPlain1"/>
        <w:numPr>
          <w:ilvl w:val="0"/>
          <w:numId w:val="0"/>
        </w:numPr>
        <w:ind w:left="1564" w:hanging="782"/>
        <w:rPr>
          <w:b/>
          <w:i/>
        </w:rPr>
      </w:pPr>
      <w:r w:rsidRPr="00155974">
        <w:t>(b)</w:t>
      </w:r>
      <w:r w:rsidRPr="00155974">
        <w:tab/>
        <w:t xml:space="preserve">Tier 2: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522A6DC7" w14:textId="542C6902"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AASB 12</w:t>
      </w:r>
      <w:r w:rsidR="009C696F">
        <w:rPr>
          <w:rFonts w:ascii="Arial" w:hAnsi="Arial" w:cs="Arial"/>
          <w:b/>
          <w:sz w:val="24"/>
          <w:szCs w:val="24"/>
        </w:rPr>
        <w:t xml:space="preserve"> </w:t>
      </w:r>
      <w:r w:rsidRPr="00155974">
        <w:rPr>
          <w:rFonts w:ascii="Arial" w:hAnsi="Arial" w:cs="Arial"/>
          <w:b/>
          <w:i/>
          <w:sz w:val="24"/>
          <w:szCs w:val="24"/>
        </w:rPr>
        <w:t>Disclosure of Interests in Other Entities</w:t>
      </w:r>
      <w:r w:rsidR="00532B1E" w:rsidRPr="00155974">
        <w:rPr>
          <w:rFonts w:ascii="Arial" w:hAnsi="Arial" w:cs="Arial"/>
          <w:b/>
          <w:i/>
          <w:sz w:val="24"/>
          <w:szCs w:val="24"/>
        </w:rPr>
        <w:t xml:space="preserve"> </w:t>
      </w:r>
      <w:r w:rsidR="00532B1E" w:rsidRPr="00155974">
        <w:rPr>
          <w:rFonts w:ascii="Arial" w:hAnsi="Arial" w:cs="Arial"/>
          <w:b/>
          <w:iCs/>
          <w:sz w:val="24"/>
          <w:szCs w:val="24"/>
        </w:rPr>
        <w:t>(</w:t>
      </w:r>
      <w:r w:rsidR="00385694" w:rsidRPr="00155974">
        <w:rPr>
          <w:rFonts w:ascii="Arial" w:hAnsi="Arial" w:cs="Arial"/>
          <w:b/>
          <w:iCs/>
          <w:sz w:val="24"/>
          <w:szCs w:val="24"/>
        </w:rPr>
        <w:t>August 2015)</w:t>
      </w:r>
    </w:p>
    <w:p w14:paraId="40C23A45" w14:textId="00E4D48F" w:rsidR="00F42DB6" w:rsidRPr="00155974" w:rsidRDefault="00F42DB6" w:rsidP="00352573">
      <w:pPr>
        <w:pStyle w:val="NumCPlain1"/>
        <w:numPr>
          <w:ilvl w:val="0"/>
          <w:numId w:val="0"/>
        </w:numPr>
        <w:pBdr>
          <w:top w:val="single" w:sz="4" w:space="1" w:color="auto"/>
          <w:left w:val="single" w:sz="4" w:space="4" w:color="auto"/>
          <w:bottom w:val="single" w:sz="4" w:space="1" w:color="auto"/>
          <w:right w:val="single" w:sz="4" w:space="4" w:color="auto"/>
        </w:pBdr>
        <w:jc w:val="left"/>
        <w:rPr>
          <w:szCs w:val="19"/>
        </w:rPr>
      </w:pPr>
      <w:r w:rsidRPr="00155974">
        <w:rPr>
          <w:szCs w:val="19"/>
        </w:rPr>
        <w:t>In Appendix E</w:t>
      </w:r>
      <w:r w:rsidR="001B707B" w:rsidRPr="00155974">
        <w:rPr>
          <w:szCs w:val="19"/>
        </w:rPr>
        <w:t>,</w:t>
      </w:r>
      <w:r w:rsidRPr="00155974">
        <w:rPr>
          <w:szCs w:val="19"/>
        </w:rPr>
        <w:t xml:space="preserve"> paragraph IG 2 is amended.</w:t>
      </w:r>
    </w:p>
    <w:p w14:paraId="76422DC6" w14:textId="5E261624" w:rsidR="00F42DB6" w:rsidRPr="00155974" w:rsidRDefault="00F42DB6" w:rsidP="00BC0971">
      <w:pPr>
        <w:pStyle w:val="NumCPlain1"/>
        <w:numPr>
          <w:ilvl w:val="0"/>
          <w:numId w:val="0"/>
        </w:numPr>
        <w:ind w:left="782" w:hanging="782"/>
        <w:rPr>
          <w:szCs w:val="19"/>
        </w:rPr>
      </w:pPr>
      <w:r w:rsidRPr="00155974">
        <w:rPr>
          <w:szCs w:val="19"/>
        </w:rPr>
        <w:t>IG2</w:t>
      </w:r>
      <w:r w:rsidRPr="00155974">
        <w:tab/>
      </w:r>
      <w:r w:rsidRPr="00155974">
        <w:rPr>
          <w:szCs w:val="19"/>
        </w:rPr>
        <w:t xml:space="preserve">AASB 12 includes specific disclosure requirements regarding both consolidated and unconsolidated structured entities. </w:t>
      </w:r>
      <w:r w:rsidRPr="00155974">
        <w:rPr>
          <w:strike/>
          <w:szCs w:val="19"/>
        </w:rPr>
        <w:t>Some of those disclosures are not required of e</w:t>
      </w:r>
      <w:r w:rsidR="00F24F82" w:rsidRPr="00155974">
        <w:rPr>
          <w:strike/>
          <w:szCs w:val="19"/>
        </w:rPr>
        <w:t>ntities</w:t>
      </w:r>
      <w:r w:rsidRPr="00155974">
        <w:rPr>
          <w:strike/>
          <w:szCs w:val="19"/>
        </w:rPr>
        <w:t xml:space="preserve"> </w:t>
      </w:r>
      <w:r w:rsidRPr="00155974">
        <w:rPr>
          <w:szCs w:val="19"/>
          <w:u w:val="single"/>
        </w:rPr>
        <w:t>Entities</w:t>
      </w:r>
      <w:r w:rsidRPr="00155974">
        <w:rPr>
          <w:szCs w:val="19"/>
        </w:rPr>
        <w:t xml:space="preserve"> preparing general purpose financial statements </w:t>
      </w:r>
      <w:r w:rsidR="002D3D29" w:rsidRPr="00155974">
        <w:rPr>
          <w:strike/>
          <w:szCs w:val="19"/>
        </w:rPr>
        <w:t xml:space="preserve">under </w:t>
      </w:r>
      <w:r w:rsidR="008752A4" w:rsidRPr="00155974">
        <w:rPr>
          <w:strike/>
          <w:szCs w:val="19"/>
        </w:rPr>
        <w:t>Australian</w:t>
      </w:r>
      <w:r w:rsidR="00750C8F" w:rsidRPr="00155974">
        <w:rPr>
          <w:strike/>
          <w:szCs w:val="19"/>
        </w:rPr>
        <w:t xml:space="preserve"> Accounting Standards – Reduced Disclosure </w:t>
      </w:r>
      <w:r w:rsidR="00514723" w:rsidRPr="00155974">
        <w:rPr>
          <w:strike/>
          <w:szCs w:val="19"/>
        </w:rPr>
        <w:t>Requirements</w:t>
      </w:r>
      <w:r w:rsidR="00514723" w:rsidRPr="00155974">
        <w:rPr>
          <w:szCs w:val="19"/>
        </w:rPr>
        <w:t xml:space="preserve"> </w:t>
      </w:r>
      <w:r w:rsidRPr="00155974">
        <w:rPr>
          <w:szCs w:val="19"/>
          <w:u w:val="single"/>
        </w:rPr>
        <w:t xml:space="preserve">that apply </w:t>
      </w:r>
      <w:r w:rsidR="00626F24" w:rsidRPr="00155974">
        <w:rPr>
          <w:szCs w:val="19"/>
          <w:u w:val="single"/>
        </w:rPr>
        <w:t>AASB 1060</w:t>
      </w:r>
      <w:r w:rsidRPr="00155974">
        <w:rPr>
          <w:i/>
          <w:u w:val="single"/>
        </w:rPr>
        <w:t xml:space="preserve"> </w:t>
      </w:r>
      <w:r w:rsidR="00300FA2" w:rsidRPr="00155974">
        <w:rPr>
          <w:i/>
          <w:u w:val="single"/>
        </w:rPr>
        <w:t>General Purpose Financial Statements – Simplified Disclosures for For-Profit and Not-for-Profit Tier 2 Entities</w:t>
      </w:r>
      <w:r w:rsidRPr="00155974">
        <w:rPr>
          <w:szCs w:val="19"/>
          <w:u w:val="single"/>
        </w:rPr>
        <w:t xml:space="preserve"> </w:t>
      </w:r>
      <w:r w:rsidRPr="00155974">
        <w:rPr>
          <w:u w:val="single"/>
        </w:rPr>
        <w:t>are not required to comply with AASB 12</w:t>
      </w:r>
      <w:r w:rsidRPr="00155974">
        <w:rPr>
          <w:szCs w:val="19"/>
        </w:rPr>
        <w:t>.</w:t>
      </w:r>
    </w:p>
    <w:p w14:paraId="63E2F46C" w14:textId="5B9D52C1"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F is deleted and replaced by the following</w:t>
      </w:r>
      <w:r w:rsidR="00B42E6A" w:rsidRPr="00155974">
        <w:t xml:space="preserve"> Appendix.</w:t>
      </w:r>
    </w:p>
    <w:p w14:paraId="4CE570F3" w14:textId="46FD7F79" w:rsidR="00F42DB6" w:rsidRPr="00155974" w:rsidRDefault="00F42DB6" w:rsidP="00BC0971">
      <w:pPr>
        <w:pStyle w:val="Heading2"/>
        <w:pBdr>
          <w:bottom w:val="none" w:sz="0" w:space="0" w:color="auto"/>
        </w:pBdr>
        <w:rPr>
          <w:b w:val="0"/>
          <w:sz w:val="22"/>
          <w:szCs w:val="22"/>
        </w:rPr>
      </w:pPr>
      <w:r w:rsidRPr="00155974">
        <w:rPr>
          <w:sz w:val="22"/>
          <w:szCs w:val="22"/>
        </w:rPr>
        <w:t>Appendix F</w:t>
      </w:r>
      <w:r w:rsidR="00BC0971">
        <w:rPr>
          <w:sz w:val="22"/>
          <w:szCs w:val="22"/>
        </w:rPr>
        <w:br/>
      </w:r>
      <w:r w:rsidRPr="00155974">
        <w:rPr>
          <w:sz w:val="22"/>
          <w:szCs w:val="22"/>
        </w:rPr>
        <w:t>Australian simplified disclosures for Tier 2 entities</w:t>
      </w:r>
    </w:p>
    <w:p w14:paraId="192B080D" w14:textId="77777777" w:rsidR="00F42DB6" w:rsidRPr="00155974" w:rsidRDefault="00F42DB6" w:rsidP="00352573">
      <w:pPr>
        <w:spacing w:before="100" w:after="100"/>
        <w:jc w:val="left"/>
        <w:rPr>
          <w:i/>
          <w:szCs w:val="19"/>
        </w:rPr>
      </w:pPr>
      <w:r w:rsidRPr="00155974">
        <w:rPr>
          <w:i/>
          <w:szCs w:val="19"/>
        </w:rPr>
        <w:t>This appendix is an integral part of the Standard.</w:t>
      </w:r>
    </w:p>
    <w:p w14:paraId="22E0922C" w14:textId="762C4874" w:rsidR="00F42DB6" w:rsidRPr="00155974" w:rsidRDefault="00F42DB6" w:rsidP="007A6BC8">
      <w:pPr>
        <w:pStyle w:val="NumCPlain1"/>
        <w:numPr>
          <w:ilvl w:val="0"/>
          <w:numId w:val="0"/>
        </w:numPr>
        <w:ind w:left="782" w:hanging="782"/>
        <w:rPr>
          <w:b/>
          <w:i/>
        </w:rPr>
      </w:pPr>
      <w:r w:rsidRPr="00155974">
        <w:rPr>
          <w:b/>
        </w:rPr>
        <w:t>AusF1</w:t>
      </w:r>
      <w:r w:rsidRPr="00155974">
        <w:rPr>
          <w:b/>
        </w:rPr>
        <w:tab/>
        <w:t xml:space="preserve">This Standard does not apply to entities preparing general purpose financial statements that apply </w:t>
      </w:r>
      <w:r w:rsidR="00626F24" w:rsidRPr="002F66AB">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6CC0C61F" w14:textId="758A54F6"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13 </w:t>
      </w:r>
      <w:r w:rsidRPr="00155974">
        <w:rPr>
          <w:rFonts w:ascii="Arial" w:hAnsi="Arial" w:cs="Arial"/>
          <w:b/>
          <w:i/>
          <w:sz w:val="24"/>
          <w:szCs w:val="24"/>
        </w:rPr>
        <w:t>Fair Value Measurement</w:t>
      </w:r>
      <w:r w:rsidR="00886D46" w:rsidRPr="00155974">
        <w:rPr>
          <w:rFonts w:ascii="Arial" w:hAnsi="Arial" w:cs="Arial"/>
          <w:b/>
          <w:i/>
          <w:sz w:val="24"/>
          <w:szCs w:val="24"/>
        </w:rPr>
        <w:t xml:space="preserve"> </w:t>
      </w:r>
      <w:r w:rsidR="00886D46" w:rsidRPr="00155974">
        <w:rPr>
          <w:rFonts w:ascii="Arial" w:hAnsi="Arial" w:cs="Arial"/>
          <w:b/>
          <w:iCs/>
          <w:sz w:val="24"/>
          <w:szCs w:val="24"/>
        </w:rPr>
        <w:t>(</w:t>
      </w:r>
      <w:r w:rsidR="0056183B" w:rsidRPr="00155974">
        <w:rPr>
          <w:rFonts w:ascii="Arial" w:hAnsi="Arial" w:cs="Arial"/>
          <w:b/>
          <w:iCs/>
          <w:sz w:val="24"/>
          <w:szCs w:val="24"/>
        </w:rPr>
        <w:t>August 2015)</w:t>
      </w:r>
    </w:p>
    <w:p w14:paraId="3A7D7558" w14:textId="3D7CA10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56183B" w:rsidRPr="00155974">
        <w:t xml:space="preserve"> Appendix</w:t>
      </w:r>
      <w:r w:rsidR="001955F8" w:rsidRPr="00155974">
        <w:t>.</w:t>
      </w:r>
    </w:p>
    <w:p w14:paraId="2685C822" w14:textId="18C16629" w:rsidR="00F42DB6" w:rsidRPr="00155974" w:rsidRDefault="00F42DB6" w:rsidP="00BC0971">
      <w:pPr>
        <w:pStyle w:val="Heading2"/>
        <w:pBdr>
          <w:bottom w:val="none" w:sz="0" w:space="0" w:color="auto"/>
        </w:pBdr>
        <w:rPr>
          <w:b w:val="0"/>
          <w:sz w:val="22"/>
          <w:szCs w:val="22"/>
        </w:rPr>
      </w:pPr>
      <w:r w:rsidRPr="00155974">
        <w:rPr>
          <w:sz w:val="22"/>
          <w:szCs w:val="22"/>
        </w:rPr>
        <w:t>Appendix E</w:t>
      </w:r>
      <w:r w:rsidR="00BC0971">
        <w:rPr>
          <w:sz w:val="22"/>
          <w:szCs w:val="22"/>
        </w:rPr>
        <w:br/>
      </w:r>
      <w:r w:rsidRPr="00155974">
        <w:rPr>
          <w:sz w:val="22"/>
          <w:szCs w:val="22"/>
        </w:rPr>
        <w:t>Australian simplified disclosures for Tier 2 entities</w:t>
      </w:r>
    </w:p>
    <w:p w14:paraId="755B8D4D" w14:textId="77777777" w:rsidR="00F42DB6" w:rsidRPr="00155974" w:rsidRDefault="00F42DB6" w:rsidP="00352573">
      <w:pPr>
        <w:spacing w:before="100" w:after="100"/>
        <w:jc w:val="left"/>
        <w:rPr>
          <w:i/>
          <w:szCs w:val="19"/>
        </w:rPr>
      </w:pPr>
      <w:r w:rsidRPr="00155974">
        <w:rPr>
          <w:i/>
          <w:szCs w:val="19"/>
        </w:rPr>
        <w:t>This appendix is an integral part of the Standard.</w:t>
      </w:r>
    </w:p>
    <w:p w14:paraId="5448B1B7" w14:textId="1BE48121" w:rsidR="00F42DB6" w:rsidRPr="00155974" w:rsidRDefault="00F42DB6" w:rsidP="007A6BC8">
      <w:pPr>
        <w:pStyle w:val="NumCPlain1"/>
        <w:numPr>
          <w:ilvl w:val="0"/>
          <w:numId w:val="0"/>
        </w:numPr>
        <w:ind w:left="782" w:hanging="782"/>
        <w:rPr>
          <w:b/>
          <w:i/>
        </w:rPr>
      </w:pPr>
      <w:r w:rsidRPr="00155974">
        <w:rPr>
          <w:b/>
        </w:rPr>
        <w:t>AusE1</w:t>
      </w:r>
      <w:r w:rsidRPr="00155974">
        <w:rPr>
          <w:b/>
        </w:rPr>
        <w:tab/>
        <w:t>Paragraphs 91</w:t>
      </w:r>
      <w:r w:rsidR="0002741E" w:rsidRPr="00155974">
        <w:rPr>
          <w:b/>
        </w:rPr>
        <w:t>–</w:t>
      </w:r>
      <w:r w:rsidRPr="00155974">
        <w:rPr>
          <w:b/>
        </w:rPr>
        <w:t xml:space="preserve">99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3D6A54E" w14:textId="1FF1FD54"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15 </w:t>
      </w:r>
      <w:r w:rsidRPr="00155974">
        <w:rPr>
          <w:rFonts w:ascii="Arial" w:hAnsi="Arial" w:cs="Arial"/>
          <w:b/>
          <w:i/>
          <w:sz w:val="24"/>
          <w:szCs w:val="24"/>
        </w:rPr>
        <w:t>Revenue from Contracts with Customers</w:t>
      </w:r>
      <w:r w:rsidR="0056183B" w:rsidRPr="00155974">
        <w:rPr>
          <w:rFonts w:ascii="Arial" w:hAnsi="Arial" w:cs="Arial"/>
          <w:b/>
          <w:i/>
          <w:sz w:val="24"/>
          <w:szCs w:val="24"/>
        </w:rPr>
        <w:t xml:space="preserve"> </w:t>
      </w:r>
      <w:r w:rsidR="00CC22A2" w:rsidRPr="00155974">
        <w:rPr>
          <w:rFonts w:ascii="Arial" w:hAnsi="Arial" w:cs="Arial"/>
          <w:b/>
          <w:iCs/>
          <w:sz w:val="24"/>
          <w:szCs w:val="24"/>
        </w:rPr>
        <w:t>(December 2014)</w:t>
      </w:r>
    </w:p>
    <w:p w14:paraId="5C90636C" w14:textId="713AB7D3" w:rsidR="00F42DB6" w:rsidRPr="00155974" w:rsidRDefault="00F42DB6" w:rsidP="00F42DB6">
      <w:pPr>
        <w:pStyle w:val="NumCPlain1"/>
        <w:numPr>
          <w:ilvl w:val="0"/>
          <w:numId w:val="0"/>
        </w:numPr>
        <w:pBdr>
          <w:top w:val="single" w:sz="4" w:space="1" w:color="auto"/>
          <w:left w:val="single" w:sz="4" w:space="4" w:color="auto"/>
          <w:bottom w:val="single" w:sz="4" w:space="1" w:color="auto"/>
          <w:right w:val="single" w:sz="4" w:space="4" w:color="auto"/>
        </w:pBdr>
        <w:rPr>
          <w:b/>
        </w:rPr>
      </w:pPr>
      <w:r w:rsidRPr="00155974">
        <w:t>Appendix E is deleted and replaced by the following</w:t>
      </w:r>
      <w:r w:rsidR="00CC22A2" w:rsidRPr="00155974">
        <w:t xml:space="preserve"> Appendix</w:t>
      </w:r>
      <w:r w:rsidR="00B42E6A" w:rsidRPr="00155974">
        <w:t>.</w:t>
      </w:r>
    </w:p>
    <w:p w14:paraId="68975CDD" w14:textId="5CB8BEF8" w:rsidR="00F42DB6" w:rsidRPr="00155974" w:rsidRDefault="00F42DB6" w:rsidP="00BC0971">
      <w:pPr>
        <w:pStyle w:val="Heading2"/>
        <w:pBdr>
          <w:bottom w:val="none" w:sz="0" w:space="0" w:color="auto"/>
        </w:pBdr>
        <w:rPr>
          <w:b w:val="0"/>
          <w:sz w:val="22"/>
          <w:szCs w:val="22"/>
        </w:rPr>
      </w:pPr>
      <w:r w:rsidRPr="00155974">
        <w:rPr>
          <w:sz w:val="22"/>
          <w:szCs w:val="22"/>
        </w:rPr>
        <w:t>Appendix E</w:t>
      </w:r>
      <w:r w:rsidR="00BC0971">
        <w:rPr>
          <w:sz w:val="22"/>
          <w:szCs w:val="22"/>
        </w:rPr>
        <w:br/>
      </w:r>
      <w:r w:rsidRPr="00155974">
        <w:rPr>
          <w:sz w:val="22"/>
          <w:szCs w:val="22"/>
        </w:rPr>
        <w:t>Australian simplified disclosures for Tier 2 entities</w:t>
      </w:r>
    </w:p>
    <w:p w14:paraId="11D27B35" w14:textId="77777777" w:rsidR="00F42DB6" w:rsidRPr="00155974" w:rsidRDefault="00F42DB6" w:rsidP="00352573">
      <w:pPr>
        <w:spacing w:before="100" w:after="100"/>
        <w:rPr>
          <w:i/>
          <w:szCs w:val="19"/>
        </w:rPr>
      </w:pPr>
      <w:r w:rsidRPr="00155974">
        <w:rPr>
          <w:i/>
          <w:szCs w:val="19"/>
        </w:rPr>
        <w:t>This appendix is an integral part of the Standard.</w:t>
      </w:r>
    </w:p>
    <w:p w14:paraId="52CD4977" w14:textId="07CD1112" w:rsidR="00F42DB6" w:rsidRPr="00155974" w:rsidRDefault="00F42DB6" w:rsidP="007A6BC8">
      <w:pPr>
        <w:pStyle w:val="NumCPlain1"/>
        <w:numPr>
          <w:ilvl w:val="0"/>
          <w:numId w:val="0"/>
        </w:numPr>
        <w:ind w:left="782" w:hanging="782"/>
      </w:pPr>
      <w:r w:rsidRPr="00155974">
        <w:rPr>
          <w:b/>
        </w:rPr>
        <w:t>AusE1</w:t>
      </w:r>
      <w:r w:rsidRPr="00155974">
        <w:rPr>
          <w:b/>
        </w:rPr>
        <w:tab/>
        <w:t>Paragraphs 110</w:t>
      </w:r>
      <w:r w:rsidR="000115DF" w:rsidRPr="00155974">
        <w:rPr>
          <w:b/>
        </w:rPr>
        <w:t>–</w:t>
      </w:r>
      <w:r w:rsidRPr="00155974">
        <w:rPr>
          <w:b/>
        </w:rPr>
        <w:t>129</w:t>
      </w:r>
      <w:r w:rsidR="00221A28" w:rsidRPr="00155974">
        <w:rPr>
          <w:b/>
        </w:rPr>
        <w:t xml:space="preserve"> and B87B89</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8883053" w14:textId="607A64B0"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16 </w:t>
      </w:r>
      <w:r w:rsidRPr="00155974">
        <w:rPr>
          <w:rFonts w:ascii="Arial" w:hAnsi="Arial" w:cs="Arial"/>
          <w:b/>
          <w:i/>
          <w:sz w:val="24"/>
          <w:szCs w:val="24"/>
        </w:rPr>
        <w:t>Leases</w:t>
      </w:r>
      <w:r w:rsidR="00817C51" w:rsidRPr="00155974">
        <w:rPr>
          <w:rFonts w:ascii="Arial" w:hAnsi="Arial" w:cs="Arial"/>
          <w:b/>
          <w:iCs/>
          <w:sz w:val="24"/>
          <w:szCs w:val="24"/>
        </w:rPr>
        <w:t xml:space="preserve"> </w:t>
      </w:r>
      <w:r w:rsidR="00CF20CB" w:rsidRPr="00155974">
        <w:rPr>
          <w:rFonts w:ascii="Arial" w:hAnsi="Arial" w:cs="Arial"/>
          <w:b/>
          <w:iCs/>
          <w:sz w:val="24"/>
          <w:szCs w:val="24"/>
        </w:rPr>
        <w:t>(</w:t>
      </w:r>
      <w:r w:rsidR="00154E1C" w:rsidRPr="00155974">
        <w:rPr>
          <w:rFonts w:ascii="Arial" w:hAnsi="Arial" w:cs="Arial"/>
          <w:b/>
          <w:iCs/>
          <w:sz w:val="24"/>
          <w:szCs w:val="24"/>
        </w:rPr>
        <w:t>February 2016</w:t>
      </w:r>
      <w:r w:rsidR="002D602F" w:rsidRPr="00155974">
        <w:rPr>
          <w:rFonts w:ascii="Arial" w:hAnsi="Arial" w:cs="Arial"/>
          <w:b/>
          <w:iCs/>
          <w:sz w:val="24"/>
          <w:szCs w:val="24"/>
        </w:rPr>
        <w:t>)</w:t>
      </w:r>
    </w:p>
    <w:p w14:paraId="0BB2AEAE" w14:textId="74AB0685" w:rsidR="00F42DB6" w:rsidRPr="00155974" w:rsidRDefault="00F42DB6" w:rsidP="00F42DB6">
      <w:pPr>
        <w:pStyle w:val="NumCPlain1"/>
        <w:numPr>
          <w:ilvl w:val="0"/>
          <w:numId w:val="0"/>
        </w:numPr>
        <w:pBdr>
          <w:top w:val="single" w:sz="4" w:space="1" w:color="auto"/>
          <w:left w:val="single" w:sz="4" w:space="4" w:color="auto"/>
          <w:bottom w:val="single" w:sz="4" w:space="1" w:color="auto"/>
          <w:right w:val="single" w:sz="4" w:space="4" w:color="auto"/>
        </w:pBdr>
        <w:rPr>
          <w:b/>
        </w:rPr>
      </w:pPr>
      <w:r w:rsidRPr="00155974">
        <w:t>Appendix E is deleted and replaced by the following</w:t>
      </w:r>
      <w:r w:rsidR="002D602F" w:rsidRPr="00155974">
        <w:t xml:space="preserve"> Appendix.</w:t>
      </w:r>
    </w:p>
    <w:p w14:paraId="2772A5D1" w14:textId="3FF2CFFC" w:rsidR="00F42DB6" w:rsidRPr="00155974" w:rsidRDefault="00F42DB6" w:rsidP="00BC0971">
      <w:pPr>
        <w:pStyle w:val="Heading2"/>
        <w:pBdr>
          <w:bottom w:val="none" w:sz="0" w:space="0" w:color="auto"/>
        </w:pBdr>
        <w:rPr>
          <w:b w:val="0"/>
          <w:sz w:val="22"/>
          <w:szCs w:val="22"/>
        </w:rPr>
      </w:pPr>
      <w:r w:rsidRPr="00155974">
        <w:rPr>
          <w:sz w:val="22"/>
          <w:szCs w:val="22"/>
        </w:rPr>
        <w:t>Appendix E</w:t>
      </w:r>
      <w:r w:rsidR="00BC0971">
        <w:rPr>
          <w:sz w:val="22"/>
          <w:szCs w:val="22"/>
        </w:rPr>
        <w:br/>
      </w:r>
      <w:r w:rsidRPr="00155974">
        <w:rPr>
          <w:sz w:val="22"/>
          <w:szCs w:val="22"/>
        </w:rPr>
        <w:t>Australian simplified disclosures for Tier 2 entities</w:t>
      </w:r>
    </w:p>
    <w:p w14:paraId="744FFEF1" w14:textId="77777777" w:rsidR="00F42DB6" w:rsidRPr="00155974" w:rsidRDefault="00F42DB6" w:rsidP="00352573">
      <w:pPr>
        <w:spacing w:before="100" w:after="100"/>
        <w:rPr>
          <w:i/>
          <w:szCs w:val="19"/>
        </w:rPr>
      </w:pPr>
      <w:r w:rsidRPr="00155974">
        <w:rPr>
          <w:i/>
          <w:szCs w:val="19"/>
        </w:rPr>
        <w:t>This appendix is an integral part of the Standard.</w:t>
      </w:r>
    </w:p>
    <w:p w14:paraId="3BF45059" w14:textId="6A3B436A" w:rsidR="00F42DB6" w:rsidRPr="00155974" w:rsidRDefault="00F42DB6" w:rsidP="007A6BC8">
      <w:pPr>
        <w:pStyle w:val="NumCPlain1"/>
        <w:numPr>
          <w:ilvl w:val="0"/>
          <w:numId w:val="0"/>
        </w:numPr>
        <w:ind w:left="782" w:hanging="782"/>
        <w:rPr>
          <w:b/>
          <w:i/>
        </w:rPr>
      </w:pPr>
      <w:r w:rsidRPr="00155974">
        <w:rPr>
          <w:b/>
        </w:rPr>
        <w:t>AusE1</w:t>
      </w:r>
      <w:r w:rsidRPr="00155974">
        <w:rPr>
          <w:b/>
        </w:rPr>
        <w:tab/>
      </w:r>
      <w:r w:rsidR="005B6F2E" w:rsidRPr="00155974">
        <w:rPr>
          <w:b/>
        </w:rPr>
        <w:t>Paragraphs</w:t>
      </w:r>
      <w:r w:rsidR="00330D84" w:rsidRPr="00155974">
        <w:rPr>
          <w:b/>
        </w:rPr>
        <w:t xml:space="preserve"> 51</w:t>
      </w:r>
      <w:r w:rsidR="000115DF" w:rsidRPr="00155974">
        <w:rPr>
          <w:b/>
        </w:rPr>
        <w:t>–</w:t>
      </w:r>
      <w:r w:rsidR="00330D84" w:rsidRPr="00155974">
        <w:rPr>
          <w:b/>
        </w:rPr>
        <w:t>60, 89</w:t>
      </w:r>
      <w:r w:rsidR="000115DF" w:rsidRPr="00155974">
        <w:rPr>
          <w:b/>
        </w:rPr>
        <w:t>–</w:t>
      </w:r>
      <w:r w:rsidR="00330D84" w:rsidRPr="00155974">
        <w:rPr>
          <w:b/>
        </w:rPr>
        <w:t>92 and B48</w:t>
      </w:r>
      <w:r w:rsidR="000115DF" w:rsidRPr="00155974">
        <w:rPr>
          <w:b/>
        </w:rPr>
        <w:t>–</w:t>
      </w:r>
      <w:r w:rsidR="004A74C6" w:rsidRPr="00155974">
        <w:rPr>
          <w:b/>
        </w:rPr>
        <w:t>B</w:t>
      </w:r>
      <w:r w:rsidR="00330D84" w:rsidRPr="00155974">
        <w:rPr>
          <w:b/>
        </w:rPr>
        <w:t>52</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B55A3F" w:rsidRPr="00155974">
        <w:rPr>
          <w:b/>
          <w:i/>
        </w:rPr>
        <w:t>.</w:t>
      </w:r>
    </w:p>
    <w:p w14:paraId="5DBFD1DA" w14:textId="3B5F3CD4"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101 </w:t>
      </w:r>
      <w:r w:rsidRPr="00155974">
        <w:rPr>
          <w:rFonts w:ascii="Arial" w:hAnsi="Arial" w:cs="Arial"/>
          <w:b/>
          <w:i/>
          <w:sz w:val="24"/>
          <w:szCs w:val="24"/>
        </w:rPr>
        <w:t>Presentation of Financial Statements</w:t>
      </w:r>
      <w:r w:rsidR="002D602F" w:rsidRPr="00155974">
        <w:rPr>
          <w:rFonts w:ascii="Arial" w:hAnsi="Arial" w:cs="Arial"/>
          <w:b/>
          <w:i/>
          <w:sz w:val="24"/>
          <w:szCs w:val="24"/>
        </w:rPr>
        <w:t xml:space="preserve"> </w:t>
      </w:r>
      <w:r w:rsidR="002D602F" w:rsidRPr="00155974">
        <w:rPr>
          <w:rFonts w:ascii="Arial" w:hAnsi="Arial" w:cs="Arial"/>
          <w:b/>
          <w:iCs/>
          <w:sz w:val="24"/>
          <w:szCs w:val="24"/>
        </w:rPr>
        <w:t>(</w:t>
      </w:r>
      <w:r w:rsidR="006C0CBC" w:rsidRPr="00155974">
        <w:rPr>
          <w:rFonts w:ascii="Arial" w:hAnsi="Arial" w:cs="Arial"/>
          <w:b/>
          <w:iCs/>
          <w:sz w:val="24"/>
          <w:szCs w:val="24"/>
        </w:rPr>
        <w:t>July 2015</w:t>
      </w:r>
      <w:r w:rsidR="002C3161" w:rsidRPr="00155974">
        <w:rPr>
          <w:rFonts w:ascii="Arial" w:hAnsi="Arial" w:cs="Arial"/>
          <w:b/>
          <w:iCs/>
          <w:sz w:val="24"/>
          <w:szCs w:val="24"/>
        </w:rPr>
        <w:t>)</w:t>
      </w:r>
    </w:p>
    <w:p w14:paraId="22E281C5" w14:textId="77777777" w:rsidR="00F42DB6" w:rsidRPr="00155974" w:rsidRDefault="00F42DB6" w:rsidP="00F42DB6">
      <w:pPr>
        <w:pStyle w:val="AusBold"/>
        <w:pBdr>
          <w:top w:val="single" w:sz="4" w:space="1" w:color="auto"/>
          <w:left w:val="single" w:sz="4" w:space="0" w:color="auto"/>
          <w:bottom w:val="single" w:sz="4" w:space="1" w:color="auto"/>
          <w:right w:val="single" w:sz="4" w:space="4" w:color="auto"/>
        </w:pBdr>
        <w:rPr>
          <w:b w:val="0"/>
        </w:rPr>
      </w:pPr>
      <w:r w:rsidRPr="00155974">
        <w:rPr>
          <w:b w:val="0"/>
        </w:rPr>
        <w:t>Paragraph Aus19.1 is amended.</w:t>
      </w:r>
    </w:p>
    <w:p w14:paraId="669939C8" w14:textId="77777777" w:rsidR="00F42DB6" w:rsidRPr="00155974" w:rsidRDefault="00F42DB6" w:rsidP="007A6BC8">
      <w:pPr>
        <w:pStyle w:val="AusBold"/>
        <w:ind w:left="782" w:hanging="782"/>
        <w:rPr>
          <w:b w:val="0"/>
        </w:rPr>
      </w:pPr>
      <w:r w:rsidRPr="00155974">
        <w:rPr>
          <w:b w:val="0"/>
        </w:rPr>
        <w:t>Aus19.1</w:t>
      </w:r>
      <w:r w:rsidRPr="00155974">
        <w:rPr>
          <w:b w:val="0"/>
        </w:rPr>
        <w:tab/>
        <w:t>In relation to paragraph 19, the following shall not depart from a requirement in an Australian Accounting Standard:</w:t>
      </w:r>
    </w:p>
    <w:p w14:paraId="1F4A97FB" w14:textId="7EC4B69D" w:rsidR="00F42DB6" w:rsidRPr="00155974" w:rsidRDefault="00F42DB6" w:rsidP="007A6BC8">
      <w:pPr>
        <w:pStyle w:val="IASBNormalnparaL2"/>
        <w:ind w:left="1564"/>
      </w:pPr>
      <w:r w:rsidRPr="00155974">
        <w:t>(a)</w:t>
      </w:r>
      <w:r w:rsidRPr="00155974">
        <w:tab/>
        <w:t xml:space="preserve">entities required to prepare financial reports under Part 2M.3 of the Corporations Act; </w:t>
      </w:r>
    </w:p>
    <w:p w14:paraId="0BB5485C" w14:textId="77777777" w:rsidR="00F42DB6" w:rsidRPr="00155974" w:rsidRDefault="00F42DB6" w:rsidP="007A6BC8">
      <w:pPr>
        <w:pStyle w:val="IASBNormalnparaL2"/>
        <w:ind w:left="1564"/>
      </w:pPr>
      <w:r w:rsidRPr="00155974">
        <w:t>(b)</w:t>
      </w:r>
      <w:r w:rsidRPr="00155974">
        <w:tab/>
        <w:t>private and public sector not-for-profit entities; and</w:t>
      </w:r>
    </w:p>
    <w:p w14:paraId="00F7D60B" w14:textId="05A40522" w:rsidR="00F35CD0" w:rsidRPr="00155974" w:rsidRDefault="00F42DB6" w:rsidP="00C73896">
      <w:pPr>
        <w:pStyle w:val="IASBNormalnparaL2"/>
        <w:spacing w:after="240"/>
        <w:ind w:left="1564"/>
      </w:pPr>
      <w:r w:rsidRPr="00155974">
        <w:t>(c)</w:t>
      </w:r>
      <w:r w:rsidRPr="00155974">
        <w:tab/>
        <w:t xml:space="preserve">entities applying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23BF05B1" w14:textId="602619AB" w:rsidR="00F42DB6" w:rsidRPr="00155974" w:rsidRDefault="00F42DB6" w:rsidP="008B6421">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2C3161" w:rsidRPr="00155974">
        <w:t xml:space="preserve"> Appendix.</w:t>
      </w:r>
    </w:p>
    <w:p w14:paraId="20102900" w14:textId="3594C879" w:rsidR="00F42DB6" w:rsidRPr="00155974" w:rsidRDefault="00F42DB6" w:rsidP="00BC0971">
      <w:pPr>
        <w:pStyle w:val="Heading2"/>
        <w:pBdr>
          <w:bottom w:val="none" w:sz="0" w:space="0" w:color="auto"/>
        </w:pBdr>
        <w:rPr>
          <w:b w:val="0"/>
          <w:sz w:val="22"/>
          <w:szCs w:val="22"/>
        </w:rPr>
      </w:pPr>
      <w:r w:rsidRPr="00155974">
        <w:rPr>
          <w:sz w:val="22"/>
          <w:szCs w:val="22"/>
        </w:rPr>
        <w:lastRenderedPageBreak/>
        <w:t>Appendix B</w:t>
      </w:r>
      <w:r w:rsidR="00BC0971">
        <w:rPr>
          <w:sz w:val="22"/>
          <w:szCs w:val="22"/>
        </w:rPr>
        <w:br/>
      </w:r>
      <w:r w:rsidRPr="00155974">
        <w:rPr>
          <w:sz w:val="22"/>
          <w:szCs w:val="22"/>
        </w:rPr>
        <w:t>Australian simplified disclosures for Tier 2 entities</w:t>
      </w:r>
    </w:p>
    <w:p w14:paraId="270195C8" w14:textId="77777777" w:rsidR="00F42DB6" w:rsidRPr="00155974" w:rsidRDefault="00F42DB6" w:rsidP="000873F4">
      <w:pPr>
        <w:spacing w:before="100" w:after="100"/>
        <w:jc w:val="left"/>
        <w:rPr>
          <w:i/>
          <w:szCs w:val="19"/>
        </w:rPr>
      </w:pPr>
      <w:r w:rsidRPr="00155974">
        <w:rPr>
          <w:i/>
          <w:szCs w:val="19"/>
        </w:rPr>
        <w:t>This appendix is an integral part of the Standard.</w:t>
      </w:r>
    </w:p>
    <w:p w14:paraId="02DBD6A7" w14:textId="1C3682FC"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This Standard does not apply to entities preparing general purpose financial statements that apply </w:t>
      </w:r>
      <w:r w:rsidR="00626F24" w:rsidRPr="00155974">
        <w:rPr>
          <w:b/>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46C67299" w14:textId="623A5CCB"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102 </w:t>
      </w:r>
      <w:r w:rsidRPr="00155974">
        <w:rPr>
          <w:rFonts w:ascii="Arial" w:hAnsi="Arial" w:cs="Arial"/>
          <w:b/>
          <w:i/>
          <w:sz w:val="24"/>
          <w:szCs w:val="24"/>
        </w:rPr>
        <w:t>Inventories</w:t>
      </w:r>
      <w:r w:rsidR="002C3161" w:rsidRPr="00155974">
        <w:rPr>
          <w:rFonts w:ascii="Arial" w:hAnsi="Arial" w:cs="Arial"/>
          <w:b/>
          <w:sz w:val="24"/>
          <w:szCs w:val="24"/>
        </w:rPr>
        <w:t xml:space="preserve"> (</w:t>
      </w:r>
      <w:r w:rsidR="004D5B41" w:rsidRPr="00155974">
        <w:rPr>
          <w:rFonts w:ascii="Arial" w:hAnsi="Arial" w:cs="Arial"/>
          <w:b/>
          <w:sz w:val="24"/>
          <w:szCs w:val="24"/>
        </w:rPr>
        <w:t>July 2015)</w:t>
      </w:r>
    </w:p>
    <w:p w14:paraId="46273EB0" w14:textId="30B3B0F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130367" w:rsidRPr="00155974">
        <w:t xml:space="preserve"> </w:t>
      </w:r>
      <w:r w:rsidR="004D5B41" w:rsidRPr="00155974">
        <w:t>Appendix.</w:t>
      </w:r>
    </w:p>
    <w:p w14:paraId="17CCC59E" w14:textId="37AE8B0F" w:rsidR="00F42DB6" w:rsidRPr="00155974" w:rsidRDefault="00F42DB6" w:rsidP="00BC0971">
      <w:pPr>
        <w:pStyle w:val="Heading2"/>
        <w:pBdr>
          <w:bottom w:val="none" w:sz="0" w:space="0" w:color="auto"/>
        </w:pBdr>
        <w:rPr>
          <w:b w:val="0"/>
          <w:sz w:val="22"/>
          <w:szCs w:val="22"/>
        </w:rPr>
      </w:pPr>
      <w:r w:rsidRPr="00155974">
        <w:rPr>
          <w:sz w:val="22"/>
          <w:szCs w:val="22"/>
        </w:rPr>
        <w:t>Appendix B</w:t>
      </w:r>
      <w:r w:rsidR="00BC0971">
        <w:rPr>
          <w:sz w:val="22"/>
          <w:szCs w:val="22"/>
        </w:rPr>
        <w:br/>
      </w:r>
      <w:r w:rsidRPr="00155974">
        <w:rPr>
          <w:sz w:val="22"/>
          <w:szCs w:val="22"/>
        </w:rPr>
        <w:t>Australian simplified disclosures for Tier 2 entities</w:t>
      </w:r>
    </w:p>
    <w:p w14:paraId="25C60309" w14:textId="77777777" w:rsidR="00F42DB6" w:rsidRPr="00155974" w:rsidRDefault="00F42DB6" w:rsidP="00BC0971">
      <w:pPr>
        <w:spacing w:before="100" w:after="100"/>
        <w:jc w:val="left"/>
        <w:rPr>
          <w:i/>
          <w:szCs w:val="19"/>
        </w:rPr>
      </w:pPr>
      <w:r w:rsidRPr="00155974">
        <w:rPr>
          <w:i/>
          <w:szCs w:val="19"/>
        </w:rPr>
        <w:t>This appendix is an integral part of the Standard.</w:t>
      </w:r>
    </w:p>
    <w:p w14:paraId="386F326F" w14:textId="724BB7D7"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36</w:t>
      </w:r>
      <w:r w:rsidR="000115DF" w:rsidRPr="00155974">
        <w:rPr>
          <w:b/>
        </w:rPr>
        <w:t>–</w:t>
      </w:r>
      <w:r w:rsidRPr="00155974">
        <w:rPr>
          <w:b/>
        </w:rPr>
        <w:t xml:space="preserve">39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CEE8EB7" w14:textId="5001E904"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107 </w:t>
      </w:r>
      <w:r w:rsidRPr="00155974">
        <w:rPr>
          <w:rFonts w:ascii="Arial" w:hAnsi="Arial" w:cs="Arial"/>
          <w:b/>
          <w:i/>
          <w:sz w:val="24"/>
          <w:szCs w:val="24"/>
        </w:rPr>
        <w:t>Statement of Cash Flows</w:t>
      </w:r>
      <w:r w:rsidR="004D5B41" w:rsidRPr="00155974">
        <w:rPr>
          <w:rFonts w:ascii="Arial" w:hAnsi="Arial" w:cs="Arial"/>
          <w:b/>
          <w:i/>
          <w:sz w:val="24"/>
          <w:szCs w:val="24"/>
        </w:rPr>
        <w:t xml:space="preserve"> </w:t>
      </w:r>
      <w:r w:rsidR="004D5B41" w:rsidRPr="00155974">
        <w:rPr>
          <w:rFonts w:ascii="Arial" w:hAnsi="Arial" w:cs="Arial"/>
          <w:b/>
          <w:iCs/>
          <w:sz w:val="24"/>
          <w:szCs w:val="24"/>
        </w:rPr>
        <w:t>(</w:t>
      </w:r>
      <w:r w:rsidR="00C77283" w:rsidRPr="00155974">
        <w:rPr>
          <w:rFonts w:ascii="Arial" w:hAnsi="Arial" w:cs="Arial"/>
          <w:b/>
          <w:iCs/>
          <w:sz w:val="24"/>
          <w:szCs w:val="24"/>
        </w:rPr>
        <w:t>August 2015)</w:t>
      </w:r>
    </w:p>
    <w:p w14:paraId="06E5B36A" w14:textId="78994A5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C77283" w:rsidRPr="00155974">
        <w:t xml:space="preserve"> Appendix.</w:t>
      </w:r>
    </w:p>
    <w:p w14:paraId="3CF73AF4" w14:textId="091B4F00" w:rsidR="00F42DB6" w:rsidRPr="00155974" w:rsidRDefault="00F42DB6" w:rsidP="00BC0971">
      <w:pPr>
        <w:pStyle w:val="Heading2"/>
        <w:pBdr>
          <w:bottom w:val="none" w:sz="0" w:space="0" w:color="auto"/>
        </w:pBdr>
        <w:rPr>
          <w:b w:val="0"/>
          <w:sz w:val="22"/>
          <w:szCs w:val="22"/>
        </w:rPr>
      </w:pPr>
      <w:r w:rsidRPr="00155974">
        <w:rPr>
          <w:sz w:val="22"/>
          <w:szCs w:val="22"/>
        </w:rPr>
        <w:t>Appendix A</w:t>
      </w:r>
      <w:r w:rsidR="00BC0971">
        <w:rPr>
          <w:sz w:val="22"/>
          <w:szCs w:val="22"/>
        </w:rPr>
        <w:br/>
      </w:r>
      <w:r w:rsidRPr="00155974">
        <w:rPr>
          <w:sz w:val="22"/>
          <w:szCs w:val="22"/>
        </w:rPr>
        <w:t>Australian simplified disclosures for Tier 2 entities</w:t>
      </w:r>
    </w:p>
    <w:p w14:paraId="739D8A7D" w14:textId="77777777" w:rsidR="00F42DB6" w:rsidRPr="00155974" w:rsidRDefault="00F42DB6" w:rsidP="00BC0971">
      <w:pPr>
        <w:spacing w:before="100" w:after="100"/>
        <w:jc w:val="left"/>
        <w:rPr>
          <w:i/>
          <w:szCs w:val="19"/>
        </w:rPr>
      </w:pPr>
      <w:r w:rsidRPr="00155974">
        <w:rPr>
          <w:i/>
          <w:szCs w:val="19"/>
        </w:rPr>
        <w:t>This appendix is an integral part of the Standard.</w:t>
      </w:r>
    </w:p>
    <w:p w14:paraId="7DD6D42B" w14:textId="5DD89915"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This Standard does not apply to entities preparing general purpose financial statements that apply </w:t>
      </w:r>
      <w:r w:rsidR="00626F24" w:rsidRPr="00155974">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35967214" w14:textId="51A3C389"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108 </w:t>
      </w:r>
      <w:r w:rsidRPr="00155974">
        <w:rPr>
          <w:rFonts w:ascii="Arial" w:hAnsi="Arial" w:cs="Arial"/>
          <w:b/>
          <w:i/>
          <w:sz w:val="24"/>
          <w:szCs w:val="24"/>
        </w:rPr>
        <w:t>Accounting Policies, Changes in Accounting Estimates and Errors</w:t>
      </w:r>
      <w:r w:rsidR="00C77283" w:rsidRPr="00155974">
        <w:rPr>
          <w:rFonts w:ascii="Arial" w:hAnsi="Arial" w:cs="Arial"/>
          <w:b/>
          <w:i/>
          <w:sz w:val="24"/>
          <w:szCs w:val="24"/>
        </w:rPr>
        <w:t xml:space="preserve"> </w:t>
      </w:r>
      <w:r w:rsidR="00C77283" w:rsidRPr="00155974">
        <w:rPr>
          <w:rFonts w:ascii="Arial" w:hAnsi="Arial" w:cs="Arial"/>
          <w:b/>
          <w:iCs/>
          <w:sz w:val="24"/>
          <w:szCs w:val="24"/>
        </w:rPr>
        <w:t>(</w:t>
      </w:r>
      <w:r w:rsidR="00B14AD6" w:rsidRPr="00155974">
        <w:rPr>
          <w:rFonts w:ascii="Arial" w:hAnsi="Arial" w:cs="Arial"/>
          <w:b/>
          <w:iCs/>
          <w:sz w:val="24"/>
          <w:szCs w:val="24"/>
        </w:rPr>
        <w:t>August 2015)</w:t>
      </w:r>
    </w:p>
    <w:p w14:paraId="67A337DD" w14:textId="09D0B975" w:rsidR="00F42DB6" w:rsidRPr="00155974" w:rsidRDefault="00B13F21" w:rsidP="000503F7">
      <w:pPr>
        <w:pStyle w:val="NumCPlain1"/>
        <w:numPr>
          <w:ilvl w:val="0"/>
          <w:numId w:val="0"/>
        </w:numPr>
        <w:pBdr>
          <w:top w:val="single" w:sz="4" w:space="1" w:color="auto"/>
          <w:left w:val="single" w:sz="4" w:space="4" w:color="auto"/>
          <w:bottom w:val="single" w:sz="4" w:space="1" w:color="auto"/>
          <w:right w:val="single" w:sz="4" w:space="4" w:color="auto"/>
        </w:pBdr>
        <w:ind w:left="782" w:hanging="782"/>
        <w:jc w:val="left"/>
        <w:rPr>
          <w:szCs w:val="19"/>
        </w:rPr>
      </w:pPr>
      <w:r w:rsidRPr="00155974">
        <w:rPr>
          <w:szCs w:val="19"/>
        </w:rPr>
        <w:t>The</w:t>
      </w:r>
      <w:r w:rsidR="00F42DB6" w:rsidRPr="00155974">
        <w:rPr>
          <w:szCs w:val="19"/>
        </w:rPr>
        <w:t xml:space="preserve"> footnote to paragraph 7 is amended.</w:t>
      </w:r>
    </w:p>
    <w:p w14:paraId="7BA307E0" w14:textId="53E4DD87" w:rsidR="00F42DB6" w:rsidRPr="009C696F" w:rsidRDefault="00F42DB6" w:rsidP="007A6BC8">
      <w:pPr>
        <w:pStyle w:val="NumCPlain1"/>
        <w:numPr>
          <w:ilvl w:val="0"/>
          <w:numId w:val="0"/>
        </w:numPr>
        <w:ind w:left="1418" w:hanging="567"/>
        <w:rPr>
          <w:bCs/>
          <w:iCs/>
          <w:szCs w:val="19"/>
        </w:rPr>
      </w:pPr>
      <w:r w:rsidRPr="00155974">
        <w:rPr>
          <w:szCs w:val="19"/>
        </w:rPr>
        <w:t>2</w:t>
      </w:r>
      <w:r w:rsidRPr="00155974">
        <w:rPr>
          <w:b/>
        </w:rPr>
        <w:tab/>
      </w:r>
      <w:r w:rsidRPr="00155974">
        <w:rPr>
          <w:szCs w:val="19"/>
        </w:rPr>
        <w:t xml:space="preserve">[Aus] The term ‘Australian Accounting Standards’ refers to Standards (including Interpretations) made by the AASB that apply to any reporting period beginning on or after 1 January 2005. In this context, the term encompasses Australian Accounting Standards – </w:t>
      </w:r>
      <w:r w:rsidRPr="00155974">
        <w:rPr>
          <w:strike/>
          <w:szCs w:val="19"/>
        </w:rPr>
        <w:t>Reduced Disclosure Requirements</w:t>
      </w:r>
      <w:r w:rsidRPr="00155974">
        <w:rPr>
          <w:szCs w:val="19"/>
        </w:rPr>
        <w:t xml:space="preserve"> </w:t>
      </w:r>
      <w:r w:rsidRPr="00155974">
        <w:rPr>
          <w:u w:val="single"/>
        </w:rPr>
        <w:t>Simplified Disclosures</w:t>
      </w:r>
      <w:r w:rsidRPr="00155974">
        <w:rPr>
          <w:szCs w:val="19"/>
        </w:rPr>
        <w:t xml:space="preserve">, which some entities are permitted to apply in accordance with AASB 1053 </w:t>
      </w:r>
      <w:r w:rsidRPr="00155974">
        <w:rPr>
          <w:i/>
          <w:szCs w:val="19"/>
        </w:rPr>
        <w:t>Application of Tiers of Australian Accounting Standards</w:t>
      </w:r>
      <w:r w:rsidRPr="00155974">
        <w:rPr>
          <w:szCs w:val="19"/>
        </w:rPr>
        <w:t xml:space="preserve"> in preparing general purpose financial statements.</w:t>
      </w:r>
    </w:p>
    <w:p w14:paraId="38722079" w14:textId="2BC53463"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B14AD6" w:rsidRPr="00155974">
        <w:t xml:space="preserve"> Appendix.</w:t>
      </w:r>
    </w:p>
    <w:p w14:paraId="0342A344" w14:textId="12647FD3" w:rsidR="00F42DB6" w:rsidRPr="00155974" w:rsidRDefault="00F42DB6" w:rsidP="00BC0971">
      <w:pPr>
        <w:pStyle w:val="Heading2"/>
        <w:pBdr>
          <w:bottom w:val="none" w:sz="0" w:space="0" w:color="auto"/>
        </w:pBdr>
        <w:rPr>
          <w:b w:val="0"/>
          <w:sz w:val="22"/>
          <w:szCs w:val="22"/>
        </w:rPr>
      </w:pPr>
      <w:r w:rsidRPr="00155974">
        <w:rPr>
          <w:sz w:val="22"/>
          <w:szCs w:val="22"/>
        </w:rPr>
        <w:t>Appendix A</w:t>
      </w:r>
      <w:r w:rsidR="00BC0971">
        <w:rPr>
          <w:sz w:val="22"/>
          <w:szCs w:val="22"/>
        </w:rPr>
        <w:br/>
      </w:r>
      <w:r w:rsidRPr="00155974">
        <w:rPr>
          <w:sz w:val="22"/>
          <w:szCs w:val="22"/>
        </w:rPr>
        <w:t>Australian simplified disclosures for Tier 2 entities</w:t>
      </w:r>
    </w:p>
    <w:p w14:paraId="2E7E1EED" w14:textId="77777777" w:rsidR="00F42DB6" w:rsidRPr="00155974" w:rsidRDefault="00F42DB6" w:rsidP="00BC0971">
      <w:pPr>
        <w:spacing w:before="100" w:after="100"/>
        <w:jc w:val="left"/>
        <w:rPr>
          <w:i/>
          <w:szCs w:val="19"/>
        </w:rPr>
      </w:pPr>
      <w:r w:rsidRPr="00155974">
        <w:rPr>
          <w:i/>
          <w:szCs w:val="19"/>
        </w:rPr>
        <w:t>This appendix is an integral part of the Standard.</w:t>
      </w:r>
    </w:p>
    <w:p w14:paraId="37753EEB" w14:textId="3298C1EA"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28</w:t>
      </w:r>
      <w:r w:rsidR="009B70C1">
        <w:rPr>
          <w:b/>
        </w:rPr>
        <w:t>–</w:t>
      </w:r>
      <w:r w:rsidRPr="00155974">
        <w:rPr>
          <w:b/>
        </w:rPr>
        <w:t>31, 39</w:t>
      </w:r>
      <w:r w:rsidR="000115DF" w:rsidRPr="00155974">
        <w:rPr>
          <w:b/>
        </w:rPr>
        <w:t>–</w:t>
      </w:r>
      <w:r w:rsidRPr="00155974">
        <w:rPr>
          <w:b/>
        </w:rPr>
        <w:t xml:space="preserve">40 and 49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7FB9F87" w14:textId="3C5C52E1" w:rsidR="00F42DB6" w:rsidRPr="00155974" w:rsidRDefault="00F42DB6" w:rsidP="00CA60EB">
      <w:pPr>
        <w:pStyle w:val="NumCPlain1"/>
        <w:keepNext/>
        <w:keepLines/>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110 </w:t>
      </w:r>
      <w:r w:rsidRPr="00155974">
        <w:rPr>
          <w:rFonts w:ascii="Arial" w:hAnsi="Arial" w:cs="Arial"/>
          <w:b/>
          <w:i/>
          <w:sz w:val="24"/>
          <w:szCs w:val="24"/>
        </w:rPr>
        <w:t>Events after the Reporting Period</w:t>
      </w:r>
      <w:r w:rsidR="00E96ECD" w:rsidRPr="00155974">
        <w:rPr>
          <w:rFonts w:ascii="Arial" w:hAnsi="Arial" w:cs="Arial"/>
          <w:b/>
          <w:i/>
          <w:sz w:val="24"/>
          <w:szCs w:val="24"/>
        </w:rPr>
        <w:t xml:space="preserve"> </w:t>
      </w:r>
      <w:r w:rsidR="00E96ECD" w:rsidRPr="00155974">
        <w:rPr>
          <w:rFonts w:ascii="Arial" w:hAnsi="Arial" w:cs="Arial"/>
          <w:b/>
          <w:iCs/>
          <w:sz w:val="24"/>
          <w:szCs w:val="24"/>
        </w:rPr>
        <w:t>(</w:t>
      </w:r>
      <w:r w:rsidR="001E6A6B" w:rsidRPr="00155974">
        <w:rPr>
          <w:rFonts w:ascii="Arial" w:hAnsi="Arial" w:cs="Arial"/>
          <w:b/>
          <w:iCs/>
          <w:sz w:val="24"/>
          <w:szCs w:val="24"/>
        </w:rPr>
        <w:t>August 2015</w:t>
      </w:r>
      <w:r w:rsidR="003460CD" w:rsidRPr="00155974">
        <w:rPr>
          <w:rFonts w:ascii="Arial" w:hAnsi="Arial" w:cs="Arial"/>
          <w:b/>
          <w:iCs/>
          <w:sz w:val="24"/>
          <w:szCs w:val="24"/>
        </w:rPr>
        <w:t>)</w:t>
      </w:r>
    </w:p>
    <w:p w14:paraId="7B23D5EE" w14:textId="47777289" w:rsidR="00F42DB6" w:rsidRPr="00155974" w:rsidRDefault="00F42DB6" w:rsidP="009C696F">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B14AD6" w:rsidRPr="00155974">
        <w:t xml:space="preserve"> Appendix.</w:t>
      </w:r>
    </w:p>
    <w:p w14:paraId="43D22629" w14:textId="24FD3A65"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700EDDBD" w14:textId="77777777" w:rsidR="00F42DB6" w:rsidRPr="00155974" w:rsidRDefault="00F42DB6" w:rsidP="009C696F">
      <w:pPr>
        <w:spacing w:before="100" w:after="100"/>
        <w:jc w:val="left"/>
        <w:rPr>
          <w:i/>
          <w:szCs w:val="19"/>
        </w:rPr>
      </w:pPr>
      <w:r w:rsidRPr="00155974">
        <w:rPr>
          <w:i/>
          <w:szCs w:val="19"/>
        </w:rPr>
        <w:t>This appendix is an integral part of the Standard.</w:t>
      </w:r>
    </w:p>
    <w:p w14:paraId="055D9C9E" w14:textId="1009C30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13, 16 and 17</w:t>
      </w:r>
      <w:r w:rsidR="000115DF" w:rsidRPr="00155974">
        <w:rPr>
          <w:b/>
        </w:rPr>
        <w:t>–</w:t>
      </w:r>
      <w:r w:rsidRPr="00155974">
        <w:rPr>
          <w:b/>
        </w:rPr>
        <w:t xml:space="preserve">22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20C192C" w14:textId="2400E389" w:rsidR="00F42DB6" w:rsidRPr="00155974" w:rsidRDefault="00F42DB6" w:rsidP="007A6BC8">
      <w:pPr>
        <w:keepNext/>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112 </w:t>
      </w:r>
      <w:r w:rsidRPr="00155974">
        <w:rPr>
          <w:rFonts w:ascii="Arial" w:hAnsi="Arial" w:cs="Arial"/>
          <w:b/>
          <w:i/>
          <w:sz w:val="24"/>
          <w:szCs w:val="24"/>
        </w:rPr>
        <w:t>Income Taxes</w:t>
      </w:r>
      <w:r w:rsidRPr="00155974">
        <w:rPr>
          <w:rFonts w:ascii="Arial" w:hAnsi="Arial" w:cs="Arial"/>
          <w:b/>
          <w:sz w:val="24"/>
          <w:szCs w:val="24"/>
        </w:rPr>
        <w:t xml:space="preserve"> </w:t>
      </w:r>
      <w:r w:rsidR="00B14AD6" w:rsidRPr="00155974">
        <w:rPr>
          <w:rFonts w:ascii="Arial" w:hAnsi="Arial" w:cs="Arial"/>
          <w:b/>
          <w:sz w:val="24"/>
          <w:szCs w:val="24"/>
        </w:rPr>
        <w:t>(</w:t>
      </w:r>
      <w:r w:rsidR="00E96ECD" w:rsidRPr="00155974">
        <w:rPr>
          <w:rFonts w:ascii="Arial" w:hAnsi="Arial" w:cs="Arial"/>
          <w:b/>
          <w:iCs/>
          <w:sz w:val="24"/>
          <w:szCs w:val="24"/>
        </w:rPr>
        <w:t>August 2015)</w:t>
      </w:r>
    </w:p>
    <w:p w14:paraId="752E7AD5" w14:textId="4C71D0EE"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460CD" w:rsidRPr="00155974">
        <w:t xml:space="preserve"> Appendix.</w:t>
      </w:r>
    </w:p>
    <w:p w14:paraId="7B51012F" w14:textId="5DF400A4"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6DA75504"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47757EDA" w14:textId="2953EFCC"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79</w:t>
      </w:r>
      <w:r w:rsidR="000115DF" w:rsidRPr="00155974">
        <w:rPr>
          <w:b/>
        </w:rPr>
        <w:t>–</w:t>
      </w:r>
      <w:r w:rsidRPr="00155974">
        <w:rPr>
          <w:b/>
        </w:rPr>
        <w:t xml:space="preserve">88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7E334D" w:rsidRPr="007E334D">
        <w:rPr>
          <w:b/>
          <w:iCs/>
        </w:rPr>
        <w:t>.</w:t>
      </w:r>
    </w:p>
    <w:p w14:paraId="0190498A" w14:textId="207873A8"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116 </w:t>
      </w:r>
      <w:r w:rsidRPr="00155974">
        <w:rPr>
          <w:rFonts w:ascii="Arial" w:hAnsi="Arial" w:cs="Arial"/>
          <w:b/>
          <w:i/>
          <w:sz w:val="24"/>
          <w:szCs w:val="24"/>
        </w:rPr>
        <w:t>Property, Plant and Equipment</w:t>
      </w:r>
      <w:r w:rsidRPr="00155974">
        <w:rPr>
          <w:rFonts w:ascii="Arial" w:hAnsi="Arial" w:cs="Arial"/>
          <w:b/>
          <w:sz w:val="24"/>
          <w:szCs w:val="24"/>
        </w:rPr>
        <w:t xml:space="preserve"> </w:t>
      </w:r>
      <w:r w:rsidR="003460CD" w:rsidRPr="00155974">
        <w:rPr>
          <w:rFonts w:ascii="Arial" w:hAnsi="Arial" w:cs="Arial"/>
          <w:b/>
          <w:sz w:val="24"/>
          <w:szCs w:val="24"/>
        </w:rPr>
        <w:t>(</w:t>
      </w:r>
      <w:r w:rsidR="00554FCF" w:rsidRPr="00155974">
        <w:rPr>
          <w:rFonts w:ascii="Arial" w:hAnsi="Arial" w:cs="Arial"/>
          <w:b/>
          <w:iCs/>
          <w:sz w:val="24"/>
          <w:szCs w:val="24"/>
        </w:rPr>
        <w:t>August 2015</w:t>
      </w:r>
      <w:r w:rsidR="00F9075C" w:rsidRPr="00155974">
        <w:rPr>
          <w:rFonts w:ascii="Arial" w:hAnsi="Arial" w:cs="Arial"/>
          <w:b/>
          <w:sz w:val="24"/>
          <w:szCs w:val="24"/>
        </w:rPr>
        <w:t>)</w:t>
      </w:r>
    </w:p>
    <w:p w14:paraId="1761EC88" w14:textId="4569082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554FCF" w:rsidRPr="00155974">
        <w:t xml:space="preserve"> </w:t>
      </w:r>
      <w:r w:rsidR="00F9075C" w:rsidRPr="00155974">
        <w:t>Appendix.</w:t>
      </w:r>
    </w:p>
    <w:p w14:paraId="1B12823A" w14:textId="2E2FA6ED" w:rsidR="00F42DB6" w:rsidRPr="00155974" w:rsidRDefault="00F42DB6" w:rsidP="001B2D4E">
      <w:pPr>
        <w:pStyle w:val="Heading2"/>
        <w:pBdr>
          <w:bottom w:val="none" w:sz="0" w:space="0" w:color="auto"/>
        </w:pBdr>
        <w:rPr>
          <w:b w:val="0"/>
          <w:sz w:val="22"/>
          <w:szCs w:val="22"/>
        </w:rPr>
      </w:pPr>
      <w:r w:rsidRPr="00155974">
        <w:rPr>
          <w:sz w:val="22"/>
          <w:szCs w:val="22"/>
        </w:rPr>
        <w:t>Appendix B</w:t>
      </w:r>
      <w:r w:rsidR="001B2D4E">
        <w:rPr>
          <w:sz w:val="22"/>
          <w:szCs w:val="22"/>
        </w:rPr>
        <w:br/>
      </w:r>
      <w:r w:rsidRPr="00155974">
        <w:rPr>
          <w:sz w:val="22"/>
          <w:szCs w:val="22"/>
        </w:rPr>
        <w:t>Australian simplified disclosures for Tier 2 entities</w:t>
      </w:r>
    </w:p>
    <w:p w14:paraId="301A98D1"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07654C6E" w14:textId="5B29583F"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73</w:t>
      </w:r>
      <w:r w:rsidR="000115DF" w:rsidRPr="00155974">
        <w:rPr>
          <w:b/>
        </w:rPr>
        <w:t>–</w:t>
      </w:r>
      <w:r w:rsidRPr="00155974">
        <w:rPr>
          <w:b/>
        </w:rPr>
        <w:t xml:space="preserve">79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431C029" w14:textId="5B4B0A0D"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119 </w:t>
      </w:r>
      <w:r w:rsidRPr="00155974">
        <w:rPr>
          <w:rFonts w:ascii="Arial" w:hAnsi="Arial" w:cs="Arial"/>
          <w:b/>
          <w:i/>
          <w:sz w:val="24"/>
          <w:szCs w:val="24"/>
        </w:rPr>
        <w:t>Employee Benefits</w:t>
      </w:r>
      <w:r w:rsidRPr="00155974">
        <w:rPr>
          <w:rFonts w:ascii="Arial" w:hAnsi="Arial" w:cs="Arial"/>
          <w:b/>
          <w:sz w:val="24"/>
          <w:szCs w:val="24"/>
        </w:rPr>
        <w:t xml:space="preserve"> </w:t>
      </w:r>
      <w:r w:rsidR="00F9075C" w:rsidRPr="00155974">
        <w:rPr>
          <w:rFonts w:ascii="Arial" w:hAnsi="Arial" w:cs="Arial"/>
          <w:b/>
          <w:sz w:val="24"/>
          <w:szCs w:val="24"/>
        </w:rPr>
        <w:t>(</w:t>
      </w:r>
      <w:r w:rsidR="002229CC" w:rsidRPr="00155974">
        <w:rPr>
          <w:rFonts w:ascii="Arial" w:hAnsi="Arial" w:cs="Arial"/>
          <w:b/>
          <w:iCs/>
          <w:sz w:val="24"/>
          <w:szCs w:val="24"/>
        </w:rPr>
        <w:t>August 2015)</w:t>
      </w:r>
    </w:p>
    <w:p w14:paraId="13A5BCD3" w14:textId="696AF498"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2229CC" w:rsidRPr="00155974">
        <w:t xml:space="preserve"> Appendix.</w:t>
      </w:r>
    </w:p>
    <w:p w14:paraId="1F071E57" w14:textId="408822E5" w:rsidR="00F42DB6" w:rsidRPr="00155974" w:rsidRDefault="00F42DB6" w:rsidP="001B2D4E">
      <w:pPr>
        <w:pStyle w:val="Heading2"/>
        <w:pBdr>
          <w:bottom w:val="none" w:sz="0" w:space="0" w:color="auto"/>
        </w:pBdr>
        <w:rPr>
          <w:b w:val="0"/>
          <w:sz w:val="22"/>
          <w:szCs w:val="22"/>
        </w:rPr>
      </w:pPr>
      <w:r w:rsidRPr="00155974">
        <w:rPr>
          <w:sz w:val="22"/>
          <w:szCs w:val="22"/>
        </w:rPr>
        <w:t>Appendix C</w:t>
      </w:r>
      <w:r w:rsidR="001B2D4E">
        <w:rPr>
          <w:sz w:val="22"/>
          <w:szCs w:val="22"/>
        </w:rPr>
        <w:br/>
      </w:r>
      <w:r w:rsidRPr="00155974">
        <w:rPr>
          <w:sz w:val="22"/>
          <w:szCs w:val="22"/>
        </w:rPr>
        <w:t>Australian simplified disclosures for Tier 2 entities</w:t>
      </w:r>
    </w:p>
    <w:p w14:paraId="6F23A327"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45370E2C" w14:textId="5C2B5741" w:rsidR="00F42DB6" w:rsidRPr="00155974" w:rsidRDefault="00F42DB6" w:rsidP="007A6BC8">
      <w:pPr>
        <w:pStyle w:val="NumCPlain1"/>
        <w:numPr>
          <w:ilvl w:val="0"/>
          <w:numId w:val="0"/>
        </w:numPr>
        <w:ind w:left="782" w:hanging="782"/>
        <w:rPr>
          <w:b/>
          <w:i/>
        </w:rPr>
      </w:pPr>
      <w:r w:rsidRPr="00155974">
        <w:rPr>
          <w:b/>
        </w:rPr>
        <w:t>AusC1</w:t>
      </w:r>
      <w:r w:rsidRPr="00155974">
        <w:rPr>
          <w:b/>
        </w:rPr>
        <w:tab/>
        <w:t>Paragraphs 25, 33(b)</w:t>
      </w:r>
      <w:r w:rsidR="00F80281" w:rsidRPr="00155974">
        <w:rPr>
          <w:b/>
        </w:rPr>
        <w:t xml:space="preserve">, </w:t>
      </w:r>
      <w:r w:rsidRPr="00155974">
        <w:rPr>
          <w:b/>
        </w:rPr>
        <w:t>34(b), 42, 53, 54, 135</w:t>
      </w:r>
      <w:r w:rsidR="000115DF" w:rsidRPr="00155974">
        <w:rPr>
          <w:b/>
        </w:rPr>
        <w:t>–</w:t>
      </w:r>
      <w:r w:rsidRPr="00155974">
        <w:rPr>
          <w:b/>
        </w:rPr>
        <w:t xml:space="preserve">152, 158 and 171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8703FD" w:rsidRPr="00155974">
        <w:rPr>
          <w:b/>
          <w:iCs/>
        </w:rPr>
        <w:t>.</w:t>
      </w:r>
    </w:p>
    <w:p w14:paraId="6C278353" w14:textId="25463CE6" w:rsidR="00F42DB6" w:rsidRPr="00155974" w:rsidRDefault="00F42DB6" w:rsidP="00B94248">
      <w:pPr>
        <w:pStyle w:val="NumCPlain1"/>
        <w:keepNext/>
        <w:numPr>
          <w:ilvl w:val="0"/>
          <w:numId w:val="0"/>
        </w:numPr>
        <w:pBdr>
          <w:bottom w:val="single" w:sz="4" w:space="1" w:color="auto"/>
        </w:pBdr>
        <w:spacing w:before="400" w:after="200"/>
        <w:jc w:val="left"/>
        <w:rPr>
          <w:b/>
        </w:rPr>
      </w:pPr>
      <w:r w:rsidRPr="00155974">
        <w:rPr>
          <w:rFonts w:ascii="Arial" w:hAnsi="Arial" w:cs="Arial"/>
          <w:b/>
          <w:sz w:val="24"/>
          <w:szCs w:val="24"/>
        </w:rPr>
        <w:lastRenderedPageBreak/>
        <w:t xml:space="preserve">AASB 120 </w:t>
      </w:r>
      <w:r w:rsidRPr="00155974">
        <w:rPr>
          <w:rFonts w:ascii="Arial" w:hAnsi="Arial" w:cs="Arial"/>
          <w:b/>
          <w:i/>
          <w:sz w:val="24"/>
          <w:szCs w:val="24"/>
        </w:rPr>
        <w:t>Accounting for Government Grants and Disclosure of Government Assistance</w:t>
      </w:r>
      <w:r w:rsidR="002229CC" w:rsidRPr="00155974">
        <w:rPr>
          <w:rFonts w:ascii="Arial" w:hAnsi="Arial" w:cs="Arial"/>
          <w:b/>
          <w:i/>
          <w:sz w:val="24"/>
          <w:szCs w:val="24"/>
        </w:rPr>
        <w:t xml:space="preserve"> </w:t>
      </w:r>
      <w:r w:rsidR="002229CC" w:rsidRPr="00155974">
        <w:rPr>
          <w:rFonts w:ascii="Arial" w:hAnsi="Arial" w:cs="Arial"/>
          <w:b/>
          <w:iCs/>
          <w:sz w:val="24"/>
          <w:szCs w:val="24"/>
        </w:rPr>
        <w:t>(</w:t>
      </w:r>
      <w:r w:rsidR="00B120AC" w:rsidRPr="00155974">
        <w:rPr>
          <w:rFonts w:ascii="Arial" w:hAnsi="Arial" w:cs="Arial"/>
          <w:b/>
          <w:iCs/>
          <w:sz w:val="24"/>
          <w:szCs w:val="24"/>
        </w:rPr>
        <w:t>August 2015)</w:t>
      </w:r>
    </w:p>
    <w:p w14:paraId="42E60315" w14:textId="77777777" w:rsidR="00F42DB6" w:rsidRPr="00155974" w:rsidRDefault="00F42DB6" w:rsidP="000873F4">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added.</w:t>
      </w:r>
    </w:p>
    <w:p w14:paraId="661BAE4B" w14:textId="6EEAECD6"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4EFA709A"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78BE995C" w14:textId="05BF47D0"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Paragraph 39 does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430E6152" w14:textId="1D8CC4F6"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121 </w:t>
      </w:r>
      <w:r w:rsidRPr="00155974">
        <w:rPr>
          <w:rFonts w:ascii="Arial" w:hAnsi="Arial" w:cs="Arial"/>
          <w:b/>
          <w:i/>
          <w:sz w:val="24"/>
          <w:szCs w:val="24"/>
        </w:rPr>
        <w:t>The Effects of Changes in Foreign Exchange Rates</w:t>
      </w:r>
      <w:r w:rsidR="00B120AC" w:rsidRPr="00155974">
        <w:rPr>
          <w:rFonts w:ascii="Arial" w:hAnsi="Arial" w:cs="Arial"/>
          <w:b/>
          <w:i/>
          <w:sz w:val="24"/>
          <w:szCs w:val="24"/>
        </w:rPr>
        <w:t xml:space="preserve"> </w:t>
      </w:r>
      <w:r w:rsidR="00B120AC" w:rsidRPr="00155974">
        <w:rPr>
          <w:rFonts w:ascii="Arial" w:hAnsi="Arial" w:cs="Arial"/>
          <w:b/>
          <w:iCs/>
          <w:sz w:val="24"/>
          <w:szCs w:val="24"/>
        </w:rPr>
        <w:t>(</w:t>
      </w:r>
      <w:r w:rsidR="00027359" w:rsidRPr="00155974">
        <w:rPr>
          <w:rFonts w:ascii="Arial" w:hAnsi="Arial" w:cs="Arial"/>
          <w:b/>
          <w:iCs/>
          <w:sz w:val="24"/>
          <w:szCs w:val="24"/>
        </w:rPr>
        <w:t>August 2015)</w:t>
      </w:r>
    </w:p>
    <w:p w14:paraId="19B86D38" w14:textId="4736540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027359" w:rsidRPr="00155974">
        <w:t xml:space="preserve"> Appendix.</w:t>
      </w:r>
    </w:p>
    <w:p w14:paraId="4243C5EA" w14:textId="37A5AC44"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3D0C88CF"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24E94F22" w14:textId="163298F5"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51</w:t>
      </w:r>
      <w:r w:rsidR="00811BC0" w:rsidRPr="00155974">
        <w:rPr>
          <w:b/>
        </w:rPr>
        <w:t>–</w:t>
      </w:r>
      <w:r w:rsidRPr="00155974">
        <w:rPr>
          <w:b/>
        </w:rPr>
        <w:t xml:space="preserve">57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58D8E57" w14:textId="076DD3F1"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123 </w:t>
      </w:r>
      <w:r w:rsidRPr="00155974">
        <w:rPr>
          <w:rFonts w:ascii="Arial" w:hAnsi="Arial" w:cs="Arial"/>
          <w:b/>
          <w:i/>
          <w:sz w:val="24"/>
          <w:szCs w:val="24"/>
        </w:rPr>
        <w:t>Borrowing Costs</w:t>
      </w:r>
      <w:r w:rsidR="00AB44A7" w:rsidRPr="00155974">
        <w:rPr>
          <w:rFonts w:ascii="Arial" w:hAnsi="Arial" w:cs="Arial"/>
          <w:b/>
          <w:i/>
          <w:sz w:val="24"/>
          <w:szCs w:val="24"/>
        </w:rPr>
        <w:t xml:space="preserve"> </w:t>
      </w:r>
      <w:r w:rsidR="00AB44A7" w:rsidRPr="00155974">
        <w:rPr>
          <w:rFonts w:ascii="Arial" w:hAnsi="Arial" w:cs="Arial"/>
          <w:b/>
          <w:iCs/>
          <w:sz w:val="24"/>
          <w:szCs w:val="24"/>
        </w:rPr>
        <w:t>(</w:t>
      </w:r>
      <w:r w:rsidR="000C6C94" w:rsidRPr="00155974">
        <w:rPr>
          <w:rFonts w:ascii="Arial" w:hAnsi="Arial" w:cs="Arial"/>
          <w:b/>
          <w:iCs/>
          <w:sz w:val="24"/>
          <w:szCs w:val="24"/>
        </w:rPr>
        <w:t>August 2015)</w:t>
      </w:r>
    </w:p>
    <w:p w14:paraId="429A61EB" w14:textId="0A43084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6C2159" w:rsidRPr="00155974">
        <w:t xml:space="preserve"> </w:t>
      </w:r>
      <w:r w:rsidR="00AB44A7" w:rsidRPr="00155974">
        <w:t>Appendix.</w:t>
      </w:r>
    </w:p>
    <w:p w14:paraId="40772FB7" w14:textId="035C0DE9"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376E4B29"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1D4628E8" w14:textId="2E22B0C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w:t>
      </w:r>
      <w:r w:rsidR="004919FC" w:rsidRPr="00155974">
        <w:rPr>
          <w:b/>
        </w:rPr>
        <w:t>s</w:t>
      </w:r>
      <w:r w:rsidRPr="00155974">
        <w:rPr>
          <w:b/>
        </w:rPr>
        <w:t xml:space="preserve"> 26 and Aus26.1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79C0AEC" w14:textId="33EC97D0"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124 </w:t>
      </w:r>
      <w:r w:rsidRPr="00155974">
        <w:rPr>
          <w:rFonts w:ascii="Arial" w:hAnsi="Arial" w:cs="Arial"/>
          <w:b/>
          <w:i/>
          <w:sz w:val="24"/>
          <w:szCs w:val="24"/>
        </w:rPr>
        <w:t>Related Party Disclosure</w:t>
      </w:r>
      <w:r w:rsidR="000C6C94" w:rsidRPr="00155974">
        <w:rPr>
          <w:rFonts w:ascii="Arial" w:hAnsi="Arial" w:cs="Arial"/>
          <w:b/>
          <w:i/>
          <w:sz w:val="24"/>
          <w:szCs w:val="24"/>
        </w:rPr>
        <w:t xml:space="preserve"> </w:t>
      </w:r>
      <w:r w:rsidR="000C6C94" w:rsidRPr="00155974">
        <w:rPr>
          <w:rFonts w:ascii="Arial" w:hAnsi="Arial" w:cs="Arial"/>
          <w:b/>
          <w:iCs/>
          <w:sz w:val="24"/>
          <w:szCs w:val="24"/>
        </w:rPr>
        <w:t>(</w:t>
      </w:r>
      <w:r w:rsidR="00EE317C" w:rsidRPr="00155974">
        <w:rPr>
          <w:rFonts w:ascii="Arial" w:hAnsi="Arial" w:cs="Arial"/>
          <w:b/>
          <w:iCs/>
          <w:sz w:val="24"/>
          <w:szCs w:val="24"/>
        </w:rPr>
        <w:t>July 2015)</w:t>
      </w:r>
    </w:p>
    <w:p w14:paraId="285BD3E1" w14:textId="48A092C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EE317C" w:rsidRPr="00155974">
        <w:t xml:space="preserve"> Appendix.</w:t>
      </w:r>
    </w:p>
    <w:p w14:paraId="4C59789A" w14:textId="27924CC8" w:rsidR="00F42DB6" w:rsidRPr="00155974" w:rsidRDefault="00F42DB6" w:rsidP="001B2D4E">
      <w:pPr>
        <w:pStyle w:val="Heading2"/>
        <w:pBdr>
          <w:bottom w:val="none" w:sz="0" w:space="0" w:color="auto"/>
        </w:pBdr>
        <w:rPr>
          <w:b w:val="0"/>
          <w:sz w:val="22"/>
          <w:szCs w:val="22"/>
        </w:rPr>
      </w:pPr>
      <w:r w:rsidRPr="00155974">
        <w:rPr>
          <w:sz w:val="22"/>
          <w:szCs w:val="22"/>
        </w:rPr>
        <w:t>Appendix B</w:t>
      </w:r>
      <w:r w:rsidR="001B2D4E">
        <w:rPr>
          <w:sz w:val="22"/>
          <w:szCs w:val="22"/>
        </w:rPr>
        <w:br/>
      </w:r>
      <w:r w:rsidRPr="00155974">
        <w:rPr>
          <w:sz w:val="22"/>
          <w:szCs w:val="22"/>
        </w:rPr>
        <w:t>Australian simplified disclosures for Tier 2 entities</w:t>
      </w:r>
    </w:p>
    <w:p w14:paraId="1F748410"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53FB24AA" w14:textId="03E521A8"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This Standard does not apply to entities preparing general purpose financial statements that apply </w:t>
      </w:r>
      <w:r w:rsidR="00626F24" w:rsidRPr="00155974">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64BA7934" w14:textId="297F972D" w:rsidR="00F42DB6" w:rsidRPr="00155974" w:rsidRDefault="00F42DB6" w:rsidP="00CA60EB">
      <w:pPr>
        <w:pStyle w:val="NumCPlain1"/>
        <w:keepNext/>
        <w:keepLines/>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127 </w:t>
      </w:r>
      <w:r w:rsidRPr="00155974">
        <w:rPr>
          <w:rFonts w:ascii="Arial" w:hAnsi="Arial" w:cs="Arial"/>
          <w:b/>
          <w:i/>
          <w:sz w:val="24"/>
          <w:szCs w:val="24"/>
        </w:rPr>
        <w:t>Separate Financial Statements</w:t>
      </w:r>
      <w:r w:rsidR="00EE317C" w:rsidRPr="00155974">
        <w:rPr>
          <w:rFonts w:ascii="Arial" w:hAnsi="Arial" w:cs="Arial"/>
          <w:b/>
          <w:i/>
          <w:sz w:val="24"/>
          <w:szCs w:val="24"/>
        </w:rPr>
        <w:t xml:space="preserve"> </w:t>
      </w:r>
      <w:r w:rsidR="00EE317C" w:rsidRPr="00155974">
        <w:rPr>
          <w:rFonts w:ascii="Arial" w:hAnsi="Arial" w:cs="Arial"/>
          <w:b/>
          <w:iCs/>
          <w:sz w:val="24"/>
          <w:szCs w:val="24"/>
        </w:rPr>
        <w:t>(</w:t>
      </w:r>
      <w:r w:rsidR="001167D3" w:rsidRPr="00155974">
        <w:rPr>
          <w:rFonts w:ascii="Arial" w:hAnsi="Arial" w:cs="Arial"/>
          <w:b/>
          <w:iCs/>
          <w:sz w:val="24"/>
          <w:szCs w:val="24"/>
        </w:rPr>
        <w:t>August 2015)</w:t>
      </w:r>
    </w:p>
    <w:p w14:paraId="60C8ABDC" w14:textId="532BF572" w:rsidR="00F42DB6" w:rsidRPr="00155974" w:rsidRDefault="00F42DB6" w:rsidP="009C696F">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65C6D" w:rsidRPr="00155974">
        <w:t xml:space="preserve"> </w:t>
      </w:r>
      <w:r w:rsidR="001167D3" w:rsidRPr="00155974">
        <w:t>Appendix.</w:t>
      </w:r>
    </w:p>
    <w:p w14:paraId="04E9693E" w14:textId="6FCD27C7"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09772553" w14:textId="77777777" w:rsidR="00F42DB6" w:rsidRPr="00155974" w:rsidRDefault="00F42DB6" w:rsidP="009C696F">
      <w:pPr>
        <w:spacing w:before="100" w:after="100"/>
        <w:jc w:val="left"/>
        <w:rPr>
          <w:i/>
          <w:szCs w:val="19"/>
        </w:rPr>
      </w:pPr>
      <w:r w:rsidRPr="00155974">
        <w:rPr>
          <w:i/>
          <w:szCs w:val="19"/>
        </w:rPr>
        <w:t>This appendix is an integral part of the Standard.</w:t>
      </w:r>
    </w:p>
    <w:p w14:paraId="3ADFA4AA" w14:textId="0848EF92" w:rsidR="00F42DB6" w:rsidRPr="00155974" w:rsidRDefault="00F42DB6" w:rsidP="007A6BC8">
      <w:pPr>
        <w:pStyle w:val="NumCPlain1"/>
        <w:numPr>
          <w:ilvl w:val="0"/>
          <w:numId w:val="0"/>
        </w:numPr>
        <w:ind w:left="782" w:hanging="782"/>
        <w:rPr>
          <w:b/>
          <w:i/>
        </w:rPr>
      </w:pPr>
      <w:r w:rsidRPr="00155974">
        <w:rPr>
          <w:b/>
        </w:rPr>
        <w:t>AusA1</w:t>
      </w:r>
      <w:r w:rsidRPr="00155974">
        <w:rPr>
          <w:b/>
        </w:rPr>
        <w:tab/>
        <w:t>Paragraph</w:t>
      </w:r>
      <w:r w:rsidR="00765D22" w:rsidRPr="00155974">
        <w:rPr>
          <w:b/>
        </w:rPr>
        <w:t>s</w:t>
      </w:r>
      <w:r w:rsidRPr="00155974">
        <w:rPr>
          <w:b/>
        </w:rPr>
        <w:t xml:space="preserve"> 15</w:t>
      </w:r>
      <w:r w:rsidR="00811BC0" w:rsidRPr="00155974">
        <w:rPr>
          <w:b/>
        </w:rPr>
        <w:t>–</w:t>
      </w:r>
      <w:r w:rsidRPr="00155974">
        <w:rPr>
          <w:b/>
        </w:rPr>
        <w:t xml:space="preserve">17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0BCDA7C" w14:textId="6361B65F" w:rsidR="00F42DB6" w:rsidRPr="00155974" w:rsidRDefault="00F42DB6" w:rsidP="009C696F">
      <w:pPr>
        <w:pStyle w:val="NumCPlain1"/>
        <w:keepNext/>
        <w:numPr>
          <w:ilvl w:val="0"/>
          <w:numId w:val="0"/>
        </w:numPr>
        <w:pBdr>
          <w:bottom w:val="single" w:sz="4" w:space="1" w:color="auto"/>
        </w:pBdr>
        <w:spacing w:before="400" w:after="200"/>
        <w:ind w:left="782" w:hanging="782"/>
        <w:jc w:val="left"/>
        <w:rPr>
          <w:b/>
        </w:rPr>
      </w:pPr>
      <w:r w:rsidRPr="00155974">
        <w:rPr>
          <w:rFonts w:ascii="Arial" w:hAnsi="Arial" w:cs="Arial"/>
          <w:b/>
          <w:sz w:val="24"/>
          <w:szCs w:val="24"/>
        </w:rPr>
        <w:t xml:space="preserve">AASB 128 </w:t>
      </w:r>
      <w:r w:rsidRPr="00155974">
        <w:rPr>
          <w:rFonts w:ascii="Arial" w:hAnsi="Arial" w:cs="Arial"/>
          <w:b/>
          <w:i/>
          <w:sz w:val="24"/>
          <w:szCs w:val="24"/>
        </w:rPr>
        <w:t>Investments in Associates and Joint Ventures</w:t>
      </w:r>
      <w:r w:rsidR="005F7493" w:rsidRPr="00155974">
        <w:rPr>
          <w:rFonts w:ascii="Arial" w:hAnsi="Arial" w:cs="Arial"/>
          <w:b/>
          <w:i/>
          <w:sz w:val="24"/>
          <w:szCs w:val="24"/>
        </w:rPr>
        <w:t xml:space="preserve"> </w:t>
      </w:r>
      <w:r w:rsidR="005F7493" w:rsidRPr="00155974">
        <w:rPr>
          <w:rFonts w:ascii="Arial" w:hAnsi="Arial" w:cs="Arial"/>
          <w:b/>
          <w:iCs/>
          <w:sz w:val="24"/>
          <w:szCs w:val="24"/>
        </w:rPr>
        <w:t>(</w:t>
      </w:r>
      <w:r w:rsidR="00F34BEC" w:rsidRPr="00155974">
        <w:rPr>
          <w:rFonts w:ascii="Arial" w:hAnsi="Arial" w:cs="Arial"/>
          <w:b/>
          <w:iCs/>
          <w:sz w:val="24"/>
          <w:szCs w:val="24"/>
        </w:rPr>
        <w:t>August 2015</w:t>
      </w:r>
      <w:r w:rsidR="00FC583D" w:rsidRPr="00155974">
        <w:rPr>
          <w:rFonts w:ascii="Arial" w:hAnsi="Arial" w:cs="Arial"/>
          <w:b/>
          <w:iCs/>
          <w:sz w:val="24"/>
          <w:szCs w:val="24"/>
        </w:rPr>
        <w:t>)</w:t>
      </w:r>
    </w:p>
    <w:p w14:paraId="5816A0E2"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 Aus17.1 is amended.</w:t>
      </w:r>
    </w:p>
    <w:p w14:paraId="7726F622" w14:textId="77777777" w:rsidR="00F42DB6" w:rsidRPr="00155974" w:rsidRDefault="00F42DB6" w:rsidP="007A6BC8">
      <w:pPr>
        <w:pStyle w:val="AusPlain"/>
        <w:ind w:left="782" w:hanging="782"/>
      </w:pPr>
      <w:r w:rsidRPr="00155974">
        <w:t>Aus17.1</w:t>
      </w:r>
      <w:r w:rsidRPr="00155974">
        <w:tab/>
        <w:t>Notwithstanding paragraph 17(d), an entity that meets the criteria in paragraphs 17(a), 17(b) and 17(c) need not apply the equity method in accounting for an interest in an associate or joint venture if its ultimate or any intermediate parent produces financial statements that are available for public use in which subsidiaries are consolidated or are measured at fair value through profit or loss in accordance with AASB 10 and:</w:t>
      </w:r>
    </w:p>
    <w:p w14:paraId="2CBD761B" w14:textId="77777777" w:rsidR="00F42DB6" w:rsidRPr="00155974" w:rsidRDefault="00F42DB6" w:rsidP="007A6BC8">
      <w:pPr>
        <w:pStyle w:val="IASBNormalnparaL2"/>
        <w:ind w:left="1564"/>
      </w:pPr>
      <w:r w:rsidRPr="00155974">
        <w:t>(a)</w:t>
      </w:r>
      <w:r w:rsidRPr="00155974">
        <w:tab/>
        <w:t>the investor or the joint venturer and its ultimate or intermediate parent are:</w:t>
      </w:r>
    </w:p>
    <w:p w14:paraId="7B68B81B" w14:textId="77777777" w:rsidR="00F42DB6" w:rsidRPr="00155974" w:rsidRDefault="00F42DB6" w:rsidP="007A6BC8">
      <w:pPr>
        <w:pStyle w:val="IASBNormalnparaL3"/>
        <w:ind w:left="2313"/>
      </w:pPr>
      <w:r w:rsidRPr="00155974">
        <w:t>(i)</w:t>
      </w:r>
      <w:r w:rsidRPr="00155974">
        <w:tab/>
        <w:t>both not-for-profit entities complying with Australian Accounting Standards; or</w:t>
      </w:r>
    </w:p>
    <w:p w14:paraId="7B6BDCE4" w14:textId="470F24BE" w:rsidR="00F42DB6" w:rsidRPr="00155974" w:rsidRDefault="00F42DB6" w:rsidP="007A6BC8">
      <w:pPr>
        <w:pStyle w:val="IASBNormalnparaL3"/>
        <w:ind w:left="2313"/>
      </w:pPr>
      <w:r w:rsidRPr="00155974">
        <w:t>(ii)</w:t>
      </w:r>
      <w:r w:rsidRPr="00155974">
        <w:tab/>
        <w:t xml:space="preserve">both entities complying with Australian Accounting Standards – </w:t>
      </w:r>
      <w:r w:rsidRPr="00155974">
        <w:rPr>
          <w:strike/>
        </w:rPr>
        <w:t>Reduced Disclosure Requirements</w:t>
      </w:r>
      <w:r w:rsidRPr="00155974">
        <w:rPr>
          <w:u w:val="single"/>
        </w:rPr>
        <w:t xml:space="preserve"> Simplified Disclosures</w:t>
      </w:r>
      <w:r w:rsidRPr="00155974">
        <w:t>; or</w:t>
      </w:r>
    </w:p>
    <w:p w14:paraId="7406050B" w14:textId="77777777" w:rsidR="00F42DB6" w:rsidRPr="00155974" w:rsidRDefault="00F42DB6" w:rsidP="007A6BC8">
      <w:pPr>
        <w:pStyle w:val="IASBNormalnparaL2"/>
        <w:ind w:left="1564"/>
      </w:pPr>
      <w:r w:rsidRPr="00155974">
        <w:t>(b)</w:t>
      </w:r>
      <w:r w:rsidRPr="00155974">
        <w:tab/>
        <w:t xml:space="preserve">the investor or the joint venturer is an entity complying with Australian Accounting Standards – </w:t>
      </w:r>
      <w:r w:rsidRPr="00155974">
        <w:rPr>
          <w:strike/>
        </w:rPr>
        <w:t>Reduced Disclosure Requirements</w:t>
      </w:r>
      <w:r w:rsidRPr="00155974">
        <w:t xml:space="preserve"> </w:t>
      </w:r>
      <w:r w:rsidRPr="00155974">
        <w:rPr>
          <w:u w:val="single"/>
        </w:rPr>
        <w:t xml:space="preserve">Simplified Disclosures </w:t>
      </w:r>
      <w:r w:rsidRPr="00155974">
        <w:t>and its ultimate or intermediate parent is a not-for-profit entity complying with Australian Accounting Standards.</w:t>
      </w:r>
    </w:p>
    <w:p w14:paraId="25FC7EB1" w14:textId="0AB06596" w:rsidR="00F42DB6" w:rsidRPr="00155974" w:rsidRDefault="00F42DB6" w:rsidP="009C696F">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129 </w:t>
      </w:r>
      <w:r w:rsidRPr="00155974">
        <w:rPr>
          <w:rFonts w:ascii="Arial" w:hAnsi="Arial" w:cs="Arial"/>
          <w:b/>
          <w:i/>
          <w:sz w:val="24"/>
          <w:szCs w:val="24"/>
        </w:rPr>
        <w:t>Financial Reporting in Hyperinflationary Economies</w:t>
      </w:r>
      <w:r w:rsidR="00FC583D" w:rsidRPr="00155974">
        <w:rPr>
          <w:rFonts w:ascii="Arial" w:hAnsi="Arial" w:cs="Arial"/>
          <w:b/>
          <w:i/>
          <w:sz w:val="24"/>
          <w:szCs w:val="24"/>
        </w:rPr>
        <w:t xml:space="preserve"> </w:t>
      </w:r>
      <w:r w:rsidR="00FC583D" w:rsidRPr="00155974">
        <w:rPr>
          <w:rFonts w:ascii="Arial" w:hAnsi="Arial" w:cs="Arial"/>
          <w:b/>
          <w:iCs/>
          <w:sz w:val="24"/>
          <w:szCs w:val="24"/>
        </w:rPr>
        <w:t>(</w:t>
      </w:r>
      <w:r w:rsidR="00CA0B1F" w:rsidRPr="00155974">
        <w:rPr>
          <w:rFonts w:ascii="Arial" w:hAnsi="Arial" w:cs="Arial"/>
          <w:b/>
          <w:iCs/>
          <w:sz w:val="24"/>
          <w:szCs w:val="24"/>
        </w:rPr>
        <w:t>August 2015)</w:t>
      </w:r>
    </w:p>
    <w:p w14:paraId="62952457"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added.</w:t>
      </w:r>
    </w:p>
    <w:p w14:paraId="2C5A25C4" w14:textId="62BBE26A"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19679571" w14:textId="2AA1EBF0" w:rsidR="00F42DB6" w:rsidRPr="00155974" w:rsidRDefault="00F42DB6" w:rsidP="001B2D4E">
      <w:pPr>
        <w:spacing w:before="100" w:after="100"/>
        <w:jc w:val="left"/>
        <w:rPr>
          <w:i/>
          <w:szCs w:val="19"/>
        </w:rPr>
      </w:pPr>
      <w:r w:rsidRPr="00155974">
        <w:rPr>
          <w:i/>
          <w:szCs w:val="19"/>
        </w:rPr>
        <w:t>This appendix is an integral part of the Standard.</w:t>
      </w:r>
    </w:p>
    <w:p w14:paraId="35DCBD3C" w14:textId="711B56BA"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Paragraphs 39 and 40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0546E93" w14:textId="23764948" w:rsidR="00F42DB6" w:rsidRPr="00155974" w:rsidRDefault="00F42DB6" w:rsidP="009C696F">
      <w:pPr>
        <w:pStyle w:val="NumCPlain1"/>
        <w:keepNext/>
        <w:numPr>
          <w:ilvl w:val="0"/>
          <w:numId w:val="0"/>
        </w:numPr>
        <w:pBdr>
          <w:bottom w:val="single" w:sz="4" w:space="1" w:color="auto"/>
        </w:pBdr>
        <w:spacing w:before="400" w:after="200"/>
        <w:ind w:left="782" w:hanging="782"/>
        <w:jc w:val="left"/>
        <w:rPr>
          <w:b/>
        </w:rPr>
      </w:pPr>
      <w:r w:rsidRPr="00155974">
        <w:rPr>
          <w:rFonts w:ascii="Arial" w:hAnsi="Arial" w:cs="Arial"/>
          <w:b/>
          <w:sz w:val="24"/>
          <w:szCs w:val="24"/>
        </w:rPr>
        <w:t xml:space="preserve">AASB 133 </w:t>
      </w:r>
      <w:r w:rsidRPr="00155974">
        <w:rPr>
          <w:rFonts w:ascii="Arial" w:hAnsi="Arial" w:cs="Arial"/>
          <w:b/>
          <w:i/>
          <w:sz w:val="24"/>
          <w:szCs w:val="24"/>
        </w:rPr>
        <w:t>Earnings per Share</w:t>
      </w:r>
      <w:r w:rsidR="00CA0B1F" w:rsidRPr="00155974">
        <w:rPr>
          <w:rFonts w:ascii="Arial" w:hAnsi="Arial" w:cs="Arial"/>
          <w:b/>
          <w:i/>
          <w:sz w:val="24"/>
          <w:szCs w:val="24"/>
        </w:rPr>
        <w:t xml:space="preserve"> </w:t>
      </w:r>
      <w:r w:rsidR="00CA0B1F" w:rsidRPr="00155974">
        <w:rPr>
          <w:rFonts w:ascii="Arial" w:hAnsi="Arial" w:cs="Arial"/>
          <w:b/>
          <w:iCs/>
          <w:sz w:val="24"/>
          <w:szCs w:val="24"/>
        </w:rPr>
        <w:t>(</w:t>
      </w:r>
      <w:r w:rsidR="0022063D" w:rsidRPr="00155974">
        <w:rPr>
          <w:rFonts w:ascii="Arial" w:hAnsi="Arial" w:cs="Arial"/>
          <w:b/>
          <w:iCs/>
          <w:sz w:val="24"/>
          <w:szCs w:val="24"/>
        </w:rPr>
        <w:t>August 2015</w:t>
      </w:r>
      <w:r w:rsidR="003B3EE8" w:rsidRPr="00155974">
        <w:rPr>
          <w:rFonts w:ascii="Arial" w:hAnsi="Arial" w:cs="Arial"/>
          <w:b/>
          <w:iCs/>
          <w:sz w:val="24"/>
          <w:szCs w:val="24"/>
        </w:rPr>
        <w:t>)</w:t>
      </w:r>
    </w:p>
    <w:p w14:paraId="7222FE0D" w14:textId="5873FABE"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22063D" w:rsidRPr="00155974">
        <w:t xml:space="preserve"> </w:t>
      </w:r>
      <w:r w:rsidR="003B3EE8" w:rsidRPr="00155974">
        <w:t>Appendix</w:t>
      </w:r>
      <w:r w:rsidR="00B210DC" w:rsidRPr="00155974">
        <w:t>.</w:t>
      </w:r>
    </w:p>
    <w:p w14:paraId="1BD775DD" w14:textId="2ECE2296" w:rsidR="00F42DB6" w:rsidRPr="00155974" w:rsidRDefault="00F42DB6" w:rsidP="001B2D4E">
      <w:pPr>
        <w:pStyle w:val="Heading2"/>
        <w:pBdr>
          <w:bottom w:val="none" w:sz="0" w:space="0" w:color="auto"/>
        </w:pBdr>
        <w:rPr>
          <w:b w:val="0"/>
          <w:sz w:val="22"/>
          <w:szCs w:val="22"/>
        </w:rPr>
      </w:pPr>
      <w:r w:rsidRPr="00155974">
        <w:rPr>
          <w:sz w:val="22"/>
          <w:szCs w:val="22"/>
        </w:rPr>
        <w:t>Appendix C</w:t>
      </w:r>
      <w:r w:rsidR="001B2D4E">
        <w:rPr>
          <w:sz w:val="22"/>
          <w:szCs w:val="22"/>
        </w:rPr>
        <w:br/>
      </w:r>
      <w:r w:rsidRPr="00155974">
        <w:rPr>
          <w:sz w:val="22"/>
          <w:szCs w:val="22"/>
        </w:rPr>
        <w:t>Australian simplified disclosures for Tier 2 entities</w:t>
      </w:r>
    </w:p>
    <w:p w14:paraId="33D1729B"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05267D8D" w14:textId="31A4A028" w:rsidR="00F42DB6" w:rsidRPr="00155974" w:rsidRDefault="00F42DB6" w:rsidP="007A6BC8">
      <w:pPr>
        <w:pStyle w:val="NumCPlain1"/>
        <w:numPr>
          <w:ilvl w:val="0"/>
          <w:numId w:val="0"/>
        </w:numPr>
        <w:ind w:left="782" w:hanging="782"/>
        <w:rPr>
          <w:b/>
        </w:rPr>
      </w:pPr>
      <w:r w:rsidRPr="00155974">
        <w:rPr>
          <w:b/>
        </w:rPr>
        <w:t>AusC1</w:t>
      </w:r>
      <w:r w:rsidRPr="00155974">
        <w:rPr>
          <w:b/>
        </w:rPr>
        <w:tab/>
        <w:t>Paragraphs 3</w:t>
      </w:r>
      <w:r w:rsidR="004B4E85" w:rsidRPr="00155974">
        <w:rPr>
          <w:b/>
        </w:rPr>
        <w:t>–</w:t>
      </w:r>
      <w:r w:rsidRPr="00155974">
        <w:rPr>
          <w:b/>
        </w:rPr>
        <w:t xml:space="preserve">73A and Appendix </w:t>
      </w:r>
      <w:r w:rsidR="00332537" w:rsidRPr="00155974">
        <w:rPr>
          <w:b/>
        </w:rPr>
        <w:t xml:space="preserve">A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r w:rsidRPr="00155974">
        <w:rPr>
          <w:b/>
        </w:rPr>
        <w:t xml:space="preserve"> If an entity applying </w:t>
      </w:r>
      <w:r w:rsidR="00626F24" w:rsidRPr="00155974">
        <w:rPr>
          <w:b/>
        </w:rPr>
        <w:t>AASB 1060</w:t>
      </w:r>
      <w:r w:rsidRPr="00155974">
        <w:rPr>
          <w:b/>
        </w:rPr>
        <w:t xml:space="preserve"> elects to disclose earnings per share, it shall apply this </w:t>
      </w:r>
      <w:r w:rsidR="00047772" w:rsidRPr="00155974">
        <w:rPr>
          <w:b/>
        </w:rPr>
        <w:t>S</w:t>
      </w:r>
      <w:r w:rsidRPr="00155974">
        <w:rPr>
          <w:b/>
        </w:rPr>
        <w:t xml:space="preserve">tandard in preparing and presenting the information. </w:t>
      </w:r>
    </w:p>
    <w:p w14:paraId="30AB4A83" w14:textId="2CBEC21C" w:rsidR="00F42DB6" w:rsidRPr="00155974" w:rsidRDefault="00F42DB6" w:rsidP="005A53A2">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134 </w:t>
      </w:r>
      <w:r w:rsidRPr="00155974">
        <w:rPr>
          <w:rFonts w:ascii="Arial" w:hAnsi="Arial" w:cs="Arial"/>
          <w:b/>
          <w:i/>
          <w:sz w:val="24"/>
          <w:szCs w:val="24"/>
        </w:rPr>
        <w:t>Interim Financial Reporting</w:t>
      </w:r>
      <w:r w:rsidR="00B210DC" w:rsidRPr="00155974">
        <w:rPr>
          <w:rFonts w:ascii="Arial" w:hAnsi="Arial" w:cs="Arial"/>
          <w:b/>
          <w:i/>
          <w:sz w:val="24"/>
          <w:szCs w:val="24"/>
        </w:rPr>
        <w:t xml:space="preserve"> </w:t>
      </w:r>
      <w:r w:rsidR="00B210DC" w:rsidRPr="00155974">
        <w:rPr>
          <w:rFonts w:ascii="Arial" w:hAnsi="Arial" w:cs="Arial"/>
          <w:b/>
          <w:iCs/>
          <w:sz w:val="24"/>
          <w:szCs w:val="24"/>
        </w:rPr>
        <w:t>(</w:t>
      </w:r>
      <w:r w:rsidR="00AB432C" w:rsidRPr="00155974">
        <w:rPr>
          <w:rFonts w:ascii="Arial" w:hAnsi="Arial" w:cs="Arial"/>
          <w:b/>
          <w:iCs/>
          <w:sz w:val="24"/>
          <w:szCs w:val="24"/>
        </w:rPr>
        <w:t>August 2015</w:t>
      </w:r>
      <w:r w:rsidR="000208B2" w:rsidRPr="00155974">
        <w:rPr>
          <w:rFonts w:ascii="Arial" w:hAnsi="Arial" w:cs="Arial"/>
          <w:b/>
          <w:iCs/>
          <w:sz w:val="24"/>
          <w:szCs w:val="24"/>
        </w:rPr>
        <w:t>)</w:t>
      </w:r>
    </w:p>
    <w:p w14:paraId="36565796"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w:t>
      </w:r>
    </w:p>
    <w:p w14:paraId="296AE0B9" w14:textId="0F1AE401" w:rsidR="00F42DB6" w:rsidRPr="00155974" w:rsidRDefault="00F42DB6" w:rsidP="009C696F">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136 </w:t>
      </w:r>
      <w:r w:rsidRPr="00155974">
        <w:rPr>
          <w:rFonts w:ascii="Arial" w:hAnsi="Arial" w:cs="Arial"/>
          <w:b/>
          <w:i/>
          <w:sz w:val="24"/>
          <w:szCs w:val="24"/>
        </w:rPr>
        <w:t>Impairment of Assets</w:t>
      </w:r>
      <w:r w:rsidR="000208B2" w:rsidRPr="00155974">
        <w:rPr>
          <w:rFonts w:ascii="Arial" w:hAnsi="Arial" w:cs="Arial"/>
          <w:b/>
          <w:i/>
          <w:sz w:val="24"/>
          <w:szCs w:val="24"/>
        </w:rPr>
        <w:t xml:space="preserve"> </w:t>
      </w:r>
      <w:r w:rsidR="000208B2" w:rsidRPr="00155974">
        <w:rPr>
          <w:rFonts w:ascii="Arial" w:hAnsi="Arial" w:cs="Arial"/>
          <w:b/>
          <w:iCs/>
          <w:sz w:val="24"/>
          <w:szCs w:val="24"/>
        </w:rPr>
        <w:t>(</w:t>
      </w:r>
      <w:r w:rsidR="00A139A4" w:rsidRPr="00155974">
        <w:rPr>
          <w:rFonts w:ascii="Arial" w:hAnsi="Arial" w:cs="Arial"/>
          <w:b/>
          <w:iCs/>
          <w:sz w:val="24"/>
          <w:szCs w:val="24"/>
        </w:rPr>
        <w:t>August 2015)</w:t>
      </w:r>
    </w:p>
    <w:p w14:paraId="043BDAC6" w14:textId="74672D2D"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A139A4" w:rsidRPr="00155974">
        <w:t xml:space="preserve"> Appendix.</w:t>
      </w:r>
    </w:p>
    <w:p w14:paraId="6C2C38B8" w14:textId="3FB1119D" w:rsidR="00F42DB6" w:rsidRPr="00155974" w:rsidRDefault="00F42DB6" w:rsidP="001B2D4E">
      <w:pPr>
        <w:pStyle w:val="Heading2"/>
        <w:pBdr>
          <w:bottom w:val="none" w:sz="0" w:space="0" w:color="auto"/>
        </w:pBdr>
        <w:rPr>
          <w:b w:val="0"/>
          <w:sz w:val="22"/>
          <w:szCs w:val="22"/>
        </w:rPr>
      </w:pPr>
      <w:r w:rsidRPr="00155974">
        <w:rPr>
          <w:sz w:val="22"/>
          <w:szCs w:val="22"/>
        </w:rPr>
        <w:t>Appendix E</w:t>
      </w:r>
      <w:r w:rsidR="001B2D4E">
        <w:rPr>
          <w:sz w:val="22"/>
          <w:szCs w:val="22"/>
        </w:rPr>
        <w:br/>
      </w:r>
      <w:r w:rsidRPr="00155974">
        <w:rPr>
          <w:sz w:val="22"/>
          <w:szCs w:val="22"/>
        </w:rPr>
        <w:t>Australian simplified disclosures for Tier 2 entities</w:t>
      </w:r>
    </w:p>
    <w:p w14:paraId="7788D923"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57FEFBF0" w14:textId="13A0F381" w:rsidR="00F42DB6" w:rsidRPr="00155974" w:rsidRDefault="00F42DB6" w:rsidP="007A6BC8">
      <w:pPr>
        <w:pStyle w:val="NumCPlain1"/>
        <w:numPr>
          <w:ilvl w:val="0"/>
          <w:numId w:val="0"/>
        </w:numPr>
        <w:ind w:left="782" w:hanging="782"/>
        <w:rPr>
          <w:b/>
          <w:i/>
        </w:rPr>
      </w:pPr>
      <w:r w:rsidRPr="00155974">
        <w:rPr>
          <w:b/>
        </w:rPr>
        <w:t>AusE1</w:t>
      </w:r>
      <w:r w:rsidRPr="00155974">
        <w:rPr>
          <w:b/>
        </w:rPr>
        <w:tab/>
        <w:t>Paragraphs 126</w:t>
      </w:r>
      <w:r w:rsidR="004B4E85" w:rsidRPr="00155974">
        <w:rPr>
          <w:b/>
        </w:rPr>
        <w:t>–</w:t>
      </w:r>
      <w:r w:rsidRPr="00155974">
        <w:rPr>
          <w:b/>
        </w:rPr>
        <w:t xml:space="preserve">137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6C141980" w14:textId="53550F8D"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137 </w:t>
      </w:r>
      <w:r w:rsidRPr="00155974">
        <w:rPr>
          <w:rFonts w:ascii="Arial" w:hAnsi="Arial" w:cs="Arial"/>
          <w:b/>
          <w:i/>
          <w:sz w:val="24"/>
          <w:szCs w:val="24"/>
        </w:rPr>
        <w:t>Provisions, Contingent Liabilities and Contingent Assets</w:t>
      </w:r>
      <w:r w:rsidR="00A139A4" w:rsidRPr="00155974">
        <w:rPr>
          <w:rFonts w:ascii="Arial" w:hAnsi="Arial" w:cs="Arial"/>
          <w:b/>
          <w:i/>
          <w:sz w:val="24"/>
          <w:szCs w:val="24"/>
        </w:rPr>
        <w:t xml:space="preserve"> </w:t>
      </w:r>
      <w:r w:rsidR="00A139A4" w:rsidRPr="00155974">
        <w:rPr>
          <w:rFonts w:ascii="Arial" w:hAnsi="Arial" w:cs="Arial"/>
          <w:b/>
          <w:iCs/>
          <w:sz w:val="24"/>
          <w:szCs w:val="24"/>
        </w:rPr>
        <w:t>(</w:t>
      </w:r>
      <w:r w:rsidR="00C12972" w:rsidRPr="00155974">
        <w:rPr>
          <w:rFonts w:ascii="Arial" w:hAnsi="Arial" w:cs="Arial"/>
          <w:b/>
          <w:iCs/>
          <w:sz w:val="24"/>
          <w:szCs w:val="24"/>
        </w:rPr>
        <w:t>August 2015)</w:t>
      </w:r>
    </w:p>
    <w:p w14:paraId="5A23323E" w14:textId="03729156"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0F7A27" w:rsidRPr="00155974">
        <w:t xml:space="preserve"> </w:t>
      </w:r>
      <w:r w:rsidR="00C12972" w:rsidRPr="00155974">
        <w:t>Appendix.</w:t>
      </w:r>
    </w:p>
    <w:p w14:paraId="4DBBF86B" w14:textId="5C479790"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3F3602A7" w14:textId="77777777" w:rsidR="00F42DB6" w:rsidRPr="00155974" w:rsidRDefault="00F42DB6" w:rsidP="009C696F">
      <w:pPr>
        <w:spacing w:before="100" w:after="100"/>
        <w:jc w:val="left"/>
        <w:rPr>
          <w:i/>
          <w:szCs w:val="19"/>
        </w:rPr>
      </w:pPr>
      <w:r w:rsidRPr="00155974">
        <w:rPr>
          <w:i/>
          <w:szCs w:val="19"/>
        </w:rPr>
        <w:t>This appendix is an integral part of the Standard.</w:t>
      </w:r>
    </w:p>
    <w:p w14:paraId="16109C15" w14:textId="4E48F046"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The following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Cs/>
        </w:rPr>
        <w:t>:</w:t>
      </w:r>
    </w:p>
    <w:p w14:paraId="16409C2F" w14:textId="07AD126A" w:rsidR="00F42DB6" w:rsidRPr="00155974" w:rsidRDefault="00F42DB6" w:rsidP="000E61D3">
      <w:pPr>
        <w:pStyle w:val="NumCPlain1"/>
        <w:numPr>
          <w:ilvl w:val="0"/>
          <w:numId w:val="34"/>
        </w:numPr>
        <w:spacing w:before="100"/>
        <w:ind w:left="1564" w:hanging="782"/>
        <w:rPr>
          <w:b/>
        </w:rPr>
      </w:pPr>
      <w:r w:rsidRPr="00155974">
        <w:rPr>
          <w:b/>
        </w:rPr>
        <w:t>paragraphs 84</w:t>
      </w:r>
      <w:r w:rsidR="004B4E85" w:rsidRPr="00155974">
        <w:rPr>
          <w:b/>
        </w:rPr>
        <w:t>–</w:t>
      </w:r>
      <w:r w:rsidRPr="00155974">
        <w:rPr>
          <w:b/>
        </w:rPr>
        <w:t>92; and</w:t>
      </w:r>
    </w:p>
    <w:p w14:paraId="47B486A6" w14:textId="3DE68A8F" w:rsidR="00F42DB6" w:rsidRPr="00155974" w:rsidRDefault="00F42DB6" w:rsidP="000E61D3">
      <w:pPr>
        <w:pStyle w:val="NumCPlain1"/>
        <w:numPr>
          <w:ilvl w:val="0"/>
          <w:numId w:val="34"/>
        </w:numPr>
        <w:spacing w:before="100"/>
        <w:ind w:left="1564" w:hanging="782"/>
        <w:rPr>
          <w:b/>
        </w:rPr>
      </w:pPr>
      <w:r w:rsidRPr="00155974">
        <w:rPr>
          <w:b/>
        </w:rPr>
        <w:t>in paragraph 75 the text “If an entity starts to implement a restructuring plan</w:t>
      </w:r>
      <w:r w:rsidR="00077A04" w:rsidRPr="00155974">
        <w:rPr>
          <w:b/>
        </w:rPr>
        <w:t xml:space="preserve"> </w:t>
      </w:r>
      <w:r w:rsidRPr="00155974">
        <w:rPr>
          <w:b/>
        </w:rPr>
        <w:t>… of the financial statements.”</w:t>
      </w:r>
    </w:p>
    <w:p w14:paraId="739E6465" w14:textId="0339FE74"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138 </w:t>
      </w:r>
      <w:r w:rsidRPr="00155974">
        <w:rPr>
          <w:rFonts w:ascii="Arial" w:hAnsi="Arial" w:cs="Arial"/>
          <w:b/>
          <w:i/>
          <w:sz w:val="24"/>
          <w:szCs w:val="24"/>
        </w:rPr>
        <w:t xml:space="preserve">Intangible Assets </w:t>
      </w:r>
      <w:r w:rsidR="00C12972" w:rsidRPr="00155974">
        <w:rPr>
          <w:rFonts w:ascii="Arial" w:hAnsi="Arial" w:cs="Arial"/>
          <w:b/>
          <w:iCs/>
          <w:sz w:val="24"/>
          <w:szCs w:val="24"/>
        </w:rPr>
        <w:t>(</w:t>
      </w:r>
      <w:r w:rsidR="0099573A" w:rsidRPr="00155974">
        <w:rPr>
          <w:rFonts w:ascii="Arial" w:hAnsi="Arial" w:cs="Arial"/>
          <w:b/>
          <w:iCs/>
          <w:sz w:val="24"/>
          <w:szCs w:val="24"/>
        </w:rPr>
        <w:t>August 2015</w:t>
      </w:r>
      <w:r w:rsidR="0031552F" w:rsidRPr="00155974">
        <w:rPr>
          <w:rFonts w:ascii="Arial" w:hAnsi="Arial" w:cs="Arial"/>
          <w:b/>
          <w:iCs/>
          <w:sz w:val="24"/>
          <w:szCs w:val="24"/>
        </w:rPr>
        <w:t>)</w:t>
      </w:r>
    </w:p>
    <w:p w14:paraId="1E7E6B95" w14:textId="5D3E424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1552F" w:rsidRPr="00155974">
        <w:t xml:space="preserve"> Appendix.</w:t>
      </w:r>
    </w:p>
    <w:p w14:paraId="4739822F" w14:textId="00860783" w:rsidR="00F42DB6" w:rsidRPr="00155974" w:rsidRDefault="00F42DB6" w:rsidP="001B2D4E">
      <w:pPr>
        <w:pStyle w:val="Heading2"/>
        <w:pBdr>
          <w:bottom w:val="none" w:sz="0" w:space="0" w:color="auto"/>
        </w:pBdr>
        <w:rPr>
          <w:b w:val="0"/>
          <w:sz w:val="22"/>
          <w:szCs w:val="22"/>
        </w:rPr>
      </w:pPr>
      <w:r w:rsidRPr="00155974">
        <w:rPr>
          <w:sz w:val="22"/>
          <w:szCs w:val="22"/>
        </w:rPr>
        <w:t>Appendix A</w:t>
      </w:r>
      <w:r w:rsidR="001B2D4E">
        <w:rPr>
          <w:sz w:val="22"/>
          <w:szCs w:val="22"/>
        </w:rPr>
        <w:br/>
      </w:r>
      <w:r w:rsidRPr="00155974">
        <w:rPr>
          <w:sz w:val="22"/>
          <w:szCs w:val="22"/>
        </w:rPr>
        <w:t>Australian simplified disclosures for Tier 2 entities</w:t>
      </w:r>
    </w:p>
    <w:p w14:paraId="0444279C" w14:textId="77777777" w:rsidR="00F42DB6" w:rsidRPr="00155974" w:rsidRDefault="00F42DB6" w:rsidP="001B2D4E">
      <w:pPr>
        <w:spacing w:before="100" w:after="100"/>
        <w:jc w:val="left"/>
        <w:rPr>
          <w:i/>
          <w:szCs w:val="19"/>
        </w:rPr>
      </w:pPr>
      <w:r w:rsidRPr="00155974">
        <w:rPr>
          <w:i/>
          <w:szCs w:val="19"/>
        </w:rPr>
        <w:t>This appendix is an integral part of the Standard.</w:t>
      </w:r>
    </w:p>
    <w:p w14:paraId="45B039AE" w14:textId="5F369E45"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118</w:t>
      </w:r>
      <w:r w:rsidR="001C5DE9" w:rsidRPr="00155974">
        <w:rPr>
          <w:b/>
        </w:rPr>
        <w:t>–</w:t>
      </w:r>
      <w:r w:rsidRPr="00155974">
        <w:rPr>
          <w:b/>
        </w:rPr>
        <w:t xml:space="preserve">128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4A18FEC" w14:textId="136C273E"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140 </w:t>
      </w:r>
      <w:r w:rsidRPr="00155974">
        <w:rPr>
          <w:rFonts w:ascii="Arial" w:hAnsi="Arial" w:cs="Arial"/>
          <w:b/>
          <w:i/>
          <w:sz w:val="24"/>
          <w:szCs w:val="24"/>
        </w:rPr>
        <w:t xml:space="preserve">Investment Property </w:t>
      </w:r>
      <w:r w:rsidR="0031552F" w:rsidRPr="00155974">
        <w:rPr>
          <w:rFonts w:ascii="Arial" w:hAnsi="Arial" w:cs="Arial"/>
          <w:b/>
          <w:iCs/>
          <w:sz w:val="24"/>
          <w:szCs w:val="24"/>
        </w:rPr>
        <w:t>(</w:t>
      </w:r>
      <w:r w:rsidR="005019D0" w:rsidRPr="00155974">
        <w:rPr>
          <w:rFonts w:ascii="Arial" w:hAnsi="Arial" w:cs="Arial"/>
          <w:b/>
          <w:iCs/>
          <w:sz w:val="24"/>
          <w:szCs w:val="24"/>
        </w:rPr>
        <w:t>August</w:t>
      </w:r>
      <w:r w:rsidR="007520FA" w:rsidRPr="00155974">
        <w:rPr>
          <w:rFonts w:ascii="Arial" w:hAnsi="Arial" w:cs="Arial"/>
          <w:b/>
          <w:iCs/>
          <w:sz w:val="24"/>
          <w:szCs w:val="24"/>
        </w:rPr>
        <w:t xml:space="preserve"> 20</w:t>
      </w:r>
      <w:r w:rsidR="005019D0" w:rsidRPr="00155974">
        <w:rPr>
          <w:rFonts w:ascii="Arial" w:hAnsi="Arial" w:cs="Arial"/>
          <w:b/>
          <w:iCs/>
          <w:sz w:val="24"/>
          <w:szCs w:val="24"/>
        </w:rPr>
        <w:t>15</w:t>
      </w:r>
      <w:r w:rsidR="007520FA" w:rsidRPr="00155974">
        <w:rPr>
          <w:rFonts w:ascii="Arial" w:hAnsi="Arial" w:cs="Arial"/>
          <w:b/>
          <w:iCs/>
          <w:sz w:val="24"/>
          <w:szCs w:val="24"/>
        </w:rPr>
        <w:t>)</w:t>
      </w:r>
    </w:p>
    <w:p w14:paraId="151AFDB2" w14:textId="38821DF9" w:rsidR="00F42DB6" w:rsidRPr="00155974" w:rsidRDefault="00F42DB6" w:rsidP="00CA2ACE">
      <w:pPr>
        <w:pStyle w:val="NumCPlain1"/>
        <w:numPr>
          <w:ilvl w:val="0"/>
          <w:numId w:val="0"/>
        </w:numPr>
        <w:pBdr>
          <w:top w:val="single" w:sz="4" w:space="1" w:color="auto"/>
          <w:left w:val="single" w:sz="4" w:space="4" w:color="auto"/>
          <w:bottom w:val="single" w:sz="4" w:space="1" w:color="auto"/>
          <w:right w:val="single" w:sz="4" w:space="4" w:color="auto"/>
        </w:pBdr>
        <w:spacing w:before="100"/>
        <w:ind w:left="782" w:hanging="782"/>
        <w:jc w:val="left"/>
        <w:rPr>
          <w:b/>
        </w:rPr>
      </w:pPr>
      <w:r w:rsidRPr="00155974">
        <w:t>Appendix A is deleted and replaced by the following</w:t>
      </w:r>
      <w:r w:rsidR="007520FA" w:rsidRPr="00155974">
        <w:t xml:space="preserve"> Appendix.</w:t>
      </w:r>
    </w:p>
    <w:p w14:paraId="1282BCCA" w14:textId="1D57FDC3" w:rsidR="00F42DB6" w:rsidRPr="00155974" w:rsidRDefault="00F42DB6" w:rsidP="000873F4">
      <w:pPr>
        <w:pStyle w:val="Heading2"/>
        <w:keepLines w:val="0"/>
        <w:pBdr>
          <w:bottom w:val="none" w:sz="0" w:space="0" w:color="auto"/>
        </w:pBdr>
        <w:rPr>
          <w:b w:val="0"/>
          <w:sz w:val="22"/>
          <w:szCs w:val="22"/>
        </w:rPr>
      </w:pPr>
      <w:r w:rsidRPr="00155974">
        <w:rPr>
          <w:sz w:val="22"/>
          <w:szCs w:val="22"/>
        </w:rPr>
        <w:lastRenderedPageBreak/>
        <w:t>Appendix A</w:t>
      </w:r>
      <w:r w:rsidR="001B2D4E">
        <w:rPr>
          <w:sz w:val="22"/>
          <w:szCs w:val="22"/>
        </w:rPr>
        <w:br/>
      </w:r>
      <w:r w:rsidRPr="00155974">
        <w:rPr>
          <w:sz w:val="22"/>
          <w:szCs w:val="22"/>
        </w:rPr>
        <w:t>Australian simplified disclosures for Tier 2 entities</w:t>
      </w:r>
    </w:p>
    <w:p w14:paraId="3C913F04"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2B2B47AF" w14:textId="4D62AC09"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74</w:t>
      </w:r>
      <w:r w:rsidR="001C5DE9" w:rsidRPr="00155974">
        <w:rPr>
          <w:b/>
        </w:rPr>
        <w:t>–</w:t>
      </w:r>
      <w:r w:rsidRPr="00155974">
        <w:rPr>
          <w:b/>
        </w:rPr>
        <w:t xml:space="preserve">79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669C623" w14:textId="2D5391D0"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141 </w:t>
      </w:r>
      <w:r w:rsidRPr="00155974">
        <w:rPr>
          <w:rFonts w:ascii="Arial" w:hAnsi="Arial" w:cs="Arial"/>
          <w:b/>
          <w:i/>
          <w:sz w:val="24"/>
          <w:szCs w:val="24"/>
        </w:rPr>
        <w:t>Agriculture</w:t>
      </w:r>
      <w:r w:rsidR="005529F5" w:rsidRPr="00155974">
        <w:rPr>
          <w:rFonts w:ascii="Arial" w:hAnsi="Arial" w:cs="Arial"/>
          <w:b/>
          <w:i/>
          <w:sz w:val="24"/>
          <w:szCs w:val="24"/>
        </w:rPr>
        <w:t xml:space="preserve"> </w:t>
      </w:r>
      <w:r w:rsidR="005529F5" w:rsidRPr="00155974">
        <w:rPr>
          <w:rFonts w:ascii="Arial" w:hAnsi="Arial" w:cs="Arial"/>
          <w:b/>
          <w:iCs/>
          <w:sz w:val="24"/>
          <w:szCs w:val="24"/>
        </w:rPr>
        <w:t>(August 2015)</w:t>
      </w:r>
    </w:p>
    <w:p w14:paraId="12E30416" w14:textId="72C4B46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5529F5" w:rsidRPr="00155974">
        <w:t xml:space="preserve"> Appendix.</w:t>
      </w:r>
    </w:p>
    <w:p w14:paraId="58FA85AC" w14:textId="77777777" w:rsidR="00CA2ACE" w:rsidRPr="00155974" w:rsidRDefault="00CA2ACE"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33EEF5AF"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71540773" w14:textId="5D6EAF7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40</w:t>
      </w:r>
      <w:r w:rsidR="001C5DE9" w:rsidRPr="00155974">
        <w:rPr>
          <w:b/>
        </w:rPr>
        <w:t>–</w:t>
      </w:r>
      <w:r w:rsidRPr="00155974">
        <w:rPr>
          <w:b/>
        </w:rPr>
        <w:t xml:space="preserve">57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FAEAE8E" w14:textId="52CEECB7" w:rsidR="00F42DB6" w:rsidRPr="00155974" w:rsidRDefault="00F42DB6" w:rsidP="009C696F">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1004 </w:t>
      </w:r>
      <w:r w:rsidRPr="00155974">
        <w:rPr>
          <w:rFonts w:ascii="Arial" w:hAnsi="Arial" w:cs="Arial"/>
          <w:b/>
          <w:i/>
          <w:sz w:val="24"/>
          <w:szCs w:val="24"/>
        </w:rPr>
        <w:t>Contributions</w:t>
      </w:r>
      <w:r w:rsidR="005529F5" w:rsidRPr="00155974">
        <w:rPr>
          <w:rFonts w:ascii="Arial" w:hAnsi="Arial" w:cs="Arial"/>
          <w:b/>
          <w:i/>
          <w:sz w:val="24"/>
          <w:szCs w:val="24"/>
        </w:rPr>
        <w:t xml:space="preserve"> </w:t>
      </w:r>
      <w:r w:rsidR="005529F5" w:rsidRPr="00155974">
        <w:rPr>
          <w:rFonts w:ascii="Arial" w:hAnsi="Arial" w:cs="Arial"/>
          <w:b/>
          <w:iCs/>
          <w:sz w:val="24"/>
          <w:szCs w:val="24"/>
        </w:rPr>
        <w:t>(</w:t>
      </w:r>
      <w:r w:rsidR="00FB5E8B" w:rsidRPr="00155974">
        <w:rPr>
          <w:rFonts w:ascii="Arial" w:hAnsi="Arial" w:cs="Arial"/>
          <w:b/>
          <w:iCs/>
          <w:sz w:val="24"/>
          <w:szCs w:val="24"/>
        </w:rPr>
        <w:t>December 2007)</w:t>
      </w:r>
    </w:p>
    <w:p w14:paraId="2B6B4718" w14:textId="44CB16C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added</w:t>
      </w:r>
      <w:r w:rsidR="00DE3DB7" w:rsidRPr="00155974">
        <w:t>.</w:t>
      </w:r>
    </w:p>
    <w:p w14:paraId="0E9C72CD" w14:textId="748D894A" w:rsidR="00CA2ACE" w:rsidRPr="00155974" w:rsidRDefault="00CA2ACE"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B</w:t>
      </w:r>
      <w:r>
        <w:rPr>
          <w:sz w:val="22"/>
          <w:szCs w:val="22"/>
        </w:rPr>
        <w:br/>
      </w:r>
      <w:r w:rsidRPr="00155974">
        <w:rPr>
          <w:sz w:val="22"/>
          <w:szCs w:val="22"/>
        </w:rPr>
        <w:t>Australian simplified disclosures for Tier 2 entities</w:t>
      </w:r>
    </w:p>
    <w:p w14:paraId="676DCC86" w14:textId="77777777" w:rsidR="00F42DB6" w:rsidRPr="00155974" w:rsidRDefault="00F42DB6" w:rsidP="000873F4">
      <w:pPr>
        <w:spacing w:before="100" w:after="100"/>
        <w:jc w:val="left"/>
        <w:rPr>
          <w:i/>
          <w:szCs w:val="19"/>
        </w:rPr>
      </w:pPr>
      <w:r w:rsidRPr="00155974">
        <w:rPr>
          <w:i/>
          <w:szCs w:val="19"/>
        </w:rPr>
        <w:t>This appendix is an integral part of the Standard.</w:t>
      </w:r>
    </w:p>
    <w:p w14:paraId="7A4C233E" w14:textId="56B6184F" w:rsidR="00F42DB6" w:rsidRPr="00155974" w:rsidRDefault="00F42DB6" w:rsidP="007A6BC8">
      <w:pPr>
        <w:pStyle w:val="NumCPlain1"/>
        <w:numPr>
          <w:ilvl w:val="0"/>
          <w:numId w:val="0"/>
        </w:numPr>
        <w:ind w:left="782" w:hanging="782"/>
        <w:rPr>
          <w:b/>
          <w:i/>
        </w:rPr>
      </w:pPr>
      <w:r w:rsidRPr="00155974">
        <w:rPr>
          <w:b/>
        </w:rPr>
        <w:t>AusB1</w:t>
      </w:r>
      <w:r w:rsidRPr="00155974">
        <w:rPr>
          <w:b/>
        </w:rPr>
        <w:tab/>
        <w:t>Paragraph</w:t>
      </w:r>
      <w:r w:rsidR="00B237A4" w:rsidRPr="00155974">
        <w:rPr>
          <w:b/>
        </w:rPr>
        <w:t>s</w:t>
      </w:r>
      <w:r w:rsidRPr="00155974">
        <w:rPr>
          <w:b/>
        </w:rPr>
        <w:t xml:space="preserve"> 43A </w:t>
      </w:r>
      <w:r w:rsidR="00EF496E" w:rsidRPr="00155974">
        <w:rPr>
          <w:b/>
        </w:rPr>
        <w:t>and 57</w:t>
      </w:r>
      <w:r w:rsidR="003E1529" w:rsidRPr="00155974">
        <w:rPr>
          <w:b/>
        </w:rPr>
        <w:t>–</w:t>
      </w:r>
      <w:r w:rsidR="00EF496E" w:rsidRPr="00155974">
        <w:rPr>
          <w:b/>
        </w:rPr>
        <w:t xml:space="preserve">59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5F0F74F" w14:textId="19391492"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1050 </w:t>
      </w:r>
      <w:r w:rsidRPr="00155974">
        <w:rPr>
          <w:rFonts w:ascii="Arial" w:hAnsi="Arial" w:cs="Arial"/>
          <w:b/>
          <w:i/>
          <w:sz w:val="24"/>
          <w:szCs w:val="24"/>
        </w:rPr>
        <w:t>Administered Items</w:t>
      </w:r>
      <w:r w:rsidR="00FB5E8B" w:rsidRPr="00155974">
        <w:rPr>
          <w:rFonts w:ascii="Arial" w:hAnsi="Arial" w:cs="Arial"/>
          <w:b/>
          <w:i/>
          <w:sz w:val="24"/>
          <w:szCs w:val="24"/>
        </w:rPr>
        <w:t xml:space="preserve"> </w:t>
      </w:r>
      <w:r w:rsidR="00FB5E8B" w:rsidRPr="00155974">
        <w:rPr>
          <w:rFonts w:ascii="Arial" w:hAnsi="Arial" w:cs="Arial"/>
          <w:b/>
          <w:iCs/>
          <w:sz w:val="24"/>
          <w:szCs w:val="24"/>
        </w:rPr>
        <w:t>(</w:t>
      </w:r>
      <w:r w:rsidR="00533CA7" w:rsidRPr="00155974">
        <w:rPr>
          <w:rFonts w:ascii="Arial" w:hAnsi="Arial" w:cs="Arial"/>
          <w:b/>
          <w:iCs/>
          <w:sz w:val="24"/>
          <w:szCs w:val="24"/>
        </w:rPr>
        <w:t>December 2007)</w:t>
      </w:r>
    </w:p>
    <w:p w14:paraId="184C8039" w14:textId="734103E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w:t>
      </w:r>
      <w:r w:rsidR="006F1EA4" w:rsidRPr="00155974">
        <w:t>s</w:t>
      </w:r>
      <w:r w:rsidRPr="00155974">
        <w:t xml:space="preserve"> 6A and 6B </w:t>
      </w:r>
      <w:r w:rsidR="002D5FD5" w:rsidRPr="00155974">
        <w:t xml:space="preserve">(and their heading) </w:t>
      </w:r>
      <w:r w:rsidRPr="00155974">
        <w:t>are deleted and Appendix B is added</w:t>
      </w:r>
      <w:r w:rsidR="00533CA7" w:rsidRPr="00155974">
        <w:t>.</w:t>
      </w:r>
    </w:p>
    <w:p w14:paraId="53ED2E8C" w14:textId="48C5FA84" w:rsidR="00CA2ACE" w:rsidRPr="00155974" w:rsidRDefault="00CA2ACE"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B</w:t>
      </w:r>
      <w:r>
        <w:rPr>
          <w:sz w:val="22"/>
          <w:szCs w:val="22"/>
        </w:rPr>
        <w:br/>
      </w:r>
      <w:r w:rsidRPr="00155974">
        <w:rPr>
          <w:sz w:val="22"/>
          <w:szCs w:val="22"/>
        </w:rPr>
        <w:t>Australian simplified disclosures for Tier 2 entities</w:t>
      </w:r>
    </w:p>
    <w:p w14:paraId="2CB39D43"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01A4D235" w14:textId="22CF7D25"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Paragraphs 7, 8 and 22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B20FDF1" w14:textId="75AFBA2A" w:rsidR="00F42DB6" w:rsidRPr="00155974" w:rsidRDefault="00F42DB6" w:rsidP="004F1F92">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1051 </w:t>
      </w:r>
      <w:r w:rsidRPr="00155974">
        <w:rPr>
          <w:rFonts w:ascii="Arial" w:hAnsi="Arial" w:cs="Arial"/>
          <w:b/>
          <w:i/>
          <w:sz w:val="24"/>
          <w:szCs w:val="24"/>
        </w:rPr>
        <w:t>Land Under Roads</w:t>
      </w:r>
      <w:r w:rsidR="00533CA7" w:rsidRPr="00155974">
        <w:rPr>
          <w:rFonts w:ascii="Arial" w:hAnsi="Arial" w:cs="Arial"/>
          <w:b/>
          <w:i/>
          <w:sz w:val="24"/>
          <w:szCs w:val="24"/>
        </w:rPr>
        <w:t xml:space="preserve"> </w:t>
      </w:r>
      <w:r w:rsidR="00533CA7" w:rsidRPr="00155974">
        <w:rPr>
          <w:rFonts w:ascii="Arial" w:hAnsi="Arial" w:cs="Arial"/>
          <w:b/>
          <w:iCs/>
          <w:sz w:val="24"/>
          <w:szCs w:val="24"/>
        </w:rPr>
        <w:t>(</w:t>
      </w:r>
      <w:r w:rsidR="002D2022" w:rsidRPr="00155974">
        <w:rPr>
          <w:rFonts w:ascii="Arial" w:hAnsi="Arial" w:cs="Arial"/>
          <w:b/>
          <w:iCs/>
          <w:sz w:val="24"/>
          <w:szCs w:val="24"/>
        </w:rPr>
        <w:t>December 2007)</w:t>
      </w:r>
    </w:p>
    <w:p w14:paraId="2BBAD35B" w14:textId="7185C76E" w:rsidR="00F42DB6" w:rsidRPr="00155974" w:rsidRDefault="00F42DB6" w:rsidP="000873F4">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D is added</w:t>
      </w:r>
      <w:r w:rsidR="002D2022" w:rsidRPr="00155974">
        <w:t>.</w:t>
      </w:r>
    </w:p>
    <w:p w14:paraId="09F3B97A" w14:textId="578E3D89" w:rsidR="00CA2ACE" w:rsidRPr="00155974" w:rsidRDefault="00CA2ACE" w:rsidP="000873F4">
      <w:pPr>
        <w:pStyle w:val="Heading2"/>
        <w:keepLines w:val="0"/>
        <w:pBdr>
          <w:bottom w:val="none" w:sz="0" w:space="0" w:color="auto"/>
        </w:pBdr>
        <w:rPr>
          <w:b w:val="0"/>
          <w:sz w:val="22"/>
          <w:szCs w:val="22"/>
        </w:rPr>
      </w:pPr>
      <w:r w:rsidRPr="00155974">
        <w:rPr>
          <w:sz w:val="22"/>
          <w:szCs w:val="22"/>
        </w:rPr>
        <w:lastRenderedPageBreak/>
        <w:t xml:space="preserve">Appendix </w:t>
      </w:r>
      <w:r>
        <w:rPr>
          <w:sz w:val="22"/>
          <w:szCs w:val="22"/>
        </w:rPr>
        <w:t>D</w:t>
      </w:r>
      <w:r>
        <w:rPr>
          <w:sz w:val="22"/>
          <w:szCs w:val="22"/>
        </w:rPr>
        <w:br/>
      </w:r>
      <w:r w:rsidRPr="00155974">
        <w:rPr>
          <w:sz w:val="22"/>
          <w:szCs w:val="22"/>
        </w:rPr>
        <w:t>Australian simplified disclosures for Tier 2 entities</w:t>
      </w:r>
    </w:p>
    <w:p w14:paraId="33E7B887"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5B9EE131" w14:textId="0D00C43E" w:rsidR="00F42DB6" w:rsidRPr="00155974" w:rsidRDefault="00F42DB6" w:rsidP="007A6BC8">
      <w:pPr>
        <w:pStyle w:val="NumCPlain1"/>
        <w:numPr>
          <w:ilvl w:val="0"/>
          <w:numId w:val="0"/>
        </w:numPr>
        <w:ind w:left="782" w:hanging="782"/>
        <w:rPr>
          <w:b/>
          <w:i/>
        </w:rPr>
      </w:pPr>
      <w:r w:rsidRPr="00155974">
        <w:rPr>
          <w:b/>
        </w:rPr>
        <w:t>AusD1</w:t>
      </w:r>
      <w:r w:rsidRPr="00155974">
        <w:rPr>
          <w:b/>
        </w:rPr>
        <w:tab/>
        <w:t xml:space="preserve">Paragraphs 11 and 12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931FFF2" w14:textId="2EEC3400"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1052 </w:t>
      </w:r>
      <w:r w:rsidRPr="00155974">
        <w:rPr>
          <w:rFonts w:ascii="Arial" w:hAnsi="Arial" w:cs="Arial"/>
          <w:b/>
          <w:i/>
          <w:sz w:val="24"/>
          <w:szCs w:val="24"/>
        </w:rPr>
        <w:t>Disaggregated Disclosures</w:t>
      </w:r>
      <w:r w:rsidR="002D2022" w:rsidRPr="00155974">
        <w:rPr>
          <w:rFonts w:ascii="Arial" w:hAnsi="Arial" w:cs="Arial"/>
          <w:b/>
          <w:i/>
          <w:sz w:val="24"/>
          <w:szCs w:val="24"/>
        </w:rPr>
        <w:t xml:space="preserve"> </w:t>
      </w:r>
      <w:r w:rsidR="002D2022" w:rsidRPr="00155974">
        <w:rPr>
          <w:rFonts w:ascii="Arial" w:hAnsi="Arial" w:cs="Arial"/>
          <w:b/>
          <w:iCs/>
          <w:sz w:val="24"/>
          <w:szCs w:val="24"/>
        </w:rPr>
        <w:t>(</w:t>
      </w:r>
      <w:r w:rsidR="00AD7CA1" w:rsidRPr="00155974">
        <w:rPr>
          <w:rFonts w:ascii="Arial" w:hAnsi="Arial" w:cs="Arial"/>
          <w:b/>
          <w:iCs/>
          <w:sz w:val="24"/>
          <w:szCs w:val="24"/>
        </w:rPr>
        <w:t>December 2007)</w:t>
      </w:r>
    </w:p>
    <w:p w14:paraId="0E34DD61" w14:textId="0B944575"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w:t>
      </w:r>
      <w:r w:rsidR="002177BD" w:rsidRPr="00155974">
        <w:t>s</w:t>
      </w:r>
      <w:r w:rsidRPr="00155974">
        <w:t xml:space="preserve"> 10A and 10B </w:t>
      </w:r>
      <w:r w:rsidR="002D5FD5" w:rsidRPr="00155974">
        <w:t xml:space="preserve">(and their heading) </w:t>
      </w:r>
      <w:r w:rsidR="00FC4E1A" w:rsidRPr="00155974">
        <w:t>are</w:t>
      </w:r>
      <w:r w:rsidRPr="00155974">
        <w:t xml:space="preserve"> deleted and Appendix B is added</w:t>
      </w:r>
      <w:r w:rsidR="00AD7CA1" w:rsidRPr="00155974">
        <w:t>.</w:t>
      </w:r>
    </w:p>
    <w:p w14:paraId="01AC0FC6" w14:textId="4C470BA3" w:rsidR="00CA2ACE" w:rsidRPr="00155974" w:rsidRDefault="00CA2ACE"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B</w:t>
      </w:r>
      <w:r>
        <w:rPr>
          <w:sz w:val="22"/>
          <w:szCs w:val="22"/>
        </w:rPr>
        <w:br/>
      </w:r>
      <w:r w:rsidRPr="00155974">
        <w:rPr>
          <w:sz w:val="22"/>
          <w:szCs w:val="22"/>
        </w:rPr>
        <w:t>Australian simplified disclosures for Tier 2 entities</w:t>
      </w:r>
    </w:p>
    <w:p w14:paraId="1904DEB8"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6AE1026C" w14:textId="71754328"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15</w:t>
      </w:r>
      <w:r w:rsidR="004E7088" w:rsidRPr="00155974">
        <w:rPr>
          <w:b/>
        </w:rPr>
        <w:t>–</w:t>
      </w:r>
      <w:r w:rsidRPr="00155974">
        <w:rPr>
          <w:b/>
        </w:rPr>
        <w:t xml:space="preserve">21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526D14F" w14:textId="287EC75A" w:rsidR="00F42DB6" w:rsidRPr="00061B6B"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061B6B">
        <w:rPr>
          <w:rFonts w:ascii="Arial" w:hAnsi="Arial" w:cs="Arial"/>
          <w:b/>
          <w:sz w:val="24"/>
          <w:szCs w:val="24"/>
        </w:rPr>
        <w:t>AASB 1053 Application of Tiers of Australian Accounting Standards</w:t>
      </w:r>
      <w:r w:rsidR="00AD7CA1" w:rsidRPr="00061B6B">
        <w:rPr>
          <w:rFonts w:ascii="Arial" w:hAnsi="Arial" w:cs="Arial"/>
          <w:b/>
          <w:sz w:val="24"/>
          <w:szCs w:val="24"/>
        </w:rPr>
        <w:t xml:space="preserve"> (</w:t>
      </w:r>
      <w:r w:rsidR="0091632E" w:rsidRPr="00061B6B">
        <w:rPr>
          <w:rFonts w:ascii="Arial" w:hAnsi="Arial" w:cs="Arial"/>
          <w:b/>
          <w:sz w:val="24"/>
          <w:szCs w:val="24"/>
        </w:rPr>
        <w:t>June</w:t>
      </w:r>
      <w:r w:rsidR="0013147B" w:rsidRPr="00061B6B">
        <w:rPr>
          <w:rFonts w:ascii="Arial" w:hAnsi="Arial" w:cs="Arial"/>
          <w:b/>
          <w:sz w:val="24"/>
          <w:szCs w:val="24"/>
        </w:rPr>
        <w:t> </w:t>
      </w:r>
      <w:r w:rsidR="0091632E" w:rsidRPr="00061B6B">
        <w:rPr>
          <w:rFonts w:ascii="Arial" w:hAnsi="Arial" w:cs="Arial"/>
          <w:b/>
          <w:sz w:val="24"/>
          <w:szCs w:val="24"/>
        </w:rPr>
        <w:t>2010)</w:t>
      </w:r>
    </w:p>
    <w:p w14:paraId="4D38A914" w14:textId="0CC760A6" w:rsidR="00F42DB6" w:rsidRPr="00155974" w:rsidRDefault="00F42DB6" w:rsidP="00CA2ACE">
      <w:pPr>
        <w:pBdr>
          <w:top w:val="single" w:sz="4" w:space="1" w:color="auto"/>
          <w:left w:val="single" w:sz="4" w:space="4" w:color="auto"/>
          <w:bottom w:val="single" w:sz="4" w:space="1" w:color="auto"/>
          <w:right w:val="single" w:sz="4" w:space="4" w:color="auto"/>
        </w:pBdr>
        <w:tabs>
          <w:tab w:val="left" w:pos="3248"/>
        </w:tabs>
        <w:spacing w:after="100"/>
        <w:jc w:val="left"/>
      </w:pPr>
      <w:r w:rsidRPr="00155974">
        <w:t xml:space="preserve">Paragraphs 7, 9 and 17 are amended and </w:t>
      </w:r>
      <w:r w:rsidR="00136123" w:rsidRPr="00155974">
        <w:t xml:space="preserve">a </w:t>
      </w:r>
      <w:r w:rsidRPr="00155974">
        <w:t>footnote is added to paragraph 9. Paragraph 18C is added.</w:t>
      </w:r>
    </w:p>
    <w:p w14:paraId="11BB34E4" w14:textId="77777777" w:rsidR="00F42DB6" w:rsidRPr="00155974" w:rsidRDefault="00F42DB6" w:rsidP="00200B8C">
      <w:pPr>
        <w:pStyle w:val="NumPlain1"/>
        <w:ind w:left="782" w:hanging="782"/>
      </w:pPr>
      <w:r w:rsidRPr="00155974">
        <w:t>7</w:t>
      </w:r>
      <w:r w:rsidRPr="00155974">
        <w:tab/>
        <w:t xml:space="preserve">Australian Accounting Standards consist of two Tiers of reporting requirements for preparing general purpose financial statements: </w:t>
      </w:r>
    </w:p>
    <w:p w14:paraId="55E8D363" w14:textId="77777777" w:rsidR="00F42DB6" w:rsidRPr="00155974" w:rsidRDefault="00F42DB6" w:rsidP="000E61D3">
      <w:pPr>
        <w:pStyle w:val="NumCPlain2"/>
        <w:numPr>
          <w:ilvl w:val="1"/>
          <w:numId w:val="30"/>
        </w:numPr>
        <w:spacing w:before="100"/>
        <w:ind w:left="1564" w:hanging="782"/>
        <w:rPr>
          <w:szCs w:val="19"/>
        </w:rPr>
      </w:pPr>
      <w:r w:rsidRPr="00155974">
        <w:rPr>
          <w:szCs w:val="19"/>
        </w:rPr>
        <w:t xml:space="preserve">Tier 1: </w:t>
      </w:r>
      <w:r w:rsidRPr="00155974">
        <w:rPr>
          <w:noProof/>
          <w:szCs w:val="19"/>
        </w:rPr>
        <w:t>Australian</w:t>
      </w:r>
      <w:r w:rsidRPr="00155974">
        <w:rPr>
          <w:szCs w:val="19"/>
        </w:rPr>
        <w:t xml:space="preserve"> Accounting Standards; and </w:t>
      </w:r>
    </w:p>
    <w:p w14:paraId="60025E85" w14:textId="77777777" w:rsidR="00F42DB6" w:rsidRPr="00155974" w:rsidRDefault="00F42DB6" w:rsidP="000E61D3">
      <w:pPr>
        <w:pStyle w:val="NumCPlain2"/>
        <w:numPr>
          <w:ilvl w:val="1"/>
          <w:numId w:val="29"/>
        </w:numPr>
        <w:spacing w:before="100"/>
        <w:ind w:left="1564" w:hanging="782"/>
        <w:rPr>
          <w:szCs w:val="19"/>
        </w:rPr>
      </w:pPr>
      <w:r w:rsidRPr="00155974">
        <w:rPr>
          <w:szCs w:val="19"/>
        </w:rPr>
        <w:t xml:space="preserve">Tier 2: Australian Accounting Standards – </w:t>
      </w:r>
      <w:r w:rsidRPr="00155974">
        <w:rPr>
          <w:strike/>
          <w:szCs w:val="19"/>
        </w:rPr>
        <w:t xml:space="preserve">Reduced Disclosure Requirements </w:t>
      </w:r>
      <w:r w:rsidRPr="00155974">
        <w:rPr>
          <w:szCs w:val="19"/>
          <w:u w:val="single"/>
        </w:rPr>
        <w:t>Simplified Disclosures</w:t>
      </w:r>
      <w:r w:rsidRPr="00155974">
        <w:rPr>
          <w:szCs w:val="19"/>
        </w:rPr>
        <w:t xml:space="preserve">. </w:t>
      </w:r>
    </w:p>
    <w:p w14:paraId="55F10130" w14:textId="3A9E3E0F" w:rsidR="00F42DB6" w:rsidRPr="00155974" w:rsidRDefault="00F42DB6" w:rsidP="00200B8C">
      <w:pPr>
        <w:pStyle w:val="NumPlain1"/>
        <w:ind w:left="782" w:hanging="782"/>
      </w:pPr>
      <w:r w:rsidRPr="00155974">
        <w:t>9</w:t>
      </w:r>
      <w:r w:rsidRPr="00155974">
        <w:tab/>
      </w:r>
      <w:r w:rsidRPr="00155974">
        <w:rPr>
          <w:noProof/>
        </w:rPr>
        <w:t>Tier 2 comprises the recognition and measurement requirements of Tier 1 but substantially reduced disclosure requirements. Except for the presentation of a third statement of financial position under Tier 1</w:t>
      </w:r>
      <w:r w:rsidRPr="00155974">
        <w:rPr>
          <w:noProof/>
          <w:vertAlign w:val="superscript"/>
        </w:rPr>
        <w:t>2</w:t>
      </w:r>
      <w:r w:rsidRPr="00155974">
        <w:rPr>
          <w:noProof/>
        </w:rPr>
        <w:t xml:space="preserve"> </w:t>
      </w:r>
      <w:r w:rsidRPr="00155974">
        <w:rPr>
          <w:noProof/>
          <w:u w:val="single"/>
        </w:rPr>
        <w:t>and the option of not presenting a statement of changes in equity</w:t>
      </w:r>
      <w:r w:rsidR="00614DFC" w:rsidRPr="00155974">
        <w:rPr>
          <w:noProof/>
          <w:u w:val="single"/>
        </w:rPr>
        <w:t>*</w:t>
      </w:r>
      <w:r w:rsidRPr="00155974">
        <w:rPr>
          <w:noProof/>
        </w:rPr>
        <w:t>, the presentation requirements under Tier 1 and Tier 2</w:t>
      </w:r>
      <w:r w:rsidRPr="00155974">
        <w:t xml:space="preserve"> are the same. </w:t>
      </w:r>
      <w:r w:rsidRPr="00155974">
        <w:rPr>
          <w:u w:val="single"/>
        </w:rPr>
        <w:t xml:space="preserve">Tier 2 disclosure requirements are set out in </w:t>
      </w:r>
      <w:r w:rsidR="00626F24" w:rsidRPr="00155974">
        <w:rPr>
          <w:u w:val="single"/>
        </w:rPr>
        <w:t>AASB 1060</w:t>
      </w:r>
      <w:r w:rsidRPr="00155974">
        <w:rPr>
          <w:u w:val="single"/>
        </w:rPr>
        <w:t xml:space="preserve"> </w:t>
      </w:r>
      <w:r w:rsidR="00C42CAB" w:rsidRPr="00155974">
        <w:rPr>
          <w:i/>
          <w:iCs/>
          <w:u w:val="single"/>
        </w:rPr>
        <w:t xml:space="preserve">General Purpose Financial Statements – </w:t>
      </w:r>
      <w:r w:rsidRPr="00155974">
        <w:rPr>
          <w:i/>
          <w:u w:val="single"/>
        </w:rPr>
        <w:t xml:space="preserve">Simplified Disclosures for </w:t>
      </w:r>
      <w:r w:rsidR="00C42CAB" w:rsidRPr="00155974">
        <w:rPr>
          <w:i/>
          <w:u w:val="single"/>
        </w:rPr>
        <w:t xml:space="preserve">For-Profit and Not-for-Profit </w:t>
      </w:r>
      <w:r w:rsidRPr="00155974">
        <w:rPr>
          <w:i/>
          <w:u w:val="single"/>
        </w:rPr>
        <w:t>Tier 2 Entities</w:t>
      </w:r>
      <w:r w:rsidRPr="00155974">
        <w:rPr>
          <w:u w:val="single"/>
        </w:rPr>
        <w:t>.</w:t>
      </w:r>
    </w:p>
    <w:p w14:paraId="19C7655B" w14:textId="2AB993FD" w:rsidR="00F42DB6" w:rsidRPr="00155974" w:rsidRDefault="00F42DB6" w:rsidP="000E61D3">
      <w:pPr>
        <w:pStyle w:val="NumPlain1"/>
        <w:numPr>
          <w:ilvl w:val="2"/>
          <w:numId w:val="44"/>
        </w:numPr>
      </w:pPr>
      <w:r w:rsidRPr="00155974">
        <w:rPr>
          <w:noProof/>
          <w:szCs w:val="19"/>
        </w:rPr>
        <w:t>Under</w:t>
      </w:r>
      <w:r w:rsidRPr="00155974">
        <w:t xml:space="preserve"> AASB 101 </w:t>
      </w:r>
      <w:r w:rsidRPr="00155974">
        <w:rPr>
          <w:i/>
        </w:rPr>
        <w:t>Presentation of Financial Statements</w:t>
      </w:r>
      <w:r w:rsidRPr="00155974">
        <w:t>, a complete set of financial statements includes a statement of financial position as at the beginning of the earliest comparative period when an entity applies an accounting policy retrospectively or makes a retrospective restatement of items in its financial statements, or when it reclassifies items in its financial statements.</w:t>
      </w:r>
    </w:p>
    <w:p w14:paraId="11882283" w14:textId="45CDD3E7" w:rsidR="00F42DB6" w:rsidRPr="00155974" w:rsidRDefault="00614DFC" w:rsidP="007639B0">
      <w:pPr>
        <w:pStyle w:val="NumCPlain2"/>
        <w:numPr>
          <w:ilvl w:val="0"/>
          <w:numId w:val="0"/>
        </w:numPr>
        <w:ind w:left="1418" w:hanging="567"/>
        <w:rPr>
          <w:i/>
          <w:szCs w:val="19"/>
          <w:u w:val="single"/>
        </w:rPr>
      </w:pPr>
      <w:r w:rsidRPr="00155974">
        <w:t>*</w:t>
      </w:r>
      <w:r w:rsidRPr="00155974">
        <w:tab/>
      </w:r>
      <w:r w:rsidR="00626F24" w:rsidRPr="00155974">
        <w:rPr>
          <w:szCs w:val="19"/>
          <w:u w:val="single"/>
        </w:rPr>
        <w:t>AASB 1060</w:t>
      </w:r>
      <w:r w:rsidR="00F42DB6" w:rsidRPr="00155974">
        <w:rPr>
          <w:szCs w:val="19"/>
          <w:u w:val="single"/>
        </w:rPr>
        <w:t xml:space="preserve"> </w:t>
      </w:r>
      <w:r w:rsidR="00300FA2" w:rsidRPr="00155974">
        <w:rPr>
          <w:i/>
          <w:szCs w:val="19"/>
          <w:u w:val="single"/>
        </w:rPr>
        <w:t>General Purpose Financial Statements – Simplified Disclosures for For-Profit and Not-for-Profit Tier 2 Entities</w:t>
      </w:r>
      <w:r w:rsidR="00F42DB6" w:rsidRPr="00155974">
        <w:rPr>
          <w:iCs/>
          <w:szCs w:val="19"/>
          <w:u w:val="single"/>
        </w:rPr>
        <w:t>,</w:t>
      </w:r>
      <w:r w:rsidR="00F42DB6" w:rsidRPr="00155974">
        <w:rPr>
          <w:i/>
          <w:szCs w:val="19"/>
          <w:u w:val="single"/>
        </w:rPr>
        <w:t xml:space="preserve"> </w:t>
      </w:r>
      <w:r w:rsidR="00F42DB6" w:rsidRPr="00155974">
        <w:rPr>
          <w:szCs w:val="19"/>
          <w:u w:val="single"/>
        </w:rPr>
        <w:t>paragraph</w:t>
      </w:r>
      <w:r w:rsidR="0037300A" w:rsidRPr="00155974">
        <w:rPr>
          <w:szCs w:val="19"/>
          <w:u w:val="single"/>
        </w:rPr>
        <w:t xml:space="preserve"> 26</w:t>
      </w:r>
      <w:r w:rsidR="00C3123B" w:rsidRPr="00155974">
        <w:rPr>
          <w:szCs w:val="19"/>
          <w:u w:val="single"/>
        </w:rPr>
        <w:t>,</w:t>
      </w:r>
      <w:r w:rsidR="0022220B" w:rsidRPr="00155974">
        <w:rPr>
          <w:szCs w:val="19"/>
          <w:u w:val="single"/>
        </w:rPr>
        <w:t xml:space="preserve"> </w:t>
      </w:r>
      <w:r w:rsidR="00F02289" w:rsidRPr="00155974">
        <w:rPr>
          <w:szCs w:val="19"/>
          <w:u w:val="single"/>
        </w:rPr>
        <w:t xml:space="preserve">permits the presentation of a single </w:t>
      </w:r>
      <w:r w:rsidR="00C42CAB" w:rsidRPr="00155974">
        <w:rPr>
          <w:szCs w:val="19"/>
          <w:u w:val="single"/>
        </w:rPr>
        <w:t>statement of income and retained earnings in place of the statement of changes in equity if the only changes to equity during the periods for which financial statements are presented arise from profit or loss, payment of dividends, corrections of prior period errors, and changes in accounting policies</w:t>
      </w:r>
      <w:r w:rsidR="00F42DB6" w:rsidRPr="00155974">
        <w:rPr>
          <w:iCs/>
          <w:szCs w:val="19"/>
          <w:u w:val="single"/>
        </w:rPr>
        <w:t>.</w:t>
      </w:r>
    </w:p>
    <w:p w14:paraId="2EA0B5E3" w14:textId="531D8648" w:rsidR="00F42DB6" w:rsidRPr="00155974" w:rsidRDefault="00F42DB6" w:rsidP="007639B0">
      <w:pPr>
        <w:pStyle w:val="NumCPlain2"/>
        <w:numPr>
          <w:ilvl w:val="0"/>
          <w:numId w:val="0"/>
        </w:numPr>
        <w:ind w:left="782" w:hanging="782"/>
        <w:rPr>
          <w:szCs w:val="19"/>
          <w:u w:val="single"/>
        </w:rPr>
      </w:pPr>
      <w:r w:rsidRPr="00155974">
        <w:rPr>
          <w:szCs w:val="19"/>
        </w:rPr>
        <w:t>17</w:t>
      </w:r>
      <w:r w:rsidRPr="00155974">
        <w:rPr>
          <w:szCs w:val="19"/>
        </w:rPr>
        <w:tab/>
      </w:r>
      <w:r w:rsidRPr="00155974">
        <w:rPr>
          <w:strike/>
          <w:noProof/>
          <w:szCs w:val="19"/>
        </w:rPr>
        <w:t>S</w:t>
      </w:r>
      <w:r w:rsidRPr="00155974">
        <w:rPr>
          <w:strike/>
          <w:szCs w:val="19"/>
        </w:rPr>
        <w:t xml:space="preserve">ome of the disclosure requirements in AASB 1 </w:t>
      </w:r>
      <w:r w:rsidRPr="00155974">
        <w:rPr>
          <w:i/>
          <w:iCs/>
          <w:strike/>
          <w:szCs w:val="19"/>
        </w:rPr>
        <w:t>First-time Adoption of Australian Accounting Standards</w:t>
      </w:r>
      <w:r w:rsidRPr="00155974">
        <w:rPr>
          <w:strike/>
          <w:szCs w:val="19"/>
        </w:rPr>
        <w:t xml:space="preserve"> have been excluded from Tier 2 reporting requirements. Accordingly, e</w:t>
      </w:r>
      <w:r w:rsidR="00424D2D" w:rsidRPr="00155974">
        <w:rPr>
          <w:strike/>
          <w:szCs w:val="19"/>
        </w:rPr>
        <w:t>ntities</w:t>
      </w:r>
      <w:r w:rsidRPr="00801B60">
        <w:rPr>
          <w:strike/>
          <w:szCs w:val="19"/>
        </w:rPr>
        <w:t xml:space="preserve"> </w:t>
      </w:r>
      <w:r w:rsidRPr="00155974">
        <w:rPr>
          <w:szCs w:val="19"/>
          <w:u w:val="single"/>
        </w:rPr>
        <w:t>Entities</w:t>
      </w:r>
      <w:r w:rsidRPr="00155974">
        <w:rPr>
          <w:szCs w:val="19"/>
        </w:rPr>
        <w:t xml:space="preserve"> adopting Tier 2 reporting requirements for the first time that </w:t>
      </w:r>
      <w:r w:rsidRPr="00155974">
        <w:rPr>
          <w:strike/>
          <w:szCs w:val="19"/>
        </w:rPr>
        <w:t>are required to</w:t>
      </w:r>
      <w:r w:rsidRPr="00155974">
        <w:rPr>
          <w:szCs w:val="19"/>
        </w:rPr>
        <w:t xml:space="preserve"> apply AASB 1 shall comply with the </w:t>
      </w:r>
      <w:r w:rsidRPr="00155974">
        <w:rPr>
          <w:strike/>
          <w:szCs w:val="19"/>
        </w:rPr>
        <w:t xml:space="preserve">reduced disclosure requirements </w:t>
      </w:r>
      <w:r w:rsidR="00951FA0" w:rsidRPr="00155974">
        <w:rPr>
          <w:strike/>
          <w:szCs w:val="19"/>
        </w:rPr>
        <w:t>in AASB 1</w:t>
      </w:r>
      <w:r w:rsidR="00951FA0" w:rsidRPr="00155974">
        <w:rPr>
          <w:szCs w:val="19"/>
        </w:rPr>
        <w:t xml:space="preserve"> </w:t>
      </w:r>
      <w:r w:rsidRPr="00155974">
        <w:rPr>
          <w:szCs w:val="19"/>
          <w:u w:val="single"/>
        </w:rPr>
        <w:t xml:space="preserve">simplified disclosures </w:t>
      </w:r>
      <w:r w:rsidR="008C5FD9" w:rsidRPr="00155974">
        <w:rPr>
          <w:szCs w:val="19"/>
          <w:u w:val="single"/>
        </w:rPr>
        <w:t xml:space="preserve">under </w:t>
      </w:r>
      <w:r w:rsidR="00CE5A0A" w:rsidRPr="00155974">
        <w:rPr>
          <w:szCs w:val="19"/>
          <w:u w:val="single"/>
        </w:rPr>
        <w:t>AASB 1060</w:t>
      </w:r>
      <w:r w:rsidR="008C5FD9" w:rsidRPr="00155974">
        <w:rPr>
          <w:szCs w:val="19"/>
          <w:u w:val="single"/>
        </w:rPr>
        <w:t xml:space="preserve"> paragraphs </w:t>
      </w:r>
      <w:r w:rsidR="008D1F77" w:rsidRPr="00155974">
        <w:rPr>
          <w:szCs w:val="19"/>
          <w:u w:val="single"/>
        </w:rPr>
        <w:t>206–213</w:t>
      </w:r>
      <w:r w:rsidRPr="00155974">
        <w:rPr>
          <w:szCs w:val="19"/>
        </w:rPr>
        <w:t>, including for the purposes of paragraph</w:t>
      </w:r>
      <w:r w:rsidR="009202D1" w:rsidRPr="00155974">
        <w:rPr>
          <w:szCs w:val="19"/>
          <w:u w:val="single"/>
        </w:rPr>
        <w:t>s</w:t>
      </w:r>
      <w:r w:rsidRPr="00155974">
        <w:rPr>
          <w:szCs w:val="19"/>
        </w:rPr>
        <w:t xml:space="preserve"> 18A(a)</w:t>
      </w:r>
      <w:r w:rsidR="00053E57" w:rsidRPr="00155974">
        <w:rPr>
          <w:szCs w:val="19"/>
        </w:rPr>
        <w:t xml:space="preserve"> </w:t>
      </w:r>
      <w:r w:rsidR="00053E57" w:rsidRPr="00155974">
        <w:rPr>
          <w:szCs w:val="19"/>
          <w:u w:val="single"/>
        </w:rPr>
        <w:t>and 18A(b)</w:t>
      </w:r>
      <w:r w:rsidRPr="00155974">
        <w:rPr>
          <w:szCs w:val="19"/>
        </w:rPr>
        <w:t>.</w:t>
      </w:r>
      <w:r w:rsidRPr="00155974">
        <w:rPr>
          <w:rStyle w:val="FootnoteReference"/>
          <w:szCs w:val="19"/>
          <w:u w:val="single"/>
        </w:rPr>
        <w:t xml:space="preserve"> </w:t>
      </w:r>
    </w:p>
    <w:p w14:paraId="666E8514" w14:textId="263D3146" w:rsidR="00F42DB6" w:rsidRPr="00155974" w:rsidRDefault="00F42DB6" w:rsidP="00200B8C">
      <w:pPr>
        <w:pStyle w:val="NumPlain1"/>
        <w:ind w:left="782" w:hanging="782"/>
      </w:pPr>
      <w:r w:rsidRPr="00155974">
        <w:t>18C</w:t>
      </w:r>
      <w:r w:rsidRPr="00155974">
        <w:tab/>
        <w:t xml:space="preserve">Entities that are applying </w:t>
      </w:r>
      <w:r w:rsidR="00626F24" w:rsidRPr="00155974">
        <w:t>AASB 1060</w:t>
      </w:r>
      <w:r w:rsidRPr="00155974">
        <w:t xml:space="preserve"> shall provide the disclosures required under </w:t>
      </w:r>
      <w:r w:rsidR="00787C09" w:rsidRPr="00155974">
        <w:t xml:space="preserve">AASB 1060 paragraphs </w:t>
      </w:r>
      <w:r w:rsidR="00F42E58" w:rsidRPr="00155974">
        <w:t xml:space="preserve">206-213 </w:t>
      </w:r>
      <w:r w:rsidRPr="00155974">
        <w:t>if they are applying paragraph 18A(a)(i)</w:t>
      </w:r>
      <w:r w:rsidR="000B4F10" w:rsidRPr="00155974">
        <w:t xml:space="preserve"> or 18A(b)(i)</w:t>
      </w:r>
      <w:r w:rsidRPr="00155974">
        <w:t xml:space="preserve">, </w:t>
      </w:r>
      <w:r w:rsidR="008031D0" w:rsidRPr="00155974">
        <w:t xml:space="preserve">or </w:t>
      </w:r>
      <w:r w:rsidRPr="00155974">
        <w:t xml:space="preserve">the disclosures required under </w:t>
      </w:r>
      <w:r w:rsidR="008A2BFC" w:rsidRPr="00155974">
        <w:t xml:space="preserve">AASB 1060 </w:t>
      </w:r>
      <w:r w:rsidR="00F42E58" w:rsidRPr="00155974">
        <w:t xml:space="preserve">paragraphs </w:t>
      </w:r>
      <w:r w:rsidR="00890E1B" w:rsidRPr="00155974">
        <w:t>106–110</w:t>
      </w:r>
      <w:r w:rsidR="00AC4D16" w:rsidRPr="00155974">
        <w:t xml:space="preserve"> </w:t>
      </w:r>
      <w:r w:rsidRPr="00155974">
        <w:t>if they are applying paragraph</w:t>
      </w:r>
      <w:r w:rsidR="008251BB" w:rsidRPr="00155974">
        <w:t>s</w:t>
      </w:r>
      <w:r w:rsidRPr="00155974">
        <w:t xml:space="preserve"> 18A(a)(ii)</w:t>
      </w:r>
      <w:r w:rsidR="00695D28" w:rsidRPr="00155974">
        <w:t xml:space="preserve"> or 18A(b)(ii</w:t>
      </w:r>
      <w:r w:rsidRPr="00155974">
        <w:t>), instead of the disclosures required under AASB</w:t>
      </w:r>
      <w:r w:rsidR="004B1708" w:rsidRPr="00155974">
        <w:t> </w:t>
      </w:r>
      <w:r w:rsidRPr="00155974">
        <w:t xml:space="preserve">1 or AASB 108. </w:t>
      </w:r>
    </w:p>
    <w:p w14:paraId="4DE34410" w14:textId="20653942" w:rsidR="009F18D4" w:rsidRPr="00155974" w:rsidRDefault="009F18D4" w:rsidP="007D4832">
      <w:pPr>
        <w:keepNext/>
        <w:pBdr>
          <w:top w:val="single" w:sz="4" w:space="1" w:color="auto"/>
          <w:left w:val="single" w:sz="4" w:space="4" w:color="auto"/>
          <w:bottom w:val="single" w:sz="4" w:space="1" w:color="auto"/>
          <w:right w:val="single" w:sz="4" w:space="4" w:color="auto"/>
        </w:pBdr>
        <w:spacing w:after="100"/>
      </w:pPr>
      <w:r w:rsidRPr="00155974">
        <w:lastRenderedPageBreak/>
        <w:t xml:space="preserve">Footnote # is added to paragraph </w:t>
      </w:r>
      <w:r w:rsidR="0054103D" w:rsidRPr="00155974">
        <w:t>19B(a)</w:t>
      </w:r>
      <w:r w:rsidR="000409D2" w:rsidRPr="00155974">
        <w:t xml:space="preserve"> after the text “Tier 2 reporting requirements”</w:t>
      </w:r>
      <w:r w:rsidRPr="00155974">
        <w:t xml:space="preserve">. </w:t>
      </w:r>
      <w:r w:rsidR="004800DA" w:rsidRPr="00155974">
        <w:t xml:space="preserve">Footnote 4 to paragraph 19B(b) is amended. </w:t>
      </w:r>
      <w:r w:rsidR="00D97813" w:rsidRPr="00155974">
        <w:t>The heading before paragraph 24 and paragraph 24 are deleted</w:t>
      </w:r>
      <w:r w:rsidR="004800DA" w:rsidRPr="00155974">
        <w:t>.</w:t>
      </w:r>
    </w:p>
    <w:p w14:paraId="3F0C1736" w14:textId="39E5D9B4" w:rsidR="009F18D4" w:rsidRPr="00155974" w:rsidRDefault="007D51AB" w:rsidP="00CA2ACE">
      <w:pPr>
        <w:spacing w:after="100"/>
        <w:ind w:left="1418" w:hanging="567"/>
        <w:rPr>
          <w:szCs w:val="19"/>
          <w:u w:val="single"/>
        </w:rPr>
      </w:pPr>
      <w:r w:rsidRPr="00155974">
        <w:rPr>
          <w:szCs w:val="19"/>
        </w:rPr>
        <w:t>#</w:t>
      </w:r>
      <w:r w:rsidRPr="00155974">
        <w:rPr>
          <w:szCs w:val="19"/>
        </w:rPr>
        <w:tab/>
      </w:r>
      <w:r w:rsidR="00C25E9E" w:rsidRPr="00155974">
        <w:rPr>
          <w:szCs w:val="19"/>
          <w:u w:val="single"/>
        </w:rPr>
        <w:t xml:space="preserve">In this context, Tier 2 reporting requirements </w:t>
      </w:r>
      <w:r w:rsidR="00A9164E" w:rsidRPr="00155974">
        <w:rPr>
          <w:szCs w:val="19"/>
          <w:u w:val="single"/>
        </w:rPr>
        <w:t>refers to</w:t>
      </w:r>
      <w:r w:rsidR="00C25E9E" w:rsidRPr="00155974">
        <w:rPr>
          <w:szCs w:val="19"/>
          <w:u w:val="single"/>
        </w:rPr>
        <w:t xml:space="preserve"> either </w:t>
      </w:r>
      <w:r w:rsidR="00FF07F4" w:rsidRPr="00155974">
        <w:rPr>
          <w:szCs w:val="19"/>
          <w:u w:val="single"/>
        </w:rPr>
        <w:t xml:space="preserve">Australian Accounting Standards – Reduced Disclosure Requirements </w:t>
      </w:r>
      <w:r w:rsidR="00544ADA" w:rsidRPr="00155974">
        <w:rPr>
          <w:szCs w:val="19"/>
          <w:u w:val="single"/>
        </w:rPr>
        <w:t xml:space="preserve">or </w:t>
      </w:r>
      <w:r w:rsidR="00667507" w:rsidRPr="00155974">
        <w:rPr>
          <w:szCs w:val="19"/>
          <w:u w:val="single"/>
        </w:rPr>
        <w:t>Australian Accounting Standards – Simplified Disclosures</w:t>
      </w:r>
      <w:r w:rsidR="00E005D7" w:rsidRPr="00155974">
        <w:rPr>
          <w:szCs w:val="19"/>
          <w:u w:val="single"/>
        </w:rPr>
        <w:t>, as appropriate</w:t>
      </w:r>
      <w:r w:rsidR="005E3954" w:rsidRPr="00155974">
        <w:rPr>
          <w:szCs w:val="19"/>
          <w:u w:val="single"/>
        </w:rPr>
        <w:t>.</w:t>
      </w:r>
    </w:p>
    <w:p w14:paraId="0B397163" w14:textId="77777777" w:rsidR="00F42DB6" w:rsidRPr="00155974" w:rsidRDefault="00F42DB6" w:rsidP="00CA2ACE">
      <w:pPr>
        <w:spacing w:after="100"/>
        <w:ind w:left="1418" w:hanging="567"/>
      </w:pPr>
      <w:r w:rsidRPr="00155974">
        <w:rPr>
          <w:sz w:val="16"/>
          <w:szCs w:val="16"/>
        </w:rPr>
        <w:t>4</w:t>
      </w:r>
      <w:r w:rsidRPr="00155974">
        <w:tab/>
        <w:t xml:space="preserve">Compliance with Tier 2 reporting requirements is a reference to compliance with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35BFA128" w14:textId="157E1095" w:rsidR="00F42DB6" w:rsidRPr="00155974" w:rsidRDefault="00F42DB6" w:rsidP="000873F4">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1054 </w:t>
      </w:r>
      <w:r w:rsidRPr="00155974">
        <w:rPr>
          <w:rFonts w:ascii="Arial" w:hAnsi="Arial" w:cs="Arial"/>
          <w:b/>
          <w:i/>
          <w:sz w:val="24"/>
          <w:szCs w:val="24"/>
        </w:rPr>
        <w:t>Australian Additional Disclosures</w:t>
      </w:r>
      <w:r w:rsidR="0091632E" w:rsidRPr="00155974">
        <w:rPr>
          <w:rFonts w:ascii="Arial" w:hAnsi="Arial" w:cs="Arial"/>
          <w:b/>
          <w:i/>
          <w:sz w:val="24"/>
          <w:szCs w:val="24"/>
        </w:rPr>
        <w:t xml:space="preserve"> </w:t>
      </w:r>
      <w:r w:rsidR="0091632E" w:rsidRPr="00155974">
        <w:rPr>
          <w:rFonts w:ascii="Arial" w:hAnsi="Arial" w:cs="Arial"/>
          <w:b/>
          <w:iCs/>
          <w:sz w:val="24"/>
          <w:szCs w:val="24"/>
        </w:rPr>
        <w:t>(</w:t>
      </w:r>
      <w:r w:rsidR="00D32BF0" w:rsidRPr="00155974">
        <w:rPr>
          <w:rFonts w:ascii="Arial" w:hAnsi="Arial" w:cs="Arial"/>
          <w:b/>
          <w:iCs/>
          <w:sz w:val="24"/>
          <w:szCs w:val="24"/>
        </w:rPr>
        <w:t>May 2011)</w:t>
      </w:r>
    </w:p>
    <w:p w14:paraId="13964C3B" w14:textId="29953123"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pPr>
      <w:r w:rsidRPr="00155974">
        <w:t>Paragraphs 5A, 5B</w:t>
      </w:r>
      <w:r w:rsidR="002C15B0" w:rsidRPr="00155974">
        <w:t xml:space="preserve"> and</w:t>
      </w:r>
      <w:r w:rsidRPr="00155974">
        <w:t xml:space="preserve"> 5C </w:t>
      </w:r>
      <w:r w:rsidR="00556CC0" w:rsidRPr="00155974">
        <w:t xml:space="preserve">(and their heading) </w:t>
      </w:r>
      <w:r w:rsidRPr="00155974">
        <w:t>and RDR 7.1 are deleted and Appendix A is added</w:t>
      </w:r>
      <w:r w:rsidR="00D32BF0" w:rsidRPr="00155974">
        <w:t>.</w:t>
      </w:r>
      <w:r w:rsidRPr="00155974">
        <w:t xml:space="preserve"> </w:t>
      </w:r>
    </w:p>
    <w:p w14:paraId="02C921A3" w14:textId="77777777" w:rsidR="00CA2ACE" w:rsidRPr="00155974" w:rsidRDefault="00CA2ACE"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69BDE5B7"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3522973D" w14:textId="41DDA90E"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7</w:t>
      </w:r>
      <w:r w:rsidR="00467B9D" w:rsidRPr="00155974">
        <w:rPr>
          <w:b/>
        </w:rPr>
        <w:t>–</w:t>
      </w:r>
      <w:r w:rsidRPr="00155974">
        <w:rPr>
          <w:b/>
        </w:rPr>
        <w:t xml:space="preserve">16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B10DF5F" w14:textId="28A74AB6" w:rsidR="00F42DB6" w:rsidRPr="00155974" w:rsidRDefault="00F42DB6" w:rsidP="000873F4">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1055 </w:t>
      </w:r>
      <w:r w:rsidRPr="00155974">
        <w:rPr>
          <w:rFonts w:ascii="Arial" w:hAnsi="Arial" w:cs="Arial"/>
          <w:b/>
          <w:i/>
          <w:sz w:val="24"/>
          <w:szCs w:val="24"/>
        </w:rPr>
        <w:t>Budgetary Reporting</w:t>
      </w:r>
      <w:r w:rsidR="00D32BF0" w:rsidRPr="00155974">
        <w:rPr>
          <w:rFonts w:ascii="Arial" w:hAnsi="Arial" w:cs="Arial"/>
          <w:b/>
          <w:i/>
          <w:sz w:val="24"/>
          <w:szCs w:val="24"/>
        </w:rPr>
        <w:t xml:space="preserve"> </w:t>
      </w:r>
      <w:r w:rsidR="00D32BF0" w:rsidRPr="00155974">
        <w:rPr>
          <w:rFonts w:ascii="Arial" w:hAnsi="Arial" w:cs="Arial"/>
          <w:b/>
          <w:iCs/>
          <w:sz w:val="24"/>
          <w:szCs w:val="24"/>
        </w:rPr>
        <w:t>(</w:t>
      </w:r>
      <w:r w:rsidR="00F63972" w:rsidRPr="00155974">
        <w:rPr>
          <w:rFonts w:ascii="Arial" w:hAnsi="Arial" w:cs="Arial"/>
          <w:b/>
          <w:iCs/>
          <w:sz w:val="24"/>
          <w:szCs w:val="24"/>
        </w:rPr>
        <w:t>March 2013</w:t>
      </w:r>
      <w:r w:rsidR="00D603A2" w:rsidRPr="00155974">
        <w:rPr>
          <w:rFonts w:ascii="Arial" w:hAnsi="Arial" w:cs="Arial"/>
          <w:b/>
          <w:iCs/>
          <w:sz w:val="24"/>
          <w:szCs w:val="24"/>
        </w:rPr>
        <w:t>)</w:t>
      </w:r>
    </w:p>
    <w:p w14:paraId="2155FBAE" w14:textId="204EE8C4"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added</w:t>
      </w:r>
      <w:r w:rsidR="00D32BF0" w:rsidRPr="00155974">
        <w:t>.</w:t>
      </w:r>
    </w:p>
    <w:p w14:paraId="6073320B" w14:textId="2B95DDAE" w:rsidR="00CA2ACE" w:rsidRPr="00155974" w:rsidRDefault="00CA2ACE"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B</w:t>
      </w:r>
      <w:r>
        <w:rPr>
          <w:sz w:val="22"/>
          <w:szCs w:val="22"/>
        </w:rPr>
        <w:br/>
      </w:r>
      <w:r w:rsidRPr="00155974">
        <w:rPr>
          <w:sz w:val="22"/>
          <w:szCs w:val="22"/>
        </w:rPr>
        <w:t>Australian simplified disclosures for Tier 2 entities</w:t>
      </w:r>
    </w:p>
    <w:p w14:paraId="43CBFA23" w14:textId="77777777" w:rsidR="00F42DB6" w:rsidRPr="00155974" w:rsidRDefault="00F42DB6" w:rsidP="00CA2ACE">
      <w:pPr>
        <w:spacing w:before="100" w:after="100"/>
        <w:jc w:val="left"/>
        <w:rPr>
          <w:i/>
          <w:szCs w:val="19"/>
        </w:rPr>
      </w:pPr>
      <w:r w:rsidRPr="00155974">
        <w:rPr>
          <w:i/>
          <w:szCs w:val="19"/>
        </w:rPr>
        <w:t>This appendix is an integral part of the Standard.</w:t>
      </w:r>
    </w:p>
    <w:p w14:paraId="0347F0ED" w14:textId="6FAB4FAE" w:rsidR="00F42DB6" w:rsidRPr="00155974" w:rsidRDefault="00F42DB6" w:rsidP="005F3C56">
      <w:pPr>
        <w:pStyle w:val="NumCPlain1"/>
        <w:numPr>
          <w:ilvl w:val="0"/>
          <w:numId w:val="0"/>
        </w:numPr>
        <w:ind w:left="782" w:hanging="782"/>
        <w:rPr>
          <w:b/>
          <w:i/>
        </w:rPr>
      </w:pPr>
      <w:r w:rsidRPr="00155974">
        <w:rPr>
          <w:b/>
        </w:rPr>
        <w:t>AusB1</w:t>
      </w:r>
      <w:r w:rsidRPr="00155974">
        <w:rPr>
          <w:b/>
        </w:rPr>
        <w:tab/>
        <w:t>Paragraphs 6</w:t>
      </w:r>
      <w:r w:rsidR="00467B9D" w:rsidRPr="00155974">
        <w:rPr>
          <w:b/>
        </w:rPr>
        <w:t>–</w:t>
      </w:r>
      <w:r w:rsidRPr="00155974">
        <w:rPr>
          <w:b/>
        </w:rPr>
        <w:t xml:space="preserve">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9F27043" w14:textId="530C0C29" w:rsidR="00F42DB6" w:rsidRPr="00200B8C" w:rsidRDefault="00F42DB6" w:rsidP="000873F4">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200B8C">
        <w:rPr>
          <w:rFonts w:ascii="Arial" w:hAnsi="Arial" w:cs="Arial"/>
          <w:b/>
          <w:sz w:val="24"/>
          <w:szCs w:val="24"/>
        </w:rPr>
        <w:t>AASB 1057 Application of Australian Accounting Standards</w:t>
      </w:r>
      <w:r w:rsidR="00F348B4" w:rsidRPr="00200B8C">
        <w:rPr>
          <w:rFonts w:ascii="Arial" w:hAnsi="Arial" w:cs="Arial"/>
          <w:b/>
          <w:sz w:val="24"/>
          <w:szCs w:val="24"/>
        </w:rPr>
        <w:t xml:space="preserve"> (</w:t>
      </w:r>
      <w:r w:rsidR="00C80E45" w:rsidRPr="00200B8C">
        <w:rPr>
          <w:rFonts w:ascii="Arial" w:hAnsi="Arial" w:cs="Arial"/>
          <w:b/>
          <w:sz w:val="24"/>
          <w:szCs w:val="24"/>
        </w:rPr>
        <w:t>July 2015)</w:t>
      </w:r>
    </w:p>
    <w:p w14:paraId="64C9B513" w14:textId="18F5C8AA" w:rsidR="00F42DB6" w:rsidRPr="00155974" w:rsidRDefault="004F2DDB" w:rsidP="00C32721">
      <w:pPr>
        <w:pBdr>
          <w:top w:val="single" w:sz="4" w:space="1" w:color="auto"/>
          <w:left w:val="single" w:sz="4" w:space="4" w:color="auto"/>
          <w:bottom w:val="single" w:sz="4" w:space="1" w:color="auto"/>
          <w:right w:val="single" w:sz="4" w:space="4" w:color="auto"/>
        </w:pBdr>
        <w:tabs>
          <w:tab w:val="left" w:pos="3248"/>
        </w:tabs>
        <w:spacing w:after="100"/>
        <w:jc w:val="left"/>
        <w:rPr>
          <w:rFonts w:ascii="Arial" w:hAnsi="Arial" w:cs="Arial"/>
          <w:sz w:val="24"/>
          <w:szCs w:val="24"/>
        </w:rPr>
      </w:pPr>
      <w:r w:rsidRPr="00155974">
        <w:t xml:space="preserve">Paragraph 7 is amended and </w:t>
      </w:r>
      <w:r w:rsidR="00220BA6" w:rsidRPr="00155974">
        <w:t xml:space="preserve">paragraphs </w:t>
      </w:r>
      <w:r w:rsidR="00F42DB6" w:rsidRPr="00155974">
        <w:t>20B and 20C are added.</w:t>
      </w:r>
    </w:p>
    <w:p w14:paraId="01773345" w14:textId="2422069F" w:rsidR="0059206D" w:rsidRPr="00155974" w:rsidRDefault="0059206D" w:rsidP="00200B8C">
      <w:pPr>
        <w:pStyle w:val="NumPlain1"/>
        <w:ind w:left="782" w:hanging="782"/>
      </w:pPr>
      <w:r w:rsidRPr="00155974">
        <w:t>7</w:t>
      </w:r>
      <w:r w:rsidRPr="00155974">
        <w:tab/>
      </w:r>
      <w:r w:rsidRPr="00155974">
        <w:rPr>
          <w:u w:val="single"/>
        </w:rPr>
        <w:t>Except as specified in paragraph 20</w:t>
      </w:r>
      <w:r w:rsidR="00E470ED" w:rsidRPr="00155974">
        <w:rPr>
          <w:u w:val="single"/>
        </w:rPr>
        <w:t>C</w:t>
      </w:r>
      <w:r w:rsidRPr="00155974">
        <w:rPr>
          <w:u w:val="single"/>
        </w:rPr>
        <w:t xml:space="preserve">, </w:t>
      </w:r>
      <w:r w:rsidRPr="00155974">
        <w:t xml:space="preserve">AASB 101 Presentation of Financial Statements, AASB 107 Statement of Cash Flows, AASB 108 Accounting Policies, Changes in Accounting Estimates and Errors, AASB 1048 Interpretation of Standards and AASB 1054 Australian Additional Disclosures apply to: </w:t>
      </w:r>
    </w:p>
    <w:p w14:paraId="54F68973" w14:textId="77777777" w:rsidR="0059206D" w:rsidRPr="00155974" w:rsidRDefault="0059206D" w:rsidP="000E61D3">
      <w:pPr>
        <w:pStyle w:val="NumPlain1"/>
        <w:numPr>
          <w:ilvl w:val="0"/>
          <w:numId w:val="43"/>
        </w:numPr>
      </w:pPr>
      <w:r w:rsidRPr="00155974">
        <w:t>…</w:t>
      </w:r>
    </w:p>
    <w:p w14:paraId="45E69BB2" w14:textId="1A1CBEFF" w:rsidR="00F42DB6" w:rsidRPr="00C56DB8" w:rsidRDefault="00F42DB6" w:rsidP="0025486A">
      <w:pPr>
        <w:pStyle w:val="NumPlain1"/>
        <w:ind w:left="782" w:hanging="782"/>
        <w:rPr>
          <w:b/>
          <w:bCs/>
          <w:u w:val="single"/>
        </w:rPr>
      </w:pPr>
      <w:r w:rsidRPr="00C56DB8">
        <w:rPr>
          <w:b/>
          <w:bCs/>
          <w:u w:val="single"/>
        </w:rPr>
        <w:t>20B</w:t>
      </w:r>
      <w:r w:rsidRPr="00C56DB8">
        <w:rPr>
          <w:b/>
          <w:bCs/>
          <w:u w:val="single"/>
        </w:rPr>
        <w:tab/>
      </w:r>
      <w:r w:rsidR="00626F24" w:rsidRPr="00C56DB8">
        <w:rPr>
          <w:b/>
          <w:bCs/>
          <w:u w:val="single"/>
        </w:rPr>
        <w:t>AASB 1060</w:t>
      </w:r>
      <w:r w:rsidRPr="00C56DB8">
        <w:rPr>
          <w:b/>
          <w:bCs/>
          <w:u w:val="single"/>
        </w:rPr>
        <w:t xml:space="preserve"> </w:t>
      </w:r>
      <w:r w:rsidR="00300FA2" w:rsidRPr="00C56DB8">
        <w:rPr>
          <w:b/>
          <w:bCs/>
          <w:i/>
          <w:u w:val="single"/>
        </w:rPr>
        <w:t>General Purpose Financial Statements – Simplified Disclosures for For-Profit and Not-for-Profit Tier 2 Entities</w:t>
      </w:r>
      <w:r w:rsidRPr="00C56DB8">
        <w:rPr>
          <w:b/>
          <w:bCs/>
          <w:u w:val="single"/>
        </w:rPr>
        <w:t xml:space="preserve"> applies</w:t>
      </w:r>
      <w:r w:rsidR="00EC38C8" w:rsidRPr="00C56DB8">
        <w:rPr>
          <w:b/>
          <w:bCs/>
          <w:u w:val="single"/>
        </w:rPr>
        <w:t xml:space="preserve"> as set out in paragraph 5,</w:t>
      </w:r>
      <w:r w:rsidR="00576608" w:rsidRPr="00C56DB8">
        <w:rPr>
          <w:b/>
          <w:bCs/>
          <w:u w:val="single"/>
        </w:rPr>
        <w:t xml:space="preserve"> provided the entity is eligible to apply Tier 2 </w:t>
      </w:r>
      <w:r w:rsidR="0083792D" w:rsidRPr="00C56DB8">
        <w:rPr>
          <w:b/>
          <w:bCs/>
          <w:u w:val="single"/>
        </w:rPr>
        <w:t>reporting requirements</w:t>
      </w:r>
      <w:r w:rsidR="00B85E65" w:rsidRPr="00C56DB8">
        <w:rPr>
          <w:b/>
          <w:bCs/>
          <w:u w:val="single"/>
        </w:rPr>
        <w:t>, as set out in AASB 1053, paragraph 13.</w:t>
      </w:r>
      <w:r w:rsidRPr="00C56DB8">
        <w:rPr>
          <w:b/>
          <w:bCs/>
          <w:u w:val="single"/>
        </w:rPr>
        <w:t xml:space="preserve"> </w:t>
      </w:r>
    </w:p>
    <w:p w14:paraId="3AEFC52B" w14:textId="5BD80EFB" w:rsidR="00F42DB6" w:rsidRPr="00C56DB8" w:rsidRDefault="00F42DB6" w:rsidP="0025486A">
      <w:pPr>
        <w:pStyle w:val="NumPlain1"/>
        <w:ind w:left="782" w:hanging="782"/>
        <w:rPr>
          <w:b/>
          <w:bCs/>
          <w:u w:val="single"/>
        </w:rPr>
      </w:pPr>
      <w:r w:rsidRPr="00C56DB8">
        <w:rPr>
          <w:b/>
          <w:bCs/>
          <w:u w:val="single"/>
        </w:rPr>
        <w:t>20C</w:t>
      </w:r>
      <w:r w:rsidRPr="00C56DB8">
        <w:rPr>
          <w:b/>
          <w:bCs/>
          <w:u w:val="single"/>
        </w:rPr>
        <w:tab/>
        <w:t xml:space="preserve">Entities applying </w:t>
      </w:r>
      <w:r w:rsidR="00626F24" w:rsidRPr="00C56DB8">
        <w:rPr>
          <w:b/>
          <w:bCs/>
          <w:u w:val="single"/>
        </w:rPr>
        <w:t>AASB 1060</w:t>
      </w:r>
      <w:r w:rsidRPr="00C56DB8">
        <w:rPr>
          <w:b/>
          <w:bCs/>
          <w:u w:val="single"/>
        </w:rPr>
        <w:t xml:space="preserve"> are not required to apply the following Australian Accounting Standards:</w:t>
      </w:r>
    </w:p>
    <w:p w14:paraId="1B6BE3BB" w14:textId="2A954A03" w:rsidR="00F42DB6" w:rsidRPr="00155974" w:rsidRDefault="003A3CE7" w:rsidP="003A3CE7">
      <w:pPr>
        <w:pStyle w:val="NumCPlain2"/>
        <w:numPr>
          <w:ilvl w:val="0"/>
          <w:numId w:val="0"/>
        </w:numPr>
        <w:spacing w:before="100"/>
        <w:ind w:left="1491" w:hanging="709"/>
        <w:rPr>
          <w:b/>
          <w:bCs/>
          <w:i/>
          <w:noProof/>
          <w:szCs w:val="19"/>
          <w:u w:val="single"/>
        </w:rPr>
      </w:pPr>
      <w:r>
        <w:rPr>
          <w:b/>
          <w:bCs/>
          <w:szCs w:val="19"/>
          <w:u w:val="single"/>
        </w:rPr>
        <w:t>(a)</w:t>
      </w:r>
      <w:r w:rsidRPr="00AE3400">
        <w:rPr>
          <w:b/>
          <w:bCs/>
          <w:szCs w:val="19"/>
        </w:rPr>
        <w:tab/>
      </w:r>
      <w:r w:rsidR="00F42DB6" w:rsidRPr="00155974">
        <w:rPr>
          <w:b/>
          <w:bCs/>
          <w:szCs w:val="19"/>
          <w:u w:val="single"/>
        </w:rPr>
        <w:t>AASB</w:t>
      </w:r>
      <w:r w:rsidR="00F42DB6" w:rsidRPr="00155974">
        <w:rPr>
          <w:b/>
          <w:bCs/>
          <w:noProof/>
          <w:szCs w:val="19"/>
          <w:u w:val="single"/>
        </w:rPr>
        <w:t xml:space="preserve"> 7 </w:t>
      </w:r>
      <w:r w:rsidR="00F42DB6" w:rsidRPr="00155974">
        <w:rPr>
          <w:b/>
          <w:bCs/>
          <w:i/>
          <w:noProof/>
          <w:szCs w:val="19"/>
          <w:u w:val="single"/>
        </w:rPr>
        <w:t>Financial Instruments: Disclosures</w:t>
      </w:r>
      <w:r w:rsidR="00F42DB6" w:rsidRPr="00155974">
        <w:rPr>
          <w:b/>
          <w:bCs/>
          <w:szCs w:val="19"/>
          <w:u w:val="single"/>
        </w:rPr>
        <w:t>;</w:t>
      </w:r>
    </w:p>
    <w:p w14:paraId="150C3FFF" w14:textId="13E7412F" w:rsidR="00F42DB6" w:rsidRPr="00155974" w:rsidRDefault="003A3CE7" w:rsidP="003A3CE7">
      <w:pPr>
        <w:pStyle w:val="NumCPlain2"/>
        <w:numPr>
          <w:ilvl w:val="0"/>
          <w:numId w:val="0"/>
        </w:numPr>
        <w:spacing w:before="100"/>
        <w:ind w:left="1491" w:hanging="709"/>
        <w:rPr>
          <w:b/>
          <w:bCs/>
          <w:i/>
          <w:noProof/>
          <w:szCs w:val="19"/>
          <w:u w:val="single"/>
        </w:rPr>
      </w:pPr>
      <w:r>
        <w:rPr>
          <w:b/>
          <w:bCs/>
          <w:noProof/>
          <w:szCs w:val="19"/>
          <w:u w:val="single"/>
        </w:rPr>
        <w:t>(b)</w:t>
      </w:r>
      <w:r w:rsidRPr="00AE3400">
        <w:rPr>
          <w:b/>
          <w:bCs/>
          <w:noProof/>
          <w:szCs w:val="19"/>
        </w:rPr>
        <w:tab/>
      </w:r>
      <w:r w:rsidR="00F42DB6" w:rsidRPr="00155974">
        <w:rPr>
          <w:b/>
          <w:bCs/>
          <w:noProof/>
          <w:szCs w:val="19"/>
          <w:u w:val="single"/>
        </w:rPr>
        <w:t>AASB 12</w:t>
      </w:r>
      <w:r w:rsidR="00F42DB6" w:rsidRPr="00155974">
        <w:rPr>
          <w:b/>
          <w:bCs/>
          <w:i/>
          <w:noProof/>
          <w:szCs w:val="19"/>
          <w:u w:val="single"/>
        </w:rPr>
        <w:t xml:space="preserve"> Disclosure of Interests in Other Entities</w:t>
      </w:r>
      <w:r w:rsidR="00F42DB6" w:rsidRPr="00155974">
        <w:rPr>
          <w:b/>
          <w:bCs/>
          <w:szCs w:val="19"/>
          <w:u w:val="single"/>
        </w:rPr>
        <w:t>;</w:t>
      </w:r>
      <w:r w:rsidR="00F42DB6" w:rsidRPr="00155974" w:rsidDel="001660C3">
        <w:rPr>
          <w:b/>
          <w:bCs/>
          <w:szCs w:val="19"/>
          <w:u w:val="single"/>
        </w:rPr>
        <w:t xml:space="preserve"> </w:t>
      </w:r>
    </w:p>
    <w:p w14:paraId="11FFE2EB" w14:textId="48B8A8CF" w:rsidR="00F42DB6" w:rsidRPr="00155974" w:rsidRDefault="003A3CE7" w:rsidP="003A3CE7">
      <w:pPr>
        <w:pStyle w:val="NumCPlain2"/>
        <w:numPr>
          <w:ilvl w:val="0"/>
          <w:numId w:val="0"/>
        </w:numPr>
        <w:spacing w:before="100"/>
        <w:ind w:left="1491" w:hanging="709"/>
        <w:rPr>
          <w:b/>
          <w:bCs/>
          <w:noProof/>
        </w:rPr>
      </w:pPr>
      <w:r>
        <w:rPr>
          <w:b/>
          <w:bCs/>
          <w:noProof/>
          <w:u w:val="single"/>
        </w:rPr>
        <w:t>(c)</w:t>
      </w:r>
      <w:r w:rsidRPr="00AE3400">
        <w:rPr>
          <w:b/>
          <w:bCs/>
          <w:noProof/>
        </w:rPr>
        <w:tab/>
      </w:r>
      <w:r w:rsidR="00F42DB6" w:rsidRPr="00155974">
        <w:rPr>
          <w:b/>
          <w:bCs/>
          <w:noProof/>
          <w:u w:val="single"/>
        </w:rPr>
        <w:t xml:space="preserve">AASB 101 </w:t>
      </w:r>
      <w:r w:rsidR="00F42DB6" w:rsidRPr="00155974">
        <w:rPr>
          <w:b/>
          <w:bCs/>
          <w:i/>
          <w:u w:val="single"/>
        </w:rPr>
        <w:t>Presentation</w:t>
      </w:r>
      <w:r w:rsidR="00F42DB6" w:rsidRPr="00155974">
        <w:rPr>
          <w:b/>
          <w:bCs/>
          <w:i/>
          <w:noProof/>
          <w:u w:val="single"/>
        </w:rPr>
        <w:t xml:space="preserve"> of Financial Statements</w:t>
      </w:r>
      <w:r w:rsidR="00F42DB6" w:rsidRPr="00155974">
        <w:rPr>
          <w:b/>
          <w:bCs/>
          <w:noProof/>
          <w:u w:val="single"/>
        </w:rPr>
        <w:t>;</w:t>
      </w:r>
    </w:p>
    <w:p w14:paraId="20B11D93" w14:textId="01F4EC4B" w:rsidR="00F42DB6" w:rsidRPr="00155974" w:rsidRDefault="003A3CE7" w:rsidP="003A3CE7">
      <w:pPr>
        <w:pStyle w:val="NumCPlain2"/>
        <w:numPr>
          <w:ilvl w:val="0"/>
          <w:numId w:val="0"/>
        </w:numPr>
        <w:spacing w:before="100"/>
        <w:ind w:left="1491" w:hanging="709"/>
        <w:rPr>
          <w:b/>
          <w:bCs/>
          <w:noProof/>
        </w:rPr>
      </w:pPr>
      <w:r>
        <w:rPr>
          <w:b/>
          <w:bCs/>
          <w:noProof/>
          <w:u w:val="single"/>
        </w:rPr>
        <w:t>(d)</w:t>
      </w:r>
      <w:r w:rsidRPr="00AE3400">
        <w:rPr>
          <w:b/>
          <w:bCs/>
          <w:noProof/>
        </w:rPr>
        <w:tab/>
      </w:r>
      <w:r w:rsidR="00F42DB6" w:rsidRPr="00155974">
        <w:rPr>
          <w:b/>
          <w:bCs/>
          <w:noProof/>
          <w:u w:val="single"/>
        </w:rPr>
        <w:t xml:space="preserve">AASB 107 </w:t>
      </w:r>
      <w:r w:rsidR="00F42DB6" w:rsidRPr="00155974">
        <w:rPr>
          <w:b/>
          <w:bCs/>
          <w:i/>
          <w:noProof/>
          <w:u w:val="single"/>
        </w:rPr>
        <w:t>Statement of Cash Flows</w:t>
      </w:r>
      <w:r w:rsidR="00F42DB6" w:rsidRPr="00155974">
        <w:rPr>
          <w:b/>
          <w:bCs/>
          <w:noProof/>
          <w:u w:val="single"/>
        </w:rPr>
        <w:t xml:space="preserve">; </w:t>
      </w:r>
      <w:r w:rsidR="00F42DB6" w:rsidRPr="00155974">
        <w:rPr>
          <w:b/>
          <w:bCs/>
          <w:noProof/>
          <w:szCs w:val="19"/>
          <w:u w:val="single"/>
        </w:rPr>
        <w:t>and</w:t>
      </w:r>
    </w:p>
    <w:p w14:paraId="45C85FD4" w14:textId="14BBBC27" w:rsidR="00F42DB6" w:rsidRPr="00155974" w:rsidRDefault="003A3CE7" w:rsidP="003A3CE7">
      <w:pPr>
        <w:pStyle w:val="NumCPlain2"/>
        <w:numPr>
          <w:ilvl w:val="0"/>
          <w:numId w:val="0"/>
        </w:numPr>
        <w:spacing w:before="100"/>
        <w:ind w:left="1491" w:hanging="709"/>
        <w:rPr>
          <w:b/>
          <w:bCs/>
          <w:i/>
          <w:noProof/>
          <w:szCs w:val="19"/>
          <w:u w:val="single"/>
        </w:rPr>
      </w:pPr>
      <w:r>
        <w:rPr>
          <w:b/>
          <w:bCs/>
          <w:noProof/>
          <w:szCs w:val="19"/>
          <w:u w:val="single"/>
        </w:rPr>
        <w:t>(e)</w:t>
      </w:r>
      <w:r w:rsidRPr="00AE3400">
        <w:rPr>
          <w:b/>
          <w:bCs/>
          <w:noProof/>
          <w:szCs w:val="19"/>
        </w:rPr>
        <w:tab/>
      </w:r>
      <w:r w:rsidR="00F42DB6" w:rsidRPr="00155974">
        <w:rPr>
          <w:b/>
          <w:bCs/>
          <w:noProof/>
          <w:szCs w:val="19"/>
          <w:u w:val="single"/>
        </w:rPr>
        <w:t xml:space="preserve">AASB 124 </w:t>
      </w:r>
      <w:r w:rsidR="00F42DB6" w:rsidRPr="00155974">
        <w:rPr>
          <w:b/>
          <w:bCs/>
          <w:i/>
          <w:noProof/>
          <w:szCs w:val="19"/>
          <w:u w:val="single"/>
        </w:rPr>
        <w:t>Related Party Disclosures</w:t>
      </w:r>
      <w:r w:rsidR="00F42DB6" w:rsidRPr="00155974">
        <w:rPr>
          <w:b/>
          <w:bCs/>
          <w:szCs w:val="19"/>
          <w:u w:val="single"/>
        </w:rPr>
        <w:t xml:space="preserve">. </w:t>
      </w:r>
    </w:p>
    <w:p w14:paraId="4A898468" w14:textId="5AF45CF1" w:rsidR="00F42DB6" w:rsidRPr="00155974" w:rsidRDefault="00F42DB6" w:rsidP="000873F4">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1058 </w:t>
      </w:r>
      <w:r w:rsidRPr="00155974">
        <w:rPr>
          <w:rFonts w:ascii="Arial" w:hAnsi="Arial" w:cs="Arial"/>
          <w:b/>
          <w:i/>
          <w:sz w:val="24"/>
          <w:szCs w:val="24"/>
        </w:rPr>
        <w:t>Income of Not-for-Profit Entities</w:t>
      </w:r>
      <w:r w:rsidR="00D603A2" w:rsidRPr="00155974">
        <w:rPr>
          <w:rFonts w:ascii="Arial" w:hAnsi="Arial" w:cs="Arial"/>
          <w:b/>
          <w:i/>
          <w:sz w:val="24"/>
          <w:szCs w:val="24"/>
        </w:rPr>
        <w:t xml:space="preserve"> </w:t>
      </w:r>
      <w:r w:rsidR="00D603A2" w:rsidRPr="00155974">
        <w:rPr>
          <w:rFonts w:ascii="Arial" w:hAnsi="Arial" w:cs="Arial"/>
          <w:b/>
          <w:iCs/>
          <w:sz w:val="24"/>
          <w:szCs w:val="24"/>
        </w:rPr>
        <w:t>(</w:t>
      </w:r>
      <w:r w:rsidR="00CE06F9" w:rsidRPr="00155974">
        <w:rPr>
          <w:rFonts w:ascii="Arial" w:hAnsi="Arial" w:cs="Arial"/>
          <w:b/>
          <w:iCs/>
          <w:sz w:val="24"/>
          <w:szCs w:val="24"/>
        </w:rPr>
        <w:t>December 2016)</w:t>
      </w:r>
    </w:p>
    <w:p w14:paraId="18A972D5" w14:textId="715ED1B6"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D603A2" w:rsidRPr="00155974">
        <w:t xml:space="preserve"> Appendix.</w:t>
      </w:r>
    </w:p>
    <w:p w14:paraId="1F559300" w14:textId="483612C6" w:rsidR="00C32721" w:rsidRPr="00155974" w:rsidRDefault="00C32721"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E</w:t>
      </w:r>
      <w:r>
        <w:rPr>
          <w:sz w:val="22"/>
          <w:szCs w:val="22"/>
        </w:rPr>
        <w:br/>
      </w:r>
      <w:r w:rsidRPr="00155974">
        <w:rPr>
          <w:sz w:val="22"/>
          <w:szCs w:val="22"/>
        </w:rPr>
        <w:t>Australian simplified disclosures for Tier 2 entities</w:t>
      </w:r>
    </w:p>
    <w:p w14:paraId="54E0FEDE"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569E6469" w14:textId="0AC3A4EE" w:rsidR="00F42DB6" w:rsidRPr="00155974" w:rsidRDefault="00F42DB6" w:rsidP="005F3C56">
      <w:pPr>
        <w:pStyle w:val="NumCPlain1"/>
        <w:numPr>
          <w:ilvl w:val="0"/>
          <w:numId w:val="0"/>
        </w:numPr>
        <w:ind w:left="782" w:hanging="782"/>
        <w:rPr>
          <w:b/>
          <w:i/>
        </w:rPr>
      </w:pPr>
      <w:r w:rsidRPr="00155974">
        <w:rPr>
          <w:b/>
        </w:rPr>
        <w:t>AusE1</w:t>
      </w:r>
      <w:r w:rsidRPr="00155974">
        <w:rPr>
          <w:b/>
        </w:rPr>
        <w:tab/>
        <w:t>Paragraphs 23</w:t>
      </w:r>
      <w:r w:rsidR="00266770" w:rsidRPr="00155974">
        <w:rPr>
          <w:b/>
        </w:rPr>
        <w:t>–</w:t>
      </w:r>
      <w:r w:rsidRPr="00155974">
        <w:rPr>
          <w:b/>
        </w:rPr>
        <w:t xml:space="preserve">41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57F0137" w14:textId="4293B7DB" w:rsidR="00F42DB6" w:rsidRPr="00155974" w:rsidRDefault="00F42DB6" w:rsidP="000873F4">
      <w:pPr>
        <w:pStyle w:val="NumCPlain1"/>
        <w:keepNext/>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1059 </w:t>
      </w:r>
      <w:r w:rsidRPr="00155974">
        <w:rPr>
          <w:rFonts w:ascii="Arial" w:hAnsi="Arial" w:cs="Arial"/>
          <w:b/>
          <w:i/>
          <w:sz w:val="24"/>
          <w:szCs w:val="24"/>
        </w:rPr>
        <w:t>Service Concession Arrangements: Grantors</w:t>
      </w:r>
      <w:r w:rsidR="00CE06F9" w:rsidRPr="00155974">
        <w:rPr>
          <w:rFonts w:ascii="Arial" w:hAnsi="Arial" w:cs="Arial"/>
          <w:b/>
          <w:i/>
          <w:sz w:val="24"/>
          <w:szCs w:val="24"/>
        </w:rPr>
        <w:t xml:space="preserve"> </w:t>
      </w:r>
      <w:r w:rsidR="00CE06F9" w:rsidRPr="00155974">
        <w:rPr>
          <w:rFonts w:ascii="Arial" w:hAnsi="Arial" w:cs="Arial"/>
          <w:b/>
          <w:iCs/>
          <w:sz w:val="24"/>
          <w:szCs w:val="24"/>
        </w:rPr>
        <w:t>(</w:t>
      </w:r>
      <w:r w:rsidR="00DC0F8E" w:rsidRPr="00155974">
        <w:rPr>
          <w:rFonts w:ascii="Arial" w:hAnsi="Arial" w:cs="Arial"/>
          <w:b/>
          <w:iCs/>
          <w:sz w:val="24"/>
          <w:szCs w:val="24"/>
        </w:rPr>
        <w:t>July 2017</w:t>
      </w:r>
      <w:r w:rsidR="00BB42B5" w:rsidRPr="00155974">
        <w:rPr>
          <w:rFonts w:ascii="Arial" w:hAnsi="Arial" w:cs="Arial"/>
          <w:b/>
          <w:iCs/>
          <w:sz w:val="24"/>
          <w:szCs w:val="24"/>
        </w:rPr>
        <w:t>)</w:t>
      </w:r>
    </w:p>
    <w:p w14:paraId="445E5221" w14:textId="086C3595"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added</w:t>
      </w:r>
      <w:r w:rsidR="00B3257B" w:rsidRPr="00155974">
        <w:t>.</w:t>
      </w:r>
    </w:p>
    <w:p w14:paraId="53761C47" w14:textId="0FB465BB" w:rsidR="00C32721" w:rsidRPr="00155974" w:rsidRDefault="00C32721"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E</w:t>
      </w:r>
      <w:r>
        <w:rPr>
          <w:sz w:val="22"/>
          <w:szCs w:val="22"/>
        </w:rPr>
        <w:br/>
      </w:r>
      <w:r w:rsidRPr="00155974">
        <w:rPr>
          <w:sz w:val="22"/>
          <w:szCs w:val="22"/>
        </w:rPr>
        <w:t>Australian simplified disclosures for Tier 2 entities</w:t>
      </w:r>
    </w:p>
    <w:p w14:paraId="215A85F9"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28D2680B" w14:textId="0E9AE79A" w:rsidR="00F42DB6" w:rsidRPr="00155974" w:rsidRDefault="00F42DB6" w:rsidP="005F3C56">
      <w:pPr>
        <w:pStyle w:val="NumCPlain1"/>
        <w:numPr>
          <w:ilvl w:val="0"/>
          <w:numId w:val="0"/>
        </w:numPr>
        <w:ind w:left="782" w:hanging="782"/>
        <w:rPr>
          <w:b/>
          <w:i/>
        </w:rPr>
      </w:pPr>
      <w:r w:rsidRPr="00155974">
        <w:rPr>
          <w:b/>
        </w:rPr>
        <w:t>AusE1</w:t>
      </w:r>
      <w:r w:rsidRPr="00155974">
        <w:rPr>
          <w:b/>
        </w:rPr>
        <w:tab/>
      </w:r>
      <w:r w:rsidR="00EC7F15" w:rsidRPr="00155974">
        <w:rPr>
          <w:b/>
        </w:rPr>
        <w:t>Paragraphs 28, 29,</w:t>
      </w:r>
      <w:r w:rsidR="0082578F" w:rsidRPr="00155974">
        <w:rPr>
          <w:b/>
        </w:rPr>
        <w:t xml:space="preserve"> </w:t>
      </w:r>
      <w:r w:rsidR="00B169DC" w:rsidRPr="00155974">
        <w:rPr>
          <w:b/>
        </w:rPr>
        <w:t xml:space="preserve">B79 and B80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8454D5" w:rsidRPr="00155974">
        <w:rPr>
          <w:b/>
          <w:i/>
        </w:rPr>
        <w:t>.</w:t>
      </w:r>
    </w:p>
    <w:p w14:paraId="72A47FF9" w14:textId="45F95D6F" w:rsidR="00F42DB6" w:rsidRPr="00155974" w:rsidRDefault="00F42DB6" w:rsidP="003F0216">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Interpretation 2</w:t>
      </w:r>
      <w:r w:rsidRPr="00155974">
        <w:rPr>
          <w:rFonts w:ascii="Arial" w:hAnsi="Arial" w:cs="Arial"/>
          <w:b/>
          <w:i/>
          <w:sz w:val="24"/>
          <w:szCs w:val="24"/>
        </w:rPr>
        <w:t xml:space="preserve"> Members’ Shares in Co-operative Entities and Similar Instruments</w:t>
      </w:r>
      <w:r w:rsidR="00BB42B5" w:rsidRPr="00155974">
        <w:rPr>
          <w:rFonts w:ascii="Arial" w:hAnsi="Arial" w:cs="Arial"/>
          <w:b/>
          <w:i/>
          <w:sz w:val="24"/>
          <w:szCs w:val="24"/>
        </w:rPr>
        <w:t xml:space="preserve"> </w:t>
      </w:r>
      <w:r w:rsidR="00BB42B5" w:rsidRPr="00155974">
        <w:rPr>
          <w:rFonts w:ascii="Arial" w:hAnsi="Arial" w:cs="Arial"/>
          <w:b/>
          <w:iCs/>
          <w:sz w:val="24"/>
          <w:szCs w:val="24"/>
        </w:rPr>
        <w:t>(</w:t>
      </w:r>
      <w:r w:rsidR="001B03FB" w:rsidRPr="00155974">
        <w:rPr>
          <w:rFonts w:ascii="Arial" w:hAnsi="Arial" w:cs="Arial"/>
          <w:b/>
          <w:iCs/>
          <w:sz w:val="24"/>
          <w:szCs w:val="24"/>
        </w:rPr>
        <w:t>July 2015)</w:t>
      </w:r>
    </w:p>
    <w:p w14:paraId="2BCE55EA" w14:textId="5DA02D79" w:rsidR="00F42DB6" w:rsidRPr="00155974" w:rsidRDefault="00F42DB6" w:rsidP="000873F4">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D476FF" w:rsidRPr="00155974">
        <w:t xml:space="preserve"> Appendix.</w:t>
      </w:r>
    </w:p>
    <w:p w14:paraId="1872DBD2" w14:textId="6C213B1D" w:rsidR="00C32721" w:rsidRPr="00155974" w:rsidRDefault="00C32721"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B</w:t>
      </w:r>
      <w:r>
        <w:rPr>
          <w:sz w:val="22"/>
          <w:szCs w:val="22"/>
        </w:rPr>
        <w:br/>
      </w:r>
      <w:r w:rsidRPr="00155974">
        <w:rPr>
          <w:sz w:val="22"/>
          <w:szCs w:val="22"/>
        </w:rPr>
        <w:t>Australian simplified disclosures for Tier 2 entities</w:t>
      </w:r>
    </w:p>
    <w:p w14:paraId="7B10F92E"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55345D95" w14:textId="67B3A7B4" w:rsidR="00F42DB6" w:rsidRPr="00155974" w:rsidRDefault="00F42DB6" w:rsidP="005F3C56">
      <w:pPr>
        <w:pStyle w:val="NumCPlain1"/>
        <w:numPr>
          <w:ilvl w:val="0"/>
          <w:numId w:val="0"/>
        </w:numPr>
        <w:ind w:left="782" w:hanging="782"/>
        <w:rPr>
          <w:b/>
          <w:i/>
        </w:rPr>
      </w:pPr>
      <w:r w:rsidRPr="00155974">
        <w:rPr>
          <w:b/>
        </w:rPr>
        <w:t>AusB1</w:t>
      </w:r>
      <w:r w:rsidRPr="00155974">
        <w:rPr>
          <w:b/>
        </w:rPr>
        <w:tab/>
        <w:t xml:space="preserve">Paragraph 13 does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4F71157" w14:textId="3ED9B0FB"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5 </w:t>
      </w:r>
      <w:r w:rsidRPr="00155974">
        <w:rPr>
          <w:rFonts w:ascii="Arial" w:hAnsi="Arial" w:cs="Arial"/>
          <w:b/>
          <w:i/>
          <w:sz w:val="24"/>
          <w:szCs w:val="24"/>
        </w:rPr>
        <w:t>Rights to Interests arising from Decommissioning, Restoration and Environmental Rehabilitation Funds</w:t>
      </w:r>
      <w:r w:rsidR="001B03FB" w:rsidRPr="00155974">
        <w:rPr>
          <w:rFonts w:ascii="Arial" w:hAnsi="Arial" w:cs="Arial"/>
          <w:b/>
          <w:i/>
          <w:sz w:val="24"/>
          <w:szCs w:val="24"/>
        </w:rPr>
        <w:t xml:space="preserve"> </w:t>
      </w:r>
      <w:r w:rsidR="001B03FB" w:rsidRPr="00155974">
        <w:rPr>
          <w:rFonts w:ascii="Arial" w:hAnsi="Arial" w:cs="Arial"/>
          <w:b/>
          <w:iCs/>
          <w:sz w:val="24"/>
          <w:szCs w:val="24"/>
        </w:rPr>
        <w:t>(</w:t>
      </w:r>
      <w:r w:rsidR="00D476FF" w:rsidRPr="00155974">
        <w:rPr>
          <w:rFonts w:ascii="Arial" w:hAnsi="Arial" w:cs="Arial"/>
          <w:b/>
          <w:iCs/>
          <w:sz w:val="24"/>
          <w:szCs w:val="24"/>
        </w:rPr>
        <w:t>August 2015)</w:t>
      </w:r>
    </w:p>
    <w:p w14:paraId="25612C3F" w14:textId="64FD6C9F"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6847BF" w:rsidRPr="00155974">
        <w:t xml:space="preserve"> Appendix.</w:t>
      </w:r>
    </w:p>
    <w:p w14:paraId="72B0DEDB" w14:textId="77777777" w:rsidR="00C32721" w:rsidRPr="00155974" w:rsidRDefault="00C32721"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1379D90E"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4488B7AA" w14:textId="0DE4394F"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11</w:t>
      </w:r>
      <w:r w:rsidR="00016263" w:rsidRPr="00155974">
        <w:rPr>
          <w:b/>
        </w:rPr>
        <w:t>–</w:t>
      </w:r>
      <w:r w:rsidRPr="00155974">
        <w:rPr>
          <w:b/>
        </w:rPr>
        <w:t xml:space="preserve">13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4BFADCD5" w14:textId="0D58EB42" w:rsidR="00F42DB6" w:rsidRPr="00155974" w:rsidRDefault="00F42DB6" w:rsidP="005F3C56">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Interpretation 17 </w:t>
      </w:r>
      <w:r w:rsidRPr="00155974">
        <w:rPr>
          <w:rFonts w:ascii="Arial" w:hAnsi="Arial" w:cs="Arial"/>
          <w:b/>
          <w:i/>
          <w:sz w:val="24"/>
          <w:szCs w:val="24"/>
        </w:rPr>
        <w:t>Distributions of Non-cash Assets to Owners</w:t>
      </w:r>
      <w:r w:rsidR="006847BF" w:rsidRPr="00155974">
        <w:rPr>
          <w:rFonts w:ascii="Arial" w:hAnsi="Arial" w:cs="Arial"/>
          <w:b/>
          <w:i/>
          <w:sz w:val="24"/>
          <w:szCs w:val="24"/>
        </w:rPr>
        <w:t xml:space="preserve"> </w:t>
      </w:r>
      <w:r w:rsidR="006847BF" w:rsidRPr="00155974">
        <w:rPr>
          <w:rFonts w:ascii="Arial" w:hAnsi="Arial" w:cs="Arial"/>
          <w:b/>
          <w:iCs/>
          <w:sz w:val="24"/>
          <w:szCs w:val="24"/>
        </w:rPr>
        <w:t>(</w:t>
      </w:r>
      <w:r w:rsidR="0000381E" w:rsidRPr="00155974">
        <w:rPr>
          <w:rFonts w:ascii="Arial" w:hAnsi="Arial" w:cs="Arial"/>
          <w:b/>
          <w:iCs/>
          <w:sz w:val="24"/>
          <w:szCs w:val="24"/>
        </w:rPr>
        <w:t>August 2015)</w:t>
      </w:r>
    </w:p>
    <w:p w14:paraId="71F6BCAE" w14:textId="693CFEA7" w:rsidR="00F42DB6" w:rsidRPr="00155974" w:rsidRDefault="00F42DB6" w:rsidP="000873F4">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FB4D31" w:rsidRPr="00155974">
        <w:t xml:space="preserve"> Appendix.</w:t>
      </w:r>
    </w:p>
    <w:p w14:paraId="668862CA" w14:textId="77777777" w:rsidR="00C32721" w:rsidRPr="00155974" w:rsidRDefault="00C32721"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74394096"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536FA6C3" w14:textId="07774ADE"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16</w:t>
      </w:r>
      <w:r w:rsidR="00827B98" w:rsidRPr="00155974">
        <w:rPr>
          <w:b/>
        </w:rPr>
        <w:t xml:space="preserve"> and </w:t>
      </w:r>
      <w:r w:rsidRPr="00155974">
        <w:rPr>
          <w:b/>
        </w:rPr>
        <w:t xml:space="preserve">17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D5D72CF" w14:textId="33069860"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23 </w:t>
      </w:r>
      <w:r w:rsidRPr="00155974">
        <w:rPr>
          <w:rFonts w:ascii="Arial" w:hAnsi="Arial" w:cs="Arial"/>
          <w:b/>
          <w:i/>
          <w:sz w:val="24"/>
          <w:szCs w:val="24"/>
        </w:rPr>
        <w:t>Uncertainty over Income Tax Treatments</w:t>
      </w:r>
      <w:r w:rsidR="00FB4D31" w:rsidRPr="00155974">
        <w:rPr>
          <w:rFonts w:ascii="Arial" w:hAnsi="Arial" w:cs="Arial"/>
          <w:b/>
          <w:i/>
          <w:sz w:val="24"/>
          <w:szCs w:val="24"/>
        </w:rPr>
        <w:t xml:space="preserve"> </w:t>
      </w:r>
      <w:r w:rsidR="00FB4D31" w:rsidRPr="00155974">
        <w:rPr>
          <w:rFonts w:ascii="Arial" w:hAnsi="Arial" w:cs="Arial"/>
          <w:b/>
          <w:iCs/>
          <w:sz w:val="24"/>
          <w:szCs w:val="24"/>
        </w:rPr>
        <w:t>(</w:t>
      </w:r>
      <w:r w:rsidR="0057453B" w:rsidRPr="00155974">
        <w:rPr>
          <w:rFonts w:ascii="Arial" w:hAnsi="Arial" w:cs="Arial"/>
          <w:b/>
          <w:iCs/>
          <w:sz w:val="24"/>
          <w:szCs w:val="24"/>
        </w:rPr>
        <w:t>July 2017)</w:t>
      </w:r>
    </w:p>
    <w:p w14:paraId="050A6597"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added.</w:t>
      </w:r>
    </w:p>
    <w:p w14:paraId="566A0C48" w14:textId="0FF4CA77" w:rsidR="00C32721" w:rsidRPr="00155974" w:rsidRDefault="00C32721" w:rsidP="000873F4">
      <w:pPr>
        <w:pStyle w:val="Heading2"/>
        <w:keepLines w:val="0"/>
        <w:pBdr>
          <w:bottom w:val="none" w:sz="0" w:space="0" w:color="auto"/>
        </w:pBdr>
        <w:rPr>
          <w:b w:val="0"/>
          <w:sz w:val="22"/>
          <w:szCs w:val="22"/>
        </w:rPr>
      </w:pPr>
      <w:r w:rsidRPr="00155974">
        <w:rPr>
          <w:sz w:val="22"/>
          <w:szCs w:val="22"/>
        </w:rPr>
        <w:t xml:space="preserve">Appendix </w:t>
      </w:r>
      <w:r>
        <w:rPr>
          <w:sz w:val="22"/>
          <w:szCs w:val="22"/>
        </w:rPr>
        <w:t>C</w:t>
      </w:r>
      <w:r>
        <w:rPr>
          <w:sz w:val="22"/>
          <w:szCs w:val="22"/>
        </w:rPr>
        <w:br/>
      </w:r>
      <w:r w:rsidRPr="00155974">
        <w:rPr>
          <w:sz w:val="22"/>
          <w:szCs w:val="22"/>
        </w:rPr>
        <w:t>Australian simplified disclosures for Tier 2 entities</w:t>
      </w:r>
    </w:p>
    <w:p w14:paraId="0C41D634" w14:textId="77777777" w:rsidR="00F42DB6" w:rsidRPr="00155974" w:rsidRDefault="00F42DB6" w:rsidP="00C32721">
      <w:pPr>
        <w:spacing w:before="100" w:after="100"/>
        <w:jc w:val="left"/>
        <w:rPr>
          <w:rFonts w:ascii="Arial" w:hAnsi="Arial" w:cs="Arial"/>
          <w:b/>
          <w:sz w:val="22"/>
          <w:szCs w:val="22"/>
        </w:rPr>
      </w:pPr>
      <w:r w:rsidRPr="00155974">
        <w:rPr>
          <w:i/>
          <w:szCs w:val="19"/>
        </w:rPr>
        <w:t>This appendix is an integral part of the Standard.</w:t>
      </w:r>
    </w:p>
    <w:p w14:paraId="54C33D31" w14:textId="067FDED9" w:rsidR="00F42DB6" w:rsidRPr="00155974" w:rsidRDefault="00F42DB6" w:rsidP="005F3C56">
      <w:pPr>
        <w:pStyle w:val="NumCPlain1"/>
        <w:numPr>
          <w:ilvl w:val="0"/>
          <w:numId w:val="0"/>
        </w:numPr>
        <w:ind w:left="782" w:hanging="782"/>
        <w:rPr>
          <w:b/>
          <w:i/>
        </w:rPr>
      </w:pPr>
      <w:r w:rsidRPr="00155974">
        <w:rPr>
          <w:b/>
        </w:rPr>
        <w:t>AusC1</w:t>
      </w:r>
      <w:r w:rsidRPr="00155974">
        <w:rPr>
          <w:b/>
        </w:rPr>
        <w:tab/>
        <w:t xml:space="preserve">Paragraphs A4 and A5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610F5265" w14:textId="43AF8DDD"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129 </w:t>
      </w:r>
      <w:r w:rsidRPr="00155974">
        <w:rPr>
          <w:rFonts w:ascii="Arial" w:hAnsi="Arial" w:cs="Arial"/>
          <w:b/>
          <w:i/>
          <w:sz w:val="24"/>
          <w:szCs w:val="24"/>
        </w:rPr>
        <w:t>Service Concession Arrangements: Disclosures</w:t>
      </w:r>
      <w:r w:rsidR="0057453B" w:rsidRPr="00155974">
        <w:rPr>
          <w:rFonts w:ascii="Arial" w:hAnsi="Arial" w:cs="Arial"/>
          <w:b/>
          <w:i/>
          <w:sz w:val="24"/>
          <w:szCs w:val="24"/>
        </w:rPr>
        <w:t xml:space="preserve"> </w:t>
      </w:r>
      <w:r w:rsidR="0057453B" w:rsidRPr="00155974">
        <w:rPr>
          <w:rFonts w:ascii="Arial" w:hAnsi="Arial" w:cs="Arial"/>
          <w:b/>
          <w:iCs/>
          <w:sz w:val="24"/>
          <w:szCs w:val="24"/>
        </w:rPr>
        <w:t>(</w:t>
      </w:r>
      <w:r w:rsidR="0045023D" w:rsidRPr="00155974">
        <w:rPr>
          <w:rFonts w:ascii="Arial" w:hAnsi="Arial" w:cs="Arial"/>
          <w:b/>
          <w:iCs/>
          <w:sz w:val="24"/>
          <w:szCs w:val="24"/>
        </w:rPr>
        <w:t>August 2015)</w:t>
      </w:r>
    </w:p>
    <w:p w14:paraId="23D8E57A" w14:textId="478657DB" w:rsidR="00F42DB6" w:rsidRPr="00155974" w:rsidRDefault="00F42DB6" w:rsidP="000873F4">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121420" w:rsidRPr="00155974">
        <w:t xml:space="preserve"> Appendix.</w:t>
      </w:r>
    </w:p>
    <w:p w14:paraId="5CDCBF40" w14:textId="77777777" w:rsidR="00C32721" w:rsidRPr="00155974" w:rsidRDefault="00C32721"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38B8C000"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22AA8F20" w14:textId="7294E726"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6</w:t>
      </w:r>
      <w:r w:rsidR="00967AE1" w:rsidRPr="00155974">
        <w:rPr>
          <w:b/>
        </w:rPr>
        <w:t>–</w:t>
      </w:r>
      <w:r w:rsidRPr="00155974">
        <w:rPr>
          <w:b/>
        </w:rPr>
        <w:t xml:space="preserve">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4419146" w14:textId="4EC3A411" w:rsidR="00F42DB6" w:rsidRPr="00155974" w:rsidRDefault="00F42DB6" w:rsidP="000873F4">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1052 </w:t>
      </w:r>
      <w:r w:rsidRPr="00155974">
        <w:rPr>
          <w:rFonts w:ascii="Arial" w:hAnsi="Arial" w:cs="Arial"/>
          <w:b/>
          <w:i/>
          <w:sz w:val="24"/>
          <w:szCs w:val="24"/>
        </w:rPr>
        <w:t>Tax Consolidation Accounting</w:t>
      </w:r>
      <w:r w:rsidR="0045023D" w:rsidRPr="00155974">
        <w:rPr>
          <w:rFonts w:ascii="Arial" w:hAnsi="Arial" w:cs="Arial"/>
          <w:b/>
          <w:i/>
          <w:sz w:val="24"/>
          <w:szCs w:val="24"/>
        </w:rPr>
        <w:t xml:space="preserve"> </w:t>
      </w:r>
      <w:r w:rsidR="0045023D" w:rsidRPr="00155974">
        <w:rPr>
          <w:rFonts w:ascii="Arial" w:hAnsi="Arial" w:cs="Arial"/>
          <w:b/>
          <w:iCs/>
          <w:sz w:val="24"/>
          <w:szCs w:val="24"/>
        </w:rPr>
        <w:t>(</w:t>
      </w:r>
      <w:r w:rsidR="00EC61FB" w:rsidRPr="00155974">
        <w:rPr>
          <w:rFonts w:ascii="Arial" w:hAnsi="Arial" w:cs="Arial"/>
          <w:b/>
          <w:iCs/>
          <w:sz w:val="24"/>
          <w:szCs w:val="24"/>
        </w:rPr>
        <w:t>June 2005)</w:t>
      </w:r>
    </w:p>
    <w:p w14:paraId="626EEB51" w14:textId="51497FC0"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 xml:space="preserve">Paragraphs 23A and 23B </w:t>
      </w:r>
      <w:r w:rsidR="00403F3B" w:rsidRPr="00155974">
        <w:t xml:space="preserve">(and their heading) </w:t>
      </w:r>
      <w:r w:rsidRPr="00155974">
        <w:t>are deleted and Appendix A is added.</w:t>
      </w:r>
    </w:p>
    <w:p w14:paraId="4971BEF2" w14:textId="77777777" w:rsidR="00C32721" w:rsidRPr="00155974" w:rsidRDefault="00C32721" w:rsidP="000873F4">
      <w:pPr>
        <w:pStyle w:val="Heading2"/>
        <w:keepLines w:val="0"/>
        <w:pBdr>
          <w:bottom w:val="none" w:sz="0" w:space="0" w:color="auto"/>
        </w:pBdr>
        <w:rPr>
          <w:b w:val="0"/>
          <w:sz w:val="22"/>
          <w:szCs w:val="22"/>
        </w:rPr>
      </w:pPr>
      <w:r w:rsidRPr="00155974">
        <w:rPr>
          <w:sz w:val="22"/>
          <w:szCs w:val="22"/>
        </w:rPr>
        <w:t>Appendix A</w:t>
      </w:r>
      <w:r>
        <w:rPr>
          <w:sz w:val="22"/>
          <w:szCs w:val="22"/>
        </w:rPr>
        <w:br/>
      </w:r>
      <w:r w:rsidRPr="00155974">
        <w:rPr>
          <w:sz w:val="22"/>
          <w:szCs w:val="22"/>
        </w:rPr>
        <w:t>Australian simplified disclosures for Tier 2 entities</w:t>
      </w:r>
    </w:p>
    <w:p w14:paraId="7448E56C" w14:textId="77777777" w:rsidR="00F42DB6" w:rsidRPr="00155974" w:rsidRDefault="00F42DB6" w:rsidP="00C32721">
      <w:pPr>
        <w:spacing w:before="100" w:after="100"/>
        <w:jc w:val="left"/>
        <w:rPr>
          <w:i/>
          <w:szCs w:val="19"/>
        </w:rPr>
      </w:pPr>
      <w:r w:rsidRPr="00155974">
        <w:rPr>
          <w:i/>
          <w:szCs w:val="19"/>
        </w:rPr>
        <w:t>This appendix is an integral part of the Standard.</w:t>
      </w:r>
    </w:p>
    <w:p w14:paraId="2B966828" w14:textId="55747F1C"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16</w:t>
      </w:r>
      <w:r w:rsidR="00470EF0" w:rsidRPr="00155974">
        <w:rPr>
          <w:b/>
        </w:rPr>
        <w:t xml:space="preserve">, </w:t>
      </w:r>
      <w:r w:rsidRPr="00155974">
        <w:rPr>
          <w:b/>
        </w:rPr>
        <w:t>59</w:t>
      </w:r>
      <w:r w:rsidR="00470EF0" w:rsidRPr="00155974">
        <w:rPr>
          <w:b/>
        </w:rPr>
        <w:t xml:space="preserve"> and </w:t>
      </w:r>
      <w:r w:rsidRPr="00155974">
        <w:rPr>
          <w:b/>
        </w:rPr>
        <w:t xml:space="preserve">60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610B4F94" w14:textId="62D58AEE" w:rsidR="00626F24" w:rsidRPr="00155974" w:rsidRDefault="00626F24" w:rsidP="009513EE">
      <w:pPr>
        <w:pStyle w:val="NumPlain1"/>
        <w:spacing w:after="0"/>
      </w:pPr>
    </w:p>
    <w:p w14:paraId="565DDD97" w14:textId="77777777" w:rsidR="00AD47BC" w:rsidRPr="00155974" w:rsidRDefault="00AD47BC" w:rsidP="009513EE">
      <w:pPr>
        <w:rPr>
          <w:rFonts w:ascii="Arial" w:hAnsi="Arial" w:cs="Arial"/>
          <w:b/>
          <w:sz w:val="26"/>
          <w:szCs w:val="26"/>
        </w:rPr>
        <w:sectPr w:rsidR="00AD47BC" w:rsidRPr="00155974" w:rsidSect="008415C2">
          <w:footerReference w:type="default" r:id="rId29"/>
          <w:pgSz w:w="11907" w:h="16840" w:code="9"/>
          <w:pgMar w:top="1440" w:right="1440" w:bottom="1440" w:left="1440" w:header="720" w:footer="720" w:gutter="0"/>
          <w:cols w:space="720"/>
          <w:docGrid w:linePitch="258"/>
        </w:sectPr>
      </w:pPr>
    </w:p>
    <w:p w14:paraId="485D9234" w14:textId="72C81B07" w:rsidR="00BC21D5" w:rsidRPr="009C1A64" w:rsidRDefault="00BC21D5" w:rsidP="002B3674">
      <w:pPr>
        <w:pStyle w:val="ConvSectionTitle"/>
      </w:pPr>
      <w:r w:rsidRPr="009C1A64">
        <w:lastRenderedPageBreak/>
        <w:t>Implementation guidance</w:t>
      </w:r>
      <w:r w:rsidR="009513EE">
        <w:br/>
      </w:r>
      <w:r w:rsidR="009513EE" w:rsidRPr="009C1A64">
        <w:rPr>
          <w:szCs w:val="26"/>
        </w:rPr>
        <w:t>Disclosure and presentation requirements in other Standards and Interpretations</w:t>
      </w:r>
    </w:p>
    <w:p w14:paraId="54C97E8C" w14:textId="77777777" w:rsidR="00BC21D5" w:rsidRPr="00155974" w:rsidRDefault="00BC21D5" w:rsidP="00FE6FCA">
      <w:pPr>
        <w:pStyle w:val="ContentsLevel1"/>
        <w:spacing w:before="100" w:after="100"/>
        <w:ind w:right="567"/>
        <w:rPr>
          <w:b w:val="0"/>
          <w:bCs/>
          <w:i/>
        </w:rPr>
      </w:pPr>
      <w:r w:rsidRPr="00155974">
        <w:rPr>
          <w:b w:val="0"/>
          <w:bCs/>
          <w:i/>
          <w:caps w:val="0"/>
        </w:rPr>
        <w:t xml:space="preserve">This implementation guidance accompanies, but is not part of, AASB 1060. </w:t>
      </w:r>
    </w:p>
    <w:p w14:paraId="51089D05" w14:textId="3BD9EA02" w:rsidR="00BC21D5" w:rsidRPr="00155974" w:rsidRDefault="00C11433" w:rsidP="00060DFB">
      <w:pPr>
        <w:pStyle w:val="NumPlain1"/>
        <w:ind w:left="782" w:hanging="782"/>
      </w:pPr>
      <w:r>
        <w:t>I</w:t>
      </w:r>
      <w:r w:rsidR="00134B21">
        <w:t>G</w:t>
      </w:r>
      <w:r w:rsidR="00BC21D5" w:rsidRPr="00155974">
        <w:t>1</w:t>
      </w:r>
      <w:r w:rsidR="00BC21D5" w:rsidRPr="00155974">
        <w:tab/>
        <w:t xml:space="preserve">The table below has been provided for ease of reference, and lists the Standards and specific disclosure paragraphs that do not apply to an entity that is applying AASB 1060 </w:t>
      </w:r>
      <w:r w:rsidR="00BC21D5" w:rsidRPr="00155974">
        <w:rPr>
          <w:i/>
        </w:rPr>
        <w:t xml:space="preserve">General Purpose Financial Statements – Simplified Disclosures for For-Profit and Not-for-Profit Tier 2 Entities </w:t>
      </w:r>
      <w:r w:rsidR="00BC21D5" w:rsidRPr="00155974">
        <w:rPr>
          <w:iCs/>
        </w:rPr>
        <w:t>as well as specific presentation paragraphs or associated guidance paragraphs that still apply to the entity</w:t>
      </w:r>
      <w:r w:rsidR="00BC21D5" w:rsidRPr="00155974">
        <w:t xml:space="preserve">. </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ppendix D table"/>
        <w:tblDescription w:val="Summary of dislcosures in other standards and interpretations not applicable"/>
      </w:tblPr>
      <w:tblGrid>
        <w:gridCol w:w="3175"/>
        <w:gridCol w:w="3005"/>
        <w:gridCol w:w="2948"/>
      </w:tblGrid>
      <w:tr w:rsidR="00BC21D5" w:rsidRPr="00155974" w14:paraId="03F2B447" w14:textId="77777777" w:rsidTr="002B3674">
        <w:trPr>
          <w:trHeight w:val="181"/>
          <w:tblHeader/>
          <w:jc w:val="center"/>
        </w:trPr>
        <w:tc>
          <w:tcPr>
            <w:tcW w:w="3175" w:type="dxa"/>
            <w:shd w:val="clear" w:color="auto" w:fill="auto"/>
            <w:tcMar>
              <w:top w:w="60" w:type="dxa"/>
              <w:left w:w="60" w:type="dxa"/>
              <w:bottom w:w="105" w:type="dxa"/>
              <w:right w:w="60" w:type="dxa"/>
            </w:tcMar>
          </w:tcPr>
          <w:p w14:paraId="527CB2B0" w14:textId="77777777" w:rsidR="00BC21D5" w:rsidRPr="00155974" w:rsidRDefault="00BC21D5" w:rsidP="00B61D7F">
            <w:pPr>
              <w:ind w:left="57"/>
              <w:jc w:val="center"/>
              <w:rPr>
                <w:b/>
                <w:szCs w:val="19"/>
              </w:rPr>
            </w:pPr>
            <w:r w:rsidRPr="00155974">
              <w:rPr>
                <w:b/>
                <w:bCs/>
                <w:szCs w:val="19"/>
              </w:rPr>
              <w:t>AASB Standard</w:t>
            </w:r>
          </w:p>
        </w:tc>
        <w:tc>
          <w:tcPr>
            <w:tcW w:w="3005" w:type="dxa"/>
            <w:shd w:val="clear" w:color="auto" w:fill="auto"/>
          </w:tcPr>
          <w:p w14:paraId="14DFFD08" w14:textId="77777777" w:rsidR="00BC21D5" w:rsidRPr="00155974" w:rsidRDefault="00BC21D5" w:rsidP="00B61D7F">
            <w:pPr>
              <w:ind w:left="57"/>
              <w:jc w:val="center"/>
              <w:rPr>
                <w:b/>
                <w:szCs w:val="19"/>
              </w:rPr>
            </w:pPr>
            <w:r w:rsidRPr="00155974">
              <w:rPr>
                <w:b/>
                <w:szCs w:val="19"/>
              </w:rPr>
              <w:t xml:space="preserve">Paragraphs superseded by this Standard </w:t>
            </w:r>
          </w:p>
        </w:tc>
        <w:tc>
          <w:tcPr>
            <w:tcW w:w="2948" w:type="dxa"/>
          </w:tcPr>
          <w:p w14:paraId="6FFACF61" w14:textId="77777777" w:rsidR="00BC21D5" w:rsidRPr="00155974" w:rsidRDefault="00BC21D5" w:rsidP="00B61D7F">
            <w:pPr>
              <w:ind w:left="57"/>
              <w:jc w:val="center"/>
              <w:rPr>
                <w:b/>
                <w:szCs w:val="19"/>
              </w:rPr>
            </w:pPr>
            <w:r w:rsidRPr="00155974">
              <w:rPr>
                <w:b/>
                <w:szCs w:val="19"/>
              </w:rPr>
              <w:t>Paragraphs that have not been superseded by this Standard and represent presentation requirements or associated guidance</w:t>
            </w:r>
          </w:p>
        </w:tc>
      </w:tr>
      <w:tr w:rsidR="00BC21D5" w:rsidRPr="00155974" w14:paraId="160E8B37" w14:textId="77777777" w:rsidTr="002B3674">
        <w:trPr>
          <w:trHeight w:val="371"/>
          <w:jc w:val="center"/>
        </w:trPr>
        <w:tc>
          <w:tcPr>
            <w:tcW w:w="3175" w:type="dxa"/>
            <w:shd w:val="clear" w:color="auto" w:fill="auto"/>
            <w:tcMar>
              <w:top w:w="60" w:type="dxa"/>
              <w:left w:w="60" w:type="dxa"/>
              <w:bottom w:w="105" w:type="dxa"/>
              <w:right w:w="60" w:type="dxa"/>
            </w:tcMar>
            <w:hideMark/>
          </w:tcPr>
          <w:p w14:paraId="10FABAF9"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 </w:t>
            </w:r>
            <w:r w:rsidRPr="00155974">
              <w:rPr>
                <w:i/>
                <w:color w:val="000000" w:themeColor="text1"/>
                <w:szCs w:val="19"/>
              </w:rPr>
              <w:t>First-time Adoption of Australian Accounting Standards</w:t>
            </w:r>
          </w:p>
        </w:tc>
        <w:tc>
          <w:tcPr>
            <w:tcW w:w="3005" w:type="dxa"/>
            <w:shd w:val="clear" w:color="auto" w:fill="auto"/>
          </w:tcPr>
          <w:p w14:paraId="70B73D36" w14:textId="77777777" w:rsidR="000416B5" w:rsidRDefault="00BC21D5" w:rsidP="009E097F">
            <w:pPr>
              <w:ind w:left="57"/>
              <w:jc w:val="left"/>
              <w:rPr>
                <w:color w:val="000000" w:themeColor="text1"/>
                <w:szCs w:val="19"/>
              </w:rPr>
            </w:pPr>
            <w:r w:rsidRPr="00155974">
              <w:rPr>
                <w:color w:val="000000" w:themeColor="text1"/>
                <w:szCs w:val="19"/>
              </w:rPr>
              <w:t xml:space="preserve">Paragraphs Aus3.2 and 20–33 </w:t>
            </w:r>
          </w:p>
          <w:p w14:paraId="7DE39841" w14:textId="4E92CC5F" w:rsidR="00BC21D5" w:rsidRPr="00155974" w:rsidRDefault="00F74A26" w:rsidP="009E097F">
            <w:pPr>
              <w:ind w:left="57"/>
              <w:jc w:val="left"/>
              <w:rPr>
                <w:color w:val="000000" w:themeColor="text1"/>
                <w:szCs w:val="19"/>
              </w:rPr>
            </w:pPr>
            <w:r w:rsidRPr="00F74A26">
              <w:rPr>
                <w:color w:val="000000" w:themeColor="text1"/>
                <w:szCs w:val="19"/>
              </w:rPr>
              <w:t>The text ‘and present’ in paragraph 6.</w:t>
            </w:r>
          </w:p>
        </w:tc>
        <w:tc>
          <w:tcPr>
            <w:tcW w:w="2948" w:type="dxa"/>
          </w:tcPr>
          <w:p w14:paraId="1F54DF7D" w14:textId="20D50265"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282DF8BF" w14:textId="77777777" w:rsidTr="002B3674">
        <w:trPr>
          <w:trHeight w:val="235"/>
          <w:jc w:val="center"/>
        </w:trPr>
        <w:tc>
          <w:tcPr>
            <w:tcW w:w="3175" w:type="dxa"/>
            <w:shd w:val="clear" w:color="auto" w:fill="auto"/>
            <w:tcMar>
              <w:top w:w="60" w:type="dxa"/>
              <w:left w:w="60" w:type="dxa"/>
              <w:bottom w:w="105" w:type="dxa"/>
              <w:right w:w="60" w:type="dxa"/>
            </w:tcMar>
            <w:hideMark/>
          </w:tcPr>
          <w:p w14:paraId="46FF776D"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2 </w:t>
            </w:r>
            <w:r w:rsidRPr="00155974">
              <w:rPr>
                <w:i/>
                <w:color w:val="000000" w:themeColor="text1"/>
                <w:szCs w:val="19"/>
              </w:rPr>
              <w:t>Share-based Payment</w:t>
            </w:r>
          </w:p>
        </w:tc>
        <w:tc>
          <w:tcPr>
            <w:tcW w:w="3005" w:type="dxa"/>
            <w:shd w:val="clear" w:color="auto" w:fill="auto"/>
          </w:tcPr>
          <w:p w14:paraId="51955E26" w14:textId="77777777" w:rsidR="00BC21D5" w:rsidRPr="00155974" w:rsidRDefault="00BC21D5" w:rsidP="009E097F">
            <w:pPr>
              <w:ind w:left="57"/>
              <w:jc w:val="left"/>
              <w:rPr>
                <w:color w:val="000000" w:themeColor="text1"/>
                <w:szCs w:val="19"/>
              </w:rPr>
            </w:pPr>
            <w:r w:rsidRPr="00155974">
              <w:rPr>
                <w:color w:val="000000" w:themeColor="text1"/>
                <w:szCs w:val="19"/>
              </w:rPr>
              <w:t>Paragraphs 44–52</w:t>
            </w:r>
          </w:p>
        </w:tc>
        <w:tc>
          <w:tcPr>
            <w:tcW w:w="2948" w:type="dxa"/>
          </w:tcPr>
          <w:p w14:paraId="6A49B191" w14:textId="3CB13025"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CCA53DA" w14:textId="77777777" w:rsidTr="002B3674">
        <w:trPr>
          <w:trHeight w:val="206"/>
          <w:jc w:val="center"/>
        </w:trPr>
        <w:tc>
          <w:tcPr>
            <w:tcW w:w="3175" w:type="dxa"/>
            <w:shd w:val="clear" w:color="auto" w:fill="auto"/>
            <w:tcMar>
              <w:top w:w="60" w:type="dxa"/>
              <w:left w:w="60" w:type="dxa"/>
              <w:bottom w:w="105" w:type="dxa"/>
              <w:right w:w="60" w:type="dxa"/>
            </w:tcMar>
            <w:hideMark/>
          </w:tcPr>
          <w:p w14:paraId="06AC6E8A"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3 </w:t>
            </w:r>
            <w:r w:rsidRPr="00155974">
              <w:rPr>
                <w:i/>
                <w:color w:val="000000" w:themeColor="text1"/>
                <w:szCs w:val="19"/>
              </w:rPr>
              <w:t>Business Combinations</w:t>
            </w:r>
          </w:p>
        </w:tc>
        <w:tc>
          <w:tcPr>
            <w:tcW w:w="3005" w:type="dxa"/>
            <w:shd w:val="clear" w:color="auto" w:fill="auto"/>
          </w:tcPr>
          <w:p w14:paraId="20194B9F" w14:textId="77777777" w:rsidR="00BC21D5" w:rsidRPr="00155974" w:rsidRDefault="00BC21D5" w:rsidP="009E097F">
            <w:pPr>
              <w:ind w:left="57"/>
              <w:jc w:val="left"/>
              <w:rPr>
                <w:color w:val="000000" w:themeColor="text1"/>
                <w:szCs w:val="19"/>
              </w:rPr>
            </w:pPr>
            <w:r w:rsidRPr="00155974">
              <w:rPr>
                <w:color w:val="000000" w:themeColor="text1"/>
                <w:szCs w:val="19"/>
              </w:rPr>
              <w:t>Paragraphs 59–63 and B64–B67</w:t>
            </w:r>
          </w:p>
        </w:tc>
        <w:tc>
          <w:tcPr>
            <w:tcW w:w="2948" w:type="dxa"/>
          </w:tcPr>
          <w:p w14:paraId="0576E20A" w14:textId="6CC1146C"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4C8F3DC4" w14:textId="77777777" w:rsidTr="002B3674">
        <w:trPr>
          <w:trHeight w:val="206"/>
          <w:jc w:val="center"/>
        </w:trPr>
        <w:tc>
          <w:tcPr>
            <w:tcW w:w="3175" w:type="dxa"/>
            <w:shd w:val="clear" w:color="auto" w:fill="auto"/>
            <w:tcMar>
              <w:top w:w="60" w:type="dxa"/>
              <w:left w:w="60" w:type="dxa"/>
              <w:bottom w:w="105" w:type="dxa"/>
              <w:right w:w="60" w:type="dxa"/>
            </w:tcMar>
          </w:tcPr>
          <w:p w14:paraId="38FFB135"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5 </w:t>
            </w:r>
            <w:r w:rsidRPr="00155974">
              <w:rPr>
                <w:i/>
                <w:color w:val="000000" w:themeColor="text1"/>
                <w:szCs w:val="19"/>
              </w:rPr>
              <w:t>Non-current Assets Held for Sale and Discontinued Operations</w:t>
            </w:r>
          </w:p>
        </w:tc>
        <w:tc>
          <w:tcPr>
            <w:tcW w:w="3005" w:type="dxa"/>
            <w:shd w:val="clear" w:color="auto" w:fill="auto"/>
          </w:tcPr>
          <w:p w14:paraId="443DFE05" w14:textId="77777777" w:rsidR="00BC21D5" w:rsidRPr="00155974" w:rsidRDefault="00BC21D5" w:rsidP="009E097F">
            <w:pPr>
              <w:ind w:left="57"/>
              <w:jc w:val="left"/>
              <w:rPr>
                <w:color w:val="000000" w:themeColor="text1"/>
                <w:szCs w:val="19"/>
              </w:rPr>
            </w:pPr>
            <w:r w:rsidRPr="00155974">
              <w:t xml:space="preserve">Paragraphs </w:t>
            </w:r>
            <w:r w:rsidRPr="00155974">
              <w:rPr>
                <w:bCs/>
              </w:rPr>
              <w:t xml:space="preserve">30, 33, 35, 36A, 41 and 42 </w:t>
            </w:r>
          </w:p>
        </w:tc>
        <w:tc>
          <w:tcPr>
            <w:tcW w:w="2948" w:type="dxa"/>
          </w:tcPr>
          <w:p w14:paraId="1946CF66" w14:textId="77777777" w:rsidR="00BC21D5" w:rsidRPr="00155974" w:rsidRDefault="00BC21D5" w:rsidP="00022B10">
            <w:pPr>
              <w:ind w:left="57"/>
              <w:jc w:val="left"/>
            </w:pPr>
            <w:r w:rsidRPr="00155974">
              <w:t>Paragraphs 31, 32, 33A, 34, 36, and 37–40</w:t>
            </w:r>
          </w:p>
        </w:tc>
      </w:tr>
      <w:tr w:rsidR="00BC21D5" w:rsidRPr="00155974" w14:paraId="1DB9ACD7" w14:textId="77777777" w:rsidTr="002B3674">
        <w:trPr>
          <w:trHeight w:val="208"/>
          <w:jc w:val="center"/>
        </w:trPr>
        <w:tc>
          <w:tcPr>
            <w:tcW w:w="3175" w:type="dxa"/>
            <w:shd w:val="clear" w:color="auto" w:fill="auto"/>
            <w:tcMar>
              <w:top w:w="60" w:type="dxa"/>
              <w:left w:w="60" w:type="dxa"/>
              <w:bottom w:w="105" w:type="dxa"/>
              <w:right w:w="60" w:type="dxa"/>
            </w:tcMar>
            <w:hideMark/>
          </w:tcPr>
          <w:p w14:paraId="2E416D82"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6 </w:t>
            </w:r>
            <w:r w:rsidRPr="00155974">
              <w:rPr>
                <w:i/>
                <w:color w:val="000000" w:themeColor="text1"/>
                <w:szCs w:val="19"/>
              </w:rPr>
              <w:t>Exploration for and Evaluation of Mineral Resources</w:t>
            </w:r>
          </w:p>
        </w:tc>
        <w:tc>
          <w:tcPr>
            <w:tcW w:w="3005" w:type="dxa"/>
            <w:shd w:val="clear" w:color="auto" w:fill="auto"/>
          </w:tcPr>
          <w:p w14:paraId="1F12DDE2" w14:textId="77777777" w:rsidR="00BC21D5" w:rsidRPr="00155974" w:rsidRDefault="00BC21D5" w:rsidP="009E097F">
            <w:pPr>
              <w:ind w:left="57"/>
              <w:jc w:val="left"/>
              <w:rPr>
                <w:color w:val="000000" w:themeColor="text1"/>
                <w:szCs w:val="19"/>
              </w:rPr>
            </w:pPr>
            <w:r w:rsidRPr="00155974">
              <w:rPr>
                <w:color w:val="000000" w:themeColor="text1"/>
                <w:szCs w:val="19"/>
              </w:rPr>
              <w:t>Paragraphs 23–25</w:t>
            </w:r>
          </w:p>
        </w:tc>
        <w:tc>
          <w:tcPr>
            <w:tcW w:w="2948" w:type="dxa"/>
          </w:tcPr>
          <w:p w14:paraId="31D6EFC8" w14:textId="77777777" w:rsidR="00BC21D5" w:rsidRPr="00155974" w:rsidRDefault="00BC21D5" w:rsidP="009E097F">
            <w:pPr>
              <w:ind w:left="57"/>
              <w:jc w:val="left"/>
              <w:rPr>
                <w:color w:val="000000" w:themeColor="text1"/>
                <w:szCs w:val="19"/>
              </w:rPr>
            </w:pPr>
            <w:r w:rsidRPr="00155974">
              <w:rPr>
                <w:color w:val="000000" w:themeColor="text1"/>
                <w:szCs w:val="19"/>
              </w:rPr>
              <w:t>Paragraphs 15–17</w:t>
            </w:r>
          </w:p>
        </w:tc>
      </w:tr>
      <w:tr w:rsidR="00BC21D5" w:rsidRPr="00155974" w14:paraId="776FD669" w14:textId="77777777" w:rsidTr="002B3674">
        <w:trPr>
          <w:trHeight w:val="206"/>
          <w:jc w:val="center"/>
        </w:trPr>
        <w:tc>
          <w:tcPr>
            <w:tcW w:w="3175" w:type="dxa"/>
            <w:shd w:val="clear" w:color="auto" w:fill="auto"/>
            <w:tcMar>
              <w:top w:w="60" w:type="dxa"/>
              <w:left w:w="60" w:type="dxa"/>
              <w:bottom w:w="105" w:type="dxa"/>
              <w:right w:w="60" w:type="dxa"/>
            </w:tcMar>
            <w:hideMark/>
          </w:tcPr>
          <w:p w14:paraId="77287E22"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7 </w:t>
            </w:r>
            <w:r w:rsidRPr="00155974">
              <w:rPr>
                <w:i/>
                <w:iCs/>
                <w:color w:val="000000" w:themeColor="text1"/>
                <w:szCs w:val="19"/>
              </w:rPr>
              <w:t>Financial Instruments: Disclosures</w:t>
            </w:r>
          </w:p>
        </w:tc>
        <w:tc>
          <w:tcPr>
            <w:tcW w:w="3005" w:type="dxa"/>
            <w:shd w:val="clear" w:color="auto" w:fill="auto"/>
          </w:tcPr>
          <w:p w14:paraId="677BC9DF" w14:textId="77777777" w:rsidR="00BC21D5" w:rsidRPr="00155974" w:rsidRDefault="00BC21D5" w:rsidP="009E097F">
            <w:pPr>
              <w:ind w:left="57"/>
              <w:jc w:val="left"/>
              <w:rPr>
                <w:color w:val="000000" w:themeColor="text1"/>
                <w:szCs w:val="19"/>
              </w:rPr>
            </w:pPr>
            <w:r w:rsidRPr="00155974">
              <w:rPr>
                <w:color w:val="000000" w:themeColor="text1"/>
                <w:szCs w:val="19"/>
              </w:rPr>
              <w:t xml:space="preserve">Compliance with this Standard is not required, however it may be referred to for guidance </w:t>
            </w:r>
          </w:p>
        </w:tc>
        <w:tc>
          <w:tcPr>
            <w:tcW w:w="2948" w:type="dxa"/>
          </w:tcPr>
          <w:p w14:paraId="12FC6308"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37D2A648" w14:textId="77777777" w:rsidTr="002B3674">
        <w:trPr>
          <w:trHeight w:val="206"/>
          <w:jc w:val="center"/>
        </w:trPr>
        <w:tc>
          <w:tcPr>
            <w:tcW w:w="3175" w:type="dxa"/>
            <w:shd w:val="clear" w:color="auto" w:fill="auto"/>
            <w:tcMar>
              <w:top w:w="60" w:type="dxa"/>
              <w:left w:w="60" w:type="dxa"/>
              <w:bottom w:w="105" w:type="dxa"/>
              <w:right w:w="60" w:type="dxa"/>
            </w:tcMar>
          </w:tcPr>
          <w:p w14:paraId="1881764E" w14:textId="77777777" w:rsidR="00BC21D5" w:rsidRPr="00155974" w:rsidDel="002E4AC8" w:rsidRDefault="00BC21D5" w:rsidP="0041597E">
            <w:pPr>
              <w:ind w:left="57"/>
              <w:jc w:val="left"/>
              <w:rPr>
                <w:color w:val="000000" w:themeColor="text1"/>
                <w:szCs w:val="19"/>
              </w:rPr>
            </w:pPr>
            <w:r w:rsidRPr="00155974">
              <w:rPr>
                <w:color w:val="000000" w:themeColor="text1"/>
                <w:szCs w:val="19"/>
              </w:rPr>
              <w:t xml:space="preserve">AASB 8 </w:t>
            </w:r>
            <w:r w:rsidRPr="00155974">
              <w:rPr>
                <w:i/>
                <w:iCs/>
                <w:color w:val="000000" w:themeColor="text1"/>
                <w:szCs w:val="19"/>
              </w:rPr>
              <w:t>Operating Segments</w:t>
            </w:r>
          </w:p>
        </w:tc>
        <w:tc>
          <w:tcPr>
            <w:tcW w:w="3005" w:type="dxa"/>
            <w:shd w:val="clear" w:color="auto" w:fill="auto"/>
          </w:tcPr>
          <w:p w14:paraId="39A44110" w14:textId="77777777" w:rsidR="00BC21D5" w:rsidRPr="00155974" w:rsidDel="002E4AC8" w:rsidRDefault="00BC21D5" w:rsidP="009E097F">
            <w:pPr>
              <w:ind w:left="57"/>
              <w:jc w:val="left"/>
              <w:rPr>
                <w:color w:val="000000" w:themeColor="text1"/>
                <w:szCs w:val="19"/>
              </w:rPr>
            </w:pPr>
            <w:r w:rsidRPr="00155974">
              <w:rPr>
                <w:color w:val="000000" w:themeColor="text1"/>
                <w:szCs w:val="19"/>
              </w:rPr>
              <w:t>Paragraphs 5–34, unless elect to disclose segment information</w:t>
            </w:r>
          </w:p>
        </w:tc>
        <w:tc>
          <w:tcPr>
            <w:tcW w:w="2948" w:type="dxa"/>
          </w:tcPr>
          <w:p w14:paraId="6D60DB86"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67E34437" w14:textId="77777777" w:rsidTr="002B3674">
        <w:trPr>
          <w:trHeight w:val="235"/>
          <w:jc w:val="center"/>
        </w:trPr>
        <w:tc>
          <w:tcPr>
            <w:tcW w:w="3175" w:type="dxa"/>
            <w:shd w:val="clear" w:color="auto" w:fill="auto"/>
            <w:tcMar>
              <w:top w:w="60" w:type="dxa"/>
              <w:left w:w="60" w:type="dxa"/>
              <w:bottom w:w="105" w:type="dxa"/>
              <w:right w:w="60" w:type="dxa"/>
            </w:tcMar>
            <w:hideMark/>
          </w:tcPr>
          <w:p w14:paraId="2741E2B6"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 </w:t>
            </w:r>
            <w:r w:rsidRPr="00155974">
              <w:rPr>
                <w:i/>
                <w:color w:val="000000" w:themeColor="text1"/>
                <w:szCs w:val="19"/>
              </w:rPr>
              <w:t>Disclosure of Interests in Other Entities</w:t>
            </w:r>
          </w:p>
        </w:tc>
        <w:tc>
          <w:tcPr>
            <w:tcW w:w="3005" w:type="dxa"/>
            <w:shd w:val="clear" w:color="auto" w:fill="auto"/>
          </w:tcPr>
          <w:p w14:paraId="25A32FB1" w14:textId="77777777" w:rsidR="00BC21D5" w:rsidRPr="00155974" w:rsidRDefault="00BC21D5" w:rsidP="009E09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2948" w:type="dxa"/>
          </w:tcPr>
          <w:p w14:paraId="00696F66"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26D85705" w14:textId="77777777" w:rsidTr="002B3674">
        <w:trPr>
          <w:trHeight w:val="358"/>
          <w:jc w:val="center"/>
        </w:trPr>
        <w:tc>
          <w:tcPr>
            <w:tcW w:w="3175" w:type="dxa"/>
            <w:shd w:val="clear" w:color="auto" w:fill="auto"/>
            <w:tcMar>
              <w:top w:w="60" w:type="dxa"/>
              <w:left w:w="60" w:type="dxa"/>
              <w:bottom w:w="105" w:type="dxa"/>
              <w:right w:w="60" w:type="dxa"/>
            </w:tcMar>
            <w:hideMark/>
          </w:tcPr>
          <w:p w14:paraId="14BCD99C"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13 </w:t>
            </w:r>
            <w:r w:rsidRPr="00155974">
              <w:rPr>
                <w:i/>
                <w:color w:val="000000" w:themeColor="text1"/>
                <w:szCs w:val="19"/>
              </w:rPr>
              <w:t>Fair Value Measurement</w:t>
            </w:r>
          </w:p>
        </w:tc>
        <w:tc>
          <w:tcPr>
            <w:tcW w:w="3005" w:type="dxa"/>
            <w:shd w:val="clear" w:color="auto" w:fill="auto"/>
          </w:tcPr>
          <w:p w14:paraId="2BF4FF8D" w14:textId="77777777" w:rsidR="00BC21D5" w:rsidRPr="00155974" w:rsidRDefault="00BC21D5" w:rsidP="009E097F">
            <w:pPr>
              <w:ind w:left="57"/>
              <w:jc w:val="left"/>
              <w:rPr>
                <w:color w:val="000000" w:themeColor="text1"/>
                <w:szCs w:val="19"/>
              </w:rPr>
            </w:pPr>
            <w:r w:rsidRPr="00155974">
              <w:rPr>
                <w:color w:val="000000" w:themeColor="text1"/>
                <w:szCs w:val="19"/>
              </w:rPr>
              <w:t>Paragraphs 91–99</w:t>
            </w:r>
          </w:p>
        </w:tc>
        <w:tc>
          <w:tcPr>
            <w:tcW w:w="2948" w:type="dxa"/>
          </w:tcPr>
          <w:p w14:paraId="70FCA1CE" w14:textId="562D48A5"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1E271B24" w14:textId="77777777" w:rsidTr="002B3674">
        <w:trPr>
          <w:trHeight w:val="235"/>
          <w:jc w:val="center"/>
        </w:trPr>
        <w:tc>
          <w:tcPr>
            <w:tcW w:w="3175" w:type="dxa"/>
            <w:shd w:val="clear" w:color="auto" w:fill="auto"/>
            <w:tcMar>
              <w:top w:w="60" w:type="dxa"/>
              <w:left w:w="60" w:type="dxa"/>
              <w:bottom w:w="105" w:type="dxa"/>
              <w:right w:w="60" w:type="dxa"/>
            </w:tcMar>
            <w:hideMark/>
          </w:tcPr>
          <w:p w14:paraId="548F25F8"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15 </w:t>
            </w:r>
            <w:r w:rsidRPr="00155974">
              <w:rPr>
                <w:i/>
                <w:color w:val="000000" w:themeColor="text1"/>
                <w:szCs w:val="19"/>
              </w:rPr>
              <w:t>Revenue from Contracts with Customers</w:t>
            </w:r>
          </w:p>
        </w:tc>
        <w:tc>
          <w:tcPr>
            <w:tcW w:w="3005" w:type="dxa"/>
            <w:shd w:val="clear" w:color="auto" w:fill="auto"/>
          </w:tcPr>
          <w:p w14:paraId="12B07C0E" w14:textId="77777777" w:rsidR="00BC21D5" w:rsidRPr="00155974" w:rsidRDefault="00BC21D5" w:rsidP="009E097F">
            <w:pPr>
              <w:ind w:left="57"/>
              <w:jc w:val="left"/>
              <w:rPr>
                <w:color w:val="000000" w:themeColor="text1"/>
                <w:szCs w:val="19"/>
              </w:rPr>
            </w:pPr>
            <w:r w:rsidRPr="00155974">
              <w:rPr>
                <w:color w:val="000000" w:themeColor="text1"/>
                <w:szCs w:val="19"/>
              </w:rPr>
              <w:t>Paragraphs 110–129 and B87–B89</w:t>
            </w:r>
          </w:p>
        </w:tc>
        <w:tc>
          <w:tcPr>
            <w:tcW w:w="2948" w:type="dxa"/>
          </w:tcPr>
          <w:p w14:paraId="1793DA37" w14:textId="77777777" w:rsidR="00BC21D5" w:rsidRPr="00155974" w:rsidRDefault="00BC21D5" w:rsidP="009E097F">
            <w:pPr>
              <w:ind w:left="57"/>
              <w:jc w:val="left"/>
              <w:rPr>
                <w:color w:val="000000" w:themeColor="text1"/>
                <w:szCs w:val="19"/>
              </w:rPr>
            </w:pPr>
            <w:r w:rsidRPr="00155974">
              <w:rPr>
                <w:color w:val="000000" w:themeColor="text1"/>
                <w:szCs w:val="19"/>
              </w:rPr>
              <w:t>Paragraphs 105–109</w:t>
            </w:r>
          </w:p>
        </w:tc>
      </w:tr>
      <w:tr w:rsidR="00BC21D5" w:rsidRPr="00155974" w14:paraId="3EEEF242" w14:textId="77777777" w:rsidTr="002B3674">
        <w:trPr>
          <w:trHeight w:val="235"/>
          <w:jc w:val="center"/>
        </w:trPr>
        <w:tc>
          <w:tcPr>
            <w:tcW w:w="3175" w:type="dxa"/>
            <w:shd w:val="clear" w:color="auto" w:fill="auto"/>
            <w:tcMar>
              <w:top w:w="60" w:type="dxa"/>
              <w:left w:w="60" w:type="dxa"/>
              <w:bottom w:w="105" w:type="dxa"/>
              <w:right w:w="60" w:type="dxa"/>
            </w:tcMar>
            <w:hideMark/>
          </w:tcPr>
          <w:p w14:paraId="5D48FF88"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16 </w:t>
            </w:r>
            <w:r w:rsidRPr="00155974">
              <w:rPr>
                <w:i/>
                <w:color w:val="000000" w:themeColor="text1"/>
                <w:szCs w:val="19"/>
              </w:rPr>
              <w:t>Leases</w:t>
            </w:r>
          </w:p>
        </w:tc>
        <w:tc>
          <w:tcPr>
            <w:tcW w:w="3005" w:type="dxa"/>
            <w:shd w:val="clear" w:color="auto" w:fill="auto"/>
          </w:tcPr>
          <w:p w14:paraId="547FDADF" w14:textId="77777777" w:rsidR="00BC21D5" w:rsidRPr="00155974" w:rsidRDefault="00BC21D5" w:rsidP="009E097F">
            <w:pPr>
              <w:ind w:left="57"/>
              <w:jc w:val="left"/>
              <w:rPr>
                <w:color w:val="000000" w:themeColor="text1"/>
                <w:szCs w:val="19"/>
              </w:rPr>
            </w:pPr>
            <w:r w:rsidRPr="00155974">
              <w:rPr>
                <w:color w:val="000000" w:themeColor="text1"/>
                <w:szCs w:val="19"/>
              </w:rPr>
              <w:t xml:space="preserve">Paragraphs 51–60, 89–92 and B48–B52 </w:t>
            </w:r>
          </w:p>
        </w:tc>
        <w:tc>
          <w:tcPr>
            <w:tcW w:w="2948" w:type="dxa"/>
          </w:tcPr>
          <w:p w14:paraId="47FC8E61" w14:textId="77777777" w:rsidR="00BC21D5" w:rsidRPr="00155974" w:rsidRDefault="00BC21D5" w:rsidP="009E097F">
            <w:pPr>
              <w:ind w:left="57"/>
              <w:jc w:val="left"/>
              <w:rPr>
                <w:color w:val="000000" w:themeColor="text1"/>
                <w:szCs w:val="19"/>
              </w:rPr>
            </w:pPr>
            <w:r w:rsidRPr="00155974">
              <w:rPr>
                <w:color w:val="000000" w:themeColor="text1"/>
                <w:szCs w:val="19"/>
              </w:rPr>
              <w:t>Paragraphs 47–50, 88</w:t>
            </w:r>
          </w:p>
        </w:tc>
      </w:tr>
      <w:tr w:rsidR="00BC21D5" w:rsidRPr="00155974" w14:paraId="58FDE530" w14:textId="77777777" w:rsidTr="002B3674">
        <w:trPr>
          <w:trHeight w:val="235"/>
          <w:jc w:val="center"/>
        </w:trPr>
        <w:tc>
          <w:tcPr>
            <w:tcW w:w="3175" w:type="dxa"/>
            <w:shd w:val="clear" w:color="auto" w:fill="auto"/>
            <w:tcMar>
              <w:top w:w="60" w:type="dxa"/>
              <w:left w:w="60" w:type="dxa"/>
              <w:bottom w:w="105" w:type="dxa"/>
              <w:right w:w="60" w:type="dxa"/>
            </w:tcMar>
            <w:hideMark/>
          </w:tcPr>
          <w:p w14:paraId="6FD0B1B4"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101 </w:t>
            </w:r>
            <w:r w:rsidRPr="00155974">
              <w:rPr>
                <w:i/>
                <w:color w:val="000000" w:themeColor="text1"/>
                <w:szCs w:val="19"/>
              </w:rPr>
              <w:t>Presentation of Financial Statements</w:t>
            </w:r>
          </w:p>
        </w:tc>
        <w:tc>
          <w:tcPr>
            <w:tcW w:w="3005" w:type="dxa"/>
            <w:shd w:val="clear" w:color="auto" w:fill="auto"/>
          </w:tcPr>
          <w:p w14:paraId="343E3D87" w14:textId="77777777" w:rsidR="00BC21D5" w:rsidRPr="00155974" w:rsidRDefault="00BC21D5" w:rsidP="009E09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2948" w:type="dxa"/>
          </w:tcPr>
          <w:p w14:paraId="52CB36B0"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10392037" w14:textId="77777777" w:rsidTr="002B3674">
        <w:trPr>
          <w:trHeight w:val="235"/>
          <w:jc w:val="center"/>
        </w:trPr>
        <w:tc>
          <w:tcPr>
            <w:tcW w:w="3175" w:type="dxa"/>
            <w:shd w:val="clear" w:color="auto" w:fill="auto"/>
            <w:tcMar>
              <w:top w:w="60" w:type="dxa"/>
              <w:left w:w="60" w:type="dxa"/>
              <w:bottom w:w="105" w:type="dxa"/>
              <w:right w:w="60" w:type="dxa"/>
            </w:tcMar>
            <w:hideMark/>
          </w:tcPr>
          <w:p w14:paraId="1F4E47D1"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102 </w:t>
            </w:r>
            <w:r w:rsidRPr="00155974">
              <w:rPr>
                <w:i/>
                <w:color w:val="000000" w:themeColor="text1"/>
                <w:szCs w:val="19"/>
              </w:rPr>
              <w:t>Inventories</w:t>
            </w:r>
          </w:p>
        </w:tc>
        <w:tc>
          <w:tcPr>
            <w:tcW w:w="3005" w:type="dxa"/>
            <w:shd w:val="clear" w:color="auto" w:fill="auto"/>
          </w:tcPr>
          <w:p w14:paraId="1925ED8D" w14:textId="77777777" w:rsidR="00BC21D5" w:rsidRPr="00155974" w:rsidRDefault="00BC21D5" w:rsidP="009E097F">
            <w:pPr>
              <w:ind w:left="57"/>
              <w:jc w:val="left"/>
              <w:rPr>
                <w:color w:val="000000" w:themeColor="text1"/>
                <w:szCs w:val="19"/>
              </w:rPr>
            </w:pPr>
            <w:r w:rsidRPr="00155974">
              <w:rPr>
                <w:color w:val="000000" w:themeColor="text1"/>
                <w:szCs w:val="19"/>
              </w:rPr>
              <w:t>Paragraphs 36–39</w:t>
            </w:r>
          </w:p>
        </w:tc>
        <w:tc>
          <w:tcPr>
            <w:tcW w:w="2948" w:type="dxa"/>
          </w:tcPr>
          <w:p w14:paraId="5F16FEC8" w14:textId="79359D6C"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9E30E63" w14:textId="77777777" w:rsidTr="002B3674">
        <w:trPr>
          <w:trHeight w:val="235"/>
          <w:jc w:val="center"/>
        </w:trPr>
        <w:tc>
          <w:tcPr>
            <w:tcW w:w="3175" w:type="dxa"/>
            <w:shd w:val="clear" w:color="auto" w:fill="auto"/>
            <w:tcMar>
              <w:top w:w="60" w:type="dxa"/>
              <w:left w:w="60" w:type="dxa"/>
              <w:bottom w:w="105" w:type="dxa"/>
              <w:right w:w="60" w:type="dxa"/>
            </w:tcMar>
            <w:hideMark/>
          </w:tcPr>
          <w:p w14:paraId="7A95A47C"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107 </w:t>
            </w:r>
            <w:r w:rsidRPr="00155974">
              <w:rPr>
                <w:i/>
                <w:color w:val="000000" w:themeColor="text1"/>
                <w:szCs w:val="19"/>
              </w:rPr>
              <w:t>Statement of Cash Flows</w:t>
            </w:r>
          </w:p>
        </w:tc>
        <w:tc>
          <w:tcPr>
            <w:tcW w:w="3005" w:type="dxa"/>
            <w:shd w:val="clear" w:color="auto" w:fill="auto"/>
          </w:tcPr>
          <w:p w14:paraId="59D42653" w14:textId="77777777" w:rsidR="00BC21D5" w:rsidRPr="00155974" w:rsidRDefault="00BC21D5" w:rsidP="009E09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2948" w:type="dxa"/>
          </w:tcPr>
          <w:p w14:paraId="3ACF32F7"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0125C97A" w14:textId="77777777" w:rsidTr="002B3674">
        <w:trPr>
          <w:trHeight w:val="560"/>
          <w:jc w:val="center"/>
        </w:trPr>
        <w:tc>
          <w:tcPr>
            <w:tcW w:w="3175" w:type="dxa"/>
            <w:shd w:val="clear" w:color="auto" w:fill="auto"/>
            <w:tcMar>
              <w:top w:w="60" w:type="dxa"/>
              <w:left w:w="60" w:type="dxa"/>
              <w:bottom w:w="105" w:type="dxa"/>
              <w:right w:w="60" w:type="dxa"/>
            </w:tcMar>
            <w:hideMark/>
          </w:tcPr>
          <w:p w14:paraId="56ABD1F1"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108 </w:t>
            </w:r>
            <w:r w:rsidRPr="00155974">
              <w:rPr>
                <w:i/>
                <w:color w:val="000000" w:themeColor="text1"/>
                <w:szCs w:val="19"/>
              </w:rPr>
              <w:t>Accounting Policies, Changes in Accounting Estimates and Errors</w:t>
            </w:r>
          </w:p>
        </w:tc>
        <w:tc>
          <w:tcPr>
            <w:tcW w:w="3005" w:type="dxa"/>
            <w:shd w:val="clear" w:color="auto" w:fill="auto"/>
          </w:tcPr>
          <w:p w14:paraId="18A1EC8F" w14:textId="77777777" w:rsidR="00BC21D5" w:rsidRPr="00155974" w:rsidRDefault="00BC21D5" w:rsidP="009E097F">
            <w:pPr>
              <w:ind w:left="57"/>
              <w:jc w:val="left"/>
              <w:rPr>
                <w:color w:val="000000" w:themeColor="text1"/>
                <w:szCs w:val="19"/>
              </w:rPr>
            </w:pPr>
            <w:r w:rsidRPr="00155974">
              <w:rPr>
                <w:color w:val="000000" w:themeColor="text1"/>
                <w:szCs w:val="19"/>
              </w:rPr>
              <w:t>Paragraphs 28–31, 39–40 and 49</w:t>
            </w:r>
          </w:p>
        </w:tc>
        <w:tc>
          <w:tcPr>
            <w:tcW w:w="2948" w:type="dxa"/>
          </w:tcPr>
          <w:p w14:paraId="16FCF3E8" w14:textId="2BE492E7"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5EB6A308" w14:textId="77777777" w:rsidTr="002B3674">
        <w:trPr>
          <w:trHeight w:val="471"/>
          <w:jc w:val="center"/>
        </w:trPr>
        <w:tc>
          <w:tcPr>
            <w:tcW w:w="3175" w:type="dxa"/>
            <w:shd w:val="clear" w:color="auto" w:fill="auto"/>
            <w:tcMar>
              <w:top w:w="60" w:type="dxa"/>
              <w:left w:w="60" w:type="dxa"/>
              <w:bottom w:w="105" w:type="dxa"/>
              <w:right w:w="60" w:type="dxa"/>
            </w:tcMar>
            <w:hideMark/>
          </w:tcPr>
          <w:p w14:paraId="21AEF7A8" w14:textId="77777777" w:rsidR="00BC21D5" w:rsidRPr="00155974" w:rsidRDefault="00BC21D5" w:rsidP="0041597E">
            <w:pPr>
              <w:ind w:left="57"/>
              <w:jc w:val="left"/>
              <w:rPr>
                <w:color w:val="000000" w:themeColor="text1"/>
                <w:szCs w:val="19"/>
              </w:rPr>
            </w:pPr>
            <w:r w:rsidRPr="00155974">
              <w:rPr>
                <w:color w:val="000000" w:themeColor="text1"/>
                <w:szCs w:val="19"/>
              </w:rPr>
              <w:lastRenderedPageBreak/>
              <w:t xml:space="preserve">AASB 110 </w:t>
            </w:r>
            <w:r w:rsidRPr="00155974">
              <w:rPr>
                <w:i/>
                <w:color w:val="000000" w:themeColor="text1"/>
                <w:szCs w:val="19"/>
              </w:rPr>
              <w:t>Events after the Reporting Period</w:t>
            </w:r>
          </w:p>
        </w:tc>
        <w:tc>
          <w:tcPr>
            <w:tcW w:w="3005" w:type="dxa"/>
            <w:shd w:val="clear" w:color="auto" w:fill="auto"/>
          </w:tcPr>
          <w:p w14:paraId="505FB38F" w14:textId="77777777" w:rsidR="00BC21D5" w:rsidRPr="00155974" w:rsidRDefault="00BC21D5" w:rsidP="009E097F">
            <w:pPr>
              <w:ind w:left="57"/>
              <w:jc w:val="left"/>
              <w:rPr>
                <w:color w:val="000000" w:themeColor="text1"/>
                <w:szCs w:val="19"/>
              </w:rPr>
            </w:pPr>
            <w:r w:rsidRPr="00155974">
              <w:rPr>
                <w:color w:val="000000" w:themeColor="text1"/>
                <w:szCs w:val="19"/>
              </w:rPr>
              <w:t>Paragraphs 13, 16 and 17–22</w:t>
            </w:r>
          </w:p>
        </w:tc>
        <w:tc>
          <w:tcPr>
            <w:tcW w:w="2948" w:type="dxa"/>
          </w:tcPr>
          <w:p w14:paraId="02785DE4" w14:textId="335B27E8"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16244FC8" w14:textId="77777777" w:rsidTr="002B3674">
        <w:trPr>
          <w:trHeight w:val="324"/>
          <w:jc w:val="center"/>
        </w:trPr>
        <w:tc>
          <w:tcPr>
            <w:tcW w:w="3175" w:type="dxa"/>
            <w:shd w:val="clear" w:color="auto" w:fill="auto"/>
            <w:tcMar>
              <w:top w:w="60" w:type="dxa"/>
              <w:left w:w="60" w:type="dxa"/>
              <w:bottom w:w="105" w:type="dxa"/>
              <w:right w:w="60" w:type="dxa"/>
            </w:tcMar>
            <w:hideMark/>
          </w:tcPr>
          <w:p w14:paraId="1F995462"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112 </w:t>
            </w:r>
            <w:r w:rsidRPr="00155974">
              <w:rPr>
                <w:i/>
                <w:color w:val="000000" w:themeColor="text1"/>
                <w:szCs w:val="19"/>
              </w:rPr>
              <w:t>Income Taxes</w:t>
            </w:r>
          </w:p>
        </w:tc>
        <w:tc>
          <w:tcPr>
            <w:tcW w:w="3005" w:type="dxa"/>
            <w:shd w:val="clear" w:color="auto" w:fill="auto"/>
          </w:tcPr>
          <w:p w14:paraId="5847025A" w14:textId="77777777" w:rsidR="00BC21D5" w:rsidRPr="00155974" w:rsidRDefault="00BC21D5" w:rsidP="009E097F">
            <w:pPr>
              <w:ind w:left="57"/>
              <w:jc w:val="left"/>
              <w:rPr>
                <w:color w:val="000000" w:themeColor="text1"/>
                <w:szCs w:val="19"/>
              </w:rPr>
            </w:pPr>
            <w:r w:rsidRPr="00155974">
              <w:rPr>
                <w:color w:val="000000" w:themeColor="text1"/>
                <w:szCs w:val="19"/>
              </w:rPr>
              <w:t>Paragraphs 79–88</w:t>
            </w:r>
          </w:p>
        </w:tc>
        <w:tc>
          <w:tcPr>
            <w:tcW w:w="2948" w:type="dxa"/>
          </w:tcPr>
          <w:p w14:paraId="37320CDD" w14:textId="77777777" w:rsidR="00BC21D5" w:rsidRPr="00155974" w:rsidRDefault="00BC21D5" w:rsidP="009E097F">
            <w:pPr>
              <w:ind w:left="57"/>
              <w:jc w:val="left"/>
              <w:rPr>
                <w:color w:val="000000" w:themeColor="text1"/>
                <w:szCs w:val="19"/>
              </w:rPr>
            </w:pPr>
            <w:r w:rsidRPr="00155974">
              <w:rPr>
                <w:color w:val="000000" w:themeColor="text1"/>
                <w:szCs w:val="19"/>
              </w:rPr>
              <w:t>Paragraphs 71–78</w:t>
            </w:r>
          </w:p>
        </w:tc>
      </w:tr>
      <w:tr w:rsidR="00BC21D5" w:rsidRPr="00155974" w14:paraId="65651192" w14:textId="77777777" w:rsidTr="002B3674">
        <w:trPr>
          <w:trHeight w:val="235"/>
          <w:jc w:val="center"/>
        </w:trPr>
        <w:tc>
          <w:tcPr>
            <w:tcW w:w="3175" w:type="dxa"/>
            <w:shd w:val="clear" w:color="auto" w:fill="auto"/>
            <w:tcMar>
              <w:top w:w="60" w:type="dxa"/>
              <w:left w:w="60" w:type="dxa"/>
              <w:bottom w:w="105" w:type="dxa"/>
              <w:right w:w="60" w:type="dxa"/>
            </w:tcMar>
            <w:hideMark/>
          </w:tcPr>
          <w:p w14:paraId="0A1568CD"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116 </w:t>
            </w:r>
            <w:r w:rsidRPr="00155974">
              <w:rPr>
                <w:i/>
                <w:color w:val="000000" w:themeColor="text1"/>
                <w:szCs w:val="19"/>
              </w:rPr>
              <w:t>Property, Plant and Equipment</w:t>
            </w:r>
          </w:p>
        </w:tc>
        <w:tc>
          <w:tcPr>
            <w:tcW w:w="3005" w:type="dxa"/>
            <w:shd w:val="clear" w:color="auto" w:fill="auto"/>
          </w:tcPr>
          <w:p w14:paraId="72623C56" w14:textId="77777777" w:rsidR="00BC21D5" w:rsidRPr="00155974" w:rsidRDefault="00BC21D5" w:rsidP="009E097F">
            <w:pPr>
              <w:ind w:left="57"/>
              <w:jc w:val="left"/>
              <w:rPr>
                <w:color w:val="000000" w:themeColor="text1"/>
                <w:szCs w:val="19"/>
              </w:rPr>
            </w:pPr>
            <w:r w:rsidRPr="00155974">
              <w:rPr>
                <w:color w:val="000000" w:themeColor="text1"/>
                <w:szCs w:val="19"/>
              </w:rPr>
              <w:t xml:space="preserve">Paragraphs 73–79 </w:t>
            </w:r>
          </w:p>
        </w:tc>
        <w:tc>
          <w:tcPr>
            <w:tcW w:w="2948" w:type="dxa"/>
          </w:tcPr>
          <w:p w14:paraId="3DB1B477" w14:textId="563A34B6"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29372AE3" w14:textId="77777777" w:rsidTr="002B3674">
        <w:trPr>
          <w:trHeight w:val="564"/>
          <w:jc w:val="center"/>
        </w:trPr>
        <w:tc>
          <w:tcPr>
            <w:tcW w:w="3175" w:type="dxa"/>
            <w:shd w:val="clear" w:color="auto" w:fill="auto"/>
            <w:tcMar>
              <w:top w:w="60" w:type="dxa"/>
              <w:left w:w="60" w:type="dxa"/>
              <w:bottom w:w="105" w:type="dxa"/>
              <w:right w:w="60" w:type="dxa"/>
            </w:tcMar>
            <w:hideMark/>
          </w:tcPr>
          <w:p w14:paraId="715FEDCB"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119 </w:t>
            </w:r>
            <w:r w:rsidRPr="00155974">
              <w:rPr>
                <w:i/>
                <w:color w:val="000000" w:themeColor="text1"/>
                <w:szCs w:val="19"/>
              </w:rPr>
              <w:t>Employee Benefits</w:t>
            </w:r>
          </w:p>
        </w:tc>
        <w:tc>
          <w:tcPr>
            <w:tcW w:w="3005" w:type="dxa"/>
            <w:shd w:val="clear" w:color="auto" w:fill="auto"/>
          </w:tcPr>
          <w:p w14:paraId="08328A32" w14:textId="77777777" w:rsidR="00BC21D5" w:rsidRPr="00155974" w:rsidRDefault="00BC21D5" w:rsidP="009E097F">
            <w:pPr>
              <w:ind w:left="57"/>
              <w:jc w:val="left"/>
              <w:rPr>
                <w:color w:val="000000" w:themeColor="text1"/>
                <w:szCs w:val="19"/>
              </w:rPr>
            </w:pPr>
            <w:r w:rsidRPr="00155974">
              <w:rPr>
                <w:color w:val="000000" w:themeColor="text1"/>
                <w:szCs w:val="19"/>
              </w:rPr>
              <w:t>Paragraphs 25, 33(b), 34(b), 42, 53, 54, 135–152, 158, 171</w:t>
            </w:r>
          </w:p>
        </w:tc>
        <w:tc>
          <w:tcPr>
            <w:tcW w:w="2948" w:type="dxa"/>
          </w:tcPr>
          <w:p w14:paraId="15EC66F9" w14:textId="63C5ED5D" w:rsidR="00BC21D5" w:rsidRPr="00155974" w:rsidRDefault="00DC6EF5" w:rsidP="009E097F">
            <w:pPr>
              <w:ind w:left="57"/>
              <w:jc w:val="left"/>
              <w:rPr>
                <w:color w:val="000000" w:themeColor="text1"/>
                <w:szCs w:val="19"/>
              </w:rPr>
            </w:pPr>
            <w:r>
              <w:rPr>
                <w:color w:val="000000" w:themeColor="text1"/>
                <w:szCs w:val="19"/>
              </w:rPr>
              <w:t>Paragraph</w:t>
            </w:r>
            <w:r w:rsidR="00DC0F1D">
              <w:rPr>
                <w:color w:val="000000" w:themeColor="text1"/>
                <w:szCs w:val="19"/>
              </w:rPr>
              <w:t xml:space="preserve">s </w:t>
            </w:r>
            <w:r w:rsidR="00BC21D5" w:rsidRPr="00155974">
              <w:rPr>
                <w:color w:val="000000" w:themeColor="text1"/>
                <w:szCs w:val="19"/>
              </w:rPr>
              <w:t>131–134</w:t>
            </w:r>
          </w:p>
        </w:tc>
      </w:tr>
      <w:tr w:rsidR="00BC21D5" w:rsidRPr="00155974" w14:paraId="4FEEEC05" w14:textId="77777777" w:rsidTr="002B3674">
        <w:trPr>
          <w:trHeight w:val="471"/>
          <w:jc w:val="center"/>
        </w:trPr>
        <w:tc>
          <w:tcPr>
            <w:tcW w:w="3175" w:type="dxa"/>
            <w:shd w:val="clear" w:color="auto" w:fill="auto"/>
            <w:tcMar>
              <w:top w:w="60" w:type="dxa"/>
              <w:left w:w="60" w:type="dxa"/>
              <w:bottom w:w="105" w:type="dxa"/>
              <w:right w:w="60" w:type="dxa"/>
            </w:tcMar>
            <w:hideMark/>
          </w:tcPr>
          <w:p w14:paraId="4475046E"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120 </w:t>
            </w:r>
            <w:r w:rsidRPr="00155974">
              <w:rPr>
                <w:i/>
                <w:color w:val="000000" w:themeColor="text1"/>
                <w:szCs w:val="19"/>
              </w:rPr>
              <w:t>Accounting for Government Grants and Disclosure of Government Assistance</w:t>
            </w:r>
          </w:p>
        </w:tc>
        <w:tc>
          <w:tcPr>
            <w:tcW w:w="3005" w:type="dxa"/>
            <w:shd w:val="clear" w:color="auto" w:fill="auto"/>
          </w:tcPr>
          <w:p w14:paraId="2B1941B2" w14:textId="09C0D0A4" w:rsidR="00BC21D5" w:rsidRPr="004E102D" w:rsidRDefault="00BC21D5" w:rsidP="009E097F">
            <w:pPr>
              <w:ind w:left="57"/>
              <w:jc w:val="left"/>
              <w:rPr>
                <w:color w:val="000000" w:themeColor="text1"/>
                <w:szCs w:val="19"/>
              </w:rPr>
            </w:pPr>
            <w:r w:rsidRPr="00155974">
              <w:rPr>
                <w:color w:val="000000" w:themeColor="text1"/>
                <w:szCs w:val="19"/>
              </w:rPr>
              <w:t>Paragraph 39</w:t>
            </w:r>
          </w:p>
        </w:tc>
        <w:tc>
          <w:tcPr>
            <w:tcW w:w="2948" w:type="dxa"/>
          </w:tcPr>
          <w:p w14:paraId="02FA1B1D" w14:textId="5677EDC2" w:rsidR="00BC21D5" w:rsidRPr="00155974" w:rsidRDefault="00A845F6" w:rsidP="009E097F">
            <w:pPr>
              <w:ind w:left="57"/>
              <w:jc w:val="left"/>
              <w:rPr>
                <w:color w:val="000000" w:themeColor="text1"/>
                <w:szCs w:val="19"/>
              </w:rPr>
            </w:pPr>
            <w:r>
              <w:rPr>
                <w:color w:val="000000" w:themeColor="text1"/>
                <w:szCs w:val="19"/>
              </w:rPr>
              <w:t xml:space="preserve">Paragraphs </w:t>
            </w:r>
            <w:r w:rsidR="00BC21D5" w:rsidRPr="00155974">
              <w:rPr>
                <w:color w:val="000000" w:themeColor="text1"/>
                <w:szCs w:val="19"/>
              </w:rPr>
              <w:t>24–31</w:t>
            </w:r>
          </w:p>
        </w:tc>
      </w:tr>
      <w:tr w:rsidR="00BC21D5" w:rsidRPr="00155974" w14:paraId="45634658" w14:textId="77777777" w:rsidTr="002B3674">
        <w:trPr>
          <w:trHeight w:val="235"/>
          <w:jc w:val="center"/>
        </w:trPr>
        <w:tc>
          <w:tcPr>
            <w:tcW w:w="3175" w:type="dxa"/>
            <w:shd w:val="clear" w:color="auto" w:fill="auto"/>
            <w:tcMar>
              <w:top w:w="60" w:type="dxa"/>
              <w:left w:w="60" w:type="dxa"/>
              <w:bottom w:w="105" w:type="dxa"/>
              <w:right w:w="60" w:type="dxa"/>
            </w:tcMar>
            <w:hideMark/>
          </w:tcPr>
          <w:p w14:paraId="1BE15669"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121 </w:t>
            </w:r>
            <w:r w:rsidRPr="00155974">
              <w:rPr>
                <w:i/>
                <w:color w:val="000000" w:themeColor="text1"/>
                <w:szCs w:val="19"/>
              </w:rPr>
              <w:t>The Effects of Changes in Foreign Exchange Rates</w:t>
            </w:r>
          </w:p>
        </w:tc>
        <w:tc>
          <w:tcPr>
            <w:tcW w:w="3005" w:type="dxa"/>
            <w:shd w:val="clear" w:color="auto" w:fill="auto"/>
          </w:tcPr>
          <w:p w14:paraId="2EBCB56A" w14:textId="77777777" w:rsidR="00BC21D5" w:rsidRPr="00155974" w:rsidRDefault="00BC21D5" w:rsidP="009E097F">
            <w:pPr>
              <w:ind w:left="57"/>
              <w:jc w:val="left"/>
              <w:rPr>
                <w:color w:val="000000" w:themeColor="text1"/>
                <w:szCs w:val="19"/>
              </w:rPr>
            </w:pPr>
            <w:r w:rsidRPr="00155974">
              <w:rPr>
                <w:color w:val="000000" w:themeColor="text1"/>
                <w:szCs w:val="19"/>
              </w:rPr>
              <w:t>Paragraphs 51–57</w:t>
            </w:r>
          </w:p>
        </w:tc>
        <w:tc>
          <w:tcPr>
            <w:tcW w:w="2948" w:type="dxa"/>
          </w:tcPr>
          <w:p w14:paraId="188870FD" w14:textId="6E448EC9"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715A3CD5" w14:textId="77777777" w:rsidTr="002B3674">
        <w:trPr>
          <w:trHeight w:val="235"/>
          <w:jc w:val="center"/>
        </w:trPr>
        <w:tc>
          <w:tcPr>
            <w:tcW w:w="3175" w:type="dxa"/>
            <w:shd w:val="clear" w:color="auto" w:fill="auto"/>
            <w:tcMar>
              <w:top w:w="60" w:type="dxa"/>
              <w:left w:w="60" w:type="dxa"/>
              <w:bottom w:w="105" w:type="dxa"/>
              <w:right w:w="60" w:type="dxa"/>
            </w:tcMar>
            <w:hideMark/>
          </w:tcPr>
          <w:p w14:paraId="0C8E6CCC"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123 </w:t>
            </w:r>
            <w:r w:rsidRPr="00155974">
              <w:rPr>
                <w:i/>
                <w:color w:val="000000" w:themeColor="text1"/>
                <w:szCs w:val="19"/>
              </w:rPr>
              <w:t>Borrowing Costs</w:t>
            </w:r>
          </w:p>
        </w:tc>
        <w:tc>
          <w:tcPr>
            <w:tcW w:w="3005" w:type="dxa"/>
            <w:shd w:val="clear" w:color="auto" w:fill="auto"/>
          </w:tcPr>
          <w:p w14:paraId="4EF084E2" w14:textId="77777777" w:rsidR="00BC21D5" w:rsidRPr="00155974" w:rsidRDefault="00BC21D5" w:rsidP="009E097F">
            <w:pPr>
              <w:ind w:left="57"/>
              <w:jc w:val="left"/>
              <w:rPr>
                <w:color w:val="000000" w:themeColor="text1"/>
                <w:szCs w:val="19"/>
              </w:rPr>
            </w:pPr>
            <w:r w:rsidRPr="00155974">
              <w:rPr>
                <w:color w:val="000000" w:themeColor="text1"/>
                <w:szCs w:val="19"/>
              </w:rPr>
              <w:t>Paragraphs 26 and Aus26.1</w:t>
            </w:r>
          </w:p>
        </w:tc>
        <w:tc>
          <w:tcPr>
            <w:tcW w:w="2948" w:type="dxa"/>
          </w:tcPr>
          <w:p w14:paraId="7C26A378" w14:textId="41C17A5F"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EAB50C9" w14:textId="77777777" w:rsidTr="002B3674">
        <w:trPr>
          <w:trHeight w:val="235"/>
          <w:jc w:val="center"/>
        </w:trPr>
        <w:tc>
          <w:tcPr>
            <w:tcW w:w="3175" w:type="dxa"/>
            <w:shd w:val="clear" w:color="auto" w:fill="auto"/>
            <w:tcMar>
              <w:top w:w="60" w:type="dxa"/>
              <w:left w:w="60" w:type="dxa"/>
              <w:bottom w:w="105" w:type="dxa"/>
              <w:right w:w="60" w:type="dxa"/>
            </w:tcMar>
            <w:hideMark/>
          </w:tcPr>
          <w:p w14:paraId="2DDCBC87"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124 </w:t>
            </w:r>
            <w:r w:rsidRPr="00155974">
              <w:rPr>
                <w:i/>
                <w:color w:val="000000" w:themeColor="text1"/>
                <w:szCs w:val="19"/>
              </w:rPr>
              <w:t>Related Party Disclosures</w:t>
            </w:r>
          </w:p>
        </w:tc>
        <w:tc>
          <w:tcPr>
            <w:tcW w:w="3005" w:type="dxa"/>
            <w:shd w:val="clear" w:color="auto" w:fill="auto"/>
          </w:tcPr>
          <w:p w14:paraId="08395858" w14:textId="77777777" w:rsidR="00BC21D5" w:rsidRPr="00155974" w:rsidRDefault="00BC21D5" w:rsidP="009E09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2948" w:type="dxa"/>
          </w:tcPr>
          <w:p w14:paraId="1AFEDE85"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36518CB5" w14:textId="77777777" w:rsidTr="002B3674">
        <w:trPr>
          <w:trHeight w:val="206"/>
          <w:jc w:val="center"/>
        </w:trPr>
        <w:tc>
          <w:tcPr>
            <w:tcW w:w="3175" w:type="dxa"/>
            <w:shd w:val="clear" w:color="auto" w:fill="auto"/>
            <w:tcMar>
              <w:top w:w="60" w:type="dxa"/>
              <w:left w:w="60" w:type="dxa"/>
              <w:bottom w:w="105" w:type="dxa"/>
              <w:right w:w="60" w:type="dxa"/>
            </w:tcMar>
            <w:hideMark/>
          </w:tcPr>
          <w:p w14:paraId="4D46F8E6"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127 </w:t>
            </w:r>
            <w:r w:rsidRPr="00155974">
              <w:rPr>
                <w:i/>
                <w:color w:val="000000" w:themeColor="text1"/>
                <w:szCs w:val="19"/>
              </w:rPr>
              <w:t>Separate Financial Statements</w:t>
            </w:r>
          </w:p>
        </w:tc>
        <w:tc>
          <w:tcPr>
            <w:tcW w:w="3005" w:type="dxa"/>
            <w:shd w:val="clear" w:color="auto" w:fill="auto"/>
          </w:tcPr>
          <w:p w14:paraId="36C76D24" w14:textId="77777777" w:rsidR="00BC21D5" w:rsidRPr="00155974" w:rsidRDefault="00BC21D5" w:rsidP="009E097F">
            <w:pPr>
              <w:ind w:left="57"/>
              <w:jc w:val="left"/>
              <w:rPr>
                <w:color w:val="000000" w:themeColor="text1"/>
                <w:szCs w:val="19"/>
              </w:rPr>
            </w:pPr>
            <w:r w:rsidRPr="00155974">
              <w:rPr>
                <w:color w:val="000000" w:themeColor="text1"/>
                <w:szCs w:val="19"/>
              </w:rPr>
              <w:t xml:space="preserve">Paragraphs 15–17 </w:t>
            </w:r>
          </w:p>
        </w:tc>
        <w:tc>
          <w:tcPr>
            <w:tcW w:w="2948" w:type="dxa"/>
          </w:tcPr>
          <w:p w14:paraId="1BB2D2E6" w14:textId="1130B8E4"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5277CAB4" w14:textId="77777777" w:rsidTr="002B3674">
        <w:trPr>
          <w:trHeight w:val="235"/>
          <w:jc w:val="center"/>
        </w:trPr>
        <w:tc>
          <w:tcPr>
            <w:tcW w:w="3175" w:type="dxa"/>
            <w:shd w:val="clear" w:color="auto" w:fill="auto"/>
            <w:tcMar>
              <w:top w:w="60" w:type="dxa"/>
              <w:left w:w="60" w:type="dxa"/>
              <w:bottom w:w="105" w:type="dxa"/>
              <w:right w:w="60" w:type="dxa"/>
            </w:tcMar>
            <w:hideMark/>
          </w:tcPr>
          <w:p w14:paraId="718FDCB5"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129 </w:t>
            </w:r>
            <w:r w:rsidRPr="00155974">
              <w:rPr>
                <w:i/>
                <w:color w:val="000000" w:themeColor="text1"/>
                <w:szCs w:val="19"/>
              </w:rPr>
              <w:t>Financial Reporting in Hyperinflationary Economies</w:t>
            </w:r>
          </w:p>
        </w:tc>
        <w:tc>
          <w:tcPr>
            <w:tcW w:w="3005" w:type="dxa"/>
            <w:shd w:val="clear" w:color="auto" w:fill="auto"/>
          </w:tcPr>
          <w:p w14:paraId="37130D9B" w14:textId="77777777" w:rsidR="00BC21D5" w:rsidRPr="00155974" w:rsidRDefault="00BC21D5" w:rsidP="009E097F">
            <w:pPr>
              <w:ind w:left="57" w:right="283"/>
              <w:jc w:val="left"/>
              <w:rPr>
                <w:color w:val="000000" w:themeColor="text1"/>
                <w:szCs w:val="19"/>
              </w:rPr>
            </w:pPr>
            <w:r w:rsidRPr="00155974">
              <w:rPr>
                <w:color w:val="000000" w:themeColor="text1"/>
                <w:szCs w:val="19"/>
              </w:rPr>
              <w:t>Paragraphs 39 and 40</w:t>
            </w:r>
          </w:p>
        </w:tc>
        <w:tc>
          <w:tcPr>
            <w:tcW w:w="2948" w:type="dxa"/>
          </w:tcPr>
          <w:p w14:paraId="70FDC4E7" w14:textId="4248EB3D" w:rsidR="00BC21D5" w:rsidRPr="00155974" w:rsidRDefault="00BC21D5" w:rsidP="009E097F">
            <w:pPr>
              <w:ind w:left="57" w:right="283"/>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54DE097A" w14:textId="77777777" w:rsidTr="002B3674">
        <w:trPr>
          <w:trHeight w:val="206"/>
          <w:jc w:val="center"/>
        </w:trPr>
        <w:tc>
          <w:tcPr>
            <w:tcW w:w="3175" w:type="dxa"/>
            <w:shd w:val="clear" w:color="auto" w:fill="auto"/>
            <w:tcMar>
              <w:top w:w="60" w:type="dxa"/>
              <w:left w:w="60" w:type="dxa"/>
              <w:bottom w:w="105" w:type="dxa"/>
              <w:right w:w="60" w:type="dxa"/>
            </w:tcMar>
          </w:tcPr>
          <w:p w14:paraId="58A82DBC"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132 </w:t>
            </w:r>
            <w:r w:rsidRPr="00155974">
              <w:rPr>
                <w:i/>
                <w:color w:val="000000" w:themeColor="text1"/>
                <w:szCs w:val="19"/>
              </w:rPr>
              <w:t>Financial Instruments: Presentation</w:t>
            </w:r>
          </w:p>
        </w:tc>
        <w:tc>
          <w:tcPr>
            <w:tcW w:w="3005" w:type="dxa"/>
            <w:shd w:val="clear" w:color="auto" w:fill="auto"/>
          </w:tcPr>
          <w:p w14:paraId="46EF770A" w14:textId="77777777" w:rsidR="00BC21D5" w:rsidRPr="00155974" w:rsidRDefault="00BC21D5" w:rsidP="009E097F">
            <w:pPr>
              <w:ind w:left="57"/>
              <w:jc w:val="left"/>
              <w:rPr>
                <w:color w:val="000000" w:themeColor="text1"/>
                <w:szCs w:val="19"/>
              </w:rPr>
            </w:pPr>
          </w:p>
        </w:tc>
        <w:tc>
          <w:tcPr>
            <w:tcW w:w="2948" w:type="dxa"/>
          </w:tcPr>
          <w:p w14:paraId="6BB68A21" w14:textId="77777777" w:rsidR="00BC21D5" w:rsidRPr="00155974" w:rsidDel="002E4AC8" w:rsidRDefault="00BC21D5" w:rsidP="009E097F">
            <w:pPr>
              <w:ind w:left="57"/>
              <w:jc w:val="left"/>
              <w:rPr>
                <w:color w:val="000000" w:themeColor="text1"/>
                <w:szCs w:val="19"/>
              </w:rPr>
            </w:pPr>
            <w:r w:rsidRPr="00155974">
              <w:rPr>
                <w:color w:val="000000" w:themeColor="text1"/>
                <w:szCs w:val="19"/>
              </w:rPr>
              <w:t>AASB 132 continues to apply</w:t>
            </w:r>
          </w:p>
        </w:tc>
      </w:tr>
      <w:tr w:rsidR="00BC21D5" w:rsidRPr="00155974" w14:paraId="468A33EF" w14:textId="77777777" w:rsidTr="002B3674">
        <w:trPr>
          <w:trHeight w:val="206"/>
          <w:jc w:val="center"/>
        </w:trPr>
        <w:tc>
          <w:tcPr>
            <w:tcW w:w="3175" w:type="dxa"/>
            <w:shd w:val="clear" w:color="auto" w:fill="auto"/>
            <w:tcMar>
              <w:top w:w="60" w:type="dxa"/>
              <w:left w:w="60" w:type="dxa"/>
              <w:bottom w:w="105" w:type="dxa"/>
              <w:right w:w="60" w:type="dxa"/>
            </w:tcMar>
          </w:tcPr>
          <w:p w14:paraId="651E5FF7" w14:textId="77777777" w:rsidR="00BC21D5" w:rsidRPr="00155974" w:rsidDel="002E4AC8" w:rsidRDefault="00BC21D5" w:rsidP="0041597E">
            <w:pPr>
              <w:ind w:left="57"/>
              <w:jc w:val="left"/>
              <w:rPr>
                <w:color w:val="000000" w:themeColor="text1"/>
                <w:szCs w:val="19"/>
              </w:rPr>
            </w:pPr>
            <w:r w:rsidRPr="00155974">
              <w:rPr>
                <w:color w:val="000000" w:themeColor="text1"/>
                <w:szCs w:val="19"/>
              </w:rPr>
              <w:t xml:space="preserve">AASB 133 </w:t>
            </w:r>
            <w:r w:rsidRPr="00155974">
              <w:rPr>
                <w:i/>
                <w:iCs/>
                <w:color w:val="000000" w:themeColor="text1"/>
                <w:szCs w:val="19"/>
              </w:rPr>
              <w:t>Earnings per Share</w:t>
            </w:r>
          </w:p>
        </w:tc>
        <w:tc>
          <w:tcPr>
            <w:tcW w:w="3005" w:type="dxa"/>
            <w:shd w:val="clear" w:color="auto" w:fill="auto"/>
          </w:tcPr>
          <w:p w14:paraId="59546DFB" w14:textId="77777777" w:rsidR="00BC21D5" w:rsidRPr="00155974" w:rsidDel="002E4AC8" w:rsidRDefault="00BC21D5" w:rsidP="00022B10">
            <w:pPr>
              <w:ind w:left="57"/>
              <w:jc w:val="left"/>
              <w:rPr>
                <w:color w:val="000000" w:themeColor="text1"/>
                <w:szCs w:val="19"/>
              </w:rPr>
            </w:pPr>
            <w:r w:rsidRPr="00155974">
              <w:rPr>
                <w:color w:val="000000" w:themeColor="text1"/>
                <w:szCs w:val="19"/>
              </w:rPr>
              <w:t>Paragraphs 3–73A and Appendix A, unless elect to disclose earnings per share.</w:t>
            </w:r>
          </w:p>
        </w:tc>
        <w:tc>
          <w:tcPr>
            <w:tcW w:w="2948" w:type="dxa"/>
          </w:tcPr>
          <w:p w14:paraId="170C1B90" w14:textId="77777777" w:rsidR="00BC21D5" w:rsidRPr="00155974" w:rsidRDefault="00BC21D5" w:rsidP="009E097F">
            <w:pPr>
              <w:ind w:left="57"/>
              <w:jc w:val="left"/>
              <w:rPr>
                <w:color w:val="000000" w:themeColor="text1"/>
                <w:szCs w:val="19"/>
              </w:rPr>
            </w:pPr>
            <w:r w:rsidRPr="00155974">
              <w:rPr>
                <w:color w:val="000000" w:themeColor="text1"/>
                <w:szCs w:val="19"/>
              </w:rPr>
              <w:t>n/a</w:t>
            </w:r>
          </w:p>
        </w:tc>
      </w:tr>
      <w:tr w:rsidR="00BC21D5" w:rsidRPr="00155974" w14:paraId="06E37228" w14:textId="77777777" w:rsidTr="002B3674">
        <w:trPr>
          <w:trHeight w:val="206"/>
          <w:jc w:val="center"/>
        </w:trPr>
        <w:tc>
          <w:tcPr>
            <w:tcW w:w="3175" w:type="dxa"/>
            <w:shd w:val="clear" w:color="auto" w:fill="auto"/>
            <w:tcMar>
              <w:top w:w="60" w:type="dxa"/>
              <w:left w:w="60" w:type="dxa"/>
              <w:bottom w:w="105" w:type="dxa"/>
              <w:right w:w="60" w:type="dxa"/>
            </w:tcMar>
            <w:hideMark/>
          </w:tcPr>
          <w:p w14:paraId="3EF742BF"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136 </w:t>
            </w:r>
            <w:r w:rsidRPr="00155974">
              <w:rPr>
                <w:i/>
                <w:color w:val="000000" w:themeColor="text1"/>
                <w:szCs w:val="19"/>
              </w:rPr>
              <w:t>Impairment of Assets</w:t>
            </w:r>
          </w:p>
        </w:tc>
        <w:tc>
          <w:tcPr>
            <w:tcW w:w="3005" w:type="dxa"/>
            <w:shd w:val="clear" w:color="auto" w:fill="auto"/>
          </w:tcPr>
          <w:p w14:paraId="2EC87AF2" w14:textId="77777777" w:rsidR="00BC21D5" w:rsidRPr="00155974" w:rsidRDefault="00BC21D5" w:rsidP="009E097F">
            <w:pPr>
              <w:ind w:left="57"/>
              <w:jc w:val="left"/>
              <w:rPr>
                <w:color w:val="000000" w:themeColor="text1"/>
                <w:szCs w:val="19"/>
              </w:rPr>
            </w:pPr>
            <w:r w:rsidRPr="00155974">
              <w:rPr>
                <w:color w:val="000000" w:themeColor="text1"/>
                <w:szCs w:val="19"/>
              </w:rPr>
              <w:t>Paragraphs 126–137</w:t>
            </w:r>
          </w:p>
        </w:tc>
        <w:tc>
          <w:tcPr>
            <w:tcW w:w="2948" w:type="dxa"/>
          </w:tcPr>
          <w:p w14:paraId="5C215C6C" w14:textId="312AC7D5"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580B8D2" w14:textId="77777777" w:rsidTr="002B3674">
        <w:trPr>
          <w:trHeight w:val="235"/>
          <w:jc w:val="center"/>
        </w:trPr>
        <w:tc>
          <w:tcPr>
            <w:tcW w:w="3175" w:type="dxa"/>
            <w:shd w:val="clear" w:color="auto" w:fill="auto"/>
            <w:tcMar>
              <w:top w:w="60" w:type="dxa"/>
              <w:left w:w="60" w:type="dxa"/>
              <w:bottom w:w="105" w:type="dxa"/>
              <w:right w:w="60" w:type="dxa"/>
            </w:tcMar>
            <w:hideMark/>
          </w:tcPr>
          <w:p w14:paraId="5E9F109E"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137 </w:t>
            </w:r>
            <w:r w:rsidRPr="00155974">
              <w:rPr>
                <w:i/>
                <w:color w:val="000000" w:themeColor="text1"/>
                <w:szCs w:val="19"/>
              </w:rPr>
              <w:t>Provisions, Contingent Liabilities and Contingent Assets</w:t>
            </w:r>
          </w:p>
        </w:tc>
        <w:tc>
          <w:tcPr>
            <w:tcW w:w="3005" w:type="dxa"/>
            <w:shd w:val="clear" w:color="auto" w:fill="auto"/>
          </w:tcPr>
          <w:p w14:paraId="174D5E0F" w14:textId="77777777" w:rsidR="00BC21D5" w:rsidRPr="00155974" w:rsidRDefault="00BC21D5" w:rsidP="009E097F">
            <w:pPr>
              <w:ind w:left="57"/>
              <w:jc w:val="left"/>
              <w:rPr>
                <w:color w:val="000000" w:themeColor="text1"/>
                <w:szCs w:val="19"/>
              </w:rPr>
            </w:pPr>
            <w:r w:rsidRPr="00155974">
              <w:rPr>
                <w:color w:val="000000" w:themeColor="text1"/>
                <w:szCs w:val="19"/>
              </w:rPr>
              <w:t xml:space="preserve">Paragraphs 84–92 and last sentence of paragraph 75 </w:t>
            </w:r>
          </w:p>
        </w:tc>
        <w:tc>
          <w:tcPr>
            <w:tcW w:w="2948" w:type="dxa"/>
          </w:tcPr>
          <w:p w14:paraId="0E1E2511" w14:textId="2935A46D"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78536B41" w14:textId="77777777" w:rsidTr="002B3674">
        <w:trPr>
          <w:trHeight w:val="235"/>
          <w:jc w:val="center"/>
        </w:trPr>
        <w:tc>
          <w:tcPr>
            <w:tcW w:w="3175" w:type="dxa"/>
            <w:shd w:val="clear" w:color="auto" w:fill="auto"/>
            <w:tcMar>
              <w:top w:w="60" w:type="dxa"/>
              <w:left w:w="60" w:type="dxa"/>
              <w:bottom w:w="105" w:type="dxa"/>
              <w:right w:w="60" w:type="dxa"/>
            </w:tcMar>
            <w:hideMark/>
          </w:tcPr>
          <w:p w14:paraId="263F1A3F"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138 </w:t>
            </w:r>
            <w:r w:rsidRPr="00155974">
              <w:rPr>
                <w:i/>
                <w:color w:val="000000" w:themeColor="text1"/>
                <w:szCs w:val="19"/>
              </w:rPr>
              <w:t>Intangible Assets</w:t>
            </w:r>
          </w:p>
        </w:tc>
        <w:tc>
          <w:tcPr>
            <w:tcW w:w="3005" w:type="dxa"/>
            <w:shd w:val="clear" w:color="auto" w:fill="auto"/>
          </w:tcPr>
          <w:p w14:paraId="5DDEA113" w14:textId="77777777" w:rsidR="00BC21D5" w:rsidRPr="00155974" w:rsidRDefault="00BC21D5" w:rsidP="009E097F">
            <w:pPr>
              <w:ind w:left="57"/>
              <w:jc w:val="left"/>
              <w:rPr>
                <w:color w:val="000000" w:themeColor="text1"/>
                <w:szCs w:val="19"/>
              </w:rPr>
            </w:pPr>
            <w:r w:rsidRPr="00155974">
              <w:rPr>
                <w:color w:val="000000" w:themeColor="text1"/>
                <w:szCs w:val="19"/>
              </w:rPr>
              <w:t>Paragraphs 118–128</w:t>
            </w:r>
          </w:p>
        </w:tc>
        <w:tc>
          <w:tcPr>
            <w:tcW w:w="2948" w:type="dxa"/>
          </w:tcPr>
          <w:p w14:paraId="40D64CF7" w14:textId="0DEA0CF8"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19EA074F" w14:textId="77777777" w:rsidTr="002B3674">
        <w:trPr>
          <w:trHeight w:val="235"/>
          <w:jc w:val="center"/>
        </w:trPr>
        <w:tc>
          <w:tcPr>
            <w:tcW w:w="3175" w:type="dxa"/>
            <w:shd w:val="clear" w:color="auto" w:fill="auto"/>
            <w:tcMar>
              <w:top w:w="60" w:type="dxa"/>
              <w:left w:w="60" w:type="dxa"/>
              <w:bottom w:w="105" w:type="dxa"/>
              <w:right w:w="60" w:type="dxa"/>
            </w:tcMar>
            <w:hideMark/>
          </w:tcPr>
          <w:p w14:paraId="3346A06A" w14:textId="77777777" w:rsidR="00BC21D5" w:rsidRPr="00155974" w:rsidRDefault="00BC21D5" w:rsidP="0041597E">
            <w:pPr>
              <w:ind w:left="57"/>
              <w:jc w:val="left"/>
              <w:rPr>
                <w:color w:val="000000" w:themeColor="text1"/>
                <w:szCs w:val="19"/>
              </w:rPr>
            </w:pPr>
            <w:r w:rsidRPr="00155974">
              <w:rPr>
                <w:color w:val="000000" w:themeColor="text1"/>
                <w:szCs w:val="19"/>
              </w:rPr>
              <w:t xml:space="preserve"> AASB 140 </w:t>
            </w:r>
            <w:r w:rsidRPr="00155974">
              <w:rPr>
                <w:i/>
                <w:color w:val="000000" w:themeColor="text1"/>
                <w:szCs w:val="19"/>
              </w:rPr>
              <w:t>Investment Property</w:t>
            </w:r>
          </w:p>
        </w:tc>
        <w:tc>
          <w:tcPr>
            <w:tcW w:w="3005" w:type="dxa"/>
            <w:shd w:val="clear" w:color="auto" w:fill="auto"/>
          </w:tcPr>
          <w:p w14:paraId="3784C977" w14:textId="77777777" w:rsidR="00BC21D5" w:rsidRPr="00155974" w:rsidRDefault="00BC21D5" w:rsidP="009E097F">
            <w:pPr>
              <w:ind w:left="57"/>
              <w:jc w:val="left"/>
              <w:rPr>
                <w:color w:val="000000" w:themeColor="text1"/>
                <w:szCs w:val="19"/>
              </w:rPr>
            </w:pPr>
            <w:r w:rsidRPr="00155974">
              <w:rPr>
                <w:color w:val="000000" w:themeColor="text1"/>
                <w:szCs w:val="19"/>
              </w:rPr>
              <w:t>Paragraphs 74–79</w:t>
            </w:r>
          </w:p>
        </w:tc>
        <w:tc>
          <w:tcPr>
            <w:tcW w:w="2948" w:type="dxa"/>
          </w:tcPr>
          <w:p w14:paraId="7C31B497" w14:textId="6550B6D8"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4BF1064B" w14:textId="77777777" w:rsidTr="002B3674">
        <w:trPr>
          <w:trHeight w:val="235"/>
          <w:jc w:val="center"/>
        </w:trPr>
        <w:tc>
          <w:tcPr>
            <w:tcW w:w="3175" w:type="dxa"/>
            <w:shd w:val="clear" w:color="auto" w:fill="auto"/>
            <w:tcMar>
              <w:top w:w="60" w:type="dxa"/>
              <w:left w:w="60" w:type="dxa"/>
              <w:bottom w:w="105" w:type="dxa"/>
              <w:right w:w="60" w:type="dxa"/>
            </w:tcMar>
            <w:hideMark/>
          </w:tcPr>
          <w:p w14:paraId="42271E51"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141 </w:t>
            </w:r>
            <w:r w:rsidRPr="00155974">
              <w:rPr>
                <w:i/>
                <w:color w:val="000000" w:themeColor="text1"/>
                <w:szCs w:val="19"/>
              </w:rPr>
              <w:t>Agriculture</w:t>
            </w:r>
          </w:p>
        </w:tc>
        <w:tc>
          <w:tcPr>
            <w:tcW w:w="3005" w:type="dxa"/>
            <w:shd w:val="clear" w:color="auto" w:fill="auto"/>
          </w:tcPr>
          <w:p w14:paraId="71C2E13D" w14:textId="77777777" w:rsidR="00BC21D5" w:rsidRPr="00155974" w:rsidRDefault="00BC21D5" w:rsidP="009E097F">
            <w:pPr>
              <w:ind w:left="57"/>
              <w:jc w:val="left"/>
              <w:rPr>
                <w:color w:val="000000" w:themeColor="text1"/>
                <w:szCs w:val="19"/>
              </w:rPr>
            </w:pPr>
            <w:r w:rsidRPr="00155974">
              <w:rPr>
                <w:color w:val="000000" w:themeColor="text1"/>
                <w:szCs w:val="19"/>
              </w:rPr>
              <w:t>Paragraphs 40–57</w:t>
            </w:r>
          </w:p>
        </w:tc>
        <w:tc>
          <w:tcPr>
            <w:tcW w:w="2948" w:type="dxa"/>
          </w:tcPr>
          <w:p w14:paraId="5C47DCDE" w14:textId="69D20F4D"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6E49ECF4" w14:textId="77777777" w:rsidTr="002B3674">
        <w:trPr>
          <w:trHeight w:val="235"/>
          <w:jc w:val="center"/>
        </w:trPr>
        <w:tc>
          <w:tcPr>
            <w:tcW w:w="3175" w:type="dxa"/>
            <w:shd w:val="clear" w:color="auto" w:fill="auto"/>
            <w:tcMar>
              <w:top w:w="60" w:type="dxa"/>
              <w:left w:w="60" w:type="dxa"/>
              <w:bottom w:w="105" w:type="dxa"/>
              <w:right w:w="60" w:type="dxa"/>
            </w:tcMar>
          </w:tcPr>
          <w:p w14:paraId="788B3652"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1004 </w:t>
            </w:r>
            <w:r w:rsidRPr="00155974">
              <w:rPr>
                <w:i/>
                <w:color w:val="000000" w:themeColor="text1"/>
                <w:szCs w:val="19"/>
              </w:rPr>
              <w:t>Contributions</w:t>
            </w:r>
          </w:p>
        </w:tc>
        <w:tc>
          <w:tcPr>
            <w:tcW w:w="3005" w:type="dxa"/>
            <w:shd w:val="clear" w:color="auto" w:fill="auto"/>
          </w:tcPr>
          <w:p w14:paraId="0FAFE825" w14:textId="77777777" w:rsidR="00BC21D5" w:rsidRPr="00155974" w:rsidRDefault="00BC21D5" w:rsidP="009E097F">
            <w:pPr>
              <w:ind w:left="57"/>
              <w:jc w:val="left"/>
              <w:rPr>
                <w:color w:val="000000" w:themeColor="text1"/>
                <w:szCs w:val="19"/>
              </w:rPr>
            </w:pPr>
            <w:r w:rsidRPr="00155974">
              <w:rPr>
                <w:color w:val="000000" w:themeColor="text1"/>
                <w:szCs w:val="19"/>
              </w:rPr>
              <w:t>Paragraph 43A, 57–59</w:t>
            </w:r>
          </w:p>
        </w:tc>
        <w:tc>
          <w:tcPr>
            <w:tcW w:w="2948" w:type="dxa"/>
          </w:tcPr>
          <w:p w14:paraId="6A698CC2" w14:textId="7140431C"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C4B3D28" w14:textId="77777777" w:rsidTr="002B3674">
        <w:trPr>
          <w:trHeight w:val="235"/>
          <w:jc w:val="center"/>
        </w:trPr>
        <w:tc>
          <w:tcPr>
            <w:tcW w:w="3175" w:type="dxa"/>
            <w:shd w:val="clear" w:color="auto" w:fill="auto"/>
            <w:tcMar>
              <w:top w:w="60" w:type="dxa"/>
              <w:left w:w="60" w:type="dxa"/>
              <w:bottom w:w="105" w:type="dxa"/>
              <w:right w:w="60" w:type="dxa"/>
            </w:tcMar>
          </w:tcPr>
          <w:p w14:paraId="25143DDC"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1050 </w:t>
            </w:r>
            <w:r w:rsidRPr="00155974">
              <w:rPr>
                <w:i/>
                <w:color w:val="000000" w:themeColor="text1"/>
                <w:szCs w:val="19"/>
              </w:rPr>
              <w:t>Administered Items</w:t>
            </w:r>
          </w:p>
        </w:tc>
        <w:tc>
          <w:tcPr>
            <w:tcW w:w="3005" w:type="dxa"/>
            <w:shd w:val="clear" w:color="auto" w:fill="auto"/>
          </w:tcPr>
          <w:p w14:paraId="1495E615" w14:textId="77777777" w:rsidR="00BC21D5" w:rsidRPr="00155974" w:rsidRDefault="00BC21D5" w:rsidP="009E097F">
            <w:pPr>
              <w:ind w:left="57"/>
              <w:jc w:val="left"/>
              <w:rPr>
                <w:color w:val="000000" w:themeColor="text1"/>
                <w:szCs w:val="19"/>
              </w:rPr>
            </w:pPr>
            <w:r w:rsidRPr="00155974">
              <w:rPr>
                <w:color w:val="000000" w:themeColor="text1"/>
                <w:szCs w:val="19"/>
              </w:rPr>
              <w:t>Paragraphs 7, 8 and 22</w:t>
            </w:r>
          </w:p>
        </w:tc>
        <w:tc>
          <w:tcPr>
            <w:tcW w:w="2948" w:type="dxa"/>
          </w:tcPr>
          <w:p w14:paraId="55A88034" w14:textId="77777777" w:rsidR="00BC21D5" w:rsidRPr="00155974" w:rsidRDefault="00BC21D5" w:rsidP="009E097F">
            <w:pPr>
              <w:ind w:left="57"/>
              <w:jc w:val="left"/>
              <w:rPr>
                <w:color w:val="000000" w:themeColor="text1"/>
                <w:szCs w:val="19"/>
              </w:rPr>
            </w:pPr>
            <w:r w:rsidRPr="00155974">
              <w:rPr>
                <w:color w:val="000000" w:themeColor="text1"/>
                <w:szCs w:val="19"/>
              </w:rPr>
              <w:t>Paragraphs 9–21, and 23–25</w:t>
            </w:r>
          </w:p>
        </w:tc>
      </w:tr>
      <w:tr w:rsidR="00BC21D5" w:rsidRPr="00155974" w14:paraId="0326CAAA" w14:textId="77777777" w:rsidTr="002B3674">
        <w:trPr>
          <w:trHeight w:val="235"/>
          <w:jc w:val="center"/>
        </w:trPr>
        <w:tc>
          <w:tcPr>
            <w:tcW w:w="3175" w:type="dxa"/>
            <w:shd w:val="clear" w:color="auto" w:fill="auto"/>
            <w:tcMar>
              <w:top w:w="60" w:type="dxa"/>
              <w:left w:w="60" w:type="dxa"/>
              <w:bottom w:w="105" w:type="dxa"/>
              <w:right w:w="60" w:type="dxa"/>
            </w:tcMar>
          </w:tcPr>
          <w:p w14:paraId="2D760172"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1051 </w:t>
            </w:r>
            <w:r w:rsidRPr="00155974">
              <w:rPr>
                <w:i/>
                <w:color w:val="000000" w:themeColor="text1"/>
                <w:szCs w:val="19"/>
              </w:rPr>
              <w:t>Land Under Roads</w:t>
            </w:r>
          </w:p>
        </w:tc>
        <w:tc>
          <w:tcPr>
            <w:tcW w:w="3005" w:type="dxa"/>
            <w:shd w:val="clear" w:color="auto" w:fill="auto"/>
          </w:tcPr>
          <w:p w14:paraId="23224B0E" w14:textId="77777777" w:rsidR="00BC21D5" w:rsidRPr="00155974" w:rsidRDefault="00BC21D5" w:rsidP="009E097F">
            <w:pPr>
              <w:ind w:left="57"/>
              <w:jc w:val="left"/>
              <w:rPr>
                <w:color w:val="000000" w:themeColor="text1"/>
                <w:szCs w:val="19"/>
              </w:rPr>
            </w:pPr>
            <w:r w:rsidRPr="00155974">
              <w:rPr>
                <w:color w:val="000000" w:themeColor="text1"/>
                <w:szCs w:val="19"/>
              </w:rPr>
              <w:t>Paragraphs 11 and 12</w:t>
            </w:r>
          </w:p>
        </w:tc>
        <w:tc>
          <w:tcPr>
            <w:tcW w:w="2948" w:type="dxa"/>
          </w:tcPr>
          <w:p w14:paraId="75A62D5A" w14:textId="52102B0C"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3758E2C4" w14:textId="77777777" w:rsidTr="002B3674">
        <w:trPr>
          <w:trHeight w:val="235"/>
          <w:jc w:val="center"/>
        </w:trPr>
        <w:tc>
          <w:tcPr>
            <w:tcW w:w="3175" w:type="dxa"/>
            <w:shd w:val="clear" w:color="auto" w:fill="auto"/>
            <w:tcMar>
              <w:top w:w="60" w:type="dxa"/>
              <w:left w:w="60" w:type="dxa"/>
              <w:bottom w:w="105" w:type="dxa"/>
              <w:right w:w="60" w:type="dxa"/>
            </w:tcMar>
          </w:tcPr>
          <w:p w14:paraId="02397DB4"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1052 </w:t>
            </w:r>
            <w:r w:rsidRPr="00155974">
              <w:rPr>
                <w:i/>
                <w:color w:val="000000" w:themeColor="text1"/>
                <w:szCs w:val="19"/>
              </w:rPr>
              <w:t>Disaggregated Disclosures</w:t>
            </w:r>
          </w:p>
        </w:tc>
        <w:tc>
          <w:tcPr>
            <w:tcW w:w="3005" w:type="dxa"/>
            <w:shd w:val="clear" w:color="auto" w:fill="auto"/>
          </w:tcPr>
          <w:p w14:paraId="729820BB" w14:textId="77777777" w:rsidR="00BC21D5" w:rsidRPr="00155974" w:rsidRDefault="00BC21D5" w:rsidP="009E097F">
            <w:pPr>
              <w:ind w:left="57"/>
              <w:jc w:val="left"/>
              <w:rPr>
                <w:color w:val="000000" w:themeColor="text1"/>
                <w:szCs w:val="19"/>
              </w:rPr>
            </w:pPr>
            <w:r w:rsidRPr="00155974">
              <w:rPr>
                <w:color w:val="000000" w:themeColor="text1"/>
                <w:szCs w:val="19"/>
              </w:rPr>
              <w:t>Paragraphs 15–21</w:t>
            </w:r>
          </w:p>
        </w:tc>
        <w:tc>
          <w:tcPr>
            <w:tcW w:w="2948" w:type="dxa"/>
          </w:tcPr>
          <w:p w14:paraId="512C9B91" w14:textId="050D3836"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63A7BFEC" w14:textId="77777777" w:rsidTr="002B3674">
        <w:trPr>
          <w:trHeight w:val="235"/>
          <w:jc w:val="center"/>
        </w:trPr>
        <w:tc>
          <w:tcPr>
            <w:tcW w:w="3175" w:type="dxa"/>
            <w:shd w:val="clear" w:color="auto" w:fill="auto"/>
            <w:tcMar>
              <w:top w:w="60" w:type="dxa"/>
              <w:left w:w="60" w:type="dxa"/>
              <w:bottom w:w="105" w:type="dxa"/>
              <w:right w:w="60" w:type="dxa"/>
            </w:tcMar>
          </w:tcPr>
          <w:p w14:paraId="680051EB"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1054 </w:t>
            </w:r>
            <w:r w:rsidRPr="00155974">
              <w:rPr>
                <w:i/>
                <w:color w:val="000000" w:themeColor="text1"/>
                <w:szCs w:val="19"/>
              </w:rPr>
              <w:t>Australian Additional Disclosures</w:t>
            </w:r>
          </w:p>
        </w:tc>
        <w:tc>
          <w:tcPr>
            <w:tcW w:w="3005" w:type="dxa"/>
            <w:shd w:val="clear" w:color="auto" w:fill="auto"/>
          </w:tcPr>
          <w:p w14:paraId="6F53809B" w14:textId="77777777" w:rsidR="00BC21D5" w:rsidRPr="00155974" w:rsidRDefault="00BC21D5" w:rsidP="009E097F">
            <w:pPr>
              <w:ind w:left="57"/>
              <w:jc w:val="left"/>
              <w:rPr>
                <w:color w:val="000000" w:themeColor="text1"/>
                <w:szCs w:val="19"/>
              </w:rPr>
            </w:pPr>
            <w:r w:rsidRPr="00155974">
              <w:rPr>
                <w:color w:val="000000" w:themeColor="text1"/>
                <w:szCs w:val="19"/>
              </w:rPr>
              <w:t>Paragraphs 7–16</w:t>
            </w:r>
          </w:p>
        </w:tc>
        <w:tc>
          <w:tcPr>
            <w:tcW w:w="2948" w:type="dxa"/>
          </w:tcPr>
          <w:p w14:paraId="7179AB26" w14:textId="09534A1B"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6EBA3F66" w14:textId="77777777" w:rsidTr="002B3674">
        <w:trPr>
          <w:trHeight w:val="235"/>
          <w:jc w:val="center"/>
        </w:trPr>
        <w:tc>
          <w:tcPr>
            <w:tcW w:w="3175" w:type="dxa"/>
            <w:shd w:val="clear" w:color="auto" w:fill="auto"/>
            <w:tcMar>
              <w:top w:w="60" w:type="dxa"/>
              <w:left w:w="60" w:type="dxa"/>
              <w:bottom w:w="105" w:type="dxa"/>
              <w:right w:w="60" w:type="dxa"/>
            </w:tcMar>
          </w:tcPr>
          <w:p w14:paraId="357AA8F6" w14:textId="77777777" w:rsidR="00BC21D5" w:rsidRPr="00155974" w:rsidRDefault="00BC21D5" w:rsidP="0041597E">
            <w:pPr>
              <w:ind w:left="57"/>
              <w:jc w:val="left"/>
              <w:rPr>
                <w:color w:val="000000" w:themeColor="text1"/>
                <w:szCs w:val="19"/>
              </w:rPr>
            </w:pPr>
            <w:r w:rsidRPr="00155974">
              <w:rPr>
                <w:color w:val="000000" w:themeColor="text1"/>
                <w:szCs w:val="19"/>
              </w:rPr>
              <w:lastRenderedPageBreak/>
              <w:t xml:space="preserve">AASB 1055 </w:t>
            </w:r>
            <w:r w:rsidRPr="00155974">
              <w:rPr>
                <w:i/>
                <w:color w:val="000000" w:themeColor="text1"/>
                <w:szCs w:val="19"/>
              </w:rPr>
              <w:t>Budgetary Reporting</w:t>
            </w:r>
          </w:p>
        </w:tc>
        <w:tc>
          <w:tcPr>
            <w:tcW w:w="3005" w:type="dxa"/>
            <w:shd w:val="clear" w:color="auto" w:fill="auto"/>
          </w:tcPr>
          <w:p w14:paraId="3DB0B23E" w14:textId="77777777" w:rsidR="00BC21D5" w:rsidRPr="00155974" w:rsidRDefault="00BC21D5" w:rsidP="009E097F">
            <w:pPr>
              <w:ind w:left="57"/>
              <w:jc w:val="left"/>
              <w:rPr>
                <w:color w:val="000000" w:themeColor="text1"/>
                <w:szCs w:val="19"/>
              </w:rPr>
            </w:pPr>
            <w:r w:rsidRPr="00155974">
              <w:rPr>
                <w:color w:val="000000" w:themeColor="text1"/>
                <w:szCs w:val="19"/>
              </w:rPr>
              <w:t>Paragraphs 6–8</w:t>
            </w:r>
          </w:p>
        </w:tc>
        <w:tc>
          <w:tcPr>
            <w:tcW w:w="2948" w:type="dxa"/>
          </w:tcPr>
          <w:p w14:paraId="3EB2DC4D" w14:textId="77777777" w:rsidR="00BC21D5" w:rsidRPr="00155974" w:rsidRDefault="00BC21D5" w:rsidP="009E097F">
            <w:pPr>
              <w:ind w:left="57"/>
              <w:jc w:val="left"/>
              <w:rPr>
                <w:color w:val="000000" w:themeColor="text1"/>
                <w:szCs w:val="19"/>
              </w:rPr>
            </w:pPr>
            <w:r w:rsidRPr="00155974">
              <w:rPr>
                <w:color w:val="000000" w:themeColor="text1"/>
                <w:szCs w:val="19"/>
              </w:rPr>
              <w:t>Paragraphs 9–15</w:t>
            </w:r>
          </w:p>
        </w:tc>
      </w:tr>
      <w:tr w:rsidR="00BC21D5" w:rsidRPr="00155974" w14:paraId="213D3377" w14:textId="77777777" w:rsidTr="002B3674">
        <w:trPr>
          <w:trHeight w:val="235"/>
          <w:jc w:val="center"/>
        </w:trPr>
        <w:tc>
          <w:tcPr>
            <w:tcW w:w="3175" w:type="dxa"/>
            <w:shd w:val="clear" w:color="auto" w:fill="auto"/>
            <w:tcMar>
              <w:top w:w="60" w:type="dxa"/>
              <w:left w:w="60" w:type="dxa"/>
              <w:bottom w:w="105" w:type="dxa"/>
              <w:right w:w="60" w:type="dxa"/>
            </w:tcMar>
          </w:tcPr>
          <w:p w14:paraId="7A1F2C8E"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1058 </w:t>
            </w:r>
            <w:r w:rsidRPr="00155974">
              <w:rPr>
                <w:i/>
                <w:color w:val="000000" w:themeColor="text1"/>
                <w:szCs w:val="19"/>
              </w:rPr>
              <w:t>Income of Not-for-Profit Entities</w:t>
            </w:r>
          </w:p>
        </w:tc>
        <w:tc>
          <w:tcPr>
            <w:tcW w:w="3005" w:type="dxa"/>
            <w:shd w:val="clear" w:color="auto" w:fill="auto"/>
          </w:tcPr>
          <w:p w14:paraId="18FD3135" w14:textId="77777777" w:rsidR="00BC21D5" w:rsidRPr="00155974" w:rsidRDefault="00BC21D5" w:rsidP="009E097F">
            <w:pPr>
              <w:ind w:left="57"/>
              <w:jc w:val="left"/>
              <w:rPr>
                <w:color w:val="000000" w:themeColor="text1"/>
                <w:szCs w:val="19"/>
              </w:rPr>
            </w:pPr>
            <w:r w:rsidRPr="00155974">
              <w:rPr>
                <w:color w:val="000000" w:themeColor="text1"/>
                <w:szCs w:val="19"/>
              </w:rPr>
              <w:t>Paragraphs 23–41</w:t>
            </w:r>
          </w:p>
        </w:tc>
        <w:tc>
          <w:tcPr>
            <w:tcW w:w="2948" w:type="dxa"/>
          </w:tcPr>
          <w:p w14:paraId="44558E34" w14:textId="707CE3AB"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r w:rsidR="00BC21D5" w:rsidRPr="00155974" w14:paraId="1FE0E393" w14:textId="77777777" w:rsidTr="002B3674">
        <w:trPr>
          <w:trHeight w:val="235"/>
          <w:jc w:val="center"/>
        </w:trPr>
        <w:tc>
          <w:tcPr>
            <w:tcW w:w="3175" w:type="dxa"/>
            <w:shd w:val="clear" w:color="auto" w:fill="auto"/>
            <w:tcMar>
              <w:top w:w="60" w:type="dxa"/>
              <w:left w:w="60" w:type="dxa"/>
              <w:bottom w:w="105" w:type="dxa"/>
              <w:right w:w="60" w:type="dxa"/>
            </w:tcMar>
          </w:tcPr>
          <w:p w14:paraId="43EC1626" w14:textId="77777777" w:rsidR="00BC21D5" w:rsidRPr="00155974" w:rsidRDefault="00BC21D5" w:rsidP="0041597E">
            <w:pPr>
              <w:ind w:left="57"/>
              <w:jc w:val="left"/>
              <w:rPr>
                <w:color w:val="000000" w:themeColor="text1"/>
                <w:szCs w:val="19"/>
              </w:rPr>
            </w:pPr>
            <w:r w:rsidRPr="00155974">
              <w:rPr>
                <w:color w:val="000000" w:themeColor="text1"/>
                <w:szCs w:val="19"/>
              </w:rPr>
              <w:t xml:space="preserve">AASB 1059 </w:t>
            </w:r>
            <w:r w:rsidRPr="00155974">
              <w:rPr>
                <w:i/>
                <w:color w:val="000000" w:themeColor="text1"/>
                <w:szCs w:val="19"/>
              </w:rPr>
              <w:t>Service Concession Arrangements: Grantors</w:t>
            </w:r>
          </w:p>
        </w:tc>
        <w:tc>
          <w:tcPr>
            <w:tcW w:w="3005" w:type="dxa"/>
            <w:shd w:val="clear" w:color="auto" w:fill="auto"/>
          </w:tcPr>
          <w:p w14:paraId="531A994E" w14:textId="77777777" w:rsidR="00BC21D5" w:rsidRPr="00155974" w:rsidRDefault="00BC21D5" w:rsidP="009E097F">
            <w:pPr>
              <w:ind w:left="57"/>
              <w:jc w:val="left"/>
              <w:rPr>
                <w:color w:val="000000" w:themeColor="text1"/>
                <w:szCs w:val="19"/>
              </w:rPr>
            </w:pPr>
            <w:r w:rsidRPr="00155974">
              <w:rPr>
                <w:color w:val="000000" w:themeColor="text1"/>
                <w:szCs w:val="19"/>
              </w:rPr>
              <w:t>Paragraphs 28, 29, B79 and B80</w:t>
            </w:r>
          </w:p>
        </w:tc>
        <w:tc>
          <w:tcPr>
            <w:tcW w:w="2948" w:type="dxa"/>
          </w:tcPr>
          <w:p w14:paraId="3E781596" w14:textId="232368F5" w:rsidR="00BC21D5" w:rsidRPr="00155974" w:rsidRDefault="00BC21D5" w:rsidP="009E097F">
            <w:pPr>
              <w:ind w:left="57"/>
              <w:jc w:val="left"/>
              <w:rPr>
                <w:color w:val="000000" w:themeColor="text1"/>
                <w:szCs w:val="19"/>
              </w:rPr>
            </w:pPr>
            <w:r w:rsidRPr="00155974">
              <w:rPr>
                <w:color w:val="000000" w:themeColor="text1"/>
                <w:szCs w:val="19"/>
              </w:rPr>
              <w:t>no</w:t>
            </w:r>
            <w:r w:rsidR="000416B5">
              <w:rPr>
                <w:color w:val="000000" w:themeColor="text1"/>
                <w:szCs w:val="19"/>
              </w:rPr>
              <w:t>ne</w:t>
            </w:r>
          </w:p>
        </w:tc>
      </w:tr>
    </w:tbl>
    <w:p w14:paraId="11874E34" w14:textId="224AD04F" w:rsidR="00BC21D5" w:rsidRPr="00155974" w:rsidRDefault="005614E5" w:rsidP="00022B10">
      <w:pPr>
        <w:pStyle w:val="NumPlain1"/>
        <w:spacing w:before="240"/>
        <w:ind w:left="782" w:hanging="782"/>
      </w:pPr>
      <w:r>
        <w:t>I</w:t>
      </w:r>
      <w:r w:rsidR="00AE67FE">
        <w:t>G</w:t>
      </w:r>
      <w:r w:rsidR="00BC21D5" w:rsidRPr="00155974">
        <w:t>2</w:t>
      </w:r>
      <w:r w:rsidR="00BC21D5" w:rsidRPr="00155974">
        <w:tab/>
        <w:t xml:space="preserve">The table below lists the specific disclosure paragraphs </w:t>
      </w:r>
      <w:r w:rsidR="001F5811">
        <w:t xml:space="preserve">in Interpretations </w:t>
      </w:r>
      <w:r w:rsidR="00BC21D5" w:rsidRPr="00155974">
        <w:t>that do not apply to an entity that is applying AASB 10</w:t>
      </w:r>
      <w:r w:rsidR="001F5811">
        <w:t>60</w:t>
      </w:r>
      <w:r w:rsidR="00BC21D5" w:rsidRPr="00155974">
        <w:t xml:space="preserve"> </w:t>
      </w:r>
      <w:r w:rsidR="00BC21D5" w:rsidRPr="00155974">
        <w:rPr>
          <w:i/>
        </w:rPr>
        <w:t>General Purpose Financial Statements – Simplified Disclosures for For-Profit and Not-for-Profit Tier 2 Entities</w:t>
      </w:r>
      <w:r w:rsidR="001F5811" w:rsidRPr="001F5811">
        <w:t xml:space="preserve"> </w:t>
      </w:r>
      <w:r w:rsidR="001F5811" w:rsidRPr="001F5811">
        <w:rPr>
          <w:iCs/>
        </w:rPr>
        <w:t>as well as specific presentation paragraphs or associated guidance paragraphs that still apply to the entity</w:t>
      </w:r>
      <w:r w:rsidR="00BC21D5" w:rsidRPr="001F5811">
        <w:rPr>
          <w:iCs/>
        </w:rPr>
        <w:t>.</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ASB Interpretations "/>
        <w:tblDescription w:val="AASB Interpretations"/>
      </w:tblPr>
      <w:tblGrid>
        <w:gridCol w:w="3175"/>
        <w:gridCol w:w="3005"/>
        <w:gridCol w:w="2948"/>
      </w:tblGrid>
      <w:tr w:rsidR="0049716C" w:rsidRPr="00155974" w14:paraId="62E38FDE" w14:textId="77777777" w:rsidTr="0049716C">
        <w:trPr>
          <w:trHeight w:val="181"/>
          <w:tblHeader/>
        </w:trPr>
        <w:tc>
          <w:tcPr>
            <w:tcW w:w="3175" w:type="dxa"/>
            <w:shd w:val="clear" w:color="auto" w:fill="auto"/>
            <w:tcMar>
              <w:top w:w="60" w:type="dxa"/>
              <w:left w:w="60" w:type="dxa"/>
              <w:bottom w:w="105" w:type="dxa"/>
              <w:right w:w="60" w:type="dxa"/>
            </w:tcMar>
          </w:tcPr>
          <w:p w14:paraId="0ECFE587" w14:textId="77777777" w:rsidR="00BC21D5" w:rsidRPr="00155974" w:rsidRDefault="00BC21D5" w:rsidP="00B61D7F">
            <w:pPr>
              <w:widowControl w:val="0"/>
              <w:ind w:left="57"/>
              <w:jc w:val="center"/>
              <w:rPr>
                <w:b/>
                <w:szCs w:val="19"/>
              </w:rPr>
            </w:pPr>
            <w:r w:rsidRPr="00155974">
              <w:rPr>
                <w:b/>
                <w:bCs/>
                <w:szCs w:val="19"/>
              </w:rPr>
              <w:t>AASB Interpretations</w:t>
            </w:r>
          </w:p>
        </w:tc>
        <w:tc>
          <w:tcPr>
            <w:tcW w:w="3005" w:type="dxa"/>
            <w:shd w:val="clear" w:color="auto" w:fill="auto"/>
          </w:tcPr>
          <w:p w14:paraId="58A52E34" w14:textId="77777777" w:rsidR="00BC21D5" w:rsidRPr="00155974" w:rsidRDefault="00BC21D5" w:rsidP="00B61D7F">
            <w:pPr>
              <w:ind w:left="57"/>
              <w:jc w:val="center"/>
              <w:rPr>
                <w:b/>
                <w:szCs w:val="19"/>
              </w:rPr>
            </w:pPr>
            <w:r w:rsidRPr="00155974">
              <w:rPr>
                <w:b/>
                <w:szCs w:val="19"/>
              </w:rPr>
              <w:t>Paragraphs superseded by this Standard</w:t>
            </w:r>
          </w:p>
        </w:tc>
        <w:tc>
          <w:tcPr>
            <w:tcW w:w="2948" w:type="dxa"/>
          </w:tcPr>
          <w:p w14:paraId="53EA69A4" w14:textId="77777777" w:rsidR="00BC21D5" w:rsidRPr="00155974" w:rsidRDefault="00BC21D5" w:rsidP="00B61D7F">
            <w:pPr>
              <w:ind w:left="57"/>
              <w:jc w:val="center"/>
              <w:rPr>
                <w:b/>
                <w:szCs w:val="19"/>
              </w:rPr>
            </w:pPr>
            <w:r w:rsidRPr="00155974">
              <w:rPr>
                <w:b/>
                <w:szCs w:val="19"/>
              </w:rPr>
              <w:t>Paragraphs that have not been superseded by this Standard and represent presentation requirements or guidance</w:t>
            </w:r>
          </w:p>
        </w:tc>
      </w:tr>
      <w:tr w:rsidR="0049716C" w:rsidRPr="00155974" w14:paraId="158B4A83" w14:textId="77777777" w:rsidTr="0049716C">
        <w:trPr>
          <w:trHeight w:val="181"/>
          <w:tblHeader/>
        </w:trPr>
        <w:tc>
          <w:tcPr>
            <w:tcW w:w="3175" w:type="dxa"/>
            <w:shd w:val="clear" w:color="auto" w:fill="auto"/>
            <w:tcMar>
              <w:top w:w="60" w:type="dxa"/>
              <w:left w:w="60" w:type="dxa"/>
              <w:bottom w:w="105" w:type="dxa"/>
              <w:right w:w="60" w:type="dxa"/>
            </w:tcMar>
          </w:tcPr>
          <w:p w14:paraId="4F1328F0" w14:textId="77777777" w:rsidR="00BC21D5" w:rsidRPr="00155974" w:rsidRDefault="00BC21D5" w:rsidP="00B61D7F">
            <w:pPr>
              <w:ind w:left="57"/>
              <w:jc w:val="left"/>
              <w:rPr>
                <w:bCs/>
                <w:szCs w:val="19"/>
              </w:rPr>
            </w:pPr>
            <w:r w:rsidRPr="00155974">
              <w:rPr>
                <w:color w:val="000000"/>
                <w:szCs w:val="19"/>
              </w:rPr>
              <w:t xml:space="preserve">Interpretation 2 </w:t>
            </w:r>
            <w:r w:rsidRPr="00155974">
              <w:rPr>
                <w:i/>
                <w:color w:val="000000"/>
                <w:szCs w:val="19"/>
              </w:rPr>
              <w:t>Members’ Shares in Co-operative Entities and Similar Instruments</w:t>
            </w:r>
          </w:p>
        </w:tc>
        <w:tc>
          <w:tcPr>
            <w:tcW w:w="3005" w:type="dxa"/>
            <w:shd w:val="clear" w:color="auto" w:fill="auto"/>
          </w:tcPr>
          <w:p w14:paraId="2D16719B" w14:textId="77777777" w:rsidR="00BC21D5" w:rsidRPr="00155974" w:rsidRDefault="00BC21D5" w:rsidP="00B61D7F">
            <w:pPr>
              <w:ind w:left="57"/>
              <w:jc w:val="left"/>
              <w:rPr>
                <w:szCs w:val="19"/>
              </w:rPr>
            </w:pPr>
            <w:r w:rsidRPr="00155974">
              <w:rPr>
                <w:szCs w:val="19"/>
              </w:rPr>
              <w:t xml:space="preserve">Paragraph 13 </w:t>
            </w:r>
          </w:p>
        </w:tc>
        <w:tc>
          <w:tcPr>
            <w:tcW w:w="2948" w:type="dxa"/>
          </w:tcPr>
          <w:p w14:paraId="511108CC" w14:textId="640108E4" w:rsidR="00BC21D5" w:rsidRPr="00155974" w:rsidRDefault="00BC21D5" w:rsidP="00B61D7F">
            <w:pPr>
              <w:ind w:left="57"/>
              <w:jc w:val="left"/>
              <w:rPr>
                <w:szCs w:val="19"/>
              </w:rPr>
            </w:pPr>
            <w:r w:rsidRPr="00155974">
              <w:rPr>
                <w:color w:val="000000" w:themeColor="text1"/>
                <w:szCs w:val="19"/>
              </w:rPr>
              <w:t>no</w:t>
            </w:r>
            <w:r w:rsidR="000C0723">
              <w:rPr>
                <w:color w:val="000000" w:themeColor="text1"/>
                <w:szCs w:val="19"/>
              </w:rPr>
              <w:t>ne</w:t>
            </w:r>
          </w:p>
        </w:tc>
      </w:tr>
      <w:tr w:rsidR="0049716C" w:rsidRPr="00155974" w14:paraId="42909C97" w14:textId="77777777" w:rsidTr="0049716C">
        <w:trPr>
          <w:trHeight w:val="181"/>
          <w:tblHeader/>
        </w:trPr>
        <w:tc>
          <w:tcPr>
            <w:tcW w:w="3175" w:type="dxa"/>
            <w:shd w:val="clear" w:color="auto" w:fill="auto"/>
            <w:tcMar>
              <w:top w:w="60" w:type="dxa"/>
              <w:left w:w="60" w:type="dxa"/>
              <w:bottom w:w="105" w:type="dxa"/>
              <w:right w:w="60" w:type="dxa"/>
            </w:tcMar>
          </w:tcPr>
          <w:p w14:paraId="1BB6333F" w14:textId="77777777" w:rsidR="00BC21D5" w:rsidRPr="00155974" w:rsidRDefault="00BC21D5" w:rsidP="00B61D7F">
            <w:pPr>
              <w:ind w:left="57"/>
              <w:jc w:val="left"/>
              <w:rPr>
                <w:bCs/>
                <w:szCs w:val="19"/>
              </w:rPr>
            </w:pPr>
            <w:r w:rsidRPr="00155974">
              <w:rPr>
                <w:color w:val="000000"/>
                <w:szCs w:val="19"/>
              </w:rPr>
              <w:t xml:space="preserve">Interpretation 5 </w:t>
            </w:r>
            <w:r w:rsidRPr="00155974">
              <w:rPr>
                <w:i/>
                <w:color w:val="000000"/>
                <w:szCs w:val="19"/>
              </w:rPr>
              <w:t>Rights to Interests arising from Decommissioning, Restoration and Environmental Rehabilitation Funds</w:t>
            </w:r>
          </w:p>
        </w:tc>
        <w:tc>
          <w:tcPr>
            <w:tcW w:w="3005" w:type="dxa"/>
            <w:shd w:val="clear" w:color="auto" w:fill="auto"/>
          </w:tcPr>
          <w:p w14:paraId="37D8BF72" w14:textId="77777777" w:rsidR="00BC21D5" w:rsidRPr="00155974" w:rsidRDefault="00BC21D5" w:rsidP="00B61D7F">
            <w:pPr>
              <w:ind w:left="57"/>
              <w:jc w:val="left"/>
              <w:rPr>
                <w:szCs w:val="19"/>
              </w:rPr>
            </w:pPr>
            <w:r w:rsidRPr="00155974">
              <w:rPr>
                <w:szCs w:val="19"/>
              </w:rPr>
              <w:t>Paragraphs 11–13</w:t>
            </w:r>
          </w:p>
        </w:tc>
        <w:tc>
          <w:tcPr>
            <w:tcW w:w="2948" w:type="dxa"/>
          </w:tcPr>
          <w:p w14:paraId="11353DCD" w14:textId="6C47E3D4" w:rsidR="00BC21D5" w:rsidRPr="00155974" w:rsidRDefault="00BC21D5" w:rsidP="00B61D7F">
            <w:pPr>
              <w:ind w:left="57"/>
              <w:jc w:val="left"/>
              <w:rPr>
                <w:szCs w:val="19"/>
              </w:rPr>
            </w:pPr>
            <w:r w:rsidRPr="00155974">
              <w:rPr>
                <w:color w:val="000000" w:themeColor="text1"/>
                <w:szCs w:val="19"/>
              </w:rPr>
              <w:t>no</w:t>
            </w:r>
            <w:r w:rsidR="000C0723">
              <w:rPr>
                <w:color w:val="000000" w:themeColor="text1"/>
                <w:szCs w:val="19"/>
              </w:rPr>
              <w:t>ne</w:t>
            </w:r>
          </w:p>
        </w:tc>
      </w:tr>
      <w:tr w:rsidR="0049716C" w:rsidRPr="00155974" w14:paraId="28417DB9" w14:textId="77777777" w:rsidTr="0049716C">
        <w:trPr>
          <w:trHeight w:val="181"/>
          <w:tblHeader/>
        </w:trPr>
        <w:tc>
          <w:tcPr>
            <w:tcW w:w="3175" w:type="dxa"/>
            <w:shd w:val="clear" w:color="auto" w:fill="auto"/>
            <w:tcMar>
              <w:top w:w="60" w:type="dxa"/>
              <w:left w:w="60" w:type="dxa"/>
              <w:bottom w:w="105" w:type="dxa"/>
              <w:right w:w="60" w:type="dxa"/>
            </w:tcMar>
          </w:tcPr>
          <w:p w14:paraId="40D432C2" w14:textId="77777777" w:rsidR="00BC21D5" w:rsidRPr="00155974" w:rsidRDefault="00BC21D5" w:rsidP="00022B10">
            <w:pPr>
              <w:ind w:left="57"/>
              <w:jc w:val="left"/>
              <w:rPr>
                <w:color w:val="000000"/>
                <w:szCs w:val="19"/>
              </w:rPr>
            </w:pPr>
            <w:r w:rsidRPr="00155974">
              <w:rPr>
                <w:color w:val="000000"/>
                <w:szCs w:val="19"/>
              </w:rPr>
              <w:t xml:space="preserve">Interpretation 17 </w:t>
            </w:r>
            <w:r w:rsidRPr="00155974">
              <w:rPr>
                <w:i/>
                <w:color w:val="000000"/>
                <w:szCs w:val="19"/>
              </w:rPr>
              <w:t>Distributions of Non-cash Assets to Owners</w:t>
            </w:r>
          </w:p>
        </w:tc>
        <w:tc>
          <w:tcPr>
            <w:tcW w:w="3005" w:type="dxa"/>
            <w:shd w:val="clear" w:color="auto" w:fill="auto"/>
          </w:tcPr>
          <w:p w14:paraId="27AC1784" w14:textId="77777777" w:rsidR="00BC21D5" w:rsidRPr="00155974" w:rsidRDefault="00BC21D5" w:rsidP="00B61D7F">
            <w:pPr>
              <w:ind w:left="57"/>
              <w:jc w:val="left"/>
              <w:rPr>
                <w:szCs w:val="19"/>
              </w:rPr>
            </w:pPr>
            <w:r w:rsidRPr="00155974">
              <w:rPr>
                <w:szCs w:val="19"/>
              </w:rPr>
              <w:t>Paragraphs 16–17</w:t>
            </w:r>
          </w:p>
        </w:tc>
        <w:tc>
          <w:tcPr>
            <w:tcW w:w="2948" w:type="dxa"/>
          </w:tcPr>
          <w:p w14:paraId="100EF108" w14:textId="77777777" w:rsidR="00BC21D5" w:rsidRPr="00155974" w:rsidRDefault="00BC21D5" w:rsidP="00B61D7F">
            <w:pPr>
              <w:ind w:left="57"/>
              <w:jc w:val="left"/>
              <w:rPr>
                <w:szCs w:val="19"/>
              </w:rPr>
            </w:pPr>
            <w:r w:rsidRPr="00155974">
              <w:rPr>
                <w:szCs w:val="19"/>
              </w:rPr>
              <w:t>Paragraph 15</w:t>
            </w:r>
          </w:p>
        </w:tc>
      </w:tr>
      <w:tr w:rsidR="0049716C" w:rsidRPr="00155974" w14:paraId="3326E880" w14:textId="77777777" w:rsidTr="0049716C">
        <w:trPr>
          <w:trHeight w:val="181"/>
          <w:tblHeader/>
        </w:trPr>
        <w:tc>
          <w:tcPr>
            <w:tcW w:w="3175" w:type="dxa"/>
            <w:shd w:val="clear" w:color="auto" w:fill="auto"/>
            <w:tcMar>
              <w:top w:w="60" w:type="dxa"/>
              <w:left w:w="60" w:type="dxa"/>
              <w:bottom w:w="105" w:type="dxa"/>
              <w:right w:w="60" w:type="dxa"/>
            </w:tcMar>
          </w:tcPr>
          <w:p w14:paraId="7380F66C" w14:textId="77777777" w:rsidR="00BC21D5" w:rsidRPr="00155974" w:rsidRDefault="00BC21D5" w:rsidP="00022B10">
            <w:pPr>
              <w:ind w:left="57"/>
              <w:jc w:val="left"/>
              <w:rPr>
                <w:color w:val="000000"/>
                <w:szCs w:val="19"/>
              </w:rPr>
            </w:pPr>
            <w:r w:rsidRPr="00155974">
              <w:rPr>
                <w:color w:val="000000"/>
                <w:szCs w:val="19"/>
              </w:rPr>
              <w:t xml:space="preserve">Interpretation 23 </w:t>
            </w:r>
            <w:r w:rsidRPr="00155974">
              <w:rPr>
                <w:i/>
                <w:color w:val="000000"/>
                <w:szCs w:val="19"/>
              </w:rPr>
              <w:t>Uncertainty over Income Tax Treatments</w:t>
            </w:r>
          </w:p>
        </w:tc>
        <w:tc>
          <w:tcPr>
            <w:tcW w:w="3005" w:type="dxa"/>
            <w:shd w:val="clear" w:color="auto" w:fill="auto"/>
          </w:tcPr>
          <w:p w14:paraId="357A93BB" w14:textId="77777777" w:rsidR="00BC21D5" w:rsidRPr="00155974" w:rsidRDefault="00BC21D5" w:rsidP="00B61D7F">
            <w:pPr>
              <w:ind w:left="57"/>
              <w:jc w:val="left"/>
              <w:rPr>
                <w:szCs w:val="19"/>
              </w:rPr>
            </w:pPr>
            <w:r w:rsidRPr="00155974">
              <w:rPr>
                <w:szCs w:val="19"/>
              </w:rPr>
              <w:t>Paragraphs A4 and A5</w:t>
            </w:r>
          </w:p>
        </w:tc>
        <w:tc>
          <w:tcPr>
            <w:tcW w:w="2948" w:type="dxa"/>
          </w:tcPr>
          <w:p w14:paraId="3A824892" w14:textId="1ED56AF2" w:rsidR="00BC21D5" w:rsidRPr="00155974" w:rsidDel="002E4AC8" w:rsidRDefault="00BC21D5" w:rsidP="00B61D7F">
            <w:pPr>
              <w:ind w:left="57"/>
              <w:jc w:val="left"/>
              <w:rPr>
                <w:szCs w:val="19"/>
              </w:rPr>
            </w:pPr>
            <w:r w:rsidRPr="00155974">
              <w:rPr>
                <w:color w:val="000000" w:themeColor="text1"/>
                <w:szCs w:val="19"/>
              </w:rPr>
              <w:t>no</w:t>
            </w:r>
            <w:r w:rsidR="000C0723">
              <w:rPr>
                <w:color w:val="000000" w:themeColor="text1"/>
                <w:szCs w:val="19"/>
              </w:rPr>
              <w:t>ne</w:t>
            </w:r>
          </w:p>
        </w:tc>
      </w:tr>
      <w:tr w:rsidR="0049716C" w:rsidRPr="00155974" w14:paraId="5E1B2810" w14:textId="77777777" w:rsidTr="0049716C">
        <w:trPr>
          <w:trHeight w:val="181"/>
          <w:tblHeader/>
        </w:trPr>
        <w:tc>
          <w:tcPr>
            <w:tcW w:w="3175" w:type="dxa"/>
            <w:shd w:val="clear" w:color="auto" w:fill="auto"/>
            <w:tcMar>
              <w:top w:w="60" w:type="dxa"/>
              <w:left w:w="60" w:type="dxa"/>
              <w:bottom w:w="105" w:type="dxa"/>
              <w:right w:w="60" w:type="dxa"/>
            </w:tcMar>
          </w:tcPr>
          <w:p w14:paraId="76B239B5" w14:textId="77777777" w:rsidR="00BC21D5" w:rsidRPr="00155974" w:rsidRDefault="00BC21D5" w:rsidP="00022B10">
            <w:pPr>
              <w:ind w:left="57"/>
              <w:jc w:val="left"/>
              <w:rPr>
                <w:color w:val="000000"/>
                <w:szCs w:val="19"/>
              </w:rPr>
            </w:pPr>
            <w:r w:rsidRPr="00155974">
              <w:rPr>
                <w:color w:val="000000"/>
                <w:szCs w:val="19"/>
              </w:rPr>
              <w:t xml:space="preserve">Interpretation 129 </w:t>
            </w:r>
            <w:r w:rsidRPr="00155974">
              <w:rPr>
                <w:i/>
                <w:color w:val="000000"/>
                <w:szCs w:val="19"/>
              </w:rPr>
              <w:t>Service Concession Arrangements: Disclosures</w:t>
            </w:r>
          </w:p>
        </w:tc>
        <w:tc>
          <w:tcPr>
            <w:tcW w:w="3005" w:type="dxa"/>
            <w:shd w:val="clear" w:color="auto" w:fill="auto"/>
          </w:tcPr>
          <w:p w14:paraId="2E5CD256" w14:textId="77777777" w:rsidR="00BC21D5" w:rsidRPr="00155974" w:rsidRDefault="00BC21D5" w:rsidP="00B61D7F">
            <w:pPr>
              <w:ind w:left="57"/>
              <w:jc w:val="left"/>
              <w:rPr>
                <w:szCs w:val="19"/>
              </w:rPr>
            </w:pPr>
            <w:r w:rsidRPr="00155974">
              <w:rPr>
                <w:szCs w:val="19"/>
              </w:rPr>
              <w:t xml:space="preserve">Paragraphs 6–7 </w:t>
            </w:r>
          </w:p>
        </w:tc>
        <w:tc>
          <w:tcPr>
            <w:tcW w:w="2948" w:type="dxa"/>
          </w:tcPr>
          <w:p w14:paraId="39FDF134" w14:textId="5E5B055D" w:rsidR="00BC21D5" w:rsidRPr="00155974" w:rsidRDefault="00BC21D5" w:rsidP="00B61D7F">
            <w:pPr>
              <w:ind w:left="57"/>
              <w:jc w:val="left"/>
              <w:rPr>
                <w:szCs w:val="19"/>
              </w:rPr>
            </w:pPr>
            <w:r w:rsidRPr="00155974">
              <w:rPr>
                <w:color w:val="000000" w:themeColor="text1"/>
                <w:szCs w:val="19"/>
              </w:rPr>
              <w:t>no</w:t>
            </w:r>
            <w:r w:rsidR="000C0723">
              <w:rPr>
                <w:color w:val="000000" w:themeColor="text1"/>
                <w:szCs w:val="19"/>
              </w:rPr>
              <w:t>ne</w:t>
            </w:r>
          </w:p>
        </w:tc>
      </w:tr>
      <w:tr w:rsidR="0049716C" w:rsidRPr="00155974" w14:paraId="2B5D9ED8" w14:textId="77777777" w:rsidTr="0049716C">
        <w:trPr>
          <w:trHeight w:val="181"/>
          <w:tblHeader/>
        </w:trPr>
        <w:tc>
          <w:tcPr>
            <w:tcW w:w="3175" w:type="dxa"/>
            <w:shd w:val="clear" w:color="auto" w:fill="auto"/>
            <w:tcMar>
              <w:top w:w="60" w:type="dxa"/>
              <w:left w:w="60" w:type="dxa"/>
              <w:bottom w:w="105" w:type="dxa"/>
              <w:right w:w="60" w:type="dxa"/>
            </w:tcMar>
          </w:tcPr>
          <w:p w14:paraId="52DCD54A" w14:textId="77777777" w:rsidR="00BC21D5" w:rsidRPr="00155974" w:rsidRDefault="00BC21D5" w:rsidP="00022B10">
            <w:pPr>
              <w:ind w:left="57"/>
              <w:jc w:val="left"/>
              <w:rPr>
                <w:color w:val="000000"/>
                <w:szCs w:val="19"/>
              </w:rPr>
            </w:pPr>
            <w:r w:rsidRPr="00155974">
              <w:rPr>
                <w:color w:val="000000"/>
                <w:szCs w:val="19"/>
              </w:rPr>
              <w:t xml:space="preserve">Interpretation 1052 </w:t>
            </w:r>
            <w:r w:rsidRPr="00155974">
              <w:rPr>
                <w:i/>
                <w:color w:val="000000"/>
                <w:szCs w:val="19"/>
              </w:rPr>
              <w:t>Tax Consolidation Accounting</w:t>
            </w:r>
          </w:p>
        </w:tc>
        <w:tc>
          <w:tcPr>
            <w:tcW w:w="3005" w:type="dxa"/>
            <w:shd w:val="clear" w:color="auto" w:fill="auto"/>
          </w:tcPr>
          <w:p w14:paraId="7CEF4BCD" w14:textId="77777777" w:rsidR="00BC21D5" w:rsidRPr="00155974" w:rsidRDefault="00BC21D5" w:rsidP="00B61D7F">
            <w:pPr>
              <w:ind w:left="57"/>
              <w:jc w:val="left"/>
              <w:rPr>
                <w:szCs w:val="19"/>
              </w:rPr>
            </w:pPr>
            <w:r w:rsidRPr="00155974">
              <w:t>Paragraphs 16, 59 and 60</w:t>
            </w:r>
          </w:p>
        </w:tc>
        <w:tc>
          <w:tcPr>
            <w:tcW w:w="2948" w:type="dxa"/>
          </w:tcPr>
          <w:p w14:paraId="033BE21A" w14:textId="57AD3DAC" w:rsidR="00BC21D5" w:rsidRPr="00155974" w:rsidRDefault="00BC21D5" w:rsidP="00B61D7F">
            <w:pPr>
              <w:ind w:left="57"/>
              <w:jc w:val="left"/>
            </w:pPr>
            <w:r w:rsidRPr="00155974">
              <w:rPr>
                <w:color w:val="000000" w:themeColor="text1"/>
                <w:szCs w:val="19"/>
              </w:rPr>
              <w:t>no</w:t>
            </w:r>
            <w:r w:rsidR="000C0723">
              <w:rPr>
                <w:color w:val="000000" w:themeColor="text1"/>
                <w:szCs w:val="19"/>
              </w:rPr>
              <w:t>ne</w:t>
            </w:r>
          </w:p>
        </w:tc>
      </w:tr>
    </w:tbl>
    <w:p w14:paraId="77DF3B18" w14:textId="77777777" w:rsidR="00BC21D5" w:rsidRDefault="00BC21D5" w:rsidP="00CB4460">
      <w:pPr>
        <w:pStyle w:val="NumPlain1"/>
        <w:spacing w:before="120" w:after="0"/>
      </w:pPr>
    </w:p>
    <w:p w14:paraId="41A37C11" w14:textId="44C2951C" w:rsidR="00CB4460" w:rsidRPr="00155974" w:rsidRDefault="00CB4460" w:rsidP="00CB4460">
      <w:pPr>
        <w:pStyle w:val="NumPlain1"/>
        <w:spacing w:before="120" w:after="0"/>
        <w:sectPr w:rsidR="00CB4460" w:rsidRPr="00155974" w:rsidSect="008415C2">
          <w:footerReference w:type="default" r:id="rId30"/>
          <w:pgSz w:w="11907" w:h="16840" w:code="9"/>
          <w:pgMar w:top="1440" w:right="1440" w:bottom="1440" w:left="1440" w:header="720" w:footer="720" w:gutter="0"/>
          <w:cols w:space="720"/>
          <w:docGrid w:linePitch="258"/>
        </w:sectPr>
      </w:pPr>
    </w:p>
    <w:p w14:paraId="3882DCAB" w14:textId="7FD41BF8" w:rsidR="00866D65" w:rsidRPr="00A73E9E" w:rsidRDefault="00866D65" w:rsidP="00866D65">
      <w:pPr>
        <w:pStyle w:val="ConvSectionTitle"/>
      </w:pPr>
      <w:bookmarkStart w:id="165" w:name="TOCEnd"/>
      <w:bookmarkEnd w:id="165"/>
      <w:r>
        <w:lastRenderedPageBreak/>
        <w:t>Compilation details</w:t>
      </w:r>
      <w:r>
        <w:br/>
      </w:r>
      <w:r w:rsidRPr="00B663AC">
        <w:t xml:space="preserve">Accounting Standard </w:t>
      </w:r>
      <w:r>
        <w:t xml:space="preserve">AASB </w:t>
      </w:r>
      <w:fldSimple w:instr=" REF \* charformat DocNo ">
        <w:r w:rsidR="00454A6B" w:rsidRPr="00454A6B">
          <w:t>1060</w:t>
        </w:r>
      </w:fldSimple>
      <w:r>
        <w:t xml:space="preserve"> </w:t>
      </w:r>
      <w:r>
        <w:rPr>
          <w:i/>
        </w:rPr>
        <w:fldChar w:fldCharType="begin"/>
      </w:r>
      <w:r>
        <w:rPr>
          <w:i/>
        </w:rPr>
        <w:instrText xml:space="preserve"> REF \* charformat DocTitle </w:instrText>
      </w:r>
      <w:r>
        <w:rPr>
          <w:i/>
        </w:rPr>
        <w:fldChar w:fldCharType="separate"/>
      </w:r>
      <w:r w:rsidR="00454A6B" w:rsidRPr="00454A6B">
        <w:rPr>
          <w:i/>
        </w:rPr>
        <w:t>General Purpose Financial Statements – Simplified Disclosures for For-Profit and Not-for-Profit Tier 2 Entities</w:t>
      </w:r>
      <w:r>
        <w:rPr>
          <w:i/>
        </w:rPr>
        <w:fldChar w:fldCharType="end"/>
      </w:r>
      <w:r w:rsidRPr="00155974">
        <w:rPr>
          <w:i/>
        </w:rPr>
        <w:t xml:space="preserve"> </w:t>
      </w:r>
      <w:r>
        <w:t>(as amended)</w:t>
      </w:r>
    </w:p>
    <w:p w14:paraId="0F586E0E" w14:textId="0A0E287D" w:rsidR="00866D65" w:rsidRDefault="00866D65" w:rsidP="00866D65">
      <w:pPr>
        <w:pStyle w:val="IASBNote"/>
      </w:pPr>
      <w:r>
        <w:t xml:space="preserve">Compilation details are not part of </w:t>
      </w:r>
      <w:r>
        <w:fldChar w:fldCharType="begin"/>
      </w:r>
      <w:r>
        <w:instrText xml:space="preserve"> REF DocTypeAbb \* charformat</w:instrText>
      </w:r>
      <w:r>
        <w:fldChar w:fldCharType="separate"/>
      </w:r>
      <w:r w:rsidR="00454A6B" w:rsidRPr="00454A6B">
        <w:t>AASB</w:t>
      </w:r>
      <w:r>
        <w:fldChar w:fldCharType="end"/>
      </w:r>
      <w:r>
        <w:t xml:space="preserve"> </w:t>
      </w:r>
      <w:fldSimple w:instr=" REF \* charformat DocNo ">
        <w:r w:rsidR="00454A6B" w:rsidRPr="00454A6B">
          <w:t>1060</w:t>
        </w:r>
      </w:fldSimple>
    </w:p>
    <w:p w14:paraId="4E82D212" w14:textId="746CD01D" w:rsidR="00866D65" w:rsidRPr="000D35D8" w:rsidRDefault="00866D65" w:rsidP="00866D65">
      <w:pPr>
        <w:pStyle w:val="IASBNormal"/>
      </w:pPr>
      <w:r w:rsidRPr="000D35D8">
        <w:t xml:space="preserve">This compiled Standard applies to annual periods </w:t>
      </w:r>
      <w:r>
        <w:fldChar w:fldCharType="begin" w:fldLock="1"/>
      </w:r>
      <w:r>
        <w:instrText>REF ApplyTextCompile \* charformat  \* MERGEFORMAT</w:instrText>
      </w:r>
      <w:r>
        <w:fldChar w:fldCharType="separate"/>
      </w:r>
      <w:r w:rsidRPr="000D35D8">
        <w:t>beginning</w:t>
      </w:r>
      <w:r>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454A6B" w:rsidRPr="00B54F23">
        <w:t>1</w:t>
      </w:r>
      <w:r w:rsidR="00454A6B">
        <w:t xml:space="preserve"> </w:t>
      </w:r>
      <w:r w:rsidR="00454A6B" w:rsidRPr="00B54F23">
        <w:t>J</w:t>
      </w:r>
      <w:r w:rsidR="00454A6B">
        <w:t>uly 2021</w:t>
      </w:r>
      <w:r w:rsidRPr="00F2266F">
        <w:fldChar w:fldCharType="end"/>
      </w:r>
      <w:r w:rsidR="001944A0">
        <w:t>.</w:t>
      </w:r>
      <w:r w:rsidRPr="000D35D8">
        <w:t xml:space="preserve">  It takes into account amendments up to and including </w:t>
      </w:r>
      <w:bookmarkStart w:id="166" w:name="CompileDate"/>
      <w:r w:rsidR="00087B41">
        <w:rPr>
          <w:szCs w:val="19"/>
        </w:rPr>
        <w:t>29 March 2021</w:t>
      </w:r>
      <w:bookmarkEnd w:id="166"/>
      <w:r w:rsidR="00087B41" w:rsidRPr="006F0C28">
        <w:rPr>
          <w:szCs w:val="19"/>
        </w:rPr>
        <w:t xml:space="preserve"> </w:t>
      </w:r>
      <w:r w:rsidRPr="000D35D8">
        <w:t xml:space="preserve">and was prepared </w:t>
      </w:r>
      <w:r w:rsidRPr="00B54F23">
        <w:t xml:space="preserve">on </w:t>
      </w:r>
      <w:bookmarkStart w:id="167" w:name="PrepDate"/>
      <w:r w:rsidR="00AC2840">
        <w:rPr>
          <w:szCs w:val="19"/>
        </w:rPr>
        <w:t xml:space="preserve">17 August </w:t>
      </w:r>
      <w:r w:rsidR="004E5D39" w:rsidRPr="006F0C28">
        <w:rPr>
          <w:szCs w:val="19"/>
        </w:rPr>
        <w:t>20</w:t>
      </w:r>
      <w:r w:rsidR="004E5D39">
        <w:rPr>
          <w:szCs w:val="19"/>
        </w:rPr>
        <w:t>21</w:t>
      </w:r>
      <w:bookmarkEnd w:id="167"/>
      <w:r w:rsidR="004E5D39" w:rsidRPr="006F0C28">
        <w:rPr>
          <w:szCs w:val="19"/>
        </w:rPr>
        <w:t xml:space="preserve"> </w:t>
      </w:r>
      <w:r w:rsidRPr="00B54F23">
        <w:t>by</w:t>
      </w:r>
      <w:r w:rsidRPr="000D35D8">
        <w:t xml:space="preserve"> the staff of the Australian Accounting Standards Board (AASB).</w:t>
      </w:r>
    </w:p>
    <w:p w14:paraId="0BC1E538" w14:textId="77777777" w:rsidR="00866D65" w:rsidRDefault="00866D65" w:rsidP="00866D65">
      <w:pPr>
        <w:pStyle w:val="IASBNormal"/>
      </w:pPr>
      <w:r w:rsidRPr="000D35D8">
        <w:t xml:space="preserve">This compilation is not a separate Accounting Standard made by the AASB.  Instead, it is a representation of </w:t>
      </w:r>
      <w:r>
        <w:t>AASB 1060</w:t>
      </w:r>
      <w:r w:rsidRPr="000D35D8">
        <w:t xml:space="preserve"> </w:t>
      </w:r>
      <w:r>
        <w:t xml:space="preserve">(March 2020) </w:t>
      </w:r>
      <w:r w:rsidRPr="000D35D8">
        <w:t>as amended by other Accounting Stan</w:t>
      </w:r>
      <w:r>
        <w:t>dards, which are listed in the t</w:t>
      </w:r>
      <w:r w:rsidRPr="000D35D8">
        <w:t>able below.</w:t>
      </w:r>
    </w:p>
    <w:p w14:paraId="28833F4E" w14:textId="77777777" w:rsidR="00866D65" w:rsidRPr="000D35D8" w:rsidRDefault="00866D65" w:rsidP="00866D65">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866D65" w:rsidRPr="009305B8" w14:paraId="7E6A0B44" w14:textId="77777777" w:rsidTr="00C57138">
        <w:trPr>
          <w:cantSplit/>
          <w:tblHeader/>
        </w:trPr>
        <w:tc>
          <w:tcPr>
            <w:tcW w:w="1333" w:type="dxa"/>
          </w:tcPr>
          <w:p w14:paraId="4E206262" w14:textId="77777777" w:rsidR="00866D65" w:rsidRPr="009305B8" w:rsidRDefault="00866D65" w:rsidP="00C57138">
            <w:pPr>
              <w:pStyle w:val="NoNumBold1"/>
              <w:spacing w:after="200"/>
              <w:rPr>
                <w:rFonts w:ascii="Arial" w:hAnsi="Arial" w:cs="Arial"/>
                <w:sz w:val="18"/>
                <w:szCs w:val="18"/>
              </w:rPr>
            </w:pPr>
            <w:r w:rsidRPr="009305B8">
              <w:rPr>
                <w:rFonts w:ascii="Arial" w:hAnsi="Arial" w:cs="Arial"/>
                <w:sz w:val="18"/>
                <w:szCs w:val="18"/>
              </w:rPr>
              <w:t>Standard</w:t>
            </w:r>
          </w:p>
        </w:tc>
        <w:tc>
          <w:tcPr>
            <w:tcW w:w="1276" w:type="dxa"/>
          </w:tcPr>
          <w:p w14:paraId="4B6B3BA4" w14:textId="77777777" w:rsidR="00866D65" w:rsidRDefault="00866D65" w:rsidP="00C57138">
            <w:pPr>
              <w:pStyle w:val="NoNumBold1"/>
              <w:spacing w:after="200"/>
              <w:rPr>
                <w:rFonts w:ascii="Arial" w:hAnsi="Arial" w:cs="Arial"/>
                <w:sz w:val="18"/>
                <w:szCs w:val="18"/>
              </w:rPr>
            </w:pPr>
            <w:r>
              <w:rPr>
                <w:rFonts w:ascii="Arial" w:hAnsi="Arial" w:cs="Arial"/>
                <w:sz w:val="18"/>
                <w:szCs w:val="18"/>
              </w:rPr>
              <w:t>Date made</w:t>
            </w:r>
          </w:p>
        </w:tc>
        <w:tc>
          <w:tcPr>
            <w:tcW w:w="1417" w:type="dxa"/>
          </w:tcPr>
          <w:p w14:paraId="6BDBEDF3" w14:textId="77777777" w:rsidR="00866D65" w:rsidRPr="009305B8" w:rsidRDefault="00866D65" w:rsidP="00C57138">
            <w:pPr>
              <w:pStyle w:val="NoNumBold1"/>
              <w:spacing w:after="200"/>
              <w:rPr>
                <w:rFonts w:ascii="Arial" w:hAnsi="Arial" w:cs="Arial"/>
                <w:sz w:val="18"/>
                <w:szCs w:val="18"/>
              </w:rPr>
            </w:pPr>
            <w:r>
              <w:rPr>
                <w:rFonts w:ascii="Arial" w:hAnsi="Arial" w:cs="Arial"/>
                <w:sz w:val="18"/>
                <w:szCs w:val="18"/>
              </w:rPr>
              <w:t>FRL identifier</w:t>
            </w:r>
          </w:p>
        </w:tc>
        <w:tc>
          <w:tcPr>
            <w:tcW w:w="1276" w:type="dxa"/>
          </w:tcPr>
          <w:p w14:paraId="6F446847" w14:textId="77777777" w:rsidR="00866D65" w:rsidRPr="009305B8" w:rsidRDefault="00866D65" w:rsidP="00C57138">
            <w:pPr>
              <w:pStyle w:val="NoNumBold1"/>
              <w:spacing w:after="200"/>
              <w:rPr>
                <w:rFonts w:ascii="Arial" w:hAnsi="Arial" w:cs="Arial"/>
                <w:sz w:val="18"/>
                <w:szCs w:val="18"/>
              </w:rPr>
            </w:pPr>
            <w:r>
              <w:rPr>
                <w:rFonts w:ascii="Arial" w:hAnsi="Arial" w:cs="Arial"/>
                <w:sz w:val="18"/>
                <w:szCs w:val="18"/>
              </w:rPr>
              <w:t>Commence-ment date</w:t>
            </w:r>
          </w:p>
        </w:tc>
        <w:tc>
          <w:tcPr>
            <w:tcW w:w="2552" w:type="dxa"/>
          </w:tcPr>
          <w:p w14:paraId="2E61664D" w14:textId="77777777" w:rsidR="00866D65" w:rsidRPr="009305B8" w:rsidRDefault="00866D65" w:rsidP="00C57138">
            <w:pPr>
              <w:pStyle w:val="NoNumBold1"/>
              <w:spacing w:after="200"/>
              <w:jc w:val="left"/>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699E7136" w14:textId="77777777" w:rsidR="00866D65" w:rsidRPr="009305B8" w:rsidRDefault="00866D65" w:rsidP="00C57138">
            <w:pPr>
              <w:pStyle w:val="NoNumBold1"/>
              <w:spacing w:after="200"/>
              <w:jc w:val="left"/>
              <w:rPr>
                <w:rFonts w:ascii="Arial" w:hAnsi="Arial" w:cs="Arial"/>
                <w:sz w:val="18"/>
                <w:szCs w:val="18"/>
              </w:rPr>
            </w:pPr>
            <w:r w:rsidRPr="009305B8">
              <w:rPr>
                <w:rFonts w:ascii="Arial" w:hAnsi="Arial" w:cs="Arial"/>
                <w:sz w:val="18"/>
                <w:szCs w:val="18"/>
              </w:rPr>
              <w:t>Application, saving or transitional provisions</w:t>
            </w:r>
          </w:p>
        </w:tc>
      </w:tr>
      <w:tr w:rsidR="00866D65" w:rsidRPr="009305B8" w14:paraId="5186ECC3" w14:textId="77777777" w:rsidTr="00C57138">
        <w:trPr>
          <w:cantSplit/>
        </w:trPr>
        <w:tc>
          <w:tcPr>
            <w:tcW w:w="1333" w:type="dxa"/>
          </w:tcPr>
          <w:p w14:paraId="453F2A10" w14:textId="6B702A8E" w:rsidR="00866D65" w:rsidRPr="00971E50" w:rsidRDefault="00866D65" w:rsidP="00C57138">
            <w:pPr>
              <w:rPr>
                <w:rFonts w:ascii="Arial" w:hAnsi="Arial" w:cs="Arial"/>
                <w:sz w:val="18"/>
                <w:szCs w:val="18"/>
              </w:rPr>
            </w:pPr>
            <w:r>
              <w:rPr>
                <w:rFonts w:ascii="Arial" w:hAnsi="Arial" w:cs="Arial"/>
                <w:sz w:val="18"/>
                <w:szCs w:val="18"/>
              </w:rPr>
              <w:t xml:space="preserve">AASB </w:t>
            </w:r>
            <w:r>
              <w:rPr>
                <w:rFonts w:ascii="Arial" w:hAnsi="Arial" w:cs="Arial"/>
                <w:sz w:val="18"/>
                <w:szCs w:val="18"/>
              </w:rPr>
              <w:fldChar w:fldCharType="begin"/>
            </w:r>
            <w:r>
              <w:rPr>
                <w:rFonts w:ascii="Arial" w:hAnsi="Arial" w:cs="Arial"/>
                <w:sz w:val="18"/>
                <w:szCs w:val="18"/>
              </w:rPr>
              <w:instrText xml:space="preserve"> REF \* charformat DocNo  \* MERGEFORMAT </w:instrText>
            </w:r>
            <w:r>
              <w:rPr>
                <w:rFonts w:ascii="Arial" w:hAnsi="Arial" w:cs="Arial"/>
                <w:sz w:val="18"/>
                <w:szCs w:val="18"/>
              </w:rPr>
              <w:fldChar w:fldCharType="separate"/>
            </w:r>
            <w:r w:rsidR="00454A6B" w:rsidRPr="00454A6B">
              <w:rPr>
                <w:rFonts w:ascii="Arial" w:hAnsi="Arial" w:cs="Arial"/>
                <w:sz w:val="18"/>
                <w:szCs w:val="18"/>
              </w:rPr>
              <w:t>1060</w:t>
            </w:r>
            <w:r>
              <w:rPr>
                <w:rFonts w:ascii="Arial" w:hAnsi="Arial" w:cs="Arial"/>
                <w:sz w:val="18"/>
                <w:szCs w:val="18"/>
              </w:rPr>
              <w:fldChar w:fldCharType="end"/>
            </w:r>
          </w:p>
        </w:tc>
        <w:tc>
          <w:tcPr>
            <w:tcW w:w="1276" w:type="dxa"/>
          </w:tcPr>
          <w:p w14:paraId="233D731E" w14:textId="77777777" w:rsidR="00866D65" w:rsidRPr="00610BDF" w:rsidRDefault="00866D65" w:rsidP="00C57138">
            <w:pPr>
              <w:rPr>
                <w:rFonts w:ascii="Arial" w:hAnsi="Arial" w:cs="Arial"/>
                <w:sz w:val="18"/>
                <w:szCs w:val="18"/>
              </w:rPr>
            </w:pPr>
            <w:r>
              <w:rPr>
                <w:rFonts w:ascii="Arial" w:hAnsi="Arial" w:cs="Arial"/>
                <w:sz w:val="18"/>
                <w:szCs w:val="18"/>
              </w:rPr>
              <w:t>6 Mar 2020</w:t>
            </w:r>
          </w:p>
        </w:tc>
        <w:tc>
          <w:tcPr>
            <w:tcW w:w="1417" w:type="dxa"/>
          </w:tcPr>
          <w:p w14:paraId="07760E6F" w14:textId="1C83448D" w:rsidR="00866D65" w:rsidRPr="002C3869" w:rsidRDefault="00886737" w:rsidP="00C57138">
            <w:pPr>
              <w:rPr>
                <w:rFonts w:ascii="Arial" w:hAnsi="Arial" w:cs="Arial"/>
                <w:sz w:val="18"/>
                <w:szCs w:val="18"/>
                <w:highlight w:val="yellow"/>
              </w:rPr>
            </w:pPr>
            <w:r w:rsidRPr="00886737">
              <w:rPr>
                <w:rFonts w:ascii="Arial" w:hAnsi="Arial" w:cs="Arial"/>
                <w:sz w:val="18"/>
                <w:szCs w:val="18"/>
              </w:rPr>
              <w:t>F2020L00288</w:t>
            </w:r>
          </w:p>
        </w:tc>
        <w:tc>
          <w:tcPr>
            <w:tcW w:w="1276" w:type="dxa"/>
          </w:tcPr>
          <w:p w14:paraId="57146535" w14:textId="77777777" w:rsidR="00866D65" w:rsidRPr="00610BDF" w:rsidRDefault="00866D65" w:rsidP="00C57138">
            <w:pPr>
              <w:rPr>
                <w:rFonts w:ascii="Arial" w:hAnsi="Arial" w:cs="Arial"/>
                <w:sz w:val="18"/>
                <w:szCs w:val="18"/>
              </w:rPr>
            </w:pPr>
            <w:r>
              <w:rPr>
                <w:rFonts w:ascii="Arial" w:hAnsi="Arial" w:cs="Arial"/>
                <w:sz w:val="18"/>
                <w:szCs w:val="18"/>
              </w:rPr>
              <w:t>30 Jun 2021</w:t>
            </w:r>
          </w:p>
        </w:tc>
        <w:tc>
          <w:tcPr>
            <w:tcW w:w="2552" w:type="dxa"/>
          </w:tcPr>
          <w:p w14:paraId="447B7486" w14:textId="77777777" w:rsidR="00866D65" w:rsidRPr="00B54F23" w:rsidRDefault="00866D65" w:rsidP="00C57138">
            <w:pPr>
              <w:rPr>
                <w:rFonts w:ascii="Arial" w:hAnsi="Arial" w:cs="Arial"/>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w:t>
            </w:r>
            <w:r>
              <w:rPr>
                <w:rFonts w:ascii="Arial" w:hAnsi="Arial" w:cs="Arial"/>
                <w:color w:val="000000" w:themeColor="text1"/>
                <w:sz w:val="18"/>
                <w:szCs w:val="18"/>
              </w:rPr>
              <w:t>ul</w:t>
            </w:r>
            <w:r w:rsidRPr="00B54F23">
              <w:rPr>
                <w:rFonts w:ascii="Arial" w:hAnsi="Arial" w:cs="Arial"/>
                <w:color w:val="000000" w:themeColor="text1"/>
                <w:sz w:val="18"/>
                <w:szCs w:val="18"/>
              </w:rPr>
              <w:t xml:space="preserve"> 20</w:t>
            </w:r>
            <w:r>
              <w:rPr>
                <w:rFonts w:ascii="Arial" w:hAnsi="Arial" w:cs="Arial"/>
                <w:color w:val="000000" w:themeColor="text1"/>
                <w:sz w:val="18"/>
                <w:szCs w:val="18"/>
              </w:rPr>
              <w:t>21</w:t>
            </w:r>
          </w:p>
        </w:tc>
        <w:tc>
          <w:tcPr>
            <w:tcW w:w="1275" w:type="dxa"/>
          </w:tcPr>
          <w:p w14:paraId="4F322374" w14:textId="77777777" w:rsidR="00866D65" w:rsidRPr="00B54F23" w:rsidRDefault="00866D65" w:rsidP="00C57138">
            <w:pPr>
              <w:rPr>
                <w:rFonts w:ascii="Arial" w:hAnsi="Arial" w:cs="Arial"/>
                <w:color w:val="000000" w:themeColor="text1"/>
                <w:sz w:val="18"/>
                <w:szCs w:val="18"/>
              </w:rPr>
            </w:pPr>
            <w:r w:rsidRPr="00C62BD7">
              <w:rPr>
                <w:rFonts w:ascii="Arial" w:hAnsi="Arial" w:cs="Arial"/>
                <w:color w:val="000000" w:themeColor="text1"/>
                <w:sz w:val="18"/>
                <w:szCs w:val="18"/>
              </w:rPr>
              <w:t>see (a) below</w:t>
            </w:r>
          </w:p>
        </w:tc>
      </w:tr>
      <w:tr w:rsidR="00866D65" w:rsidRPr="009305B8" w14:paraId="09688062" w14:textId="77777777" w:rsidTr="00C57138">
        <w:trPr>
          <w:cantSplit/>
        </w:trPr>
        <w:tc>
          <w:tcPr>
            <w:tcW w:w="1333" w:type="dxa"/>
          </w:tcPr>
          <w:p w14:paraId="4035C397" w14:textId="77777777" w:rsidR="00866D65" w:rsidRPr="009305B8" w:rsidRDefault="00866D65" w:rsidP="00C57138">
            <w:pPr>
              <w:rPr>
                <w:rFonts w:ascii="Arial" w:hAnsi="Arial" w:cs="Arial"/>
                <w:sz w:val="18"/>
                <w:szCs w:val="18"/>
              </w:rPr>
            </w:pPr>
            <w:r w:rsidRPr="001B6655">
              <w:rPr>
                <w:rFonts w:ascii="Arial" w:hAnsi="Arial" w:cs="Arial"/>
                <w:sz w:val="18"/>
                <w:szCs w:val="18"/>
              </w:rPr>
              <w:t>AASB 2020-7</w:t>
            </w:r>
          </w:p>
        </w:tc>
        <w:tc>
          <w:tcPr>
            <w:tcW w:w="1276" w:type="dxa"/>
          </w:tcPr>
          <w:p w14:paraId="699D4E05" w14:textId="77777777" w:rsidR="00866D65" w:rsidRPr="00610BDF" w:rsidRDefault="00866D65" w:rsidP="00C57138">
            <w:pPr>
              <w:rPr>
                <w:rFonts w:ascii="Arial" w:hAnsi="Arial" w:cs="Arial"/>
                <w:sz w:val="18"/>
                <w:szCs w:val="18"/>
              </w:rPr>
            </w:pPr>
            <w:r>
              <w:rPr>
                <w:rFonts w:ascii="Arial" w:hAnsi="Arial" w:cs="Arial"/>
                <w:sz w:val="18"/>
                <w:szCs w:val="18"/>
              </w:rPr>
              <w:t>10 Aug 2020</w:t>
            </w:r>
          </w:p>
        </w:tc>
        <w:tc>
          <w:tcPr>
            <w:tcW w:w="1417" w:type="dxa"/>
          </w:tcPr>
          <w:p w14:paraId="52C711AC" w14:textId="77777777" w:rsidR="00866D65" w:rsidRPr="009305B8" w:rsidRDefault="00866D65" w:rsidP="00C57138">
            <w:pPr>
              <w:rPr>
                <w:rFonts w:ascii="Arial" w:hAnsi="Arial" w:cs="Arial"/>
                <w:sz w:val="18"/>
                <w:szCs w:val="18"/>
              </w:rPr>
            </w:pPr>
            <w:r w:rsidRPr="00FD3EAB">
              <w:rPr>
                <w:rFonts w:ascii="Arial" w:hAnsi="Arial" w:cs="Arial"/>
                <w:sz w:val="18"/>
                <w:szCs w:val="18"/>
              </w:rPr>
              <w:t>F2020L01050</w:t>
            </w:r>
          </w:p>
        </w:tc>
        <w:tc>
          <w:tcPr>
            <w:tcW w:w="1276" w:type="dxa"/>
          </w:tcPr>
          <w:p w14:paraId="39FDD6FD" w14:textId="77777777" w:rsidR="00866D65" w:rsidRPr="00610BDF" w:rsidRDefault="00866D65" w:rsidP="00C57138">
            <w:pPr>
              <w:rPr>
                <w:rFonts w:ascii="Arial" w:hAnsi="Arial" w:cs="Arial"/>
                <w:sz w:val="18"/>
                <w:szCs w:val="18"/>
              </w:rPr>
            </w:pPr>
            <w:r>
              <w:rPr>
                <w:rFonts w:ascii="Arial" w:hAnsi="Arial" w:cs="Arial"/>
                <w:sz w:val="18"/>
                <w:szCs w:val="18"/>
              </w:rPr>
              <w:t>30 Jun 2021</w:t>
            </w:r>
          </w:p>
        </w:tc>
        <w:tc>
          <w:tcPr>
            <w:tcW w:w="2552" w:type="dxa"/>
          </w:tcPr>
          <w:p w14:paraId="5A2D8A24" w14:textId="77777777" w:rsidR="00866D65" w:rsidRPr="00B54F23" w:rsidRDefault="00866D65" w:rsidP="00C57138">
            <w:pPr>
              <w:rPr>
                <w:rFonts w:ascii="Arial" w:hAnsi="Arial" w:cs="Arial"/>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w:t>
            </w:r>
            <w:r>
              <w:rPr>
                <w:rFonts w:ascii="Arial" w:hAnsi="Arial" w:cs="Arial"/>
                <w:color w:val="000000" w:themeColor="text1"/>
                <w:sz w:val="18"/>
                <w:szCs w:val="18"/>
              </w:rPr>
              <w:t>ul</w:t>
            </w:r>
            <w:r w:rsidRPr="00B54F23">
              <w:rPr>
                <w:rFonts w:ascii="Arial" w:hAnsi="Arial" w:cs="Arial"/>
                <w:color w:val="000000" w:themeColor="text1"/>
                <w:sz w:val="18"/>
                <w:szCs w:val="18"/>
              </w:rPr>
              <w:t xml:space="preserve"> 20</w:t>
            </w:r>
            <w:r>
              <w:rPr>
                <w:rFonts w:ascii="Arial" w:hAnsi="Arial" w:cs="Arial"/>
                <w:color w:val="000000" w:themeColor="text1"/>
                <w:sz w:val="18"/>
                <w:szCs w:val="18"/>
              </w:rPr>
              <w:t>21</w:t>
            </w:r>
            <w:r w:rsidRPr="00B54F23" w:rsidDel="002716AC">
              <w:rPr>
                <w:rFonts w:ascii="Arial" w:hAnsi="Arial" w:cs="Arial"/>
                <w:i/>
                <w:color w:val="000000" w:themeColor="text1"/>
                <w:sz w:val="18"/>
                <w:szCs w:val="18"/>
              </w:rPr>
              <w:t xml:space="preserve"> </w:t>
            </w:r>
          </w:p>
        </w:tc>
        <w:tc>
          <w:tcPr>
            <w:tcW w:w="1275" w:type="dxa"/>
          </w:tcPr>
          <w:p w14:paraId="201965F1" w14:textId="77777777" w:rsidR="00866D65" w:rsidRPr="00B54F23" w:rsidRDefault="00866D65" w:rsidP="00C57138">
            <w:pPr>
              <w:rPr>
                <w:rFonts w:ascii="Arial" w:hAnsi="Arial" w:cs="Arial"/>
                <w:color w:val="000000" w:themeColor="text1"/>
                <w:sz w:val="18"/>
                <w:szCs w:val="18"/>
              </w:rPr>
            </w:pPr>
            <w:r>
              <w:rPr>
                <w:rFonts w:ascii="Arial" w:hAnsi="Arial" w:cs="Arial"/>
                <w:color w:val="000000" w:themeColor="text1"/>
                <w:sz w:val="18"/>
                <w:szCs w:val="18"/>
              </w:rPr>
              <w:t>see (b) below</w:t>
            </w:r>
          </w:p>
        </w:tc>
      </w:tr>
      <w:tr w:rsidR="00866D65" w:rsidRPr="009305B8" w14:paraId="0ECA24AD" w14:textId="77777777" w:rsidTr="00C57138">
        <w:trPr>
          <w:cantSplit/>
        </w:trPr>
        <w:tc>
          <w:tcPr>
            <w:tcW w:w="1333" w:type="dxa"/>
          </w:tcPr>
          <w:p w14:paraId="0911DB10" w14:textId="77777777" w:rsidR="00866D65" w:rsidRDefault="00866D65" w:rsidP="00C57138">
            <w:pPr>
              <w:rPr>
                <w:rFonts w:ascii="Arial" w:hAnsi="Arial" w:cs="Arial"/>
                <w:sz w:val="18"/>
                <w:szCs w:val="18"/>
              </w:rPr>
            </w:pPr>
            <w:r w:rsidRPr="003800C3">
              <w:rPr>
                <w:rFonts w:ascii="Arial" w:hAnsi="Arial" w:cs="Arial"/>
                <w:sz w:val="18"/>
                <w:szCs w:val="18"/>
              </w:rPr>
              <w:t>AASB 2020-9</w:t>
            </w:r>
          </w:p>
        </w:tc>
        <w:tc>
          <w:tcPr>
            <w:tcW w:w="1276" w:type="dxa"/>
          </w:tcPr>
          <w:p w14:paraId="0D0DB5C7" w14:textId="77777777" w:rsidR="00866D65" w:rsidRDefault="00866D65" w:rsidP="00C57138">
            <w:pPr>
              <w:rPr>
                <w:rFonts w:ascii="Arial" w:hAnsi="Arial" w:cs="Arial"/>
                <w:sz w:val="18"/>
                <w:szCs w:val="18"/>
              </w:rPr>
            </w:pPr>
            <w:r>
              <w:rPr>
                <w:rFonts w:ascii="Arial" w:hAnsi="Arial" w:cs="Arial"/>
                <w:sz w:val="18"/>
                <w:szCs w:val="18"/>
              </w:rPr>
              <w:t>7 Dec 2020</w:t>
            </w:r>
          </w:p>
        </w:tc>
        <w:tc>
          <w:tcPr>
            <w:tcW w:w="1417" w:type="dxa"/>
          </w:tcPr>
          <w:p w14:paraId="62035946" w14:textId="77777777" w:rsidR="00866D65" w:rsidRPr="00114E1B" w:rsidRDefault="00866D65" w:rsidP="00C57138">
            <w:pPr>
              <w:rPr>
                <w:rFonts w:ascii="Arial" w:hAnsi="Arial" w:cs="Arial"/>
                <w:sz w:val="18"/>
                <w:szCs w:val="18"/>
              </w:rPr>
            </w:pPr>
            <w:r w:rsidRPr="004E705F">
              <w:rPr>
                <w:rFonts w:ascii="Arial" w:hAnsi="Arial" w:cs="Arial"/>
                <w:sz w:val="18"/>
                <w:szCs w:val="18"/>
              </w:rPr>
              <w:t>F2020L01646</w:t>
            </w:r>
          </w:p>
        </w:tc>
        <w:tc>
          <w:tcPr>
            <w:tcW w:w="1276" w:type="dxa"/>
          </w:tcPr>
          <w:p w14:paraId="3584C54C" w14:textId="77777777" w:rsidR="00866D65" w:rsidRDefault="00866D65" w:rsidP="00C57138">
            <w:pPr>
              <w:rPr>
                <w:rFonts w:ascii="Arial" w:hAnsi="Arial" w:cs="Arial"/>
                <w:sz w:val="18"/>
                <w:szCs w:val="18"/>
              </w:rPr>
            </w:pPr>
            <w:r>
              <w:rPr>
                <w:rFonts w:ascii="Arial" w:hAnsi="Arial" w:cs="Arial"/>
                <w:sz w:val="18"/>
                <w:szCs w:val="18"/>
              </w:rPr>
              <w:t>30 Jun 2021</w:t>
            </w:r>
          </w:p>
        </w:tc>
        <w:tc>
          <w:tcPr>
            <w:tcW w:w="2552" w:type="dxa"/>
          </w:tcPr>
          <w:p w14:paraId="4191B98B" w14:textId="77777777" w:rsidR="00866D65" w:rsidRPr="00B54F23" w:rsidRDefault="00866D65" w:rsidP="00C57138">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w:t>
            </w:r>
            <w:r>
              <w:rPr>
                <w:rFonts w:ascii="Arial" w:hAnsi="Arial" w:cs="Arial"/>
                <w:color w:val="000000" w:themeColor="text1"/>
                <w:sz w:val="18"/>
                <w:szCs w:val="18"/>
              </w:rPr>
              <w:t>ul</w:t>
            </w:r>
            <w:r w:rsidRPr="00B54F23">
              <w:rPr>
                <w:rFonts w:ascii="Arial" w:hAnsi="Arial" w:cs="Arial"/>
                <w:color w:val="000000" w:themeColor="text1"/>
                <w:sz w:val="18"/>
                <w:szCs w:val="18"/>
              </w:rPr>
              <w:t xml:space="preserve"> 20</w:t>
            </w:r>
            <w:r>
              <w:rPr>
                <w:rFonts w:ascii="Arial" w:hAnsi="Arial" w:cs="Arial"/>
                <w:color w:val="000000" w:themeColor="text1"/>
                <w:sz w:val="18"/>
                <w:szCs w:val="18"/>
              </w:rPr>
              <w:t>21</w:t>
            </w:r>
          </w:p>
        </w:tc>
        <w:tc>
          <w:tcPr>
            <w:tcW w:w="1275" w:type="dxa"/>
          </w:tcPr>
          <w:p w14:paraId="0E87E789" w14:textId="77336F7A" w:rsidR="00866D65" w:rsidRPr="00B54F23" w:rsidRDefault="00866D65" w:rsidP="00C57138">
            <w:pPr>
              <w:rPr>
                <w:rFonts w:ascii="Arial" w:hAnsi="Arial" w:cs="Arial"/>
                <w:color w:val="000000" w:themeColor="text1"/>
                <w:sz w:val="18"/>
                <w:szCs w:val="18"/>
              </w:rPr>
            </w:pPr>
            <w:r>
              <w:rPr>
                <w:rFonts w:ascii="Arial" w:hAnsi="Arial" w:cs="Arial"/>
                <w:color w:val="000000" w:themeColor="text1"/>
                <w:sz w:val="18"/>
                <w:szCs w:val="18"/>
              </w:rPr>
              <w:t>see (</w:t>
            </w:r>
            <w:r w:rsidR="00D21D27">
              <w:rPr>
                <w:rFonts w:ascii="Arial" w:hAnsi="Arial" w:cs="Arial"/>
                <w:color w:val="000000" w:themeColor="text1"/>
                <w:sz w:val="18"/>
                <w:szCs w:val="18"/>
              </w:rPr>
              <w:t>a</w:t>
            </w:r>
            <w:r>
              <w:rPr>
                <w:rFonts w:ascii="Arial" w:hAnsi="Arial" w:cs="Arial"/>
                <w:color w:val="000000" w:themeColor="text1"/>
                <w:sz w:val="18"/>
                <w:szCs w:val="18"/>
              </w:rPr>
              <w:t>) below</w:t>
            </w:r>
          </w:p>
        </w:tc>
      </w:tr>
      <w:tr w:rsidR="00866D65" w:rsidRPr="009305B8" w14:paraId="00899231" w14:textId="77777777" w:rsidTr="00C57138">
        <w:trPr>
          <w:cantSplit/>
        </w:trPr>
        <w:tc>
          <w:tcPr>
            <w:tcW w:w="1333" w:type="dxa"/>
          </w:tcPr>
          <w:p w14:paraId="7BEDB345" w14:textId="77777777" w:rsidR="00866D65" w:rsidRDefault="00866D65" w:rsidP="00C57138">
            <w:pPr>
              <w:rPr>
                <w:rFonts w:ascii="Arial" w:hAnsi="Arial" w:cs="Arial"/>
                <w:sz w:val="18"/>
                <w:szCs w:val="18"/>
              </w:rPr>
            </w:pPr>
            <w:r w:rsidRPr="003800C3">
              <w:rPr>
                <w:rFonts w:ascii="Arial" w:hAnsi="Arial" w:cs="Arial"/>
                <w:sz w:val="18"/>
                <w:szCs w:val="18"/>
              </w:rPr>
              <w:t>AASB 2021-1</w:t>
            </w:r>
          </w:p>
        </w:tc>
        <w:tc>
          <w:tcPr>
            <w:tcW w:w="1276" w:type="dxa"/>
          </w:tcPr>
          <w:p w14:paraId="690367A2" w14:textId="77777777" w:rsidR="00866D65" w:rsidRDefault="00866D65" w:rsidP="00C57138">
            <w:pPr>
              <w:rPr>
                <w:rFonts w:ascii="Arial" w:hAnsi="Arial" w:cs="Arial"/>
                <w:sz w:val="18"/>
                <w:szCs w:val="18"/>
              </w:rPr>
            </w:pPr>
            <w:r>
              <w:rPr>
                <w:rFonts w:ascii="Arial" w:hAnsi="Arial" w:cs="Arial"/>
                <w:sz w:val="18"/>
                <w:szCs w:val="18"/>
              </w:rPr>
              <w:t>29 Mar 2021</w:t>
            </w:r>
          </w:p>
        </w:tc>
        <w:tc>
          <w:tcPr>
            <w:tcW w:w="1417" w:type="dxa"/>
          </w:tcPr>
          <w:p w14:paraId="42AB9E93" w14:textId="77777777" w:rsidR="00866D65" w:rsidRDefault="00866D65" w:rsidP="00C57138">
            <w:pPr>
              <w:rPr>
                <w:rFonts w:ascii="Arial" w:hAnsi="Arial" w:cs="Arial"/>
                <w:sz w:val="18"/>
                <w:szCs w:val="18"/>
              </w:rPr>
            </w:pPr>
            <w:r w:rsidRPr="008C0909">
              <w:rPr>
                <w:rFonts w:ascii="Arial" w:hAnsi="Arial" w:cs="Arial"/>
                <w:sz w:val="18"/>
                <w:szCs w:val="18"/>
              </w:rPr>
              <w:t>F2021L00469</w:t>
            </w:r>
          </w:p>
        </w:tc>
        <w:tc>
          <w:tcPr>
            <w:tcW w:w="1276" w:type="dxa"/>
          </w:tcPr>
          <w:p w14:paraId="4CEF3662" w14:textId="77777777" w:rsidR="00866D65" w:rsidRDefault="00866D65" w:rsidP="00C57138">
            <w:pPr>
              <w:rPr>
                <w:rFonts w:ascii="Arial" w:hAnsi="Arial" w:cs="Arial"/>
                <w:sz w:val="18"/>
                <w:szCs w:val="18"/>
              </w:rPr>
            </w:pPr>
            <w:r>
              <w:rPr>
                <w:rFonts w:ascii="Arial" w:hAnsi="Arial" w:cs="Arial"/>
                <w:sz w:val="18"/>
                <w:szCs w:val="18"/>
              </w:rPr>
              <w:t>30 Jun 2021</w:t>
            </w:r>
          </w:p>
        </w:tc>
        <w:tc>
          <w:tcPr>
            <w:tcW w:w="2552" w:type="dxa"/>
          </w:tcPr>
          <w:p w14:paraId="1006244C" w14:textId="77777777" w:rsidR="00866D65" w:rsidRPr="00B54F23" w:rsidRDefault="00866D65" w:rsidP="00C57138">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w:t>
            </w:r>
            <w:r>
              <w:rPr>
                <w:rFonts w:ascii="Arial" w:hAnsi="Arial" w:cs="Arial"/>
                <w:color w:val="000000" w:themeColor="text1"/>
                <w:sz w:val="18"/>
                <w:szCs w:val="18"/>
              </w:rPr>
              <w:t>ul</w:t>
            </w:r>
            <w:r w:rsidRPr="00B54F23">
              <w:rPr>
                <w:rFonts w:ascii="Arial" w:hAnsi="Arial" w:cs="Arial"/>
                <w:color w:val="000000" w:themeColor="text1"/>
                <w:sz w:val="18"/>
                <w:szCs w:val="18"/>
              </w:rPr>
              <w:t xml:space="preserve"> 20</w:t>
            </w:r>
            <w:r>
              <w:rPr>
                <w:rFonts w:ascii="Arial" w:hAnsi="Arial" w:cs="Arial"/>
                <w:color w:val="000000" w:themeColor="text1"/>
                <w:sz w:val="18"/>
                <w:szCs w:val="18"/>
              </w:rPr>
              <w:t>21</w:t>
            </w:r>
          </w:p>
        </w:tc>
        <w:tc>
          <w:tcPr>
            <w:tcW w:w="1275" w:type="dxa"/>
          </w:tcPr>
          <w:p w14:paraId="56AB3127" w14:textId="7CF04513" w:rsidR="00866D65" w:rsidRDefault="00866D65" w:rsidP="00C57138">
            <w:pPr>
              <w:rPr>
                <w:rFonts w:ascii="Arial" w:hAnsi="Arial" w:cs="Arial"/>
                <w:color w:val="000000" w:themeColor="text1"/>
                <w:sz w:val="18"/>
                <w:szCs w:val="18"/>
              </w:rPr>
            </w:pPr>
            <w:r>
              <w:rPr>
                <w:rFonts w:ascii="Arial" w:hAnsi="Arial" w:cs="Arial"/>
                <w:color w:val="000000" w:themeColor="text1"/>
                <w:sz w:val="18"/>
                <w:szCs w:val="18"/>
              </w:rPr>
              <w:t>see (</w:t>
            </w:r>
            <w:r w:rsidR="00D21D27">
              <w:rPr>
                <w:rFonts w:ascii="Arial" w:hAnsi="Arial" w:cs="Arial"/>
                <w:color w:val="000000" w:themeColor="text1"/>
                <w:sz w:val="18"/>
                <w:szCs w:val="18"/>
              </w:rPr>
              <w:t>c</w:t>
            </w:r>
            <w:r>
              <w:rPr>
                <w:rFonts w:ascii="Arial" w:hAnsi="Arial" w:cs="Arial"/>
                <w:color w:val="000000" w:themeColor="text1"/>
                <w:sz w:val="18"/>
                <w:szCs w:val="18"/>
              </w:rPr>
              <w:t>) below</w:t>
            </w:r>
          </w:p>
        </w:tc>
      </w:tr>
    </w:tbl>
    <w:p w14:paraId="38BA204B" w14:textId="4DDA4C6C" w:rsidR="00866D65" w:rsidRPr="007F4957" w:rsidRDefault="00866D65" w:rsidP="00A72ED9">
      <w:pPr>
        <w:pStyle w:val="NumPlain1"/>
        <w:spacing w:before="240" w:after="60"/>
        <w:ind w:left="510" w:hanging="510"/>
        <w:rPr>
          <w:sz w:val="16"/>
          <w:szCs w:val="16"/>
          <w:lang w:eastAsia="en-AU"/>
        </w:rPr>
      </w:pPr>
      <w:r w:rsidRPr="007F4957">
        <w:rPr>
          <w:sz w:val="16"/>
          <w:szCs w:val="16"/>
        </w:rPr>
        <w:t>(a)</w:t>
      </w:r>
      <w:r w:rsidRPr="007F4957">
        <w:rPr>
          <w:sz w:val="16"/>
          <w:szCs w:val="16"/>
        </w:rPr>
        <w:tab/>
        <w:t xml:space="preserve">Entities may elect to apply this Standard to annual periods beginning </w:t>
      </w:r>
      <w:r w:rsidRPr="001E1427">
        <w:rPr>
          <w:sz w:val="16"/>
          <w:szCs w:val="16"/>
        </w:rPr>
        <w:t>before 1 J</w:t>
      </w:r>
      <w:r w:rsidR="006A4571" w:rsidRPr="001E1427">
        <w:rPr>
          <w:sz w:val="16"/>
          <w:szCs w:val="16"/>
        </w:rPr>
        <w:t>ul</w:t>
      </w:r>
      <w:r w:rsidRPr="001E1427">
        <w:rPr>
          <w:sz w:val="16"/>
          <w:szCs w:val="16"/>
        </w:rPr>
        <w:t>y 202</w:t>
      </w:r>
      <w:r w:rsidR="00CB2D2E" w:rsidRPr="001E1427">
        <w:rPr>
          <w:sz w:val="16"/>
          <w:szCs w:val="16"/>
        </w:rPr>
        <w:t>1</w:t>
      </w:r>
      <w:r w:rsidRPr="001E1427">
        <w:rPr>
          <w:sz w:val="16"/>
          <w:szCs w:val="16"/>
          <w:lang w:eastAsia="en-AU"/>
        </w:rPr>
        <w:t>.</w:t>
      </w:r>
    </w:p>
    <w:p w14:paraId="5775A374" w14:textId="3B6C9F03" w:rsidR="00866D65" w:rsidRPr="007F4957" w:rsidRDefault="00866D65" w:rsidP="00A72ED9">
      <w:pPr>
        <w:pStyle w:val="NumPlain1"/>
        <w:numPr>
          <w:ilvl w:val="0"/>
          <w:numId w:val="43"/>
        </w:numPr>
        <w:spacing w:after="60"/>
        <w:ind w:left="510" w:hanging="510"/>
        <w:rPr>
          <w:sz w:val="16"/>
          <w:szCs w:val="16"/>
          <w:lang w:eastAsia="en-AU"/>
        </w:rPr>
      </w:pPr>
      <w:r w:rsidRPr="007F4957">
        <w:rPr>
          <w:sz w:val="16"/>
          <w:szCs w:val="16"/>
          <w:lang w:eastAsia="en-AU"/>
        </w:rPr>
        <w:t xml:space="preserve">Entities are required to apply this Standard to annual periods beginning before 1 July 2021 if the entity is applying AASB 1060 and AASB 2020-4 </w:t>
      </w:r>
      <w:r w:rsidRPr="007F4957">
        <w:rPr>
          <w:i/>
          <w:iCs/>
          <w:sz w:val="16"/>
          <w:szCs w:val="16"/>
          <w:lang w:eastAsia="en-AU"/>
        </w:rPr>
        <w:t>Amendments to Australian Accounting Standards – Covid-19-Related Rent Concessions</w:t>
      </w:r>
      <w:r w:rsidRPr="007F4957">
        <w:rPr>
          <w:sz w:val="16"/>
          <w:szCs w:val="16"/>
          <w:lang w:eastAsia="en-AU"/>
        </w:rPr>
        <w:t xml:space="preserve"> to the period.</w:t>
      </w:r>
    </w:p>
    <w:p w14:paraId="167DF802" w14:textId="7F5E12F8" w:rsidR="00866D65" w:rsidRPr="007F4957" w:rsidRDefault="00866D65" w:rsidP="00A72ED9">
      <w:pPr>
        <w:pStyle w:val="NumPlain1"/>
        <w:numPr>
          <w:ilvl w:val="0"/>
          <w:numId w:val="43"/>
        </w:numPr>
        <w:spacing w:after="60"/>
        <w:ind w:left="510" w:hanging="510"/>
        <w:rPr>
          <w:sz w:val="16"/>
          <w:szCs w:val="16"/>
          <w:lang w:eastAsia="en-AU"/>
        </w:rPr>
      </w:pPr>
      <w:r w:rsidRPr="007F4957">
        <w:rPr>
          <w:sz w:val="16"/>
          <w:szCs w:val="16"/>
        </w:rPr>
        <w:t>Entities may elect to apply this Standard to annual periods beginning before 1 July 2021</w:t>
      </w:r>
      <w:r w:rsidR="003562EE">
        <w:rPr>
          <w:sz w:val="16"/>
          <w:szCs w:val="16"/>
        </w:rPr>
        <w:t>,</w:t>
      </w:r>
      <w:r w:rsidRPr="007F4957">
        <w:rPr>
          <w:sz w:val="16"/>
          <w:szCs w:val="16"/>
        </w:rPr>
        <w:t xml:space="preserve"> provided that AASB 1060 is also applied to the same period.</w:t>
      </w:r>
    </w:p>
    <w:p w14:paraId="79A0332C" w14:textId="6536B442" w:rsidR="00866D65" w:rsidRPr="000D35D8" w:rsidRDefault="00866D65" w:rsidP="00866D65">
      <w:pPr>
        <w:pStyle w:val="IASBSectionTitle2NonInd"/>
      </w:pPr>
      <w:r w:rsidRPr="00B663AC">
        <w:t xml:space="preserve">Table of </w:t>
      </w:r>
      <w:r>
        <w:t>a</w:t>
      </w:r>
      <w:r w:rsidRPr="00B663AC">
        <w:t>mendments</w:t>
      </w:r>
      <w:r w:rsidR="003562EE">
        <w:t xml:space="preserve"> to Standard</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866D65" w:rsidRPr="00B54F23" w14:paraId="0500ADC6" w14:textId="77777777" w:rsidTr="00C57138">
        <w:trPr>
          <w:tblHeader/>
        </w:trPr>
        <w:tc>
          <w:tcPr>
            <w:tcW w:w="3005" w:type="dxa"/>
          </w:tcPr>
          <w:p w14:paraId="11D82602" w14:textId="77777777"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Paragraph affected</w:t>
            </w:r>
          </w:p>
        </w:tc>
        <w:tc>
          <w:tcPr>
            <w:tcW w:w="2835" w:type="dxa"/>
          </w:tcPr>
          <w:p w14:paraId="2C36DA7E" w14:textId="77777777"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How affected</w:t>
            </w:r>
          </w:p>
        </w:tc>
        <w:tc>
          <w:tcPr>
            <w:tcW w:w="3289" w:type="dxa"/>
          </w:tcPr>
          <w:p w14:paraId="4F68DD5A" w14:textId="7007CFD6"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By … [paragraph]</w:t>
            </w:r>
          </w:p>
        </w:tc>
      </w:tr>
      <w:tr w:rsidR="00866D65" w:rsidRPr="00B54F23" w14:paraId="6F0684A7" w14:textId="77777777" w:rsidTr="00C57138">
        <w:tc>
          <w:tcPr>
            <w:tcW w:w="3005" w:type="dxa"/>
          </w:tcPr>
          <w:p w14:paraId="061743E0" w14:textId="77777777" w:rsidR="00866D65" w:rsidRDefault="00866D65" w:rsidP="00C57138">
            <w:pPr>
              <w:ind w:left="142" w:hanging="142"/>
              <w:rPr>
                <w:rFonts w:ascii="Arial" w:hAnsi="Arial" w:cs="Arial"/>
                <w:sz w:val="18"/>
                <w:szCs w:val="18"/>
              </w:rPr>
            </w:pPr>
            <w:r>
              <w:rPr>
                <w:rFonts w:ascii="Arial" w:hAnsi="Arial" w:cs="Arial"/>
                <w:sz w:val="18"/>
                <w:szCs w:val="18"/>
              </w:rPr>
              <w:t>107A</w:t>
            </w:r>
          </w:p>
        </w:tc>
        <w:tc>
          <w:tcPr>
            <w:tcW w:w="2835" w:type="dxa"/>
          </w:tcPr>
          <w:p w14:paraId="45938BAB" w14:textId="77777777" w:rsidR="00866D65" w:rsidRDefault="00866D65" w:rsidP="00C57138">
            <w:pPr>
              <w:rPr>
                <w:rFonts w:ascii="Arial" w:hAnsi="Arial" w:cs="Arial"/>
                <w:sz w:val="18"/>
                <w:szCs w:val="18"/>
              </w:rPr>
            </w:pPr>
            <w:r>
              <w:rPr>
                <w:rFonts w:ascii="Arial" w:hAnsi="Arial" w:cs="Arial"/>
                <w:sz w:val="18"/>
                <w:szCs w:val="18"/>
              </w:rPr>
              <w:t>added</w:t>
            </w:r>
          </w:p>
        </w:tc>
        <w:tc>
          <w:tcPr>
            <w:tcW w:w="3289" w:type="dxa"/>
          </w:tcPr>
          <w:p w14:paraId="4861E7CD" w14:textId="3D3331BC" w:rsidR="00866D65" w:rsidRDefault="00866D65" w:rsidP="00C57138">
            <w:pPr>
              <w:rPr>
                <w:rFonts w:ascii="Arial" w:hAnsi="Arial" w:cs="Arial"/>
                <w:sz w:val="18"/>
                <w:szCs w:val="18"/>
              </w:rPr>
            </w:pPr>
            <w:r>
              <w:rPr>
                <w:rFonts w:ascii="Arial" w:hAnsi="Arial" w:cs="Arial"/>
                <w:sz w:val="18"/>
                <w:szCs w:val="18"/>
              </w:rPr>
              <w:t>AASB 2020-9 [5]</w:t>
            </w:r>
          </w:p>
        </w:tc>
      </w:tr>
      <w:tr w:rsidR="00866D65" w:rsidRPr="00B54F23" w14:paraId="3C9E3F2C" w14:textId="77777777" w:rsidTr="00C57138">
        <w:tc>
          <w:tcPr>
            <w:tcW w:w="3005" w:type="dxa"/>
          </w:tcPr>
          <w:p w14:paraId="681BEB0F" w14:textId="77777777" w:rsidR="00866D65" w:rsidRDefault="00866D65" w:rsidP="00C57138">
            <w:pPr>
              <w:ind w:left="142" w:hanging="142"/>
              <w:rPr>
                <w:rFonts w:ascii="Arial" w:hAnsi="Arial" w:cs="Arial"/>
                <w:sz w:val="18"/>
                <w:szCs w:val="18"/>
              </w:rPr>
            </w:pPr>
            <w:r>
              <w:rPr>
                <w:rFonts w:ascii="Arial" w:hAnsi="Arial" w:cs="Arial"/>
                <w:sz w:val="18"/>
                <w:szCs w:val="18"/>
              </w:rPr>
              <w:t>130</w:t>
            </w:r>
          </w:p>
        </w:tc>
        <w:tc>
          <w:tcPr>
            <w:tcW w:w="2835" w:type="dxa"/>
          </w:tcPr>
          <w:p w14:paraId="121589F9" w14:textId="77777777" w:rsidR="00866D65" w:rsidRDefault="00866D65" w:rsidP="00C57138">
            <w:pPr>
              <w:rPr>
                <w:rFonts w:ascii="Arial" w:hAnsi="Arial" w:cs="Arial"/>
                <w:sz w:val="18"/>
                <w:szCs w:val="18"/>
              </w:rPr>
            </w:pPr>
            <w:r>
              <w:rPr>
                <w:rFonts w:ascii="Arial" w:hAnsi="Arial" w:cs="Arial"/>
                <w:sz w:val="18"/>
                <w:szCs w:val="18"/>
              </w:rPr>
              <w:t>amended</w:t>
            </w:r>
          </w:p>
        </w:tc>
        <w:tc>
          <w:tcPr>
            <w:tcW w:w="3289" w:type="dxa"/>
          </w:tcPr>
          <w:p w14:paraId="5F5AE208" w14:textId="2E62D6CA" w:rsidR="00866D65" w:rsidRDefault="00866D65" w:rsidP="00C57138">
            <w:pPr>
              <w:rPr>
                <w:rFonts w:ascii="Arial" w:hAnsi="Arial" w:cs="Arial"/>
                <w:sz w:val="18"/>
                <w:szCs w:val="18"/>
              </w:rPr>
            </w:pPr>
            <w:r>
              <w:rPr>
                <w:rFonts w:ascii="Arial" w:hAnsi="Arial" w:cs="Arial"/>
                <w:sz w:val="18"/>
                <w:szCs w:val="18"/>
              </w:rPr>
              <w:t>AASB 2020-9 [</w:t>
            </w:r>
            <w:r w:rsidR="007D006E">
              <w:rPr>
                <w:rFonts w:ascii="Arial" w:hAnsi="Arial" w:cs="Arial"/>
                <w:sz w:val="18"/>
                <w:szCs w:val="18"/>
              </w:rPr>
              <w:t>6</w:t>
            </w:r>
            <w:r>
              <w:rPr>
                <w:rFonts w:ascii="Arial" w:hAnsi="Arial" w:cs="Arial"/>
                <w:sz w:val="18"/>
                <w:szCs w:val="18"/>
              </w:rPr>
              <w:t>]</w:t>
            </w:r>
          </w:p>
        </w:tc>
      </w:tr>
      <w:tr w:rsidR="00866D65" w:rsidRPr="00B54F23" w14:paraId="2867B341" w14:textId="77777777" w:rsidTr="00C57138">
        <w:tc>
          <w:tcPr>
            <w:tcW w:w="3005" w:type="dxa"/>
          </w:tcPr>
          <w:p w14:paraId="1DEA54E7" w14:textId="77777777" w:rsidR="00866D65" w:rsidRPr="00B54F23" w:rsidRDefault="00866D65" w:rsidP="00C57138">
            <w:pPr>
              <w:ind w:left="142" w:hanging="142"/>
              <w:rPr>
                <w:rFonts w:ascii="Arial" w:hAnsi="Arial" w:cs="Arial"/>
                <w:sz w:val="18"/>
                <w:szCs w:val="18"/>
              </w:rPr>
            </w:pPr>
            <w:r>
              <w:rPr>
                <w:rFonts w:ascii="Arial" w:hAnsi="Arial" w:cs="Arial"/>
                <w:sz w:val="18"/>
                <w:szCs w:val="18"/>
              </w:rPr>
              <w:t>146A</w:t>
            </w:r>
          </w:p>
        </w:tc>
        <w:tc>
          <w:tcPr>
            <w:tcW w:w="2835" w:type="dxa"/>
          </w:tcPr>
          <w:p w14:paraId="41C7D432" w14:textId="77777777" w:rsidR="00866D65" w:rsidRDefault="00866D65" w:rsidP="00C57138">
            <w:pPr>
              <w:rPr>
                <w:rFonts w:ascii="Arial" w:hAnsi="Arial" w:cs="Arial"/>
                <w:sz w:val="18"/>
                <w:szCs w:val="18"/>
              </w:rPr>
            </w:pPr>
            <w:r>
              <w:rPr>
                <w:rFonts w:ascii="Arial" w:hAnsi="Arial" w:cs="Arial"/>
                <w:sz w:val="18"/>
                <w:szCs w:val="18"/>
              </w:rPr>
              <w:t>added</w:t>
            </w:r>
          </w:p>
          <w:p w14:paraId="2A24576F" w14:textId="77777777" w:rsidR="00866D65" w:rsidRPr="00B54F23" w:rsidRDefault="00866D65" w:rsidP="00C57138">
            <w:pPr>
              <w:rPr>
                <w:rFonts w:ascii="Arial" w:hAnsi="Arial" w:cs="Arial"/>
                <w:sz w:val="18"/>
                <w:szCs w:val="18"/>
              </w:rPr>
            </w:pPr>
            <w:r>
              <w:rPr>
                <w:rFonts w:ascii="Arial" w:hAnsi="Arial" w:cs="Arial"/>
                <w:sz w:val="18"/>
                <w:szCs w:val="18"/>
              </w:rPr>
              <w:t>amended</w:t>
            </w:r>
          </w:p>
        </w:tc>
        <w:tc>
          <w:tcPr>
            <w:tcW w:w="3289" w:type="dxa"/>
          </w:tcPr>
          <w:p w14:paraId="4F3B0BEC" w14:textId="77777777" w:rsidR="00866D65" w:rsidRDefault="00866D65" w:rsidP="00C57138">
            <w:pPr>
              <w:rPr>
                <w:rFonts w:ascii="Arial" w:hAnsi="Arial" w:cs="Arial"/>
                <w:sz w:val="18"/>
                <w:szCs w:val="18"/>
              </w:rPr>
            </w:pPr>
            <w:r w:rsidRPr="001944A0">
              <w:rPr>
                <w:rFonts w:ascii="Arial" w:hAnsi="Arial" w:cs="Arial"/>
                <w:sz w:val="18"/>
                <w:szCs w:val="18"/>
              </w:rPr>
              <w:t>AASB 2020-7 [6]</w:t>
            </w:r>
          </w:p>
          <w:p w14:paraId="27454B55" w14:textId="6B6ADEFB" w:rsidR="00866D65" w:rsidRPr="00B54F23" w:rsidRDefault="00866D65" w:rsidP="00C57138">
            <w:pPr>
              <w:rPr>
                <w:rFonts w:ascii="Arial" w:hAnsi="Arial" w:cs="Arial"/>
                <w:sz w:val="18"/>
                <w:szCs w:val="18"/>
              </w:rPr>
            </w:pPr>
            <w:r>
              <w:rPr>
                <w:rFonts w:ascii="Arial" w:hAnsi="Arial" w:cs="Arial"/>
                <w:sz w:val="18"/>
                <w:szCs w:val="18"/>
              </w:rPr>
              <w:t>AASB 2020-9 [6]</w:t>
            </w:r>
          </w:p>
        </w:tc>
      </w:tr>
      <w:tr w:rsidR="00866D65" w:rsidRPr="00B54F23" w14:paraId="4E13D42E" w14:textId="77777777" w:rsidTr="00C57138">
        <w:tc>
          <w:tcPr>
            <w:tcW w:w="3005" w:type="dxa"/>
          </w:tcPr>
          <w:p w14:paraId="2D548102" w14:textId="77777777" w:rsidR="00866D65" w:rsidRDefault="00866D65" w:rsidP="00C57138">
            <w:pPr>
              <w:ind w:left="142" w:hanging="142"/>
              <w:rPr>
                <w:rFonts w:ascii="Arial" w:hAnsi="Arial" w:cs="Arial"/>
                <w:sz w:val="18"/>
                <w:szCs w:val="18"/>
              </w:rPr>
            </w:pPr>
            <w:r>
              <w:rPr>
                <w:rFonts w:ascii="Arial" w:hAnsi="Arial" w:cs="Arial"/>
                <w:sz w:val="18"/>
                <w:szCs w:val="18"/>
              </w:rPr>
              <w:t>214</w:t>
            </w:r>
          </w:p>
        </w:tc>
        <w:tc>
          <w:tcPr>
            <w:tcW w:w="2835" w:type="dxa"/>
          </w:tcPr>
          <w:p w14:paraId="1DE5ECA4" w14:textId="77777777" w:rsidR="00866D65" w:rsidRDefault="00866D65" w:rsidP="00C57138">
            <w:pPr>
              <w:rPr>
                <w:rFonts w:ascii="Arial" w:hAnsi="Arial" w:cs="Arial"/>
                <w:sz w:val="18"/>
                <w:szCs w:val="18"/>
              </w:rPr>
            </w:pPr>
            <w:r>
              <w:rPr>
                <w:rFonts w:ascii="Arial" w:hAnsi="Arial" w:cs="Arial"/>
                <w:sz w:val="18"/>
                <w:szCs w:val="18"/>
              </w:rPr>
              <w:t>amended</w:t>
            </w:r>
          </w:p>
        </w:tc>
        <w:tc>
          <w:tcPr>
            <w:tcW w:w="3289" w:type="dxa"/>
          </w:tcPr>
          <w:p w14:paraId="18B40AED" w14:textId="0529554D" w:rsidR="00866D65" w:rsidRDefault="00866D65" w:rsidP="00C57138">
            <w:pPr>
              <w:rPr>
                <w:rFonts w:ascii="Arial" w:hAnsi="Arial" w:cs="Arial"/>
                <w:sz w:val="18"/>
                <w:szCs w:val="18"/>
              </w:rPr>
            </w:pPr>
            <w:r w:rsidRPr="007D4D85">
              <w:rPr>
                <w:rFonts w:ascii="Arial" w:hAnsi="Arial" w:cs="Arial"/>
                <w:sz w:val="18"/>
                <w:szCs w:val="18"/>
              </w:rPr>
              <w:t>AASB 2020-9 [</w:t>
            </w:r>
            <w:r w:rsidR="005C7186">
              <w:rPr>
                <w:rFonts w:ascii="Arial" w:hAnsi="Arial" w:cs="Arial"/>
                <w:sz w:val="18"/>
                <w:szCs w:val="18"/>
              </w:rPr>
              <w:t>7</w:t>
            </w:r>
            <w:r w:rsidRPr="007D4D85">
              <w:rPr>
                <w:rFonts w:ascii="Arial" w:hAnsi="Arial" w:cs="Arial"/>
                <w:sz w:val="18"/>
                <w:szCs w:val="18"/>
              </w:rPr>
              <w:t>]</w:t>
            </w:r>
          </w:p>
        </w:tc>
      </w:tr>
      <w:tr w:rsidR="00866D65" w:rsidRPr="00B54F23" w14:paraId="41B68224" w14:textId="77777777" w:rsidTr="00C57138">
        <w:tc>
          <w:tcPr>
            <w:tcW w:w="3005" w:type="dxa"/>
          </w:tcPr>
          <w:p w14:paraId="69BFB762" w14:textId="77777777" w:rsidR="00866D65" w:rsidRDefault="00866D65" w:rsidP="00C57138">
            <w:pPr>
              <w:ind w:left="142" w:hanging="142"/>
              <w:rPr>
                <w:rFonts w:ascii="Arial" w:hAnsi="Arial" w:cs="Arial"/>
                <w:sz w:val="18"/>
                <w:szCs w:val="18"/>
              </w:rPr>
            </w:pPr>
            <w:r>
              <w:rPr>
                <w:rFonts w:ascii="Arial" w:hAnsi="Arial" w:cs="Arial"/>
                <w:sz w:val="18"/>
                <w:szCs w:val="18"/>
              </w:rPr>
              <w:t>244</w:t>
            </w:r>
          </w:p>
        </w:tc>
        <w:tc>
          <w:tcPr>
            <w:tcW w:w="2835" w:type="dxa"/>
          </w:tcPr>
          <w:p w14:paraId="7AEB2029" w14:textId="77777777" w:rsidR="00866D65" w:rsidRDefault="00866D65" w:rsidP="00C57138">
            <w:pPr>
              <w:rPr>
                <w:rFonts w:ascii="Arial" w:hAnsi="Arial" w:cs="Arial"/>
                <w:sz w:val="18"/>
                <w:szCs w:val="18"/>
              </w:rPr>
            </w:pPr>
            <w:r>
              <w:rPr>
                <w:rFonts w:ascii="Arial" w:hAnsi="Arial" w:cs="Arial"/>
                <w:sz w:val="18"/>
                <w:szCs w:val="18"/>
              </w:rPr>
              <w:t>repealed</w:t>
            </w:r>
          </w:p>
        </w:tc>
        <w:tc>
          <w:tcPr>
            <w:tcW w:w="3289" w:type="dxa"/>
          </w:tcPr>
          <w:p w14:paraId="293DC4E0" w14:textId="77777777" w:rsidR="00866D65" w:rsidRPr="007D4D85" w:rsidRDefault="00866D65" w:rsidP="00C57138">
            <w:pPr>
              <w:rPr>
                <w:rFonts w:ascii="Arial" w:hAnsi="Arial" w:cs="Arial"/>
                <w:sz w:val="18"/>
                <w:szCs w:val="18"/>
              </w:rPr>
            </w:pPr>
            <w:r w:rsidRPr="00D000EB">
              <w:rPr>
                <w:rFonts w:ascii="Arial" w:hAnsi="Arial" w:cs="Arial"/>
                <w:i/>
                <w:iCs/>
                <w:sz w:val="18"/>
                <w:szCs w:val="18"/>
              </w:rPr>
              <w:t>Legislation Act 2003</w:t>
            </w:r>
            <w:r w:rsidRPr="00D000EB">
              <w:rPr>
                <w:rFonts w:ascii="Arial" w:hAnsi="Arial" w:cs="Arial"/>
                <w:sz w:val="18"/>
                <w:szCs w:val="18"/>
              </w:rPr>
              <w:t>, s. 48D</w:t>
            </w:r>
          </w:p>
        </w:tc>
      </w:tr>
      <w:tr w:rsidR="00866D65" w:rsidRPr="00B54F23" w14:paraId="5F15006E" w14:textId="77777777" w:rsidTr="00C57138">
        <w:tc>
          <w:tcPr>
            <w:tcW w:w="3005" w:type="dxa"/>
          </w:tcPr>
          <w:p w14:paraId="11AB84D5" w14:textId="77777777" w:rsidR="00866D65" w:rsidRPr="00B54F23" w:rsidRDefault="00866D65" w:rsidP="00C57138">
            <w:pPr>
              <w:rPr>
                <w:rFonts w:ascii="Arial" w:hAnsi="Arial" w:cs="Arial"/>
                <w:sz w:val="18"/>
                <w:szCs w:val="18"/>
              </w:rPr>
            </w:pPr>
            <w:r>
              <w:rPr>
                <w:rFonts w:ascii="Arial" w:hAnsi="Arial" w:cs="Arial"/>
                <w:sz w:val="18"/>
                <w:szCs w:val="18"/>
              </w:rPr>
              <w:t>B1</w:t>
            </w:r>
          </w:p>
        </w:tc>
        <w:tc>
          <w:tcPr>
            <w:tcW w:w="2835" w:type="dxa"/>
          </w:tcPr>
          <w:p w14:paraId="7C13AC7A" w14:textId="77777777" w:rsidR="00866D65" w:rsidRPr="00B54F23" w:rsidRDefault="00866D65" w:rsidP="00C57138">
            <w:pPr>
              <w:rPr>
                <w:rFonts w:ascii="Arial" w:hAnsi="Arial" w:cs="Arial"/>
                <w:sz w:val="18"/>
                <w:szCs w:val="18"/>
              </w:rPr>
            </w:pPr>
            <w:r>
              <w:rPr>
                <w:rFonts w:ascii="Arial" w:hAnsi="Arial" w:cs="Arial"/>
                <w:sz w:val="18"/>
                <w:szCs w:val="18"/>
              </w:rPr>
              <w:t>amended</w:t>
            </w:r>
          </w:p>
        </w:tc>
        <w:tc>
          <w:tcPr>
            <w:tcW w:w="3289" w:type="dxa"/>
          </w:tcPr>
          <w:p w14:paraId="19CCC101" w14:textId="77777777" w:rsidR="00866D65" w:rsidRPr="00B54F23" w:rsidRDefault="00866D65" w:rsidP="00C57138">
            <w:pPr>
              <w:rPr>
                <w:rFonts w:ascii="Arial" w:hAnsi="Arial" w:cs="Arial"/>
                <w:sz w:val="18"/>
                <w:szCs w:val="18"/>
              </w:rPr>
            </w:pPr>
            <w:r>
              <w:rPr>
                <w:rFonts w:ascii="Arial" w:hAnsi="Arial" w:cs="Arial"/>
                <w:sz w:val="18"/>
                <w:szCs w:val="18"/>
              </w:rPr>
              <w:t>AASB 2021-1 [8]</w:t>
            </w:r>
          </w:p>
        </w:tc>
      </w:tr>
      <w:tr w:rsidR="00F85902" w:rsidRPr="00B54F23" w14:paraId="7EB8C057" w14:textId="77777777" w:rsidTr="00C57138">
        <w:tc>
          <w:tcPr>
            <w:tcW w:w="3005" w:type="dxa"/>
          </w:tcPr>
          <w:p w14:paraId="3F6326CD" w14:textId="77777777" w:rsidR="00F85902" w:rsidRDefault="00F85902" w:rsidP="00C57138">
            <w:pPr>
              <w:jc w:val="left"/>
              <w:rPr>
                <w:rFonts w:ascii="Arial" w:hAnsi="Arial" w:cs="Arial"/>
                <w:sz w:val="18"/>
                <w:szCs w:val="18"/>
              </w:rPr>
            </w:pPr>
            <w:r>
              <w:rPr>
                <w:rFonts w:ascii="Arial" w:hAnsi="Arial" w:cs="Arial"/>
                <w:sz w:val="18"/>
                <w:szCs w:val="18"/>
              </w:rPr>
              <w:t>Appendix C</w:t>
            </w:r>
          </w:p>
        </w:tc>
        <w:tc>
          <w:tcPr>
            <w:tcW w:w="2835" w:type="dxa"/>
          </w:tcPr>
          <w:p w14:paraId="59D45FDC" w14:textId="77777777" w:rsidR="00F85902" w:rsidRDefault="00F85902" w:rsidP="00C57138">
            <w:pPr>
              <w:rPr>
                <w:rFonts w:ascii="Arial" w:hAnsi="Arial" w:cs="Arial"/>
                <w:sz w:val="18"/>
                <w:szCs w:val="18"/>
              </w:rPr>
            </w:pPr>
            <w:r>
              <w:rPr>
                <w:rFonts w:ascii="Arial" w:hAnsi="Arial" w:cs="Arial"/>
                <w:sz w:val="18"/>
                <w:szCs w:val="18"/>
              </w:rPr>
              <w:t>amended</w:t>
            </w:r>
          </w:p>
        </w:tc>
        <w:tc>
          <w:tcPr>
            <w:tcW w:w="3289" w:type="dxa"/>
          </w:tcPr>
          <w:p w14:paraId="436E6F83" w14:textId="55C4A303" w:rsidR="00F85902" w:rsidRDefault="00F85902" w:rsidP="00C57138">
            <w:pPr>
              <w:rPr>
                <w:rFonts w:ascii="Arial" w:hAnsi="Arial" w:cs="Arial"/>
                <w:sz w:val="18"/>
                <w:szCs w:val="18"/>
              </w:rPr>
            </w:pPr>
            <w:r w:rsidRPr="007D4D85">
              <w:rPr>
                <w:rFonts w:ascii="Arial" w:hAnsi="Arial" w:cs="Arial"/>
                <w:sz w:val="18"/>
                <w:szCs w:val="18"/>
              </w:rPr>
              <w:t>AASB 2020-9 [</w:t>
            </w:r>
            <w:r w:rsidR="00C273A0">
              <w:rPr>
                <w:rFonts w:ascii="Arial" w:hAnsi="Arial" w:cs="Arial"/>
                <w:sz w:val="18"/>
                <w:szCs w:val="18"/>
              </w:rPr>
              <w:t>8</w:t>
            </w:r>
            <w:r w:rsidRPr="007D4D85">
              <w:rPr>
                <w:rFonts w:ascii="Arial" w:hAnsi="Arial" w:cs="Arial"/>
                <w:sz w:val="18"/>
                <w:szCs w:val="18"/>
              </w:rPr>
              <w:t>]</w:t>
            </w:r>
          </w:p>
        </w:tc>
      </w:tr>
    </w:tbl>
    <w:p w14:paraId="782508AF" w14:textId="2F9E1D51" w:rsidR="00866D65" w:rsidRPr="006F0C28" w:rsidRDefault="00866D65" w:rsidP="00866D65">
      <w:pPr>
        <w:pStyle w:val="IASBSectionTitle2NonInd"/>
      </w:pPr>
      <w:r w:rsidRPr="006F0C28">
        <w:t xml:space="preserve">Table </w:t>
      </w:r>
      <w:r>
        <w:t>o</w:t>
      </w:r>
      <w:r w:rsidRPr="006F0C28">
        <w:t xml:space="preserve">f amendments </w:t>
      </w:r>
      <w:r>
        <w:t>t</w:t>
      </w:r>
      <w:r w:rsidRPr="006F0C28">
        <w:t xml:space="preserve">o </w:t>
      </w:r>
      <w:r w:rsidR="00BD3019">
        <w:t>g</w:t>
      </w:r>
      <w:r w:rsidRPr="006F0C28">
        <w:t>uidance</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866D65" w:rsidRPr="00B54F23" w14:paraId="1980E72A" w14:textId="77777777" w:rsidTr="00C57138">
        <w:trPr>
          <w:tblHeader/>
        </w:trPr>
        <w:tc>
          <w:tcPr>
            <w:tcW w:w="3005" w:type="dxa"/>
          </w:tcPr>
          <w:p w14:paraId="3FCB1FC1" w14:textId="77777777"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Paragraph affected</w:t>
            </w:r>
          </w:p>
        </w:tc>
        <w:tc>
          <w:tcPr>
            <w:tcW w:w="2835" w:type="dxa"/>
          </w:tcPr>
          <w:p w14:paraId="6E8E0474" w14:textId="77777777"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How affected</w:t>
            </w:r>
          </w:p>
        </w:tc>
        <w:tc>
          <w:tcPr>
            <w:tcW w:w="3289" w:type="dxa"/>
          </w:tcPr>
          <w:p w14:paraId="594DD212" w14:textId="557867A3" w:rsidR="00866D65" w:rsidRPr="00B54F23" w:rsidRDefault="00866D65" w:rsidP="00C57138">
            <w:pPr>
              <w:pStyle w:val="NoNumBold1"/>
              <w:spacing w:after="200"/>
              <w:rPr>
                <w:rFonts w:ascii="Arial" w:hAnsi="Arial" w:cs="Arial"/>
                <w:sz w:val="18"/>
                <w:szCs w:val="18"/>
              </w:rPr>
            </w:pPr>
            <w:r w:rsidRPr="00B54F23">
              <w:rPr>
                <w:rFonts w:ascii="Arial" w:hAnsi="Arial" w:cs="Arial"/>
                <w:sz w:val="18"/>
                <w:szCs w:val="18"/>
              </w:rPr>
              <w:t>By … [paragraph]</w:t>
            </w:r>
          </w:p>
        </w:tc>
      </w:tr>
      <w:tr w:rsidR="00866D65" w:rsidRPr="00B54F23" w14:paraId="3B163999" w14:textId="77777777" w:rsidTr="00C57138">
        <w:tc>
          <w:tcPr>
            <w:tcW w:w="3005" w:type="dxa"/>
          </w:tcPr>
          <w:p w14:paraId="49320010" w14:textId="77777777" w:rsidR="00866D65" w:rsidRDefault="00866D65" w:rsidP="00C57138">
            <w:pPr>
              <w:rPr>
                <w:rFonts w:ascii="Arial" w:hAnsi="Arial" w:cs="Arial"/>
                <w:sz w:val="18"/>
                <w:szCs w:val="18"/>
              </w:rPr>
            </w:pPr>
            <w:r>
              <w:rPr>
                <w:rFonts w:ascii="Arial" w:hAnsi="Arial" w:cs="Arial"/>
                <w:sz w:val="18"/>
                <w:szCs w:val="18"/>
              </w:rPr>
              <w:t>IG1</w:t>
            </w:r>
          </w:p>
        </w:tc>
        <w:tc>
          <w:tcPr>
            <w:tcW w:w="2835" w:type="dxa"/>
          </w:tcPr>
          <w:p w14:paraId="1E393397" w14:textId="77777777" w:rsidR="00866D65" w:rsidRDefault="00866D65" w:rsidP="00C57138">
            <w:pPr>
              <w:rPr>
                <w:rFonts w:ascii="Arial" w:hAnsi="Arial" w:cs="Arial"/>
                <w:sz w:val="18"/>
                <w:szCs w:val="18"/>
              </w:rPr>
            </w:pPr>
            <w:r>
              <w:rPr>
                <w:rFonts w:ascii="Arial" w:hAnsi="Arial" w:cs="Arial"/>
                <w:sz w:val="18"/>
                <w:szCs w:val="18"/>
              </w:rPr>
              <w:t>amended</w:t>
            </w:r>
          </w:p>
        </w:tc>
        <w:tc>
          <w:tcPr>
            <w:tcW w:w="3289" w:type="dxa"/>
          </w:tcPr>
          <w:p w14:paraId="137CF02A" w14:textId="339158C5" w:rsidR="00866D65" w:rsidRPr="007D4D85" w:rsidRDefault="00866D65" w:rsidP="00C57138">
            <w:pPr>
              <w:rPr>
                <w:rFonts w:ascii="Arial" w:hAnsi="Arial" w:cs="Arial"/>
                <w:sz w:val="18"/>
                <w:szCs w:val="18"/>
              </w:rPr>
            </w:pPr>
            <w:r w:rsidRPr="007D4D85">
              <w:rPr>
                <w:rFonts w:ascii="Arial" w:hAnsi="Arial" w:cs="Arial"/>
                <w:sz w:val="18"/>
                <w:szCs w:val="18"/>
              </w:rPr>
              <w:t>AASB 2020-9 [</w:t>
            </w:r>
            <w:r w:rsidR="00C273A0">
              <w:rPr>
                <w:rFonts w:ascii="Arial" w:hAnsi="Arial" w:cs="Arial"/>
                <w:sz w:val="18"/>
                <w:szCs w:val="18"/>
              </w:rPr>
              <w:t>9</w:t>
            </w:r>
            <w:r w:rsidRPr="007D4D85">
              <w:rPr>
                <w:rFonts w:ascii="Arial" w:hAnsi="Arial" w:cs="Arial"/>
                <w:sz w:val="18"/>
                <w:szCs w:val="18"/>
              </w:rPr>
              <w:t>]</w:t>
            </w:r>
          </w:p>
        </w:tc>
      </w:tr>
      <w:tr w:rsidR="00866D65" w:rsidRPr="00B54F23" w14:paraId="60D816AF" w14:textId="77777777" w:rsidTr="00C57138">
        <w:tc>
          <w:tcPr>
            <w:tcW w:w="3005" w:type="dxa"/>
          </w:tcPr>
          <w:p w14:paraId="5EAC8137" w14:textId="636078AC" w:rsidR="00866D65" w:rsidRDefault="00866D65" w:rsidP="00C57138">
            <w:pPr>
              <w:rPr>
                <w:rFonts w:ascii="Arial" w:hAnsi="Arial" w:cs="Arial"/>
                <w:sz w:val="18"/>
                <w:szCs w:val="18"/>
              </w:rPr>
            </w:pPr>
            <w:r>
              <w:rPr>
                <w:rFonts w:ascii="Arial" w:hAnsi="Arial" w:cs="Arial"/>
                <w:sz w:val="18"/>
                <w:szCs w:val="18"/>
              </w:rPr>
              <w:t>IG2</w:t>
            </w:r>
          </w:p>
        </w:tc>
        <w:tc>
          <w:tcPr>
            <w:tcW w:w="2835" w:type="dxa"/>
          </w:tcPr>
          <w:p w14:paraId="1AE604A2" w14:textId="77777777" w:rsidR="00866D65" w:rsidRDefault="00866D65" w:rsidP="00C57138">
            <w:pPr>
              <w:rPr>
                <w:rFonts w:ascii="Arial" w:hAnsi="Arial" w:cs="Arial"/>
                <w:sz w:val="18"/>
                <w:szCs w:val="18"/>
              </w:rPr>
            </w:pPr>
            <w:r>
              <w:rPr>
                <w:rFonts w:ascii="Arial" w:hAnsi="Arial" w:cs="Arial"/>
                <w:sz w:val="18"/>
                <w:szCs w:val="18"/>
              </w:rPr>
              <w:t>amended</w:t>
            </w:r>
          </w:p>
        </w:tc>
        <w:tc>
          <w:tcPr>
            <w:tcW w:w="3289" w:type="dxa"/>
          </w:tcPr>
          <w:p w14:paraId="054C72AD" w14:textId="12CAB980" w:rsidR="00866D65" w:rsidRPr="007D4D85" w:rsidRDefault="00866D65" w:rsidP="00C57138">
            <w:pPr>
              <w:rPr>
                <w:rFonts w:ascii="Arial" w:hAnsi="Arial" w:cs="Arial"/>
                <w:sz w:val="18"/>
                <w:szCs w:val="18"/>
              </w:rPr>
            </w:pPr>
            <w:r w:rsidRPr="007D4D85">
              <w:rPr>
                <w:rFonts w:ascii="Arial" w:hAnsi="Arial" w:cs="Arial"/>
                <w:sz w:val="18"/>
                <w:szCs w:val="18"/>
              </w:rPr>
              <w:t>AASB 2020-9 [</w:t>
            </w:r>
            <w:r w:rsidR="00C273A0">
              <w:rPr>
                <w:rFonts w:ascii="Arial" w:hAnsi="Arial" w:cs="Arial"/>
                <w:sz w:val="18"/>
                <w:szCs w:val="18"/>
              </w:rPr>
              <w:t>10</w:t>
            </w:r>
            <w:r w:rsidRPr="007D4D85">
              <w:rPr>
                <w:rFonts w:ascii="Arial" w:hAnsi="Arial" w:cs="Arial"/>
                <w:sz w:val="18"/>
                <w:szCs w:val="18"/>
              </w:rPr>
              <w:t>]</w:t>
            </w:r>
          </w:p>
        </w:tc>
      </w:tr>
    </w:tbl>
    <w:p w14:paraId="5CEB2E7C" w14:textId="77777777" w:rsidR="00866D65" w:rsidRPr="004D3665" w:rsidRDefault="00866D65" w:rsidP="004D3665">
      <w:pPr>
        <w:pStyle w:val="NumPlain1"/>
        <w:spacing w:after="0"/>
        <w:ind w:left="505" w:hanging="505"/>
        <w:rPr>
          <w:sz w:val="16"/>
          <w:szCs w:val="16"/>
        </w:rPr>
      </w:pPr>
    </w:p>
    <w:p w14:paraId="45632F00" w14:textId="77777777" w:rsidR="00866D65" w:rsidRPr="004D3665" w:rsidRDefault="00866D65" w:rsidP="004D3665">
      <w:pPr>
        <w:pStyle w:val="NumPlain1"/>
        <w:spacing w:after="0"/>
        <w:ind w:left="505" w:hanging="505"/>
        <w:rPr>
          <w:sz w:val="16"/>
          <w:szCs w:val="16"/>
        </w:rPr>
        <w:sectPr w:rsidR="00866D65" w:rsidRPr="004D3665" w:rsidSect="008415C2">
          <w:footerReference w:type="default" r:id="rId31"/>
          <w:headerReference w:type="first" r:id="rId32"/>
          <w:footerReference w:type="first" r:id="rId33"/>
          <w:pgSz w:w="11907" w:h="16839" w:code="9"/>
          <w:pgMar w:top="1440" w:right="1440" w:bottom="1440" w:left="1440" w:header="720" w:footer="720" w:gutter="0"/>
          <w:cols w:space="708"/>
          <w:docGrid w:linePitch="360"/>
        </w:sectPr>
      </w:pPr>
    </w:p>
    <w:p w14:paraId="0D4F3E37" w14:textId="77777777" w:rsidR="0088075B" w:rsidRPr="00155974" w:rsidRDefault="0088075B" w:rsidP="00A32439">
      <w:pPr>
        <w:pStyle w:val="ConvSectionTitle"/>
      </w:pPr>
      <w:r w:rsidRPr="00155974">
        <w:lastRenderedPageBreak/>
        <w:t>Basis for Conclusions</w:t>
      </w:r>
    </w:p>
    <w:p w14:paraId="34127489" w14:textId="77777777" w:rsidR="0088075B" w:rsidRPr="00155974" w:rsidRDefault="0088075B" w:rsidP="00BE6A5D">
      <w:pPr>
        <w:spacing w:before="100" w:after="100"/>
        <w:jc w:val="left"/>
        <w:rPr>
          <w:i/>
          <w:color w:val="000000"/>
          <w:szCs w:val="19"/>
          <w:lang w:eastAsia="en-AU"/>
        </w:rPr>
      </w:pPr>
      <w:r w:rsidRPr="00155974">
        <w:rPr>
          <w:i/>
          <w:color w:val="000000"/>
          <w:szCs w:val="19"/>
          <w:lang w:eastAsia="en-AU"/>
        </w:rPr>
        <w:t>This Basis for Conclusions accompanies, but is not part of, AASB 1060.</w:t>
      </w:r>
    </w:p>
    <w:p w14:paraId="430D7A38" w14:textId="4510DDF3" w:rsidR="0088075B" w:rsidRPr="00155974" w:rsidRDefault="0088075B" w:rsidP="00022B10">
      <w:pPr>
        <w:pStyle w:val="Heading2"/>
      </w:pPr>
      <w:r w:rsidRPr="00155974">
        <w:t>Introduction</w:t>
      </w:r>
    </w:p>
    <w:p w14:paraId="77169700"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This Basis for Conclusions summarises the Australian Accounting Standards Board’s considerations in reaching the conclusions in AASB 1060. It sets out the reasons why the Board developed the Standard, the approach taken to developing the Standard and key decisions made. In making decisions, individual Board members gave greater weight to some factors than to others. </w:t>
      </w:r>
    </w:p>
    <w:p w14:paraId="38ABC0FA" w14:textId="77777777" w:rsidR="0088075B" w:rsidRPr="00155974" w:rsidRDefault="0088075B" w:rsidP="00022B10">
      <w:pPr>
        <w:pStyle w:val="Heading2"/>
      </w:pPr>
      <w:r w:rsidRPr="00155974">
        <w:t>The need for a new disclosure Standard for Tier 2 entities</w:t>
      </w:r>
    </w:p>
    <w:p w14:paraId="301718E7"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This Standard has been developed in conjunction with AASB 2020-</w:t>
      </w:r>
      <w:r w:rsidRPr="00155974">
        <w:rPr>
          <w:sz w:val="19"/>
        </w:rPr>
        <w:t xml:space="preserve">2 </w:t>
      </w:r>
      <w:r w:rsidRPr="00155974">
        <w:rPr>
          <w:i/>
          <w:iCs/>
          <w:sz w:val="19"/>
        </w:rPr>
        <w:t xml:space="preserve">Amendments to Australian Accounting Standards – </w:t>
      </w:r>
      <w:r w:rsidRPr="00155974">
        <w:rPr>
          <w:i/>
          <w:sz w:val="19"/>
        </w:rPr>
        <w:t>Removal of Special Purpose Financial Statements for Certain For-Profit Private Sector Entities</w:t>
      </w:r>
      <w:r w:rsidRPr="00155974">
        <w:rPr>
          <w:sz w:val="19"/>
          <w:szCs w:val="19"/>
        </w:rPr>
        <w:t xml:space="preserve"> to:</w:t>
      </w:r>
    </w:p>
    <w:p w14:paraId="012326D8" w14:textId="77777777" w:rsidR="0088075B" w:rsidRPr="00155974" w:rsidRDefault="0088075B" w:rsidP="000E61D3">
      <w:pPr>
        <w:pStyle w:val="IASBSectionTitle2Ind"/>
        <w:keepNext w:val="0"/>
        <w:keepLines w:val="0"/>
        <w:numPr>
          <w:ilvl w:val="0"/>
          <w:numId w:val="46"/>
        </w:numPr>
        <w:spacing w:before="100" w:after="0"/>
        <w:ind w:left="1564" w:hanging="782"/>
        <w:jc w:val="both"/>
        <w:rPr>
          <w:rFonts w:ascii="Times New Roman" w:hAnsi="Times New Roman" w:cs="Times New Roman"/>
          <w:b w:val="0"/>
          <w:sz w:val="19"/>
          <w:szCs w:val="19"/>
        </w:rPr>
      </w:pPr>
      <w:r w:rsidRPr="00155974">
        <w:rPr>
          <w:rFonts w:ascii="Times New Roman" w:hAnsi="Times New Roman" w:cs="Times New Roman"/>
          <w:b w:val="0"/>
          <w:sz w:val="19"/>
          <w:szCs w:val="19"/>
        </w:rPr>
        <w:t xml:space="preserve">provide Tier 2 reporting requirements for those for-profit entities that will be prohibited from preparing special purpose financial statements (SPFS) when AASB 2020-2 becomes operative, that appropriately balance the needs of users with the costs of moving from SPFS to Tier 2; </w:t>
      </w:r>
    </w:p>
    <w:p w14:paraId="3C95E68A" w14:textId="77777777" w:rsidR="0088075B" w:rsidRPr="00155974" w:rsidRDefault="0088075B" w:rsidP="000E61D3">
      <w:pPr>
        <w:pStyle w:val="IASBSectionTitle2Ind"/>
        <w:keepNext w:val="0"/>
        <w:keepLines w:val="0"/>
        <w:numPr>
          <w:ilvl w:val="0"/>
          <w:numId w:val="46"/>
        </w:numPr>
        <w:spacing w:before="100" w:after="0"/>
        <w:ind w:left="1564" w:hanging="782"/>
        <w:jc w:val="both"/>
        <w:rPr>
          <w:rFonts w:ascii="Times New Roman" w:hAnsi="Times New Roman" w:cs="Times New Roman"/>
          <w:b w:val="0"/>
          <w:sz w:val="19"/>
          <w:szCs w:val="19"/>
        </w:rPr>
      </w:pPr>
      <w:r w:rsidRPr="00155974">
        <w:rPr>
          <w:rFonts w:ascii="Times New Roman" w:hAnsi="Times New Roman" w:cs="Times New Roman"/>
          <w:b w:val="0"/>
          <w:sz w:val="19"/>
          <w:szCs w:val="19"/>
        </w:rPr>
        <w:t>reduce the reporting burden of for-profit and not-for-profit (NFP) entities using the current Tier 2 reporting requirements for preparing General Purpose Financial Statements (GPFS) as a result of the AASB’s post-implementation review of the current Reduced Disclosure Requirements (RDR) framework; and</w:t>
      </w:r>
    </w:p>
    <w:p w14:paraId="5DBA0D34" w14:textId="65D7FB31" w:rsidR="0088075B" w:rsidRPr="00155974" w:rsidRDefault="0088075B" w:rsidP="000E61D3">
      <w:pPr>
        <w:pStyle w:val="IASBSectionTitle2Ind"/>
        <w:keepNext w:val="0"/>
        <w:keepLines w:val="0"/>
        <w:numPr>
          <w:ilvl w:val="0"/>
          <w:numId w:val="46"/>
        </w:numPr>
        <w:spacing w:before="100" w:after="0"/>
        <w:ind w:left="1564" w:hanging="782"/>
        <w:jc w:val="both"/>
        <w:rPr>
          <w:sz w:val="19"/>
          <w:szCs w:val="19"/>
        </w:rPr>
      </w:pPr>
      <w:r w:rsidRPr="00155974">
        <w:rPr>
          <w:rFonts w:ascii="Times New Roman" w:hAnsi="Times New Roman" w:cs="Times New Roman"/>
          <w:b w:val="0"/>
          <w:sz w:val="19"/>
          <w:szCs w:val="19"/>
        </w:rPr>
        <w:t>maximise the use of relevant International Financial Reporting Standards (IFRS) based materials by more closely reflecting the IFRS for SMEs disclosures in this Standard and support the International Accounting Standards Board (IASB) with its project to develop a reduced disclosure IFRS standard that combines full IFRS recognition and measurement (R&amp;M) requirements with IFRS for SMEs disclosures</w:t>
      </w:r>
      <w:r w:rsidRPr="00155974">
        <w:rPr>
          <w:rStyle w:val="FootnoteReference"/>
          <w:rFonts w:ascii="Times New Roman" w:hAnsi="Times New Roman" w:cs="Times New Roman"/>
          <w:b w:val="0"/>
          <w:sz w:val="19"/>
          <w:szCs w:val="19"/>
        </w:rPr>
        <w:footnoteReference w:id="47"/>
      </w:r>
      <w:r w:rsidRPr="00155974">
        <w:rPr>
          <w:rFonts w:ascii="Times New Roman" w:hAnsi="Times New Roman" w:cs="Times New Roman"/>
          <w:b w:val="0"/>
          <w:sz w:val="19"/>
          <w:szCs w:val="19"/>
        </w:rPr>
        <w:t>.</w:t>
      </w:r>
    </w:p>
    <w:p w14:paraId="45997DB9" w14:textId="522AA8FA"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Entities that are required to prepare financial statements in accordance with Australian Accounting Standards (AAS) have a choice of two disclosure frameworks</w:t>
      </w:r>
      <w:r w:rsidRPr="00155974">
        <w:rPr>
          <w:sz w:val="19"/>
          <w:vertAlign w:val="superscript"/>
        </w:rPr>
        <w:footnoteReference w:id="48"/>
      </w:r>
      <w:r w:rsidRPr="00155974">
        <w:rPr>
          <w:sz w:val="19"/>
          <w:szCs w:val="19"/>
        </w:rPr>
        <w:t>:</w:t>
      </w:r>
    </w:p>
    <w:p w14:paraId="2C790963" w14:textId="1ECD0995" w:rsidR="0088075B" w:rsidRPr="00155974" w:rsidRDefault="0088075B" w:rsidP="000E61D3">
      <w:pPr>
        <w:pStyle w:val="Default"/>
        <w:numPr>
          <w:ilvl w:val="1"/>
          <w:numId w:val="35"/>
        </w:numPr>
        <w:spacing w:before="100"/>
        <w:ind w:left="1564" w:hanging="782"/>
        <w:jc w:val="both"/>
        <w:rPr>
          <w:color w:val="auto"/>
          <w:sz w:val="19"/>
          <w:szCs w:val="19"/>
        </w:rPr>
      </w:pPr>
      <w:r w:rsidRPr="00155974">
        <w:rPr>
          <w:color w:val="auto"/>
          <w:sz w:val="19"/>
          <w:szCs w:val="19"/>
        </w:rPr>
        <w:t xml:space="preserve">Tier 1 reporting requirements which apply to the GPFS of for-profit private sector entities that have public accountability and are required by legislation to prepare financial statements that comply with either Australian Accounting Standards or accounting standards and the Australian Government and State, Territory and Local Governments; and </w:t>
      </w:r>
    </w:p>
    <w:p w14:paraId="3A69D303" w14:textId="77777777" w:rsidR="0088075B" w:rsidRPr="00155974" w:rsidRDefault="0088075B" w:rsidP="000E61D3">
      <w:pPr>
        <w:pStyle w:val="Default"/>
        <w:numPr>
          <w:ilvl w:val="1"/>
          <w:numId w:val="35"/>
        </w:numPr>
        <w:spacing w:before="100"/>
        <w:ind w:left="1564" w:hanging="782"/>
        <w:jc w:val="both"/>
        <w:rPr>
          <w:color w:val="auto"/>
          <w:sz w:val="19"/>
          <w:szCs w:val="19"/>
        </w:rPr>
      </w:pPr>
      <w:r w:rsidRPr="00155974">
        <w:rPr>
          <w:color w:val="auto"/>
          <w:sz w:val="19"/>
          <w:szCs w:val="19"/>
        </w:rPr>
        <w:t>Tier 2 reporting requirements which apply to the GPFS of for-profit private sector entities that do not have public accountability, not-for-profit private sector entities and public sector entities, whether for-profit or not-for-profit, other than the Australian Government and State, Territory and Local Governments.</w:t>
      </w:r>
      <w:r w:rsidRPr="00155974">
        <w:t xml:space="preserve"> </w:t>
      </w:r>
    </w:p>
    <w:p w14:paraId="66F62189" w14:textId="12F6C96F" w:rsidR="00A70EA2" w:rsidRPr="00D9197D" w:rsidRDefault="0088075B" w:rsidP="000E61D3">
      <w:pPr>
        <w:pStyle w:val="Default"/>
        <w:numPr>
          <w:ilvl w:val="0"/>
          <w:numId w:val="35"/>
        </w:numPr>
        <w:spacing w:before="100"/>
        <w:ind w:left="782" w:hanging="782"/>
        <w:jc w:val="both"/>
        <w:rPr>
          <w:szCs w:val="19"/>
        </w:rPr>
      </w:pPr>
      <w:r w:rsidRPr="00155974">
        <w:rPr>
          <w:color w:val="auto"/>
          <w:sz w:val="19"/>
          <w:szCs w:val="19"/>
        </w:rPr>
        <w:t xml:space="preserve">Before the adoption of AASB 2020-2 entities that had self-assessed to be a non-reporting entity, could also elect to prepare SPFS. However, in March 2020 the Board decided to remove this ability based on the feedback received on the March 2018 Consultation Paper </w:t>
      </w:r>
      <w:r w:rsidRPr="00155974">
        <w:rPr>
          <w:sz w:val="19"/>
          <w:szCs w:val="19"/>
        </w:rPr>
        <w:t xml:space="preserve">ITC 39 </w:t>
      </w:r>
      <w:r w:rsidRPr="00155974">
        <w:rPr>
          <w:i/>
          <w:sz w:val="19"/>
          <w:szCs w:val="19"/>
        </w:rPr>
        <w:t>Applying the IASB’s Revised Conceptual Framework and Solving the Reporting Entity and Special Purpose Financial Statement Problems</w:t>
      </w:r>
      <w:r w:rsidRPr="00155974">
        <w:rPr>
          <w:iCs/>
          <w:sz w:val="19"/>
          <w:szCs w:val="19"/>
        </w:rPr>
        <w:t xml:space="preserve"> and the subsequent ED 297 </w:t>
      </w:r>
      <w:r w:rsidRPr="00155974">
        <w:rPr>
          <w:i/>
          <w:sz w:val="19"/>
          <w:szCs w:val="19"/>
        </w:rPr>
        <w:t>Removal of Special Purpose Financial Statements for Certain For-Profit Private Sector Entities.</w:t>
      </w:r>
      <w:r w:rsidRPr="00155974">
        <w:rPr>
          <w:sz w:val="19"/>
          <w:szCs w:val="19"/>
        </w:rPr>
        <w:t xml:space="preserve"> </w:t>
      </w:r>
    </w:p>
    <w:p w14:paraId="52674BED" w14:textId="05D8BDCD" w:rsidR="0088075B" w:rsidRPr="00155974" w:rsidRDefault="0088075B" w:rsidP="000E61D3">
      <w:pPr>
        <w:pStyle w:val="Default"/>
        <w:keepNext/>
        <w:numPr>
          <w:ilvl w:val="0"/>
          <w:numId w:val="35"/>
        </w:numPr>
        <w:spacing w:before="100"/>
        <w:ind w:left="782" w:hanging="782"/>
        <w:jc w:val="both"/>
        <w:rPr>
          <w:szCs w:val="19"/>
        </w:rPr>
      </w:pPr>
      <w:r w:rsidRPr="00155974">
        <w:rPr>
          <w:sz w:val="19"/>
          <w:szCs w:val="19"/>
        </w:rPr>
        <w:t xml:space="preserve">AASB 2020-2 </w:t>
      </w:r>
      <w:r w:rsidRPr="00155974">
        <w:rPr>
          <w:color w:val="auto"/>
          <w:sz w:val="19"/>
          <w:szCs w:val="20"/>
          <w:lang w:eastAsia="en-US"/>
        </w:rPr>
        <w:t>removes the ability to prepare SPFS for the following for-profit entities</w:t>
      </w:r>
      <w:r w:rsidRPr="00155974">
        <w:rPr>
          <w:sz w:val="19"/>
          <w:szCs w:val="19"/>
        </w:rPr>
        <w:t>:</w:t>
      </w:r>
    </w:p>
    <w:p w14:paraId="5FD8A82D" w14:textId="77777777" w:rsidR="0088075B" w:rsidRPr="00155974" w:rsidRDefault="0088075B" w:rsidP="000E61D3">
      <w:pPr>
        <w:pStyle w:val="Default"/>
        <w:numPr>
          <w:ilvl w:val="0"/>
          <w:numId w:val="45"/>
        </w:numPr>
        <w:spacing w:before="100"/>
        <w:ind w:left="1564" w:hanging="782"/>
        <w:jc w:val="both"/>
        <w:rPr>
          <w:color w:val="auto"/>
          <w:sz w:val="19"/>
          <w:szCs w:val="20"/>
          <w:lang w:eastAsia="en-US"/>
        </w:rPr>
      </w:pPr>
      <w:r w:rsidRPr="00155974">
        <w:rPr>
          <w:color w:val="auto"/>
          <w:sz w:val="19"/>
          <w:szCs w:val="20"/>
          <w:lang w:eastAsia="en-US"/>
        </w:rPr>
        <w:t>for-profit private sector entities that are required by legislation to comply with either Australian Accounting Standards or accounting standards;</w:t>
      </w:r>
    </w:p>
    <w:p w14:paraId="15B8A177" w14:textId="77777777" w:rsidR="0088075B" w:rsidRPr="00155974" w:rsidRDefault="0088075B" w:rsidP="000E61D3">
      <w:pPr>
        <w:pStyle w:val="Default"/>
        <w:numPr>
          <w:ilvl w:val="0"/>
          <w:numId w:val="45"/>
        </w:numPr>
        <w:spacing w:before="100"/>
        <w:ind w:left="1564" w:hanging="782"/>
        <w:jc w:val="both"/>
        <w:rPr>
          <w:color w:val="auto"/>
          <w:sz w:val="19"/>
          <w:szCs w:val="20"/>
          <w:lang w:eastAsia="en-US"/>
        </w:rPr>
      </w:pPr>
      <w:r w:rsidRPr="00155974">
        <w:rPr>
          <w:color w:val="auto"/>
          <w:sz w:val="19"/>
          <w:szCs w:val="20"/>
          <w:lang w:eastAsia="en-US"/>
        </w:rPr>
        <w:t>other for-profit private sector entities that are required only by their constituting document or another document to comply with Australian Accounting Standards, provided that the relevant document was created or amended on or after 1 July 2021; and</w:t>
      </w:r>
    </w:p>
    <w:p w14:paraId="671700E9" w14:textId="77777777" w:rsidR="0088075B" w:rsidRPr="00155974" w:rsidRDefault="0088075B" w:rsidP="000E61D3">
      <w:pPr>
        <w:pStyle w:val="Default"/>
        <w:numPr>
          <w:ilvl w:val="0"/>
          <w:numId w:val="45"/>
        </w:numPr>
        <w:spacing w:before="100"/>
        <w:ind w:left="1564" w:hanging="782"/>
        <w:jc w:val="both"/>
        <w:rPr>
          <w:sz w:val="19"/>
          <w:szCs w:val="19"/>
        </w:rPr>
      </w:pPr>
      <w:r w:rsidRPr="00155974">
        <w:rPr>
          <w:color w:val="auto"/>
          <w:sz w:val="19"/>
          <w:szCs w:val="20"/>
          <w:lang w:eastAsia="en-US"/>
        </w:rPr>
        <w:lastRenderedPageBreak/>
        <w:t xml:space="preserve">other for-profit entities that elect to prepare GPFS and apply the revised </w:t>
      </w:r>
      <w:r w:rsidRPr="00155974">
        <w:rPr>
          <w:i/>
          <w:iCs/>
          <w:color w:val="auto"/>
          <w:sz w:val="19"/>
          <w:szCs w:val="20"/>
          <w:lang w:eastAsia="en-US"/>
        </w:rPr>
        <w:t xml:space="preserve">Conceptual Framework for Financial Reporting </w:t>
      </w:r>
      <w:r w:rsidRPr="00155974">
        <w:rPr>
          <w:color w:val="auto"/>
          <w:sz w:val="19"/>
          <w:szCs w:val="20"/>
          <w:lang w:eastAsia="en-US"/>
        </w:rPr>
        <w:t xml:space="preserve">(Conceptual Framework) and the consequential amendments to other pronouncements set out in Accounting Standards AASB 2019-1 </w:t>
      </w:r>
      <w:r w:rsidRPr="00155974">
        <w:rPr>
          <w:i/>
          <w:color w:val="auto"/>
          <w:sz w:val="19"/>
          <w:szCs w:val="20"/>
          <w:lang w:eastAsia="en-US"/>
        </w:rPr>
        <w:t>Amendments to Australian Accounting Standards – References to the Conceptual Framework</w:t>
      </w:r>
      <w:r w:rsidRPr="00155974">
        <w:rPr>
          <w:color w:val="auto"/>
          <w:sz w:val="19"/>
          <w:szCs w:val="20"/>
          <w:lang w:eastAsia="en-US"/>
        </w:rPr>
        <w:t xml:space="preserve"> and AASB 2020-2 Amendments to Australian Accounting Standards – </w:t>
      </w:r>
      <w:r w:rsidRPr="00155974">
        <w:rPr>
          <w:i/>
          <w:color w:val="auto"/>
          <w:sz w:val="19"/>
          <w:szCs w:val="20"/>
          <w:lang w:eastAsia="en-US"/>
        </w:rPr>
        <w:t>Removal of Special Purpose Financial Statements for Certain For-Profit Sector Entities.</w:t>
      </w:r>
    </w:p>
    <w:p w14:paraId="788ACAB3" w14:textId="77777777"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To help reduce the cost burden for for-profit entities that will be affected by the removal of SPFS, and noting the comments received on ITC 39, the Board agreed to make further reductions to the disclosures that apply to Tier 2 entities compared to the GPFS Tier 2 RDR framework. </w:t>
      </w:r>
    </w:p>
    <w:p w14:paraId="7F8F2FFB"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w:t>
      </w:r>
      <w:r w:rsidRPr="00155974">
        <w:rPr>
          <w:color w:val="auto"/>
          <w:sz w:val="19"/>
          <w:szCs w:val="19"/>
        </w:rPr>
        <w:t>Board</w:t>
      </w:r>
      <w:r w:rsidRPr="00155974">
        <w:rPr>
          <w:sz w:val="19"/>
          <w:szCs w:val="19"/>
        </w:rPr>
        <w:t xml:space="preserve"> also noted the strong preference expressed by respondents to ITC 39 for a framework that includes full R&amp;M requirements in AAS on the grounds that it would enhance the comparability, consistency and transparency of the financial statements. Feedback from targeted outreach emphasised that users agreed the usefulness of information within financial statements for decision making is adversely affected where entities have not consistently applied R&amp;M requirements. Further discussion of the Board’s consideration on this matter is available in AASB 2020-2 paragraphs BC108−BC114. </w:t>
      </w:r>
    </w:p>
    <w:p w14:paraId="3330B33C"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While some respondents had called for more than one Tier 2 GPFS framework for for-profit entities, the Board noted that given the small number of for-profit entities required to publicly lodge financial statements with ASIC, which will be even less following the increase of the reporting thresholds for large proprietary companies (April 2019), the development and maintenance of more than two GPFS disclosure frameworks was not warranted. The Board further emphasised that entities without a statutory requirement to comply with AAS, such as those below the now doubled large proprietary thresholds, would be able to continue to tailor their financial statements to the needs of their specific users and therefore additional Tiers were not required. Further discussion of the Board’s consideration on this matter is available in AASB 2020-2 paragraphs BC99−BC107.</w:t>
      </w:r>
    </w:p>
    <w:p w14:paraId="6E58D2CB" w14:textId="77777777"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However, separate targeted consultations will be undertaken in relation to the implementation of the IASB’s revised </w:t>
      </w:r>
      <w:r w:rsidRPr="00155974">
        <w:rPr>
          <w:iCs/>
          <w:color w:val="auto"/>
          <w:sz w:val="19"/>
          <w:szCs w:val="19"/>
        </w:rPr>
        <w:t xml:space="preserve">Conceptual Framework </w:t>
      </w:r>
      <w:r w:rsidRPr="00155974">
        <w:rPr>
          <w:color w:val="auto"/>
          <w:sz w:val="19"/>
          <w:szCs w:val="19"/>
        </w:rPr>
        <w:t>by not-for-profit (NFP) private and public sector entities which may result in more than two tiers for those sectors, as the characteristics of those sectors are quite different. For these entities, this Standard is therefore an interim measure until more progress is made through further consultation and outreach.</w:t>
      </w:r>
    </w:p>
    <w:p w14:paraId="609BB952"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After having considered the various options outlined below and the feedback received on ED 295 </w:t>
      </w:r>
      <w:r w:rsidRPr="00155974">
        <w:rPr>
          <w:i/>
          <w:iCs/>
          <w:sz w:val="19"/>
          <w:szCs w:val="19"/>
        </w:rPr>
        <w:t>General Purpose Financial Statements – Simplified Disclosures for For-Profit and Not-for-Profit Tier 2 Entities</w:t>
      </w:r>
      <w:r w:rsidRPr="00155974">
        <w:rPr>
          <w:sz w:val="19"/>
          <w:szCs w:val="19"/>
        </w:rPr>
        <w:t xml:space="preserve">, the Board is of the view that this Standard addresses stakeholders’ concerns and provides an appropriate balance between user needs and preparer costs. </w:t>
      </w:r>
    </w:p>
    <w:p w14:paraId="51215721" w14:textId="77777777" w:rsidR="0088075B" w:rsidRPr="00155974" w:rsidRDefault="0088075B" w:rsidP="00A32439">
      <w:pPr>
        <w:pStyle w:val="Heading2"/>
      </w:pPr>
      <w:r w:rsidRPr="00155974">
        <w:t xml:space="preserve">Options considered: why using the </w:t>
      </w:r>
      <w:r w:rsidRPr="00155974">
        <w:rPr>
          <w:i/>
          <w:iCs/>
        </w:rPr>
        <w:t>IFRS for SMEs</w:t>
      </w:r>
      <w:r w:rsidRPr="00155974">
        <w:t xml:space="preserve"> Standard as the basis for the new Tier 2 Standard?</w:t>
      </w:r>
    </w:p>
    <w:p w14:paraId="07186CC0"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In developing AASB 1060, the Board considered the following options:</w:t>
      </w:r>
    </w:p>
    <w:p w14:paraId="4F10BA78"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retain </w:t>
      </w:r>
      <w:r w:rsidRPr="00155974">
        <w:rPr>
          <w:color w:val="auto"/>
          <w:sz w:val="19"/>
          <w:szCs w:val="19"/>
        </w:rPr>
        <w:t>the</w:t>
      </w:r>
      <w:r w:rsidRPr="00155974">
        <w:rPr>
          <w:sz w:val="19"/>
          <w:szCs w:val="19"/>
        </w:rPr>
        <w:t xml:space="preserve"> current Tier 2 disclosure requirements (RDR framework); </w:t>
      </w:r>
    </w:p>
    <w:p w14:paraId="4FCE7AB0" w14:textId="0A14208C"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adopt the alternative proposed in ITC 39 (SDR framework – see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BC13</w:t>
      </w:r>
      <w:r w:rsidRPr="00155974">
        <w:rPr>
          <w:sz w:val="19"/>
          <w:szCs w:val="19"/>
        </w:rPr>
        <w:fldChar w:fldCharType="end"/>
      </w:r>
      <w:r w:rsidRPr="00155974">
        <w:rPr>
          <w:sz w:val="19"/>
          <w:szCs w:val="19"/>
        </w:rPr>
        <w:t>);</w:t>
      </w:r>
    </w:p>
    <w:p w14:paraId="3F459DC2"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revisit the proposals in ED 277 </w:t>
      </w:r>
      <w:r w:rsidRPr="00155974">
        <w:rPr>
          <w:i/>
          <w:iCs/>
          <w:sz w:val="19"/>
          <w:szCs w:val="19"/>
        </w:rPr>
        <w:t>Reduced Disclosures Requirements for Tier 2 Entities</w:t>
      </w:r>
      <w:r w:rsidRPr="00155974">
        <w:rPr>
          <w:sz w:val="19"/>
          <w:szCs w:val="19"/>
        </w:rPr>
        <w:t>; or</w:t>
      </w:r>
    </w:p>
    <w:p w14:paraId="6CC203ED"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develop a new disclosure Standard based on the </w:t>
      </w:r>
      <w:r w:rsidRPr="00155974">
        <w:rPr>
          <w:i/>
          <w:iCs/>
          <w:sz w:val="19"/>
          <w:szCs w:val="19"/>
        </w:rPr>
        <w:t>IFRS for SMEs</w:t>
      </w:r>
      <w:r w:rsidRPr="00155974">
        <w:rPr>
          <w:sz w:val="19"/>
          <w:szCs w:val="19"/>
        </w:rPr>
        <w:t xml:space="preserve"> Standard. </w:t>
      </w:r>
    </w:p>
    <w:p w14:paraId="6A1D7CE0" w14:textId="1848155A" w:rsidR="0088075B" w:rsidRPr="00155974" w:rsidRDefault="0088075B" w:rsidP="00057305">
      <w:pPr>
        <w:pStyle w:val="IASBSectionTitle2Ind"/>
      </w:pPr>
      <w:r w:rsidRPr="00155974">
        <w:t>RDR and SDR frameworks – feedback from ITC</w:t>
      </w:r>
      <w:r w:rsidR="007C2EDF">
        <w:t xml:space="preserve"> </w:t>
      </w:r>
      <w:r w:rsidRPr="00155974">
        <w:t>39</w:t>
      </w:r>
    </w:p>
    <w:p w14:paraId="084C9F3B"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In ITC 39, the Board proposed to replace the current RDR framework with a revised disclosure framework and proposed two alternatives for Tier 2 (See Specific Matter for Comment 12 of ITC 39). Alternative 1 was the existing Tier 2 RDR under AASB 1053 </w:t>
      </w:r>
      <w:r w:rsidRPr="00155974">
        <w:rPr>
          <w:i/>
          <w:sz w:val="19"/>
          <w:szCs w:val="19"/>
        </w:rPr>
        <w:t>Application of Tiers of Australian Accounting Standards</w:t>
      </w:r>
      <w:r w:rsidRPr="00155974">
        <w:rPr>
          <w:sz w:val="19"/>
          <w:szCs w:val="19"/>
        </w:rPr>
        <w:t xml:space="preserve"> which requires compliance with the full R&amp;M requirements of AAS (as amended for NFP specific issues) and with minimum disclosures specified in each Standard. </w:t>
      </w:r>
    </w:p>
    <w:p w14:paraId="7E854597" w14:textId="77777777" w:rsidR="0088075B" w:rsidRPr="00155974" w:rsidRDefault="0088075B" w:rsidP="000E61D3">
      <w:pPr>
        <w:pStyle w:val="Default"/>
        <w:numPr>
          <w:ilvl w:val="0"/>
          <w:numId w:val="35"/>
        </w:numPr>
        <w:spacing w:before="100"/>
        <w:ind w:left="782" w:hanging="782"/>
        <w:jc w:val="both"/>
        <w:rPr>
          <w:sz w:val="19"/>
          <w:szCs w:val="19"/>
        </w:rPr>
      </w:pPr>
      <w:bookmarkStart w:id="168" w:name="_Ref8999639"/>
      <w:r w:rsidRPr="00155974">
        <w:rPr>
          <w:sz w:val="19"/>
          <w:szCs w:val="19"/>
        </w:rPr>
        <w:t xml:space="preserve">The second proposed alternative, the Specified Disclosure Requirement (SDR), was a revised disclosure framework. It required full R&amp;M requirements of AAS (as amended for NFP specific issues) and included the disclosure of those Standards that are currently mandatory for entities required to prepare financial statements in accordance with Chapter 2M of the </w:t>
      </w:r>
      <w:r w:rsidRPr="00155974">
        <w:rPr>
          <w:i/>
          <w:sz w:val="19"/>
          <w:szCs w:val="19"/>
        </w:rPr>
        <w:t>Corporations Act 2001 (Cwth)</w:t>
      </w:r>
      <w:r w:rsidRPr="00155974">
        <w:rPr>
          <w:sz w:val="19"/>
          <w:szCs w:val="19"/>
        </w:rPr>
        <w:t xml:space="preserve">, being AASB 101 </w:t>
      </w:r>
      <w:r w:rsidRPr="00155974">
        <w:rPr>
          <w:i/>
          <w:sz w:val="19"/>
          <w:szCs w:val="19"/>
        </w:rPr>
        <w:t>Presentation of Financial Statements</w:t>
      </w:r>
      <w:r w:rsidRPr="00155974">
        <w:rPr>
          <w:sz w:val="19"/>
          <w:szCs w:val="19"/>
        </w:rPr>
        <w:t xml:space="preserve">, AASB 107 </w:t>
      </w:r>
      <w:r w:rsidRPr="00155974">
        <w:rPr>
          <w:i/>
          <w:sz w:val="19"/>
          <w:szCs w:val="19"/>
        </w:rPr>
        <w:t>Statement of Cash Flows</w:t>
      </w:r>
      <w:r w:rsidRPr="00155974">
        <w:rPr>
          <w:sz w:val="19"/>
          <w:szCs w:val="19"/>
        </w:rPr>
        <w:t xml:space="preserve">, AASB 108 </w:t>
      </w:r>
      <w:r w:rsidRPr="00155974">
        <w:rPr>
          <w:i/>
          <w:sz w:val="19"/>
          <w:szCs w:val="19"/>
        </w:rPr>
        <w:t>Accounting Policies, Changes in Accounting Estimates and Errors</w:t>
      </w:r>
      <w:r w:rsidRPr="00155974">
        <w:rPr>
          <w:sz w:val="19"/>
          <w:szCs w:val="19"/>
        </w:rPr>
        <w:t xml:space="preserve">, AASB 1048 </w:t>
      </w:r>
      <w:r w:rsidRPr="00155974">
        <w:rPr>
          <w:i/>
          <w:sz w:val="19"/>
          <w:szCs w:val="19"/>
        </w:rPr>
        <w:t>Interpretation of Standards</w:t>
      </w:r>
      <w:r w:rsidRPr="00155974">
        <w:rPr>
          <w:sz w:val="19"/>
          <w:szCs w:val="19"/>
        </w:rPr>
        <w:t xml:space="preserve"> and AASB 1054 </w:t>
      </w:r>
      <w:r w:rsidRPr="00155974">
        <w:rPr>
          <w:i/>
          <w:sz w:val="19"/>
          <w:szCs w:val="19"/>
        </w:rPr>
        <w:t>Australian Additional Disclosures,</w:t>
      </w:r>
      <w:r w:rsidRPr="00155974">
        <w:rPr>
          <w:sz w:val="19"/>
          <w:szCs w:val="19"/>
        </w:rPr>
        <w:t xml:space="preserve"> and disclosures required by AASB 15 </w:t>
      </w:r>
      <w:r w:rsidRPr="00155974">
        <w:rPr>
          <w:i/>
          <w:sz w:val="19"/>
          <w:szCs w:val="19"/>
        </w:rPr>
        <w:t xml:space="preserve">Revenue from Contracts with </w:t>
      </w:r>
      <w:r w:rsidRPr="00155974">
        <w:rPr>
          <w:i/>
          <w:sz w:val="19"/>
          <w:szCs w:val="19"/>
        </w:rPr>
        <w:lastRenderedPageBreak/>
        <w:t>Customers</w:t>
      </w:r>
      <w:r w:rsidRPr="00155974">
        <w:rPr>
          <w:sz w:val="19"/>
          <w:szCs w:val="19"/>
        </w:rPr>
        <w:t xml:space="preserve">, AASB 112 </w:t>
      </w:r>
      <w:r w:rsidRPr="00155974">
        <w:rPr>
          <w:i/>
          <w:sz w:val="19"/>
          <w:szCs w:val="19"/>
        </w:rPr>
        <w:t>Income Taxes</w:t>
      </w:r>
      <w:r w:rsidRPr="00155974">
        <w:rPr>
          <w:sz w:val="19"/>
          <w:szCs w:val="19"/>
        </w:rPr>
        <w:t xml:space="preserve">, AASB 124 </w:t>
      </w:r>
      <w:r w:rsidRPr="00155974">
        <w:rPr>
          <w:i/>
          <w:sz w:val="19"/>
          <w:szCs w:val="19"/>
        </w:rPr>
        <w:t>Related Party Disclosures</w:t>
      </w:r>
      <w:r w:rsidRPr="00155974">
        <w:rPr>
          <w:sz w:val="19"/>
          <w:szCs w:val="19"/>
        </w:rPr>
        <w:t xml:space="preserve"> and AASB 136 </w:t>
      </w:r>
      <w:r w:rsidRPr="00155974">
        <w:rPr>
          <w:i/>
          <w:sz w:val="19"/>
          <w:szCs w:val="19"/>
        </w:rPr>
        <w:t>Impairment of Assets</w:t>
      </w:r>
      <w:r w:rsidRPr="00155974">
        <w:rPr>
          <w:sz w:val="19"/>
          <w:szCs w:val="19"/>
        </w:rPr>
        <w:t>.</w:t>
      </w:r>
      <w:bookmarkEnd w:id="168"/>
    </w:p>
    <w:p w14:paraId="59CBA3AC"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After issuing ITC 39, the Board held targeted outreach with key stakeholders, including State, Territory and National regulators, audit offices, accounting firms, the Australian Securities Exchange (ASX), the Australian Taxation Office (ATO), the Australian Securities and Investments Commission (ASIC), credit rating agencies and professional bodies. The ITC 39 proposals were also presented at various forums, workshops, roundtables and discussion groups.</w:t>
      </w:r>
    </w:p>
    <w:p w14:paraId="7452D406"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The Board received feedback on its proposals in ITC 39 through 33 formal comment letters from professional service firms, regulators, professional bodies, academics, preparers, users of financial statements and other respondents. Furthermore, feedback was sought via targeted user and preparer surveys in quarter 3 of 2018, which received a total of 37 user and 49 preparer responses</w:t>
      </w:r>
      <w:r w:rsidRPr="00155974">
        <w:rPr>
          <w:rStyle w:val="FootnoteReference"/>
          <w:sz w:val="19"/>
          <w:szCs w:val="19"/>
        </w:rPr>
        <w:footnoteReference w:id="49"/>
      </w:r>
      <w:r w:rsidRPr="00155974">
        <w:rPr>
          <w:sz w:val="19"/>
          <w:szCs w:val="19"/>
        </w:rPr>
        <w:t xml:space="preserve">. The surveys were focussed on the specific matters for comment in ITC 39, and were used to get a better understanding of which of the Tier 2 GPFS frameworks proposed in ITC 39 users preferred (and why), as well as what transitional relief would be helpful to preparers. </w:t>
      </w:r>
    </w:p>
    <w:p w14:paraId="289CE284" w14:textId="1EAD875A"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feedback on the proposed SDR framework was that the SDR had too many disclosures in some ways but fell short in many other ways. For example, the feedback received from roundtables, surveys and submissions on ITC 39 was that whilst the disclosures in SDR are important, requiring full disclosure of those nine Standards (as explained in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BC13</w:t>
      </w:r>
      <w:r w:rsidRPr="00155974">
        <w:rPr>
          <w:sz w:val="19"/>
          <w:szCs w:val="19"/>
        </w:rPr>
        <w:fldChar w:fldCharType="end"/>
      </w:r>
      <w:r w:rsidRPr="00155974">
        <w:rPr>
          <w:sz w:val="19"/>
          <w:szCs w:val="19"/>
        </w:rPr>
        <w:t xml:space="preserve">) was too much. Most participants further suggested that SDR might not be appropriate for all industry sectors and is missing some critical disclosures to help predict the viability of an entity such as liquidity, contingent liabilities, subsequent events and commitment disclosures. </w:t>
      </w:r>
    </w:p>
    <w:p w14:paraId="25AAB101" w14:textId="77777777" w:rsidR="0088075B" w:rsidRPr="00155974" w:rsidRDefault="0088075B" w:rsidP="000E61D3">
      <w:pPr>
        <w:pStyle w:val="Default"/>
        <w:numPr>
          <w:ilvl w:val="0"/>
          <w:numId w:val="35"/>
        </w:numPr>
        <w:spacing w:before="100"/>
        <w:ind w:left="782" w:hanging="782"/>
        <w:jc w:val="both"/>
        <w:rPr>
          <w:rFonts w:ascii="Arial" w:hAnsi="Arial" w:cs="Arial"/>
          <w:sz w:val="20"/>
          <w:szCs w:val="20"/>
        </w:rPr>
      </w:pPr>
      <w:r w:rsidRPr="00155974">
        <w:rPr>
          <w:sz w:val="19"/>
          <w:szCs w:val="19"/>
        </w:rPr>
        <w:t xml:space="preserve">At the same time, respondents noted that refining the principles used in determining the level of disclosures required for Tier 2 entities to achieve an appropriate balance between the benefits of financial information to users and the costs to preparers of providing that information is crucial. The feedback from the roundtables, surveys and submissions on ITC 39 indicated that RDR has too many disclosure requirements. </w:t>
      </w:r>
    </w:p>
    <w:p w14:paraId="20553F0B" w14:textId="77777777" w:rsidR="0088075B" w:rsidRPr="00155974" w:rsidRDefault="0088075B" w:rsidP="00FD3FE7">
      <w:pPr>
        <w:pStyle w:val="IASBSectionTitle2Ind"/>
      </w:pPr>
      <w:r w:rsidRPr="00155974">
        <w:t>Revisiting the proposals in ED 277</w:t>
      </w:r>
    </w:p>
    <w:p w14:paraId="01604E02" w14:textId="77777777" w:rsidR="0088075B" w:rsidRPr="00155974" w:rsidRDefault="0088075B" w:rsidP="000E61D3">
      <w:pPr>
        <w:pStyle w:val="Default"/>
        <w:numPr>
          <w:ilvl w:val="0"/>
          <w:numId w:val="35"/>
        </w:numPr>
        <w:spacing w:before="100"/>
        <w:ind w:left="782" w:hanging="782"/>
        <w:jc w:val="both"/>
        <w:rPr>
          <w:b/>
          <w:color w:val="auto"/>
          <w:sz w:val="19"/>
          <w:szCs w:val="19"/>
        </w:rPr>
      </w:pPr>
      <w:r w:rsidRPr="00155974">
        <w:rPr>
          <w:color w:val="auto"/>
          <w:sz w:val="19"/>
          <w:szCs w:val="19"/>
        </w:rPr>
        <w:t xml:space="preserve">The RDR disclosure requirements in Australia and New Zealand are essentially the same and are based on an approach developed by the Board in 2010. That approach draws on the disclosure requirements in the </w:t>
      </w:r>
      <w:r w:rsidRPr="00155974">
        <w:rPr>
          <w:i/>
          <w:iCs/>
          <w:color w:val="auto"/>
          <w:sz w:val="19"/>
          <w:szCs w:val="19"/>
        </w:rPr>
        <w:t>IFRS for SMEs</w:t>
      </w:r>
      <w:r w:rsidRPr="00155974">
        <w:rPr>
          <w:color w:val="auto"/>
          <w:sz w:val="19"/>
          <w:szCs w:val="19"/>
        </w:rPr>
        <w:t xml:space="preserve"> Standard when Tier 2 R&amp;M requirements are the same as those under the </w:t>
      </w:r>
      <w:r w:rsidRPr="00155974">
        <w:rPr>
          <w:i/>
          <w:iCs/>
          <w:color w:val="auto"/>
          <w:sz w:val="19"/>
          <w:szCs w:val="19"/>
        </w:rPr>
        <w:t>IFRS for SMEs</w:t>
      </w:r>
      <w:r w:rsidRPr="00155974">
        <w:rPr>
          <w:color w:val="auto"/>
          <w:sz w:val="19"/>
          <w:szCs w:val="19"/>
        </w:rPr>
        <w:t xml:space="preserve"> Standard; and applies the ‘user needs’ and ‘cost-benefit’ principles applied by the IASB in developing its </w:t>
      </w:r>
      <w:r w:rsidRPr="00155974">
        <w:rPr>
          <w:i/>
          <w:iCs/>
          <w:color w:val="auto"/>
          <w:sz w:val="19"/>
          <w:szCs w:val="19"/>
        </w:rPr>
        <w:t>IFRS for SMEs</w:t>
      </w:r>
      <w:r w:rsidRPr="00155974">
        <w:rPr>
          <w:color w:val="auto"/>
          <w:sz w:val="19"/>
          <w:szCs w:val="19"/>
        </w:rPr>
        <w:t xml:space="preserve"> Standard when full R&amp;M requirements are not the same as those available under the </w:t>
      </w:r>
      <w:r w:rsidRPr="00155974">
        <w:rPr>
          <w:i/>
          <w:iCs/>
          <w:color w:val="auto"/>
          <w:sz w:val="19"/>
          <w:szCs w:val="19"/>
        </w:rPr>
        <w:t>IFRS for SMEs</w:t>
      </w:r>
      <w:r w:rsidRPr="00155974">
        <w:rPr>
          <w:color w:val="auto"/>
          <w:sz w:val="19"/>
          <w:szCs w:val="19"/>
        </w:rPr>
        <w:t xml:space="preserve"> Standard. </w:t>
      </w:r>
      <w:r w:rsidRPr="00155974">
        <w:rPr>
          <w:sz w:val="19"/>
          <w:szCs w:val="19"/>
        </w:rPr>
        <w:t>A top-down approach is used which starts with the full IFRS disclosures and then identifies those that can be removed. The Board noted that there could be a tendency to retain disclosures in circumstances where a direct comparison is not possible.</w:t>
      </w:r>
    </w:p>
    <w:p w14:paraId="669D615D"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A post implementation review of the RDR framework was carried out by the Board which identified that the RDR disclosure requirements had not delivered the expected outcome and that take up of the RDR framework by entities was consequently low</w:t>
      </w:r>
      <w:r w:rsidRPr="00155974">
        <w:rPr>
          <w:rStyle w:val="FootnoteReference"/>
          <w:sz w:val="19"/>
          <w:szCs w:val="19"/>
        </w:rPr>
        <w:footnoteReference w:id="50"/>
      </w:r>
      <w:r w:rsidRPr="00155974">
        <w:rPr>
          <w:sz w:val="19"/>
          <w:szCs w:val="19"/>
        </w:rPr>
        <w:t xml:space="preserve">. In response to the findings of the post implementation review, the Board issued ED 277 in </w:t>
      </w:r>
      <w:r w:rsidRPr="00155974">
        <w:rPr>
          <w:color w:val="auto"/>
          <w:sz w:val="19"/>
          <w:szCs w:val="19"/>
        </w:rPr>
        <w:t>January</w:t>
      </w:r>
      <w:r w:rsidRPr="00155974">
        <w:rPr>
          <w:sz w:val="19"/>
          <w:szCs w:val="19"/>
        </w:rPr>
        <w:t xml:space="preserve"> 2017 as a joint project with the New Zealand Accounting Standards Board (NZASB). </w:t>
      </w:r>
    </w:p>
    <w:p w14:paraId="3EAD274B" w14:textId="77777777" w:rsidR="0088075B" w:rsidRPr="00155974" w:rsidRDefault="0088075B" w:rsidP="000E61D3">
      <w:pPr>
        <w:pStyle w:val="Default"/>
        <w:numPr>
          <w:ilvl w:val="0"/>
          <w:numId w:val="35"/>
        </w:numPr>
        <w:spacing w:before="100"/>
        <w:ind w:left="782" w:hanging="782"/>
        <w:jc w:val="both"/>
        <w:rPr>
          <w:b/>
          <w:sz w:val="19"/>
          <w:szCs w:val="19"/>
        </w:rPr>
      </w:pPr>
      <w:r w:rsidRPr="00155974">
        <w:rPr>
          <w:sz w:val="19"/>
          <w:szCs w:val="19"/>
        </w:rPr>
        <w:t>ED 277 proposed adopting an RDR decision-making framework, together with accompanying operational guidance. The framework was based on Key Disclosure Areas (KDAs) which were meant to result in information that meets user needs. Judgement was required when applying this framework, and the overarching principles of user needs and cost-benefit were considered when determining the disclosures that Tier 2 entities should make.</w:t>
      </w:r>
    </w:p>
    <w:p w14:paraId="13C94CE1" w14:textId="77777777" w:rsidR="0088075B" w:rsidRPr="00155974" w:rsidRDefault="0088075B" w:rsidP="000E61D3">
      <w:pPr>
        <w:pStyle w:val="Default"/>
        <w:numPr>
          <w:ilvl w:val="0"/>
          <w:numId w:val="35"/>
        </w:numPr>
        <w:spacing w:before="100"/>
        <w:ind w:left="782" w:hanging="782"/>
        <w:jc w:val="both"/>
        <w:rPr>
          <w:rFonts w:ascii="Arial" w:hAnsi="Arial" w:cs="Arial"/>
          <w:sz w:val="20"/>
          <w:szCs w:val="20"/>
        </w:rPr>
      </w:pPr>
      <w:r w:rsidRPr="00155974">
        <w:rPr>
          <w:sz w:val="19"/>
          <w:szCs w:val="19"/>
        </w:rPr>
        <w:t>The approach taken in the proposed Tier 2 framework in ED 277</w:t>
      </w:r>
      <w:r w:rsidRPr="00155974">
        <w:rPr>
          <w:rFonts w:ascii="Arial" w:hAnsi="Arial" w:cs="Arial"/>
          <w:sz w:val="20"/>
        </w:rPr>
        <w:t xml:space="preserve"> </w:t>
      </w:r>
      <w:r w:rsidRPr="00155974">
        <w:rPr>
          <w:sz w:val="19"/>
          <w:szCs w:val="19"/>
        </w:rPr>
        <w:t xml:space="preserve">was to include an Australian Appendix in each AAS that identifies the disclosures that Tier 2 entities are required to provide, thereby addressing concerns by those that find the shading used to identify disclosures that can be omitted confusing. However, while ED 277 was based on clear disclosure principles, the cost-benefit analysis was difficult to apply in the </w:t>
      </w:r>
      <w:r w:rsidRPr="00155974">
        <w:rPr>
          <w:sz w:val="19"/>
          <w:szCs w:val="19"/>
        </w:rPr>
        <w:lastRenderedPageBreak/>
        <w:t>context of disclosures and the top-down approach resulted in too many disclosures being retained, as removal was difficult to justify with the KDAs.</w:t>
      </w:r>
      <w:r w:rsidRPr="00155974">
        <w:rPr>
          <w:rFonts w:ascii="Arial" w:hAnsi="Arial" w:cs="Arial"/>
          <w:sz w:val="20"/>
          <w:szCs w:val="20"/>
        </w:rPr>
        <w:t xml:space="preserve"> </w:t>
      </w:r>
    </w:p>
    <w:p w14:paraId="2C97050B" w14:textId="77777777" w:rsidR="0088075B" w:rsidRPr="00155974" w:rsidRDefault="0088075B" w:rsidP="000E61D3">
      <w:pPr>
        <w:pStyle w:val="Default"/>
        <w:numPr>
          <w:ilvl w:val="0"/>
          <w:numId w:val="35"/>
        </w:numPr>
        <w:spacing w:before="100"/>
        <w:ind w:left="782" w:hanging="782"/>
        <w:jc w:val="both"/>
        <w:rPr>
          <w:rFonts w:ascii="Arial" w:hAnsi="Arial" w:cs="Arial"/>
          <w:sz w:val="20"/>
          <w:szCs w:val="20"/>
        </w:rPr>
      </w:pPr>
      <w:r w:rsidRPr="00155974">
        <w:rPr>
          <w:sz w:val="19"/>
          <w:szCs w:val="19"/>
        </w:rPr>
        <w:t>Feedback from Australian stakeholders confirmed that ED 277 still resulted in too many disclosures. While the Board had intended to conduct further outreach and consultation on the proposals in ED 277, any further work was put on hold following the issue of the revised Conceptual Framework by the IASB in March 2018 and the decision by the Board to reform the Australian Financial Reporting Framework and propose removing the ability for entities to prepare SPFS when required to comply with AAS by legislation or otherwise.</w:t>
      </w:r>
    </w:p>
    <w:p w14:paraId="38A93E67" w14:textId="1993DFB4" w:rsidR="0088075B" w:rsidRPr="00155974" w:rsidRDefault="0088075B" w:rsidP="00FD3FE7">
      <w:pPr>
        <w:pStyle w:val="IASBSectionTitle2Ind"/>
      </w:pPr>
      <w:r w:rsidRPr="00155974">
        <w:t xml:space="preserve">Issue of ED 295 – New disclosure Standard based on the disclosures in </w:t>
      </w:r>
      <w:r w:rsidRPr="00155974">
        <w:rPr>
          <w:i/>
        </w:rPr>
        <w:t>IFRS for SMEs</w:t>
      </w:r>
      <w:r w:rsidRPr="00155974">
        <w:t xml:space="preserve"> Standard</w:t>
      </w:r>
    </w:p>
    <w:p w14:paraId="4FCBD33A"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In weighing up the shortfalls of RDR, the other proposed Tier 2 options and the disclosure principles applied by the IASB while developing the </w:t>
      </w:r>
      <w:r w:rsidRPr="00155974">
        <w:rPr>
          <w:i/>
          <w:sz w:val="19"/>
          <w:szCs w:val="19"/>
        </w:rPr>
        <w:t>IFRS for SMEs</w:t>
      </w:r>
      <w:r w:rsidRPr="00155974">
        <w:rPr>
          <w:sz w:val="19"/>
          <w:szCs w:val="19"/>
        </w:rPr>
        <w:t xml:space="preserve"> Standard, the Board decided in February 2019 to develop a new Tier 2 Standard based on the disclosures in the </w:t>
      </w:r>
      <w:r w:rsidRPr="00155974">
        <w:rPr>
          <w:i/>
          <w:iCs/>
          <w:sz w:val="19"/>
          <w:szCs w:val="19"/>
        </w:rPr>
        <w:t>IFRS for SMEs</w:t>
      </w:r>
      <w:r w:rsidRPr="00155974">
        <w:rPr>
          <w:sz w:val="19"/>
          <w:szCs w:val="19"/>
        </w:rPr>
        <w:t xml:space="preserve"> Standard which would be available for GPFS that are publicly lodged or are required to comply with AAS, but do not relate to entities that are publicly accountable.</w:t>
      </w:r>
    </w:p>
    <w:p w14:paraId="597341CB"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Using the </w:t>
      </w:r>
      <w:r w:rsidRPr="00155974">
        <w:rPr>
          <w:i/>
          <w:iCs/>
          <w:sz w:val="19"/>
          <w:szCs w:val="19"/>
        </w:rPr>
        <w:t>IFRS for SMEs</w:t>
      </w:r>
      <w:r w:rsidRPr="00155974">
        <w:rPr>
          <w:sz w:val="19"/>
          <w:szCs w:val="19"/>
        </w:rPr>
        <w:t xml:space="preserve"> Standard as the base maximises the use of relevant IFRS-based materials. The Board further noted that the IASB had added a research project on Subsidiaries that are SMEs to their agenda in March 2019, which was moved to the standard-setting programme in January 2020. Consistent with the policy of adopting Standards issued by the IASB for application by Australian entities, AASB 1060 may ultimately be replaced with the Standard developed by the IASB. This would not only remove the need for the Board to maintain a separate Tier 2 Standard, but also provide comparability and consistency for subsidiary reporting globally. However, this is a longer-term project and the Board needs to have a revised disclosure framework in place in time for the removal of SPFS from 1 July 2021. While the Board could therefore not wait for the IASB to complete their project, the Board will monitor the progress of the IASB’s project closely.</w:t>
      </w:r>
    </w:p>
    <w:p w14:paraId="35AFEDE6"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disclosures that are relevant to Tier 2 entities are set out in a separate Standard, being AASB 1060, which was exposed for public comment in August 2019 as ED 295, together with ED 297. The comment period for both EDs ended on 30 November 2019. </w:t>
      </w:r>
    </w:p>
    <w:p w14:paraId="394672A3"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Extensive outreach was conducted on the proposals, including roundtables in Melbourne, Sydney, Brisbane, Perth and Adelaide, attended by 127 stakeholders, a webinar with 162 participants, as well as separate consultations with the AASB’s User Advisory Committee, credit analysts and private equity investors.</w:t>
      </w:r>
    </w:p>
    <w:p w14:paraId="5EA8A823"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Board received 25 formal submissions on ED 295 from stakeholders representing professional services firms, regulators, professional bodies, academics, preparers, public sector audit offices, software providers and others. </w:t>
      </w:r>
    </w:p>
    <w:p w14:paraId="07472727"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following section details the matter considered by the Board in developing the proposals and this Standard, including the Board’s decisions on how to address stakeholders’ feedback as part of the exposure process. </w:t>
      </w:r>
    </w:p>
    <w:p w14:paraId="4FB5ADE0" w14:textId="77777777" w:rsidR="0088075B" w:rsidRPr="00155974" w:rsidRDefault="0088075B" w:rsidP="00FD3FE7">
      <w:pPr>
        <w:pStyle w:val="Heading2"/>
      </w:pPr>
      <w:r w:rsidRPr="00155974">
        <w:t>Costs vs benefits</w:t>
      </w:r>
    </w:p>
    <w:p w14:paraId="07DC58C0"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The Board identified the following benefits arising from the adoption of the new Tier 2 Standard over the other options considered:</w:t>
      </w:r>
    </w:p>
    <w:p w14:paraId="2B456038"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The IASB has developed the disclosures in the </w:t>
      </w:r>
      <w:r w:rsidRPr="00155974">
        <w:rPr>
          <w:i/>
          <w:iCs/>
          <w:sz w:val="19"/>
          <w:szCs w:val="19"/>
        </w:rPr>
        <w:t>IFRS for SMEs</w:t>
      </w:r>
      <w:r w:rsidRPr="00155974">
        <w:rPr>
          <w:sz w:val="19"/>
          <w:szCs w:val="19"/>
        </w:rPr>
        <w:t xml:space="preserve"> Standard with for-profit private sector entities that are not publicly accountable entities</w:t>
      </w:r>
      <w:r w:rsidRPr="00155974" w:rsidDel="00785E84">
        <w:rPr>
          <w:sz w:val="19"/>
          <w:szCs w:val="19"/>
        </w:rPr>
        <w:t xml:space="preserve"> </w:t>
      </w:r>
      <w:r w:rsidRPr="00155974">
        <w:rPr>
          <w:sz w:val="19"/>
          <w:szCs w:val="19"/>
        </w:rPr>
        <w:t>in mind and considers that they are adequate to meet the needs of the relevant users</w:t>
      </w:r>
      <w:r w:rsidRPr="00155974">
        <w:rPr>
          <w:rStyle w:val="FootnoteReference"/>
          <w:sz w:val="19"/>
          <w:szCs w:val="19"/>
        </w:rPr>
        <w:footnoteReference w:id="51"/>
      </w:r>
      <w:r w:rsidRPr="00155974">
        <w:rPr>
          <w:sz w:val="19"/>
          <w:szCs w:val="19"/>
        </w:rPr>
        <w:t xml:space="preserve">. </w:t>
      </w:r>
    </w:p>
    <w:p w14:paraId="1F890D1A"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A comparison of the new disclosures to the disclosures that would be required under the SDR and RDR has confirmed that adoption of the new Tier 2 Standard addresses stakeholders concerns by resulting in a level of disclosures that lies in between the current RDR and the proposed SDR requirements.</w:t>
      </w:r>
    </w:p>
    <w:p w14:paraId="67C8603B" w14:textId="77777777" w:rsidR="0088075B" w:rsidRPr="00155974" w:rsidRDefault="0088075B" w:rsidP="000E61D3">
      <w:pPr>
        <w:pStyle w:val="Default"/>
        <w:numPr>
          <w:ilvl w:val="1"/>
          <w:numId w:val="35"/>
        </w:numPr>
        <w:spacing w:before="100"/>
        <w:ind w:left="1564" w:hanging="782"/>
        <w:jc w:val="both"/>
        <w:rPr>
          <w:sz w:val="19"/>
          <w:szCs w:val="19"/>
          <w:lang w:val="en-NZ"/>
        </w:rPr>
      </w:pPr>
      <w:r w:rsidRPr="00155974">
        <w:rPr>
          <w:sz w:val="19"/>
          <w:szCs w:val="19"/>
          <w:lang w:val="en-NZ"/>
        </w:rPr>
        <w:t xml:space="preserve">This option is based on a bottom-up approach in developing disclosures and avoids needing to identify </w:t>
      </w:r>
      <w:r w:rsidRPr="00155974">
        <w:rPr>
          <w:sz w:val="19"/>
          <w:szCs w:val="19"/>
        </w:rPr>
        <w:t>specific</w:t>
      </w:r>
      <w:r w:rsidRPr="00155974">
        <w:rPr>
          <w:sz w:val="19"/>
          <w:szCs w:val="19"/>
          <w:lang w:val="en-NZ"/>
        </w:rPr>
        <w:t xml:space="preserve"> full IFRS disclosures that need to be retained and those that can be excluded. It is a </w:t>
      </w:r>
      <w:r w:rsidRPr="00155974">
        <w:rPr>
          <w:sz w:val="19"/>
          <w:szCs w:val="19"/>
        </w:rPr>
        <w:t xml:space="preserve">more rigorous and targeted way of reducing disclosures to an appropriate level (based on previous </w:t>
      </w:r>
      <w:r w:rsidRPr="00155974">
        <w:rPr>
          <w:sz w:val="19"/>
          <w:szCs w:val="19"/>
        </w:rPr>
        <w:lastRenderedPageBreak/>
        <w:t>experiences with the RDR approach, as it involves needing to justify additional disclosures rather than the removal of disclosures from full IFRS</w:t>
      </w:r>
      <w:r w:rsidRPr="00155974">
        <w:rPr>
          <w:sz w:val="19"/>
          <w:szCs w:val="19"/>
          <w:lang w:val="en-NZ"/>
        </w:rPr>
        <w:t xml:space="preserve">). </w:t>
      </w:r>
    </w:p>
    <w:p w14:paraId="0D20A3B5" w14:textId="77777777" w:rsidR="0088075B" w:rsidRPr="00155974" w:rsidRDefault="0088075B" w:rsidP="000E61D3">
      <w:pPr>
        <w:pStyle w:val="Default"/>
        <w:numPr>
          <w:ilvl w:val="1"/>
          <w:numId w:val="35"/>
        </w:numPr>
        <w:spacing w:before="100"/>
        <w:ind w:left="1564" w:hanging="782"/>
        <w:jc w:val="both"/>
        <w:rPr>
          <w:sz w:val="19"/>
          <w:szCs w:val="19"/>
          <w:lang w:val="en-NZ"/>
        </w:rPr>
      </w:pPr>
      <w:r w:rsidRPr="00155974">
        <w:rPr>
          <w:sz w:val="19"/>
          <w:szCs w:val="19"/>
          <w:lang w:val="en-NZ"/>
        </w:rPr>
        <w:t xml:space="preserve">This option introduces more flexibility as it allows drafting disclosures to suit the circumstances and not be restricted by existing full IFRS disclosures. </w:t>
      </w:r>
    </w:p>
    <w:p w14:paraId="38351C4A" w14:textId="77777777" w:rsidR="0088075B" w:rsidRPr="00FD3FE7" w:rsidRDefault="0088075B" w:rsidP="000E61D3">
      <w:pPr>
        <w:pStyle w:val="Default"/>
        <w:numPr>
          <w:ilvl w:val="1"/>
          <w:numId w:val="35"/>
        </w:numPr>
        <w:spacing w:before="100"/>
        <w:ind w:left="1564" w:hanging="782"/>
        <w:jc w:val="both"/>
        <w:rPr>
          <w:bCs/>
          <w:sz w:val="19"/>
          <w:szCs w:val="19"/>
        </w:rPr>
      </w:pPr>
      <w:r w:rsidRPr="00155974">
        <w:rPr>
          <w:sz w:val="19"/>
          <w:szCs w:val="19"/>
          <w:lang w:val="en-NZ"/>
        </w:rPr>
        <w:t xml:space="preserve">Setting out </w:t>
      </w:r>
      <w:r w:rsidRPr="00155974">
        <w:rPr>
          <w:sz w:val="19"/>
          <w:szCs w:val="19"/>
        </w:rPr>
        <w:t>the</w:t>
      </w:r>
      <w:r w:rsidRPr="00155974">
        <w:rPr>
          <w:sz w:val="19"/>
          <w:szCs w:val="19"/>
          <w:lang w:val="en-NZ"/>
        </w:rPr>
        <w:t xml:space="preserve"> disclosures in a separate Standard will make it easier for stakeholders, as it avoids having to identify applicable disclosures via shading in between the full disclosures. The Board noted that this will also improve readability where parts of sentences were shaded in the RDR (ie excluded)</w:t>
      </w:r>
      <w:r w:rsidRPr="00155974">
        <w:rPr>
          <w:sz w:val="19"/>
          <w:szCs w:val="19"/>
        </w:rPr>
        <w:t>.</w:t>
      </w:r>
    </w:p>
    <w:p w14:paraId="688B0BF0"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However, the Board noted that adopting this Standard will result in a divergence from the New Zealand RDR Framework. The AASB’s </w:t>
      </w:r>
      <w:r w:rsidRPr="00155974">
        <w:rPr>
          <w:i/>
          <w:iCs/>
          <w:sz w:val="19"/>
          <w:szCs w:val="19"/>
        </w:rPr>
        <w:t>For-Profit Entity Standard-Setting Framework</w:t>
      </w:r>
      <w:r w:rsidRPr="00155974">
        <w:rPr>
          <w:sz w:val="19"/>
          <w:szCs w:val="19"/>
        </w:rPr>
        <w:t xml:space="preserve"> sets out that differences between accounting Standards issued in Australia and New Zealand for for-profit entities should be minimised wherever possible to reduce the costs for entities operating trans-Tasman. This divergence could cause inconvenience for entities operating trans-Tasman. Notwithstanding this, the Board noted that the R&amp;M requirements for entities applying the Tier 2 reporting frameworks in Australia and New Zealand would remain consistent and given the current situation of many Australian entities not complying with full R&amp;M requirements, the overall outcome is likely to be more consistency with NZ requirements than currently. The Board further noted that the NZ XRB has asked its stakeholders about the importance of harmonisation with Australia in their Targeted Review of the Accounting Standards Framework in July 2019 and that the NZASB will consider the feedback in future discussions on whether and how to respond to the developments in Australia and internationally. </w:t>
      </w:r>
    </w:p>
    <w:p w14:paraId="3955D3D9"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Board also noted that the simplified Tier 2 disclosures are contained in a separate Standard which might not be welcomed by preparers who prefer seeing the disclosure requirements together with the R&amp;M requirements in each Standard. However, only four respondents to ED 295 did not like having a separate disclosure standard. Feedback at the roundtables and webinars was overwhelmingly positive.  </w:t>
      </w:r>
    </w:p>
    <w:p w14:paraId="2CAD079F" w14:textId="45331B0A"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Finally, for entities that were previously preparing SPFS, the adoption of AASB 2020-2 means a step-up in their disclosures. The disclosures will also likely exceed what would have been required under the SDR proposals outlined in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BC13</w:t>
      </w:r>
      <w:r w:rsidRPr="00155974">
        <w:rPr>
          <w:sz w:val="19"/>
          <w:szCs w:val="19"/>
        </w:rPr>
        <w:fldChar w:fldCharType="end"/>
      </w:r>
      <w:r w:rsidRPr="00155974">
        <w:rPr>
          <w:sz w:val="19"/>
          <w:szCs w:val="19"/>
        </w:rPr>
        <w:t xml:space="preserve">. However, there will be some disclosure relief, as SPFS currently are required to comply with all the disclosures in the mandatory standards (AASB 101, AASB 107, AASB 108, AASB 1048 and AASB 1054) which go beyond what is required under AASB 1060. Furthermore, the doubling of the reporting thresholds for large proprietary companies in April 2019 has already reduced the number of entities that are required to prepare and lodge financial statements with ASIC by approximately 2,300 companies, and the Board has further reduced the burden for affected entities by providing transitional relief for entities that are adopting AASB 2020-2 and AASB 1060 early, ie for financial years beginning before 1 July 2021. Further discussion of the Board’s consideration on this matter is available in </w:t>
      </w:r>
      <w:r w:rsidRPr="00155974" w:rsidDel="00221225">
        <w:rPr>
          <w:sz w:val="19"/>
          <w:szCs w:val="19"/>
        </w:rPr>
        <w:t>AASB</w:t>
      </w:r>
      <w:r w:rsidR="00221225">
        <w:rPr>
          <w:sz w:val="19"/>
          <w:szCs w:val="19"/>
        </w:rPr>
        <w:t> </w:t>
      </w:r>
      <w:r w:rsidRPr="00155974">
        <w:rPr>
          <w:sz w:val="19"/>
          <w:szCs w:val="19"/>
        </w:rPr>
        <w:t>2020</w:t>
      </w:r>
      <w:r w:rsidR="00221225">
        <w:rPr>
          <w:sz w:val="19"/>
          <w:szCs w:val="19"/>
        </w:rPr>
        <w:noBreakHyphen/>
      </w:r>
      <w:r w:rsidRPr="00155974">
        <w:rPr>
          <w:sz w:val="19"/>
          <w:szCs w:val="19"/>
        </w:rPr>
        <w:t>2 paragraphs BC122−BC153.</w:t>
      </w:r>
    </w:p>
    <w:p w14:paraId="050A25CC"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After considering both the advantages and disadvantages noted above, the Board was of the view that the simplified disclosures strike the right balance between user needs and cost to preparers and appropriately address the concerns raised by respondents to ITC 39. In particular, the Board noted the strong support for a consistent reporting framework which requires compliance with full R&amp;M requirements in AAS but revisits the current disclosures that are required for Tier 2 entities under the RDR framework. The disclosures in AASB 1060 will not only be beneficial for entities that are already reporting under Tier 2 but also those entities that will have to step up from SPFS to Tier 2 GPFS when the  removal of SPFS for certain for-profit private sector entities that are required to prepare financial statements that comply with AAS or accounting standards through AASB 2020-2 becomes applicable. </w:t>
      </w:r>
    </w:p>
    <w:p w14:paraId="7158BE13" w14:textId="77777777" w:rsidR="0088075B" w:rsidRPr="00155974" w:rsidRDefault="0088075B" w:rsidP="00FD3FE7">
      <w:pPr>
        <w:pStyle w:val="Heading2"/>
      </w:pPr>
      <w:bookmarkStart w:id="169" w:name="_Methodology_and_principles"/>
      <w:bookmarkEnd w:id="169"/>
      <w:r w:rsidRPr="00155974">
        <w:t xml:space="preserve">Methodology and </w:t>
      </w:r>
      <w:r w:rsidRPr="009B6A0C">
        <w:t>principles</w:t>
      </w:r>
      <w:r w:rsidRPr="00155974">
        <w:t xml:space="preserve"> applied</w:t>
      </w:r>
    </w:p>
    <w:p w14:paraId="7480DD3B" w14:textId="7D7641FE" w:rsidR="0088075B" w:rsidRPr="00155974" w:rsidRDefault="0088075B" w:rsidP="000E61D3">
      <w:pPr>
        <w:pStyle w:val="Default"/>
        <w:numPr>
          <w:ilvl w:val="0"/>
          <w:numId w:val="35"/>
        </w:numPr>
        <w:spacing w:before="100"/>
        <w:ind w:left="782" w:hanging="782"/>
        <w:jc w:val="both"/>
        <w:rPr>
          <w:sz w:val="19"/>
          <w:szCs w:val="19"/>
        </w:rPr>
      </w:pPr>
      <w:bookmarkStart w:id="170" w:name="_Ref8738650"/>
      <w:r w:rsidRPr="00155974">
        <w:rPr>
          <w:sz w:val="19"/>
          <w:szCs w:val="19"/>
        </w:rPr>
        <w:t>In accordance with AASB 1053, Tier 2 requirements comprise the R&amp;M requirements of Tier 1 but substantially reduced disclosure requirements. AASB 1053 sets out the eligibility criteria that entities must meet to report in accordance with the Tier 2 framework. This framework does not change those criteria.</w:t>
      </w:r>
      <w:bookmarkEnd w:id="170"/>
    </w:p>
    <w:p w14:paraId="0EB403DE"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Board agreed to develop the new disclosures via a bottom-up approach, starting with the existing disclosures in the </w:t>
      </w:r>
      <w:r w:rsidRPr="00155974">
        <w:rPr>
          <w:i/>
          <w:iCs/>
          <w:sz w:val="19"/>
          <w:szCs w:val="19"/>
        </w:rPr>
        <w:t>IFRS for SMEs</w:t>
      </w:r>
      <w:r w:rsidRPr="00155974">
        <w:rPr>
          <w:sz w:val="19"/>
          <w:szCs w:val="19"/>
        </w:rPr>
        <w:t xml:space="preserve"> Standard. This avoids having to identify specific full AAS disclosures that need to be retained and those that can be excluded. This approach also avoids the tendency to retain disclosures in circumstances where a direct comparison is not possible. To distinguish the new disclosure framework from the previous RDR framework, it will be referred to as the ‘Simplified Disclosures’ framework. </w:t>
      </w:r>
    </w:p>
    <w:p w14:paraId="2B0510A0" w14:textId="77777777" w:rsidR="0088075B" w:rsidRPr="00155974" w:rsidRDefault="0088075B" w:rsidP="000E61D3">
      <w:pPr>
        <w:pStyle w:val="Default"/>
        <w:widowControl w:val="0"/>
        <w:numPr>
          <w:ilvl w:val="0"/>
          <w:numId w:val="35"/>
        </w:numPr>
        <w:spacing w:before="100"/>
        <w:ind w:left="782" w:hanging="782"/>
        <w:jc w:val="both"/>
        <w:rPr>
          <w:sz w:val="19"/>
          <w:szCs w:val="19"/>
        </w:rPr>
      </w:pPr>
      <w:r w:rsidRPr="00155974">
        <w:rPr>
          <w:sz w:val="19"/>
          <w:szCs w:val="19"/>
        </w:rPr>
        <w:lastRenderedPageBreak/>
        <w:t xml:space="preserve">While the Board has decided not to adopt the </w:t>
      </w:r>
      <w:r w:rsidRPr="00155974">
        <w:rPr>
          <w:i/>
          <w:sz w:val="19"/>
          <w:szCs w:val="19"/>
        </w:rPr>
        <w:t>IFRS for SMEs</w:t>
      </w:r>
      <w:r w:rsidRPr="00155974">
        <w:rPr>
          <w:sz w:val="19"/>
          <w:szCs w:val="19"/>
        </w:rPr>
        <w:t xml:space="preserve"> Standard as an alternative for Tier 2 reporting</w:t>
      </w:r>
      <w:r w:rsidRPr="00155974">
        <w:rPr>
          <w:rStyle w:val="FootnoteReference"/>
          <w:sz w:val="19"/>
          <w:szCs w:val="19"/>
        </w:rPr>
        <w:footnoteReference w:id="52"/>
      </w:r>
      <w:r w:rsidRPr="00155974">
        <w:rPr>
          <w:sz w:val="19"/>
          <w:szCs w:val="19"/>
        </w:rPr>
        <w:t xml:space="preserve">, the IASB’s assessment of user needs and cost-benefit considerations in relation to the disclosures for this group of entities will be similarly relevant to Australian for-profit private sector entities without public accountability. The Board therefore considers the </w:t>
      </w:r>
      <w:r w:rsidRPr="00155974">
        <w:rPr>
          <w:i/>
          <w:sz w:val="19"/>
          <w:szCs w:val="19"/>
        </w:rPr>
        <w:t>IFRS for SMEs</w:t>
      </w:r>
      <w:r w:rsidRPr="00155974">
        <w:rPr>
          <w:sz w:val="19"/>
          <w:szCs w:val="19"/>
        </w:rPr>
        <w:t xml:space="preserve"> based disclosures an appropriate starting point for developing a disclosure Standard for this group of entities. </w:t>
      </w:r>
    </w:p>
    <w:p w14:paraId="7C5B8DB5"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Simplified Disclosures framework is based on the premise that the disclosures in the </w:t>
      </w:r>
      <w:r w:rsidRPr="00155974">
        <w:rPr>
          <w:i/>
          <w:sz w:val="19"/>
          <w:szCs w:val="19"/>
        </w:rPr>
        <w:t>IFRS for SMEs</w:t>
      </w:r>
      <w:r w:rsidRPr="00155974">
        <w:rPr>
          <w:sz w:val="19"/>
          <w:szCs w:val="19"/>
        </w:rPr>
        <w:t xml:space="preserve"> Standard should be retained where the R&amp;M requirements and options are the same or similar in the </w:t>
      </w:r>
      <w:r w:rsidRPr="00155974">
        <w:rPr>
          <w:i/>
          <w:sz w:val="19"/>
          <w:szCs w:val="19"/>
        </w:rPr>
        <w:t>IFRS for SMEs</w:t>
      </w:r>
      <w:r w:rsidRPr="00155974">
        <w:rPr>
          <w:sz w:val="19"/>
          <w:szCs w:val="19"/>
        </w:rPr>
        <w:t xml:space="preserve"> Standard and full IFRS. Disclosures relating to R&amp;M options or treatments in the </w:t>
      </w:r>
      <w:r w:rsidRPr="00155974">
        <w:rPr>
          <w:i/>
          <w:sz w:val="19"/>
          <w:szCs w:val="19"/>
        </w:rPr>
        <w:t>IFRS for SMEs Standard</w:t>
      </w:r>
      <w:r w:rsidRPr="00155974">
        <w:rPr>
          <w:sz w:val="19"/>
          <w:szCs w:val="19"/>
        </w:rPr>
        <w:t xml:space="preserve"> that are not available in full IFRS will be removed. Disclosures have only been added in comparison with the </w:t>
      </w:r>
      <w:r w:rsidRPr="00155974">
        <w:rPr>
          <w:i/>
          <w:sz w:val="19"/>
          <w:szCs w:val="19"/>
        </w:rPr>
        <w:t>IFRS for SMEs</w:t>
      </w:r>
      <w:r w:rsidRPr="00155974">
        <w:rPr>
          <w:sz w:val="19"/>
          <w:szCs w:val="19"/>
        </w:rPr>
        <w:t xml:space="preserve"> Standard base where the R&amp;M principles were significantly different or certain topics are not addressed under the </w:t>
      </w:r>
      <w:r w:rsidRPr="00155974">
        <w:rPr>
          <w:i/>
          <w:iCs/>
          <w:sz w:val="19"/>
          <w:szCs w:val="19"/>
        </w:rPr>
        <w:t>IFRS for SMEs</w:t>
      </w:r>
      <w:r w:rsidRPr="00155974">
        <w:rPr>
          <w:sz w:val="19"/>
          <w:szCs w:val="19"/>
        </w:rPr>
        <w:t xml:space="preserve"> Standard. </w:t>
      </w:r>
    </w:p>
    <w:p w14:paraId="5F5852CF" w14:textId="14D18219" w:rsidR="0088075B" w:rsidRPr="00155974" w:rsidRDefault="0088075B" w:rsidP="000E61D3">
      <w:pPr>
        <w:pStyle w:val="Default"/>
        <w:numPr>
          <w:ilvl w:val="0"/>
          <w:numId w:val="35"/>
        </w:numPr>
        <w:spacing w:before="100"/>
        <w:ind w:left="782" w:hanging="782"/>
        <w:jc w:val="both"/>
        <w:rPr>
          <w:b/>
          <w:sz w:val="19"/>
          <w:szCs w:val="19"/>
        </w:rPr>
      </w:pPr>
      <w:r w:rsidRPr="00155974">
        <w:rPr>
          <w:sz w:val="19"/>
          <w:szCs w:val="19"/>
        </w:rPr>
        <w:t xml:space="preserve">In considering the </w:t>
      </w:r>
      <w:r w:rsidRPr="00155974">
        <w:rPr>
          <w:i/>
          <w:sz w:val="19"/>
          <w:szCs w:val="19"/>
        </w:rPr>
        <w:t>IFRS for SMEs</w:t>
      </w:r>
      <w:r w:rsidRPr="00155974">
        <w:rPr>
          <w:sz w:val="19"/>
          <w:szCs w:val="19"/>
        </w:rPr>
        <w:t xml:space="preserve"> Standard, the Board noted that the nature and degree of the differences between the disclosures in full IFRS Standards and the disclosures in the </w:t>
      </w:r>
      <w:r w:rsidRPr="00155974">
        <w:rPr>
          <w:i/>
          <w:sz w:val="19"/>
          <w:szCs w:val="19"/>
        </w:rPr>
        <w:t>IFRS for SMEs</w:t>
      </w:r>
      <w:r w:rsidRPr="00155974">
        <w:rPr>
          <w:sz w:val="19"/>
          <w:szCs w:val="19"/>
        </w:rPr>
        <w:t xml:space="preserve"> Standard is determined on the basis of users’ needs and cost-benefit analyses</w:t>
      </w:r>
      <w:r w:rsidRPr="00155974">
        <w:rPr>
          <w:rStyle w:val="FootnoteReference"/>
          <w:sz w:val="19"/>
          <w:szCs w:val="19"/>
        </w:rPr>
        <w:footnoteReference w:id="53"/>
      </w:r>
      <w:r w:rsidRPr="00155974">
        <w:rPr>
          <w:sz w:val="19"/>
          <w:szCs w:val="19"/>
        </w:rPr>
        <w:t xml:space="preserve">. The Board noted that the overall increase in disclosures for entities transitioning from SPFS (eg related party and financial instrument disclosures) offsets the loss of some disclosures as a result of not having to fully comply with AASB 101, AASB 107, AASB 108, AASB 1048 and AASB 1054. In some instances, based on user feedback, public policy interest (eg audit fees and </w:t>
      </w:r>
      <w:r w:rsidR="00905BB3" w:rsidRPr="00155974">
        <w:rPr>
          <w:sz w:val="19"/>
          <w:szCs w:val="19"/>
        </w:rPr>
        <w:t xml:space="preserve">tax reconciliation – see paragraphs </w:t>
      </w:r>
      <w:r w:rsidR="006D2CE5" w:rsidRPr="00155974">
        <w:rPr>
          <w:sz w:val="19"/>
          <w:szCs w:val="19"/>
        </w:rPr>
        <w:fldChar w:fldCharType="begin"/>
      </w:r>
      <w:r w:rsidR="006D2CE5" w:rsidRPr="00155974">
        <w:rPr>
          <w:sz w:val="19"/>
          <w:szCs w:val="19"/>
        </w:rPr>
        <w:instrText xml:space="preserve"> REF _Ref35353248 \r \h </w:instrText>
      </w:r>
      <w:r w:rsidR="006D2CE5">
        <w:rPr>
          <w:sz w:val="19"/>
          <w:szCs w:val="19"/>
        </w:rPr>
        <w:instrText xml:space="preserve"> \* MERGEFORMAT </w:instrText>
      </w:r>
      <w:r w:rsidR="006D2CE5" w:rsidRPr="00155974">
        <w:rPr>
          <w:sz w:val="19"/>
          <w:szCs w:val="19"/>
        </w:rPr>
      </w:r>
      <w:r w:rsidR="006D2CE5" w:rsidRPr="00155974">
        <w:rPr>
          <w:sz w:val="19"/>
          <w:szCs w:val="19"/>
        </w:rPr>
        <w:fldChar w:fldCharType="separate"/>
      </w:r>
      <w:r w:rsidR="00454A6B">
        <w:rPr>
          <w:sz w:val="19"/>
          <w:szCs w:val="19"/>
        </w:rPr>
        <w:t>BC75</w:t>
      </w:r>
      <w:r w:rsidR="006D2CE5" w:rsidRPr="00155974">
        <w:rPr>
          <w:sz w:val="19"/>
          <w:szCs w:val="19"/>
        </w:rPr>
        <w:fldChar w:fldCharType="end"/>
      </w:r>
      <w:r w:rsidR="006D2CE5">
        <w:rPr>
          <w:sz w:val="19"/>
          <w:szCs w:val="19"/>
        </w:rPr>
        <w:t xml:space="preserve"> and</w:t>
      </w:r>
      <w:r w:rsidR="00905BB3" w:rsidRPr="00155974">
        <w:rPr>
          <w:sz w:val="19"/>
          <w:szCs w:val="19"/>
        </w:rPr>
        <w:t xml:space="preserve"> </w:t>
      </w:r>
      <w:r w:rsidR="00917211" w:rsidRPr="00155974">
        <w:rPr>
          <w:sz w:val="19"/>
          <w:szCs w:val="19"/>
        </w:rPr>
        <w:fldChar w:fldCharType="begin"/>
      </w:r>
      <w:r w:rsidR="00917211" w:rsidRPr="00155974">
        <w:rPr>
          <w:sz w:val="19"/>
          <w:szCs w:val="19"/>
        </w:rPr>
        <w:instrText xml:space="preserve"> REF _Ref35353300 \r \h </w:instrText>
      </w:r>
      <w:r w:rsidR="00155974">
        <w:rPr>
          <w:sz w:val="19"/>
          <w:szCs w:val="19"/>
        </w:rPr>
        <w:instrText xml:space="preserve"> \* MERGEFORMAT </w:instrText>
      </w:r>
      <w:r w:rsidR="00917211" w:rsidRPr="00155974">
        <w:rPr>
          <w:sz w:val="19"/>
          <w:szCs w:val="19"/>
        </w:rPr>
      </w:r>
      <w:r w:rsidR="00917211" w:rsidRPr="00155974">
        <w:rPr>
          <w:sz w:val="19"/>
          <w:szCs w:val="19"/>
        </w:rPr>
        <w:fldChar w:fldCharType="separate"/>
      </w:r>
      <w:r w:rsidR="00454A6B">
        <w:rPr>
          <w:sz w:val="19"/>
          <w:szCs w:val="19"/>
        </w:rPr>
        <w:t>BC79</w:t>
      </w:r>
      <w:r w:rsidR="00917211" w:rsidRPr="00155974">
        <w:rPr>
          <w:sz w:val="19"/>
          <w:szCs w:val="19"/>
        </w:rPr>
        <w:fldChar w:fldCharType="end"/>
      </w:r>
      <w:r w:rsidRPr="00155974">
        <w:rPr>
          <w:sz w:val="19"/>
          <w:szCs w:val="19"/>
        </w:rPr>
        <w:t>–</w:t>
      </w:r>
      <w:r w:rsidR="00917211" w:rsidRPr="00155974">
        <w:rPr>
          <w:sz w:val="19"/>
          <w:szCs w:val="19"/>
        </w:rPr>
        <w:fldChar w:fldCharType="begin"/>
      </w:r>
      <w:r w:rsidR="00917211" w:rsidRPr="00155974">
        <w:rPr>
          <w:sz w:val="19"/>
          <w:szCs w:val="19"/>
        </w:rPr>
        <w:instrText xml:space="preserve"> REF _Ref35353311 \r \h </w:instrText>
      </w:r>
      <w:r w:rsidR="00155974">
        <w:rPr>
          <w:sz w:val="19"/>
          <w:szCs w:val="19"/>
        </w:rPr>
        <w:instrText xml:space="preserve"> \* MERGEFORMAT </w:instrText>
      </w:r>
      <w:r w:rsidR="00917211" w:rsidRPr="00155974">
        <w:rPr>
          <w:sz w:val="19"/>
          <w:szCs w:val="19"/>
        </w:rPr>
      </w:r>
      <w:r w:rsidR="00917211" w:rsidRPr="00155974">
        <w:rPr>
          <w:sz w:val="19"/>
          <w:szCs w:val="19"/>
        </w:rPr>
        <w:fldChar w:fldCharType="separate"/>
      </w:r>
      <w:r w:rsidR="00454A6B">
        <w:rPr>
          <w:sz w:val="19"/>
          <w:szCs w:val="19"/>
        </w:rPr>
        <w:t>80</w:t>
      </w:r>
      <w:r w:rsidR="00917211" w:rsidRPr="00155974">
        <w:rPr>
          <w:sz w:val="19"/>
          <w:szCs w:val="19"/>
        </w:rPr>
        <w:fldChar w:fldCharType="end"/>
      </w:r>
      <w:r w:rsidRPr="00155974">
        <w:rPr>
          <w:sz w:val="19"/>
          <w:szCs w:val="19"/>
        </w:rPr>
        <w:t xml:space="preserve">) or to reflect Australian specific issues (eg imputation credits – see paragraphs </w:t>
      </w:r>
      <w:r w:rsidR="00FA6933" w:rsidRPr="00155974">
        <w:rPr>
          <w:sz w:val="19"/>
          <w:szCs w:val="19"/>
        </w:rPr>
        <w:fldChar w:fldCharType="begin"/>
      </w:r>
      <w:r w:rsidR="00FA6933" w:rsidRPr="00155974">
        <w:rPr>
          <w:sz w:val="19"/>
          <w:szCs w:val="19"/>
        </w:rPr>
        <w:instrText xml:space="preserve"> REF _Ref35353342 \r \h </w:instrText>
      </w:r>
      <w:r w:rsidR="00155974">
        <w:rPr>
          <w:sz w:val="19"/>
          <w:szCs w:val="19"/>
        </w:rPr>
        <w:instrText xml:space="preserve"> \* MERGEFORMAT </w:instrText>
      </w:r>
      <w:r w:rsidR="00FA6933" w:rsidRPr="00155974">
        <w:rPr>
          <w:sz w:val="19"/>
          <w:szCs w:val="19"/>
        </w:rPr>
      </w:r>
      <w:r w:rsidR="00FA6933" w:rsidRPr="00155974">
        <w:rPr>
          <w:sz w:val="19"/>
          <w:szCs w:val="19"/>
        </w:rPr>
        <w:fldChar w:fldCharType="separate"/>
      </w:r>
      <w:r w:rsidR="00454A6B">
        <w:rPr>
          <w:sz w:val="19"/>
          <w:szCs w:val="19"/>
        </w:rPr>
        <w:t>BC83</w:t>
      </w:r>
      <w:r w:rsidR="00FA6933" w:rsidRPr="00155974">
        <w:rPr>
          <w:sz w:val="19"/>
          <w:szCs w:val="19"/>
        </w:rPr>
        <w:fldChar w:fldCharType="end"/>
      </w:r>
      <w:r w:rsidRPr="00155974">
        <w:rPr>
          <w:sz w:val="19"/>
          <w:szCs w:val="19"/>
        </w:rPr>
        <w:t>-</w:t>
      </w:r>
      <w:r w:rsidR="00FA6933" w:rsidRPr="00155974">
        <w:rPr>
          <w:sz w:val="19"/>
          <w:szCs w:val="19"/>
        </w:rPr>
        <w:fldChar w:fldCharType="begin"/>
      </w:r>
      <w:r w:rsidR="00FA6933" w:rsidRPr="00155974">
        <w:rPr>
          <w:sz w:val="19"/>
          <w:szCs w:val="19"/>
        </w:rPr>
        <w:instrText xml:space="preserve"> REF _Ref35353351 \r \h </w:instrText>
      </w:r>
      <w:r w:rsidR="00155974">
        <w:rPr>
          <w:sz w:val="19"/>
          <w:szCs w:val="19"/>
        </w:rPr>
        <w:instrText xml:space="preserve"> \* MERGEFORMAT </w:instrText>
      </w:r>
      <w:r w:rsidR="00FA6933" w:rsidRPr="00155974">
        <w:rPr>
          <w:sz w:val="19"/>
          <w:szCs w:val="19"/>
        </w:rPr>
      </w:r>
      <w:r w:rsidR="00FA6933" w:rsidRPr="00155974">
        <w:rPr>
          <w:sz w:val="19"/>
          <w:szCs w:val="19"/>
        </w:rPr>
        <w:fldChar w:fldCharType="separate"/>
      </w:r>
      <w:r w:rsidR="00454A6B">
        <w:rPr>
          <w:sz w:val="19"/>
          <w:szCs w:val="19"/>
        </w:rPr>
        <w:t>BC84</w:t>
      </w:r>
      <w:r w:rsidR="00FA6933" w:rsidRPr="00155974">
        <w:rPr>
          <w:sz w:val="19"/>
          <w:szCs w:val="19"/>
        </w:rPr>
        <w:fldChar w:fldCharType="end"/>
      </w:r>
      <w:r w:rsidRPr="00155974">
        <w:rPr>
          <w:sz w:val="19"/>
          <w:szCs w:val="19"/>
        </w:rPr>
        <w:t xml:space="preserve">), the Board has retained additional disclosures above </w:t>
      </w:r>
      <w:r w:rsidRPr="00155974">
        <w:rPr>
          <w:i/>
          <w:sz w:val="19"/>
          <w:szCs w:val="19"/>
        </w:rPr>
        <w:t xml:space="preserve">IFRS for SMEs. </w:t>
      </w:r>
    </w:p>
    <w:p w14:paraId="5A6DCB5B" w14:textId="77777777" w:rsidR="0088075B" w:rsidRPr="00155974" w:rsidRDefault="0088075B" w:rsidP="000E61D3">
      <w:pPr>
        <w:pStyle w:val="Default"/>
        <w:numPr>
          <w:ilvl w:val="0"/>
          <w:numId w:val="35"/>
        </w:numPr>
        <w:spacing w:before="100"/>
        <w:ind w:left="782" w:hanging="782"/>
        <w:jc w:val="both"/>
        <w:rPr>
          <w:b/>
          <w:sz w:val="19"/>
          <w:szCs w:val="19"/>
        </w:rPr>
      </w:pPr>
      <w:r w:rsidRPr="00155974">
        <w:rPr>
          <w:sz w:val="19"/>
          <w:szCs w:val="19"/>
        </w:rPr>
        <w:t xml:space="preserve">The disclosure requirements in the </w:t>
      </w:r>
      <w:r w:rsidRPr="00155974">
        <w:rPr>
          <w:i/>
          <w:sz w:val="19"/>
          <w:szCs w:val="19"/>
        </w:rPr>
        <w:t>IFRS for SMEs</w:t>
      </w:r>
      <w:r w:rsidRPr="00155974">
        <w:rPr>
          <w:sz w:val="19"/>
          <w:szCs w:val="19"/>
        </w:rPr>
        <w:t xml:space="preserve"> Standard are therefore substantially reduced when compared with the disclosure requirements in full IFRS Standards. The IASB identified the following four principles as being used for the reductions: </w:t>
      </w:r>
    </w:p>
    <w:p w14:paraId="411F3B13"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some disclosures are not included because they relate to topics covered in IFRS Standards that are omitted from the </w:t>
      </w:r>
      <w:r w:rsidRPr="00155974">
        <w:rPr>
          <w:i/>
          <w:sz w:val="19"/>
          <w:szCs w:val="19"/>
        </w:rPr>
        <w:t>IFRS for SMEs</w:t>
      </w:r>
      <w:r w:rsidRPr="00155974">
        <w:rPr>
          <w:sz w:val="19"/>
          <w:szCs w:val="19"/>
        </w:rPr>
        <w:t xml:space="preserve"> Standard (as per paragraph BC88 of </w:t>
      </w:r>
      <w:r w:rsidRPr="00155974">
        <w:rPr>
          <w:i/>
          <w:sz w:val="19"/>
          <w:szCs w:val="19"/>
        </w:rPr>
        <w:t>IFRS for SMEs</w:t>
      </w:r>
      <w:r w:rsidRPr="00155974">
        <w:rPr>
          <w:sz w:val="19"/>
          <w:szCs w:val="19"/>
        </w:rPr>
        <w:t xml:space="preserve"> Standard 2015 – Part B);</w:t>
      </w:r>
    </w:p>
    <w:p w14:paraId="662A19A6" w14:textId="4777A6CB"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some disclosures are not included because they relate to R&amp;M principles in full IFRSs that have been replaced by simplifications in the </w:t>
      </w:r>
      <w:r w:rsidRPr="00155974">
        <w:rPr>
          <w:i/>
          <w:sz w:val="19"/>
          <w:szCs w:val="19"/>
        </w:rPr>
        <w:t>IFRS for SMEs</w:t>
      </w:r>
      <w:r w:rsidRPr="00155974">
        <w:rPr>
          <w:sz w:val="19"/>
          <w:szCs w:val="19"/>
        </w:rPr>
        <w:t xml:space="preserve"> Standard (as per paragraphs BC98</w:t>
      </w:r>
      <w:r w:rsidR="008222A6" w:rsidRPr="00155974">
        <w:rPr>
          <w:sz w:val="19"/>
          <w:szCs w:val="19"/>
        </w:rPr>
        <w:t>–</w:t>
      </w:r>
      <w:r w:rsidRPr="00155974">
        <w:rPr>
          <w:sz w:val="19"/>
          <w:szCs w:val="19"/>
        </w:rPr>
        <w:t xml:space="preserve">BC136 of the </w:t>
      </w:r>
      <w:r w:rsidRPr="00155974">
        <w:rPr>
          <w:i/>
          <w:sz w:val="19"/>
          <w:szCs w:val="19"/>
        </w:rPr>
        <w:t>IFRS for SMEs</w:t>
      </w:r>
      <w:r w:rsidRPr="00155974">
        <w:rPr>
          <w:sz w:val="19"/>
          <w:szCs w:val="19"/>
        </w:rPr>
        <w:t xml:space="preserve"> Standard 2015 – Part B);</w:t>
      </w:r>
    </w:p>
    <w:p w14:paraId="7826D5A9"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some disclosures are not included because they relate to options in full IFRS Standards that are not included in the </w:t>
      </w:r>
      <w:r w:rsidRPr="00155974">
        <w:rPr>
          <w:i/>
          <w:sz w:val="19"/>
          <w:szCs w:val="19"/>
        </w:rPr>
        <w:t>IFRS for SMEs</w:t>
      </w:r>
      <w:r w:rsidRPr="00155974">
        <w:rPr>
          <w:sz w:val="19"/>
          <w:szCs w:val="19"/>
        </w:rPr>
        <w:t xml:space="preserve"> Standard (as per paragraphs BC84–BC86 of the </w:t>
      </w:r>
      <w:r w:rsidRPr="00155974">
        <w:rPr>
          <w:i/>
          <w:sz w:val="19"/>
          <w:szCs w:val="19"/>
        </w:rPr>
        <w:t>IFRS for SMEs</w:t>
      </w:r>
      <w:r w:rsidRPr="00155974">
        <w:rPr>
          <w:sz w:val="19"/>
          <w:szCs w:val="19"/>
        </w:rPr>
        <w:t xml:space="preserve"> Standard 2015 – Part B); and</w:t>
      </w:r>
    </w:p>
    <w:p w14:paraId="04DFA4DE" w14:textId="77777777" w:rsidR="0088075B" w:rsidRPr="00155974" w:rsidRDefault="0088075B" w:rsidP="000E61D3">
      <w:pPr>
        <w:pStyle w:val="Default"/>
        <w:numPr>
          <w:ilvl w:val="1"/>
          <w:numId w:val="35"/>
        </w:numPr>
        <w:spacing w:before="100"/>
        <w:ind w:left="1564" w:hanging="782"/>
        <w:jc w:val="both"/>
        <w:rPr>
          <w:sz w:val="19"/>
          <w:szCs w:val="19"/>
        </w:rPr>
      </w:pPr>
      <w:r w:rsidRPr="00155974">
        <w:rPr>
          <w:sz w:val="19"/>
          <w:szCs w:val="19"/>
        </w:rPr>
        <w:t xml:space="preserve">some disclosures are not included on the basis of users’ needs or cost-benefit considerations (as per paragraphs BC44–BC47, BC157 and BC158 of the </w:t>
      </w:r>
      <w:r w:rsidRPr="00155974">
        <w:rPr>
          <w:i/>
          <w:sz w:val="19"/>
          <w:szCs w:val="19"/>
        </w:rPr>
        <w:t>IFRS for SMEs</w:t>
      </w:r>
      <w:r w:rsidRPr="00155974">
        <w:rPr>
          <w:sz w:val="19"/>
          <w:szCs w:val="19"/>
        </w:rPr>
        <w:t xml:space="preserve"> Standard 2015 – Part B). </w:t>
      </w:r>
    </w:p>
    <w:p w14:paraId="12C47E7E" w14:textId="5446231E" w:rsidR="0088075B" w:rsidRPr="00155974" w:rsidRDefault="0088075B" w:rsidP="000E61D3">
      <w:pPr>
        <w:pStyle w:val="Default"/>
        <w:numPr>
          <w:ilvl w:val="0"/>
          <w:numId w:val="35"/>
        </w:numPr>
        <w:spacing w:before="100"/>
        <w:ind w:left="782" w:hanging="782"/>
        <w:jc w:val="both"/>
        <w:rPr>
          <w:sz w:val="19"/>
          <w:szCs w:val="19"/>
        </w:rPr>
      </w:pPr>
      <w:bookmarkStart w:id="171" w:name="_Ref35355272"/>
      <w:r w:rsidRPr="00155974">
        <w:rPr>
          <w:sz w:val="19"/>
          <w:szCs w:val="19"/>
        </w:rPr>
        <w:t xml:space="preserve">In addition to these principles, the Board further decided that disclosures should be reduced from the </w:t>
      </w:r>
      <w:r w:rsidRPr="00155974">
        <w:rPr>
          <w:i/>
          <w:iCs/>
          <w:sz w:val="19"/>
          <w:szCs w:val="19"/>
        </w:rPr>
        <w:t>IFRS for SMEs</w:t>
      </w:r>
      <w:r w:rsidRPr="00155974">
        <w:rPr>
          <w:sz w:val="19"/>
          <w:szCs w:val="19"/>
        </w:rPr>
        <w:t xml:space="preserve"> Standard where the disclosure requirements</w:t>
      </w:r>
      <w:r w:rsidRPr="00155974">
        <w:t xml:space="preserve"> </w:t>
      </w:r>
      <w:r w:rsidRPr="00155974">
        <w:rPr>
          <w:sz w:val="19"/>
          <w:szCs w:val="19"/>
        </w:rPr>
        <w:t xml:space="preserve">have been removed from full IFRS after the </w:t>
      </w:r>
      <w:r w:rsidR="0058144C" w:rsidRPr="00155974">
        <w:rPr>
          <w:i/>
          <w:iCs/>
          <w:sz w:val="19"/>
          <w:szCs w:val="19"/>
        </w:rPr>
        <w:t>IFRS for SMEs</w:t>
      </w:r>
      <w:r w:rsidRPr="00155974">
        <w:rPr>
          <w:sz w:val="19"/>
          <w:szCs w:val="19"/>
        </w:rPr>
        <w:t xml:space="preserve"> Standard was finalised and as a result exceed what is currently required under the full IFRS (as per paragraphs </w:t>
      </w:r>
      <w:r w:rsidR="00EF2519" w:rsidRPr="00155974">
        <w:rPr>
          <w:sz w:val="19"/>
          <w:szCs w:val="19"/>
        </w:rPr>
        <w:fldChar w:fldCharType="begin"/>
      </w:r>
      <w:r w:rsidR="00EF2519" w:rsidRPr="00155974">
        <w:rPr>
          <w:sz w:val="19"/>
          <w:szCs w:val="19"/>
        </w:rPr>
        <w:instrText xml:space="preserve"> REF _Ref35355042 \r \h </w:instrText>
      </w:r>
      <w:r w:rsidR="00155974">
        <w:rPr>
          <w:sz w:val="19"/>
          <w:szCs w:val="19"/>
        </w:rPr>
        <w:instrText xml:space="preserve"> \* MERGEFORMAT </w:instrText>
      </w:r>
      <w:r w:rsidR="00EF2519" w:rsidRPr="00155974">
        <w:rPr>
          <w:sz w:val="19"/>
          <w:szCs w:val="19"/>
        </w:rPr>
      </w:r>
      <w:r w:rsidR="00EF2519" w:rsidRPr="00155974">
        <w:rPr>
          <w:sz w:val="19"/>
          <w:szCs w:val="19"/>
        </w:rPr>
        <w:fldChar w:fldCharType="separate"/>
      </w:r>
      <w:r w:rsidR="00454A6B">
        <w:rPr>
          <w:sz w:val="19"/>
          <w:szCs w:val="19"/>
        </w:rPr>
        <w:t>BC43</w:t>
      </w:r>
      <w:r w:rsidR="00EF2519" w:rsidRPr="00155974">
        <w:rPr>
          <w:sz w:val="19"/>
          <w:szCs w:val="19"/>
        </w:rPr>
        <w:fldChar w:fldCharType="end"/>
      </w:r>
      <w:r w:rsidRPr="00155974">
        <w:rPr>
          <w:sz w:val="19"/>
          <w:szCs w:val="19"/>
        </w:rPr>
        <w:t xml:space="preserve">, </w:t>
      </w:r>
      <w:r w:rsidR="007C4D3E" w:rsidRPr="00155974">
        <w:rPr>
          <w:sz w:val="19"/>
          <w:szCs w:val="19"/>
        </w:rPr>
        <w:fldChar w:fldCharType="begin"/>
      </w:r>
      <w:r w:rsidR="007C4D3E" w:rsidRPr="00155974">
        <w:rPr>
          <w:sz w:val="19"/>
          <w:szCs w:val="19"/>
        </w:rPr>
        <w:instrText xml:space="preserve"> REF _Ref35353523 \r \h </w:instrText>
      </w:r>
      <w:r w:rsidR="00155974">
        <w:rPr>
          <w:sz w:val="19"/>
          <w:szCs w:val="19"/>
        </w:rPr>
        <w:instrText xml:space="preserve"> \* MERGEFORMAT </w:instrText>
      </w:r>
      <w:r w:rsidR="007C4D3E" w:rsidRPr="00155974">
        <w:rPr>
          <w:sz w:val="19"/>
          <w:szCs w:val="19"/>
        </w:rPr>
      </w:r>
      <w:r w:rsidR="007C4D3E" w:rsidRPr="00155974">
        <w:rPr>
          <w:sz w:val="19"/>
          <w:szCs w:val="19"/>
        </w:rPr>
        <w:fldChar w:fldCharType="separate"/>
      </w:r>
      <w:r w:rsidR="00454A6B">
        <w:rPr>
          <w:sz w:val="19"/>
          <w:szCs w:val="19"/>
        </w:rPr>
        <w:t>BC66</w:t>
      </w:r>
      <w:r w:rsidR="007C4D3E" w:rsidRPr="00155974">
        <w:rPr>
          <w:sz w:val="19"/>
          <w:szCs w:val="19"/>
        </w:rPr>
        <w:fldChar w:fldCharType="end"/>
      </w:r>
      <w:r w:rsidRPr="00155974">
        <w:rPr>
          <w:sz w:val="19"/>
          <w:szCs w:val="19"/>
        </w:rPr>
        <w:t>–</w:t>
      </w:r>
      <w:r w:rsidR="007C4D3E" w:rsidRPr="00155974">
        <w:rPr>
          <w:sz w:val="19"/>
          <w:szCs w:val="19"/>
        </w:rPr>
        <w:fldChar w:fldCharType="begin"/>
      </w:r>
      <w:r w:rsidR="007C4D3E" w:rsidRPr="00155974">
        <w:rPr>
          <w:sz w:val="19"/>
          <w:szCs w:val="19"/>
        </w:rPr>
        <w:instrText xml:space="preserve"> REF _Ref35353534 \r \h </w:instrText>
      </w:r>
      <w:r w:rsidR="00155974">
        <w:rPr>
          <w:sz w:val="19"/>
          <w:szCs w:val="19"/>
        </w:rPr>
        <w:instrText xml:space="preserve"> \* MERGEFORMAT </w:instrText>
      </w:r>
      <w:r w:rsidR="007C4D3E" w:rsidRPr="00155974">
        <w:rPr>
          <w:sz w:val="19"/>
          <w:szCs w:val="19"/>
        </w:rPr>
      </w:r>
      <w:r w:rsidR="007C4D3E" w:rsidRPr="00155974">
        <w:rPr>
          <w:sz w:val="19"/>
          <w:szCs w:val="19"/>
        </w:rPr>
        <w:fldChar w:fldCharType="separate"/>
      </w:r>
      <w:r w:rsidR="00454A6B">
        <w:rPr>
          <w:sz w:val="19"/>
          <w:szCs w:val="19"/>
        </w:rPr>
        <w:t>BC67</w:t>
      </w:r>
      <w:r w:rsidR="007C4D3E" w:rsidRPr="00155974">
        <w:rPr>
          <w:sz w:val="19"/>
          <w:szCs w:val="19"/>
        </w:rPr>
        <w:fldChar w:fldCharType="end"/>
      </w:r>
      <w:r w:rsidRPr="00155974">
        <w:rPr>
          <w:sz w:val="19"/>
          <w:szCs w:val="19"/>
        </w:rPr>
        <w:t xml:space="preserve"> and </w:t>
      </w:r>
      <w:r w:rsidR="000061D1" w:rsidRPr="00155974">
        <w:rPr>
          <w:sz w:val="19"/>
          <w:szCs w:val="19"/>
        </w:rPr>
        <w:fldChar w:fldCharType="begin"/>
      </w:r>
      <w:r w:rsidR="000061D1" w:rsidRPr="00155974">
        <w:rPr>
          <w:sz w:val="19"/>
          <w:szCs w:val="19"/>
        </w:rPr>
        <w:instrText xml:space="preserve"> REF _Ref35353573 \r \h </w:instrText>
      </w:r>
      <w:r w:rsidR="00155974">
        <w:rPr>
          <w:sz w:val="19"/>
          <w:szCs w:val="19"/>
        </w:rPr>
        <w:instrText xml:space="preserve"> \* MERGEFORMAT </w:instrText>
      </w:r>
      <w:r w:rsidR="000061D1" w:rsidRPr="00155974">
        <w:rPr>
          <w:sz w:val="19"/>
          <w:szCs w:val="19"/>
        </w:rPr>
      </w:r>
      <w:r w:rsidR="000061D1" w:rsidRPr="00155974">
        <w:rPr>
          <w:sz w:val="19"/>
          <w:szCs w:val="19"/>
        </w:rPr>
        <w:fldChar w:fldCharType="separate"/>
      </w:r>
      <w:r w:rsidR="00454A6B">
        <w:rPr>
          <w:sz w:val="19"/>
          <w:szCs w:val="19"/>
        </w:rPr>
        <w:t>BC71</w:t>
      </w:r>
      <w:r w:rsidR="000061D1" w:rsidRPr="00155974">
        <w:rPr>
          <w:sz w:val="19"/>
          <w:szCs w:val="19"/>
        </w:rPr>
        <w:fldChar w:fldCharType="end"/>
      </w:r>
      <w:r w:rsidRPr="00155974">
        <w:rPr>
          <w:sz w:val="19"/>
          <w:szCs w:val="19"/>
        </w:rPr>
        <w:t xml:space="preserve"> of this Standard).</w:t>
      </w:r>
      <w:bookmarkEnd w:id="171"/>
    </w:p>
    <w:p w14:paraId="173550D6" w14:textId="77777777" w:rsidR="0088075B" w:rsidRPr="00155974" w:rsidRDefault="0088075B" w:rsidP="000E61D3">
      <w:pPr>
        <w:pStyle w:val="Default"/>
        <w:numPr>
          <w:ilvl w:val="0"/>
          <w:numId w:val="35"/>
        </w:numPr>
        <w:spacing w:before="100"/>
        <w:ind w:left="782" w:hanging="782"/>
        <w:jc w:val="both"/>
        <w:rPr>
          <w:sz w:val="19"/>
          <w:szCs w:val="19"/>
        </w:rPr>
      </w:pPr>
      <w:bookmarkStart w:id="172" w:name="_Ref8992108"/>
      <w:r w:rsidRPr="00155974">
        <w:rPr>
          <w:sz w:val="19"/>
          <w:szCs w:val="19"/>
        </w:rPr>
        <w:t xml:space="preserve">In determining what disclosures to add, the following broad principles have been applied by the Board, which are consistent with those applied by the IASB in developing the disclosures in the </w:t>
      </w:r>
      <w:r w:rsidRPr="00155974">
        <w:rPr>
          <w:i/>
          <w:iCs/>
          <w:sz w:val="19"/>
          <w:szCs w:val="19"/>
        </w:rPr>
        <w:t>IFRS for SMEs</w:t>
      </w:r>
      <w:r w:rsidRPr="00155974">
        <w:rPr>
          <w:sz w:val="19"/>
          <w:szCs w:val="19"/>
        </w:rPr>
        <w:t xml:space="preserve"> Standard</w:t>
      </w:r>
      <w:r w:rsidRPr="00155974">
        <w:rPr>
          <w:rStyle w:val="FootnoteReference"/>
          <w:sz w:val="19"/>
          <w:szCs w:val="19"/>
        </w:rPr>
        <w:footnoteReference w:id="54"/>
      </w:r>
      <w:r w:rsidRPr="00155974">
        <w:rPr>
          <w:sz w:val="19"/>
          <w:szCs w:val="19"/>
        </w:rPr>
        <w:t>:</w:t>
      </w:r>
      <w:bookmarkEnd w:id="172"/>
    </w:p>
    <w:p w14:paraId="736AE9E5" w14:textId="77777777" w:rsidR="0088075B" w:rsidRPr="00155974" w:rsidRDefault="0088075B" w:rsidP="000E61D3">
      <w:pPr>
        <w:pStyle w:val="NumPlain2"/>
        <w:numPr>
          <w:ilvl w:val="0"/>
          <w:numId w:val="36"/>
        </w:numPr>
        <w:spacing w:before="100" w:after="0"/>
        <w:ind w:left="1564" w:hanging="782"/>
        <w:rPr>
          <w:rFonts w:eastAsiaTheme="minorHAnsi"/>
          <w:lang w:eastAsia="en-AU"/>
        </w:rPr>
      </w:pPr>
      <w:r w:rsidRPr="00155974">
        <w:rPr>
          <w:rFonts w:eastAsiaTheme="minorHAnsi"/>
          <w:lang w:eastAsia="en-AU"/>
        </w:rPr>
        <w:t>users of the financial statements of for-profit entities that are not publicly accountable entities are particularly interested in information about short-term cash flows and about obligations, commitments or contingencies, whether or not recognised as liabilities. Thus disclosures in full IFRS Standards that provide this sort of information are necessary;</w:t>
      </w:r>
    </w:p>
    <w:p w14:paraId="679BF352" w14:textId="77777777" w:rsidR="0088075B" w:rsidRPr="00155974" w:rsidRDefault="0088075B" w:rsidP="000E61D3">
      <w:pPr>
        <w:pStyle w:val="NumPlain2"/>
        <w:numPr>
          <w:ilvl w:val="0"/>
          <w:numId w:val="36"/>
        </w:numPr>
        <w:spacing w:before="100" w:after="0"/>
        <w:ind w:left="1564" w:hanging="782"/>
        <w:rPr>
          <w:rFonts w:eastAsiaTheme="minorHAnsi"/>
          <w:lang w:eastAsia="en-AU"/>
        </w:rPr>
      </w:pPr>
      <w:r w:rsidRPr="00155974">
        <w:rPr>
          <w:rFonts w:eastAsiaTheme="minorHAnsi"/>
          <w:lang w:eastAsia="en-AU"/>
        </w:rPr>
        <w:t>users of the financial statements of for-profit entities that are not publicly accountable entities are particularly interested in information about liquidity and solvency. Thus disclosures in full IFRS Standards that provide this sort of information are necessary;</w:t>
      </w:r>
    </w:p>
    <w:p w14:paraId="64D277D0" w14:textId="77777777" w:rsidR="0088075B" w:rsidRPr="00155974" w:rsidRDefault="0088075B" w:rsidP="000E61D3">
      <w:pPr>
        <w:pStyle w:val="NumPlain2"/>
        <w:numPr>
          <w:ilvl w:val="0"/>
          <w:numId w:val="36"/>
        </w:numPr>
        <w:spacing w:before="100" w:after="0"/>
        <w:ind w:left="1564" w:hanging="782"/>
        <w:rPr>
          <w:rFonts w:eastAsiaTheme="minorHAnsi"/>
          <w:lang w:eastAsia="en-AU"/>
        </w:rPr>
      </w:pPr>
      <w:r w:rsidRPr="00155974">
        <w:rPr>
          <w:rFonts w:eastAsiaTheme="minorHAnsi"/>
          <w:lang w:eastAsia="en-AU"/>
        </w:rPr>
        <w:t>information on measurement uncertainties is important;</w:t>
      </w:r>
    </w:p>
    <w:p w14:paraId="794B5D65" w14:textId="77777777" w:rsidR="0088075B" w:rsidRPr="00155974" w:rsidRDefault="0088075B" w:rsidP="000E61D3">
      <w:pPr>
        <w:pStyle w:val="NumPlain2"/>
        <w:numPr>
          <w:ilvl w:val="0"/>
          <w:numId w:val="36"/>
        </w:numPr>
        <w:spacing w:before="100" w:after="0"/>
        <w:ind w:left="1564" w:hanging="782"/>
        <w:rPr>
          <w:rFonts w:eastAsiaTheme="minorHAnsi"/>
          <w:lang w:eastAsia="en-AU"/>
        </w:rPr>
      </w:pPr>
      <w:r w:rsidRPr="00155974">
        <w:rPr>
          <w:rFonts w:eastAsiaTheme="minorHAnsi"/>
          <w:lang w:eastAsia="en-AU"/>
        </w:rPr>
        <w:t>information about an entity’s accounting policy choices is important;</w:t>
      </w:r>
    </w:p>
    <w:p w14:paraId="5B4AEF0A" w14:textId="77777777" w:rsidR="0088075B" w:rsidRPr="00155974" w:rsidRDefault="0088075B" w:rsidP="000E61D3">
      <w:pPr>
        <w:pStyle w:val="NumPlain2"/>
        <w:numPr>
          <w:ilvl w:val="0"/>
          <w:numId w:val="36"/>
        </w:numPr>
        <w:ind w:left="1564" w:hanging="782"/>
        <w:rPr>
          <w:rFonts w:eastAsiaTheme="minorHAnsi"/>
          <w:lang w:eastAsia="en-AU"/>
        </w:rPr>
      </w:pPr>
      <w:r w:rsidRPr="00155974">
        <w:rPr>
          <w:rFonts w:eastAsiaTheme="minorHAnsi"/>
          <w:lang w:eastAsia="en-AU"/>
        </w:rPr>
        <w:lastRenderedPageBreak/>
        <w:t>disaggregations of amounts presented in the financial statements of for-profit entities that are not publicly accountable entities are important for an understanding of those statements; and</w:t>
      </w:r>
    </w:p>
    <w:p w14:paraId="64C13C81" w14:textId="77777777" w:rsidR="0088075B" w:rsidRPr="00155974" w:rsidRDefault="0088075B" w:rsidP="000E61D3">
      <w:pPr>
        <w:pStyle w:val="NumPlain2"/>
        <w:numPr>
          <w:ilvl w:val="0"/>
          <w:numId w:val="36"/>
        </w:numPr>
        <w:ind w:left="1564" w:hanging="782"/>
        <w:rPr>
          <w:rFonts w:eastAsiaTheme="minorHAnsi"/>
          <w:lang w:eastAsia="en-AU"/>
        </w:rPr>
      </w:pPr>
      <w:r w:rsidRPr="00155974">
        <w:rPr>
          <w:rFonts w:eastAsiaTheme="minorHAnsi"/>
          <w:lang w:eastAsia="en-AU"/>
        </w:rPr>
        <w:t>some disclosures in full IFRS Standards are more relevant to investment decisions in public capital markets than to the transactions and other events and conditions encountered by typical for-profit entities that are not publicly accountable entities.</w:t>
      </w:r>
    </w:p>
    <w:p w14:paraId="643B13F4" w14:textId="5F7D79F3" w:rsidR="0088075B" w:rsidRPr="00155974" w:rsidRDefault="0088075B" w:rsidP="000E61D3">
      <w:pPr>
        <w:pStyle w:val="Default"/>
        <w:numPr>
          <w:ilvl w:val="0"/>
          <w:numId w:val="35"/>
        </w:numPr>
        <w:spacing w:before="100"/>
        <w:ind w:left="782" w:hanging="782"/>
        <w:jc w:val="both"/>
        <w:rPr>
          <w:sz w:val="19"/>
          <w:szCs w:val="19"/>
        </w:rPr>
      </w:pPr>
      <w:bookmarkStart w:id="173" w:name="_Ref35356411"/>
      <w:r w:rsidRPr="00155974">
        <w:rPr>
          <w:sz w:val="19"/>
          <w:szCs w:val="19"/>
        </w:rPr>
        <w:t xml:space="preserve">In addition, to these principles the Board agreed to add disclosures where they address matters of public policy (eg audit fees and tax reconciliation – see paragraphs </w:t>
      </w:r>
      <w:r w:rsidR="005613DC" w:rsidRPr="00155974">
        <w:rPr>
          <w:sz w:val="19"/>
          <w:szCs w:val="19"/>
        </w:rPr>
        <w:fldChar w:fldCharType="begin"/>
      </w:r>
      <w:r w:rsidR="005613DC" w:rsidRPr="00155974">
        <w:rPr>
          <w:sz w:val="19"/>
          <w:szCs w:val="19"/>
        </w:rPr>
        <w:instrText xml:space="preserve"> REF _Ref35353248 \r \h </w:instrText>
      </w:r>
      <w:r w:rsidR="00155974">
        <w:rPr>
          <w:sz w:val="19"/>
          <w:szCs w:val="19"/>
        </w:rPr>
        <w:instrText xml:space="preserve"> \* MERGEFORMAT </w:instrText>
      </w:r>
      <w:r w:rsidR="005613DC" w:rsidRPr="00155974">
        <w:rPr>
          <w:sz w:val="19"/>
          <w:szCs w:val="19"/>
        </w:rPr>
      </w:r>
      <w:r w:rsidR="005613DC" w:rsidRPr="00155974">
        <w:rPr>
          <w:sz w:val="19"/>
          <w:szCs w:val="19"/>
        </w:rPr>
        <w:fldChar w:fldCharType="separate"/>
      </w:r>
      <w:r w:rsidR="00454A6B">
        <w:rPr>
          <w:sz w:val="19"/>
          <w:szCs w:val="19"/>
        </w:rPr>
        <w:t>BC75</w:t>
      </w:r>
      <w:r w:rsidR="005613DC" w:rsidRPr="00155974">
        <w:rPr>
          <w:sz w:val="19"/>
          <w:szCs w:val="19"/>
        </w:rPr>
        <w:fldChar w:fldCharType="end"/>
      </w:r>
      <w:r w:rsidRPr="00155974">
        <w:rPr>
          <w:sz w:val="19"/>
          <w:szCs w:val="19"/>
        </w:rPr>
        <w:t xml:space="preserve"> and </w:t>
      </w:r>
      <w:r w:rsidR="009F5C9D" w:rsidRPr="00155974">
        <w:rPr>
          <w:sz w:val="19"/>
          <w:szCs w:val="19"/>
        </w:rPr>
        <w:fldChar w:fldCharType="begin"/>
      </w:r>
      <w:r w:rsidR="009F5C9D" w:rsidRPr="00155974">
        <w:rPr>
          <w:sz w:val="19"/>
          <w:szCs w:val="19"/>
        </w:rPr>
        <w:instrText xml:space="preserve"> REF _Ref35353300 \r \h </w:instrText>
      </w:r>
      <w:r w:rsidR="00155974">
        <w:rPr>
          <w:sz w:val="19"/>
          <w:szCs w:val="19"/>
        </w:rPr>
        <w:instrText xml:space="preserve"> \* MERGEFORMAT </w:instrText>
      </w:r>
      <w:r w:rsidR="009F5C9D" w:rsidRPr="00155974">
        <w:rPr>
          <w:sz w:val="19"/>
          <w:szCs w:val="19"/>
        </w:rPr>
      </w:r>
      <w:r w:rsidR="009F5C9D" w:rsidRPr="00155974">
        <w:rPr>
          <w:sz w:val="19"/>
          <w:szCs w:val="19"/>
        </w:rPr>
        <w:fldChar w:fldCharType="separate"/>
      </w:r>
      <w:r w:rsidR="00454A6B">
        <w:rPr>
          <w:sz w:val="19"/>
          <w:szCs w:val="19"/>
        </w:rPr>
        <w:t>BC79</w:t>
      </w:r>
      <w:r w:rsidR="009F5C9D" w:rsidRPr="00155974">
        <w:rPr>
          <w:sz w:val="19"/>
          <w:szCs w:val="19"/>
        </w:rPr>
        <w:fldChar w:fldCharType="end"/>
      </w:r>
      <w:r w:rsidRPr="00155974">
        <w:rPr>
          <w:sz w:val="19"/>
          <w:szCs w:val="19"/>
        </w:rPr>
        <w:t>–</w:t>
      </w:r>
      <w:r w:rsidR="009F5C9D" w:rsidRPr="00155974">
        <w:rPr>
          <w:sz w:val="19"/>
          <w:szCs w:val="19"/>
        </w:rPr>
        <w:fldChar w:fldCharType="begin"/>
      </w:r>
      <w:r w:rsidR="009F5C9D" w:rsidRPr="00155974">
        <w:rPr>
          <w:sz w:val="19"/>
          <w:szCs w:val="19"/>
        </w:rPr>
        <w:instrText xml:space="preserve"> REF _Ref35355178 \r \h </w:instrText>
      </w:r>
      <w:r w:rsidR="00155974">
        <w:rPr>
          <w:sz w:val="19"/>
          <w:szCs w:val="19"/>
        </w:rPr>
        <w:instrText xml:space="preserve"> \* MERGEFORMAT </w:instrText>
      </w:r>
      <w:r w:rsidR="009F5C9D" w:rsidRPr="00155974">
        <w:rPr>
          <w:sz w:val="19"/>
          <w:szCs w:val="19"/>
        </w:rPr>
      </w:r>
      <w:r w:rsidR="009F5C9D" w:rsidRPr="00155974">
        <w:rPr>
          <w:sz w:val="19"/>
          <w:szCs w:val="19"/>
        </w:rPr>
        <w:fldChar w:fldCharType="separate"/>
      </w:r>
      <w:r w:rsidR="00454A6B">
        <w:rPr>
          <w:sz w:val="19"/>
          <w:szCs w:val="19"/>
        </w:rPr>
        <w:t>BC80</w:t>
      </w:r>
      <w:r w:rsidR="009F5C9D" w:rsidRPr="00155974">
        <w:rPr>
          <w:sz w:val="19"/>
          <w:szCs w:val="19"/>
        </w:rPr>
        <w:fldChar w:fldCharType="end"/>
      </w:r>
      <w:r w:rsidRPr="00155974">
        <w:rPr>
          <w:sz w:val="19"/>
          <w:szCs w:val="19"/>
        </w:rPr>
        <w:t xml:space="preserve">) or reflect Australian specific issues (eg imputation credits – see paragraphs </w:t>
      </w:r>
      <w:r w:rsidR="00BB43DC" w:rsidRPr="00155974">
        <w:rPr>
          <w:sz w:val="19"/>
          <w:szCs w:val="19"/>
        </w:rPr>
        <w:fldChar w:fldCharType="begin"/>
      </w:r>
      <w:r w:rsidR="00BB43DC" w:rsidRPr="00155974">
        <w:rPr>
          <w:sz w:val="19"/>
          <w:szCs w:val="19"/>
        </w:rPr>
        <w:instrText xml:space="preserve"> REF _Ref35353342 \r \h </w:instrText>
      </w:r>
      <w:r w:rsidR="00155974">
        <w:rPr>
          <w:sz w:val="19"/>
          <w:szCs w:val="19"/>
        </w:rPr>
        <w:instrText xml:space="preserve"> \* MERGEFORMAT </w:instrText>
      </w:r>
      <w:r w:rsidR="00BB43DC" w:rsidRPr="00155974">
        <w:rPr>
          <w:sz w:val="19"/>
          <w:szCs w:val="19"/>
        </w:rPr>
      </w:r>
      <w:r w:rsidR="00BB43DC" w:rsidRPr="00155974">
        <w:rPr>
          <w:sz w:val="19"/>
          <w:szCs w:val="19"/>
        </w:rPr>
        <w:fldChar w:fldCharType="separate"/>
      </w:r>
      <w:r w:rsidR="00454A6B">
        <w:rPr>
          <w:sz w:val="19"/>
          <w:szCs w:val="19"/>
        </w:rPr>
        <w:t>BC83</w:t>
      </w:r>
      <w:r w:rsidR="00BB43DC" w:rsidRPr="00155974">
        <w:rPr>
          <w:sz w:val="19"/>
          <w:szCs w:val="19"/>
        </w:rPr>
        <w:fldChar w:fldCharType="end"/>
      </w:r>
      <w:r w:rsidRPr="00155974">
        <w:rPr>
          <w:sz w:val="19"/>
          <w:szCs w:val="19"/>
        </w:rPr>
        <w:t>-</w:t>
      </w:r>
      <w:r w:rsidR="00BB43DC" w:rsidRPr="00155974">
        <w:rPr>
          <w:sz w:val="19"/>
          <w:szCs w:val="19"/>
        </w:rPr>
        <w:fldChar w:fldCharType="begin"/>
      </w:r>
      <w:r w:rsidR="00BB43DC" w:rsidRPr="00155974">
        <w:rPr>
          <w:sz w:val="19"/>
          <w:szCs w:val="19"/>
        </w:rPr>
        <w:instrText xml:space="preserve"> REF _Ref35353351 \r \h </w:instrText>
      </w:r>
      <w:r w:rsidR="00155974">
        <w:rPr>
          <w:sz w:val="19"/>
          <w:szCs w:val="19"/>
        </w:rPr>
        <w:instrText xml:space="preserve"> \* MERGEFORMAT </w:instrText>
      </w:r>
      <w:r w:rsidR="00BB43DC" w:rsidRPr="00155974">
        <w:rPr>
          <w:sz w:val="19"/>
          <w:szCs w:val="19"/>
        </w:rPr>
      </w:r>
      <w:r w:rsidR="00BB43DC" w:rsidRPr="00155974">
        <w:rPr>
          <w:sz w:val="19"/>
          <w:szCs w:val="19"/>
        </w:rPr>
        <w:fldChar w:fldCharType="separate"/>
      </w:r>
      <w:r w:rsidR="00454A6B">
        <w:rPr>
          <w:sz w:val="19"/>
          <w:szCs w:val="19"/>
        </w:rPr>
        <w:t>BC84</w:t>
      </w:r>
      <w:r w:rsidR="00BB43DC" w:rsidRPr="00155974">
        <w:rPr>
          <w:sz w:val="19"/>
          <w:szCs w:val="19"/>
        </w:rPr>
        <w:fldChar w:fldCharType="end"/>
      </w:r>
      <w:r w:rsidRPr="00155974">
        <w:rPr>
          <w:sz w:val="19"/>
          <w:szCs w:val="19"/>
        </w:rPr>
        <w:t>).</w:t>
      </w:r>
      <w:bookmarkEnd w:id="173"/>
    </w:p>
    <w:p w14:paraId="4979517B" w14:textId="5AA194EF" w:rsidR="0088075B" w:rsidRPr="00155974" w:rsidRDefault="0088075B" w:rsidP="000E61D3">
      <w:pPr>
        <w:pStyle w:val="Default"/>
        <w:numPr>
          <w:ilvl w:val="0"/>
          <w:numId w:val="35"/>
        </w:numPr>
        <w:spacing w:before="100"/>
        <w:ind w:left="782" w:hanging="782"/>
        <w:jc w:val="both"/>
        <w:rPr>
          <w:rFonts w:eastAsiaTheme="minorHAnsi"/>
          <w:sz w:val="19"/>
          <w:szCs w:val="19"/>
        </w:rPr>
      </w:pPr>
      <w:bookmarkStart w:id="174" w:name="_Ref35355042"/>
      <w:r w:rsidRPr="00155974">
        <w:rPr>
          <w:sz w:val="19"/>
          <w:szCs w:val="19"/>
        </w:rPr>
        <w:t xml:space="preserve">Consistent with the IASB’s intentions in relation to the </w:t>
      </w:r>
      <w:r w:rsidRPr="00155974">
        <w:rPr>
          <w:i/>
          <w:iCs/>
          <w:sz w:val="19"/>
          <w:szCs w:val="19"/>
        </w:rPr>
        <w:t>Subsidiaries that are SMEs</w:t>
      </w:r>
      <w:r w:rsidRPr="00155974">
        <w:rPr>
          <w:sz w:val="19"/>
          <w:szCs w:val="19"/>
        </w:rPr>
        <w:t xml:space="preserve"> project, tailoring of the IFRS for SMEs disclosure requirements has further been restricted to the absolute minimum. </w:t>
      </w:r>
      <w:r w:rsidRPr="00155974">
        <w:rPr>
          <w:rFonts w:eastAsiaTheme="minorHAnsi"/>
          <w:sz w:val="19"/>
          <w:szCs w:val="19"/>
        </w:rPr>
        <w:t>As identified in</w:t>
      </w:r>
      <w:r w:rsidRPr="00155974">
        <w:rPr>
          <w:iCs/>
          <w:sz w:val="19"/>
          <w:szCs w:val="19"/>
        </w:rPr>
        <w:t xml:space="preserve"> paragraph</w:t>
      </w:r>
      <w:r w:rsidRPr="00155974">
        <w:rPr>
          <w:rFonts w:eastAsiaTheme="minorHAnsi"/>
          <w:sz w:val="19"/>
          <w:szCs w:val="19"/>
        </w:rPr>
        <w:t xml:space="preserve"> </w:t>
      </w:r>
      <w:r w:rsidRPr="00155974">
        <w:rPr>
          <w:iCs/>
          <w:sz w:val="19"/>
          <w:szCs w:val="19"/>
        </w:rPr>
        <w:fldChar w:fldCharType="begin"/>
      </w:r>
      <w:r w:rsidRPr="00155974">
        <w:rPr>
          <w:iCs/>
          <w:sz w:val="19"/>
          <w:szCs w:val="19"/>
        </w:rPr>
        <w:instrText xml:space="preserve"> REF _Ref10116609 \r \h  \* MERGEFORMAT </w:instrText>
      </w:r>
      <w:r w:rsidRPr="00155974">
        <w:rPr>
          <w:iCs/>
          <w:sz w:val="19"/>
          <w:szCs w:val="19"/>
        </w:rPr>
      </w:r>
      <w:r w:rsidRPr="00155974">
        <w:rPr>
          <w:iCs/>
          <w:sz w:val="19"/>
          <w:szCs w:val="19"/>
        </w:rPr>
        <w:fldChar w:fldCharType="separate"/>
      </w:r>
      <w:r w:rsidR="00454A6B">
        <w:rPr>
          <w:iCs/>
          <w:sz w:val="19"/>
          <w:szCs w:val="19"/>
        </w:rPr>
        <w:t>BC70</w:t>
      </w:r>
      <w:r w:rsidRPr="00155974">
        <w:rPr>
          <w:iCs/>
          <w:sz w:val="19"/>
          <w:szCs w:val="19"/>
        </w:rPr>
        <w:fldChar w:fldCharType="end"/>
      </w:r>
      <w:r w:rsidRPr="00155974">
        <w:rPr>
          <w:rFonts w:eastAsiaTheme="minorHAnsi"/>
          <w:sz w:val="19"/>
          <w:szCs w:val="19"/>
        </w:rPr>
        <w:t xml:space="preserve">, this resulted in the retention of termination benefit disclosures which are not required under full AAS. However, consistent with the principle in paragraph </w:t>
      </w:r>
      <w:r w:rsidR="00111121" w:rsidRPr="00155974">
        <w:rPr>
          <w:rFonts w:eastAsiaTheme="minorHAnsi"/>
          <w:sz w:val="19"/>
          <w:szCs w:val="19"/>
        </w:rPr>
        <w:fldChar w:fldCharType="begin"/>
      </w:r>
      <w:r w:rsidR="00111121" w:rsidRPr="00155974">
        <w:rPr>
          <w:rFonts w:eastAsiaTheme="minorHAnsi"/>
          <w:sz w:val="19"/>
          <w:szCs w:val="19"/>
        </w:rPr>
        <w:instrText xml:space="preserve"> REF _Ref35355272 \r \h </w:instrText>
      </w:r>
      <w:r w:rsidR="00155974">
        <w:rPr>
          <w:rFonts w:eastAsiaTheme="minorHAnsi"/>
          <w:sz w:val="19"/>
          <w:szCs w:val="19"/>
        </w:rPr>
        <w:instrText xml:space="preserve"> \* MERGEFORMAT </w:instrText>
      </w:r>
      <w:r w:rsidR="00111121" w:rsidRPr="00155974">
        <w:rPr>
          <w:rFonts w:eastAsiaTheme="minorHAnsi"/>
          <w:sz w:val="19"/>
          <w:szCs w:val="19"/>
        </w:rPr>
      </w:r>
      <w:r w:rsidR="00111121" w:rsidRPr="00155974">
        <w:rPr>
          <w:rFonts w:eastAsiaTheme="minorHAnsi"/>
          <w:sz w:val="19"/>
          <w:szCs w:val="19"/>
        </w:rPr>
        <w:fldChar w:fldCharType="separate"/>
      </w:r>
      <w:r w:rsidR="00454A6B">
        <w:rPr>
          <w:rFonts w:eastAsiaTheme="minorHAnsi"/>
          <w:sz w:val="19"/>
          <w:szCs w:val="19"/>
        </w:rPr>
        <w:t>BC40</w:t>
      </w:r>
      <w:r w:rsidR="00111121" w:rsidRPr="00155974">
        <w:rPr>
          <w:rFonts w:eastAsiaTheme="minorHAnsi"/>
          <w:sz w:val="19"/>
          <w:szCs w:val="19"/>
        </w:rPr>
        <w:fldChar w:fldCharType="end"/>
      </w:r>
      <w:r w:rsidRPr="00155974">
        <w:rPr>
          <w:rFonts w:eastAsiaTheme="minorHAnsi"/>
          <w:sz w:val="19"/>
          <w:szCs w:val="19"/>
        </w:rPr>
        <w:t xml:space="preserve">, where the IASB has removed disclosures from full IFRS after the </w:t>
      </w:r>
      <w:r w:rsidRPr="00155974">
        <w:rPr>
          <w:rFonts w:eastAsiaTheme="minorHAnsi"/>
          <w:i/>
          <w:iCs/>
          <w:sz w:val="19"/>
          <w:szCs w:val="19"/>
        </w:rPr>
        <w:t>IFRS for SMEs</w:t>
      </w:r>
      <w:r w:rsidRPr="00155974">
        <w:rPr>
          <w:rFonts w:eastAsiaTheme="minorHAnsi"/>
          <w:sz w:val="19"/>
          <w:szCs w:val="19"/>
        </w:rPr>
        <w:t xml:space="preserve"> Standard was finalised, these reductions were carried over to AASB </w:t>
      </w:r>
      <w:r w:rsidRPr="00155974">
        <w:rPr>
          <w:iCs/>
          <w:sz w:val="19"/>
          <w:szCs w:val="19"/>
        </w:rPr>
        <w:t>1060</w:t>
      </w:r>
      <w:r w:rsidRPr="00155974">
        <w:rPr>
          <w:rFonts w:eastAsiaTheme="minorHAnsi"/>
          <w:sz w:val="19"/>
          <w:szCs w:val="19"/>
        </w:rPr>
        <w:t xml:space="preserve">. This has affected in particular the leasing disclosures, see </w:t>
      </w:r>
      <w:r w:rsidRPr="00155974">
        <w:rPr>
          <w:sz w:val="19"/>
          <w:szCs w:val="19"/>
        </w:rPr>
        <w:t>paragraphs</w:t>
      </w:r>
      <w:r w:rsidRPr="00155974">
        <w:rPr>
          <w:iCs/>
          <w:sz w:val="19"/>
          <w:szCs w:val="19"/>
        </w:rPr>
        <w:t xml:space="preserve"> </w:t>
      </w:r>
      <w:r w:rsidRPr="00155974">
        <w:rPr>
          <w:iCs/>
          <w:sz w:val="19"/>
          <w:szCs w:val="19"/>
        </w:rPr>
        <w:fldChar w:fldCharType="begin"/>
      </w:r>
      <w:r w:rsidRPr="00155974">
        <w:rPr>
          <w:iCs/>
          <w:sz w:val="19"/>
          <w:szCs w:val="19"/>
        </w:rPr>
        <w:instrText xml:space="preserve"> REF _Ref10116595 \r \h  \* MERGEFORMAT </w:instrText>
      </w:r>
      <w:r w:rsidRPr="00155974">
        <w:rPr>
          <w:iCs/>
          <w:sz w:val="19"/>
          <w:szCs w:val="19"/>
        </w:rPr>
      </w:r>
      <w:r w:rsidRPr="00155974">
        <w:rPr>
          <w:iCs/>
          <w:sz w:val="19"/>
          <w:szCs w:val="19"/>
        </w:rPr>
        <w:fldChar w:fldCharType="separate"/>
      </w:r>
      <w:r w:rsidR="00454A6B">
        <w:rPr>
          <w:iCs/>
          <w:sz w:val="19"/>
          <w:szCs w:val="19"/>
        </w:rPr>
        <w:t>BC66</w:t>
      </w:r>
      <w:r w:rsidRPr="00155974">
        <w:rPr>
          <w:iCs/>
          <w:sz w:val="19"/>
          <w:szCs w:val="19"/>
        </w:rPr>
        <w:fldChar w:fldCharType="end"/>
      </w:r>
      <w:r w:rsidRPr="00155974">
        <w:rPr>
          <w:iCs/>
          <w:sz w:val="19"/>
          <w:szCs w:val="19"/>
        </w:rPr>
        <w:t>–</w:t>
      </w:r>
      <w:r w:rsidRPr="00155974">
        <w:rPr>
          <w:iCs/>
          <w:sz w:val="19"/>
          <w:szCs w:val="19"/>
        </w:rPr>
        <w:fldChar w:fldCharType="begin"/>
      </w:r>
      <w:r w:rsidRPr="00155974">
        <w:rPr>
          <w:iCs/>
          <w:sz w:val="19"/>
          <w:szCs w:val="19"/>
        </w:rPr>
        <w:instrText xml:space="preserve"> REF _Ref10116597 \r \h  \* MERGEFORMAT </w:instrText>
      </w:r>
      <w:r w:rsidRPr="00155974">
        <w:rPr>
          <w:iCs/>
          <w:sz w:val="19"/>
          <w:szCs w:val="19"/>
        </w:rPr>
      </w:r>
      <w:r w:rsidRPr="00155974">
        <w:rPr>
          <w:iCs/>
          <w:sz w:val="19"/>
          <w:szCs w:val="19"/>
        </w:rPr>
        <w:fldChar w:fldCharType="separate"/>
      </w:r>
      <w:r w:rsidR="00454A6B">
        <w:rPr>
          <w:iCs/>
          <w:sz w:val="19"/>
          <w:szCs w:val="19"/>
        </w:rPr>
        <w:t>BC67</w:t>
      </w:r>
      <w:r w:rsidRPr="00155974">
        <w:rPr>
          <w:iCs/>
          <w:sz w:val="19"/>
          <w:szCs w:val="19"/>
        </w:rPr>
        <w:fldChar w:fldCharType="end"/>
      </w:r>
      <w:r w:rsidRPr="00155974">
        <w:rPr>
          <w:rFonts w:eastAsiaTheme="minorHAnsi"/>
          <w:sz w:val="19"/>
          <w:szCs w:val="19"/>
        </w:rPr>
        <w:t xml:space="preserve"> and resulted in the removal of a number of employee benefits disclosures.</w:t>
      </w:r>
      <w:bookmarkEnd w:id="174"/>
      <w:r w:rsidRPr="00155974">
        <w:rPr>
          <w:rFonts w:eastAsiaTheme="minorHAnsi"/>
          <w:sz w:val="19"/>
          <w:szCs w:val="19"/>
        </w:rPr>
        <w:t xml:space="preserve"> </w:t>
      </w:r>
    </w:p>
    <w:p w14:paraId="4E37AD5B" w14:textId="77777777" w:rsidR="0088075B" w:rsidRPr="00155974" w:rsidRDefault="0088075B" w:rsidP="00A13E19">
      <w:pPr>
        <w:pStyle w:val="Default"/>
        <w:keepNext/>
        <w:numPr>
          <w:ilvl w:val="0"/>
          <w:numId w:val="35"/>
        </w:numPr>
        <w:spacing w:before="100"/>
        <w:ind w:left="782" w:hanging="782"/>
        <w:jc w:val="both"/>
        <w:rPr>
          <w:sz w:val="19"/>
          <w:szCs w:val="19"/>
        </w:rPr>
      </w:pPr>
      <w:r w:rsidRPr="00155974">
        <w:rPr>
          <w:sz w:val="19"/>
          <w:szCs w:val="19"/>
        </w:rPr>
        <w:t>To identify R&amp;M differences, the Board has referred to:</w:t>
      </w:r>
    </w:p>
    <w:p w14:paraId="49025573" w14:textId="77777777" w:rsidR="0088075B" w:rsidRPr="00155974" w:rsidRDefault="0088075B" w:rsidP="000E61D3">
      <w:pPr>
        <w:pStyle w:val="NumPlain2"/>
        <w:numPr>
          <w:ilvl w:val="0"/>
          <w:numId w:val="38"/>
        </w:numPr>
        <w:spacing w:before="100"/>
        <w:ind w:left="1564" w:hanging="782"/>
        <w:rPr>
          <w:rFonts w:eastAsiaTheme="minorHAnsi"/>
          <w:lang w:eastAsia="en-AU"/>
        </w:rPr>
      </w:pPr>
      <w:r w:rsidRPr="00155974">
        <w:rPr>
          <w:rFonts w:eastAsiaTheme="minorHAnsi"/>
          <w:lang w:eastAsia="en-AU"/>
        </w:rPr>
        <w:t xml:space="preserve">the AASB staff paper </w:t>
      </w:r>
      <w:r w:rsidRPr="00155974">
        <w:rPr>
          <w:rFonts w:eastAsiaTheme="minorHAnsi"/>
          <w:i/>
          <w:lang w:eastAsia="en-AU"/>
        </w:rPr>
        <w:t>Comparison of Standards for Smaller Entities</w:t>
      </w:r>
      <w:r w:rsidRPr="00155974">
        <w:rPr>
          <w:rFonts w:eastAsiaTheme="minorHAnsi"/>
          <w:lang w:eastAsia="en-AU"/>
        </w:rPr>
        <w:t xml:space="preserve"> prepared and published in April 2018;</w:t>
      </w:r>
    </w:p>
    <w:p w14:paraId="7994EB00" w14:textId="77777777" w:rsidR="0088075B" w:rsidRPr="00155974" w:rsidRDefault="0088075B" w:rsidP="000E61D3">
      <w:pPr>
        <w:pStyle w:val="NumPlain2"/>
        <w:numPr>
          <w:ilvl w:val="0"/>
          <w:numId w:val="38"/>
        </w:numPr>
        <w:ind w:left="1564" w:hanging="782"/>
        <w:rPr>
          <w:rFonts w:eastAsiaTheme="minorHAnsi"/>
          <w:lang w:eastAsia="en-AU"/>
        </w:rPr>
      </w:pPr>
      <w:r w:rsidRPr="00155974">
        <w:rPr>
          <w:rFonts w:eastAsiaTheme="minorHAnsi"/>
          <w:lang w:eastAsia="en-AU"/>
        </w:rPr>
        <w:t xml:space="preserve">full IFRS vs </w:t>
      </w:r>
      <w:r w:rsidRPr="00155974">
        <w:rPr>
          <w:rFonts w:eastAsiaTheme="minorHAnsi"/>
          <w:i/>
          <w:lang w:eastAsia="en-AU"/>
        </w:rPr>
        <w:t>IFRS for SMEs</w:t>
      </w:r>
      <w:r w:rsidRPr="00155974">
        <w:rPr>
          <w:rFonts w:eastAsiaTheme="minorHAnsi"/>
          <w:lang w:eastAsia="en-AU"/>
        </w:rPr>
        <w:t xml:space="preserve"> Standard comparisons included in the </w:t>
      </w:r>
      <w:r w:rsidRPr="00155974">
        <w:rPr>
          <w:rFonts w:eastAsiaTheme="minorHAnsi"/>
          <w:i/>
          <w:lang w:eastAsia="en-AU"/>
        </w:rPr>
        <w:t>IFRS for SMEs</w:t>
      </w:r>
      <w:r w:rsidRPr="00155974">
        <w:rPr>
          <w:rFonts w:eastAsiaTheme="minorHAnsi"/>
          <w:lang w:eastAsia="en-AU"/>
        </w:rPr>
        <w:t xml:space="preserve"> Standard modules published by the IASB; and</w:t>
      </w:r>
    </w:p>
    <w:p w14:paraId="6108511D" w14:textId="77777777" w:rsidR="0088075B" w:rsidRPr="00155974" w:rsidRDefault="0088075B" w:rsidP="000E61D3">
      <w:pPr>
        <w:pStyle w:val="NumPlain2"/>
        <w:numPr>
          <w:ilvl w:val="0"/>
          <w:numId w:val="38"/>
        </w:numPr>
        <w:ind w:left="1564" w:hanging="782"/>
        <w:rPr>
          <w:rFonts w:eastAsiaTheme="minorHAnsi"/>
          <w:iCs/>
          <w:lang w:eastAsia="en-AU"/>
        </w:rPr>
      </w:pPr>
      <w:r w:rsidRPr="00155974">
        <w:rPr>
          <w:rFonts w:eastAsiaTheme="minorHAnsi"/>
          <w:lang w:eastAsia="en-AU"/>
        </w:rPr>
        <w:t xml:space="preserve">individual analyses of Standards, where a topic is covered by neither of these two sources. </w:t>
      </w:r>
    </w:p>
    <w:p w14:paraId="171CB7F4" w14:textId="49E020B3"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Judgement was exercised when applying the framework and the overarching principles of user needs and cost-benefit were considered when determining the disclosures that are relevant for Tier 2 entities. Significant judgements made in this process are explained in paragraphs </w:t>
      </w:r>
      <w:r w:rsidRPr="00155974">
        <w:rPr>
          <w:sz w:val="19"/>
          <w:szCs w:val="19"/>
        </w:rPr>
        <w:fldChar w:fldCharType="begin"/>
      </w:r>
      <w:r w:rsidRPr="00155974">
        <w:rPr>
          <w:sz w:val="19"/>
          <w:szCs w:val="19"/>
        </w:rPr>
        <w:instrText xml:space="preserve"> REF _Ref8739559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BC54</w:t>
      </w:r>
      <w:r w:rsidRPr="00155974">
        <w:rPr>
          <w:sz w:val="19"/>
          <w:szCs w:val="19"/>
        </w:rPr>
        <w:fldChar w:fldCharType="end"/>
      </w:r>
      <w:r w:rsidRPr="00155974">
        <w:rPr>
          <w:sz w:val="19"/>
          <w:szCs w:val="19"/>
        </w:rPr>
        <w:t>−</w:t>
      </w:r>
      <w:r w:rsidRPr="00155974">
        <w:rPr>
          <w:sz w:val="19"/>
          <w:szCs w:val="19"/>
        </w:rPr>
        <w:fldChar w:fldCharType="begin"/>
      </w:r>
      <w:r w:rsidRPr="00155974">
        <w:rPr>
          <w:sz w:val="19"/>
          <w:szCs w:val="19"/>
        </w:rPr>
        <w:instrText xml:space="preserve"> REF _Ref10115552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BC93</w:t>
      </w:r>
      <w:r w:rsidRPr="00155974">
        <w:rPr>
          <w:sz w:val="19"/>
          <w:szCs w:val="19"/>
        </w:rPr>
        <w:fldChar w:fldCharType="end"/>
      </w:r>
      <w:r w:rsidRPr="00155974">
        <w:rPr>
          <w:sz w:val="19"/>
          <w:szCs w:val="19"/>
        </w:rPr>
        <w:t xml:space="preserve">. </w:t>
      </w:r>
    </w:p>
    <w:p w14:paraId="43C9CD21" w14:textId="77777777" w:rsidR="0088075B" w:rsidRPr="00155974" w:rsidRDefault="0088075B" w:rsidP="000E61D3">
      <w:pPr>
        <w:pStyle w:val="Default"/>
        <w:numPr>
          <w:ilvl w:val="0"/>
          <w:numId w:val="35"/>
        </w:numPr>
        <w:spacing w:before="100"/>
        <w:ind w:left="782" w:hanging="782"/>
        <w:jc w:val="both"/>
        <w:rPr>
          <w:sz w:val="19"/>
          <w:szCs w:val="19"/>
        </w:rPr>
      </w:pPr>
      <w:bookmarkStart w:id="175" w:name="_Ref8738658"/>
      <w:r w:rsidRPr="00155974">
        <w:rPr>
          <w:sz w:val="19"/>
          <w:szCs w:val="19"/>
        </w:rPr>
        <w:t>The disclosures that are relevant to Tier 2 entities are set out in this Standard (ie are not shaded in the body or the appendix of each AAS). They are considered by the Board to be appropriate for GPFSs that are publicly lodged or are required to comply with AAS, but do not relate to entities that are publicly accountable.</w:t>
      </w:r>
      <w:bookmarkEnd w:id="175"/>
    </w:p>
    <w:p w14:paraId="2FCF3B63" w14:textId="77777777" w:rsidR="0088075B" w:rsidRPr="00155974" w:rsidRDefault="0088075B" w:rsidP="000E61D3">
      <w:pPr>
        <w:pStyle w:val="Default"/>
        <w:numPr>
          <w:ilvl w:val="0"/>
          <w:numId w:val="35"/>
        </w:numPr>
        <w:spacing w:before="100"/>
        <w:ind w:left="782" w:hanging="782"/>
        <w:jc w:val="both"/>
        <w:rPr>
          <w:iCs/>
          <w:sz w:val="19"/>
          <w:szCs w:val="19"/>
        </w:rPr>
      </w:pPr>
      <w:bookmarkStart w:id="176" w:name="_Ref10115333"/>
      <w:r w:rsidRPr="00155974">
        <w:rPr>
          <w:iCs/>
          <w:sz w:val="19"/>
          <w:szCs w:val="19"/>
        </w:rPr>
        <w:t xml:space="preserve">As a general rule, the presentation requirements of full AAS have been retained, and the Board noted that it did not intend to make any changes to the presentation requirements or accounting treatments available under AAS. </w:t>
      </w:r>
    </w:p>
    <w:p w14:paraId="3C261AFC" w14:textId="01449464" w:rsidR="0088075B" w:rsidRPr="00155974" w:rsidRDefault="0088075B" w:rsidP="000E61D3">
      <w:pPr>
        <w:pStyle w:val="Default"/>
        <w:numPr>
          <w:ilvl w:val="0"/>
          <w:numId w:val="35"/>
        </w:numPr>
        <w:spacing w:before="100"/>
        <w:ind w:left="782" w:hanging="782"/>
        <w:jc w:val="both"/>
        <w:rPr>
          <w:iCs/>
          <w:sz w:val="19"/>
          <w:szCs w:val="19"/>
        </w:rPr>
      </w:pPr>
      <w:r w:rsidRPr="00155974">
        <w:rPr>
          <w:iCs/>
          <w:sz w:val="19"/>
          <w:szCs w:val="19"/>
        </w:rPr>
        <w:t xml:space="preserve">This applies in particular to the presentation requirements in AASB 101 and AASB 107 even though these Standards have been replaced in their entirety with AASB 1060 paragraphs </w:t>
      </w:r>
      <w:r w:rsidR="00C92146" w:rsidRPr="00155974">
        <w:rPr>
          <w:iCs/>
          <w:sz w:val="19"/>
          <w:szCs w:val="19"/>
        </w:rPr>
        <w:fldChar w:fldCharType="begin"/>
      </w:r>
      <w:r w:rsidR="00C92146" w:rsidRPr="00155974">
        <w:rPr>
          <w:iCs/>
          <w:sz w:val="19"/>
          <w:szCs w:val="19"/>
        </w:rPr>
        <w:instrText xml:space="preserve"> REF _Ref35356217 \r \h </w:instrText>
      </w:r>
      <w:r w:rsidR="00155974">
        <w:rPr>
          <w:iCs/>
          <w:sz w:val="19"/>
          <w:szCs w:val="19"/>
        </w:rPr>
        <w:instrText xml:space="preserve"> \* MERGEFORMAT </w:instrText>
      </w:r>
      <w:r w:rsidR="00C92146" w:rsidRPr="00155974">
        <w:rPr>
          <w:iCs/>
          <w:sz w:val="19"/>
          <w:szCs w:val="19"/>
        </w:rPr>
      </w:r>
      <w:r w:rsidR="00C92146" w:rsidRPr="00155974">
        <w:rPr>
          <w:iCs/>
          <w:sz w:val="19"/>
          <w:szCs w:val="19"/>
        </w:rPr>
        <w:fldChar w:fldCharType="separate"/>
      </w:r>
      <w:r w:rsidR="00454A6B">
        <w:rPr>
          <w:iCs/>
          <w:sz w:val="19"/>
          <w:szCs w:val="19"/>
        </w:rPr>
        <w:t>8</w:t>
      </w:r>
      <w:r w:rsidR="00C92146" w:rsidRPr="00155974">
        <w:rPr>
          <w:iCs/>
          <w:sz w:val="19"/>
          <w:szCs w:val="19"/>
        </w:rPr>
        <w:fldChar w:fldCharType="end"/>
      </w:r>
      <w:r w:rsidRPr="00155974">
        <w:rPr>
          <w:iCs/>
          <w:sz w:val="19"/>
          <w:szCs w:val="19"/>
        </w:rPr>
        <w:t xml:space="preserve"> to </w:t>
      </w:r>
      <w:r w:rsidR="00C92146" w:rsidRPr="00155974">
        <w:rPr>
          <w:iCs/>
          <w:sz w:val="19"/>
          <w:szCs w:val="19"/>
        </w:rPr>
        <w:fldChar w:fldCharType="begin"/>
      </w:r>
      <w:r w:rsidR="00C92146" w:rsidRPr="00155974">
        <w:rPr>
          <w:iCs/>
          <w:sz w:val="19"/>
          <w:szCs w:val="19"/>
        </w:rPr>
        <w:instrText xml:space="preserve"> REF _Ref34593945 \r \h </w:instrText>
      </w:r>
      <w:r w:rsidR="00155974">
        <w:rPr>
          <w:iCs/>
          <w:sz w:val="19"/>
          <w:szCs w:val="19"/>
        </w:rPr>
        <w:instrText xml:space="preserve"> \* MERGEFORMAT </w:instrText>
      </w:r>
      <w:r w:rsidR="00C92146" w:rsidRPr="00155974">
        <w:rPr>
          <w:iCs/>
          <w:sz w:val="19"/>
          <w:szCs w:val="19"/>
        </w:rPr>
      </w:r>
      <w:r w:rsidR="00C92146" w:rsidRPr="00155974">
        <w:rPr>
          <w:iCs/>
          <w:sz w:val="19"/>
          <w:szCs w:val="19"/>
        </w:rPr>
        <w:fldChar w:fldCharType="separate"/>
      </w:r>
      <w:r w:rsidR="00454A6B">
        <w:rPr>
          <w:iCs/>
          <w:sz w:val="19"/>
          <w:szCs w:val="19"/>
        </w:rPr>
        <w:t>97</w:t>
      </w:r>
      <w:r w:rsidR="00C92146" w:rsidRPr="00155974">
        <w:rPr>
          <w:iCs/>
          <w:sz w:val="19"/>
          <w:szCs w:val="19"/>
        </w:rPr>
        <w:fldChar w:fldCharType="end"/>
      </w:r>
      <w:r w:rsidRPr="00155974">
        <w:rPr>
          <w:iCs/>
          <w:sz w:val="19"/>
          <w:szCs w:val="19"/>
        </w:rPr>
        <w:t xml:space="preserve">. The only exception made relates to the option of not presenting a separate statement of changes in equity as noted in paragraph </w:t>
      </w:r>
      <w:r w:rsidRPr="00155974">
        <w:rPr>
          <w:iCs/>
          <w:sz w:val="19"/>
          <w:szCs w:val="19"/>
        </w:rPr>
        <w:fldChar w:fldCharType="begin"/>
      </w:r>
      <w:r w:rsidRPr="00155974">
        <w:rPr>
          <w:iCs/>
          <w:sz w:val="19"/>
          <w:szCs w:val="19"/>
        </w:rPr>
        <w:instrText xml:space="preserve"> REF _Ref13665876 \r \h </w:instrText>
      </w:r>
      <w:r w:rsidR="00155974">
        <w:rPr>
          <w:iCs/>
          <w:sz w:val="19"/>
          <w:szCs w:val="19"/>
        </w:rPr>
        <w:instrText xml:space="preserve"> \* MERGEFORMAT </w:instrText>
      </w:r>
      <w:r w:rsidRPr="00155974">
        <w:rPr>
          <w:iCs/>
          <w:sz w:val="19"/>
          <w:szCs w:val="19"/>
        </w:rPr>
      </w:r>
      <w:r w:rsidRPr="00155974">
        <w:rPr>
          <w:iCs/>
          <w:sz w:val="19"/>
          <w:szCs w:val="19"/>
        </w:rPr>
        <w:fldChar w:fldCharType="separate"/>
      </w:r>
      <w:r w:rsidR="00454A6B">
        <w:rPr>
          <w:iCs/>
          <w:sz w:val="19"/>
          <w:szCs w:val="19"/>
        </w:rPr>
        <w:t>BC62</w:t>
      </w:r>
      <w:r w:rsidRPr="00155974">
        <w:rPr>
          <w:iCs/>
          <w:sz w:val="19"/>
          <w:szCs w:val="19"/>
        </w:rPr>
        <w:fldChar w:fldCharType="end"/>
      </w:r>
      <w:r w:rsidRPr="00155974">
        <w:rPr>
          <w:iCs/>
          <w:sz w:val="19"/>
          <w:szCs w:val="19"/>
        </w:rPr>
        <w:t>.</w:t>
      </w:r>
      <w:bookmarkEnd w:id="176"/>
    </w:p>
    <w:p w14:paraId="1CE5FD1B" w14:textId="77777777" w:rsidR="0088075B" w:rsidRPr="00155974" w:rsidRDefault="0088075B" w:rsidP="000E61D3">
      <w:pPr>
        <w:pStyle w:val="Default"/>
        <w:numPr>
          <w:ilvl w:val="0"/>
          <w:numId w:val="35"/>
        </w:numPr>
        <w:spacing w:before="100"/>
        <w:ind w:left="782" w:hanging="782"/>
        <w:jc w:val="both"/>
      </w:pPr>
      <w:r w:rsidRPr="00155974">
        <w:rPr>
          <w:iCs/>
          <w:sz w:val="19"/>
          <w:szCs w:val="19"/>
        </w:rPr>
        <w:t xml:space="preserve">ED 295 further proposed to replace the presentation requirements of AASB 5 </w:t>
      </w:r>
      <w:r w:rsidRPr="00155974">
        <w:rPr>
          <w:i/>
          <w:sz w:val="19"/>
          <w:szCs w:val="19"/>
        </w:rPr>
        <w:t>Non-current Assets Held for Sale and Discontinued Operations</w:t>
      </w:r>
      <w:r w:rsidRPr="00155974">
        <w:rPr>
          <w:iCs/>
          <w:sz w:val="19"/>
          <w:szCs w:val="19"/>
        </w:rPr>
        <w:t xml:space="preserve"> with those included in the </w:t>
      </w:r>
      <w:r w:rsidRPr="00155974">
        <w:rPr>
          <w:i/>
          <w:sz w:val="19"/>
          <w:szCs w:val="19"/>
        </w:rPr>
        <w:t>IFRS for SMEs</w:t>
      </w:r>
      <w:r w:rsidRPr="00155974">
        <w:rPr>
          <w:iCs/>
          <w:sz w:val="19"/>
          <w:szCs w:val="19"/>
        </w:rPr>
        <w:t xml:space="preserve"> Standard. However, after considering the feedback received on ED 295, the Board decided to amend the proposals to align the presentation requirements in AASB 1060 with those in AASB 5. This will ensure consistency in the presentation of discontinued operations between Tier 1 and Tier 2 entities and is consistent with the overall intention to retain the presentation requirements from full AAS and only adopt the IFRS for SMEs disclosures.</w:t>
      </w:r>
      <w:r w:rsidRPr="00155974">
        <w:t xml:space="preserve"> </w:t>
      </w:r>
    </w:p>
    <w:p w14:paraId="3E2BBA31" w14:textId="77777777" w:rsidR="0088075B" w:rsidRPr="00155974" w:rsidRDefault="0088075B" w:rsidP="000E61D3">
      <w:pPr>
        <w:pStyle w:val="Default"/>
        <w:numPr>
          <w:ilvl w:val="0"/>
          <w:numId w:val="35"/>
        </w:numPr>
        <w:spacing w:before="100"/>
        <w:ind w:left="782" w:hanging="782"/>
        <w:jc w:val="both"/>
        <w:rPr>
          <w:sz w:val="19"/>
          <w:szCs w:val="19"/>
        </w:rPr>
      </w:pPr>
      <w:bookmarkStart w:id="177" w:name="_Ref13666249"/>
      <w:r w:rsidRPr="00155974">
        <w:rPr>
          <w:sz w:val="19"/>
          <w:szCs w:val="19"/>
        </w:rPr>
        <w:t xml:space="preserve">The Board noted that any future changes made to AAS will be assessed using the above principles, to determine whether and how the changes would require amendments to AASB 1060. Where necessary, amendments to AASB 1060 will be made in time to ensure they are effective at the same time as the amendments to the full AAS. This will ensure AASB 1060 will continue to be appropriately aligned with the requirements of full AAS. </w:t>
      </w:r>
      <w:bookmarkEnd w:id="177"/>
    </w:p>
    <w:p w14:paraId="2E92CB49" w14:textId="77777777" w:rsidR="0088075B" w:rsidRPr="00155974" w:rsidRDefault="0088075B" w:rsidP="00FD3FE7">
      <w:pPr>
        <w:pStyle w:val="Heading2"/>
      </w:pPr>
      <w:r w:rsidRPr="00155974">
        <w:t>Scope and application to not-for-profit and public sector entities</w:t>
      </w:r>
    </w:p>
    <w:p w14:paraId="508D6F0F" w14:textId="4DEEB51E" w:rsidR="0088075B" w:rsidRPr="00155974" w:rsidRDefault="0088075B" w:rsidP="000E61D3">
      <w:pPr>
        <w:pStyle w:val="Default"/>
        <w:numPr>
          <w:ilvl w:val="0"/>
          <w:numId w:val="35"/>
        </w:numPr>
        <w:spacing w:before="100"/>
        <w:ind w:left="782" w:hanging="782"/>
        <w:jc w:val="both"/>
        <w:rPr>
          <w:sz w:val="19"/>
          <w:szCs w:val="19"/>
        </w:rPr>
      </w:pPr>
      <w:bookmarkStart w:id="178" w:name="_Ref9000011"/>
      <w:r w:rsidRPr="00155974">
        <w:rPr>
          <w:sz w:val="19"/>
          <w:szCs w:val="19"/>
        </w:rPr>
        <w:t xml:space="preserve">While the disclosures in the </w:t>
      </w:r>
      <w:r w:rsidRPr="00155974">
        <w:rPr>
          <w:i/>
          <w:sz w:val="19"/>
          <w:szCs w:val="19"/>
        </w:rPr>
        <w:t>IFRS for SMEs</w:t>
      </w:r>
      <w:r w:rsidRPr="00155974">
        <w:rPr>
          <w:sz w:val="19"/>
          <w:szCs w:val="19"/>
        </w:rPr>
        <w:t xml:space="preserve"> Standard are developed specifically for for-profit private sector entities, the Board agreed that AASB 1060 should also be made applicable to not-for-profit private sector entities and public sector entities, other than the Australian Government and State, Territory and Local Governments. Making AASB 1060 applicable to all Tier 2 entities, whether for-profit or NFP, will result in an immediate reduction in disclosures compared to the current RDR framework, and NFP private sector entities will be able to benefit from this reduction in disclosures while waiting for legislative action on the ACNC legislative review recommendations and for a revised NFP Financial Reporting Framework to be </w:t>
      </w:r>
      <w:r w:rsidRPr="00155974">
        <w:rPr>
          <w:sz w:val="19"/>
          <w:szCs w:val="19"/>
        </w:rPr>
        <w:lastRenderedPageBreak/>
        <w:t>developed</w:t>
      </w:r>
      <w:r w:rsidRPr="00155974">
        <w:rPr>
          <w:rStyle w:val="FootnoteReference"/>
          <w:sz w:val="19"/>
          <w:szCs w:val="19"/>
        </w:rPr>
        <w:footnoteReference w:id="55"/>
      </w:r>
      <w:r w:rsidRPr="00155974">
        <w:rPr>
          <w:sz w:val="19"/>
          <w:szCs w:val="19"/>
        </w:rPr>
        <w:t>. Similarly, public sector entities will also benefit while consideration is being given to improving public sector financial reporting</w:t>
      </w:r>
      <w:r w:rsidRPr="00155974">
        <w:rPr>
          <w:rStyle w:val="FootnoteReference"/>
          <w:sz w:val="19"/>
          <w:szCs w:val="19"/>
        </w:rPr>
        <w:footnoteReference w:id="56"/>
      </w:r>
      <w:r w:rsidRPr="00155974">
        <w:rPr>
          <w:sz w:val="19"/>
          <w:szCs w:val="19"/>
        </w:rPr>
        <w:t xml:space="preserve">. The Tier 2 disclosure framework may still be relevant to NFP entities as one of the tiers of reporting for that sector even after a revised NFP Financial Reporting Framework is developed. </w:t>
      </w:r>
      <w:bookmarkEnd w:id="178"/>
    </w:p>
    <w:p w14:paraId="5CEA6D7C"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While respondents to ED 295 had suggested deferring the mandatory date of AASB 1060 for NFP entities possibly until the NFP private and public sector financial reporting frameworks have been finalised, the Board decided against different application dates to avoid the confusion for users that would come from having two Tier 2 reporting frameworks in operation at the same time. </w:t>
      </w:r>
    </w:p>
    <w:p w14:paraId="2877227D" w14:textId="6ED223BF" w:rsidR="0088075B" w:rsidRPr="00155974" w:rsidRDefault="0088075B" w:rsidP="000E61D3">
      <w:pPr>
        <w:pStyle w:val="Default"/>
        <w:numPr>
          <w:ilvl w:val="0"/>
          <w:numId w:val="35"/>
        </w:numPr>
        <w:spacing w:before="100"/>
        <w:ind w:left="782" w:hanging="782"/>
        <w:jc w:val="both"/>
        <w:rPr>
          <w:sz w:val="19"/>
          <w:szCs w:val="19"/>
        </w:rPr>
      </w:pPr>
      <w:bookmarkStart w:id="179" w:name="_Ref9000081"/>
      <w:r w:rsidRPr="00155974">
        <w:rPr>
          <w:sz w:val="19"/>
          <w:szCs w:val="19"/>
        </w:rPr>
        <w:t xml:space="preserve">In determining whether disclosures would need to be added to address any R&amp;M differences that are specific to NFP private sector and public sector entities, the Board has applied paragraph 28 of the </w:t>
      </w:r>
      <w:r w:rsidRPr="00155974">
        <w:rPr>
          <w:i/>
          <w:iCs/>
          <w:sz w:val="19"/>
          <w:szCs w:val="19"/>
        </w:rPr>
        <w:t>AASB’s Not-for-Profit Entity Standard-Setting Framework</w:t>
      </w:r>
      <w:r w:rsidRPr="00155974">
        <w:rPr>
          <w:sz w:val="19"/>
          <w:szCs w:val="19"/>
        </w:rPr>
        <w:t xml:space="preserve"> and the principles listed in paragraphs </w:t>
      </w:r>
      <w:r w:rsidR="00776C36" w:rsidRPr="00155974">
        <w:rPr>
          <w:sz w:val="19"/>
          <w:szCs w:val="19"/>
        </w:rPr>
        <w:fldChar w:fldCharType="begin"/>
      </w:r>
      <w:r w:rsidR="00776C36" w:rsidRPr="00155974">
        <w:rPr>
          <w:sz w:val="19"/>
          <w:szCs w:val="19"/>
        </w:rPr>
        <w:instrText xml:space="preserve"> REF _Ref8992108 \r \h </w:instrText>
      </w:r>
      <w:r w:rsidR="00155974">
        <w:rPr>
          <w:sz w:val="19"/>
          <w:szCs w:val="19"/>
        </w:rPr>
        <w:instrText xml:space="preserve"> \* MERGEFORMAT </w:instrText>
      </w:r>
      <w:r w:rsidR="00776C36" w:rsidRPr="00155974">
        <w:rPr>
          <w:sz w:val="19"/>
          <w:szCs w:val="19"/>
        </w:rPr>
      </w:r>
      <w:r w:rsidR="00776C36" w:rsidRPr="00155974">
        <w:rPr>
          <w:sz w:val="19"/>
          <w:szCs w:val="19"/>
        </w:rPr>
        <w:fldChar w:fldCharType="separate"/>
      </w:r>
      <w:r w:rsidR="00454A6B">
        <w:rPr>
          <w:sz w:val="19"/>
          <w:szCs w:val="19"/>
        </w:rPr>
        <w:t>BC41</w:t>
      </w:r>
      <w:r w:rsidR="00776C36" w:rsidRPr="00155974">
        <w:rPr>
          <w:sz w:val="19"/>
          <w:szCs w:val="19"/>
        </w:rPr>
        <w:fldChar w:fldCharType="end"/>
      </w:r>
      <w:r w:rsidRPr="00155974">
        <w:rPr>
          <w:sz w:val="19"/>
          <w:szCs w:val="19"/>
        </w:rPr>
        <w:t xml:space="preserve"> and </w:t>
      </w:r>
      <w:r w:rsidR="00776C36" w:rsidRPr="00155974">
        <w:rPr>
          <w:sz w:val="19"/>
          <w:szCs w:val="19"/>
        </w:rPr>
        <w:fldChar w:fldCharType="begin"/>
      </w:r>
      <w:r w:rsidR="00776C36" w:rsidRPr="00155974">
        <w:rPr>
          <w:sz w:val="19"/>
          <w:szCs w:val="19"/>
        </w:rPr>
        <w:instrText xml:space="preserve"> REF _Ref35356411 \r \h </w:instrText>
      </w:r>
      <w:r w:rsidR="00155974">
        <w:rPr>
          <w:sz w:val="19"/>
          <w:szCs w:val="19"/>
        </w:rPr>
        <w:instrText xml:space="preserve"> \* MERGEFORMAT </w:instrText>
      </w:r>
      <w:r w:rsidR="00776C36" w:rsidRPr="00155974">
        <w:rPr>
          <w:sz w:val="19"/>
          <w:szCs w:val="19"/>
        </w:rPr>
      </w:r>
      <w:r w:rsidR="00776C36" w:rsidRPr="00155974">
        <w:rPr>
          <w:sz w:val="19"/>
          <w:szCs w:val="19"/>
        </w:rPr>
        <w:fldChar w:fldCharType="separate"/>
      </w:r>
      <w:r w:rsidR="00454A6B">
        <w:rPr>
          <w:sz w:val="19"/>
          <w:szCs w:val="19"/>
        </w:rPr>
        <w:t>BC42</w:t>
      </w:r>
      <w:r w:rsidR="00776C36" w:rsidRPr="00155974">
        <w:rPr>
          <w:sz w:val="19"/>
          <w:szCs w:val="19"/>
        </w:rPr>
        <w:fldChar w:fldCharType="end"/>
      </w:r>
      <w:r w:rsidRPr="00155974">
        <w:rPr>
          <w:sz w:val="19"/>
          <w:szCs w:val="19"/>
        </w:rPr>
        <w:t xml:space="preserve"> above. While those principles have been developed with a specific focus on the users of the financial statements of private sector entities, the Board considers that they are also relevant to the users of the financial statements of NFP entities. However, the Board also acknowledged that certain transactions or items in the financial statements are unique to NFP entities and may require additional information, as set out in the AASB’s </w:t>
      </w:r>
      <w:r w:rsidRPr="00155974">
        <w:rPr>
          <w:i/>
          <w:iCs/>
          <w:sz w:val="19"/>
          <w:szCs w:val="19"/>
        </w:rPr>
        <w:t>Not-for-Profit Entity Standard Setting Framework</w:t>
      </w:r>
      <w:r w:rsidRPr="00155974">
        <w:rPr>
          <w:sz w:val="19"/>
          <w:szCs w:val="19"/>
        </w:rPr>
        <w:t>. A limited number of disclosures have been added to AASB</w:t>
      </w:r>
      <w:r w:rsidR="003E4E88" w:rsidRPr="002A4F2E">
        <w:rPr>
          <w:sz w:val="19"/>
          <w:szCs w:val="19"/>
        </w:rPr>
        <w:t> </w:t>
      </w:r>
      <w:r w:rsidRPr="00155974">
        <w:rPr>
          <w:sz w:val="19"/>
          <w:szCs w:val="19"/>
        </w:rPr>
        <w:t xml:space="preserve">1060 for that reason. Further details about the decisions made in relation to specific disclosures are set out in paragraphs </w:t>
      </w:r>
      <w:r w:rsidRPr="00155974">
        <w:rPr>
          <w:sz w:val="19"/>
          <w:szCs w:val="19"/>
        </w:rPr>
        <w:fldChar w:fldCharType="begin"/>
      </w:r>
      <w:r w:rsidRPr="00155974">
        <w:rPr>
          <w:sz w:val="19"/>
          <w:szCs w:val="19"/>
        </w:rPr>
        <w:instrText xml:space="preserve"> REF _Ref8739661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BC91</w:t>
      </w:r>
      <w:r w:rsidRPr="00155974">
        <w:rPr>
          <w:sz w:val="19"/>
          <w:szCs w:val="19"/>
        </w:rPr>
        <w:fldChar w:fldCharType="end"/>
      </w:r>
      <w:r w:rsidRPr="00155974">
        <w:rPr>
          <w:sz w:val="19"/>
          <w:szCs w:val="19"/>
        </w:rPr>
        <w:t>–</w:t>
      </w:r>
      <w:r w:rsidRPr="00155974">
        <w:rPr>
          <w:sz w:val="19"/>
          <w:szCs w:val="19"/>
        </w:rPr>
        <w:fldChar w:fldCharType="begin"/>
      </w:r>
      <w:r w:rsidRPr="00155974">
        <w:rPr>
          <w:sz w:val="19"/>
          <w:szCs w:val="19"/>
        </w:rPr>
        <w:instrText xml:space="preserve"> REF _Ref10115552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BC93</w:t>
      </w:r>
      <w:r w:rsidRPr="00155974">
        <w:rPr>
          <w:sz w:val="19"/>
          <w:szCs w:val="19"/>
        </w:rPr>
        <w:fldChar w:fldCharType="end"/>
      </w:r>
      <w:r w:rsidRPr="00155974">
        <w:rPr>
          <w:sz w:val="19"/>
          <w:szCs w:val="19"/>
        </w:rPr>
        <w:t>.</w:t>
      </w:r>
      <w:bookmarkEnd w:id="179"/>
      <w:r w:rsidRPr="00155974">
        <w:rPr>
          <w:sz w:val="19"/>
          <w:szCs w:val="19"/>
        </w:rPr>
        <w:t xml:space="preserve"> </w:t>
      </w:r>
    </w:p>
    <w:p w14:paraId="7D72D339" w14:textId="77777777" w:rsidR="0088075B" w:rsidRPr="00155974" w:rsidRDefault="0088075B" w:rsidP="00A74E07">
      <w:pPr>
        <w:pStyle w:val="Heading2"/>
      </w:pPr>
      <w:bookmarkStart w:id="180" w:name="_Significant_decisions_made"/>
      <w:bookmarkEnd w:id="180"/>
      <w:r w:rsidRPr="00A74E07">
        <w:t>Significant</w:t>
      </w:r>
      <w:r w:rsidRPr="00155974">
        <w:t xml:space="preserve"> decisions made by the Board in developing the disclosures</w:t>
      </w:r>
    </w:p>
    <w:p w14:paraId="391E2C4A" w14:textId="77777777" w:rsidR="0088075B" w:rsidRPr="00155974" w:rsidRDefault="0088075B" w:rsidP="00A74E07">
      <w:pPr>
        <w:pStyle w:val="IASBSectionTitle2Ind"/>
      </w:pPr>
      <w:r w:rsidRPr="00155974">
        <w:t>Replacing entire Standards with AASB 1060</w:t>
      </w:r>
    </w:p>
    <w:p w14:paraId="5595F304" w14:textId="3C949970" w:rsidR="0088075B" w:rsidRPr="00155974" w:rsidRDefault="0088075B" w:rsidP="000E61D3">
      <w:pPr>
        <w:pStyle w:val="Default"/>
        <w:numPr>
          <w:ilvl w:val="0"/>
          <w:numId w:val="35"/>
        </w:numPr>
        <w:spacing w:before="100"/>
        <w:ind w:left="782" w:hanging="782"/>
        <w:jc w:val="both"/>
        <w:rPr>
          <w:sz w:val="19"/>
          <w:szCs w:val="19"/>
        </w:rPr>
      </w:pPr>
      <w:bookmarkStart w:id="181" w:name="_Ref8739559"/>
      <w:r w:rsidRPr="00155974">
        <w:rPr>
          <w:noProof/>
          <w:sz w:val="19"/>
          <w:szCs w:val="19"/>
        </w:rPr>
        <w:t xml:space="preserve">In considering the ease of application for Tier 2 entities, the Board decided </w:t>
      </w:r>
      <w:r w:rsidRPr="00155974">
        <w:rPr>
          <w:sz w:val="19"/>
          <w:szCs w:val="19"/>
        </w:rPr>
        <w:t>to</w:t>
      </w:r>
      <w:r w:rsidRPr="00155974">
        <w:rPr>
          <w:noProof/>
          <w:sz w:val="19"/>
          <w:szCs w:val="19"/>
        </w:rPr>
        <w:t xml:space="preserve"> replace any Standards that deal exclusively with presentation and disclosure requirements in their entirety with the corresponding requirements in AASB</w:t>
      </w:r>
      <w:r w:rsidR="00B139F2">
        <w:rPr>
          <w:noProof/>
          <w:sz w:val="19"/>
          <w:szCs w:val="19"/>
        </w:rPr>
        <w:t xml:space="preserve"> </w:t>
      </w:r>
      <w:r w:rsidRPr="00155974">
        <w:rPr>
          <w:noProof/>
          <w:sz w:val="19"/>
          <w:szCs w:val="19"/>
        </w:rPr>
        <w:t>1060. New paragraphs 20A and 20B are added to AAS</w:t>
      </w:r>
      <w:r w:rsidR="00B139F2" w:rsidRPr="002A4F2E">
        <w:rPr>
          <w:sz w:val="19"/>
          <w:szCs w:val="19"/>
        </w:rPr>
        <w:t>B</w:t>
      </w:r>
      <w:r w:rsidR="002A4F2E">
        <w:rPr>
          <w:sz w:val="19"/>
          <w:szCs w:val="19"/>
        </w:rPr>
        <w:t xml:space="preserve"> </w:t>
      </w:r>
      <w:r w:rsidRPr="00155974">
        <w:rPr>
          <w:noProof/>
          <w:sz w:val="19"/>
          <w:szCs w:val="19"/>
        </w:rPr>
        <w:t xml:space="preserve">1057 </w:t>
      </w:r>
      <w:r w:rsidRPr="00155974">
        <w:rPr>
          <w:i/>
          <w:iCs/>
          <w:noProof/>
          <w:sz w:val="19"/>
          <w:szCs w:val="19"/>
        </w:rPr>
        <w:t xml:space="preserve">Application of Australian Accounting Standards </w:t>
      </w:r>
      <w:r w:rsidRPr="00155974">
        <w:rPr>
          <w:noProof/>
          <w:sz w:val="19"/>
          <w:szCs w:val="19"/>
        </w:rPr>
        <w:t xml:space="preserve">to note that entities applying this Standard do not need to comply with AASB 7 </w:t>
      </w:r>
      <w:r w:rsidRPr="00155974">
        <w:rPr>
          <w:i/>
          <w:iCs/>
          <w:noProof/>
          <w:sz w:val="19"/>
          <w:szCs w:val="19"/>
        </w:rPr>
        <w:t>Financial Instruments:Disclosures</w:t>
      </w:r>
      <w:r w:rsidRPr="00155974">
        <w:rPr>
          <w:noProof/>
          <w:sz w:val="19"/>
          <w:szCs w:val="19"/>
        </w:rPr>
        <w:t>, AASB 12</w:t>
      </w:r>
      <w:r w:rsidRPr="00155974">
        <w:rPr>
          <w:i/>
          <w:iCs/>
          <w:noProof/>
          <w:sz w:val="19"/>
          <w:szCs w:val="19"/>
        </w:rPr>
        <w:t xml:space="preserve"> Disclosure of Interests in Other Entities</w:t>
      </w:r>
      <w:r w:rsidRPr="00155974">
        <w:rPr>
          <w:noProof/>
          <w:sz w:val="19"/>
          <w:szCs w:val="19"/>
        </w:rPr>
        <w:t>, AASB</w:t>
      </w:r>
      <w:r w:rsidR="00F1780F" w:rsidRPr="00F93CC4">
        <w:rPr>
          <w:sz w:val="19"/>
          <w:szCs w:val="19"/>
        </w:rPr>
        <w:t> </w:t>
      </w:r>
      <w:r w:rsidRPr="00155974">
        <w:rPr>
          <w:noProof/>
          <w:sz w:val="19"/>
          <w:szCs w:val="19"/>
        </w:rPr>
        <w:t>101, AASB</w:t>
      </w:r>
      <w:r w:rsidR="00F1780F" w:rsidRPr="00F93CC4">
        <w:rPr>
          <w:sz w:val="19"/>
          <w:szCs w:val="19"/>
        </w:rPr>
        <w:t> </w:t>
      </w:r>
      <w:r w:rsidRPr="00155974">
        <w:rPr>
          <w:noProof/>
          <w:sz w:val="19"/>
          <w:szCs w:val="19"/>
        </w:rPr>
        <w:t>107</w:t>
      </w:r>
      <w:r w:rsidRPr="00155974">
        <w:rPr>
          <w:i/>
          <w:iCs/>
          <w:noProof/>
          <w:sz w:val="19"/>
          <w:szCs w:val="19"/>
        </w:rPr>
        <w:t xml:space="preserve"> </w:t>
      </w:r>
      <w:r w:rsidRPr="00155974">
        <w:rPr>
          <w:noProof/>
          <w:sz w:val="19"/>
          <w:szCs w:val="19"/>
        </w:rPr>
        <w:t>and AASB</w:t>
      </w:r>
      <w:r w:rsidR="00F93CC4" w:rsidRPr="002A4F2E">
        <w:rPr>
          <w:sz w:val="19"/>
          <w:szCs w:val="19"/>
        </w:rPr>
        <w:t xml:space="preserve"> </w:t>
      </w:r>
      <w:r w:rsidRPr="00155974">
        <w:rPr>
          <w:noProof/>
          <w:sz w:val="19"/>
          <w:szCs w:val="19"/>
        </w:rPr>
        <w:t>124</w:t>
      </w:r>
      <w:r w:rsidRPr="00155974">
        <w:rPr>
          <w:i/>
          <w:iCs/>
          <w:noProof/>
          <w:sz w:val="19"/>
          <w:szCs w:val="19"/>
        </w:rPr>
        <w:t xml:space="preserve">. </w:t>
      </w:r>
      <w:r w:rsidRPr="00155974">
        <w:rPr>
          <w:noProof/>
          <w:sz w:val="19"/>
          <w:szCs w:val="19"/>
        </w:rPr>
        <w:t xml:space="preserve">These Standards will be replaced with the following sections from the </w:t>
      </w:r>
      <w:r w:rsidRPr="00155974">
        <w:rPr>
          <w:i/>
          <w:iCs/>
          <w:sz w:val="19"/>
          <w:szCs w:val="19"/>
        </w:rPr>
        <w:t>IFRS for SMEs</w:t>
      </w:r>
      <w:r w:rsidRPr="00155974">
        <w:rPr>
          <w:noProof/>
          <w:sz w:val="19"/>
          <w:szCs w:val="19"/>
        </w:rPr>
        <w:t xml:space="preserve"> Standard:</w:t>
      </w:r>
      <w:r w:rsidRPr="00155974">
        <w:rPr>
          <w:sz w:val="19"/>
          <w:szCs w:val="19"/>
        </w:rPr>
        <w:t xml:space="preserve"> </w:t>
      </w:r>
      <w:bookmarkEnd w:id="181"/>
    </w:p>
    <w:p w14:paraId="7498BC03" w14:textId="18DC4E2D" w:rsidR="0088075B" w:rsidRPr="00155974" w:rsidRDefault="0088075B" w:rsidP="000E61D3">
      <w:pPr>
        <w:numPr>
          <w:ilvl w:val="0"/>
          <w:numId w:val="24"/>
        </w:numPr>
        <w:spacing w:before="100"/>
        <w:ind w:left="1564" w:hanging="782"/>
        <w:rPr>
          <w:szCs w:val="19"/>
        </w:rPr>
      </w:pPr>
      <w:r w:rsidRPr="00155974">
        <w:rPr>
          <w:szCs w:val="19"/>
        </w:rPr>
        <w:t>Financial Statement Presentation</w:t>
      </w:r>
      <w:r w:rsidRPr="00155974">
        <w:rPr>
          <w:i/>
          <w:szCs w:val="19"/>
        </w:rPr>
        <w:t xml:space="preserve"> </w:t>
      </w:r>
      <w:r w:rsidRPr="00155974">
        <w:rPr>
          <w:szCs w:val="19"/>
        </w:rPr>
        <w:t xml:space="preserve">(AASB 101): paragraphs </w:t>
      </w:r>
      <w:r w:rsidR="003A628E" w:rsidRPr="00155974">
        <w:rPr>
          <w:szCs w:val="19"/>
        </w:rPr>
        <w:fldChar w:fldCharType="begin"/>
      </w:r>
      <w:r w:rsidR="003A628E" w:rsidRPr="00155974">
        <w:rPr>
          <w:szCs w:val="19"/>
        </w:rPr>
        <w:instrText xml:space="preserve"> REF _Ref35356217 \r \h </w:instrText>
      </w:r>
      <w:r w:rsidR="00155974">
        <w:rPr>
          <w:szCs w:val="19"/>
        </w:rPr>
        <w:instrText xml:space="preserve"> \* MERGEFORMAT </w:instrText>
      </w:r>
      <w:r w:rsidR="003A628E" w:rsidRPr="00155974">
        <w:rPr>
          <w:szCs w:val="19"/>
        </w:rPr>
      </w:r>
      <w:r w:rsidR="003A628E" w:rsidRPr="00155974">
        <w:rPr>
          <w:szCs w:val="19"/>
        </w:rPr>
        <w:fldChar w:fldCharType="separate"/>
      </w:r>
      <w:r w:rsidR="00454A6B">
        <w:rPr>
          <w:szCs w:val="19"/>
        </w:rPr>
        <w:t>8</w:t>
      </w:r>
      <w:r w:rsidR="003A628E" w:rsidRPr="00155974">
        <w:rPr>
          <w:szCs w:val="19"/>
        </w:rPr>
        <w:fldChar w:fldCharType="end"/>
      </w:r>
      <w:r w:rsidRPr="00155974">
        <w:rPr>
          <w:szCs w:val="19"/>
        </w:rPr>
        <w:t xml:space="preserve"> – </w:t>
      </w:r>
      <w:r w:rsidR="0012632B" w:rsidRPr="00155974">
        <w:rPr>
          <w:szCs w:val="19"/>
        </w:rPr>
        <w:fldChar w:fldCharType="begin"/>
      </w:r>
      <w:r w:rsidR="0012632B" w:rsidRPr="00155974">
        <w:rPr>
          <w:szCs w:val="19"/>
        </w:rPr>
        <w:instrText xml:space="preserve"> REF _Ref35356688 \r \h </w:instrText>
      </w:r>
      <w:r w:rsidR="00155974">
        <w:rPr>
          <w:szCs w:val="19"/>
        </w:rPr>
        <w:instrText xml:space="preserve"> \* MERGEFORMAT </w:instrText>
      </w:r>
      <w:r w:rsidR="0012632B" w:rsidRPr="00155974">
        <w:rPr>
          <w:szCs w:val="19"/>
        </w:rPr>
      </w:r>
      <w:r w:rsidR="0012632B" w:rsidRPr="00155974">
        <w:rPr>
          <w:szCs w:val="19"/>
        </w:rPr>
        <w:fldChar w:fldCharType="separate"/>
      </w:r>
      <w:r w:rsidR="00454A6B">
        <w:rPr>
          <w:szCs w:val="19"/>
        </w:rPr>
        <w:t>33</w:t>
      </w:r>
      <w:r w:rsidR="0012632B" w:rsidRPr="00155974">
        <w:rPr>
          <w:szCs w:val="19"/>
        </w:rPr>
        <w:fldChar w:fldCharType="end"/>
      </w:r>
    </w:p>
    <w:p w14:paraId="2271BDF2" w14:textId="350D3E06" w:rsidR="0088075B" w:rsidRPr="00155974" w:rsidRDefault="0088075B" w:rsidP="000E61D3">
      <w:pPr>
        <w:numPr>
          <w:ilvl w:val="0"/>
          <w:numId w:val="24"/>
        </w:numPr>
        <w:spacing w:before="100"/>
        <w:ind w:left="1564" w:hanging="782"/>
        <w:rPr>
          <w:i/>
          <w:szCs w:val="19"/>
          <w:lang w:eastAsia="en-AU"/>
        </w:rPr>
      </w:pPr>
      <w:r w:rsidRPr="00155974">
        <w:rPr>
          <w:szCs w:val="19"/>
          <w:lang w:eastAsia="en-AU"/>
        </w:rPr>
        <w:t>Statement of Financial Position</w:t>
      </w:r>
      <w:r w:rsidRPr="00155974">
        <w:rPr>
          <w:i/>
          <w:szCs w:val="19"/>
          <w:lang w:eastAsia="en-AU"/>
        </w:rPr>
        <w:t xml:space="preserve"> </w:t>
      </w:r>
      <w:r w:rsidRPr="00155974">
        <w:rPr>
          <w:szCs w:val="19"/>
          <w:lang w:eastAsia="en-AU"/>
        </w:rPr>
        <w:t>(AASB 101)</w:t>
      </w:r>
      <w:r w:rsidRPr="00155974">
        <w:rPr>
          <w:szCs w:val="19"/>
        </w:rPr>
        <w:t xml:space="preserve">: paragraphs </w:t>
      </w:r>
      <w:r w:rsidR="0012632B" w:rsidRPr="00155974">
        <w:rPr>
          <w:szCs w:val="19"/>
        </w:rPr>
        <w:fldChar w:fldCharType="begin"/>
      </w:r>
      <w:r w:rsidR="0012632B" w:rsidRPr="00155974">
        <w:rPr>
          <w:szCs w:val="19"/>
        </w:rPr>
        <w:instrText xml:space="preserve"> REF _Ref35356697 \r \h </w:instrText>
      </w:r>
      <w:r w:rsidR="00155974">
        <w:rPr>
          <w:szCs w:val="19"/>
        </w:rPr>
        <w:instrText xml:space="preserve"> \* MERGEFORMAT </w:instrText>
      </w:r>
      <w:r w:rsidR="0012632B" w:rsidRPr="00155974">
        <w:rPr>
          <w:szCs w:val="19"/>
        </w:rPr>
      </w:r>
      <w:r w:rsidR="0012632B" w:rsidRPr="00155974">
        <w:rPr>
          <w:szCs w:val="19"/>
        </w:rPr>
        <w:fldChar w:fldCharType="separate"/>
      </w:r>
      <w:r w:rsidR="00454A6B">
        <w:rPr>
          <w:szCs w:val="19"/>
        </w:rPr>
        <w:t>34</w:t>
      </w:r>
      <w:r w:rsidR="0012632B" w:rsidRPr="00155974">
        <w:rPr>
          <w:szCs w:val="19"/>
        </w:rPr>
        <w:fldChar w:fldCharType="end"/>
      </w:r>
      <w:r w:rsidRPr="00155974">
        <w:rPr>
          <w:szCs w:val="19"/>
        </w:rPr>
        <w:t xml:space="preserve"> – </w:t>
      </w:r>
      <w:r w:rsidR="0010687D" w:rsidRPr="00155974">
        <w:rPr>
          <w:szCs w:val="19"/>
        </w:rPr>
        <w:fldChar w:fldCharType="begin"/>
      </w:r>
      <w:r w:rsidR="0010687D" w:rsidRPr="00155974">
        <w:rPr>
          <w:szCs w:val="19"/>
        </w:rPr>
        <w:instrText xml:space="preserve"> REF _Ref35356721 \r \h </w:instrText>
      </w:r>
      <w:r w:rsidR="00155974">
        <w:rPr>
          <w:szCs w:val="19"/>
        </w:rPr>
        <w:instrText xml:space="preserve"> \* MERGEFORMAT </w:instrText>
      </w:r>
      <w:r w:rsidR="0010687D" w:rsidRPr="00155974">
        <w:rPr>
          <w:szCs w:val="19"/>
        </w:rPr>
      </w:r>
      <w:r w:rsidR="0010687D" w:rsidRPr="00155974">
        <w:rPr>
          <w:szCs w:val="19"/>
        </w:rPr>
        <w:fldChar w:fldCharType="separate"/>
      </w:r>
      <w:r w:rsidR="00454A6B">
        <w:rPr>
          <w:szCs w:val="19"/>
        </w:rPr>
        <w:t>47</w:t>
      </w:r>
      <w:r w:rsidR="0010687D" w:rsidRPr="00155974">
        <w:rPr>
          <w:szCs w:val="19"/>
        </w:rPr>
        <w:fldChar w:fldCharType="end"/>
      </w:r>
    </w:p>
    <w:p w14:paraId="0090B453" w14:textId="18039443" w:rsidR="0088075B" w:rsidRPr="00155974" w:rsidRDefault="0088075B" w:rsidP="000E61D3">
      <w:pPr>
        <w:numPr>
          <w:ilvl w:val="0"/>
          <w:numId w:val="24"/>
        </w:numPr>
        <w:spacing w:before="100"/>
        <w:ind w:left="1564" w:hanging="782"/>
        <w:rPr>
          <w:i/>
          <w:szCs w:val="19"/>
          <w:lang w:eastAsia="en-AU"/>
        </w:rPr>
      </w:pPr>
      <w:r w:rsidRPr="00155974">
        <w:rPr>
          <w:szCs w:val="19"/>
          <w:lang w:eastAsia="en-AU"/>
        </w:rPr>
        <w:t>Statement of Profit or Loss and Other Comprehensive Income</w:t>
      </w:r>
      <w:r w:rsidRPr="00155974">
        <w:rPr>
          <w:i/>
          <w:szCs w:val="19"/>
          <w:lang w:eastAsia="en-AU"/>
        </w:rPr>
        <w:t xml:space="preserve"> </w:t>
      </w:r>
      <w:r w:rsidRPr="00155974">
        <w:rPr>
          <w:szCs w:val="19"/>
          <w:lang w:eastAsia="en-AU"/>
        </w:rPr>
        <w:t>(AASB 101)</w:t>
      </w:r>
      <w:r w:rsidRPr="00155974">
        <w:rPr>
          <w:szCs w:val="19"/>
        </w:rPr>
        <w:t xml:space="preserve">: paragraphs </w:t>
      </w:r>
      <w:r w:rsidR="006736A2" w:rsidRPr="00155974">
        <w:rPr>
          <w:szCs w:val="19"/>
        </w:rPr>
        <w:fldChar w:fldCharType="begin"/>
      </w:r>
      <w:r w:rsidR="006736A2" w:rsidRPr="00155974">
        <w:rPr>
          <w:szCs w:val="19"/>
        </w:rPr>
        <w:instrText xml:space="preserve"> REF _Ref35356747 \r \h </w:instrText>
      </w:r>
      <w:r w:rsidR="00155974">
        <w:rPr>
          <w:szCs w:val="19"/>
        </w:rPr>
        <w:instrText xml:space="preserve"> \* MERGEFORMAT </w:instrText>
      </w:r>
      <w:r w:rsidR="006736A2" w:rsidRPr="00155974">
        <w:rPr>
          <w:szCs w:val="19"/>
        </w:rPr>
      </w:r>
      <w:r w:rsidR="006736A2" w:rsidRPr="00155974">
        <w:rPr>
          <w:szCs w:val="19"/>
        </w:rPr>
        <w:fldChar w:fldCharType="separate"/>
      </w:r>
      <w:r w:rsidR="00454A6B">
        <w:rPr>
          <w:szCs w:val="19"/>
        </w:rPr>
        <w:t>48</w:t>
      </w:r>
      <w:r w:rsidR="006736A2" w:rsidRPr="00155974">
        <w:rPr>
          <w:szCs w:val="19"/>
        </w:rPr>
        <w:fldChar w:fldCharType="end"/>
      </w:r>
      <w:r w:rsidRPr="00155974">
        <w:rPr>
          <w:szCs w:val="19"/>
        </w:rPr>
        <w:t xml:space="preserve"> – </w:t>
      </w:r>
      <w:r w:rsidR="006736A2" w:rsidRPr="00155974">
        <w:rPr>
          <w:szCs w:val="19"/>
        </w:rPr>
        <w:fldChar w:fldCharType="begin"/>
      </w:r>
      <w:r w:rsidR="006736A2" w:rsidRPr="00155974">
        <w:rPr>
          <w:szCs w:val="19"/>
        </w:rPr>
        <w:instrText xml:space="preserve"> REF _Ref35356757 \r \h </w:instrText>
      </w:r>
      <w:r w:rsidR="00155974">
        <w:rPr>
          <w:szCs w:val="19"/>
        </w:rPr>
        <w:instrText xml:space="preserve"> \* MERGEFORMAT </w:instrText>
      </w:r>
      <w:r w:rsidR="006736A2" w:rsidRPr="00155974">
        <w:rPr>
          <w:szCs w:val="19"/>
        </w:rPr>
      </w:r>
      <w:r w:rsidR="006736A2" w:rsidRPr="00155974">
        <w:rPr>
          <w:szCs w:val="19"/>
        </w:rPr>
        <w:fldChar w:fldCharType="separate"/>
      </w:r>
      <w:r w:rsidR="00454A6B">
        <w:rPr>
          <w:szCs w:val="19"/>
        </w:rPr>
        <w:t>58</w:t>
      </w:r>
      <w:r w:rsidR="006736A2" w:rsidRPr="00155974">
        <w:rPr>
          <w:szCs w:val="19"/>
        </w:rPr>
        <w:fldChar w:fldCharType="end"/>
      </w:r>
    </w:p>
    <w:p w14:paraId="4A628B99" w14:textId="402242FB" w:rsidR="0088075B" w:rsidRPr="00155974" w:rsidRDefault="0088075B" w:rsidP="000E61D3">
      <w:pPr>
        <w:numPr>
          <w:ilvl w:val="0"/>
          <w:numId w:val="24"/>
        </w:numPr>
        <w:spacing w:before="100"/>
        <w:ind w:left="1564" w:hanging="782"/>
        <w:rPr>
          <w:szCs w:val="19"/>
          <w:lang w:eastAsia="en-AU"/>
        </w:rPr>
      </w:pPr>
      <w:r w:rsidRPr="00155974">
        <w:rPr>
          <w:szCs w:val="19"/>
          <w:lang w:eastAsia="en-AU"/>
        </w:rPr>
        <w:t>Statement of Changes in Equity and Statement of Income and Retained Earnings (AASB 101)</w:t>
      </w:r>
      <w:r w:rsidRPr="00155974">
        <w:rPr>
          <w:szCs w:val="19"/>
        </w:rPr>
        <w:t xml:space="preserve">: paragraphs </w:t>
      </w:r>
      <w:r w:rsidR="00891873" w:rsidRPr="00155974">
        <w:rPr>
          <w:szCs w:val="19"/>
        </w:rPr>
        <w:fldChar w:fldCharType="begin"/>
      </w:r>
      <w:r w:rsidR="00891873" w:rsidRPr="00155974">
        <w:rPr>
          <w:szCs w:val="19"/>
        </w:rPr>
        <w:instrText xml:space="preserve"> REF _Ref35356775 \r \h </w:instrText>
      </w:r>
      <w:r w:rsidR="00155974">
        <w:rPr>
          <w:szCs w:val="19"/>
        </w:rPr>
        <w:instrText xml:space="preserve"> \* MERGEFORMAT </w:instrText>
      </w:r>
      <w:r w:rsidR="00891873" w:rsidRPr="00155974">
        <w:rPr>
          <w:szCs w:val="19"/>
        </w:rPr>
      </w:r>
      <w:r w:rsidR="00891873" w:rsidRPr="00155974">
        <w:rPr>
          <w:szCs w:val="19"/>
        </w:rPr>
        <w:fldChar w:fldCharType="separate"/>
      </w:r>
      <w:r w:rsidR="00454A6B">
        <w:rPr>
          <w:szCs w:val="19"/>
        </w:rPr>
        <w:t>59</w:t>
      </w:r>
      <w:r w:rsidR="00891873" w:rsidRPr="00155974">
        <w:rPr>
          <w:szCs w:val="19"/>
        </w:rPr>
        <w:fldChar w:fldCharType="end"/>
      </w:r>
      <w:r w:rsidRPr="00155974">
        <w:rPr>
          <w:szCs w:val="19"/>
        </w:rPr>
        <w:t xml:space="preserve"> – 63</w:t>
      </w:r>
    </w:p>
    <w:p w14:paraId="4192564F" w14:textId="5FE8CB1D" w:rsidR="0088075B" w:rsidRPr="00155974" w:rsidRDefault="0088075B" w:rsidP="000E61D3">
      <w:pPr>
        <w:numPr>
          <w:ilvl w:val="0"/>
          <w:numId w:val="24"/>
        </w:numPr>
        <w:spacing w:before="100"/>
        <w:ind w:left="1564" w:hanging="782"/>
        <w:rPr>
          <w:i/>
          <w:szCs w:val="19"/>
        </w:rPr>
      </w:pPr>
      <w:r w:rsidRPr="00155974">
        <w:rPr>
          <w:szCs w:val="19"/>
        </w:rPr>
        <w:t>Statement of Cash Flows</w:t>
      </w:r>
      <w:r w:rsidRPr="00155974">
        <w:rPr>
          <w:i/>
          <w:noProof/>
          <w:szCs w:val="19"/>
        </w:rPr>
        <w:t xml:space="preserve"> </w:t>
      </w:r>
      <w:r w:rsidRPr="00155974">
        <w:rPr>
          <w:noProof/>
          <w:szCs w:val="19"/>
        </w:rPr>
        <w:t>(AASB 107)</w:t>
      </w:r>
      <w:r w:rsidRPr="00155974">
        <w:rPr>
          <w:szCs w:val="19"/>
        </w:rPr>
        <w:t xml:space="preserve">: paragraphs </w:t>
      </w:r>
      <w:r w:rsidR="00626768" w:rsidRPr="00155974">
        <w:rPr>
          <w:szCs w:val="19"/>
        </w:rPr>
        <w:fldChar w:fldCharType="begin"/>
      </w:r>
      <w:r w:rsidR="00626768" w:rsidRPr="00155974">
        <w:rPr>
          <w:szCs w:val="19"/>
        </w:rPr>
        <w:instrText xml:space="preserve"> REF _Ref35356799 \r \h </w:instrText>
      </w:r>
      <w:r w:rsidR="00155974">
        <w:rPr>
          <w:szCs w:val="19"/>
        </w:rPr>
        <w:instrText xml:space="preserve"> \* MERGEFORMAT </w:instrText>
      </w:r>
      <w:r w:rsidR="00626768" w:rsidRPr="00155974">
        <w:rPr>
          <w:szCs w:val="19"/>
        </w:rPr>
      </w:r>
      <w:r w:rsidR="00626768" w:rsidRPr="00155974">
        <w:rPr>
          <w:szCs w:val="19"/>
        </w:rPr>
        <w:fldChar w:fldCharType="separate"/>
      </w:r>
      <w:r w:rsidR="00454A6B">
        <w:rPr>
          <w:szCs w:val="19"/>
        </w:rPr>
        <w:t>64</w:t>
      </w:r>
      <w:r w:rsidR="00626768" w:rsidRPr="00155974">
        <w:rPr>
          <w:szCs w:val="19"/>
        </w:rPr>
        <w:fldChar w:fldCharType="end"/>
      </w:r>
      <w:r w:rsidRPr="00155974">
        <w:rPr>
          <w:szCs w:val="19"/>
        </w:rPr>
        <w:t xml:space="preserve"> – 89</w:t>
      </w:r>
    </w:p>
    <w:p w14:paraId="2605DEF4" w14:textId="34535DA5" w:rsidR="0088075B" w:rsidRPr="00155974" w:rsidRDefault="0088075B" w:rsidP="000E61D3">
      <w:pPr>
        <w:numPr>
          <w:ilvl w:val="0"/>
          <w:numId w:val="24"/>
        </w:numPr>
        <w:spacing w:before="100"/>
        <w:ind w:left="1564" w:hanging="782"/>
        <w:rPr>
          <w:i/>
          <w:szCs w:val="19"/>
        </w:rPr>
      </w:pPr>
      <w:r w:rsidRPr="00155974">
        <w:rPr>
          <w:szCs w:val="19"/>
        </w:rPr>
        <w:t>Notes to the Financial Statements</w:t>
      </w:r>
      <w:r w:rsidRPr="00155974">
        <w:rPr>
          <w:i/>
          <w:szCs w:val="19"/>
        </w:rPr>
        <w:t xml:space="preserve"> </w:t>
      </w:r>
      <w:r w:rsidRPr="00155974">
        <w:rPr>
          <w:szCs w:val="19"/>
        </w:rPr>
        <w:t xml:space="preserve">(AASB 101): paragraphs </w:t>
      </w:r>
      <w:r w:rsidR="00BD0AD4" w:rsidRPr="00155974">
        <w:rPr>
          <w:szCs w:val="19"/>
        </w:rPr>
        <w:fldChar w:fldCharType="begin"/>
      </w:r>
      <w:r w:rsidR="00BD0AD4" w:rsidRPr="00155974">
        <w:rPr>
          <w:szCs w:val="19"/>
        </w:rPr>
        <w:instrText xml:space="preserve"> REF _Ref35357318 \r \h </w:instrText>
      </w:r>
      <w:r w:rsidR="00155974">
        <w:rPr>
          <w:szCs w:val="19"/>
        </w:rPr>
        <w:instrText xml:space="preserve"> \* MERGEFORMAT </w:instrText>
      </w:r>
      <w:r w:rsidR="00BD0AD4" w:rsidRPr="00155974">
        <w:rPr>
          <w:szCs w:val="19"/>
        </w:rPr>
      </w:r>
      <w:r w:rsidR="00BD0AD4" w:rsidRPr="00155974">
        <w:rPr>
          <w:szCs w:val="19"/>
        </w:rPr>
        <w:fldChar w:fldCharType="separate"/>
      </w:r>
      <w:r w:rsidR="00454A6B">
        <w:rPr>
          <w:szCs w:val="19"/>
        </w:rPr>
        <w:t>90</w:t>
      </w:r>
      <w:r w:rsidR="00BD0AD4" w:rsidRPr="00155974">
        <w:rPr>
          <w:szCs w:val="19"/>
        </w:rPr>
        <w:fldChar w:fldCharType="end"/>
      </w:r>
      <w:r w:rsidRPr="00155974">
        <w:rPr>
          <w:szCs w:val="19"/>
        </w:rPr>
        <w:t xml:space="preserve"> – </w:t>
      </w:r>
      <w:r w:rsidR="00560568" w:rsidRPr="00155974">
        <w:rPr>
          <w:szCs w:val="19"/>
        </w:rPr>
        <w:fldChar w:fldCharType="begin"/>
      </w:r>
      <w:r w:rsidR="00560568" w:rsidRPr="00155974">
        <w:rPr>
          <w:szCs w:val="19"/>
        </w:rPr>
        <w:instrText xml:space="preserve"> REF _Ref34734072 \r \h </w:instrText>
      </w:r>
      <w:r w:rsidR="00155974">
        <w:rPr>
          <w:szCs w:val="19"/>
        </w:rPr>
        <w:instrText xml:space="preserve"> \* MERGEFORMAT </w:instrText>
      </w:r>
      <w:r w:rsidR="00560568" w:rsidRPr="00155974">
        <w:rPr>
          <w:szCs w:val="19"/>
        </w:rPr>
      </w:r>
      <w:r w:rsidR="00560568" w:rsidRPr="00155974">
        <w:rPr>
          <w:szCs w:val="19"/>
        </w:rPr>
        <w:fldChar w:fldCharType="separate"/>
      </w:r>
      <w:r w:rsidR="00454A6B">
        <w:rPr>
          <w:szCs w:val="19"/>
        </w:rPr>
        <w:t>103</w:t>
      </w:r>
      <w:r w:rsidR="00560568" w:rsidRPr="00155974">
        <w:rPr>
          <w:szCs w:val="19"/>
        </w:rPr>
        <w:fldChar w:fldCharType="end"/>
      </w:r>
    </w:p>
    <w:p w14:paraId="4A4710B4" w14:textId="4B414736" w:rsidR="0088075B" w:rsidRPr="00155974" w:rsidRDefault="0088075B" w:rsidP="000E61D3">
      <w:pPr>
        <w:numPr>
          <w:ilvl w:val="0"/>
          <w:numId w:val="24"/>
        </w:numPr>
        <w:spacing w:before="100"/>
        <w:ind w:left="1564" w:hanging="782"/>
        <w:rPr>
          <w:i/>
          <w:szCs w:val="19"/>
        </w:rPr>
      </w:pPr>
      <w:r w:rsidRPr="00155974">
        <w:rPr>
          <w:szCs w:val="19"/>
        </w:rPr>
        <w:t>Consolidated and Separate Financial Statements</w:t>
      </w:r>
      <w:r w:rsidRPr="00155974">
        <w:rPr>
          <w:i/>
          <w:szCs w:val="19"/>
        </w:rPr>
        <w:t xml:space="preserve"> </w:t>
      </w:r>
      <w:r w:rsidRPr="00155974">
        <w:rPr>
          <w:szCs w:val="19"/>
        </w:rPr>
        <w:t xml:space="preserve">(AASB 12): paragraphs </w:t>
      </w:r>
      <w:r w:rsidR="00353E8F" w:rsidRPr="00155974">
        <w:rPr>
          <w:szCs w:val="19"/>
        </w:rPr>
        <w:fldChar w:fldCharType="begin"/>
      </w:r>
      <w:r w:rsidR="00353E8F" w:rsidRPr="00155974">
        <w:rPr>
          <w:szCs w:val="19"/>
        </w:rPr>
        <w:instrText xml:space="preserve"> REF _Ref35357354 \r \h </w:instrText>
      </w:r>
      <w:r w:rsidR="00155974">
        <w:rPr>
          <w:szCs w:val="19"/>
        </w:rPr>
        <w:instrText xml:space="preserve"> \* MERGEFORMAT </w:instrText>
      </w:r>
      <w:r w:rsidR="00353E8F" w:rsidRPr="00155974">
        <w:rPr>
          <w:szCs w:val="19"/>
        </w:rPr>
      </w:r>
      <w:r w:rsidR="00353E8F" w:rsidRPr="00155974">
        <w:rPr>
          <w:szCs w:val="19"/>
        </w:rPr>
        <w:fldChar w:fldCharType="separate"/>
      </w:r>
      <w:r w:rsidR="00454A6B">
        <w:rPr>
          <w:szCs w:val="19"/>
        </w:rPr>
        <w:t>104</w:t>
      </w:r>
      <w:r w:rsidR="00353E8F" w:rsidRPr="00155974">
        <w:rPr>
          <w:szCs w:val="19"/>
        </w:rPr>
        <w:fldChar w:fldCharType="end"/>
      </w:r>
      <w:r w:rsidRPr="00155974">
        <w:rPr>
          <w:szCs w:val="19"/>
        </w:rPr>
        <w:t xml:space="preserve"> – </w:t>
      </w:r>
      <w:r w:rsidR="00353E8F" w:rsidRPr="00155974">
        <w:rPr>
          <w:szCs w:val="19"/>
        </w:rPr>
        <w:fldChar w:fldCharType="begin"/>
      </w:r>
      <w:r w:rsidR="00353E8F" w:rsidRPr="00155974">
        <w:rPr>
          <w:szCs w:val="19"/>
        </w:rPr>
        <w:instrText xml:space="preserve"> REF _Ref35357365 \r \h </w:instrText>
      </w:r>
      <w:r w:rsidR="00155974">
        <w:rPr>
          <w:szCs w:val="19"/>
        </w:rPr>
        <w:instrText xml:space="preserve"> \* MERGEFORMAT </w:instrText>
      </w:r>
      <w:r w:rsidR="00353E8F" w:rsidRPr="00155974">
        <w:rPr>
          <w:szCs w:val="19"/>
        </w:rPr>
      </w:r>
      <w:r w:rsidR="00353E8F" w:rsidRPr="00155974">
        <w:rPr>
          <w:szCs w:val="19"/>
        </w:rPr>
        <w:fldChar w:fldCharType="separate"/>
      </w:r>
      <w:r w:rsidR="00454A6B">
        <w:rPr>
          <w:szCs w:val="19"/>
        </w:rPr>
        <w:t>105</w:t>
      </w:r>
      <w:r w:rsidR="00353E8F" w:rsidRPr="00155974">
        <w:rPr>
          <w:szCs w:val="19"/>
        </w:rPr>
        <w:fldChar w:fldCharType="end"/>
      </w:r>
    </w:p>
    <w:p w14:paraId="2358AFF8" w14:textId="2730FF45" w:rsidR="0088075B" w:rsidRPr="00155974" w:rsidRDefault="0088075B" w:rsidP="000E61D3">
      <w:pPr>
        <w:numPr>
          <w:ilvl w:val="0"/>
          <w:numId w:val="24"/>
        </w:numPr>
        <w:spacing w:before="100"/>
        <w:ind w:left="1564" w:hanging="782"/>
        <w:rPr>
          <w:i/>
          <w:szCs w:val="19"/>
        </w:rPr>
      </w:pPr>
      <w:r w:rsidRPr="00155974">
        <w:rPr>
          <w:szCs w:val="19"/>
        </w:rPr>
        <w:t>Basic Financial Instruments</w:t>
      </w:r>
      <w:r w:rsidRPr="00155974">
        <w:rPr>
          <w:i/>
          <w:szCs w:val="19"/>
        </w:rPr>
        <w:t xml:space="preserve"> </w:t>
      </w:r>
      <w:r w:rsidRPr="00155974">
        <w:rPr>
          <w:szCs w:val="19"/>
        </w:rPr>
        <w:t xml:space="preserve">(AASB 7): paragraphs </w:t>
      </w:r>
      <w:r w:rsidR="00CD0599" w:rsidRPr="00155974">
        <w:rPr>
          <w:szCs w:val="19"/>
        </w:rPr>
        <w:fldChar w:fldCharType="begin"/>
      </w:r>
      <w:r w:rsidR="00CD0599" w:rsidRPr="00155974">
        <w:rPr>
          <w:szCs w:val="19"/>
        </w:rPr>
        <w:instrText xml:space="preserve"> REF _Ref35357391 \r \h </w:instrText>
      </w:r>
      <w:r w:rsidR="00155974">
        <w:rPr>
          <w:szCs w:val="19"/>
        </w:rPr>
        <w:instrText xml:space="preserve"> \* MERGEFORMAT </w:instrText>
      </w:r>
      <w:r w:rsidR="00CD0599" w:rsidRPr="00155974">
        <w:rPr>
          <w:szCs w:val="19"/>
        </w:rPr>
      </w:r>
      <w:r w:rsidR="00CD0599" w:rsidRPr="00155974">
        <w:rPr>
          <w:szCs w:val="19"/>
        </w:rPr>
        <w:fldChar w:fldCharType="separate"/>
      </w:r>
      <w:r w:rsidR="00454A6B">
        <w:rPr>
          <w:szCs w:val="19"/>
        </w:rPr>
        <w:t>111</w:t>
      </w:r>
      <w:r w:rsidR="00CD0599" w:rsidRPr="00155974">
        <w:rPr>
          <w:szCs w:val="19"/>
        </w:rPr>
        <w:fldChar w:fldCharType="end"/>
      </w:r>
      <w:r w:rsidRPr="00155974">
        <w:rPr>
          <w:szCs w:val="19"/>
        </w:rPr>
        <w:t xml:space="preserve"> – </w:t>
      </w:r>
      <w:r w:rsidR="00D66089" w:rsidRPr="00155974">
        <w:rPr>
          <w:szCs w:val="19"/>
        </w:rPr>
        <w:fldChar w:fldCharType="begin"/>
      </w:r>
      <w:r w:rsidR="00D66089" w:rsidRPr="00155974">
        <w:rPr>
          <w:szCs w:val="19"/>
        </w:rPr>
        <w:instrText xml:space="preserve"> REF _Ref34659404 \r \h </w:instrText>
      </w:r>
      <w:r w:rsidR="00155974">
        <w:rPr>
          <w:szCs w:val="19"/>
        </w:rPr>
        <w:instrText xml:space="preserve"> \* MERGEFORMAT </w:instrText>
      </w:r>
      <w:r w:rsidR="00D66089" w:rsidRPr="00155974">
        <w:rPr>
          <w:szCs w:val="19"/>
        </w:rPr>
      </w:r>
      <w:r w:rsidR="00D66089" w:rsidRPr="00155974">
        <w:rPr>
          <w:szCs w:val="19"/>
        </w:rPr>
        <w:fldChar w:fldCharType="separate"/>
      </w:r>
      <w:r w:rsidR="00454A6B">
        <w:rPr>
          <w:szCs w:val="19"/>
        </w:rPr>
        <w:t>119</w:t>
      </w:r>
      <w:r w:rsidR="00D66089" w:rsidRPr="00155974">
        <w:rPr>
          <w:szCs w:val="19"/>
        </w:rPr>
        <w:fldChar w:fldCharType="end"/>
      </w:r>
    </w:p>
    <w:p w14:paraId="1C638A1F" w14:textId="71AB52ED" w:rsidR="0088075B" w:rsidRPr="00155974" w:rsidRDefault="0088075B" w:rsidP="000E61D3">
      <w:pPr>
        <w:numPr>
          <w:ilvl w:val="0"/>
          <w:numId w:val="24"/>
        </w:numPr>
        <w:spacing w:before="100"/>
        <w:ind w:left="1564" w:hanging="782"/>
        <w:rPr>
          <w:i/>
          <w:szCs w:val="19"/>
        </w:rPr>
      </w:pPr>
      <w:r w:rsidRPr="00155974">
        <w:rPr>
          <w:szCs w:val="19"/>
        </w:rPr>
        <w:t>Other Financial Instruments Issues</w:t>
      </w:r>
      <w:r w:rsidRPr="00155974">
        <w:rPr>
          <w:i/>
          <w:szCs w:val="19"/>
        </w:rPr>
        <w:t xml:space="preserve"> </w:t>
      </w:r>
      <w:r w:rsidRPr="00155974">
        <w:rPr>
          <w:szCs w:val="19"/>
        </w:rPr>
        <w:t xml:space="preserve">(AASB 7): paragraphs </w:t>
      </w:r>
      <w:r w:rsidR="004E33FC" w:rsidRPr="00155974">
        <w:rPr>
          <w:szCs w:val="19"/>
        </w:rPr>
        <w:fldChar w:fldCharType="begin"/>
      </w:r>
      <w:r w:rsidR="004E33FC" w:rsidRPr="00155974">
        <w:rPr>
          <w:szCs w:val="19"/>
        </w:rPr>
        <w:instrText xml:space="preserve"> REF _Ref34651251 \r \h </w:instrText>
      </w:r>
      <w:r w:rsidR="00155974">
        <w:rPr>
          <w:szCs w:val="19"/>
        </w:rPr>
        <w:instrText xml:space="preserve"> \* MERGEFORMAT </w:instrText>
      </w:r>
      <w:r w:rsidR="004E33FC" w:rsidRPr="00155974">
        <w:rPr>
          <w:szCs w:val="19"/>
        </w:rPr>
      </w:r>
      <w:r w:rsidR="004E33FC" w:rsidRPr="00155974">
        <w:rPr>
          <w:szCs w:val="19"/>
        </w:rPr>
        <w:fldChar w:fldCharType="separate"/>
      </w:r>
      <w:r w:rsidR="00454A6B">
        <w:rPr>
          <w:szCs w:val="19"/>
        </w:rPr>
        <w:t>120</w:t>
      </w:r>
      <w:r w:rsidR="004E33FC" w:rsidRPr="00155974">
        <w:rPr>
          <w:szCs w:val="19"/>
        </w:rPr>
        <w:fldChar w:fldCharType="end"/>
      </w:r>
      <w:r w:rsidRPr="00155974">
        <w:rPr>
          <w:szCs w:val="19"/>
        </w:rPr>
        <w:t xml:space="preserve"> – </w:t>
      </w:r>
      <w:r w:rsidR="004E33FC" w:rsidRPr="00155974">
        <w:rPr>
          <w:szCs w:val="19"/>
        </w:rPr>
        <w:fldChar w:fldCharType="begin"/>
      </w:r>
      <w:r w:rsidR="004E33FC" w:rsidRPr="00155974">
        <w:rPr>
          <w:szCs w:val="19"/>
        </w:rPr>
        <w:instrText xml:space="preserve"> REF _Ref34651264 \r \h </w:instrText>
      </w:r>
      <w:r w:rsidR="00155974">
        <w:rPr>
          <w:szCs w:val="19"/>
        </w:rPr>
        <w:instrText xml:space="preserve"> \* MERGEFORMAT </w:instrText>
      </w:r>
      <w:r w:rsidR="004E33FC" w:rsidRPr="00155974">
        <w:rPr>
          <w:szCs w:val="19"/>
        </w:rPr>
      </w:r>
      <w:r w:rsidR="004E33FC" w:rsidRPr="00155974">
        <w:rPr>
          <w:szCs w:val="19"/>
        </w:rPr>
        <w:fldChar w:fldCharType="separate"/>
      </w:r>
      <w:r w:rsidR="00454A6B">
        <w:rPr>
          <w:szCs w:val="19"/>
        </w:rPr>
        <w:t>122</w:t>
      </w:r>
      <w:r w:rsidR="004E33FC" w:rsidRPr="00155974">
        <w:rPr>
          <w:szCs w:val="19"/>
        </w:rPr>
        <w:fldChar w:fldCharType="end"/>
      </w:r>
    </w:p>
    <w:p w14:paraId="31B6969D" w14:textId="7DD45016" w:rsidR="0088075B" w:rsidRPr="00155974" w:rsidRDefault="0088075B" w:rsidP="000E61D3">
      <w:pPr>
        <w:numPr>
          <w:ilvl w:val="0"/>
          <w:numId w:val="24"/>
        </w:numPr>
        <w:spacing w:before="100"/>
        <w:ind w:left="1564" w:hanging="782"/>
        <w:rPr>
          <w:i/>
          <w:szCs w:val="19"/>
        </w:rPr>
      </w:pPr>
      <w:r w:rsidRPr="00155974">
        <w:rPr>
          <w:szCs w:val="19"/>
        </w:rPr>
        <w:t xml:space="preserve">Investments in Associates (AASB 12): paragraphs </w:t>
      </w:r>
      <w:r w:rsidR="005F1068" w:rsidRPr="00155974">
        <w:rPr>
          <w:szCs w:val="19"/>
        </w:rPr>
        <w:fldChar w:fldCharType="begin"/>
      </w:r>
      <w:r w:rsidR="005F1068" w:rsidRPr="00155974">
        <w:rPr>
          <w:szCs w:val="19"/>
        </w:rPr>
        <w:instrText xml:space="preserve"> REF _Ref35358706 \r \h </w:instrText>
      </w:r>
      <w:r w:rsidR="00155974">
        <w:rPr>
          <w:szCs w:val="19"/>
        </w:rPr>
        <w:instrText xml:space="preserve"> \* MERGEFORMAT </w:instrText>
      </w:r>
      <w:r w:rsidR="005F1068" w:rsidRPr="00155974">
        <w:rPr>
          <w:szCs w:val="19"/>
        </w:rPr>
      </w:r>
      <w:r w:rsidR="005F1068" w:rsidRPr="00155974">
        <w:rPr>
          <w:szCs w:val="19"/>
        </w:rPr>
        <w:fldChar w:fldCharType="separate"/>
      </w:r>
      <w:r w:rsidR="00454A6B">
        <w:rPr>
          <w:szCs w:val="19"/>
        </w:rPr>
        <w:t>125</w:t>
      </w:r>
      <w:r w:rsidR="005F1068" w:rsidRPr="00155974">
        <w:rPr>
          <w:szCs w:val="19"/>
        </w:rPr>
        <w:fldChar w:fldCharType="end"/>
      </w:r>
      <w:r w:rsidRPr="00155974">
        <w:rPr>
          <w:szCs w:val="19"/>
        </w:rPr>
        <w:t xml:space="preserve"> – </w:t>
      </w:r>
      <w:r w:rsidR="005F1068" w:rsidRPr="00155974">
        <w:rPr>
          <w:szCs w:val="19"/>
        </w:rPr>
        <w:fldChar w:fldCharType="begin"/>
      </w:r>
      <w:r w:rsidR="005F1068" w:rsidRPr="00155974">
        <w:rPr>
          <w:szCs w:val="19"/>
        </w:rPr>
        <w:instrText xml:space="preserve"> REF _Ref35358718 \r \h </w:instrText>
      </w:r>
      <w:r w:rsidR="00155974">
        <w:rPr>
          <w:szCs w:val="19"/>
        </w:rPr>
        <w:instrText xml:space="preserve"> \* MERGEFORMAT </w:instrText>
      </w:r>
      <w:r w:rsidR="005F1068" w:rsidRPr="00155974">
        <w:rPr>
          <w:szCs w:val="19"/>
        </w:rPr>
      </w:r>
      <w:r w:rsidR="005F1068" w:rsidRPr="00155974">
        <w:rPr>
          <w:szCs w:val="19"/>
        </w:rPr>
        <w:fldChar w:fldCharType="separate"/>
      </w:r>
      <w:r w:rsidR="00454A6B">
        <w:rPr>
          <w:szCs w:val="19"/>
        </w:rPr>
        <w:t>128</w:t>
      </w:r>
      <w:r w:rsidR="005F1068" w:rsidRPr="00155974">
        <w:rPr>
          <w:szCs w:val="19"/>
        </w:rPr>
        <w:fldChar w:fldCharType="end"/>
      </w:r>
    </w:p>
    <w:p w14:paraId="44BCC639" w14:textId="24AFE6F8" w:rsidR="0088075B" w:rsidRPr="00155974" w:rsidRDefault="0088075B" w:rsidP="000E61D3">
      <w:pPr>
        <w:numPr>
          <w:ilvl w:val="0"/>
          <w:numId w:val="24"/>
        </w:numPr>
        <w:spacing w:before="100"/>
        <w:ind w:left="1564" w:hanging="782"/>
        <w:rPr>
          <w:i/>
          <w:szCs w:val="19"/>
        </w:rPr>
      </w:pPr>
      <w:r w:rsidRPr="00155974">
        <w:rPr>
          <w:szCs w:val="19"/>
        </w:rPr>
        <w:t>Investments in Joint Ventures</w:t>
      </w:r>
      <w:r w:rsidRPr="00155974">
        <w:rPr>
          <w:i/>
          <w:szCs w:val="19"/>
        </w:rPr>
        <w:t xml:space="preserve"> </w:t>
      </w:r>
      <w:r w:rsidRPr="00155974">
        <w:rPr>
          <w:szCs w:val="19"/>
        </w:rPr>
        <w:t xml:space="preserve">(AASB 12): paragraphs </w:t>
      </w:r>
      <w:r w:rsidR="00161A8D" w:rsidRPr="00155974">
        <w:rPr>
          <w:szCs w:val="19"/>
        </w:rPr>
        <w:fldChar w:fldCharType="begin"/>
      </w:r>
      <w:r w:rsidR="00161A8D" w:rsidRPr="00155974">
        <w:rPr>
          <w:szCs w:val="19"/>
        </w:rPr>
        <w:instrText xml:space="preserve"> REF _Ref35358729 \r \h </w:instrText>
      </w:r>
      <w:r w:rsidR="00155974">
        <w:rPr>
          <w:szCs w:val="19"/>
        </w:rPr>
        <w:instrText xml:space="preserve"> \* MERGEFORMAT </w:instrText>
      </w:r>
      <w:r w:rsidR="00161A8D" w:rsidRPr="00155974">
        <w:rPr>
          <w:szCs w:val="19"/>
        </w:rPr>
      </w:r>
      <w:r w:rsidR="00161A8D" w:rsidRPr="00155974">
        <w:rPr>
          <w:szCs w:val="19"/>
        </w:rPr>
        <w:fldChar w:fldCharType="separate"/>
      </w:r>
      <w:r w:rsidR="00454A6B">
        <w:rPr>
          <w:szCs w:val="19"/>
        </w:rPr>
        <w:t>129</w:t>
      </w:r>
      <w:r w:rsidR="00161A8D" w:rsidRPr="00155974">
        <w:rPr>
          <w:szCs w:val="19"/>
        </w:rPr>
        <w:fldChar w:fldCharType="end"/>
      </w:r>
      <w:r w:rsidRPr="00155974">
        <w:rPr>
          <w:szCs w:val="19"/>
        </w:rPr>
        <w:t xml:space="preserve"> – </w:t>
      </w:r>
      <w:r w:rsidR="001D42FD" w:rsidRPr="00155974">
        <w:rPr>
          <w:szCs w:val="19"/>
        </w:rPr>
        <w:fldChar w:fldCharType="begin"/>
      </w:r>
      <w:r w:rsidR="001D42FD" w:rsidRPr="00155974">
        <w:rPr>
          <w:szCs w:val="19"/>
        </w:rPr>
        <w:instrText xml:space="preserve"> REF _Ref35358746 \r \h </w:instrText>
      </w:r>
      <w:r w:rsidR="00155974">
        <w:rPr>
          <w:szCs w:val="19"/>
        </w:rPr>
        <w:instrText xml:space="preserve"> \* MERGEFORMAT </w:instrText>
      </w:r>
      <w:r w:rsidR="001D42FD" w:rsidRPr="00155974">
        <w:rPr>
          <w:szCs w:val="19"/>
        </w:rPr>
      </w:r>
      <w:r w:rsidR="001D42FD" w:rsidRPr="00155974">
        <w:rPr>
          <w:szCs w:val="19"/>
        </w:rPr>
        <w:fldChar w:fldCharType="separate"/>
      </w:r>
      <w:r w:rsidR="00454A6B">
        <w:rPr>
          <w:szCs w:val="19"/>
        </w:rPr>
        <w:t>131</w:t>
      </w:r>
      <w:r w:rsidR="001D42FD" w:rsidRPr="00155974">
        <w:rPr>
          <w:szCs w:val="19"/>
        </w:rPr>
        <w:fldChar w:fldCharType="end"/>
      </w:r>
    </w:p>
    <w:p w14:paraId="190D5399" w14:textId="0CEA81D3" w:rsidR="0088075B" w:rsidRPr="00155974" w:rsidRDefault="0088075B" w:rsidP="000E61D3">
      <w:pPr>
        <w:numPr>
          <w:ilvl w:val="0"/>
          <w:numId w:val="24"/>
        </w:numPr>
        <w:spacing w:before="100"/>
        <w:ind w:left="1564" w:hanging="782"/>
        <w:rPr>
          <w:i/>
          <w:szCs w:val="19"/>
        </w:rPr>
      </w:pPr>
      <w:r w:rsidRPr="00155974">
        <w:rPr>
          <w:szCs w:val="19"/>
        </w:rPr>
        <w:t>Related Party Disclosures</w:t>
      </w:r>
      <w:r w:rsidRPr="00155974">
        <w:rPr>
          <w:i/>
          <w:szCs w:val="19"/>
        </w:rPr>
        <w:t xml:space="preserve"> </w:t>
      </w:r>
      <w:r w:rsidRPr="00155974">
        <w:rPr>
          <w:szCs w:val="19"/>
        </w:rPr>
        <w:t xml:space="preserve">(AASB 124): paragraphs </w:t>
      </w:r>
      <w:r w:rsidR="00070CD7" w:rsidRPr="00155974">
        <w:rPr>
          <w:szCs w:val="19"/>
        </w:rPr>
        <w:fldChar w:fldCharType="begin"/>
      </w:r>
      <w:r w:rsidR="00070CD7" w:rsidRPr="00155974">
        <w:rPr>
          <w:szCs w:val="19"/>
        </w:rPr>
        <w:instrText xml:space="preserve"> REF _Ref35358804 \r \h </w:instrText>
      </w:r>
      <w:r w:rsidR="00155974">
        <w:rPr>
          <w:szCs w:val="19"/>
        </w:rPr>
        <w:instrText xml:space="preserve"> \* MERGEFORMAT </w:instrText>
      </w:r>
      <w:r w:rsidR="00070CD7" w:rsidRPr="00155974">
        <w:rPr>
          <w:szCs w:val="19"/>
        </w:rPr>
      </w:r>
      <w:r w:rsidR="00070CD7" w:rsidRPr="00155974">
        <w:rPr>
          <w:szCs w:val="19"/>
        </w:rPr>
        <w:fldChar w:fldCharType="separate"/>
      </w:r>
      <w:r w:rsidR="00454A6B">
        <w:rPr>
          <w:szCs w:val="19"/>
        </w:rPr>
        <w:t>189</w:t>
      </w:r>
      <w:r w:rsidR="00070CD7" w:rsidRPr="00155974">
        <w:rPr>
          <w:szCs w:val="19"/>
        </w:rPr>
        <w:fldChar w:fldCharType="end"/>
      </w:r>
      <w:r w:rsidRPr="00155974">
        <w:rPr>
          <w:szCs w:val="19"/>
        </w:rPr>
        <w:t xml:space="preserve"> – </w:t>
      </w:r>
      <w:r w:rsidR="00070CD7" w:rsidRPr="00155974">
        <w:rPr>
          <w:szCs w:val="19"/>
        </w:rPr>
        <w:fldChar w:fldCharType="begin"/>
      </w:r>
      <w:r w:rsidR="00070CD7" w:rsidRPr="00155974">
        <w:rPr>
          <w:szCs w:val="19"/>
        </w:rPr>
        <w:instrText xml:space="preserve"> REF _Ref35358816 \r \h </w:instrText>
      </w:r>
      <w:r w:rsidR="00155974">
        <w:rPr>
          <w:szCs w:val="19"/>
        </w:rPr>
        <w:instrText xml:space="preserve"> \* MERGEFORMAT </w:instrText>
      </w:r>
      <w:r w:rsidR="00070CD7" w:rsidRPr="00155974">
        <w:rPr>
          <w:szCs w:val="19"/>
        </w:rPr>
      </w:r>
      <w:r w:rsidR="00070CD7" w:rsidRPr="00155974">
        <w:rPr>
          <w:szCs w:val="19"/>
        </w:rPr>
        <w:fldChar w:fldCharType="separate"/>
      </w:r>
      <w:r w:rsidR="00454A6B">
        <w:rPr>
          <w:szCs w:val="19"/>
        </w:rPr>
        <w:t>203</w:t>
      </w:r>
      <w:r w:rsidR="00070CD7" w:rsidRPr="00155974">
        <w:rPr>
          <w:szCs w:val="19"/>
        </w:rPr>
        <w:fldChar w:fldCharType="end"/>
      </w:r>
    </w:p>
    <w:p w14:paraId="2F4CD4B9" w14:textId="78D342B0"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The Board noted that by replacing the five Standards listed in paragraph </w:t>
      </w:r>
      <w:r w:rsidRPr="00155974">
        <w:rPr>
          <w:noProof/>
          <w:sz w:val="19"/>
          <w:szCs w:val="19"/>
        </w:rPr>
        <w:fldChar w:fldCharType="begin"/>
      </w:r>
      <w:r w:rsidRPr="00155974">
        <w:rPr>
          <w:noProof/>
          <w:sz w:val="19"/>
          <w:szCs w:val="19"/>
        </w:rPr>
        <w:instrText xml:space="preserve"> REF _Ref8739559 \r \h  \* MERGEFORMAT </w:instrText>
      </w:r>
      <w:r w:rsidRPr="00155974">
        <w:rPr>
          <w:noProof/>
          <w:sz w:val="19"/>
          <w:szCs w:val="19"/>
        </w:rPr>
      </w:r>
      <w:r w:rsidRPr="00155974">
        <w:rPr>
          <w:noProof/>
          <w:sz w:val="19"/>
          <w:szCs w:val="19"/>
        </w:rPr>
        <w:fldChar w:fldCharType="separate"/>
      </w:r>
      <w:r w:rsidR="00454A6B">
        <w:rPr>
          <w:noProof/>
          <w:sz w:val="19"/>
          <w:szCs w:val="19"/>
        </w:rPr>
        <w:t>BC54</w:t>
      </w:r>
      <w:r w:rsidRPr="00155974">
        <w:rPr>
          <w:noProof/>
          <w:sz w:val="19"/>
          <w:szCs w:val="19"/>
        </w:rPr>
        <w:fldChar w:fldCharType="end"/>
      </w:r>
      <w:r w:rsidRPr="00155974">
        <w:rPr>
          <w:noProof/>
          <w:sz w:val="19"/>
          <w:szCs w:val="19"/>
        </w:rPr>
        <w:t xml:space="preserve">, this also removes some of the guidance included in </w:t>
      </w:r>
      <w:r w:rsidRPr="00155974">
        <w:rPr>
          <w:sz w:val="19"/>
          <w:szCs w:val="19"/>
        </w:rPr>
        <w:t>these</w:t>
      </w:r>
      <w:r w:rsidRPr="00155974">
        <w:rPr>
          <w:noProof/>
          <w:sz w:val="19"/>
          <w:szCs w:val="19"/>
        </w:rPr>
        <w:t xml:space="preserve"> Standards which is not included in the </w:t>
      </w:r>
      <w:r w:rsidRPr="00155974">
        <w:rPr>
          <w:i/>
          <w:iCs/>
          <w:sz w:val="19"/>
          <w:szCs w:val="19"/>
        </w:rPr>
        <w:t>IFRS for SMEs</w:t>
      </w:r>
      <w:r w:rsidRPr="00155974">
        <w:rPr>
          <w:noProof/>
          <w:sz w:val="19"/>
          <w:szCs w:val="19"/>
        </w:rPr>
        <w:t xml:space="preserve"> Standard. However, for the sake of maintaining simplicity of the disclosure requirements, the Board considered this to be preferable to considering on a case-by-case basis which guidance should be included and which could be omitted. As noted in paragraph </w:t>
      </w:r>
      <w:r w:rsidRPr="00155974">
        <w:rPr>
          <w:noProof/>
          <w:sz w:val="19"/>
          <w:szCs w:val="19"/>
        </w:rPr>
        <w:fldChar w:fldCharType="begin"/>
      </w:r>
      <w:r w:rsidRPr="00155974">
        <w:rPr>
          <w:noProof/>
          <w:sz w:val="19"/>
          <w:szCs w:val="19"/>
        </w:rPr>
        <w:instrText xml:space="preserve"> REF _Ref10115333 \r \h  \* MERGEFORMAT </w:instrText>
      </w:r>
      <w:r w:rsidRPr="00155974">
        <w:rPr>
          <w:noProof/>
          <w:sz w:val="19"/>
          <w:szCs w:val="19"/>
        </w:rPr>
      </w:r>
      <w:r w:rsidRPr="00155974">
        <w:rPr>
          <w:noProof/>
          <w:sz w:val="19"/>
          <w:szCs w:val="19"/>
        </w:rPr>
        <w:fldChar w:fldCharType="separate"/>
      </w:r>
      <w:r w:rsidR="00454A6B">
        <w:rPr>
          <w:noProof/>
          <w:sz w:val="19"/>
          <w:szCs w:val="19"/>
        </w:rPr>
        <w:t>BC47</w:t>
      </w:r>
      <w:r w:rsidRPr="00155974">
        <w:rPr>
          <w:noProof/>
          <w:sz w:val="19"/>
          <w:szCs w:val="19"/>
        </w:rPr>
        <w:fldChar w:fldCharType="end"/>
      </w:r>
      <w:r w:rsidRPr="00155974">
        <w:rPr>
          <w:noProof/>
          <w:sz w:val="19"/>
          <w:szCs w:val="19"/>
        </w:rPr>
        <w:t xml:space="preserve">, the Board does not intend the removal of the guidance to result in any differences in the presentation requirements to full AAS. However, in response to stakeholder feedback, the Board added paragraph 2 which specifically permits entities to refer to other Standards for guidance on requirements in this Standard. The Board also added the definitions from the replaced Standards in Appendix A. </w:t>
      </w:r>
    </w:p>
    <w:p w14:paraId="31898344" w14:textId="77777777" w:rsidR="0088075B" w:rsidRPr="00155974" w:rsidRDefault="0088075B" w:rsidP="000E61D3">
      <w:pPr>
        <w:pStyle w:val="Default"/>
        <w:numPr>
          <w:ilvl w:val="0"/>
          <w:numId w:val="35"/>
        </w:numPr>
        <w:spacing w:before="100"/>
        <w:ind w:left="782" w:hanging="782"/>
        <w:jc w:val="both"/>
        <w:rPr>
          <w:noProof/>
          <w:sz w:val="19"/>
          <w:szCs w:val="19"/>
        </w:rPr>
      </w:pPr>
      <w:bookmarkStart w:id="182" w:name="_Ref35433228"/>
      <w:r w:rsidRPr="00155974">
        <w:rPr>
          <w:noProof/>
          <w:sz w:val="19"/>
          <w:szCs w:val="19"/>
        </w:rPr>
        <w:lastRenderedPageBreak/>
        <w:t xml:space="preserve">To prevent possible differences in presentation requirements to full AAS, the Board </w:t>
      </w:r>
      <w:r w:rsidRPr="00155974">
        <w:rPr>
          <w:sz w:val="19"/>
          <w:szCs w:val="19"/>
        </w:rPr>
        <w:t>further</w:t>
      </w:r>
      <w:r w:rsidRPr="00155974">
        <w:rPr>
          <w:noProof/>
          <w:sz w:val="19"/>
          <w:szCs w:val="19"/>
        </w:rPr>
        <w:t xml:space="preserve"> decided to add the following requirements from AASB 101, AASB 107 and AASB 124 to AASB 1060 which deal with:</w:t>
      </w:r>
      <w:bookmarkEnd w:id="182"/>
    </w:p>
    <w:p w14:paraId="037D9B2D" w14:textId="64A623E9" w:rsidR="0088075B" w:rsidRPr="00155974" w:rsidRDefault="0088075B" w:rsidP="000E61D3">
      <w:pPr>
        <w:numPr>
          <w:ilvl w:val="0"/>
          <w:numId w:val="39"/>
        </w:numPr>
        <w:spacing w:before="100"/>
        <w:ind w:left="1564" w:hanging="782"/>
        <w:rPr>
          <w:noProof/>
          <w:szCs w:val="19"/>
        </w:rPr>
      </w:pPr>
      <w:r w:rsidRPr="00155974">
        <w:rPr>
          <w:noProof/>
          <w:szCs w:val="19"/>
        </w:rPr>
        <w:t xml:space="preserve">the prohibition </w:t>
      </w:r>
      <w:r w:rsidRPr="00155974">
        <w:rPr>
          <w:szCs w:val="19"/>
        </w:rPr>
        <w:t>for</w:t>
      </w:r>
      <w:r w:rsidRPr="00155974">
        <w:rPr>
          <w:noProof/>
          <w:szCs w:val="19"/>
        </w:rPr>
        <w:t xml:space="preserve"> Australian entities that apply AASB 1060 to depart from a requirement in an Australian Accounting Standard (paragraph </w:t>
      </w:r>
      <w:r w:rsidR="00D063F3" w:rsidRPr="00155974">
        <w:rPr>
          <w:noProof/>
          <w:szCs w:val="19"/>
        </w:rPr>
        <w:fldChar w:fldCharType="begin"/>
      </w:r>
      <w:r w:rsidR="00D063F3" w:rsidRPr="00155974">
        <w:rPr>
          <w:noProof/>
          <w:szCs w:val="19"/>
        </w:rPr>
        <w:instrText xml:space="preserve"> REF _Ref35359020 \r \h </w:instrText>
      </w:r>
      <w:r w:rsidR="00155974">
        <w:rPr>
          <w:noProof/>
          <w:szCs w:val="19"/>
        </w:rPr>
        <w:instrText xml:space="preserve"> \* MERGEFORMAT </w:instrText>
      </w:r>
      <w:r w:rsidR="00D063F3" w:rsidRPr="00155974">
        <w:rPr>
          <w:noProof/>
          <w:szCs w:val="19"/>
        </w:rPr>
      </w:r>
      <w:r w:rsidR="00D063F3" w:rsidRPr="00155974">
        <w:rPr>
          <w:noProof/>
          <w:szCs w:val="19"/>
        </w:rPr>
        <w:fldChar w:fldCharType="separate"/>
      </w:r>
      <w:r w:rsidR="00454A6B">
        <w:rPr>
          <w:noProof/>
          <w:szCs w:val="19"/>
        </w:rPr>
        <w:t>12</w:t>
      </w:r>
      <w:r w:rsidR="00D063F3" w:rsidRPr="00155974">
        <w:rPr>
          <w:noProof/>
          <w:szCs w:val="19"/>
        </w:rPr>
        <w:fldChar w:fldCharType="end"/>
      </w:r>
      <w:r w:rsidRPr="00155974">
        <w:rPr>
          <w:noProof/>
          <w:szCs w:val="19"/>
        </w:rPr>
        <w:t xml:space="preserve"> in this Standard and paragraph Aus19.1 in </w:t>
      </w:r>
      <w:r w:rsidRPr="00022B10">
        <w:rPr>
          <w:noProof/>
          <w:szCs w:val="19"/>
        </w:rPr>
        <w:t>AASB</w:t>
      </w:r>
      <w:r w:rsidR="00F16BAA" w:rsidRPr="00A95B70">
        <w:t> </w:t>
      </w:r>
      <w:r w:rsidRPr="00A95B70">
        <w:rPr>
          <w:noProof/>
          <w:szCs w:val="19"/>
        </w:rPr>
        <w:t>101</w:t>
      </w:r>
      <w:r w:rsidRPr="00155974">
        <w:rPr>
          <w:noProof/>
          <w:szCs w:val="19"/>
        </w:rPr>
        <w:t>);</w:t>
      </w:r>
    </w:p>
    <w:p w14:paraId="04B6CE2A" w14:textId="5E5B6FE6" w:rsidR="0088075B" w:rsidRPr="00155974" w:rsidRDefault="0088075B" w:rsidP="000E61D3">
      <w:pPr>
        <w:numPr>
          <w:ilvl w:val="0"/>
          <w:numId w:val="39"/>
        </w:numPr>
        <w:spacing w:before="100"/>
        <w:ind w:left="1564" w:hanging="782"/>
        <w:rPr>
          <w:noProof/>
          <w:szCs w:val="19"/>
        </w:rPr>
      </w:pPr>
      <w:r w:rsidRPr="00155974">
        <w:rPr>
          <w:noProof/>
          <w:szCs w:val="19"/>
        </w:rPr>
        <w:t xml:space="preserve">the specific prohibition to offset assets and liabilities or income and expenses, unless required or permitted by an Australian Accounting Standard (paragraph </w:t>
      </w:r>
      <w:r w:rsidR="00E44620" w:rsidRPr="00155974">
        <w:rPr>
          <w:noProof/>
          <w:szCs w:val="19"/>
        </w:rPr>
        <w:fldChar w:fldCharType="begin"/>
      </w:r>
      <w:r w:rsidR="00E44620" w:rsidRPr="00155974">
        <w:rPr>
          <w:noProof/>
          <w:szCs w:val="19"/>
        </w:rPr>
        <w:instrText xml:space="preserve"> REF _Ref35359040 \r \h </w:instrText>
      </w:r>
      <w:r w:rsidR="00155974">
        <w:rPr>
          <w:noProof/>
          <w:szCs w:val="19"/>
        </w:rPr>
        <w:instrText xml:space="preserve"> \* MERGEFORMAT </w:instrText>
      </w:r>
      <w:r w:rsidR="00E44620" w:rsidRPr="00155974">
        <w:rPr>
          <w:noProof/>
          <w:szCs w:val="19"/>
        </w:rPr>
      </w:r>
      <w:r w:rsidR="00E44620" w:rsidRPr="00155974">
        <w:rPr>
          <w:noProof/>
          <w:szCs w:val="19"/>
        </w:rPr>
        <w:fldChar w:fldCharType="separate"/>
      </w:r>
      <w:r w:rsidR="00454A6B">
        <w:rPr>
          <w:noProof/>
          <w:szCs w:val="19"/>
        </w:rPr>
        <w:t>24</w:t>
      </w:r>
      <w:r w:rsidR="00E44620" w:rsidRPr="00155974">
        <w:rPr>
          <w:noProof/>
          <w:szCs w:val="19"/>
        </w:rPr>
        <w:fldChar w:fldCharType="end"/>
      </w:r>
      <w:r w:rsidRPr="00155974">
        <w:rPr>
          <w:noProof/>
          <w:szCs w:val="19"/>
        </w:rPr>
        <w:t xml:space="preserve"> in this standard and paragraph 32 in AASB 101);</w:t>
      </w:r>
    </w:p>
    <w:p w14:paraId="740FD94D" w14:textId="69F29E25" w:rsidR="0088075B" w:rsidRPr="00155974" w:rsidRDefault="0088075B" w:rsidP="000E61D3">
      <w:pPr>
        <w:numPr>
          <w:ilvl w:val="0"/>
          <w:numId w:val="39"/>
        </w:numPr>
        <w:spacing w:before="100"/>
        <w:ind w:left="1564" w:hanging="782"/>
        <w:rPr>
          <w:noProof/>
          <w:szCs w:val="19"/>
        </w:rPr>
      </w:pPr>
      <w:r w:rsidRPr="00155974">
        <w:rPr>
          <w:noProof/>
          <w:szCs w:val="19"/>
        </w:rPr>
        <w:t xml:space="preserve">the option to present the net cash flow from operating activities under the indirect method by showing the revenues and expenses disclosed in the statement of comprehensive income and the changes during the period in inventories and operating receivables and payables (paragraph </w:t>
      </w:r>
      <w:r w:rsidR="004A4067" w:rsidRPr="00155974">
        <w:rPr>
          <w:noProof/>
          <w:szCs w:val="19"/>
        </w:rPr>
        <w:fldChar w:fldCharType="begin"/>
      </w:r>
      <w:r w:rsidR="004A4067" w:rsidRPr="00155974">
        <w:rPr>
          <w:noProof/>
          <w:szCs w:val="19"/>
        </w:rPr>
        <w:instrText xml:space="preserve"> REF _Ref35359094 \r \h </w:instrText>
      </w:r>
      <w:r w:rsidR="00155974">
        <w:rPr>
          <w:noProof/>
          <w:szCs w:val="19"/>
        </w:rPr>
        <w:instrText xml:space="preserve"> \* MERGEFORMAT </w:instrText>
      </w:r>
      <w:r w:rsidR="004A4067" w:rsidRPr="00155974">
        <w:rPr>
          <w:noProof/>
          <w:szCs w:val="19"/>
        </w:rPr>
      </w:r>
      <w:r w:rsidR="004A4067" w:rsidRPr="00155974">
        <w:rPr>
          <w:noProof/>
          <w:szCs w:val="19"/>
        </w:rPr>
        <w:fldChar w:fldCharType="separate"/>
      </w:r>
      <w:r w:rsidR="00454A6B">
        <w:rPr>
          <w:noProof/>
          <w:szCs w:val="19"/>
        </w:rPr>
        <w:t>72</w:t>
      </w:r>
      <w:r w:rsidR="004A4067" w:rsidRPr="00155974">
        <w:rPr>
          <w:noProof/>
          <w:szCs w:val="19"/>
        </w:rPr>
        <w:fldChar w:fldCharType="end"/>
      </w:r>
      <w:r w:rsidRPr="00155974">
        <w:rPr>
          <w:noProof/>
          <w:szCs w:val="19"/>
        </w:rPr>
        <w:t xml:space="preserve"> in this standard and paragraph 20 in AASB 107); </w:t>
      </w:r>
    </w:p>
    <w:p w14:paraId="1F105A15" w14:textId="468F4852" w:rsidR="0088075B" w:rsidRPr="00155974" w:rsidRDefault="0088075B" w:rsidP="000E61D3">
      <w:pPr>
        <w:numPr>
          <w:ilvl w:val="0"/>
          <w:numId w:val="39"/>
        </w:numPr>
        <w:spacing w:before="100"/>
        <w:ind w:left="1564" w:hanging="782"/>
        <w:rPr>
          <w:noProof/>
          <w:szCs w:val="19"/>
        </w:rPr>
      </w:pPr>
      <w:r w:rsidRPr="00155974">
        <w:rPr>
          <w:noProof/>
          <w:szCs w:val="19"/>
        </w:rPr>
        <w:t xml:space="preserve">options to report certain cash flows on a net basis (paragraphs </w:t>
      </w:r>
      <w:r w:rsidR="005F5EE8" w:rsidRPr="00155974">
        <w:rPr>
          <w:noProof/>
          <w:szCs w:val="19"/>
        </w:rPr>
        <w:fldChar w:fldCharType="begin"/>
      </w:r>
      <w:r w:rsidR="005F5EE8" w:rsidRPr="00155974">
        <w:rPr>
          <w:noProof/>
          <w:szCs w:val="19"/>
        </w:rPr>
        <w:instrText xml:space="preserve"> REF _Ref34593161 \r \h </w:instrText>
      </w:r>
      <w:r w:rsidR="00155974">
        <w:rPr>
          <w:noProof/>
          <w:szCs w:val="19"/>
        </w:rPr>
        <w:instrText xml:space="preserve"> \* MERGEFORMAT </w:instrText>
      </w:r>
      <w:r w:rsidR="005F5EE8" w:rsidRPr="00155974">
        <w:rPr>
          <w:noProof/>
          <w:szCs w:val="19"/>
        </w:rPr>
      </w:r>
      <w:r w:rsidR="005F5EE8" w:rsidRPr="00155974">
        <w:rPr>
          <w:noProof/>
          <w:szCs w:val="19"/>
        </w:rPr>
        <w:fldChar w:fldCharType="separate"/>
      </w:r>
      <w:r w:rsidR="00454A6B">
        <w:rPr>
          <w:noProof/>
          <w:szCs w:val="19"/>
        </w:rPr>
        <w:t>75</w:t>
      </w:r>
      <w:r w:rsidR="005F5EE8" w:rsidRPr="00155974">
        <w:rPr>
          <w:noProof/>
          <w:szCs w:val="19"/>
        </w:rPr>
        <w:fldChar w:fldCharType="end"/>
      </w:r>
      <w:r w:rsidRPr="00155974">
        <w:rPr>
          <w:szCs w:val="19"/>
        </w:rPr>
        <w:t xml:space="preserve"> to </w:t>
      </w:r>
      <w:r w:rsidR="005F5EE8" w:rsidRPr="00155974">
        <w:rPr>
          <w:szCs w:val="19"/>
        </w:rPr>
        <w:fldChar w:fldCharType="begin"/>
      </w:r>
      <w:r w:rsidR="005F5EE8" w:rsidRPr="00155974">
        <w:rPr>
          <w:szCs w:val="19"/>
        </w:rPr>
        <w:instrText xml:space="preserve"> REF _Ref35359184 \r \h </w:instrText>
      </w:r>
      <w:r w:rsidR="00155974">
        <w:rPr>
          <w:szCs w:val="19"/>
        </w:rPr>
        <w:instrText xml:space="preserve"> \* MERGEFORMAT </w:instrText>
      </w:r>
      <w:r w:rsidR="005F5EE8" w:rsidRPr="00155974">
        <w:rPr>
          <w:szCs w:val="19"/>
        </w:rPr>
      </w:r>
      <w:r w:rsidR="005F5EE8" w:rsidRPr="00155974">
        <w:rPr>
          <w:szCs w:val="19"/>
        </w:rPr>
        <w:fldChar w:fldCharType="separate"/>
      </w:r>
      <w:r w:rsidR="00454A6B">
        <w:rPr>
          <w:szCs w:val="19"/>
        </w:rPr>
        <w:t>78</w:t>
      </w:r>
      <w:r w:rsidR="005F5EE8" w:rsidRPr="00155974">
        <w:rPr>
          <w:szCs w:val="19"/>
        </w:rPr>
        <w:fldChar w:fldCharType="end"/>
      </w:r>
      <w:r w:rsidRPr="00155974">
        <w:rPr>
          <w:noProof/>
          <w:szCs w:val="19"/>
        </w:rPr>
        <w:t xml:space="preserve"> in this Standard and paragraphs 22−24 in AASB 107);</w:t>
      </w:r>
    </w:p>
    <w:p w14:paraId="515C9BE3" w14:textId="56656F7A" w:rsidR="0088075B" w:rsidRPr="00155974" w:rsidRDefault="0088075B" w:rsidP="000E61D3">
      <w:pPr>
        <w:numPr>
          <w:ilvl w:val="0"/>
          <w:numId w:val="39"/>
        </w:numPr>
        <w:spacing w:before="100"/>
        <w:ind w:left="1564" w:hanging="782"/>
        <w:rPr>
          <w:noProof/>
        </w:rPr>
      </w:pPr>
      <w:r w:rsidRPr="00155974">
        <w:rPr>
          <w:noProof/>
        </w:rPr>
        <w:t xml:space="preserve">the exemption from the disclosure of key management personnel compensation where the entity obtains key management personnel services from another entity </w:t>
      </w:r>
      <w:r w:rsidRPr="00155974">
        <w:t xml:space="preserve">(paragraphs </w:t>
      </w:r>
      <w:r w:rsidR="00572BA9" w:rsidRPr="00155974">
        <w:fldChar w:fldCharType="begin"/>
      </w:r>
      <w:r w:rsidR="00572BA9" w:rsidRPr="00155974">
        <w:instrText xml:space="preserve"> REF _Ref35359215 \r \h </w:instrText>
      </w:r>
      <w:r w:rsidR="00155974">
        <w:instrText xml:space="preserve"> \* MERGEFORMAT </w:instrText>
      </w:r>
      <w:r w:rsidR="00572BA9" w:rsidRPr="00155974">
        <w:fldChar w:fldCharType="separate"/>
      </w:r>
      <w:r w:rsidR="00454A6B">
        <w:t>195</w:t>
      </w:r>
      <w:r w:rsidR="00572BA9" w:rsidRPr="00155974">
        <w:fldChar w:fldCharType="end"/>
      </w:r>
      <w:r w:rsidRPr="00155974">
        <w:t xml:space="preserve"> and </w:t>
      </w:r>
      <w:r w:rsidR="00572BA9" w:rsidRPr="00155974">
        <w:fldChar w:fldCharType="begin"/>
      </w:r>
      <w:r w:rsidR="00572BA9" w:rsidRPr="00155974">
        <w:instrText xml:space="preserve"> REF _Ref35359228 \r \h </w:instrText>
      </w:r>
      <w:r w:rsidR="00155974">
        <w:instrText xml:space="preserve"> \* MERGEFORMAT </w:instrText>
      </w:r>
      <w:r w:rsidR="00572BA9" w:rsidRPr="00155974">
        <w:fldChar w:fldCharType="separate"/>
      </w:r>
      <w:r w:rsidR="00454A6B">
        <w:t>196</w:t>
      </w:r>
      <w:r w:rsidR="00572BA9" w:rsidRPr="00155974">
        <w:fldChar w:fldCharType="end"/>
      </w:r>
      <w:r w:rsidRPr="00155974">
        <w:t xml:space="preserve"> in this standard and paragraphs 17A and 18A in AASB 124)</w:t>
      </w:r>
      <w:r w:rsidRPr="00155974">
        <w:rPr>
          <w:noProof/>
        </w:rPr>
        <w:t xml:space="preserve">.  </w:t>
      </w:r>
    </w:p>
    <w:p w14:paraId="68D53F82"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The prohibition to depart from a </w:t>
      </w:r>
      <w:r w:rsidRPr="00155974">
        <w:rPr>
          <w:sz w:val="19"/>
          <w:szCs w:val="19"/>
        </w:rPr>
        <w:t>requirement</w:t>
      </w:r>
      <w:r w:rsidRPr="00155974">
        <w:rPr>
          <w:noProof/>
          <w:sz w:val="19"/>
          <w:szCs w:val="19"/>
        </w:rPr>
        <w:t xml:space="preserve"> in an Australian Accounting Standard reflects Australian specific circumstances which are also relevant to Tier 2 entities and hence needs to be included. Paragraphs 3.4, 3.5 and 3.6 of the </w:t>
      </w:r>
      <w:r w:rsidRPr="00155974">
        <w:rPr>
          <w:i/>
          <w:iCs/>
          <w:noProof/>
          <w:sz w:val="19"/>
          <w:szCs w:val="19"/>
        </w:rPr>
        <w:t>IFRS for SMEs</w:t>
      </w:r>
      <w:r w:rsidRPr="00155974">
        <w:rPr>
          <w:noProof/>
          <w:sz w:val="19"/>
          <w:szCs w:val="19"/>
        </w:rPr>
        <w:t xml:space="preserve"> Standard have been deleted, as they are not relevant to entities applying this Standard. </w:t>
      </w:r>
    </w:p>
    <w:p w14:paraId="57F25B95" w14:textId="1CC665ED"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The offsetting prohibition </w:t>
      </w:r>
      <w:r w:rsidRPr="00155974">
        <w:rPr>
          <w:sz w:val="19"/>
          <w:szCs w:val="19"/>
        </w:rPr>
        <w:t>in</w:t>
      </w:r>
      <w:r w:rsidR="00CA0ACD" w:rsidRPr="00155974">
        <w:rPr>
          <w:sz w:val="19"/>
          <w:szCs w:val="19"/>
        </w:rPr>
        <w:t xml:space="preserve"> paragraph</w:t>
      </w:r>
      <w:r w:rsidRPr="00155974">
        <w:rPr>
          <w:noProof/>
          <w:sz w:val="19"/>
          <w:szCs w:val="19"/>
        </w:rPr>
        <w:t xml:space="preserve"> </w:t>
      </w:r>
      <w:r w:rsidR="00237019">
        <w:rPr>
          <w:noProof/>
          <w:sz w:val="19"/>
          <w:szCs w:val="19"/>
        </w:rPr>
        <w:fldChar w:fldCharType="begin"/>
      </w:r>
      <w:r w:rsidR="00237019">
        <w:rPr>
          <w:noProof/>
          <w:sz w:val="19"/>
          <w:szCs w:val="19"/>
        </w:rPr>
        <w:instrText xml:space="preserve"> REF _Ref35433228 \r \h </w:instrText>
      </w:r>
      <w:r w:rsidR="00237019">
        <w:rPr>
          <w:noProof/>
          <w:sz w:val="19"/>
          <w:szCs w:val="19"/>
        </w:rPr>
      </w:r>
      <w:r w:rsidR="00237019">
        <w:rPr>
          <w:noProof/>
          <w:sz w:val="19"/>
          <w:szCs w:val="19"/>
        </w:rPr>
        <w:fldChar w:fldCharType="separate"/>
      </w:r>
      <w:r w:rsidR="00454A6B">
        <w:rPr>
          <w:noProof/>
          <w:sz w:val="19"/>
          <w:szCs w:val="19"/>
        </w:rPr>
        <w:t>BC56</w:t>
      </w:r>
      <w:r w:rsidR="00237019">
        <w:rPr>
          <w:noProof/>
          <w:sz w:val="19"/>
          <w:szCs w:val="19"/>
        </w:rPr>
        <w:fldChar w:fldCharType="end"/>
      </w:r>
      <w:r w:rsidRPr="00155974">
        <w:rPr>
          <w:noProof/>
          <w:sz w:val="19"/>
          <w:szCs w:val="19"/>
        </w:rPr>
        <w:t xml:space="preserve">(b) is included in Section 2 </w:t>
      </w:r>
      <w:r w:rsidRPr="00155974">
        <w:rPr>
          <w:i/>
          <w:noProof/>
          <w:sz w:val="19"/>
          <w:szCs w:val="19"/>
        </w:rPr>
        <w:t xml:space="preserve">Concepts and Pervasive Principles </w:t>
      </w:r>
      <w:r w:rsidRPr="00155974">
        <w:rPr>
          <w:noProof/>
          <w:sz w:val="19"/>
          <w:szCs w:val="19"/>
        </w:rPr>
        <w:t xml:space="preserve">of the </w:t>
      </w:r>
      <w:r w:rsidRPr="00155974">
        <w:rPr>
          <w:i/>
          <w:iCs/>
          <w:noProof/>
          <w:sz w:val="19"/>
          <w:szCs w:val="19"/>
        </w:rPr>
        <w:t>IFRS for SMEs</w:t>
      </w:r>
      <w:r w:rsidRPr="00155974">
        <w:rPr>
          <w:noProof/>
          <w:sz w:val="19"/>
          <w:szCs w:val="19"/>
        </w:rPr>
        <w:t xml:space="preserve"> Standard (paragraph 2.52). As this section has been otherwise excluded from this Standard on the basis that it does not include any disclosures, the prohibition had to be separately added to this Standard. </w:t>
      </w:r>
    </w:p>
    <w:p w14:paraId="07B0388D"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Permitting the options in the presentation of the cash flow statement from AASB 107 ensures that there are no differences in presentation to full AAS and avoids any possible issues, for example for the consolidation of subsidiaries that report under Tier 2 by parent entities that report under Tier 1 (full AAS).</w:t>
      </w:r>
    </w:p>
    <w:p w14:paraId="0E762F66" w14:textId="09A072BE"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Retaining the exemption from disclosing key management personnel compensation in </w:t>
      </w:r>
      <w:r w:rsidR="004B616D" w:rsidRPr="00155974">
        <w:rPr>
          <w:noProof/>
          <w:sz w:val="19"/>
          <w:szCs w:val="19"/>
        </w:rPr>
        <w:t xml:space="preserve">paragraph </w:t>
      </w:r>
      <w:r w:rsidR="00237019">
        <w:rPr>
          <w:noProof/>
          <w:sz w:val="19"/>
          <w:szCs w:val="19"/>
        </w:rPr>
        <w:fldChar w:fldCharType="begin"/>
      </w:r>
      <w:r w:rsidR="00237019">
        <w:rPr>
          <w:noProof/>
          <w:sz w:val="19"/>
          <w:szCs w:val="19"/>
        </w:rPr>
        <w:instrText xml:space="preserve"> REF _Ref35433228 \r \h </w:instrText>
      </w:r>
      <w:r w:rsidR="00237019">
        <w:rPr>
          <w:noProof/>
          <w:sz w:val="19"/>
          <w:szCs w:val="19"/>
        </w:rPr>
      </w:r>
      <w:r w:rsidR="00237019">
        <w:rPr>
          <w:noProof/>
          <w:sz w:val="19"/>
          <w:szCs w:val="19"/>
        </w:rPr>
        <w:fldChar w:fldCharType="separate"/>
      </w:r>
      <w:r w:rsidR="00454A6B">
        <w:rPr>
          <w:noProof/>
          <w:sz w:val="19"/>
          <w:szCs w:val="19"/>
        </w:rPr>
        <w:t>BC56</w:t>
      </w:r>
      <w:r w:rsidR="00237019">
        <w:rPr>
          <w:noProof/>
          <w:sz w:val="19"/>
          <w:szCs w:val="19"/>
        </w:rPr>
        <w:fldChar w:fldCharType="end"/>
      </w:r>
      <w:r w:rsidRPr="00155974">
        <w:rPr>
          <w:noProof/>
          <w:sz w:val="19"/>
          <w:szCs w:val="19"/>
        </w:rPr>
        <w:t>(e) for entities that obtain key management personnel services from another entity avoids having potentially more onerous disclosure requirements than for Tier 1 entities. While arguably the exemption in paragraph 17A of AASB 124 (</w:t>
      </w:r>
      <w:r w:rsidRPr="00155974">
        <w:rPr>
          <w:sz w:val="19"/>
          <w:szCs w:val="19"/>
        </w:rPr>
        <w:t xml:space="preserve">paragraph </w:t>
      </w:r>
      <w:r w:rsidR="00D3411A" w:rsidRPr="00155974">
        <w:rPr>
          <w:sz w:val="19"/>
          <w:szCs w:val="19"/>
        </w:rPr>
        <w:fldChar w:fldCharType="begin"/>
      </w:r>
      <w:r w:rsidR="00D3411A" w:rsidRPr="00155974">
        <w:rPr>
          <w:sz w:val="19"/>
          <w:szCs w:val="19"/>
        </w:rPr>
        <w:instrText xml:space="preserve"> REF _Ref35359215 \r \h </w:instrText>
      </w:r>
      <w:r w:rsidR="00155974">
        <w:rPr>
          <w:sz w:val="19"/>
          <w:szCs w:val="19"/>
        </w:rPr>
        <w:instrText xml:space="preserve"> \* MERGEFORMAT </w:instrText>
      </w:r>
      <w:r w:rsidR="00D3411A" w:rsidRPr="00155974">
        <w:rPr>
          <w:sz w:val="19"/>
          <w:szCs w:val="19"/>
        </w:rPr>
      </w:r>
      <w:r w:rsidR="00D3411A" w:rsidRPr="00155974">
        <w:rPr>
          <w:sz w:val="19"/>
          <w:szCs w:val="19"/>
        </w:rPr>
        <w:fldChar w:fldCharType="separate"/>
      </w:r>
      <w:r w:rsidR="00454A6B">
        <w:rPr>
          <w:sz w:val="19"/>
          <w:szCs w:val="19"/>
        </w:rPr>
        <w:t>195</w:t>
      </w:r>
      <w:r w:rsidR="00D3411A" w:rsidRPr="00155974">
        <w:rPr>
          <w:sz w:val="19"/>
          <w:szCs w:val="19"/>
        </w:rPr>
        <w:fldChar w:fldCharType="end"/>
      </w:r>
      <w:r w:rsidRPr="00155974">
        <w:rPr>
          <w:noProof/>
          <w:sz w:val="19"/>
          <w:szCs w:val="19"/>
        </w:rPr>
        <w:t xml:space="preserve"> in this Standard) only provides relief from disclosing the breakdown of key management personnel compensation that is otherwise required to be disclosed by AASB 124 paragraph 17, the Board noted that the fees paid to a management entity that must be disclosed under paragraph 18A of AASB 124 (</w:t>
      </w:r>
      <w:r w:rsidRPr="00155974">
        <w:rPr>
          <w:sz w:val="19"/>
          <w:szCs w:val="19"/>
        </w:rPr>
        <w:t xml:space="preserve">paragraph </w:t>
      </w:r>
      <w:r w:rsidR="00670581" w:rsidRPr="00155974">
        <w:rPr>
          <w:sz w:val="19"/>
          <w:szCs w:val="19"/>
        </w:rPr>
        <w:fldChar w:fldCharType="begin"/>
      </w:r>
      <w:r w:rsidR="00670581" w:rsidRPr="00155974">
        <w:rPr>
          <w:sz w:val="19"/>
          <w:szCs w:val="19"/>
        </w:rPr>
        <w:instrText xml:space="preserve"> REF _Ref35359228 \r \h </w:instrText>
      </w:r>
      <w:r w:rsidR="00155974">
        <w:rPr>
          <w:sz w:val="19"/>
          <w:szCs w:val="19"/>
        </w:rPr>
        <w:instrText xml:space="preserve"> \* MERGEFORMAT </w:instrText>
      </w:r>
      <w:r w:rsidR="00670581" w:rsidRPr="00155974">
        <w:rPr>
          <w:sz w:val="19"/>
          <w:szCs w:val="19"/>
        </w:rPr>
      </w:r>
      <w:r w:rsidR="00670581" w:rsidRPr="00155974">
        <w:rPr>
          <w:sz w:val="19"/>
          <w:szCs w:val="19"/>
        </w:rPr>
        <w:fldChar w:fldCharType="separate"/>
      </w:r>
      <w:r w:rsidR="00454A6B">
        <w:rPr>
          <w:sz w:val="19"/>
          <w:szCs w:val="19"/>
        </w:rPr>
        <w:t>196</w:t>
      </w:r>
      <w:r w:rsidR="00670581" w:rsidRPr="00155974">
        <w:rPr>
          <w:sz w:val="19"/>
          <w:szCs w:val="19"/>
        </w:rPr>
        <w:fldChar w:fldCharType="end"/>
      </w:r>
      <w:r w:rsidRPr="00155974">
        <w:rPr>
          <w:noProof/>
          <w:sz w:val="19"/>
          <w:szCs w:val="19"/>
        </w:rPr>
        <w:t xml:space="preserve"> in this Standard) may also cover other services, and that the fees many not specifically identify the amount relating to key management personnel services. </w:t>
      </w:r>
    </w:p>
    <w:p w14:paraId="67051C0B" w14:textId="45BD6A38"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To avoid any potential R&amp;M differences, the Board further decided to replace the definition of materiality in the </w:t>
      </w:r>
      <w:r w:rsidRPr="00155974">
        <w:rPr>
          <w:i/>
          <w:iCs/>
          <w:noProof/>
          <w:sz w:val="19"/>
          <w:szCs w:val="19"/>
        </w:rPr>
        <w:t>IFRS for SMEs</w:t>
      </w:r>
      <w:r w:rsidRPr="00155974">
        <w:rPr>
          <w:noProof/>
          <w:sz w:val="19"/>
          <w:szCs w:val="19"/>
        </w:rPr>
        <w:t xml:space="preserve"> Standard with the recently updated definition of material from AASB 101 and added </w:t>
      </w:r>
      <w:r w:rsidRPr="00155974">
        <w:rPr>
          <w:sz w:val="19"/>
          <w:szCs w:val="19"/>
        </w:rPr>
        <w:t xml:space="preserve">paragraph </w:t>
      </w:r>
      <w:r w:rsidR="00A37E31" w:rsidRPr="00155974">
        <w:rPr>
          <w:sz w:val="19"/>
          <w:szCs w:val="19"/>
        </w:rPr>
        <w:fldChar w:fldCharType="begin"/>
      </w:r>
      <w:r w:rsidR="00A37E31" w:rsidRPr="00155974">
        <w:rPr>
          <w:sz w:val="19"/>
          <w:szCs w:val="19"/>
        </w:rPr>
        <w:instrText xml:space="preserve"> REF _Ref35359575 \r \h </w:instrText>
      </w:r>
      <w:r w:rsidR="00155974">
        <w:rPr>
          <w:sz w:val="19"/>
          <w:szCs w:val="19"/>
        </w:rPr>
        <w:instrText xml:space="preserve"> \* MERGEFORMAT </w:instrText>
      </w:r>
      <w:r w:rsidR="00A37E31" w:rsidRPr="00155974">
        <w:rPr>
          <w:sz w:val="19"/>
          <w:szCs w:val="19"/>
        </w:rPr>
      </w:r>
      <w:r w:rsidR="00A37E31" w:rsidRPr="00155974">
        <w:rPr>
          <w:sz w:val="19"/>
          <w:szCs w:val="19"/>
        </w:rPr>
        <w:fldChar w:fldCharType="separate"/>
      </w:r>
      <w:r w:rsidR="00454A6B">
        <w:rPr>
          <w:sz w:val="19"/>
          <w:szCs w:val="19"/>
        </w:rPr>
        <w:t>23</w:t>
      </w:r>
      <w:r w:rsidR="00A37E31" w:rsidRPr="00155974">
        <w:rPr>
          <w:sz w:val="19"/>
          <w:szCs w:val="19"/>
        </w:rPr>
        <w:fldChar w:fldCharType="end"/>
      </w:r>
      <w:r w:rsidRPr="00155974">
        <w:rPr>
          <w:noProof/>
          <w:sz w:val="19"/>
          <w:szCs w:val="19"/>
        </w:rPr>
        <w:t xml:space="preserve"> which clarifies the application of materiality (based on paragraph 31 in AASB 101). The Board also replaced the guidance on the presentation of information in the notes (structure of notes, </w:t>
      </w:r>
      <w:r w:rsidRPr="00155974">
        <w:rPr>
          <w:sz w:val="19"/>
          <w:szCs w:val="19"/>
        </w:rPr>
        <w:t xml:space="preserve">paragraph </w:t>
      </w:r>
      <w:r w:rsidR="00A20576" w:rsidRPr="00155974">
        <w:rPr>
          <w:noProof/>
          <w:sz w:val="19"/>
          <w:szCs w:val="19"/>
        </w:rPr>
        <w:fldChar w:fldCharType="begin"/>
      </w:r>
      <w:r w:rsidR="00A20576" w:rsidRPr="00155974">
        <w:rPr>
          <w:sz w:val="19"/>
          <w:szCs w:val="19"/>
        </w:rPr>
        <w:instrText xml:space="preserve"> REF _Ref35359623 \r \h </w:instrText>
      </w:r>
      <w:r w:rsidR="00155974">
        <w:rPr>
          <w:noProof/>
          <w:sz w:val="19"/>
          <w:szCs w:val="19"/>
        </w:rPr>
        <w:instrText xml:space="preserve"> \* MERGEFORMAT </w:instrText>
      </w:r>
      <w:r w:rsidR="00A20576" w:rsidRPr="00155974">
        <w:rPr>
          <w:noProof/>
          <w:sz w:val="19"/>
          <w:szCs w:val="19"/>
        </w:rPr>
      </w:r>
      <w:r w:rsidR="00A20576" w:rsidRPr="00155974">
        <w:rPr>
          <w:noProof/>
          <w:sz w:val="19"/>
          <w:szCs w:val="19"/>
        </w:rPr>
        <w:fldChar w:fldCharType="separate"/>
      </w:r>
      <w:r w:rsidR="00454A6B">
        <w:rPr>
          <w:sz w:val="19"/>
          <w:szCs w:val="19"/>
        </w:rPr>
        <w:t>93</w:t>
      </w:r>
      <w:r w:rsidR="00A20576" w:rsidRPr="00155974">
        <w:rPr>
          <w:noProof/>
          <w:sz w:val="19"/>
          <w:szCs w:val="19"/>
        </w:rPr>
        <w:fldChar w:fldCharType="end"/>
      </w:r>
      <w:r w:rsidRPr="00155974">
        <w:rPr>
          <w:noProof/>
          <w:sz w:val="19"/>
          <w:szCs w:val="19"/>
        </w:rPr>
        <w:t xml:space="preserve"> in this standard and </w:t>
      </w:r>
      <w:r w:rsidRPr="00155974">
        <w:rPr>
          <w:sz w:val="19"/>
          <w:szCs w:val="19"/>
        </w:rPr>
        <w:t>paragraph 8.4</w:t>
      </w:r>
      <w:r w:rsidRPr="00155974">
        <w:rPr>
          <w:noProof/>
          <w:sz w:val="19"/>
          <w:szCs w:val="19"/>
        </w:rPr>
        <w:t xml:space="preserve"> in the </w:t>
      </w:r>
      <w:r w:rsidRPr="00155974">
        <w:rPr>
          <w:i/>
          <w:iCs/>
          <w:noProof/>
          <w:sz w:val="19"/>
          <w:szCs w:val="19"/>
        </w:rPr>
        <w:t xml:space="preserve">IFRS for SMEs </w:t>
      </w:r>
      <w:r w:rsidRPr="00155974">
        <w:rPr>
          <w:noProof/>
          <w:sz w:val="19"/>
          <w:szCs w:val="19"/>
        </w:rPr>
        <w:t xml:space="preserve">Standard) with the revised guidance from paragraphs 114 and 116 of AASB 101 that was introduced via amendments to AASB 101 in 2015 and added additional guidance to </w:t>
      </w:r>
      <w:r w:rsidRPr="00155974">
        <w:rPr>
          <w:sz w:val="19"/>
          <w:szCs w:val="19"/>
        </w:rPr>
        <w:t xml:space="preserve">paragraph </w:t>
      </w:r>
      <w:r w:rsidRPr="00155974">
        <w:rPr>
          <w:noProof/>
          <w:sz w:val="19"/>
          <w:szCs w:val="19"/>
        </w:rPr>
        <w:t xml:space="preserve">40 confirming that the terms of a liability that could, at the option of the counterparty, result in its settlement by the issue of equity instruments do not affect its classification (from paragraph 69(d) of AASB 101). This will further ensure that there are no presentation differences to full AAS. </w:t>
      </w:r>
    </w:p>
    <w:p w14:paraId="4A11B07B" w14:textId="2566BAD1" w:rsidR="0088075B" w:rsidRPr="00155974" w:rsidRDefault="0088075B" w:rsidP="000E61D3">
      <w:pPr>
        <w:pStyle w:val="Default"/>
        <w:numPr>
          <w:ilvl w:val="0"/>
          <w:numId w:val="35"/>
        </w:numPr>
        <w:spacing w:before="100"/>
        <w:ind w:left="778" w:hanging="778"/>
        <w:jc w:val="both"/>
        <w:rPr>
          <w:noProof/>
          <w:sz w:val="19"/>
          <w:szCs w:val="19"/>
        </w:rPr>
      </w:pPr>
      <w:bookmarkStart w:id="183" w:name="_Ref13665876"/>
      <w:r w:rsidRPr="00155974">
        <w:rPr>
          <w:noProof/>
          <w:sz w:val="19"/>
          <w:szCs w:val="19"/>
        </w:rPr>
        <w:t xml:space="preserve">Consistent with the basic approach of minimising differences to the disclosures in the </w:t>
      </w:r>
      <w:r w:rsidRPr="00155974">
        <w:rPr>
          <w:i/>
          <w:iCs/>
          <w:sz w:val="19"/>
          <w:szCs w:val="19"/>
        </w:rPr>
        <w:t>IFRS for SMEs</w:t>
      </w:r>
      <w:r w:rsidRPr="00155974">
        <w:rPr>
          <w:noProof/>
          <w:sz w:val="19"/>
          <w:szCs w:val="19"/>
        </w:rPr>
        <w:t xml:space="preserve"> Standard, the Board decided to retain paragraph </w:t>
      </w:r>
      <w:r w:rsidRPr="00155974">
        <w:rPr>
          <w:sz w:val="19"/>
          <w:szCs w:val="19"/>
        </w:rPr>
        <w:t>3.18</w:t>
      </w:r>
      <w:r w:rsidRPr="00155974">
        <w:rPr>
          <w:noProof/>
          <w:sz w:val="19"/>
          <w:szCs w:val="19"/>
        </w:rPr>
        <w:t xml:space="preserve"> of the </w:t>
      </w:r>
      <w:r w:rsidRPr="00155974">
        <w:rPr>
          <w:i/>
          <w:iCs/>
          <w:noProof/>
          <w:sz w:val="19"/>
          <w:szCs w:val="19"/>
        </w:rPr>
        <w:t>IFRS for SMEs</w:t>
      </w:r>
      <w:r w:rsidRPr="00155974">
        <w:rPr>
          <w:noProof/>
          <w:sz w:val="19"/>
          <w:szCs w:val="19"/>
        </w:rPr>
        <w:t xml:space="preserve"> Standard which includes an option of not presenting a statement of changes in equity if the only changes to equity during the periods for which financial statements are presented arise from profit or loss, payment of dividends, corrections of prior period errors, and changes in accounting policy (</w:t>
      </w:r>
      <w:r w:rsidRPr="00155974">
        <w:rPr>
          <w:sz w:val="19"/>
          <w:szCs w:val="19"/>
        </w:rPr>
        <w:t xml:space="preserve">paragraph </w:t>
      </w:r>
      <w:r w:rsidR="00F046D3" w:rsidRPr="00155974">
        <w:rPr>
          <w:sz w:val="19"/>
          <w:szCs w:val="19"/>
        </w:rPr>
        <w:fldChar w:fldCharType="begin"/>
      </w:r>
      <w:r w:rsidR="00F046D3" w:rsidRPr="00155974">
        <w:rPr>
          <w:sz w:val="19"/>
          <w:szCs w:val="19"/>
        </w:rPr>
        <w:instrText xml:space="preserve"> REF _Ref34729963 \r \h </w:instrText>
      </w:r>
      <w:r w:rsidR="00155974">
        <w:rPr>
          <w:sz w:val="19"/>
          <w:szCs w:val="19"/>
        </w:rPr>
        <w:instrText xml:space="preserve"> \* MERGEFORMAT </w:instrText>
      </w:r>
      <w:r w:rsidR="00F046D3" w:rsidRPr="00155974">
        <w:rPr>
          <w:sz w:val="19"/>
          <w:szCs w:val="19"/>
        </w:rPr>
      </w:r>
      <w:r w:rsidR="00F046D3" w:rsidRPr="00155974">
        <w:rPr>
          <w:sz w:val="19"/>
          <w:szCs w:val="19"/>
        </w:rPr>
        <w:fldChar w:fldCharType="separate"/>
      </w:r>
      <w:r w:rsidR="00454A6B">
        <w:rPr>
          <w:sz w:val="19"/>
          <w:szCs w:val="19"/>
        </w:rPr>
        <w:t>26</w:t>
      </w:r>
      <w:r w:rsidR="00F046D3" w:rsidRPr="00155974">
        <w:rPr>
          <w:sz w:val="19"/>
          <w:szCs w:val="19"/>
        </w:rPr>
        <w:fldChar w:fldCharType="end"/>
      </w:r>
      <w:r w:rsidRPr="00155974">
        <w:rPr>
          <w:noProof/>
          <w:sz w:val="19"/>
          <w:szCs w:val="19"/>
        </w:rPr>
        <w:t xml:space="preserve"> in this Standard).</w:t>
      </w:r>
      <w:bookmarkEnd w:id="183"/>
    </w:p>
    <w:p w14:paraId="7A16A710" w14:textId="48D9D2A9" w:rsidR="0090294E" w:rsidRPr="00D9197D" w:rsidRDefault="0088075B" w:rsidP="000E61D3">
      <w:pPr>
        <w:pStyle w:val="Default"/>
        <w:numPr>
          <w:ilvl w:val="0"/>
          <w:numId w:val="35"/>
        </w:numPr>
        <w:spacing w:before="100"/>
        <w:ind w:left="778" w:hanging="778"/>
        <w:jc w:val="both"/>
        <w:rPr>
          <w:noProof/>
          <w:szCs w:val="19"/>
        </w:rPr>
      </w:pPr>
      <w:r w:rsidRPr="00155974">
        <w:rPr>
          <w:noProof/>
          <w:sz w:val="19"/>
          <w:szCs w:val="19"/>
        </w:rPr>
        <w:t xml:space="preserve">In relation to the replacement of AASB 12, the Board noted that the investment entity exemption from consolidation creates a R&amp;M difference to the </w:t>
      </w:r>
      <w:r w:rsidRPr="00155974">
        <w:rPr>
          <w:i/>
          <w:iCs/>
          <w:noProof/>
          <w:sz w:val="19"/>
          <w:szCs w:val="19"/>
        </w:rPr>
        <w:t>IFRS for SMEs</w:t>
      </w:r>
      <w:r w:rsidRPr="00155974">
        <w:rPr>
          <w:noProof/>
          <w:sz w:val="19"/>
          <w:szCs w:val="19"/>
        </w:rPr>
        <w:t xml:space="preserve"> Standard. However, based on the principles listed in paragraph </w:t>
      </w:r>
      <w:r w:rsidRPr="00155974">
        <w:fldChar w:fldCharType="begin"/>
      </w:r>
      <w:r w:rsidRPr="00155974">
        <w:rPr>
          <w:noProof/>
          <w:sz w:val="19"/>
          <w:szCs w:val="19"/>
        </w:rPr>
        <w:instrText xml:space="preserve"> REF _Ref8992108 \r \h </w:instrText>
      </w:r>
      <w:r w:rsidRPr="00155974">
        <w:instrText xml:space="preserve"> \* MERGEFORMAT </w:instrText>
      </w:r>
      <w:r w:rsidRPr="00155974">
        <w:rPr>
          <w:noProof/>
          <w:sz w:val="19"/>
          <w:szCs w:val="19"/>
        </w:rPr>
        <w:fldChar w:fldCharType="separate"/>
      </w:r>
      <w:r w:rsidR="00454A6B">
        <w:rPr>
          <w:noProof/>
          <w:sz w:val="19"/>
          <w:szCs w:val="19"/>
        </w:rPr>
        <w:t>BC41</w:t>
      </w:r>
      <w:r w:rsidRPr="00155974">
        <w:fldChar w:fldCharType="end"/>
      </w:r>
      <w:r w:rsidRPr="00155974">
        <w:rPr>
          <w:noProof/>
          <w:sz w:val="19"/>
          <w:szCs w:val="19"/>
        </w:rPr>
        <w:t xml:space="preserve">, the Board did not consider that additional disclosures would be warranted in relation to this exemption. The Board noted that the IASB discussed the investment entity exception in the context of the 2020 Request for Information </w:t>
      </w:r>
      <w:r w:rsidRPr="00155974">
        <w:rPr>
          <w:i/>
          <w:iCs/>
          <w:noProof/>
          <w:sz w:val="19"/>
          <w:szCs w:val="19"/>
        </w:rPr>
        <w:t>Comprehensive Review of the IFRS for SMEs Standard</w:t>
      </w:r>
      <w:r w:rsidRPr="00155974">
        <w:rPr>
          <w:noProof/>
          <w:sz w:val="19"/>
          <w:szCs w:val="19"/>
        </w:rPr>
        <w:t xml:space="preserve"> and concluded that few entities eligible to apply the </w:t>
      </w:r>
      <w:r w:rsidRPr="00155974">
        <w:rPr>
          <w:i/>
          <w:iCs/>
          <w:noProof/>
          <w:sz w:val="19"/>
          <w:szCs w:val="19"/>
        </w:rPr>
        <w:t>IFRS for SMEs</w:t>
      </w:r>
      <w:r w:rsidRPr="00155974">
        <w:rPr>
          <w:noProof/>
          <w:sz w:val="19"/>
          <w:szCs w:val="19"/>
        </w:rPr>
        <w:t xml:space="preserve"> Standard would be investment entities. The Board also expects the exemption to have limited practical impact, since the majority of investment entities will be publicly accountable and therefore not able to apply this Standard. </w:t>
      </w:r>
    </w:p>
    <w:p w14:paraId="21491B1F" w14:textId="136AC739" w:rsidR="0088075B" w:rsidRPr="00155974" w:rsidRDefault="0088075B" w:rsidP="000E61D3">
      <w:pPr>
        <w:pStyle w:val="Default"/>
        <w:numPr>
          <w:ilvl w:val="0"/>
          <w:numId w:val="35"/>
        </w:numPr>
        <w:spacing w:before="100"/>
        <w:ind w:left="778" w:hanging="778"/>
        <w:jc w:val="both"/>
        <w:rPr>
          <w:noProof/>
          <w:sz w:val="19"/>
          <w:szCs w:val="19"/>
        </w:rPr>
      </w:pPr>
      <w:r w:rsidRPr="00155974">
        <w:rPr>
          <w:noProof/>
          <w:sz w:val="19"/>
          <w:szCs w:val="19"/>
        </w:rPr>
        <w:lastRenderedPageBreak/>
        <w:t xml:space="preserve">In responding to stakeholders’ concerns that an investment entity preparing separate financial statements could not comply with </w:t>
      </w:r>
      <w:r w:rsidRPr="00155974">
        <w:rPr>
          <w:sz w:val="19"/>
          <w:szCs w:val="19"/>
        </w:rPr>
        <w:t xml:space="preserve">paragraph </w:t>
      </w:r>
      <w:r w:rsidR="00C539F4" w:rsidRPr="00155974">
        <w:rPr>
          <w:sz w:val="19"/>
          <w:szCs w:val="19"/>
        </w:rPr>
        <w:fldChar w:fldCharType="begin"/>
      </w:r>
      <w:r w:rsidR="00C539F4" w:rsidRPr="00155974">
        <w:rPr>
          <w:sz w:val="19"/>
          <w:szCs w:val="19"/>
        </w:rPr>
        <w:instrText xml:space="preserve"> REF _Ref35357365 \r \h </w:instrText>
      </w:r>
      <w:r w:rsidR="00155974">
        <w:rPr>
          <w:sz w:val="19"/>
          <w:szCs w:val="19"/>
        </w:rPr>
        <w:instrText xml:space="preserve"> \* MERGEFORMAT </w:instrText>
      </w:r>
      <w:r w:rsidR="00C539F4" w:rsidRPr="00155974">
        <w:rPr>
          <w:sz w:val="19"/>
          <w:szCs w:val="19"/>
        </w:rPr>
      </w:r>
      <w:r w:rsidR="00C539F4" w:rsidRPr="00155974">
        <w:rPr>
          <w:sz w:val="19"/>
          <w:szCs w:val="19"/>
        </w:rPr>
        <w:fldChar w:fldCharType="separate"/>
      </w:r>
      <w:r w:rsidR="00454A6B">
        <w:rPr>
          <w:sz w:val="19"/>
          <w:szCs w:val="19"/>
        </w:rPr>
        <w:t>105</w:t>
      </w:r>
      <w:r w:rsidR="00C539F4" w:rsidRPr="00155974">
        <w:rPr>
          <w:sz w:val="19"/>
          <w:szCs w:val="19"/>
        </w:rPr>
        <w:fldChar w:fldCharType="end"/>
      </w:r>
      <w:r w:rsidRPr="00155974">
        <w:rPr>
          <w:noProof/>
          <w:sz w:val="19"/>
          <w:szCs w:val="19"/>
        </w:rPr>
        <w:t xml:space="preserve"> of this Standard because the paragraph requires the entity to identify the consolidated financial statements or other primary financial statements to which the separate financial statements relate, the Board noted that separate financial statements are defined in AASB 127 </w:t>
      </w:r>
      <w:r w:rsidRPr="00155974">
        <w:rPr>
          <w:i/>
          <w:iCs/>
          <w:noProof/>
          <w:sz w:val="19"/>
          <w:szCs w:val="19"/>
        </w:rPr>
        <w:t>Separate Financial Statements</w:t>
      </w:r>
      <w:r w:rsidRPr="00155974">
        <w:rPr>
          <w:noProof/>
          <w:sz w:val="19"/>
          <w:szCs w:val="19"/>
        </w:rPr>
        <w:t xml:space="preserve"> as financial statements that are presented in addition to consolidated financial statements or to financial statements that apply equity-accounting to investments in associates or joint ventures (consistent with the definition of separate financial statements in the </w:t>
      </w:r>
      <w:r w:rsidRPr="00155974">
        <w:rPr>
          <w:i/>
          <w:iCs/>
          <w:sz w:val="19"/>
          <w:szCs w:val="19"/>
        </w:rPr>
        <w:t>IFRS for SMEs</w:t>
      </w:r>
      <w:r w:rsidRPr="00155974">
        <w:rPr>
          <w:noProof/>
          <w:sz w:val="19"/>
          <w:szCs w:val="19"/>
        </w:rPr>
        <w:t xml:space="preserve"> Standard). Therefore, the financial statements prepared by investment entities would not be separate financial statements under that definition and as a result </w:t>
      </w:r>
      <w:r w:rsidRPr="00155974">
        <w:rPr>
          <w:sz w:val="19"/>
          <w:szCs w:val="19"/>
        </w:rPr>
        <w:t xml:space="preserve">paragraph </w:t>
      </w:r>
      <w:r w:rsidR="00C539F4" w:rsidRPr="00155974">
        <w:rPr>
          <w:noProof/>
          <w:sz w:val="19"/>
          <w:szCs w:val="19"/>
        </w:rPr>
        <w:fldChar w:fldCharType="begin"/>
      </w:r>
      <w:r w:rsidR="00C539F4" w:rsidRPr="00155974">
        <w:rPr>
          <w:sz w:val="19"/>
          <w:szCs w:val="19"/>
        </w:rPr>
        <w:instrText xml:space="preserve"> REF _Ref35357365 \r \h </w:instrText>
      </w:r>
      <w:r w:rsidR="00155974">
        <w:rPr>
          <w:noProof/>
          <w:sz w:val="19"/>
          <w:szCs w:val="19"/>
        </w:rPr>
        <w:instrText xml:space="preserve"> \* MERGEFORMAT </w:instrText>
      </w:r>
      <w:r w:rsidR="00C539F4" w:rsidRPr="00155974">
        <w:rPr>
          <w:noProof/>
          <w:sz w:val="19"/>
          <w:szCs w:val="19"/>
        </w:rPr>
      </w:r>
      <w:r w:rsidR="00C539F4" w:rsidRPr="00155974">
        <w:rPr>
          <w:noProof/>
          <w:sz w:val="19"/>
          <w:szCs w:val="19"/>
        </w:rPr>
        <w:fldChar w:fldCharType="separate"/>
      </w:r>
      <w:r w:rsidR="00454A6B">
        <w:rPr>
          <w:sz w:val="19"/>
          <w:szCs w:val="19"/>
        </w:rPr>
        <w:t>105</w:t>
      </w:r>
      <w:r w:rsidR="00C539F4" w:rsidRPr="00155974">
        <w:rPr>
          <w:noProof/>
          <w:sz w:val="19"/>
          <w:szCs w:val="19"/>
        </w:rPr>
        <w:fldChar w:fldCharType="end"/>
      </w:r>
      <w:r w:rsidRPr="00155974">
        <w:rPr>
          <w:noProof/>
          <w:sz w:val="19"/>
          <w:szCs w:val="19"/>
        </w:rPr>
        <w:t xml:space="preserve"> would not apply.</w:t>
      </w:r>
    </w:p>
    <w:p w14:paraId="0CA2335B" w14:textId="77777777" w:rsidR="0088075B" w:rsidRPr="00155974" w:rsidRDefault="0088075B" w:rsidP="00057305">
      <w:pPr>
        <w:pStyle w:val="IASBSectionTitle2Ind"/>
        <w:rPr>
          <w:noProof/>
        </w:rPr>
      </w:pPr>
      <w:r w:rsidRPr="00155974">
        <w:rPr>
          <w:noProof/>
        </w:rPr>
        <w:t xml:space="preserve">Judgements made in adding, removing or adapting the disclosures in the </w:t>
      </w:r>
      <w:r w:rsidRPr="00155974">
        <w:rPr>
          <w:i/>
          <w:iCs/>
          <w:noProof/>
        </w:rPr>
        <w:t>IFRS for SMEs</w:t>
      </w:r>
      <w:r w:rsidRPr="00155974">
        <w:rPr>
          <w:noProof/>
        </w:rPr>
        <w:t xml:space="preserve"> Standard</w:t>
      </w:r>
    </w:p>
    <w:p w14:paraId="4598DB49"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The Board has exercised a number of significant judgements while adding, removing and amending disclosures from the certain sections of the </w:t>
      </w:r>
      <w:r w:rsidRPr="00155974">
        <w:rPr>
          <w:i/>
          <w:iCs/>
          <w:noProof/>
          <w:sz w:val="19"/>
          <w:szCs w:val="19"/>
        </w:rPr>
        <w:t>IFRS for SMEs</w:t>
      </w:r>
      <w:r w:rsidRPr="00155974">
        <w:rPr>
          <w:noProof/>
          <w:sz w:val="19"/>
          <w:szCs w:val="19"/>
        </w:rPr>
        <w:t xml:space="preserve"> Standard.</w:t>
      </w:r>
    </w:p>
    <w:p w14:paraId="14216653" w14:textId="77777777" w:rsidR="0088075B" w:rsidRPr="00155974" w:rsidRDefault="0088075B" w:rsidP="000E61D3">
      <w:pPr>
        <w:pStyle w:val="Default"/>
        <w:numPr>
          <w:ilvl w:val="0"/>
          <w:numId w:val="35"/>
        </w:numPr>
        <w:spacing w:before="100"/>
        <w:ind w:left="782" w:hanging="782"/>
        <w:jc w:val="both"/>
        <w:rPr>
          <w:noProof/>
          <w:sz w:val="19"/>
          <w:szCs w:val="19"/>
        </w:rPr>
      </w:pPr>
      <w:bookmarkStart w:id="184" w:name="_Ref35353523"/>
      <w:bookmarkStart w:id="185" w:name="_Ref10116595"/>
      <w:r w:rsidRPr="00155974">
        <w:rPr>
          <w:noProof/>
          <w:sz w:val="19"/>
          <w:szCs w:val="19"/>
        </w:rPr>
        <w:t xml:space="preserve">In </w:t>
      </w:r>
      <w:r w:rsidRPr="00155974">
        <w:rPr>
          <w:sz w:val="19"/>
          <w:szCs w:val="19"/>
        </w:rPr>
        <w:t>considering</w:t>
      </w:r>
      <w:r w:rsidRPr="00155974">
        <w:rPr>
          <w:noProof/>
          <w:sz w:val="19"/>
          <w:szCs w:val="19"/>
        </w:rPr>
        <w:t xml:space="preserve"> the R&amp;M differences between AASB 16 </w:t>
      </w:r>
      <w:r w:rsidRPr="00155974">
        <w:rPr>
          <w:i/>
          <w:iCs/>
          <w:noProof/>
          <w:sz w:val="19"/>
          <w:szCs w:val="19"/>
        </w:rPr>
        <w:t>Leases</w:t>
      </w:r>
      <w:r w:rsidRPr="00155974">
        <w:rPr>
          <w:noProof/>
          <w:sz w:val="19"/>
          <w:szCs w:val="19"/>
        </w:rPr>
        <w:t xml:space="preserve"> and Section 20 </w:t>
      </w:r>
      <w:r w:rsidRPr="00155974">
        <w:rPr>
          <w:i/>
          <w:iCs/>
          <w:noProof/>
          <w:sz w:val="19"/>
          <w:szCs w:val="19"/>
        </w:rPr>
        <w:t>Leases</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 the Board noted that the accounting for all leases held by lessees under AASB 16 is broadly similar to the the accounting for finance leases in the </w:t>
      </w:r>
      <w:r w:rsidRPr="00155974">
        <w:rPr>
          <w:i/>
          <w:iCs/>
          <w:noProof/>
          <w:sz w:val="19"/>
          <w:szCs w:val="19"/>
        </w:rPr>
        <w:t>IFRS for SMEs</w:t>
      </w:r>
      <w:r w:rsidRPr="00155974">
        <w:rPr>
          <w:noProof/>
          <w:sz w:val="19"/>
          <w:szCs w:val="19"/>
        </w:rPr>
        <w:t xml:space="preserve"> Standard. As a consequence, the Board considered that the disclosures for finance leases should be used as a basis, and only be adapted for different terminology used in AASB 16 (eg referring to variable lease payments instead of contingent rent).</w:t>
      </w:r>
      <w:bookmarkEnd w:id="184"/>
      <w:r w:rsidRPr="00155974">
        <w:rPr>
          <w:noProof/>
          <w:sz w:val="19"/>
          <w:szCs w:val="19"/>
        </w:rPr>
        <w:t xml:space="preserve"> </w:t>
      </w:r>
      <w:bookmarkEnd w:id="185"/>
    </w:p>
    <w:p w14:paraId="605F39B8" w14:textId="71400D04" w:rsidR="0088075B" w:rsidRPr="00155974" w:rsidRDefault="0088075B" w:rsidP="000E61D3">
      <w:pPr>
        <w:pStyle w:val="Default"/>
        <w:numPr>
          <w:ilvl w:val="0"/>
          <w:numId w:val="35"/>
        </w:numPr>
        <w:spacing w:before="100"/>
        <w:ind w:left="782" w:hanging="782"/>
        <w:jc w:val="both"/>
        <w:rPr>
          <w:noProof/>
          <w:sz w:val="19"/>
          <w:szCs w:val="19"/>
        </w:rPr>
      </w:pPr>
      <w:bookmarkStart w:id="186" w:name="_Ref35353534"/>
      <w:bookmarkStart w:id="187" w:name="_Ref10116597"/>
      <w:r w:rsidRPr="00155974">
        <w:rPr>
          <w:noProof/>
          <w:sz w:val="19"/>
          <w:szCs w:val="19"/>
        </w:rPr>
        <w:t xml:space="preserve">The Board also </w:t>
      </w:r>
      <w:r w:rsidRPr="00155974">
        <w:rPr>
          <w:sz w:val="19"/>
          <w:szCs w:val="19"/>
        </w:rPr>
        <w:t>decided</w:t>
      </w:r>
      <w:r w:rsidRPr="00155974">
        <w:rPr>
          <w:noProof/>
          <w:sz w:val="19"/>
          <w:szCs w:val="19"/>
        </w:rPr>
        <w:t xml:space="preserve"> in principle to adapt the current disclosures for operating leases to apply to short-term leases and leases of low value assets that have not been recognised as right-of-use assets per the exemption in paragraph 6 of AASB 16. However, the Board noted that the disclosures in the </w:t>
      </w:r>
      <w:r w:rsidRPr="00155974">
        <w:rPr>
          <w:i/>
          <w:iCs/>
          <w:noProof/>
          <w:sz w:val="19"/>
          <w:szCs w:val="19"/>
        </w:rPr>
        <w:t>IFRS for SMEs</w:t>
      </w:r>
      <w:r w:rsidRPr="00155974">
        <w:rPr>
          <w:noProof/>
          <w:sz w:val="19"/>
          <w:szCs w:val="19"/>
        </w:rPr>
        <w:t xml:space="preserve"> Standard about operating lease commitments are more extensive than what is required under paragraphs 55 and 60 of AASB 16. AASB 16 is a recent Standard that was finalised after the </w:t>
      </w:r>
      <w:r w:rsidRPr="00155974">
        <w:rPr>
          <w:i/>
          <w:iCs/>
          <w:noProof/>
          <w:sz w:val="19"/>
          <w:szCs w:val="19"/>
        </w:rPr>
        <w:t>IFRS for SMEs</w:t>
      </w:r>
      <w:r w:rsidRPr="00155974">
        <w:rPr>
          <w:noProof/>
          <w:sz w:val="19"/>
          <w:szCs w:val="19"/>
        </w:rPr>
        <w:t xml:space="preserve"> Standard was developed. As noted in paragraph </w:t>
      </w:r>
      <w:r w:rsidR="00D229F4" w:rsidRPr="00155974">
        <w:rPr>
          <w:noProof/>
          <w:sz w:val="19"/>
          <w:szCs w:val="19"/>
        </w:rPr>
        <w:fldChar w:fldCharType="begin"/>
      </w:r>
      <w:r w:rsidR="00D229F4" w:rsidRPr="00155974">
        <w:rPr>
          <w:noProof/>
          <w:sz w:val="19"/>
          <w:szCs w:val="19"/>
        </w:rPr>
        <w:instrText xml:space="preserve"> REF _Ref35355272 \r \h </w:instrText>
      </w:r>
      <w:r w:rsidR="00155974">
        <w:rPr>
          <w:noProof/>
          <w:sz w:val="19"/>
          <w:szCs w:val="19"/>
        </w:rPr>
        <w:instrText xml:space="preserve"> \* MERGEFORMAT </w:instrText>
      </w:r>
      <w:r w:rsidR="00D229F4" w:rsidRPr="00155974">
        <w:rPr>
          <w:noProof/>
          <w:sz w:val="19"/>
          <w:szCs w:val="19"/>
        </w:rPr>
      </w:r>
      <w:r w:rsidR="00D229F4" w:rsidRPr="00155974">
        <w:rPr>
          <w:noProof/>
          <w:sz w:val="19"/>
          <w:szCs w:val="19"/>
        </w:rPr>
        <w:fldChar w:fldCharType="separate"/>
      </w:r>
      <w:r w:rsidR="00454A6B">
        <w:rPr>
          <w:noProof/>
          <w:sz w:val="19"/>
          <w:szCs w:val="19"/>
        </w:rPr>
        <w:t>BC40</w:t>
      </w:r>
      <w:r w:rsidR="00D229F4" w:rsidRPr="00155974">
        <w:rPr>
          <w:noProof/>
          <w:sz w:val="19"/>
          <w:szCs w:val="19"/>
        </w:rPr>
        <w:fldChar w:fldCharType="end"/>
      </w:r>
      <w:r w:rsidRPr="00155974">
        <w:rPr>
          <w:noProof/>
          <w:sz w:val="19"/>
          <w:szCs w:val="19"/>
        </w:rPr>
        <w:t xml:space="preserve">, the Board considered that where the IASB has removed disclosures from full IFRS after the </w:t>
      </w:r>
      <w:r w:rsidRPr="00155974">
        <w:rPr>
          <w:i/>
          <w:iCs/>
          <w:noProof/>
          <w:sz w:val="19"/>
          <w:szCs w:val="19"/>
        </w:rPr>
        <w:t>IFRS for SMEs</w:t>
      </w:r>
      <w:r w:rsidRPr="00155974">
        <w:rPr>
          <w:noProof/>
          <w:sz w:val="19"/>
          <w:szCs w:val="19"/>
        </w:rPr>
        <w:t xml:space="preserve"> Standard was finalised, similar reductions in disclosures should also be carried over to the new Tier 2 Standard. Therefore, the Board decided to replace the disclosures in the </w:t>
      </w:r>
      <w:r w:rsidRPr="00155974">
        <w:rPr>
          <w:i/>
          <w:iCs/>
          <w:noProof/>
          <w:sz w:val="19"/>
          <w:szCs w:val="19"/>
        </w:rPr>
        <w:t>IFRS for SMEs</w:t>
      </w:r>
      <w:r w:rsidRPr="00155974">
        <w:rPr>
          <w:noProof/>
          <w:sz w:val="19"/>
          <w:szCs w:val="19"/>
        </w:rPr>
        <w:t xml:space="preserve"> Standard with the relevant disclosures from AASB 16.</w:t>
      </w:r>
      <w:bookmarkEnd w:id="186"/>
      <w:r w:rsidRPr="00155974">
        <w:rPr>
          <w:noProof/>
          <w:sz w:val="19"/>
          <w:szCs w:val="19"/>
        </w:rPr>
        <w:t xml:space="preserve"> </w:t>
      </w:r>
      <w:bookmarkEnd w:id="187"/>
    </w:p>
    <w:p w14:paraId="40363131"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In considering the R&amp;M differences between AASB 15 and Section 23 </w:t>
      </w:r>
      <w:r w:rsidRPr="00155974">
        <w:rPr>
          <w:i/>
          <w:iCs/>
          <w:noProof/>
          <w:sz w:val="19"/>
          <w:szCs w:val="19"/>
        </w:rPr>
        <w:t>Revenue</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 the Board noted that while the differences may affect the amount and timing of the revenue recognised, under both AASB 15 and Section 23, revenue is either recognised at a point in time or over time. On that basis, the Board decided to adapt the disclosures in the </w:t>
      </w:r>
      <w:r w:rsidRPr="00155974">
        <w:rPr>
          <w:i/>
          <w:iCs/>
          <w:sz w:val="19"/>
          <w:szCs w:val="19"/>
        </w:rPr>
        <w:t xml:space="preserve">IFRS for SMEs </w:t>
      </w:r>
      <w:r w:rsidRPr="00155974">
        <w:rPr>
          <w:noProof/>
          <w:sz w:val="19"/>
          <w:szCs w:val="19"/>
        </w:rPr>
        <w:t xml:space="preserve">Standard to reflect the different terminology used in AASB 15 but without adding unnecessary details. </w:t>
      </w:r>
      <w:r w:rsidRPr="00155974">
        <w:rPr>
          <w:noProof/>
          <w:color w:val="auto"/>
          <w:sz w:val="19"/>
          <w:szCs w:val="19"/>
        </w:rPr>
        <w:t xml:space="preserve">For example, the requirement to disclose specified categories of revenue has been replaced with a requirement to disaggregate revenue into categories that depict how the nature, amount, timing and uncertainty of revenue and cash flows are affected by economic factors. The reference to “methods used to determine the stage of completion” has been changed to “methods used to recognise revenue for performance obligations that are satisfied over time”. </w:t>
      </w:r>
    </w:p>
    <w:p w14:paraId="7A0A0D79"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In considering the difference between AASB 123 </w:t>
      </w:r>
      <w:r w:rsidRPr="00155974">
        <w:rPr>
          <w:i/>
          <w:iCs/>
          <w:sz w:val="19"/>
          <w:szCs w:val="19"/>
        </w:rPr>
        <w:t xml:space="preserve">Borrowing Costs </w:t>
      </w:r>
      <w:r w:rsidRPr="00155974">
        <w:rPr>
          <w:sz w:val="19"/>
          <w:szCs w:val="19"/>
        </w:rPr>
        <w:t xml:space="preserve">and Section 25 </w:t>
      </w:r>
      <w:r w:rsidRPr="00155974">
        <w:rPr>
          <w:i/>
          <w:iCs/>
          <w:sz w:val="19"/>
          <w:szCs w:val="19"/>
        </w:rPr>
        <w:t>Borrowing Costs</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w:t>
      </w:r>
      <w:r w:rsidRPr="00155974">
        <w:rPr>
          <w:sz w:val="19"/>
          <w:szCs w:val="19"/>
        </w:rPr>
        <w:t xml:space="preserve">, the Board noted that the </w:t>
      </w:r>
      <w:r w:rsidRPr="00155974">
        <w:rPr>
          <w:i/>
          <w:iCs/>
          <w:sz w:val="19"/>
          <w:szCs w:val="19"/>
        </w:rPr>
        <w:t>IFRS for SMEs</w:t>
      </w:r>
      <w:r w:rsidRPr="00155974">
        <w:rPr>
          <w:sz w:val="19"/>
          <w:szCs w:val="19"/>
        </w:rPr>
        <w:t xml:space="preserve"> Standard does not permit the capitalisation of borrowing costs and therefore does not require any additional disclosures. As this is an R&amp;M difference, the Board decided to require disclosure of the amount of capitalised borrowing costs on the grounds that total interest is an important element for a user to understand liquidity and solvency of an entity, and that information about these amounts capitalised would therefore be relevant. The Board further considered that the benefits of this disclosure would exceed the cost, noting that it is was also required for RDR entities. </w:t>
      </w:r>
    </w:p>
    <w:p w14:paraId="6EB3D1A4" w14:textId="77777777" w:rsidR="0088075B" w:rsidRPr="00155974" w:rsidRDefault="0088075B" w:rsidP="000E61D3">
      <w:pPr>
        <w:pStyle w:val="Default"/>
        <w:numPr>
          <w:ilvl w:val="0"/>
          <w:numId w:val="35"/>
        </w:numPr>
        <w:spacing w:before="100"/>
        <w:ind w:left="782" w:hanging="782"/>
        <w:jc w:val="both"/>
        <w:rPr>
          <w:noProof/>
          <w:sz w:val="19"/>
          <w:szCs w:val="19"/>
        </w:rPr>
      </w:pPr>
      <w:bookmarkStart w:id="188" w:name="_Ref10116609"/>
      <w:r w:rsidRPr="00155974">
        <w:rPr>
          <w:sz w:val="19"/>
          <w:szCs w:val="19"/>
        </w:rPr>
        <w:t xml:space="preserve">Based on the principle to avoid differences to the </w:t>
      </w:r>
      <w:r w:rsidRPr="00155974">
        <w:rPr>
          <w:i/>
          <w:iCs/>
          <w:sz w:val="19"/>
          <w:szCs w:val="19"/>
        </w:rPr>
        <w:t>IFRS for SMEs</w:t>
      </w:r>
      <w:r w:rsidRPr="00155974">
        <w:rPr>
          <w:sz w:val="19"/>
          <w:szCs w:val="19"/>
        </w:rPr>
        <w:t xml:space="preserve"> Standard as far as possible, the Board decided to retain certain disclosures even though they were not required for RDR entities. These include:</w:t>
      </w:r>
      <w:bookmarkEnd w:id="188"/>
    </w:p>
    <w:p w14:paraId="7E28999F" w14:textId="63986A53" w:rsidR="007D2996" w:rsidRPr="00155974" w:rsidRDefault="0088075B" w:rsidP="000E61D3">
      <w:pPr>
        <w:pStyle w:val="NumPlain2"/>
        <w:numPr>
          <w:ilvl w:val="1"/>
          <w:numId w:val="48"/>
        </w:numPr>
        <w:ind w:left="1564" w:hanging="782"/>
      </w:pPr>
      <w:r w:rsidRPr="00155974">
        <w:t xml:space="preserve">in relation to the section covering </w:t>
      </w:r>
      <w:r w:rsidRPr="00155974">
        <w:rPr>
          <w:iCs/>
        </w:rPr>
        <w:t>employee benefits</w:t>
      </w:r>
      <w:r w:rsidRPr="00155974">
        <w:rPr>
          <w:i/>
        </w:rPr>
        <w:t xml:space="preserve">, </w:t>
      </w:r>
      <w:r w:rsidRPr="00155974">
        <w:rPr>
          <w:noProof/>
        </w:rPr>
        <w:t>disclosures</w:t>
      </w:r>
      <w:r w:rsidRPr="00155974">
        <w:t xml:space="preserve"> about termination benefits which are over and above what is required under full IFRS/AAS (paragraphs </w:t>
      </w:r>
      <w:r w:rsidR="00482298" w:rsidRPr="00155974">
        <w:fldChar w:fldCharType="begin"/>
      </w:r>
      <w:r w:rsidR="00482298" w:rsidRPr="00155974">
        <w:instrText xml:space="preserve"> REF _Ref35359933 \r \h </w:instrText>
      </w:r>
      <w:r w:rsidR="00155974">
        <w:instrText xml:space="preserve"> \* MERGEFORMAT </w:instrText>
      </w:r>
      <w:r w:rsidR="00482298" w:rsidRPr="00155974">
        <w:fldChar w:fldCharType="separate"/>
      </w:r>
      <w:r w:rsidR="00454A6B">
        <w:t>173</w:t>
      </w:r>
      <w:r w:rsidR="00482298" w:rsidRPr="00155974">
        <w:fldChar w:fldCharType="end"/>
      </w:r>
      <w:r w:rsidRPr="00155974">
        <w:t xml:space="preserve">(d),(g), </w:t>
      </w:r>
      <w:r w:rsidR="003533BB" w:rsidRPr="00155974">
        <w:fldChar w:fldCharType="begin"/>
      </w:r>
      <w:r w:rsidR="003533BB" w:rsidRPr="00155974">
        <w:instrText xml:space="preserve"> REF _Ref35359945 \r \h </w:instrText>
      </w:r>
      <w:r w:rsidR="00155974">
        <w:instrText xml:space="preserve"> \* MERGEFORMAT </w:instrText>
      </w:r>
      <w:r w:rsidR="003533BB" w:rsidRPr="00155974">
        <w:fldChar w:fldCharType="separate"/>
      </w:r>
      <w:r w:rsidR="00454A6B">
        <w:t>174</w:t>
      </w:r>
      <w:r w:rsidR="003533BB" w:rsidRPr="00155974">
        <w:fldChar w:fldCharType="end"/>
      </w:r>
      <w:r w:rsidRPr="00155974">
        <w:t>-</w:t>
      </w:r>
      <w:r w:rsidR="003533BB" w:rsidRPr="00155974">
        <w:fldChar w:fldCharType="begin"/>
      </w:r>
      <w:r w:rsidR="003533BB" w:rsidRPr="00155974">
        <w:instrText xml:space="preserve"> REF _Ref35359959 \r \h </w:instrText>
      </w:r>
      <w:r w:rsidR="00155974">
        <w:instrText xml:space="preserve"> \* MERGEFORMAT </w:instrText>
      </w:r>
      <w:r w:rsidR="003533BB" w:rsidRPr="00155974">
        <w:fldChar w:fldCharType="separate"/>
      </w:r>
      <w:r w:rsidR="00454A6B">
        <w:t>175</w:t>
      </w:r>
      <w:r w:rsidR="003533BB" w:rsidRPr="00155974">
        <w:fldChar w:fldCharType="end"/>
      </w:r>
      <w:r w:rsidRPr="00155974">
        <w:t>);</w:t>
      </w:r>
    </w:p>
    <w:p w14:paraId="75A52216" w14:textId="0B3F7ED9" w:rsidR="007D2996" w:rsidRPr="00155974" w:rsidRDefault="0088075B" w:rsidP="000E61D3">
      <w:pPr>
        <w:pStyle w:val="NumPlain2"/>
        <w:numPr>
          <w:ilvl w:val="1"/>
          <w:numId w:val="48"/>
        </w:numPr>
        <w:ind w:left="1564" w:hanging="782"/>
      </w:pPr>
      <w:r w:rsidRPr="00155974">
        <w:t xml:space="preserve">disclosures about the entity’s domicile and other general information (paragraph </w:t>
      </w:r>
      <w:r w:rsidR="00061A03" w:rsidRPr="00155974">
        <w:fldChar w:fldCharType="begin"/>
      </w:r>
      <w:r w:rsidR="00061A03" w:rsidRPr="00155974">
        <w:instrText xml:space="preserve"> REF _Ref35360009 \r \h </w:instrText>
      </w:r>
      <w:r w:rsidR="00155974">
        <w:instrText xml:space="preserve"> \* MERGEFORMAT </w:instrText>
      </w:r>
      <w:r w:rsidR="00061A03" w:rsidRPr="00155974">
        <w:fldChar w:fldCharType="separate"/>
      </w:r>
      <w:r w:rsidR="00454A6B">
        <w:t>32</w:t>
      </w:r>
      <w:r w:rsidR="00061A03" w:rsidRPr="00155974">
        <w:fldChar w:fldCharType="end"/>
      </w:r>
      <w:r w:rsidRPr="00155974">
        <w:t xml:space="preserve">), the qualitative factors that make up goodwill (paragraph </w:t>
      </w:r>
      <w:r w:rsidR="006E1287" w:rsidRPr="00155974">
        <w:fldChar w:fldCharType="begin"/>
      </w:r>
      <w:r w:rsidR="006E1287" w:rsidRPr="00155974">
        <w:instrText xml:space="preserve"> REF _Ref35360044 \r \h </w:instrText>
      </w:r>
      <w:r w:rsidR="00155974">
        <w:instrText xml:space="preserve"> \* MERGEFORMAT </w:instrText>
      </w:r>
      <w:r w:rsidR="006E1287" w:rsidRPr="00155974">
        <w:fldChar w:fldCharType="separate"/>
      </w:r>
      <w:r w:rsidR="00454A6B">
        <w:t>142</w:t>
      </w:r>
      <w:r w:rsidR="006E1287" w:rsidRPr="00155974">
        <w:fldChar w:fldCharType="end"/>
      </w:r>
      <w:r w:rsidRPr="00155974">
        <w:t xml:space="preserve">(g)), adjusting events that occurred after the end of the reporting period (paragraph </w:t>
      </w:r>
      <w:r w:rsidR="00BD0FBD" w:rsidRPr="00155974">
        <w:fldChar w:fldCharType="begin"/>
      </w:r>
      <w:r w:rsidR="00BD0FBD" w:rsidRPr="00155974">
        <w:instrText xml:space="preserve"> REF _Ref35360068 \r \h </w:instrText>
      </w:r>
      <w:r w:rsidR="00155974">
        <w:instrText xml:space="preserve"> \* MERGEFORMAT </w:instrText>
      </w:r>
      <w:r w:rsidR="00BD0FBD" w:rsidRPr="00155974">
        <w:fldChar w:fldCharType="separate"/>
      </w:r>
      <w:r w:rsidR="00454A6B">
        <w:t>185</w:t>
      </w:r>
      <w:r w:rsidR="00BD0FBD" w:rsidRPr="00155974">
        <w:fldChar w:fldCharType="end"/>
      </w:r>
      <w:r w:rsidRPr="00155974">
        <w:t xml:space="preserve">) and parent-subsidiary relationships where an entity applies the exemption from providing related party disclosures for government-related entities (paragraph </w:t>
      </w:r>
      <w:r w:rsidR="00C330DA" w:rsidRPr="00155974">
        <w:fldChar w:fldCharType="begin"/>
      </w:r>
      <w:r w:rsidR="00C330DA" w:rsidRPr="00155974">
        <w:instrText xml:space="preserve"> REF _Ref35360097 \r \h </w:instrText>
      </w:r>
      <w:r w:rsidR="00155974">
        <w:instrText xml:space="preserve"> \* MERGEFORMAT </w:instrText>
      </w:r>
      <w:r w:rsidR="00C330DA" w:rsidRPr="00155974">
        <w:fldChar w:fldCharType="separate"/>
      </w:r>
      <w:r w:rsidR="00454A6B">
        <w:t>200</w:t>
      </w:r>
      <w:r w:rsidR="00C330DA" w:rsidRPr="00155974">
        <w:fldChar w:fldCharType="end"/>
      </w:r>
      <w:r w:rsidRPr="00155974">
        <w:t>);</w:t>
      </w:r>
    </w:p>
    <w:p w14:paraId="5979FF95" w14:textId="097C28A2" w:rsidR="007D2996" w:rsidRPr="00155974" w:rsidRDefault="0088075B" w:rsidP="000E61D3">
      <w:pPr>
        <w:pStyle w:val="NumPlain2"/>
        <w:numPr>
          <w:ilvl w:val="1"/>
          <w:numId w:val="48"/>
        </w:numPr>
        <w:ind w:left="1564" w:hanging="782"/>
        <w:rPr>
          <w:noProof/>
        </w:rPr>
      </w:pPr>
      <w:r w:rsidRPr="00155974">
        <w:t xml:space="preserve">disclosures about hedging (paragraphs </w:t>
      </w:r>
      <w:r w:rsidR="00293A95" w:rsidRPr="00155974">
        <w:fldChar w:fldCharType="begin"/>
      </w:r>
      <w:r w:rsidR="00293A95" w:rsidRPr="00155974">
        <w:instrText xml:space="preserve"> REF _Ref35360133 \r \h </w:instrText>
      </w:r>
      <w:r w:rsidR="00155974">
        <w:instrText xml:space="preserve"> \* MERGEFORMAT </w:instrText>
      </w:r>
      <w:r w:rsidR="00293A95" w:rsidRPr="00155974">
        <w:fldChar w:fldCharType="separate"/>
      </w:r>
      <w:r w:rsidR="00454A6B">
        <w:t>121</w:t>
      </w:r>
      <w:r w:rsidR="00293A95" w:rsidRPr="00155974">
        <w:fldChar w:fldCharType="end"/>
      </w:r>
      <w:r w:rsidRPr="00155974">
        <w:t xml:space="preserve"> and </w:t>
      </w:r>
      <w:r w:rsidR="00293A95" w:rsidRPr="00155974">
        <w:fldChar w:fldCharType="begin"/>
      </w:r>
      <w:r w:rsidR="00293A95" w:rsidRPr="00155974">
        <w:instrText xml:space="preserve"> REF _Ref34651264 \r \h </w:instrText>
      </w:r>
      <w:r w:rsidR="00155974">
        <w:instrText xml:space="preserve"> \* MERGEFORMAT </w:instrText>
      </w:r>
      <w:r w:rsidR="00293A95" w:rsidRPr="00155974">
        <w:fldChar w:fldCharType="separate"/>
      </w:r>
      <w:r w:rsidR="00454A6B">
        <w:t>122</w:t>
      </w:r>
      <w:r w:rsidR="00293A95" w:rsidRPr="00155974">
        <w:fldChar w:fldCharType="end"/>
      </w:r>
      <w:r w:rsidRPr="00155974">
        <w:t xml:space="preserve">), investments in associates (paragraph </w:t>
      </w:r>
      <w:r w:rsidR="00D8676E" w:rsidRPr="00155974">
        <w:fldChar w:fldCharType="begin"/>
      </w:r>
      <w:r w:rsidR="00D8676E" w:rsidRPr="00155974">
        <w:instrText xml:space="preserve"> REF _Ref35360164 \r \h </w:instrText>
      </w:r>
      <w:r w:rsidR="00155974">
        <w:instrText xml:space="preserve"> \* MERGEFORMAT </w:instrText>
      </w:r>
      <w:r w:rsidR="00D8676E" w:rsidRPr="00155974">
        <w:fldChar w:fldCharType="separate"/>
      </w:r>
      <w:r w:rsidR="00454A6B">
        <w:t>126</w:t>
      </w:r>
      <w:r w:rsidR="00D8676E" w:rsidRPr="00155974">
        <w:fldChar w:fldCharType="end"/>
      </w:r>
      <w:r w:rsidRPr="00155974">
        <w:t xml:space="preserve">) and leasing (paragraphs </w:t>
      </w:r>
      <w:r w:rsidR="007673C7" w:rsidRPr="00155974">
        <w:fldChar w:fldCharType="begin"/>
      </w:r>
      <w:r w:rsidR="007673C7" w:rsidRPr="00155974">
        <w:instrText xml:space="preserve"> REF _Ref34656716 \r \h </w:instrText>
      </w:r>
      <w:r w:rsidR="00155974">
        <w:instrText xml:space="preserve"> \* MERGEFORMAT </w:instrText>
      </w:r>
      <w:r w:rsidR="007673C7" w:rsidRPr="00155974">
        <w:fldChar w:fldCharType="separate"/>
      </w:r>
      <w:r w:rsidR="00454A6B">
        <w:t>144</w:t>
      </w:r>
      <w:r w:rsidR="007673C7" w:rsidRPr="00155974">
        <w:fldChar w:fldCharType="end"/>
      </w:r>
      <w:r w:rsidRPr="00155974">
        <w:t xml:space="preserve">(b), </w:t>
      </w:r>
      <w:r w:rsidR="001862D1" w:rsidRPr="00155974">
        <w:fldChar w:fldCharType="begin"/>
      </w:r>
      <w:r w:rsidR="001862D1" w:rsidRPr="00155974">
        <w:instrText xml:space="preserve"> REF _Ref35360205 \r \h </w:instrText>
      </w:r>
      <w:r w:rsidR="00155974">
        <w:instrText xml:space="preserve"> \* MERGEFORMAT </w:instrText>
      </w:r>
      <w:r w:rsidR="001862D1" w:rsidRPr="00155974">
        <w:fldChar w:fldCharType="separate"/>
      </w:r>
      <w:r w:rsidR="00454A6B">
        <w:t>147</w:t>
      </w:r>
      <w:r w:rsidR="001862D1" w:rsidRPr="00155974">
        <w:fldChar w:fldCharType="end"/>
      </w:r>
      <w:r w:rsidRPr="00155974">
        <w:t xml:space="preserve">(d) and </w:t>
      </w:r>
      <w:r w:rsidR="006C1DC3" w:rsidRPr="00155974">
        <w:fldChar w:fldCharType="begin"/>
      </w:r>
      <w:r w:rsidR="006C1DC3" w:rsidRPr="00155974">
        <w:instrText xml:space="preserve"> REF _Ref35360225 \r \h </w:instrText>
      </w:r>
      <w:r w:rsidR="00155974">
        <w:instrText xml:space="preserve"> \* MERGEFORMAT </w:instrText>
      </w:r>
      <w:r w:rsidR="006C1DC3" w:rsidRPr="00155974">
        <w:fldChar w:fldCharType="separate"/>
      </w:r>
      <w:r w:rsidR="00454A6B">
        <w:t>148</w:t>
      </w:r>
      <w:r w:rsidR="006C1DC3" w:rsidRPr="00155974">
        <w:fldChar w:fldCharType="end"/>
      </w:r>
      <w:r w:rsidRPr="00155974">
        <w:t xml:space="preserve">(b)) where some disclosures were added but many others removed as a result of applying the principles in paragraph </w:t>
      </w:r>
      <w:r w:rsidRPr="00155974">
        <w:fldChar w:fldCharType="begin"/>
      </w:r>
      <w:r w:rsidRPr="00155974">
        <w:instrText xml:space="preserve"> REF _Ref8992108 \r \h  \* MERGEFORMAT </w:instrText>
      </w:r>
      <w:r w:rsidRPr="00155974">
        <w:fldChar w:fldCharType="separate"/>
      </w:r>
      <w:r w:rsidR="00454A6B">
        <w:t>BC41</w:t>
      </w:r>
      <w:r w:rsidRPr="00155974">
        <w:fldChar w:fldCharType="end"/>
      </w:r>
      <w:r w:rsidRPr="00155974">
        <w:t>; and</w:t>
      </w:r>
    </w:p>
    <w:p w14:paraId="54734C33" w14:textId="30439615" w:rsidR="0088075B" w:rsidRPr="00155974" w:rsidRDefault="0088075B" w:rsidP="000E61D3">
      <w:pPr>
        <w:pStyle w:val="NumPlain2"/>
        <w:numPr>
          <w:ilvl w:val="1"/>
          <w:numId w:val="48"/>
        </w:numPr>
        <w:ind w:left="1564" w:hanging="782"/>
        <w:rPr>
          <w:noProof/>
        </w:rPr>
      </w:pPr>
      <w:r w:rsidRPr="00155974">
        <w:rPr>
          <w:noProof/>
        </w:rPr>
        <w:t xml:space="preserve">a number of disclosures in relation to the section covering </w:t>
      </w:r>
      <w:r w:rsidRPr="007D2996">
        <w:rPr>
          <w:iCs/>
          <w:noProof/>
        </w:rPr>
        <w:t>transition to Australian Accounting Standards – Simplified Disclosures</w:t>
      </w:r>
      <w:r w:rsidRPr="007D2996">
        <w:rPr>
          <w:i/>
          <w:noProof/>
        </w:rPr>
        <w:t xml:space="preserve"> </w:t>
      </w:r>
      <w:r w:rsidRPr="00155974">
        <w:rPr>
          <w:noProof/>
        </w:rPr>
        <w:t xml:space="preserve">– see paragraph </w:t>
      </w:r>
      <w:r w:rsidRPr="00155974">
        <w:rPr>
          <w:noProof/>
        </w:rPr>
        <w:fldChar w:fldCharType="begin"/>
      </w:r>
      <w:r w:rsidRPr="00155974">
        <w:rPr>
          <w:noProof/>
        </w:rPr>
        <w:instrText xml:space="preserve"> REF _Ref8739813 \r \h </w:instrText>
      </w:r>
      <w:r w:rsidR="00155974">
        <w:rPr>
          <w:noProof/>
        </w:rPr>
        <w:instrText xml:space="preserve"> \* MERGEFORMAT </w:instrText>
      </w:r>
      <w:r w:rsidRPr="00155974">
        <w:rPr>
          <w:noProof/>
        </w:rPr>
      </w:r>
      <w:r w:rsidRPr="00155974">
        <w:rPr>
          <w:noProof/>
        </w:rPr>
        <w:fldChar w:fldCharType="separate"/>
      </w:r>
      <w:r w:rsidR="00454A6B">
        <w:rPr>
          <w:noProof/>
        </w:rPr>
        <w:t>BC100</w:t>
      </w:r>
      <w:r w:rsidRPr="00155974">
        <w:rPr>
          <w:noProof/>
        </w:rPr>
        <w:fldChar w:fldCharType="end"/>
      </w:r>
      <w:r w:rsidRPr="00155974">
        <w:rPr>
          <w:noProof/>
        </w:rPr>
        <w:t xml:space="preserve"> for details. </w:t>
      </w:r>
    </w:p>
    <w:p w14:paraId="663F151F" w14:textId="0571AC71" w:rsidR="0088075B" w:rsidRPr="00155974" w:rsidRDefault="0088075B" w:rsidP="000E61D3">
      <w:pPr>
        <w:pStyle w:val="Default"/>
        <w:numPr>
          <w:ilvl w:val="0"/>
          <w:numId w:val="35"/>
        </w:numPr>
        <w:spacing w:before="100"/>
        <w:ind w:left="782" w:hanging="782"/>
        <w:jc w:val="both"/>
        <w:rPr>
          <w:noProof/>
          <w:sz w:val="19"/>
          <w:szCs w:val="19"/>
        </w:rPr>
      </w:pPr>
      <w:bookmarkStart w:id="189" w:name="_Ref35353573"/>
      <w:bookmarkStart w:id="190" w:name="_Ref8739635"/>
      <w:r w:rsidRPr="00155974">
        <w:rPr>
          <w:noProof/>
          <w:sz w:val="19"/>
          <w:szCs w:val="19"/>
        </w:rPr>
        <w:lastRenderedPageBreak/>
        <w:t xml:space="preserve">While acknowledging stakeholders concerns about the potential increase in disclosures, the Board noted that the small increases will be more than offset with the reduction in disclosures in other areas. On this basis, the Board agreed to retain the disclosures from </w:t>
      </w:r>
      <w:r w:rsidRPr="00155974">
        <w:rPr>
          <w:i/>
          <w:iCs/>
          <w:sz w:val="19"/>
          <w:szCs w:val="19"/>
        </w:rPr>
        <w:t>IFRS for SMEs</w:t>
      </w:r>
      <w:r w:rsidRPr="00155974">
        <w:rPr>
          <w:noProof/>
          <w:sz w:val="19"/>
          <w:szCs w:val="19"/>
        </w:rPr>
        <w:t xml:space="preserve"> Standard, which have been demonstrated to be appropriate for small and medium sized entities without public accountability. However, consistent with the principles in paragraph </w:t>
      </w:r>
      <w:r w:rsidR="00E4635E" w:rsidRPr="00155974">
        <w:rPr>
          <w:sz w:val="19"/>
          <w:szCs w:val="19"/>
        </w:rPr>
        <w:fldChar w:fldCharType="begin"/>
      </w:r>
      <w:r w:rsidR="00E4635E" w:rsidRPr="00155974">
        <w:rPr>
          <w:noProof/>
          <w:sz w:val="19"/>
          <w:szCs w:val="19"/>
        </w:rPr>
        <w:instrText xml:space="preserve"> REF _Ref35355272 \r \h </w:instrText>
      </w:r>
      <w:r w:rsidR="00155974">
        <w:rPr>
          <w:sz w:val="19"/>
          <w:szCs w:val="19"/>
        </w:rPr>
        <w:instrText xml:space="preserve"> \* MERGEFORMAT </w:instrText>
      </w:r>
      <w:r w:rsidR="00E4635E" w:rsidRPr="00155974">
        <w:rPr>
          <w:sz w:val="19"/>
          <w:szCs w:val="19"/>
        </w:rPr>
      </w:r>
      <w:r w:rsidR="00E4635E" w:rsidRPr="00155974">
        <w:rPr>
          <w:sz w:val="19"/>
          <w:szCs w:val="19"/>
        </w:rPr>
        <w:fldChar w:fldCharType="separate"/>
      </w:r>
      <w:r w:rsidR="00454A6B">
        <w:rPr>
          <w:noProof/>
          <w:sz w:val="19"/>
          <w:szCs w:val="19"/>
        </w:rPr>
        <w:t>BC40</w:t>
      </w:r>
      <w:r w:rsidR="00E4635E" w:rsidRPr="00155974">
        <w:rPr>
          <w:sz w:val="19"/>
          <w:szCs w:val="19"/>
        </w:rPr>
        <w:fldChar w:fldCharType="end"/>
      </w:r>
      <w:r w:rsidRPr="00155974">
        <w:rPr>
          <w:noProof/>
          <w:sz w:val="19"/>
          <w:szCs w:val="19"/>
        </w:rPr>
        <w:t xml:space="preserve">, the Board agreed to remove disclosures about specific components of capitalised defined benefit cost, group plans and other long-term benefits from the disclosures proposed in ED 295 as these disclosures had been included in full IFRS when the </w:t>
      </w:r>
      <w:r w:rsidRPr="00155974">
        <w:rPr>
          <w:i/>
          <w:iCs/>
          <w:noProof/>
          <w:sz w:val="19"/>
          <w:szCs w:val="19"/>
        </w:rPr>
        <w:t>IFRS for SMEs</w:t>
      </w:r>
      <w:r w:rsidRPr="00155974">
        <w:rPr>
          <w:noProof/>
          <w:sz w:val="19"/>
          <w:szCs w:val="19"/>
        </w:rPr>
        <w:t xml:space="preserve"> Standard was first issued, but had since been removed from full IFRS.</w:t>
      </w:r>
      <w:bookmarkEnd w:id="189"/>
      <w:r w:rsidRPr="00155974">
        <w:rPr>
          <w:noProof/>
          <w:sz w:val="19"/>
          <w:szCs w:val="19"/>
        </w:rPr>
        <w:t xml:space="preserve"> </w:t>
      </w:r>
    </w:p>
    <w:p w14:paraId="1D1A22E0" w14:textId="532D19FD"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In relation to the adjusting events after the end of the reporting period, the Board noted that </w:t>
      </w:r>
      <w:r w:rsidRPr="00155974">
        <w:rPr>
          <w:sz w:val="19"/>
          <w:szCs w:val="19"/>
        </w:rPr>
        <w:t xml:space="preserve">paragraph </w:t>
      </w:r>
      <w:r w:rsidR="00746C9F" w:rsidRPr="00155974">
        <w:rPr>
          <w:noProof/>
          <w:sz w:val="19"/>
          <w:szCs w:val="19"/>
        </w:rPr>
        <w:fldChar w:fldCharType="begin"/>
      </w:r>
      <w:r w:rsidR="00746C9F" w:rsidRPr="00155974">
        <w:rPr>
          <w:sz w:val="19"/>
          <w:szCs w:val="19"/>
        </w:rPr>
        <w:instrText xml:space="preserve"> REF _Ref35360068 \r \h </w:instrText>
      </w:r>
      <w:r w:rsidR="00155974">
        <w:rPr>
          <w:noProof/>
          <w:sz w:val="19"/>
          <w:szCs w:val="19"/>
        </w:rPr>
        <w:instrText xml:space="preserve"> \* MERGEFORMAT </w:instrText>
      </w:r>
      <w:r w:rsidR="00746C9F" w:rsidRPr="00155974">
        <w:rPr>
          <w:noProof/>
          <w:sz w:val="19"/>
          <w:szCs w:val="19"/>
        </w:rPr>
      </w:r>
      <w:r w:rsidR="00746C9F" w:rsidRPr="00155974">
        <w:rPr>
          <w:noProof/>
          <w:sz w:val="19"/>
          <w:szCs w:val="19"/>
        </w:rPr>
        <w:fldChar w:fldCharType="separate"/>
      </w:r>
      <w:r w:rsidR="00454A6B">
        <w:rPr>
          <w:sz w:val="19"/>
          <w:szCs w:val="19"/>
        </w:rPr>
        <w:t>185</w:t>
      </w:r>
      <w:r w:rsidR="00746C9F" w:rsidRPr="00155974">
        <w:rPr>
          <w:noProof/>
          <w:sz w:val="19"/>
          <w:szCs w:val="19"/>
        </w:rPr>
        <w:fldChar w:fldCharType="end"/>
      </w:r>
      <w:r w:rsidRPr="00155974">
        <w:rPr>
          <w:noProof/>
          <w:sz w:val="19"/>
          <w:szCs w:val="19"/>
        </w:rPr>
        <w:t xml:space="preserve"> specifically refers to an update of ‘related disclosures’, which is different to the equivelant requirements in AASB 110 </w:t>
      </w:r>
      <w:r w:rsidRPr="00155974">
        <w:rPr>
          <w:i/>
          <w:iCs/>
          <w:noProof/>
          <w:sz w:val="19"/>
          <w:szCs w:val="19"/>
        </w:rPr>
        <w:t>Events after the Reporting Period</w:t>
      </w:r>
      <w:r w:rsidRPr="00155974">
        <w:rPr>
          <w:noProof/>
          <w:sz w:val="19"/>
          <w:szCs w:val="19"/>
        </w:rPr>
        <w:t>,</w:t>
      </w:r>
      <w:r w:rsidRPr="00155974">
        <w:rPr>
          <w:i/>
          <w:iCs/>
          <w:noProof/>
          <w:sz w:val="19"/>
          <w:szCs w:val="19"/>
        </w:rPr>
        <w:t xml:space="preserve"> </w:t>
      </w:r>
      <w:r w:rsidRPr="00155974">
        <w:rPr>
          <w:noProof/>
          <w:sz w:val="19"/>
          <w:szCs w:val="19"/>
        </w:rPr>
        <w:t xml:space="preserve">where paragraph 8 requires the adjustment of amounts recognised in the financial statements and paragraphs 19 and 20 deal with disclosure-related adjustments. While RDR entities were not required to comply with paragraphs 19 and 20 of AASB 110, the Board noted that </w:t>
      </w:r>
      <w:r w:rsidRPr="00155974">
        <w:rPr>
          <w:sz w:val="19"/>
          <w:szCs w:val="19"/>
        </w:rPr>
        <w:t xml:space="preserve">paragraph </w:t>
      </w:r>
      <w:r w:rsidR="00FD6C0B" w:rsidRPr="00155974">
        <w:rPr>
          <w:noProof/>
          <w:sz w:val="19"/>
          <w:szCs w:val="19"/>
        </w:rPr>
        <w:fldChar w:fldCharType="begin"/>
      </w:r>
      <w:r w:rsidR="00FD6C0B" w:rsidRPr="00155974">
        <w:rPr>
          <w:sz w:val="19"/>
          <w:szCs w:val="19"/>
        </w:rPr>
        <w:instrText xml:space="preserve"> REF _Ref35360068 \r \h </w:instrText>
      </w:r>
      <w:r w:rsidR="00155974">
        <w:rPr>
          <w:noProof/>
          <w:sz w:val="19"/>
          <w:szCs w:val="19"/>
        </w:rPr>
        <w:instrText xml:space="preserve"> \* MERGEFORMAT </w:instrText>
      </w:r>
      <w:r w:rsidR="00FD6C0B" w:rsidRPr="00155974">
        <w:rPr>
          <w:noProof/>
          <w:sz w:val="19"/>
          <w:szCs w:val="19"/>
        </w:rPr>
      </w:r>
      <w:r w:rsidR="00FD6C0B" w:rsidRPr="00155974">
        <w:rPr>
          <w:noProof/>
          <w:sz w:val="19"/>
          <w:szCs w:val="19"/>
        </w:rPr>
        <w:fldChar w:fldCharType="separate"/>
      </w:r>
      <w:r w:rsidR="00454A6B">
        <w:rPr>
          <w:sz w:val="19"/>
          <w:szCs w:val="19"/>
        </w:rPr>
        <w:t>185</w:t>
      </w:r>
      <w:r w:rsidR="00FD6C0B" w:rsidRPr="00155974">
        <w:rPr>
          <w:noProof/>
          <w:sz w:val="19"/>
          <w:szCs w:val="19"/>
        </w:rPr>
        <w:fldChar w:fldCharType="end"/>
      </w:r>
      <w:r w:rsidRPr="00155974">
        <w:rPr>
          <w:noProof/>
          <w:sz w:val="19"/>
          <w:szCs w:val="19"/>
        </w:rPr>
        <w:t xml:space="preserve"> refers only to disclosures that relate to amounts recognised in the financial statements and is therefore narrower than the requirements in paragraphs 19 and 20 of AASB 110. On that basis, the Board did not consider the requirements to be particularly onerous and decided to retain them consistent with the principle of consistency with the </w:t>
      </w:r>
      <w:r w:rsidRPr="00155974">
        <w:rPr>
          <w:i/>
          <w:iCs/>
          <w:sz w:val="19"/>
          <w:szCs w:val="19"/>
        </w:rPr>
        <w:t>IFRS for SMEs</w:t>
      </w:r>
      <w:r w:rsidRPr="00155974">
        <w:rPr>
          <w:noProof/>
          <w:sz w:val="19"/>
          <w:szCs w:val="19"/>
        </w:rPr>
        <w:t xml:space="preserve"> Standard.  </w:t>
      </w:r>
    </w:p>
    <w:p w14:paraId="0EB8B256"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noProof/>
          <w:sz w:val="19"/>
          <w:szCs w:val="19"/>
        </w:rPr>
        <w:t xml:space="preserve">In considering differences between AASB 138 </w:t>
      </w:r>
      <w:r w:rsidRPr="00155974">
        <w:rPr>
          <w:i/>
          <w:iCs/>
          <w:noProof/>
          <w:sz w:val="19"/>
          <w:szCs w:val="19"/>
        </w:rPr>
        <w:t>Intangible Assets</w:t>
      </w:r>
      <w:r w:rsidRPr="00155974">
        <w:rPr>
          <w:noProof/>
          <w:sz w:val="19"/>
          <w:szCs w:val="19"/>
        </w:rPr>
        <w:t xml:space="preserve"> and Section 18 </w:t>
      </w:r>
      <w:r w:rsidRPr="00155974">
        <w:rPr>
          <w:i/>
          <w:iCs/>
          <w:noProof/>
          <w:sz w:val="19"/>
          <w:szCs w:val="19"/>
        </w:rPr>
        <w:t xml:space="preserve">Intangible Assets other than </w:t>
      </w:r>
      <w:r w:rsidRPr="00155974">
        <w:rPr>
          <w:i/>
          <w:iCs/>
          <w:sz w:val="19"/>
          <w:szCs w:val="19"/>
        </w:rPr>
        <w:t>Goodwill</w:t>
      </w:r>
      <w:r w:rsidRPr="00155974">
        <w:rPr>
          <w:i/>
          <w:iCs/>
          <w:noProof/>
          <w:sz w:val="19"/>
          <w:szCs w:val="19"/>
        </w:rPr>
        <w:t xml:space="preserve"> </w:t>
      </w:r>
      <w:r w:rsidRPr="00155974">
        <w:rPr>
          <w:noProof/>
          <w:sz w:val="19"/>
          <w:szCs w:val="19"/>
        </w:rPr>
        <w:t xml:space="preserve">in the </w:t>
      </w:r>
      <w:r w:rsidRPr="00155974">
        <w:rPr>
          <w:i/>
          <w:iCs/>
          <w:noProof/>
          <w:sz w:val="19"/>
          <w:szCs w:val="19"/>
        </w:rPr>
        <w:t xml:space="preserve">IFRS for SMEs </w:t>
      </w:r>
      <w:r w:rsidRPr="00155974">
        <w:rPr>
          <w:noProof/>
          <w:sz w:val="19"/>
          <w:szCs w:val="19"/>
        </w:rPr>
        <w:t xml:space="preserve">Standard, the Board noted that </w:t>
      </w:r>
      <w:r w:rsidRPr="00155974">
        <w:rPr>
          <w:sz w:val="19"/>
          <w:szCs w:val="19"/>
        </w:rPr>
        <w:t xml:space="preserve">the </w:t>
      </w:r>
      <w:r w:rsidRPr="00155974">
        <w:rPr>
          <w:i/>
          <w:iCs/>
          <w:sz w:val="19"/>
          <w:szCs w:val="19"/>
        </w:rPr>
        <w:t>IFRS for SMEs</w:t>
      </w:r>
      <w:r w:rsidRPr="00155974">
        <w:rPr>
          <w:sz w:val="19"/>
          <w:szCs w:val="19"/>
        </w:rPr>
        <w:t xml:space="preserve"> Standard does not permit the revaluation of intangible assets and therefore does not require relevant disclosures. The Board </w:t>
      </w:r>
      <w:r w:rsidRPr="00155974">
        <w:rPr>
          <w:noProof/>
          <w:sz w:val="19"/>
          <w:szCs w:val="19"/>
        </w:rPr>
        <w:t xml:space="preserve">decided that these disclosures would be relevant and should be added, </w:t>
      </w:r>
      <w:r w:rsidRPr="00155974">
        <w:rPr>
          <w:sz w:val="19"/>
          <w:szCs w:val="19"/>
        </w:rPr>
        <w:t xml:space="preserve">using the disclosures for property plant and equipment from paragraph 17.33 of the </w:t>
      </w:r>
      <w:r w:rsidRPr="00155974">
        <w:rPr>
          <w:i/>
          <w:iCs/>
          <w:sz w:val="19"/>
          <w:szCs w:val="19"/>
        </w:rPr>
        <w:t>IFRS for SMEs</w:t>
      </w:r>
      <w:r w:rsidRPr="00155974">
        <w:rPr>
          <w:sz w:val="19"/>
          <w:szCs w:val="19"/>
        </w:rPr>
        <w:t xml:space="preserve"> Standard as a basis. </w:t>
      </w:r>
      <w:r w:rsidRPr="00155974">
        <w:rPr>
          <w:noProof/>
          <w:sz w:val="19"/>
          <w:szCs w:val="19"/>
        </w:rPr>
        <w:t>The Board also decided to add</w:t>
      </w:r>
      <w:r w:rsidRPr="00155974">
        <w:rPr>
          <w:color w:val="auto"/>
          <w:sz w:val="19"/>
          <w:szCs w:val="19"/>
        </w:rPr>
        <w:t xml:space="preserve"> a requirement to disclose the reason for an intangible asset having an indefinite useful life based on AASB 140 </w:t>
      </w:r>
      <w:r w:rsidRPr="00155974">
        <w:rPr>
          <w:i/>
          <w:iCs/>
          <w:color w:val="auto"/>
          <w:sz w:val="19"/>
          <w:szCs w:val="19"/>
        </w:rPr>
        <w:t>Investment Property</w:t>
      </w:r>
      <w:r w:rsidRPr="00155974">
        <w:rPr>
          <w:color w:val="auto"/>
          <w:sz w:val="19"/>
          <w:szCs w:val="19"/>
        </w:rPr>
        <w:t xml:space="preserve"> paragraph 122(a), as this option is not available under the </w:t>
      </w:r>
      <w:r w:rsidRPr="00155974">
        <w:rPr>
          <w:i/>
          <w:iCs/>
          <w:color w:val="auto"/>
          <w:sz w:val="19"/>
          <w:szCs w:val="19"/>
        </w:rPr>
        <w:t>IFRS for SMEs</w:t>
      </w:r>
      <w:r w:rsidRPr="00155974">
        <w:rPr>
          <w:color w:val="auto"/>
          <w:sz w:val="19"/>
          <w:szCs w:val="19"/>
        </w:rPr>
        <w:t xml:space="preserve"> Standard. </w:t>
      </w:r>
      <w:bookmarkEnd w:id="190"/>
    </w:p>
    <w:p w14:paraId="5E9E413E" w14:textId="77777777" w:rsidR="0088075B" w:rsidRPr="00155974" w:rsidRDefault="0088075B" w:rsidP="000E61D3">
      <w:pPr>
        <w:pStyle w:val="Default"/>
        <w:numPr>
          <w:ilvl w:val="0"/>
          <w:numId w:val="35"/>
        </w:numPr>
        <w:spacing w:before="100"/>
        <w:ind w:left="782" w:hanging="782"/>
        <w:jc w:val="both"/>
        <w:rPr>
          <w:noProof/>
          <w:sz w:val="19"/>
          <w:szCs w:val="19"/>
        </w:rPr>
      </w:pPr>
      <w:r w:rsidRPr="00155974">
        <w:rPr>
          <w:color w:val="auto"/>
          <w:sz w:val="19"/>
          <w:szCs w:val="19"/>
        </w:rPr>
        <w:t xml:space="preserve">However, the </w:t>
      </w:r>
      <w:r w:rsidRPr="00155974">
        <w:rPr>
          <w:i/>
          <w:iCs/>
          <w:color w:val="auto"/>
          <w:sz w:val="19"/>
          <w:szCs w:val="19"/>
        </w:rPr>
        <w:t>IFRS for SMEs</w:t>
      </w:r>
      <w:r w:rsidRPr="00155974">
        <w:rPr>
          <w:color w:val="auto"/>
          <w:sz w:val="19"/>
          <w:szCs w:val="19"/>
        </w:rPr>
        <w:t xml:space="preserve"> Standard also requires for revalued property, plant and equipment the disclosure of the carrying amount of the assets that would have been recognised under the cost model (paragraph 17.33(d) in the </w:t>
      </w:r>
      <w:r w:rsidRPr="00155974">
        <w:rPr>
          <w:i/>
          <w:iCs/>
          <w:color w:val="auto"/>
          <w:sz w:val="19"/>
          <w:szCs w:val="19"/>
        </w:rPr>
        <w:t>IFRS for SMEs</w:t>
      </w:r>
      <w:r w:rsidRPr="00155974">
        <w:rPr>
          <w:color w:val="auto"/>
          <w:sz w:val="19"/>
          <w:szCs w:val="19"/>
        </w:rPr>
        <w:t xml:space="preserve"> Standard). The Board noted that the option to use the revaluation model for property, plant and equipment was only introduced into the </w:t>
      </w:r>
      <w:r w:rsidRPr="00155974">
        <w:rPr>
          <w:i/>
          <w:iCs/>
          <w:color w:val="auto"/>
          <w:sz w:val="19"/>
          <w:szCs w:val="19"/>
        </w:rPr>
        <w:t>IFRS for SMEs</w:t>
      </w:r>
      <w:r w:rsidRPr="00155974">
        <w:rPr>
          <w:color w:val="auto"/>
          <w:sz w:val="19"/>
          <w:szCs w:val="19"/>
        </w:rPr>
        <w:t xml:space="preserve"> Standard as part of the amendments made in 2015. While the Basis for Conclusions to the amendments explain the reasons for permitting this option</w:t>
      </w:r>
      <w:r w:rsidRPr="00155974">
        <w:rPr>
          <w:rStyle w:val="FootnoteReference"/>
          <w:color w:val="auto"/>
          <w:sz w:val="19"/>
          <w:szCs w:val="19"/>
        </w:rPr>
        <w:footnoteReference w:id="57"/>
      </w:r>
      <w:r w:rsidRPr="00155974">
        <w:rPr>
          <w:color w:val="auto"/>
          <w:sz w:val="19"/>
          <w:szCs w:val="19"/>
        </w:rPr>
        <w:t xml:space="preserve">, they do not discuss the associated disclosures that were added in the process. When the Board discussed this particular disclosure requirement in the context of the original RDR disclosures in ED 192 </w:t>
      </w:r>
      <w:r w:rsidRPr="00155974">
        <w:rPr>
          <w:i/>
          <w:iCs/>
          <w:color w:val="auto"/>
          <w:sz w:val="19"/>
          <w:szCs w:val="19"/>
        </w:rPr>
        <w:t>Revised Differential Reporting Framework</w:t>
      </w:r>
      <w:r w:rsidRPr="00155974">
        <w:rPr>
          <w:color w:val="auto"/>
          <w:sz w:val="19"/>
          <w:szCs w:val="19"/>
        </w:rPr>
        <w:t>, it noted that the revaluation model provides more relevant information than the cost model, and that it would appear illogical and irrelevant to provide comparative information about the cost model</w:t>
      </w:r>
      <w:r w:rsidRPr="00155974">
        <w:rPr>
          <w:rStyle w:val="FootnoteReference"/>
          <w:color w:val="auto"/>
          <w:sz w:val="19"/>
          <w:szCs w:val="19"/>
        </w:rPr>
        <w:footnoteReference w:id="58"/>
      </w:r>
      <w:r w:rsidRPr="00155974">
        <w:rPr>
          <w:color w:val="auto"/>
          <w:sz w:val="19"/>
          <w:szCs w:val="19"/>
        </w:rPr>
        <w:t xml:space="preserve">. The Board therefore concluded that the cost of this disclosure would outweigh the benefits. These arguments are still valid and on that basis the Board decided not to include this particular disclosure from the </w:t>
      </w:r>
      <w:r w:rsidRPr="00155974">
        <w:rPr>
          <w:i/>
          <w:iCs/>
          <w:color w:val="auto"/>
          <w:sz w:val="19"/>
          <w:szCs w:val="19"/>
        </w:rPr>
        <w:t>IFRS from SMEs</w:t>
      </w:r>
      <w:r w:rsidRPr="00155974">
        <w:rPr>
          <w:color w:val="auto"/>
          <w:sz w:val="19"/>
          <w:szCs w:val="19"/>
        </w:rPr>
        <w:t xml:space="preserve"> Standard. </w:t>
      </w:r>
    </w:p>
    <w:p w14:paraId="7839C39B" w14:textId="77777777" w:rsidR="0088075B" w:rsidRPr="00155974" w:rsidRDefault="0088075B" w:rsidP="00A74E07">
      <w:pPr>
        <w:pStyle w:val="IASBSectionTitle2Ind"/>
        <w:rPr>
          <w:noProof/>
        </w:rPr>
      </w:pPr>
      <w:r w:rsidRPr="00155974">
        <w:rPr>
          <w:noProof/>
        </w:rPr>
        <w:t>Audit fees</w:t>
      </w:r>
    </w:p>
    <w:p w14:paraId="5B121A93" w14:textId="3B6FE2C0" w:rsidR="0088075B" w:rsidRPr="00155974" w:rsidRDefault="0088075B" w:rsidP="000E61D3">
      <w:pPr>
        <w:pStyle w:val="Default"/>
        <w:numPr>
          <w:ilvl w:val="0"/>
          <w:numId w:val="35"/>
        </w:numPr>
        <w:spacing w:before="100"/>
        <w:ind w:left="782" w:hanging="782"/>
        <w:jc w:val="both"/>
        <w:rPr>
          <w:noProof/>
          <w:sz w:val="19"/>
          <w:szCs w:val="19"/>
        </w:rPr>
      </w:pPr>
      <w:bookmarkStart w:id="191" w:name="_Ref35353248"/>
      <w:bookmarkStart w:id="192" w:name="_Ref13117715"/>
      <w:bookmarkStart w:id="193" w:name="_Ref14880701"/>
      <w:r w:rsidRPr="00155974">
        <w:rPr>
          <w:color w:val="auto"/>
          <w:sz w:val="19"/>
          <w:szCs w:val="19"/>
        </w:rPr>
        <w:t xml:space="preserve">Stakeholders were generally supportive of adding the requirement to disclose the fees paid to each auditor and reviewer, including any network firm, from AASB 1054 to AASB 1060 (paragraphs </w:t>
      </w:r>
      <w:r w:rsidR="00791297" w:rsidRPr="00155974">
        <w:rPr>
          <w:color w:val="auto"/>
          <w:sz w:val="19"/>
          <w:szCs w:val="19"/>
        </w:rPr>
        <w:fldChar w:fldCharType="begin"/>
      </w:r>
      <w:r w:rsidR="00791297" w:rsidRPr="00155974">
        <w:rPr>
          <w:color w:val="auto"/>
          <w:sz w:val="19"/>
          <w:szCs w:val="19"/>
        </w:rPr>
        <w:instrText xml:space="preserve"> REF _Ref34594156 \r \h </w:instrText>
      </w:r>
      <w:r w:rsidR="00155974">
        <w:rPr>
          <w:color w:val="auto"/>
          <w:sz w:val="19"/>
          <w:szCs w:val="19"/>
        </w:rPr>
        <w:instrText xml:space="preserve"> \* MERGEFORMAT </w:instrText>
      </w:r>
      <w:r w:rsidR="00791297" w:rsidRPr="00155974">
        <w:rPr>
          <w:color w:val="auto"/>
          <w:sz w:val="19"/>
          <w:szCs w:val="19"/>
        </w:rPr>
      </w:r>
      <w:r w:rsidR="00791297" w:rsidRPr="00155974">
        <w:rPr>
          <w:color w:val="auto"/>
          <w:sz w:val="19"/>
          <w:szCs w:val="19"/>
        </w:rPr>
        <w:fldChar w:fldCharType="separate"/>
      </w:r>
      <w:r w:rsidR="00454A6B">
        <w:rPr>
          <w:color w:val="auto"/>
          <w:sz w:val="19"/>
          <w:szCs w:val="19"/>
        </w:rPr>
        <w:t>98</w:t>
      </w:r>
      <w:r w:rsidR="00791297" w:rsidRPr="00155974">
        <w:rPr>
          <w:color w:val="auto"/>
          <w:sz w:val="19"/>
          <w:szCs w:val="19"/>
        </w:rPr>
        <w:fldChar w:fldCharType="end"/>
      </w:r>
      <w:r w:rsidRPr="00155974">
        <w:rPr>
          <w:color w:val="auto"/>
          <w:sz w:val="19"/>
          <w:szCs w:val="19"/>
        </w:rPr>
        <w:t xml:space="preserve"> and </w:t>
      </w:r>
      <w:r w:rsidR="00791297" w:rsidRPr="00155974">
        <w:rPr>
          <w:color w:val="auto"/>
          <w:sz w:val="19"/>
          <w:szCs w:val="19"/>
        </w:rPr>
        <w:fldChar w:fldCharType="begin"/>
      </w:r>
      <w:r w:rsidR="00791297" w:rsidRPr="00155974">
        <w:rPr>
          <w:color w:val="auto"/>
          <w:sz w:val="19"/>
          <w:szCs w:val="19"/>
        </w:rPr>
        <w:instrText xml:space="preserve"> REF _Ref35360722 \r \h </w:instrText>
      </w:r>
      <w:r w:rsidR="00155974">
        <w:rPr>
          <w:color w:val="auto"/>
          <w:sz w:val="19"/>
          <w:szCs w:val="19"/>
        </w:rPr>
        <w:instrText xml:space="preserve"> \* MERGEFORMAT </w:instrText>
      </w:r>
      <w:r w:rsidR="00791297" w:rsidRPr="00155974">
        <w:rPr>
          <w:color w:val="auto"/>
          <w:sz w:val="19"/>
          <w:szCs w:val="19"/>
        </w:rPr>
      </w:r>
      <w:r w:rsidR="00791297" w:rsidRPr="00155974">
        <w:rPr>
          <w:color w:val="auto"/>
          <w:sz w:val="19"/>
          <w:szCs w:val="19"/>
        </w:rPr>
        <w:fldChar w:fldCharType="separate"/>
      </w:r>
      <w:r w:rsidR="00454A6B">
        <w:rPr>
          <w:color w:val="auto"/>
          <w:sz w:val="19"/>
          <w:szCs w:val="19"/>
        </w:rPr>
        <w:t>99</w:t>
      </w:r>
      <w:r w:rsidR="00791297" w:rsidRPr="00155974">
        <w:rPr>
          <w:color w:val="auto"/>
          <w:sz w:val="19"/>
          <w:szCs w:val="19"/>
        </w:rPr>
        <w:fldChar w:fldCharType="end"/>
      </w:r>
      <w:r w:rsidRPr="00155974">
        <w:rPr>
          <w:color w:val="auto"/>
          <w:sz w:val="19"/>
          <w:szCs w:val="19"/>
        </w:rPr>
        <w:t xml:space="preserve">). The Board considered that the disclosure of audit fees is a public policy issue (see paragraph BC42) and requiring this disclosure will assist in improving auditor independence and accountability, thereby increasing users’ confidence in the quality of companies’ financial reports. The Board noted that the term ‘network firm’ is defined in APES 110 </w:t>
      </w:r>
      <w:r w:rsidRPr="00155974">
        <w:rPr>
          <w:i/>
          <w:iCs/>
          <w:color w:val="auto"/>
          <w:sz w:val="19"/>
          <w:szCs w:val="19"/>
        </w:rPr>
        <w:t>Code of Ethics for Professional Accountants</w:t>
      </w:r>
      <w:r w:rsidRPr="00155974">
        <w:rPr>
          <w:color w:val="auto"/>
          <w:sz w:val="19"/>
          <w:szCs w:val="19"/>
        </w:rPr>
        <w:t xml:space="preserve"> issued by Accounting and Professional Ethical Standards Board (APESB) (November 2018 incorporating all amendments to April 2018) and that preparers and auditors may refer to APES 110 for guidance.</w:t>
      </w:r>
      <w:bookmarkEnd w:id="191"/>
      <w:r w:rsidRPr="00155974">
        <w:rPr>
          <w:color w:val="auto"/>
          <w:sz w:val="19"/>
          <w:szCs w:val="19"/>
        </w:rPr>
        <w:t xml:space="preserve"> </w:t>
      </w:r>
      <w:bookmarkEnd w:id="192"/>
      <w:bookmarkEnd w:id="193"/>
    </w:p>
    <w:p w14:paraId="6092709D" w14:textId="77777777" w:rsidR="0088075B" w:rsidRPr="00155974" w:rsidRDefault="0088075B" w:rsidP="00A74E07">
      <w:pPr>
        <w:pStyle w:val="IASBSectionTitle2Ind"/>
        <w:rPr>
          <w:noProof/>
        </w:rPr>
      </w:pPr>
      <w:bookmarkStart w:id="194" w:name="_Ref3961380"/>
      <w:r w:rsidRPr="00155974">
        <w:rPr>
          <w:noProof/>
        </w:rPr>
        <w:t>Maturity Analysis</w:t>
      </w:r>
    </w:p>
    <w:p w14:paraId="6CF7107F" w14:textId="59208C66"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A number of respondents to ED 295 and roundtable participants noted an inconsistency in disclosures about the maturity of financial liabilities. While paragraph </w:t>
      </w:r>
      <w:r w:rsidR="00E633B9" w:rsidRPr="00155974">
        <w:rPr>
          <w:color w:val="auto"/>
          <w:sz w:val="19"/>
          <w:szCs w:val="19"/>
        </w:rPr>
        <w:fldChar w:fldCharType="begin"/>
      </w:r>
      <w:r w:rsidR="00E633B9" w:rsidRPr="00155974">
        <w:rPr>
          <w:color w:val="auto"/>
          <w:sz w:val="19"/>
          <w:szCs w:val="19"/>
        </w:rPr>
        <w:instrText xml:space="preserve"> REF _Ref34656716 \r \h </w:instrText>
      </w:r>
      <w:r w:rsidR="00155974">
        <w:rPr>
          <w:color w:val="auto"/>
          <w:sz w:val="19"/>
          <w:szCs w:val="19"/>
        </w:rPr>
        <w:instrText xml:space="preserve"> \* MERGEFORMAT </w:instrText>
      </w:r>
      <w:r w:rsidR="00E633B9" w:rsidRPr="00155974">
        <w:rPr>
          <w:color w:val="auto"/>
          <w:sz w:val="19"/>
          <w:szCs w:val="19"/>
        </w:rPr>
      </w:r>
      <w:r w:rsidR="00E633B9" w:rsidRPr="00155974">
        <w:rPr>
          <w:color w:val="auto"/>
          <w:sz w:val="19"/>
          <w:szCs w:val="19"/>
        </w:rPr>
        <w:fldChar w:fldCharType="separate"/>
      </w:r>
      <w:r w:rsidR="00454A6B">
        <w:rPr>
          <w:color w:val="auto"/>
          <w:sz w:val="19"/>
          <w:szCs w:val="19"/>
        </w:rPr>
        <w:t>144</w:t>
      </w:r>
      <w:r w:rsidR="00E633B9" w:rsidRPr="00155974">
        <w:rPr>
          <w:color w:val="auto"/>
          <w:sz w:val="19"/>
          <w:szCs w:val="19"/>
        </w:rPr>
        <w:fldChar w:fldCharType="end"/>
      </w:r>
      <w:r w:rsidRPr="00155974">
        <w:rPr>
          <w:color w:val="auto"/>
          <w:sz w:val="19"/>
          <w:szCs w:val="19"/>
        </w:rPr>
        <w:t xml:space="preserve">(b) (paragraph 20.13(b) in the </w:t>
      </w:r>
      <w:r w:rsidRPr="00155974">
        <w:rPr>
          <w:i/>
          <w:iCs/>
          <w:color w:val="auto"/>
          <w:sz w:val="19"/>
          <w:szCs w:val="19"/>
        </w:rPr>
        <w:t xml:space="preserve">IFRS for SMEs </w:t>
      </w:r>
      <w:r w:rsidRPr="00155974">
        <w:rPr>
          <w:color w:val="auto"/>
          <w:sz w:val="19"/>
          <w:szCs w:val="19"/>
        </w:rPr>
        <w:t xml:space="preserve">Standard) requires disclosure of a quantitative maturity analysis for future lease payments of lessees in fixed time periods, paragraph </w:t>
      </w:r>
      <w:r w:rsidR="00D366B2" w:rsidRPr="00155974">
        <w:rPr>
          <w:color w:val="auto"/>
          <w:sz w:val="19"/>
          <w:szCs w:val="19"/>
        </w:rPr>
        <w:fldChar w:fldCharType="begin"/>
      </w:r>
      <w:r w:rsidR="00D366B2" w:rsidRPr="00155974">
        <w:rPr>
          <w:color w:val="auto"/>
          <w:sz w:val="19"/>
          <w:szCs w:val="19"/>
        </w:rPr>
        <w:instrText xml:space="preserve"> REF _Ref35360825 \r \h </w:instrText>
      </w:r>
      <w:r w:rsidR="00155974">
        <w:rPr>
          <w:color w:val="auto"/>
          <w:sz w:val="19"/>
          <w:szCs w:val="19"/>
        </w:rPr>
        <w:instrText xml:space="preserve"> \* MERGEFORMAT </w:instrText>
      </w:r>
      <w:r w:rsidR="00D366B2" w:rsidRPr="00155974">
        <w:rPr>
          <w:color w:val="auto"/>
          <w:sz w:val="19"/>
          <w:szCs w:val="19"/>
        </w:rPr>
      </w:r>
      <w:r w:rsidR="00D366B2" w:rsidRPr="00155974">
        <w:rPr>
          <w:color w:val="auto"/>
          <w:sz w:val="19"/>
          <w:szCs w:val="19"/>
        </w:rPr>
        <w:fldChar w:fldCharType="separate"/>
      </w:r>
      <w:r w:rsidR="00454A6B">
        <w:rPr>
          <w:color w:val="auto"/>
          <w:sz w:val="19"/>
          <w:szCs w:val="19"/>
        </w:rPr>
        <w:t>114</w:t>
      </w:r>
      <w:r w:rsidR="00D366B2" w:rsidRPr="00155974">
        <w:rPr>
          <w:color w:val="auto"/>
          <w:sz w:val="19"/>
          <w:szCs w:val="19"/>
        </w:rPr>
        <w:fldChar w:fldCharType="end"/>
      </w:r>
      <w:r w:rsidRPr="00155974">
        <w:rPr>
          <w:color w:val="auto"/>
          <w:sz w:val="19"/>
          <w:szCs w:val="19"/>
        </w:rPr>
        <w:t xml:space="preserve"> (paragraph 11.42 in the </w:t>
      </w:r>
      <w:r w:rsidRPr="00155974">
        <w:rPr>
          <w:i/>
          <w:iCs/>
          <w:color w:val="auto"/>
          <w:sz w:val="19"/>
          <w:szCs w:val="19"/>
        </w:rPr>
        <w:t xml:space="preserve">IFRS for SMEs </w:t>
      </w:r>
      <w:r w:rsidRPr="00155974">
        <w:rPr>
          <w:color w:val="auto"/>
          <w:sz w:val="19"/>
          <w:szCs w:val="19"/>
        </w:rPr>
        <w:t xml:space="preserve">Standard) only has a general requirement for other financial liabilities to disclose terms and conditions “such as … maturity, repayment schedule …”. </w:t>
      </w:r>
    </w:p>
    <w:p w14:paraId="5D40D3B1" w14:textId="77777777"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The Board acknowledged that information about the maturity of an entity’s financial liabilities is important as the users of financial statements of entities that do not have public accountability are particularly interested </w:t>
      </w:r>
      <w:r w:rsidRPr="00155974">
        <w:rPr>
          <w:color w:val="auto"/>
          <w:sz w:val="19"/>
          <w:szCs w:val="19"/>
        </w:rPr>
        <w:lastRenderedPageBreak/>
        <w:t xml:space="preserve">in information about short-term cash flows, obligations and commitments, and liquidity. However, as stakeholder feedback on this issue was mixed, the Board decided to retain the disclosures consistent with the </w:t>
      </w:r>
      <w:r w:rsidRPr="00155974">
        <w:rPr>
          <w:i/>
          <w:iCs/>
          <w:color w:val="auto"/>
          <w:sz w:val="19"/>
          <w:szCs w:val="19"/>
        </w:rPr>
        <w:t>IFRS for SMEs</w:t>
      </w:r>
      <w:r w:rsidRPr="00155974">
        <w:rPr>
          <w:color w:val="auto"/>
          <w:sz w:val="19"/>
          <w:szCs w:val="19"/>
        </w:rPr>
        <w:t xml:space="preserve"> Standard. Noting that the IFRS for SMEs disclosures, in particular the leasing disclosures, are currently being reviewed by the IASB, the Board decided to flag the inconsistency in the disclosures to the IASB instead. </w:t>
      </w:r>
    </w:p>
    <w:p w14:paraId="1B061B5F" w14:textId="1AC181CF"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However, The Board also noted that while paragraph </w:t>
      </w:r>
      <w:r w:rsidR="00C81D34" w:rsidRPr="00155974">
        <w:rPr>
          <w:color w:val="auto"/>
          <w:sz w:val="19"/>
          <w:szCs w:val="19"/>
        </w:rPr>
        <w:fldChar w:fldCharType="begin"/>
      </w:r>
      <w:r w:rsidR="00C81D34" w:rsidRPr="00155974">
        <w:rPr>
          <w:color w:val="auto"/>
          <w:sz w:val="19"/>
          <w:szCs w:val="19"/>
        </w:rPr>
        <w:instrText xml:space="preserve"> REF _Ref35360825 \r \h </w:instrText>
      </w:r>
      <w:r w:rsidR="00155974">
        <w:rPr>
          <w:color w:val="auto"/>
          <w:sz w:val="19"/>
          <w:szCs w:val="19"/>
        </w:rPr>
        <w:instrText xml:space="preserve"> \* MERGEFORMAT </w:instrText>
      </w:r>
      <w:r w:rsidR="00C81D34" w:rsidRPr="00155974">
        <w:rPr>
          <w:color w:val="auto"/>
          <w:sz w:val="19"/>
          <w:szCs w:val="19"/>
        </w:rPr>
      </w:r>
      <w:r w:rsidR="00C81D34" w:rsidRPr="00155974">
        <w:rPr>
          <w:color w:val="auto"/>
          <w:sz w:val="19"/>
          <w:szCs w:val="19"/>
        </w:rPr>
        <w:fldChar w:fldCharType="separate"/>
      </w:r>
      <w:r w:rsidR="00454A6B">
        <w:rPr>
          <w:color w:val="auto"/>
          <w:sz w:val="19"/>
          <w:szCs w:val="19"/>
        </w:rPr>
        <w:t>114</w:t>
      </w:r>
      <w:r w:rsidR="00C81D34" w:rsidRPr="00155974">
        <w:rPr>
          <w:color w:val="auto"/>
          <w:sz w:val="19"/>
          <w:szCs w:val="19"/>
        </w:rPr>
        <w:fldChar w:fldCharType="end"/>
      </w:r>
      <w:r w:rsidRPr="00155974">
        <w:rPr>
          <w:color w:val="auto"/>
          <w:sz w:val="19"/>
          <w:szCs w:val="19"/>
        </w:rPr>
        <w:t xml:space="preserve"> only has general disclosure requirements, these still require disclosure of the terms and conditions of the debt instrument and make specific reference to the instruments’ maturity and repayment schedule. The Board therefore expects entities to provide this information in some form. </w:t>
      </w:r>
    </w:p>
    <w:p w14:paraId="5454DED5" w14:textId="77777777" w:rsidR="0088075B" w:rsidRPr="00155974" w:rsidRDefault="0088075B" w:rsidP="00A74E07">
      <w:pPr>
        <w:pStyle w:val="IASBSectionTitle2Ind"/>
        <w:rPr>
          <w:noProof/>
        </w:rPr>
      </w:pPr>
      <w:r w:rsidRPr="00155974">
        <w:rPr>
          <w:noProof/>
        </w:rPr>
        <w:t>Tax reconciliation</w:t>
      </w:r>
    </w:p>
    <w:p w14:paraId="56F56A9E" w14:textId="77777777" w:rsidR="0088075B" w:rsidRPr="00155974" w:rsidRDefault="0088075B" w:rsidP="000E61D3">
      <w:pPr>
        <w:pStyle w:val="Default"/>
        <w:numPr>
          <w:ilvl w:val="0"/>
          <w:numId w:val="35"/>
        </w:numPr>
        <w:spacing w:before="100"/>
        <w:ind w:left="782" w:hanging="782"/>
        <w:jc w:val="both"/>
        <w:rPr>
          <w:color w:val="auto"/>
          <w:sz w:val="19"/>
          <w:szCs w:val="19"/>
        </w:rPr>
      </w:pPr>
      <w:bookmarkStart w:id="195" w:name="_Ref35353300"/>
      <w:r w:rsidRPr="00155974">
        <w:rPr>
          <w:color w:val="auto"/>
          <w:sz w:val="19"/>
          <w:szCs w:val="19"/>
        </w:rPr>
        <w:t xml:space="preserve">Consistent with the disclosures in the </w:t>
      </w:r>
      <w:r w:rsidRPr="00155974">
        <w:rPr>
          <w:i/>
          <w:iCs/>
          <w:color w:val="auto"/>
          <w:sz w:val="19"/>
          <w:szCs w:val="19"/>
        </w:rPr>
        <w:t xml:space="preserve">IFRS for SMEs </w:t>
      </w:r>
      <w:r w:rsidRPr="00155974">
        <w:rPr>
          <w:color w:val="auto"/>
          <w:sz w:val="19"/>
          <w:szCs w:val="19"/>
        </w:rPr>
        <w:t>Standard, ED 295 only required disclosure of a narrative explanation of any significant differences between the tax expense (income) and accounting profit multiplied by the applicable tax rate without requiring a numerical reconciliation. Stakeholder feedback on this proposed reduction in disclosures was mixed. Amongst others, the Australian Taxation Office noted that the audited tax reconciliation is an important source of information for its risk identification and assessment purposes.</w:t>
      </w:r>
      <w:bookmarkEnd w:id="195"/>
    </w:p>
    <w:p w14:paraId="2008160D" w14:textId="1B26E0A3" w:rsidR="0088075B" w:rsidRPr="00155974" w:rsidRDefault="0088075B" w:rsidP="000E61D3">
      <w:pPr>
        <w:pStyle w:val="Default"/>
        <w:numPr>
          <w:ilvl w:val="0"/>
          <w:numId w:val="35"/>
        </w:numPr>
        <w:spacing w:before="100"/>
        <w:ind w:left="782" w:hanging="782"/>
        <w:jc w:val="both"/>
        <w:rPr>
          <w:color w:val="auto"/>
          <w:sz w:val="19"/>
          <w:szCs w:val="19"/>
        </w:rPr>
      </w:pPr>
      <w:bookmarkStart w:id="196" w:name="_Ref35355178"/>
      <w:r w:rsidRPr="00155974">
        <w:rPr>
          <w:color w:val="auto"/>
          <w:sz w:val="19"/>
          <w:szCs w:val="19"/>
        </w:rPr>
        <w:t xml:space="preserve">After considering the stakeholders’ feedback, the Board decided to require disclosure of a numerical tax reconciliation (paragraph </w:t>
      </w:r>
      <w:r w:rsidR="00E90D85" w:rsidRPr="00155974">
        <w:rPr>
          <w:color w:val="auto"/>
          <w:sz w:val="19"/>
          <w:szCs w:val="19"/>
        </w:rPr>
        <w:fldChar w:fldCharType="begin"/>
      </w:r>
      <w:r w:rsidR="00E90D85" w:rsidRPr="00155974">
        <w:rPr>
          <w:color w:val="auto"/>
          <w:sz w:val="19"/>
          <w:szCs w:val="19"/>
        </w:rPr>
        <w:instrText xml:space="preserve"> REF _Ref35360912 \r \h </w:instrText>
      </w:r>
      <w:r w:rsidR="00155974">
        <w:rPr>
          <w:color w:val="auto"/>
          <w:sz w:val="19"/>
          <w:szCs w:val="19"/>
        </w:rPr>
        <w:instrText xml:space="preserve"> \* MERGEFORMAT </w:instrText>
      </w:r>
      <w:r w:rsidR="00E90D85" w:rsidRPr="00155974">
        <w:rPr>
          <w:color w:val="auto"/>
          <w:sz w:val="19"/>
          <w:szCs w:val="19"/>
        </w:rPr>
      </w:r>
      <w:r w:rsidR="00E90D85" w:rsidRPr="00155974">
        <w:rPr>
          <w:color w:val="auto"/>
          <w:sz w:val="19"/>
          <w:szCs w:val="19"/>
        </w:rPr>
        <w:fldChar w:fldCharType="separate"/>
      </w:r>
      <w:r w:rsidR="00454A6B">
        <w:rPr>
          <w:color w:val="auto"/>
          <w:sz w:val="19"/>
          <w:szCs w:val="19"/>
        </w:rPr>
        <w:t>178</w:t>
      </w:r>
      <w:r w:rsidR="00E90D85" w:rsidRPr="00155974">
        <w:rPr>
          <w:color w:val="auto"/>
          <w:sz w:val="19"/>
          <w:szCs w:val="19"/>
        </w:rPr>
        <w:fldChar w:fldCharType="end"/>
      </w:r>
      <w:r w:rsidRPr="00155974">
        <w:rPr>
          <w:color w:val="auto"/>
          <w:sz w:val="19"/>
          <w:szCs w:val="19"/>
        </w:rPr>
        <w:t>(c)) on the basis that this is a public policy issue. The Board further noted that there has been significant interest in the income tax disclosures not only by regulators but also by the public in general, as part of the focus on possible tax avoidance in particular by multi-national entities.</w:t>
      </w:r>
      <w:bookmarkEnd w:id="196"/>
      <w:r w:rsidRPr="00155974">
        <w:rPr>
          <w:color w:val="auto"/>
          <w:sz w:val="19"/>
          <w:szCs w:val="19"/>
        </w:rPr>
        <w:t xml:space="preserve"> </w:t>
      </w:r>
    </w:p>
    <w:p w14:paraId="7142C4B7" w14:textId="77777777" w:rsidR="0088075B" w:rsidRPr="00155974" w:rsidRDefault="0088075B" w:rsidP="00A74E07">
      <w:pPr>
        <w:pStyle w:val="IASBSectionTitle2Ind"/>
        <w:rPr>
          <w:noProof/>
        </w:rPr>
      </w:pPr>
      <w:r w:rsidRPr="00155974">
        <w:rPr>
          <w:noProof/>
        </w:rPr>
        <w:t>Individually material items of income and expenses</w:t>
      </w:r>
    </w:p>
    <w:p w14:paraId="29819213" w14:textId="17A8BB50"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Some respondents to ED 295 were concerned about the absence of a specific requirement to disclose individually material items of income and expenses and noted that this disclosure is currently explicitly required for both RDR GPFS and SPFS. While the Board acknowledged these concerns, it noted that entities applying this Standard are still expected to disclose information that is not presented elsewhere but that is relevant to an understanding of the financial statement in accordance with paragraph </w:t>
      </w:r>
      <w:r w:rsidR="00A71054" w:rsidRPr="00155974">
        <w:rPr>
          <w:color w:val="auto"/>
          <w:sz w:val="19"/>
          <w:szCs w:val="19"/>
        </w:rPr>
        <w:fldChar w:fldCharType="begin"/>
      </w:r>
      <w:r w:rsidR="00A71054" w:rsidRPr="00155974">
        <w:rPr>
          <w:color w:val="auto"/>
          <w:sz w:val="19"/>
          <w:szCs w:val="19"/>
        </w:rPr>
        <w:instrText xml:space="preserve"> REF _Ref35360966 \r \h </w:instrText>
      </w:r>
      <w:r w:rsidR="00155974">
        <w:rPr>
          <w:color w:val="auto"/>
          <w:sz w:val="19"/>
          <w:szCs w:val="19"/>
        </w:rPr>
        <w:instrText xml:space="preserve"> \* MERGEFORMAT </w:instrText>
      </w:r>
      <w:r w:rsidR="00A71054" w:rsidRPr="00155974">
        <w:rPr>
          <w:color w:val="auto"/>
          <w:sz w:val="19"/>
          <w:szCs w:val="19"/>
        </w:rPr>
      </w:r>
      <w:r w:rsidR="00A71054" w:rsidRPr="00155974">
        <w:rPr>
          <w:color w:val="auto"/>
          <w:sz w:val="19"/>
          <w:szCs w:val="19"/>
        </w:rPr>
        <w:fldChar w:fldCharType="separate"/>
      </w:r>
      <w:r w:rsidR="00454A6B">
        <w:rPr>
          <w:color w:val="auto"/>
          <w:sz w:val="19"/>
          <w:szCs w:val="19"/>
        </w:rPr>
        <w:t>91</w:t>
      </w:r>
      <w:r w:rsidR="00A71054" w:rsidRPr="00155974">
        <w:rPr>
          <w:color w:val="auto"/>
          <w:sz w:val="19"/>
          <w:szCs w:val="19"/>
        </w:rPr>
        <w:fldChar w:fldCharType="end"/>
      </w:r>
      <w:r w:rsidRPr="00155974">
        <w:rPr>
          <w:color w:val="auto"/>
          <w:sz w:val="19"/>
          <w:szCs w:val="19"/>
        </w:rPr>
        <w:t xml:space="preserve">(c). This would include information about individually material items of income and expense where information about these items is necessary to assess the entity’s financial performance. </w:t>
      </w:r>
    </w:p>
    <w:p w14:paraId="6ACDA476" w14:textId="77777777"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However, the Board, also agreed to monitor entities’ disclosure practices and may revisit this issue should it become apparent that entities do not provide sufficient disclosures in this regard. </w:t>
      </w:r>
    </w:p>
    <w:p w14:paraId="6E2B4098" w14:textId="77777777" w:rsidR="0088075B" w:rsidRPr="00155974" w:rsidRDefault="0088075B" w:rsidP="00A74E07">
      <w:pPr>
        <w:pStyle w:val="IASBSectionTitle2Ind"/>
        <w:rPr>
          <w:noProof/>
        </w:rPr>
      </w:pPr>
      <w:r w:rsidRPr="00155974">
        <w:rPr>
          <w:noProof/>
        </w:rPr>
        <w:t>Imputation credits</w:t>
      </w:r>
    </w:p>
    <w:p w14:paraId="0C59FFA2" w14:textId="3CDE4C1F" w:rsidR="0088075B" w:rsidRPr="00155974" w:rsidRDefault="0088075B" w:rsidP="000E61D3">
      <w:pPr>
        <w:pStyle w:val="Default"/>
        <w:numPr>
          <w:ilvl w:val="0"/>
          <w:numId w:val="35"/>
        </w:numPr>
        <w:spacing w:before="100"/>
        <w:ind w:left="782" w:hanging="782"/>
        <w:jc w:val="both"/>
        <w:rPr>
          <w:color w:val="auto"/>
          <w:sz w:val="19"/>
          <w:szCs w:val="19"/>
        </w:rPr>
      </w:pPr>
      <w:bookmarkStart w:id="197" w:name="_Ref35353342"/>
      <w:bookmarkStart w:id="198" w:name="_Ref35259553"/>
      <w:r w:rsidRPr="00155974">
        <w:rPr>
          <w:color w:val="auto"/>
          <w:sz w:val="19"/>
          <w:szCs w:val="19"/>
        </w:rPr>
        <w:t xml:space="preserve">In response to stakeholders’ feedback, the Board decided to add in paragraphs </w:t>
      </w:r>
      <w:r w:rsidR="000645F9" w:rsidRPr="00155974">
        <w:rPr>
          <w:color w:val="auto"/>
          <w:sz w:val="19"/>
          <w:szCs w:val="19"/>
        </w:rPr>
        <w:fldChar w:fldCharType="begin"/>
      </w:r>
      <w:r w:rsidR="000645F9" w:rsidRPr="00155974">
        <w:rPr>
          <w:color w:val="auto"/>
          <w:sz w:val="19"/>
          <w:szCs w:val="19"/>
        </w:rPr>
        <w:instrText xml:space="preserve"> REF _Ref34734034 \r \h </w:instrText>
      </w:r>
      <w:r w:rsidR="00155974">
        <w:rPr>
          <w:color w:val="auto"/>
          <w:sz w:val="19"/>
          <w:szCs w:val="19"/>
        </w:rPr>
        <w:instrText xml:space="preserve"> \* MERGEFORMAT </w:instrText>
      </w:r>
      <w:r w:rsidR="000645F9" w:rsidRPr="00155974">
        <w:rPr>
          <w:color w:val="auto"/>
          <w:sz w:val="19"/>
          <w:szCs w:val="19"/>
        </w:rPr>
      </w:r>
      <w:r w:rsidR="000645F9" w:rsidRPr="00155974">
        <w:rPr>
          <w:color w:val="auto"/>
          <w:sz w:val="19"/>
          <w:szCs w:val="19"/>
        </w:rPr>
        <w:fldChar w:fldCharType="separate"/>
      </w:r>
      <w:r w:rsidR="00454A6B">
        <w:rPr>
          <w:color w:val="auto"/>
          <w:sz w:val="19"/>
          <w:szCs w:val="19"/>
        </w:rPr>
        <w:t>100</w:t>
      </w:r>
      <w:r w:rsidR="000645F9" w:rsidRPr="00155974">
        <w:rPr>
          <w:color w:val="auto"/>
          <w:sz w:val="19"/>
          <w:szCs w:val="19"/>
        </w:rPr>
        <w:fldChar w:fldCharType="end"/>
      </w:r>
      <w:r w:rsidRPr="00155974">
        <w:rPr>
          <w:color w:val="auto"/>
          <w:sz w:val="19"/>
          <w:szCs w:val="19"/>
        </w:rPr>
        <w:t>–</w:t>
      </w:r>
      <w:r w:rsidR="000645F9" w:rsidRPr="00155974">
        <w:rPr>
          <w:color w:val="auto"/>
          <w:sz w:val="19"/>
          <w:szCs w:val="19"/>
        </w:rPr>
        <w:fldChar w:fldCharType="begin"/>
      </w:r>
      <w:r w:rsidR="000645F9" w:rsidRPr="00155974">
        <w:rPr>
          <w:color w:val="auto"/>
          <w:sz w:val="19"/>
          <w:szCs w:val="19"/>
        </w:rPr>
        <w:instrText xml:space="preserve"> REF _Ref34734072 \r \h </w:instrText>
      </w:r>
      <w:r w:rsidR="00155974">
        <w:rPr>
          <w:color w:val="auto"/>
          <w:sz w:val="19"/>
          <w:szCs w:val="19"/>
        </w:rPr>
        <w:instrText xml:space="preserve"> \* MERGEFORMAT </w:instrText>
      </w:r>
      <w:r w:rsidR="000645F9" w:rsidRPr="00155974">
        <w:rPr>
          <w:color w:val="auto"/>
          <w:sz w:val="19"/>
          <w:szCs w:val="19"/>
        </w:rPr>
      </w:r>
      <w:r w:rsidR="000645F9" w:rsidRPr="00155974">
        <w:rPr>
          <w:color w:val="auto"/>
          <w:sz w:val="19"/>
          <w:szCs w:val="19"/>
        </w:rPr>
        <w:fldChar w:fldCharType="separate"/>
      </w:r>
      <w:r w:rsidR="00454A6B">
        <w:rPr>
          <w:color w:val="auto"/>
          <w:sz w:val="19"/>
          <w:szCs w:val="19"/>
        </w:rPr>
        <w:t>103</w:t>
      </w:r>
      <w:r w:rsidR="000645F9" w:rsidRPr="00155974">
        <w:rPr>
          <w:color w:val="auto"/>
          <w:sz w:val="19"/>
          <w:szCs w:val="19"/>
        </w:rPr>
        <w:fldChar w:fldCharType="end"/>
      </w:r>
      <w:r w:rsidRPr="00155974">
        <w:rPr>
          <w:color w:val="auto"/>
          <w:sz w:val="19"/>
          <w:szCs w:val="19"/>
        </w:rPr>
        <w:t xml:space="preserve"> the disclosure of imputation credits from paragraphs 12–15 in AASB 1054. The Board noted that, although the disclosure of imputation credits was not required under the current RDR framework, it was mandatory for entities preparing SPFS under Part 2M.3 of the </w:t>
      </w:r>
      <w:r w:rsidRPr="00155974">
        <w:rPr>
          <w:i/>
          <w:iCs/>
          <w:color w:val="auto"/>
          <w:sz w:val="19"/>
          <w:szCs w:val="19"/>
        </w:rPr>
        <w:t>Corporations Act</w:t>
      </w:r>
      <w:r w:rsidRPr="00155974">
        <w:rPr>
          <w:color w:val="auto"/>
          <w:sz w:val="19"/>
          <w:szCs w:val="19"/>
        </w:rPr>
        <w:t xml:space="preserve"> </w:t>
      </w:r>
      <w:r w:rsidRPr="00155974">
        <w:rPr>
          <w:i/>
          <w:iCs/>
          <w:color w:val="auto"/>
          <w:sz w:val="19"/>
          <w:szCs w:val="19"/>
        </w:rPr>
        <w:t xml:space="preserve">2001 </w:t>
      </w:r>
      <w:r w:rsidRPr="00155974">
        <w:rPr>
          <w:color w:val="auto"/>
          <w:sz w:val="19"/>
          <w:szCs w:val="19"/>
        </w:rPr>
        <w:t>and therefore it should not be onerous to provide for the majority of entities transitioning from SPFS to the new Tier 2 GPFS.</w:t>
      </w:r>
      <w:bookmarkEnd w:id="197"/>
      <w:r w:rsidRPr="00155974">
        <w:rPr>
          <w:color w:val="auto"/>
          <w:sz w:val="19"/>
          <w:szCs w:val="19"/>
        </w:rPr>
        <w:t xml:space="preserve"> </w:t>
      </w:r>
      <w:bookmarkEnd w:id="198"/>
    </w:p>
    <w:p w14:paraId="73B0996E" w14:textId="77777777" w:rsidR="0088075B" w:rsidRPr="00A74E07" w:rsidRDefault="0088075B" w:rsidP="000E61D3">
      <w:pPr>
        <w:pStyle w:val="Default"/>
        <w:numPr>
          <w:ilvl w:val="0"/>
          <w:numId w:val="35"/>
        </w:numPr>
        <w:spacing w:before="100"/>
        <w:ind w:left="782" w:hanging="782"/>
        <w:jc w:val="both"/>
        <w:rPr>
          <w:bCs/>
          <w:noProof/>
          <w:sz w:val="19"/>
          <w:szCs w:val="19"/>
        </w:rPr>
      </w:pPr>
      <w:bookmarkStart w:id="199" w:name="_Ref35259569"/>
      <w:bookmarkStart w:id="200" w:name="_Ref35353351"/>
      <w:r w:rsidRPr="00155974">
        <w:rPr>
          <w:color w:val="auto"/>
          <w:sz w:val="19"/>
          <w:szCs w:val="19"/>
        </w:rPr>
        <w:t>The Board noted that Australia and New Zealand are among a limited number of jurisdictions that have an imputation tax regime and information about imputation credits provides useful information as the credits have the characteristics of an asset to equity investors. Moreover, published research demonstrates that the franking status of dividends increases the association between dividends and future earnings and therefore provides useful information about an entity’s future earnings potential and short-term cash flows.</w:t>
      </w:r>
      <w:r w:rsidRPr="00155974">
        <w:rPr>
          <w:rStyle w:val="FootnoteReference"/>
          <w:color w:val="auto"/>
          <w:sz w:val="19"/>
          <w:szCs w:val="19"/>
        </w:rPr>
        <w:footnoteReference w:id="59"/>
      </w:r>
      <w:bookmarkEnd w:id="199"/>
      <w:r w:rsidRPr="00155974">
        <w:rPr>
          <w:color w:val="auto"/>
          <w:sz w:val="19"/>
          <w:szCs w:val="19"/>
        </w:rPr>
        <w:t xml:space="preserve"> Requiring the disclosure will ensure that information about the entity’s imputation credits will not be lost when entities transition from SPFS to this Standard.</w:t>
      </w:r>
      <w:bookmarkEnd w:id="200"/>
    </w:p>
    <w:p w14:paraId="58FAF7E9" w14:textId="77777777" w:rsidR="0088075B" w:rsidRPr="00155974" w:rsidRDefault="0088075B" w:rsidP="00A74E07">
      <w:pPr>
        <w:pStyle w:val="IASBSectionTitle2Ind"/>
        <w:rPr>
          <w:noProof/>
        </w:rPr>
      </w:pPr>
      <w:r w:rsidRPr="00155974">
        <w:rPr>
          <w:noProof/>
        </w:rPr>
        <w:t>Specific transition disclosure requirements in another Standard</w:t>
      </w:r>
    </w:p>
    <w:p w14:paraId="2F0595AA" w14:textId="473F08C1"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The Board noted that other Australian Accounting Standards may provide transition options for entities on initial application and that these options may be accompanied by specific transition disclosure requirements. Examples of such transition options can be found in AASB 15, AASB 16, AASB 1058 </w:t>
      </w:r>
      <w:r w:rsidRPr="00155974">
        <w:rPr>
          <w:i/>
          <w:iCs/>
          <w:color w:val="auto"/>
          <w:sz w:val="19"/>
          <w:szCs w:val="19"/>
        </w:rPr>
        <w:t>Income of Not-for-Profit Entities</w:t>
      </w:r>
      <w:r w:rsidRPr="00155974">
        <w:rPr>
          <w:color w:val="auto"/>
          <w:sz w:val="19"/>
          <w:szCs w:val="19"/>
        </w:rPr>
        <w:t xml:space="preserve"> or AASB 1059 </w:t>
      </w:r>
      <w:r w:rsidRPr="00155974">
        <w:rPr>
          <w:i/>
          <w:color w:val="auto"/>
          <w:sz w:val="19"/>
          <w:szCs w:val="19"/>
        </w:rPr>
        <w:t>Service Concession Arrangements: Grantors</w:t>
      </w:r>
      <w:r w:rsidRPr="00155974">
        <w:rPr>
          <w:color w:val="auto"/>
          <w:sz w:val="19"/>
          <w:szCs w:val="19"/>
        </w:rPr>
        <w:t xml:space="preserve">. The Board decided that where this is the case, the entity shall apply the relevant specific transition disclosures that are required under that </w:t>
      </w:r>
      <w:r w:rsidRPr="00155974">
        <w:rPr>
          <w:color w:val="auto"/>
          <w:sz w:val="19"/>
          <w:szCs w:val="19"/>
        </w:rPr>
        <w:lastRenderedPageBreak/>
        <w:t xml:space="preserve">Standard for the selected transition option instead of the disclosures for a change in accounting policy specified in paragraph </w:t>
      </w:r>
      <w:r w:rsidR="00BB52E7" w:rsidRPr="00155974">
        <w:rPr>
          <w:color w:val="auto"/>
          <w:sz w:val="19"/>
          <w:szCs w:val="19"/>
        </w:rPr>
        <w:fldChar w:fldCharType="begin"/>
      </w:r>
      <w:r w:rsidR="00BB52E7" w:rsidRPr="00155974">
        <w:rPr>
          <w:color w:val="auto"/>
          <w:sz w:val="19"/>
          <w:szCs w:val="19"/>
        </w:rPr>
        <w:instrText xml:space="preserve"> REF _Ref34649510 \r \h </w:instrText>
      </w:r>
      <w:r w:rsidR="00155974">
        <w:rPr>
          <w:color w:val="auto"/>
          <w:sz w:val="19"/>
          <w:szCs w:val="19"/>
        </w:rPr>
        <w:instrText xml:space="preserve"> \* MERGEFORMAT </w:instrText>
      </w:r>
      <w:r w:rsidR="00BB52E7" w:rsidRPr="00155974">
        <w:rPr>
          <w:color w:val="auto"/>
          <w:sz w:val="19"/>
          <w:szCs w:val="19"/>
        </w:rPr>
      </w:r>
      <w:r w:rsidR="00BB52E7" w:rsidRPr="00155974">
        <w:rPr>
          <w:color w:val="auto"/>
          <w:sz w:val="19"/>
          <w:szCs w:val="19"/>
        </w:rPr>
        <w:fldChar w:fldCharType="separate"/>
      </w:r>
      <w:r w:rsidR="00454A6B">
        <w:rPr>
          <w:color w:val="auto"/>
          <w:sz w:val="19"/>
          <w:szCs w:val="19"/>
        </w:rPr>
        <w:t>106</w:t>
      </w:r>
      <w:r w:rsidR="00BB52E7" w:rsidRPr="00155974">
        <w:rPr>
          <w:color w:val="auto"/>
          <w:sz w:val="19"/>
          <w:szCs w:val="19"/>
        </w:rPr>
        <w:fldChar w:fldCharType="end"/>
      </w:r>
      <w:r w:rsidRPr="00155974">
        <w:rPr>
          <w:color w:val="auto"/>
          <w:sz w:val="19"/>
          <w:szCs w:val="19"/>
        </w:rPr>
        <w:t xml:space="preserve"> of this Standard.</w:t>
      </w:r>
    </w:p>
    <w:p w14:paraId="044B6371" w14:textId="28B2FA11"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This is because even though the specific transition option under another Standard may require additional disclosures compared to what would be required under paragraph </w:t>
      </w:r>
      <w:r w:rsidR="00C5539E" w:rsidRPr="00155974">
        <w:rPr>
          <w:color w:val="auto"/>
          <w:sz w:val="19"/>
          <w:szCs w:val="19"/>
        </w:rPr>
        <w:fldChar w:fldCharType="begin"/>
      </w:r>
      <w:r w:rsidR="00C5539E" w:rsidRPr="00155974">
        <w:rPr>
          <w:color w:val="auto"/>
          <w:sz w:val="19"/>
          <w:szCs w:val="19"/>
        </w:rPr>
        <w:instrText xml:space="preserve"> REF _Ref34649510 \r \h </w:instrText>
      </w:r>
      <w:r w:rsidR="00155974">
        <w:rPr>
          <w:color w:val="auto"/>
          <w:sz w:val="19"/>
          <w:szCs w:val="19"/>
        </w:rPr>
        <w:instrText xml:space="preserve"> \* MERGEFORMAT </w:instrText>
      </w:r>
      <w:r w:rsidR="00C5539E" w:rsidRPr="00155974">
        <w:rPr>
          <w:color w:val="auto"/>
          <w:sz w:val="19"/>
          <w:szCs w:val="19"/>
        </w:rPr>
      </w:r>
      <w:r w:rsidR="00C5539E" w:rsidRPr="00155974">
        <w:rPr>
          <w:color w:val="auto"/>
          <w:sz w:val="19"/>
          <w:szCs w:val="19"/>
        </w:rPr>
        <w:fldChar w:fldCharType="separate"/>
      </w:r>
      <w:r w:rsidR="00454A6B">
        <w:rPr>
          <w:color w:val="auto"/>
          <w:sz w:val="19"/>
          <w:szCs w:val="19"/>
        </w:rPr>
        <w:t>106</w:t>
      </w:r>
      <w:r w:rsidR="00C5539E" w:rsidRPr="00155974">
        <w:rPr>
          <w:color w:val="auto"/>
          <w:sz w:val="19"/>
          <w:szCs w:val="19"/>
        </w:rPr>
        <w:fldChar w:fldCharType="end"/>
      </w:r>
      <w:r w:rsidRPr="00155974">
        <w:rPr>
          <w:color w:val="auto"/>
          <w:sz w:val="19"/>
          <w:szCs w:val="19"/>
        </w:rPr>
        <w:t xml:space="preserve">, the Board noted that the targeted disclosures of the selected transition option provide more relevant information about the transitional impact than the general accounting policy change disclosures required under paragraph </w:t>
      </w:r>
      <w:r w:rsidR="00C5539E" w:rsidRPr="00155974">
        <w:rPr>
          <w:color w:val="auto"/>
          <w:sz w:val="19"/>
          <w:szCs w:val="19"/>
        </w:rPr>
        <w:fldChar w:fldCharType="begin"/>
      </w:r>
      <w:r w:rsidR="00C5539E" w:rsidRPr="00155974">
        <w:rPr>
          <w:color w:val="auto"/>
          <w:sz w:val="19"/>
          <w:szCs w:val="19"/>
        </w:rPr>
        <w:instrText xml:space="preserve"> REF _Ref34649510 \r \h </w:instrText>
      </w:r>
      <w:r w:rsidR="00155974">
        <w:rPr>
          <w:color w:val="auto"/>
          <w:sz w:val="19"/>
          <w:szCs w:val="19"/>
        </w:rPr>
        <w:instrText xml:space="preserve"> \* MERGEFORMAT </w:instrText>
      </w:r>
      <w:r w:rsidR="00C5539E" w:rsidRPr="00155974">
        <w:rPr>
          <w:color w:val="auto"/>
          <w:sz w:val="19"/>
          <w:szCs w:val="19"/>
        </w:rPr>
      </w:r>
      <w:r w:rsidR="00C5539E" w:rsidRPr="00155974">
        <w:rPr>
          <w:color w:val="auto"/>
          <w:sz w:val="19"/>
          <w:szCs w:val="19"/>
        </w:rPr>
        <w:fldChar w:fldCharType="separate"/>
      </w:r>
      <w:r w:rsidR="00454A6B">
        <w:rPr>
          <w:color w:val="auto"/>
          <w:sz w:val="19"/>
          <w:szCs w:val="19"/>
        </w:rPr>
        <w:t>106</w:t>
      </w:r>
      <w:r w:rsidR="00C5539E" w:rsidRPr="00155974">
        <w:rPr>
          <w:color w:val="auto"/>
          <w:sz w:val="19"/>
          <w:szCs w:val="19"/>
        </w:rPr>
        <w:fldChar w:fldCharType="end"/>
      </w:r>
      <w:r w:rsidRPr="00155974">
        <w:rPr>
          <w:color w:val="auto"/>
          <w:sz w:val="19"/>
          <w:szCs w:val="19"/>
        </w:rPr>
        <w:t xml:space="preserve">. </w:t>
      </w:r>
    </w:p>
    <w:p w14:paraId="5B32A0DE" w14:textId="5585C743" w:rsidR="0088075B" w:rsidRPr="00155974" w:rsidRDefault="0088075B" w:rsidP="000E61D3">
      <w:pPr>
        <w:pStyle w:val="Default"/>
        <w:numPr>
          <w:ilvl w:val="0"/>
          <w:numId w:val="35"/>
        </w:numPr>
        <w:spacing w:before="100"/>
        <w:ind w:left="782" w:hanging="782"/>
        <w:jc w:val="both"/>
        <w:rPr>
          <w:color w:val="auto"/>
          <w:sz w:val="19"/>
          <w:szCs w:val="19"/>
        </w:rPr>
      </w:pPr>
      <w:r w:rsidRPr="00155974">
        <w:rPr>
          <w:color w:val="auto"/>
          <w:sz w:val="19"/>
          <w:szCs w:val="19"/>
        </w:rPr>
        <w:t xml:space="preserve">For example, where an entity adopts AASB 16 using the simplified transition approach and does not restate comparative information, AASB 16 paragraph C12 requires disclosure of an explanation of the differences between operating lease commitments disclosed under AASB 117 </w:t>
      </w:r>
      <w:r w:rsidRPr="00155974">
        <w:rPr>
          <w:i/>
          <w:iCs/>
          <w:color w:val="auto"/>
          <w:sz w:val="19"/>
          <w:szCs w:val="19"/>
        </w:rPr>
        <w:t>Leases</w:t>
      </w:r>
      <w:r w:rsidRPr="00155974">
        <w:rPr>
          <w:color w:val="auto"/>
          <w:sz w:val="19"/>
          <w:szCs w:val="19"/>
        </w:rPr>
        <w:t xml:space="preserve"> at the end of the previous annual reporting period to the lease liabilities recognised in the statement of financial position at the date of initial application under AASB 16, together with the weighted average lessee’s incremental borrowing rate applied to the lease liabilities recognised at the date of initial application. In addition, the entity must also disclose whether it has used any of the specified practical expedients when adopting AASB 16. This provides more relevant information than a disclosure of the adjustments recognised for each financial statement line item affected by the new accounting policy in paragraph </w:t>
      </w:r>
      <w:r w:rsidR="000A5308" w:rsidRPr="00155974">
        <w:rPr>
          <w:color w:val="auto"/>
          <w:sz w:val="19"/>
          <w:szCs w:val="19"/>
        </w:rPr>
        <w:fldChar w:fldCharType="begin"/>
      </w:r>
      <w:r w:rsidR="000A5308" w:rsidRPr="00155974">
        <w:rPr>
          <w:color w:val="auto"/>
          <w:sz w:val="19"/>
          <w:szCs w:val="19"/>
        </w:rPr>
        <w:instrText xml:space="preserve"> REF _Ref34649510 \r \h </w:instrText>
      </w:r>
      <w:r w:rsidR="00155974">
        <w:rPr>
          <w:color w:val="auto"/>
          <w:sz w:val="19"/>
          <w:szCs w:val="19"/>
        </w:rPr>
        <w:instrText xml:space="preserve"> \* MERGEFORMAT </w:instrText>
      </w:r>
      <w:r w:rsidR="000A5308" w:rsidRPr="00155974">
        <w:rPr>
          <w:color w:val="auto"/>
          <w:sz w:val="19"/>
          <w:szCs w:val="19"/>
        </w:rPr>
      </w:r>
      <w:r w:rsidR="000A5308" w:rsidRPr="00155974">
        <w:rPr>
          <w:color w:val="auto"/>
          <w:sz w:val="19"/>
          <w:szCs w:val="19"/>
        </w:rPr>
        <w:fldChar w:fldCharType="separate"/>
      </w:r>
      <w:r w:rsidR="00454A6B">
        <w:rPr>
          <w:color w:val="auto"/>
          <w:sz w:val="19"/>
          <w:szCs w:val="19"/>
        </w:rPr>
        <w:t>106</w:t>
      </w:r>
      <w:r w:rsidR="000A5308" w:rsidRPr="00155974">
        <w:rPr>
          <w:color w:val="auto"/>
          <w:sz w:val="19"/>
          <w:szCs w:val="19"/>
        </w:rPr>
        <w:fldChar w:fldCharType="end"/>
      </w:r>
      <w:r w:rsidRPr="00155974">
        <w:rPr>
          <w:color w:val="auto"/>
          <w:sz w:val="19"/>
          <w:szCs w:val="19"/>
        </w:rPr>
        <w:t>(b) for the current and each prior period presented.</w:t>
      </w:r>
    </w:p>
    <w:p w14:paraId="4052550B" w14:textId="77777777" w:rsidR="0088075B" w:rsidRPr="00155974" w:rsidRDefault="0088075B" w:rsidP="00A74E07">
      <w:pPr>
        <w:pStyle w:val="IASBSectionTitle2Ind"/>
        <w:rPr>
          <w:noProof/>
        </w:rPr>
      </w:pPr>
      <w:r w:rsidRPr="00155974">
        <w:rPr>
          <w:noProof/>
        </w:rPr>
        <w:t>AASB Standards and Interpretations not covered in AASB 1060</w:t>
      </w:r>
    </w:p>
    <w:p w14:paraId="31954C28" w14:textId="5B8F8B18" w:rsidR="0088075B" w:rsidRPr="00155974" w:rsidRDefault="0088075B" w:rsidP="000E61D3">
      <w:pPr>
        <w:pStyle w:val="Default"/>
        <w:numPr>
          <w:ilvl w:val="0"/>
          <w:numId w:val="35"/>
        </w:numPr>
        <w:spacing w:before="100"/>
        <w:ind w:left="782" w:hanging="782"/>
        <w:jc w:val="both"/>
        <w:rPr>
          <w:noProof/>
          <w:sz w:val="19"/>
          <w:szCs w:val="19"/>
        </w:rPr>
      </w:pPr>
      <w:bookmarkStart w:id="201" w:name="_Ref8739698"/>
      <w:r w:rsidRPr="00155974">
        <w:rPr>
          <w:sz w:val="19"/>
          <w:szCs w:val="19"/>
        </w:rPr>
        <w:t xml:space="preserve">There are a number of Standards that the Board decided not to address in this Standard </w:t>
      </w:r>
      <w:r w:rsidRPr="00155974">
        <w:rPr>
          <w:noProof/>
          <w:sz w:val="19"/>
          <w:szCs w:val="19"/>
        </w:rPr>
        <w:t>for the following reasons:</w:t>
      </w:r>
      <w:bookmarkEnd w:id="194"/>
      <w:bookmarkEnd w:id="201"/>
    </w:p>
    <w:p w14:paraId="4797671C" w14:textId="2EDFB179" w:rsidR="0088075B" w:rsidRPr="00155974" w:rsidRDefault="0088075B" w:rsidP="000E61D3">
      <w:pPr>
        <w:numPr>
          <w:ilvl w:val="0"/>
          <w:numId w:val="42"/>
        </w:numPr>
        <w:spacing w:before="100"/>
        <w:ind w:left="1564" w:hanging="782"/>
        <w:rPr>
          <w:szCs w:val="19"/>
        </w:rPr>
      </w:pPr>
      <w:r w:rsidRPr="00155974">
        <w:rPr>
          <w:noProof/>
          <w:szCs w:val="19"/>
        </w:rPr>
        <w:t xml:space="preserve">AASB 14 </w:t>
      </w:r>
      <w:r w:rsidRPr="00155974">
        <w:rPr>
          <w:i/>
          <w:noProof/>
          <w:szCs w:val="19"/>
        </w:rPr>
        <w:t xml:space="preserve">Regulatory Deferral Accounts </w:t>
      </w:r>
      <w:r w:rsidRPr="00155974">
        <w:rPr>
          <w:noProof/>
          <w:szCs w:val="19"/>
        </w:rPr>
        <w:t xml:space="preserve">as it would </w:t>
      </w:r>
      <w:r w:rsidRPr="00155974">
        <w:rPr>
          <w:szCs w:val="19"/>
        </w:rPr>
        <w:t xml:space="preserve">only be relevant for entities that have recognised regulatory deferral account balances under </w:t>
      </w:r>
      <w:r w:rsidRPr="00155974">
        <w:rPr>
          <w:noProof/>
          <w:szCs w:val="19"/>
        </w:rPr>
        <w:t>their current accounting policy (eg where the entity prepared SPFS without complying with the R&amp;M of full AAS)</w:t>
      </w:r>
      <w:r w:rsidRPr="00155974">
        <w:rPr>
          <w:szCs w:val="19"/>
        </w:rPr>
        <w:t xml:space="preserve">. None of the respondents to ED 295 identified any entities that intend to apply AASB 14 on transition to GPFS. The Board’s </w:t>
      </w:r>
      <w:r w:rsidRPr="009456EB">
        <w:rPr>
          <w:szCs w:val="19"/>
        </w:rPr>
        <w:t xml:space="preserve">decision also is consistent with IASB’s view that it should not incorporate the requirements of </w:t>
      </w:r>
      <w:r w:rsidRPr="00022B10">
        <w:rPr>
          <w:szCs w:val="19"/>
        </w:rPr>
        <w:t>IFRS</w:t>
      </w:r>
      <w:r w:rsidR="009456EB" w:rsidRPr="009456EB">
        <w:t> </w:t>
      </w:r>
      <w:r w:rsidRPr="009456EB">
        <w:rPr>
          <w:szCs w:val="19"/>
        </w:rPr>
        <w:t>14</w:t>
      </w:r>
      <w:r w:rsidRPr="00155974">
        <w:rPr>
          <w:szCs w:val="19"/>
        </w:rPr>
        <w:t xml:space="preserve"> as part of the current comprehensive review of the </w:t>
      </w:r>
      <w:r w:rsidRPr="00155974">
        <w:rPr>
          <w:i/>
          <w:iCs/>
          <w:szCs w:val="19"/>
        </w:rPr>
        <w:t>IFRS for SMEs</w:t>
      </w:r>
      <w:r w:rsidRPr="00155974">
        <w:rPr>
          <w:szCs w:val="19"/>
        </w:rPr>
        <w:t xml:space="preserve"> Standard</w:t>
      </w:r>
      <w:r w:rsidRPr="00155974">
        <w:rPr>
          <w:rStyle w:val="FootnoteReference"/>
          <w:szCs w:val="19"/>
        </w:rPr>
        <w:footnoteReference w:id="60"/>
      </w:r>
      <w:r w:rsidRPr="00155974">
        <w:rPr>
          <w:szCs w:val="19"/>
        </w:rPr>
        <w:t>;</w:t>
      </w:r>
    </w:p>
    <w:p w14:paraId="165B6914" w14:textId="77777777" w:rsidR="0088075B" w:rsidRPr="00155974" w:rsidRDefault="0088075B" w:rsidP="000E61D3">
      <w:pPr>
        <w:numPr>
          <w:ilvl w:val="0"/>
          <w:numId w:val="42"/>
        </w:numPr>
        <w:spacing w:before="100"/>
        <w:ind w:left="1564" w:hanging="782"/>
        <w:rPr>
          <w:szCs w:val="19"/>
        </w:rPr>
      </w:pPr>
      <w:r w:rsidRPr="00155974">
        <w:rPr>
          <w:noProof/>
          <w:szCs w:val="19"/>
        </w:rPr>
        <w:t xml:space="preserve">AASB 4 </w:t>
      </w:r>
      <w:r w:rsidRPr="00155974">
        <w:rPr>
          <w:i/>
          <w:noProof/>
          <w:szCs w:val="19"/>
        </w:rPr>
        <w:t>Insurance Contracts</w:t>
      </w:r>
      <w:r w:rsidRPr="00155974">
        <w:rPr>
          <w:noProof/>
          <w:szCs w:val="19"/>
        </w:rPr>
        <w:t xml:space="preserve">, AASB 17 </w:t>
      </w:r>
      <w:r w:rsidRPr="00155974">
        <w:rPr>
          <w:i/>
          <w:noProof/>
          <w:szCs w:val="19"/>
        </w:rPr>
        <w:t>Insurance Contracts</w:t>
      </w:r>
      <w:r w:rsidRPr="00155974">
        <w:rPr>
          <w:noProof/>
          <w:szCs w:val="19"/>
        </w:rPr>
        <w:t xml:space="preserve">, AASB 1023 </w:t>
      </w:r>
      <w:r w:rsidRPr="00155974">
        <w:rPr>
          <w:i/>
          <w:noProof/>
          <w:szCs w:val="19"/>
        </w:rPr>
        <w:t>General Insurance Contracts</w:t>
      </w:r>
      <w:r w:rsidRPr="00155974">
        <w:rPr>
          <w:noProof/>
          <w:szCs w:val="19"/>
        </w:rPr>
        <w:t xml:space="preserve">, AASB 1038 </w:t>
      </w:r>
      <w:r w:rsidRPr="00155974">
        <w:rPr>
          <w:i/>
          <w:noProof/>
          <w:szCs w:val="19"/>
        </w:rPr>
        <w:t>Life Insurance Contarcts</w:t>
      </w:r>
      <w:r w:rsidRPr="00155974">
        <w:rPr>
          <w:noProof/>
          <w:szCs w:val="19"/>
        </w:rPr>
        <w:t xml:space="preserve"> and AASB 1056 </w:t>
      </w:r>
      <w:r w:rsidRPr="00155974">
        <w:rPr>
          <w:i/>
          <w:noProof/>
          <w:szCs w:val="19"/>
        </w:rPr>
        <w:t>Superannuation Entities</w:t>
      </w:r>
      <w:r w:rsidRPr="00155974">
        <w:rPr>
          <w:noProof/>
          <w:szCs w:val="19"/>
        </w:rPr>
        <w:t xml:space="preserve"> are not addressed in this Standard as </w:t>
      </w:r>
      <w:r w:rsidRPr="00155974" w:rsidDel="000C2E41">
        <w:rPr>
          <w:noProof/>
          <w:szCs w:val="19"/>
        </w:rPr>
        <w:t xml:space="preserve">the </w:t>
      </w:r>
      <w:r w:rsidRPr="00155974">
        <w:rPr>
          <w:noProof/>
          <w:szCs w:val="19"/>
        </w:rPr>
        <w:t xml:space="preserve">majority of the entities applying these Standards would have public accountability by holding assets in a fiduciary capacity. </w:t>
      </w:r>
    </w:p>
    <w:p w14:paraId="4BDAD7D1" w14:textId="77777777" w:rsidR="0088075B" w:rsidRPr="00155974" w:rsidRDefault="0088075B" w:rsidP="00470652">
      <w:pPr>
        <w:spacing w:before="100"/>
        <w:ind w:left="1564"/>
        <w:rPr>
          <w:szCs w:val="19"/>
        </w:rPr>
      </w:pPr>
      <w:r w:rsidRPr="00155974">
        <w:rPr>
          <w:noProof/>
          <w:szCs w:val="19"/>
        </w:rPr>
        <w:t xml:space="preserve">The Board acknowledged that AASB 4 and AASB 17 would also be applicable to entities such as ‘captive insurers’ which may not be publicly accountable and hence would be eligible to apply this Standard. These entities will have to provide the full disclosures of AASB 4 or AASB 17, as the disclosures in these standards have not been replaced by AASB 1060. However, the Board was of the view that ‘captive insurers’ deal only with insurance contracts within their own group and as a result are likely to have relatively simple insurance arrangements. They would therefore not be unduly impacted by the full disclosure requirements under these Standards. </w:t>
      </w:r>
    </w:p>
    <w:p w14:paraId="25964591" w14:textId="77777777" w:rsidR="0088075B" w:rsidRPr="00155974" w:rsidRDefault="0088075B" w:rsidP="00470652">
      <w:pPr>
        <w:spacing w:before="100"/>
        <w:ind w:left="1564"/>
        <w:rPr>
          <w:szCs w:val="19"/>
        </w:rPr>
      </w:pPr>
      <w:r w:rsidRPr="00155974">
        <w:rPr>
          <w:noProof/>
          <w:szCs w:val="19"/>
        </w:rPr>
        <w:t xml:space="preserve">In relation to AASB 1056, the Board concluded that superannuation entities are currently divided between Tier 1 entities and non-reporting entities (including Small Australian Prudential Regulation Authority (APRA) Funds (SAFs) and Self-Managed Superannuation Funds (SMSFs)). Accordingly, Tier 2 disclosures were not developed for these entities. The Board further noted that there is currently no legislative requirements for superannuation entities to prepare financial statements in accordance with AAS. Until such time as the legislation is changed, superannaution entities could therefore continue preparing SPFS and thus AASB 1056 has been excluded from this Standard. </w:t>
      </w:r>
    </w:p>
    <w:p w14:paraId="10F7A0F3" w14:textId="77777777" w:rsidR="0088075B" w:rsidRPr="00155974" w:rsidRDefault="0088075B" w:rsidP="000E61D3">
      <w:pPr>
        <w:numPr>
          <w:ilvl w:val="0"/>
          <w:numId w:val="42"/>
        </w:numPr>
        <w:spacing w:before="100"/>
        <w:ind w:left="1564" w:hanging="782"/>
      </w:pPr>
      <w:r w:rsidRPr="00155974">
        <w:rPr>
          <w:noProof/>
        </w:rPr>
        <w:t xml:space="preserve">AASB 8 </w:t>
      </w:r>
      <w:r w:rsidRPr="00155974">
        <w:rPr>
          <w:i/>
          <w:iCs/>
          <w:noProof/>
        </w:rPr>
        <w:t>Operating Segments</w:t>
      </w:r>
      <w:r w:rsidRPr="00155974">
        <w:rPr>
          <w:noProof/>
        </w:rPr>
        <w:t xml:space="preserve"> and AASB 133 </w:t>
      </w:r>
      <w:r w:rsidRPr="00155974">
        <w:rPr>
          <w:i/>
          <w:iCs/>
          <w:noProof/>
        </w:rPr>
        <w:t xml:space="preserve">Earnings per Share </w:t>
      </w:r>
      <w:r w:rsidRPr="00155974">
        <w:rPr>
          <w:noProof/>
        </w:rPr>
        <w:t xml:space="preserve">require disclosure of segment information and of earnings per share data only for entities which have debt or equity instruments that are traded, or are in the process of being issued for trading in a public market. These entities would have public accountability and, accordingly, the Board decided that these Standards are not applicable for Tier 2 entities. Instead, consistent with the </w:t>
      </w:r>
      <w:r w:rsidRPr="00155974">
        <w:rPr>
          <w:i/>
          <w:iCs/>
          <w:noProof/>
        </w:rPr>
        <w:t>IFRS for SMEs</w:t>
      </w:r>
      <w:r w:rsidRPr="00155974">
        <w:rPr>
          <w:noProof/>
        </w:rPr>
        <w:t xml:space="preserve"> Standard, </w:t>
      </w:r>
      <w:r w:rsidRPr="00155974">
        <w:t xml:space="preserve">paragraph </w:t>
      </w:r>
      <w:r w:rsidRPr="00155974">
        <w:rPr>
          <w:noProof/>
        </w:rPr>
        <w:t xml:space="preserve">33 refers back to these Standards and provides that an entity disclosing segment information or earnings per share must comply with AASB 8 or AASB 133 respectively in full. </w:t>
      </w:r>
    </w:p>
    <w:p w14:paraId="06E63285" w14:textId="56A83A7C" w:rsidR="0088075B" w:rsidRPr="00155974" w:rsidRDefault="0088075B" w:rsidP="000E61D3">
      <w:pPr>
        <w:numPr>
          <w:ilvl w:val="0"/>
          <w:numId w:val="42"/>
        </w:numPr>
        <w:spacing w:before="100"/>
        <w:ind w:left="1564" w:hanging="782"/>
      </w:pPr>
      <w:r w:rsidRPr="00155974">
        <w:rPr>
          <w:noProof/>
        </w:rPr>
        <w:t>AASB 134</w:t>
      </w:r>
      <w:r w:rsidRPr="00155974">
        <w:t xml:space="preserve"> </w:t>
      </w:r>
      <w:r w:rsidRPr="00155974">
        <w:rPr>
          <w:i/>
          <w:iCs/>
          <w:noProof/>
        </w:rPr>
        <w:t>Interim Financial Reporting</w:t>
      </w:r>
      <w:r w:rsidRPr="00155974">
        <w:rPr>
          <w:noProof/>
        </w:rPr>
        <w:t xml:space="preserve"> is applicable for the specific purpose of preparing interim financial reports and AASB 1039 </w:t>
      </w:r>
      <w:r w:rsidRPr="00155974">
        <w:rPr>
          <w:i/>
          <w:iCs/>
          <w:noProof/>
        </w:rPr>
        <w:t>Concise Financial Reports</w:t>
      </w:r>
      <w:r w:rsidRPr="00155974">
        <w:rPr>
          <w:noProof/>
        </w:rPr>
        <w:t xml:space="preserve"> is applicable for the specific purpose of preparing concise reports under the Corporations Act 2001. AASB 1060 is intended to be used in </w:t>
      </w:r>
      <w:r w:rsidRPr="00D07B28">
        <w:rPr>
          <w:noProof/>
        </w:rPr>
        <w:t xml:space="preserve">the preparation of annual GPFS. Accordingly, the Board considered that AASB 134 and </w:t>
      </w:r>
      <w:r w:rsidRPr="00022B10">
        <w:rPr>
          <w:noProof/>
        </w:rPr>
        <w:t>AASB</w:t>
      </w:r>
      <w:r w:rsidR="00D07B28" w:rsidRPr="00D07B28">
        <w:t> </w:t>
      </w:r>
      <w:r w:rsidRPr="00D07B28">
        <w:rPr>
          <w:noProof/>
        </w:rPr>
        <w:t>1039</w:t>
      </w:r>
      <w:r w:rsidRPr="00155974">
        <w:rPr>
          <w:noProof/>
        </w:rPr>
        <w:t xml:space="preserve"> are not relevant in relation to this disclosure Standard.</w:t>
      </w:r>
    </w:p>
    <w:p w14:paraId="482CBA2F" w14:textId="055FB70E" w:rsidR="0088075B" w:rsidRPr="00155974" w:rsidRDefault="0088075B" w:rsidP="000E61D3">
      <w:pPr>
        <w:numPr>
          <w:ilvl w:val="0"/>
          <w:numId w:val="42"/>
        </w:numPr>
        <w:spacing w:before="100"/>
        <w:ind w:left="1564" w:hanging="782"/>
        <w:rPr>
          <w:i/>
          <w:iCs/>
        </w:rPr>
      </w:pPr>
      <w:r w:rsidRPr="00155974">
        <w:rPr>
          <w:noProof/>
        </w:rPr>
        <w:lastRenderedPageBreak/>
        <w:t xml:space="preserve">The majority of the disclosures from AASB 1054 are now covered in AASB 1060: paragraphs 7 and 8 of AASB 1054 are covered in </w:t>
      </w:r>
      <w:r w:rsidRPr="00155974">
        <w:t xml:space="preserve">paragraphs </w:t>
      </w:r>
      <w:r w:rsidR="006742DB" w:rsidRPr="00155974">
        <w:rPr>
          <w:noProof/>
        </w:rPr>
        <w:fldChar w:fldCharType="begin"/>
      </w:r>
      <w:r w:rsidR="006742DB" w:rsidRPr="00155974">
        <w:instrText xml:space="preserve"> REF _Ref34594056 \r \h </w:instrText>
      </w:r>
      <w:r w:rsidR="00155974">
        <w:rPr>
          <w:noProof/>
        </w:rPr>
        <w:instrText xml:space="preserve"> \* MERGEFORMAT </w:instrText>
      </w:r>
      <w:r w:rsidR="006742DB" w:rsidRPr="00155974">
        <w:rPr>
          <w:noProof/>
        </w:rPr>
      </w:r>
      <w:r w:rsidR="006742DB" w:rsidRPr="00155974">
        <w:rPr>
          <w:noProof/>
        </w:rPr>
        <w:fldChar w:fldCharType="separate"/>
      </w:r>
      <w:r w:rsidR="00454A6B">
        <w:t>10</w:t>
      </w:r>
      <w:r w:rsidR="006742DB" w:rsidRPr="00155974">
        <w:rPr>
          <w:noProof/>
        </w:rPr>
        <w:fldChar w:fldCharType="end"/>
      </w:r>
      <w:r w:rsidR="006742DB" w:rsidRPr="00155974">
        <w:rPr>
          <w:noProof/>
        </w:rPr>
        <w:t>–</w:t>
      </w:r>
      <w:r w:rsidR="006742DB" w:rsidRPr="00155974">
        <w:rPr>
          <w:noProof/>
        </w:rPr>
        <w:fldChar w:fldCharType="begin"/>
      </w:r>
      <w:r w:rsidR="006742DB" w:rsidRPr="00155974">
        <w:rPr>
          <w:noProof/>
        </w:rPr>
        <w:instrText xml:space="preserve"> REF _Ref35361364 \r \h </w:instrText>
      </w:r>
      <w:r w:rsidR="00155974">
        <w:rPr>
          <w:noProof/>
        </w:rPr>
        <w:instrText xml:space="preserve"> \* MERGEFORMAT </w:instrText>
      </w:r>
      <w:r w:rsidR="006742DB" w:rsidRPr="00155974">
        <w:rPr>
          <w:noProof/>
        </w:rPr>
      </w:r>
      <w:r w:rsidR="006742DB" w:rsidRPr="00155974">
        <w:rPr>
          <w:noProof/>
        </w:rPr>
        <w:fldChar w:fldCharType="separate"/>
      </w:r>
      <w:r w:rsidR="00454A6B">
        <w:rPr>
          <w:noProof/>
        </w:rPr>
        <w:t>11</w:t>
      </w:r>
      <w:r w:rsidR="006742DB" w:rsidRPr="00155974">
        <w:rPr>
          <w:noProof/>
        </w:rPr>
        <w:fldChar w:fldCharType="end"/>
      </w:r>
      <w:r w:rsidRPr="00155974">
        <w:rPr>
          <w:noProof/>
        </w:rPr>
        <w:t xml:space="preserve"> of AASB 1060, paragraphs 10 and 11 of AASB</w:t>
      </w:r>
      <w:r w:rsidR="006742DB" w:rsidRPr="00155974">
        <w:rPr>
          <w:noProof/>
        </w:rPr>
        <w:t> </w:t>
      </w:r>
      <w:r w:rsidRPr="00155974">
        <w:rPr>
          <w:noProof/>
        </w:rPr>
        <w:t xml:space="preserve">1054 are covered in </w:t>
      </w:r>
      <w:r w:rsidRPr="00155974">
        <w:t xml:space="preserve">paragraphs </w:t>
      </w:r>
      <w:r w:rsidR="00AD6122" w:rsidRPr="00155974">
        <w:fldChar w:fldCharType="begin"/>
      </w:r>
      <w:r w:rsidR="00AD6122" w:rsidRPr="00155974">
        <w:instrText xml:space="preserve"> REF _Ref34594156 \r \h </w:instrText>
      </w:r>
      <w:r w:rsidR="00155974">
        <w:instrText xml:space="preserve"> \* MERGEFORMAT </w:instrText>
      </w:r>
      <w:r w:rsidR="00AD6122" w:rsidRPr="00155974">
        <w:fldChar w:fldCharType="separate"/>
      </w:r>
      <w:r w:rsidR="00454A6B">
        <w:t>98</w:t>
      </w:r>
      <w:r w:rsidR="00AD6122" w:rsidRPr="00155974">
        <w:fldChar w:fldCharType="end"/>
      </w:r>
      <w:r w:rsidRPr="00155974">
        <w:t xml:space="preserve"> and </w:t>
      </w:r>
      <w:r w:rsidR="00AD6122" w:rsidRPr="00155974">
        <w:rPr>
          <w:noProof/>
        </w:rPr>
        <w:fldChar w:fldCharType="begin"/>
      </w:r>
      <w:r w:rsidR="00AD6122" w:rsidRPr="00155974">
        <w:instrText xml:space="preserve"> REF _Ref35360722 \r \h </w:instrText>
      </w:r>
      <w:r w:rsidR="00155974">
        <w:rPr>
          <w:noProof/>
        </w:rPr>
        <w:instrText xml:space="preserve"> \* MERGEFORMAT </w:instrText>
      </w:r>
      <w:r w:rsidR="00AD6122" w:rsidRPr="00155974">
        <w:rPr>
          <w:noProof/>
        </w:rPr>
      </w:r>
      <w:r w:rsidR="00AD6122" w:rsidRPr="00155974">
        <w:rPr>
          <w:noProof/>
        </w:rPr>
        <w:fldChar w:fldCharType="separate"/>
      </w:r>
      <w:r w:rsidR="00454A6B">
        <w:t>99</w:t>
      </w:r>
      <w:r w:rsidR="00AD6122" w:rsidRPr="00155974">
        <w:rPr>
          <w:noProof/>
        </w:rPr>
        <w:fldChar w:fldCharType="end"/>
      </w:r>
      <w:r w:rsidRPr="00155974">
        <w:rPr>
          <w:noProof/>
        </w:rPr>
        <w:t xml:space="preserve"> of AASB 1060 as discussed in paragraph </w:t>
      </w:r>
      <w:r w:rsidRPr="00155974">
        <w:rPr>
          <w:noProof/>
        </w:rPr>
        <w:fldChar w:fldCharType="begin"/>
      </w:r>
      <w:r w:rsidRPr="00155974">
        <w:rPr>
          <w:noProof/>
        </w:rPr>
        <w:instrText xml:space="preserve"> REF _Ref14880701 \r \h  \* MERGEFORMAT </w:instrText>
      </w:r>
      <w:r w:rsidRPr="00155974">
        <w:rPr>
          <w:noProof/>
        </w:rPr>
      </w:r>
      <w:r w:rsidRPr="00155974">
        <w:rPr>
          <w:noProof/>
        </w:rPr>
        <w:fldChar w:fldCharType="separate"/>
      </w:r>
      <w:r w:rsidR="00454A6B">
        <w:rPr>
          <w:noProof/>
        </w:rPr>
        <w:t>BC75</w:t>
      </w:r>
      <w:r w:rsidRPr="00155974">
        <w:rPr>
          <w:noProof/>
        </w:rPr>
        <w:fldChar w:fldCharType="end"/>
      </w:r>
      <w:r w:rsidRPr="00155974">
        <w:rPr>
          <w:noProof/>
        </w:rPr>
        <w:t xml:space="preserve"> and paragraphs 12–15 of AASB 1054 are covered in </w:t>
      </w:r>
      <w:r w:rsidRPr="00155974">
        <w:t xml:space="preserve">paragraphs </w:t>
      </w:r>
      <w:r w:rsidR="00056A7D" w:rsidRPr="00155974">
        <w:fldChar w:fldCharType="begin"/>
      </w:r>
      <w:r w:rsidR="00056A7D" w:rsidRPr="00155974">
        <w:instrText xml:space="preserve"> REF _Ref34734034 \r \h </w:instrText>
      </w:r>
      <w:r w:rsidR="00155974">
        <w:instrText xml:space="preserve"> \* MERGEFORMAT </w:instrText>
      </w:r>
      <w:r w:rsidR="00056A7D" w:rsidRPr="00155974">
        <w:fldChar w:fldCharType="separate"/>
      </w:r>
      <w:r w:rsidR="00454A6B">
        <w:t>100</w:t>
      </w:r>
      <w:r w:rsidR="00056A7D" w:rsidRPr="00155974">
        <w:fldChar w:fldCharType="end"/>
      </w:r>
      <w:r w:rsidRPr="00155974">
        <w:t>–</w:t>
      </w:r>
      <w:r w:rsidR="00056A7D" w:rsidRPr="00155974">
        <w:fldChar w:fldCharType="begin"/>
      </w:r>
      <w:r w:rsidR="00056A7D" w:rsidRPr="00155974">
        <w:instrText xml:space="preserve"> REF _Ref34734072 \r \h </w:instrText>
      </w:r>
      <w:r w:rsidR="00155974">
        <w:instrText xml:space="preserve"> \* MERGEFORMAT </w:instrText>
      </w:r>
      <w:r w:rsidR="00056A7D" w:rsidRPr="00155974">
        <w:fldChar w:fldCharType="separate"/>
      </w:r>
      <w:r w:rsidR="00454A6B">
        <w:t>103</w:t>
      </w:r>
      <w:r w:rsidR="00056A7D" w:rsidRPr="00155974">
        <w:fldChar w:fldCharType="end"/>
      </w:r>
      <w:r w:rsidRPr="00155974">
        <w:t xml:space="preserve"> of AASB 1060</w:t>
      </w:r>
      <w:r w:rsidRPr="00155974">
        <w:rPr>
          <w:noProof/>
        </w:rPr>
        <w:t xml:space="preserve"> as discussed in paragraphs</w:t>
      </w:r>
      <w:r w:rsidR="00D5721B" w:rsidRPr="00155974">
        <w:rPr>
          <w:noProof/>
        </w:rPr>
        <w:fldChar w:fldCharType="begin"/>
      </w:r>
      <w:r w:rsidR="00D5721B" w:rsidRPr="00155974">
        <w:rPr>
          <w:noProof/>
        </w:rPr>
        <w:instrText xml:space="preserve"> REF _Ref35353342 \r \h </w:instrText>
      </w:r>
      <w:r w:rsidR="00155974">
        <w:rPr>
          <w:noProof/>
        </w:rPr>
        <w:instrText xml:space="preserve"> \* MERGEFORMAT </w:instrText>
      </w:r>
      <w:r w:rsidR="00D5721B" w:rsidRPr="00155974">
        <w:rPr>
          <w:noProof/>
        </w:rPr>
      </w:r>
      <w:r w:rsidR="00D5721B" w:rsidRPr="00155974">
        <w:rPr>
          <w:noProof/>
        </w:rPr>
        <w:fldChar w:fldCharType="separate"/>
      </w:r>
      <w:r w:rsidR="00454A6B">
        <w:rPr>
          <w:noProof/>
        </w:rPr>
        <w:t>BC83</w:t>
      </w:r>
      <w:r w:rsidR="00D5721B" w:rsidRPr="00155974">
        <w:rPr>
          <w:noProof/>
        </w:rPr>
        <w:fldChar w:fldCharType="end"/>
      </w:r>
      <w:r w:rsidRPr="00155974">
        <w:t>–</w:t>
      </w:r>
      <w:r w:rsidR="00D5721B" w:rsidRPr="00155974">
        <w:fldChar w:fldCharType="begin"/>
      </w:r>
      <w:r w:rsidR="00D5721B" w:rsidRPr="00155974">
        <w:instrText xml:space="preserve"> REF _Ref35353351 \r \h </w:instrText>
      </w:r>
      <w:r w:rsidR="00155974">
        <w:instrText xml:space="preserve"> \* MERGEFORMAT </w:instrText>
      </w:r>
      <w:r w:rsidR="00D5721B" w:rsidRPr="00155974">
        <w:fldChar w:fldCharType="separate"/>
      </w:r>
      <w:r w:rsidR="00454A6B">
        <w:t>BC84</w:t>
      </w:r>
      <w:r w:rsidR="00D5721B" w:rsidRPr="00155974">
        <w:fldChar w:fldCharType="end"/>
      </w:r>
      <w:r w:rsidRPr="00155974">
        <w:t>.</w:t>
      </w:r>
      <w:r w:rsidRPr="00155974">
        <w:rPr>
          <w:noProof/>
        </w:rPr>
        <w:t xml:space="preserve"> Paragraph 9 of AASB 1054 will no longer be relevant as it refers to SPFS and paragraph 16 of AASB 1054</w:t>
      </w:r>
      <w:r w:rsidRPr="00155974">
        <w:rPr>
          <w:i/>
          <w:iCs/>
          <w:noProof/>
        </w:rPr>
        <w:t xml:space="preserve"> </w:t>
      </w:r>
      <w:r w:rsidRPr="00155974">
        <w:rPr>
          <w:noProof/>
        </w:rPr>
        <w:t>does not provide information about short-term cash flows, obligations, commitment, contingencies, liquidity or solvency and is therefore not required.</w:t>
      </w:r>
    </w:p>
    <w:p w14:paraId="76EF7ACE" w14:textId="77777777" w:rsidR="0088075B" w:rsidRPr="00155974" w:rsidRDefault="0088075B" w:rsidP="000E61D3">
      <w:pPr>
        <w:numPr>
          <w:ilvl w:val="0"/>
          <w:numId w:val="42"/>
        </w:numPr>
        <w:spacing w:before="100"/>
        <w:ind w:left="1564" w:hanging="782"/>
        <w:rPr>
          <w:i/>
          <w:iCs/>
        </w:rPr>
      </w:pPr>
      <w:r w:rsidRPr="00155974">
        <w:rPr>
          <w:noProof/>
        </w:rPr>
        <w:t>AASB 1057</w:t>
      </w:r>
      <w:r w:rsidRPr="00155974">
        <w:t xml:space="preserve"> </w:t>
      </w:r>
      <w:r w:rsidRPr="00155974">
        <w:rPr>
          <w:noProof/>
        </w:rPr>
        <w:t>and AASB</w:t>
      </w:r>
      <w:r w:rsidRPr="00155974">
        <w:t xml:space="preserve"> </w:t>
      </w:r>
      <w:r w:rsidRPr="00155974">
        <w:rPr>
          <w:noProof/>
        </w:rPr>
        <w:t>1053 do not include any R&amp;M or disclosure requirements and as a result have not been included in this Standard.</w:t>
      </w:r>
    </w:p>
    <w:p w14:paraId="5C4739F4" w14:textId="77777777" w:rsidR="0088075B" w:rsidRPr="00155974" w:rsidRDefault="0088075B" w:rsidP="000E61D3">
      <w:pPr>
        <w:pStyle w:val="Default"/>
        <w:numPr>
          <w:ilvl w:val="0"/>
          <w:numId w:val="35"/>
        </w:numPr>
        <w:spacing w:before="100"/>
        <w:ind w:left="782" w:hanging="782"/>
        <w:jc w:val="both"/>
        <w:rPr>
          <w:noProof/>
          <w:sz w:val="19"/>
          <w:szCs w:val="19"/>
        </w:rPr>
      </w:pPr>
      <w:bookmarkStart w:id="202" w:name="_Ref7189003"/>
      <w:r w:rsidRPr="00155974">
        <w:rPr>
          <w:noProof/>
          <w:sz w:val="19"/>
          <w:szCs w:val="19"/>
        </w:rPr>
        <w:t>In assessing whether disclosure requirements of a particular AASB Interpretation would need to be added to AASB 1060, the Board has considered the following:</w:t>
      </w:r>
    </w:p>
    <w:p w14:paraId="33872F11" w14:textId="77777777" w:rsidR="0088075B" w:rsidRPr="00155974" w:rsidRDefault="0088075B" w:rsidP="000E61D3">
      <w:pPr>
        <w:numPr>
          <w:ilvl w:val="0"/>
          <w:numId w:val="40"/>
        </w:numPr>
        <w:spacing w:before="100"/>
        <w:ind w:left="1564" w:hanging="782"/>
        <w:rPr>
          <w:noProof/>
          <w:szCs w:val="19"/>
        </w:rPr>
      </w:pPr>
      <w:r w:rsidRPr="00155974">
        <w:rPr>
          <w:noProof/>
          <w:szCs w:val="19"/>
        </w:rPr>
        <w:t xml:space="preserve">If the Basis for Conclusions in the </w:t>
      </w:r>
      <w:r w:rsidRPr="00155974">
        <w:rPr>
          <w:i/>
          <w:iCs/>
          <w:noProof/>
          <w:szCs w:val="19"/>
        </w:rPr>
        <w:t>IFRS for SMEs</w:t>
      </w:r>
      <w:r w:rsidRPr="00155974">
        <w:rPr>
          <w:noProof/>
          <w:szCs w:val="19"/>
        </w:rPr>
        <w:t xml:space="preserve"> Standard confirmed that particular interpretations had been incorporated in the </w:t>
      </w:r>
      <w:r w:rsidRPr="00155974">
        <w:rPr>
          <w:i/>
          <w:iCs/>
          <w:noProof/>
          <w:szCs w:val="19"/>
        </w:rPr>
        <w:t>IFRS for SMEs</w:t>
      </w:r>
      <w:r w:rsidRPr="00155974">
        <w:rPr>
          <w:noProof/>
          <w:szCs w:val="19"/>
        </w:rPr>
        <w:t xml:space="preserve"> Standard, no further action was required.</w:t>
      </w:r>
    </w:p>
    <w:p w14:paraId="64256874" w14:textId="77777777" w:rsidR="0088075B" w:rsidRPr="00155974" w:rsidRDefault="0088075B" w:rsidP="000E61D3">
      <w:pPr>
        <w:numPr>
          <w:ilvl w:val="0"/>
          <w:numId w:val="40"/>
        </w:numPr>
        <w:spacing w:before="100"/>
        <w:ind w:left="1564" w:hanging="782"/>
        <w:rPr>
          <w:noProof/>
          <w:szCs w:val="19"/>
        </w:rPr>
      </w:pPr>
      <w:r w:rsidRPr="00155974">
        <w:rPr>
          <w:noProof/>
          <w:szCs w:val="19"/>
        </w:rPr>
        <w:t xml:space="preserve">No action was required for interprations that have been superseded or do not have any disclosure requirements. </w:t>
      </w:r>
    </w:p>
    <w:p w14:paraId="0A251CB6" w14:textId="77777777" w:rsidR="0088075B" w:rsidRPr="00155974" w:rsidRDefault="0088075B" w:rsidP="000E61D3">
      <w:pPr>
        <w:pStyle w:val="Default"/>
        <w:numPr>
          <w:ilvl w:val="0"/>
          <w:numId w:val="35"/>
        </w:numPr>
        <w:spacing w:before="100"/>
        <w:ind w:left="782" w:hanging="782"/>
        <w:jc w:val="both"/>
        <w:rPr>
          <w:noProof/>
          <w:sz w:val="19"/>
          <w:szCs w:val="19"/>
        </w:rPr>
      </w:pPr>
      <w:bookmarkStart w:id="203" w:name="_Ref8739705"/>
      <w:r w:rsidRPr="00155974">
        <w:rPr>
          <w:noProof/>
          <w:sz w:val="19"/>
          <w:szCs w:val="19"/>
        </w:rPr>
        <w:t xml:space="preserve">The Board </w:t>
      </w:r>
      <w:r w:rsidRPr="00155974">
        <w:rPr>
          <w:sz w:val="19"/>
          <w:szCs w:val="19"/>
        </w:rPr>
        <w:t>further</w:t>
      </w:r>
      <w:r w:rsidRPr="00155974">
        <w:rPr>
          <w:noProof/>
          <w:sz w:val="19"/>
          <w:szCs w:val="19"/>
        </w:rPr>
        <w:t xml:space="preserve"> considered whether disclosure requirements from AASB Interpretations would need to be added to AASB 1060 but concluded this was not necessary for the following reasons:</w:t>
      </w:r>
      <w:bookmarkEnd w:id="202"/>
      <w:r w:rsidRPr="00155974">
        <w:rPr>
          <w:noProof/>
          <w:sz w:val="19"/>
          <w:szCs w:val="19"/>
        </w:rPr>
        <w:t>for the following reasons:</w:t>
      </w:r>
      <w:bookmarkEnd w:id="203"/>
    </w:p>
    <w:p w14:paraId="4CCB1B2D" w14:textId="77777777" w:rsidR="0088075B" w:rsidRPr="00155974" w:rsidRDefault="0088075B" w:rsidP="000E61D3">
      <w:pPr>
        <w:numPr>
          <w:ilvl w:val="0"/>
          <w:numId w:val="41"/>
        </w:numPr>
        <w:spacing w:before="100"/>
        <w:ind w:left="1564" w:hanging="782"/>
        <w:rPr>
          <w:noProof/>
          <w:szCs w:val="19"/>
        </w:rPr>
      </w:pPr>
      <w:r w:rsidRPr="00155974">
        <w:rPr>
          <w:noProof/>
          <w:szCs w:val="19"/>
        </w:rPr>
        <w:t>AASB Interpretation 1019</w:t>
      </w:r>
      <w:r w:rsidRPr="00155974">
        <w:rPr>
          <w:szCs w:val="19"/>
        </w:rPr>
        <w:t xml:space="preserve"> </w:t>
      </w:r>
      <w:r w:rsidRPr="00155974">
        <w:rPr>
          <w:i/>
          <w:noProof/>
          <w:szCs w:val="19"/>
        </w:rPr>
        <w:t>The Superannuation Contributions Surcharge</w:t>
      </w:r>
      <w:r w:rsidRPr="00155974">
        <w:rPr>
          <w:noProof/>
          <w:szCs w:val="19"/>
        </w:rPr>
        <w:t xml:space="preserve"> and AASB Interpretation 1047 </w:t>
      </w:r>
      <w:r w:rsidRPr="00155974">
        <w:rPr>
          <w:i/>
          <w:noProof/>
          <w:szCs w:val="19"/>
        </w:rPr>
        <w:t xml:space="preserve">Professional Indemnity Claims Liabilities in Medical Defence Organisations </w:t>
      </w:r>
      <w:r w:rsidRPr="00155974">
        <w:rPr>
          <w:noProof/>
          <w:szCs w:val="19"/>
        </w:rPr>
        <w:t>are not relevant for Tier 2 entities, as entities applying these interpretations would have public accountability by holding assets in a fiduciary capacity.</w:t>
      </w:r>
    </w:p>
    <w:p w14:paraId="26DE7BDE" w14:textId="77777777" w:rsidR="0088075B" w:rsidRPr="00155974" w:rsidRDefault="0088075B" w:rsidP="000E61D3">
      <w:pPr>
        <w:numPr>
          <w:ilvl w:val="0"/>
          <w:numId w:val="41"/>
        </w:numPr>
        <w:spacing w:before="100"/>
        <w:ind w:left="1564" w:hanging="782"/>
        <w:rPr>
          <w:noProof/>
          <w:szCs w:val="19"/>
        </w:rPr>
      </w:pPr>
      <w:r w:rsidRPr="00155974">
        <w:rPr>
          <w:noProof/>
          <w:szCs w:val="19"/>
        </w:rPr>
        <w:t xml:space="preserve">The disclosures in AASB Interpretation 1052 </w:t>
      </w:r>
      <w:r w:rsidRPr="00155974">
        <w:rPr>
          <w:i/>
          <w:noProof/>
          <w:szCs w:val="19"/>
        </w:rPr>
        <w:t xml:space="preserve">Tax Consolidation Accounting Disclosure </w:t>
      </w:r>
      <w:r w:rsidRPr="00155974">
        <w:rPr>
          <w:noProof/>
          <w:szCs w:val="19"/>
        </w:rPr>
        <w:t xml:space="preserve">were excluded for RDR entities on the basis of cost-benefit considerations. In addition, as the interpretation is not creating any R&amp;M differences to IAS 12, and therefore also not to the </w:t>
      </w:r>
      <w:r w:rsidRPr="00155974">
        <w:rPr>
          <w:i/>
          <w:iCs/>
          <w:noProof/>
          <w:szCs w:val="19"/>
        </w:rPr>
        <w:t>IFRS for SMEs</w:t>
      </w:r>
      <w:r w:rsidRPr="00155974">
        <w:rPr>
          <w:noProof/>
          <w:szCs w:val="19"/>
        </w:rPr>
        <w:t xml:space="preserve"> Standard, the Board concluded that additional disclosures will not be required.</w:t>
      </w:r>
    </w:p>
    <w:p w14:paraId="4042CA6A" w14:textId="4CB29000" w:rsidR="0088075B" w:rsidRPr="00155974" w:rsidRDefault="0088075B" w:rsidP="000E61D3">
      <w:pPr>
        <w:numPr>
          <w:ilvl w:val="0"/>
          <w:numId w:val="41"/>
        </w:numPr>
        <w:spacing w:before="100"/>
        <w:ind w:left="1564" w:hanging="782"/>
        <w:rPr>
          <w:noProof/>
          <w:szCs w:val="19"/>
        </w:rPr>
      </w:pPr>
      <w:r w:rsidRPr="00155974">
        <w:rPr>
          <w:noProof/>
          <w:szCs w:val="19"/>
        </w:rPr>
        <w:t>The disclosure paragraphs in AASB Interpretation 23</w:t>
      </w:r>
      <w:r w:rsidRPr="00155974">
        <w:rPr>
          <w:szCs w:val="19"/>
        </w:rPr>
        <w:t xml:space="preserve"> </w:t>
      </w:r>
      <w:r w:rsidRPr="00155974">
        <w:rPr>
          <w:i/>
          <w:noProof/>
          <w:szCs w:val="19"/>
        </w:rPr>
        <w:t>Uncertainty over Income Tax Treatments</w:t>
      </w:r>
      <w:r w:rsidRPr="00155974">
        <w:rPr>
          <w:noProof/>
          <w:szCs w:val="19"/>
        </w:rPr>
        <w:t xml:space="preserve"> do not introduce new disclosures, but refer to disclosures in the AASB 112 that are captured in </w:t>
      </w:r>
      <w:r w:rsidRPr="00155974">
        <w:rPr>
          <w:szCs w:val="19"/>
        </w:rPr>
        <w:t xml:space="preserve">paragraphs </w:t>
      </w:r>
      <w:r w:rsidR="00047898" w:rsidRPr="00155974">
        <w:rPr>
          <w:szCs w:val="19"/>
        </w:rPr>
        <w:fldChar w:fldCharType="begin"/>
      </w:r>
      <w:r w:rsidR="00047898" w:rsidRPr="00155974">
        <w:rPr>
          <w:szCs w:val="19"/>
        </w:rPr>
        <w:instrText xml:space="preserve"> REF _Ref35361619 \r \h </w:instrText>
      </w:r>
      <w:r w:rsidR="00155974">
        <w:rPr>
          <w:szCs w:val="19"/>
        </w:rPr>
        <w:instrText xml:space="preserve"> \* MERGEFORMAT </w:instrText>
      </w:r>
      <w:r w:rsidR="00047898" w:rsidRPr="00155974">
        <w:rPr>
          <w:szCs w:val="19"/>
        </w:rPr>
      </w:r>
      <w:r w:rsidR="00047898" w:rsidRPr="00155974">
        <w:rPr>
          <w:szCs w:val="19"/>
        </w:rPr>
        <w:fldChar w:fldCharType="separate"/>
      </w:r>
      <w:r w:rsidR="00454A6B">
        <w:rPr>
          <w:szCs w:val="19"/>
        </w:rPr>
        <w:t>96</w:t>
      </w:r>
      <w:r w:rsidR="00047898" w:rsidRPr="00155974">
        <w:rPr>
          <w:szCs w:val="19"/>
        </w:rPr>
        <w:fldChar w:fldCharType="end"/>
      </w:r>
      <w:r w:rsidRPr="00155974">
        <w:rPr>
          <w:szCs w:val="19"/>
        </w:rPr>
        <w:t xml:space="preserve">, </w:t>
      </w:r>
      <w:r w:rsidR="00047898" w:rsidRPr="00155974">
        <w:rPr>
          <w:szCs w:val="19"/>
        </w:rPr>
        <w:fldChar w:fldCharType="begin"/>
      </w:r>
      <w:r w:rsidR="00047898" w:rsidRPr="00155974">
        <w:rPr>
          <w:szCs w:val="19"/>
        </w:rPr>
        <w:instrText xml:space="preserve"> REF _Ref34593945 \r \h </w:instrText>
      </w:r>
      <w:r w:rsidR="00155974">
        <w:rPr>
          <w:szCs w:val="19"/>
        </w:rPr>
        <w:instrText xml:space="preserve"> \* MERGEFORMAT </w:instrText>
      </w:r>
      <w:r w:rsidR="00047898" w:rsidRPr="00155974">
        <w:rPr>
          <w:szCs w:val="19"/>
        </w:rPr>
      </w:r>
      <w:r w:rsidR="00047898" w:rsidRPr="00155974">
        <w:rPr>
          <w:szCs w:val="19"/>
        </w:rPr>
        <w:fldChar w:fldCharType="separate"/>
      </w:r>
      <w:r w:rsidR="00454A6B">
        <w:rPr>
          <w:szCs w:val="19"/>
        </w:rPr>
        <w:t>97</w:t>
      </w:r>
      <w:r w:rsidR="00047898" w:rsidRPr="00155974">
        <w:rPr>
          <w:szCs w:val="19"/>
        </w:rPr>
        <w:fldChar w:fldCharType="end"/>
      </w:r>
      <w:r w:rsidRPr="00155974">
        <w:rPr>
          <w:szCs w:val="19"/>
        </w:rPr>
        <w:t xml:space="preserve"> and </w:t>
      </w:r>
      <w:r w:rsidR="00EE4D7D" w:rsidRPr="00155974">
        <w:rPr>
          <w:noProof/>
          <w:szCs w:val="19"/>
        </w:rPr>
        <w:fldChar w:fldCharType="begin"/>
      </w:r>
      <w:r w:rsidR="00EE4D7D" w:rsidRPr="00155974">
        <w:rPr>
          <w:szCs w:val="19"/>
        </w:rPr>
        <w:instrText xml:space="preserve"> REF _Ref34733617 \r \h </w:instrText>
      </w:r>
      <w:r w:rsidR="00155974">
        <w:rPr>
          <w:noProof/>
          <w:szCs w:val="19"/>
        </w:rPr>
        <w:instrText xml:space="preserve"> \* MERGEFORMAT </w:instrText>
      </w:r>
      <w:r w:rsidR="00EE4D7D" w:rsidRPr="00155974">
        <w:rPr>
          <w:noProof/>
          <w:szCs w:val="19"/>
        </w:rPr>
      </w:r>
      <w:r w:rsidR="00EE4D7D" w:rsidRPr="00155974">
        <w:rPr>
          <w:noProof/>
          <w:szCs w:val="19"/>
        </w:rPr>
        <w:fldChar w:fldCharType="separate"/>
      </w:r>
      <w:r w:rsidR="00454A6B">
        <w:rPr>
          <w:szCs w:val="19"/>
        </w:rPr>
        <w:t>154</w:t>
      </w:r>
      <w:r w:rsidR="00EE4D7D" w:rsidRPr="00155974">
        <w:rPr>
          <w:noProof/>
          <w:szCs w:val="19"/>
        </w:rPr>
        <w:fldChar w:fldCharType="end"/>
      </w:r>
      <w:r w:rsidRPr="00155974">
        <w:rPr>
          <w:noProof/>
          <w:szCs w:val="19"/>
        </w:rPr>
        <w:t xml:space="preserve"> of AASB 1060. </w:t>
      </w:r>
    </w:p>
    <w:p w14:paraId="5D5C2B62" w14:textId="77777777" w:rsidR="0088075B" w:rsidRPr="00155974" w:rsidRDefault="0088075B" w:rsidP="000E61D3">
      <w:pPr>
        <w:numPr>
          <w:ilvl w:val="0"/>
          <w:numId w:val="41"/>
        </w:numPr>
        <w:spacing w:before="100"/>
        <w:ind w:left="1564" w:hanging="782"/>
        <w:rPr>
          <w:noProof/>
          <w:szCs w:val="19"/>
        </w:rPr>
      </w:pPr>
      <w:r w:rsidRPr="00155974">
        <w:rPr>
          <w:noProof/>
          <w:szCs w:val="19"/>
        </w:rPr>
        <w:t xml:space="preserve">Two of the three disclosure paragraphs in AASB Interpretation 5 </w:t>
      </w:r>
      <w:r w:rsidRPr="00155974">
        <w:rPr>
          <w:i/>
          <w:noProof/>
          <w:szCs w:val="19"/>
        </w:rPr>
        <w:t>Rights to Interests arising from Decommissioning, Restoration and Environmental Rehabilitation Funds</w:t>
      </w:r>
      <w:r w:rsidRPr="00155974">
        <w:rPr>
          <w:noProof/>
          <w:szCs w:val="19"/>
        </w:rPr>
        <w:t xml:space="preserve"> were already excluded for Tier 2 entities on the basis of cost-benefit considerations. However, as there are also no R&amp;M differences to the </w:t>
      </w:r>
      <w:r w:rsidRPr="00155974">
        <w:rPr>
          <w:i/>
          <w:iCs/>
          <w:noProof/>
          <w:szCs w:val="19"/>
        </w:rPr>
        <w:t>IFRS for SMEs</w:t>
      </w:r>
      <w:r w:rsidRPr="00155974">
        <w:rPr>
          <w:noProof/>
          <w:szCs w:val="19"/>
        </w:rPr>
        <w:t xml:space="preserve"> Standard, the Board concluded that no additional disclosures would be required.</w:t>
      </w:r>
      <w:bookmarkStart w:id="204" w:name="_Ref7189232"/>
    </w:p>
    <w:p w14:paraId="33F93781" w14:textId="77777777" w:rsidR="0088075B" w:rsidRPr="00155974" w:rsidRDefault="0088075B" w:rsidP="00A74E07">
      <w:pPr>
        <w:pStyle w:val="IASBSectionTitle2Ind"/>
      </w:pPr>
      <w:r w:rsidRPr="00155974">
        <w:t xml:space="preserve">Not-for-profit private sector entities and public sector entities </w:t>
      </w:r>
    </w:p>
    <w:p w14:paraId="7AD30EBA" w14:textId="1EC2415F" w:rsidR="0088075B" w:rsidRPr="00155974" w:rsidRDefault="0088075B" w:rsidP="000E61D3">
      <w:pPr>
        <w:pStyle w:val="Default"/>
        <w:numPr>
          <w:ilvl w:val="0"/>
          <w:numId w:val="35"/>
        </w:numPr>
        <w:spacing w:before="100"/>
        <w:ind w:left="782" w:hanging="782"/>
        <w:jc w:val="both"/>
        <w:rPr>
          <w:sz w:val="19"/>
          <w:szCs w:val="19"/>
        </w:rPr>
      </w:pPr>
      <w:bookmarkStart w:id="205" w:name="_Ref8739661"/>
      <w:r w:rsidRPr="00155974">
        <w:rPr>
          <w:sz w:val="19"/>
          <w:szCs w:val="19"/>
        </w:rPr>
        <w:t xml:space="preserve">As explained in paragraph </w:t>
      </w:r>
      <w:r w:rsidRPr="00155974">
        <w:rPr>
          <w:sz w:val="19"/>
          <w:szCs w:val="19"/>
        </w:rPr>
        <w:fldChar w:fldCharType="begin"/>
      </w:r>
      <w:r w:rsidRPr="00155974">
        <w:rPr>
          <w:sz w:val="19"/>
          <w:szCs w:val="19"/>
        </w:rPr>
        <w:instrText xml:space="preserve"> REF _Ref9000011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454A6B">
        <w:rPr>
          <w:sz w:val="19"/>
          <w:szCs w:val="19"/>
        </w:rPr>
        <w:t>BC51</w:t>
      </w:r>
      <w:r w:rsidRPr="00155974">
        <w:rPr>
          <w:sz w:val="19"/>
          <w:szCs w:val="19"/>
        </w:rPr>
        <w:fldChar w:fldCharType="end"/>
      </w:r>
      <w:r w:rsidRPr="00155974">
        <w:rPr>
          <w:sz w:val="19"/>
          <w:szCs w:val="19"/>
        </w:rPr>
        <w:t>, the Board decided that AASB 1060 should be equally applicable to both for-profit and NFP private sector entities and any public sector entities that are eligible to report under Tier 2 based on the requirements in AASB 1053. The Board therefore also considered any NFP private sector and public sector entity differences in AAS and to what extent, if any, additional disclosures would be required for such Tier 2 entities.</w:t>
      </w:r>
      <w:bookmarkEnd w:id="205"/>
      <w:r w:rsidRPr="00155974">
        <w:rPr>
          <w:sz w:val="19"/>
          <w:szCs w:val="19"/>
        </w:rPr>
        <w:t xml:space="preserve"> </w:t>
      </w:r>
    </w:p>
    <w:p w14:paraId="0DE8DEA0"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In summary, the Board decided to:</w:t>
      </w:r>
    </w:p>
    <w:p w14:paraId="39B146B7" w14:textId="77777777" w:rsidR="0088075B" w:rsidRPr="00155974" w:rsidRDefault="0088075B" w:rsidP="000E61D3">
      <w:pPr>
        <w:numPr>
          <w:ilvl w:val="0"/>
          <w:numId w:val="49"/>
        </w:numPr>
        <w:spacing w:before="100"/>
        <w:ind w:left="1564" w:hanging="782"/>
      </w:pPr>
      <w:r w:rsidRPr="00155974">
        <w:t>include additional disclosures for AASB 1, AASB 16, AASB 102 and AASB 123 to address R&amp;M differences that are specific to NFP entities; and</w:t>
      </w:r>
    </w:p>
    <w:p w14:paraId="60F2A2DC" w14:textId="0ED8847C" w:rsidR="0088075B" w:rsidRPr="00155974" w:rsidRDefault="0088075B" w:rsidP="000E61D3">
      <w:pPr>
        <w:numPr>
          <w:ilvl w:val="0"/>
          <w:numId w:val="49"/>
        </w:numPr>
        <w:spacing w:before="100"/>
        <w:ind w:left="1564" w:hanging="782"/>
      </w:pPr>
      <w:r w:rsidRPr="00155974">
        <w:t xml:space="preserve">include additional disclosures for AASB 1004, AASB 1050, AASB 1051, AASB 1055, </w:t>
      </w:r>
      <w:r w:rsidRPr="00022B10">
        <w:t>AASB</w:t>
      </w:r>
      <w:r w:rsidR="00AD1F49" w:rsidRPr="00AD1F49">
        <w:t> </w:t>
      </w:r>
      <w:r w:rsidRPr="00AD1F49">
        <w:t>1058</w:t>
      </w:r>
      <w:r w:rsidRPr="00155974">
        <w:t xml:space="preserve"> and AASB 1059 which are only applicable for NFP private sector and/or public sector entities. </w:t>
      </w:r>
    </w:p>
    <w:p w14:paraId="575EBD98" w14:textId="31B1B002" w:rsidR="0088075B" w:rsidRPr="00155974" w:rsidRDefault="0088075B" w:rsidP="00E27CD8">
      <w:pPr>
        <w:spacing w:before="100"/>
        <w:ind w:left="782"/>
      </w:pPr>
      <w:r w:rsidRPr="00155974">
        <w:t xml:space="preserve">Consistent with the conclusions in </w:t>
      </w:r>
      <w:r w:rsidRPr="00155974">
        <w:rPr>
          <w:szCs w:val="19"/>
        </w:rPr>
        <w:t>paragraph</w:t>
      </w:r>
      <w:r w:rsidRPr="00155974">
        <w:t xml:space="preserve"> </w:t>
      </w:r>
      <w:r w:rsidRPr="00155974">
        <w:fldChar w:fldCharType="begin"/>
      </w:r>
      <w:r w:rsidRPr="00155974">
        <w:instrText xml:space="preserve"> REF _Ref9000081 \r \h </w:instrText>
      </w:r>
      <w:r w:rsidR="00155974">
        <w:instrText xml:space="preserve"> \* MERGEFORMAT </w:instrText>
      </w:r>
      <w:r w:rsidRPr="00155974">
        <w:fldChar w:fldCharType="separate"/>
      </w:r>
      <w:r w:rsidR="00454A6B">
        <w:t>BC53</w:t>
      </w:r>
      <w:r w:rsidRPr="00155974">
        <w:fldChar w:fldCharType="end"/>
      </w:r>
      <w:r w:rsidRPr="00155974">
        <w:t xml:space="preserve">, the proposed disclosures reflect the fact that the relevant transactions and circumstances covered are unique to NFP private sector and/or public sector entities and that users would require information on non-financial accountability and stewardship, even if the broad principles in </w:t>
      </w:r>
      <w:r w:rsidRPr="00155974">
        <w:rPr>
          <w:szCs w:val="19"/>
        </w:rPr>
        <w:t>paragraph</w:t>
      </w:r>
      <w:r w:rsidRPr="00155974">
        <w:t xml:space="preserve"> </w:t>
      </w:r>
      <w:r w:rsidRPr="00155974">
        <w:fldChar w:fldCharType="begin"/>
      </w:r>
      <w:r w:rsidRPr="00155974">
        <w:instrText xml:space="preserve"> REF _Ref8992108 \r \h </w:instrText>
      </w:r>
      <w:r w:rsidR="00155974">
        <w:instrText xml:space="preserve"> \* MERGEFORMAT </w:instrText>
      </w:r>
      <w:r w:rsidRPr="00155974">
        <w:fldChar w:fldCharType="separate"/>
      </w:r>
      <w:r w:rsidR="00454A6B">
        <w:t>BC41</w:t>
      </w:r>
      <w:r w:rsidRPr="00155974">
        <w:fldChar w:fldCharType="end"/>
      </w:r>
      <w:r w:rsidRPr="00155974">
        <w:t xml:space="preserve"> would not indicate such a need. </w:t>
      </w:r>
    </w:p>
    <w:p w14:paraId="689C4ABB" w14:textId="77777777" w:rsidR="0088075B" w:rsidRPr="00155974" w:rsidRDefault="0088075B" w:rsidP="000E61D3">
      <w:pPr>
        <w:pStyle w:val="Default"/>
        <w:numPr>
          <w:ilvl w:val="0"/>
          <w:numId w:val="35"/>
        </w:numPr>
        <w:spacing w:before="100"/>
        <w:ind w:left="782" w:hanging="782"/>
        <w:jc w:val="both"/>
        <w:rPr>
          <w:sz w:val="19"/>
          <w:szCs w:val="19"/>
        </w:rPr>
      </w:pPr>
      <w:bookmarkStart w:id="206" w:name="_Ref10115552"/>
      <w:r w:rsidRPr="00155974">
        <w:rPr>
          <w:sz w:val="19"/>
          <w:szCs w:val="19"/>
        </w:rPr>
        <w:t>As a general rule, the Board considered that previous decisions made under the current RDR framework in relation to the cost vs the benefits of these disclosures in relation to Tier 2 NFP entities remain relevant.</w:t>
      </w:r>
      <w:bookmarkEnd w:id="206"/>
    </w:p>
    <w:p w14:paraId="4EEBD1F5" w14:textId="77777777" w:rsidR="0088075B" w:rsidRPr="00155974" w:rsidRDefault="0088075B" w:rsidP="00A74E07">
      <w:pPr>
        <w:pStyle w:val="IASBSectionTitle2Ind"/>
      </w:pPr>
      <w:r w:rsidRPr="00155974">
        <w:lastRenderedPageBreak/>
        <w:t>Drafting conventions and future maintenance</w:t>
      </w:r>
    </w:p>
    <w:p w14:paraId="47E27EAB"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While ED 295 used the numbering from the </w:t>
      </w:r>
      <w:r w:rsidRPr="00155974">
        <w:rPr>
          <w:i/>
          <w:iCs/>
          <w:sz w:val="19"/>
          <w:szCs w:val="19"/>
        </w:rPr>
        <w:t xml:space="preserve">IFRS for SMEs </w:t>
      </w:r>
      <w:r w:rsidRPr="00155974">
        <w:rPr>
          <w:sz w:val="19"/>
          <w:szCs w:val="19"/>
        </w:rPr>
        <w:t xml:space="preserve">Standard, the Board agreed to use consecutive paragraph numbers in this Standard consistent with the approach used in other AAS. To show the linkage to the </w:t>
      </w:r>
      <w:r w:rsidRPr="00155974">
        <w:rPr>
          <w:i/>
          <w:iCs/>
          <w:sz w:val="19"/>
          <w:szCs w:val="19"/>
        </w:rPr>
        <w:t>IFRS for SMEs</w:t>
      </w:r>
      <w:r w:rsidRPr="00155974">
        <w:rPr>
          <w:sz w:val="19"/>
          <w:szCs w:val="19"/>
        </w:rPr>
        <w:t xml:space="preserve"> disclosures and allow easy comparison, equivalent IFRS for SMEs paragraph numbers are added at the end of each paragraph where applicable.  Where paragraphs from the </w:t>
      </w:r>
      <w:r w:rsidRPr="00155974">
        <w:rPr>
          <w:i/>
          <w:iCs/>
          <w:sz w:val="19"/>
          <w:szCs w:val="19"/>
        </w:rPr>
        <w:t>IFRS for SMEs</w:t>
      </w:r>
      <w:r w:rsidRPr="00155974">
        <w:rPr>
          <w:sz w:val="19"/>
          <w:szCs w:val="19"/>
        </w:rPr>
        <w:t xml:space="preserve"> Standard have been amended, the words ‘based on’ are used. </w:t>
      </w:r>
    </w:p>
    <w:p w14:paraId="572237B8" w14:textId="173CF4FF" w:rsidR="0088075B" w:rsidRPr="00155974" w:rsidRDefault="0088075B" w:rsidP="000E61D3">
      <w:pPr>
        <w:pStyle w:val="Default"/>
        <w:numPr>
          <w:ilvl w:val="0"/>
          <w:numId w:val="35"/>
        </w:numPr>
        <w:spacing w:before="100"/>
        <w:ind w:left="782" w:hanging="782"/>
        <w:jc w:val="both"/>
        <w:rPr>
          <w:sz w:val="19"/>
          <w:szCs w:val="19"/>
        </w:rPr>
      </w:pPr>
      <w:bookmarkStart w:id="207" w:name="_Ref7189151"/>
      <w:bookmarkEnd w:id="204"/>
      <w:r w:rsidRPr="00155974">
        <w:rPr>
          <w:sz w:val="19"/>
          <w:szCs w:val="19"/>
        </w:rPr>
        <w:t xml:space="preserve">The Board further decided that the analysis tables developed for ED 295 (See </w:t>
      </w:r>
      <w:r w:rsidRPr="00155974">
        <w:rPr>
          <w:i/>
          <w:iCs/>
          <w:sz w:val="19"/>
          <w:szCs w:val="19"/>
        </w:rPr>
        <w:t>Detailed comparison of R&amp;M requirements in IFRS for SMEs Standard and full IFRS and analysis of impact on disclosures – For for-profit private sector entities with no public accountability and Analysis of NFP modifications paragraphs in AAS and NFP specific AASB Standards</w:t>
      </w:r>
      <w:r w:rsidRPr="00155974">
        <w:rPr>
          <w:sz w:val="19"/>
          <w:szCs w:val="19"/>
        </w:rPr>
        <w:t xml:space="preserve"> for detailed analysis) will include all the edits and mark-ups and will be used as an ongoing document for future reference. They will be a record of the rationale behind certain decisions and judgements and would facilitate any future amendments. </w:t>
      </w:r>
      <w:bookmarkEnd w:id="207"/>
    </w:p>
    <w:p w14:paraId="56C06044"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Board also acknowledged that a review of the disclosures will need to take place any time the </w:t>
      </w:r>
      <w:r w:rsidRPr="00155974">
        <w:rPr>
          <w:i/>
          <w:iCs/>
          <w:sz w:val="19"/>
          <w:szCs w:val="19"/>
        </w:rPr>
        <w:t>IFRS for SMEs</w:t>
      </w:r>
      <w:r w:rsidRPr="00155974">
        <w:rPr>
          <w:sz w:val="19"/>
          <w:szCs w:val="19"/>
        </w:rPr>
        <w:t xml:space="preserve"> Standard is updated, a new Australian Accounting Standard or Interpretation is issued or amendments are made to existing Australian Accounting Standards or Interpretations. </w:t>
      </w:r>
    </w:p>
    <w:p w14:paraId="2D39E30D" w14:textId="77777777" w:rsidR="0088075B" w:rsidRPr="00155974" w:rsidRDefault="0088075B" w:rsidP="00A74E07">
      <w:pPr>
        <w:pStyle w:val="Heading2"/>
      </w:pPr>
      <w:r w:rsidRPr="00155974">
        <w:t xml:space="preserve">Transitional </w:t>
      </w:r>
      <w:r w:rsidRPr="00A74E07">
        <w:t>requirements</w:t>
      </w:r>
    </w:p>
    <w:p w14:paraId="20C8351A" w14:textId="5F920C2E" w:rsidR="0088075B" w:rsidRPr="00155974" w:rsidRDefault="0088075B" w:rsidP="000E61D3">
      <w:pPr>
        <w:pStyle w:val="Default"/>
        <w:numPr>
          <w:ilvl w:val="0"/>
          <w:numId w:val="35"/>
        </w:numPr>
        <w:spacing w:before="100"/>
        <w:ind w:left="782" w:hanging="782"/>
        <w:jc w:val="both"/>
        <w:rPr>
          <w:sz w:val="19"/>
          <w:szCs w:val="19"/>
        </w:rPr>
      </w:pPr>
      <w:bookmarkStart w:id="208" w:name="_Ref8739810"/>
      <w:r w:rsidRPr="00155974">
        <w:rPr>
          <w:sz w:val="19"/>
          <w:szCs w:val="19"/>
        </w:rPr>
        <w:t>The Board considered whether specific transitional requirements needed to be added to AASB 1053 in relation to AASB 1060, but has concluded that this is not necessary for the following reasons:</w:t>
      </w:r>
      <w:bookmarkEnd w:id="208"/>
    </w:p>
    <w:p w14:paraId="3BA9F5F2" w14:textId="77777777" w:rsidR="0088075B" w:rsidRPr="00155974" w:rsidRDefault="0088075B" w:rsidP="000E61D3">
      <w:pPr>
        <w:numPr>
          <w:ilvl w:val="0"/>
          <w:numId w:val="37"/>
        </w:numPr>
        <w:spacing w:before="100"/>
        <w:ind w:left="1564" w:hanging="782"/>
        <w:rPr>
          <w:szCs w:val="19"/>
        </w:rPr>
      </w:pPr>
      <w:r w:rsidRPr="00155974">
        <w:rPr>
          <w:szCs w:val="19"/>
        </w:rPr>
        <w:t>adjustments to recognised amounts will only arise where an entity did not previously report either under Tier 1 or Tier 2 (RDR); and</w:t>
      </w:r>
    </w:p>
    <w:p w14:paraId="024D140B" w14:textId="77777777" w:rsidR="0088075B" w:rsidRPr="00155974" w:rsidRDefault="0088075B" w:rsidP="000E61D3">
      <w:pPr>
        <w:numPr>
          <w:ilvl w:val="0"/>
          <w:numId w:val="37"/>
        </w:numPr>
        <w:spacing w:before="100"/>
        <w:ind w:left="1564" w:hanging="782"/>
        <w:rPr>
          <w:szCs w:val="19"/>
        </w:rPr>
      </w:pPr>
      <w:r w:rsidRPr="00155974">
        <w:rPr>
          <w:szCs w:val="19"/>
        </w:rPr>
        <w:t>the principles of transitioning to full R&amp;M requirements are the same, regardless of the level of disclosures to be provided.</w:t>
      </w:r>
    </w:p>
    <w:p w14:paraId="62069647"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Therefore, the Board concluded that the transition requirements in paragraph 18A of AASB 1053 can be retained without further changes (except some changes required by AASB 2020-2 to clarify the scope of the paragraph for certain entities required to consolidate for the first time). However, the Board decided to add an explanatory paragraph 18C to AASB 1053 which confirms the different disclosures that apply to Tier 2 entities that apply this Standard. </w:t>
      </w:r>
    </w:p>
    <w:p w14:paraId="31C0090C"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The Board acknowledged that the adoption of this new Tier 2 Standard as such will not result in any adjustments to recognised amounts unless an entity has not previously complied with all R&amp;M requirements of AAS and is preparing GPFS for the first time. Separate transition relief has been provided in Appendix E of AASB 1053 </w:t>
      </w:r>
      <w:r w:rsidRPr="00155974">
        <w:rPr>
          <w:i/>
          <w:iCs/>
          <w:sz w:val="19"/>
          <w:szCs w:val="19"/>
        </w:rPr>
        <w:t xml:space="preserve">Application of Tiers of Australian Accounting Standards </w:t>
      </w:r>
      <w:r w:rsidRPr="00155974">
        <w:rPr>
          <w:sz w:val="19"/>
          <w:szCs w:val="19"/>
        </w:rPr>
        <w:t>for entities moving from SPFS to Tier 2 GPFS when adopting the requirements of AASB 2020-2. Further discussion of the Board’s consideration on this matter is available in AASB 2020-2 paragraphs BC122−BC144.</w:t>
      </w:r>
    </w:p>
    <w:p w14:paraId="2F27E761" w14:textId="3F2EDBBD" w:rsidR="0088075B" w:rsidRPr="00155974" w:rsidRDefault="0088075B" w:rsidP="000E61D3">
      <w:pPr>
        <w:pStyle w:val="Default"/>
        <w:numPr>
          <w:ilvl w:val="0"/>
          <w:numId w:val="35"/>
        </w:numPr>
        <w:spacing w:before="100"/>
        <w:ind w:left="782" w:hanging="782"/>
        <w:jc w:val="both"/>
        <w:rPr>
          <w:sz w:val="19"/>
          <w:szCs w:val="19"/>
        </w:rPr>
      </w:pPr>
      <w:bookmarkStart w:id="209" w:name="_Ref8739813"/>
      <w:r w:rsidRPr="00155974">
        <w:rPr>
          <w:sz w:val="19"/>
          <w:szCs w:val="19"/>
        </w:rPr>
        <w:t xml:space="preserve">The Board also decided to retain the requirements to explain how the adoption of AAS has affected the entity’s financial position, financial performance and cash flows, and to disclose a description of each change in accounting policy, a reconciliation of the profit and loss for the latest period before adoption, and information about any errors noted in the context of the adoption (paragraphs </w:t>
      </w:r>
      <w:r w:rsidR="00522447" w:rsidRPr="00155974">
        <w:rPr>
          <w:sz w:val="19"/>
          <w:szCs w:val="19"/>
        </w:rPr>
        <w:fldChar w:fldCharType="begin"/>
      </w:r>
      <w:r w:rsidR="00522447" w:rsidRPr="00155974">
        <w:rPr>
          <w:sz w:val="19"/>
          <w:szCs w:val="19"/>
        </w:rPr>
        <w:instrText xml:space="preserve"> REF _Ref35361893 \r \h </w:instrText>
      </w:r>
      <w:r w:rsidR="00155974">
        <w:rPr>
          <w:sz w:val="19"/>
          <w:szCs w:val="19"/>
        </w:rPr>
        <w:instrText xml:space="preserve"> \* MERGEFORMAT </w:instrText>
      </w:r>
      <w:r w:rsidR="00522447" w:rsidRPr="00155974">
        <w:rPr>
          <w:sz w:val="19"/>
          <w:szCs w:val="19"/>
        </w:rPr>
      </w:r>
      <w:r w:rsidR="00522447" w:rsidRPr="00155974">
        <w:rPr>
          <w:sz w:val="19"/>
          <w:szCs w:val="19"/>
        </w:rPr>
        <w:fldChar w:fldCharType="separate"/>
      </w:r>
      <w:r w:rsidR="00454A6B">
        <w:rPr>
          <w:sz w:val="19"/>
          <w:szCs w:val="19"/>
        </w:rPr>
        <w:t>208</w:t>
      </w:r>
      <w:r w:rsidR="00522447" w:rsidRPr="00155974">
        <w:rPr>
          <w:sz w:val="19"/>
          <w:szCs w:val="19"/>
        </w:rPr>
        <w:fldChar w:fldCharType="end"/>
      </w:r>
      <w:r w:rsidRPr="00155974">
        <w:rPr>
          <w:sz w:val="19"/>
          <w:szCs w:val="19"/>
        </w:rPr>
        <w:t xml:space="preserve">, </w:t>
      </w:r>
      <w:r w:rsidR="00CE08D8" w:rsidRPr="00155974">
        <w:rPr>
          <w:sz w:val="19"/>
          <w:szCs w:val="19"/>
        </w:rPr>
        <w:fldChar w:fldCharType="begin"/>
      </w:r>
      <w:r w:rsidR="00CE08D8" w:rsidRPr="00155974">
        <w:rPr>
          <w:sz w:val="19"/>
          <w:szCs w:val="19"/>
        </w:rPr>
        <w:instrText xml:space="preserve"> REF _Ref34661726 \r \h </w:instrText>
      </w:r>
      <w:r w:rsidR="00155974">
        <w:rPr>
          <w:sz w:val="19"/>
          <w:szCs w:val="19"/>
        </w:rPr>
        <w:instrText xml:space="preserve"> \* MERGEFORMAT </w:instrText>
      </w:r>
      <w:r w:rsidR="00CE08D8" w:rsidRPr="00155974">
        <w:rPr>
          <w:sz w:val="19"/>
          <w:szCs w:val="19"/>
        </w:rPr>
      </w:r>
      <w:r w:rsidR="00CE08D8" w:rsidRPr="00155974">
        <w:rPr>
          <w:sz w:val="19"/>
          <w:szCs w:val="19"/>
        </w:rPr>
        <w:fldChar w:fldCharType="separate"/>
      </w:r>
      <w:r w:rsidR="00454A6B">
        <w:rPr>
          <w:sz w:val="19"/>
          <w:szCs w:val="19"/>
        </w:rPr>
        <w:t>210</w:t>
      </w:r>
      <w:r w:rsidR="00CE08D8" w:rsidRPr="00155974">
        <w:rPr>
          <w:sz w:val="19"/>
          <w:szCs w:val="19"/>
        </w:rPr>
        <w:fldChar w:fldCharType="end"/>
      </w:r>
      <w:r w:rsidRPr="00155974">
        <w:rPr>
          <w:sz w:val="19"/>
          <w:szCs w:val="19"/>
        </w:rPr>
        <w:t xml:space="preserve">(c), </w:t>
      </w:r>
      <w:r w:rsidR="001B74E6" w:rsidRPr="00155974">
        <w:rPr>
          <w:sz w:val="19"/>
          <w:szCs w:val="19"/>
        </w:rPr>
        <w:fldChar w:fldCharType="begin"/>
      </w:r>
      <w:r w:rsidR="001B74E6" w:rsidRPr="00155974">
        <w:rPr>
          <w:sz w:val="19"/>
          <w:szCs w:val="19"/>
        </w:rPr>
        <w:instrText xml:space="preserve"> REF _Ref35361927 \r \h </w:instrText>
      </w:r>
      <w:r w:rsidR="00155974">
        <w:rPr>
          <w:sz w:val="19"/>
          <w:szCs w:val="19"/>
        </w:rPr>
        <w:instrText xml:space="preserve"> \* MERGEFORMAT </w:instrText>
      </w:r>
      <w:r w:rsidR="001B74E6" w:rsidRPr="00155974">
        <w:rPr>
          <w:sz w:val="19"/>
          <w:szCs w:val="19"/>
        </w:rPr>
      </w:r>
      <w:r w:rsidR="001B74E6" w:rsidRPr="00155974">
        <w:rPr>
          <w:sz w:val="19"/>
          <w:szCs w:val="19"/>
        </w:rPr>
        <w:fldChar w:fldCharType="separate"/>
      </w:r>
      <w:r w:rsidR="00454A6B">
        <w:rPr>
          <w:sz w:val="19"/>
          <w:szCs w:val="19"/>
        </w:rPr>
        <w:t>211</w:t>
      </w:r>
      <w:r w:rsidR="001B74E6" w:rsidRPr="00155974">
        <w:rPr>
          <w:sz w:val="19"/>
          <w:szCs w:val="19"/>
        </w:rPr>
        <w:fldChar w:fldCharType="end"/>
      </w:r>
      <w:r w:rsidRPr="00155974">
        <w:rPr>
          <w:sz w:val="19"/>
          <w:szCs w:val="19"/>
        </w:rPr>
        <w:t xml:space="preserve"> and </w:t>
      </w:r>
      <w:r w:rsidR="00440420" w:rsidRPr="00155974">
        <w:rPr>
          <w:sz w:val="19"/>
          <w:szCs w:val="19"/>
        </w:rPr>
        <w:fldChar w:fldCharType="begin"/>
      </w:r>
      <w:r w:rsidR="00440420" w:rsidRPr="00155974">
        <w:rPr>
          <w:sz w:val="19"/>
          <w:szCs w:val="19"/>
        </w:rPr>
        <w:instrText xml:space="preserve"> REF _Ref35361940 \r \h </w:instrText>
      </w:r>
      <w:r w:rsidR="00155974">
        <w:rPr>
          <w:sz w:val="19"/>
          <w:szCs w:val="19"/>
        </w:rPr>
        <w:instrText xml:space="preserve"> \* MERGEFORMAT </w:instrText>
      </w:r>
      <w:r w:rsidR="00440420" w:rsidRPr="00155974">
        <w:rPr>
          <w:sz w:val="19"/>
          <w:szCs w:val="19"/>
        </w:rPr>
      </w:r>
      <w:r w:rsidR="00440420" w:rsidRPr="00155974">
        <w:rPr>
          <w:sz w:val="19"/>
          <w:szCs w:val="19"/>
        </w:rPr>
        <w:fldChar w:fldCharType="separate"/>
      </w:r>
      <w:r w:rsidR="00454A6B">
        <w:rPr>
          <w:sz w:val="19"/>
          <w:szCs w:val="19"/>
        </w:rPr>
        <w:t>212</w:t>
      </w:r>
      <w:r w:rsidR="00440420" w:rsidRPr="00155974">
        <w:rPr>
          <w:sz w:val="19"/>
          <w:szCs w:val="19"/>
        </w:rPr>
        <w:fldChar w:fldCharType="end"/>
      </w:r>
      <w:r w:rsidRPr="00155974">
        <w:rPr>
          <w:sz w:val="19"/>
          <w:szCs w:val="19"/>
        </w:rPr>
        <w:t xml:space="preserve"> of this Standard) even though they were not previously required for RDR entities, to keep differences to the </w:t>
      </w:r>
      <w:r w:rsidRPr="00155974">
        <w:rPr>
          <w:i/>
          <w:iCs/>
          <w:sz w:val="19"/>
          <w:szCs w:val="19"/>
        </w:rPr>
        <w:t>IFRS for SMEs</w:t>
      </w:r>
      <w:r w:rsidRPr="00155974">
        <w:rPr>
          <w:sz w:val="19"/>
          <w:szCs w:val="19"/>
        </w:rPr>
        <w:t xml:space="preserve"> Standard at a minimum.</w:t>
      </w:r>
      <w:bookmarkEnd w:id="209"/>
    </w:p>
    <w:p w14:paraId="28E43BCC" w14:textId="77777777" w:rsidR="0088075B" w:rsidRPr="00155974" w:rsidRDefault="0088075B" w:rsidP="00CF17C4">
      <w:pPr>
        <w:pStyle w:val="Heading2"/>
      </w:pPr>
      <w:r w:rsidRPr="00CF17C4">
        <w:t>Effective</w:t>
      </w:r>
      <w:r w:rsidRPr="00155974">
        <w:t xml:space="preserve"> date</w:t>
      </w:r>
    </w:p>
    <w:p w14:paraId="56D6C67E" w14:textId="53543137" w:rsidR="0088075B" w:rsidRPr="00155974" w:rsidRDefault="0088075B" w:rsidP="000E61D3">
      <w:pPr>
        <w:pStyle w:val="Default"/>
        <w:numPr>
          <w:ilvl w:val="0"/>
          <w:numId w:val="35"/>
        </w:numPr>
        <w:spacing w:before="100"/>
        <w:ind w:left="782" w:hanging="782"/>
        <w:jc w:val="both"/>
        <w:rPr>
          <w:sz w:val="19"/>
          <w:szCs w:val="19"/>
        </w:rPr>
      </w:pPr>
      <w:bookmarkStart w:id="210" w:name="_Ref8986627"/>
      <w:r w:rsidRPr="00155974">
        <w:rPr>
          <w:sz w:val="19"/>
          <w:szCs w:val="19"/>
        </w:rPr>
        <w:t xml:space="preserve">In proposing the effective date in ED 295, the Board had noted that the revised Conceptual Framework as issued by the IASB in March 2018 is effective for annual periods beginning on or after 1 January 2020 and that </w:t>
      </w:r>
      <w:bookmarkEnd w:id="210"/>
      <w:r w:rsidRPr="00155974">
        <w:rPr>
          <w:sz w:val="19"/>
          <w:szCs w:val="19"/>
        </w:rPr>
        <w:t>the regulations in relation to doubling of thresholds for large proprietary companies are applicable to financial years beginning on or after 1 July 2019.</w:t>
      </w:r>
    </w:p>
    <w:p w14:paraId="0889B142" w14:textId="77777777" w:rsidR="0088075B" w:rsidRPr="00155974" w:rsidRDefault="0088075B" w:rsidP="000E61D3">
      <w:pPr>
        <w:pStyle w:val="Default"/>
        <w:numPr>
          <w:ilvl w:val="0"/>
          <w:numId w:val="35"/>
        </w:numPr>
        <w:spacing w:before="100"/>
        <w:ind w:left="782" w:hanging="782"/>
        <w:jc w:val="both"/>
        <w:rPr>
          <w:sz w:val="19"/>
          <w:szCs w:val="19"/>
        </w:rPr>
      </w:pPr>
      <w:bookmarkStart w:id="211" w:name="_Ref9334665"/>
      <w:r w:rsidRPr="00155974">
        <w:rPr>
          <w:sz w:val="19"/>
          <w:szCs w:val="19"/>
        </w:rPr>
        <w:t>With these factors in mind and in order to provide an option for large proprietary companies to early adopt AASB 1060, the Board had proposed that AASB 1060 should be ready for adoption latest by 30 June 2020, to be effective for annual periods beginning on or after 1 July 2020.</w:t>
      </w:r>
      <w:bookmarkEnd w:id="211"/>
    </w:p>
    <w:p w14:paraId="2561F085" w14:textId="77777777" w:rsidR="0088075B" w:rsidRPr="00155974" w:rsidRDefault="0088075B" w:rsidP="000E61D3">
      <w:pPr>
        <w:pStyle w:val="Default"/>
        <w:numPr>
          <w:ilvl w:val="0"/>
          <w:numId w:val="35"/>
        </w:numPr>
        <w:spacing w:before="100"/>
        <w:ind w:left="782" w:hanging="782"/>
        <w:jc w:val="both"/>
        <w:rPr>
          <w:sz w:val="19"/>
          <w:szCs w:val="19"/>
        </w:rPr>
      </w:pPr>
      <w:r w:rsidRPr="00155974">
        <w:rPr>
          <w:sz w:val="19"/>
          <w:szCs w:val="19"/>
        </w:rPr>
        <w:t xml:space="preserve">However, respondents to ED 295 and ED 297 expressed mixed views on the proposed effective date, with many recommending the Board defer the effective date of both standards by one to two years. After considering the arguments provided by stakeholders and various options, the Board ultimately decided to defer the effective date of both standards by one year to financial years beginning on or after 1 July 2021, with early adoption permitted.  </w:t>
      </w:r>
    </w:p>
    <w:p w14:paraId="6EF37010" w14:textId="77777777" w:rsidR="00D77AF7" w:rsidRDefault="0088075B" w:rsidP="000E61D3">
      <w:pPr>
        <w:pStyle w:val="Default"/>
        <w:numPr>
          <w:ilvl w:val="0"/>
          <w:numId w:val="35"/>
        </w:numPr>
        <w:spacing w:before="100"/>
        <w:ind w:left="782" w:hanging="782"/>
        <w:jc w:val="both"/>
        <w:rPr>
          <w:sz w:val="19"/>
          <w:szCs w:val="19"/>
        </w:rPr>
      </w:pPr>
      <w:r w:rsidRPr="00E27CD8">
        <w:rPr>
          <w:sz w:val="19"/>
          <w:szCs w:val="19"/>
        </w:rPr>
        <w:lastRenderedPageBreak/>
        <w:t>Further discussion of the Board’s consideration on this matter is available in AASB 2020-2 paragraphs BC145−BC153.</w:t>
      </w:r>
    </w:p>
    <w:p w14:paraId="1FB647F7" w14:textId="77777777" w:rsidR="00C56BA5" w:rsidRDefault="00C56BA5" w:rsidP="00C56BA5">
      <w:pPr>
        <w:pStyle w:val="Default"/>
        <w:spacing w:before="100"/>
        <w:jc w:val="both"/>
        <w:rPr>
          <w:sz w:val="19"/>
          <w:szCs w:val="19"/>
        </w:rPr>
      </w:pPr>
    </w:p>
    <w:p w14:paraId="0643B382" w14:textId="0C1F16B1" w:rsidR="00C56BA5" w:rsidRDefault="00C56BA5" w:rsidP="00022B10">
      <w:pPr>
        <w:pStyle w:val="Default"/>
        <w:spacing w:before="100"/>
        <w:jc w:val="both"/>
        <w:rPr>
          <w:sz w:val="19"/>
          <w:szCs w:val="19"/>
        </w:rPr>
        <w:sectPr w:rsidR="00C56BA5" w:rsidSect="008415C2">
          <w:footerReference w:type="default" r:id="rId34"/>
          <w:footerReference w:type="first" r:id="rId35"/>
          <w:footnotePr>
            <w:numRestart w:val="eachSect"/>
          </w:footnotePr>
          <w:pgSz w:w="11907" w:h="16839" w:code="9"/>
          <w:pgMar w:top="1440" w:right="1440" w:bottom="1440" w:left="1440" w:header="720" w:footer="720" w:gutter="0"/>
          <w:cols w:space="708"/>
          <w:docGrid w:linePitch="360"/>
        </w:sectPr>
      </w:pPr>
    </w:p>
    <w:p w14:paraId="6AC6B4FB" w14:textId="39820C67" w:rsidR="00C64B8F" w:rsidRPr="003B4638" w:rsidRDefault="00C64B8F" w:rsidP="00A74E07">
      <w:pPr>
        <w:pStyle w:val="ConvSectionTitle"/>
      </w:pPr>
      <w:r w:rsidRPr="003B4638">
        <w:lastRenderedPageBreak/>
        <w:t>Basis for Conclusions</w:t>
      </w:r>
      <w:r w:rsidR="0034129A">
        <w:t xml:space="preserve"> on AASB 2020-7</w:t>
      </w:r>
    </w:p>
    <w:p w14:paraId="6419F519" w14:textId="482B9252" w:rsidR="00C64B8F" w:rsidRPr="00C64B8F" w:rsidRDefault="00C64B8F" w:rsidP="00022B10">
      <w:pPr>
        <w:pStyle w:val="Default"/>
        <w:spacing w:before="100"/>
        <w:jc w:val="both"/>
        <w:rPr>
          <w:sz w:val="19"/>
          <w:szCs w:val="19"/>
        </w:rPr>
      </w:pPr>
      <w:r w:rsidRPr="008A3989">
        <w:rPr>
          <w:i/>
          <w:iCs/>
          <w:sz w:val="19"/>
          <w:szCs w:val="19"/>
        </w:rPr>
        <w:t xml:space="preserve">This Basis for Conclusions accompanies, but is not part of, AASB </w:t>
      </w:r>
      <w:r w:rsidR="00601DB8" w:rsidRPr="008A3989">
        <w:rPr>
          <w:i/>
          <w:iCs/>
          <w:sz w:val="19"/>
          <w:szCs w:val="19"/>
        </w:rPr>
        <w:t>1060.</w:t>
      </w:r>
      <w:r w:rsidR="00ED2642" w:rsidRPr="008A3989">
        <w:rPr>
          <w:i/>
          <w:iCs/>
          <w:sz w:val="19"/>
          <w:szCs w:val="19"/>
        </w:rPr>
        <w:t xml:space="preserve">  The Basis for Conclusions was originally published with AASB </w:t>
      </w:r>
      <w:r w:rsidR="00601DB8" w:rsidRPr="008A3989">
        <w:rPr>
          <w:i/>
          <w:iCs/>
          <w:sz w:val="19"/>
          <w:szCs w:val="19"/>
        </w:rPr>
        <w:t>2020-7</w:t>
      </w:r>
      <w:r w:rsidR="00601DB8">
        <w:rPr>
          <w:sz w:val="19"/>
          <w:szCs w:val="19"/>
        </w:rPr>
        <w:t xml:space="preserve"> </w:t>
      </w:r>
      <w:r w:rsidR="00601DB8" w:rsidRPr="00CA011A">
        <w:rPr>
          <w:sz w:val="19"/>
          <w:szCs w:val="19"/>
        </w:rPr>
        <w:t>Amendments to Australian Accounting Standards – Covid-19-Related Rent Concessions: Tier 2 Disclosures</w:t>
      </w:r>
      <w:r w:rsidR="00601DB8" w:rsidRPr="00601DB8">
        <w:rPr>
          <w:sz w:val="19"/>
          <w:szCs w:val="19"/>
        </w:rPr>
        <w:t>.</w:t>
      </w:r>
    </w:p>
    <w:p w14:paraId="52DC99EC" w14:textId="77777777" w:rsidR="00C64B8F" w:rsidRPr="00DC4EEA" w:rsidRDefault="00C64B8F" w:rsidP="00DC4EEA">
      <w:pPr>
        <w:pStyle w:val="IASBSectionTitle1NonInd"/>
        <w:jc w:val="both"/>
      </w:pPr>
      <w:r w:rsidRPr="00DC4EEA">
        <w:t>Introduction</w:t>
      </w:r>
    </w:p>
    <w:p w14:paraId="7409C467" w14:textId="4D0AD98F" w:rsidR="00C64B8F" w:rsidRPr="00C64B8F" w:rsidRDefault="00C64B8F" w:rsidP="00021FF9">
      <w:pPr>
        <w:pStyle w:val="Default"/>
        <w:spacing w:before="100"/>
        <w:ind w:left="782" w:hanging="782"/>
        <w:jc w:val="both"/>
        <w:rPr>
          <w:sz w:val="19"/>
          <w:szCs w:val="19"/>
        </w:rPr>
      </w:pPr>
      <w:r w:rsidRPr="00C64B8F">
        <w:rPr>
          <w:sz w:val="19"/>
          <w:szCs w:val="19"/>
        </w:rPr>
        <w:t>BC1</w:t>
      </w:r>
      <w:r w:rsidR="00FA0984">
        <w:rPr>
          <w:sz w:val="19"/>
          <w:szCs w:val="19"/>
        </w:rPr>
        <w:tab/>
      </w:r>
      <w:r w:rsidRPr="00C64B8F">
        <w:rPr>
          <w:sz w:val="19"/>
          <w:szCs w:val="19"/>
        </w:rPr>
        <w:t>This Basis for Conclusions summarises the Australian Accounting Standards Board’s considerations in reaching the conclusions in this Standard. It sets out the reasons why the Board developed the Standard, the approach taken to developing the Standard and the bases for key decisions made. In making decisions, individual Board members gave greater weight to some factors than to others.</w:t>
      </w:r>
    </w:p>
    <w:p w14:paraId="35C0A32C" w14:textId="77777777" w:rsidR="00C64B8F" w:rsidRPr="00144D9A" w:rsidRDefault="00C64B8F" w:rsidP="00144D9A">
      <w:pPr>
        <w:pStyle w:val="IASBSectionTitle1NonInd"/>
        <w:jc w:val="both"/>
      </w:pPr>
      <w:r w:rsidRPr="00144D9A">
        <w:t>Reasons for proposing amendments to AASB 1060</w:t>
      </w:r>
    </w:p>
    <w:p w14:paraId="3A409D49" w14:textId="4A992E74" w:rsidR="00C64B8F" w:rsidRPr="00C64B8F" w:rsidRDefault="00C64B8F" w:rsidP="00A736AD">
      <w:pPr>
        <w:pStyle w:val="Default"/>
        <w:spacing w:before="100"/>
        <w:ind w:left="782" w:hanging="782"/>
        <w:jc w:val="both"/>
        <w:rPr>
          <w:sz w:val="19"/>
          <w:szCs w:val="19"/>
        </w:rPr>
      </w:pPr>
      <w:r w:rsidRPr="00C64B8F">
        <w:rPr>
          <w:sz w:val="19"/>
          <w:szCs w:val="19"/>
        </w:rPr>
        <w:t>BC2</w:t>
      </w:r>
      <w:r w:rsidR="00144D9A">
        <w:rPr>
          <w:sz w:val="19"/>
          <w:szCs w:val="19"/>
        </w:rPr>
        <w:tab/>
      </w:r>
      <w:r w:rsidRPr="00C64B8F">
        <w:rPr>
          <w:sz w:val="19"/>
          <w:szCs w:val="19"/>
        </w:rPr>
        <w:t xml:space="preserve">In June 2020, the Board issued AASB 2020-4 </w:t>
      </w:r>
      <w:r w:rsidRPr="000B32AB">
        <w:rPr>
          <w:i/>
          <w:iCs/>
          <w:sz w:val="19"/>
          <w:szCs w:val="19"/>
        </w:rPr>
        <w:t>Amendments to Australian Accounting Standards – Covid-19-Related Rent Concessions</w:t>
      </w:r>
      <w:r w:rsidRPr="00C64B8F">
        <w:rPr>
          <w:sz w:val="19"/>
          <w:szCs w:val="19"/>
        </w:rPr>
        <w:t xml:space="preserve"> to make amendments to AASB 16 </w:t>
      </w:r>
      <w:r w:rsidRPr="000B32AB">
        <w:rPr>
          <w:i/>
          <w:iCs/>
          <w:sz w:val="19"/>
          <w:szCs w:val="19"/>
        </w:rPr>
        <w:t>Leases</w:t>
      </w:r>
      <w:r w:rsidRPr="00C64B8F">
        <w:rPr>
          <w:sz w:val="19"/>
          <w:szCs w:val="19"/>
        </w:rPr>
        <w:t xml:space="preserve"> to provide lessees with an optional exemption from assessing whether a COVID-19-related rent concession is a lease modification. The amendments added a new paragraph 60A to AASB 16, which requires an entity applying the practical expedient to disclose:</w:t>
      </w:r>
    </w:p>
    <w:p w14:paraId="5BDECC3D" w14:textId="3795F3D2" w:rsidR="00C64B8F" w:rsidRPr="00C64B8F" w:rsidRDefault="00C64B8F" w:rsidP="00A736AD">
      <w:pPr>
        <w:pStyle w:val="Default"/>
        <w:spacing w:before="100"/>
        <w:ind w:left="1564" w:hanging="782"/>
        <w:jc w:val="both"/>
        <w:rPr>
          <w:sz w:val="19"/>
          <w:szCs w:val="19"/>
        </w:rPr>
      </w:pPr>
      <w:r w:rsidRPr="00C64B8F">
        <w:rPr>
          <w:sz w:val="19"/>
          <w:szCs w:val="19"/>
        </w:rPr>
        <w:t>(a)</w:t>
      </w:r>
      <w:r w:rsidR="00A736AD">
        <w:rPr>
          <w:sz w:val="19"/>
          <w:szCs w:val="19"/>
        </w:rPr>
        <w:tab/>
      </w:r>
      <w:r w:rsidRPr="00C64B8F">
        <w:rPr>
          <w:sz w:val="19"/>
          <w:szCs w:val="19"/>
        </w:rPr>
        <w:t>that it has applied the practical expedient to all rent concessions that meet the conditions in paragraph 46B of AASB 16 or, if not applied to all such rent concessions, information about the nature of the contracts to which it has applied the practical expedient; and</w:t>
      </w:r>
    </w:p>
    <w:p w14:paraId="0D4E2E62" w14:textId="4E09B525" w:rsidR="00C64B8F" w:rsidRPr="00C64B8F" w:rsidRDefault="00C64B8F" w:rsidP="00A736AD">
      <w:pPr>
        <w:pStyle w:val="Default"/>
        <w:spacing w:before="100"/>
        <w:ind w:left="1564" w:hanging="782"/>
        <w:jc w:val="both"/>
        <w:rPr>
          <w:sz w:val="19"/>
          <w:szCs w:val="19"/>
        </w:rPr>
      </w:pPr>
      <w:r w:rsidRPr="00C64B8F">
        <w:rPr>
          <w:sz w:val="19"/>
          <w:szCs w:val="19"/>
        </w:rPr>
        <w:t>(b)</w:t>
      </w:r>
      <w:r w:rsidR="00A736AD">
        <w:rPr>
          <w:sz w:val="19"/>
          <w:szCs w:val="19"/>
        </w:rPr>
        <w:tab/>
      </w:r>
      <w:r w:rsidRPr="00C64B8F">
        <w:rPr>
          <w:sz w:val="19"/>
          <w:szCs w:val="19"/>
        </w:rPr>
        <w:t>the amount recognised in profit or loss for the reporting period to reflect changes in lease payments that arise from rent concessions to which the lessee has applied the practical expedient in paragraph 46A of AASB 16.</w:t>
      </w:r>
    </w:p>
    <w:p w14:paraId="0B562080" w14:textId="0EB788DF" w:rsidR="00C64B8F" w:rsidRPr="00C64B8F" w:rsidRDefault="00C64B8F" w:rsidP="00F7075E">
      <w:pPr>
        <w:pStyle w:val="Default"/>
        <w:spacing w:before="100"/>
        <w:ind w:left="782" w:hanging="782"/>
        <w:jc w:val="both"/>
        <w:rPr>
          <w:sz w:val="19"/>
          <w:szCs w:val="19"/>
        </w:rPr>
      </w:pPr>
      <w:r w:rsidRPr="00C64B8F">
        <w:rPr>
          <w:sz w:val="19"/>
          <w:szCs w:val="19"/>
        </w:rPr>
        <w:t>BC3</w:t>
      </w:r>
      <w:r w:rsidR="00A736AD">
        <w:rPr>
          <w:sz w:val="19"/>
          <w:szCs w:val="19"/>
        </w:rPr>
        <w:tab/>
      </w:r>
      <w:r w:rsidRPr="00C64B8F">
        <w:rPr>
          <w:sz w:val="19"/>
          <w:szCs w:val="19"/>
        </w:rPr>
        <w:t xml:space="preserve">The amendments further provide relief from providing the information required by AASB 108 </w:t>
      </w:r>
      <w:r w:rsidRPr="000B32AB">
        <w:rPr>
          <w:i/>
          <w:iCs/>
          <w:sz w:val="19"/>
          <w:szCs w:val="19"/>
        </w:rPr>
        <w:t>Accounting Policies, Changes in Accounting Estimates and Errors</w:t>
      </w:r>
      <w:r w:rsidRPr="00C64B8F">
        <w:rPr>
          <w:sz w:val="19"/>
          <w:szCs w:val="19"/>
        </w:rPr>
        <w:t xml:space="preserve"> paragraph 28(f) in the reporting period in which the lessee first applies the amendments made by AASB 2020-4 through paragraph C20B of AASB 16.</w:t>
      </w:r>
    </w:p>
    <w:p w14:paraId="02297923" w14:textId="0BB65EB2" w:rsidR="00C64B8F" w:rsidRPr="00C64B8F" w:rsidRDefault="00C64B8F" w:rsidP="00F7075E">
      <w:pPr>
        <w:pStyle w:val="Default"/>
        <w:spacing w:before="100"/>
        <w:ind w:left="782" w:hanging="782"/>
        <w:jc w:val="both"/>
        <w:rPr>
          <w:sz w:val="19"/>
          <w:szCs w:val="19"/>
        </w:rPr>
      </w:pPr>
      <w:r w:rsidRPr="00C64B8F">
        <w:rPr>
          <w:sz w:val="19"/>
          <w:szCs w:val="19"/>
        </w:rPr>
        <w:t>BC4</w:t>
      </w:r>
      <w:r w:rsidR="00A736AD">
        <w:rPr>
          <w:sz w:val="19"/>
          <w:szCs w:val="19"/>
        </w:rPr>
        <w:tab/>
      </w:r>
      <w:r w:rsidRPr="00C64B8F">
        <w:rPr>
          <w:sz w:val="19"/>
          <w:szCs w:val="19"/>
        </w:rPr>
        <w:t>The Board considered whether these disclosures should also apply to entities that intend to adopt AASB</w:t>
      </w:r>
      <w:r w:rsidR="00003D58">
        <w:rPr>
          <w:sz w:val="19"/>
          <w:szCs w:val="19"/>
        </w:rPr>
        <w:t> </w:t>
      </w:r>
      <w:r w:rsidRPr="00C64B8F">
        <w:rPr>
          <w:sz w:val="19"/>
          <w:szCs w:val="19"/>
        </w:rPr>
        <w:t xml:space="preserve">1060 </w:t>
      </w:r>
      <w:r w:rsidRPr="009373D4">
        <w:rPr>
          <w:i/>
          <w:iCs/>
          <w:sz w:val="19"/>
          <w:szCs w:val="19"/>
        </w:rPr>
        <w:t>General Purpose Financial Statements – Simplified Disclosures for For-Profit and Not-for-Profit Tier 2 Entities</w:t>
      </w:r>
      <w:r w:rsidRPr="00C64B8F">
        <w:rPr>
          <w:sz w:val="19"/>
          <w:szCs w:val="19"/>
        </w:rPr>
        <w:t>. The Board referred to the principles used when developing the disclosures in AASB 1060, which are described in paragraphs BC34–BC50 in the Basis for Conclusions to that Standard. In particular:</w:t>
      </w:r>
    </w:p>
    <w:p w14:paraId="0C18F4C2" w14:textId="5AF86282" w:rsidR="00C64B8F" w:rsidRPr="00C64B8F" w:rsidRDefault="00C64B8F" w:rsidP="00F7075E">
      <w:pPr>
        <w:pStyle w:val="Default"/>
        <w:spacing w:before="100"/>
        <w:ind w:left="1564" w:hanging="782"/>
        <w:jc w:val="both"/>
        <w:rPr>
          <w:sz w:val="19"/>
          <w:szCs w:val="19"/>
        </w:rPr>
      </w:pPr>
      <w:r w:rsidRPr="00C64B8F">
        <w:rPr>
          <w:sz w:val="19"/>
          <w:szCs w:val="19"/>
        </w:rPr>
        <w:t>(a)</w:t>
      </w:r>
      <w:r w:rsidR="00A736AD">
        <w:rPr>
          <w:sz w:val="19"/>
          <w:szCs w:val="19"/>
        </w:rPr>
        <w:tab/>
      </w:r>
      <w:r w:rsidRPr="00C64B8F">
        <w:rPr>
          <w:sz w:val="19"/>
          <w:szCs w:val="19"/>
        </w:rPr>
        <w:t xml:space="preserve">the disclosures in the </w:t>
      </w:r>
      <w:r w:rsidRPr="006845E8">
        <w:rPr>
          <w:i/>
          <w:iCs/>
          <w:sz w:val="19"/>
          <w:szCs w:val="19"/>
        </w:rPr>
        <w:t>IFRS for SMEs</w:t>
      </w:r>
      <w:r w:rsidRPr="00C64B8F">
        <w:rPr>
          <w:sz w:val="19"/>
          <w:szCs w:val="19"/>
        </w:rPr>
        <w:t xml:space="preserve"> Standard should be retained where the recognition and measurement (R&amp;M) requirements and options are the same or similar in the </w:t>
      </w:r>
      <w:r w:rsidRPr="006845E8">
        <w:rPr>
          <w:i/>
          <w:iCs/>
          <w:sz w:val="19"/>
          <w:szCs w:val="19"/>
        </w:rPr>
        <w:t>IFRS for SMEs</w:t>
      </w:r>
      <w:r w:rsidRPr="00C64B8F">
        <w:rPr>
          <w:sz w:val="19"/>
          <w:szCs w:val="19"/>
        </w:rPr>
        <w:t xml:space="preserve"> Standard and full IFRS Standards (and therefore Australian Accounting Standards);</w:t>
      </w:r>
    </w:p>
    <w:p w14:paraId="34725D11" w14:textId="65771C76" w:rsidR="00C64B8F" w:rsidRPr="00C64B8F" w:rsidRDefault="00C64B8F" w:rsidP="00F7075E">
      <w:pPr>
        <w:pStyle w:val="Default"/>
        <w:spacing w:before="100"/>
        <w:ind w:left="1564" w:hanging="782"/>
        <w:jc w:val="both"/>
        <w:rPr>
          <w:sz w:val="19"/>
          <w:szCs w:val="19"/>
        </w:rPr>
      </w:pPr>
      <w:r w:rsidRPr="00C64B8F">
        <w:rPr>
          <w:sz w:val="19"/>
          <w:szCs w:val="19"/>
        </w:rPr>
        <w:t>(b)</w:t>
      </w:r>
      <w:r w:rsidR="00A736AD">
        <w:rPr>
          <w:sz w:val="19"/>
          <w:szCs w:val="19"/>
        </w:rPr>
        <w:tab/>
      </w:r>
      <w:r w:rsidRPr="00C64B8F">
        <w:rPr>
          <w:sz w:val="19"/>
          <w:szCs w:val="19"/>
        </w:rPr>
        <w:t xml:space="preserve">where R&amp;M options or treatments in the </w:t>
      </w:r>
      <w:r w:rsidRPr="006845E8">
        <w:rPr>
          <w:i/>
          <w:iCs/>
          <w:sz w:val="19"/>
          <w:szCs w:val="19"/>
        </w:rPr>
        <w:t>IFRS for SMEs</w:t>
      </w:r>
      <w:r w:rsidRPr="00C64B8F">
        <w:rPr>
          <w:sz w:val="19"/>
          <w:szCs w:val="19"/>
        </w:rPr>
        <w:t xml:space="preserve"> Standard are not available in full IFRS Standards (and therefore Australian Accounting Standards), the related </w:t>
      </w:r>
      <w:r w:rsidRPr="006845E8">
        <w:rPr>
          <w:i/>
          <w:iCs/>
          <w:sz w:val="19"/>
          <w:szCs w:val="19"/>
        </w:rPr>
        <w:t>IFRS for SMEs</w:t>
      </w:r>
      <w:r w:rsidRPr="00C64B8F">
        <w:rPr>
          <w:sz w:val="19"/>
          <w:szCs w:val="19"/>
        </w:rPr>
        <w:t xml:space="preserve"> disclosures are removed; and</w:t>
      </w:r>
    </w:p>
    <w:p w14:paraId="2269348D" w14:textId="1953FA23" w:rsidR="00C64B8F" w:rsidRPr="00C64B8F" w:rsidRDefault="00C64B8F" w:rsidP="00F7075E">
      <w:pPr>
        <w:pStyle w:val="Default"/>
        <w:spacing w:before="100"/>
        <w:ind w:left="1564" w:hanging="782"/>
        <w:jc w:val="both"/>
        <w:rPr>
          <w:sz w:val="19"/>
          <w:szCs w:val="19"/>
        </w:rPr>
      </w:pPr>
      <w:r w:rsidRPr="00C64B8F">
        <w:rPr>
          <w:sz w:val="19"/>
          <w:szCs w:val="19"/>
        </w:rPr>
        <w:t>(c)</w:t>
      </w:r>
      <w:r w:rsidR="00F7075E">
        <w:rPr>
          <w:sz w:val="19"/>
          <w:szCs w:val="19"/>
        </w:rPr>
        <w:tab/>
      </w:r>
      <w:r w:rsidRPr="00C64B8F">
        <w:rPr>
          <w:sz w:val="19"/>
          <w:szCs w:val="19"/>
        </w:rPr>
        <w:t xml:space="preserve">where the R&amp;M principles in full IFRS Standards (and therefore Australian Accounting Standards) are significantly different from those in the </w:t>
      </w:r>
      <w:r w:rsidRPr="001F75B1">
        <w:rPr>
          <w:i/>
          <w:iCs/>
          <w:sz w:val="19"/>
          <w:szCs w:val="19"/>
        </w:rPr>
        <w:t>IFRS for SMEs</w:t>
      </w:r>
      <w:r w:rsidRPr="00C64B8F">
        <w:rPr>
          <w:sz w:val="19"/>
          <w:szCs w:val="19"/>
        </w:rPr>
        <w:t xml:space="preserve"> Standard or certain topics are not addressed in the </w:t>
      </w:r>
      <w:r w:rsidRPr="001F75B1">
        <w:rPr>
          <w:i/>
          <w:iCs/>
          <w:sz w:val="19"/>
          <w:szCs w:val="19"/>
        </w:rPr>
        <w:t>IFRS for SMEs</w:t>
      </w:r>
      <w:r w:rsidRPr="00C64B8F">
        <w:rPr>
          <w:sz w:val="19"/>
          <w:szCs w:val="19"/>
        </w:rPr>
        <w:t xml:space="preserve"> Standard, disclosures may be added. To determine whether to add any disclosures, the Board refers to the principles applied by the IASB in developing the disclosures in the </w:t>
      </w:r>
      <w:r w:rsidRPr="001F75B1">
        <w:rPr>
          <w:i/>
          <w:iCs/>
          <w:sz w:val="19"/>
          <w:szCs w:val="19"/>
        </w:rPr>
        <w:t>IFRS for SMEs</w:t>
      </w:r>
      <w:r w:rsidRPr="00C64B8F">
        <w:rPr>
          <w:sz w:val="19"/>
          <w:szCs w:val="19"/>
        </w:rPr>
        <w:t xml:space="preserve"> Standard, which are set out in paragraph BC8 below.</w:t>
      </w:r>
    </w:p>
    <w:p w14:paraId="3911D895" w14:textId="77777777" w:rsidR="00C64B8F" w:rsidRPr="00C64B8F" w:rsidRDefault="00C64B8F" w:rsidP="009A24D8">
      <w:pPr>
        <w:pStyle w:val="Default"/>
        <w:spacing w:before="100"/>
        <w:ind w:left="782"/>
        <w:jc w:val="both"/>
        <w:rPr>
          <w:sz w:val="19"/>
          <w:szCs w:val="19"/>
        </w:rPr>
      </w:pPr>
      <w:r w:rsidRPr="00C64B8F">
        <w:rPr>
          <w:sz w:val="19"/>
          <w:szCs w:val="19"/>
        </w:rPr>
        <w:t>In addition to applying these principles, the Board also considers whether to add disclosures to address matters of public policy or to reflect Australian-specific issues.</w:t>
      </w:r>
    </w:p>
    <w:p w14:paraId="7CAE95AB" w14:textId="069E3418" w:rsidR="00C64B8F" w:rsidRPr="00C64B8F" w:rsidRDefault="00C64B8F" w:rsidP="009A24D8">
      <w:pPr>
        <w:pStyle w:val="Default"/>
        <w:spacing w:before="100"/>
        <w:ind w:left="782" w:hanging="782"/>
        <w:jc w:val="both"/>
        <w:rPr>
          <w:sz w:val="19"/>
          <w:szCs w:val="19"/>
        </w:rPr>
      </w:pPr>
      <w:r w:rsidRPr="00C64B8F">
        <w:rPr>
          <w:sz w:val="19"/>
          <w:szCs w:val="19"/>
        </w:rPr>
        <w:t>BC5</w:t>
      </w:r>
      <w:r w:rsidR="00F7075E">
        <w:rPr>
          <w:sz w:val="19"/>
          <w:szCs w:val="19"/>
        </w:rPr>
        <w:tab/>
      </w:r>
      <w:r w:rsidRPr="00C64B8F">
        <w:rPr>
          <w:sz w:val="19"/>
          <w:szCs w:val="19"/>
        </w:rPr>
        <w:t>Based on these principles, the Board agreed to use the following approach when considering whether to add to or amend disclosure requirements in AASB 1060 in relation to amendments made by the IASB to full IFRS Standards:</w:t>
      </w:r>
    </w:p>
    <w:p w14:paraId="76F0A424" w14:textId="23A99972" w:rsidR="00CB6BFB" w:rsidRDefault="00C64B8F" w:rsidP="009A24D8">
      <w:pPr>
        <w:pStyle w:val="Default"/>
        <w:spacing w:before="100"/>
        <w:ind w:left="1564" w:hanging="782"/>
        <w:jc w:val="both"/>
        <w:rPr>
          <w:sz w:val="19"/>
          <w:szCs w:val="19"/>
        </w:rPr>
      </w:pPr>
      <w:r w:rsidRPr="00C64B8F">
        <w:rPr>
          <w:sz w:val="19"/>
          <w:szCs w:val="19"/>
        </w:rPr>
        <w:t>(a)</w:t>
      </w:r>
      <w:r w:rsidR="00F7075E">
        <w:rPr>
          <w:sz w:val="19"/>
          <w:szCs w:val="19"/>
        </w:rPr>
        <w:tab/>
      </w:r>
      <w:r w:rsidRPr="00C64B8F">
        <w:rPr>
          <w:sz w:val="19"/>
          <w:szCs w:val="19"/>
        </w:rPr>
        <w:t xml:space="preserve">if the amendments introduce significant R&amp;M differences between full IFRS Standards and the </w:t>
      </w:r>
      <w:r w:rsidRPr="001F75B1">
        <w:rPr>
          <w:i/>
          <w:iCs/>
          <w:sz w:val="19"/>
          <w:szCs w:val="19"/>
        </w:rPr>
        <w:t>IFRS for SMEs</w:t>
      </w:r>
      <w:r w:rsidRPr="00C64B8F">
        <w:rPr>
          <w:sz w:val="19"/>
          <w:szCs w:val="19"/>
        </w:rPr>
        <w:t xml:space="preserve"> Standard, apply the principles applied by the IASB in developing the </w:t>
      </w:r>
      <w:r w:rsidRPr="001F75B1">
        <w:rPr>
          <w:i/>
          <w:iCs/>
          <w:sz w:val="19"/>
          <w:szCs w:val="19"/>
        </w:rPr>
        <w:t>IFRS for SMEs</w:t>
      </w:r>
      <w:r w:rsidRPr="00C64B8F">
        <w:rPr>
          <w:sz w:val="19"/>
          <w:szCs w:val="19"/>
        </w:rPr>
        <w:t xml:space="preserve"> Standard, as summarised in paragraph BC8; </w:t>
      </w:r>
    </w:p>
    <w:p w14:paraId="5E34A023" w14:textId="3F4A346E" w:rsidR="00C64B8F" w:rsidRPr="00C64B8F" w:rsidRDefault="00C64B8F" w:rsidP="009A24D8">
      <w:pPr>
        <w:pStyle w:val="Default"/>
        <w:spacing w:before="100"/>
        <w:ind w:left="1564" w:hanging="782"/>
        <w:jc w:val="both"/>
        <w:rPr>
          <w:sz w:val="19"/>
          <w:szCs w:val="19"/>
        </w:rPr>
      </w:pPr>
      <w:r w:rsidRPr="00C64B8F">
        <w:rPr>
          <w:sz w:val="19"/>
          <w:szCs w:val="19"/>
        </w:rPr>
        <w:lastRenderedPageBreak/>
        <w:t>(b)</w:t>
      </w:r>
      <w:r w:rsidR="00F7075E">
        <w:rPr>
          <w:sz w:val="19"/>
          <w:szCs w:val="19"/>
        </w:rPr>
        <w:tab/>
      </w:r>
      <w:r w:rsidRPr="00C64B8F">
        <w:rPr>
          <w:sz w:val="19"/>
          <w:szCs w:val="19"/>
        </w:rPr>
        <w:t>if the amendments do not introduce significant R&amp;M differences, no further action is required unless the disclosures address a matter of public policy or are of particular relevance in the Australian environment.</w:t>
      </w:r>
    </w:p>
    <w:p w14:paraId="23F04718" w14:textId="197D692F" w:rsidR="00C64B8F" w:rsidRPr="00C64B8F" w:rsidRDefault="00C64B8F" w:rsidP="00F7075E">
      <w:pPr>
        <w:pStyle w:val="Default"/>
        <w:spacing w:before="100"/>
        <w:ind w:left="782" w:hanging="782"/>
        <w:jc w:val="both"/>
        <w:rPr>
          <w:sz w:val="19"/>
          <w:szCs w:val="19"/>
        </w:rPr>
      </w:pPr>
      <w:r w:rsidRPr="00C64B8F">
        <w:rPr>
          <w:sz w:val="19"/>
          <w:szCs w:val="19"/>
        </w:rPr>
        <w:t>BC6</w:t>
      </w:r>
      <w:r w:rsidR="00F7075E">
        <w:rPr>
          <w:sz w:val="19"/>
          <w:szCs w:val="19"/>
        </w:rPr>
        <w:tab/>
      </w:r>
      <w:r w:rsidRPr="00C64B8F">
        <w:rPr>
          <w:sz w:val="19"/>
          <w:szCs w:val="19"/>
        </w:rPr>
        <w:t xml:space="preserve">In relation to the COVID-19-related rent concessions, the Board noted that the </w:t>
      </w:r>
      <w:r w:rsidRPr="005D5538">
        <w:rPr>
          <w:i/>
          <w:iCs/>
          <w:sz w:val="19"/>
          <w:szCs w:val="19"/>
        </w:rPr>
        <w:t>IFRS for SMEs</w:t>
      </w:r>
      <w:r w:rsidRPr="00C64B8F">
        <w:rPr>
          <w:sz w:val="19"/>
          <w:szCs w:val="19"/>
        </w:rPr>
        <w:t xml:space="preserve"> Standard does not discuss how to account for lease modifications. Paragraph 10.4 of the </w:t>
      </w:r>
      <w:r w:rsidRPr="005D5538">
        <w:rPr>
          <w:i/>
          <w:iCs/>
          <w:sz w:val="19"/>
          <w:szCs w:val="19"/>
        </w:rPr>
        <w:t>IFRS for SMEs</w:t>
      </w:r>
      <w:r w:rsidRPr="00C64B8F">
        <w:rPr>
          <w:sz w:val="19"/>
          <w:szCs w:val="19"/>
        </w:rPr>
        <w:t xml:space="preserve"> Standard explains that management shall use its judgement in developing and applying accounting policies that result in relevant and reliable information. Paragraph 10.6 further states that in making the judgement, management may also consider the requirements and guidance in full IFRS Standards dealing with similar and related issues. It is therefore possible that the expedient provided under full IFRS Standards may not result in significant differences in the R&amp;M requirements. On that basis, it would arguably not be necessary to consider whether to add any disclosures to AASB 1060.</w:t>
      </w:r>
    </w:p>
    <w:p w14:paraId="53E4182B" w14:textId="7197E9BC" w:rsidR="00C64B8F" w:rsidRPr="00C64B8F" w:rsidRDefault="00C64B8F" w:rsidP="00F7075E">
      <w:pPr>
        <w:pStyle w:val="Default"/>
        <w:spacing w:before="100"/>
        <w:ind w:left="782" w:hanging="782"/>
        <w:jc w:val="both"/>
        <w:rPr>
          <w:sz w:val="19"/>
          <w:szCs w:val="19"/>
        </w:rPr>
      </w:pPr>
      <w:r w:rsidRPr="00C64B8F">
        <w:rPr>
          <w:sz w:val="19"/>
          <w:szCs w:val="19"/>
        </w:rPr>
        <w:t>BC7</w:t>
      </w:r>
      <w:r w:rsidR="00F7075E">
        <w:rPr>
          <w:sz w:val="19"/>
          <w:szCs w:val="19"/>
        </w:rPr>
        <w:tab/>
      </w:r>
      <w:r w:rsidRPr="00C64B8F">
        <w:rPr>
          <w:sz w:val="19"/>
          <w:szCs w:val="19"/>
        </w:rPr>
        <w:t>However, as the practical expedient introduces a significant exemption from the accounting principles in AASB 16 that is only available to entities in the limited circumstances set out in AASB 16 paragraph 46B, the Board was of the view that this would be a situation where additional disclosures may be warranted.</w:t>
      </w:r>
    </w:p>
    <w:p w14:paraId="70800927" w14:textId="347CE95A" w:rsidR="00C64B8F" w:rsidRPr="00C64B8F" w:rsidRDefault="00C64B8F" w:rsidP="00F7075E">
      <w:pPr>
        <w:pStyle w:val="Default"/>
        <w:spacing w:before="100"/>
        <w:ind w:left="782" w:hanging="782"/>
        <w:jc w:val="both"/>
        <w:rPr>
          <w:sz w:val="19"/>
          <w:szCs w:val="19"/>
        </w:rPr>
      </w:pPr>
      <w:r w:rsidRPr="00C64B8F">
        <w:rPr>
          <w:sz w:val="19"/>
          <w:szCs w:val="19"/>
        </w:rPr>
        <w:t>BC8</w:t>
      </w:r>
      <w:r w:rsidR="00F7075E">
        <w:rPr>
          <w:sz w:val="19"/>
          <w:szCs w:val="19"/>
        </w:rPr>
        <w:tab/>
      </w:r>
      <w:r w:rsidRPr="00C64B8F">
        <w:rPr>
          <w:sz w:val="19"/>
          <w:szCs w:val="19"/>
        </w:rPr>
        <w:t xml:space="preserve">The Board therefore referred to the principles applied by the IASB in developing the disclosures in the </w:t>
      </w:r>
      <w:r w:rsidRPr="005D6573">
        <w:rPr>
          <w:i/>
          <w:iCs/>
          <w:sz w:val="19"/>
          <w:szCs w:val="19"/>
        </w:rPr>
        <w:t>IFRS for SMEs</w:t>
      </w:r>
      <w:r w:rsidRPr="00C64B8F">
        <w:rPr>
          <w:sz w:val="19"/>
          <w:szCs w:val="19"/>
        </w:rPr>
        <w:t xml:space="preserve"> Standard. These principles consider that users of the financial statements of for-profit entities that are not publicly accountable are particularly interested in information about:</w:t>
      </w:r>
    </w:p>
    <w:p w14:paraId="7AEC0DB5" w14:textId="22B69B1F" w:rsidR="00C64B8F" w:rsidRPr="00C64B8F" w:rsidRDefault="00C64B8F" w:rsidP="005252BA">
      <w:pPr>
        <w:pStyle w:val="Default"/>
        <w:spacing w:before="100"/>
        <w:ind w:left="1564" w:hanging="782"/>
        <w:jc w:val="both"/>
        <w:rPr>
          <w:sz w:val="19"/>
          <w:szCs w:val="19"/>
        </w:rPr>
      </w:pPr>
      <w:r w:rsidRPr="00C64B8F">
        <w:rPr>
          <w:sz w:val="19"/>
          <w:szCs w:val="19"/>
        </w:rPr>
        <w:t>(a)</w:t>
      </w:r>
      <w:r w:rsidR="00F7075E">
        <w:rPr>
          <w:sz w:val="19"/>
          <w:szCs w:val="19"/>
        </w:rPr>
        <w:tab/>
      </w:r>
      <w:r w:rsidRPr="00C64B8F">
        <w:rPr>
          <w:sz w:val="19"/>
          <w:szCs w:val="19"/>
        </w:rPr>
        <w:t>short-term cash flows and obligations, commitments or contingencies, whether or not recognised as liabilities;</w:t>
      </w:r>
    </w:p>
    <w:p w14:paraId="4CD6D25D" w14:textId="0AD4C38B" w:rsidR="00C64B8F" w:rsidRPr="00C64B8F" w:rsidRDefault="00C64B8F" w:rsidP="005252BA">
      <w:pPr>
        <w:pStyle w:val="Default"/>
        <w:spacing w:before="100"/>
        <w:ind w:left="1564" w:hanging="782"/>
        <w:jc w:val="both"/>
        <w:rPr>
          <w:sz w:val="19"/>
          <w:szCs w:val="19"/>
        </w:rPr>
      </w:pPr>
      <w:r w:rsidRPr="00C64B8F">
        <w:rPr>
          <w:sz w:val="19"/>
          <w:szCs w:val="19"/>
        </w:rPr>
        <w:t>(b)</w:t>
      </w:r>
      <w:r w:rsidR="00F7075E">
        <w:rPr>
          <w:sz w:val="19"/>
          <w:szCs w:val="19"/>
        </w:rPr>
        <w:tab/>
      </w:r>
      <w:r w:rsidRPr="00C64B8F">
        <w:rPr>
          <w:sz w:val="19"/>
          <w:szCs w:val="19"/>
        </w:rPr>
        <w:t>liquidity and solvency;</w:t>
      </w:r>
    </w:p>
    <w:p w14:paraId="68510C21" w14:textId="3AF602C3" w:rsidR="00C64B8F" w:rsidRPr="00C64B8F" w:rsidRDefault="00C64B8F" w:rsidP="005252BA">
      <w:pPr>
        <w:pStyle w:val="Default"/>
        <w:spacing w:before="100"/>
        <w:ind w:left="1564" w:hanging="782"/>
        <w:jc w:val="both"/>
        <w:rPr>
          <w:sz w:val="19"/>
          <w:szCs w:val="19"/>
        </w:rPr>
      </w:pPr>
      <w:r w:rsidRPr="00C64B8F">
        <w:rPr>
          <w:sz w:val="19"/>
          <w:szCs w:val="19"/>
        </w:rPr>
        <w:t>(c)</w:t>
      </w:r>
      <w:r w:rsidR="00F7075E">
        <w:rPr>
          <w:sz w:val="19"/>
          <w:szCs w:val="19"/>
        </w:rPr>
        <w:tab/>
      </w:r>
      <w:r w:rsidRPr="00C64B8F">
        <w:rPr>
          <w:sz w:val="19"/>
          <w:szCs w:val="19"/>
        </w:rPr>
        <w:t>measurement uncertainties;</w:t>
      </w:r>
    </w:p>
    <w:p w14:paraId="084B3FBC" w14:textId="04C2A9BA" w:rsidR="00C64B8F" w:rsidRPr="00C64B8F" w:rsidRDefault="00C64B8F" w:rsidP="005252BA">
      <w:pPr>
        <w:pStyle w:val="Default"/>
        <w:spacing w:before="100"/>
        <w:ind w:left="1564" w:hanging="782"/>
        <w:jc w:val="both"/>
        <w:rPr>
          <w:sz w:val="19"/>
          <w:szCs w:val="19"/>
        </w:rPr>
      </w:pPr>
      <w:r w:rsidRPr="00C64B8F">
        <w:rPr>
          <w:sz w:val="19"/>
          <w:szCs w:val="19"/>
        </w:rPr>
        <w:t>(d)</w:t>
      </w:r>
      <w:r w:rsidR="00F7075E">
        <w:rPr>
          <w:sz w:val="19"/>
          <w:szCs w:val="19"/>
        </w:rPr>
        <w:tab/>
      </w:r>
      <w:r w:rsidRPr="00C64B8F">
        <w:rPr>
          <w:sz w:val="19"/>
          <w:szCs w:val="19"/>
        </w:rPr>
        <w:t>accounting policy choices; and</w:t>
      </w:r>
    </w:p>
    <w:p w14:paraId="49D8B86F" w14:textId="38613889" w:rsidR="00C64B8F" w:rsidRPr="00C64B8F" w:rsidRDefault="00C64B8F" w:rsidP="005252BA">
      <w:pPr>
        <w:pStyle w:val="Default"/>
        <w:spacing w:before="100"/>
        <w:ind w:left="1564" w:hanging="782"/>
        <w:jc w:val="both"/>
        <w:rPr>
          <w:sz w:val="19"/>
          <w:szCs w:val="19"/>
        </w:rPr>
      </w:pPr>
      <w:r w:rsidRPr="00C64B8F">
        <w:rPr>
          <w:sz w:val="19"/>
          <w:szCs w:val="19"/>
        </w:rPr>
        <w:t>(e)</w:t>
      </w:r>
      <w:r w:rsidR="00F7075E">
        <w:rPr>
          <w:sz w:val="19"/>
          <w:szCs w:val="19"/>
        </w:rPr>
        <w:tab/>
      </w:r>
      <w:r w:rsidRPr="00C64B8F">
        <w:rPr>
          <w:sz w:val="19"/>
          <w:szCs w:val="19"/>
        </w:rPr>
        <w:t>disaggregations of amounts presented in the financial statements.</w:t>
      </w:r>
    </w:p>
    <w:p w14:paraId="1A284973" w14:textId="77777777" w:rsidR="00C64B8F" w:rsidRPr="00C64B8F" w:rsidRDefault="00C64B8F" w:rsidP="004B0ADC">
      <w:pPr>
        <w:pStyle w:val="Default"/>
        <w:spacing w:before="100"/>
        <w:ind w:left="782"/>
        <w:jc w:val="both"/>
        <w:rPr>
          <w:sz w:val="19"/>
          <w:szCs w:val="19"/>
        </w:rPr>
      </w:pPr>
      <w:r w:rsidRPr="00C64B8F">
        <w:rPr>
          <w:sz w:val="19"/>
          <w:szCs w:val="19"/>
        </w:rPr>
        <w:t>The principles further note that some disclosures in full IFRS Standards are more relevant to investment decisions in public capital markets than to transactions and other events and conditions encountered by entities without public accountability.</w:t>
      </w:r>
    </w:p>
    <w:p w14:paraId="1696936D" w14:textId="5DF26436" w:rsidR="00C64B8F" w:rsidRPr="00C64B8F" w:rsidRDefault="00C64B8F" w:rsidP="00A02C71">
      <w:pPr>
        <w:pStyle w:val="Default"/>
        <w:spacing w:before="100"/>
        <w:ind w:left="782" w:hanging="782"/>
        <w:jc w:val="both"/>
        <w:rPr>
          <w:sz w:val="19"/>
          <w:szCs w:val="19"/>
        </w:rPr>
      </w:pPr>
      <w:r w:rsidRPr="00C64B8F">
        <w:rPr>
          <w:sz w:val="19"/>
          <w:szCs w:val="19"/>
        </w:rPr>
        <w:t>BC9</w:t>
      </w:r>
      <w:r w:rsidR="00A02C71">
        <w:rPr>
          <w:sz w:val="19"/>
          <w:szCs w:val="19"/>
        </w:rPr>
        <w:tab/>
      </w:r>
      <w:r w:rsidRPr="00C64B8F">
        <w:rPr>
          <w:sz w:val="19"/>
          <w:szCs w:val="19"/>
        </w:rPr>
        <w:t>Applying the practical expedient in AASB 16 paragraph 46A is an accounting policy choice. Entities would therefore already be required to explain if they have used the expedient, and to what extent, when describing their accounting policies and the basis of preparation of their financial statements under paragraph 95(b) of AASB 1060. However, the Board noted that adding a specific disclosure requirement to AASB 1060 would ensure all entities applying the expedient state this fact in their basis of preparation, regardless of whether they are reporting under Tier 1 or Tier 2. Providing information about accounting policy choices made by the entity is further supported by the principle in paragraph BC8(d).</w:t>
      </w:r>
    </w:p>
    <w:p w14:paraId="29A27D7D" w14:textId="64B4FC5C" w:rsidR="00C64B8F" w:rsidRPr="00C64B8F" w:rsidRDefault="00C64B8F" w:rsidP="00A02C71">
      <w:pPr>
        <w:pStyle w:val="Default"/>
        <w:spacing w:before="100"/>
        <w:ind w:left="782" w:hanging="782"/>
        <w:jc w:val="both"/>
        <w:rPr>
          <w:sz w:val="19"/>
          <w:szCs w:val="19"/>
        </w:rPr>
      </w:pPr>
      <w:r w:rsidRPr="00C64B8F">
        <w:rPr>
          <w:sz w:val="19"/>
          <w:szCs w:val="19"/>
        </w:rPr>
        <w:t>BC10</w:t>
      </w:r>
      <w:r w:rsidR="00A02C71">
        <w:rPr>
          <w:sz w:val="19"/>
          <w:szCs w:val="19"/>
        </w:rPr>
        <w:tab/>
      </w:r>
      <w:r w:rsidRPr="00C64B8F">
        <w:rPr>
          <w:sz w:val="19"/>
          <w:szCs w:val="19"/>
        </w:rPr>
        <w:t>In relation to the amount recognised in profit or loss for the reporting period, the Board noted that this provides information about the disaggregation of amounts presented in the statement of profit or loss, and is hence supported by paragraph BC8(e). The disclosure may also provide further insights about the entity’s liquidity and solvency (paragraph BC8(b)) and would improve the comparability of financial statements of lessees that have applied the practical expedient and those that have not.</w:t>
      </w:r>
    </w:p>
    <w:p w14:paraId="59B4E36C" w14:textId="1CB1684A" w:rsidR="00C64B8F" w:rsidRPr="00C64B8F" w:rsidRDefault="00C64B8F" w:rsidP="00A02C71">
      <w:pPr>
        <w:pStyle w:val="Default"/>
        <w:spacing w:before="100"/>
        <w:ind w:left="782" w:hanging="782"/>
        <w:jc w:val="both"/>
        <w:rPr>
          <w:sz w:val="19"/>
          <w:szCs w:val="19"/>
        </w:rPr>
      </w:pPr>
      <w:r w:rsidRPr="00C64B8F">
        <w:rPr>
          <w:sz w:val="19"/>
          <w:szCs w:val="19"/>
        </w:rPr>
        <w:t>BC11</w:t>
      </w:r>
      <w:r w:rsidR="00A02C71">
        <w:rPr>
          <w:sz w:val="19"/>
          <w:szCs w:val="19"/>
        </w:rPr>
        <w:tab/>
      </w:r>
      <w:r w:rsidRPr="00C64B8F">
        <w:rPr>
          <w:sz w:val="19"/>
          <w:szCs w:val="19"/>
        </w:rPr>
        <w:t>Furthermore, if the entity had applied AASB 16 in a prior period, adopting the practical expedient would be a change in accounting policy and the entity would have to disclose the impact of this change on the current and prior periods under paragraph 28(f) of AASB 108, but for the disclosure relief added to AASB 16 (paragraph C20B) by AASB 2020-4. Noting that there should be no impact on prior periods as the practical expedient is limited to COVID-19-related rent concessions, disclosing the amount recognised in profit or loss for the reporting period would provide essentially the same information as required under AASB 1060 paragraph 106(b), which is the equivalent paragraph to AASB 108 paragraph 28(f). Requiring disclosure of the amount recognised in profit or loss but providing relief from compliance with paragraph 106(b) would therefore not result in any additional disclosures being required under AASB 1060.</w:t>
      </w:r>
    </w:p>
    <w:p w14:paraId="0B859D39" w14:textId="6BEECA14" w:rsidR="00C64B8F" w:rsidRPr="00C64B8F" w:rsidRDefault="00C64B8F" w:rsidP="00A02C71">
      <w:pPr>
        <w:pStyle w:val="Default"/>
        <w:spacing w:before="100"/>
        <w:ind w:left="782" w:hanging="782"/>
        <w:jc w:val="both"/>
        <w:rPr>
          <w:sz w:val="19"/>
          <w:szCs w:val="19"/>
        </w:rPr>
      </w:pPr>
      <w:r w:rsidRPr="00C64B8F">
        <w:rPr>
          <w:sz w:val="19"/>
          <w:szCs w:val="19"/>
        </w:rPr>
        <w:t>BC12</w:t>
      </w:r>
      <w:r w:rsidR="00A02C71">
        <w:rPr>
          <w:sz w:val="19"/>
          <w:szCs w:val="19"/>
        </w:rPr>
        <w:tab/>
      </w:r>
      <w:r w:rsidRPr="00C64B8F">
        <w:rPr>
          <w:sz w:val="19"/>
          <w:szCs w:val="19"/>
        </w:rPr>
        <w:t>Considering that the proposed new requirements are not expected to result in an increase in disclosures, the Board agreed to propose amendments to AASB 1060 that would replicate the disclosure changes made to AASB 16 and AASB 108 by AASB 2020-4. The Board further noted that the additional disclosures would apply only to COVID-19-related rent concessions and were warranted because of the special circumstances leading to the practical expedient in AASB 16. The amendments do not alter the fact that disclosure of variable lease payments is not required under the IFRS for SMEs Standard and therefore also not required under AASB</w:t>
      </w:r>
      <w:r w:rsidR="00C26A69">
        <w:rPr>
          <w:sz w:val="19"/>
          <w:szCs w:val="19"/>
        </w:rPr>
        <w:t> </w:t>
      </w:r>
      <w:r w:rsidRPr="00C64B8F">
        <w:rPr>
          <w:sz w:val="19"/>
          <w:szCs w:val="19"/>
        </w:rPr>
        <w:t xml:space="preserve">1060. </w:t>
      </w:r>
    </w:p>
    <w:p w14:paraId="6F600A42" w14:textId="77777777" w:rsidR="00C64B8F" w:rsidRPr="001126C0" w:rsidRDefault="00C64B8F" w:rsidP="001126C0">
      <w:pPr>
        <w:pStyle w:val="IASBSectionTitle1NonInd"/>
        <w:jc w:val="both"/>
      </w:pPr>
      <w:r w:rsidRPr="001126C0">
        <w:lastRenderedPageBreak/>
        <w:t>Tier 2 Reduced Disclosure Requirements</w:t>
      </w:r>
    </w:p>
    <w:p w14:paraId="527672D9" w14:textId="584E3A48" w:rsidR="00C64B8F" w:rsidRPr="00C64B8F" w:rsidRDefault="00C64B8F" w:rsidP="00A02C71">
      <w:pPr>
        <w:pStyle w:val="Default"/>
        <w:spacing w:before="100"/>
        <w:ind w:left="782" w:hanging="782"/>
        <w:jc w:val="both"/>
        <w:rPr>
          <w:sz w:val="19"/>
          <w:szCs w:val="19"/>
        </w:rPr>
      </w:pPr>
      <w:r w:rsidRPr="00C64B8F">
        <w:rPr>
          <w:sz w:val="19"/>
          <w:szCs w:val="19"/>
        </w:rPr>
        <w:t>BC13</w:t>
      </w:r>
      <w:r w:rsidR="00A02C71">
        <w:rPr>
          <w:sz w:val="19"/>
          <w:szCs w:val="19"/>
        </w:rPr>
        <w:tab/>
      </w:r>
      <w:r w:rsidRPr="00C64B8F">
        <w:rPr>
          <w:sz w:val="19"/>
          <w:szCs w:val="19"/>
        </w:rPr>
        <w:t xml:space="preserve">The Board also considered whether the new disclosures in AASB 16 should be reduced for entities reporting under the Tier 2 Reduced Disclosure Requirements (RDR) framework (Tier 2 RDR entities). In doing so, the Board referred to the ‘user need’ and ‘cost-benefit’ principles set out in the ‘Tier 2 Disclosure Principles’ document of the RDR decision-making framework. These principles were also based on the principles applied by the IASB in developing the disclosures in the </w:t>
      </w:r>
      <w:r w:rsidRPr="00C45195">
        <w:rPr>
          <w:i/>
          <w:iCs/>
          <w:sz w:val="19"/>
          <w:szCs w:val="19"/>
        </w:rPr>
        <w:t>IFRS for SMEs</w:t>
      </w:r>
      <w:r w:rsidRPr="00C64B8F">
        <w:rPr>
          <w:sz w:val="19"/>
          <w:szCs w:val="19"/>
        </w:rPr>
        <w:t xml:space="preserve"> Standard and are the same as those summarised in paragraph BC8.</w:t>
      </w:r>
    </w:p>
    <w:p w14:paraId="2520C5D3" w14:textId="62A6C154" w:rsidR="00C64B8F" w:rsidRPr="00C64B8F" w:rsidRDefault="00C64B8F" w:rsidP="00A02C71">
      <w:pPr>
        <w:pStyle w:val="Default"/>
        <w:spacing w:before="100"/>
        <w:ind w:left="782" w:hanging="782"/>
        <w:jc w:val="both"/>
        <w:rPr>
          <w:sz w:val="19"/>
          <w:szCs w:val="19"/>
        </w:rPr>
      </w:pPr>
      <w:r w:rsidRPr="00C64B8F">
        <w:rPr>
          <w:sz w:val="19"/>
          <w:szCs w:val="19"/>
        </w:rPr>
        <w:t>BC14</w:t>
      </w:r>
      <w:r w:rsidR="00A02C71">
        <w:rPr>
          <w:sz w:val="19"/>
          <w:szCs w:val="19"/>
        </w:rPr>
        <w:tab/>
      </w:r>
      <w:r w:rsidRPr="00C64B8F">
        <w:rPr>
          <w:sz w:val="19"/>
          <w:szCs w:val="19"/>
        </w:rPr>
        <w:t xml:space="preserve">The considerations in paragraphs BC9–BC12 are therefore also relevant for Tier 2 RDR entities. Disclosure of the accounting policies applied by the entity is already required under AASB 101 </w:t>
      </w:r>
      <w:r w:rsidRPr="00C45195">
        <w:rPr>
          <w:i/>
          <w:iCs/>
          <w:sz w:val="19"/>
          <w:szCs w:val="19"/>
        </w:rPr>
        <w:t>Presentation of Financial Statements</w:t>
      </w:r>
      <w:r w:rsidRPr="00C64B8F">
        <w:rPr>
          <w:sz w:val="19"/>
          <w:szCs w:val="19"/>
        </w:rPr>
        <w:t xml:space="preserve"> paragraph 117(b), and without the relief introduced by paragraph C20B of AASB 16, entities that had previously applied AASB 16 would need to disclose the impact of the change in accounting policy on each financial statement line item affected.</w:t>
      </w:r>
    </w:p>
    <w:p w14:paraId="75520511" w14:textId="4D484C5D" w:rsidR="00C64B8F" w:rsidRPr="00C64B8F" w:rsidRDefault="00C64B8F" w:rsidP="00A02C71">
      <w:pPr>
        <w:pStyle w:val="Default"/>
        <w:spacing w:before="100"/>
        <w:ind w:left="782" w:hanging="782"/>
        <w:jc w:val="both"/>
        <w:rPr>
          <w:sz w:val="19"/>
          <w:szCs w:val="19"/>
        </w:rPr>
      </w:pPr>
      <w:r w:rsidRPr="00C64B8F">
        <w:rPr>
          <w:sz w:val="19"/>
          <w:szCs w:val="19"/>
        </w:rPr>
        <w:t>BC15</w:t>
      </w:r>
      <w:r w:rsidR="00A02C71">
        <w:rPr>
          <w:sz w:val="19"/>
          <w:szCs w:val="19"/>
        </w:rPr>
        <w:tab/>
      </w:r>
      <w:r w:rsidRPr="00C64B8F">
        <w:rPr>
          <w:sz w:val="19"/>
          <w:szCs w:val="19"/>
        </w:rPr>
        <w:t>On that basis, the Board took the view that the additional disclosures introduced by AASB 16 paragraph 60A should not be reduced for Tier 2 RDR entities and the disclosure relief in paragraph C20B should be available to such entities. This approach would mean that no further changes would need to be made to AASB 16 in relation to Tier 2 RDR.</w:t>
      </w:r>
    </w:p>
    <w:p w14:paraId="66996013" w14:textId="77777777" w:rsidR="00C64B8F" w:rsidRPr="00283296" w:rsidRDefault="00C64B8F" w:rsidP="00283296">
      <w:pPr>
        <w:pStyle w:val="IASBSectionTitle1NonInd"/>
        <w:jc w:val="both"/>
      </w:pPr>
      <w:r w:rsidRPr="00283296">
        <w:t xml:space="preserve">Issue of ED 303 </w:t>
      </w:r>
      <w:r w:rsidRPr="00D81473">
        <w:rPr>
          <w:i/>
          <w:iCs/>
        </w:rPr>
        <w:t>Covid-19-Related Rent Concessions: Tier 2 Disclosures</w:t>
      </w:r>
    </w:p>
    <w:p w14:paraId="25079F55" w14:textId="5A33A948" w:rsidR="00C64B8F" w:rsidRPr="00C64B8F" w:rsidRDefault="00C64B8F" w:rsidP="00CC798F">
      <w:pPr>
        <w:pStyle w:val="Default"/>
        <w:spacing w:before="100"/>
        <w:ind w:left="782" w:hanging="782"/>
        <w:jc w:val="both"/>
        <w:rPr>
          <w:sz w:val="19"/>
          <w:szCs w:val="19"/>
        </w:rPr>
      </w:pPr>
      <w:r w:rsidRPr="00C64B8F">
        <w:rPr>
          <w:sz w:val="19"/>
          <w:szCs w:val="19"/>
        </w:rPr>
        <w:t xml:space="preserve">BC16 </w:t>
      </w:r>
      <w:r w:rsidR="00DD7C74">
        <w:rPr>
          <w:sz w:val="19"/>
          <w:szCs w:val="19"/>
        </w:rPr>
        <w:tab/>
      </w:r>
      <w:r w:rsidRPr="00C64B8F">
        <w:rPr>
          <w:sz w:val="19"/>
          <w:szCs w:val="19"/>
        </w:rPr>
        <w:t xml:space="preserve">The Board’s proposals were exposed for public comment in July 2020 through Exposure Draft ED 303 </w:t>
      </w:r>
      <w:r w:rsidRPr="00D81473">
        <w:rPr>
          <w:i/>
          <w:iCs/>
          <w:sz w:val="19"/>
          <w:szCs w:val="19"/>
        </w:rPr>
        <w:t>Covid-19-Related Rent Concessions: Tier 2 Disclosures</w:t>
      </w:r>
      <w:r w:rsidRPr="00C64B8F">
        <w:rPr>
          <w:sz w:val="19"/>
          <w:szCs w:val="19"/>
        </w:rPr>
        <w:t>. Noting that the practical expedient added to AASB 16 is already available for early adoption as at 30 June 2020, the Board agreed on a short exposure period of 14 days from the day of issue of the ED. The Board received feedback through two submissions and discussions with stakeholders, which were supportive of the proposed amendments. The Board therefore decided to finalise and approve the amendments as proposed.</w:t>
      </w:r>
    </w:p>
    <w:p w14:paraId="30783EF8" w14:textId="77777777" w:rsidR="00C64B8F" w:rsidRPr="00DD7C74" w:rsidRDefault="00C64B8F" w:rsidP="00DD7C74">
      <w:pPr>
        <w:pStyle w:val="IASBSectionTitle1NonInd"/>
        <w:jc w:val="both"/>
      </w:pPr>
      <w:r w:rsidRPr="00DD7C74">
        <w:t>Operative date and early application</w:t>
      </w:r>
    </w:p>
    <w:p w14:paraId="101487B0" w14:textId="35547546" w:rsidR="00C64B8F" w:rsidRPr="00C64B8F" w:rsidRDefault="00C64B8F" w:rsidP="00CC798F">
      <w:pPr>
        <w:pStyle w:val="Default"/>
        <w:spacing w:before="100"/>
        <w:ind w:left="782" w:hanging="782"/>
        <w:jc w:val="both"/>
        <w:rPr>
          <w:sz w:val="19"/>
          <w:szCs w:val="19"/>
        </w:rPr>
      </w:pPr>
      <w:r w:rsidRPr="00C64B8F">
        <w:rPr>
          <w:sz w:val="19"/>
          <w:szCs w:val="19"/>
        </w:rPr>
        <w:t>BC17</w:t>
      </w:r>
      <w:r w:rsidR="00DD7C74">
        <w:rPr>
          <w:sz w:val="19"/>
          <w:szCs w:val="19"/>
        </w:rPr>
        <w:tab/>
      </w:r>
      <w:r w:rsidRPr="00C64B8F">
        <w:rPr>
          <w:sz w:val="19"/>
          <w:szCs w:val="19"/>
        </w:rPr>
        <w:t>While the amendments made by AASB 2020-4 are effective for annual reporting periods beginning on or after 1 June 2020, the Board noted that AASB 1060 does not become operative until annual reporting periods beginning on or after 1 July 2021. The specified operative date for the amendments made by this Standard therefore could not be earlier than 1 July 2021. However, the Board considered that entities should be required to apply these amendments earlier if they apply both:</w:t>
      </w:r>
    </w:p>
    <w:p w14:paraId="7EA62B5F" w14:textId="6DF04374" w:rsidR="00C64B8F" w:rsidRPr="00C64B8F" w:rsidRDefault="00C64B8F" w:rsidP="005252BA">
      <w:pPr>
        <w:pStyle w:val="Default"/>
        <w:spacing w:before="100"/>
        <w:ind w:left="1564" w:hanging="782"/>
        <w:jc w:val="both"/>
        <w:rPr>
          <w:sz w:val="19"/>
          <w:szCs w:val="19"/>
        </w:rPr>
      </w:pPr>
      <w:r w:rsidRPr="00C64B8F">
        <w:rPr>
          <w:sz w:val="19"/>
          <w:szCs w:val="19"/>
        </w:rPr>
        <w:t>(a)</w:t>
      </w:r>
      <w:r w:rsidR="00DD7C74">
        <w:rPr>
          <w:sz w:val="19"/>
          <w:szCs w:val="19"/>
        </w:rPr>
        <w:tab/>
      </w:r>
      <w:r w:rsidRPr="00C64B8F">
        <w:rPr>
          <w:sz w:val="19"/>
          <w:szCs w:val="19"/>
        </w:rPr>
        <w:t>AASB 1060; and</w:t>
      </w:r>
    </w:p>
    <w:p w14:paraId="47DAE3CE" w14:textId="0423D6B3" w:rsidR="00C64B8F" w:rsidRPr="00C64B8F" w:rsidRDefault="00C64B8F" w:rsidP="005252BA">
      <w:pPr>
        <w:pStyle w:val="Default"/>
        <w:spacing w:before="100"/>
        <w:ind w:left="1564" w:hanging="782"/>
        <w:jc w:val="both"/>
        <w:rPr>
          <w:sz w:val="19"/>
          <w:szCs w:val="19"/>
        </w:rPr>
      </w:pPr>
      <w:r w:rsidRPr="00C64B8F">
        <w:rPr>
          <w:sz w:val="19"/>
          <w:szCs w:val="19"/>
        </w:rPr>
        <w:t>(b)</w:t>
      </w:r>
      <w:r w:rsidR="00DD7C74">
        <w:rPr>
          <w:sz w:val="19"/>
          <w:szCs w:val="19"/>
        </w:rPr>
        <w:tab/>
      </w:r>
      <w:r w:rsidRPr="00C64B8F">
        <w:rPr>
          <w:sz w:val="19"/>
          <w:szCs w:val="19"/>
        </w:rPr>
        <w:t>the practical expedient in paragraph 46A of AASB 16;</w:t>
      </w:r>
    </w:p>
    <w:p w14:paraId="618062C1" w14:textId="77777777" w:rsidR="00C56BA5" w:rsidRDefault="00C64B8F" w:rsidP="00961943">
      <w:pPr>
        <w:pStyle w:val="Default"/>
        <w:spacing w:before="100" w:after="120"/>
        <w:ind w:left="782"/>
        <w:jc w:val="both"/>
        <w:rPr>
          <w:sz w:val="19"/>
          <w:szCs w:val="19"/>
        </w:rPr>
      </w:pPr>
      <w:r w:rsidRPr="00C64B8F">
        <w:rPr>
          <w:sz w:val="19"/>
          <w:szCs w:val="19"/>
        </w:rPr>
        <w:t>to a reporting period beginning before 1 July 2021.</w:t>
      </w:r>
    </w:p>
    <w:p w14:paraId="22CB2DE8" w14:textId="77777777" w:rsidR="00C56BA5" w:rsidRDefault="00C56BA5" w:rsidP="005252BA">
      <w:pPr>
        <w:pStyle w:val="Default"/>
        <w:spacing w:before="100"/>
        <w:jc w:val="both"/>
        <w:rPr>
          <w:sz w:val="19"/>
          <w:szCs w:val="19"/>
        </w:rPr>
      </w:pPr>
    </w:p>
    <w:p w14:paraId="3FDFB0B8" w14:textId="15596D84" w:rsidR="00C56BA5" w:rsidRDefault="00C56BA5" w:rsidP="005252BA">
      <w:pPr>
        <w:pStyle w:val="Default"/>
        <w:spacing w:before="100"/>
        <w:jc w:val="both"/>
        <w:rPr>
          <w:sz w:val="19"/>
          <w:szCs w:val="19"/>
        </w:rPr>
        <w:sectPr w:rsidR="00C56BA5" w:rsidSect="00F42DB6">
          <w:footnotePr>
            <w:numRestart w:val="eachSect"/>
          </w:footnotePr>
          <w:pgSz w:w="11907" w:h="16839"/>
          <w:pgMar w:top="1440" w:right="1440" w:bottom="1440" w:left="1440" w:header="720" w:footer="720" w:gutter="0"/>
          <w:cols w:space="708"/>
          <w:docGrid w:linePitch="360"/>
        </w:sectPr>
      </w:pPr>
    </w:p>
    <w:p w14:paraId="07B3695C" w14:textId="161E38A5" w:rsidR="00510621" w:rsidRPr="00014B48" w:rsidRDefault="00510621" w:rsidP="005252BA">
      <w:pPr>
        <w:pStyle w:val="ConvSectionTitle"/>
      </w:pPr>
      <w:r w:rsidRPr="00014B48">
        <w:lastRenderedPageBreak/>
        <w:t>Basis for Conclusions</w:t>
      </w:r>
      <w:r w:rsidR="008839EB">
        <w:t xml:space="preserve"> on AASB</w:t>
      </w:r>
      <w:r w:rsidR="00186B0C">
        <w:t xml:space="preserve"> 2020-9</w:t>
      </w:r>
    </w:p>
    <w:p w14:paraId="08DD93AA" w14:textId="0614BA9D" w:rsidR="00510621" w:rsidRPr="00510621" w:rsidRDefault="00510621" w:rsidP="00022B10">
      <w:pPr>
        <w:pStyle w:val="Default"/>
        <w:spacing w:before="100" w:after="100"/>
        <w:jc w:val="both"/>
        <w:rPr>
          <w:i/>
          <w:sz w:val="19"/>
          <w:szCs w:val="19"/>
        </w:rPr>
      </w:pPr>
      <w:r w:rsidRPr="00510621">
        <w:rPr>
          <w:i/>
          <w:iCs/>
          <w:sz w:val="19"/>
          <w:szCs w:val="19"/>
        </w:rPr>
        <w:t xml:space="preserve">This Basis for Conclusions accompanies, but is not part of, AASB 1060.  The Basis for Conclusions was originally published with </w:t>
      </w:r>
      <w:r w:rsidRPr="00510621">
        <w:rPr>
          <w:i/>
          <w:sz w:val="19"/>
          <w:szCs w:val="19"/>
        </w:rPr>
        <w:t>AASB 2020-9</w:t>
      </w:r>
      <w:r w:rsidRPr="00510621">
        <w:rPr>
          <w:sz w:val="19"/>
          <w:szCs w:val="19"/>
        </w:rPr>
        <w:t xml:space="preserve"> Amendments to Australian Accounting Standards – Tier 2 Disclosures: Interest Rate Benchmark Reform (Phase 2) and Other Amendments.</w:t>
      </w:r>
    </w:p>
    <w:p w14:paraId="37769ECD" w14:textId="5E96ABE8" w:rsidR="00510621" w:rsidRPr="003D500D" w:rsidRDefault="00510621" w:rsidP="00510621">
      <w:pPr>
        <w:pStyle w:val="IASBSectionTitle1NonInd"/>
      </w:pPr>
      <w:r w:rsidRPr="003D500D">
        <w:t>Introduction</w:t>
      </w:r>
    </w:p>
    <w:p w14:paraId="5CB6E13B" w14:textId="77777777" w:rsidR="00510621" w:rsidRPr="00551C5D" w:rsidRDefault="00510621" w:rsidP="005C5F05">
      <w:pPr>
        <w:pStyle w:val="NumBC1"/>
        <w:tabs>
          <w:tab w:val="clear" w:pos="782"/>
        </w:tabs>
        <w:spacing w:before="100" w:after="0"/>
      </w:pPr>
      <w:r w:rsidRPr="00551C5D">
        <w:t xml:space="preserve">This Basis for Conclusions summarises the Australian Accounting </w:t>
      </w:r>
      <w:r>
        <w:t>Standard</w:t>
      </w:r>
      <w:r w:rsidRPr="00551C5D">
        <w:t>s Board’s considerations in reaching the conclusions in this</w:t>
      </w:r>
      <w:r>
        <w:t xml:space="preserve"> Standard</w:t>
      </w:r>
      <w:r w:rsidRPr="00551C5D">
        <w:t xml:space="preserve">. It sets out the reasons why the Board developed the </w:t>
      </w:r>
      <w:r>
        <w:t>Standard</w:t>
      </w:r>
      <w:r w:rsidRPr="00551C5D">
        <w:t xml:space="preserve">, the approach taken to developing the </w:t>
      </w:r>
      <w:r>
        <w:t xml:space="preserve">Standard </w:t>
      </w:r>
      <w:r w:rsidRPr="00551C5D">
        <w:t xml:space="preserve">and </w:t>
      </w:r>
      <w:r>
        <w:t xml:space="preserve">the bases for </w:t>
      </w:r>
      <w:r w:rsidRPr="00551C5D">
        <w:t xml:space="preserve">key decisions made. In making decisions, individual Board members gave greater weight to some factors than to others. </w:t>
      </w:r>
    </w:p>
    <w:p w14:paraId="6EEB8E90" w14:textId="5CA3DCEF" w:rsidR="00510621" w:rsidRDefault="00510621" w:rsidP="00510621">
      <w:pPr>
        <w:pStyle w:val="IASBSectionTitle1NonInd"/>
      </w:pPr>
      <w:r>
        <w:t>Tier 2 Simplified Disclosures – amendments to AASB 1060</w:t>
      </w:r>
    </w:p>
    <w:p w14:paraId="5DC92D5C" w14:textId="77777777" w:rsidR="00510621" w:rsidRDefault="00510621" w:rsidP="005C5F05">
      <w:pPr>
        <w:pStyle w:val="NumBC1"/>
        <w:tabs>
          <w:tab w:val="clear" w:pos="782"/>
        </w:tabs>
        <w:spacing w:before="100" w:after="0"/>
      </w:pPr>
      <w:r>
        <w:t xml:space="preserve">In September 2020, the Board issued AASB 2020-8 </w:t>
      </w:r>
      <w:r>
        <w:rPr>
          <w:i/>
          <w:iCs/>
        </w:rPr>
        <w:t>Amendments to Australian Accounting Standards – Interest Rate Benchmark Reform – Phase 2</w:t>
      </w:r>
      <w:r>
        <w:t xml:space="preserve"> to help entities to provide financial statement users with useful information about the effects of the interest rate benchmark reform on those entities’ financial statements. New paragraphs 24I and 24J were added to AASB 7 </w:t>
      </w:r>
      <w:r>
        <w:rPr>
          <w:i/>
          <w:iCs/>
        </w:rPr>
        <w:t>Financial Instruments: Disclosures</w:t>
      </w:r>
      <w:r>
        <w:t xml:space="preserve"> to require an entity applying the amendments to disclose information about: </w:t>
      </w:r>
    </w:p>
    <w:p w14:paraId="09DE16CA" w14:textId="77777777" w:rsidR="00510621" w:rsidRPr="001F097B" w:rsidRDefault="00510621" w:rsidP="005C5F05">
      <w:pPr>
        <w:pStyle w:val="NumBC2"/>
        <w:tabs>
          <w:tab w:val="clear" w:pos="1565"/>
        </w:tabs>
        <w:spacing w:before="100" w:after="0"/>
      </w:pPr>
      <w:r>
        <w:t>t</w:t>
      </w:r>
      <w:r w:rsidRPr="001F097B">
        <w:t xml:space="preserve">he nature and </w:t>
      </w:r>
      <w:r>
        <w:t xml:space="preserve">extent of </w:t>
      </w:r>
      <w:r w:rsidRPr="001F097B">
        <w:t>risk</w:t>
      </w:r>
      <w:r>
        <w:t>s</w:t>
      </w:r>
      <w:r w:rsidRPr="001F097B">
        <w:t xml:space="preserve"> to which the entity is exposed arising from financial instruments subject to interest rate benchmark reform, and how the entity manages these risks;</w:t>
      </w:r>
      <w:r>
        <w:t xml:space="preserve"> and</w:t>
      </w:r>
    </w:p>
    <w:p w14:paraId="281CFA3B" w14:textId="77777777" w:rsidR="00510621" w:rsidRDefault="00510621" w:rsidP="005C5F05">
      <w:pPr>
        <w:pStyle w:val="NumBC2"/>
        <w:tabs>
          <w:tab w:val="clear" w:pos="1565"/>
        </w:tabs>
        <w:spacing w:before="100" w:after="0"/>
      </w:pPr>
      <w:r>
        <w:t>the entity’s progress in completing the transition to alternative benchmark rates and how the entity is managing the transition.</w:t>
      </w:r>
    </w:p>
    <w:p w14:paraId="7AB881C5" w14:textId="77777777" w:rsidR="00510621" w:rsidRDefault="00510621" w:rsidP="005C5F05">
      <w:pPr>
        <w:pStyle w:val="NumBC1"/>
        <w:tabs>
          <w:tab w:val="clear" w:pos="782"/>
        </w:tabs>
        <w:spacing w:before="100" w:after="0"/>
      </w:pPr>
      <w:r>
        <w:t xml:space="preserve">The amendments also give relief from providing the information otherwise required by AASB 108 </w:t>
      </w:r>
      <w:r w:rsidRPr="00497473">
        <w:rPr>
          <w:i/>
          <w:iCs/>
        </w:rPr>
        <w:t>Accounting Policies, Changes in Accounting Estimates and Errors</w:t>
      </w:r>
      <w:r w:rsidRPr="00497473">
        <w:t xml:space="preserve"> </w:t>
      </w:r>
      <w:r>
        <w:t xml:space="preserve">paragraph 28(f) in the reporting period in which the entity first applies the amendments made by </w:t>
      </w:r>
      <w:r w:rsidRPr="009A22CD">
        <w:t>AASB 2020-</w:t>
      </w:r>
      <w:r>
        <w:t xml:space="preserve">8 </w:t>
      </w:r>
      <w:r w:rsidRPr="006C0C29">
        <w:t xml:space="preserve">through </w:t>
      </w:r>
      <w:r>
        <w:t xml:space="preserve">new </w:t>
      </w:r>
      <w:r w:rsidRPr="006C0C29">
        <w:t xml:space="preserve">paragraph </w:t>
      </w:r>
      <w:r>
        <w:t>44HH</w:t>
      </w:r>
      <w:r w:rsidRPr="006C0C29">
        <w:t xml:space="preserve"> of AASB </w:t>
      </w:r>
      <w:r>
        <w:t>7.</w:t>
      </w:r>
    </w:p>
    <w:p w14:paraId="135768B1" w14:textId="77777777" w:rsidR="00510621" w:rsidRPr="0025409B" w:rsidRDefault="00510621" w:rsidP="00510621">
      <w:pPr>
        <w:pStyle w:val="IASBSectionTitle2Ind"/>
      </w:pPr>
      <w:r>
        <w:t>Reasons for not adding any disclosures to AASB 1060</w:t>
      </w:r>
    </w:p>
    <w:p w14:paraId="1B58072D" w14:textId="667AC130" w:rsidR="00510621" w:rsidRDefault="00510621" w:rsidP="005C5F05">
      <w:pPr>
        <w:pStyle w:val="NumBC1"/>
        <w:tabs>
          <w:tab w:val="clear" w:pos="782"/>
        </w:tabs>
        <w:spacing w:before="100" w:after="0"/>
      </w:pPr>
      <w:r>
        <w:t xml:space="preserve">The Board considered whether the new disclosures should also apply to entities that intend to adopt AASB 1060 </w:t>
      </w:r>
      <w:r w:rsidRPr="00A43B8F">
        <w:rPr>
          <w:i/>
          <w:iCs/>
        </w:rPr>
        <w:t>General Purpose Financial Statements – Simplified Disclosures for For-Profit and Not-for-Profit Tier 2 Entities</w:t>
      </w:r>
      <w:r>
        <w:rPr>
          <w:iCs/>
        </w:rPr>
        <w:t>.</w:t>
      </w:r>
      <w:r>
        <w:rPr>
          <w:i/>
          <w:iCs/>
        </w:rPr>
        <w:t xml:space="preserve"> </w:t>
      </w:r>
      <w:r>
        <w:t xml:space="preserve">The Board referred to the principles used when developing the disclosures in </w:t>
      </w:r>
      <w:r w:rsidRPr="00022B10">
        <w:t>AASB</w:t>
      </w:r>
      <w:r w:rsidR="002C4E5B" w:rsidRPr="002C4E5B">
        <w:t> </w:t>
      </w:r>
      <w:r w:rsidRPr="002C4E5B">
        <w:t>1060</w:t>
      </w:r>
      <w:r>
        <w:t>, in particular:</w:t>
      </w:r>
    </w:p>
    <w:p w14:paraId="1B17F7A8" w14:textId="77777777" w:rsidR="00510621" w:rsidRDefault="00510621" w:rsidP="005C5F05">
      <w:pPr>
        <w:pStyle w:val="NumBC2"/>
        <w:tabs>
          <w:tab w:val="clear" w:pos="1565"/>
        </w:tabs>
        <w:spacing w:before="100" w:after="0"/>
      </w:pPr>
      <w:r>
        <w:t xml:space="preserve">the disclosures in the </w:t>
      </w:r>
      <w:r>
        <w:rPr>
          <w:i/>
          <w:iCs/>
        </w:rPr>
        <w:t xml:space="preserve">IFRS for SMEs </w:t>
      </w:r>
      <w:r>
        <w:t xml:space="preserve">Standard should be retained where the recognition and measurement (R&amp;M) requirements and options are the same or similar in the </w:t>
      </w:r>
      <w:r>
        <w:rPr>
          <w:i/>
          <w:iCs/>
        </w:rPr>
        <w:t xml:space="preserve">IFRS for SMEs </w:t>
      </w:r>
      <w:r>
        <w:t xml:space="preserve">Standard and full IFRS Standards (and therefore Australian Accounting Standards); </w:t>
      </w:r>
    </w:p>
    <w:p w14:paraId="0184A540" w14:textId="77777777" w:rsidR="00510621" w:rsidRDefault="00510621" w:rsidP="005C5F05">
      <w:pPr>
        <w:pStyle w:val="NumBC2"/>
        <w:tabs>
          <w:tab w:val="clear" w:pos="1565"/>
        </w:tabs>
        <w:spacing w:before="100" w:after="0"/>
      </w:pPr>
      <w:r>
        <w:t xml:space="preserve">where R&amp;M options or treatments in the </w:t>
      </w:r>
      <w:r>
        <w:rPr>
          <w:i/>
          <w:iCs/>
        </w:rPr>
        <w:t xml:space="preserve">IFRS for SMEs </w:t>
      </w:r>
      <w:r>
        <w:t xml:space="preserve">Standard are not available in full IFRS Standards (and therefore Australian Accounting Standards), the related </w:t>
      </w:r>
      <w:r>
        <w:rPr>
          <w:i/>
          <w:iCs/>
        </w:rPr>
        <w:t xml:space="preserve">IFRS for SMEs </w:t>
      </w:r>
      <w:r>
        <w:t>disclosures are removed; and</w:t>
      </w:r>
    </w:p>
    <w:p w14:paraId="58C44B16" w14:textId="77777777" w:rsidR="00510621" w:rsidRDefault="00510621" w:rsidP="005C5F05">
      <w:pPr>
        <w:pStyle w:val="NumBC2"/>
        <w:tabs>
          <w:tab w:val="clear" w:pos="1565"/>
        </w:tabs>
        <w:spacing w:before="100" w:after="0"/>
      </w:pPr>
      <w:r w:rsidRPr="008C543A">
        <w:t xml:space="preserve">where the R&amp;M principles in full IFRS Standards (and therefore </w:t>
      </w:r>
      <w:r>
        <w:t>Australian Accounting Standards</w:t>
      </w:r>
      <w:r w:rsidRPr="008C543A">
        <w:t xml:space="preserve">) are significantly different from those in the </w:t>
      </w:r>
      <w:r w:rsidRPr="00D35141">
        <w:rPr>
          <w:i/>
        </w:rPr>
        <w:t xml:space="preserve">IFRS for SMEs </w:t>
      </w:r>
      <w:r w:rsidRPr="008C543A">
        <w:t xml:space="preserve">Standard or certain topics are not addressed in the </w:t>
      </w:r>
      <w:r w:rsidRPr="008C543A">
        <w:rPr>
          <w:i/>
          <w:iCs/>
        </w:rPr>
        <w:t xml:space="preserve">IFRS for SMEs </w:t>
      </w:r>
      <w:r w:rsidRPr="008C543A">
        <w:t xml:space="preserve">Standard, disclosures may be added. To determine whether to add any disclosures, the Board refers to the principles applied by the </w:t>
      </w:r>
      <w:r>
        <w:t>International Accounting Standards Board (</w:t>
      </w:r>
      <w:r w:rsidRPr="008C543A">
        <w:t>IASB</w:t>
      </w:r>
      <w:r>
        <w:t>)</w:t>
      </w:r>
      <w:r w:rsidRPr="008C543A">
        <w:t xml:space="preserve"> in developing the disclosures in the </w:t>
      </w:r>
      <w:r w:rsidRPr="00B3343F">
        <w:rPr>
          <w:i/>
        </w:rPr>
        <w:t xml:space="preserve">IFRS for SMEs </w:t>
      </w:r>
      <w:r w:rsidRPr="008C543A">
        <w:t xml:space="preserve">Standard, </w:t>
      </w:r>
      <w:r>
        <w:t>which are set out in</w:t>
      </w:r>
      <w:r w:rsidRPr="008C543A">
        <w:t xml:space="preserve"> paragraph </w:t>
      </w:r>
      <w:r>
        <w:fldChar w:fldCharType="begin" w:fldLock="1"/>
      </w:r>
      <w:r>
        <w:instrText xml:space="preserve"> REF _Ref52539805 \r \h </w:instrText>
      </w:r>
      <w:r>
        <w:fldChar w:fldCharType="separate"/>
      </w:r>
      <w:r>
        <w:t>BC5</w:t>
      </w:r>
      <w:r>
        <w:fldChar w:fldCharType="end"/>
      </w:r>
      <w:r>
        <w:t>.</w:t>
      </w:r>
    </w:p>
    <w:p w14:paraId="7D8165BA" w14:textId="77777777" w:rsidR="00510621" w:rsidRPr="008C543A" w:rsidRDefault="00510621" w:rsidP="005C5F05">
      <w:pPr>
        <w:pStyle w:val="NumBC2"/>
        <w:numPr>
          <w:ilvl w:val="1"/>
          <w:numId w:val="0"/>
        </w:numPr>
        <w:spacing w:before="100" w:after="0"/>
        <w:ind w:left="782"/>
      </w:pPr>
      <w:r>
        <w:t>In addition to applying these principles, the Board also considers whether to add disclosures to address matters of public policy or to reflect Australian-specific issues.</w:t>
      </w:r>
    </w:p>
    <w:p w14:paraId="68289AF6" w14:textId="77777777" w:rsidR="00510621" w:rsidRPr="00E635BF" w:rsidRDefault="00510621" w:rsidP="005C5F05">
      <w:pPr>
        <w:pStyle w:val="NumBC1"/>
        <w:tabs>
          <w:tab w:val="clear" w:pos="782"/>
        </w:tabs>
        <w:spacing w:before="100" w:after="0"/>
      </w:pPr>
      <w:bookmarkStart w:id="213" w:name="_Ref52539805"/>
      <w:r>
        <w:t xml:space="preserve">The </w:t>
      </w:r>
      <w:r w:rsidRPr="00E635BF">
        <w:t xml:space="preserve">principles applied by the IASB in developing the disclosures in the </w:t>
      </w:r>
      <w:r w:rsidRPr="00E635BF">
        <w:rPr>
          <w:i/>
          <w:iCs/>
        </w:rPr>
        <w:t>IFRS for SMEs</w:t>
      </w:r>
      <w:r w:rsidRPr="00E635BF">
        <w:t xml:space="preserve"> Standard</w:t>
      </w:r>
      <w:r>
        <w:t xml:space="preserve"> </w:t>
      </w:r>
      <w:r w:rsidRPr="00E635BF">
        <w:t>consider that users of the financial statements of for-profit entities that are not publicly accountable are particularly interested in information about:</w:t>
      </w:r>
      <w:bookmarkEnd w:id="213"/>
      <w:r w:rsidRPr="00E635BF">
        <w:t xml:space="preserve"> </w:t>
      </w:r>
    </w:p>
    <w:p w14:paraId="78CDBC16" w14:textId="77777777" w:rsidR="00510621" w:rsidRDefault="00510621" w:rsidP="005C5F05">
      <w:pPr>
        <w:pStyle w:val="NumBC2"/>
        <w:tabs>
          <w:tab w:val="clear" w:pos="1565"/>
        </w:tabs>
        <w:spacing w:before="100" w:after="0"/>
      </w:pPr>
      <w:r w:rsidRPr="00151F0F">
        <w:t>short-term cash flows and obligations, commitments or contingencies, whether or not recognised as liabilities</w:t>
      </w:r>
      <w:r>
        <w:t>;</w:t>
      </w:r>
    </w:p>
    <w:p w14:paraId="07B58757" w14:textId="77777777" w:rsidR="00510621" w:rsidRDefault="00510621" w:rsidP="005C5F05">
      <w:pPr>
        <w:pStyle w:val="NumBC2"/>
        <w:tabs>
          <w:tab w:val="clear" w:pos="1565"/>
        </w:tabs>
        <w:spacing w:before="100" w:after="0"/>
      </w:pPr>
      <w:r w:rsidRPr="00151F0F">
        <w:t>liquidity and solvency</w:t>
      </w:r>
      <w:r>
        <w:t>;</w:t>
      </w:r>
    </w:p>
    <w:p w14:paraId="5A15C515" w14:textId="77777777" w:rsidR="00510621" w:rsidRDefault="00510621" w:rsidP="005C5F05">
      <w:pPr>
        <w:pStyle w:val="NumBC2"/>
        <w:tabs>
          <w:tab w:val="clear" w:pos="1565"/>
        </w:tabs>
        <w:spacing w:before="100" w:after="0"/>
      </w:pPr>
      <w:r w:rsidRPr="00151F0F">
        <w:lastRenderedPageBreak/>
        <w:t>measurement uncertainties</w:t>
      </w:r>
      <w:r>
        <w:t xml:space="preserve">; </w:t>
      </w:r>
    </w:p>
    <w:p w14:paraId="1036A47A" w14:textId="77777777" w:rsidR="00510621" w:rsidRDefault="00510621" w:rsidP="005C5F05">
      <w:pPr>
        <w:pStyle w:val="NumBC2"/>
        <w:tabs>
          <w:tab w:val="clear" w:pos="1565"/>
        </w:tabs>
        <w:spacing w:before="100" w:after="0"/>
      </w:pPr>
      <w:r w:rsidRPr="00151F0F">
        <w:t>accounting policy choices; and</w:t>
      </w:r>
    </w:p>
    <w:p w14:paraId="1B509ABD" w14:textId="77777777" w:rsidR="00510621" w:rsidRDefault="00510621" w:rsidP="005C5F05">
      <w:pPr>
        <w:pStyle w:val="NumBC2"/>
        <w:tabs>
          <w:tab w:val="clear" w:pos="1565"/>
        </w:tabs>
        <w:spacing w:before="100" w:after="0"/>
      </w:pPr>
      <w:r w:rsidRPr="00151F0F">
        <w:t>disaggregations of amounts presented in the financial statements</w:t>
      </w:r>
      <w:r>
        <w:t>.</w:t>
      </w:r>
    </w:p>
    <w:p w14:paraId="7E4D03E5" w14:textId="77777777" w:rsidR="00510621" w:rsidRPr="00151F0F" w:rsidRDefault="00510621" w:rsidP="005C5F05">
      <w:pPr>
        <w:pStyle w:val="NumBC2"/>
        <w:numPr>
          <w:ilvl w:val="0"/>
          <w:numId w:val="0"/>
        </w:numPr>
        <w:spacing w:before="100" w:after="0"/>
        <w:ind w:left="782"/>
        <w:rPr>
          <w:b/>
        </w:rPr>
      </w:pPr>
      <w:r w:rsidRPr="00151F0F">
        <w:t>The principles further note that some disclosures in full IFRS Standards are more relevant to investment decisions in public capital markets than to transactions and other events and conditions encountered by entities without public accountability</w:t>
      </w:r>
      <w:r>
        <w:t>.</w:t>
      </w:r>
    </w:p>
    <w:p w14:paraId="6B9B7415" w14:textId="77777777" w:rsidR="00510621" w:rsidRDefault="00510621" w:rsidP="005C5F05">
      <w:pPr>
        <w:pStyle w:val="NumBC1"/>
        <w:tabs>
          <w:tab w:val="clear" w:pos="782"/>
        </w:tabs>
        <w:spacing w:before="100" w:after="0"/>
      </w:pPr>
      <w:bookmarkStart w:id="214" w:name="_Ref52540778"/>
      <w:r>
        <w:t>Based on these principles of the Board and the IASB, the Board agreed to use the following approach when considering whether to add to or amend disclosure requirements in AASB 1060 in relation to amendments made by the IASB to full IFRS Standards:</w:t>
      </w:r>
      <w:bookmarkEnd w:id="214"/>
    </w:p>
    <w:p w14:paraId="45C12843" w14:textId="77777777" w:rsidR="00510621" w:rsidRPr="000177CA" w:rsidRDefault="00510621" w:rsidP="005C5F05">
      <w:pPr>
        <w:pStyle w:val="NumBC2"/>
        <w:tabs>
          <w:tab w:val="clear" w:pos="1565"/>
        </w:tabs>
        <w:spacing w:before="100" w:after="0"/>
      </w:pPr>
      <w:r w:rsidRPr="000177CA">
        <w:t>if the amendments introduce significant R&amp;M differences</w:t>
      </w:r>
      <w:r>
        <w:t xml:space="preserve"> between full IFRS Standards and the </w:t>
      </w:r>
      <w:r>
        <w:rPr>
          <w:i/>
          <w:iCs/>
        </w:rPr>
        <w:t xml:space="preserve">IFRS for SMEs </w:t>
      </w:r>
      <w:r>
        <w:t>Standard</w:t>
      </w:r>
      <w:r w:rsidRPr="000177CA">
        <w:t xml:space="preserve">, apply the </w:t>
      </w:r>
      <w:r>
        <w:t xml:space="preserve">principles applied by the IASB in developing the </w:t>
      </w:r>
      <w:r>
        <w:rPr>
          <w:i/>
          <w:iCs/>
        </w:rPr>
        <w:t xml:space="preserve">IFRS for SMEs </w:t>
      </w:r>
      <w:r>
        <w:t xml:space="preserve">Standard, as summarised in paragraph </w:t>
      </w:r>
      <w:r>
        <w:fldChar w:fldCharType="begin" w:fldLock="1"/>
      </w:r>
      <w:r>
        <w:instrText xml:space="preserve"> REF _Ref52539805 \r \h </w:instrText>
      </w:r>
      <w:r>
        <w:fldChar w:fldCharType="separate"/>
      </w:r>
      <w:r>
        <w:t>BC5</w:t>
      </w:r>
      <w:r>
        <w:fldChar w:fldCharType="end"/>
      </w:r>
      <w:r>
        <w:t>; and</w:t>
      </w:r>
    </w:p>
    <w:p w14:paraId="1E327C11" w14:textId="77777777" w:rsidR="00510621" w:rsidRDefault="00510621" w:rsidP="005C5F05">
      <w:pPr>
        <w:pStyle w:val="NumBC2"/>
        <w:tabs>
          <w:tab w:val="clear" w:pos="1565"/>
        </w:tabs>
        <w:spacing w:before="100" w:after="0"/>
      </w:pPr>
      <w:r>
        <w:t>if the amendments do not introduce significant R&amp;M differences, no further action is required unless the disclosures address a matter of public policy or are of particular relevance in the Australian environment.</w:t>
      </w:r>
    </w:p>
    <w:p w14:paraId="11CE56F8" w14:textId="77777777" w:rsidR="00510621" w:rsidRDefault="00510621" w:rsidP="005C5F05">
      <w:pPr>
        <w:pStyle w:val="NumBC1"/>
        <w:tabs>
          <w:tab w:val="clear" w:pos="782"/>
        </w:tabs>
        <w:spacing w:before="100" w:after="0"/>
      </w:pPr>
      <w:r>
        <w:t xml:space="preserve">The Board therefore considered whether the amendments made to AASB 9 </w:t>
      </w:r>
      <w:r>
        <w:rPr>
          <w:i/>
          <w:iCs/>
        </w:rPr>
        <w:t>Financial Instruments</w:t>
      </w:r>
      <w:r>
        <w:t xml:space="preserve">, AASB 4 </w:t>
      </w:r>
      <w:r w:rsidRPr="00684DBA">
        <w:rPr>
          <w:i/>
          <w:iCs/>
        </w:rPr>
        <w:t>Insurance Contracts</w:t>
      </w:r>
      <w:r>
        <w:t xml:space="preserve">, AASB 16 </w:t>
      </w:r>
      <w:r w:rsidRPr="00315C5E">
        <w:rPr>
          <w:i/>
          <w:iCs/>
        </w:rPr>
        <w:t>Leases</w:t>
      </w:r>
      <w:r>
        <w:t xml:space="preserve"> and AASB 139 </w:t>
      </w:r>
      <w:r>
        <w:rPr>
          <w:i/>
          <w:iCs/>
        </w:rPr>
        <w:t>Financial Instruments: Recognition and Measurement</w:t>
      </w:r>
      <w:r>
        <w:t xml:space="preserve"> by AASB 2020-8 will result in significant R&amp;M differences to the </w:t>
      </w:r>
      <w:r w:rsidRPr="005C3442">
        <w:rPr>
          <w:i/>
          <w:iCs/>
        </w:rPr>
        <w:t>IFRS for SMEs</w:t>
      </w:r>
      <w:r>
        <w:t xml:space="preserve"> Standard.</w:t>
      </w:r>
    </w:p>
    <w:p w14:paraId="33EB23D0" w14:textId="77777777" w:rsidR="00510621" w:rsidRPr="004D4C5D" w:rsidRDefault="00510621" w:rsidP="00510621">
      <w:pPr>
        <w:pStyle w:val="IASBSectionTitle3Ind"/>
      </w:pPr>
      <w:bookmarkStart w:id="215" w:name="_Ref43031456"/>
      <w:r>
        <w:t xml:space="preserve">Differences arising from the </w:t>
      </w:r>
      <w:r w:rsidRPr="004D4C5D">
        <w:t>practical expedient for</w:t>
      </w:r>
      <w:r>
        <w:t xml:space="preserve"> particular</w:t>
      </w:r>
      <w:r w:rsidRPr="004D4C5D">
        <w:t xml:space="preserve"> changes to contractual cash flows</w:t>
      </w:r>
    </w:p>
    <w:p w14:paraId="5EC9B37C" w14:textId="77777777" w:rsidR="00510621" w:rsidRDefault="00510621" w:rsidP="005C5F05">
      <w:pPr>
        <w:pStyle w:val="NumBC1"/>
        <w:tabs>
          <w:tab w:val="clear" w:pos="782"/>
        </w:tabs>
        <w:spacing w:before="100" w:after="0"/>
        <w:rPr>
          <w:bCs/>
        </w:rPr>
      </w:pPr>
      <w:r>
        <w:rPr>
          <w:bCs/>
        </w:rPr>
        <w:t xml:space="preserve">The Board noted that the </w:t>
      </w:r>
      <w:r>
        <w:rPr>
          <w:bCs/>
          <w:i/>
          <w:iCs/>
        </w:rPr>
        <w:t xml:space="preserve">IFRS for SMEs </w:t>
      </w:r>
      <w:r>
        <w:rPr>
          <w:bCs/>
        </w:rPr>
        <w:t xml:space="preserve">Standard does not </w:t>
      </w:r>
      <w:r>
        <w:t>deal with the impact of interest rate benchmark reform</w:t>
      </w:r>
      <w:r w:rsidDel="00CA6BC2">
        <w:t xml:space="preserve"> </w:t>
      </w:r>
      <w:r>
        <w:t>on financial reporting or provide a practical expedient for similar situations. The amendments to AASB 9 mean that the changes made to the basis for determining the contractual cash flows as a result of interest rate benchmark reform are accounted for in the same way as the re-estimation of future interest payments on variable-rate financial assets and financial liabilities. In particular, the rules on accounting for modifications of contractual cash flows in AASB 9 do not apply.</w:t>
      </w:r>
      <w:bookmarkEnd w:id="215"/>
    </w:p>
    <w:p w14:paraId="7AF77C7A" w14:textId="77777777" w:rsidR="00510621" w:rsidRPr="00B97CB3" w:rsidRDefault="00510621" w:rsidP="005C5F05">
      <w:pPr>
        <w:pStyle w:val="NumBC1"/>
        <w:tabs>
          <w:tab w:val="clear" w:pos="782"/>
        </w:tabs>
        <w:spacing w:before="100" w:after="0"/>
        <w:rPr>
          <w:bCs/>
        </w:rPr>
      </w:pPr>
      <w:bookmarkStart w:id="216" w:name="_Ref52539236"/>
      <w:r>
        <w:rPr>
          <w:bCs/>
        </w:rPr>
        <w:t xml:space="preserve">Paragraph 11.37 of the </w:t>
      </w:r>
      <w:r w:rsidRPr="00E0351C">
        <w:rPr>
          <w:i/>
          <w:iCs/>
        </w:rPr>
        <w:t>IFRS for SMEs</w:t>
      </w:r>
      <w:r>
        <w:t xml:space="preserve"> Standard addresses substantial modifications only in the context of the derecognition of financial liabilities. However, given the IASB concluded that it would be unlikely that the transition to an alternative benchmark rate alone would result in the derecognition of a financial instrument, these requirements are not relevant for the assessment outlined in paragraph </w:t>
      </w:r>
      <w:r>
        <w:fldChar w:fldCharType="begin" w:fldLock="1"/>
      </w:r>
      <w:r>
        <w:instrText xml:space="preserve"> REF _Ref52540778 \r \h </w:instrText>
      </w:r>
      <w:r>
        <w:fldChar w:fldCharType="separate"/>
      </w:r>
      <w:r>
        <w:t>BC6</w:t>
      </w:r>
      <w:r>
        <w:fldChar w:fldCharType="end"/>
      </w:r>
      <w:r>
        <w:t xml:space="preserve">. In terms of accounting for other modifications under the </w:t>
      </w:r>
      <w:r w:rsidRPr="00E33D99">
        <w:rPr>
          <w:i/>
          <w:iCs/>
        </w:rPr>
        <w:t>IFRS for SMEs</w:t>
      </w:r>
      <w:r>
        <w:t xml:space="preserve"> Standard, an entity’s management would need to apply paragraph 10.4 and use its judgement in developing and applying accounting policies that result in relevant and reliable information. Paragraph 10.6 further states that in making the judgement, management may also consider the requirements and guidance in full IFRS Standards dealing with similar and related issues. The Board considered this could include the practical expedient for the interest rate benchmark reform in AASB 9.</w:t>
      </w:r>
      <w:bookmarkEnd w:id="216"/>
    </w:p>
    <w:p w14:paraId="036F4BC3" w14:textId="77777777" w:rsidR="00510621" w:rsidRPr="006758B5" w:rsidRDefault="00510621" w:rsidP="005C5F05">
      <w:pPr>
        <w:pStyle w:val="NumBC1"/>
        <w:tabs>
          <w:tab w:val="clear" w:pos="782"/>
        </w:tabs>
        <w:spacing w:before="100" w:after="0"/>
        <w:rPr>
          <w:bCs/>
        </w:rPr>
      </w:pPr>
      <w:bookmarkStart w:id="217" w:name="_Ref43281208"/>
      <w:r>
        <w:rPr>
          <w:bCs/>
        </w:rPr>
        <w:t>The Board also</w:t>
      </w:r>
      <w:r>
        <w:t xml:space="preserve"> noted that AASB 4 is not addressed in AASB 1060 as the majority of the entities applying AASB 4 would have public accountability. In respect of the amendments made to AASB 16 in relation to lease modifications required by interest rate benchmark reform, the Board considered that the </w:t>
      </w:r>
      <w:r w:rsidRPr="00315C5E">
        <w:rPr>
          <w:i/>
          <w:iCs/>
        </w:rPr>
        <w:t>IFRS for SMEs</w:t>
      </w:r>
      <w:r>
        <w:t xml:space="preserve"> Standard does not discuss how to account for lease modifications. For the same reasons as set out in paragraph </w:t>
      </w:r>
      <w:r>
        <w:fldChar w:fldCharType="begin" w:fldLock="1"/>
      </w:r>
      <w:r>
        <w:instrText xml:space="preserve"> REF _Ref52539236 \r \h </w:instrText>
      </w:r>
      <w:r>
        <w:fldChar w:fldCharType="separate"/>
      </w:r>
      <w:r>
        <w:t>BC9</w:t>
      </w:r>
      <w:r>
        <w:fldChar w:fldCharType="end"/>
      </w:r>
      <w:r w:rsidRPr="00847DFB">
        <w:t>, the</w:t>
      </w:r>
      <w:r>
        <w:t xml:space="preserve"> Board concluded that the expedient introduced by the amendments to AASB 16 should not result in a significant R&amp;M difference. In any case, the Board noted that there are no additional disclosures associated with the application of the practical expedient for leases.</w:t>
      </w:r>
    </w:p>
    <w:p w14:paraId="5FBA19A2" w14:textId="77777777" w:rsidR="00510621" w:rsidRPr="006758B5" w:rsidRDefault="00510621" w:rsidP="005C5F05">
      <w:pPr>
        <w:pStyle w:val="NumBC1"/>
        <w:tabs>
          <w:tab w:val="clear" w:pos="782"/>
        </w:tabs>
        <w:spacing w:before="100" w:after="0"/>
        <w:rPr>
          <w:bCs/>
        </w:rPr>
      </w:pPr>
      <w:r>
        <w:rPr>
          <w:bCs/>
        </w:rPr>
        <w:t xml:space="preserve">The Board therefore concluded that </w:t>
      </w:r>
      <w:r>
        <w:t xml:space="preserve">the modifications arising as a result of interest rate benchmark reform should not result in significant R&amp;M differences between the amended IFRS Standards and the </w:t>
      </w:r>
      <w:r w:rsidRPr="00EC05CC">
        <w:rPr>
          <w:i/>
          <w:iCs/>
        </w:rPr>
        <w:t>IFRS for SMEs</w:t>
      </w:r>
      <w:r>
        <w:t xml:space="preserve"> Standard that would warrant additional disclosures for Tier 2 entities applying the new Simplified Disclosures framework in AASB 1060.</w:t>
      </w:r>
    </w:p>
    <w:p w14:paraId="0176329F" w14:textId="77777777" w:rsidR="00510621" w:rsidRPr="00E03DE3" w:rsidRDefault="00510621" w:rsidP="00510621">
      <w:pPr>
        <w:pStyle w:val="IASBSectionTitle3Ind"/>
      </w:pPr>
      <w:r>
        <w:t xml:space="preserve">Differences arising from the relief from </w:t>
      </w:r>
      <w:r w:rsidRPr="00BB4070">
        <w:t>specific hedge accounting requirements</w:t>
      </w:r>
    </w:p>
    <w:p w14:paraId="2E80BE47" w14:textId="77777777" w:rsidR="00510621" w:rsidRPr="003A63ED" w:rsidRDefault="00510621" w:rsidP="005C5F05">
      <w:pPr>
        <w:pStyle w:val="NumBC1"/>
        <w:tabs>
          <w:tab w:val="clear" w:pos="782"/>
        </w:tabs>
        <w:spacing w:before="100" w:after="0"/>
        <w:rPr>
          <w:bCs/>
        </w:rPr>
      </w:pPr>
      <w:r>
        <w:rPr>
          <w:bCs/>
        </w:rPr>
        <w:t>The Board</w:t>
      </w:r>
      <w:r w:rsidDel="007C5FA1">
        <w:rPr>
          <w:bCs/>
        </w:rPr>
        <w:t xml:space="preserve"> </w:t>
      </w:r>
      <w:r>
        <w:rPr>
          <w:bCs/>
        </w:rPr>
        <w:t>noted that t</w:t>
      </w:r>
      <w:r>
        <w:t xml:space="preserve">he </w:t>
      </w:r>
      <w:r w:rsidRPr="003A63ED">
        <w:rPr>
          <w:i/>
          <w:iCs/>
        </w:rPr>
        <w:t>IFRS for SMEs</w:t>
      </w:r>
      <w:r>
        <w:t xml:space="preserve"> Standard permits hedge accounting only for four specific types of instruments listed in the Standard, including interest rate swaps. While the </w:t>
      </w:r>
      <w:r w:rsidRPr="003A63ED">
        <w:rPr>
          <w:i/>
          <w:iCs/>
        </w:rPr>
        <w:t>IFRS for SMEs</w:t>
      </w:r>
      <w:r>
        <w:t xml:space="preserve"> Standard is less restrictive regarding the types of risks that can qualify for hedge accounting and hedge ineffectiveness, it requires an entity to discontinue hedge accounting if:</w:t>
      </w:r>
    </w:p>
    <w:p w14:paraId="1C106C55" w14:textId="77777777" w:rsidR="00510621" w:rsidRDefault="00510621" w:rsidP="005C5F05">
      <w:pPr>
        <w:pStyle w:val="NumBC2"/>
        <w:tabs>
          <w:tab w:val="clear" w:pos="1565"/>
        </w:tabs>
        <w:spacing w:before="100" w:after="0"/>
      </w:pPr>
      <w:r>
        <w:t>the hedging instrument expires or is sold or terminated;</w:t>
      </w:r>
    </w:p>
    <w:p w14:paraId="3D18C33F" w14:textId="77777777" w:rsidR="00510621" w:rsidRDefault="00510621" w:rsidP="005C5F05">
      <w:pPr>
        <w:pStyle w:val="NumBC2"/>
        <w:tabs>
          <w:tab w:val="clear" w:pos="1565"/>
        </w:tabs>
        <w:spacing w:before="100" w:after="0"/>
      </w:pPr>
      <w:r>
        <w:lastRenderedPageBreak/>
        <w:t>the hedge no longer meets the conditions for hedge accounting specified in paragraph 12.16; or</w:t>
      </w:r>
    </w:p>
    <w:p w14:paraId="7A071938" w14:textId="77777777" w:rsidR="00510621" w:rsidRDefault="00510621" w:rsidP="005C5F05">
      <w:pPr>
        <w:pStyle w:val="NumBC2"/>
        <w:tabs>
          <w:tab w:val="clear" w:pos="1565"/>
        </w:tabs>
        <w:spacing w:before="100" w:after="0"/>
      </w:pPr>
      <w:r>
        <w:t>the entity revokes the designation.</w:t>
      </w:r>
    </w:p>
    <w:p w14:paraId="7D5F6CE1" w14:textId="77777777" w:rsidR="00510621" w:rsidRDefault="00510621" w:rsidP="005C5F05">
      <w:pPr>
        <w:pStyle w:val="NumBC1"/>
        <w:tabs>
          <w:tab w:val="clear" w:pos="782"/>
        </w:tabs>
        <w:spacing w:before="100" w:after="0"/>
      </w:pPr>
      <w:r>
        <w:t xml:space="preserve">In the IFRS </w:t>
      </w:r>
      <w:r>
        <w:rPr>
          <w:i/>
          <w:iCs/>
        </w:rPr>
        <w:t xml:space="preserve">Interest Rate Benchmark Reform—Phase 2 </w:t>
      </w:r>
      <w:r>
        <w:t>amendments, the IASB observed that amending the formal designation of a hedging relationship to reflect changes required by the reform would result in the hedging relationship being discontinued. The Board noted this is because both AASB 9 (paragraph 6.4.1) and AASB 139 (paragraph 88) require the formal designation of a hedging relationship to be documented at inception as part of the qualifying criteria for hedge accounting to be applied. The hedge documentation includes identification of the hedging instrument, the hedged item, the nature of the risk being hedged and how the entity will assess hedge effectiveness. Although in limited circumstances AASB 9 permits the hedge documentation to be updated without resulting in the discontinuation of hedge accounting, AASB 139 requires hedge accounting to be discontinued when any amendments are made to the hedge designation as documented at the inception of the hedging relationship.</w:t>
      </w:r>
    </w:p>
    <w:p w14:paraId="50E0F789" w14:textId="77777777" w:rsidR="00510621" w:rsidRDefault="00510621" w:rsidP="005C5F05">
      <w:pPr>
        <w:pStyle w:val="NumBC1"/>
        <w:tabs>
          <w:tab w:val="clear" w:pos="782"/>
        </w:tabs>
        <w:spacing w:before="100" w:after="0"/>
      </w:pPr>
      <w:r>
        <w:t xml:space="preserve">The Board further noted that the term “at inception” is a notable omission in the </w:t>
      </w:r>
      <w:r w:rsidRPr="00C5720B">
        <w:rPr>
          <w:i/>
          <w:iCs/>
        </w:rPr>
        <w:t xml:space="preserve">IFRS for SMEs </w:t>
      </w:r>
      <w:r>
        <w:t xml:space="preserve">Standard. Given the absence of an explicit reference to the formal designation and documentation at the inception of a hedge in the </w:t>
      </w:r>
      <w:r w:rsidRPr="00186151">
        <w:rPr>
          <w:i/>
          <w:iCs/>
        </w:rPr>
        <w:t>IFRS for SMEs</w:t>
      </w:r>
      <w:r>
        <w:t xml:space="preserve"> Standard, the Board took the view that changes to hedge designations and hedge documentation that are required as a result of the reform would not necessarily result in the discontinuation of hedge accounting under the </w:t>
      </w:r>
      <w:r w:rsidRPr="004D1BFC">
        <w:rPr>
          <w:i/>
          <w:iCs/>
        </w:rPr>
        <w:t>IFRS for SMEs</w:t>
      </w:r>
      <w:r>
        <w:t xml:space="preserve"> Standard. The relief from </w:t>
      </w:r>
      <w:r w:rsidRPr="00030B1C">
        <w:t>specific hedge accounting requirements</w:t>
      </w:r>
      <w:r>
        <w:t xml:space="preserve"> introduced by the amendments to AASB 9 and AASB 139 is therefore unlikely to result in significant R&amp;M differences.</w:t>
      </w:r>
    </w:p>
    <w:p w14:paraId="61853017" w14:textId="77777777" w:rsidR="00510621" w:rsidRPr="00E03DE3" w:rsidRDefault="00510621" w:rsidP="00510621">
      <w:pPr>
        <w:pStyle w:val="IASBSectionTitle3Ind"/>
      </w:pPr>
      <w:r w:rsidRPr="00021905">
        <w:t>Other considerat</w:t>
      </w:r>
      <w:r w:rsidRPr="00CA49BA">
        <w:t>ions</w:t>
      </w:r>
    </w:p>
    <w:p w14:paraId="4D92BCB8" w14:textId="77777777" w:rsidR="00510621" w:rsidRDefault="00510621" w:rsidP="005C5F05">
      <w:pPr>
        <w:pStyle w:val="NumBC1"/>
        <w:tabs>
          <w:tab w:val="clear" w:pos="782"/>
        </w:tabs>
        <w:spacing w:before="100" w:after="0"/>
      </w:pPr>
      <w:r>
        <w:t xml:space="preserve">The </w:t>
      </w:r>
      <w:r w:rsidRPr="005A7628">
        <w:rPr>
          <w:i/>
          <w:iCs/>
        </w:rPr>
        <w:t>IFRS for SMEs</w:t>
      </w:r>
      <w:r>
        <w:t xml:space="preserve"> Standard also permits accounting under IAS 39 </w:t>
      </w:r>
      <w:r w:rsidRPr="005A7628">
        <w:rPr>
          <w:i/>
          <w:iCs/>
        </w:rPr>
        <w:t>Financial Instruments: Recognition and Measurement</w:t>
      </w:r>
      <w:r>
        <w:t xml:space="preserve"> </w:t>
      </w:r>
      <w:r w:rsidRPr="000A1028">
        <w:t>but</w:t>
      </w:r>
      <w:r>
        <w:t xml:space="preserve"> does not require any additional disclosures beyond what is in the </w:t>
      </w:r>
      <w:r w:rsidRPr="009052AB">
        <w:rPr>
          <w:i/>
          <w:iCs/>
        </w:rPr>
        <w:t>IFRS for SMEs</w:t>
      </w:r>
      <w:r>
        <w:t xml:space="preserve"> Standard. The Board noted in the IASB’s Request for Information on the </w:t>
      </w:r>
      <w:r w:rsidRPr="00F92656">
        <w:rPr>
          <w:i/>
          <w:iCs/>
        </w:rPr>
        <w:t xml:space="preserve">Comprehensive Review of the </w:t>
      </w:r>
      <w:r w:rsidRPr="00821773">
        <w:rPr>
          <w:i/>
          <w:iCs/>
        </w:rPr>
        <w:t>IFRS for SMEs</w:t>
      </w:r>
      <w:r w:rsidRPr="00F92656">
        <w:rPr>
          <w:i/>
          <w:iCs/>
        </w:rPr>
        <w:t xml:space="preserve"> Standard</w:t>
      </w:r>
      <w:r>
        <w:t xml:space="preserve"> that the IASB is considering replacing the option of applying IAS 39 with an option to apply IFRS 9 </w:t>
      </w:r>
      <w:r>
        <w:rPr>
          <w:i/>
          <w:iCs/>
        </w:rPr>
        <w:t>Financial Instruments</w:t>
      </w:r>
      <w:r>
        <w:t xml:space="preserve">, while still retaining the disclosures from the </w:t>
      </w:r>
      <w:r w:rsidRPr="00C80D93">
        <w:rPr>
          <w:i/>
          <w:iCs/>
        </w:rPr>
        <w:t>IFRS for SMEs</w:t>
      </w:r>
      <w:r>
        <w:t xml:space="preserve"> Standard. The Board</w:t>
      </w:r>
      <w:r w:rsidDel="006B0634">
        <w:t xml:space="preserve"> </w:t>
      </w:r>
      <w:r>
        <w:t xml:space="preserve">considered this further supports the argument that no additional disclosures from AASB 2020-8 should be required, as an entity applying the </w:t>
      </w:r>
      <w:r>
        <w:rPr>
          <w:i/>
          <w:iCs/>
        </w:rPr>
        <w:t xml:space="preserve">IFRS for SMEs </w:t>
      </w:r>
      <w:r>
        <w:t xml:space="preserve">Standard and IAS 39 or IFRS 9 would apply the </w:t>
      </w:r>
      <w:r>
        <w:rPr>
          <w:i/>
          <w:iCs/>
        </w:rPr>
        <w:t>Interest Rate Benchmark Reform—Phase 2</w:t>
      </w:r>
      <w:r>
        <w:t xml:space="preserve"> amendments and not be required to provide any additional disclosures under the view in the Request for Information.</w:t>
      </w:r>
    </w:p>
    <w:p w14:paraId="115EBAEF" w14:textId="77777777" w:rsidR="00510621" w:rsidRDefault="00510621" w:rsidP="005C5F05">
      <w:pPr>
        <w:pStyle w:val="NumBC1"/>
        <w:tabs>
          <w:tab w:val="clear" w:pos="782"/>
        </w:tabs>
        <w:spacing w:before="100" w:after="0"/>
      </w:pPr>
      <w:r>
        <w:t xml:space="preserve">The Board further considered whether the new disclosure requirements added to AASB 7 address a matter of public policy or are of particular relevance to the Australian environment but did not consider this to be the case. Finally, the Board noted that should interest rate benchmark reform have a material effect on an entity such that knowledge about the financial effects is necessary for an understanding of the financial statements, disclosure would still be required under the general provisions of paragraph 91 in AASB 1060. </w:t>
      </w:r>
    </w:p>
    <w:p w14:paraId="7A361F5D" w14:textId="77777777" w:rsidR="00510621" w:rsidRDefault="00510621" w:rsidP="005C5F05">
      <w:pPr>
        <w:pStyle w:val="NumBC1"/>
        <w:tabs>
          <w:tab w:val="clear" w:pos="782"/>
        </w:tabs>
        <w:spacing w:before="100" w:after="0"/>
      </w:pPr>
      <w:r>
        <w:rPr>
          <w:bCs/>
        </w:rPr>
        <w:t xml:space="preserve">On that basis, the Board took the view that the additional disclosures introduced by AASB 7 paragraphs 24I and 24J should not be added to AASB 1060. </w:t>
      </w:r>
    </w:p>
    <w:p w14:paraId="095E2A00" w14:textId="77777777" w:rsidR="00510621" w:rsidRPr="00985199" w:rsidRDefault="00510621" w:rsidP="00510621">
      <w:pPr>
        <w:pStyle w:val="IASBSectionTitle2Ind"/>
      </w:pPr>
      <w:r>
        <w:t>Reasons for providing disclosure relief in AASB 1060</w:t>
      </w:r>
    </w:p>
    <w:p w14:paraId="7C7DF52C" w14:textId="77777777" w:rsidR="00510621" w:rsidRDefault="00510621" w:rsidP="005C5F05">
      <w:pPr>
        <w:pStyle w:val="NumBC1"/>
        <w:tabs>
          <w:tab w:val="clear" w:pos="782"/>
        </w:tabs>
        <w:spacing w:before="100" w:after="0"/>
      </w:pPr>
      <w:r>
        <w:t xml:space="preserve">The Board noted that the IASB decided not to require entities to provide the disclosures otherwise required by IAS 8 </w:t>
      </w:r>
      <w:r w:rsidRPr="00497473">
        <w:rPr>
          <w:i/>
          <w:iCs/>
        </w:rPr>
        <w:t>Accounting Policies, Changes in Accounting Estimates and Errors</w:t>
      </w:r>
      <w:r w:rsidRPr="00497473">
        <w:t xml:space="preserve"> </w:t>
      </w:r>
      <w:r>
        <w:t xml:space="preserve">paragraph 28(f) because the cost of providing quantitative information about the effect of the changes in accounting policy that are associated with the amendments to IFRS Standards could outweigh the benefits. The Board took the view that this would similarly apply to entities reporting under AASB 1060 and therefore decided to introduce a similar exception into AASB 1060 by adding a new paragraph 107A. </w:t>
      </w:r>
    </w:p>
    <w:bookmarkEnd w:id="217"/>
    <w:p w14:paraId="07339B83" w14:textId="77777777" w:rsidR="00510621" w:rsidRDefault="00510621" w:rsidP="00510621">
      <w:pPr>
        <w:pStyle w:val="IASBSectionTitle1NonInd"/>
      </w:pPr>
      <w:r>
        <w:t>Tier 2 Reduced Disclosure Requirements</w:t>
      </w:r>
    </w:p>
    <w:p w14:paraId="61E1B440" w14:textId="7155DD62" w:rsidR="00510621" w:rsidRPr="00151F0F" w:rsidRDefault="00510621" w:rsidP="005C5F05">
      <w:pPr>
        <w:pStyle w:val="NumBC1"/>
        <w:tabs>
          <w:tab w:val="clear" w:pos="782"/>
        </w:tabs>
        <w:spacing w:before="100" w:after="0"/>
        <w:rPr>
          <w:b/>
        </w:rPr>
      </w:pPr>
      <w:bookmarkStart w:id="218" w:name="_Ref42857718"/>
      <w:bookmarkStart w:id="219" w:name="_Ref43042330"/>
      <w:bookmarkStart w:id="220" w:name="_Ref52436463"/>
      <w:r w:rsidRPr="00E635BF">
        <w:t xml:space="preserve">The </w:t>
      </w:r>
      <w:r>
        <w:t>Board</w:t>
      </w:r>
      <w:r w:rsidRPr="00E635BF">
        <w:t xml:space="preserve"> </w:t>
      </w:r>
      <w:r>
        <w:t xml:space="preserve">also </w:t>
      </w:r>
      <w:r w:rsidRPr="00E635BF">
        <w:t xml:space="preserve">considered whether </w:t>
      </w:r>
      <w:r>
        <w:t>the new disclosure requirements</w:t>
      </w:r>
      <w:r w:rsidRPr="00E635BF">
        <w:t xml:space="preserve"> </w:t>
      </w:r>
      <w:r>
        <w:t xml:space="preserve">in AASB 7 </w:t>
      </w:r>
      <w:r w:rsidRPr="00E635BF">
        <w:t xml:space="preserve">should be </w:t>
      </w:r>
      <w:r>
        <w:t xml:space="preserve">reduced </w:t>
      </w:r>
      <w:r w:rsidRPr="00E635BF">
        <w:t>for entities reporting under the Tier 2 R</w:t>
      </w:r>
      <w:r>
        <w:t xml:space="preserve">educed </w:t>
      </w:r>
      <w:r w:rsidRPr="00E635BF">
        <w:t>D</w:t>
      </w:r>
      <w:r>
        <w:t xml:space="preserve">isclosure </w:t>
      </w:r>
      <w:r w:rsidRPr="00E635BF">
        <w:t>R</w:t>
      </w:r>
      <w:r>
        <w:t>equirements (RDR)</w:t>
      </w:r>
      <w:r w:rsidRPr="00E635BF">
        <w:t xml:space="preserve"> framework</w:t>
      </w:r>
      <w:r>
        <w:t xml:space="preserve"> (Tier 2 RDR entities)</w:t>
      </w:r>
      <w:r w:rsidRPr="00E635BF">
        <w:t xml:space="preserve">. In doing so, the </w:t>
      </w:r>
      <w:r>
        <w:t>Board</w:t>
      </w:r>
      <w:r w:rsidRPr="00E635BF">
        <w:t xml:space="preserve"> referred to the ‘user need’ and ‘cost-benefit’ principles set out in the ‘Tier 2 Disclosure Principles’ document of the RDR decision-making framework. These </w:t>
      </w:r>
      <w:r>
        <w:t>principles were also</w:t>
      </w:r>
      <w:r w:rsidDel="004B0CA6">
        <w:t xml:space="preserve"> </w:t>
      </w:r>
      <w:r>
        <w:t xml:space="preserve">based on the principles applied by the IASB in developing the disclosures in the </w:t>
      </w:r>
      <w:r>
        <w:rPr>
          <w:i/>
          <w:iCs/>
        </w:rPr>
        <w:t xml:space="preserve">IFRS for SMEs </w:t>
      </w:r>
      <w:r>
        <w:t xml:space="preserve">Standard and are the same as those summarised in paragraph </w:t>
      </w:r>
      <w:r>
        <w:fldChar w:fldCharType="begin" w:fldLock="1"/>
      </w:r>
      <w:r>
        <w:instrText xml:space="preserve"> REF _Ref52539805 \r \h </w:instrText>
      </w:r>
      <w:r>
        <w:fldChar w:fldCharType="separate"/>
      </w:r>
      <w:r>
        <w:t>BC5</w:t>
      </w:r>
      <w:r>
        <w:fldChar w:fldCharType="end"/>
      </w:r>
      <w:r>
        <w:t>.</w:t>
      </w:r>
      <w:bookmarkEnd w:id="218"/>
      <w:bookmarkEnd w:id="219"/>
      <w:bookmarkEnd w:id="220"/>
    </w:p>
    <w:p w14:paraId="2ACCD5EA" w14:textId="77777777" w:rsidR="00510621" w:rsidRPr="00D50DC2" w:rsidRDefault="00510621" w:rsidP="005C5F05">
      <w:pPr>
        <w:pStyle w:val="NumBC1"/>
        <w:tabs>
          <w:tab w:val="clear" w:pos="782"/>
        </w:tabs>
        <w:spacing w:before="100" w:after="0"/>
        <w:rPr>
          <w:bCs/>
        </w:rPr>
      </w:pPr>
      <w:bookmarkStart w:id="221" w:name="_Ref43031484"/>
      <w:r>
        <w:rPr>
          <w:bCs/>
        </w:rPr>
        <w:t>The Board noted t</w:t>
      </w:r>
      <w:r>
        <w:t xml:space="preserve">he disclosures would affect only those Tier 2 RDR entities with financial instruments such as variable-rate loans that are referenced to the interest rate benchmarks, including those that have designated hedging instruments in a hedge relationship, lessees with IBOR-linked leases and insurance companies </w:t>
      </w:r>
      <w:r>
        <w:lastRenderedPageBreak/>
        <w:t xml:space="preserve">applying the temporary exemption from AASB 9 with IBOR-linked insurance contracts. The Board does not expect many Tier 2 entities to be affected. </w:t>
      </w:r>
    </w:p>
    <w:p w14:paraId="0F37439C" w14:textId="77777777" w:rsidR="00510621" w:rsidRPr="001E6962" w:rsidRDefault="00510621" w:rsidP="005C5F05">
      <w:pPr>
        <w:pStyle w:val="NumBC1"/>
        <w:tabs>
          <w:tab w:val="clear" w:pos="782"/>
        </w:tabs>
        <w:spacing w:before="100" w:after="0"/>
        <w:rPr>
          <w:bCs/>
        </w:rPr>
      </w:pPr>
      <w:r>
        <w:t>The Board further considered that the disclosure requirements in paragraphs 24I and 24J(a) and (c) of AASB 7 provide further detail about the entity’s risk management and hedging strategy. Tier 2 entities already disclose this information under paragraphs 22A and 22B of AASB 7. The additional disclosures are therefore consistent with the current level of RDR disclosures.</w:t>
      </w:r>
    </w:p>
    <w:p w14:paraId="562963BB" w14:textId="77777777" w:rsidR="00510621" w:rsidRPr="00FB7109" w:rsidRDefault="00510621" w:rsidP="005C5F05">
      <w:pPr>
        <w:pStyle w:val="NumBC1"/>
        <w:tabs>
          <w:tab w:val="clear" w:pos="782"/>
        </w:tabs>
        <w:spacing w:before="100" w:after="0"/>
        <w:rPr>
          <w:bCs/>
        </w:rPr>
      </w:pPr>
      <w:r>
        <w:t>While Tier 2 entities applying RDR are not otherwise required to disclose quantitative information such as that required by paragraph 24J(b) of AASB 7, the Board considered that the information is expected:</w:t>
      </w:r>
    </w:p>
    <w:p w14:paraId="0CE3CF49" w14:textId="77777777" w:rsidR="00510621" w:rsidRDefault="00510621" w:rsidP="005C5F05">
      <w:pPr>
        <w:pStyle w:val="NumBC2"/>
        <w:tabs>
          <w:tab w:val="clear" w:pos="1565"/>
        </w:tabs>
        <w:spacing w:before="100" w:after="0"/>
      </w:pPr>
      <w:r>
        <w:t>to be available to an entity as a result of the implementation of the interest rate benchmark reform and therefore the preparation of such disclosure is not expected to be burdensome;</w:t>
      </w:r>
    </w:p>
    <w:p w14:paraId="1A93C889" w14:textId="77777777" w:rsidR="00510621" w:rsidRDefault="00510621" w:rsidP="005C5F05">
      <w:pPr>
        <w:pStyle w:val="NumBC2"/>
        <w:tabs>
          <w:tab w:val="clear" w:pos="1565"/>
        </w:tabs>
        <w:spacing w:before="100" w:after="0"/>
      </w:pPr>
      <w:r>
        <w:t>not to be onerous as the requirements allow entities to choose the basis for disclosing the quantitative information, thereby being able to leverage information already available, which would reduce costs while still providing useful information; and</w:t>
      </w:r>
    </w:p>
    <w:p w14:paraId="3280FF45" w14:textId="77777777" w:rsidR="00510621" w:rsidRDefault="00510621" w:rsidP="005C5F05">
      <w:pPr>
        <w:pStyle w:val="NumBC2"/>
        <w:tabs>
          <w:tab w:val="clear" w:pos="1565"/>
        </w:tabs>
        <w:spacing w:before="100" w:after="0"/>
      </w:pPr>
      <w:r>
        <w:t>to be required only for a limited period of time, as the application of the amendments in Phase 2 is associated with changes to financial instruments or hedging relationships subject to a particular reformed benchmark interest rate.</w:t>
      </w:r>
    </w:p>
    <w:p w14:paraId="19CDC931" w14:textId="77777777" w:rsidR="00510621" w:rsidRDefault="00510621" w:rsidP="005C5F05">
      <w:pPr>
        <w:pStyle w:val="NumBC1"/>
        <w:tabs>
          <w:tab w:val="clear" w:pos="782"/>
        </w:tabs>
        <w:spacing w:before="100" w:after="0"/>
      </w:pPr>
      <w:r>
        <w:t xml:space="preserve">The disclosure requirements in paragraphs 24I and 24J of AASB 7 also require further information about the disaggregation of amounts presented in financial statements and the transactions and other events encountered by these entities. The Board referred to the Tier 2 Disclosure Principles summarised in paragraph </w:t>
      </w:r>
      <w:r>
        <w:fldChar w:fldCharType="begin" w:fldLock="1"/>
      </w:r>
      <w:r>
        <w:instrText xml:space="preserve"> REF _Ref52539805 \r \h </w:instrText>
      </w:r>
      <w:r>
        <w:fldChar w:fldCharType="separate"/>
      </w:r>
      <w:r>
        <w:t>BC5</w:t>
      </w:r>
      <w:r>
        <w:fldChar w:fldCharType="end"/>
      </w:r>
      <w:r>
        <w:t xml:space="preserve"> and considered that where the amounts in question are material, user needs and the</w:t>
      </w:r>
      <w:r w:rsidRPr="00472E49">
        <w:t xml:space="preserve"> </w:t>
      </w:r>
      <w:r>
        <w:t>benefits of the information would outweigh the limited cost of preparing the disclosures.</w:t>
      </w:r>
    </w:p>
    <w:p w14:paraId="06AC2F73" w14:textId="77777777" w:rsidR="00510621" w:rsidRDefault="00510621" w:rsidP="005C5F05">
      <w:pPr>
        <w:pStyle w:val="NumBC1"/>
        <w:tabs>
          <w:tab w:val="clear" w:pos="782"/>
        </w:tabs>
        <w:spacing w:before="100" w:after="0"/>
      </w:pPr>
      <w:r>
        <w:t xml:space="preserve">The Board further considered that entities applying the amendments should not be required to disclose the information otherwise required by paragraph 28(f) of AASB 108. As this relief is provided to entities reporting under the Tier 1 framework, the Board took the view that it should also be available for Tier 2 entities applying RDR so that they are not disadvantaged compared with entities reporting under Tier 1. </w:t>
      </w:r>
    </w:p>
    <w:p w14:paraId="16A50FAB" w14:textId="77777777" w:rsidR="00510621" w:rsidRDefault="00510621" w:rsidP="005C5F05">
      <w:pPr>
        <w:pStyle w:val="NumBC1"/>
        <w:tabs>
          <w:tab w:val="clear" w:pos="782"/>
        </w:tabs>
        <w:spacing w:before="100" w:after="0"/>
      </w:pPr>
      <w:bookmarkStart w:id="222" w:name="_Ref56694997"/>
      <w:r>
        <w:t>The Board noted that the proposals would result in different disclosure requirements for Tier 2 entities applying the RDR framework compared with Tier 2 entities applying the Simplified Disclosure framework under AASB 1060. However, the Board considered this outcome would be consistent with the different approach used in developing AASB 1060 and the different starting points of the two Tier 2 disclosure frameworks. It</w:t>
      </w:r>
      <w:r w:rsidDel="00BE588E">
        <w:t xml:space="preserve"> </w:t>
      </w:r>
      <w:r>
        <w:t>demonstrates that</w:t>
      </w:r>
      <w:r w:rsidRPr="00B55897">
        <w:t xml:space="preserve"> </w:t>
      </w:r>
      <w:r>
        <w:t>the principles applied in developing the simplified disclosures can successfully reduce the disclosures for Tier 2 entities. Furthermore, the Board does not expect many Tier 2 entities to be affected by interest rate benchmark reform and noted</w:t>
      </w:r>
      <w:r w:rsidDel="00FC24B8">
        <w:t xml:space="preserve"> </w:t>
      </w:r>
      <w:r>
        <w:t>that Tier 2 entities would be able to apply AASB 1060 early if they preferred not to make these particular disclosures. Therefore, the Board considered the proposed disclosure requirements would not impose a significant burden on Tier 2 RDR entities.</w:t>
      </w:r>
      <w:bookmarkEnd w:id="222"/>
    </w:p>
    <w:p w14:paraId="5556D223" w14:textId="77777777" w:rsidR="00510621" w:rsidRDefault="00510621" w:rsidP="005C5F05">
      <w:pPr>
        <w:pStyle w:val="NumBC1"/>
        <w:tabs>
          <w:tab w:val="clear" w:pos="782"/>
        </w:tabs>
        <w:spacing w:before="100" w:after="0"/>
        <w:rPr>
          <w:bCs/>
        </w:rPr>
      </w:pPr>
      <w:r>
        <w:rPr>
          <w:bCs/>
        </w:rPr>
        <w:t xml:space="preserve">On that basis, the Board took the view that the additional disclosure requirements introduced by AASB 7 paragraphs 24I and 24J should not be reduced for Tier 2 RDR entities but that the relief </w:t>
      </w:r>
      <w:r>
        <w:t>from disclosing information about the financial effects of changes in accounting policy</w:t>
      </w:r>
      <w:r>
        <w:rPr>
          <w:bCs/>
        </w:rPr>
        <w:t xml:space="preserve"> in paragraph 44HH should be available to such entities. This approach</w:t>
      </w:r>
      <w:r w:rsidDel="008D1915">
        <w:rPr>
          <w:bCs/>
        </w:rPr>
        <w:t xml:space="preserve"> </w:t>
      </w:r>
      <w:r>
        <w:rPr>
          <w:bCs/>
        </w:rPr>
        <w:t>means that no further changes need to be made to AASB 7 in relation to Tier 2 RDR.</w:t>
      </w:r>
    </w:p>
    <w:p w14:paraId="7EC85956" w14:textId="01BB91F7" w:rsidR="00510621" w:rsidRPr="00D613B8" w:rsidRDefault="00510621" w:rsidP="00510621">
      <w:pPr>
        <w:pStyle w:val="IASBSectionTitle1NonInd"/>
        <w:rPr>
          <w:i/>
          <w:iCs/>
        </w:rPr>
      </w:pPr>
      <w:r w:rsidRPr="00D613B8">
        <w:t xml:space="preserve">Issue of ED 304 </w:t>
      </w:r>
      <w:r>
        <w:rPr>
          <w:i/>
          <w:iCs/>
        </w:rPr>
        <w:t>Interest Rate Benchmark Reform – Phase 2: Tier 2 Disclosures</w:t>
      </w:r>
    </w:p>
    <w:bookmarkEnd w:id="221"/>
    <w:p w14:paraId="6718232A" w14:textId="77777777" w:rsidR="00510621" w:rsidRDefault="00510621" w:rsidP="005C5F05">
      <w:pPr>
        <w:pStyle w:val="NumBC1"/>
        <w:tabs>
          <w:tab w:val="clear" w:pos="782"/>
        </w:tabs>
        <w:spacing w:before="100" w:after="0"/>
      </w:pPr>
      <w:r>
        <w:t xml:space="preserve">The Board’s proposals were exposed for public comment in October 2020 through Exposure Draft ED 304 </w:t>
      </w:r>
      <w:r>
        <w:rPr>
          <w:i/>
          <w:iCs/>
        </w:rPr>
        <w:t xml:space="preserve">Interest Rate Benchmark Reform – Phase 2: Tier 2 Disclosures. </w:t>
      </w:r>
      <w:r>
        <w:t>Noting that there may be entities intending to early adopt AASB 1060, the Board agreed on a short exposure period of 30 days from the day of issue of the ED to ensure the relief would be available when needed. The Board did not receive any written submissions on the ED, but did receive verbal feedback from one stakeholder that was generally supportive of the proposed amendments, other than the proposal for differing disclosure outcomes for the two types of Tier 2 entities. The Board reaffirmed the considerations set out in the Basis for Conclusions on this matter and decided to finalise and approve the amendments as proposed.</w:t>
      </w:r>
    </w:p>
    <w:p w14:paraId="4A10D455" w14:textId="77777777" w:rsidR="00054C68" w:rsidRDefault="00054C68" w:rsidP="00022B10">
      <w:pPr>
        <w:pStyle w:val="NumBC1"/>
        <w:numPr>
          <w:ilvl w:val="0"/>
          <w:numId w:val="0"/>
        </w:numPr>
        <w:tabs>
          <w:tab w:val="clear" w:pos="782"/>
        </w:tabs>
        <w:spacing w:before="100" w:after="0"/>
      </w:pPr>
    </w:p>
    <w:p w14:paraId="796542F0" w14:textId="77777777" w:rsidR="00571C5F" w:rsidRDefault="00571C5F" w:rsidP="00571C5F">
      <w:pPr>
        <w:pStyle w:val="NumBC1"/>
        <w:numPr>
          <w:ilvl w:val="0"/>
          <w:numId w:val="0"/>
        </w:numPr>
        <w:tabs>
          <w:tab w:val="clear" w:pos="782"/>
        </w:tabs>
        <w:spacing w:before="100" w:after="0"/>
        <w:sectPr w:rsidR="00571C5F" w:rsidSect="00F42DB6">
          <w:footnotePr>
            <w:numRestart w:val="eachSect"/>
          </w:footnotePr>
          <w:pgSz w:w="11907" w:h="16839"/>
          <w:pgMar w:top="1440" w:right="1440" w:bottom="1440" w:left="1440" w:header="720" w:footer="720" w:gutter="0"/>
          <w:cols w:space="708"/>
          <w:docGrid w:linePitch="360"/>
        </w:sectPr>
      </w:pPr>
    </w:p>
    <w:p w14:paraId="1D2DF6C8" w14:textId="08A1DC0B" w:rsidR="001C5437" w:rsidRPr="00E6145D" w:rsidRDefault="001C5437" w:rsidP="005252BA">
      <w:pPr>
        <w:pStyle w:val="ConvSectionTitle"/>
        <w:rPr>
          <w:bCs/>
          <w:szCs w:val="26"/>
        </w:rPr>
      </w:pPr>
      <w:r w:rsidRPr="006C5D55">
        <w:lastRenderedPageBreak/>
        <w:t>Basis for Conclusions</w:t>
      </w:r>
      <w:r w:rsidR="00790B82">
        <w:t xml:space="preserve"> on AASB 2021-1</w:t>
      </w:r>
    </w:p>
    <w:p w14:paraId="07610843" w14:textId="37CAA00A" w:rsidR="001C5437" w:rsidRPr="001C5437" w:rsidRDefault="001C5437" w:rsidP="00022B10">
      <w:pPr>
        <w:pStyle w:val="Default"/>
        <w:spacing w:before="100" w:after="100"/>
        <w:jc w:val="both"/>
        <w:rPr>
          <w:i/>
          <w:sz w:val="19"/>
          <w:szCs w:val="19"/>
        </w:rPr>
      </w:pPr>
      <w:r w:rsidRPr="001C5437">
        <w:rPr>
          <w:i/>
          <w:iCs/>
          <w:sz w:val="19"/>
          <w:szCs w:val="19"/>
        </w:rPr>
        <w:t xml:space="preserve">This Basis for Conclusions accompanies, but is not part of, AASB 1060.  The Basis for Conclusions was originally published with </w:t>
      </w:r>
      <w:r w:rsidRPr="001C5437">
        <w:rPr>
          <w:i/>
          <w:sz w:val="19"/>
          <w:szCs w:val="19"/>
        </w:rPr>
        <w:t xml:space="preserve">AASB </w:t>
      </w:r>
      <w:r w:rsidRPr="001C5437">
        <w:rPr>
          <w:i/>
          <w:iCs/>
          <w:sz w:val="19"/>
          <w:szCs w:val="19"/>
        </w:rPr>
        <w:t>2021-1</w:t>
      </w:r>
      <w:r w:rsidRPr="001C5437">
        <w:rPr>
          <w:sz w:val="19"/>
          <w:szCs w:val="19"/>
        </w:rPr>
        <w:t xml:space="preserve"> Amendments to Australian Accounting Standards – Transition to Tier 2: Simplified Disclosures for Not-for-Profit Entities</w:t>
      </w:r>
      <w:r w:rsidRPr="001C5437">
        <w:rPr>
          <w:i/>
          <w:sz w:val="19"/>
          <w:szCs w:val="19"/>
        </w:rPr>
        <w:t>.</w:t>
      </w:r>
    </w:p>
    <w:p w14:paraId="3086AF42" w14:textId="77777777" w:rsidR="001C5437" w:rsidRPr="003D500D" w:rsidRDefault="001C5437" w:rsidP="001C5437">
      <w:pPr>
        <w:pStyle w:val="IASBSectionTitle1NonInd"/>
      </w:pPr>
      <w:r w:rsidRPr="003D500D">
        <w:t>Introduction</w:t>
      </w:r>
    </w:p>
    <w:p w14:paraId="39FE444E" w14:textId="77777777" w:rsidR="001C5437" w:rsidRPr="00551C5D" w:rsidRDefault="001C5437" w:rsidP="000E61D3">
      <w:pPr>
        <w:pStyle w:val="NumBC1"/>
        <w:numPr>
          <w:ilvl w:val="0"/>
          <w:numId w:val="195"/>
        </w:numPr>
        <w:tabs>
          <w:tab w:val="clear" w:pos="782"/>
        </w:tabs>
        <w:spacing w:before="100" w:after="0"/>
        <w:ind w:left="782" w:hanging="782"/>
      </w:pPr>
      <w:r w:rsidRPr="00551C5D">
        <w:t xml:space="preserve">This Basis for Conclusions summarises the Australian Accounting </w:t>
      </w:r>
      <w:r>
        <w:t>Standard</w:t>
      </w:r>
      <w:r w:rsidRPr="00551C5D">
        <w:t xml:space="preserve">s Board’s considerations in reaching the conclusions in this </w:t>
      </w:r>
      <w:r>
        <w:t>Standard</w:t>
      </w:r>
      <w:r w:rsidRPr="00551C5D">
        <w:t xml:space="preserve">. It sets out the reasons why the Board developed the </w:t>
      </w:r>
      <w:r>
        <w:t>Standard</w:t>
      </w:r>
      <w:r w:rsidRPr="00551C5D">
        <w:t xml:space="preserve">, the approach taken to developing the </w:t>
      </w:r>
      <w:r>
        <w:t xml:space="preserve">Standard </w:t>
      </w:r>
      <w:r w:rsidRPr="00551C5D">
        <w:t xml:space="preserve">and </w:t>
      </w:r>
      <w:r>
        <w:t xml:space="preserve">the bases for </w:t>
      </w:r>
      <w:r w:rsidRPr="00551C5D">
        <w:t xml:space="preserve">key decisions made. In making decisions, individual Board members gave greater weight to some factors than to others. </w:t>
      </w:r>
    </w:p>
    <w:p w14:paraId="6A8F2931" w14:textId="77777777" w:rsidR="001C5437" w:rsidRDefault="001C5437" w:rsidP="001C5437">
      <w:pPr>
        <w:pStyle w:val="IASBSectionTitle1NonInd"/>
      </w:pPr>
      <w:r>
        <w:t>Reasons for issuing this Standard</w:t>
      </w:r>
    </w:p>
    <w:p w14:paraId="112C3A3C" w14:textId="3172B396" w:rsidR="001C5437" w:rsidRDefault="001C5437" w:rsidP="005C5F05">
      <w:pPr>
        <w:pStyle w:val="NumBC1"/>
        <w:tabs>
          <w:tab w:val="clear" w:pos="782"/>
        </w:tabs>
        <w:spacing w:before="100" w:after="0"/>
      </w:pPr>
      <w:r>
        <w:t>The Board noted that not-for-profit (NFP) entities transitioning from either Tier 1: Australian Accounting Standards or Tier 2: Australian Accounting Standards – Reduced Disclosure Requirements (RDR) and adopting Tier</w:t>
      </w:r>
      <w:r w:rsidR="00E6145D">
        <w:t xml:space="preserve"> </w:t>
      </w:r>
      <w:r>
        <w:t xml:space="preserve">2: Australian Accounting Standards – Simplified Disclosures (SD) early (ie for reporting periods beginning before 1 July 2021) would not be able to access the transitional relief that is available to for-profit private sector entities. For-profit private sector entities that transition between the Tier 2 frameworks by adopting </w:t>
      </w:r>
      <w:r w:rsidRPr="00F12B3A">
        <w:t>Tier</w:t>
      </w:r>
      <w:r w:rsidR="00AC2840">
        <w:t xml:space="preserve"> </w:t>
      </w:r>
      <w:r w:rsidRPr="00F12B3A">
        <w:t xml:space="preserve">2 </w:t>
      </w:r>
      <w:r>
        <w:t xml:space="preserve">SD early are provided optional relief from presenting comparative information in the notes to the financial statements if the entity did not previously disclose the comparable information in its most recent previous financial statements. This relief is set out in paragraph E4 of AASB 1053 </w:t>
      </w:r>
      <w:r w:rsidRPr="00F12B3A">
        <w:rPr>
          <w:i/>
        </w:rPr>
        <w:t>Application of Tiers of Australian Accounting Standards</w:t>
      </w:r>
      <w:r>
        <w:t>. For-profit private sector entities that transition from Tier 1 to Tier 2 SD early are also provided with this same optional disclosure relief.</w:t>
      </w:r>
    </w:p>
    <w:p w14:paraId="68C2C5D1" w14:textId="77777777" w:rsidR="001C5437" w:rsidRDefault="001C5437" w:rsidP="005C5F05">
      <w:pPr>
        <w:pStyle w:val="NumBC1"/>
        <w:tabs>
          <w:tab w:val="clear" w:pos="782"/>
        </w:tabs>
        <w:spacing w:before="100" w:after="0"/>
      </w:pPr>
      <w:r>
        <w:t xml:space="preserve">To address this difference, the Board decided to make a narrow-scope amendment to AASB 1060 </w:t>
      </w:r>
      <w:r w:rsidRPr="00C34B8A">
        <w:rPr>
          <w:i/>
          <w:iCs/>
        </w:rPr>
        <w:t>General Purpose Financial Statements – Simplified Disclosures for For-Profit and Not-for-Profit Tier 2 Entities</w:t>
      </w:r>
      <w:r>
        <w:t xml:space="preserve"> to provide NFP entities with the same optional transition relief as for-profit entities when transitioning early from Tier 1 or Tier 2 RDR to Tier 2 SD.</w:t>
      </w:r>
    </w:p>
    <w:p w14:paraId="132BE1B5" w14:textId="77777777" w:rsidR="001C5437" w:rsidRDefault="001C5437" w:rsidP="001C5437">
      <w:pPr>
        <w:pStyle w:val="IASBSectionTitle1NonInd"/>
      </w:pPr>
      <w:r>
        <w:t>Issue of Exposure Draft ED 306</w:t>
      </w:r>
    </w:p>
    <w:p w14:paraId="157E9D1F" w14:textId="77777777" w:rsidR="001C5437" w:rsidRDefault="001C5437" w:rsidP="005C5F05">
      <w:pPr>
        <w:pStyle w:val="NumBC1"/>
        <w:tabs>
          <w:tab w:val="clear" w:pos="782"/>
        </w:tabs>
        <w:spacing w:before="100" w:after="0"/>
      </w:pPr>
      <w:r w:rsidRPr="00372F0B">
        <w:t xml:space="preserve">The Board’s proposals with respect to the </w:t>
      </w:r>
      <w:r>
        <w:t xml:space="preserve">transition relief </w:t>
      </w:r>
      <w:r w:rsidRPr="00372F0B">
        <w:t>finalised in this Standard were exposed for public</w:t>
      </w:r>
      <w:r>
        <w:t xml:space="preserve"> comment in December 2020 as part of Exposure Draft ED 306 </w:t>
      </w:r>
      <w:r w:rsidRPr="00F765E8">
        <w:rPr>
          <w:i/>
          <w:iCs/>
        </w:rPr>
        <w:t>Transition Between Tier 2 Frameworks for Not-for-Profit Entities</w:t>
      </w:r>
      <w:r>
        <w:t xml:space="preserve">. </w:t>
      </w:r>
    </w:p>
    <w:p w14:paraId="355E62DD" w14:textId="77777777" w:rsidR="001C5437" w:rsidRDefault="001C5437" w:rsidP="005C5F05">
      <w:pPr>
        <w:pStyle w:val="NumBC1"/>
        <w:tabs>
          <w:tab w:val="clear" w:pos="782"/>
        </w:tabs>
        <w:spacing w:before="100" w:after="0"/>
      </w:pPr>
      <w:r>
        <w:t>The significant issues considered by the Board in developing ED 306 are addressed in the following sections.</w:t>
      </w:r>
    </w:p>
    <w:p w14:paraId="01037F65" w14:textId="77777777" w:rsidR="001C5437" w:rsidRPr="001F4A7F" w:rsidRDefault="001C5437" w:rsidP="005252BA">
      <w:pPr>
        <w:pStyle w:val="IASBSectionTitle2Ind"/>
      </w:pPr>
      <w:r>
        <w:t>Scope</w:t>
      </w:r>
    </w:p>
    <w:p w14:paraId="7E3B07A0" w14:textId="4F8E1ECE" w:rsidR="001C5437" w:rsidRDefault="001C5437" w:rsidP="005C5F05">
      <w:pPr>
        <w:pStyle w:val="NumBC1"/>
        <w:tabs>
          <w:tab w:val="clear" w:pos="782"/>
        </w:tabs>
        <w:spacing w:before="100" w:after="0"/>
      </w:pPr>
      <w:bookmarkStart w:id="223" w:name="_Ref57304782"/>
      <w:r>
        <w:t>ED 306 proposed amendments to AASB 1060 to provide optional relief for NFP entities adopting AASB</w:t>
      </w:r>
      <w:r w:rsidR="00F3285F">
        <w:t> </w:t>
      </w:r>
      <w:r>
        <w:t xml:space="preserve">1060 early from having to present comparative information in the notes to the financial statements where the entity did not previously disclose the comparable information in its most recent previous Tier 2 general purpose financial statements. The ED proposed this relief would be available for NFP entities transitioning </w:t>
      </w:r>
      <w:r w:rsidRPr="00F84766">
        <w:t xml:space="preserve">from </w:t>
      </w:r>
      <w:r w:rsidRPr="00E014CB">
        <w:t>Tier 2</w:t>
      </w:r>
      <w:r>
        <w:t xml:space="preserve"> RDR to Tier 2 SD before the mandatory application date of AASB 1060. </w:t>
      </w:r>
    </w:p>
    <w:p w14:paraId="39A07F56" w14:textId="77777777" w:rsidR="001C5437" w:rsidRDefault="001C5437" w:rsidP="005C5F05">
      <w:pPr>
        <w:pStyle w:val="NumBC1"/>
        <w:tabs>
          <w:tab w:val="clear" w:pos="782"/>
        </w:tabs>
        <w:spacing w:before="100" w:after="0"/>
      </w:pPr>
      <w:bookmarkStart w:id="224" w:name="_Ref66201475"/>
      <w:r>
        <w:t xml:space="preserve">In developing ED 306, the Board also considered whether to extend to NFP entities other relief available to for-profit private sector entities under AASB 1053 Appendix E. For example, paragraphs E5–E7 provide optional relief from restating comparative information to for-profit private sector entities that had not complied with all the recognition and measurement requirements of Australian Accounting Standards (including, if a parent entity, not presenting consolidated financial statements prepared in accordance with AASB 10 </w:t>
      </w:r>
      <w:r w:rsidRPr="00FA1FEA">
        <w:rPr>
          <w:i/>
          <w:iCs/>
        </w:rPr>
        <w:t>Consolidated Financial Statements</w:t>
      </w:r>
      <w:r>
        <w:t>) in their most recent previous special purpose financial statements (SPFS).</w:t>
      </w:r>
      <w:bookmarkEnd w:id="224"/>
      <w:r>
        <w:t xml:space="preserve"> </w:t>
      </w:r>
    </w:p>
    <w:p w14:paraId="5D41CF25" w14:textId="5E5812FB" w:rsidR="001C5437" w:rsidRDefault="001C5437" w:rsidP="005C5F05">
      <w:pPr>
        <w:pStyle w:val="NumBC1"/>
        <w:tabs>
          <w:tab w:val="clear" w:pos="782"/>
        </w:tabs>
        <w:spacing w:before="100" w:after="0"/>
      </w:pPr>
      <w:bookmarkStart w:id="225" w:name="_Ref66199588"/>
      <w:r>
        <w:t>However, when finalising the previous amendments to AASB 1053, the Board decided not to extend any additional relief to NFP entities, as that could result in the loss of useful, restated comparative information. The Board also noted that it had decided to grant such relief to for-profit private sector entities due to the removal of the ability of such entities to prepare SPFS, which does not apply to NFP entities.</w:t>
      </w:r>
      <w:bookmarkEnd w:id="223"/>
      <w:r>
        <w:t xml:space="preserve"> Transition by </w:t>
      </w:r>
      <w:r>
        <w:lastRenderedPageBreak/>
        <w:t>NFP entities from SPFS to general purpose financial statements will be considered in more detail by the Board in its deliberations on the Board’s separate NFP Private Sector Financial Reporting Framework project.</w:t>
      </w:r>
      <w:bookmarkEnd w:id="225"/>
      <w:r>
        <w:t xml:space="preserve"> </w:t>
      </w:r>
    </w:p>
    <w:p w14:paraId="40B4B487" w14:textId="77777777" w:rsidR="001C5437" w:rsidRPr="001F4A7F" w:rsidRDefault="001C5437" w:rsidP="005252BA">
      <w:pPr>
        <w:pStyle w:val="IASBSectionTitle2Ind"/>
      </w:pPr>
      <w:r>
        <w:t>Location of amendments</w:t>
      </w:r>
    </w:p>
    <w:p w14:paraId="6F7E8312" w14:textId="4B028B13" w:rsidR="001C5437" w:rsidRDefault="001C5437" w:rsidP="00185811">
      <w:pPr>
        <w:pStyle w:val="NumBC1"/>
        <w:tabs>
          <w:tab w:val="clear" w:pos="782"/>
        </w:tabs>
        <w:spacing w:before="100" w:after="0"/>
      </w:pPr>
      <w:bookmarkStart w:id="226" w:name="_Ref57882899"/>
      <w:r>
        <w:t xml:space="preserve">The Board also considered whether to propose making the amendments to provide the optional transitional relief to AASB 1053 or to AASB 1060. While </w:t>
      </w:r>
      <w:r w:rsidRPr="00443527">
        <w:t xml:space="preserve">the equivalent relief for for-profit </w:t>
      </w:r>
      <w:r>
        <w:t xml:space="preserve">private sector </w:t>
      </w:r>
      <w:r w:rsidRPr="00443527">
        <w:t>entities is included in AASB 1053</w:t>
      </w:r>
      <w:r>
        <w:t xml:space="preserve"> (Appendix E), the Board decided that in this instance AASB 1060 was the more appropriate location. This is because the relief proposed in ED 306 would apply only to NFP entities that are transitioning early from Tier 2 RDR. The Board concluded that entities transitioning between the Tier 2 frameworks would not normally refer to AASB 1053 for transition guidance as AASB 1053 deals with entities transitioning between tiers, rather than to new requirements relating to the same tier.</w:t>
      </w:r>
      <w:bookmarkEnd w:id="226"/>
    </w:p>
    <w:p w14:paraId="6377362F" w14:textId="77777777" w:rsidR="001C5437" w:rsidRPr="001F4A7F" w:rsidRDefault="001C5437" w:rsidP="005252BA">
      <w:pPr>
        <w:pStyle w:val="IASBSectionTitle2Ind"/>
      </w:pPr>
      <w:r>
        <w:t>Other amendments</w:t>
      </w:r>
    </w:p>
    <w:p w14:paraId="6F669199" w14:textId="77777777" w:rsidR="001C5437" w:rsidRDefault="001C5437" w:rsidP="00185811">
      <w:pPr>
        <w:pStyle w:val="NumBC1"/>
        <w:tabs>
          <w:tab w:val="clear" w:pos="782"/>
        </w:tabs>
        <w:spacing w:before="100" w:after="0"/>
      </w:pPr>
      <w:r>
        <w:t>The Board also proposed some editorial improvements to AASB 1053 to highlight that the relief set out in Appendix E of AASB 1053 applies only to for-profit private sector entities.</w:t>
      </w:r>
    </w:p>
    <w:p w14:paraId="4CEC8355" w14:textId="77777777" w:rsidR="001C5437" w:rsidRDefault="001C5437" w:rsidP="001C5437">
      <w:pPr>
        <w:pStyle w:val="IASBSectionTitle1NonInd"/>
      </w:pPr>
      <w:r>
        <w:t>Finalisation of ED 306 proposals</w:t>
      </w:r>
    </w:p>
    <w:p w14:paraId="28772B52" w14:textId="77777777" w:rsidR="001C5437" w:rsidRDefault="001C5437" w:rsidP="00185811">
      <w:pPr>
        <w:pStyle w:val="NumBC1"/>
        <w:tabs>
          <w:tab w:val="clear" w:pos="782"/>
        </w:tabs>
        <w:spacing w:before="100" w:after="0"/>
      </w:pPr>
      <w:r>
        <w:t xml:space="preserve">Following the consultation period, and after considering the comments received, the Board decided to proceed with issuing this Standard, with minimal changes from the proposals in ED 306. </w:t>
      </w:r>
    </w:p>
    <w:p w14:paraId="7EC5C1A7" w14:textId="77777777" w:rsidR="001C5437" w:rsidRDefault="001C5437" w:rsidP="005252BA">
      <w:pPr>
        <w:pStyle w:val="IASBSectionTitle2Ind"/>
      </w:pPr>
      <w:r>
        <w:t>Feedback from respondents on ED 306</w:t>
      </w:r>
    </w:p>
    <w:p w14:paraId="03A30DD8" w14:textId="77777777" w:rsidR="001C5437" w:rsidRDefault="001C5437" w:rsidP="00185811">
      <w:pPr>
        <w:pStyle w:val="NumBC1"/>
        <w:tabs>
          <w:tab w:val="clear" w:pos="782"/>
        </w:tabs>
        <w:spacing w:before="100" w:after="0"/>
      </w:pPr>
      <w:r>
        <w:t xml:space="preserve">The Board received six formal comment letters on ED 306. </w:t>
      </w:r>
      <w:bookmarkStart w:id="227" w:name="_Ref66201788"/>
      <w:r>
        <w:t>The feedback received indicated that, in general, all respondents were supportive of the proposals. However, some respondents suggested that:</w:t>
      </w:r>
      <w:bookmarkEnd w:id="227"/>
    </w:p>
    <w:p w14:paraId="2156D9C8" w14:textId="77777777" w:rsidR="001C5437" w:rsidRDefault="001C5437" w:rsidP="000E61D3">
      <w:pPr>
        <w:pStyle w:val="NumBC1"/>
        <w:numPr>
          <w:ilvl w:val="0"/>
          <w:numId w:val="193"/>
        </w:numPr>
        <w:tabs>
          <w:tab w:val="clear" w:pos="782"/>
        </w:tabs>
        <w:spacing w:before="100" w:after="0"/>
        <w:ind w:left="1564" w:hanging="782"/>
      </w:pPr>
      <w:bookmarkStart w:id="228" w:name="_Ref66201781"/>
      <w:r>
        <w:t>the Board should adopt a sector-neutral approach to transition relief. In their view, NFP entities should have the same transition relief as for-profit private sector entities whether they are transitioning from SPFS, Tier 1 or Tier 2 RDR and preparing Tier 2 SD for the first time; and</w:t>
      </w:r>
      <w:bookmarkEnd w:id="228"/>
    </w:p>
    <w:p w14:paraId="1BED9DFB" w14:textId="77777777" w:rsidR="001C5437" w:rsidRDefault="001C5437" w:rsidP="000E61D3">
      <w:pPr>
        <w:pStyle w:val="NumBC1"/>
        <w:numPr>
          <w:ilvl w:val="0"/>
          <w:numId w:val="193"/>
        </w:numPr>
        <w:tabs>
          <w:tab w:val="clear" w:pos="782"/>
        </w:tabs>
        <w:spacing w:before="100" w:after="0"/>
        <w:ind w:left="1564" w:hanging="782"/>
      </w:pPr>
      <w:r>
        <w:t>consequently, AASB 1060 may not be the best place for the proposed amendments, given their support for additional transitional relief for NFP entities.</w:t>
      </w:r>
    </w:p>
    <w:p w14:paraId="05D2753D" w14:textId="77777777" w:rsidR="001C5437" w:rsidRDefault="001C5437" w:rsidP="00185811">
      <w:pPr>
        <w:pStyle w:val="NumBC1"/>
        <w:tabs>
          <w:tab w:val="clear" w:pos="782"/>
        </w:tabs>
        <w:spacing w:before="100" w:after="0"/>
      </w:pPr>
      <w:r>
        <w:t>The Board considered this feedback and decided:</w:t>
      </w:r>
    </w:p>
    <w:p w14:paraId="75E84A79" w14:textId="77777777" w:rsidR="001C5437" w:rsidRDefault="001C5437" w:rsidP="000E61D3">
      <w:pPr>
        <w:pStyle w:val="NumBC1"/>
        <w:numPr>
          <w:ilvl w:val="0"/>
          <w:numId w:val="194"/>
        </w:numPr>
        <w:tabs>
          <w:tab w:val="clear" w:pos="782"/>
        </w:tabs>
        <w:spacing w:before="100" w:after="0"/>
        <w:ind w:left="1564" w:hanging="782"/>
      </w:pPr>
      <w:r>
        <w:t xml:space="preserve">to extend the relief from presenting comparative information for those disclosures not previously made to also include transition from Tier 1 to Tier 2 SD. This </w:t>
      </w:r>
      <w:r w:rsidRPr="00A61B19">
        <w:t>was because</w:t>
      </w:r>
      <w:r>
        <w:t xml:space="preserve"> both Tier 1 and Tier 2 SD are prepared on the same recognition and measurement basis and there would be very few, if any, disclosures for which comparative information was not presented. Extending the relief would therefore have a limited impact on comparability and would provide consistent optional relief for NFP entities transitioning between types of general purpose financial statements;</w:t>
      </w:r>
    </w:p>
    <w:p w14:paraId="6B7DEF54" w14:textId="77777777" w:rsidR="001C5437" w:rsidRDefault="001C5437" w:rsidP="000E61D3">
      <w:pPr>
        <w:pStyle w:val="NumBC1"/>
        <w:numPr>
          <w:ilvl w:val="0"/>
          <w:numId w:val="194"/>
        </w:numPr>
        <w:tabs>
          <w:tab w:val="clear" w:pos="782"/>
        </w:tabs>
        <w:spacing w:before="100" w:after="0"/>
        <w:ind w:left="1564" w:hanging="782"/>
      </w:pPr>
      <w:r>
        <w:t xml:space="preserve">not to provide any relief to NFP entities transitioning from SPFS at this time. As noted in paragraphs </w:t>
      </w:r>
      <w:r>
        <w:fldChar w:fldCharType="begin" w:fldLock="1"/>
      </w:r>
      <w:r>
        <w:instrText xml:space="preserve"> REF _Ref66201475 \r \h </w:instrText>
      </w:r>
      <w:r>
        <w:fldChar w:fldCharType="separate"/>
      </w:r>
      <w:r>
        <w:t>BC7</w:t>
      </w:r>
      <w:r>
        <w:fldChar w:fldCharType="end"/>
      </w:r>
      <w:r>
        <w:t xml:space="preserve"> and </w:t>
      </w:r>
      <w:r>
        <w:fldChar w:fldCharType="begin" w:fldLock="1"/>
      </w:r>
      <w:r>
        <w:instrText xml:space="preserve"> REF _Ref66199588 \r \h </w:instrText>
      </w:r>
      <w:r>
        <w:fldChar w:fldCharType="separate"/>
      </w:r>
      <w:r>
        <w:t>BC8</w:t>
      </w:r>
      <w:r>
        <w:fldChar w:fldCharType="end"/>
      </w:r>
      <w:r>
        <w:t>, NFP entities are not currently required to transition from SPFS. The Board did however reaffirm that it intends to consider specific transition relief for NFP entities, including those that may be required to transition from SPFS, as part of its NFP Private Sector Financial Reporting Framework project; and</w:t>
      </w:r>
    </w:p>
    <w:p w14:paraId="59534E98" w14:textId="77777777" w:rsidR="001C5437" w:rsidRPr="005075FD" w:rsidRDefault="001C5437" w:rsidP="000E61D3">
      <w:pPr>
        <w:pStyle w:val="NumBC1"/>
        <w:numPr>
          <w:ilvl w:val="0"/>
          <w:numId w:val="194"/>
        </w:numPr>
        <w:tabs>
          <w:tab w:val="clear" w:pos="782"/>
        </w:tabs>
        <w:spacing w:before="100" w:after="0"/>
        <w:ind w:left="1564" w:hanging="782"/>
      </w:pPr>
      <w:r>
        <w:t>AASB 1060 remained the most appropriate location for these amendments. Although the optional relief in this Standard no longer applies solely to NFP entities transitioning between Tier 2 frameworks, the Board heard no compelling reasons to relocate the amendments from AASB 1060. NFP entities applying the optional relief will be transitioning to Tier 2 SD. Therefore, including the relief in the applicable Tier 2 Standard (AASB 1060) remained appropriate.</w:t>
      </w:r>
    </w:p>
    <w:p w14:paraId="6BFAF867" w14:textId="77777777" w:rsidR="001C5437" w:rsidRPr="003766A0" w:rsidRDefault="001C5437" w:rsidP="001C5437">
      <w:pPr>
        <w:pStyle w:val="Heading2"/>
      </w:pPr>
      <w:r w:rsidRPr="003766A0">
        <w:t>Effective date</w:t>
      </w:r>
      <w:r>
        <w:t xml:space="preserve"> and early application</w:t>
      </w:r>
    </w:p>
    <w:p w14:paraId="7F1C7A49" w14:textId="674DBECA" w:rsidR="001B58FD" w:rsidRPr="00E27CD8" w:rsidRDefault="001C5437" w:rsidP="00185811">
      <w:pPr>
        <w:pStyle w:val="NumBC1"/>
        <w:spacing w:before="100" w:after="0"/>
      </w:pPr>
      <w:r>
        <w:t>To ensure consistency between for-profit private sector entities and NFP entities, it was necessary to align the effective date of this Standard with the effective date of the equivalent relief available to for-profit private sector entities. For this reason, the Board decided that this Standard would be effective for annual periods beginning on or after 1 July 2021, with earlier application permitted, provided AASB 1060 is also applied to the same period.</w:t>
      </w:r>
    </w:p>
    <w:sectPr w:rsidR="001B58FD" w:rsidRPr="00E27CD8" w:rsidSect="00F42DB6">
      <w:footnotePr>
        <w:numRestart w:val="eachSect"/>
      </w:footnotePr>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FAEE" w14:textId="77777777" w:rsidR="00700E27" w:rsidRDefault="00700E27">
      <w:r>
        <w:separator/>
      </w:r>
    </w:p>
  </w:endnote>
  <w:endnote w:type="continuationSeparator" w:id="0">
    <w:p w14:paraId="2F6BF0DB" w14:textId="77777777" w:rsidR="00700E27" w:rsidRDefault="00700E27">
      <w:r>
        <w:continuationSeparator/>
      </w:r>
    </w:p>
  </w:endnote>
  <w:endnote w:type="continuationNotice" w:id="1">
    <w:p w14:paraId="398F7D12" w14:textId="77777777" w:rsidR="00700E27" w:rsidRDefault="0070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A5E" w14:textId="77777777" w:rsidR="000A3347" w:rsidRDefault="000A33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53D5" w14:textId="5C210A80" w:rsidR="00866D65" w:rsidRDefault="00866D65" w:rsidP="00A4194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Pr>
        <w:b/>
      </w:rPr>
      <w:t>-compiled</w:t>
    </w:r>
    <w:r>
      <w:tab/>
    </w:r>
    <w:r>
      <w:fldChar w:fldCharType="begin"/>
    </w:r>
    <w:r>
      <w:instrText xml:space="preserve"> page </w:instrText>
    </w:r>
    <w:r>
      <w:fldChar w:fldCharType="separate"/>
    </w:r>
    <w:r>
      <w:rPr>
        <w:noProof/>
      </w:rPr>
      <w:t>32</w:t>
    </w:r>
    <w:r>
      <w:fldChar w:fldCharType="end"/>
    </w:r>
    <w:r>
      <w:tab/>
    </w:r>
    <w:r>
      <w:rPr>
        <w:b/>
      </w:rPr>
      <w:t>COMPILATION DETAILS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B857" w14:textId="77777777" w:rsidR="00866D65" w:rsidRPr="001412FB" w:rsidRDefault="00866D65" w:rsidP="00A419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EBF1" w14:textId="24343E91" w:rsidR="000A3347" w:rsidRDefault="000A3347" w:rsidP="00DF2E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 MERGEFORMAT </w:instrText>
    </w:r>
    <w:r>
      <w:rPr>
        <w:b/>
      </w:rPr>
      <w:fldChar w:fldCharType="separate"/>
    </w:r>
    <w:r w:rsidR="00454A6B" w:rsidRPr="00454A6B">
      <w:rPr>
        <w:b/>
      </w:rPr>
      <w:t>1060</w:t>
    </w:r>
    <w:r>
      <w:rPr>
        <w:b/>
      </w:rPr>
      <w:fldChar w:fldCharType="end"/>
    </w:r>
    <w:bookmarkStart w:id="212" w:name="TOCTopStandard"/>
    <w:r w:rsidR="0066325B">
      <w:rPr>
        <w:b/>
      </w:rPr>
      <w:t>-compiled</w:t>
    </w:r>
    <w:r>
      <w:tab/>
    </w:r>
    <w:r>
      <w:fldChar w:fldCharType="begin"/>
    </w:r>
    <w:r>
      <w:instrText xml:space="preserve"> page </w:instrText>
    </w:r>
    <w:r>
      <w:fldChar w:fldCharType="separate"/>
    </w:r>
    <w:r>
      <w:rPr>
        <w:noProof/>
      </w:rPr>
      <w:t>74</w:t>
    </w:r>
    <w:r>
      <w:fldChar w:fldCharType="end"/>
    </w:r>
    <w:r>
      <w:tab/>
    </w:r>
    <w:r>
      <w:rPr>
        <w:b/>
      </w:rPr>
      <w:t>BASIS FOR CONCLUSIONS</w:t>
    </w:r>
    <w:bookmarkEnd w:id="212"/>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1973" w14:textId="77777777" w:rsidR="000A3347" w:rsidRPr="002A4448" w:rsidRDefault="000A3347" w:rsidP="005648FB">
    <w:pPr>
      <w:pStyle w:val="Footer"/>
      <w:rPr>
        <w:b/>
      </w:rPr>
    </w:pPr>
    <w:r w:rsidRPr="00705552">
      <w:rPr>
        <w:b/>
      </w:rPr>
      <w:fldChar w:fldCharType="begin" w:fldLock="1"/>
    </w:r>
    <w:r w:rsidRPr="00705552">
      <w:rPr>
        <w:b/>
      </w:rPr>
      <w:instrText xml:space="preserve"> REF DocTypeAbb\* charformat</w:instrText>
    </w:r>
    <w:r>
      <w:rPr>
        <w:b/>
      </w:rPr>
      <w:instrText xml:space="preserve">  \* MERGEFORMAT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 MERGEFORMAT </w:instrText>
    </w:r>
    <w:r>
      <w:rPr>
        <w:b/>
      </w:rPr>
      <w:fldChar w:fldCharType="separate"/>
    </w:r>
    <w:r w:rsidRPr="00544B0F">
      <w:rPr>
        <w:b/>
      </w:rPr>
      <w:t>10XX</w:t>
    </w:r>
    <w:r>
      <w:rPr>
        <w:b/>
      </w:rPr>
      <w:fldChar w:fldCharType="end"/>
    </w:r>
    <w:r w:rsidRPr="002A4448">
      <w:rPr>
        <w:b/>
      </w:rPr>
      <w:tab/>
    </w:r>
    <w:r w:rsidRPr="002A4448">
      <w:rPr>
        <w:b/>
      </w:rPr>
      <w:fldChar w:fldCharType="begin"/>
    </w:r>
    <w:r w:rsidRPr="002A4448">
      <w:rPr>
        <w:b/>
      </w:rPr>
      <w:instrText xml:space="preserve"> page </w:instrText>
    </w:r>
    <w:r w:rsidRPr="002A4448">
      <w:rPr>
        <w:b/>
      </w:rPr>
      <w:fldChar w:fldCharType="separate"/>
    </w:r>
    <w:r>
      <w:rPr>
        <w:b/>
        <w:noProof/>
      </w:rPr>
      <w:t>74</w:t>
    </w:r>
    <w:r w:rsidRPr="002A4448">
      <w:rPr>
        <w:b/>
      </w:rPr>
      <w:fldChar w:fldCharType="end"/>
    </w:r>
    <w:r w:rsidRPr="002A4448">
      <w:rPr>
        <w:b/>
      </w:rPr>
      <w:tab/>
    </w:r>
    <w:r>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A5F" w14:textId="743C7FC2" w:rsidR="000A3347" w:rsidRDefault="000A334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sidR="00FE7FAC">
      <w:rPr>
        <w:b/>
      </w:rPr>
      <w:fldChar w:fldCharType="begin"/>
    </w:r>
    <w:r w:rsidR="00FE7FAC">
      <w:rPr>
        <w:b/>
      </w:rPr>
      <w:instrText xml:space="preserve"> REF \* charformat DocNo </w:instrText>
    </w:r>
    <w:r w:rsidR="00FE7FAC">
      <w:rPr>
        <w:b/>
      </w:rPr>
      <w:fldChar w:fldCharType="separate"/>
    </w:r>
    <w:r w:rsidR="00454A6B" w:rsidRPr="00454A6B">
      <w:rPr>
        <w:b/>
      </w:rPr>
      <w:t>1060</w:t>
    </w:r>
    <w:r w:rsidR="00FE7FAC">
      <w:rPr>
        <w:b/>
      </w:rPr>
      <w:fldChar w:fldCharType="end"/>
    </w:r>
    <w:r>
      <w:rPr>
        <w:b/>
      </w:rPr>
      <w:t>-compiled</w:t>
    </w:r>
    <w:r>
      <w:tab/>
    </w:r>
    <w:r>
      <w:fldChar w:fldCharType="begin"/>
    </w:r>
    <w:r>
      <w:instrText xml:space="preserve"> page </w:instrText>
    </w:r>
    <w:r>
      <w:fldChar w:fldCharType="separate"/>
    </w:r>
    <w:r>
      <w:rPr>
        <w:noProof/>
      </w:rPr>
      <w:t>2</w:t>
    </w:r>
    <w:r>
      <w:fldChar w:fldCharType="end"/>
    </w:r>
    <w:r>
      <w:tab/>
    </w:r>
    <w:r w:rsidRPr="00705552">
      <w:rPr>
        <w:b/>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C835" w14:textId="26C7E270" w:rsidR="000A3347" w:rsidRDefault="0068568A">
    <w:pPr>
      <w:pStyle w:val="Footer"/>
      <w:rPr>
        <w:b/>
      </w:rPr>
    </w:pPr>
    <w:r>
      <w:rPr>
        <w:b/>
      </w:rPr>
      <w:fldChar w:fldCharType="begin" w:fldLock="1"/>
    </w:r>
    <w:r>
      <w:rPr>
        <w:b/>
      </w:rPr>
      <w:instrText xml:space="preserve"> REF DocTypeAbb \* charformat </w:instrText>
    </w:r>
    <w:r>
      <w:rPr>
        <w:b/>
      </w:rPr>
      <w:fldChar w:fldCharType="separate"/>
    </w:r>
    <w:r w:rsidRPr="007D4A2A">
      <w:rPr>
        <w:b/>
      </w:rPr>
      <w:t>AASB</w:t>
    </w:r>
    <w:r>
      <w:rPr>
        <w:b/>
      </w:rPr>
      <w:fldChar w:fldCharType="end"/>
    </w:r>
    <w:r w:rsidRPr="00336710">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sidR="000A3347">
      <w:rPr>
        <w:b/>
      </w:rPr>
      <w:t>-compiled</w:t>
    </w:r>
    <w:r w:rsidR="000A3347">
      <w:rPr>
        <w:b/>
      </w:rPr>
      <w:tab/>
    </w:r>
    <w:r w:rsidR="000A3347">
      <w:fldChar w:fldCharType="begin"/>
    </w:r>
    <w:r w:rsidR="000A3347">
      <w:instrText>PAGE</w:instrText>
    </w:r>
    <w:r w:rsidR="000A3347">
      <w:fldChar w:fldCharType="separate"/>
    </w:r>
    <w:r w:rsidR="000A3347">
      <w:rPr>
        <w:noProof/>
      </w:rPr>
      <w:t>10</w:t>
    </w:r>
    <w:r w:rsidR="000A3347">
      <w:fldChar w:fldCharType="end"/>
    </w:r>
    <w:r w:rsidR="000A3347">
      <w:tab/>
    </w:r>
    <w:r w:rsidR="000A3347">
      <w:rPr>
        <w:b/>
        <w:bCs/>
      </w:rPr>
      <w:t>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A63" w14:textId="6429A7E0" w:rsidR="000A3347" w:rsidRPr="009B5FC0" w:rsidRDefault="000A3347" w:rsidP="00AD395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Pr>
        <w:b/>
      </w:rPr>
      <w:t xml:space="preserve"> </w:t>
    </w:r>
    <w:r w:rsidR="00FE7FAC">
      <w:rPr>
        <w:b/>
      </w:rPr>
      <w:fldChar w:fldCharType="begin"/>
    </w:r>
    <w:r w:rsidR="00FE7FAC">
      <w:rPr>
        <w:b/>
      </w:rPr>
      <w:instrText xml:space="preserve"> REF \* charformat DocNo </w:instrText>
    </w:r>
    <w:r w:rsidR="00FE7FAC">
      <w:rPr>
        <w:b/>
      </w:rPr>
      <w:fldChar w:fldCharType="separate"/>
    </w:r>
    <w:r w:rsidR="00454A6B" w:rsidRPr="00454A6B">
      <w:rPr>
        <w:b/>
      </w:rPr>
      <w:t>1060</w:t>
    </w:r>
    <w:r w:rsidR="00FE7FAC">
      <w:rPr>
        <w:b/>
      </w:rPr>
      <w:fldChar w:fldCharType="end"/>
    </w:r>
    <w:r>
      <w:rPr>
        <w:b/>
      </w:rPr>
      <w:t>-compiled</w:t>
    </w:r>
    <w:r>
      <w:tab/>
    </w:r>
    <w:r>
      <w:fldChar w:fldCharType="begin"/>
    </w:r>
    <w:r>
      <w:instrText xml:space="preserve"> page </w:instrText>
    </w:r>
    <w:r>
      <w:fldChar w:fldCharType="separate"/>
    </w:r>
    <w:r>
      <w:rPr>
        <w:noProof/>
      </w:rPr>
      <w:t>4</w:t>
    </w:r>
    <w:r>
      <w:fldChar w:fldCharType="end"/>
    </w:r>
    <w:r>
      <w:tab/>
    </w:r>
    <w:r>
      <w:rPr>
        <w:b/>
      </w:rPr>
      <w:t>PREFACE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33B" w14:textId="7C093158" w:rsidR="000A3347" w:rsidRPr="004D46F9" w:rsidRDefault="007B76B8" w:rsidP="0004532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sidR="000A3347">
      <w:rPr>
        <w:b/>
      </w:rPr>
      <w:t>-compiled</w:t>
    </w:r>
    <w:r w:rsidR="000A3347">
      <w:rPr>
        <w:b/>
      </w:rPr>
      <w:tab/>
    </w:r>
    <w:r w:rsidR="000A3347">
      <w:fldChar w:fldCharType="begin"/>
    </w:r>
    <w:r w:rsidR="000A3347">
      <w:instrText>PAGE</w:instrText>
    </w:r>
    <w:r w:rsidR="000A3347">
      <w:fldChar w:fldCharType="separate"/>
    </w:r>
    <w:r w:rsidR="000A3347">
      <w:rPr>
        <w:noProof/>
      </w:rPr>
      <w:t>51</w:t>
    </w:r>
    <w:r w:rsidR="000A3347">
      <w:fldChar w:fldCharType="end"/>
    </w:r>
    <w:r w:rsidR="000A3347">
      <w:tab/>
    </w:r>
    <w:r w:rsidR="000A3347">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5E99" w14:textId="367778F9" w:rsidR="000A3347" w:rsidRPr="005E103E" w:rsidRDefault="009822EA" w:rsidP="00045329">
    <w:pPr>
      <w:pStyle w:val="Footer"/>
      <w:rPr>
        <w:b/>
        <w:bCs/>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Pr>
        <w:b/>
      </w:rPr>
      <w:t>-compiled</w:t>
    </w:r>
    <w:r w:rsidDel="009822EA">
      <w:rPr>
        <w:b/>
      </w:rPr>
      <w:t xml:space="preserve"> </w:t>
    </w:r>
    <w:r w:rsidR="000A3347">
      <w:rPr>
        <w:b/>
      </w:rPr>
      <w:tab/>
    </w:r>
    <w:r w:rsidR="000A3347">
      <w:fldChar w:fldCharType="begin"/>
    </w:r>
    <w:r w:rsidR="000A3347">
      <w:instrText>PAGE</w:instrText>
    </w:r>
    <w:r w:rsidR="000A3347">
      <w:fldChar w:fldCharType="separate"/>
    </w:r>
    <w:r w:rsidR="000A3347">
      <w:rPr>
        <w:noProof/>
      </w:rPr>
      <w:t>64</w:t>
    </w:r>
    <w:r w:rsidR="000A3347">
      <w:fldChar w:fldCharType="end"/>
    </w:r>
    <w:r w:rsidR="000A3347">
      <w:tab/>
    </w:r>
    <w:r w:rsidR="000A3347">
      <w:rPr>
        <w:b/>
        <w:bCs/>
      </w:rPr>
      <w:t>APPENDIX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047B" w14:textId="69A5ADB4" w:rsidR="000A3347" w:rsidRPr="005E103E" w:rsidRDefault="009822EA" w:rsidP="00045329">
    <w:pPr>
      <w:pStyle w:val="Footer"/>
      <w:rPr>
        <w:b/>
        <w:bCs/>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Pr>
        <w:b/>
      </w:rPr>
      <w:t>-compiled</w:t>
    </w:r>
    <w:r w:rsidDel="009822EA">
      <w:rPr>
        <w:b/>
      </w:rPr>
      <w:t xml:space="preserve"> </w:t>
    </w:r>
    <w:r w:rsidR="000A3347">
      <w:rPr>
        <w:b/>
      </w:rPr>
      <w:tab/>
    </w:r>
    <w:r w:rsidR="000A3347">
      <w:fldChar w:fldCharType="begin"/>
    </w:r>
    <w:r w:rsidR="000A3347">
      <w:instrText>PAGE</w:instrText>
    </w:r>
    <w:r w:rsidR="000A3347">
      <w:fldChar w:fldCharType="separate"/>
    </w:r>
    <w:r w:rsidR="000A3347">
      <w:rPr>
        <w:noProof/>
      </w:rPr>
      <w:t>64</w:t>
    </w:r>
    <w:r w:rsidR="000A3347">
      <w:fldChar w:fldCharType="end"/>
    </w:r>
    <w:r w:rsidR="000A3347">
      <w:tab/>
    </w:r>
    <w:r w:rsidR="000A3347">
      <w:rPr>
        <w:b/>
        <w:bCs/>
      </w:rPr>
      <w:t>APPENDIX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DAE9" w14:textId="6DDE80FD" w:rsidR="000A3347" w:rsidRPr="004D46F9" w:rsidRDefault="00363BBE" w:rsidP="0004532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sidR="0066325B">
      <w:rPr>
        <w:b/>
      </w:rPr>
      <w:t>-compiled</w:t>
    </w:r>
    <w:r w:rsidR="000A3347">
      <w:rPr>
        <w:b/>
      </w:rPr>
      <w:tab/>
    </w:r>
    <w:r w:rsidR="000A3347">
      <w:fldChar w:fldCharType="begin"/>
    </w:r>
    <w:r w:rsidR="000A3347">
      <w:instrText>PAGE</w:instrText>
    </w:r>
    <w:r w:rsidR="000A3347">
      <w:fldChar w:fldCharType="separate"/>
    </w:r>
    <w:r w:rsidR="000A3347">
      <w:rPr>
        <w:noProof/>
      </w:rPr>
      <w:t>68</w:t>
    </w:r>
    <w:r w:rsidR="000A3347">
      <w:fldChar w:fldCharType="end"/>
    </w:r>
    <w:r w:rsidR="000A3347">
      <w:tab/>
    </w:r>
    <w:r w:rsidR="000A3347">
      <w:rPr>
        <w:b/>
        <w:bCs/>
      </w:rPr>
      <w:t>APPENDIX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C48D" w14:textId="4A56BDCD" w:rsidR="000A3347" w:rsidRPr="004D46F9" w:rsidRDefault="008B1A11" w:rsidP="0004532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454A6B" w:rsidRPr="00454A6B">
      <w:rPr>
        <w:b/>
      </w:rPr>
      <w:t>1060</w:t>
    </w:r>
    <w:r>
      <w:rPr>
        <w:b/>
      </w:rPr>
      <w:fldChar w:fldCharType="end"/>
    </w:r>
    <w:r>
      <w:rPr>
        <w:b/>
      </w:rPr>
      <w:t>-compiled</w:t>
    </w:r>
    <w:r w:rsidDel="009822EA">
      <w:rPr>
        <w:b/>
      </w:rPr>
      <w:t xml:space="preserve"> </w:t>
    </w:r>
    <w:r w:rsidR="000A3347">
      <w:rPr>
        <w:b/>
      </w:rPr>
      <w:tab/>
    </w:r>
    <w:r w:rsidR="000A3347">
      <w:fldChar w:fldCharType="begin"/>
    </w:r>
    <w:r w:rsidR="000A3347">
      <w:instrText>PAGE</w:instrText>
    </w:r>
    <w:r w:rsidR="000A3347">
      <w:fldChar w:fldCharType="separate"/>
    </w:r>
    <w:r w:rsidR="000A3347">
      <w:rPr>
        <w:noProof/>
      </w:rPr>
      <w:t>68</w:t>
    </w:r>
    <w:r w:rsidR="000A3347">
      <w:fldChar w:fldCharType="end"/>
    </w:r>
    <w:r w:rsidR="000A3347">
      <w:tab/>
    </w:r>
    <w:r w:rsidR="000A3347">
      <w:rPr>
        <w:b/>
        <w:bCs/>
      </w:rPr>
      <w:t>IMPLEMENTATION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11F8" w14:textId="77777777" w:rsidR="00700E27" w:rsidRDefault="00700E27">
      <w:r>
        <w:separator/>
      </w:r>
    </w:p>
  </w:footnote>
  <w:footnote w:type="continuationSeparator" w:id="0">
    <w:p w14:paraId="03DB613E" w14:textId="77777777" w:rsidR="00700E27" w:rsidRDefault="00700E27">
      <w:r>
        <w:continuationSeparator/>
      </w:r>
    </w:p>
  </w:footnote>
  <w:footnote w:type="continuationNotice" w:id="1">
    <w:p w14:paraId="13F33128" w14:textId="77777777" w:rsidR="00700E27" w:rsidRDefault="00700E27"/>
  </w:footnote>
  <w:footnote w:id="2">
    <w:p w14:paraId="66466FA5" w14:textId="799D6FB0" w:rsidR="000A3347" w:rsidRPr="00450B12" w:rsidRDefault="000A3347" w:rsidP="00504B9F">
      <w:pPr>
        <w:pStyle w:val="FootnoteText"/>
        <w:rPr>
          <w:lang w:val="en-US"/>
        </w:rPr>
      </w:pPr>
      <w:r w:rsidRPr="00784890">
        <w:rPr>
          <w:rStyle w:val="FootnoteReference"/>
          <w:szCs w:val="16"/>
          <w:vertAlign w:val="baseline"/>
        </w:rPr>
        <w:footnoteRef/>
      </w:r>
      <w:r>
        <w:tab/>
      </w:r>
      <w:r w:rsidRPr="00EA4070">
        <w:t xml:space="preserve">The term ‘Australian Accounting Standards’ refers to Standards (including Interpretations) made by the AASB that apply to any </w:t>
      </w:r>
      <w:r w:rsidRPr="009E66D6">
        <w:t>reporting</w:t>
      </w:r>
      <w:r w:rsidRPr="00EA4070">
        <w:t xml:space="preserve"> period beginning on or after 1 January 2005. In this context, the term encompasses Australian Accounting Standards – Simplified Disclosures</w:t>
      </w:r>
      <w:r>
        <w:t>,</w:t>
      </w:r>
      <w:r w:rsidRPr="00EA4070">
        <w:t xml:space="preserve"> which some entities are permitted to apply in accordance with AASB 1053 </w:t>
      </w:r>
      <w:r w:rsidRPr="00EA4070">
        <w:rPr>
          <w:i/>
        </w:rPr>
        <w:t xml:space="preserve">Application of Tiers of Australian Accounting Standards </w:t>
      </w:r>
      <w:r w:rsidRPr="00EA4070">
        <w:t>in preparing general purpose financial statements.</w:t>
      </w:r>
    </w:p>
  </w:footnote>
  <w:footnote w:id="3">
    <w:p w14:paraId="6A10E576" w14:textId="364B6B8E" w:rsidR="000A3347" w:rsidRPr="00784890" w:rsidRDefault="000A3347" w:rsidP="00504B9F">
      <w:pPr>
        <w:pStyle w:val="FootnoteText"/>
      </w:pPr>
      <w:r w:rsidRPr="00784890">
        <w:rPr>
          <w:rStyle w:val="FootnoteReference"/>
          <w:szCs w:val="16"/>
          <w:vertAlign w:val="baseline"/>
        </w:rPr>
        <w:footnoteRef/>
      </w:r>
      <w:r w:rsidRPr="00784890">
        <w:tab/>
      </w:r>
      <w:r>
        <w:t>Corresponding</w:t>
      </w:r>
      <w:r w:rsidRPr="00784890">
        <w:t xml:space="preserve"> AASB Standard: AASB 101 </w:t>
      </w:r>
      <w:r w:rsidRPr="00784890">
        <w:rPr>
          <w:i/>
        </w:rPr>
        <w:t>Presentation of Financial Statements</w:t>
      </w:r>
      <w:r>
        <w:rPr>
          <w:i/>
        </w:rPr>
        <w:t>.</w:t>
      </w:r>
    </w:p>
  </w:footnote>
  <w:footnote w:id="4">
    <w:p w14:paraId="408C515D" w14:textId="120C50FD" w:rsidR="000A3347" w:rsidRDefault="000A3347" w:rsidP="00504B9F">
      <w:pPr>
        <w:pStyle w:val="FootnoteText"/>
      </w:pPr>
      <w:r w:rsidRPr="00F42DB6">
        <w:rPr>
          <w:rStyle w:val="FootnoteReference"/>
          <w:szCs w:val="16"/>
          <w:vertAlign w:val="baseline"/>
        </w:rPr>
        <w:footnoteRef/>
      </w:r>
      <w:r w:rsidRPr="00F42DB6">
        <w:tab/>
      </w:r>
      <w:r>
        <w:t>Corresponding</w:t>
      </w:r>
      <w:r w:rsidRPr="00F42DB6">
        <w:t xml:space="preserve"> AASB Standard: AASB 101 </w:t>
      </w:r>
      <w:r w:rsidRPr="00F42DB6">
        <w:rPr>
          <w:i/>
        </w:rPr>
        <w:t>Presentation of Financial Statements</w:t>
      </w:r>
      <w:r w:rsidRPr="00BA7726">
        <w:t>.</w:t>
      </w:r>
    </w:p>
  </w:footnote>
  <w:footnote w:id="5">
    <w:p w14:paraId="621A4010" w14:textId="4CAE5943"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101 </w:t>
      </w:r>
      <w:r w:rsidRPr="00605AA5">
        <w:rPr>
          <w:i/>
        </w:rPr>
        <w:t>Presentation of Financial Statements</w:t>
      </w:r>
      <w:r>
        <w:rPr>
          <w:i/>
        </w:rPr>
        <w:t>.</w:t>
      </w:r>
    </w:p>
  </w:footnote>
  <w:footnote w:id="6">
    <w:p w14:paraId="24189981" w14:textId="431775CF"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101 </w:t>
      </w:r>
      <w:r w:rsidRPr="00605AA5">
        <w:rPr>
          <w:i/>
        </w:rPr>
        <w:t>Presentation of Financial Statements</w:t>
      </w:r>
      <w:r w:rsidRPr="0098254D">
        <w:t>.</w:t>
      </w:r>
    </w:p>
  </w:footnote>
  <w:footnote w:id="7">
    <w:p w14:paraId="5EC5AEB9" w14:textId="07C8A9F8" w:rsidR="000A3347" w:rsidRPr="005D5863" w:rsidRDefault="000A3347" w:rsidP="00504B9F">
      <w:pPr>
        <w:pStyle w:val="FootnoteText"/>
        <w:rPr>
          <w:iCs/>
        </w:rPr>
      </w:pPr>
      <w:r w:rsidRPr="00605AA5">
        <w:rPr>
          <w:rStyle w:val="FootnoteReference"/>
          <w:szCs w:val="16"/>
          <w:vertAlign w:val="baseline"/>
        </w:rPr>
        <w:footnoteRef/>
      </w:r>
      <w:r w:rsidRPr="00605AA5">
        <w:tab/>
      </w:r>
      <w:r>
        <w:t>Corresponding</w:t>
      </w:r>
      <w:r w:rsidRPr="00605AA5">
        <w:t xml:space="preserve"> AASB Standard: AASB 107 </w:t>
      </w:r>
      <w:r w:rsidRPr="00605AA5">
        <w:rPr>
          <w:i/>
        </w:rPr>
        <w:t>Statement of Cash Flows</w:t>
      </w:r>
      <w:r w:rsidRPr="00122D02">
        <w:t>.</w:t>
      </w:r>
    </w:p>
  </w:footnote>
  <w:footnote w:id="8">
    <w:p w14:paraId="60CCC646" w14:textId="1A821428"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w:t>
      </w:r>
      <w:r>
        <w:t>10</w:t>
      </w:r>
      <w:r w:rsidRPr="00605AA5">
        <w:t xml:space="preserve">1 </w:t>
      </w:r>
      <w:r w:rsidRPr="00605AA5">
        <w:rPr>
          <w:i/>
        </w:rPr>
        <w:t>Presentation of Financial Statements</w:t>
      </w:r>
      <w:r>
        <w:t>.</w:t>
      </w:r>
    </w:p>
  </w:footnote>
  <w:footnote w:id="9">
    <w:p w14:paraId="2ADF47D1" w14:textId="68ED94F9" w:rsidR="000A3347" w:rsidRPr="00645890" w:rsidRDefault="000A3347" w:rsidP="00504B9F">
      <w:pPr>
        <w:pStyle w:val="FootnoteText"/>
      </w:pPr>
      <w:r w:rsidRPr="00645890">
        <w:rPr>
          <w:rStyle w:val="FootnoteReference"/>
          <w:szCs w:val="16"/>
          <w:vertAlign w:val="baseline"/>
        </w:rPr>
        <w:footnoteRef/>
      </w:r>
      <w:r>
        <w:tab/>
        <w:t>Corresponding</w:t>
      </w:r>
      <w:r w:rsidRPr="00645890">
        <w:t xml:space="preserve"> AASB Standards:</w:t>
      </w:r>
    </w:p>
    <w:p w14:paraId="021AF156" w14:textId="5A6B0598" w:rsidR="000A3347" w:rsidRPr="00645890" w:rsidRDefault="000A3347" w:rsidP="00504B9F">
      <w:pPr>
        <w:pStyle w:val="FootnoteText"/>
      </w:pPr>
      <w:r w:rsidRPr="00645890">
        <w:tab/>
        <w:t xml:space="preserve">AASB 10 </w:t>
      </w:r>
      <w:r w:rsidRPr="00454A6B">
        <w:rPr>
          <w:i/>
          <w:iCs/>
        </w:rPr>
        <w:t>Consolidated Financial Statements</w:t>
      </w:r>
      <w:r w:rsidRPr="007C6B96">
        <w:t>;</w:t>
      </w:r>
    </w:p>
    <w:p w14:paraId="5EA924D7" w14:textId="6F58AD34" w:rsidR="000A3347" w:rsidRPr="00645890" w:rsidRDefault="000A3347" w:rsidP="00504B9F">
      <w:pPr>
        <w:pStyle w:val="FootnoteText"/>
      </w:pPr>
      <w:r w:rsidRPr="00645890">
        <w:tab/>
        <w:t xml:space="preserve">AASB 12 </w:t>
      </w:r>
      <w:r w:rsidRPr="00454A6B">
        <w:rPr>
          <w:i/>
          <w:iCs/>
        </w:rPr>
        <w:t>Disclosure of Interests in Other Entities</w:t>
      </w:r>
      <w:r w:rsidRPr="007C6B96">
        <w:t>;</w:t>
      </w:r>
      <w:r>
        <w:t xml:space="preserve"> </w:t>
      </w:r>
      <w:r w:rsidRPr="00525E46">
        <w:t>and</w:t>
      </w:r>
    </w:p>
    <w:p w14:paraId="19F73995" w14:textId="7B6CA35B" w:rsidR="000A3347" w:rsidRDefault="000A3347" w:rsidP="00504B9F">
      <w:pPr>
        <w:pStyle w:val="FootnoteText"/>
      </w:pPr>
      <w:r w:rsidRPr="00645890">
        <w:tab/>
        <w:t xml:space="preserve">AASB 127 </w:t>
      </w:r>
      <w:r w:rsidRPr="00454A6B">
        <w:rPr>
          <w:i/>
          <w:iCs/>
        </w:rPr>
        <w:t>Separate Financial Statements</w:t>
      </w:r>
      <w:r w:rsidRPr="007C6B96">
        <w:t>.</w:t>
      </w:r>
    </w:p>
  </w:footnote>
  <w:footnote w:id="10">
    <w:p w14:paraId="3C68BBB5" w14:textId="48BE3AAE" w:rsidR="000A3347" w:rsidRPr="00645890" w:rsidRDefault="000A3347" w:rsidP="00504B9F">
      <w:pPr>
        <w:pStyle w:val="FootnoteText"/>
      </w:pPr>
      <w:r w:rsidRPr="008E78D6">
        <w:rPr>
          <w:rStyle w:val="FootnoteReference"/>
          <w:szCs w:val="16"/>
          <w:vertAlign w:val="baseline"/>
        </w:rPr>
        <w:footnoteRef/>
      </w:r>
      <w:r w:rsidRPr="00645890">
        <w:tab/>
      </w:r>
      <w:r>
        <w:t>Corresponding</w:t>
      </w:r>
      <w:r w:rsidRPr="00645890">
        <w:t xml:space="preserve"> AASB Standard: AASB 108</w:t>
      </w:r>
      <w:r w:rsidRPr="00645890">
        <w:rPr>
          <w:b/>
        </w:rPr>
        <w:t xml:space="preserve"> </w:t>
      </w:r>
      <w:r w:rsidRPr="00454A6B">
        <w:rPr>
          <w:i/>
          <w:iCs/>
        </w:rPr>
        <w:t>Accounting Policies, Changes in Accounting Estimates and Errors</w:t>
      </w:r>
      <w:r>
        <w:t>.</w:t>
      </w:r>
    </w:p>
  </w:footnote>
  <w:footnote w:id="11">
    <w:p w14:paraId="6017F972" w14:textId="77777777" w:rsidR="000A3347" w:rsidRPr="00605AA5" w:rsidRDefault="000A3347" w:rsidP="00504B9F">
      <w:pPr>
        <w:pStyle w:val="FootnoteText"/>
        <w:rPr>
          <w:i/>
        </w:rPr>
      </w:pPr>
      <w:r w:rsidRPr="00605AA5">
        <w:rPr>
          <w:rStyle w:val="FootnoteReference"/>
          <w:szCs w:val="16"/>
          <w:vertAlign w:val="baseline"/>
        </w:rPr>
        <w:footnoteRef/>
      </w:r>
      <w:r w:rsidRPr="00605AA5">
        <w:tab/>
      </w:r>
      <w:r>
        <w:t>Corresponding</w:t>
      </w:r>
      <w:r w:rsidRPr="00605AA5">
        <w:t xml:space="preserve"> AASB Standards:</w:t>
      </w:r>
    </w:p>
    <w:p w14:paraId="12C96647" w14:textId="063EFC25" w:rsidR="000A3347" w:rsidRPr="00605AA5" w:rsidRDefault="000A3347" w:rsidP="00504B9F">
      <w:pPr>
        <w:pStyle w:val="FootnoteText"/>
      </w:pPr>
      <w:r w:rsidRPr="00605AA5">
        <w:tab/>
        <w:t xml:space="preserve">AASB 7 </w:t>
      </w:r>
      <w:r w:rsidRPr="00984C89">
        <w:rPr>
          <w:i/>
          <w:iCs/>
        </w:rPr>
        <w:t>Financial Instruments: Disclosures</w:t>
      </w:r>
      <w:r>
        <w:t>;</w:t>
      </w:r>
    </w:p>
    <w:p w14:paraId="53657FCB" w14:textId="449B6805" w:rsidR="000A3347" w:rsidRPr="00605AA5" w:rsidRDefault="000A3347" w:rsidP="00504B9F">
      <w:pPr>
        <w:pStyle w:val="FootnoteText"/>
      </w:pPr>
      <w:r w:rsidRPr="00605AA5">
        <w:tab/>
        <w:t xml:space="preserve">AASB 9 </w:t>
      </w:r>
      <w:r w:rsidRPr="00984C89">
        <w:rPr>
          <w:i/>
          <w:iCs/>
        </w:rPr>
        <w:t>Financial Instruments</w:t>
      </w:r>
      <w:r w:rsidRPr="000C7D04">
        <w:t>;</w:t>
      </w:r>
      <w:r>
        <w:t xml:space="preserve"> and</w:t>
      </w:r>
    </w:p>
    <w:p w14:paraId="77E46BF4" w14:textId="0B4C09CB" w:rsidR="000A3347" w:rsidRPr="00705992" w:rsidRDefault="000A3347" w:rsidP="00504B9F">
      <w:pPr>
        <w:pStyle w:val="FootnoteText"/>
      </w:pPr>
      <w:r w:rsidRPr="00605AA5">
        <w:tab/>
        <w:t xml:space="preserve">AASB 139 </w:t>
      </w:r>
      <w:r w:rsidRPr="00984C89">
        <w:rPr>
          <w:i/>
          <w:iCs/>
        </w:rPr>
        <w:t>Financial Instruments: Recognition and Measurement</w:t>
      </w:r>
      <w:r w:rsidRPr="000F0693">
        <w:t>.</w:t>
      </w:r>
    </w:p>
  </w:footnote>
  <w:footnote w:id="12">
    <w:p w14:paraId="5C63419F" w14:textId="7A4D49A3" w:rsidR="000A3347" w:rsidRPr="003C05A4" w:rsidRDefault="000A3347" w:rsidP="00504B9F">
      <w:pPr>
        <w:pStyle w:val="FootnoteText"/>
      </w:pPr>
      <w:r w:rsidRPr="003C05A4">
        <w:rPr>
          <w:rStyle w:val="FootnoteReference"/>
          <w:szCs w:val="16"/>
          <w:vertAlign w:val="baseline"/>
        </w:rPr>
        <w:footnoteRef/>
      </w:r>
      <w:r w:rsidRPr="003C05A4">
        <w:tab/>
      </w:r>
      <w:r>
        <w:t>Corresponding</w:t>
      </w:r>
      <w:r w:rsidRPr="003C05A4">
        <w:t xml:space="preserve"> AASB Standards:</w:t>
      </w:r>
    </w:p>
    <w:p w14:paraId="66D96187" w14:textId="17BC2A59" w:rsidR="000A3347" w:rsidRPr="003C05A4" w:rsidRDefault="000A3347" w:rsidP="00504B9F">
      <w:pPr>
        <w:pStyle w:val="FootnoteText"/>
      </w:pPr>
      <w:r w:rsidRPr="003C05A4">
        <w:tab/>
        <w:t xml:space="preserve">AASB 7 </w:t>
      </w:r>
      <w:r w:rsidRPr="00984C89">
        <w:rPr>
          <w:i/>
          <w:iCs/>
        </w:rPr>
        <w:t>Financial Instruments: Disclosures</w:t>
      </w:r>
      <w:r w:rsidRPr="00A42D8D">
        <w:t>;</w:t>
      </w:r>
    </w:p>
    <w:p w14:paraId="3C7F600B" w14:textId="10069E70" w:rsidR="000A3347" w:rsidRPr="003C05A4" w:rsidRDefault="000A3347" w:rsidP="00504B9F">
      <w:pPr>
        <w:pStyle w:val="FootnoteText"/>
      </w:pPr>
      <w:r w:rsidRPr="003C05A4">
        <w:tab/>
        <w:t xml:space="preserve">AASB </w:t>
      </w:r>
      <w:r w:rsidRPr="000F0693">
        <w:t xml:space="preserve">9 </w:t>
      </w:r>
      <w:r w:rsidRPr="00984C89">
        <w:rPr>
          <w:i/>
          <w:iCs/>
        </w:rPr>
        <w:t>Financial Instruments</w:t>
      </w:r>
      <w:r w:rsidRPr="00A42D8D">
        <w:t>;</w:t>
      </w:r>
      <w:r>
        <w:t xml:space="preserve"> and</w:t>
      </w:r>
    </w:p>
    <w:p w14:paraId="7D946454" w14:textId="357C6CF3" w:rsidR="000A3347" w:rsidRPr="003C05A4" w:rsidRDefault="000A3347" w:rsidP="00504B9F">
      <w:pPr>
        <w:pStyle w:val="FootnoteText"/>
      </w:pPr>
      <w:r w:rsidRPr="003C05A4">
        <w:tab/>
        <w:t xml:space="preserve">AASB 139 </w:t>
      </w:r>
      <w:r w:rsidRPr="00984C89">
        <w:rPr>
          <w:i/>
          <w:iCs/>
        </w:rPr>
        <w:t>Financial Instruments: Recognition and Measurement</w:t>
      </w:r>
      <w:r w:rsidRPr="00FD3ABE">
        <w:t>.</w:t>
      </w:r>
    </w:p>
  </w:footnote>
  <w:footnote w:id="13">
    <w:p w14:paraId="40D9DEA8" w14:textId="020EDBA5" w:rsidR="000A3347" w:rsidRPr="003C05A4" w:rsidRDefault="000A3347" w:rsidP="00504B9F">
      <w:pPr>
        <w:pStyle w:val="FootnoteText"/>
      </w:pPr>
      <w:r w:rsidRPr="003C05A4">
        <w:rPr>
          <w:rStyle w:val="FootnoteReference"/>
          <w:szCs w:val="16"/>
          <w:vertAlign w:val="baseline"/>
        </w:rPr>
        <w:footnoteRef/>
      </w:r>
      <w:r w:rsidRPr="003C05A4">
        <w:tab/>
      </w:r>
      <w:r>
        <w:t>Corresponding</w:t>
      </w:r>
      <w:r w:rsidRPr="003C05A4">
        <w:t xml:space="preserve"> AASB Standard: AASB 102 </w:t>
      </w:r>
      <w:r w:rsidRPr="003C05A4">
        <w:rPr>
          <w:i/>
        </w:rPr>
        <w:t>Inventories</w:t>
      </w:r>
      <w:r w:rsidRPr="00FD3ABE">
        <w:t>.</w:t>
      </w:r>
    </w:p>
  </w:footnote>
  <w:footnote w:id="14">
    <w:p w14:paraId="013F9B7E" w14:textId="0F0CEBF0" w:rsidR="000A3347" w:rsidRPr="003C05A4" w:rsidRDefault="000A3347" w:rsidP="00504B9F">
      <w:pPr>
        <w:pStyle w:val="FootnoteText"/>
      </w:pPr>
      <w:r w:rsidRPr="003C05A4">
        <w:rPr>
          <w:rStyle w:val="FootnoteReference"/>
          <w:szCs w:val="16"/>
          <w:vertAlign w:val="baseline"/>
        </w:rPr>
        <w:footnoteRef/>
      </w:r>
      <w:r w:rsidRPr="003C05A4">
        <w:tab/>
      </w:r>
      <w:r>
        <w:t>Corresponding</w:t>
      </w:r>
      <w:r w:rsidRPr="003C05A4">
        <w:t xml:space="preserve"> AASB Standards:</w:t>
      </w:r>
    </w:p>
    <w:p w14:paraId="003CD6B1" w14:textId="1A2417F6" w:rsidR="000A3347" w:rsidRPr="003C05A4" w:rsidRDefault="000A3347" w:rsidP="00504B9F">
      <w:pPr>
        <w:pStyle w:val="FootnoteText"/>
      </w:pPr>
      <w:r w:rsidRPr="003C05A4">
        <w:tab/>
        <w:t xml:space="preserve">AASB 12 </w:t>
      </w:r>
      <w:r w:rsidRPr="00984C89">
        <w:rPr>
          <w:i/>
          <w:iCs/>
        </w:rPr>
        <w:t>Disclosure of Interests in Other Entities</w:t>
      </w:r>
      <w:r w:rsidRPr="000E5A17">
        <w:t>;</w:t>
      </w:r>
      <w:r>
        <w:t xml:space="preserve"> and</w:t>
      </w:r>
    </w:p>
    <w:p w14:paraId="3904F455" w14:textId="45D86F5C" w:rsidR="000A3347" w:rsidRPr="00605AA5" w:rsidRDefault="000A3347" w:rsidP="00504B9F">
      <w:pPr>
        <w:pStyle w:val="FootnoteText"/>
      </w:pPr>
      <w:r w:rsidRPr="003C05A4">
        <w:tab/>
        <w:t xml:space="preserve">AASB 128 </w:t>
      </w:r>
      <w:r w:rsidRPr="00984C89">
        <w:rPr>
          <w:i/>
          <w:iCs/>
        </w:rPr>
        <w:t>Investments in Associates and Joint Ventures</w:t>
      </w:r>
      <w:r w:rsidRPr="00C54654">
        <w:t>.</w:t>
      </w:r>
    </w:p>
  </w:footnote>
  <w:footnote w:id="15">
    <w:p w14:paraId="0E1E306B" w14:textId="7DC402FE"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Standards: </w:t>
      </w:r>
    </w:p>
    <w:p w14:paraId="3734242E" w14:textId="414D8828" w:rsidR="000A3347" w:rsidRPr="00605AA5" w:rsidRDefault="000A3347" w:rsidP="00504B9F">
      <w:pPr>
        <w:pStyle w:val="FootnoteText"/>
      </w:pPr>
      <w:r w:rsidRPr="00605AA5">
        <w:tab/>
        <w:t xml:space="preserve">AASB 11 </w:t>
      </w:r>
      <w:r w:rsidRPr="00984C89">
        <w:rPr>
          <w:i/>
          <w:iCs/>
        </w:rPr>
        <w:t>Joint Arrangements</w:t>
      </w:r>
      <w:r w:rsidRPr="00ED15D4">
        <w:t>;</w:t>
      </w:r>
    </w:p>
    <w:p w14:paraId="665CD219" w14:textId="15F54E32" w:rsidR="000A3347" w:rsidRPr="00605AA5" w:rsidRDefault="000A3347" w:rsidP="00504B9F">
      <w:pPr>
        <w:pStyle w:val="FootnoteText"/>
      </w:pPr>
      <w:r w:rsidRPr="00605AA5">
        <w:tab/>
        <w:t xml:space="preserve">AASB 128 </w:t>
      </w:r>
      <w:r w:rsidRPr="00984C89">
        <w:rPr>
          <w:i/>
          <w:iCs/>
        </w:rPr>
        <w:t>Investments in Associates and Joint Ventures</w:t>
      </w:r>
      <w:r w:rsidRPr="00ED15D4">
        <w:t>;</w:t>
      </w:r>
      <w:r>
        <w:t xml:space="preserve"> and</w:t>
      </w:r>
    </w:p>
    <w:p w14:paraId="11F4FDAC" w14:textId="5F7CE7EF" w:rsidR="000A3347" w:rsidRDefault="000A3347" w:rsidP="00504B9F">
      <w:pPr>
        <w:pStyle w:val="FootnoteText"/>
      </w:pPr>
      <w:r w:rsidRPr="00605AA5">
        <w:tab/>
        <w:t xml:space="preserve">AASB 12 </w:t>
      </w:r>
      <w:r w:rsidRPr="00984C89">
        <w:rPr>
          <w:i/>
          <w:iCs/>
        </w:rPr>
        <w:t>Disclosure of Interests in Other Entities</w:t>
      </w:r>
      <w:r w:rsidRPr="00ED15D4">
        <w:t>.</w:t>
      </w:r>
    </w:p>
  </w:footnote>
  <w:footnote w:id="16">
    <w:p w14:paraId="7EB47B3C" w14:textId="63B3D2F1"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140 </w:t>
      </w:r>
      <w:r w:rsidRPr="00605AA5">
        <w:rPr>
          <w:i/>
        </w:rPr>
        <w:t>Investment Property</w:t>
      </w:r>
      <w:r w:rsidRPr="00ED15D4">
        <w:t>.</w:t>
      </w:r>
    </w:p>
  </w:footnote>
  <w:footnote w:id="17">
    <w:p w14:paraId="064DAA46" w14:textId="77777777" w:rsidR="000A3347"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w:t>
      </w:r>
      <w:r>
        <w:t>s</w:t>
      </w:r>
      <w:r w:rsidRPr="00605AA5">
        <w:t xml:space="preserve">: </w:t>
      </w:r>
    </w:p>
    <w:p w14:paraId="6CE89F23" w14:textId="7F205A41" w:rsidR="000A3347" w:rsidRDefault="000A3347" w:rsidP="00984C89">
      <w:pPr>
        <w:pStyle w:val="FootnoteText"/>
        <w:ind w:left="567"/>
      </w:pPr>
      <w:r w:rsidRPr="00605AA5">
        <w:t xml:space="preserve">AASB 116 </w:t>
      </w:r>
      <w:r w:rsidRPr="00984C89">
        <w:rPr>
          <w:i/>
          <w:iCs/>
        </w:rPr>
        <w:t>Property, Plant and Equipment</w:t>
      </w:r>
      <w:r w:rsidRPr="004A167B">
        <w:t>:</w:t>
      </w:r>
      <w:r>
        <w:t xml:space="preserve"> and</w:t>
      </w:r>
    </w:p>
    <w:p w14:paraId="3CA8899D" w14:textId="0F57453C" w:rsidR="000A3347" w:rsidRPr="004A167B" w:rsidRDefault="000A3347" w:rsidP="00984C89">
      <w:pPr>
        <w:pStyle w:val="FootnoteText"/>
        <w:ind w:left="567"/>
      </w:pPr>
      <w:r w:rsidRPr="004A167B">
        <w:t xml:space="preserve">AASB 140 </w:t>
      </w:r>
      <w:r w:rsidRPr="00984C89">
        <w:rPr>
          <w:i/>
          <w:iCs/>
        </w:rPr>
        <w:t>Investment Property</w:t>
      </w:r>
      <w:r>
        <w:t>.</w:t>
      </w:r>
    </w:p>
  </w:footnote>
  <w:footnote w:id="18">
    <w:p w14:paraId="332DE2C0" w14:textId="79E124A3"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138 </w:t>
      </w:r>
      <w:r w:rsidRPr="00605AA5">
        <w:rPr>
          <w:i/>
        </w:rPr>
        <w:t>Intangible Assets</w:t>
      </w:r>
      <w:r w:rsidRPr="00303CBB">
        <w:t>.</w:t>
      </w:r>
    </w:p>
  </w:footnote>
  <w:footnote w:id="19">
    <w:p w14:paraId="02609BEC" w14:textId="1013DF55"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3 </w:t>
      </w:r>
      <w:r w:rsidRPr="00605AA5">
        <w:rPr>
          <w:i/>
        </w:rPr>
        <w:t>Business Combinations</w:t>
      </w:r>
      <w:r w:rsidRPr="00535271">
        <w:t>.</w:t>
      </w:r>
    </w:p>
  </w:footnote>
  <w:footnote w:id="20">
    <w:p w14:paraId="4F4A5ABD" w14:textId="2C9F5CDD"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16 </w:t>
      </w:r>
      <w:r w:rsidRPr="00605AA5">
        <w:rPr>
          <w:i/>
        </w:rPr>
        <w:t>Leases</w:t>
      </w:r>
      <w:r w:rsidRPr="007560FE">
        <w:t>.</w:t>
      </w:r>
    </w:p>
  </w:footnote>
  <w:footnote w:id="21">
    <w:p w14:paraId="7287F2BB" w14:textId="281A721C" w:rsidR="000A3347" w:rsidRPr="00605AA5" w:rsidRDefault="000A3347" w:rsidP="00504B9F">
      <w:pPr>
        <w:pStyle w:val="FootnoteText"/>
      </w:pPr>
      <w:r w:rsidRPr="00605AA5">
        <w:rPr>
          <w:rStyle w:val="FootnoteReference"/>
          <w:szCs w:val="16"/>
          <w:vertAlign w:val="baseline"/>
        </w:rPr>
        <w:footnoteRef/>
      </w:r>
      <w:r w:rsidRPr="00605AA5">
        <w:rPr>
          <w:szCs w:val="16"/>
        </w:rPr>
        <w:tab/>
      </w:r>
      <w:r>
        <w:rPr>
          <w:szCs w:val="16"/>
        </w:rPr>
        <w:t>Corresponding</w:t>
      </w:r>
      <w:r w:rsidRPr="00605AA5">
        <w:rPr>
          <w:szCs w:val="16"/>
        </w:rPr>
        <w:t xml:space="preserve"> AASB Standard: </w:t>
      </w:r>
      <w:r w:rsidRPr="00605AA5">
        <w:t xml:space="preserve">AASB 137 </w:t>
      </w:r>
      <w:r w:rsidRPr="00984C89">
        <w:rPr>
          <w:i/>
          <w:iCs/>
        </w:rPr>
        <w:t>Provisions, Contingent Liabilities and Contingent Assets</w:t>
      </w:r>
      <w:r w:rsidRPr="00BA6E03">
        <w:t>.</w:t>
      </w:r>
    </w:p>
  </w:footnote>
  <w:footnote w:id="22">
    <w:p w14:paraId="64FCE639" w14:textId="6BDAB373" w:rsidR="000A3347"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15</w:t>
      </w:r>
      <w:r w:rsidRPr="00605AA5">
        <w:rPr>
          <w:i/>
        </w:rPr>
        <w:t xml:space="preserve"> Revenue from Contracts with Customers</w:t>
      </w:r>
      <w:r w:rsidRPr="00C04C9D">
        <w:t>.</w:t>
      </w:r>
    </w:p>
  </w:footnote>
  <w:footnote w:id="23">
    <w:p w14:paraId="55190726" w14:textId="415BEFDF"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120 </w:t>
      </w:r>
      <w:r w:rsidRPr="00984C89">
        <w:rPr>
          <w:i/>
          <w:iCs/>
        </w:rPr>
        <w:t>Accounting for Government Grants and Disclosure of Government Assistance</w:t>
      </w:r>
      <w:r w:rsidRPr="00970093">
        <w:t>.</w:t>
      </w:r>
    </w:p>
  </w:footnote>
  <w:footnote w:id="24">
    <w:p w14:paraId="3C3432F8" w14:textId="5350C3CD"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123 </w:t>
      </w:r>
      <w:r w:rsidRPr="00605AA5">
        <w:rPr>
          <w:i/>
        </w:rPr>
        <w:t>Borrowing Costs</w:t>
      </w:r>
      <w:r w:rsidRPr="00EF64C4">
        <w:t>.</w:t>
      </w:r>
    </w:p>
  </w:footnote>
  <w:footnote w:id="25">
    <w:p w14:paraId="01858019" w14:textId="5C747B38" w:rsidR="000A3347"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2 </w:t>
      </w:r>
      <w:r w:rsidRPr="00605AA5">
        <w:rPr>
          <w:i/>
        </w:rPr>
        <w:t>Share-based Payment</w:t>
      </w:r>
      <w:r w:rsidRPr="00EF64C4">
        <w:t>.</w:t>
      </w:r>
    </w:p>
  </w:footnote>
  <w:footnote w:id="26">
    <w:p w14:paraId="79900177" w14:textId="33647B92"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Standards:</w:t>
      </w:r>
    </w:p>
    <w:p w14:paraId="24952FE3" w14:textId="2280360E" w:rsidR="000A3347" w:rsidRPr="00605AA5" w:rsidRDefault="000A3347" w:rsidP="00504B9F">
      <w:pPr>
        <w:pStyle w:val="FootnoteText"/>
      </w:pPr>
      <w:r w:rsidRPr="00605AA5">
        <w:tab/>
        <w:t xml:space="preserve">AASB 102 </w:t>
      </w:r>
      <w:r w:rsidRPr="0027324F">
        <w:rPr>
          <w:i/>
        </w:rPr>
        <w:t>Inventories</w:t>
      </w:r>
      <w:r w:rsidRPr="00FC57EB">
        <w:t>;</w:t>
      </w:r>
      <w:r w:rsidRPr="00605AA5">
        <w:t xml:space="preserve"> </w:t>
      </w:r>
    </w:p>
    <w:p w14:paraId="0A5AEE03" w14:textId="2BBA37D2" w:rsidR="000A3347" w:rsidRPr="00605AA5" w:rsidRDefault="000A3347" w:rsidP="00504B9F">
      <w:pPr>
        <w:pStyle w:val="FootnoteText"/>
      </w:pPr>
      <w:r w:rsidRPr="00605AA5">
        <w:tab/>
        <w:t xml:space="preserve">AASB 116 </w:t>
      </w:r>
      <w:r w:rsidRPr="00984C89">
        <w:rPr>
          <w:i/>
          <w:iCs/>
        </w:rPr>
        <w:t>Property, Plant, and Equipment</w:t>
      </w:r>
      <w:r>
        <w:t>;</w:t>
      </w:r>
      <w:r w:rsidRPr="00605AA5">
        <w:t xml:space="preserve"> </w:t>
      </w:r>
    </w:p>
    <w:p w14:paraId="5D6994B2" w14:textId="64A0F9C2" w:rsidR="000A3347" w:rsidRPr="00605AA5" w:rsidRDefault="000A3347" w:rsidP="00504B9F">
      <w:pPr>
        <w:pStyle w:val="FootnoteText"/>
      </w:pPr>
      <w:r w:rsidRPr="00605AA5">
        <w:tab/>
        <w:t xml:space="preserve">AASB 136 </w:t>
      </w:r>
      <w:r w:rsidRPr="00984C89">
        <w:rPr>
          <w:i/>
          <w:iCs/>
        </w:rPr>
        <w:t>Impairment of Assets</w:t>
      </w:r>
      <w:r>
        <w:t>;</w:t>
      </w:r>
      <w:r w:rsidRPr="00605AA5">
        <w:t xml:space="preserve"> and </w:t>
      </w:r>
    </w:p>
    <w:p w14:paraId="367A65EE" w14:textId="0E9A6763" w:rsidR="000A3347" w:rsidRPr="00605AA5" w:rsidRDefault="000A3347" w:rsidP="00504B9F">
      <w:pPr>
        <w:pStyle w:val="FootnoteText"/>
      </w:pPr>
      <w:r w:rsidRPr="00605AA5">
        <w:tab/>
        <w:t xml:space="preserve">AASB 138 </w:t>
      </w:r>
      <w:r w:rsidRPr="00984C89">
        <w:rPr>
          <w:i/>
          <w:iCs/>
        </w:rPr>
        <w:t>Intangible Assets</w:t>
      </w:r>
      <w:r>
        <w:t>.</w:t>
      </w:r>
    </w:p>
  </w:footnote>
  <w:footnote w:id="27">
    <w:p w14:paraId="10A51934" w14:textId="4828AF9D" w:rsidR="000A3347" w:rsidRDefault="000A3347" w:rsidP="00504B9F">
      <w:pPr>
        <w:pStyle w:val="FootnoteText"/>
      </w:pPr>
      <w:r w:rsidRPr="00605AA5">
        <w:rPr>
          <w:rStyle w:val="FootnoteReference"/>
          <w:szCs w:val="16"/>
          <w:vertAlign w:val="baseline"/>
        </w:rPr>
        <w:footnoteRef/>
      </w:r>
      <w:r w:rsidRPr="00605AA5">
        <w:t xml:space="preserve"> </w:t>
      </w:r>
      <w:r w:rsidRPr="00605AA5" w:rsidDel="005749D5">
        <w:tab/>
      </w:r>
      <w:r>
        <w:t>Corresponding</w:t>
      </w:r>
      <w:r w:rsidRPr="00605AA5">
        <w:t xml:space="preserve"> AASB Standard: AASB 119 </w:t>
      </w:r>
      <w:r w:rsidRPr="00605AA5">
        <w:rPr>
          <w:i/>
        </w:rPr>
        <w:t>Employee Benefits</w:t>
      </w:r>
      <w:r w:rsidRPr="005F1002">
        <w:t>.</w:t>
      </w:r>
    </w:p>
  </w:footnote>
  <w:footnote w:id="28">
    <w:p w14:paraId="28C4AD25" w14:textId="153ACECC"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112 </w:t>
      </w:r>
      <w:r w:rsidRPr="00605AA5">
        <w:rPr>
          <w:i/>
        </w:rPr>
        <w:t>Income Taxes</w:t>
      </w:r>
      <w:r>
        <w:t>.</w:t>
      </w:r>
    </w:p>
  </w:footnote>
  <w:footnote w:id="29">
    <w:p w14:paraId="1C332256" w14:textId="27453658"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121 </w:t>
      </w:r>
      <w:r w:rsidRPr="00984C89">
        <w:rPr>
          <w:i/>
          <w:iCs/>
        </w:rPr>
        <w:t>The Effects of Changes in Foreign Exchange Rates</w:t>
      </w:r>
      <w:r w:rsidRPr="00425378">
        <w:t>.</w:t>
      </w:r>
    </w:p>
  </w:footnote>
  <w:footnote w:id="30">
    <w:p w14:paraId="70B8F210" w14:textId="2542A317" w:rsidR="000A3347" w:rsidRPr="00605AA5" w:rsidRDefault="000A3347" w:rsidP="00504B9F">
      <w:pPr>
        <w:pStyle w:val="FootnoteText"/>
      </w:pPr>
      <w:r w:rsidRPr="00605AA5">
        <w:rPr>
          <w:rStyle w:val="FootnoteReference"/>
          <w:szCs w:val="16"/>
          <w:vertAlign w:val="baseline"/>
        </w:rPr>
        <w:footnoteRef/>
      </w:r>
      <w:r w:rsidRPr="00605AA5">
        <w:t xml:space="preserve"> </w:t>
      </w:r>
      <w:r w:rsidRPr="00605AA5">
        <w:tab/>
      </w:r>
      <w:r>
        <w:t>Corresponding</w:t>
      </w:r>
      <w:r w:rsidRPr="00605AA5">
        <w:t xml:space="preserve"> AASB Standard: AASB 129 </w:t>
      </w:r>
      <w:r w:rsidRPr="00984C89">
        <w:rPr>
          <w:i/>
          <w:iCs/>
        </w:rPr>
        <w:t>Financial Reporting in Hyperinflationary Economies</w:t>
      </w:r>
      <w:r w:rsidRPr="00714BB5">
        <w:t>.</w:t>
      </w:r>
    </w:p>
  </w:footnote>
  <w:footnote w:id="31">
    <w:p w14:paraId="022B5231" w14:textId="12215D52" w:rsidR="000A3347"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110 </w:t>
      </w:r>
      <w:r w:rsidRPr="00605AA5">
        <w:rPr>
          <w:i/>
        </w:rPr>
        <w:t>Events after the Reporting Period</w:t>
      </w:r>
      <w:r w:rsidRPr="001A6F7E">
        <w:t>.</w:t>
      </w:r>
    </w:p>
  </w:footnote>
  <w:footnote w:id="32">
    <w:p w14:paraId="52FCD760" w14:textId="757F826D"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124 </w:t>
      </w:r>
      <w:r w:rsidRPr="00605AA5">
        <w:rPr>
          <w:i/>
        </w:rPr>
        <w:t>Related Party Disclosures</w:t>
      </w:r>
      <w:r w:rsidRPr="00EE58BC">
        <w:t>.</w:t>
      </w:r>
    </w:p>
  </w:footnote>
  <w:footnote w:id="33">
    <w:p w14:paraId="20CF21ED" w14:textId="14E9B943" w:rsidR="000A3347" w:rsidRPr="00A07697" w:rsidRDefault="000A3347" w:rsidP="00504B9F">
      <w:pPr>
        <w:pStyle w:val="FootnoteText"/>
      </w:pPr>
      <w:r w:rsidRPr="00233F87">
        <w:rPr>
          <w:rStyle w:val="FootnoteReference"/>
          <w:szCs w:val="16"/>
          <w:vertAlign w:val="baseline"/>
        </w:rPr>
        <w:footnoteRef/>
      </w:r>
      <w:r>
        <w:t xml:space="preserve"> </w:t>
      </w:r>
      <w:r>
        <w:tab/>
      </w:r>
      <w:r w:rsidRPr="00D96FE5">
        <w:t xml:space="preserve">AASB 137 </w:t>
      </w:r>
      <w:r w:rsidRPr="00D96FE5">
        <w:rPr>
          <w:i/>
        </w:rPr>
        <w:t>Provisions, Contingent Liabilities and Contingent Assets</w:t>
      </w:r>
      <w:r w:rsidRPr="00D96FE5">
        <w:t xml:space="preserve"> defines executory contracts as contracts under which neither party has performed any of its obligations or both parties have partially performed their obligations to an equal extent.</w:t>
      </w:r>
    </w:p>
  </w:footnote>
  <w:footnote w:id="34">
    <w:p w14:paraId="48DF52D9" w14:textId="188CFCFE" w:rsidR="000A3347" w:rsidRPr="00605AA5"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141 </w:t>
      </w:r>
      <w:r w:rsidRPr="00605AA5">
        <w:rPr>
          <w:i/>
        </w:rPr>
        <w:t>Agriculture</w:t>
      </w:r>
      <w:r w:rsidRPr="00255AF8">
        <w:t>.</w:t>
      </w:r>
    </w:p>
  </w:footnote>
  <w:footnote w:id="35">
    <w:p w14:paraId="3A7A1890" w14:textId="29F43474" w:rsidR="000A3347" w:rsidRDefault="000A3347" w:rsidP="00504B9F">
      <w:pPr>
        <w:pStyle w:val="FootnoteText"/>
      </w:pPr>
      <w:r w:rsidRPr="00605AA5">
        <w:rPr>
          <w:rStyle w:val="FootnoteReference"/>
          <w:szCs w:val="16"/>
          <w:vertAlign w:val="baseline"/>
        </w:rPr>
        <w:footnoteRef/>
      </w:r>
      <w:r w:rsidRPr="00605AA5">
        <w:tab/>
      </w:r>
      <w:r>
        <w:t>Corresponding</w:t>
      </w:r>
      <w:r w:rsidRPr="00605AA5">
        <w:t xml:space="preserve"> AASB Standard: AASB 1 </w:t>
      </w:r>
      <w:r w:rsidRPr="00984C89">
        <w:rPr>
          <w:i/>
          <w:iCs/>
        </w:rPr>
        <w:t>First-time Adoption of Australian Accounting Standards</w:t>
      </w:r>
      <w:r w:rsidRPr="00255AF8">
        <w:t>.</w:t>
      </w:r>
    </w:p>
  </w:footnote>
  <w:footnote w:id="36">
    <w:p w14:paraId="450D4345" w14:textId="24E3CDCC" w:rsidR="007B2AC5" w:rsidRPr="008C07CB" w:rsidRDefault="007B2AC5" w:rsidP="00504B9F">
      <w:pPr>
        <w:pStyle w:val="FootnoteText"/>
      </w:pPr>
      <w:r w:rsidRPr="008C07CB">
        <w:rPr>
          <w:rStyle w:val="FootnoteReference"/>
          <w:szCs w:val="16"/>
          <w:vertAlign w:val="baseline"/>
        </w:rPr>
        <w:footnoteRef/>
      </w:r>
      <w:r w:rsidRPr="008C07CB">
        <w:t xml:space="preserve"> </w:t>
      </w:r>
      <w:r w:rsidRPr="008C07CB">
        <w:tab/>
        <w:t>Applies to government departments and other public sector entities that obtain part or all of their spending authority for the period from a parliamentary appropriation.</w:t>
      </w:r>
    </w:p>
  </w:footnote>
  <w:footnote w:id="37">
    <w:p w14:paraId="42935C9D" w14:textId="77777777" w:rsidR="007B2AC5" w:rsidRPr="008C07CB" w:rsidRDefault="007B2AC5" w:rsidP="00504B9F">
      <w:pPr>
        <w:pStyle w:val="FootnoteText"/>
        <w:rPr>
          <w:highlight w:val="yellow"/>
        </w:rPr>
      </w:pPr>
      <w:r w:rsidRPr="008C07CB">
        <w:rPr>
          <w:rStyle w:val="FootnoteReference"/>
          <w:szCs w:val="16"/>
          <w:vertAlign w:val="baseline"/>
        </w:rPr>
        <w:footnoteRef/>
      </w:r>
      <w:r w:rsidRPr="008C07CB">
        <w:t xml:space="preserve"> </w:t>
      </w:r>
      <w:r w:rsidRPr="008C07CB">
        <w:tab/>
        <w:t>AASB 1051 applies to general purpose financial statements of local governments, government departments and whole of governments, and financial statements of GGSs.</w:t>
      </w:r>
    </w:p>
  </w:footnote>
  <w:footnote w:id="38">
    <w:p w14:paraId="6D630FC7" w14:textId="77777777" w:rsidR="007B2AC5" w:rsidRPr="00E15418" w:rsidRDefault="007B2AC5" w:rsidP="00504B9F">
      <w:pPr>
        <w:pStyle w:val="FootnoteText"/>
      </w:pPr>
      <w:r w:rsidRPr="008C07CB">
        <w:rPr>
          <w:rStyle w:val="FootnoteReference"/>
          <w:szCs w:val="16"/>
          <w:vertAlign w:val="baseline"/>
        </w:rPr>
        <w:footnoteRef/>
      </w:r>
      <w:r w:rsidRPr="008C07CB">
        <w:t xml:space="preserve"> </w:t>
      </w:r>
      <w:r w:rsidRPr="008C07CB">
        <w:tab/>
        <w:t>AASB 1055 applies to whole of government general purpose financial statements of each government; financial statements of each government’s GGS; general purpose financial statements of each not-for-profit reporting entity within the GGS; and financial statements of each not-for-profit entity within the GGS that are, or are held out to be, general purpose financial statements.</w:t>
      </w:r>
    </w:p>
  </w:footnote>
  <w:footnote w:id="39">
    <w:p w14:paraId="790D1BF5" w14:textId="75A8EE82" w:rsidR="000A3347" w:rsidRPr="00E56911" w:rsidRDefault="000A3347" w:rsidP="00504B9F">
      <w:pPr>
        <w:pStyle w:val="FootnoteText"/>
        <w:rPr>
          <w:lang w:val="en-US"/>
        </w:rPr>
      </w:pPr>
      <w:r w:rsidRPr="00E56911">
        <w:rPr>
          <w:rStyle w:val="FootnoteReference"/>
          <w:szCs w:val="16"/>
          <w:vertAlign w:val="baseline"/>
        </w:rPr>
        <w:footnoteRef/>
      </w:r>
      <w:r w:rsidRPr="00E56911">
        <w:tab/>
      </w:r>
      <w:r>
        <w:t>Corresponding</w:t>
      </w:r>
      <w:r w:rsidRPr="00E56911">
        <w:t xml:space="preserve"> AASB Standard: AASB 1004 </w:t>
      </w:r>
      <w:r w:rsidRPr="00E56911">
        <w:rPr>
          <w:i/>
        </w:rPr>
        <w:t>Contributions</w:t>
      </w:r>
      <w:r>
        <w:rPr>
          <w:i/>
        </w:rPr>
        <w:t>.</w:t>
      </w:r>
    </w:p>
  </w:footnote>
  <w:footnote w:id="40">
    <w:p w14:paraId="42A4CB43" w14:textId="1953A89A" w:rsidR="000A3347" w:rsidRPr="00E56911" w:rsidRDefault="000A3347" w:rsidP="00504B9F">
      <w:pPr>
        <w:pStyle w:val="FootnoteText"/>
        <w:rPr>
          <w:lang w:val="en-US"/>
        </w:rPr>
      </w:pPr>
      <w:r w:rsidRPr="00E56911">
        <w:rPr>
          <w:rStyle w:val="FootnoteReference"/>
          <w:szCs w:val="16"/>
          <w:vertAlign w:val="baseline"/>
        </w:rPr>
        <w:footnoteRef/>
      </w:r>
      <w:r w:rsidRPr="00E56911">
        <w:tab/>
      </w:r>
      <w:r>
        <w:t>Corresponding</w:t>
      </w:r>
      <w:r w:rsidRPr="00E56911">
        <w:t xml:space="preserve"> AASB Standard: AASB 1004 </w:t>
      </w:r>
      <w:r w:rsidRPr="00E56911">
        <w:rPr>
          <w:i/>
        </w:rPr>
        <w:t>Contributions</w:t>
      </w:r>
      <w:r w:rsidRPr="00960D76">
        <w:t>.</w:t>
      </w:r>
    </w:p>
  </w:footnote>
  <w:footnote w:id="41">
    <w:p w14:paraId="06F6896F" w14:textId="118F7F74" w:rsidR="000A3347" w:rsidRPr="00E56911" w:rsidRDefault="000A3347" w:rsidP="00504B9F">
      <w:pPr>
        <w:pStyle w:val="FootnoteText"/>
        <w:rPr>
          <w:lang w:val="en-US"/>
        </w:rPr>
      </w:pPr>
      <w:r w:rsidRPr="00E56911">
        <w:rPr>
          <w:rStyle w:val="FootnoteReference"/>
          <w:szCs w:val="16"/>
          <w:vertAlign w:val="baseline"/>
        </w:rPr>
        <w:footnoteRef/>
      </w:r>
      <w:r w:rsidRPr="00E56911">
        <w:tab/>
      </w:r>
      <w:r>
        <w:t>Corresponding</w:t>
      </w:r>
      <w:r w:rsidRPr="00E56911">
        <w:t xml:space="preserve"> AASB Standard: AASB 1050 </w:t>
      </w:r>
      <w:r w:rsidRPr="00E56911">
        <w:rPr>
          <w:i/>
        </w:rPr>
        <w:t>Administered Items</w:t>
      </w:r>
      <w:r w:rsidRPr="00960D76">
        <w:t>.</w:t>
      </w:r>
    </w:p>
  </w:footnote>
  <w:footnote w:id="42">
    <w:p w14:paraId="3B030B84" w14:textId="49193C23" w:rsidR="000A3347" w:rsidRPr="00E56911" w:rsidRDefault="000A3347" w:rsidP="00504B9F">
      <w:pPr>
        <w:pStyle w:val="FootnoteText"/>
        <w:rPr>
          <w:lang w:val="en-US"/>
        </w:rPr>
      </w:pPr>
      <w:r w:rsidRPr="00E56911">
        <w:rPr>
          <w:rStyle w:val="FootnoteReference"/>
          <w:szCs w:val="16"/>
          <w:vertAlign w:val="baseline"/>
        </w:rPr>
        <w:footnoteRef/>
      </w:r>
      <w:r w:rsidRPr="00E56911">
        <w:tab/>
      </w:r>
      <w:r>
        <w:t>Corresponding</w:t>
      </w:r>
      <w:r w:rsidRPr="00E56911">
        <w:t xml:space="preserve"> AASB Standard: AASB 1051 </w:t>
      </w:r>
      <w:r w:rsidRPr="00E56911">
        <w:rPr>
          <w:i/>
        </w:rPr>
        <w:t>Land Under Roads</w:t>
      </w:r>
      <w:r w:rsidRPr="00960D76">
        <w:t>.</w:t>
      </w:r>
    </w:p>
  </w:footnote>
  <w:footnote w:id="43">
    <w:p w14:paraId="7EDD9686" w14:textId="6824F0FD" w:rsidR="000A3347" w:rsidRPr="00102233" w:rsidRDefault="000A3347" w:rsidP="00504B9F">
      <w:pPr>
        <w:pStyle w:val="FootnoteText"/>
        <w:rPr>
          <w:lang w:val="en-US"/>
        </w:rPr>
      </w:pPr>
      <w:r w:rsidRPr="00E56911">
        <w:rPr>
          <w:rStyle w:val="FootnoteReference"/>
          <w:szCs w:val="16"/>
          <w:vertAlign w:val="baseline"/>
        </w:rPr>
        <w:footnoteRef/>
      </w:r>
      <w:r w:rsidRPr="00E56911">
        <w:tab/>
      </w:r>
      <w:r>
        <w:t>Corresponding</w:t>
      </w:r>
      <w:r w:rsidRPr="00E56911">
        <w:t xml:space="preserve"> AASB Standard: AASB 1055 </w:t>
      </w:r>
      <w:r w:rsidRPr="00E56911">
        <w:rPr>
          <w:i/>
        </w:rPr>
        <w:t>Budgetary Reporting</w:t>
      </w:r>
      <w:r w:rsidRPr="00960D76">
        <w:t>.</w:t>
      </w:r>
    </w:p>
  </w:footnote>
  <w:footnote w:id="44">
    <w:p w14:paraId="15E48F23" w14:textId="42BF2FB7" w:rsidR="000A3347" w:rsidRPr="00605AA5" w:rsidRDefault="000A3347" w:rsidP="00504B9F">
      <w:pPr>
        <w:pStyle w:val="FootnoteText"/>
        <w:rPr>
          <w:lang w:val="en-US"/>
        </w:rPr>
      </w:pPr>
      <w:r w:rsidRPr="00605AA5">
        <w:rPr>
          <w:rStyle w:val="FootnoteReference"/>
          <w:szCs w:val="16"/>
          <w:vertAlign w:val="baseline"/>
        </w:rPr>
        <w:footnoteRef/>
      </w:r>
      <w:r w:rsidRPr="00605AA5">
        <w:tab/>
      </w:r>
      <w:r>
        <w:t>Corresponding</w:t>
      </w:r>
      <w:r w:rsidRPr="00605AA5">
        <w:t xml:space="preserve"> AASB Standard: AASB 1058 </w:t>
      </w:r>
      <w:r w:rsidRPr="00605AA5">
        <w:rPr>
          <w:i/>
        </w:rPr>
        <w:t>Income of Not-for-Profit Entities</w:t>
      </w:r>
      <w:r w:rsidRPr="00DB483E">
        <w:t>.</w:t>
      </w:r>
    </w:p>
  </w:footnote>
  <w:footnote w:id="45">
    <w:p w14:paraId="7C540050" w14:textId="7534A982" w:rsidR="000A3347" w:rsidRPr="00605AA5" w:rsidRDefault="000A3347" w:rsidP="00504B9F">
      <w:pPr>
        <w:pStyle w:val="FootnoteText"/>
        <w:rPr>
          <w:lang w:val="en-US"/>
        </w:rPr>
      </w:pPr>
      <w:r w:rsidRPr="00605AA5">
        <w:rPr>
          <w:rStyle w:val="FootnoteReference"/>
          <w:szCs w:val="16"/>
          <w:vertAlign w:val="baseline"/>
        </w:rPr>
        <w:footnoteRef/>
      </w:r>
      <w:r w:rsidRPr="00605AA5">
        <w:tab/>
      </w:r>
      <w:r>
        <w:t>Corresponding</w:t>
      </w:r>
      <w:r w:rsidRPr="00605AA5">
        <w:t xml:space="preserve"> AASB Standard: AASB 1059 </w:t>
      </w:r>
      <w:r w:rsidRPr="00984C89">
        <w:rPr>
          <w:i/>
          <w:iCs/>
        </w:rPr>
        <w:t>Service Concession Arrangements: Grantors</w:t>
      </w:r>
      <w:r w:rsidRPr="00425378">
        <w:t>.</w:t>
      </w:r>
    </w:p>
  </w:footnote>
  <w:footnote w:id="46">
    <w:p w14:paraId="2F1F8DBD" w14:textId="77777777" w:rsidR="000A3347" w:rsidRPr="00C51DB3" w:rsidRDefault="000A3347" w:rsidP="00504B9F">
      <w:pPr>
        <w:pStyle w:val="FootnoteText"/>
      </w:pPr>
      <w:r w:rsidRPr="00C51DB3">
        <w:rPr>
          <w:rStyle w:val="FootnoteReference"/>
          <w:szCs w:val="16"/>
          <w:vertAlign w:val="baseline"/>
        </w:rPr>
        <w:footnoteRef/>
      </w:r>
      <w:r w:rsidRPr="00C51DB3">
        <w:tab/>
        <w:t>Definition of IFRSs amended after the name changes introduced by the revised Constitution of the IFRS Foundation in 2010.</w:t>
      </w:r>
    </w:p>
  </w:footnote>
  <w:footnote w:id="47">
    <w:p w14:paraId="062F285A" w14:textId="5992CACE" w:rsidR="000A3347" w:rsidRPr="00605AA5" w:rsidRDefault="000A3347" w:rsidP="00504B9F">
      <w:pPr>
        <w:pStyle w:val="FootnoteText"/>
      </w:pPr>
      <w:r w:rsidRPr="00605AA5">
        <w:rPr>
          <w:rStyle w:val="FootnoteReference"/>
          <w:szCs w:val="16"/>
          <w:vertAlign w:val="baseline"/>
        </w:rPr>
        <w:footnoteRef/>
      </w:r>
      <w:r w:rsidRPr="00605AA5">
        <w:tab/>
        <w:t xml:space="preserve">In </w:t>
      </w:r>
      <w:r>
        <w:t>January 2020</w:t>
      </w:r>
      <w:r w:rsidRPr="00605AA5">
        <w:t xml:space="preserve">, the IASB </w:t>
      </w:r>
      <w:r>
        <w:t xml:space="preserve">moved its </w:t>
      </w:r>
      <w:r w:rsidRPr="00832ADB">
        <w:rPr>
          <w:i/>
        </w:rPr>
        <w:t xml:space="preserve">Disclosure Initiative </w:t>
      </w:r>
      <w:r w:rsidR="004E102D">
        <w:rPr>
          <w:i/>
        </w:rPr>
        <w:t>–</w:t>
      </w:r>
      <w:r w:rsidRPr="00832ADB">
        <w:rPr>
          <w:i/>
        </w:rPr>
        <w:t xml:space="preserve"> Subsidiaries that are SMEs</w:t>
      </w:r>
      <w:r w:rsidRPr="00605AA5">
        <w:t xml:space="preserve"> </w:t>
      </w:r>
      <w:r>
        <w:t xml:space="preserve">project to the standard-setting programme. </w:t>
      </w:r>
      <w:r w:rsidRPr="00605AA5">
        <w:t xml:space="preserve">The objective of the project is to develop a </w:t>
      </w:r>
      <w:r>
        <w:t xml:space="preserve">reduced disclosure IFRS Standard that would apply on a voluntary basis to </w:t>
      </w:r>
      <w:r w:rsidRPr="00605AA5">
        <w:t xml:space="preserve">subsidiaries that </w:t>
      </w:r>
      <w:r>
        <w:t xml:space="preserve">do not have public accountability. </w:t>
      </w:r>
    </w:p>
  </w:footnote>
  <w:footnote w:id="48">
    <w:p w14:paraId="5A2BC283" w14:textId="77777777" w:rsidR="000A3347" w:rsidRPr="00822983" w:rsidRDefault="000A3347" w:rsidP="00504B9F">
      <w:pPr>
        <w:pStyle w:val="FootnoteText"/>
      </w:pPr>
      <w:r w:rsidRPr="00605AA5">
        <w:rPr>
          <w:rStyle w:val="FootnoteReference"/>
          <w:szCs w:val="16"/>
          <w:vertAlign w:val="baseline"/>
        </w:rPr>
        <w:footnoteRef/>
      </w:r>
      <w:r w:rsidRPr="00605AA5">
        <w:tab/>
        <w:t xml:space="preserve">AASB 1053 </w:t>
      </w:r>
      <w:r w:rsidRPr="00CC4D38">
        <w:rPr>
          <w:i/>
          <w:iCs/>
        </w:rPr>
        <w:t>Application of Tiers of Australian Accounting Standards</w:t>
      </w:r>
      <w:r w:rsidRPr="00605AA5">
        <w:t>, paragraphs 11-13</w:t>
      </w:r>
    </w:p>
  </w:footnote>
  <w:footnote w:id="49">
    <w:p w14:paraId="5BD1EFCF" w14:textId="5319B499" w:rsidR="000A3347" w:rsidRPr="004044ED" w:rsidRDefault="000A3347" w:rsidP="00504B9F">
      <w:pPr>
        <w:pStyle w:val="FootnoteText"/>
      </w:pPr>
      <w:r w:rsidRPr="004044ED">
        <w:rPr>
          <w:rStyle w:val="FootnoteReference"/>
          <w:szCs w:val="16"/>
          <w:vertAlign w:val="baseline"/>
        </w:rPr>
        <w:footnoteRef/>
      </w:r>
      <w:r w:rsidRPr="004044ED">
        <w:tab/>
        <w:t xml:space="preserve">See </w:t>
      </w:r>
      <w:r w:rsidRPr="00832ADB">
        <w:t xml:space="preserve">AASB Staff </w:t>
      </w:r>
      <w:r w:rsidRPr="00454A6B">
        <w:rPr>
          <w:i/>
          <w:iCs/>
        </w:rPr>
        <w:t>Paper Enhancing the revised Conceptual Framework and replacing Special Purpose Financial Statements – For-profit User and Preparer Survey Results</w:t>
      </w:r>
      <w:r>
        <w:t>.</w:t>
      </w:r>
    </w:p>
  </w:footnote>
  <w:footnote w:id="50">
    <w:p w14:paraId="1FE9B856" w14:textId="77777777" w:rsidR="000A3347" w:rsidRPr="00605AA5" w:rsidRDefault="000A3347" w:rsidP="00504B9F">
      <w:pPr>
        <w:pStyle w:val="FootnoteText"/>
      </w:pPr>
      <w:r w:rsidRPr="00605AA5">
        <w:rPr>
          <w:rStyle w:val="FootnoteReference"/>
          <w:szCs w:val="16"/>
          <w:vertAlign w:val="baseline"/>
        </w:rPr>
        <w:footnoteRef/>
      </w:r>
      <w:r w:rsidRPr="00605AA5">
        <w:tab/>
        <w:t xml:space="preserve">As per </w:t>
      </w:r>
      <w:r w:rsidRPr="00EE205A">
        <w:t>paragraph</w:t>
      </w:r>
      <w:r w:rsidRPr="00605AA5">
        <w:t xml:space="preserve"> BC14 of ED 277, the level of adoption among other types of companies, including large proprietary companies was very low – with the likely reason being that the general level of disclosure under Tier 2 was still viewed as burdensome. A research paper (Potter, B., Tanewski, G., and Wright, S., 2016, </w:t>
      </w:r>
      <w:r w:rsidRPr="00EA375D">
        <w:t>Financial Reporting by Private Companies in Australia: Current Practice and Opportunities for Research</w:t>
      </w:r>
      <w:r w:rsidRPr="00605AA5">
        <w:t>, paper presented at the AASB Research Forum, November 24 2016, Sydney) on the financial reporting practices by a sample of large proprietary companies in Australia lodging annual financial statements with ASIC identified that:</w:t>
      </w:r>
    </w:p>
    <w:p w14:paraId="64517070" w14:textId="15AAECF4" w:rsidR="000A3347" w:rsidRPr="00605AA5" w:rsidRDefault="000A3347" w:rsidP="004B0ADC">
      <w:pPr>
        <w:pStyle w:val="FootnoteText"/>
        <w:ind w:left="681" w:hanging="397"/>
      </w:pPr>
      <w:r w:rsidRPr="00605AA5">
        <w:t xml:space="preserve">(i) </w:t>
      </w:r>
      <w:r w:rsidRPr="00605AA5">
        <w:tab/>
        <w:t>less than 10 percent of the total sample use Tier 2 disclosures; and</w:t>
      </w:r>
    </w:p>
    <w:p w14:paraId="2353778B" w14:textId="5950F82C" w:rsidR="000A3347" w:rsidRPr="00605AA5" w:rsidRDefault="000A3347" w:rsidP="004B0ADC">
      <w:pPr>
        <w:pStyle w:val="FootnoteText"/>
        <w:ind w:left="681" w:hanging="397"/>
      </w:pPr>
      <w:r w:rsidRPr="00605AA5">
        <w:t xml:space="preserve">(ii) </w:t>
      </w:r>
      <w:r w:rsidRPr="00605AA5">
        <w:tab/>
        <w:t>of those large proprietary companies sampled that prepare GPFS, around 20 percent use Tier 2 disclosures.</w:t>
      </w:r>
    </w:p>
    <w:p w14:paraId="541DD6D4" w14:textId="77777777" w:rsidR="000A3347" w:rsidRDefault="000A3347" w:rsidP="004B0ADC">
      <w:pPr>
        <w:pStyle w:val="FootnoteText"/>
        <w:ind w:firstLine="0"/>
      </w:pPr>
      <w:r w:rsidRPr="00605AA5">
        <w:t xml:space="preserve">A subsequent analysis of financial reports of for-profit non-disclosing entities lodging financial statements with ASIC in 2018 confirmed that 71 percent of these entities were still lodging SPFS with ASIC, 13 percent lodged Tier 2 GPFS and 16 percent Tier 1. </w:t>
      </w:r>
    </w:p>
  </w:footnote>
  <w:footnote w:id="51">
    <w:p w14:paraId="17C759DC" w14:textId="63E9E266" w:rsidR="000A3347" w:rsidRPr="00605AA5" w:rsidRDefault="000A3347" w:rsidP="00504B9F">
      <w:pPr>
        <w:pStyle w:val="FootnoteText"/>
      </w:pPr>
      <w:r w:rsidRPr="00605AA5">
        <w:rPr>
          <w:rStyle w:val="FootnoteReference"/>
          <w:szCs w:val="16"/>
          <w:vertAlign w:val="baseline"/>
        </w:rPr>
        <w:footnoteRef/>
      </w:r>
      <w:r w:rsidRPr="00605AA5">
        <w:tab/>
        <w:t xml:space="preserve">The IASB was guided by the broad principles set out in </w:t>
      </w:r>
      <w:r>
        <w:t>paragraph</w:t>
      </w:r>
      <w:r w:rsidRPr="00605AA5">
        <w:t xml:space="preserve"> </w:t>
      </w:r>
      <w:r w:rsidRPr="00605AA5">
        <w:fldChar w:fldCharType="begin"/>
      </w:r>
      <w:r w:rsidRPr="00605AA5">
        <w:instrText xml:space="preserve"> REF _Ref8992108 \r \h  \* MERGEFORMAT </w:instrText>
      </w:r>
      <w:r w:rsidRPr="00605AA5">
        <w:fldChar w:fldCharType="separate"/>
      </w:r>
      <w:r w:rsidR="00454A6B">
        <w:t>BC41</w:t>
      </w:r>
      <w:r w:rsidRPr="00605AA5">
        <w:fldChar w:fldCharType="end"/>
      </w:r>
      <w:r w:rsidRPr="00605AA5">
        <w:t xml:space="preserve">, but also relied on the recommendations of a working group which undertook a comprehensive review of the disclosure proposals in the exposure draft, and the comments on those proposals in response to the exposure draft. In addition, the IASB received feedback from representatives of a number of German banks that lend extensively to small private entities and provided the IASB with a comprehensive report on disclosure needs from a bank lender’s perspective. See paragraphs BC44-BC47 and BC156-158 of the </w:t>
      </w:r>
      <w:r w:rsidRPr="00B60EAB">
        <w:rPr>
          <w:i/>
        </w:rPr>
        <w:t>IFRS for SMEs</w:t>
      </w:r>
      <w:r w:rsidRPr="00605AA5">
        <w:t xml:space="preserve"> Standard – Part B.</w:t>
      </w:r>
    </w:p>
  </w:footnote>
  <w:footnote w:id="52">
    <w:p w14:paraId="55CF1467" w14:textId="7D77DEDF" w:rsidR="000A3347" w:rsidRPr="00605AA5" w:rsidRDefault="000A3347" w:rsidP="00504B9F">
      <w:pPr>
        <w:pStyle w:val="FootnoteText"/>
        <w:rPr>
          <w:szCs w:val="16"/>
        </w:rPr>
      </w:pPr>
      <w:r w:rsidRPr="00605AA5">
        <w:rPr>
          <w:rStyle w:val="FootnoteReference"/>
          <w:szCs w:val="16"/>
          <w:vertAlign w:val="baseline"/>
        </w:rPr>
        <w:footnoteRef/>
      </w:r>
      <w:r w:rsidRPr="00605AA5">
        <w:rPr>
          <w:szCs w:val="16"/>
        </w:rPr>
        <w:tab/>
      </w:r>
      <w:r w:rsidRPr="00605AA5">
        <w:t xml:space="preserve">In considering the feedback received on ITC 39, the AASB noted in February 2019 that while a minority of respondents had asked the Board to consider the </w:t>
      </w:r>
      <w:r w:rsidRPr="00B60EAB">
        <w:rPr>
          <w:i/>
        </w:rPr>
        <w:t>IFRS for SMEs</w:t>
      </w:r>
      <w:r w:rsidRPr="00605AA5">
        <w:t xml:space="preserve"> Standard as an option or alternative for Tier 2 GPFS, these respondents did not provide any new arguments as to whether the </w:t>
      </w:r>
      <w:r w:rsidRPr="00B60EAB">
        <w:rPr>
          <w:i/>
        </w:rPr>
        <w:t>IFRS for SMEs</w:t>
      </w:r>
      <w:r w:rsidRPr="00605AA5">
        <w:t xml:space="preserve"> Standard would be preferable to full R&amp;M. The AASB further noted that the </w:t>
      </w:r>
      <w:r w:rsidRPr="00B60EAB">
        <w:rPr>
          <w:i/>
        </w:rPr>
        <w:t>IFRS for SMEs</w:t>
      </w:r>
      <w:r w:rsidRPr="00605AA5">
        <w:t xml:space="preserve"> Standard includes requirements for consolidated financial statements, deferred tax accounting, financial instruments accounting and related party disclosures that are not substantively different to full IFRS R&amp;M requirements. For these reasons, the AASB decided not to propose a Tier 2 GPFS framework with differential R&amp;M requirements as an option or alternative for Tier 2 GPFS for the for-profit sector. </w:t>
      </w:r>
      <w:r w:rsidRPr="006B7BDE">
        <w:t>Further discussion of the Board’s consideration on this matter is available in AASB 2020-2 paragraphs BC99−BC107</w:t>
      </w:r>
      <w:r w:rsidR="00D67980">
        <w:t>.</w:t>
      </w:r>
    </w:p>
  </w:footnote>
  <w:footnote w:id="53">
    <w:p w14:paraId="044E9833" w14:textId="77777777" w:rsidR="000A3347" w:rsidRPr="00605AA5" w:rsidRDefault="000A3347" w:rsidP="00504B9F">
      <w:pPr>
        <w:pStyle w:val="FootnoteText"/>
      </w:pPr>
      <w:r w:rsidRPr="00605AA5">
        <w:rPr>
          <w:rStyle w:val="FootnoteReference"/>
          <w:szCs w:val="16"/>
          <w:vertAlign w:val="baseline"/>
        </w:rPr>
        <w:footnoteRef/>
      </w:r>
      <w:r w:rsidRPr="00605AA5">
        <w:rPr>
          <w:szCs w:val="16"/>
        </w:rPr>
        <w:tab/>
      </w:r>
      <w:r w:rsidRPr="00605AA5">
        <w:t xml:space="preserve">As per </w:t>
      </w:r>
      <w:r>
        <w:t xml:space="preserve">paragraph </w:t>
      </w:r>
      <w:r w:rsidRPr="00605AA5">
        <w:t xml:space="preserve">BC46 of </w:t>
      </w:r>
      <w:r w:rsidRPr="00B60EAB">
        <w:rPr>
          <w:i/>
        </w:rPr>
        <w:t>IFRS for SMEs</w:t>
      </w:r>
      <w:r w:rsidRPr="00605AA5">
        <w:t xml:space="preserve"> Standard – Part B.</w:t>
      </w:r>
    </w:p>
  </w:footnote>
  <w:footnote w:id="54">
    <w:p w14:paraId="56319BC4" w14:textId="06183B25" w:rsidR="000A3347" w:rsidRPr="00F63A60" w:rsidRDefault="000A3347" w:rsidP="00504B9F">
      <w:pPr>
        <w:pStyle w:val="FootnoteText"/>
        <w:rPr>
          <w:lang w:val="en-US"/>
        </w:rPr>
      </w:pPr>
      <w:r w:rsidRPr="00605AA5">
        <w:rPr>
          <w:lang w:val="en-US"/>
        </w:rPr>
        <w:footnoteRef/>
      </w:r>
      <w:r w:rsidRPr="00605AA5">
        <w:rPr>
          <w:szCs w:val="16"/>
        </w:rPr>
        <w:tab/>
      </w:r>
      <w:r w:rsidRPr="00AE05AB">
        <w:rPr>
          <w:szCs w:val="16"/>
          <w:lang w:val="en-US"/>
        </w:rPr>
        <w:t xml:space="preserve">See </w:t>
      </w:r>
      <w:r w:rsidRPr="00AE05AB">
        <w:rPr>
          <w:szCs w:val="16"/>
        </w:rPr>
        <w:t>paragraph</w:t>
      </w:r>
      <w:r w:rsidRPr="00AE05AB">
        <w:rPr>
          <w:szCs w:val="16"/>
          <w:lang w:val="en-US"/>
        </w:rPr>
        <w:t xml:space="preserve"> BC157</w:t>
      </w:r>
      <w:r w:rsidRPr="00605AA5">
        <w:rPr>
          <w:lang w:val="en-US"/>
        </w:rPr>
        <w:t xml:space="preserve"> of </w:t>
      </w:r>
      <w:r w:rsidRPr="00B60EAB">
        <w:rPr>
          <w:i/>
          <w:lang w:val="en-US"/>
        </w:rPr>
        <w:t>IFRS for SMEs</w:t>
      </w:r>
      <w:r w:rsidRPr="00605AA5">
        <w:rPr>
          <w:lang w:val="en-US"/>
        </w:rPr>
        <w:t xml:space="preserve"> Standard – Part B</w:t>
      </w:r>
    </w:p>
  </w:footnote>
  <w:footnote w:id="55">
    <w:p w14:paraId="483193BB" w14:textId="01BF9345" w:rsidR="000A3347" w:rsidRPr="00605AA5" w:rsidRDefault="000A3347" w:rsidP="00504B9F">
      <w:pPr>
        <w:pStyle w:val="FootnoteText"/>
      </w:pPr>
      <w:r w:rsidRPr="00605AA5">
        <w:rPr>
          <w:rStyle w:val="FootnoteReference"/>
          <w:szCs w:val="16"/>
          <w:vertAlign w:val="baseline"/>
        </w:rPr>
        <w:footnoteRef/>
      </w:r>
      <w:r w:rsidRPr="00605AA5">
        <w:tab/>
        <w:t xml:space="preserve">See </w:t>
      </w:r>
      <w:r w:rsidRPr="005E3F17">
        <w:t>AASB Discussion Paper: Improving Financial Reporting for Australian Charities</w:t>
      </w:r>
    </w:p>
  </w:footnote>
  <w:footnote w:id="56">
    <w:p w14:paraId="30FD4B7F" w14:textId="2D81731E" w:rsidR="000A3347" w:rsidRDefault="000A3347" w:rsidP="00504B9F">
      <w:pPr>
        <w:pStyle w:val="FootnoteText"/>
      </w:pPr>
      <w:r w:rsidRPr="00605AA5">
        <w:rPr>
          <w:rStyle w:val="FootnoteReference"/>
          <w:szCs w:val="16"/>
          <w:vertAlign w:val="baseline"/>
        </w:rPr>
        <w:footnoteRef/>
      </w:r>
      <w:r w:rsidRPr="00605AA5">
        <w:tab/>
        <w:t xml:space="preserve">See </w:t>
      </w:r>
      <w:r w:rsidRPr="005E3F17">
        <w:t>AASB Discussion Paper: Improving Financial Reporting for Australian Public Sector</w:t>
      </w:r>
    </w:p>
  </w:footnote>
  <w:footnote w:id="57">
    <w:p w14:paraId="00460375" w14:textId="77777777" w:rsidR="000A3347" w:rsidRPr="00605AA5" w:rsidRDefault="000A3347" w:rsidP="00504B9F">
      <w:pPr>
        <w:pStyle w:val="FootnoteText"/>
      </w:pPr>
      <w:r w:rsidRPr="00605AA5">
        <w:rPr>
          <w:rStyle w:val="FootnoteReference"/>
          <w:szCs w:val="16"/>
          <w:vertAlign w:val="baseline"/>
        </w:rPr>
        <w:footnoteRef/>
      </w:r>
      <w:r w:rsidRPr="00605AA5">
        <w:tab/>
      </w:r>
      <w:r w:rsidRPr="00454A6B">
        <w:rPr>
          <w:i/>
          <w:iCs/>
        </w:rPr>
        <w:t>2015 Amendments to the IFRS for SMEs</w:t>
      </w:r>
      <w:r w:rsidRPr="00605AA5">
        <w:t xml:space="preserve">, </w:t>
      </w:r>
      <w:r w:rsidRPr="00FF2C05">
        <w:t>paragraph BC210</w:t>
      </w:r>
      <w:r w:rsidRPr="00605AA5">
        <w:t>-BC212</w:t>
      </w:r>
    </w:p>
  </w:footnote>
  <w:footnote w:id="58">
    <w:p w14:paraId="18FF5B73" w14:textId="77777777" w:rsidR="000A3347" w:rsidRDefault="000A3347" w:rsidP="00504B9F">
      <w:pPr>
        <w:pStyle w:val="FootnoteText"/>
      </w:pPr>
      <w:r w:rsidRPr="00605AA5">
        <w:rPr>
          <w:rStyle w:val="FootnoteReference"/>
          <w:szCs w:val="16"/>
          <w:vertAlign w:val="baseline"/>
        </w:rPr>
        <w:footnoteRef/>
      </w:r>
      <w:r w:rsidRPr="00605AA5">
        <w:tab/>
        <w:t xml:space="preserve">ED192 – Appendix C Analysis of Disclosure Requirements: </w:t>
      </w:r>
      <w:r w:rsidRPr="00454A6B">
        <w:rPr>
          <w:i/>
          <w:iCs/>
        </w:rPr>
        <w:t>Proposed Disclosures under RDR:</w:t>
      </w:r>
      <w:r w:rsidRPr="005E3F17">
        <w:t xml:space="preserve"> AASB 116 </w:t>
      </w:r>
      <w:r w:rsidRPr="00454A6B">
        <w:rPr>
          <w:i/>
          <w:iCs/>
        </w:rPr>
        <w:t>Property, Plant and Equipment</w:t>
      </w:r>
      <w:r w:rsidRPr="005E3F17">
        <w:t xml:space="preserve"> and </w:t>
      </w:r>
      <w:r w:rsidRPr="00454A6B">
        <w:rPr>
          <w:i/>
          <w:iCs/>
        </w:rPr>
        <w:t>IFRS for SMEs</w:t>
      </w:r>
      <w:r w:rsidRPr="005E3F17">
        <w:t xml:space="preserve"> Section </w:t>
      </w:r>
      <w:r w:rsidRPr="00454A6B">
        <w:t>17</w:t>
      </w:r>
      <w:r w:rsidRPr="00454A6B">
        <w:rPr>
          <w:i/>
          <w:iCs/>
        </w:rPr>
        <w:t xml:space="preserve"> Property, Plant and Equipment</w:t>
      </w:r>
    </w:p>
  </w:footnote>
  <w:footnote w:id="59">
    <w:p w14:paraId="17640A3F" w14:textId="77777777" w:rsidR="000A3347" w:rsidRPr="003B3D74" w:rsidRDefault="000A3347" w:rsidP="00504B9F">
      <w:pPr>
        <w:pStyle w:val="FootnoteText"/>
      </w:pPr>
      <w:r w:rsidRPr="00BA47E3">
        <w:rPr>
          <w:rStyle w:val="FootnoteReference"/>
          <w:szCs w:val="16"/>
          <w:vertAlign w:val="baseline"/>
        </w:rPr>
        <w:footnoteRef/>
      </w:r>
      <w:r>
        <w:tab/>
      </w:r>
      <w:r w:rsidRPr="003B3D74">
        <w:t>Coulton, J., C. Ruddock and S. Taylor, 2014, The Informativeness of Dividends and Associated Tax Credits, Journal of Business Finance and Accounting, Vol. 41, pp. 1309-1336</w:t>
      </w:r>
    </w:p>
  </w:footnote>
  <w:footnote w:id="60">
    <w:p w14:paraId="6BB5889D" w14:textId="2E973B96" w:rsidR="000A3347" w:rsidRDefault="000A3347" w:rsidP="00504B9F">
      <w:pPr>
        <w:pStyle w:val="FootnoteText"/>
      </w:pPr>
      <w:r w:rsidRPr="009D5AC9">
        <w:rPr>
          <w:rStyle w:val="FootnoteReference"/>
          <w:szCs w:val="16"/>
          <w:vertAlign w:val="baseline"/>
        </w:rPr>
        <w:footnoteRef/>
      </w:r>
      <w:r>
        <w:tab/>
      </w:r>
      <w:r w:rsidRPr="00B04EEF">
        <w:t xml:space="preserve">IASB Request for Information </w:t>
      </w:r>
      <w:r w:rsidRPr="00454A6B">
        <w:rPr>
          <w:i/>
          <w:iCs/>
        </w:rPr>
        <w:t>Comprehensive Review of the IFRS for SMEs Standard</w:t>
      </w:r>
      <w:r w:rsidRPr="009D5AC9">
        <w:rPr>
          <w:rFonts w:cstheme="minorHAnsi"/>
        </w:rPr>
        <w:t xml:space="preserve"> – 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A5A" w14:textId="2970DD32" w:rsidR="000A3347" w:rsidRDefault="000A3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416A" w14:textId="77777777" w:rsidR="000A3347" w:rsidRDefault="000A33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2714" w14:textId="77777777" w:rsidR="00866D65" w:rsidRPr="001412FB" w:rsidRDefault="00866D65" w:rsidP="00A4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A5D" w14:textId="77777777" w:rsidR="000A3347" w:rsidRPr="00CD263E" w:rsidRDefault="000A3347" w:rsidP="00646D1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4D4C" w14:textId="77777777" w:rsidR="000A3347" w:rsidRDefault="000A3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DD69" w14:textId="77777777" w:rsidR="000A3347" w:rsidRPr="00F751EE" w:rsidRDefault="000A3347" w:rsidP="00EA40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8454" w14:textId="77777777" w:rsidR="000A3347" w:rsidRDefault="000A33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5DB" w14:textId="77777777" w:rsidR="000A3347" w:rsidRDefault="000A33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6E5" w14:textId="77777777" w:rsidR="000A3347" w:rsidRDefault="000A33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A79C" w14:textId="77777777" w:rsidR="000A3347" w:rsidRDefault="000A33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FD4C" w14:textId="77777777" w:rsidR="000A3347" w:rsidRPr="00F751EE" w:rsidRDefault="000A3347" w:rsidP="0004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A2C0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4EB7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94F4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6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1816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ECEC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EE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60B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BE27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D63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76D"/>
    <w:multiLevelType w:val="hybridMultilevel"/>
    <w:tmpl w:val="5A5E564E"/>
    <w:lvl w:ilvl="0" w:tplc="82022B46">
      <w:start w:val="1"/>
      <w:numFmt w:val="lowerLetter"/>
      <w:lvlText w:val="(%1)"/>
      <w:lvlJc w:val="left"/>
      <w:pPr>
        <w:ind w:left="1287" w:hanging="360"/>
      </w:pPr>
      <w:rPr>
        <w:rFonts w:hint="default"/>
        <w:i w:val="0"/>
        <w:iCs w:val="0"/>
        <w:strike w:val="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00AD2181"/>
    <w:multiLevelType w:val="hybridMultilevel"/>
    <w:tmpl w:val="200E1FCE"/>
    <w:lvl w:ilvl="0" w:tplc="A91E7BA8">
      <w:start w:val="1"/>
      <w:numFmt w:val="lowerLetter"/>
      <w:lvlText w:val="(%1)"/>
      <w:lvlJc w:val="left"/>
      <w:pPr>
        <w:ind w:left="1142" w:hanging="360"/>
      </w:pPr>
      <w:rPr>
        <w:rFonts w:ascii="Times New Roman" w:hAnsi="Times New Roman" w:hint="default"/>
        <w:b w:val="0"/>
        <w:i w:val="0"/>
        <w:sz w:val="2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 w15:restartNumberingAfterBreak="0">
    <w:nsid w:val="00D10334"/>
    <w:multiLevelType w:val="hybridMultilevel"/>
    <w:tmpl w:val="0E66B10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 w15:restartNumberingAfterBreak="0">
    <w:nsid w:val="010D772E"/>
    <w:multiLevelType w:val="hybridMultilevel"/>
    <w:tmpl w:val="FCE20472"/>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4"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5" w15:restartNumberingAfterBreak="0">
    <w:nsid w:val="01B8225F"/>
    <w:multiLevelType w:val="hybridMultilevel"/>
    <w:tmpl w:val="867A7FB6"/>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024078D6"/>
    <w:multiLevelType w:val="hybridMultilevel"/>
    <w:tmpl w:val="D5D2736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7" w15:restartNumberingAfterBreak="0">
    <w:nsid w:val="02F81319"/>
    <w:multiLevelType w:val="hybridMultilevel"/>
    <w:tmpl w:val="D480D5AC"/>
    <w:lvl w:ilvl="0" w:tplc="B7E2D8EA">
      <w:start w:val="1"/>
      <w:numFmt w:val="lowerLetter"/>
      <w:lvlText w:val="(%1)"/>
      <w:lvlJc w:val="left"/>
      <w:pPr>
        <w:ind w:left="498" w:hanging="360"/>
      </w:pPr>
      <w:rPr>
        <w:rFonts w:ascii="Times New Roman" w:hAnsi="Times New Roman" w:hint="default"/>
        <w:b w:val="0"/>
        <w:bCs w:val="0"/>
        <w:i w:val="0"/>
        <w:caps w:val="0"/>
      </w:rPr>
    </w:lvl>
    <w:lvl w:ilvl="1" w:tplc="0C090019" w:tentative="1">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18" w15:restartNumberingAfterBreak="0">
    <w:nsid w:val="03404CD1"/>
    <w:multiLevelType w:val="hybridMultilevel"/>
    <w:tmpl w:val="64C2F668"/>
    <w:lvl w:ilvl="0" w:tplc="BF1C4BBC">
      <w:start w:val="1"/>
      <w:numFmt w:val="decimal"/>
      <w:lvlText w:val="BC%1"/>
      <w:lvlJc w:val="left"/>
      <w:pPr>
        <w:ind w:left="2062" w:hanging="360"/>
      </w:pPr>
      <w:rPr>
        <w:rFonts w:ascii="Times New Roman" w:hAnsi="Times New Roman" w:cs="Times New Roman" w:hint="default"/>
        <w:b w:val="0"/>
        <w:i w:val="0"/>
        <w:sz w:val="19"/>
        <w:szCs w:val="19"/>
        <w:u w:val="none"/>
      </w:rPr>
    </w:lvl>
    <w:lvl w:ilvl="1" w:tplc="069E4490">
      <w:start w:val="1"/>
      <w:numFmt w:val="lowerLetter"/>
      <w:lvlText w:val="(%2)"/>
      <w:lvlJc w:val="left"/>
      <w:pPr>
        <w:ind w:left="306" w:hanging="360"/>
      </w:pPr>
      <w:rPr>
        <w:rFonts w:ascii="Times New Roman" w:eastAsia="Times New Roman" w:hAnsi="Times New Roman" w:cs="Times New Roman" w:hint="default"/>
        <w:b w:val="0"/>
        <w:color w:val="auto"/>
        <w:sz w:val="19"/>
        <w:szCs w:val="19"/>
      </w:rPr>
    </w:lvl>
    <w:lvl w:ilvl="2" w:tplc="0C09001B">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9" w15:restartNumberingAfterBreak="0">
    <w:nsid w:val="03F92581"/>
    <w:multiLevelType w:val="multilevel"/>
    <w:tmpl w:val="AD5ABFF2"/>
    <w:numStyleLink w:val="AASBSubNumbers"/>
  </w:abstractNum>
  <w:abstractNum w:abstractNumId="20" w15:restartNumberingAfterBreak="0">
    <w:nsid w:val="042A5CDE"/>
    <w:multiLevelType w:val="hybridMultilevel"/>
    <w:tmpl w:val="1A20A536"/>
    <w:styleLink w:val="ImportedStyle4"/>
    <w:lvl w:ilvl="0" w:tplc="B53E7A90">
      <w:start w:val="1"/>
      <w:numFmt w:val="bullet"/>
      <w:lvlText w:val="-"/>
      <w:lvlJc w:val="left"/>
      <w:pPr>
        <w:ind w:left="15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0F84">
      <w:start w:val="1"/>
      <w:numFmt w:val="bullet"/>
      <w:lvlText w:val="o"/>
      <w:lvlJc w:val="left"/>
      <w:pPr>
        <w:ind w:left="22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2A44C">
      <w:start w:val="1"/>
      <w:numFmt w:val="bullet"/>
      <w:lvlText w:val="▪"/>
      <w:lvlJc w:val="left"/>
      <w:pPr>
        <w:ind w:left="29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827AC">
      <w:start w:val="1"/>
      <w:numFmt w:val="bullet"/>
      <w:lvlText w:val="•"/>
      <w:lvlJc w:val="left"/>
      <w:pPr>
        <w:ind w:left="36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BE1FA2">
      <w:start w:val="1"/>
      <w:numFmt w:val="bullet"/>
      <w:lvlText w:val="o"/>
      <w:lvlJc w:val="left"/>
      <w:pPr>
        <w:ind w:left="438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4E0A54">
      <w:start w:val="1"/>
      <w:numFmt w:val="bullet"/>
      <w:lvlText w:val="▪"/>
      <w:lvlJc w:val="left"/>
      <w:pPr>
        <w:ind w:left="51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869DC4">
      <w:start w:val="1"/>
      <w:numFmt w:val="bullet"/>
      <w:lvlText w:val="•"/>
      <w:lvlJc w:val="left"/>
      <w:pPr>
        <w:ind w:left="58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03E5C">
      <w:start w:val="1"/>
      <w:numFmt w:val="bullet"/>
      <w:lvlText w:val="o"/>
      <w:lvlJc w:val="left"/>
      <w:pPr>
        <w:ind w:left="65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8E6AEE">
      <w:start w:val="1"/>
      <w:numFmt w:val="bullet"/>
      <w:lvlText w:val="▪"/>
      <w:lvlJc w:val="left"/>
      <w:pPr>
        <w:ind w:left="72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3" w15:restartNumberingAfterBreak="0">
    <w:nsid w:val="050958B2"/>
    <w:multiLevelType w:val="multilevel"/>
    <w:tmpl w:val="0C545D6A"/>
    <w:lvl w:ilvl="0">
      <w:start w:val="1"/>
      <w:numFmt w:val="decimal"/>
      <w:lvlText w:val="C%1"/>
      <w:lvlJc w:val="left"/>
      <w:pPr>
        <w:ind w:left="782" w:hanging="782"/>
      </w:pPr>
      <w:rPr>
        <w:rFonts w:hint="default"/>
      </w:rPr>
    </w:lvl>
    <w:lvl w:ilvl="1">
      <w:start w:val="1"/>
      <w:numFmt w:val="lowerLetter"/>
      <w:lvlText w:val="(%2)"/>
      <w:lvlJc w:val="left"/>
      <w:pPr>
        <w:ind w:left="4186" w:hanging="783"/>
      </w:pPr>
      <w:rPr>
        <w:rFonts w:hint="default"/>
        <w:b w:val="0"/>
        <w:bCs/>
        <w:i w:val="0"/>
        <w:strike w:val="0"/>
        <w:u w:val="none"/>
      </w:rPr>
    </w:lvl>
    <w:lvl w:ilvl="2">
      <w:start w:val="1"/>
      <w:numFmt w:val="lowerRoman"/>
      <w:lvlText w:val="(%3)"/>
      <w:lvlJc w:val="left"/>
      <w:pPr>
        <w:ind w:left="2347" w:hanging="782"/>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4" w15:restartNumberingAfterBreak="0">
    <w:nsid w:val="0519480B"/>
    <w:multiLevelType w:val="hybridMultilevel"/>
    <w:tmpl w:val="03BC7BA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5" w15:restartNumberingAfterBreak="0">
    <w:nsid w:val="06871AF1"/>
    <w:multiLevelType w:val="hybridMultilevel"/>
    <w:tmpl w:val="32B0D906"/>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4C6C40FA">
      <w:start w:val="1"/>
      <w:numFmt w:val="decimal"/>
      <w:lvlText w:val="(%2)"/>
      <w:lvlJc w:val="left"/>
      <w:pPr>
        <w:ind w:left="3054" w:hanging="770"/>
      </w:pPr>
      <w:rPr>
        <w:rFonts w:hint="default"/>
      </w:r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6"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1F2E60"/>
    <w:multiLevelType w:val="hybridMultilevel"/>
    <w:tmpl w:val="CCDA5AF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8" w15:restartNumberingAfterBreak="0">
    <w:nsid w:val="08747AE8"/>
    <w:multiLevelType w:val="hybridMultilevel"/>
    <w:tmpl w:val="F80C6C8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9" w15:restartNumberingAfterBreak="0">
    <w:nsid w:val="08D16900"/>
    <w:multiLevelType w:val="hybridMultilevel"/>
    <w:tmpl w:val="CEB809C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0" w15:restartNumberingAfterBreak="0">
    <w:nsid w:val="09606B65"/>
    <w:multiLevelType w:val="multilevel"/>
    <w:tmpl w:val="EE9C98C8"/>
    <w:numStyleLink w:val="DNos"/>
  </w:abstractNum>
  <w:abstractNum w:abstractNumId="31" w15:restartNumberingAfterBreak="0">
    <w:nsid w:val="0D522286"/>
    <w:multiLevelType w:val="hybridMultilevel"/>
    <w:tmpl w:val="2ECEFD20"/>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0D912ABE"/>
    <w:multiLevelType w:val="hybridMultilevel"/>
    <w:tmpl w:val="C7049AAA"/>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0D9C4B9F"/>
    <w:multiLevelType w:val="hybridMultilevel"/>
    <w:tmpl w:val="D4BCCE4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4" w15:restartNumberingAfterBreak="0">
    <w:nsid w:val="0EF801D5"/>
    <w:multiLevelType w:val="hybridMultilevel"/>
    <w:tmpl w:val="D704403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5" w15:restartNumberingAfterBreak="0">
    <w:nsid w:val="0F346785"/>
    <w:multiLevelType w:val="hybridMultilevel"/>
    <w:tmpl w:val="4484D912"/>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pStyle w:val="NumBold4"/>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6" w15:restartNumberingAfterBreak="0">
    <w:nsid w:val="1081624E"/>
    <w:multiLevelType w:val="hybridMultilevel"/>
    <w:tmpl w:val="9EC0A0E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7" w15:restartNumberingAfterBreak="0">
    <w:nsid w:val="118B3A71"/>
    <w:multiLevelType w:val="hybridMultilevel"/>
    <w:tmpl w:val="7D24659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8" w15:restartNumberingAfterBreak="0">
    <w:nsid w:val="1361254A"/>
    <w:multiLevelType w:val="hybridMultilevel"/>
    <w:tmpl w:val="7E2E06E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9" w15:restartNumberingAfterBreak="0">
    <w:nsid w:val="13AF5D9C"/>
    <w:multiLevelType w:val="hybridMultilevel"/>
    <w:tmpl w:val="0554C72C"/>
    <w:lvl w:ilvl="0" w:tplc="A91E7BA8">
      <w:start w:val="1"/>
      <w:numFmt w:val="lowerLetter"/>
      <w:lvlText w:val="(%1)"/>
      <w:lvlJc w:val="left"/>
      <w:pPr>
        <w:ind w:left="-328" w:hanging="360"/>
      </w:pPr>
      <w:rPr>
        <w:rFonts w:ascii="Times New Roman" w:hAnsi="Times New Roman" w:hint="default"/>
        <w:b w:val="0"/>
        <w:i w:val="0"/>
        <w:sz w:val="20"/>
      </w:rPr>
    </w:lvl>
    <w:lvl w:ilvl="1" w:tplc="0C090019">
      <w:start w:val="1"/>
      <w:numFmt w:val="lowerLetter"/>
      <w:lvlText w:val="%2."/>
      <w:lvlJc w:val="left"/>
      <w:pPr>
        <w:ind w:left="392" w:hanging="360"/>
      </w:pPr>
    </w:lvl>
    <w:lvl w:ilvl="2" w:tplc="0C09001B">
      <w:start w:val="1"/>
      <w:numFmt w:val="lowerRoman"/>
      <w:lvlText w:val="%3."/>
      <w:lvlJc w:val="right"/>
      <w:pPr>
        <w:ind w:left="1112" w:hanging="180"/>
      </w:pPr>
    </w:lvl>
    <w:lvl w:ilvl="3" w:tplc="0C09000F">
      <w:start w:val="1"/>
      <w:numFmt w:val="decimal"/>
      <w:lvlText w:val="%4."/>
      <w:lvlJc w:val="left"/>
      <w:pPr>
        <w:ind w:left="1832" w:hanging="360"/>
      </w:pPr>
    </w:lvl>
    <w:lvl w:ilvl="4" w:tplc="0C090019">
      <w:start w:val="1"/>
      <w:numFmt w:val="lowerLetter"/>
      <w:lvlText w:val="%5."/>
      <w:lvlJc w:val="left"/>
      <w:pPr>
        <w:ind w:left="2552" w:hanging="360"/>
      </w:pPr>
    </w:lvl>
    <w:lvl w:ilvl="5" w:tplc="0C09001B">
      <w:start w:val="1"/>
      <w:numFmt w:val="lowerRoman"/>
      <w:lvlText w:val="%6."/>
      <w:lvlJc w:val="right"/>
      <w:pPr>
        <w:ind w:left="3272" w:hanging="180"/>
      </w:pPr>
    </w:lvl>
    <w:lvl w:ilvl="6" w:tplc="0C09000F" w:tentative="1">
      <w:start w:val="1"/>
      <w:numFmt w:val="decimal"/>
      <w:lvlText w:val="%7."/>
      <w:lvlJc w:val="left"/>
      <w:pPr>
        <w:ind w:left="3992" w:hanging="360"/>
      </w:pPr>
    </w:lvl>
    <w:lvl w:ilvl="7" w:tplc="0C090019" w:tentative="1">
      <w:start w:val="1"/>
      <w:numFmt w:val="lowerLetter"/>
      <w:lvlText w:val="%8."/>
      <w:lvlJc w:val="left"/>
      <w:pPr>
        <w:ind w:left="4712" w:hanging="360"/>
      </w:pPr>
    </w:lvl>
    <w:lvl w:ilvl="8" w:tplc="0C09001B" w:tentative="1">
      <w:start w:val="1"/>
      <w:numFmt w:val="lowerRoman"/>
      <w:lvlText w:val="%9."/>
      <w:lvlJc w:val="right"/>
      <w:pPr>
        <w:ind w:left="5432" w:hanging="180"/>
      </w:pPr>
    </w:lvl>
  </w:abstractNum>
  <w:abstractNum w:abstractNumId="40" w15:restartNumberingAfterBreak="0">
    <w:nsid w:val="15395B67"/>
    <w:multiLevelType w:val="hybridMultilevel"/>
    <w:tmpl w:val="B080D36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1" w15:restartNumberingAfterBreak="0">
    <w:nsid w:val="15662746"/>
    <w:multiLevelType w:val="hybridMultilevel"/>
    <w:tmpl w:val="9FBC60D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42" w15:restartNumberingAfterBreak="0">
    <w:nsid w:val="15A16749"/>
    <w:multiLevelType w:val="hybridMultilevel"/>
    <w:tmpl w:val="E4A4FB34"/>
    <w:lvl w:ilvl="0" w:tplc="43C0A668">
      <w:start w:val="1"/>
      <w:numFmt w:val="lowerLetter"/>
      <w:lvlText w:val="(%1)"/>
      <w:lvlJc w:val="left"/>
      <w:pPr>
        <w:ind w:left="1142" w:hanging="360"/>
      </w:pPr>
      <w:rPr>
        <w:rFont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3" w15:restartNumberingAfterBreak="0">
    <w:nsid w:val="15F16749"/>
    <w:multiLevelType w:val="hybridMultilevel"/>
    <w:tmpl w:val="695C56EA"/>
    <w:lvl w:ilvl="0" w:tplc="A91E7BA8">
      <w:start w:val="1"/>
      <w:numFmt w:val="lowerLetter"/>
      <w:lvlText w:val="(%1)"/>
      <w:lvlJc w:val="left"/>
      <w:pPr>
        <w:ind w:left="1142" w:hanging="360"/>
      </w:pPr>
      <w:rPr>
        <w:rFonts w:ascii="Times New Roman" w:hAnsi="Times New Roman" w:hint="default"/>
        <w:b w:val="0"/>
        <w:i w:val="0"/>
        <w:sz w:val="2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44" w15:restartNumberingAfterBreak="0">
    <w:nsid w:val="1640452F"/>
    <w:multiLevelType w:val="hybridMultilevel"/>
    <w:tmpl w:val="C96CB844"/>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5" w15:restartNumberingAfterBreak="0">
    <w:nsid w:val="17432B6A"/>
    <w:multiLevelType w:val="hybridMultilevel"/>
    <w:tmpl w:val="65562564"/>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6" w15:restartNumberingAfterBreak="0">
    <w:nsid w:val="17652FC3"/>
    <w:multiLevelType w:val="hybridMultilevel"/>
    <w:tmpl w:val="2F1478FA"/>
    <w:lvl w:ilvl="0" w:tplc="5E1CE822">
      <w:start w:val="1"/>
      <w:numFmt w:val="lowerRoman"/>
      <w:lvlText w:val="(%1)"/>
      <w:lvlJc w:val="left"/>
      <w:pPr>
        <w:ind w:left="1502"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47" w15:restartNumberingAfterBreak="0">
    <w:nsid w:val="17E01FCF"/>
    <w:multiLevelType w:val="hybridMultilevel"/>
    <w:tmpl w:val="22F476AE"/>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8" w15:restartNumberingAfterBreak="0">
    <w:nsid w:val="185B18E7"/>
    <w:multiLevelType w:val="hybridMultilevel"/>
    <w:tmpl w:val="F5DA669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9" w15:restartNumberingAfterBreak="0">
    <w:nsid w:val="189711E6"/>
    <w:multiLevelType w:val="hybridMultilevel"/>
    <w:tmpl w:val="D39E127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50" w15:restartNumberingAfterBreak="0">
    <w:nsid w:val="197967BF"/>
    <w:multiLevelType w:val="hybridMultilevel"/>
    <w:tmpl w:val="A19C7D1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51" w15:restartNumberingAfterBreak="0">
    <w:nsid w:val="19CF3DF4"/>
    <w:multiLevelType w:val="hybridMultilevel"/>
    <w:tmpl w:val="01F21F92"/>
    <w:lvl w:ilvl="0" w:tplc="759448C2">
      <w:start w:val="1"/>
      <w:numFmt w:val="decimal"/>
      <w:lvlText w:val="%1"/>
      <w:lvlJc w:val="left"/>
      <w:pPr>
        <w:ind w:left="720" w:hanging="360"/>
      </w:pPr>
      <w:rPr>
        <w:rFonts w:ascii="Times New Roman" w:hAnsi="Times New Roman" w:cs="Times New Roman" w:hint="default"/>
        <w:b w:val="0"/>
        <w:bCs/>
        <w:i w:val="0"/>
        <w:iCs/>
        <w:strike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EB0971"/>
    <w:multiLevelType w:val="hybridMultilevel"/>
    <w:tmpl w:val="AE7C3C14"/>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3" w15:restartNumberingAfterBreak="0">
    <w:nsid w:val="1A0140F6"/>
    <w:multiLevelType w:val="hybridMultilevel"/>
    <w:tmpl w:val="C99844A2"/>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54" w15:restartNumberingAfterBreak="0">
    <w:nsid w:val="1B181C69"/>
    <w:multiLevelType w:val="hybridMultilevel"/>
    <w:tmpl w:val="225ED074"/>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55" w15:restartNumberingAfterBreak="0">
    <w:nsid w:val="1B914705"/>
    <w:multiLevelType w:val="hybridMultilevel"/>
    <w:tmpl w:val="83D4E596"/>
    <w:lvl w:ilvl="0" w:tplc="5E1CE822">
      <w:start w:val="1"/>
      <w:numFmt w:val="lowerRoman"/>
      <w:lvlText w:val="(%1)"/>
      <w:lvlJc w:val="left"/>
      <w:pPr>
        <w:ind w:left="2285"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56" w15:restartNumberingAfterBreak="0">
    <w:nsid w:val="1DF60F25"/>
    <w:multiLevelType w:val="hybridMultilevel"/>
    <w:tmpl w:val="4D589866"/>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7" w15:restartNumberingAfterBreak="0">
    <w:nsid w:val="1E567BEB"/>
    <w:multiLevelType w:val="hybridMultilevel"/>
    <w:tmpl w:val="8684122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58" w15:restartNumberingAfterBreak="0">
    <w:nsid w:val="1E8922BB"/>
    <w:multiLevelType w:val="hybridMultilevel"/>
    <w:tmpl w:val="4DE0DBF8"/>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9" w15:restartNumberingAfterBreak="0">
    <w:nsid w:val="1F2039D6"/>
    <w:multiLevelType w:val="hybridMultilevel"/>
    <w:tmpl w:val="6ADC02B8"/>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0" w15:restartNumberingAfterBreak="0">
    <w:nsid w:val="1FC3467F"/>
    <w:multiLevelType w:val="hybridMultilevel"/>
    <w:tmpl w:val="7CBEEB1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1" w15:restartNumberingAfterBreak="0">
    <w:nsid w:val="20F93712"/>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2" w15:restartNumberingAfterBreak="0">
    <w:nsid w:val="21310EE8"/>
    <w:multiLevelType w:val="hybridMultilevel"/>
    <w:tmpl w:val="1EA6085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3" w15:restartNumberingAfterBreak="0">
    <w:nsid w:val="21F90475"/>
    <w:multiLevelType w:val="hybridMultilevel"/>
    <w:tmpl w:val="514ADE3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4" w15:restartNumberingAfterBreak="0">
    <w:nsid w:val="22217511"/>
    <w:multiLevelType w:val="hybridMultilevel"/>
    <w:tmpl w:val="B83ED69C"/>
    <w:styleLink w:val="Bullets"/>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5" w15:restartNumberingAfterBreak="0">
    <w:nsid w:val="22387181"/>
    <w:multiLevelType w:val="hybridMultilevel"/>
    <w:tmpl w:val="8402A98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6"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7" w15:restartNumberingAfterBreak="0">
    <w:nsid w:val="2349573E"/>
    <w:multiLevelType w:val="hybridMultilevel"/>
    <w:tmpl w:val="8146CB16"/>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8" w15:restartNumberingAfterBreak="0">
    <w:nsid w:val="23676B24"/>
    <w:multiLevelType w:val="hybridMultilevel"/>
    <w:tmpl w:val="28E2C61A"/>
    <w:lvl w:ilvl="0" w:tplc="6F0CA42E">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4E230EF"/>
    <w:multiLevelType w:val="hybridMultilevel"/>
    <w:tmpl w:val="FEA6B4B0"/>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24E64954"/>
    <w:multiLevelType w:val="multilevel"/>
    <w:tmpl w:val="03D68C70"/>
    <w:lvl w:ilvl="0">
      <w:start w:val="1"/>
      <w:numFmt w:val="decimal"/>
      <w:pStyle w:val="NumBC1"/>
      <w:lvlText w:val="BC%1"/>
      <w:lvlJc w:val="left"/>
      <w:pPr>
        <w:tabs>
          <w:tab w:val="num" w:pos="1191"/>
        </w:tabs>
        <w:ind w:left="1191" w:hanging="6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C2"/>
      <w:lvlText w:val="(%2)"/>
      <w:lvlJc w:val="left"/>
      <w:pPr>
        <w:tabs>
          <w:tab w:val="num" w:pos="1190"/>
        </w:tabs>
        <w:ind w:left="1190" w:hanging="62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1" w15:restartNumberingAfterBreak="0">
    <w:nsid w:val="27312DAE"/>
    <w:multiLevelType w:val="hybridMultilevel"/>
    <w:tmpl w:val="724071C2"/>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2" w15:restartNumberingAfterBreak="0">
    <w:nsid w:val="28807DAD"/>
    <w:multiLevelType w:val="hybridMultilevel"/>
    <w:tmpl w:val="4096286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73" w15:restartNumberingAfterBreak="0">
    <w:nsid w:val="28917591"/>
    <w:multiLevelType w:val="hybridMultilevel"/>
    <w:tmpl w:val="22D842C6"/>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74" w15:restartNumberingAfterBreak="0">
    <w:nsid w:val="29C64603"/>
    <w:multiLevelType w:val="hybridMultilevel"/>
    <w:tmpl w:val="3A52C91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75" w15:restartNumberingAfterBreak="0">
    <w:nsid w:val="29FF5E56"/>
    <w:multiLevelType w:val="hybridMultilevel"/>
    <w:tmpl w:val="9EC0A0E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76" w15:restartNumberingAfterBreak="0">
    <w:nsid w:val="2A0B2BC1"/>
    <w:multiLevelType w:val="hybridMultilevel"/>
    <w:tmpl w:val="A6DA9730"/>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7"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78"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9" w15:restartNumberingAfterBreak="0">
    <w:nsid w:val="2AF52353"/>
    <w:multiLevelType w:val="hybridMultilevel"/>
    <w:tmpl w:val="CB72852E"/>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0" w15:restartNumberingAfterBreak="0">
    <w:nsid w:val="2C723DD2"/>
    <w:multiLevelType w:val="hybridMultilevel"/>
    <w:tmpl w:val="BF7C881E"/>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81" w15:restartNumberingAfterBreak="0">
    <w:nsid w:val="2E384427"/>
    <w:multiLevelType w:val="hybridMultilevel"/>
    <w:tmpl w:val="28E2C61A"/>
    <w:lvl w:ilvl="0" w:tplc="6F0CA42E">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F4366BB"/>
    <w:multiLevelType w:val="hybridMultilevel"/>
    <w:tmpl w:val="A63E2ED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83" w15:restartNumberingAfterBreak="0">
    <w:nsid w:val="2F9B77E8"/>
    <w:multiLevelType w:val="hybridMultilevel"/>
    <w:tmpl w:val="9990A30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84" w15:restartNumberingAfterBreak="0">
    <w:nsid w:val="30044420"/>
    <w:multiLevelType w:val="hybridMultilevel"/>
    <w:tmpl w:val="66AE964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85"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87" w15:restartNumberingAfterBreak="0">
    <w:nsid w:val="314C61A7"/>
    <w:multiLevelType w:val="hybridMultilevel"/>
    <w:tmpl w:val="0CBE4C5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88" w15:restartNumberingAfterBreak="0">
    <w:nsid w:val="319E246F"/>
    <w:multiLevelType w:val="hybridMultilevel"/>
    <w:tmpl w:val="043A781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89" w15:restartNumberingAfterBreak="0">
    <w:nsid w:val="31AB2958"/>
    <w:multiLevelType w:val="hybridMultilevel"/>
    <w:tmpl w:val="888E362C"/>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0" w15:restartNumberingAfterBreak="0">
    <w:nsid w:val="328723AE"/>
    <w:multiLevelType w:val="hybridMultilevel"/>
    <w:tmpl w:val="03B48A5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1" w15:restartNumberingAfterBreak="0">
    <w:nsid w:val="32BF771F"/>
    <w:multiLevelType w:val="hybridMultilevel"/>
    <w:tmpl w:val="60D2DE0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2" w15:restartNumberingAfterBreak="0">
    <w:nsid w:val="3314426E"/>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3" w15:restartNumberingAfterBreak="0">
    <w:nsid w:val="3315589A"/>
    <w:multiLevelType w:val="hybridMultilevel"/>
    <w:tmpl w:val="BF8CEDD6"/>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4" w15:restartNumberingAfterBreak="0">
    <w:nsid w:val="334D532B"/>
    <w:multiLevelType w:val="hybridMultilevel"/>
    <w:tmpl w:val="9E6AC59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5" w15:restartNumberingAfterBreak="0">
    <w:nsid w:val="339B0D09"/>
    <w:multiLevelType w:val="multilevel"/>
    <w:tmpl w:val="60868EAC"/>
    <w:lvl w:ilvl="0">
      <w:start w:val="1"/>
      <w:numFmt w:val="decimal"/>
      <w:pStyle w:val="NumBPlain1"/>
      <w:lvlText w:val="B%1"/>
      <w:lvlJc w:val="left"/>
      <w:pPr>
        <w:tabs>
          <w:tab w:val="num" w:pos="782"/>
        </w:tabs>
        <w:ind w:left="782" w:hanging="782"/>
      </w:pPr>
      <w:rPr>
        <w:rFonts w:hint="default"/>
      </w:rPr>
    </w:lvl>
    <w:lvl w:ilvl="1">
      <w:start w:val="1"/>
      <w:numFmt w:val="lowerLetter"/>
      <w:pStyle w:val="NumBPlain2"/>
      <w:lvlText w:val="(%2)"/>
      <w:lvlJc w:val="left"/>
      <w:pPr>
        <w:ind w:left="782" w:firstLine="0"/>
      </w:pPr>
      <w:rPr>
        <w:rFonts w:hint="default"/>
      </w:rPr>
    </w:lvl>
    <w:lvl w:ilvl="2">
      <w:start w:val="1"/>
      <w:numFmt w:val="lowerRoman"/>
      <w:pStyle w:val="NumB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33D8325A"/>
    <w:multiLevelType w:val="hybridMultilevel"/>
    <w:tmpl w:val="C8C482E6"/>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7" w15:restartNumberingAfterBreak="0">
    <w:nsid w:val="34B83231"/>
    <w:multiLevelType w:val="hybridMultilevel"/>
    <w:tmpl w:val="75AE02A6"/>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98" w15:restartNumberingAfterBreak="0">
    <w:nsid w:val="35343F6D"/>
    <w:multiLevelType w:val="hybridMultilevel"/>
    <w:tmpl w:val="0966FD1A"/>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99" w15:restartNumberingAfterBreak="0">
    <w:nsid w:val="355A729D"/>
    <w:multiLevelType w:val="hybridMultilevel"/>
    <w:tmpl w:val="6AFEF526"/>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0" w15:restartNumberingAfterBreak="0">
    <w:nsid w:val="35901754"/>
    <w:multiLevelType w:val="hybridMultilevel"/>
    <w:tmpl w:val="32B0F864"/>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01" w15:restartNumberingAfterBreak="0">
    <w:nsid w:val="366C04E1"/>
    <w:multiLevelType w:val="hybridMultilevel"/>
    <w:tmpl w:val="D8BC3B2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2" w15:restartNumberingAfterBreak="0">
    <w:nsid w:val="36D30154"/>
    <w:multiLevelType w:val="hybridMultilevel"/>
    <w:tmpl w:val="1EAABC00"/>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3" w15:restartNumberingAfterBreak="0">
    <w:nsid w:val="39775606"/>
    <w:multiLevelType w:val="multilevel"/>
    <w:tmpl w:val="24B8349A"/>
    <w:numStyleLink w:val="AASBBullets"/>
  </w:abstractNum>
  <w:abstractNum w:abstractNumId="104" w15:restartNumberingAfterBreak="0">
    <w:nsid w:val="3A410C97"/>
    <w:multiLevelType w:val="hybridMultilevel"/>
    <w:tmpl w:val="3A52C91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5" w15:restartNumberingAfterBreak="0">
    <w:nsid w:val="3AA62310"/>
    <w:multiLevelType w:val="hybridMultilevel"/>
    <w:tmpl w:val="A5901AE4"/>
    <w:lvl w:ilvl="0" w:tplc="1EB6A6D2">
      <w:start w:val="1"/>
      <w:numFmt w:val="decimal"/>
      <w:lvlText w:val="(%1)"/>
      <w:lvlJc w:val="left"/>
      <w:pPr>
        <w:ind w:left="2707" w:hanging="360"/>
      </w:pPr>
      <w:rPr>
        <w:rFonts w:hint="default"/>
        <w:b w:val="0"/>
        <w:color w:val="auto"/>
        <w:sz w:val="19"/>
        <w:szCs w:val="19"/>
      </w:rPr>
    </w:lvl>
    <w:lvl w:ilvl="1" w:tplc="0C090019">
      <w:start w:val="1"/>
      <w:numFmt w:val="lowerLetter"/>
      <w:lvlText w:val="%2."/>
      <w:lvlJc w:val="left"/>
      <w:pPr>
        <w:ind w:left="3427" w:hanging="360"/>
      </w:pPr>
    </w:lvl>
    <w:lvl w:ilvl="2" w:tplc="0C09001B" w:tentative="1">
      <w:start w:val="1"/>
      <w:numFmt w:val="lowerRoman"/>
      <w:lvlText w:val="%3."/>
      <w:lvlJc w:val="right"/>
      <w:pPr>
        <w:ind w:left="4147" w:hanging="180"/>
      </w:pPr>
    </w:lvl>
    <w:lvl w:ilvl="3" w:tplc="0C09000F" w:tentative="1">
      <w:start w:val="1"/>
      <w:numFmt w:val="decimal"/>
      <w:lvlText w:val="%4."/>
      <w:lvlJc w:val="left"/>
      <w:pPr>
        <w:ind w:left="4867" w:hanging="360"/>
      </w:pPr>
    </w:lvl>
    <w:lvl w:ilvl="4" w:tplc="0C090019" w:tentative="1">
      <w:start w:val="1"/>
      <w:numFmt w:val="lowerLetter"/>
      <w:lvlText w:val="%5."/>
      <w:lvlJc w:val="left"/>
      <w:pPr>
        <w:ind w:left="5587" w:hanging="360"/>
      </w:pPr>
    </w:lvl>
    <w:lvl w:ilvl="5" w:tplc="0C09001B" w:tentative="1">
      <w:start w:val="1"/>
      <w:numFmt w:val="lowerRoman"/>
      <w:lvlText w:val="%6."/>
      <w:lvlJc w:val="right"/>
      <w:pPr>
        <w:ind w:left="6307" w:hanging="180"/>
      </w:pPr>
    </w:lvl>
    <w:lvl w:ilvl="6" w:tplc="0C09000F" w:tentative="1">
      <w:start w:val="1"/>
      <w:numFmt w:val="decimal"/>
      <w:lvlText w:val="%7."/>
      <w:lvlJc w:val="left"/>
      <w:pPr>
        <w:ind w:left="7027" w:hanging="360"/>
      </w:pPr>
    </w:lvl>
    <w:lvl w:ilvl="7" w:tplc="0C090019" w:tentative="1">
      <w:start w:val="1"/>
      <w:numFmt w:val="lowerLetter"/>
      <w:lvlText w:val="%8."/>
      <w:lvlJc w:val="left"/>
      <w:pPr>
        <w:ind w:left="7747" w:hanging="360"/>
      </w:pPr>
    </w:lvl>
    <w:lvl w:ilvl="8" w:tplc="0C09001B" w:tentative="1">
      <w:start w:val="1"/>
      <w:numFmt w:val="lowerRoman"/>
      <w:lvlText w:val="%9."/>
      <w:lvlJc w:val="right"/>
      <w:pPr>
        <w:ind w:left="8467" w:hanging="180"/>
      </w:pPr>
    </w:lvl>
  </w:abstractNum>
  <w:abstractNum w:abstractNumId="106" w15:restartNumberingAfterBreak="0">
    <w:nsid w:val="3C5A1A26"/>
    <w:multiLevelType w:val="hybridMultilevel"/>
    <w:tmpl w:val="AB36E1E4"/>
    <w:lvl w:ilvl="0" w:tplc="C172E3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3D0763E1"/>
    <w:multiLevelType w:val="hybridMultilevel"/>
    <w:tmpl w:val="E79E404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8" w15:restartNumberingAfterBreak="0">
    <w:nsid w:val="3EFB549E"/>
    <w:multiLevelType w:val="hybridMultilevel"/>
    <w:tmpl w:val="D09436C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9" w15:restartNumberingAfterBreak="0">
    <w:nsid w:val="3FB834BD"/>
    <w:multiLevelType w:val="hybridMultilevel"/>
    <w:tmpl w:val="F68CDC6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0" w15:restartNumberingAfterBreak="0">
    <w:nsid w:val="40B63AC1"/>
    <w:multiLevelType w:val="hybridMultilevel"/>
    <w:tmpl w:val="6FCC482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1" w15:restartNumberingAfterBreak="0">
    <w:nsid w:val="415D51E2"/>
    <w:multiLevelType w:val="hybridMultilevel"/>
    <w:tmpl w:val="335EFDE2"/>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2" w15:restartNumberingAfterBreak="0">
    <w:nsid w:val="423D52DC"/>
    <w:multiLevelType w:val="hybridMultilevel"/>
    <w:tmpl w:val="15780F96"/>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3" w15:restartNumberingAfterBreak="0">
    <w:nsid w:val="42D10E72"/>
    <w:multiLevelType w:val="multilevel"/>
    <w:tmpl w:val="FE5A6BA8"/>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312D01"/>
    <w:multiLevelType w:val="hybridMultilevel"/>
    <w:tmpl w:val="B6E27814"/>
    <w:lvl w:ilvl="0" w:tplc="11F4FEB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559360C"/>
    <w:multiLevelType w:val="hybridMultilevel"/>
    <w:tmpl w:val="65EEEBA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6" w15:restartNumberingAfterBreak="0">
    <w:nsid w:val="45CB4FFF"/>
    <w:multiLevelType w:val="hybridMultilevel"/>
    <w:tmpl w:val="580C300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7" w15:restartNumberingAfterBreak="0">
    <w:nsid w:val="45FE7594"/>
    <w:multiLevelType w:val="hybridMultilevel"/>
    <w:tmpl w:val="DAC6851E"/>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18"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46B976D7"/>
    <w:multiLevelType w:val="hybridMultilevel"/>
    <w:tmpl w:val="E4A4FB34"/>
    <w:lvl w:ilvl="0" w:tplc="43C0A668">
      <w:start w:val="1"/>
      <w:numFmt w:val="lowerLetter"/>
      <w:lvlText w:val="(%1)"/>
      <w:lvlJc w:val="left"/>
      <w:pPr>
        <w:ind w:left="1142" w:hanging="360"/>
      </w:pPr>
      <w:rPr>
        <w:rFont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20" w15:restartNumberingAfterBreak="0">
    <w:nsid w:val="48540CBE"/>
    <w:multiLevelType w:val="hybridMultilevel"/>
    <w:tmpl w:val="2A2C4E1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1" w15:restartNumberingAfterBreak="0">
    <w:nsid w:val="48F23C0C"/>
    <w:multiLevelType w:val="hybridMultilevel"/>
    <w:tmpl w:val="8B560ABA"/>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22" w15:restartNumberingAfterBreak="0">
    <w:nsid w:val="4A4C18DC"/>
    <w:multiLevelType w:val="hybridMultilevel"/>
    <w:tmpl w:val="B9906286"/>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3" w15:restartNumberingAfterBreak="0">
    <w:nsid w:val="4ACE77D3"/>
    <w:multiLevelType w:val="hybridMultilevel"/>
    <w:tmpl w:val="244606F4"/>
    <w:lvl w:ilvl="0" w:tplc="37947A6C">
      <w:start w:val="1"/>
      <w:numFmt w:val="lowerLetter"/>
      <w:lvlText w:val="(%1)"/>
      <w:lvlJc w:val="left"/>
      <w:pPr>
        <w:ind w:left="1182" w:hanging="6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4" w15:restartNumberingAfterBreak="0">
    <w:nsid w:val="4ADE63D9"/>
    <w:multiLevelType w:val="hybridMultilevel"/>
    <w:tmpl w:val="03B48A5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5" w15:restartNumberingAfterBreak="0">
    <w:nsid w:val="4AFD08C9"/>
    <w:multiLevelType w:val="hybridMultilevel"/>
    <w:tmpl w:val="85EAEDA0"/>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26" w15:restartNumberingAfterBreak="0">
    <w:nsid w:val="4B315111"/>
    <w:multiLevelType w:val="hybridMultilevel"/>
    <w:tmpl w:val="595EC47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7" w15:restartNumberingAfterBreak="0">
    <w:nsid w:val="4BA66F73"/>
    <w:multiLevelType w:val="hybridMultilevel"/>
    <w:tmpl w:val="DB0E4E7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28" w15:restartNumberingAfterBreak="0">
    <w:nsid w:val="4C203C93"/>
    <w:multiLevelType w:val="hybridMultilevel"/>
    <w:tmpl w:val="18EA2A1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29" w15:restartNumberingAfterBreak="0">
    <w:nsid w:val="4D9D4F73"/>
    <w:multiLevelType w:val="hybridMultilevel"/>
    <w:tmpl w:val="5A98D97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0" w15:restartNumberingAfterBreak="0">
    <w:nsid w:val="4DAE44FD"/>
    <w:multiLevelType w:val="hybridMultilevel"/>
    <w:tmpl w:val="BEAC540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1" w15:restartNumberingAfterBreak="0">
    <w:nsid w:val="4DCE2A7C"/>
    <w:multiLevelType w:val="hybridMultilevel"/>
    <w:tmpl w:val="3C04E23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2" w15:restartNumberingAfterBreak="0">
    <w:nsid w:val="4DD52CDD"/>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3" w15:restartNumberingAfterBreak="0">
    <w:nsid w:val="4E443C57"/>
    <w:multiLevelType w:val="hybridMultilevel"/>
    <w:tmpl w:val="3A4CEB2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4" w15:restartNumberingAfterBreak="0">
    <w:nsid w:val="502977D4"/>
    <w:multiLevelType w:val="hybridMultilevel"/>
    <w:tmpl w:val="9E826254"/>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5" w15:restartNumberingAfterBreak="0">
    <w:nsid w:val="512F2BDC"/>
    <w:multiLevelType w:val="hybridMultilevel"/>
    <w:tmpl w:val="8E3AE948"/>
    <w:styleLink w:val="ImportedStyle2"/>
    <w:lvl w:ilvl="0" w:tplc="15F814B2">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E0148">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4BED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22F08">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30A264">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60CA">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B48996">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633B2">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65FA6">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1C542DA"/>
    <w:multiLevelType w:val="hybridMultilevel"/>
    <w:tmpl w:val="AA809DCA"/>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7" w15:restartNumberingAfterBreak="0">
    <w:nsid w:val="51DB0F40"/>
    <w:multiLevelType w:val="hybridMultilevel"/>
    <w:tmpl w:val="7878006C"/>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38" w15:restartNumberingAfterBreak="0">
    <w:nsid w:val="530812F3"/>
    <w:multiLevelType w:val="multilevel"/>
    <w:tmpl w:val="7D721652"/>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9" w15:restartNumberingAfterBreak="0">
    <w:nsid w:val="53384E40"/>
    <w:multiLevelType w:val="hybridMultilevel"/>
    <w:tmpl w:val="882A2070"/>
    <w:lvl w:ilvl="0" w:tplc="A91E7BA8">
      <w:start w:val="1"/>
      <w:numFmt w:val="lowerLetter"/>
      <w:lvlText w:val="(%1)"/>
      <w:lvlJc w:val="left"/>
      <w:pPr>
        <w:ind w:left="1142" w:hanging="360"/>
      </w:pPr>
      <w:rPr>
        <w:rFonts w:ascii="Times New Roman" w:hAnsi="Times New Roman" w:hint="default"/>
        <w:b w:val="0"/>
        <w:i w:val="0"/>
        <w:sz w:val="2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0" w15:restartNumberingAfterBreak="0">
    <w:nsid w:val="546873E4"/>
    <w:multiLevelType w:val="hybridMultilevel"/>
    <w:tmpl w:val="82404268"/>
    <w:lvl w:ilvl="0" w:tplc="FBF8E164">
      <w:start w:val="1"/>
      <w:numFmt w:val="lowerLetter"/>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1" w15:restartNumberingAfterBreak="0">
    <w:nsid w:val="560D7123"/>
    <w:multiLevelType w:val="hybridMultilevel"/>
    <w:tmpl w:val="20E454B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2" w15:restartNumberingAfterBreak="0">
    <w:nsid w:val="56D56138"/>
    <w:multiLevelType w:val="hybridMultilevel"/>
    <w:tmpl w:val="E68C49AE"/>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43" w15:restartNumberingAfterBreak="0">
    <w:nsid w:val="577F7202"/>
    <w:multiLevelType w:val="hybridMultilevel"/>
    <w:tmpl w:val="0B227230"/>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4" w15:restartNumberingAfterBreak="0">
    <w:nsid w:val="57A47FD5"/>
    <w:multiLevelType w:val="hybridMultilevel"/>
    <w:tmpl w:val="DB365A1C"/>
    <w:styleLink w:val="ImportedStyle6"/>
    <w:lvl w:ilvl="0" w:tplc="49E68480">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C07BC">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9EFEF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0208F0">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8A358">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4448B2">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FD2E">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E2195A">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627C28">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7E536C8"/>
    <w:multiLevelType w:val="hybridMultilevel"/>
    <w:tmpl w:val="C88AE09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6" w15:restartNumberingAfterBreak="0">
    <w:nsid w:val="59722578"/>
    <w:multiLevelType w:val="hybridMultilevel"/>
    <w:tmpl w:val="BC3CDD7C"/>
    <w:lvl w:ilvl="0" w:tplc="611AB35C">
      <w:start w:val="1"/>
      <w:numFmt w:val="lowerLetter"/>
      <w:lvlText w:val="(%1)"/>
      <w:lvlJc w:val="left"/>
      <w:pPr>
        <w:ind w:left="1142" w:hanging="360"/>
      </w:pPr>
      <w:rPr>
        <w:rFonts w:ascii="Times New Roman" w:hAnsi="Times New Roman" w:hint="default"/>
        <w:b w:val="0"/>
        <w:i w:val="0"/>
        <w:strike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7" w15:restartNumberingAfterBreak="0">
    <w:nsid w:val="59FE2B15"/>
    <w:multiLevelType w:val="hybridMultilevel"/>
    <w:tmpl w:val="66BCB534"/>
    <w:lvl w:ilvl="0" w:tplc="C9E03108">
      <w:start w:val="1"/>
      <w:numFmt w:val="lowerLetter"/>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8" w15:restartNumberingAfterBreak="0">
    <w:nsid w:val="5B104AF5"/>
    <w:multiLevelType w:val="hybridMultilevel"/>
    <w:tmpl w:val="D3A4B0D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49" w15:restartNumberingAfterBreak="0">
    <w:nsid w:val="5BD8298C"/>
    <w:multiLevelType w:val="hybridMultilevel"/>
    <w:tmpl w:val="244606F4"/>
    <w:lvl w:ilvl="0" w:tplc="37947A6C">
      <w:start w:val="1"/>
      <w:numFmt w:val="lowerLetter"/>
      <w:lvlText w:val="(%1)"/>
      <w:lvlJc w:val="left"/>
      <w:pPr>
        <w:ind w:left="1182" w:hanging="6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0" w15:restartNumberingAfterBreak="0">
    <w:nsid w:val="5DB82A42"/>
    <w:multiLevelType w:val="hybridMultilevel"/>
    <w:tmpl w:val="D7B6FCBE"/>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1" w15:restartNumberingAfterBreak="0">
    <w:nsid w:val="5F0A4DA6"/>
    <w:multiLevelType w:val="hybridMultilevel"/>
    <w:tmpl w:val="5B203A58"/>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2" w15:restartNumberingAfterBreak="0">
    <w:nsid w:val="5F0F0B06"/>
    <w:multiLevelType w:val="hybridMultilevel"/>
    <w:tmpl w:val="0C1E358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53" w15:restartNumberingAfterBreak="0">
    <w:nsid w:val="5FB27497"/>
    <w:multiLevelType w:val="multilevel"/>
    <w:tmpl w:val="B358DEC6"/>
    <w:lvl w:ilvl="0">
      <w:start w:val="1"/>
      <w:numFmt w:val="decimal"/>
      <w:pStyle w:val="NumCPlain1"/>
      <w:lvlText w:val="C%1"/>
      <w:lvlJc w:val="left"/>
      <w:pPr>
        <w:tabs>
          <w:tab w:val="num" w:pos="782"/>
        </w:tabs>
        <w:ind w:left="782" w:hanging="782"/>
      </w:pPr>
      <w:rPr>
        <w:rFonts w:hint="default"/>
      </w:rPr>
    </w:lvl>
    <w:lvl w:ilvl="1">
      <w:start w:val="1"/>
      <w:numFmt w:val="lowerLetter"/>
      <w:pStyle w:val="NumCPlain2"/>
      <w:lvlText w:val="(%2)"/>
      <w:lvlJc w:val="left"/>
      <w:pPr>
        <w:ind w:left="782" w:firstLine="0"/>
      </w:pPr>
      <w:rPr>
        <w:rFonts w:hint="default"/>
      </w:rPr>
    </w:lvl>
    <w:lvl w:ilvl="2">
      <w:start w:val="1"/>
      <w:numFmt w:val="lowerRoman"/>
      <w:pStyle w:val="NumC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0086057"/>
    <w:multiLevelType w:val="multilevel"/>
    <w:tmpl w:val="30582CC4"/>
    <w:lvl w:ilvl="0">
      <w:start w:val="1"/>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782"/>
        </w:tabs>
        <w:ind w:left="1565"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04D3AED"/>
    <w:multiLevelType w:val="hybridMultilevel"/>
    <w:tmpl w:val="A99661F6"/>
    <w:lvl w:ilvl="0" w:tplc="7ECCCEC2">
      <w:start w:val="1"/>
      <w:numFmt w:val="lowerLetter"/>
      <w:lvlText w:val="(%1)"/>
      <w:lvlJc w:val="left"/>
      <w:pPr>
        <w:ind w:left="1287" w:hanging="360"/>
      </w:pPr>
      <w:rPr>
        <w:rFonts w:hint="default"/>
        <w:strike w:val="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6" w15:restartNumberingAfterBreak="0">
    <w:nsid w:val="610428C6"/>
    <w:multiLevelType w:val="hybridMultilevel"/>
    <w:tmpl w:val="91200364"/>
    <w:lvl w:ilvl="0" w:tplc="DF28B478">
      <w:start w:val="1"/>
      <w:numFmt w:val="decimal"/>
      <w:lvlText w:val="%1"/>
      <w:lvlJc w:val="left"/>
      <w:pPr>
        <w:ind w:left="2345" w:hanging="360"/>
      </w:pPr>
      <w:rPr>
        <w:rFonts w:ascii="Times New Roman" w:hAnsi="Times New Roman" w:cs="Times New Roman" w:hint="default"/>
        <w:b w:val="0"/>
        <w:i w:val="0"/>
        <w:iCs/>
        <w:strike w:val="0"/>
        <w:color w:val="auto"/>
        <w:sz w:val="19"/>
        <w:u w:val="none"/>
      </w:rPr>
    </w:lvl>
    <w:lvl w:ilvl="1" w:tplc="4F42F314">
      <w:start w:val="1"/>
      <w:numFmt w:val="lowerLetter"/>
      <w:lvlText w:val="(%2)"/>
      <w:lvlJc w:val="left"/>
      <w:pPr>
        <w:ind w:left="1500" w:hanging="78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7" w15:restartNumberingAfterBreak="0">
    <w:nsid w:val="61542243"/>
    <w:multiLevelType w:val="multilevel"/>
    <w:tmpl w:val="7ED89036"/>
    <w:lvl w:ilvl="0">
      <w:start w:val="1"/>
      <w:numFmt w:val="decimal"/>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37"/>
        </w:tabs>
        <w:ind w:left="937"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8" w15:restartNumberingAfterBreak="0">
    <w:nsid w:val="61AB1D66"/>
    <w:multiLevelType w:val="hybridMultilevel"/>
    <w:tmpl w:val="1EA6085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59" w15:restartNumberingAfterBreak="0">
    <w:nsid w:val="632A7EA5"/>
    <w:multiLevelType w:val="hybridMultilevel"/>
    <w:tmpl w:val="C7023766"/>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0" w15:restartNumberingAfterBreak="0">
    <w:nsid w:val="63504CCC"/>
    <w:multiLevelType w:val="hybridMultilevel"/>
    <w:tmpl w:val="F1B2EE5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1" w15:restartNumberingAfterBreak="0">
    <w:nsid w:val="64B8348F"/>
    <w:multiLevelType w:val="hybridMultilevel"/>
    <w:tmpl w:val="C80E6656"/>
    <w:lvl w:ilvl="0" w:tplc="76AAEB4C">
      <w:start w:val="1"/>
      <w:numFmt w:val="lowerLetter"/>
      <w:pStyle w:val="ListParagraph"/>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2" w15:restartNumberingAfterBreak="0">
    <w:nsid w:val="650D70DE"/>
    <w:multiLevelType w:val="hybridMultilevel"/>
    <w:tmpl w:val="244606F4"/>
    <w:lvl w:ilvl="0" w:tplc="37947A6C">
      <w:start w:val="1"/>
      <w:numFmt w:val="lowerLetter"/>
      <w:lvlText w:val="(%1)"/>
      <w:lvlJc w:val="left"/>
      <w:pPr>
        <w:ind w:left="1182" w:hanging="6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3" w15:restartNumberingAfterBreak="0">
    <w:nsid w:val="652878A5"/>
    <w:multiLevelType w:val="hybridMultilevel"/>
    <w:tmpl w:val="35240C2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4" w15:restartNumberingAfterBreak="0">
    <w:nsid w:val="662B5B6E"/>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5" w15:restartNumberingAfterBreak="0">
    <w:nsid w:val="66D55015"/>
    <w:multiLevelType w:val="hybridMultilevel"/>
    <w:tmpl w:val="F4C6D77E"/>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6" w15:restartNumberingAfterBreak="0">
    <w:nsid w:val="68A4381C"/>
    <w:multiLevelType w:val="hybridMultilevel"/>
    <w:tmpl w:val="043A781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67" w15:restartNumberingAfterBreak="0">
    <w:nsid w:val="68CD5B7C"/>
    <w:multiLevelType w:val="hybridMultilevel"/>
    <w:tmpl w:val="C066BFB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8" w15:restartNumberingAfterBreak="0">
    <w:nsid w:val="68D75CA2"/>
    <w:multiLevelType w:val="hybridMultilevel"/>
    <w:tmpl w:val="F006A916"/>
    <w:lvl w:ilvl="0" w:tplc="FE4A2138">
      <w:start w:val="1"/>
      <w:numFmt w:val="lowerLetter"/>
      <w:lvlText w:val="(%1)"/>
      <w:lvlJc w:val="left"/>
      <w:pPr>
        <w:ind w:left="14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8E73047"/>
    <w:multiLevelType w:val="hybridMultilevel"/>
    <w:tmpl w:val="9D8C6B98"/>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70"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95C4316"/>
    <w:multiLevelType w:val="hybridMultilevel"/>
    <w:tmpl w:val="330837BA"/>
    <w:styleLink w:val="BulletedParas"/>
    <w:lvl w:ilvl="0" w:tplc="6A804CA4">
      <w:start w:val="1"/>
      <w:numFmt w:val="lowerLetter"/>
      <w:lvlText w:val="(%1)"/>
      <w:lvlJc w:val="left"/>
      <w:pPr>
        <w:ind w:left="720" w:hanging="360"/>
      </w:pPr>
      <w:rPr>
        <w:rFonts w:ascii="Times New Roman" w:hAnsi="Times New Roman" w:cs="Times New Roman" w:hint="default"/>
        <w:b w:val="0"/>
        <w:i w:val="0"/>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CD7AF0"/>
    <w:multiLevelType w:val="hybridMultilevel"/>
    <w:tmpl w:val="1F9875A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73" w15:restartNumberingAfterBreak="0">
    <w:nsid w:val="6AD54879"/>
    <w:multiLevelType w:val="hybridMultilevel"/>
    <w:tmpl w:val="7CAC4DEC"/>
    <w:lvl w:ilvl="0" w:tplc="069E4490">
      <w:start w:val="1"/>
      <w:numFmt w:val="lowerLetter"/>
      <w:lvlText w:val="(%1)"/>
      <w:lvlJc w:val="left"/>
      <w:pPr>
        <w:ind w:left="1142" w:hanging="360"/>
      </w:pPr>
      <w:rPr>
        <w:rFonts w:ascii="Times New Roman" w:eastAsia="Times New Roman" w:hAnsi="Times New Roman" w:cs="Times New Roman" w:hint="default"/>
        <w:color w:val="auto"/>
      </w:rPr>
    </w:lvl>
    <w:lvl w:ilvl="1" w:tplc="EB54B6A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AF3324E"/>
    <w:multiLevelType w:val="hybridMultilevel"/>
    <w:tmpl w:val="75E8AD3E"/>
    <w:lvl w:ilvl="0" w:tplc="0C090017">
      <w:start w:val="1"/>
      <w:numFmt w:val="lowerLetter"/>
      <w:lvlText w:val="%1)"/>
      <w:lvlJc w:val="left"/>
      <w:pPr>
        <w:ind w:left="720" w:hanging="360"/>
      </w:pPr>
    </w:lvl>
    <w:lvl w:ilvl="1" w:tplc="C9E03108">
      <w:start w:val="1"/>
      <w:numFmt w:val="lowerLetter"/>
      <w:lvlText w:val="(%2)"/>
      <w:lvlJc w:val="left"/>
      <w:pPr>
        <w:ind w:left="1440" w:hanging="360"/>
      </w:pPr>
      <w:rPr>
        <w:rFonts w:hint="default"/>
        <w:i w:val="0"/>
      </w:rPr>
    </w:lvl>
    <w:lvl w:ilvl="2" w:tplc="E732024E">
      <w:start w:val="2"/>
      <w:numFmt w:val="decimal"/>
      <w:lvlText w:val="%3"/>
      <w:lvlJc w:val="left"/>
      <w:pPr>
        <w:ind w:left="1779" w:hanging="360"/>
      </w:pPr>
      <w:rPr>
        <w:rFonts w:hint="default"/>
        <w:sz w:val="16"/>
        <w:szCs w:val="16"/>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B991C8B"/>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6" w15:restartNumberingAfterBreak="0">
    <w:nsid w:val="6C0558C2"/>
    <w:multiLevelType w:val="hybridMultilevel"/>
    <w:tmpl w:val="8DCA02F4"/>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77" w15:restartNumberingAfterBreak="0">
    <w:nsid w:val="6C46160D"/>
    <w:multiLevelType w:val="hybridMultilevel"/>
    <w:tmpl w:val="38FC8F4A"/>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78" w15:restartNumberingAfterBreak="0">
    <w:nsid w:val="6C5959AB"/>
    <w:multiLevelType w:val="hybridMultilevel"/>
    <w:tmpl w:val="6ADC02B8"/>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9" w15:restartNumberingAfterBreak="0">
    <w:nsid w:val="6DAA6F96"/>
    <w:multiLevelType w:val="hybridMultilevel"/>
    <w:tmpl w:val="130E458A"/>
    <w:lvl w:ilvl="0" w:tplc="474E0C68">
      <w:start w:val="1"/>
      <w:numFmt w:val="lowerLetter"/>
      <w:lvlText w:val="(%1)"/>
      <w:lvlJc w:val="left"/>
      <w:pPr>
        <w:ind w:left="1570" w:hanging="360"/>
      </w:pPr>
      <w:rPr>
        <w:rFonts w:hint="default"/>
        <w:b w:val="0"/>
        <w:bCs/>
        <w:i w:val="0"/>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80" w15:restartNumberingAfterBreak="0">
    <w:nsid w:val="6E243015"/>
    <w:multiLevelType w:val="hybridMultilevel"/>
    <w:tmpl w:val="98206AD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1"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0927413"/>
    <w:multiLevelType w:val="hybridMultilevel"/>
    <w:tmpl w:val="84C62786"/>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3" w15:restartNumberingAfterBreak="0">
    <w:nsid w:val="713A7BA5"/>
    <w:multiLevelType w:val="hybridMultilevel"/>
    <w:tmpl w:val="9A80C76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4" w15:restartNumberingAfterBreak="0">
    <w:nsid w:val="714C46DE"/>
    <w:multiLevelType w:val="hybridMultilevel"/>
    <w:tmpl w:val="F7A041B8"/>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5" w15:restartNumberingAfterBreak="0">
    <w:nsid w:val="71A63AD1"/>
    <w:multiLevelType w:val="hybridMultilevel"/>
    <w:tmpl w:val="3098BF2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6" w15:restartNumberingAfterBreak="0">
    <w:nsid w:val="71D13AA6"/>
    <w:multiLevelType w:val="hybridMultilevel"/>
    <w:tmpl w:val="5F12AE80"/>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7" w15:restartNumberingAfterBreak="0">
    <w:nsid w:val="72F8576F"/>
    <w:multiLevelType w:val="hybridMultilevel"/>
    <w:tmpl w:val="2DFA5CA4"/>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88" w15:restartNumberingAfterBreak="0">
    <w:nsid w:val="73AE3854"/>
    <w:multiLevelType w:val="hybridMultilevel"/>
    <w:tmpl w:val="362A72AE"/>
    <w:styleLink w:val="ImportedStyle3"/>
    <w:lvl w:ilvl="0" w:tplc="1CD67D5A">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80F50A">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E696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4F0F2">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589CE0">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AA8150">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A56D4">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86906">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7ECEFE">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4B92017"/>
    <w:multiLevelType w:val="hybridMultilevel"/>
    <w:tmpl w:val="4D589866"/>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0" w15:restartNumberingAfterBreak="0">
    <w:nsid w:val="74DA2529"/>
    <w:multiLevelType w:val="hybridMultilevel"/>
    <w:tmpl w:val="85023C4C"/>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1" w15:restartNumberingAfterBreak="0">
    <w:nsid w:val="76FB4CB1"/>
    <w:multiLevelType w:val="hybridMultilevel"/>
    <w:tmpl w:val="BA58415E"/>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2" w15:restartNumberingAfterBreak="0">
    <w:nsid w:val="77287DC3"/>
    <w:multiLevelType w:val="hybridMultilevel"/>
    <w:tmpl w:val="E3ACE99A"/>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3" w15:restartNumberingAfterBreak="0">
    <w:nsid w:val="77623A01"/>
    <w:multiLevelType w:val="hybridMultilevel"/>
    <w:tmpl w:val="D9BA31EE"/>
    <w:lvl w:ilvl="0" w:tplc="FBF8E164">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4" w15:restartNumberingAfterBreak="0">
    <w:nsid w:val="781F011B"/>
    <w:multiLevelType w:val="hybridMultilevel"/>
    <w:tmpl w:val="182E0680"/>
    <w:lvl w:ilvl="0" w:tplc="5E1CE822">
      <w:start w:val="1"/>
      <w:numFmt w:val="lowerRoman"/>
      <w:lvlText w:val="(%1)"/>
      <w:lvlJc w:val="left"/>
      <w:pPr>
        <w:ind w:left="192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95" w15:restartNumberingAfterBreak="0">
    <w:nsid w:val="795F71F4"/>
    <w:multiLevelType w:val="multilevel"/>
    <w:tmpl w:val="4AC27B8A"/>
    <w:numStyleLink w:val="IENos"/>
  </w:abstractNum>
  <w:abstractNum w:abstractNumId="196" w15:restartNumberingAfterBreak="0">
    <w:nsid w:val="7C3559C7"/>
    <w:multiLevelType w:val="hybridMultilevel"/>
    <w:tmpl w:val="CF9ACB5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7" w15:restartNumberingAfterBreak="0">
    <w:nsid w:val="7CF2243E"/>
    <w:multiLevelType w:val="hybridMultilevel"/>
    <w:tmpl w:val="26FE3EBE"/>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8" w15:restartNumberingAfterBreak="0">
    <w:nsid w:val="7D43561D"/>
    <w:multiLevelType w:val="hybridMultilevel"/>
    <w:tmpl w:val="A8C63A6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9" w15:restartNumberingAfterBreak="0">
    <w:nsid w:val="7EA71DDE"/>
    <w:multiLevelType w:val="hybridMultilevel"/>
    <w:tmpl w:val="E82C911C"/>
    <w:lvl w:ilvl="0" w:tplc="5E1CE822">
      <w:start w:val="1"/>
      <w:numFmt w:val="lowerRoman"/>
      <w:lvlText w:val="(%1)"/>
      <w:lvlJc w:val="left"/>
      <w:pPr>
        <w:ind w:left="1854" w:hanging="36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0" w15:restartNumberingAfterBreak="0">
    <w:nsid w:val="7F8A2DB0"/>
    <w:multiLevelType w:val="hybridMultilevel"/>
    <w:tmpl w:val="DFCE7922"/>
    <w:lvl w:ilvl="0" w:tplc="A91E7BA8">
      <w:start w:val="1"/>
      <w:numFmt w:val="lowerLetter"/>
      <w:lvlText w:val="(%1)"/>
      <w:lvlJc w:val="left"/>
      <w:pPr>
        <w:ind w:left="1142" w:hanging="360"/>
      </w:pPr>
      <w:rPr>
        <w:rFonts w:ascii="Times New Roman" w:hAnsi="Times New Roman" w:hint="default"/>
        <w:b w:val="0"/>
        <w:i w:val="0"/>
        <w:sz w:val="20"/>
      </w:rPr>
    </w:lvl>
    <w:lvl w:ilvl="1" w:tplc="0C090019">
      <w:start w:val="1"/>
      <w:numFmt w:val="lowerLetter"/>
      <w:lvlText w:val="%2."/>
      <w:lvlJc w:val="left"/>
      <w:pPr>
        <w:ind w:left="1862" w:hanging="360"/>
      </w:pPr>
    </w:lvl>
    <w:lvl w:ilvl="2" w:tplc="0C09001B">
      <w:start w:val="1"/>
      <w:numFmt w:val="lowerRoman"/>
      <w:lvlText w:val="%3."/>
      <w:lvlJc w:val="right"/>
      <w:pPr>
        <w:ind w:left="2582" w:hanging="180"/>
      </w:pPr>
    </w:lvl>
    <w:lvl w:ilvl="3" w:tplc="0C09000F">
      <w:start w:val="1"/>
      <w:numFmt w:val="decimal"/>
      <w:lvlText w:val="%4."/>
      <w:lvlJc w:val="left"/>
      <w:pPr>
        <w:ind w:left="3302" w:hanging="360"/>
      </w:pPr>
    </w:lvl>
    <w:lvl w:ilvl="4" w:tplc="0C090019">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num w:numId="1">
    <w:abstractNumId w:val="22"/>
  </w:num>
  <w:num w:numId="2">
    <w:abstractNumId w:val="103"/>
  </w:num>
  <w:num w:numId="3">
    <w:abstractNumId w:val="170"/>
  </w:num>
  <w:num w:numId="4">
    <w:abstractNumId w:val="181"/>
  </w:num>
  <w:num w:numId="5">
    <w:abstractNumId w:val="95"/>
  </w:num>
  <w:num w:numId="6">
    <w:abstractNumId w:val="153"/>
  </w:num>
  <w:num w:numId="7">
    <w:abstractNumId w:val="85"/>
  </w:num>
  <w:num w:numId="8">
    <w:abstractNumId w:val="86"/>
  </w:num>
  <w:num w:numId="9">
    <w:abstractNumId w:val="30"/>
  </w:num>
  <w:num w:numId="10">
    <w:abstractNumId w:val="154"/>
  </w:num>
  <w:num w:numId="11">
    <w:abstractNumId w:val="77"/>
  </w:num>
  <w:num w:numId="12">
    <w:abstractNumId w:val="195"/>
  </w:num>
  <w:num w:numId="13">
    <w:abstractNumId w:val="70"/>
  </w:num>
  <w:num w:numId="14">
    <w:abstractNumId w:val="138"/>
  </w:num>
  <w:num w:numId="15">
    <w:abstractNumId w:val="35"/>
  </w:num>
  <w:num w:numId="16">
    <w:abstractNumId w:val="135"/>
  </w:num>
  <w:num w:numId="17">
    <w:abstractNumId w:val="20"/>
  </w:num>
  <w:num w:numId="18">
    <w:abstractNumId w:val="188"/>
  </w:num>
  <w:num w:numId="19">
    <w:abstractNumId w:val="144"/>
  </w:num>
  <w:num w:numId="20">
    <w:abstractNumId w:val="78"/>
  </w:num>
  <w:num w:numId="21">
    <w:abstractNumId w:val="19"/>
  </w:num>
  <w:num w:numId="22">
    <w:abstractNumId w:val="113"/>
  </w:num>
  <w:num w:numId="23">
    <w:abstractNumId w:val="157"/>
  </w:num>
  <w:num w:numId="24">
    <w:abstractNumId w:val="64"/>
  </w:num>
  <w:num w:numId="25">
    <w:abstractNumId w:val="14"/>
  </w:num>
  <w:num w:numId="26">
    <w:abstractNumId w:val="118"/>
  </w:num>
  <w:num w:numId="27">
    <w:abstractNumId w:val="21"/>
  </w:num>
  <w:num w:numId="28">
    <w:abstractNumId w:val="26"/>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17"/>
  </w:num>
  <w:num w:numId="33">
    <w:abstractNumId w:val="147"/>
  </w:num>
  <w:num w:numId="34">
    <w:abstractNumId w:val="114"/>
  </w:num>
  <w:num w:numId="35">
    <w:abstractNumId w:val="18"/>
  </w:num>
  <w:num w:numId="36">
    <w:abstractNumId w:val="68"/>
  </w:num>
  <w:num w:numId="37">
    <w:abstractNumId w:val="92"/>
  </w:num>
  <w:num w:numId="38">
    <w:abstractNumId w:val="81"/>
  </w:num>
  <w:num w:numId="39">
    <w:abstractNumId w:val="61"/>
  </w:num>
  <w:num w:numId="40">
    <w:abstractNumId w:val="175"/>
  </w:num>
  <w:num w:numId="41">
    <w:abstractNumId w:val="164"/>
  </w:num>
  <w:num w:numId="42">
    <w:abstractNumId w:val="132"/>
  </w:num>
  <w:num w:numId="43">
    <w:abstractNumId w:val="179"/>
  </w:num>
  <w:num w:numId="44">
    <w:abstractNumId w:val="174"/>
  </w:num>
  <w:num w:numId="45">
    <w:abstractNumId w:val="173"/>
  </w:num>
  <w:num w:numId="46">
    <w:abstractNumId w:val="171"/>
  </w:num>
  <w:num w:numId="47">
    <w:abstractNumId w:val="156"/>
  </w:num>
  <w:num w:numId="4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8"/>
  </w:num>
  <w:num w:numId="50">
    <w:abstractNumId w:val="123"/>
  </w:num>
  <w:num w:numId="51">
    <w:abstractNumId w:val="161"/>
  </w:num>
  <w:num w:numId="52">
    <w:abstractNumId w:val="161"/>
    <w:lvlOverride w:ilvl="0">
      <w:startOverride w:val="1"/>
    </w:lvlOverride>
  </w:num>
  <w:num w:numId="53">
    <w:abstractNumId w:val="140"/>
  </w:num>
  <w:num w:numId="54">
    <w:abstractNumId w:val="56"/>
  </w:num>
  <w:num w:numId="55">
    <w:abstractNumId w:val="189"/>
  </w:num>
  <w:num w:numId="56">
    <w:abstractNumId w:val="31"/>
  </w:num>
  <w:num w:numId="57">
    <w:abstractNumId w:val="134"/>
  </w:num>
  <w:num w:numId="58">
    <w:abstractNumId w:val="182"/>
  </w:num>
  <w:num w:numId="59">
    <w:abstractNumId w:val="89"/>
  </w:num>
  <w:num w:numId="60">
    <w:abstractNumId w:val="10"/>
  </w:num>
  <w:num w:numId="61">
    <w:abstractNumId w:val="58"/>
  </w:num>
  <w:num w:numId="62">
    <w:abstractNumId w:val="102"/>
  </w:num>
  <w:num w:numId="63">
    <w:abstractNumId w:val="143"/>
  </w:num>
  <w:num w:numId="64">
    <w:abstractNumId w:val="191"/>
  </w:num>
  <w:num w:numId="65">
    <w:abstractNumId w:val="32"/>
  </w:num>
  <w:num w:numId="66">
    <w:abstractNumId w:val="79"/>
  </w:num>
  <w:num w:numId="67">
    <w:abstractNumId w:val="150"/>
  </w:num>
  <w:num w:numId="68">
    <w:abstractNumId w:val="112"/>
  </w:num>
  <w:num w:numId="69">
    <w:abstractNumId w:val="151"/>
  </w:num>
  <w:num w:numId="70">
    <w:abstractNumId w:val="52"/>
  </w:num>
  <w:num w:numId="71">
    <w:abstractNumId w:val="15"/>
  </w:num>
  <w:num w:numId="72">
    <w:abstractNumId w:val="155"/>
  </w:num>
  <w:num w:numId="73">
    <w:abstractNumId w:val="136"/>
  </w:num>
  <w:num w:numId="74">
    <w:abstractNumId w:val="111"/>
  </w:num>
  <w:num w:numId="75">
    <w:abstractNumId w:val="193"/>
  </w:num>
  <w:num w:numId="76">
    <w:abstractNumId w:val="178"/>
  </w:num>
  <w:num w:numId="77">
    <w:abstractNumId w:val="59"/>
  </w:num>
  <w:num w:numId="78">
    <w:abstractNumId w:val="69"/>
  </w:num>
  <w:num w:numId="79">
    <w:abstractNumId w:val="165"/>
  </w:num>
  <w:num w:numId="80">
    <w:abstractNumId w:val="199"/>
  </w:num>
  <w:num w:numId="81">
    <w:abstractNumId w:val="71"/>
  </w:num>
  <w:num w:numId="82">
    <w:abstractNumId w:val="99"/>
  </w:num>
  <w:num w:numId="83">
    <w:abstractNumId w:val="76"/>
  </w:num>
  <w:num w:numId="84">
    <w:abstractNumId w:val="51"/>
  </w:num>
  <w:num w:numId="85">
    <w:abstractNumId w:val="106"/>
  </w:num>
  <w:num w:numId="86">
    <w:abstractNumId w:val="126"/>
  </w:num>
  <w:num w:numId="87">
    <w:abstractNumId w:val="129"/>
  </w:num>
  <w:num w:numId="88">
    <w:abstractNumId w:val="91"/>
  </w:num>
  <w:num w:numId="89">
    <w:abstractNumId w:val="198"/>
  </w:num>
  <w:num w:numId="90">
    <w:abstractNumId w:val="121"/>
  </w:num>
  <w:num w:numId="91">
    <w:abstractNumId w:val="160"/>
  </w:num>
  <w:num w:numId="92">
    <w:abstractNumId w:val="83"/>
  </w:num>
  <w:num w:numId="93">
    <w:abstractNumId w:val="28"/>
  </w:num>
  <w:num w:numId="94">
    <w:abstractNumId w:val="72"/>
  </w:num>
  <w:num w:numId="95">
    <w:abstractNumId w:val="57"/>
  </w:num>
  <w:num w:numId="96">
    <w:abstractNumId w:val="82"/>
  </w:num>
  <w:num w:numId="97">
    <w:abstractNumId w:val="24"/>
  </w:num>
  <w:num w:numId="98">
    <w:abstractNumId w:val="25"/>
  </w:num>
  <w:num w:numId="99">
    <w:abstractNumId w:val="105"/>
  </w:num>
  <w:num w:numId="100">
    <w:abstractNumId w:val="43"/>
  </w:num>
  <w:num w:numId="101">
    <w:abstractNumId w:val="139"/>
  </w:num>
  <w:num w:numId="102">
    <w:abstractNumId w:val="101"/>
  </w:num>
  <w:num w:numId="103">
    <w:abstractNumId w:val="180"/>
  </w:num>
  <w:num w:numId="104">
    <w:abstractNumId w:val="167"/>
  </w:num>
  <w:num w:numId="105">
    <w:abstractNumId w:val="131"/>
  </w:num>
  <w:num w:numId="106">
    <w:abstractNumId w:val="130"/>
  </w:num>
  <w:num w:numId="107">
    <w:abstractNumId w:val="109"/>
  </w:num>
  <w:num w:numId="108">
    <w:abstractNumId w:val="100"/>
  </w:num>
  <w:num w:numId="109">
    <w:abstractNumId w:val="50"/>
  </w:num>
  <w:num w:numId="110">
    <w:abstractNumId w:val="93"/>
  </w:num>
  <w:num w:numId="111">
    <w:abstractNumId w:val="142"/>
  </w:num>
  <w:num w:numId="112">
    <w:abstractNumId w:val="94"/>
  </w:num>
  <w:num w:numId="113">
    <w:abstractNumId w:val="41"/>
  </w:num>
  <w:num w:numId="114">
    <w:abstractNumId w:val="90"/>
  </w:num>
  <w:num w:numId="115">
    <w:abstractNumId w:val="124"/>
  </w:num>
  <w:num w:numId="116">
    <w:abstractNumId w:val="169"/>
  </w:num>
  <w:num w:numId="117">
    <w:abstractNumId w:val="34"/>
  </w:num>
  <w:num w:numId="118">
    <w:abstractNumId w:val="200"/>
  </w:num>
  <w:num w:numId="119">
    <w:abstractNumId w:val="122"/>
  </w:num>
  <w:num w:numId="120">
    <w:abstractNumId w:val="12"/>
  </w:num>
  <w:num w:numId="121">
    <w:abstractNumId w:val="163"/>
  </w:num>
  <w:num w:numId="122">
    <w:abstractNumId w:val="183"/>
  </w:num>
  <w:num w:numId="123">
    <w:abstractNumId w:val="115"/>
  </w:num>
  <w:num w:numId="124">
    <w:abstractNumId w:val="97"/>
  </w:num>
  <w:num w:numId="125">
    <w:abstractNumId w:val="159"/>
  </w:num>
  <w:num w:numId="126">
    <w:abstractNumId w:val="73"/>
  </w:num>
  <w:num w:numId="127">
    <w:abstractNumId w:val="84"/>
  </w:num>
  <w:num w:numId="128">
    <w:abstractNumId w:val="116"/>
  </w:num>
  <w:num w:numId="129">
    <w:abstractNumId w:val="96"/>
  </w:num>
  <w:num w:numId="130">
    <w:abstractNumId w:val="80"/>
  </w:num>
  <w:num w:numId="131">
    <w:abstractNumId w:val="49"/>
  </w:num>
  <w:num w:numId="132">
    <w:abstractNumId w:val="44"/>
  </w:num>
  <w:num w:numId="133">
    <w:abstractNumId w:val="186"/>
  </w:num>
  <w:num w:numId="134">
    <w:abstractNumId w:val="190"/>
  </w:num>
  <w:num w:numId="135">
    <w:abstractNumId w:val="67"/>
  </w:num>
  <w:num w:numId="136">
    <w:abstractNumId w:val="137"/>
  </w:num>
  <w:num w:numId="137">
    <w:abstractNumId w:val="146"/>
  </w:num>
  <w:num w:numId="138">
    <w:abstractNumId w:val="162"/>
  </w:num>
  <w:num w:numId="139">
    <w:abstractNumId w:val="125"/>
  </w:num>
  <w:num w:numId="140">
    <w:abstractNumId w:val="149"/>
  </w:num>
  <w:num w:numId="141">
    <w:abstractNumId w:val="40"/>
  </w:num>
  <w:num w:numId="142">
    <w:abstractNumId w:val="74"/>
  </w:num>
  <w:num w:numId="143">
    <w:abstractNumId w:val="13"/>
  </w:num>
  <w:num w:numId="144">
    <w:abstractNumId w:val="104"/>
  </w:num>
  <w:num w:numId="145">
    <w:abstractNumId w:val="194"/>
  </w:num>
  <w:num w:numId="146">
    <w:abstractNumId w:val="37"/>
  </w:num>
  <w:num w:numId="147">
    <w:abstractNumId w:val="75"/>
  </w:num>
  <w:num w:numId="148">
    <w:abstractNumId w:val="36"/>
  </w:num>
  <w:num w:numId="149">
    <w:abstractNumId w:val="65"/>
  </w:num>
  <w:num w:numId="150">
    <w:abstractNumId w:val="176"/>
  </w:num>
  <w:num w:numId="151">
    <w:abstractNumId w:val="16"/>
  </w:num>
  <w:num w:numId="152">
    <w:abstractNumId w:val="33"/>
  </w:num>
  <w:num w:numId="153">
    <w:abstractNumId w:val="145"/>
  </w:num>
  <w:num w:numId="154">
    <w:abstractNumId w:val="120"/>
  </w:num>
  <w:num w:numId="155">
    <w:abstractNumId w:val="88"/>
  </w:num>
  <w:num w:numId="156">
    <w:abstractNumId w:val="166"/>
  </w:num>
  <w:num w:numId="157">
    <w:abstractNumId w:val="54"/>
  </w:num>
  <w:num w:numId="158">
    <w:abstractNumId w:val="127"/>
  </w:num>
  <w:num w:numId="159">
    <w:abstractNumId w:val="107"/>
  </w:num>
  <w:num w:numId="160">
    <w:abstractNumId w:val="128"/>
  </w:num>
  <w:num w:numId="161">
    <w:abstractNumId w:val="98"/>
  </w:num>
  <w:num w:numId="162">
    <w:abstractNumId w:val="133"/>
  </w:num>
  <w:num w:numId="163">
    <w:abstractNumId w:val="27"/>
  </w:num>
  <w:num w:numId="164">
    <w:abstractNumId w:val="197"/>
  </w:num>
  <w:num w:numId="165">
    <w:abstractNumId w:val="63"/>
  </w:num>
  <w:num w:numId="166">
    <w:abstractNumId w:val="38"/>
  </w:num>
  <w:num w:numId="167">
    <w:abstractNumId w:val="53"/>
  </w:num>
  <w:num w:numId="168">
    <w:abstractNumId w:val="60"/>
  </w:num>
  <w:num w:numId="169">
    <w:abstractNumId w:val="187"/>
  </w:num>
  <w:num w:numId="170">
    <w:abstractNumId w:val="117"/>
  </w:num>
  <w:num w:numId="171">
    <w:abstractNumId w:val="110"/>
  </w:num>
  <w:num w:numId="172">
    <w:abstractNumId w:val="152"/>
  </w:num>
  <w:num w:numId="173">
    <w:abstractNumId w:val="184"/>
  </w:num>
  <w:num w:numId="174">
    <w:abstractNumId w:val="141"/>
  </w:num>
  <w:num w:numId="175">
    <w:abstractNumId w:val="177"/>
  </w:num>
  <w:num w:numId="176">
    <w:abstractNumId w:val="29"/>
  </w:num>
  <w:num w:numId="177">
    <w:abstractNumId w:val="108"/>
  </w:num>
  <w:num w:numId="178">
    <w:abstractNumId w:val="192"/>
  </w:num>
  <w:num w:numId="179">
    <w:abstractNumId w:val="47"/>
  </w:num>
  <w:num w:numId="180">
    <w:abstractNumId w:val="39"/>
  </w:num>
  <w:num w:numId="181">
    <w:abstractNumId w:val="46"/>
  </w:num>
  <w:num w:numId="182">
    <w:abstractNumId w:val="185"/>
  </w:num>
  <w:num w:numId="183">
    <w:abstractNumId w:val="87"/>
  </w:num>
  <w:num w:numId="184">
    <w:abstractNumId w:val="148"/>
  </w:num>
  <w:num w:numId="185">
    <w:abstractNumId w:val="62"/>
  </w:num>
  <w:num w:numId="186">
    <w:abstractNumId w:val="158"/>
  </w:num>
  <w:num w:numId="187">
    <w:abstractNumId w:val="55"/>
  </w:num>
  <w:num w:numId="188">
    <w:abstractNumId w:val="172"/>
  </w:num>
  <w:num w:numId="189">
    <w:abstractNumId w:val="11"/>
  </w:num>
  <w:num w:numId="190">
    <w:abstractNumId w:val="48"/>
  </w:num>
  <w:num w:numId="191">
    <w:abstractNumId w:val="196"/>
  </w:num>
  <w:num w:numId="192">
    <w:abstractNumId w:val="45"/>
  </w:num>
  <w:num w:numId="193">
    <w:abstractNumId w:val="42"/>
  </w:num>
  <w:num w:numId="194">
    <w:abstractNumId w:val="119"/>
  </w:num>
  <w:num w:numId="1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num>
  <w:num w:numId="197">
    <w:abstractNumId w:val="7"/>
  </w:num>
  <w:num w:numId="198">
    <w:abstractNumId w:val="6"/>
  </w:num>
  <w:num w:numId="199">
    <w:abstractNumId w:val="5"/>
  </w:num>
  <w:num w:numId="200">
    <w:abstractNumId w:val="4"/>
  </w:num>
  <w:num w:numId="201">
    <w:abstractNumId w:val="8"/>
  </w:num>
  <w:num w:numId="202">
    <w:abstractNumId w:val="3"/>
  </w:num>
  <w:num w:numId="203">
    <w:abstractNumId w:val="2"/>
  </w:num>
  <w:num w:numId="204">
    <w:abstractNumId w:val="1"/>
  </w:num>
  <w:num w:numId="205">
    <w:abstractNumId w:val="0"/>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8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IxMbIwMjM2MjVS0lEKTi0uzszPAykwNKoFAJn9c18tAAAA"/>
    <w:docVar w:name="AdminPsWord" w:val="nigel"/>
    <w:docVar w:name="PsWord" w:val="trish"/>
  </w:docVars>
  <w:rsids>
    <w:rsidRoot w:val="00773F4F"/>
    <w:rsid w:val="00000015"/>
    <w:rsid w:val="0000004D"/>
    <w:rsid w:val="00000778"/>
    <w:rsid w:val="0000091B"/>
    <w:rsid w:val="00000D27"/>
    <w:rsid w:val="00001183"/>
    <w:rsid w:val="00001F56"/>
    <w:rsid w:val="000024D4"/>
    <w:rsid w:val="00002535"/>
    <w:rsid w:val="00002B90"/>
    <w:rsid w:val="00002D22"/>
    <w:rsid w:val="00002EEA"/>
    <w:rsid w:val="0000311B"/>
    <w:rsid w:val="0000381E"/>
    <w:rsid w:val="00003850"/>
    <w:rsid w:val="00003D58"/>
    <w:rsid w:val="00003E21"/>
    <w:rsid w:val="000045C2"/>
    <w:rsid w:val="000046F9"/>
    <w:rsid w:val="00004819"/>
    <w:rsid w:val="00004CEE"/>
    <w:rsid w:val="00004D3F"/>
    <w:rsid w:val="000051DE"/>
    <w:rsid w:val="000052C0"/>
    <w:rsid w:val="00005502"/>
    <w:rsid w:val="00005792"/>
    <w:rsid w:val="00005AFC"/>
    <w:rsid w:val="00005E0E"/>
    <w:rsid w:val="000061D1"/>
    <w:rsid w:val="000071CD"/>
    <w:rsid w:val="00007444"/>
    <w:rsid w:val="0000747D"/>
    <w:rsid w:val="00007611"/>
    <w:rsid w:val="00007C74"/>
    <w:rsid w:val="00007F0A"/>
    <w:rsid w:val="00010321"/>
    <w:rsid w:val="000105C8"/>
    <w:rsid w:val="00010800"/>
    <w:rsid w:val="00010E4C"/>
    <w:rsid w:val="000111CA"/>
    <w:rsid w:val="000115DF"/>
    <w:rsid w:val="000116D5"/>
    <w:rsid w:val="00011B68"/>
    <w:rsid w:val="00012091"/>
    <w:rsid w:val="00012369"/>
    <w:rsid w:val="000124A6"/>
    <w:rsid w:val="000126B8"/>
    <w:rsid w:val="00012773"/>
    <w:rsid w:val="00012817"/>
    <w:rsid w:val="00012E3D"/>
    <w:rsid w:val="00013360"/>
    <w:rsid w:val="00013717"/>
    <w:rsid w:val="000139EB"/>
    <w:rsid w:val="00013AEC"/>
    <w:rsid w:val="0001419D"/>
    <w:rsid w:val="000143B1"/>
    <w:rsid w:val="00014573"/>
    <w:rsid w:val="000147E6"/>
    <w:rsid w:val="00014901"/>
    <w:rsid w:val="00014903"/>
    <w:rsid w:val="00014FBB"/>
    <w:rsid w:val="000150CF"/>
    <w:rsid w:val="00015236"/>
    <w:rsid w:val="0001542F"/>
    <w:rsid w:val="0001543B"/>
    <w:rsid w:val="000154CA"/>
    <w:rsid w:val="0001561D"/>
    <w:rsid w:val="000156C6"/>
    <w:rsid w:val="000159C0"/>
    <w:rsid w:val="00015B5A"/>
    <w:rsid w:val="00015CAF"/>
    <w:rsid w:val="00015CFA"/>
    <w:rsid w:val="00015E30"/>
    <w:rsid w:val="00016263"/>
    <w:rsid w:val="0001660D"/>
    <w:rsid w:val="00017525"/>
    <w:rsid w:val="00020499"/>
    <w:rsid w:val="000204E5"/>
    <w:rsid w:val="000208B2"/>
    <w:rsid w:val="00020A0C"/>
    <w:rsid w:val="00020FB9"/>
    <w:rsid w:val="00021285"/>
    <w:rsid w:val="00021544"/>
    <w:rsid w:val="0002172E"/>
    <w:rsid w:val="00021B49"/>
    <w:rsid w:val="00021C23"/>
    <w:rsid w:val="00021DC5"/>
    <w:rsid w:val="00021FF9"/>
    <w:rsid w:val="000220B6"/>
    <w:rsid w:val="00022288"/>
    <w:rsid w:val="0002259C"/>
    <w:rsid w:val="0002262F"/>
    <w:rsid w:val="00022A48"/>
    <w:rsid w:val="00022B10"/>
    <w:rsid w:val="00022BD8"/>
    <w:rsid w:val="00022F13"/>
    <w:rsid w:val="000234E4"/>
    <w:rsid w:val="00023691"/>
    <w:rsid w:val="00023CAB"/>
    <w:rsid w:val="00023E49"/>
    <w:rsid w:val="00023EF5"/>
    <w:rsid w:val="000248F1"/>
    <w:rsid w:val="00024B1B"/>
    <w:rsid w:val="000250CD"/>
    <w:rsid w:val="00025261"/>
    <w:rsid w:val="000255F5"/>
    <w:rsid w:val="00025A02"/>
    <w:rsid w:val="00025DF9"/>
    <w:rsid w:val="00026155"/>
    <w:rsid w:val="000270CC"/>
    <w:rsid w:val="00027270"/>
    <w:rsid w:val="00027359"/>
    <w:rsid w:val="000273D4"/>
    <w:rsid w:val="0002741E"/>
    <w:rsid w:val="000276E8"/>
    <w:rsid w:val="00027914"/>
    <w:rsid w:val="00027D25"/>
    <w:rsid w:val="00027DF6"/>
    <w:rsid w:val="00027FD0"/>
    <w:rsid w:val="000306E2"/>
    <w:rsid w:val="0003093F"/>
    <w:rsid w:val="00030AE0"/>
    <w:rsid w:val="00030DDE"/>
    <w:rsid w:val="00031B15"/>
    <w:rsid w:val="00031C7C"/>
    <w:rsid w:val="000326DB"/>
    <w:rsid w:val="0003301B"/>
    <w:rsid w:val="00033394"/>
    <w:rsid w:val="00033482"/>
    <w:rsid w:val="00033692"/>
    <w:rsid w:val="00033A1C"/>
    <w:rsid w:val="00033CEB"/>
    <w:rsid w:val="00033D83"/>
    <w:rsid w:val="00034262"/>
    <w:rsid w:val="000346A6"/>
    <w:rsid w:val="00034DB4"/>
    <w:rsid w:val="00034EA7"/>
    <w:rsid w:val="00034ECB"/>
    <w:rsid w:val="00035258"/>
    <w:rsid w:val="000354B1"/>
    <w:rsid w:val="000358EF"/>
    <w:rsid w:val="00035C5A"/>
    <w:rsid w:val="00035F7D"/>
    <w:rsid w:val="00036188"/>
    <w:rsid w:val="00036499"/>
    <w:rsid w:val="00036C9B"/>
    <w:rsid w:val="00036FF1"/>
    <w:rsid w:val="000370E2"/>
    <w:rsid w:val="00037702"/>
    <w:rsid w:val="00037B0A"/>
    <w:rsid w:val="00037F5B"/>
    <w:rsid w:val="0004014B"/>
    <w:rsid w:val="00040429"/>
    <w:rsid w:val="0004053B"/>
    <w:rsid w:val="000405D9"/>
    <w:rsid w:val="000409D2"/>
    <w:rsid w:val="00040CBC"/>
    <w:rsid w:val="00040D73"/>
    <w:rsid w:val="00041030"/>
    <w:rsid w:val="00041177"/>
    <w:rsid w:val="000411E0"/>
    <w:rsid w:val="0004125A"/>
    <w:rsid w:val="000412F0"/>
    <w:rsid w:val="000416B5"/>
    <w:rsid w:val="00042000"/>
    <w:rsid w:val="000426C4"/>
    <w:rsid w:val="00042C01"/>
    <w:rsid w:val="00042E58"/>
    <w:rsid w:val="0004336F"/>
    <w:rsid w:val="00043622"/>
    <w:rsid w:val="00043785"/>
    <w:rsid w:val="000437BE"/>
    <w:rsid w:val="00043CE4"/>
    <w:rsid w:val="00043E84"/>
    <w:rsid w:val="00044493"/>
    <w:rsid w:val="000447F3"/>
    <w:rsid w:val="000448F4"/>
    <w:rsid w:val="000449B7"/>
    <w:rsid w:val="00044A73"/>
    <w:rsid w:val="00044C94"/>
    <w:rsid w:val="00044D97"/>
    <w:rsid w:val="00045329"/>
    <w:rsid w:val="000453A7"/>
    <w:rsid w:val="0004554A"/>
    <w:rsid w:val="00045998"/>
    <w:rsid w:val="00045DE2"/>
    <w:rsid w:val="000465BD"/>
    <w:rsid w:val="0004697B"/>
    <w:rsid w:val="00046987"/>
    <w:rsid w:val="00046C5B"/>
    <w:rsid w:val="00046DC2"/>
    <w:rsid w:val="000470BF"/>
    <w:rsid w:val="000472F4"/>
    <w:rsid w:val="000476B3"/>
    <w:rsid w:val="00047772"/>
    <w:rsid w:val="00047898"/>
    <w:rsid w:val="00047F01"/>
    <w:rsid w:val="00047F8E"/>
    <w:rsid w:val="000503F7"/>
    <w:rsid w:val="00050461"/>
    <w:rsid w:val="00050462"/>
    <w:rsid w:val="00050A51"/>
    <w:rsid w:val="00051230"/>
    <w:rsid w:val="0005198F"/>
    <w:rsid w:val="00051FFB"/>
    <w:rsid w:val="00052179"/>
    <w:rsid w:val="0005245E"/>
    <w:rsid w:val="00052E83"/>
    <w:rsid w:val="00052F2D"/>
    <w:rsid w:val="0005315A"/>
    <w:rsid w:val="00053690"/>
    <w:rsid w:val="00053E17"/>
    <w:rsid w:val="00053E57"/>
    <w:rsid w:val="00053F49"/>
    <w:rsid w:val="00054222"/>
    <w:rsid w:val="00054354"/>
    <w:rsid w:val="00054402"/>
    <w:rsid w:val="0005460D"/>
    <w:rsid w:val="0005464B"/>
    <w:rsid w:val="000548CB"/>
    <w:rsid w:val="00054C68"/>
    <w:rsid w:val="00054E16"/>
    <w:rsid w:val="00055091"/>
    <w:rsid w:val="00055165"/>
    <w:rsid w:val="00056109"/>
    <w:rsid w:val="000562FF"/>
    <w:rsid w:val="000564F2"/>
    <w:rsid w:val="00056750"/>
    <w:rsid w:val="00056A7D"/>
    <w:rsid w:val="00056E7C"/>
    <w:rsid w:val="00057022"/>
    <w:rsid w:val="00057186"/>
    <w:rsid w:val="00057305"/>
    <w:rsid w:val="000573F4"/>
    <w:rsid w:val="00057804"/>
    <w:rsid w:val="00057BB9"/>
    <w:rsid w:val="00057D35"/>
    <w:rsid w:val="00057EA3"/>
    <w:rsid w:val="00060174"/>
    <w:rsid w:val="0006037E"/>
    <w:rsid w:val="00060829"/>
    <w:rsid w:val="00060CA2"/>
    <w:rsid w:val="00060DFB"/>
    <w:rsid w:val="0006158B"/>
    <w:rsid w:val="00061766"/>
    <w:rsid w:val="00061A03"/>
    <w:rsid w:val="00061B6B"/>
    <w:rsid w:val="00061BE0"/>
    <w:rsid w:val="00061D38"/>
    <w:rsid w:val="000627A2"/>
    <w:rsid w:val="00062C20"/>
    <w:rsid w:val="00062C76"/>
    <w:rsid w:val="000630EF"/>
    <w:rsid w:val="0006322A"/>
    <w:rsid w:val="000635F6"/>
    <w:rsid w:val="000640F3"/>
    <w:rsid w:val="000645F9"/>
    <w:rsid w:val="000646D5"/>
    <w:rsid w:val="00064A60"/>
    <w:rsid w:val="00064B10"/>
    <w:rsid w:val="00064CD5"/>
    <w:rsid w:val="0006512B"/>
    <w:rsid w:val="00065B9D"/>
    <w:rsid w:val="00065CDE"/>
    <w:rsid w:val="00065E85"/>
    <w:rsid w:val="00065F7C"/>
    <w:rsid w:val="00066120"/>
    <w:rsid w:val="0006623B"/>
    <w:rsid w:val="00066964"/>
    <w:rsid w:val="00066B87"/>
    <w:rsid w:val="00066E5A"/>
    <w:rsid w:val="00067005"/>
    <w:rsid w:val="0006724C"/>
    <w:rsid w:val="00067273"/>
    <w:rsid w:val="00067710"/>
    <w:rsid w:val="00067EC0"/>
    <w:rsid w:val="00067F54"/>
    <w:rsid w:val="00067F9F"/>
    <w:rsid w:val="00070102"/>
    <w:rsid w:val="0007016B"/>
    <w:rsid w:val="0007047E"/>
    <w:rsid w:val="000704F7"/>
    <w:rsid w:val="00070539"/>
    <w:rsid w:val="000709CA"/>
    <w:rsid w:val="00070CD7"/>
    <w:rsid w:val="00070E29"/>
    <w:rsid w:val="00070F53"/>
    <w:rsid w:val="000710DC"/>
    <w:rsid w:val="00071A61"/>
    <w:rsid w:val="00071C3A"/>
    <w:rsid w:val="00071C5B"/>
    <w:rsid w:val="00071FF8"/>
    <w:rsid w:val="00072984"/>
    <w:rsid w:val="00073359"/>
    <w:rsid w:val="0007354C"/>
    <w:rsid w:val="00073C7E"/>
    <w:rsid w:val="00073C9D"/>
    <w:rsid w:val="00074079"/>
    <w:rsid w:val="000743C5"/>
    <w:rsid w:val="00075019"/>
    <w:rsid w:val="00075077"/>
    <w:rsid w:val="000756CF"/>
    <w:rsid w:val="000756DF"/>
    <w:rsid w:val="00075838"/>
    <w:rsid w:val="00075959"/>
    <w:rsid w:val="00075F87"/>
    <w:rsid w:val="00076150"/>
    <w:rsid w:val="00076265"/>
    <w:rsid w:val="000767B1"/>
    <w:rsid w:val="00076AD3"/>
    <w:rsid w:val="0007715F"/>
    <w:rsid w:val="00077369"/>
    <w:rsid w:val="00077400"/>
    <w:rsid w:val="00077782"/>
    <w:rsid w:val="00077A04"/>
    <w:rsid w:val="00077F1A"/>
    <w:rsid w:val="00077F9D"/>
    <w:rsid w:val="000800C2"/>
    <w:rsid w:val="00080143"/>
    <w:rsid w:val="00080244"/>
    <w:rsid w:val="000802AA"/>
    <w:rsid w:val="000804D6"/>
    <w:rsid w:val="000807BC"/>
    <w:rsid w:val="00080C90"/>
    <w:rsid w:val="00080D42"/>
    <w:rsid w:val="00080EC6"/>
    <w:rsid w:val="0008118F"/>
    <w:rsid w:val="000814EB"/>
    <w:rsid w:val="0008153A"/>
    <w:rsid w:val="00081620"/>
    <w:rsid w:val="00081762"/>
    <w:rsid w:val="0008194B"/>
    <w:rsid w:val="00081C44"/>
    <w:rsid w:val="00081C50"/>
    <w:rsid w:val="0008227F"/>
    <w:rsid w:val="000824C6"/>
    <w:rsid w:val="000827D3"/>
    <w:rsid w:val="0008316D"/>
    <w:rsid w:val="00083AB8"/>
    <w:rsid w:val="000840BE"/>
    <w:rsid w:val="00084369"/>
    <w:rsid w:val="00084539"/>
    <w:rsid w:val="00084DB3"/>
    <w:rsid w:val="00085026"/>
    <w:rsid w:val="000851E3"/>
    <w:rsid w:val="00085D1F"/>
    <w:rsid w:val="00085E22"/>
    <w:rsid w:val="00085E37"/>
    <w:rsid w:val="0008664B"/>
    <w:rsid w:val="00086879"/>
    <w:rsid w:val="00086CD4"/>
    <w:rsid w:val="00086EF3"/>
    <w:rsid w:val="000870EC"/>
    <w:rsid w:val="000873F4"/>
    <w:rsid w:val="000874EE"/>
    <w:rsid w:val="0008774E"/>
    <w:rsid w:val="00087B41"/>
    <w:rsid w:val="00087B91"/>
    <w:rsid w:val="00087C50"/>
    <w:rsid w:val="00087F06"/>
    <w:rsid w:val="000900E3"/>
    <w:rsid w:val="00090468"/>
    <w:rsid w:val="00090554"/>
    <w:rsid w:val="00090648"/>
    <w:rsid w:val="00090D6E"/>
    <w:rsid w:val="00090EDB"/>
    <w:rsid w:val="000910F0"/>
    <w:rsid w:val="00091100"/>
    <w:rsid w:val="00091167"/>
    <w:rsid w:val="000913BB"/>
    <w:rsid w:val="0009142C"/>
    <w:rsid w:val="000914BB"/>
    <w:rsid w:val="00091A7B"/>
    <w:rsid w:val="00091B3A"/>
    <w:rsid w:val="00091F42"/>
    <w:rsid w:val="00092745"/>
    <w:rsid w:val="00092C92"/>
    <w:rsid w:val="00093910"/>
    <w:rsid w:val="000939C8"/>
    <w:rsid w:val="00093AAA"/>
    <w:rsid w:val="00094A20"/>
    <w:rsid w:val="00094D39"/>
    <w:rsid w:val="00094E86"/>
    <w:rsid w:val="00095391"/>
    <w:rsid w:val="000955F4"/>
    <w:rsid w:val="00095B6D"/>
    <w:rsid w:val="000960CC"/>
    <w:rsid w:val="0009719D"/>
    <w:rsid w:val="00097854"/>
    <w:rsid w:val="0009797D"/>
    <w:rsid w:val="00097BCD"/>
    <w:rsid w:val="00097CD0"/>
    <w:rsid w:val="000A06BB"/>
    <w:rsid w:val="000A080D"/>
    <w:rsid w:val="000A0C1A"/>
    <w:rsid w:val="000A11D0"/>
    <w:rsid w:val="000A18EB"/>
    <w:rsid w:val="000A19D6"/>
    <w:rsid w:val="000A1A61"/>
    <w:rsid w:val="000A2309"/>
    <w:rsid w:val="000A2414"/>
    <w:rsid w:val="000A2654"/>
    <w:rsid w:val="000A2819"/>
    <w:rsid w:val="000A2E63"/>
    <w:rsid w:val="000A310E"/>
    <w:rsid w:val="000A3118"/>
    <w:rsid w:val="000A3314"/>
    <w:rsid w:val="000A3347"/>
    <w:rsid w:val="000A3482"/>
    <w:rsid w:val="000A391A"/>
    <w:rsid w:val="000A3BB1"/>
    <w:rsid w:val="000A42CC"/>
    <w:rsid w:val="000A4565"/>
    <w:rsid w:val="000A458E"/>
    <w:rsid w:val="000A4D72"/>
    <w:rsid w:val="000A4FBF"/>
    <w:rsid w:val="000A4FD2"/>
    <w:rsid w:val="000A515A"/>
    <w:rsid w:val="000A5308"/>
    <w:rsid w:val="000A5348"/>
    <w:rsid w:val="000A5854"/>
    <w:rsid w:val="000A652C"/>
    <w:rsid w:val="000A67F9"/>
    <w:rsid w:val="000A69F3"/>
    <w:rsid w:val="000A6A0C"/>
    <w:rsid w:val="000A7FEA"/>
    <w:rsid w:val="000B02A1"/>
    <w:rsid w:val="000B02DF"/>
    <w:rsid w:val="000B035A"/>
    <w:rsid w:val="000B074E"/>
    <w:rsid w:val="000B1093"/>
    <w:rsid w:val="000B1295"/>
    <w:rsid w:val="000B14B4"/>
    <w:rsid w:val="000B16A4"/>
    <w:rsid w:val="000B19A2"/>
    <w:rsid w:val="000B1CA8"/>
    <w:rsid w:val="000B2532"/>
    <w:rsid w:val="000B278B"/>
    <w:rsid w:val="000B2AB3"/>
    <w:rsid w:val="000B2C1F"/>
    <w:rsid w:val="000B32AB"/>
    <w:rsid w:val="000B3CE0"/>
    <w:rsid w:val="000B3E1B"/>
    <w:rsid w:val="000B439F"/>
    <w:rsid w:val="000B46D2"/>
    <w:rsid w:val="000B4C3B"/>
    <w:rsid w:val="000B4D95"/>
    <w:rsid w:val="000B4E25"/>
    <w:rsid w:val="000B4F10"/>
    <w:rsid w:val="000B4F1D"/>
    <w:rsid w:val="000B518B"/>
    <w:rsid w:val="000B53E9"/>
    <w:rsid w:val="000B53FB"/>
    <w:rsid w:val="000B59FC"/>
    <w:rsid w:val="000B5B32"/>
    <w:rsid w:val="000B5BE0"/>
    <w:rsid w:val="000B5CDF"/>
    <w:rsid w:val="000B6453"/>
    <w:rsid w:val="000B6550"/>
    <w:rsid w:val="000B65D7"/>
    <w:rsid w:val="000B6672"/>
    <w:rsid w:val="000B6756"/>
    <w:rsid w:val="000B68F2"/>
    <w:rsid w:val="000B697B"/>
    <w:rsid w:val="000B6993"/>
    <w:rsid w:val="000B6B4D"/>
    <w:rsid w:val="000B6D46"/>
    <w:rsid w:val="000B6E86"/>
    <w:rsid w:val="000B79A5"/>
    <w:rsid w:val="000B7A54"/>
    <w:rsid w:val="000B7ADA"/>
    <w:rsid w:val="000B7D26"/>
    <w:rsid w:val="000C0642"/>
    <w:rsid w:val="000C0723"/>
    <w:rsid w:val="000C0813"/>
    <w:rsid w:val="000C097F"/>
    <w:rsid w:val="000C0DBD"/>
    <w:rsid w:val="000C1276"/>
    <w:rsid w:val="000C137D"/>
    <w:rsid w:val="000C1697"/>
    <w:rsid w:val="000C2478"/>
    <w:rsid w:val="000C39BB"/>
    <w:rsid w:val="000C3E48"/>
    <w:rsid w:val="000C42EE"/>
    <w:rsid w:val="000C4575"/>
    <w:rsid w:val="000C4FEB"/>
    <w:rsid w:val="000C5526"/>
    <w:rsid w:val="000C5AF4"/>
    <w:rsid w:val="000C5E1A"/>
    <w:rsid w:val="000C5FD2"/>
    <w:rsid w:val="000C6071"/>
    <w:rsid w:val="000C619A"/>
    <w:rsid w:val="000C6215"/>
    <w:rsid w:val="000C6920"/>
    <w:rsid w:val="000C6C94"/>
    <w:rsid w:val="000C6ED1"/>
    <w:rsid w:val="000C71B5"/>
    <w:rsid w:val="000C726C"/>
    <w:rsid w:val="000C75C0"/>
    <w:rsid w:val="000C7B73"/>
    <w:rsid w:val="000C7D04"/>
    <w:rsid w:val="000C7DA2"/>
    <w:rsid w:val="000D07B7"/>
    <w:rsid w:val="000D093B"/>
    <w:rsid w:val="000D0B4B"/>
    <w:rsid w:val="000D14A6"/>
    <w:rsid w:val="000D1579"/>
    <w:rsid w:val="000D188F"/>
    <w:rsid w:val="000D1936"/>
    <w:rsid w:val="000D1B97"/>
    <w:rsid w:val="000D1D79"/>
    <w:rsid w:val="000D25E8"/>
    <w:rsid w:val="000D2797"/>
    <w:rsid w:val="000D29A1"/>
    <w:rsid w:val="000D2CE6"/>
    <w:rsid w:val="000D37BA"/>
    <w:rsid w:val="000D3B95"/>
    <w:rsid w:val="000D423B"/>
    <w:rsid w:val="000D4874"/>
    <w:rsid w:val="000D4CF4"/>
    <w:rsid w:val="000D5328"/>
    <w:rsid w:val="000D53DF"/>
    <w:rsid w:val="000D62B9"/>
    <w:rsid w:val="000D62E5"/>
    <w:rsid w:val="000D665A"/>
    <w:rsid w:val="000D66D4"/>
    <w:rsid w:val="000D6B7B"/>
    <w:rsid w:val="000D6C8D"/>
    <w:rsid w:val="000D737C"/>
    <w:rsid w:val="000D77C7"/>
    <w:rsid w:val="000D7B44"/>
    <w:rsid w:val="000D7D9F"/>
    <w:rsid w:val="000D7E33"/>
    <w:rsid w:val="000E017B"/>
    <w:rsid w:val="000E05BF"/>
    <w:rsid w:val="000E08A1"/>
    <w:rsid w:val="000E08EC"/>
    <w:rsid w:val="000E0CD6"/>
    <w:rsid w:val="000E0CDD"/>
    <w:rsid w:val="000E1964"/>
    <w:rsid w:val="000E1C1A"/>
    <w:rsid w:val="000E216C"/>
    <w:rsid w:val="000E21D8"/>
    <w:rsid w:val="000E2224"/>
    <w:rsid w:val="000E2317"/>
    <w:rsid w:val="000E2675"/>
    <w:rsid w:val="000E2A5B"/>
    <w:rsid w:val="000E2CFF"/>
    <w:rsid w:val="000E3641"/>
    <w:rsid w:val="000E37E1"/>
    <w:rsid w:val="000E3E48"/>
    <w:rsid w:val="000E40D0"/>
    <w:rsid w:val="000E44A1"/>
    <w:rsid w:val="000E54EB"/>
    <w:rsid w:val="000E5766"/>
    <w:rsid w:val="000E5A17"/>
    <w:rsid w:val="000E5B00"/>
    <w:rsid w:val="000E5B22"/>
    <w:rsid w:val="000E5C40"/>
    <w:rsid w:val="000E6142"/>
    <w:rsid w:val="000E61D3"/>
    <w:rsid w:val="000E63EF"/>
    <w:rsid w:val="000E6B95"/>
    <w:rsid w:val="000E6E43"/>
    <w:rsid w:val="000E7A4B"/>
    <w:rsid w:val="000E7B34"/>
    <w:rsid w:val="000E7C8D"/>
    <w:rsid w:val="000F023D"/>
    <w:rsid w:val="000F045F"/>
    <w:rsid w:val="000F0659"/>
    <w:rsid w:val="000F0693"/>
    <w:rsid w:val="000F0879"/>
    <w:rsid w:val="000F094E"/>
    <w:rsid w:val="000F0C17"/>
    <w:rsid w:val="000F0E9B"/>
    <w:rsid w:val="000F1220"/>
    <w:rsid w:val="000F14F6"/>
    <w:rsid w:val="000F1A14"/>
    <w:rsid w:val="000F1CAF"/>
    <w:rsid w:val="000F1D8F"/>
    <w:rsid w:val="000F2133"/>
    <w:rsid w:val="000F28E5"/>
    <w:rsid w:val="000F2A8D"/>
    <w:rsid w:val="000F2C15"/>
    <w:rsid w:val="000F317C"/>
    <w:rsid w:val="000F31E6"/>
    <w:rsid w:val="000F31F6"/>
    <w:rsid w:val="000F3348"/>
    <w:rsid w:val="000F3484"/>
    <w:rsid w:val="000F394E"/>
    <w:rsid w:val="000F3E2D"/>
    <w:rsid w:val="000F41A3"/>
    <w:rsid w:val="000F528A"/>
    <w:rsid w:val="000F52E7"/>
    <w:rsid w:val="000F5A18"/>
    <w:rsid w:val="000F5D93"/>
    <w:rsid w:val="000F63EE"/>
    <w:rsid w:val="000F66AC"/>
    <w:rsid w:val="000F6D3A"/>
    <w:rsid w:val="000F71ED"/>
    <w:rsid w:val="000F7825"/>
    <w:rsid w:val="000F7A27"/>
    <w:rsid w:val="000F7D01"/>
    <w:rsid w:val="000F7F98"/>
    <w:rsid w:val="00100AE6"/>
    <w:rsid w:val="0010117E"/>
    <w:rsid w:val="00101331"/>
    <w:rsid w:val="00101B07"/>
    <w:rsid w:val="00102063"/>
    <w:rsid w:val="00102181"/>
    <w:rsid w:val="00102B4E"/>
    <w:rsid w:val="00103490"/>
    <w:rsid w:val="00103975"/>
    <w:rsid w:val="00103B91"/>
    <w:rsid w:val="00103C03"/>
    <w:rsid w:val="00104597"/>
    <w:rsid w:val="00104BFD"/>
    <w:rsid w:val="00104C71"/>
    <w:rsid w:val="00105038"/>
    <w:rsid w:val="001058B6"/>
    <w:rsid w:val="00105939"/>
    <w:rsid w:val="0010687D"/>
    <w:rsid w:val="00106E8D"/>
    <w:rsid w:val="00106F40"/>
    <w:rsid w:val="00107032"/>
    <w:rsid w:val="0010738E"/>
    <w:rsid w:val="001077C7"/>
    <w:rsid w:val="00107A9B"/>
    <w:rsid w:val="001102A8"/>
    <w:rsid w:val="001107CE"/>
    <w:rsid w:val="00110B0E"/>
    <w:rsid w:val="00111121"/>
    <w:rsid w:val="001117B8"/>
    <w:rsid w:val="00111823"/>
    <w:rsid w:val="00111D7C"/>
    <w:rsid w:val="00111DE3"/>
    <w:rsid w:val="001126C0"/>
    <w:rsid w:val="00112C9E"/>
    <w:rsid w:val="00113129"/>
    <w:rsid w:val="001138DA"/>
    <w:rsid w:val="00113D7A"/>
    <w:rsid w:val="00113E84"/>
    <w:rsid w:val="001142AD"/>
    <w:rsid w:val="001144F7"/>
    <w:rsid w:val="001147D2"/>
    <w:rsid w:val="00114FE3"/>
    <w:rsid w:val="001152CA"/>
    <w:rsid w:val="001152E0"/>
    <w:rsid w:val="00115375"/>
    <w:rsid w:val="0011542F"/>
    <w:rsid w:val="00115A1B"/>
    <w:rsid w:val="00115B5A"/>
    <w:rsid w:val="00115BA2"/>
    <w:rsid w:val="00116065"/>
    <w:rsid w:val="00116427"/>
    <w:rsid w:val="00116547"/>
    <w:rsid w:val="001167D3"/>
    <w:rsid w:val="001172A1"/>
    <w:rsid w:val="00117A4B"/>
    <w:rsid w:val="00117B80"/>
    <w:rsid w:val="00117FA0"/>
    <w:rsid w:val="00120BA3"/>
    <w:rsid w:val="00120C82"/>
    <w:rsid w:val="00120E37"/>
    <w:rsid w:val="00120F04"/>
    <w:rsid w:val="00121420"/>
    <w:rsid w:val="00121621"/>
    <w:rsid w:val="001216C1"/>
    <w:rsid w:val="00121E90"/>
    <w:rsid w:val="0012250E"/>
    <w:rsid w:val="00122D02"/>
    <w:rsid w:val="00122D84"/>
    <w:rsid w:val="001236ED"/>
    <w:rsid w:val="001237AB"/>
    <w:rsid w:val="0012396A"/>
    <w:rsid w:val="00123F21"/>
    <w:rsid w:val="00123F5D"/>
    <w:rsid w:val="0012400F"/>
    <w:rsid w:val="001242FD"/>
    <w:rsid w:val="00124977"/>
    <w:rsid w:val="00124D85"/>
    <w:rsid w:val="00125573"/>
    <w:rsid w:val="0012558C"/>
    <w:rsid w:val="00125933"/>
    <w:rsid w:val="00125FE4"/>
    <w:rsid w:val="0012632B"/>
    <w:rsid w:val="0012639A"/>
    <w:rsid w:val="00126DB0"/>
    <w:rsid w:val="00127041"/>
    <w:rsid w:val="00130062"/>
    <w:rsid w:val="0013028C"/>
    <w:rsid w:val="00130367"/>
    <w:rsid w:val="00130AF4"/>
    <w:rsid w:val="00130D97"/>
    <w:rsid w:val="00130F14"/>
    <w:rsid w:val="0013147B"/>
    <w:rsid w:val="0013188C"/>
    <w:rsid w:val="00131D0D"/>
    <w:rsid w:val="00131D42"/>
    <w:rsid w:val="001320E7"/>
    <w:rsid w:val="001326A2"/>
    <w:rsid w:val="00132785"/>
    <w:rsid w:val="001328A0"/>
    <w:rsid w:val="00132B39"/>
    <w:rsid w:val="00132E08"/>
    <w:rsid w:val="00132E4F"/>
    <w:rsid w:val="00132F67"/>
    <w:rsid w:val="001332FB"/>
    <w:rsid w:val="00133ADC"/>
    <w:rsid w:val="00133ECA"/>
    <w:rsid w:val="0013439F"/>
    <w:rsid w:val="00134615"/>
    <w:rsid w:val="0013478D"/>
    <w:rsid w:val="00134B21"/>
    <w:rsid w:val="001352CF"/>
    <w:rsid w:val="00135ABC"/>
    <w:rsid w:val="00136123"/>
    <w:rsid w:val="0013616E"/>
    <w:rsid w:val="0013647C"/>
    <w:rsid w:val="001364EC"/>
    <w:rsid w:val="00136773"/>
    <w:rsid w:val="001370C3"/>
    <w:rsid w:val="001373C8"/>
    <w:rsid w:val="00137753"/>
    <w:rsid w:val="00140095"/>
    <w:rsid w:val="0014086A"/>
    <w:rsid w:val="00140BC2"/>
    <w:rsid w:val="00140D1B"/>
    <w:rsid w:val="00140D1E"/>
    <w:rsid w:val="001410B6"/>
    <w:rsid w:val="001415F6"/>
    <w:rsid w:val="001417F2"/>
    <w:rsid w:val="00141C00"/>
    <w:rsid w:val="0014279C"/>
    <w:rsid w:val="00142D1D"/>
    <w:rsid w:val="00143099"/>
    <w:rsid w:val="00144131"/>
    <w:rsid w:val="00144BFD"/>
    <w:rsid w:val="00144CB1"/>
    <w:rsid w:val="00144D1A"/>
    <w:rsid w:val="00144D9A"/>
    <w:rsid w:val="00144E13"/>
    <w:rsid w:val="00144F0B"/>
    <w:rsid w:val="00145429"/>
    <w:rsid w:val="0014564F"/>
    <w:rsid w:val="0014589F"/>
    <w:rsid w:val="00145BDA"/>
    <w:rsid w:val="00145E01"/>
    <w:rsid w:val="00145FF8"/>
    <w:rsid w:val="001462D2"/>
    <w:rsid w:val="0014684D"/>
    <w:rsid w:val="00146974"/>
    <w:rsid w:val="0014697D"/>
    <w:rsid w:val="00147C36"/>
    <w:rsid w:val="00147CB6"/>
    <w:rsid w:val="00147E31"/>
    <w:rsid w:val="00147EE3"/>
    <w:rsid w:val="001506A9"/>
    <w:rsid w:val="00150DAC"/>
    <w:rsid w:val="00150DC6"/>
    <w:rsid w:val="00151105"/>
    <w:rsid w:val="001513C6"/>
    <w:rsid w:val="001518A3"/>
    <w:rsid w:val="001519A8"/>
    <w:rsid w:val="001519B1"/>
    <w:rsid w:val="00151AA2"/>
    <w:rsid w:val="00151B19"/>
    <w:rsid w:val="00151DA0"/>
    <w:rsid w:val="00152430"/>
    <w:rsid w:val="00152E05"/>
    <w:rsid w:val="0015348D"/>
    <w:rsid w:val="00153FC0"/>
    <w:rsid w:val="00154304"/>
    <w:rsid w:val="00154305"/>
    <w:rsid w:val="00154E1C"/>
    <w:rsid w:val="00154E74"/>
    <w:rsid w:val="00154FBB"/>
    <w:rsid w:val="00155652"/>
    <w:rsid w:val="00155974"/>
    <w:rsid w:val="00156170"/>
    <w:rsid w:val="001564AF"/>
    <w:rsid w:val="001566C9"/>
    <w:rsid w:val="001566E5"/>
    <w:rsid w:val="00156796"/>
    <w:rsid w:val="00156820"/>
    <w:rsid w:val="0015682A"/>
    <w:rsid w:val="00156A1C"/>
    <w:rsid w:val="00156A2A"/>
    <w:rsid w:val="00157341"/>
    <w:rsid w:val="001573AD"/>
    <w:rsid w:val="001579B5"/>
    <w:rsid w:val="00157FC7"/>
    <w:rsid w:val="00160DD9"/>
    <w:rsid w:val="001616A5"/>
    <w:rsid w:val="001618C0"/>
    <w:rsid w:val="00161A8D"/>
    <w:rsid w:val="00161A97"/>
    <w:rsid w:val="00161C2C"/>
    <w:rsid w:val="00161DD3"/>
    <w:rsid w:val="0016239D"/>
    <w:rsid w:val="0016247B"/>
    <w:rsid w:val="001629FB"/>
    <w:rsid w:val="00162A98"/>
    <w:rsid w:val="00162F7B"/>
    <w:rsid w:val="00162FA1"/>
    <w:rsid w:val="00163499"/>
    <w:rsid w:val="001635FB"/>
    <w:rsid w:val="00163CB4"/>
    <w:rsid w:val="00163D9B"/>
    <w:rsid w:val="00163F27"/>
    <w:rsid w:val="00164617"/>
    <w:rsid w:val="00164832"/>
    <w:rsid w:val="001649E1"/>
    <w:rsid w:val="00164E8E"/>
    <w:rsid w:val="001651F0"/>
    <w:rsid w:val="00165714"/>
    <w:rsid w:val="001661FF"/>
    <w:rsid w:val="00166279"/>
    <w:rsid w:val="00166317"/>
    <w:rsid w:val="001667B8"/>
    <w:rsid w:val="00166B26"/>
    <w:rsid w:val="00166EDE"/>
    <w:rsid w:val="00167129"/>
    <w:rsid w:val="00167147"/>
    <w:rsid w:val="0016798B"/>
    <w:rsid w:val="001679B4"/>
    <w:rsid w:val="00167C18"/>
    <w:rsid w:val="00167CD3"/>
    <w:rsid w:val="00167E4B"/>
    <w:rsid w:val="00170163"/>
    <w:rsid w:val="0017037B"/>
    <w:rsid w:val="00170617"/>
    <w:rsid w:val="00170B3A"/>
    <w:rsid w:val="00170D61"/>
    <w:rsid w:val="00170DE0"/>
    <w:rsid w:val="00171069"/>
    <w:rsid w:val="0017106C"/>
    <w:rsid w:val="00171690"/>
    <w:rsid w:val="0017170B"/>
    <w:rsid w:val="001718E5"/>
    <w:rsid w:val="001718F8"/>
    <w:rsid w:val="00171C21"/>
    <w:rsid w:val="00172098"/>
    <w:rsid w:val="00172597"/>
    <w:rsid w:val="00172752"/>
    <w:rsid w:val="001727C3"/>
    <w:rsid w:val="001728AF"/>
    <w:rsid w:val="00172A57"/>
    <w:rsid w:val="001731B8"/>
    <w:rsid w:val="00173707"/>
    <w:rsid w:val="00173A19"/>
    <w:rsid w:val="00173A91"/>
    <w:rsid w:val="00173F6F"/>
    <w:rsid w:val="00174080"/>
    <w:rsid w:val="00174286"/>
    <w:rsid w:val="001743CB"/>
    <w:rsid w:val="00174D7C"/>
    <w:rsid w:val="001750CC"/>
    <w:rsid w:val="001753E0"/>
    <w:rsid w:val="00175C3C"/>
    <w:rsid w:val="00175DB6"/>
    <w:rsid w:val="00175E4D"/>
    <w:rsid w:val="001762DD"/>
    <w:rsid w:val="001763C7"/>
    <w:rsid w:val="00176A6F"/>
    <w:rsid w:val="00176BB0"/>
    <w:rsid w:val="001772EB"/>
    <w:rsid w:val="00177B35"/>
    <w:rsid w:val="00177D15"/>
    <w:rsid w:val="00177D1C"/>
    <w:rsid w:val="00177DC8"/>
    <w:rsid w:val="001802CD"/>
    <w:rsid w:val="001807A3"/>
    <w:rsid w:val="00180BE9"/>
    <w:rsid w:val="00180C18"/>
    <w:rsid w:val="001811F5"/>
    <w:rsid w:val="0018156C"/>
    <w:rsid w:val="001815C9"/>
    <w:rsid w:val="00181885"/>
    <w:rsid w:val="001819B7"/>
    <w:rsid w:val="00181A17"/>
    <w:rsid w:val="00181F0A"/>
    <w:rsid w:val="00182111"/>
    <w:rsid w:val="00182343"/>
    <w:rsid w:val="00182533"/>
    <w:rsid w:val="0018257C"/>
    <w:rsid w:val="00182C2E"/>
    <w:rsid w:val="00182DD6"/>
    <w:rsid w:val="00182FDA"/>
    <w:rsid w:val="00183233"/>
    <w:rsid w:val="00183344"/>
    <w:rsid w:val="00183848"/>
    <w:rsid w:val="00183A26"/>
    <w:rsid w:val="00183BB5"/>
    <w:rsid w:val="0018429C"/>
    <w:rsid w:val="0018476D"/>
    <w:rsid w:val="00184B9E"/>
    <w:rsid w:val="0018580A"/>
    <w:rsid w:val="00185811"/>
    <w:rsid w:val="001860EC"/>
    <w:rsid w:val="001862D1"/>
    <w:rsid w:val="0018692C"/>
    <w:rsid w:val="00186A85"/>
    <w:rsid w:val="00186B0C"/>
    <w:rsid w:val="00186BF5"/>
    <w:rsid w:val="00186CF2"/>
    <w:rsid w:val="0018737F"/>
    <w:rsid w:val="001878CE"/>
    <w:rsid w:val="001902F1"/>
    <w:rsid w:val="0019077F"/>
    <w:rsid w:val="001909B6"/>
    <w:rsid w:val="00190B32"/>
    <w:rsid w:val="001911AD"/>
    <w:rsid w:val="0019184C"/>
    <w:rsid w:val="00191ACA"/>
    <w:rsid w:val="00191C90"/>
    <w:rsid w:val="00191E05"/>
    <w:rsid w:val="0019210B"/>
    <w:rsid w:val="00192191"/>
    <w:rsid w:val="00192392"/>
    <w:rsid w:val="00192732"/>
    <w:rsid w:val="00192A34"/>
    <w:rsid w:val="00192C1F"/>
    <w:rsid w:val="00192D82"/>
    <w:rsid w:val="001930EF"/>
    <w:rsid w:val="0019332A"/>
    <w:rsid w:val="00193467"/>
    <w:rsid w:val="00193D71"/>
    <w:rsid w:val="00193FCB"/>
    <w:rsid w:val="001944A0"/>
    <w:rsid w:val="001947CB"/>
    <w:rsid w:val="00194CB3"/>
    <w:rsid w:val="00194DFA"/>
    <w:rsid w:val="00194ECE"/>
    <w:rsid w:val="00194F9F"/>
    <w:rsid w:val="001952CC"/>
    <w:rsid w:val="001955A9"/>
    <w:rsid w:val="001955F8"/>
    <w:rsid w:val="001957CD"/>
    <w:rsid w:val="00195AA0"/>
    <w:rsid w:val="00195E2C"/>
    <w:rsid w:val="001962BC"/>
    <w:rsid w:val="00196913"/>
    <w:rsid w:val="00196B87"/>
    <w:rsid w:val="00196E4E"/>
    <w:rsid w:val="00197047"/>
    <w:rsid w:val="001971C9"/>
    <w:rsid w:val="00197368"/>
    <w:rsid w:val="001973C8"/>
    <w:rsid w:val="001974D0"/>
    <w:rsid w:val="001978D0"/>
    <w:rsid w:val="001A0240"/>
    <w:rsid w:val="001A035C"/>
    <w:rsid w:val="001A05D1"/>
    <w:rsid w:val="001A0C26"/>
    <w:rsid w:val="001A0EBC"/>
    <w:rsid w:val="001A120C"/>
    <w:rsid w:val="001A15F7"/>
    <w:rsid w:val="001A1E19"/>
    <w:rsid w:val="001A2072"/>
    <w:rsid w:val="001A225A"/>
    <w:rsid w:val="001A22CA"/>
    <w:rsid w:val="001A2BED"/>
    <w:rsid w:val="001A2DAF"/>
    <w:rsid w:val="001A2DD9"/>
    <w:rsid w:val="001A2EBA"/>
    <w:rsid w:val="001A3622"/>
    <w:rsid w:val="001A4181"/>
    <w:rsid w:val="001A42BF"/>
    <w:rsid w:val="001A441A"/>
    <w:rsid w:val="001A4D47"/>
    <w:rsid w:val="001A5190"/>
    <w:rsid w:val="001A564D"/>
    <w:rsid w:val="001A669C"/>
    <w:rsid w:val="001A6A4B"/>
    <w:rsid w:val="001A6F0B"/>
    <w:rsid w:val="001A6F7E"/>
    <w:rsid w:val="001A7826"/>
    <w:rsid w:val="001A7F13"/>
    <w:rsid w:val="001B03FB"/>
    <w:rsid w:val="001B07ED"/>
    <w:rsid w:val="001B0CA3"/>
    <w:rsid w:val="001B146E"/>
    <w:rsid w:val="001B161F"/>
    <w:rsid w:val="001B17E3"/>
    <w:rsid w:val="001B18D1"/>
    <w:rsid w:val="001B1A4E"/>
    <w:rsid w:val="001B1E7D"/>
    <w:rsid w:val="001B217A"/>
    <w:rsid w:val="001B236C"/>
    <w:rsid w:val="001B273D"/>
    <w:rsid w:val="001B2D4E"/>
    <w:rsid w:val="001B2DA6"/>
    <w:rsid w:val="001B2E0E"/>
    <w:rsid w:val="001B2E49"/>
    <w:rsid w:val="001B31F2"/>
    <w:rsid w:val="001B3349"/>
    <w:rsid w:val="001B347D"/>
    <w:rsid w:val="001B35BB"/>
    <w:rsid w:val="001B37CE"/>
    <w:rsid w:val="001B387F"/>
    <w:rsid w:val="001B3A36"/>
    <w:rsid w:val="001B3B81"/>
    <w:rsid w:val="001B3EBC"/>
    <w:rsid w:val="001B41A1"/>
    <w:rsid w:val="001B420A"/>
    <w:rsid w:val="001B45CC"/>
    <w:rsid w:val="001B45F6"/>
    <w:rsid w:val="001B489E"/>
    <w:rsid w:val="001B49F8"/>
    <w:rsid w:val="001B4AE5"/>
    <w:rsid w:val="001B5247"/>
    <w:rsid w:val="001B58FD"/>
    <w:rsid w:val="001B6655"/>
    <w:rsid w:val="001B67A7"/>
    <w:rsid w:val="001B6E2F"/>
    <w:rsid w:val="001B6EF4"/>
    <w:rsid w:val="001B707B"/>
    <w:rsid w:val="001B73F0"/>
    <w:rsid w:val="001B7469"/>
    <w:rsid w:val="001B74E6"/>
    <w:rsid w:val="001B7C99"/>
    <w:rsid w:val="001C03B8"/>
    <w:rsid w:val="001C0AB8"/>
    <w:rsid w:val="001C106B"/>
    <w:rsid w:val="001C1217"/>
    <w:rsid w:val="001C130E"/>
    <w:rsid w:val="001C168B"/>
    <w:rsid w:val="001C16DF"/>
    <w:rsid w:val="001C17D1"/>
    <w:rsid w:val="001C1A96"/>
    <w:rsid w:val="001C1DBD"/>
    <w:rsid w:val="001C1E42"/>
    <w:rsid w:val="001C1F65"/>
    <w:rsid w:val="001C260E"/>
    <w:rsid w:val="001C28BD"/>
    <w:rsid w:val="001C28EA"/>
    <w:rsid w:val="001C2FDF"/>
    <w:rsid w:val="001C3BFF"/>
    <w:rsid w:val="001C4946"/>
    <w:rsid w:val="001C4CE4"/>
    <w:rsid w:val="001C4EFB"/>
    <w:rsid w:val="001C5368"/>
    <w:rsid w:val="001C5437"/>
    <w:rsid w:val="001C5848"/>
    <w:rsid w:val="001C59D7"/>
    <w:rsid w:val="001C5D06"/>
    <w:rsid w:val="001C5D26"/>
    <w:rsid w:val="001C5DE9"/>
    <w:rsid w:val="001C62AA"/>
    <w:rsid w:val="001C62AF"/>
    <w:rsid w:val="001C6462"/>
    <w:rsid w:val="001C66F9"/>
    <w:rsid w:val="001C6802"/>
    <w:rsid w:val="001C6923"/>
    <w:rsid w:val="001C6949"/>
    <w:rsid w:val="001C6B37"/>
    <w:rsid w:val="001C6E01"/>
    <w:rsid w:val="001C6F9C"/>
    <w:rsid w:val="001C7048"/>
    <w:rsid w:val="001C7662"/>
    <w:rsid w:val="001C76A3"/>
    <w:rsid w:val="001C788B"/>
    <w:rsid w:val="001C79E1"/>
    <w:rsid w:val="001C7CC3"/>
    <w:rsid w:val="001C7D7B"/>
    <w:rsid w:val="001D09E4"/>
    <w:rsid w:val="001D0A40"/>
    <w:rsid w:val="001D0B17"/>
    <w:rsid w:val="001D142A"/>
    <w:rsid w:val="001D16B8"/>
    <w:rsid w:val="001D16D4"/>
    <w:rsid w:val="001D1D0D"/>
    <w:rsid w:val="001D1D4D"/>
    <w:rsid w:val="001D243B"/>
    <w:rsid w:val="001D2873"/>
    <w:rsid w:val="001D2BF8"/>
    <w:rsid w:val="001D2C07"/>
    <w:rsid w:val="001D3193"/>
    <w:rsid w:val="001D3BCB"/>
    <w:rsid w:val="001D3C8B"/>
    <w:rsid w:val="001D3D80"/>
    <w:rsid w:val="001D428C"/>
    <w:rsid w:val="001D42FD"/>
    <w:rsid w:val="001D4343"/>
    <w:rsid w:val="001D497A"/>
    <w:rsid w:val="001D568B"/>
    <w:rsid w:val="001D5CC3"/>
    <w:rsid w:val="001D5E79"/>
    <w:rsid w:val="001D5EA4"/>
    <w:rsid w:val="001D60CC"/>
    <w:rsid w:val="001D6154"/>
    <w:rsid w:val="001D61D4"/>
    <w:rsid w:val="001D64DE"/>
    <w:rsid w:val="001D6B9E"/>
    <w:rsid w:val="001D6F45"/>
    <w:rsid w:val="001D74CD"/>
    <w:rsid w:val="001D76E4"/>
    <w:rsid w:val="001D76FB"/>
    <w:rsid w:val="001E09A3"/>
    <w:rsid w:val="001E0CE2"/>
    <w:rsid w:val="001E1277"/>
    <w:rsid w:val="001E1427"/>
    <w:rsid w:val="001E1A08"/>
    <w:rsid w:val="001E1FBB"/>
    <w:rsid w:val="001E2652"/>
    <w:rsid w:val="001E276F"/>
    <w:rsid w:val="001E2BB4"/>
    <w:rsid w:val="001E3000"/>
    <w:rsid w:val="001E3030"/>
    <w:rsid w:val="001E31D7"/>
    <w:rsid w:val="001E3EAD"/>
    <w:rsid w:val="001E4154"/>
    <w:rsid w:val="001E4551"/>
    <w:rsid w:val="001E4ABB"/>
    <w:rsid w:val="001E5606"/>
    <w:rsid w:val="001E59B5"/>
    <w:rsid w:val="001E5C50"/>
    <w:rsid w:val="001E61CB"/>
    <w:rsid w:val="001E6282"/>
    <w:rsid w:val="001E693C"/>
    <w:rsid w:val="001E6A6B"/>
    <w:rsid w:val="001E71B0"/>
    <w:rsid w:val="001E787F"/>
    <w:rsid w:val="001E7E89"/>
    <w:rsid w:val="001E7FA4"/>
    <w:rsid w:val="001F0DF0"/>
    <w:rsid w:val="001F0E89"/>
    <w:rsid w:val="001F1295"/>
    <w:rsid w:val="001F1616"/>
    <w:rsid w:val="001F1934"/>
    <w:rsid w:val="001F1CBE"/>
    <w:rsid w:val="001F2366"/>
    <w:rsid w:val="001F23DF"/>
    <w:rsid w:val="001F2467"/>
    <w:rsid w:val="001F261C"/>
    <w:rsid w:val="001F2925"/>
    <w:rsid w:val="001F2C0C"/>
    <w:rsid w:val="001F2D4C"/>
    <w:rsid w:val="001F2D6F"/>
    <w:rsid w:val="001F2E43"/>
    <w:rsid w:val="001F355E"/>
    <w:rsid w:val="001F567E"/>
    <w:rsid w:val="001F575A"/>
    <w:rsid w:val="001F5811"/>
    <w:rsid w:val="001F5AC9"/>
    <w:rsid w:val="001F5BFF"/>
    <w:rsid w:val="001F5C5F"/>
    <w:rsid w:val="001F5E49"/>
    <w:rsid w:val="001F5FC3"/>
    <w:rsid w:val="001F60DF"/>
    <w:rsid w:val="001F61A2"/>
    <w:rsid w:val="001F62F2"/>
    <w:rsid w:val="001F6352"/>
    <w:rsid w:val="001F638F"/>
    <w:rsid w:val="001F7080"/>
    <w:rsid w:val="001F7295"/>
    <w:rsid w:val="001F7328"/>
    <w:rsid w:val="001F75B1"/>
    <w:rsid w:val="001F77B8"/>
    <w:rsid w:val="001F7B72"/>
    <w:rsid w:val="001F7C2F"/>
    <w:rsid w:val="001F7DE8"/>
    <w:rsid w:val="0020013F"/>
    <w:rsid w:val="0020033F"/>
    <w:rsid w:val="00200B8C"/>
    <w:rsid w:val="00200CBB"/>
    <w:rsid w:val="00200D3A"/>
    <w:rsid w:val="00200E52"/>
    <w:rsid w:val="00201264"/>
    <w:rsid w:val="002014A0"/>
    <w:rsid w:val="0020180D"/>
    <w:rsid w:val="00201A06"/>
    <w:rsid w:val="00201D87"/>
    <w:rsid w:val="00201E99"/>
    <w:rsid w:val="00202193"/>
    <w:rsid w:val="0020254C"/>
    <w:rsid w:val="00202551"/>
    <w:rsid w:val="00202D34"/>
    <w:rsid w:val="002038D6"/>
    <w:rsid w:val="002038DD"/>
    <w:rsid w:val="00203A84"/>
    <w:rsid w:val="00203D74"/>
    <w:rsid w:val="00204131"/>
    <w:rsid w:val="00204842"/>
    <w:rsid w:val="0020548F"/>
    <w:rsid w:val="00205707"/>
    <w:rsid w:val="002058F7"/>
    <w:rsid w:val="00205B8C"/>
    <w:rsid w:val="00205BD8"/>
    <w:rsid w:val="00205D93"/>
    <w:rsid w:val="002063BC"/>
    <w:rsid w:val="002065A2"/>
    <w:rsid w:val="002065F6"/>
    <w:rsid w:val="002069D0"/>
    <w:rsid w:val="00206C70"/>
    <w:rsid w:val="00206F43"/>
    <w:rsid w:val="00207273"/>
    <w:rsid w:val="00207569"/>
    <w:rsid w:val="0021039F"/>
    <w:rsid w:val="002104D4"/>
    <w:rsid w:val="00211053"/>
    <w:rsid w:val="0021110E"/>
    <w:rsid w:val="0021112B"/>
    <w:rsid w:val="002113E5"/>
    <w:rsid w:val="0021171E"/>
    <w:rsid w:val="0021190D"/>
    <w:rsid w:val="00211D7B"/>
    <w:rsid w:val="00211F50"/>
    <w:rsid w:val="002120B1"/>
    <w:rsid w:val="0021213B"/>
    <w:rsid w:val="00212607"/>
    <w:rsid w:val="00212D65"/>
    <w:rsid w:val="00212F19"/>
    <w:rsid w:val="002132B0"/>
    <w:rsid w:val="0021348B"/>
    <w:rsid w:val="00213989"/>
    <w:rsid w:val="00213B12"/>
    <w:rsid w:val="00213B57"/>
    <w:rsid w:val="00213BAD"/>
    <w:rsid w:val="00213C66"/>
    <w:rsid w:val="00213D3C"/>
    <w:rsid w:val="0021407E"/>
    <w:rsid w:val="002147EA"/>
    <w:rsid w:val="00214A89"/>
    <w:rsid w:val="00215601"/>
    <w:rsid w:val="00215B94"/>
    <w:rsid w:val="002161D4"/>
    <w:rsid w:val="002162FC"/>
    <w:rsid w:val="00216A1B"/>
    <w:rsid w:val="00216B01"/>
    <w:rsid w:val="002172F2"/>
    <w:rsid w:val="00217726"/>
    <w:rsid w:val="002177BD"/>
    <w:rsid w:val="002179ED"/>
    <w:rsid w:val="0022063D"/>
    <w:rsid w:val="00220729"/>
    <w:rsid w:val="00220BA6"/>
    <w:rsid w:val="002210E9"/>
    <w:rsid w:val="00221225"/>
    <w:rsid w:val="00221239"/>
    <w:rsid w:val="002218EA"/>
    <w:rsid w:val="0022192B"/>
    <w:rsid w:val="00221A28"/>
    <w:rsid w:val="00221BFD"/>
    <w:rsid w:val="00221CB3"/>
    <w:rsid w:val="00221E14"/>
    <w:rsid w:val="0022220B"/>
    <w:rsid w:val="0022227F"/>
    <w:rsid w:val="002229CC"/>
    <w:rsid w:val="00222A19"/>
    <w:rsid w:val="00223558"/>
    <w:rsid w:val="00223B1F"/>
    <w:rsid w:val="00223DA6"/>
    <w:rsid w:val="0022416E"/>
    <w:rsid w:val="0022422A"/>
    <w:rsid w:val="00224350"/>
    <w:rsid w:val="002244DC"/>
    <w:rsid w:val="002245EA"/>
    <w:rsid w:val="00224D3F"/>
    <w:rsid w:val="00225B74"/>
    <w:rsid w:val="00225C78"/>
    <w:rsid w:val="00225D7F"/>
    <w:rsid w:val="0022600D"/>
    <w:rsid w:val="00226107"/>
    <w:rsid w:val="002262EA"/>
    <w:rsid w:val="00226610"/>
    <w:rsid w:val="00226648"/>
    <w:rsid w:val="00226EAD"/>
    <w:rsid w:val="00227138"/>
    <w:rsid w:val="002272B7"/>
    <w:rsid w:val="002279E9"/>
    <w:rsid w:val="002300A6"/>
    <w:rsid w:val="00230CC3"/>
    <w:rsid w:val="002310A5"/>
    <w:rsid w:val="002310C9"/>
    <w:rsid w:val="00231209"/>
    <w:rsid w:val="00231372"/>
    <w:rsid w:val="00231A3A"/>
    <w:rsid w:val="00231D50"/>
    <w:rsid w:val="00231D7D"/>
    <w:rsid w:val="002320E4"/>
    <w:rsid w:val="00232294"/>
    <w:rsid w:val="002331AD"/>
    <w:rsid w:val="0023350E"/>
    <w:rsid w:val="002335B3"/>
    <w:rsid w:val="00233B65"/>
    <w:rsid w:val="00233B7B"/>
    <w:rsid w:val="00233F87"/>
    <w:rsid w:val="002346B1"/>
    <w:rsid w:val="00234907"/>
    <w:rsid w:val="00235214"/>
    <w:rsid w:val="00235668"/>
    <w:rsid w:val="00235739"/>
    <w:rsid w:val="002368D6"/>
    <w:rsid w:val="002368E5"/>
    <w:rsid w:val="00236ADF"/>
    <w:rsid w:val="00236E06"/>
    <w:rsid w:val="00237019"/>
    <w:rsid w:val="002373F9"/>
    <w:rsid w:val="00237CC4"/>
    <w:rsid w:val="00237E9F"/>
    <w:rsid w:val="002401BC"/>
    <w:rsid w:val="002401FB"/>
    <w:rsid w:val="002406F1"/>
    <w:rsid w:val="00240875"/>
    <w:rsid w:val="00240EF3"/>
    <w:rsid w:val="00241B20"/>
    <w:rsid w:val="00241B63"/>
    <w:rsid w:val="00241EF9"/>
    <w:rsid w:val="00241F0D"/>
    <w:rsid w:val="00242192"/>
    <w:rsid w:val="002426A8"/>
    <w:rsid w:val="00242776"/>
    <w:rsid w:val="00242FA0"/>
    <w:rsid w:val="002430C7"/>
    <w:rsid w:val="002431F9"/>
    <w:rsid w:val="002435B1"/>
    <w:rsid w:val="002435F6"/>
    <w:rsid w:val="0024380C"/>
    <w:rsid w:val="00243935"/>
    <w:rsid w:val="00243CA5"/>
    <w:rsid w:val="00244302"/>
    <w:rsid w:val="00244673"/>
    <w:rsid w:val="002446C3"/>
    <w:rsid w:val="00244882"/>
    <w:rsid w:val="00244971"/>
    <w:rsid w:val="002451F9"/>
    <w:rsid w:val="0024523D"/>
    <w:rsid w:val="002452BA"/>
    <w:rsid w:val="00245C15"/>
    <w:rsid w:val="002460ED"/>
    <w:rsid w:val="00246254"/>
    <w:rsid w:val="00246683"/>
    <w:rsid w:val="00246977"/>
    <w:rsid w:val="00246C75"/>
    <w:rsid w:val="0024723B"/>
    <w:rsid w:val="002474D7"/>
    <w:rsid w:val="002476FC"/>
    <w:rsid w:val="00247D2F"/>
    <w:rsid w:val="00247ECF"/>
    <w:rsid w:val="00247F50"/>
    <w:rsid w:val="00250307"/>
    <w:rsid w:val="0025058A"/>
    <w:rsid w:val="002509C4"/>
    <w:rsid w:val="002516B9"/>
    <w:rsid w:val="00251781"/>
    <w:rsid w:val="00251865"/>
    <w:rsid w:val="00251ADC"/>
    <w:rsid w:val="00251D0A"/>
    <w:rsid w:val="0025288D"/>
    <w:rsid w:val="00252BE8"/>
    <w:rsid w:val="00252C6F"/>
    <w:rsid w:val="00252F2C"/>
    <w:rsid w:val="00252FDA"/>
    <w:rsid w:val="00253023"/>
    <w:rsid w:val="0025348B"/>
    <w:rsid w:val="0025398A"/>
    <w:rsid w:val="00253A0F"/>
    <w:rsid w:val="00253B3B"/>
    <w:rsid w:val="00253BD9"/>
    <w:rsid w:val="002540E8"/>
    <w:rsid w:val="0025461F"/>
    <w:rsid w:val="0025486A"/>
    <w:rsid w:val="00254F3A"/>
    <w:rsid w:val="00255489"/>
    <w:rsid w:val="00255AF8"/>
    <w:rsid w:val="00255B69"/>
    <w:rsid w:val="002563E3"/>
    <w:rsid w:val="00256A41"/>
    <w:rsid w:val="00257170"/>
    <w:rsid w:val="00257482"/>
    <w:rsid w:val="00257A28"/>
    <w:rsid w:val="00257D09"/>
    <w:rsid w:val="002601CA"/>
    <w:rsid w:val="002605C3"/>
    <w:rsid w:val="002605E6"/>
    <w:rsid w:val="00260A08"/>
    <w:rsid w:val="00260A30"/>
    <w:rsid w:val="00260A36"/>
    <w:rsid w:val="00260B0E"/>
    <w:rsid w:val="00260B7F"/>
    <w:rsid w:val="00260B81"/>
    <w:rsid w:val="00261544"/>
    <w:rsid w:val="00261897"/>
    <w:rsid w:val="00261BAD"/>
    <w:rsid w:val="002622A6"/>
    <w:rsid w:val="00262328"/>
    <w:rsid w:val="0026233A"/>
    <w:rsid w:val="00262654"/>
    <w:rsid w:val="00262B1B"/>
    <w:rsid w:val="002634F2"/>
    <w:rsid w:val="002635D0"/>
    <w:rsid w:val="00263779"/>
    <w:rsid w:val="00263AD6"/>
    <w:rsid w:val="002641BF"/>
    <w:rsid w:val="002647C1"/>
    <w:rsid w:val="00264A56"/>
    <w:rsid w:val="00264A8C"/>
    <w:rsid w:val="0026513C"/>
    <w:rsid w:val="002655B8"/>
    <w:rsid w:val="00265B60"/>
    <w:rsid w:val="002661CA"/>
    <w:rsid w:val="00266253"/>
    <w:rsid w:val="00266770"/>
    <w:rsid w:val="002669B6"/>
    <w:rsid w:val="00266BD4"/>
    <w:rsid w:val="00266D76"/>
    <w:rsid w:val="00267090"/>
    <w:rsid w:val="002674F0"/>
    <w:rsid w:val="002679E5"/>
    <w:rsid w:val="00267DD3"/>
    <w:rsid w:val="00267F92"/>
    <w:rsid w:val="00267FF3"/>
    <w:rsid w:val="002700FD"/>
    <w:rsid w:val="002705B0"/>
    <w:rsid w:val="00270796"/>
    <w:rsid w:val="00270E60"/>
    <w:rsid w:val="0027149D"/>
    <w:rsid w:val="00271BF5"/>
    <w:rsid w:val="00271E33"/>
    <w:rsid w:val="0027274F"/>
    <w:rsid w:val="00272938"/>
    <w:rsid w:val="002729C3"/>
    <w:rsid w:val="0027324F"/>
    <w:rsid w:val="002733E1"/>
    <w:rsid w:val="00273479"/>
    <w:rsid w:val="00273487"/>
    <w:rsid w:val="00273BD6"/>
    <w:rsid w:val="00274D34"/>
    <w:rsid w:val="00274D40"/>
    <w:rsid w:val="00274E21"/>
    <w:rsid w:val="00275128"/>
    <w:rsid w:val="0027543E"/>
    <w:rsid w:val="0027574D"/>
    <w:rsid w:val="0027580D"/>
    <w:rsid w:val="00275A89"/>
    <w:rsid w:val="00275D3D"/>
    <w:rsid w:val="00275E6D"/>
    <w:rsid w:val="002762A7"/>
    <w:rsid w:val="00276717"/>
    <w:rsid w:val="00276A76"/>
    <w:rsid w:val="00276BC9"/>
    <w:rsid w:val="0027712B"/>
    <w:rsid w:val="00277719"/>
    <w:rsid w:val="00277878"/>
    <w:rsid w:val="002778F0"/>
    <w:rsid w:val="00277ACD"/>
    <w:rsid w:val="00277C64"/>
    <w:rsid w:val="00277FCD"/>
    <w:rsid w:val="00280094"/>
    <w:rsid w:val="00280579"/>
    <w:rsid w:val="0028099C"/>
    <w:rsid w:val="002809DC"/>
    <w:rsid w:val="00280CF9"/>
    <w:rsid w:val="00281F27"/>
    <w:rsid w:val="00281F31"/>
    <w:rsid w:val="00282227"/>
    <w:rsid w:val="0028272B"/>
    <w:rsid w:val="00282FA5"/>
    <w:rsid w:val="00283296"/>
    <w:rsid w:val="00283306"/>
    <w:rsid w:val="0028404E"/>
    <w:rsid w:val="0028415A"/>
    <w:rsid w:val="00284596"/>
    <w:rsid w:val="002847A2"/>
    <w:rsid w:val="00284B13"/>
    <w:rsid w:val="00284BA1"/>
    <w:rsid w:val="00284D07"/>
    <w:rsid w:val="002854EF"/>
    <w:rsid w:val="00285B7F"/>
    <w:rsid w:val="002866F5"/>
    <w:rsid w:val="00286AE1"/>
    <w:rsid w:val="00286E23"/>
    <w:rsid w:val="00286E34"/>
    <w:rsid w:val="00286F7C"/>
    <w:rsid w:val="00290318"/>
    <w:rsid w:val="0029070A"/>
    <w:rsid w:val="00290985"/>
    <w:rsid w:val="00290A9A"/>
    <w:rsid w:val="00290B94"/>
    <w:rsid w:val="00290C66"/>
    <w:rsid w:val="00290C86"/>
    <w:rsid w:val="00290E18"/>
    <w:rsid w:val="00290E4E"/>
    <w:rsid w:val="00290ED8"/>
    <w:rsid w:val="002910FC"/>
    <w:rsid w:val="00291526"/>
    <w:rsid w:val="0029218B"/>
    <w:rsid w:val="00292871"/>
    <w:rsid w:val="0029287C"/>
    <w:rsid w:val="00293116"/>
    <w:rsid w:val="00293290"/>
    <w:rsid w:val="00293A95"/>
    <w:rsid w:val="00293D7C"/>
    <w:rsid w:val="00293F25"/>
    <w:rsid w:val="00293F40"/>
    <w:rsid w:val="0029459A"/>
    <w:rsid w:val="0029492D"/>
    <w:rsid w:val="00294F13"/>
    <w:rsid w:val="00294FDA"/>
    <w:rsid w:val="00295208"/>
    <w:rsid w:val="002957D8"/>
    <w:rsid w:val="002957E5"/>
    <w:rsid w:val="00295A92"/>
    <w:rsid w:val="00295BB1"/>
    <w:rsid w:val="00295C01"/>
    <w:rsid w:val="00295CA3"/>
    <w:rsid w:val="0029638A"/>
    <w:rsid w:val="00296DE8"/>
    <w:rsid w:val="002972C4"/>
    <w:rsid w:val="00297A54"/>
    <w:rsid w:val="00297A99"/>
    <w:rsid w:val="00297D50"/>
    <w:rsid w:val="002A0742"/>
    <w:rsid w:val="002A0B85"/>
    <w:rsid w:val="002A0E99"/>
    <w:rsid w:val="002A0F01"/>
    <w:rsid w:val="002A1867"/>
    <w:rsid w:val="002A1D9A"/>
    <w:rsid w:val="002A1EB7"/>
    <w:rsid w:val="002A229E"/>
    <w:rsid w:val="002A247C"/>
    <w:rsid w:val="002A300D"/>
    <w:rsid w:val="002A3736"/>
    <w:rsid w:val="002A39ED"/>
    <w:rsid w:val="002A3A0D"/>
    <w:rsid w:val="002A3B7E"/>
    <w:rsid w:val="002A3CF6"/>
    <w:rsid w:val="002A3D7A"/>
    <w:rsid w:val="002A3E0A"/>
    <w:rsid w:val="002A4448"/>
    <w:rsid w:val="002A460A"/>
    <w:rsid w:val="002A4F2E"/>
    <w:rsid w:val="002A4F7C"/>
    <w:rsid w:val="002A5007"/>
    <w:rsid w:val="002A51A6"/>
    <w:rsid w:val="002A561C"/>
    <w:rsid w:val="002A5D9A"/>
    <w:rsid w:val="002A6029"/>
    <w:rsid w:val="002A612A"/>
    <w:rsid w:val="002A65E3"/>
    <w:rsid w:val="002A6B1F"/>
    <w:rsid w:val="002A6EC3"/>
    <w:rsid w:val="002A7354"/>
    <w:rsid w:val="002A78A3"/>
    <w:rsid w:val="002B01A2"/>
    <w:rsid w:val="002B0496"/>
    <w:rsid w:val="002B0944"/>
    <w:rsid w:val="002B0A27"/>
    <w:rsid w:val="002B13CF"/>
    <w:rsid w:val="002B1A2C"/>
    <w:rsid w:val="002B1C33"/>
    <w:rsid w:val="002B1E30"/>
    <w:rsid w:val="002B1F4B"/>
    <w:rsid w:val="002B258A"/>
    <w:rsid w:val="002B2895"/>
    <w:rsid w:val="002B2AFF"/>
    <w:rsid w:val="002B2D66"/>
    <w:rsid w:val="002B3193"/>
    <w:rsid w:val="002B3674"/>
    <w:rsid w:val="002B3AAA"/>
    <w:rsid w:val="002B4521"/>
    <w:rsid w:val="002B48D4"/>
    <w:rsid w:val="002B53CB"/>
    <w:rsid w:val="002B53DD"/>
    <w:rsid w:val="002B5400"/>
    <w:rsid w:val="002B555A"/>
    <w:rsid w:val="002B57C5"/>
    <w:rsid w:val="002B5A72"/>
    <w:rsid w:val="002B5D02"/>
    <w:rsid w:val="002B6180"/>
    <w:rsid w:val="002B6252"/>
    <w:rsid w:val="002B63A9"/>
    <w:rsid w:val="002B64E6"/>
    <w:rsid w:val="002B6702"/>
    <w:rsid w:val="002B68AE"/>
    <w:rsid w:val="002B69A3"/>
    <w:rsid w:val="002B7406"/>
    <w:rsid w:val="002B7440"/>
    <w:rsid w:val="002B7898"/>
    <w:rsid w:val="002B7D6F"/>
    <w:rsid w:val="002C02BC"/>
    <w:rsid w:val="002C03B4"/>
    <w:rsid w:val="002C0FEB"/>
    <w:rsid w:val="002C10FF"/>
    <w:rsid w:val="002C1479"/>
    <w:rsid w:val="002C15B0"/>
    <w:rsid w:val="002C1619"/>
    <w:rsid w:val="002C242D"/>
    <w:rsid w:val="002C259B"/>
    <w:rsid w:val="002C273D"/>
    <w:rsid w:val="002C2A52"/>
    <w:rsid w:val="002C2AD5"/>
    <w:rsid w:val="002C2B62"/>
    <w:rsid w:val="002C2CD6"/>
    <w:rsid w:val="002C3161"/>
    <w:rsid w:val="002C3869"/>
    <w:rsid w:val="002C3C5F"/>
    <w:rsid w:val="002C4720"/>
    <w:rsid w:val="002C4E5B"/>
    <w:rsid w:val="002C5D7B"/>
    <w:rsid w:val="002C6B13"/>
    <w:rsid w:val="002C6C7B"/>
    <w:rsid w:val="002C7076"/>
    <w:rsid w:val="002C7271"/>
    <w:rsid w:val="002C7912"/>
    <w:rsid w:val="002C7C09"/>
    <w:rsid w:val="002D023A"/>
    <w:rsid w:val="002D0481"/>
    <w:rsid w:val="002D07A1"/>
    <w:rsid w:val="002D0BC5"/>
    <w:rsid w:val="002D1067"/>
    <w:rsid w:val="002D109F"/>
    <w:rsid w:val="002D1101"/>
    <w:rsid w:val="002D1B97"/>
    <w:rsid w:val="002D1F17"/>
    <w:rsid w:val="002D2022"/>
    <w:rsid w:val="002D28F6"/>
    <w:rsid w:val="002D2A93"/>
    <w:rsid w:val="002D2C2B"/>
    <w:rsid w:val="002D2E05"/>
    <w:rsid w:val="002D30A8"/>
    <w:rsid w:val="002D3722"/>
    <w:rsid w:val="002D373B"/>
    <w:rsid w:val="002D37DD"/>
    <w:rsid w:val="002D3B49"/>
    <w:rsid w:val="002D3D29"/>
    <w:rsid w:val="002D40DA"/>
    <w:rsid w:val="002D4501"/>
    <w:rsid w:val="002D46C5"/>
    <w:rsid w:val="002D484B"/>
    <w:rsid w:val="002D496F"/>
    <w:rsid w:val="002D4B71"/>
    <w:rsid w:val="002D4D38"/>
    <w:rsid w:val="002D54BF"/>
    <w:rsid w:val="002D54DA"/>
    <w:rsid w:val="002D550A"/>
    <w:rsid w:val="002D561E"/>
    <w:rsid w:val="002D5693"/>
    <w:rsid w:val="002D5921"/>
    <w:rsid w:val="002D59ED"/>
    <w:rsid w:val="002D5BB7"/>
    <w:rsid w:val="002D5C33"/>
    <w:rsid w:val="002D5E21"/>
    <w:rsid w:val="002D5FD5"/>
    <w:rsid w:val="002D602F"/>
    <w:rsid w:val="002D62AB"/>
    <w:rsid w:val="002D64DE"/>
    <w:rsid w:val="002D67EB"/>
    <w:rsid w:val="002D6831"/>
    <w:rsid w:val="002D6B91"/>
    <w:rsid w:val="002D6F90"/>
    <w:rsid w:val="002D75A0"/>
    <w:rsid w:val="002D775B"/>
    <w:rsid w:val="002D79D0"/>
    <w:rsid w:val="002D7CB0"/>
    <w:rsid w:val="002D7E58"/>
    <w:rsid w:val="002E0C58"/>
    <w:rsid w:val="002E0E4B"/>
    <w:rsid w:val="002E10DC"/>
    <w:rsid w:val="002E163D"/>
    <w:rsid w:val="002E1BDF"/>
    <w:rsid w:val="002E1DEB"/>
    <w:rsid w:val="002E2170"/>
    <w:rsid w:val="002E2C2F"/>
    <w:rsid w:val="002E2F7C"/>
    <w:rsid w:val="002E2FC0"/>
    <w:rsid w:val="002E3362"/>
    <w:rsid w:val="002E3943"/>
    <w:rsid w:val="002E3AA1"/>
    <w:rsid w:val="002E4088"/>
    <w:rsid w:val="002E4130"/>
    <w:rsid w:val="002E423E"/>
    <w:rsid w:val="002E4938"/>
    <w:rsid w:val="002E495E"/>
    <w:rsid w:val="002E4AC8"/>
    <w:rsid w:val="002E4BC7"/>
    <w:rsid w:val="002E4D2D"/>
    <w:rsid w:val="002E5498"/>
    <w:rsid w:val="002E5FF3"/>
    <w:rsid w:val="002E65AA"/>
    <w:rsid w:val="002E6DF9"/>
    <w:rsid w:val="002E6E9E"/>
    <w:rsid w:val="002E6F5C"/>
    <w:rsid w:val="002E724A"/>
    <w:rsid w:val="002E7320"/>
    <w:rsid w:val="002E767E"/>
    <w:rsid w:val="002E79B8"/>
    <w:rsid w:val="002E7C2E"/>
    <w:rsid w:val="002E7DCA"/>
    <w:rsid w:val="002F0072"/>
    <w:rsid w:val="002F01FA"/>
    <w:rsid w:val="002F0220"/>
    <w:rsid w:val="002F0626"/>
    <w:rsid w:val="002F0916"/>
    <w:rsid w:val="002F0A1E"/>
    <w:rsid w:val="002F0AE2"/>
    <w:rsid w:val="002F0F22"/>
    <w:rsid w:val="002F16ED"/>
    <w:rsid w:val="002F1BA7"/>
    <w:rsid w:val="002F28FB"/>
    <w:rsid w:val="002F2BCA"/>
    <w:rsid w:val="002F450B"/>
    <w:rsid w:val="002F48F9"/>
    <w:rsid w:val="002F4A6F"/>
    <w:rsid w:val="002F4AC5"/>
    <w:rsid w:val="002F4EAC"/>
    <w:rsid w:val="002F58CA"/>
    <w:rsid w:val="002F5C5C"/>
    <w:rsid w:val="002F5CA6"/>
    <w:rsid w:val="002F5E54"/>
    <w:rsid w:val="002F63CE"/>
    <w:rsid w:val="002F66AB"/>
    <w:rsid w:val="002F6F8B"/>
    <w:rsid w:val="002F71A0"/>
    <w:rsid w:val="002F77A5"/>
    <w:rsid w:val="002F78C0"/>
    <w:rsid w:val="002F7D5F"/>
    <w:rsid w:val="003000C9"/>
    <w:rsid w:val="003001EC"/>
    <w:rsid w:val="00300344"/>
    <w:rsid w:val="00300406"/>
    <w:rsid w:val="00300E70"/>
    <w:rsid w:val="00300FA2"/>
    <w:rsid w:val="00301CF6"/>
    <w:rsid w:val="00301F0C"/>
    <w:rsid w:val="00301F58"/>
    <w:rsid w:val="00301FA0"/>
    <w:rsid w:val="00302176"/>
    <w:rsid w:val="0030276E"/>
    <w:rsid w:val="00302AFB"/>
    <w:rsid w:val="00302DD8"/>
    <w:rsid w:val="00303263"/>
    <w:rsid w:val="00303CBB"/>
    <w:rsid w:val="00303DDC"/>
    <w:rsid w:val="003045BE"/>
    <w:rsid w:val="00304AB7"/>
    <w:rsid w:val="00304D74"/>
    <w:rsid w:val="003051FC"/>
    <w:rsid w:val="003052D2"/>
    <w:rsid w:val="00305724"/>
    <w:rsid w:val="00305F33"/>
    <w:rsid w:val="00305F3F"/>
    <w:rsid w:val="00306DE3"/>
    <w:rsid w:val="0030715A"/>
    <w:rsid w:val="0030736B"/>
    <w:rsid w:val="003074D7"/>
    <w:rsid w:val="00307513"/>
    <w:rsid w:val="0030774E"/>
    <w:rsid w:val="00307B10"/>
    <w:rsid w:val="00307B52"/>
    <w:rsid w:val="00307DE6"/>
    <w:rsid w:val="00310874"/>
    <w:rsid w:val="00310F93"/>
    <w:rsid w:val="0031118E"/>
    <w:rsid w:val="003111BA"/>
    <w:rsid w:val="0031136B"/>
    <w:rsid w:val="00311784"/>
    <w:rsid w:val="003118EB"/>
    <w:rsid w:val="00311AFB"/>
    <w:rsid w:val="0031225B"/>
    <w:rsid w:val="00312553"/>
    <w:rsid w:val="00312602"/>
    <w:rsid w:val="00312667"/>
    <w:rsid w:val="003129FD"/>
    <w:rsid w:val="00312C8E"/>
    <w:rsid w:val="00312EBB"/>
    <w:rsid w:val="00315112"/>
    <w:rsid w:val="0031537F"/>
    <w:rsid w:val="0031552F"/>
    <w:rsid w:val="00315838"/>
    <w:rsid w:val="00315977"/>
    <w:rsid w:val="00315C93"/>
    <w:rsid w:val="00315DA1"/>
    <w:rsid w:val="00316260"/>
    <w:rsid w:val="003166B5"/>
    <w:rsid w:val="003167E6"/>
    <w:rsid w:val="003169F5"/>
    <w:rsid w:val="00316F0A"/>
    <w:rsid w:val="003171EA"/>
    <w:rsid w:val="003172E0"/>
    <w:rsid w:val="0031752A"/>
    <w:rsid w:val="0031766B"/>
    <w:rsid w:val="00317D5F"/>
    <w:rsid w:val="00317F09"/>
    <w:rsid w:val="00317F87"/>
    <w:rsid w:val="00320634"/>
    <w:rsid w:val="00320770"/>
    <w:rsid w:val="003207BE"/>
    <w:rsid w:val="00320AE1"/>
    <w:rsid w:val="00320FD0"/>
    <w:rsid w:val="0032154E"/>
    <w:rsid w:val="00321736"/>
    <w:rsid w:val="00322346"/>
    <w:rsid w:val="003223B2"/>
    <w:rsid w:val="00322403"/>
    <w:rsid w:val="00322809"/>
    <w:rsid w:val="003228F0"/>
    <w:rsid w:val="00322A79"/>
    <w:rsid w:val="00322C8F"/>
    <w:rsid w:val="00322E30"/>
    <w:rsid w:val="0032370E"/>
    <w:rsid w:val="00323743"/>
    <w:rsid w:val="003240E0"/>
    <w:rsid w:val="003242B2"/>
    <w:rsid w:val="003246D6"/>
    <w:rsid w:val="00324BA1"/>
    <w:rsid w:val="00324C7B"/>
    <w:rsid w:val="00324F3A"/>
    <w:rsid w:val="003255D6"/>
    <w:rsid w:val="00325843"/>
    <w:rsid w:val="003258CF"/>
    <w:rsid w:val="00325B69"/>
    <w:rsid w:val="00325BD0"/>
    <w:rsid w:val="0032600E"/>
    <w:rsid w:val="0032613A"/>
    <w:rsid w:val="00326304"/>
    <w:rsid w:val="00326514"/>
    <w:rsid w:val="00326652"/>
    <w:rsid w:val="00326782"/>
    <w:rsid w:val="003267FC"/>
    <w:rsid w:val="00326E07"/>
    <w:rsid w:val="00327BE2"/>
    <w:rsid w:val="00327C5F"/>
    <w:rsid w:val="00330172"/>
    <w:rsid w:val="0033031F"/>
    <w:rsid w:val="003303B5"/>
    <w:rsid w:val="0033069D"/>
    <w:rsid w:val="003307FD"/>
    <w:rsid w:val="00330D84"/>
    <w:rsid w:val="00331002"/>
    <w:rsid w:val="003310A7"/>
    <w:rsid w:val="0033118D"/>
    <w:rsid w:val="003314BA"/>
    <w:rsid w:val="00331509"/>
    <w:rsid w:val="00331A52"/>
    <w:rsid w:val="00331C7A"/>
    <w:rsid w:val="00331D39"/>
    <w:rsid w:val="00331EB5"/>
    <w:rsid w:val="003321D3"/>
    <w:rsid w:val="00332537"/>
    <w:rsid w:val="0033284C"/>
    <w:rsid w:val="00332857"/>
    <w:rsid w:val="00332C44"/>
    <w:rsid w:val="00333007"/>
    <w:rsid w:val="003332BF"/>
    <w:rsid w:val="0033330B"/>
    <w:rsid w:val="003334B8"/>
    <w:rsid w:val="00333985"/>
    <w:rsid w:val="00334069"/>
    <w:rsid w:val="003343B0"/>
    <w:rsid w:val="003347D6"/>
    <w:rsid w:val="00334D00"/>
    <w:rsid w:val="0033534C"/>
    <w:rsid w:val="0033559A"/>
    <w:rsid w:val="00335814"/>
    <w:rsid w:val="00335AEB"/>
    <w:rsid w:val="00335EF9"/>
    <w:rsid w:val="00336011"/>
    <w:rsid w:val="00336028"/>
    <w:rsid w:val="00336358"/>
    <w:rsid w:val="00336849"/>
    <w:rsid w:val="00336A52"/>
    <w:rsid w:val="00336CD6"/>
    <w:rsid w:val="003370F6"/>
    <w:rsid w:val="00337134"/>
    <w:rsid w:val="00337276"/>
    <w:rsid w:val="0033748A"/>
    <w:rsid w:val="00337A0E"/>
    <w:rsid w:val="00337BEE"/>
    <w:rsid w:val="00337EA3"/>
    <w:rsid w:val="0034076D"/>
    <w:rsid w:val="003408C6"/>
    <w:rsid w:val="0034129A"/>
    <w:rsid w:val="003412F4"/>
    <w:rsid w:val="00341B6C"/>
    <w:rsid w:val="00342104"/>
    <w:rsid w:val="00342329"/>
    <w:rsid w:val="0034287F"/>
    <w:rsid w:val="0034330C"/>
    <w:rsid w:val="00343412"/>
    <w:rsid w:val="00343AAA"/>
    <w:rsid w:val="00343D7D"/>
    <w:rsid w:val="00344424"/>
    <w:rsid w:val="00344BA4"/>
    <w:rsid w:val="00344E23"/>
    <w:rsid w:val="003450AD"/>
    <w:rsid w:val="00345C35"/>
    <w:rsid w:val="003460CD"/>
    <w:rsid w:val="003461D4"/>
    <w:rsid w:val="00346512"/>
    <w:rsid w:val="0034689D"/>
    <w:rsid w:val="0034708A"/>
    <w:rsid w:val="003479C3"/>
    <w:rsid w:val="00347A37"/>
    <w:rsid w:val="00347BD3"/>
    <w:rsid w:val="00347D6A"/>
    <w:rsid w:val="00347E67"/>
    <w:rsid w:val="00350134"/>
    <w:rsid w:val="00350550"/>
    <w:rsid w:val="003506B3"/>
    <w:rsid w:val="0035135F"/>
    <w:rsid w:val="00351729"/>
    <w:rsid w:val="003517B4"/>
    <w:rsid w:val="00352111"/>
    <w:rsid w:val="003522C2"/>
    <w:rsid w:val="0035254B"/>
    <w:rsid w:val="00352573"/>
    <w:rsid w:val="0035267C"/>
    <w:rsid w:val="00352682"/>
    <w:rsid w:val="00352800"/>
    <w:rsid w:val="00352848"/>
    <w:rsid w:val="00352E0A"/>
    <w:rsid w:val="00353038"/>
    <w:rsid w:val="003533BB"/>
    <w:rsid w:val="003534A7"/>
    <w:rsid w:val="00353E8F"/>
    <w:rsid w:val="003543F4"/>
    <w:rsid w:val="0035452D"/>
    <w:rsid w:val="00354F9E"/>
    <w:rsid w:val="0035540F"/>
    <w:rsid w:val="00356230"/>
    <w:rsid w:val="003562EE"/>
    <w:rsid w:val="00356420"/>
    <w:rsid w:val="0035670B"/>
    <w:rsid w:val="00356EC0"/>
    <w:rsid w:val="00356F87"/>
    <w:rsid w:val="003570AC"/>
    <w:rsid w:val="003573E3"/>
    <w:rsid w:val="0035769F"/>
    <w:rsid w:val="003576DA"/>
    <w:rsid w:val="003600CF"/>
    <w:rsid w:val="003600F3"/>
    <w:rsid w:val="00360643"/>
    <w:rsid w:val="00360680"/>
    <w:rsid w:val="00360D3A"/>
    <w:rsid w:val="00360DD3"/>
    <w:rsid w:val="00360E4F"/>
    <w:rsid w:val="00360F2C"/>
    <w:rsid w:val="00361041"/>
    <w:rsid w:val="00361D85"/>
    <w:rsid w:val="003620DA"/>
    <w:rsid w:val="00362366"/>
    <w:rsid w:val="0036267C"/>
    <w:rsid w:val="00362C3F"/>
    <w:rsid w:val="00363AC4"/>
    <w:rsid w:val="00363BBE"/>
    <w:rsid w:val="0036401F"/>
    <w:rsid w:val="00364662"/>
    <w:rsid w:val="00364BB9"/>
    <w:rsid w:val="00364E67"/>
    <w:rsid w:val="00364F6F"/>
    <w:rsid w:val="00365583"/>
    <w:rsid w:val="00365C6D"/>
    <w:rsid w:val="00365F2B"/>
    <w:rsid w:val="003661FE"/>
    <w:rsid w:val="003663A7"/>
    <w:rsid w:val="003665B9"/>
    <w:rsid w:val="003665BE"/>
    <w:rsid w:val="00367004"/>
    <w:rsid w:val="003673B6"/>
    <w:rsid w:val="0036746E"/>
    <w:rsid w:val="003678EC"/>
    <w:rsid w:val="00367FAA"/>
    <w:rsid w:val="00370497"/>
    <w:rsid w:val="0037077E"/>
    <w:rsid w:val="00370CFF"/>
    <w:rsid w:val="00370D2D"/>
    <w:rsid w:val="00370E8F"/>
    <w:rsid w:val="003710A2"/>
    <w:rsid w:val="00371334"/>
    <w:rsid w:val="00371339"/>
    <w:rsid w:val="00371D53"/>
    <w:rsid w:val="00371DEC"/>
    <w:rsid w:val="00372439"/>
    <w:rsid w:val="003725F7"/>
    <w:rsid w:val="003726CD"/>
    <w:rsid w:val="003726E3"/>
    <w:rsid w:val="00372B33"/>
    <w:rsid w:val="0037300A"/>
    <w:rsid w:val="00373609"/>
    <w:rsid w:val="0037420B"/>
    <w:rsid w:val="0037455A"/>
    <w:rsid w:val="00374594"/>
    <w:rsid w:val="003746C0"/>
    <w:rsid w:val="00374FF1"/>
    <w:rsid w:val="00376215"/>
    <w:rsid w:val="0037645F"/>
    <w:rsid w:val="0037683E"/>
    <w:rsid w:val="00376917"/>
    <w:rsid w:val="00376BED"/>
    <w:rsid w:val="00376C89"/>
    <w:rsid w:val="00376F8F"/>
    <w:rsid w:val="00377291"/>
    <w:rsid w:val="00377296"/>
    <w:rsid w:val="00377821"/>
    <w:rsid w:val="003778A4"/>
    <w:rsid w:val="00377B00"/>
    <w:rsid w:val="00377BF6"/>
    <w:rsid w:val="003800C3"/>
    <w:rsid w:val="003809E3"/>
    <w:rsid w:val="00380E9C"/>
    <w:rsid w:val="00380F60"/>
    <w:rsid w:val="0038214C"/>
    <w:rsid w:val="0038228A"/>
    <w:rsid w:val="00382CEA"/>
    <w:rsid w:val="00382F34"/>
    <w:rsid w:val="003830E8"/>
    <w:rsid w:val="0038360F"/>
    <w:rsid w:val="00383928"/>
    <w:rsid w:val="00383A2C"/>
    <w:rsid w:val="00383C15"/>
    <w:rsid w:val="00384523"/>
    <w:rsid w:val="0038455D"/>
    <w:rsid w:val="0038492B"/>
    <w:rsid w:val="0038551F"/>
    <w:rsid w:val="00385641"/>
    <w:rsid w:val="00385694"/>
    <w:rsid w:val="00386719"/>
    <w:rsid w:val="0038672E"/>
    <w:rsid w:val="0038697C"/>
    <w:rsid w:val="00386F73"/>
    <w:rsid w:val="00387BBD"/>
    <w:rsid w:val="00387D40"/>
    <w:rsid w:val="003900EF"/>
    <w:rsid w:val="00390108"/>
    <w:rsid w:val="003904EC"/>
    <w:rsid w:val="00390633"/>
    <w:rsid w:val="00391278"/>
    <w:rsid w:val="00391736"/>
    <w:rsid w:val="00391779"/>
    <w:rsid w:val="00391E03"/>
    <w:rsid w:val="003923EF"/>
    <w:rsid w:val="00392BAC"/>
    <w:rsid w:val="00393093"/>
    <w:rsid w:val="00393140"/>
    <w:rsid w:val="003938B2"/>
    <w:rsid w:val="00394280"/>
    <w:rsid w:val="00394379"/>
    <w:rsid w:val="003943A5"/>
    <w:rsid w:val="0039456A"/>
    <w:rsid w:val="00394667"/>
    <w:rsid w:val="00394E63"/>
    <w:rsid w:val="00395172"/>
    <w:rsid w:val="00395744"/>
    <w:rsid w:val="0039575C"/>
    <w:rsid w:val="00395975"/>
    <w:rsid w:val="00395E05"/>
    <w:rsid w:val="00395E09"/>
    <w:rsid w:val="00395F15"/>
    <w:rsid w:val="00395FEE"/>
    <w:rsid w:val="00396141"/>
    <w:rsid w:val="00396B90"/>
    <w:rsid w:val="00396BBF"/>
    <w:rsid w:val="00396F97"/>
    <w:rsid w:val="003970CA"/>
    <w:rsid w:val="003970EC"/>
    <w:rsid w:val="00397AD0"/>
    <w:rsid w:val="00397CD8"/>
    <w:rsid w:val="00397CED"/>
    <w:rsid w:val="003A0599"/>
    <w:rsid w:val="003A06A6"/>
    <w:rsid w:val="003A0EFE"/>
    <w:rsid w:val="003A0F10"/>
    <w:rsid w:val="003A1045"/>
    <w:rsid w:val="003A1087"/>
    <w:rsid w:val="003A10C5"/>
    <w:rsid w:val="003A16E1"/>
    <w:rsid w:val="003A18D0"/>
    <w:rsid w:val="003A1A0C"/>
    <w:rsid w:val="003A204B"/>
    <w:rsid w:val="003A29CA"/>
    <w:rsid w:val="003A2B90"/>
    <w:rsid w:val="003A2D01"/>
    <w:rsid w:val="003A3173"/>
    <w:rsid w:val="003A3233"/>
    <w:rsid w:val="003A3CE7"/>
    <w:rsid w:val="003A40F4"/>
    <w:rsid w:val="003A4134"/>
    <w:rsid w:val="003A43B6"/>
    <w:rsid w:val="003A4453"/>
    <w:rsid w:val="003A4529"/>
    <w:rsid w:val="003A4BD3"/>
    <w:rsid w:val="003A4EB4"/>
    <w:rsid w:val="003A5408"/>
    <w:rsid w:val="003A543E"/>
    <w:rsid w:val="003A5685"/>
    <w:rsid w:val="003A5DED"/>
    <w:rsid w:val="003A5FE1"/>
    <w:rsid w:val="003A628E"/>
    <w:rsid w:val="003A695A"/>
    <w:rsid w:val="003A7360"/>
    <w:rsid w:val="003A7631"/>
    <w:rsid w:val="003A7808"/>
    <w:rsid w:val="003A7B70"/>
    <w:rsid w:val="003A7DBE"/>
    <w:rsid w:val="003A7E22"/>
    <w:rsid w:val="003B0061"/>
    <w:rsid w:val="003B08B3"/>
    <w:rsid w:val="003B13A4"/>
    <w:rsid w:val="003B13F7"/>
    <w:rsid w:val="003B1489"/>
    <w:rsid w:val="003B184A"/>
    <w:rsid w:val="003B1ACC"/>
    <w:rsid w:val="003B1F82"/>
    <w:rsid w:val="003B2499"/>
    <w:rsid w:val="003B2888"/>
    <w:rsid w:val="003B2AC6"/>
    <w:rsid w:val="003B2B83"/>
    <w:rsid w:val="003B2E94"/>
    <w:rsid w:val="003B2EE8"/>
    <w:rsid w:val="003B38CA"/>
    <w:rsid w:val="003B39D2"/>
    <w:rsid w:val="003B3EE8"/>
    <w:rsid w:val="003B44C0"/>
    <w:rsid w:val="003B4638"/>
    <w:rsid w:val="003B4775"/>
    <w:rsid w:val="003B478C"/>
    <w:rsid w:val="003B6978"/>
    <w:rsid w:val="003B69F6"/>
    <w:rsid w:val="003B6DF9"/>
    <w:rsid w:val="003B6E99"/>
    <w:rsid w:val="003B6F8E"/>
    <w:rsid w:val="003B7258"/>
    <w:rsid w:val="003B73E1"/>
    <w:rsid w:val="003B773F"/>
    <w:rsid w:val="003B786A"/>
    <w:rsid w:val="003B7E6B"/>
    <w:rsid w:val="003C046B"/>
    <w:rsid w:val="003C05A4"/>
    <w:rsid w:val="003C05CA"/>
    <w:rsid w:val="003C0620"/>
    <w:rsid w:val="003C0B3F"/>
    <w:rsid w:val="003C12AA"/>
    <w:rsid w:val="003C1389"/>
    <w:rsid w:val="003C1829"/>
    <w:rsid w:val="003C1ABF"/>
    <w:rsid w:val="003C1C16"/>
    <w:rsid w:val="003C1CF0"/>
    <w:rsid w:val="003C1D8E"/>
    <w:rsid w:val="003C221A"/>
    <w:rsid w:val="003C2E99"/>
    <w:rsid w:val="003C322A"/>
    <w:rsid w:val="003C3395"/>
    <w:rsid w:val="003C3C80"/>
    <w:rsid w:val="003C3D70"/>
    <w:rsid w:val="003C3EFD"/>
    <w:rsid w:val="003C40E9"/>
    <w:rsid w:val="003C46EE"/>
    <w:rsid w:val="003C473F"/>
    <w:rsid w:val="003C4CFD"/>
    <w:rsid w:val="003C5186"/>
    <w:rsid w:val="003C52A9"/>
    <w:rsid w:val="003C5663"/>
    <w:rsid w:val="003C5EF2"/>
    <w:rsid w:val="003C604C"/>
    <w:rsid w:val="003C6404"/>
    <w:rsid w:val="003C651C"/>
    <w:rsid w:val="003C6762"/>
    <w:rsid w:val="003C67CE"/>
    <w:rsid w:val="003C69CE"/>
    <w:rsid w:val="003C6C3E"/>
    <w:rsid w:val="003C6EBC"/>
    <w:rsid w:val="003C706C"/>
    <w:rsid w:val="003C708B"/>
    <w:rsid w:val="003C7398"/>
    <w:rsid w:val="003C7451"/>
    <w:rsid w:val="003C74F8"/>
    <w:rsid w:val="003C798B"/>
    <w:rsid w:val="003C7A31"/>
    <w:rsid w:val="003D02EA"/>
    <w:rsid w:val="003D03AD"/>
    <w:rsid w:val="003D06EF"/>
    <w:rsid w:val="003D08C5"/>
    <w:rsid w:val="003D0D40"/>
    <w:rsid w:val="003D0DD8"/>
    <w:rsid w:val="003D11CC"/>
    <w:rsid w:val="003D151F"/>
    <w:rsid w:val="003D192E"/>
    <w:rsid w:val="003D2098"/>
    <w:rsid w:val="003D20EA"/>
    <w:rsid w:val="003D2536"/>
    <w:rsid w:val="003D25B9"/>
    <w:rsid w:val="003D2A26"/>
    <w:rsid w:val="003D2C49"/>
    <w:rsid w:val="003D30E3"/>
    <w:rsid w:val="003D3357"/>
    <w:rsid w:val="003D34FB"/>
    <w:rsid w:val="003D368B"/>
    <w:rsid w:val="003D37C2"/>
    <w:rsid w:val="003D3C89"/>
    <w:rsid w:val="003D4178"/>
    <w:rsid w:val="003D444E"/>
    <w:rsid w:val="003D491C"/>
    <w:rsid w:val="003D4EF3"/>
    <w:rsid w:val="003D5146"/>
    <w:rsid w:val="003D53A5"/>
    <w:rsid w:val="003D5689"/>
    <w:rsid w:val="003D5C08"/>
    <w:rsid w:val="003D5E1E"/>
    <w:rsid w:val="003D5FC5"/>
    <w:rsid w:val="003D64EE"/>
    <w:rsid w:val="003D6672"/>
    <w:rsid w:val="003D69D0"/>
    <w:rsid w:val="003D6B3A"/>
    <w:rsid w:val="003D6F67"/>
    <w:rsid w:val="003D70A1"/>
    <w:rsid w:val="003D732D"/>
    <w:rsid w:val="003D74DF"/>
    <w:rsid w:val="003D7FDE"/>
    <w:rsid w:val="003E03A4"/>
    <w:rsid w:val="003E0B8E"/>
    <w:rsid w:val="003E0ED5"/>
    <w:rsid w:val="003E1529"/>
    <w:rsid w:val="003E16E4"/>
    <w:rsid w:val="003E1EE8"/>
    <w:rsid w:val="003E1F79"/>
    <w:rsid w:val="003E2678"/>
    <w:rsid w:val="003E2BB3"/>
    <w:rsid w:val="003E2E37"/>
    <w:rsid w:val="003E3077"/>
    <w:rsid w:val="003E30F4"/>
    <w:rsid w:val="003E3327"/>
    <w:rsid w:val="003E3532"/>
    <w:rsid w:val="003E3771"/>
    <w:rsid w:val="003E38B8"/>
    <w:rsid w:val="003E39F3"/>
    <w:rsid w:val="003E3ED7"/>
    <w:rsid w:val="003E424F"/>
    <w:rsid w:val="003E45F6"/>
    <w:rsid w:val="003E4650"/>
    <w:rsid w:val="003E4E88"/>
    <w:rsid w:val="003E5790"/>
    <w:rsid w:val="003E5A7E"/>
    <w:rsid w:val="003E5BA5"/>
    <w:rsid w:val="003E6108"/>
    <w:rsid w:val="003E61D6"/>
    <w:rsid w:val="003E66C1"/>
    <w:rsid w:val="003E6DB6"/>
    <w:rsid w:val="003E7204"/>
    <w:rsid w:val="003E739D"/>
    <w:rsid w:val="003E74B3"/>
    <w:rsid w:val="003E7532"/>
    <w:rsid w:val="003E76E5"/>
    <w:rsid w:val="003E7BC9"/>
    <w:rsid w:val="003F01A5"/>
    <w:rsid w:val="003F0216"/>
    <w:rsid w:val="003F030E"/>
    <w:rsid w:val="003F0BFD"/>
    <w:rsid w:val="003F0D9C"/>
    <w:rsid w:val="003F104D"/>
    <w:rsid w:val="003F12B5"/>
    <w:rsid w:val="003F12E2"/>
    <w:rsid w:val="003F135E"/>
    <w:rsid w:val="003F153F"/>
    <w:rsid w:val="003F15C8"/>
    <w:rsid w:val="003F18C5"/>
    <w:rsid w:val="003F1CC8"/>
    <w:rsid w:val="003F1D34"/>
    <w:rsid w:val="003F1EAB"/>
    <w:rsid w:val="003F2321"/>
    <w:rsid w:val="003F2425"/>
    <w:rsid w:val="003F2C59"/>
    <w:rsid w:val="003F2D9E"/>
    <w:rsid w:val="003F3CD9"/>
    <w:rsid w:val="003F4419"/>
    <w:rsid w:val="003F46AD"/>
    <w:rsid w:val="003F4B26"/>
    <w:rsid w:val="003F4C23"/>
    <w:rsid w:val="003F4ECA"/>
    <w:rsid w:val="003F4EF6"/>
    <w:rsid w:val="003F5A41"/>
    <w:rsid w:val="003F5BD3"/>
    <w:rsid w:val="003F5C71"/>
    <w:rsid w:val="003F620B"/>
    <w:rsid w:val="003F6ADE"/>
    <w:rsid w:val="003F6DAA"/>
    <w:rsid w:val="003F6E35"/>
    <w:rsid w:val="003F6E8A"/>
    <w:rsid w:val="00400337"/>
    <w:rsid w:val="0040060F"/>
    <w:rsid w:val="0040098C"/>
    <w:rsid w:val="00400C48"/>
    <w:rsid w:val="00400F1B"/>
    <w:rsid w:val="0040128A"/>
    <w:rsid w:val="004013A3"/>
    <w:rsid w:val="00401E8F"/>
    <w:rsid w:val="00402599"/>
    <w:rsid w:val="004027CB"/>
    <w:rsid w:val="00402847"/>
    <w:rsid w:val="00402970"/>
    <w:rsid w:val="00402F06"/>
    <w:rsid w:val="004032E5"/>
    <w:rsid w:val="00403D60"/>
    <w:rsid w:val="00403F3B"/>
    <w:rsid w:val="004047B6"/>
    <w:rsid w:val="004047B9"/>
    <w:rsid w:val="00404C68"/>
    <w:rsid w:val="00404D4A"/>
    <w:rsid w:val="00404FB0"/>
    <w:rsid w:val="0040500A"/>
    <w:rsid w:val="0040575B"/>
    <w:rsid w:val="00405B86"/>
    <w:rsid w:val="00405D6E"/>
    <w:rsid w:val="00405F7A"/>
    <w:rsid w:val="00405FF3"/>
    <w:rsid w:val="0040619A"/>
    <w:rsid w:val="004065AC"/>
    <w:rsid w:val="004065DE"/>
    <w:rsid w:val="00406624"/>
    <w:rsid w:val="004067CC"/>
    <w:rsid w:val="004068FC"/>
    <w:rsid w:val="00406CDE"/>
    <w:rsid w:val="00406ED1"/>
    <w:rsid w:val="00406F6C"/>
    <w:rsid w:val="00407084"/>
    <w:rsid w:val="004070BD"/>
    <w:rsid w:val="0041057A"/>
    <w:rsid w:val="00410DDF"/>
    <w:rsid w:val="0041103D"/>
    <w:rsid w:val="004111B3"/>
    <w:rsid w:val="00411382"/>
    <w:rsid w:val="004114AF"/>
    <w:rsid w:val="004115FD"/>
    <w:rsid w:val="00411A1B"/>
    <w:rsid w:val="00411CC6"/>
    <w:rsid w:val="00411D9E"/>
    <w:rsid w:val="00412C6A"/>
    <w:rsid w:val="00412F04"/>
    <w:rsid w:val="00412F0D"/>
    <w:rsid w:val="004133C9"/>
    <w:rsid w:val="0041340C"/>
    <w:rsid w:val="004137A9"/>
    <w:rsid w:val="00413967"/>
    <w:rsid w:val="00413F43"/>
    <w:rsid w:val="00414005"/>
    <w:rsid w:val="00415497"/>
    <w:rsid w:val="00415663"/>
    <w:rsid w:val="00415947"/>
    <w:rsid w:val="0041597E"/>
    <w:rsid w:val="00415A36"/>
    <w:rsid w:val="00415A6A"/>
    <w:rsid w:val="00415B5A"/>
    <w:rsid w:val="00415C8C"/>
    <w:rsid w:val="00415F1F"/>
    <w:rsid w:val="0041627B"/>
    <w:rsid w:val="0041644F"/>
    <w:rsid w:val="00416889"/>
    <w:rsid w:val="004169BA"/>
    <w:rsid w:val="00416A29"/>
    <w:rsid w:val="00416C90"/>
    <w:rsid w:val="0041705F"/>
    <w:rsid w:val="0041706F"/>
    <w:rsid w:val="00417494"/>
    <w:rsid w:val="00417565"/>
    <w:rsid w:val="004175D1"/>
    <w:rsid w:val="004178D3"/>
    <w:rsid w:val="00417A6D"/>
    <w:rsid w:val="00417D81"/>
    <w:rsid w:val="00417E07"/>
    <w:rsid w:val="00420145"/>
    <w:rsid w:val="004201BA"/>
    <w:rsid w:val="0042058E"/>
    <w:rsid w:val="00420625"/>
    <w:rsid w:val="00420A11"/>
    <w:rsid w:val="00420C51"/>
    <w:rsid w:val="00420DCE"/>
    <w:rsid w:val="00420E46"/>
    <w:rsid w:val="0042191B"/>
    <w:rsid w:val="00421B50"/>
    <w:rsid w:val="00421EF4"/>
    <w:rsid w:val="004227F2"/>
    <w:rsid w:val="00422920"/>
    <w:rsid w:val="00422D57"/>
    <w:rsid w:val="00422F6C"/>
    <w:rsid w:val="00422FA9"/>
    <w:rsid w:val="0042367E"/>
    <w:rsid w:val="004236E4"/>
    <w:rsid w:val="0042433F"/>
    <w:rsid w:val="00424AD1"/>
    <w:rsid w:val="00424C8B"/>
    <w:rsid w:val="00424D2D"/>
    <w:rsid w:val="00424D9C"/>
    <w:rsid w:val="004251D4"/>
    <w:rsid w:val="00425378"/>
    <w:rsid w:val="00425791"/>
    <w:rsid w:val="004258F2"/>
    <w:rsid w:val="004258FC"/>
    <w:rsid w:val="00425907"/>
    <w:rsid w:val="00425BD2"/>
    <w:rsid w:val="00425EDD"/>
    <w:rsid w:val="0042653A"/>
    <w:rsid w:val="004267DB"/>
    <w:rsid w:val="00426E6C"/>
    <w:rsid w:val="00427123"/>
    <w:rsid w:val="00427133"/>
    <w:rsid w:val="00427986"/>
    <w:rsid w:val="00427D7C"/>
    <w:rsid w:val="004300E6"/>
    <w:rsid w:val="004301E8"/>
    <w:rsid w:val="00430369"/>
    <w:rsid w:val="00430C6D"/>
    <w:rsid w:val="00430D23"/>
    <w:rsid w:val="004313A3"/>
    <w:rsid w:val="004315CA"/>
    <w:rsid w:val="00431BC1"/>
    <w:rsid w:val="00431C23"/>
    <w:rsid w:val="00431E0C"/>
    <w:rsid w:val="00432174"/>
    <w:rsid w:val="004322A8"/>
    <w:rsid w:val="00432977"/>
    <w:rsid w:val="0043355D"/>
    <w:rsid w:val="0043366A"/>
    <w:rsid w:val="00433709"/>
    <w:rsid w:val="00433C99"/>
    <w:rsid w:val="00433F06"/>
    <w:rsid w:val="004343BF"/>
    <w:rsid w:val="00434D47"/>
    <w:rsid w:val="00434DF4"/>
    <w:rsid w:val="00435556"/>
    <w:rsid w:val="00435727"/>
    <w:rsid w:val="004357F1"/>
    <w:rsid w:val="00435803"/>
    <w:rsid w:val="00435C15"/>
    <w:rsid w:val="00435C26"/>
    <w:rsid w:val="004365AE"/>
    <w:rsid w:val="00436727"/>
    <w:rsid w:val="0043715D"/>
    <w:rsid w:val="0043717D"/>
    <w:rsid w:val="004372FD"/>
    <w:rsid w:val="00437A76"/>
    <w:rsid w:val="00437C03"/>
    <w:rsid w:val="00437E0C"/>
    <w:rsid w:val="00440173"/>
    <w:rsid w:val="0044032F"/>
    <w:rsid w:val="00440420"/>
    <w:rsid w:val="00440E36"/>
    <w:rsid w:val="00440E65"/>
    <w:rsid w:val="00440FBE"/>
    <w:rsid w:val="004417B6"/>
    <w:rsid w:val="00441955"/>
    <w:rsid w:val="00441C71"/>
    <w:rsid w:val="00441FAA"/>
    <w:rsid w:val="004420FC"/>
    <w:rsid w:val="0044210E"/>
    <w:rsid w:val="00442177"/>
    <w:rsid w:val="00442540"/>
    <w:rsid w:val="0044281B"/>
    <w:rsid w:val="00442FB9"/>
    <w:rsid w:val="004430E8"/>
    <w:rsid w:val="00443371"/>
    <w:rsid w:val="00443ACC"/>
    <w:rsid w:val="00443B0B"/>
    <w:rsid w:val="00443F2A"/>
    <w:rsid w:val="0044440F"/>
    <w:rsid w:val="004446FB"/>
    <w:rsid w:val="00444703"/>
    <w:rsid w:val="00444761"/>
    <w:rsid w:val="00444A6C"/>
    <w:rsid w:val="00444D94"/>
    <w:rsid w:val="00444F4E"/>
    <w:rsid w:val="00444F9B"/>
    <w:rsid w:val="00445195"/>
    <w:rsid w:val="00445556"/>
    <w:rsid w:val="004457B2"/>
    <w:rsid w:val="004460C6"/>
    <w:rsid w:val="004463DE"/>
    <w:rsid w:val="0044653F"/>
    <w:rsid w:val="00446976"/>
    <w:rsid w:val="00446999"/>
    <w:rsid w:val="00446C99"/>
    <w:rsid w:val="00446CEA"/>
    <w:rsid w:val="00446E5D"/>
    <w:rsid w:val="00446EF2"/>
    <w:rsid w:val="004472E8"/>
    <w:rsid w:val="00447A07"/>
    <w:rsid w:val="00447F64"/>
    <w:rsid w:val="00447F83"/>
    <w:rsid w:val="0045023D"/>
    <w:rsid w:val="004505C0"/>
    <w:rsid w:val="00450748"/>
    <w:rsid w:val="0045087A"/>
    <w:rsid w:val="00450903"/>
    <w:rsid w:val="00451149"/>
    <w:rsid w:val="00451716"/>
    <w:rsid w:val="00451782"/>
    <w:rsid w:val="00451DB2"/>
    <w:rsid w:val="00451E0F"/>
    <w:rsid w:val="0045219F"/>
    <w:rsid w:val="004521F8"/>
    <w:rsid w:val="00452253"/>
    <w:rsid w:val="00452655"/>
    <w:rsid w:val="00452C87"/>
    <w:rsid w:val="00452C8D"/>
    <w:rsid w:val="004530A9"/>
    <w:rsid w:val="0045316B"/>
    <w:rsid w:val="004531CA"/>
    <w:rsid w:val="00453774"/>
    <w:rsid w:val="00453C5C"/>
    <w:rsid w:val="00454202"/>
    <w:rsid w:val="004542AB"/>
    <w:rsid w:val="004544F7"/>
    <w:rsid w:val="004545D8"/>
    <w:rsid w:val="00454A6B"/>
    <w:rsid w:val="00454E45"/>
    <w:rsid w:val="00455BC0"/>
    <w:rsid w:val="004562B1"/>
    <w:rsid w:val="00456679"/>
    <w:rsid w:val="004570E7"/>
    <w:rsid w:val="00457989"/>
    <w:rsid w:val="004606C6"/>
    <w:rsid w:val="00460B2B"/>
    <w:rsid w:val="00460CBE"/>
    <w:rsid w:val="0046133C"/>
    <w:rsid w:val="0046178D"/>
    <w:rsid w:val="0046235E"/>
    <w:rsid w:val="004623E8"/>
    <w:rsid w:val="00462737"/>
    <w:rsid w:val="004627A0"/>
    <w:rsid w:val="00462AEA"/>
    <w:rsid w:val="00463988"/>
    <w:rsid w:val="00463AA1"/>
    <w:rsid w:val="00463B94"/>
    <w:rsid w:val="00463D0B"/>
    <w:rsid w:val="004642FD"/>
    <w:rsid w:val="004643A1"/>
    <w:rsid w:val="00464AFB"/>
    <w:rsid w:val="00464C10"/>
    <w:rsid w:val="00464F72"/>
    <w:rsid w:val="00464F93"/>
    <w:rsid w:val="00465240"/>
    <w:rsid w:val="00465606"/>
    <w:rsid w:val="00465C96"/>
    <w:rsid w:val="00465DBC"/>
    <w:rsid w:val="00465E08"/>
    <w:rsid w:val="00466C1C"/>
    <w:rsid w:val="0046702B"/>
    <w:rsid w:val="00467877"/>
    <w:rsid w:val="00467B9D"/>
    <w:rsid w:val="004704A2"/>
    <w:rsid w:val="00470652"/>
    <w:rsid w:val="0047081C"/>
    <w:rsid w:val="00470EF0"/>
    <w:rsid w:val="00471B4F"/>
    <w:rsid w:val="0047206C"/>
    <w:rsid w:val="0047227D"/>
    <w:rsid w:val="004722D1"/>
    <w:rsid w:val="004723B5"/>
    <w:rsid w:val="0047256E"/>
    <w:rsid w:val="00472F49"/>
    <w:rsid w:val="004734B3"/>
    <w:rsid w:val="004735AC"/>
    <w:rsid w:val="00473824"/>
    <w:rsid w:val="004743C3"/>
    <w:rsid w:val="00474785"/>
    <w:rsid w:val="004749B0"/>
    <w:rsid w:val="004749CC"/>
    <w:rsid w:val="00474B22"/>
    <w:rsid w:val="00474BF7"/>
    <w:rsid w:val="00474C7E"/>
    <w:rsid w:val="00474D62"/>
    <w:rsid w:val="00475525"/>
    <w:rsid w:val="004758A5"/>
    <w:rsid w:val="0047665A"/>
    <w:rsid w:val="004766F9"/>
    <w:rsid w:val="00476BE5"/>
    <w:rsid w:val="00476FE0"/>
    <w:rsid w:val="00477236"/>
    <w:rsid w:val="00477257"/>
    <w:rsid w:val="004774AD"/>
    <w:rsid w:val="00477BB8"/>
    <w:rsid w:val="00477CDE"/>
    <w:rsid w:val="0048003C"/>
    <w:rsid w:val="004800DA"/>
    <w:rsid w:val="0048057C"/>
    <w:rsid w:val="00480807"/>
    <w:rsid w:val="0048082F"/>
    <w:rsid w:val="00480E43"/>
    <w:rsid w:val="0048126F"/>
    <w:rsid w:val="004814A3"/>
    <w:rsid w:val="004814E5"/>
    <w:rsid w:val="004814EB"/>
    <w:rsid w:val="00481508"/>
    <w:rsid w:val="0048170D"/>
    <w:rsid w:val="00481B59"/>
    <w:rsid w:val="0048205A"/>
    <w:rsid w:val="00482298"/>
    <w:rsid w:val="00482390"/>
    <w:rsid w:val="00482512"/>
    <w:rsid w:val="0048259E"/>
    <w:rsid w:val="004829BE"/>
    <w:rsid w:val="00482E87"/>
    <w:rsid w:val="00482EFE"/>
    <w:rsid w:val="00482F0B"/>
    <w:rsid w:val="0048306E"/>
    <w:rsid w:val="00483205"/>
    <w:rsid w:val="004837C6"/>
    <w:rsid w:val="00483B7F"/>
    <w:rsid w:val="00483E53"/>
    <w:rsid w:val="00484139"/>
    <w:rsid w:val="0048460D"/>
    <w:rsid w:val="00484FEE"/>
    <w:rsid w:val="00485030"/>
    <w:rsid w:val="0048538E"/>
    <w:rsid w:val="004853BE"/>
    <w:rsid w:val="004854E3"/>
    <w:rsid w:val="00485882"/>
    <w:rsid w:val="004858BD"/>
    <w:rsid w:val="0048597A"/>
    <w:rsid w:val="00485FAB"/>
    <w:rsid w:val="00486076"/>
    <w:rsid w:val="004862A6"/>
    <w:rsid w:val="0048648F"/>
    <w:rsid w:val="00487258"/>
    <w:rsid w:val="00487533"/>
    <w:rsid w:val="00487745"/>
    <w:rsid w:val="0048776E"/>
    <w:rsid w:val="004877E0"/>
    <w:rsid w:val="00487D19"/>
    <w:rsid w:val="00487FFB"/>
    <w:rsid w:val="00490068"/>
    <w:rsid w:val="00490079"/>
    <w:rsid w:val="00490AA5"/>
    <w:rsid w:val="00490C98"/>
    <w:rsid w:val="00490E11"/>
    <w:rsid w:val="00490F21"/>
    <w:rsid w:val="0049130D"/>
    <w:rsid w:val="004919FC"/>
    <w:rsid w:val="00491FB6"/>
    <w:rsid w:val="004923C8"/>
    <w:rsid w:val="0049250B"/>
    <w:rsid w:val="00492CA6"/>
    <w:rsid w:val="004932F0"/>
    <w:rsid w:val="00493547"/>
    <w:rsid w:val="00493B34"/>
    <w:rsid w:val="00493D46"/>
    <w:rsid w:val="00493EDD"/>
    <w:rsid w:val="00494071"/>
    <w:rsid w:val="00494712"/>
    <w:rsid w:val="0049479F"/>
    <w:rsid w:val="0049483E"/>
    <w:rsid w:val="004949C4"/>
    <w:rsid w:val="00495031"/>
    <w:rsid w:val="004950F2"/>
    <w:rsid w:val="004951D7"/>
    <w:rsid w:val="00495545"/>
    <w:rsid w:val="004957B5"/>
    <w:rsid w:val="00495939"/>
    <w:rsid w:val="00495CB9"/>
    <w:rsid w:val="0049648F"/>
    <w:rsid w:val="004966EA"/>
    <w:rsid w:val="0049716C"/>
    <w:rsid w:val="00497226"/>
    <w:rsid w:val="004979F9"/>
    <w:rsid w:val="00497D10"/>
    <w:rsid w:val="00497DC5"/>
    <w:rsid w:val="004A03E7"/>
    <w:rsid w:val="004A04A1"/>
    <w:rsid w:val="004A066A"/>
    <w:rsid w:val="004A0734"/>
    <w:rsid w:val="004A08E7"/>
    <w:rsid w:val="004A09C0"/>
    <w:rsid w:val="004A0A49"/>
    <w:rsid w:val="004A0B7D"/>
    <w:rsid w:val="004A114F"/>
    <w:rsid w:val="004A1453"/>
    <w:rsid w:val="004A167B"/>
    <w:rsid w:val="004A18CB"/>
    <w:rsid w:val="004A1ACB"/>
    <w:rsid w:val="004A1CCF"/>
    <w:rsid w:val="004A1D5E"/>
    <w:rsid w:val="004A1D95"/>
    <w:rsid w:val="004A1DAF"/>
    <w:rsid w:val="004A1E09"/>
    <w:rsid w:val="004A1FC1"/>
    <w:rsid w:val="004A24FB"/>
    <w:rsid w:val="004A25A5"/>
    <w:rsid w:val="004A25DE"/>
    <w:rsid w:val="004A26DE"/>
    <w:rsid w:val="004A2AFE"/>
    <w:rsid w:val="004A2EED"/>
    <w:rsid w:val="004A30E0"/>
    <w:rsid w:val="004A310C"/>
    <w:rsid w:val="004A3382"/>
    <w:rsid w:val="004A378B"/>
    <w:rsid w:val="004A37C6"/>
    <w:rsid w:val="004A3B06"/>
    <w:rsid w:val="004A3BF0"/>
    <w:rsid w:val="004A3CC7"/>
    <w:rsid w:val="004A3D0C"/>
    <w:rsid w:val="004A3EE7"/>
    <w:rsid w:val="004A4067"/>
    <w:rsid w:val="004A44D1"/>
    <w:rsid w:val="004A4808"/>
    <w:rsid w:val="004A49B0"/>
    <w:rsid w:val="004A4BD7"/>
    <w:rsid w:val="004A4C4D"/>
    <w:rsid w:val="004A508C"/>
    <w:rsid w:val="004A5206"/>
    <w:rsid w:val="004A5321"/>
    <w:rsid w:val="004A5541"/>
    <w:rsid w:val="004A5549"/>
    <w:rsid w:val="004A554C"/>
    <w:rsid w:val="004A5A12"/>
    <w:rsid w:val="004A5CCB"/>
    <w:rsid w:val="004A5D58"/>
    <w:rsid w:val="004A5F3E"/>
    <w:rsid w:val="004A6162"/>
    <w:rsid w:val="004A6339"/>
    <w:rsid w:val="004A6DAE"/>
    <w:rsid w:val="004A6EC8"/>
    <w:rsid w:val="004A74C6"/>
    <w:rsid w:val="004A7B4A"/>
    <w:rsid w:val="004B01BF"/>
    <w:rsid w:val="004B05E9"/>
    <w:rsid w:val="004B0700"/>
    <w:rsid w:val="004B0ADC"/>
    <w:rsid w:val="004B0F4D"/>
    <w:rsid w:val="004B0FA1"/>
    <w:rsid w:val="004B107B"/>
    <w:rsid w:val="004B131E"/>
    <w:rsid w:val="004B1425"/>
    <w:rsid w:val="004B1451"/>
    <w:rsid w:val="004B16C0"/>
    <w:rsid w:val="004B1708"/>
    <w:rsid w:val="004B179A"/>
    <w:rsid w:val="004B1BD4"/>
    <w:rsid w:val="004B1FF9"/>
    <w:rsid w:val="004B2134"/>
    <w:rsid w:val="004B272D"/>
    <w:rsid w:val="004B2B73"/>
    <w:rsid w:val="004B2D94"/>
    <w:rsid w:val="004B30AD"/>
    <w:rsid w:val="004B46DF"/>
    <w:rsid w:val="004B4E6F"/>
    <w:rsid w:val="004B4E85"/>
    <w:rsid w:val="004B4FB3"/>
    <w:rsid w:val="004B5088"/>
    <w:rsid w:val="004B542D"/>
    <w:rsid w:val="004B5508"/>
    <w:rsid w:val="004B55C0"/>
    <w:rsid w:val="004B58E4"/>
    <w:rsid w:val="004B5BC7"/>
    <w:rsid w:val="004B5C29"/>
    <w:rsid w:val="004B5D2D"/>
    <w:rsid w:val="004B5E15"/>
    <w:rsid w:val="004B5EE4"/>
    <w:rsid w:val="004B616D"/>
    <w:rsid w:val="004B61A3"/>
    <w:rsid w:val="004B6853"/>
    <w:rsid w:val="004B6913"/>
    <w:rsid w:val="004B6A5D"/>
    <w:rsid w:val="004B6F78"/>
    <w:rsid w:val="004B750B"/>
    <w:rsid w:val="004B7544"/>
    <w:rsid w:val="004B75A5"/>
    <w:rsid w:val="004B76A7"/>
    <w:rsid w:val="004B79F8"/>
    <w:rsid w:val="004B7AB8"/>
    <w:rsid w:val="004C00D4"/>
    <w:rsid w:val="004C0C4B"/>
    <w:rsid w:val="004C0E43"/>
    <w:rsid w:val="004C108B"/>
    <w:rsid w:val="004C12A5"/>
    <w:rsid w:val="004C1658"/>
    <w:rsid w:val="004C1D0C"/>
    <w:rsid w:val="004C2B15"/>
    <w:rsid w:val="004C2EED"/>
    <w:rsid w:val="004C3C28"/>
    <w:rsid w:val="004C3EF8"/>
    <w:rsid w:val="004C3F29"/>
    <w:rsid w:val="004C40B9"/>
    <w:rsid w:val="004C4211"/>
    <w:rsid w:val="004C5085"/>
    <w:rsid w:val="004C5450"/>
    <w:rsid w:val="004C568B"/>
    <w:rsid w:val="004C57C2"/>
    <w:rsid w:val="004C59F4"/>
    <w:rsid w:val="004C5A8A"/>
    <w:rsid w:val="004C5CBA"/>
    <w:rsid w:val="004C5F92"/>
    <w:rsid w:val="004C6088"/>
    <w:rsid w:val="004C6A29"/>
    <w:rsid w:val="004C6AB9"/>
    <w:rsid w:val="004C6E61"/>
    <w:rsid w:val="004C7037"/>
    <w:rsid w:val="004C705C"/>
    <w:rsid w:val="004C7687"/>
    <w:rsid w:val="004C76EA"/>
    <w:rsid w:val="004C7F6C"/>
    <w:rsid w:val="004D0031"/>
    <w:rsid w:val="004D0037"/>
    <w:rsid w:val="004D080B"/>
    <w:rsid w:val="004D1131"/>
    <w:rsid w:val="004D1563"/>
    <w:rsid w:val="004D2031"/>
    <w:rsid w:val="004D2192"/>
    <w:rsid w:val="004D21DC"/>
    <w:rsid w:val="004D2284"/>
    <w:rsid w:val="004D2401"/>
    <w:rsid w:val="004D2428"/>
    <w:rsid w:val="004D2877"/>
    <w:rsid w:val="004D2ECC"/>
    <w:rsid w:val="004D3665"/>
    <w:rsid w:val="004D3793"/>
    <w:rsid w:val="004D396C"/>
    <w:rsid w:val="004D3CE1"/>
    <w:rsid w:val="004D3E5A"/>
    <w:rsid w:val="004D42D6"/>
    <w:rsid w:val="004D434F"/>
    <w:rsid w:val="004D4860"/>
    <w:rsid w:val="004D51F9"/>
    <w:rsid w:val="004D52DC"/>
    <w:rsid w:val="004D53E5"/>
    <w:rsid w:val="004D5494"/>
    <w:rsid w:val="004D55D4"/>
    <w:rsid w:val="004D573F"/>
    <w:rsid w:val="004D5B41"/>
    <w:rsid w:val="004D60B6"/>
    <w:rsid w:val="004D6265"/>
    <w:rsid w:val="004D63B4"/>
    <w:rsid w:val="004D6420"/>
    <w:rsid w:val="004D6790"/>
    <w:rsid w:val="004D6D98"/>
    <w:rsid w:val="004D6FF0"/>
    <w:rsid w:val="004D7493"/>
    <w:rsid w:val="004D7551"/>
    <w:rsid w:val="004D7CBA"/>
    <w:rsid w:val="004D7F64"/>
    <w:rsid w:val="004E055D"/>
    <w:rsid w:val="004E08D5"/>
    <w:rsid w:val="004E0927"/>
    <w:rsid w:val="004E0ADD"/>
    <w:rsid w:val="004E102D"/>
    <w:rsid w:val="004E18FD"/>
    <w:rsid w:val="004E1ABF"/>
    <w:rsid w:val="004E1B7F"/>
    <w:rsid w:val="004E2023"/>
    <w:rsid w:val="004E219F"/>
    <w:rsid w:val="004E21A2"/>
    <w:rsid w:val="004E2306"/>
    <w:rsid w:val="004E241A"/>
    <w:rsid w:val="004E2684"/>
    <w:rsid w:val="004E2D71"/>
    <w:rsid w:val="004E2E08"/>
    <w:rsid w:val="004E3091"/>
    <w:rsid w:val="004E33FC"/>
    <w:rsid w:val="004E3438"/>
    <w:rsid w:val="004E3530"/>
    <w:rsid w:val="004E35BB"/>
    <w:rsid w:val="004E380F"/>
    <w:rsid w:val="004E3B31"/>
    <w:rsid w:val="004E3CC2"/>
    <w:rsid w:val="004E3F65"/>
    <w:rsid w:val="004E42C7"/>
    <w:rsid w:val="004E4473"/>
    <w:rsid w:val="004E45D2"/>
    <w:rsid w:val="004E46EF"/>
    <w:rsid w:val="004E4871"/>
    <w:rsid w:val="004E4AE5"/>
    <w:rsid w:val="004E4B4D"/>
    <w:rsid w:val="004E5557"/>
    <w:rsid w:val="004E55BD"/>
    <w:rsid w:val="004E56DB"/>
    <w:rsid w:val="004E58C0"/>
    <w:rsid w:val="004E5BF9"/>
    <w:rsid w:val="004E5D39"/>
    <w:rsid w:val="004E5D90"/>
    <w:rsid w:val="004E5DC6"/>
    <w:rsid w:val="004E639E"/>
    <w:rsid w:val="004E649F"/>
    <w:rsid w:val="004E682B"/>
    <w:rsid w:val="004E6898"/>
    <w:rsid w:val="004E6970"/>
    <w:rsid w:val="004E6B15"/>
    <w:rsid w:val="004E705F"/>
    <w:rsid w:val="004E7088"/>
    <w:rsid w:val="004E748C"/>
    <w:rsid w:val="004E765F"/>
    <w:rsid w:val="004E7C4A"/>
    <w:rsid w:val="004F006B"/>
    <w:rsid w:val="004F041D"/>
    <w:rsid w:val="004F0431"/>
    <w:rsid w:val="004F077C"/>
    <w:rsid w:val="004F0825"/>
    <w:rsid w:val="004F09E3"/>
    <w:rsid w:val="004F0A7A"/>
    <w:rsid w:val="004F0B2F"/>
    <w:rsid w:val="004F0C5A"/>
    <w:rsid w:val="004F0D9E"/>
    <w:rsid w:val="004F12DE"/>
    <w:rsid w:val="004F1B25"/>
    <w:rsid w:val="004F1BDD"/>
    <w:rsid w:val="004F1D45"/>
    <w:rsid w:val="004F1E70"/>
    <w:rsid w:val="004F1EA5"/>
    <w:rsid w:val="004F1F5B"/>
    <w:rsid w:val="004F1F62"/>
    <w:rsid w:val="004F1F92"/>
    <w:rsid w:val="004F246A"/>
    <w:rsid w:val="004F2519"/>
    <w:rsid w:val="004F2754"/>
    <w:rsid w:val="004F2BB3"/>
    <w:rsid w:val="004F2DDB"/>
    <w:rsid w:val="004F3842"/>
    <w:rsid w:val="004F4169"/>
    <w:rsid w:val="004F4201"/>
    <w:rsid w:val="004F4D16"/>
    <w:rsid w:val="004F4D35"/>
    <w:rsid w:val="004F5131"/>
    <w:rsid w:val="004F520A"/>
    <w:rsid w:val="004F52B2"/>
    <w:rsid w:val="004F53AC"/>
    <w:rsid w:val="004F5583"/>
    <w:rsid w:val="004F55FE"/>
    <w:rsid w:val="004F571E"/>
    <w:rsid w:val="004F6087"/>
    <w:rsid w:val="004F69D7"/>
    <w:rsid w:val="004F6BF0"/>
    <w:rsid w:val="004F6C05"/>
    <w:rsid w:val="004F6E3A"/>
    <w:rsid w:val="004F6F6B"/>
    <w:rsid w:val="004F7405"/>
    <w:rsid w:val="004F75E7"/>
    <w:rsid w:val="004F7864"/>
    <w:rsid w:val="004F7C34"/>
    <w:rsid w:val="005002B1"/>
    <w:rsid w:val="0050053B"/>
    <w:rsid w:val="00500607"/>
    <w:rsid w:val="00500762"/>
    <w:rsid w:val="0050093C"/>
    <w:rsid w:val="00500CEA"/>
    <w:rsid w:val="005010A2"/>
    <w:rsid w:val="005010DA"/>
    <w:rsid w:val="00501298"/>
    <w:rsid w:val="005014DD"/>
    <w:rsid w:val="005014EF"/>
    <w:rsid w:val="005019D0"/>
    <w:rsid w:val="00501D4F"/>
    <w:rsid w:val="00501DAB"/>
    <w:rsid w:val="00501EB3"/>
    <w:rsid w:val="00501ED3"/>
    <w:rsid w:val="0050204B"/>
    <w:rsid w:val="00502235"/>
    <w:rsid w:val="0050294D"/>
    <w:rsid w:val="0050334B"/>
    <w:rsid w:val="005036F9"/>
    <w:rsid w:val="00503E2E"/>
    <w:rsid w:val="005041F6"/>
    <w:rsid w:val="005046B3"/>
    <w:rsid w:val="00504ACA"/>
    <w:rsid w:val="00504B9F"/>
    <w:rsid w:val="00505909"/>
    <w:rsid w:val="00505A40"/>
    <w:rsid w:val="00505AF4"/>
    <w:rsid w:val="00505EBB"/>
    <w:rsid w:val="00506380"/>
    <w:rsid w:val="00506648"/>
    <w:rsid w:val="00506A5D"/>
    <w:rsid w:val="00506BD5"/>
    <w:rsid w:val="00506E4B"/>
    <w:rsid w:val="00506E98"/>
    <w:rsid w:val="00506EBB"/>
    <w:rsid w:val="00506F33"/>
    <w:rsid w:val="005077AA"/>
    <w:rsid w:val="00507BE7"/>
    <w:rsid w:val="00507D47"/>
    <w:rsid w:val="00507E30"/>
    <w:rsid w:val="00507FC9"/>
    <w:rsid w:val="005105D6"/>
    <w:rsid w:val="00510621"/>
    <w:rsid w:val="005116F8"/>
    <w:rsid w:val="00511798"/>
    <w:rsid w:val="0051197B"/>
    <w:rsid w:val="00511B8C"/>
    <w:rsid w:val="00511CE9"/>
    <w:rsid w:val="00511E38"/>
    <w:rsid w:val="00512230"/>
    <w:rsid w:val="00512270"/>
    <w:rsid w:val="005124E1"/>
    <w:rsid w:val="0051253F"/>
    <w:rsid w:val="00512761"/>
    <w:rsid w:val="00512D8E"/>
    <w:rsid w:val="00512F30"/>
    <w:rsid w:val="0051305E"/>
    <w:rsid w:val="00513158"/>
    <w:rsid w:val="00513B43"/>
    <w:rsid w:val="00513F43"/>
    <w:rsid w:val="0051453F"/>
    <w:rsid w:val="00514723"/>
    <w:rsid w:val="0051499B"/>
    <w:rsid w:val="005149A5"/>
    <w:rsid w:val="00514A47"/>
    <w:rsid w:val="00514B36"/>
    <w:rsid w:val="005150AD"/>
    <w:rsid w:val="005158B4"/>
    <w:rsid w:val="00515980"/>
    <w:rsid w:val="00515B94"/>
    <w:rsid w:val="005168D6"/>
    <w:rsid w:val="00516C7D"/>
    <w:rsid w:val="005172F5"/>
    <w:rsid w:val="00517434"/>
    <w:rsid w:val="005176BA"/>
    <w:rsid w:val="0051771A"/>
    <w:rsid w:val="005177C2"/>
    <w:rsid w:val="00517B17"/>
    <w:rsid w:val="00517D81"/>
    <w:rsid w:val="005200FE"/>
    <w:rsid w:val="00520374"/>
    <w:rsid w:val="005205A2"/>
    <w:rsid w:val="00520733"/>
    <w:rsid w:val="00520795"/>
    <w:rsid w:val="00520819"/>
    <w:rsid w:val="0052081C"/>
    <w:rsid w:val="00520CE1"/>
    <w:rsid w:val="005213D2"/>
    <w:rsid w:val="0052143B"/>
    <w:rsid w:val="00521648"/>
    <w:rsid w:val="00522447"/>
    <w:rsid w:val="005225BD"/>
    <w:rsid w:val="005226B9"/>
    <w:rsid w:val="00522984"/>
    <w:rsid w:val="00522D9F"/>
    <w:rsid w:val="00523313"/>
    <w:rsid w:val="005237AA"/>
    <w:rsid w:val="0052398C"/>
    <w:rsid w:val="005242E9"/>
    <w:rsid w:val="00524719"/>
    <w:rsid w:val="00524748"/>
    <w:rsid w:val="005248C7"/>
    <w:rsid w:val="0052495C"/>
    <w:rsid w:val="005252BA"/>
    <w:rsid w:val="005256A7"/>
    <w:rsid w:val="00525B3E"/>
    <w:rsid w:val="00525C19"/>
    <w:rsid w:val="00525D30"/>
    <w:rsid w:val="00525E46"/>
    <w:rsid w:val="00525FE9"/>
    <w:rsid w:val="0052636B"/>
    <w:rsid w:val="0052640F"/>
    <w:rsid w:val="00526757"/>
    <w:rsid w:val="005267A6"/>
    <w:rsid w:val="00526978"/>
    <w:rsid w:val="00527C9B"/>
    <w:rsid w:val="00527F4F"/>
    <w:rsid w:val="0053022B"/>
    <w:rsid w:val="00530A1E"/>
    <w:rsid w:val="00530BD6"/>
    <w:rsid w:val="0053215F"/>
    <w:rsid w:val="005324FF"/>
    <w:rsid w:val="00532A2F"/>
    <w:rsid w:val="00532B1E"/>
    <w:rsid w:val="00533108"/>
    <w:rsid w:val="005332FA"/>
    <w:rsid w:val="00533CA7"/>
    <w:rsid w:val="00534456"/>
    <w:rsid w:val="00534C34"/>
    <w:rsid w:val="00535113"/>
    <w:rsid w:val="00535268"/>
    <w:rsid w:val="00535271"/>
    <w:rsid w:val="00536A49"/>
    <w:rsid w:val="00536C8F"/>
    <w:rsid w:val="00536DD0"/>
    <w:rsid w:val="0053743F"/>
    <w:rsid w:val="005376A3"/>
    <w:rsid w:val="00537801"/>
    <w:rsid w:val="00537B96"/>
    <w:rsid w:val="00537D52"/>
    <w:rsid w:val="00537E07"/>
    <w:rsid w:val="005401A1"/>
    <w:rsid w:val="00540E0B"/>
    <w:rsid w:val="0054103D"/>
    <w:rsid w:val="00541105"/>
    <w:rsid w:val="00541CEB"/>
    <w:rsid w:val="00541E2B"/>
    <w:rsid w:val="00541FFB"/>
    <w:rsid w:val="0054252F"/>
    <w:rsid w:val="0054276A"/>
    <w:rsid w:val="005428B7"/>
    <w:rsid w:val="00542E90"/>
    <w:rsid w:val="005434E3"/>
    <w:rsid w:val="00543BAD"/>
    <w:rsid w:val="00543CFE"/>
    <w:rsid w:val="0054414D"/>
    <w:rsid w:val="00544252"/>
    <w:rsid w:val="005444E3"/>
    <w:rsid w:val="00544712"/>
    <w:rsid w:val="0054474E"/>
    <w:rsid w:val="00544ADA"/>
    <w:rsid w:val="00544B0F"/>
    <w:rsid w:val="00545210"/>
    <w:rsid w:val="005456FA"/>
    <w:rsid w:val="00545A74"/>
    <w:rsid w:val="00545B20"/>
    <w:rsid w:val="00545B25"/>
    <w:rsid w:val="00545C07"/>
    <w:rsid w:val="00545CF8"/>
    <w:rsid w:val="00545EFA"/>
    <w:rsid w:val="005462DC"/>
    <w:rsid w:val="0054682A"/>
    <w:rsid w:val="00546D17"/>
    <w:rsid w:val="0054735E"/>
    <w:rsid w:val="0054771C"/>
    <w:rsid w:val="00547777"/>
    <w:rsid w:val="00547816"/>
    <w:rsid w:val="00547D14"/>
    <w:rsid w:val="00547E9A"/>
    <w:rsid w:val="00547F98"/>
    <w:rsid w:val="00550005"/>
    <w:rsid w:val="00550938"/>
    <w:rsid w:val="00550CDF"/>
    <w:rsid w:val="00550EF2"/>
    <w:rsid w:val="00550F7C"/>
    <w:rsid w:val="00550FE4"/>
    <w:rsid w:val="0055140A"/>
    <w:rsid w:val="00551922"/>
    <w:rsid w:val="0055199B"/>
    <w:rsid w:val="00551B2F"/>
    <w:rsid w:val="00551B5E"/>
    <w:rsid w:val="00551C68"/>
    <w:rsid w:val="00551F01"/>
    <w:rsid w:val="0055212B"/>
    <w:rsid w:val="00552186"/>
    <w:rsid w:val="0055219C"/>
    <w:rsid w:val="005523B3"/>
    <w:rsid w:val="005524E5"/>
    <w:rsid w:val="00552833"/>
    <w:rsid w:val="005529F5"/>
    <w:rsid w:val="00552C9F"/>
    <w:rsid w:val="00552E8C"/>
    <w:rsid w:val="00552F65"/>
    <w:rsid w:val="0055310A"/>
    <w:rsid w:val="005534A2"/>
    <w:rsid w:val="00553846"/>
    <w:rsid w:val="00553B57"/>
    <w:rsid w:val="00553C64"/>
    <w:rsid w:val="00553DE0"/>
    <w:rsid w:val="00553E77"/>
    <w:rsid w:val="00554216"/>
    <w:rsid w:val="0055491E"/>
    <w:rsid w:val="00554FCF"/>
    <w:rsid w:val="00555A30"/>
    <w:rsid w:val="00556297"/>
    <w:rsid w:val="00556302"/>
    <w:rsid w:val="005565E1"/>
    <w:rsid w:val="0055663A"/>
    <w:rsid w:val="00556757"/>
    <w:rsid w:val="00556935"/>
    <w:rsid w:val="00556AAD"/>
    <w:rsid w:val="00556CC0"/>
    <w:rsid w:val="00556EF2"/>
    <w:rsid w:val="005574B3"/>
    <w:rsid w:val="00557660"/>
    <w:rsid w:val="00560152"/>
    <w:rsid w:val="0056051B"/>
    <w:rsid w:val="00560568"/>
    <w:rsid w:val="0056084B"/>
    <w:rsid w:val="00560EB2"/>
    <w:rsid w:val="00561064"/>
    <w:rsid w:val="00561066"/>
    <w:rsid w:val="005610FE"/>
    <w:rsid w:val="005613DC"/>
    <w:rsid w:val="005614E5"/>
    <w:rsid w:val="0056183B"/>
    <w:rsid w:val="00561D55"/>
    <w:rsid w:val="00561DE1"/>
    <w:rsid w:val="00561DE5"/>
    <w:rsid w:val="00561E2A"/>
    <w:rsid w:val="00562046"/>
    <w:rsid w:val="0056223A"/>
    <w:rsid w:val="00562484"/>
    <w:rsid w:val="005626CE"/>
    <w:rsid w:val="00562D53"/>
    <w:rsid w:val="00562F27"/>
    <w:rsid w:val="00563046"/>
    <w:rsid w:val="0056309B"/>
    <w:rsid w:val="00563159"/>
    <w:rsid w:val="0056330F"/>
    <w:rsid w:val="0056351E"/>
    <w:rsid w:val="005636E6"/>
    <w:rsid w:val="00563DA6"/>
    <w:rsid w:val="005643A6"/>
    <w:rsid w:val="005648FB"/>
    <w:rsid w:val="00564D22"/>
    <w:rsid w:val="00564DA1"/>
    <w:rsid w:val="005658C7"/>
    <w:rsid w:val="005659D0"/>
    <w:rsid w:val="00565F4E"/>
    <w:rsid w:val="0056670F"/>
    <w:rsid w:val="00566867"/>
    <w:rsid w:val="00566C56"/>
    <w:rsid w:val="005673DC"/>
    <w:rsid w:val="0056759F"/>
    <w:rsid w:val="005677B6"/>
    <w:rsid w:val="00567C4D"/>
    <w:rsid w:val="00567DC7"/>
    <w:rsid w:val="00570129"/>
    <w:rsid w:val="00570248"/>
    <w:rsid w:val="005706BF"/>
    <w:rsid w:val="0057082A"/>
    <w:rsid w:val="00570844"/>
    <w:rsid w:val="005708A3"/>
    <w:rsid w:val="00570B84"/>
    <w:rsid w:val="00570CC7"/>
    <w:rsid w:val="00570DBE"/>
    <w:rsid w:val="00570EC2"/>
    <w:rsid w:val="00570FB9"/>
    <w:rsid w:val="00571198"/>
    <w:rsid w:val="005718C1"/>
    <w:rsid w:val="00571C5F"/>
    <w:rsid w:val="005721B8"/>
    <w:rsid w:val="005721F6"/>
    <w:rsid w:val="005726B3"/>
    <w:rsid w:val="00572761"/>
    <w:rsid w:val="00572BA9"/>
    <w:rsid w:val="00572C91"/>
    <w:rsid w:val="00572EEB"/>
    <w:rsid w:val="005732D9"/>
    <w:rsid w:val="0057340B"/>
    <w:rsid w:val="005737FC"/>
    <w:rsid w:val="00573B6E"/>
    <w:rsid w:val="00574013"/>
    <w:rsid w:val="00574186"/>
    <w:rsid w:val="0057453B"/>
    <w:rsid w:val="0057454E"/>
    <w:rsid w:val="005745B8"/>
    <w:rsid w:val="00574656"/>
    <w:rsid w:val="0057471B"/>
    <w:rsid w:val="005749D5"/>
    <w:rsid w:val="00574B30"/>
    <w:rsid w:val="00574EF2"/>
    <w:rsid w:val="00575196"/>
    <w:rsid w:val="0057545E"/>
    <w:rsid w:val="00575895"/>
    <w:rsid w:val="00575BE4"/>
    <w:rsid w:val="00575C5B"/>
    <w:rsid w:val="00575D1F"/>
    <w:rsid w:val="0057602B"/>
    <w:rsid w:val="00576608"/>
    <w:rsid w:val="0057669B"/>
    <w:rsid w:val="005767AF"/>
    <w:rsid w:val="005767FC"/>
    <w:rsid w:val="0057694A"/>
    <w:rsid w:val="00576F2B"/>
    <w:rsid w:val="005770FB"/>
    <w:rsid w:val="005772FA"/>
    <w:rsid w:val="00577C90"/>
    <w:rsid w:val="00577EC1"/>
    <w:rsid w:val="00580184"/>
    <w:rsid w:val="005802C3"/>
    <w:rsid w:val="005803A9"/>
    <w:rsid w:val="00580831"/>
    <w:rsid w:val="00580A7D"/>
    <w:rsid w:val="00580F37"/>
    <w:rsid w:val="00580F65"/>
    <w:rsid w:val="00581037"/>
    <w:rsid w:val="005813F9"/>
    <w:rsid w:val="0058144C"/>
    <w:rsid w:val="00581B8A"/>
    <w:rsid w:val="00581CD8"/>
    <w:rsid w:val="005825E7"/>
    <w:rsid w:val="00582AAD"/>
    <w:rsid w:val="00582B07"/>
    <w:rsid w:val="00582E20"/>
    <w:rsid w:val="00583409"/>
    <w:rsid w:val="0058353B"/>
    <w:rsid w:val="0058364D"/>
    <w:rsid w:val="00583BAA"/>
    <w:rsid w:val="00583C10"/>
    <w:rsid w:val="00584281"/>
    <w:rsid w:val="005846BE"/>
    <w:rsid w:val="0058477D"/>
    <w:rsid w:val="00584895"/>
    <w:rsid w:val="00584A88"/>
    <w:rsid w:val="00584B73"/>
    <w:rsid w:val="00584F8B"/>
    <w:rsid w:val="00585168"/>
    <w:rsid w:val="005851F6"/>
    <w:rsid w:val="00585A09"/>
    <w:rsid w:val="00585B3F"/>
    <w:rsid w:val="005860A4"/>
    <w:rsid w:val="0058640B"/>
    <w:rsid w:val="005868D3"/>
    <w:rsid w:val="005869DA"/>
    <w:rsid w:val="00586B86"/>
    <w:rsid w:val="00586E7D"/>
    <w:rsid w:val="0058730B"/>
    <w:rsid w:val="00587722"/>
    <w:rsid w:val="005879E5"/>
    <w:rsid w:val="00587A1B"/>
    <w:rsid w:val="00587E32"/>
    <w:rsid w:val="005900E8"/>
    <w:rsid w:val="00590912"/>
    <w:rsid w:val="00590C85"/>
    <w:rsid w:val="00590E48"/>
    <w:rsid w:val="005911AD"/>
    <w:rsid w:val="0059137C"/>
    <w:rsid w:val="005914AB"/>
    <w:rsid w:val="00591727"/>
    <w:rsid w:val="00591B2D"/>
    <w:rsid w:val="0059205A"/>
    <w:rsid w:val="0059206D"/>
    <w:rsid w:val="00592956"/>
    <w:rsid w:val="00592DE5"/>
    <w:rsid w:val="005930EB"/>
    <w:rsid w:val="00593A3F"/>
    <w:rsid w:val="00593BB8"/>
    <w:rsid w:val="00593DFC"/>
    <w:rsid w:val="00593EA6"/>
    <w:rsid w:val="00594016"/>
    <w:rsid w:val="00594799"/>
    <w:rsid w:val="00594EC3"/>
    <w:rsid w:val="00595330"/>
    <w:rsid w:val="005953EA"/>
    <w:rsid w:val="0059579B"/>
    <w:rsid w:val="00595907"/>
    <w:rsid w:val="00595914"/>
    <w:rsid w:val="00595D4F"/>
    <w:rsid w:val="00596103"/>
    <w:rsid w:val="005961D0"/>
    <w:rsid w:val="005964C0"/>
    <w:rsid w:val="005968EA"/>
    <w:rsid w:val="00596AF5"/>
    <w:rsid w:val="00596C2A"/>
    <w:rsid w:val="0059736E"/>
    <w:rsid w:val="00597458"/>
    <w:rsid w:val="0059747E"/>
    <w:rsid w:val="00597EA7"/>
    <w:rsid w:val="00597F7B"/>
    <w:rsid w:val="005A01B4"/>
    <w:rsid w:val="005A01FC"/>
    <w:rsid w:val="005A049D"/>
    <w:rsid w:val="005A0C9D"/>
    <w:rsid w:val="005A0D20"/>
    <w:rsid w:val="005A0D74"/>
    <w:rsid w:val="005A1542"/>
    <w:rsid w:val="005A1826"/>
    <w:rsid w:val="005A1A75"/>
    <w:rsid w:val="005A1BC7"/>
    <w:rsid w:val="005A1CC9"/>
    <w:rsid w:val="005A24DB"/>
    <w:rsid w:val="005A27A8"/>
    <w:rsid w:val="005A2C2D"/>
    <w:rsid w:val="005A2FAF"/>
    <w:rsid w:val="005A39DD"/>
    <w:rsid w:val="005A3ACD"/>
    <w:rsid w:val="005A3D10"/>
    <w:rsid w:val="005A3ED0"/>
    <w:rsid w:val="005A3ED6"/>
    <w:rsid w:val="005A41E1"/>
    <w:rsid w:val="005A4361"/>
    <w:rsid w:val="005A4385"/>
    <w:rsid w:val="005A484B"/>
    <w:rsid w:val="005A4B08"/>
    <w:rsid w:val="005A511F"/>
    <w:rsid w:val="005A5158"/>
    <w:rsid w:val="005A53A2"/>
    <w:rsid w:val="005A54EC"/>
    <w:rsid w:val="005A55FF"/>
    <w:rsid w:val="005A5A49"/>
    <w:rsid w:val="005A6EAE"/>
    <w:rsid w:val="005A6F3E"/>
    <w:rsid w:val="005A724F"/>
    <w:rsid w:val="005A742E"/>
    <w:rsid w:val="005A7559"/>
    <w:rsid w:val="005A75D8"/>
    <w:rsid w:val="005A7917"/>
    <w:rsid w:val="005A7928"/>
    <w:rsid w:val="005A7FB6"/>
    <w:rsid w:val="005B01A2"/>
    <w:rsid w:val="005B0CE5"/>
    <w:rsid w:val="005B173E"/>
    <w:rsid w:val="005B1B7B"/>
    <w:rsid w:val="005B1CAF"/>
    <w:rsid w:val="005B2164"/>
    <w:rsid w:val="005B2224"/>
    <w:rsid w:val="005B288F"/>
    <w:rsid w:val="005B3144"/>
    <w:rsid w:val="005B3152"/>
    <w:rsid w:val="005B328C"/>
    <w:rsid w:val="005B36E9"/>
    <w:rsid w:val="005B391B"/>
    <w:rsid w:val="005B4039"/>
    <w:rsid w:val="005B444E"/>
    <w:rsid w:val="005B475A"/>
    <w:rsid w:val="005B4AC9"/>
    <w:rsid w:val="005B5525"/>
    <w:rsid w:val="005B558F"/>
    <w:rsid w:val="005B57F7"/>
    <w:rsid w:val="005B5C36"/>
    <w:rsid w:val="005B5FB0"/>
    <w:rsid w:val="005B62C3"/>
    <w:rsid w:val="005B63C9"/>
    <w:rsid w:val="005B6F2E"/>
    <w:rsid w:val="005B6F70"/>
    <w:rsid w:val="005B7004"/>
    <w:rsid w:val="005B7028"/>
    <w:rsid w:val="005B70A4"/>
    <w:rsid w:val="005B7287"/>
    <w:rsid w:val="005B7386"/>
    <w:rsid w:val="005B7485"/>
    <w:rsid w:val="005B7D30"/>
    <w:rsid w:val="005B7FE7"/>
    <w:rsid w:val="005C008A"/>
    <w:rsid w:val="005C051F"/>
    <w:rsid w:val="005C064D"/>
    <w:rsid w:val="005C06B5"/>
    <w:rsid w:val="005C0900"/>
    <w:rsid w:val="005C0C13"/>
    <w:rsid w:val="005C0D11"/>
    <w:rsid w:val="005C0FB6"/>
    <w:rsid w:val="005C1AE8"/>
    <w:rsid w:val="005C1F9F"/>
    <w:rsid w:val="005C23CD"/>
    <w:rsid w:val="005C2E37"/>
    <w:rsid w:val="005C32A4"/>
    <w:rsid w:val="005C33FD"/>
    <w:rsid w:val="005C3775"/>
    <w:rsid w:val="005C3B1D"/>
    <w:rsid w:val="005C3D2E"/>
    <w:rsid w:val="005C3DB9"/>
    <w:rsid w:val="005C3EA2"/>
    <w:rsid w:val="005C405B"/>
    <w:rsid w:val="005C4368"/>
    <w:rsid w:val="005C4673"/>
    <w:rsid w:val="005C46A8"/>
    <w:rsid w:val="005C47C8"/>
    <w:rsid w:val="005C492E"/>
    <w:rsid w:val="005C4A67"/>
    <w:rsid w:val="005C4B39"/>
    <w:rsid w:val="005C51C5"/>
    <w:rsid w:val="005C5726"/>
    <w:rsid w:val="005C5A04"/>
    <w:rsid w:val="005C5A8C"/>
    <w:rsid w:val="005C5EB9"/>
    <w:rsid w:val="005C5F05"/>
    <w:rsid w:val="005C6023"/>
    <w:rsid w:val="005C61CD"/>
    <w:rsid w:val="005C658B"/>
    <w:rsid w:val="005C65CC"/>
    <w:rsid w:val="005C6A5C"/>
    <w:rsid w:val="005C7186"/>
    <w:rsid w:val="005C725E"/>
    <w:rsid w:val="005C7273"/>
    <w:rsid w:val="005C745D"/>
    <w:rsid w:val="005C747A"/>
    <w:rsid w:val="005C7632"/>
    <w:rsid w:val="005C7A1E"/>
    <w:rsid w:val="005C7AD0"/>
    <w:rsid w:val="005D08FE"/>
    <w:rsid w:val="005D0A7A"/>
    <w:rsid w:val="005D0EC8"/>
    <w:rsid w:val="005D1DD1"/>
    <w:rsid w:val="005D219B"/>
    <w:rsid w:val="005D24F4"/>
    <w:rsid w:val="005D2B37"/>
    <w:rsid w:val="005D2BF5"/>
    <w:rsid w:val="005D2D94"/>
    <w:rsid w:val="005D332A"/>
    <w:rsid w:val="005D33C7"/>
    <w:rsid w:val="005D3481"/>
    <w:rsid w:val="005D35F6"/>
    <w:rsid w:val="005D3DD1"/>
    <w:rsid w:val="005D423D"/>
    <w:rsid w:val="005D43BA"/>
    <w:rsid w:val="005D46C7"/>
    <w:rsid w:val="005D49AB"/>
    <w:rsid w:val="005D4B7B"/>
    <w:rsid w:val="005D4C19"/>
    <w:rsid w:val="005D4D43"/>
    <w:rsid w:val="005D4D8C"/>
    <w:rsid w:val="005D4DF3"/>
    <w:rsid w:val="005D50C8"/>
    <w:rsid w:val="005D50F1"/>
    <w:rsid w:val="005D5304"/>
    <w:rsid w:val="005D5538"/>
    <w:rsid w:val="005D5678"/>
    <w:rsid w:val="005D5863"/>
    <w:rsid w:val="005D6137"/>
    <w:rsid w:val="005D619E"/>
    <w:rsid w:val="005D6573"/>
    <w:rsid w:val="005D666D"/>
    <w:rsid w:val="005D7C53"/>
    <w:rsid w:val="005D7E24"/>
    <w:rsid w:val="005D7F7E"/>
    <w:rsid w:val="005E054D"/>
    <w:rsid w:val="005E09A5"/>
    <w:rsid w:val="005E0B6A"/>
    <w:rsid w:val="005E0BA5"/>
    <w:rsid w:val="005E102F"/>
    <w:rsid w:val="005E103E"/>
    <w:rsid w:val="005E145B"/>
    <w:rsid w:val="005E162E"/>
    <w:rsid w:val="005E20AB"/>
    <w:rsid w:val="005E265B"/>
    <w:rsid w:val="005E3939"/>
    <w:rsid w:val="005E3954"/>
    <w:rsid w:val="005E4515"/>
    <w:rsid w:val="005E4518"/>
    <w:rsid w:val="005E46AD"/>
    <w:rsid w:val="005E4715"/>
    <w:rsid w:val="005E483E"/>
    <w:rsid w:val="005E4C34"/>
    <w:rsid w:val="005E554D"/>
    <w:rsid w:val="005E59A4"/>
    <w:rsid w:val="005E5B0E"/>
    <w:rsid w:val="005E5C65"/>
    <w:rsid w:val="005E5D4E"/>
    <w:rsid w:val="005E68DF"/>
    <w:rsid w:val="005E6C00"/>
    <w:rsid w:val="005E6DB6"/>
    <w:rsid w:val="005E769A"/>
    <w:rsid w:val="005E7C85"/>
    <w:rsid w:val="005F0294"/>
    <w:rsid w:val="005F034E"/>
    <w:rsid w:val="005F095B"/>
    <w:rsid w:val="005F0C81"/>
    <w:rsid w:val="005F0D98"/>
    <w:rsid w:val="005F1002"/>
    <w:rsid w:val="005F1068"/>
    <w:rsid w:val="005F1615"/>
    <w:rsid w:val="005F1726"/>
    <w:rsid w:val="005F17B0"/>
    <w:rsid w:val="005F1961"/>
    <w:rsid w:val="005F1A14"/>
    <w:rsid w:val="005F1B25"/>
    <w:rsid w:val="005F1B95"/>
    <w:rsid w:val="005F1F77"/>
    <w:rsid w:val="005F1FC9"/>
    <w:rsid w:val="005F2319"/>
    <w:rsid w:val="005F2555"/>
    <w:rsid w:val="005F2B06"/>
    <w:rsid w:val="005F2BC1"/>
    <w:rsid w:val="005F304E"/>
    <w:rsid w:val="005F34FB"/>
    <w:rsid w:val="005F355A"/>
    <w:rsid w:val="005F368B"/>
    <w:rsid w:val="005F3C56"/>
    <w:rsid w:val="005F428E"/>
    <w:rsid w:val="005F44B5"/>
    <w:rsid w:val="005F46A7"/>
    <w:rsid w:val="005F477F"/>
    <w:rsid w:val="005F4A69"/>
    <w:rsid w:val="005F4AC3"/>
    <w:rsid w:val="005F551C"/>
    <w:rsid w:val="005F58DE"/>
    <w:rsid w:val="005F5D26"/>
    <w:rsid w:val="005F5DF8"/>
    <w:rsid w:val="005F5EE8"/>
    <w:rsid w:val="005F65B9"/>
    <w:rsid w:val="005F6605"/>
    <w:rsid w:val="005F66FC"/>
    <w:rsid w:val="005F6CB3"/>
    <w:rsid w:val="005F6CB7"/>
    <w:rsid w:val="005F6CC1"/>
    <w:rsid w:val="005F6F0F"/>
    <w:rsid w:val="005F73A9"/>
    <w:rsid w:val="005F7475"/>
    <w:rsid w:val="005F7493"/>
    <w:rsid w:val="005F74C0"/>
    <w:rsid w:val="005F7A6E"/>
    <w:rsid w:val="005F7B8B"/>
    <w:rsid w:val="005F7E68"/>
    <w:rsid w:val="005F7ED4"/>
    <w:rsid w:val="00600488"/>
    <w:rsid w:val="00600591"/>
    <w:rsid w:val="00600A75"/>
    <w:rsid w:val="00600C25"/>
    <w:rsid w:val="00601874"/>
    <w:rsid w:val="0060189B"/>
    <w:rsid w:val="00601DB8"/>
    <w:rsid w:val="00602074"/>
    <w:rsid w:val="006023CA"/>
    <w:rsid w:val="0060266F"/>
    <w:rsid w:val="0060321B"/>
    <w:rsid w:val="00603AA8"/>
    <w:rsid w:val="0060446F"/>
    <w:rsid w:val="0060470C"/>
    <w:rsid w:val="006048D4"/>
    <w:rsid w:val="00604A6A"/>
    <w:rsid w:val="00604B86"/>
    <w:rsid w:val="00604E0B"/>
    <w:rsid w:val="00605160"/>
    <w:rsid w:val="00605776"/>
    <w:rsid w:val="006057EE"/>
    <w:rsid w:val="00605AA5"/>
    <w:rsid w:val="00605EE8"/>
    <w:rsid w:val="00606784"/>
    <w:rsid w:val="00606A26"/>
    <w:rsid w:val="00606C28"/>
    <w:rsid w:val="00606D13"/>
    <w:rsid w:val="00607117"/>
    <w:rsid w:val="00607386"/>
    <w:rsid w:val="006074B6"/>
    <w:rsid w:val="00607502"/>
    <w:rsid w:val="00607816"/>
    <w:rsid w:val="00607940"/>
    <w:rsid w:val="00607A9A"/>
    <w:rsid w:val="00607BA0"/>
    <w:rsid w:val="00607E26"/>
    <w:rsid w:val="00607E29"/>
    <w:rsid w:val="00610495"/>
    <w:rsid w:val="006106A9"/>
    <w:rsid w:val="00610DDD"/>
    <w:rsid w:val="00610ECC"/>
    <w:rsid w:val="0061107A"/>
    <w:rsid w:val="006111B0"/>
    <w:rsid w:val="006114D6"/>
    <w:rsid w:val="00611AED"/>
    <w:rsid w:val="00611B37"/>
    <w:rsid w:val="00611CAE"/>
    <w:rsid w:val="00611F2B"/>
    <w:rsid w:val="00612C20"/>
    <w:rsid w:val="0061311D"/>
    <w:rsid w:val="006133E8"/>
    <w:rsid w:val="006134EF"/>
    <w:rsid w:val="00613802"/>
    <w:rsid w:val="00613864"/>
    <w:rsid w:val="006139A0"/>
    <w:rsid w:val="00613B24"/>
    <w:rsid w:val="00613BA9"/>
    <w:rsid w:val="00613C1F"/>
    <w:rsid w:val="0061405A"/>
    <w:rsid w:val="00614ABC"/>
    <w:rsid w:val="00614DFC"/>
    <w:rsid w:val="00615005"/>
    <w:rsid w:val="00615143"/>
    <w:rsid w:val="006151B5"/>
    <w:rsid w:val="00615392"/>
    <w:rsid w:val="006169EC"/>
    <w:rsid w:val="00616C94"/>
    <w:rsid w:val="00617077"/>
    <w:rsid w:val="0061742E"/>
    <w:rsid w:val="00617657"/>
    <w:rsid w:val="006177EC"/>
    <w:rsid w:val="0061782A"/>
    <w:rsid w:val="00617CF3"/>
    <w:rsid w:val="00620695"/>
    <w:rsid w:val="0062074E"/>
    <w:rsid w:val="00620AE8"/>
    <w:rsid w:val="006211FD"/>
    <w:rsid w:val="006214EA"/>
    <w:rsid w:val="006216D6"/>
    <w:rsid w:val="00621BD4"/>
    <w:rsid w:val="00621C9C"/>
    <w:rsid w:val="00621FEA"/>
    <w:rsid w:val="00622003"/>
    <w:rsid w:val="006224EC"/>
    <w:rsid w:val="00622606"/>
    <w:rsid w:val="00622F1B"/>
    <w:rsid w:val="00622FF5"/>
    <w:rsid w:val="00623078"/>
    <w:rsid w:val="00623208"/>
    <w:rsid w:val="006236BE"/>
    <w:rsid w:val="0062383A"/>
    <w:rsid w:val="00623E69"/>
    <w:rsid w:val="006241B6"/>
    <w:rsid w:val="00624217"/>
    <w:rsid w:val="00624DC7"/>
    <w:rsid w:val="00624EE3"/>
    <w:rsid w:val="00624F0C"/>
    <w:rsid w:val="00624FAF"/>
    <w:rsid w:val="006252C3"/>
    <w:rsid w:val="006253D5"/>
    <w:rsid w:val="00625462"/>
    <w:rsid w:val="006254EA"/>
    <w:rsid w:val="00625535"/>
    <w:rsid w:val="006256FD"/>
    <w:rsid w:val="006259BD"/>
    <w:rsid w:val="00625A9F"/>
    <w:rsid w:val="0062612C"/>
    <w:rsid w:val="006263A4"/>
    <w:rsid w:val="006264CB"/>
    <w:rsid w:val="00626768"/>
    <w:rsid w:val="00626A93"/>
    <w:rsid w:val="00626AD4"/>
    <w:rsid w:val="00626AFA"/>
    <w:rsid w:val="00626DA1"/>
    <w:rsid w:val="00626F24"/>
    <w:rsid w:val="00626F2A"/>
    <w:rsid w:val="00626F78"/>
    <w:rsid w:val="006272DB"/>
    <w:rsid w:val="006273C6"/>
    <w:rsid w:val="00627799"/>
    <w:rsid w:val="006277AF"/>
    <w:rsid w:val="00627FD7"/>
    <w:rsid w:val="0063053B"/>
    <w:rsid w:val="006305F8"/>
    <w:rsid w:val="0063063C"/>
    <w:rsid w:val="006308EE"/>
    <w:rsid w:val="00630A5C"/>
    <w:rsid w:val="00630C11"/>
    <w:rsid w:val="00631362"/>
    <w:rsid w:val="0063181E"/>
    <w:rsid w:val="0063195B"/>
    <w:rsid w:val="00631973"/>
    <w:rsid w:val="0063198D"/>
    <w:rsid w:val="00631ABF"/>
    <w:rsid w:val="00631BDE"/>
    <w:rsid w:val="00631D79"/>
    <w:rsid w:val="00631EB8"/>
    <w:rsid w:val="00632015"/>
    <w:rsid w:val="00632177"/>
    <w:rsid w:val="00632E04"/>
    <w:rsid w:val="00633CAC"/>
    <w:rsid w:val="00634B73"/>
    <w:rsid w:val="0063541B"/>
    <w:rsid w:val="0063557E"/>
    <w:rsid w:val="0063583E"/>
    <w:rsid w:val="00635FA3"/>
    <w:rsid w:val="00636087"/>
    <w:rsid w:val="0063666D"/>
    <w:rsid w:val="006366D0"/>
    <w:rsid w:val="00636961"/>
    <w:rsid w:val="00636985"/>
    <w:rsid w:val="006372ED"/>
    <w:rsid w:val="006374C4"/>
    <w:rsid w:val="0063757E"/>
    <w:rsid w:val="006377F3"/>
    <w:rsid w:val="00637D68"/>
    <w:rsid w:val="00637D7E"/>
    <w:rsid w:val="00637DD1"/>
    <w:rsid w:val="00640318"/>
    <w:rsid w:val="0064084C"/>
    <w:rsid w:val="0064092B"/>
    <w:rsid w:val="00640B39"/>
    <w:rsid w:val="00640C55"/>
    <w:rsid w:val="00640F41"/>
    <w:rsid w:val="00641BE7"/>
    <w:rsid w:val="00642EED"/>
    <w:rsid w:val="006432DF"/>
    <w:rsid w:val="00644626"/>
    <w:rsid w:val="00644F49"/>
    <w:rsid w:val="00644FFF"/>
    <w:rsid w:val="0064541D"/>
    <w:rsid w:val="00645890"/>
    <w:rsid w:val="00645BCC"/>
    <w:rsid w:val="0064672D"/>
    <w:rsid w:val="00646B6E"/>
    <w:rsid w:val="00646D1C"/>
    <w:rsid w:val="006470C4"/>
    <w:rsid w:val="0064729C"/>
    <w:rsid w:val="0064735B"/>
    <w:rsid w:val="00647CCB"/>
    <w:rsid w:val="00647E2B"/>
    <w:rsid w:val="0065000C"/>
    <w:rsid w:val="00650056"/>
    <w:rsid w:val="00650135"/>
    <w:rsid w:val="00650CDB"/>
    <w:rsid w:val="00650E0C"/>
    <w:rsid w:val="006510EE"/>
    <w:rsid w:val="00651319"/>
    <w:rsid w:val="0065139D"/>
    <w:rsid w:val="00651426"/>
    <w:rsid w:val="006519B6"/>
    <w:rsid w:val="00651D7A"/>
    <w:rsid w:val="00651DD5"/>
    <w:rsid w:val="0065230B"/>
    <w:rsid w:val="00652387"/>
    <w:rsid w:val="0065241E"/>
    <w:rsid w:val="00652762"/>
    <w:rsid w:val="006527B9"/>
    <w:rsid w:val="00652EFE"/>
    <w:rsid w:val="00652FE4"/>
    <w:rsid w:val="00653180"/>
    <w:rsid w:val="0065358E"/>
    <w:rsid w:val="006535BE"/>
    <w:rsid w:val="00653607"/>
    <w:rsid w:val="00653992"/>
    <w:rsid w:val="006539A7"/>
    <w:rsid w:val="00653D91"/>
    <w:rsid w:val="006548B6"/>
    <w:rsid w:val="00654B9A"/>
    <w:rsid w:val="00654E27"/>
    <w:rsid w:val="00654EB3"/>
    <w:rsid w:val="00654FA0"/>
    <w:rsid w:val="00655C1D"/>
    <w:rsid w:val="0065605B"/>
    <w:rsid w:val="006565BB"/>
    <w:rsid w:val="00656A9F"/>
    <w:rsid w:val="006570A7"/>
    <w:rsid w:val="006570B8"/>
    <w:rsid w:val="00657127"/>
    <w:rsid w:val="00657A5D"/>
    <w:rsid w:val="00657F92"/>
    <w:rsid w:val="0066039A"/>
    <w:rsid w:val="006605D1"/>
    <w:rsid w:val="00660921"/>
    <w:rsid w:val="00660DD1"/>
    <w:rsid w:val="00660FB8"/>
    <w:rsid w:val="00661556"/>
    <w:rsid w:val="00661719"/>
    <w:rsid w:val="0066189B"/>
    <w:rsid w:val="006618F2"/>
    <w:rsid w:val="00661A60"/>
    <w:rsid w:val="00661D0F"/>
    <w:rsid w:val="00662046"/>
    <w:rsid w:val="00662047"/>
    <w:rsid w:val="006622D6"/>
    <w:rsid w:val="0066236F"/>
    <w:rsid w:val="006628D6"/>
    <w:rsid w:val="00662E47"/>
    <w:rsid w:val="0066325B"/>
    <w:rsid w:val="006634D7"/>
    <w:rsid w:val="00663544"/>
    <w:rsid w:val="00664D4E"/>
    <w:rsid w:val="006654C6"/>
    <w:rsid w:val="00665892"/>
    <w:rsid w:val="00665EF3"/>
    <w:rsid w:val="00665EFE"/>
    <w:rsid w:val="006661E2"/>
    <w:rsid w:val="00667302"/>
    <w:rsid w:val="00667507"/>
    <w:rsid w:val="00667BC8"/>
    <w:rsid w:val="00667C64"/>
    <w:rsid w:val="00667FEB"/>
    <w:rsid w:val="006703E3"/>
    <w:rsid w:val="0067048B"/>
    <w:rsid w:val="00670581"/>
    <w:rsid w:val="006709BF"/>
    <w:rsid w:val="006718DC"/>
    <w:rsid w:val="00671AC4"/>
    <w:rsid w:val="00672068"/>
    <w:rsid w:val="006720E3"/>
    <w:rsid w:val="00672121"/>
    <w:rsid w:val="00672C12"/>
    <w:rsid w:val="00672E0A"/>
    <w:rsid w:val="00672E94"/>
    <w:rsid w:val="006732EF"/>
    <w:rsid w:val="006736A2"/>
    <w:rsid w:val="006737F1"/>
    <w:rsid w:val="00673813"/>
    <w:rsid w:val="006742DB"/>
    <w:rsid w:val="00674387"/>
    <w:rsid w:val="00674F3F"/>
    <w:rsid w:val="006750CB"/>
    <w:rsid w:val="006751EF"/>
    <w:rsid w:val="00675339"/>
    <w:rsid w:val="0067568A"/>
    <w:rsid w:val="00675841"/>
    <w:rsid w:val="00675C57"/>
    <w:rsid w:val="00676255"/>
    <w:rsid w:val="00677765"/>
    <w:rsid w:val="00680122"/>
    <w:rsid w:val="0068048D"/>
    <w:rsid w:val="00680793"/>
    <w:rsid w:val="00681050"/>
    <w:rsid w:val="006813F6"/>
    <w:rsid w:val="00681505"/>
    <w:rsid w:val="006817F2"/>
    <w:rsid w:val="006819A9"/>
    <w:rsid w:val="00681E55"/>
    <w:rsid w:val="00681FD9"/>
    <w:rsid w:val="00682953"/>
    <w:rsid w:val="00682D37"/>
    <w:rsid w:val="006831B9"/>
    <w:rsid w:val="006832BB"/>
    <w:rsid w:val="006835BC"/>
    <w:rsid w:val="00683BE4"/>
    <w:rsid w:val="00683F04"/>
    <w:rsid w:val="00683FCA"/>
    <w:rsid w:val="0068411A"/>
    <w:rsid w:val="0068438A"/>
    <w:rsid w:val="00684413"/>
    <w:rsid w:val="006845E8"/>
    <w:rsid w:val="006847BF"/>
    <w:rsid w:val="00684A47"/>
    <w:rsid w:val="00684A76"/>
    <w:rsid w:val="006853A8"/>
    <w:rsid w:val="006854DE"/>
    <w:rsid w:val="0068568A"/>
    <w:rsid w:val="006858FD"/>
    <w:rsid w:val="00685B8D"/>
    <w:rsid w:val="00686026"/>
    <w:rsid w:val="006861B5"/>
    <w:rsid w:val="00686331"/>
    <w:rsid w:val="006866C6"/>
    <w:rsid w:val="00687474"/>
    <w:rsid w:val="00687641"/>
    <w:rsid w:val="00687719"/>
    <w:rsid w:val="00687852"/>
    <w:rsid w:val="006879D4"/>
    <w:rsid w:val="006879EA"/>
    <w:rsid w:val="00687F20"/>
    <w:rsid w:val="00690740"/>
    <w:rsid w:val="006908A4"/>
    <w:rsid w:val="00691493"/>
    <w:rsid w:val="00691554"/>
    <w:rsid w:val="0069159A"/>
    <w:rsid w:val="00691F7E"/>
    <w:rsid w:val="00692685"/>
    <w:rsid w:val="00692775"/>
    <w:rsid w:val="00692AFA"/>
    <w:rsid w:val="00692B5F"/>
    <w:rsid w:val="00692DF5"/>
    <w:rsid w:val="0069341F"/>
    <w:rsid w:val="0069370E"/>
    <w:rsid w:val="006938A1"/>
    <w:rsid w:val="00693A8B"/>
    <w:rsid w:val="006941B1"/>
    <w:rsid w:val="006941E2"/>
    <w:rsid w:val="00694B18"/>
    <w:rsid w:val="00694BCF"/>
    <w:rsid w:val="00694BE9"/>
    <w:rsid w:val="00694FCA"/>
    <w:rsid w:val="00695715"/>
    <w:rsid w:val="00695B5E"/>
    <w:rsid w:val="00695D28"/>
    <w:rsid w:val="0069607E"/>
    <w:rsid w:val="0069667D"/>
    <w:rsid w:val="00696D3A"/>
    <w:rsid w:val="00696D5D"/>
    <w:rsid w:val="006976C2"/>
    <w:rsid w:val="00697D07"/>
    <w:rsid w:val="00697E65"/>
    <w:rsid w:val="006A079E"/>
    <w:rsid w:val="006A08A8"/>
    <w:rsid w:val="006A0FC2"/>
    <w:rsid w:val="006A11B2"/>
    <w:rsid w:val="006A13A5"/>
    <w:rsid w:val="006A1562"/>
    <w:rsid w:val="006A168D"/>
    <w:rsid w:val="006A1C3B"/>
    <w:rsid w:val="006A212A"/>
    <w:rsid w:val="006A246A"/>
    <w:rsid w:val="006A2592"/>
    <w:rsid w:val="006A26EE"/>
    <w:rsid w:val="006A27E5"/>
    <w:rsid w:val="006A2825"/>
    <w:rsid w:val="006A28E7"/>
    <w:rsid w:val="006A29DD"/>
    <w:rsid w:val="006A3083"/>
    <w:rsid w:val="006A33EB"/>
    <w:rsid w:val="006A3ABA"/>
    <w:rsid w:val="006A3D6A"/>
    <w:rsid w:val="006A3F8B"/>
    <w:rsid w:val="006A4140"/>
    <w:rsid w:val="006A4571"/>
    <w:rsid w:val="006A49CE"/>
    <w:rsid w:val="006A4E4C"/>
    <w:rsid w:val="006A51CD"/>
    <w:rsid w:val="006A56C7"/>
    <w:rsid w:val="006A57A8"/>
    <w:rsid w:val="006A57BD"/>
    <w:rsid w:val="006A59B5"/>
    <w:rsid w:val="006A5A61"/>
    <w:rsid w:val="006A5F08"/>
    <w:rsid w:val="006A61C6"/>
    <w:rsid w:val="006A6308"/>
    <w:rsid w:val="006A639C"/>
    <w:rsid w:val="006A6BA8"/>
    <w:rsid w:val="006A7267"/>
    <w:rsid w:val="006A7947"/>
    <w:rsid w:val="006A7AD7"/>
    <w:rsid w:val="006A7DC4"/>
    <w:rsid w:val="006B00FC"/>
    <w:rsid w:val="006B0101"/>
    <w:rsid w:val="006B0457"/>
    <w:rsid w:val="006B077D"/>
    <w:rsid w:val="006B0DDE"/>
    <w:rsid w:val="006B0DE0"/>
    <w:rsid w:val="006B0DFD"/>
    <w:rsid w:val="006B1671"/>
    <w:rsid w:val="006B1894"/>
    <w:rsid w:val="006B21CC"/>
    <w:rsid w:val="006B221E"/>
    <w:rsid w:val="006B2651"/>
    <w:rsid w:val="006B3004"/>
    <w:rsid w:val="006B3446"/>
    <w:rsid w:val="006B3460"/>
    <w:rsid w:val="006B3506"/>
    <w:rsid w:val="006B37F5"/>
    <w:rsid w:val="006B38B9"/>
    <w:rsid w:val="006B3951"/>
    <w:rsid w:val="006B3E95"/>
    <w:rsid w:val="006B4096"/>
    <w:rsid w:val="006B438B"/>
    <w:rsid w:val="006B444D"/>
    <w:rsid w:val="006B4463"/>
    <w:rsid w:val="006B44A4"/>
    <w:rsid w:val="006B4648"/>
    <w:rsid w:val="006B4C86"/>
    <w:rsid w:val="006B4D9B"/>
    <w:rsid w:val="006B5109"/>
    <w:rsid w:val="006B54FC"/>
    <w:rsid w:val="006B553E"/>
    <w:rsid w:val="006B5B9F"/>
    <w:rsid w:val="006B5F6C"/>
    <w:rsid w:val="006B679C"/>
    <w:rsid w:val="006B67C9"/>
    <w:rsid w:val="006B6AD6"/>
    <w:rsid w:val="006B7207"/>
    <w:rsid w:val="006B7394"/>
    <w:rsid w:val="006B774C"/>
    <w:rsid w:val="006B775F"/>
    <w:rsid w:val="006B786F"/>
    <w:rsid w:val="006B797E"/>
    <w:rsid w:val="006C008C"/>
    <w:rsid w:val="006C0267"/>
    <w:rsid w:val="006C097D"/>
    <w:rsid w:val="006C09D5"/>
    <w:rsid w:val="006C0CBC"/>
    <w:rsid w:val="006C117E"/>
    <w:rsid w:val="006C1842"/>
    <w:rsid w:val="006C1885"/>
    <w:rsid w:val="006C1925"/>
    <w:rsid w:val="006C1A02"/>
    <w:rsid w:val="006C1C9D"/>
    <w:rsid w:val="006C1DC3"/>
    <w:rsid w:val="006C2159"/>
    <w:rsid w:val="006C226A"/>
    <w:rsid w:val="006C279D"/>
    <w:rsid w:val="006C28BA"/>
    <w:rsid w:val="006C29A4"/>
    <w:rsid w:val="006C3386"/>
    <w:rsid w:val="006C362D"/>
    <w:rsid w:val="006C365C"/>
    <w:rsid w:val="006C3BEC"/>
    <w:rsid w:val="006C3F07"/>
    <w:rsid w:val="006C48A2"/>
    <w:rsid w:val="006C4ED6"/>
    <w:rsid w:val="006C50B7"/>
    <w:rsid w:val="006C513D"/>
    <w:rsid w:val="006C5392"/>
    <w:rsid w:val="006C5657"/>
    <w:rsid w:val="006C5720"/>
    <w:rsid w:val="006C5D55"/>
    <w:rsid w:val="006C5EE5"/>
    <w:rsid w:val="006C61BA"/>
    <w:rsid w:val="006C6478"/>
    <w:rsid w:val="006C65B0"/>
    <w:rsid w:val="006C6C4F"/>
    <w:rsid w:val="006C6CE6"/>
    <w:rsid w:val="006C7218"/>
    <w:rsid w:val="006C7252"/>
    <w:rsid w:val="006C767C"/>
    <w:rsid w:val="006C7F04"/>
    <w:rsid w:val="006C7F95"/>
    <w:rsid w:val="006D0048"/>
    <w:rsid w:val="006D100F"/>
    <w:rsid w:val="006D15BA"/>
    <w:rsid w:val="006D1760"/>
    <w:rsid w:val="006D1CE9"/>
    <w:rsid w:val="006D2337"/>
    <w:rsid w:val="006D25DD"/>
    <w:rsid w:val="006D25E8"/>
    <w:rsid w:val="006D2CE5"/>
    <w:rsid w:val="006D33CE"/>
    <w:rsid w:val="006D3B66"/>
    <w:rsid w:val="006D3E00"/>
    <w:rsid w:val="006D4023"/>
    <w:rsid w:val="006D41AE"/>
    <w:rsid w:val="006D4710"/>
    <w:rsid w:val="006D477D"/>
    <w:rsid w:val="006D5670"/>
    <w:rsid w:val="006D59BE"/>
    <w:rsid w:val="006D5E8F"/>
    <w:rsid w:val="006D65EC"/>
    <w:rsid w:val="006D6DC4"/>
    <w:rsid w:val="006D6E9C"/>
    <w:rsid w:val="006D733C"/>
    <w:rsid w:val="006E0302"/>
    <w:rsid w:val="006E0935"/>
    <w:rsid w:val="006E0DDC"/>
    <w:rsid w:val="006E0E1E"/>
    <w:rsid w:val="006E1287"/>
    <w:rsid w:val="006E1F7B"/>
    <w:rsid w:val="006E207F"/>
    <w:rsid w:val="006E20F8"/>
    <w:rsid w:val="006E2334"/>
    <w:rsid w:val="006E284C"/>
    <w:rsid w:val="006E2BBF"/>
    <w:rsid w:val="006E2C01"/>
    <w:rsid w:val="006E2E32"/>
    <w:rsid w:val="006E2F5A"/>
    <w:rsid w:val="006E3247"/>
    <w:rsid w:val="006E3689"/>
    <w:rsid w:val="006E3738"/>
    <w:rsid w:val="006E3903"/>
    <w:rsid w:val="006E4163"/>
    <w:rsid w:val="006E442B"/>
    <w:rsid w:val="006E4AF8"/>
    <w:rsid w:val="006E4B62"/>
    <w:rsid w:val="006E4B76"/>
    <w:rsid w:val="006E4DEE"/>
    <w:rsid w:val="006E53EA"/>
    <w:rsid w:val="006E58B0"/>
    <w:rsid w:val="006E5E1D"/>
    <w:rsid w:val="006E5FBC"/>
    <w:rsid w:val="006E7A21"/>
    <w:rsid w:val="006E7C16"/>
    <w:rsid w:val="006E7CDC"/>
    <w:rsid w:val="006F00FC"/>
    <w:rsid w:val="006F03D9"/>
    <w:rsid w:val="006F04EB"/>
    <w:rsid w:val="006F064A"/>
    <w:rsid w:val="006F06CF"/>
    <w:rsid w:val="006F0754"/>
    <w:rsid w:val="006F0B57"/>
    <w:rsid w:val="006F0E4D"/>
    <w:rsid w:val="006F10F8"/>
    <w:rsid w:val="006F17A8"/>
    <w:rsid w:val="006F1807"/>
    <w:rsid w:val="006F1C3F"/>
    <w:rsid w:val="006F1D3E"/>
    <w:rsid w:val="006F1EA4"/>
    <w:rsid w:val="006F1F0E"/>
    <w:rsid w:val="006F2360"/>
    <w:rsid w:val="006F2475"/>
    <w:rsid w:val="006F2C08"/>
    <w:rsid w:val="006F2E7C"/>
    <w:rsid w:val="006F330D"/>
    <w:rsid w:val="006F3769"/>
    <w:rsid w:val="006F381C"/>
    <w:rsid w:val="006F38E6"/>
    <w:rsid w:val="006F39EC"/>
    <w:rsid w:val="006F3A21"/>
    <w:rsid w:val="006F3BCA"/>
    <w:rsid w:val="006F3FAF"/>
    <w:rsid w:val="006F4BF0"/>
    <w:rsid w:val="006F4CFF"/>
    <w:rsid w:val="006F58A8"/>
    <w:rsid w:val="006F5C33"/>
    <w:rsid w:val="006F60D9"/>
    <w:rsid w:val="006F6329"/>
    <w:rsid w:val="006F65FC"/>
    <w:rsid w:val="006F6CA0"/>
    <w:rsid w:val="006F6FC8"/>
    <w:rsid w:val="006F7112"/>
    <w:rsid w:val="006F71FC"/>
    <w:rsid w:val="006F7677"/>
    <w:rsid w:val="006F76B5"/>
    <w:rsid w:val="006F7FD1"/>
    <w:rsid w:val="00700008"/>
    <w:rsid w:val="007005A5"/>
    <w:rsid w:val="00700E27"/>
    <w:rsid w:val="00700FD8"/>
    <w:rsid w:val="0070108F"/>
    <w:rsid w:val="007011F0"/>
    <w:rsid w:val="007013ED"/>
    <w:rsid w:val="00701D98"/>
    <w:rsid w:val="00701DB3"/>
    <w:rsid w:val="007021FD"/>
    <w:rsid w:val="007024F8"/>
    <w:rsid w:val="0070279B"/>
    <w:rsid w:val="00702C31"/>
    <w:rsid w:val="00703119"/>
    <w:rsid w:val="00703DD7"/>
    <w:rsid w:val="0070416F"/>
    <w:rsid w:val="007041B0"/>
    <w:rsid w:val="00704E34"/>
    <w:rsid w:val="00705697"/>
    <w:rsid w:val="007065B6"/>
    <w:rsid w:val="00707428"/>
    <w:rsid w:val="00707AE6"/>
    <w:rsid w:val="007100E6"/>
    <w:rsid w:val="00710617"/>
    <w:rsid w:val="00710A5A"/>
    <w:rsid w:val="00710D4D"/>
    <w:rsid w:val="00710D54"/>
    <w:rsid w:val="00710F28"/>
    <w:rsid w:val="007117A4"/>
    <w:rsid w:val="007117BA"/>
    <w:rsid w:val="00711B09"/>
    <w:rsid w:val="00711EA0"/>
    <w:rsid w:val="0071210D"/>
    <w:rsid w:val="00712437"/>
    <w:rsid w:val="0071252B"/>
    <w:rsid w:val="00712C99"/>
    <w:rsid w:val="00713288"/>
    <w:rsid w:val="00713836"/>
    <w:rsid w:val="00713B24"/>
    <w:rsid w:val="00713F0B"/>
    <w:rsid w:val="00713F4F"/>
    <w:rsid w:val="00714376"/>
    <w:rsid w:val="007144A1"/>
    <w:rsid w:val="0071460A"/>
    <w:rsid w:val="00714803"/>
    <w:rsid w:val="00714B47"/>
    <w:rsid w:val="00714BB5"/>
    <w:rsid w:val="00714E0A"/>
    <w:rsid w:val="00715329"/>
    <w:rsid w:val="00716549"/>
    <w:rsid w:val="00716AD4"/>
    <w:rsid w:val="00716BB6"/>
    <w:rsid w:val="00716E43"/>
    <w:rsid w:val="00717029"/>
    <w:rsid w:val="0071704D"/>
    <w:rsid w:val="007170D2"/>
    <w:rsid w:val="007172D3"/>
    <w:rsid w:val="00717AC7"/>
    <w:rsid w:val="00717FE1"/>
    <w:rsid w:val="007201E3"/>
    <w:rsid w:val="007202C1"/>
    <w:rsid w:val="00720441"/>
    <w:rsid w:val="00721053"/>
    <w:rsid w:val="00721186"/>
    <w:rsid w:val="00721917"/>
    <w:rsid w:val="00721D96"/>
    <w:rsid w:val="00721E8F"/>
    <w:rsid w:val="00721F4B"/>
    <w:rsid w:val="0072221D"/>
    <w:rsid w:val="007223FE"/>
    <w:rsid w:val="007224ED"/>
    <w:rsid w:val="007226E0"/>
    <w:rsid w:val="0072282D"/>
    <w:rsid w:val="00722CC1"/>
    <w:rsid w:val="00722DDB"/>
    <w:rsid w:val="00722F6F"/>
    <w:rsid w:val="007232ED"/>
    <w:rsid w:val="00723757"/>
    <w:rsid w:val="007237FA"/>
    <w:rsid w:val="00724169"/>
    <w:rsid w:val="00724511"/>
    <w:rsid w:val="007247C0"/>
    <w:rsid w:val="007248BA"/>
    <w:rsid w:val="007249FC"/>
    <w:rsid w:val="00724E66"/>
    <w:rsid w:val="00725130"/>
    <w:rsid w:val="00725213"/>
    <w:rsid w:val="00725266"/>
    <w:rsid w:val="00725409"/>
    <w:rsid w:val="00725843"/>
    <w:rsid w:val="007258A7"/>
    <w:rsid w:val="007258AA"/>
    <w:rsid w:val="00725A16"/>
    <w:rsid w:val="00725DFA"/>
    <w:rsid w:val="00725E51"/>
    <w:rsid w:val="00725FBD"/>
    <w:rsid w:val="00726B48"/>
    <w:rsid w:val="007271DA"/>
    <w:rsid w:val="007272A6"/>
    <w:rsid w:val="0072767B"/>
    <w:rsid w:val="00730070"/>
    <w:rsid w:val="00730778"/>
    <w:rsid w:val="0073095A"/>
    <w:rsid w:val="00730DAC"/>
    <w:rsid w:val="00731467"/>
    <w:rsid w:val="00731497"/>
    <w:rsid w:val="0073231A"/>
    <w:rsid w:val="00732730"/>
    <w:rsid w:val="00732BBC"/>
    <w:rsid w:val="00733414"/>
    <w:rsid w:val="0073399A"/>
    <w:rsid w:val="007342E1"/>
    <w:rsid w:val="007346AA"/>
    <w:rsid w:val="00734703"/>
    <w:rsid w:val="00734D36"/>
    <w:rsid w:val="00734D44"/>
    <w:rsid w:val="00734F20"/>
    <w:rsid w:val="007353F3"/>
    <w:rsid w:val="007356E4"/>
    <w:rsid w:val="007359C6"/>
    <w:rsid w:val="00735AFC"/>
    <w:rsid w:val="00735DA2"/>
    <w:rsid w:val="00735F55"/>
    <w:rsid w:val="0073601B"/>
    <w:rsid w:val="00736579"/>
    <w:rsid w:val="007366FA"/>
    <w:rsid w:val="007367F0"/>
    <w:rsid w:val="00736A2D"/>
    <w:rsid w:val="00736A47"/>
    <w:rsid w:val="00736E3C"/>
    <w:rsid w:val="00736E90"/>
    <w:rsid w:val="00736EA3"/>
    <w:rsid w:val="0073731D"/>
    <w:rsid w:val="007376D5"/>
    <w:rsid w:val="00737BE4"/>
    <w:rsid w:val="00737C3E"/>
    <w:rsid w:val="00737E45"/>
    <w:rsid w:val="00737FD3"/>
    <w:rsid w:val="007401C4"/>
    <w:rsid w:val="00740416"/>
    <w:rsid w:val="00740ECE"/>
    <w:rsid w:val="00741357"/>
    <w:rsid w:val="007420BB"/>
    <w:rsid w:val="00742603"/>
    <w:rsid w:val="00743015"/>
    <w:rsid w:val="007431D5"/>
    <w:rsid w:val="00744EE7"/>
    <w:rsid w:val="0074541D"/>
    <w:rsid w:val="0074588C"/>
    <w:rsid w:val="00745BB2"/>
    <w:rsid w:val="00745C4F"/>
    <w:rsid w:val="00745E8C"/>
    <w:rsid w:val="00746228"/>
    <w:rsid w:val="00746AC4"/>
    <w:rsid w:val="00746C9F"/>
    <w:rsid w:val="00746CDC"/>
    <w:rsid w:val="00746E89"/>
    <w:rsid w:val="00747071"/>
    <w:rsid w:val="007473E5"/>
    <w:rsid w:val="0074771F"/>
    <w:rsid w:val="0074774A"/>
    <w:rsid w:val="00750267"/>
    <w:rsid w:val="0075037A"/>
    <w:rsid w:val="0075072B"/>
    <w:rsid w:val="007509A7"/>
    <w:rsid w:val="00750C8F"/>
    <w:rsid w:val="00751771"/>
    <w:rsid w:val="0075187B"/>
    <w:rsid w:val="007520FA"/>
    <w:rsid w:val="0075215A"/>
    <w:rsid w:val="007523AA"/>
    <w:rsid w:val="007524E3"/>
    <w:rsid w:val="007527EC"/>
    <w:rsid w:val="00753173"/>
    <w:rsid w:val="00753177"/>
    <w:rsid w:val="00753301"/>
    <w:rsid w:val="007534A4"/>
    <w:rsid w:val="00754083"/>
    <w:rsid w:val="007541E7"/>
    <w:rsid w:val="00755147"/>
    <w:rsid w:val="00755199"/>
    <w:rsid w:val="00755491"/>
    <w:rsid w:val="007557C5"/>
    <w:rsid w:val="00755A49"/>
    <w:rsid w:val="007560FE"/>
    <w:rsid w:val="0075630A"/>
    <w:rsid w:val="00756B23"/>
    <w:rsid w:val="00756C6E"/>
    <w:rsid w:val="00756E66"/>
    <w:rsid w:val="00756E96"/>
    <w:rsid w:val="00756ED5"/>
    <w:rsid w:val="007573E0"/>
    <w:rsid w:val="00757502"/>
    <w:rsid w:val="007579E9"/>
    <w:rsid w:val="00760716"/>
    <w:rsid w:val="0076124C"/>
    <w:rsid w:val="00761320"/>
    <w:rsid w:val="00761430"/>
    <w:rsid w:val="00761827"/>
    <w:rsid w:val="0076198D"/>
    <w:rsid w:val="00762006"/>
    <w:rsid w:val="00762628"/>
    <w:rsid w:val="00762972"/>
    <w:rsid w:val="00762E35"/>
    <w:rsid w:val="00763561"/>
    <w:rsid w:val="00763664"/>
    <w:rsid w:val="007639B0"/>
    <w:rsid w:val="00763EB4"/>
    <w:rsid w:val="00764006"/>
    <w:rsid w:val="0076468B"/>
    <w:rsid w:val="00764749"/>
    <w:rsid w:val="00764B1B"/>
    <w:rsid w:val="00764E86"/>
    <w:rsid w:val="00764EE3"/>
    <w:rsid w:val="0076510F"/>
    <w:rsid w:val="00765157"/>
    <w:rsid w:val="0076569C"/>
    <w:rsid w:val="00765719"/>
    <w:rsid w:val="00765D22"/>
    <w:rsid w:val="00766809"/>
    <w:rsid w:val="007673C7"/>
    <w:rsid w:val="0076758D"/>
    <w:rsid w:val="007678B8"/>
    <w:rsid w:val="00767FFB"/>
    <w:rsid w:val="00770062"/>
    <w:rsid w:val="0077037F"/>
    <w:rsid w:val="00770FD0"/>
    <w:rsid w:val="00770FDA"/>
    <w:rsid w:val="0077159F"/>
    <w:rsid w:val="00771981"/>
    <w:rsid w:val="00771B77"/>
    <w:rsid w:val="00771C05"/>
    <w:rsid w:val="00771FE3"/>
    <w:rsid w:val="00772559"/>
    <w:rsid w:val="007727AE"/>
    <w:rsid w:val="007729E7"/>
    <w:rsid w:val="0077338E"/>
    <w:rsid w:val="007734F3"/>
    <w:rsid w:val="00773E82"/>
    <w:rsid w:val="00773F4F"/>
    <w:rsid w:val="00773F56"/>
    <w:rsid w:val="007742A0"/>
    <w:rsid w:val="0077484B"/>
    <w:rsid w:val="00774F59"/>
    <w:rsid w:val="007753B9"/>
    <w:rsid w:val="00775429"/>
    <w:rsid w:val="00775C7A"/>
    <w:rsid w:val="00775C9E"/>
    <w:rsid w:val="00775D09"/>
    <w:rsid w:val="00775D87"/>
    <w:rsid w:val="007760E4"/>
    <w:rsid w:val="0077671D"/>
    <w:rsid w:val="007768D6"/>
    <w:rsid w:val="00776C36"/>
    <w:rsid w:val="00776D6D"/>
    <w:rsid w:val="00776DF9"/>
    <w:rsid w:val="00776F63"/>
    <w:rsid w:val="0077715D"/>
    <w:rsid w:val="007772E4"/>
    <w:rsid w:val="0077745C"/>
    <w:rsid w:val="00780099"/>
    <w:rsid w:val="00780330"/>
    <w:rsid w:val="00780413"/>
    <w:rsid w:val="00780725"/>
    <w:rsid w:val="00780B48"/>
    <w:rsid w:val="00780CEE"/>
    <w:rsid w:val="00780D94"/>
    <w:rsid w:val="00780EB1"/>
    <w:rsid w:val="0078173A"/>
    <w:rsid w:val="00781C2B"/>
    <w:rsid w:val="00781CD7"/>
    <w:rsid w:val="00781D4E"/>
    <w:rsid w:val="00781F2A"/>
    <w:rsid w:val="00782998"/>
    <w:rsid w:val="0078366C"/>
    <w:rsid w:val="007837C8"/>
    <w:rsid w:val="007837E8"/>
    <w:rsid w:val="00783B18"/>
    <w:rsid w:val="00783D7B"/>
    <w:rsid w:val="00784890"/>
    <w:rsid w:val="00784C0E"/>
    <w:rsid w:val="00784E0F"/>
    <w:rsid w:val="00785E76"/>
    <w:rsid w:val="007863E0"/>
    <w:rsid w:val="0078668F"/>
    <w:rsid w:val="00786CAD"/>
    <w:rsid w:val="00786F5A"/>
    <w:rsid w:val="0078700F"/>
    <w:rsid w:val="0078727C"/>
    <w:rsid w:val="00787658"/>
    <w:rsid w:val="00787787"/>
    <w:rsid w:val="00787867"/>
    <w:rsid w:val="00787C09"/>
    <w:rsid w:val="00787D70"/>
    <w:rsid w:val="00790815"/>
    <w:rsid w:val="00790A3D"/>
    <w:rsid w:val="00790B82"/>
    <w:rsid w:val="00791297"/>
    <w:rsid w:val="007912E2"/>
    <w:rsid w:val="00791BE7"/>
    <w:rsid w:val="00791BEE"/>
    <w:rsid w:val="007923F1"/>
    <w:rsid w:val="007924F1"/>
    <w:rsid w:val="007926E7"/>
    <w:rsid w:val="00792A2E"/>
    <w:rsid w:val="00792B2A"/>
    <w:rsid w:val="00792F57"/>
    <w:rsid w:val="00792FEA"/>
    <w:rsid w:val="007930E2"/>
    <w:rsid w:val="0079333B"/>
    <w:rsid w:val="0079346A"/>
    <w:rsid w:val="00793693"/>
    <w:rsid w:val="00793C63"/>
    <w:rsid w:val="00793C8F"/>
    <w:rsid w:val="00793F7E"/>
    <w:rsid w:val="00793F93"/>
    <w:rsid w:val="00794501"/>
    <w:rsid w:val="007949A5"/>
    <w:rsid w:val="00795190"/>
    <w:rsid w:val="00795214"/>
    <w:rsid w:val="0079525A"/>
    <w:rsid w:val="007952E6"/>
    <w:rsid w:val="00795355"/>
    <w:rsid w:val="007954E8"/>
    <w:rsid w:val="007954FE"/>
    <w:rsid w:val="00795A79"/>
    <w:rsid w:val="00795CF8"/>
    <w:rsid w:val="007962BE"/>
    <w:rsid w:val="00796548"/>
    <w:rsid w:val="007965B5"/>
    <w:rsid w:val="00796BA2"/>
    <w:rsid w:val="007975B1"/>
    <w:rsid w:val="00797D0A"/>
    <w:rsid w:val="007A0B6A"/>
    <w:rsid w:val="007A0CC7"/>
    <w:rsid w:val="007A0F09"/>
    <w:rsid w:val="007A1AFC"/>
    <w:rsid w:val="007A1BB1"/>
    <w:rsid w:val="007A1E31"/>
    <w:rsid w:val="007A1E76"/>
    <w:rsid w:val="007A1EC1"/>
    <w:rsid w:val="007A1FF8"/>
    <w:rsid w:val="007A218A"/>
    <w:rsid w:val="007A28FD"/>
    <w:rsid w:val="007A3168"/>
    <w:rsid w:val="007A322D"/>
    <w:rsid w:val="007A35D5"/>
    <w:rsid w:val="007A3718"/>
    <w:rsid w:val="007A3C62"/>
    <w:rsid w:val="007A3C9D"/>
    <w:rsid w:val="007A3CFE"/>
    <w:rsid w:val="007A4413"/>
    <w:rsid w:val="007A4C8D"/>
    <w:rsid w:val="007A4CB3"/>
    <w:rsid w:val="007A5158"/>
    <w:rsid w:val="007A51E8"/>
    <w:rsid w:val="007A5BEC"/>
    <w:rsid w:val="007A5E2B"/>
    <w:rsid w:val="007A5E75"/>
    <w:rsid w:val="007A60F4"/>
    <w:rsid w:val="007A63CA"/>
    <w:rsid w:val="007A6AB8"/>
    <w:rsid w:val="007A6BC8"/>
    <w:rsid w:val="007A7B74"/>
    <w:rsid w:val="007A7E5F"/>
    <w:rsid w:val="007A7F7B"/>
    <w:rsid w:val="007B02AE"/>
    <w:rsid w:val="007B0F47"/>
    <w:rsid w:val="007B11B5"/>
    <w:rsid w:val="007B166C"/>
    <w:rsid w:val="007B193E"/>
    <w:rsid w:val="007B2016"/>
    <w:rsid w:val="007B22DC"/>
    <w:rsid w:val="007B23FB"/>
    <w:rsid w:val="007B2412"/>
    <w:rsid w:val="007B25F5"/>
    <w:rsid w:val="007B270A"/>
    <w:rsid w:val="007B27D7"/>
    <w:rsid w:val="007B2AC5"/>
    <w:rsid w:val="007B309D"/>
    <w:rsid w:val="007B39CD"/>
    <w:rsid w:val="007B3A27"/>
    <w:rsid w:val="007B3EF8"/>
    <w:rsid w:val="007B41CF"/>
    <w:rsid w:val="007B41DA"/>
    <w:rsid w:val="007B4C48"/>
    <w:rsid w:val="007B4CD8"/>
    <w:rsid w:val="007B5367"/>
    <w:rsid w:val="007B566B"/>
    <w:rsid w:val="007B5914"/>
    <w:rsid w:val="007B592C"/>
    <w:rsid w:val="007B595A"/>
    <w:rsid w:val="007B5B26"/>
    <w:rsid w:val="007B5E22"/>
    <w:rsid w:val="007B600F"/>
    <w:rsid w:val="007B6413"/>
    <w:rsid w:val="007B6493"/>
    <w:rsid w:val="007B6737"/>
    <w:rsid w:val="007B6A29"/>
    <w:rsid w:val="007B6E1F"/>
    <w:rsid w:val="007B70E9"/>
    <w:rsid w:val="007B711E"/>
    <w:rsid w:val="007B7225"/>
    <w:rsid w:val="007B7311"/>
    <w:rsid w:val="007B74A0"/>
    <w:rsid w:val="007B7514"/>
    <w:rsid w:val="007B75D6"/>
    <w:rsid w:val="007B76B8"/>
    <w:rsid w:val="007B7823"/>
    <w:rsid w:val="007B7A92"/>
    <w:rsid w:val="007C05A8"/>
    <w:rsid w:val="007C089D"/>
    <w:rsid w:val="007C0966"/>
    <w:rsid w:val="007C0D65"/>
    <w:rsid w:val="007C0F17"/>
    <w:rsid w:val="007C10E9"/>
    <w:rsid w:val="007C1B2C"/>
    <w:rsid w:val="007C205F"/>
    <w:rsid w:val="007C20FE"/>
    <w:rsid w:val="007C21BF"/>
    <w:rsid w:val="007C2976"/>
    <w:rsid w:val="007C2DB4"/>
    <w:rsid w:val="007C2E37"/>
    <w:rsid w:val="007C2EDF"/>
    <w:rsid w:val="007C3405"/>
    <w:rsid w:val="007C3D8D"/>
    <w:rsid w:val="007C3E6F"/>
    <w:rsid w:val="007C4039"/>
    <w:rsid w:val="007C4626"/>
    <w:rsid w:val="007C49A5"/>
    <w:rsid w:val="007C4D3E"/>
    <w:rsid w:val="007C4D5C"/>
    <w:rsid w:val="007C4F43"/>
    <w:rsid w:val="007C56DB"/>
    <w:rsid w:val="007C597B"/>
    <w:rsid w:val="007C5D4C"/>
    <w:rsid w:val="007C5E7D"/>
    <w:rsid w:val="007C5F23"/>
    <w:rsid w:val="007C6830"/>
    <w:rsid w:val="007C6B96"/>
    <w:rsid w:val="007C6FB7"/>
    <w:rsid w:val="007C72A8"/>
    <w:rsid w:val="007D006E"/>
    <w:rsid w:val="007D0E38"/>
    <w:rsid w:val="007D1641"/>
    <w:rsid w:val="007D1B5C"/>
    <w:rsid w:val="007D1FF2"/>
    <w:rsid w:val="007D276C"/>
    <w:rsid w:val="007D2855"/>
    <w:rsid w:val="007D2996"/>
    <w:rsid w:val="007D2C48"/>
    <w:rsid w:val="007D35B3"/>
    <w:rsid w:val="007D363F"/>
    <w:rsid w:val="007D3B2E"/>
    <w:rsid w:val="007D3BAB"/>
    <w:rsid w:val="007D3C2B"/>
    <w:rsid w:val="007D3E1D"/>
    <w:rsid w:val="007D43B6"/>
    <w:rsid w:val="007D440A"/>
    <w:rsid w:val="007D4832"/>
    <w:rsid w:val="007D491D"/>
    <w:rsid w:val="007D4D85"/>
    <w:rsid w:val="007D4F47"/>
    <w:rsid w:val="007D51AB"/>
    <w:rsid w:val="007D5682"/>
    <w:rsid w:val="007D56A7"/>
    <w:rsid w:val="007D56FB"/>
    <w:rsid w:val="007D5C76"/>
    <w:rsid w:val="007D6274"/>
    <w:rsid w:val="007D64A4"/>
    <w:rsid w:val="007D64D4"/>
    <w:rsid w:val="007D6525"/>
    <w:rsid w:val="007D6585"/>
    <w:rsid w:val="007D6AD1"/>
    <w:rsid w:val="007D7502"/>
    <w:rsid w:val="007D77FB"/>
    <w:rsid w:val="007D7818"/>
    <w:rsid w:val="007D7AF7"/>
    <w:rsid w:val="007D7F76"/>
    <w:rsid w:val="007E011D"/>
    <w:rsid w:val="007E04B9"/>
    <w:rsid w:val="007E05BD"/>
    <w:rsid w:val="007E0FD3"/>
    <w:rsid w:val="007E114F"/>
    <w:rsid w:val="007E12B8"/>
    <w:rsid w:val="007E13F7"/>
    <w:rsid w:val="007E17D1"/>
    <w:rsid w:val="007E1DF2"/>
    <w:rsid w:val="007E21D2"/>
    <w:rsid w:val="007E2599"/>
    <w:rsid w:val="007E266C"/>
    <w:rsid w:val="007E27FE"/>
    <w:rsid w:val="007E2E6B"/>
    <w:rsid w:val="007E3227"/>
    <w:rsid w:val="007E334D"/>
    <w:rsid w:val="007E39FB"/>
    <w:rsid w:val="007E3C82"/>
    <w:rsid w:val="007E5029"/>
    <w:rsid w:val="007E516D"/>
    <w:rsid w:val="007E5238"/>
    <w:rsid w:val="007E610A"/>
    <w:rsid w:val="007E6267"/>
    <w:rsid w:val="007E6CB8"/>
    <w:rsid w:val="007E6F88"/>
    <w:rsid w:val="007E7030"/>
    <w:rsid w:val="007E7494"/>
    <w:rsid w:val="007E76EE"/>
    <w:rsid w:val="007E7943"/>
    <w:rsid w:val="007E7EAE"/>
    <w:rsid w:val="007E7F89"/>
    <w:rsid w:val="007F0321"/>
    <w:rsid w:val="007F06E5"/>
    <w:rsid w:val="007F0805"/>
    <w:rsid w:val="007F08EB"/>
    <w:rsid w:val="007F0CAF"/>
    <w:rsid w:val="007F1416"/>
    <w:rsid w:val="007F1AEC"/>
    <w:rsid w:val="007F20F0"/>
    <w:rsid w:val="007F2623"/>
    <w:rsid w:val="007F2A3B"/>
    <w:rsid w:val="007F2B29"/>
    <w:rsid w:val="007F3324"/>
    <w:rsid w:val="007F344E"/>
    <w:rsid w:val="007F35D6"/>
    <w:rsid w:val="007F36D2"/>
    <w:rsid w:val="007F38FE"/>
    <w:rsid w:val="007F44F1"/>
    <w:rsid w:val="007F45DD"/>
    <w:rsid w:val="007F466B"/>
    <w:rsid w:val="007F46E1"/>
    <w:rsid w:val="007F4957"/>
    <w:rsid w:val="007F4FEC"/>
    <w:rsid w:val="007F50CC"/>
    <w:rsid w:val="007F5509"/>
    <w:rsid w:val="007F558D"/>
    <w:rsid w:val="007F562D"/>
    <w:rsid w:val="007F578E"/>
    <w:rsid w:val="007F5889"/>
    <w:rsid w:val="007F60A8"/>
    <w:rsid w:val="007F6150"/>
    <w:rsid w:val="007F61EB"/>
    <w:rsid w:val="007F61F5"/>
    <w:rsid w:val="007F6835"/>
    <w:rsid w:val="007F68AD"/>
    <w:rsid w:val="007F7391"/>
    <w:rsid w:val="007F7CD2"/>
    <w:rsid w:val="007F7EC4"/>
    <w:rsid w:val="00800502"/>
    <w:rsid w:val="00800A22"/>
    <w:rsid w:val="00800EAE"/>
    <w:rsid w:val="00800EC6"/>
    <w:rsid w:val="00801028"/>
    <w:rsid w:val="00801580"/>
    <w:rsid w:val="00801B60"/>
    <w:rsid w:val="00801BEB"/>
    <w:rsid w:val="00801D3F"/>
    <w:rsid w:val="0080204D"/>
    <w:rsid w:val="0080280E"/>
    <w:rsid w:val="00802A7A"/>
    <w:rsid w:val="00802FF4"/>
    <w:rsid w:val="008031D0"/>
    <w:rsid w:val="0080346A"/>
    <w:rsid w:val="00803D63"/>
    <w:rsid w:val="00803F83"/>
    <w:rsid w:val="00803FD9"/>
    <w:rsid w:val="008042D7"/>
    <w:rsid w:val="008045AC"/>
    <w:rsid w:val="0080465A"/>
    <w:rsid w:val="00804BFA"/>
    <w:rsid w:val="00804EB5"/>
    <w:rsid w:val="00804F8E"/>
    <w:rsid w:val="008050CD"/>
    <w:rsid w:val="0080510C"/>
    <w:rsid w:val="008053E6"/>
    <w:rsid w:val="00805409"/>
    <w:rsid w:val="00805CB6"/>
    <w:rsid w:val="008063FA"/>
    <w:rsid w:val="008064E4"/>
    <w:rsid w:val="00806D98"/>
    <w:rsid w:val="00806E51"/>
    <w:rsid w:val="00806F81"/>
    <w:rsid w:val="0080719C"/>
    <w:rsid w:val="00807362"/>
    <w:rsid w:val="0080756B"/>
    <w:rsid w:val="00807AA8"/>
    <w:rsid w:val="0081050E"/>
    <w:rsid w:val="00810730"/>
    <w:rsid w:val="00810E16"/>
    <w:rsid w:val="00810E6C"/>
    <w:rsid w:val="00811592"/>
    <w:rsid w:val="0081170D"/>
    <w:rsid w:val="00811BC0"/>
    <w:rsid w:val="00811E73"/>
    <w:rsid w:val="00812CD4"/>
    <w:rsid w:val="00812ED0"/>
    <w:rsid w:val="00812F45"/>
    <w:rsid w:val="00813034"/>
    <w:rsid w:val="0081325D"/>
    <w:rsid w:val="00813394"/>
    <w:rsid w:val="008135CF"/>
    <w:rsid w:val="00813985"/>
    <w:rsid w:val="00813AC4"/>
    <w:rsid w:val="00813EE4"/>
    <w:rsid w:val="00814207"/>
    <w:rsid w:val="008142E1"/>
    <w:rsid w:val="008143EB"/>
    <w:rsid w:val="00814532"/>
    <w:rsid w:val="008145B6"/>
    <w:rsid w:val="008148FA"/>
    <w:rsid w:val="00814A9C"/>
    <w:rsid w:val="00814BA9"/>
    <w:rsid w:val="00814F40"/>
    <w:rsid w:val="00815AFC"/>
    <w:rsid w:val="00816791"/>
    <w:rsid w:val="0081767C"/>
    <w:rsid w:val="0081782F"/>
    <w:rsid w:val="00817C51"/>
    <w:rsid w:val="00817FA2"/>
    <w:rsid w:val="00820311"/>
    <w:rsid w:val="00820CFD"/>
    <w:rsid w:val="008210B5"/>
    <w:rsid w:val="00821172"/>
    <w:rsid w:val="008212A5"/>
    <w:rsid w:val="00821603"/>
    <w:rsid w:val="00822137"/>
    <w:rsid w:val="00822213"/>
    <w:rsid w:val="008222A6"/>
    <w:rsid w:val="0082255E"/>
    <w:rsid w:val="008229ED"/>
    <w:rsid w:val="00822F98"/>
    <w:rsid w:val="0082339D"/>
    <w:rsid w:val="008238B2"/>
    <w:rsid w:val="008238F0"/>
    <w:rsid w:val="00823991"/>
    <w:rsid w:val="00823AE7"/>
    <w:rsid w:val="00823BF4"/>
    <w:rsid w:val="00824228"/>
    <w:rsid w:val="008249A7"/>
    <w:rsid w:val="00825090"/>
    <w:rsid w:val="008251BB"/>
    <w:rsid w:val="0082560D"/>
    <w:rsid w:val="0082568D"/>
    <w:rsid w:val="0082578F"/>
    <w:rsid w:val="00825796"/>
    <w:rsid w:val="00825941"/>
    <w:rsid w:val="00825C2E"/>
    <w:rsid w:val="00825E12"/>
    <w:rsid w:val="00825ED3"/>
    <w:rsid w:val="00826499"/>
    <w:rsid w:val="008267EF"/>
    <w:rsid w:val="00826F68"/>
    <w:rsid w:val="00827051"/>
    <w:rsid w:val="0082715D"/>
    <w:rsid w:val="00827480"/>
    <w:rsid w:val="00827783"/>
    <w:rsid w:val="00827B98"/>
    <w:rsid w:val="00827C97"/>
    <w:rsid w:val="0083015F"/>
    <w:rsid w:val="0083067D"/>
    <w:rsid w:val="00830C8C"/>
    <w:rsid w:val="008313A7"/>
    <w:rsid w:val="008313FF"/>
    <w:rsid w:val="00831425"/>
    <w:rsid w:val="00831AD7"/>
    <w:rsid w:val="00831B3C"/>
    <w:rsid w:val="00831B8F"/>
    <w:rsid w:val="0083231D"/>
    <w:rsid w:val="008325FF"/>
    <w:rsid w:val="00832A14"/>
    <w:rsid w:val="00832CC0"/>
    <w:rsid w:val="00832F5B"/>
    <w:rsid w:val="008331AE"/>
    <w:rsid w:val="0083340F"/>
    <w:rsid w:val="0083348C"/>
    <w:rsid w:val="0083436B"/>
    <w:rsid w:val="00834691"/>
    <w:rsid w:val="008346E3"/>
    <w:rsid w:val="00834B5F"/>
    <w:rsid w:val="00834C73"/>
    <w:rsid w:val="008355F1"/>
    <w:rsid w:val="00835A07"/>
    <w:rsid w:val="00835AA5"/>
    <w:rsid w:val="00835B72"/>
    <w:rsid w:val="00835D46"/>
    <w:rsid w:val="00835D68"/>
    <w:rsid w:val="008362AD"/>
    <w:rsid w:val="00836364"/>
    <w:rsid w:val="0083637E"/>
    <w:rsid w:val="0083650E"/>
    <w:rsid w:val="008367C1"/>
    <w:rsid w:val="00836CAC"/>
    <w:rsid w:val="00836DA5"/>
    <w:rsid w:val="00836EFA"/>
    <w:rsid w:val="00837338"/>
    <w:rsid w:val="008373CE"/>
    <w:rsid w:val="00837630"/>
    <w:rsid w:val="00837824"/>
    <w:rsid w:val="0083792D"/>
    <w:rsid w:val="00837A2E"/>
    <w:rsid w:val="00837E0A"/>
    <w:rsid w:val="00837F7D"/>
    <w:rsid w:val="00840123"/>
    <w:rsid w:val="00840528"/>
    <w:rsid w:val="008406A0"/>
    <w:rsid w:val="008406B2"/>
    <w:rsid w:val="00840C92"/>
    <w:rsid w:val="00840F73"/>
    <w:rsid w:val="00840F74"/>
    <w:rsid w:val="00841372"/>
    <w:rsid w:val="008414DF"/>
    <w:rsid w:val="008415C2"/>
    <w:rsid w:val="00841DE6"/>
    <w:rsid w:val="008420DE"/>
    <w:rsid w:val="00842136"/>
    <w:rsid w:val="00842316"/>
    <w:rsid w:val="00842483"/>
    <w:rsid w:val="00842670"/>
    <w:rsid w:val="0084293C"/>
    <w:rsid w:val="00842D1A"/>
    <w:rsid w:val="00842E5C"/>
    <w:rsid w:val="00843476"/>
    <w:rsid w:val="008436B9"/>
    <w:rsid w:val="00843781"/>
    <w:rsid w:val="00843D36"/>
    <w:rsid w:val="00843F19"/>
    <w:rsid w:val="00843FE7"/>
    <w:rsid w:val="00844133"/>
    <w:rsid w:val="00844388"/>
    <w:rsid w:val="00844647"/>
    <w:rsid w:val="00844712"/>
    <w:rsid w:val="00844E0E"/>
    <w:rsid w:val="008454D5"/>
    <w:rsid w:val="0084579E"/>
    <w:rsid w:val="008458E0"/>
    <w:rsid w:val="00846129"/>
    <w:rsid w:val="00846355"/>
    <w:rsid w:val="00846407"/>
    <w:rsid w:val="008467D0"/>
    <w:rsid w:val="00846A88"/>
    <w:rsid w:val="00846E8E"/>
    <w:rsid w:val="00847EF4"/>
    <w:rsid w:val="0085073A"/>
    <w:rsid w:val="00850A45"/>
    <w:rsid w:val="00850AA4"/>
    <w:rsid w:val="00850AF7"/>
    <w:rsid w:val="00850B66"/>
    <w:rsid w:val="00850C09"/>
    <w:rsid w:val="00850CCA"/>
    <w:rsid w:val="008518E7"/>
    <w:rsid w:val="0085192A"/>
    <w:rsid w:val="00851D36"/>
    <w:rsid w:val="00851E49"/>
    <w:rsid w:val="0085220A"/>
    <w:rsid w:val="008526EE"/>
    <w:rsid w:val="00852858"/>
    <w:rsid w:val="00852E1F"/>
    <w:rsid w:val="00853D63"/>
    <w:rsid w:val="00853EC6"/>
    <w:rsid w:val="00853F5F"/>
    <w:rsid w:val="008549E9"/>
    <w:rsid w:val="00854C44"/>
    <w:rsid w:val="008550FC"/>
    <w:rsid w:val="00855291"/>
    <w:rsid w:val="008557EF"/>
    <w:rsid w:val="0085590D"/>
    <w:rsid w:val="00855AC0"/>
    <w:rsid w:val="00856A67"/>
    <w:rsid w:val="00856DA3"/>
    <w:rsid w:val="00857583"/>
    <w:rsid w:val="008576DF"/>
    <w:rsid w:val="00860710"/>
    <w:rsid w:val="008607A4"/>
    <w:rsid w:val="008608D3"/>
    <w:rsid w:val="00860B84"/>
    <w:rsid w:val="008613D7"/>
    <w:rsid w:val="00861602"/>
    <w:rsid w:val="008616D3"/>
    <w:rsid w:val="00862127"/>
    <w:rsid w:val="0086249D"/>
    <w:rsid w:val="00862B33"/>
    <w:rsid w:val="00862D7A"/>
    <w:rsid w:val="00863148"/>
    <w:rsid w:val="0086344A"/>
    <w:rsid w:val="00863847"/>
    <w:rsid w:val="00863C70"/>
    <w:rsid w:val="00863C9B"/>
    <w:rsid w:val="00863FA4"/>
    <w:rsid w:val="008641BB"/>
    <w:rsid w:val="0086469F"/>
    <w:rsid w:val="0086474E"/>
    <w:rsid w:val="00864AD1"/>
    <w:rsid w:val="00865550"/>
    <w:rsid w:val="00865609"/>
    <w:rsid w:val="00865718"/>
    <w:rsid w:val="00865832"/>
    <w:rsid w:val="00865F22"/>
    <w:rsid w:val="0086637F"/>
    <w:rsid w:val="008663F3"/>
    <w:rsid w:val="008664C5"/>
    <w:rsid w:val="00866A51"/>
    <w:rsid w:val="00866D1D"/>
    <w:rsid w:val="00866D65"/>
    <w:rsid w:val="00867213"/>
    <w:rsid w:val="008677A6"/>
    <w:rsid w:val="008703FD"/>
    <w:rsid w:val="00870516"/>
    <w:rsid w:val="0087073F"/>
    <w:rsid w:val="00870817"/>
    <w:rsid w:val="008708BE"/>
    <w:rsid w:val="00870A20"/>
    <w:rsid w:val="00870B25"/>
    <w:rsid w:val="00870C6B"/>
    <w:rsid w:val="00870D22"/>
    <w:rsid w:val="00870F16"/>
    <w:rsid w:val="00870F1E"/>
    <w:rsid w:val="00870F22"/>
    <w:rsid w:val="00871361"/>
    <w:rsid w:val="00871665"/>
    <w:rsid w:val="00871802"/>
    <w:rsid w:val="008718DD"/>
    <w:rsid w:val="008719D5"/>
    <w:rsid w:val="00871A42"/>
    <w:rsid w:val="00871DC3"/>
    <w:rsid w:val="00871E6B"/>
    <w:rsid w:val="00871EFF"/>
    <w:rsid w:val="00872C0B"/>
    <w:rsid w:val="00873302"/>
    <w:rsid w:val="0087358F"/>
    <w:rsid w:val="008735EB"/>
    <w:rsid w:val="0087376B"/>
    <w:rsid w:val="00873823"/>
    <w:rsid w:val="00873BC1"/>
    <w:rsid w:val="0087455C"/>
    <w:rsid w:val="008748E1"/>
    <w:rsid w:val="008752A4"/>
    <w:rsid w:val="008757A7"/>
    <w:rsid w:val="00876145"/>
    <w:rsid w:val="008763E1"/>
    <w:rsid w:val="008765D8"/>
    <w:rsid w:val="0087694C"/>
    <w:rsid w:val="00876BB7"/>
    <w:rsid w:val="00876DD3"/>
    <w:rsid w:val="00876FB6"/>
    <w:rsid w:val="00877076"/>
    <w:rsid w:val="00877158"/>
    <w:rsid w:val="0087772A"/>
    <w:rsid w:val="0087777A"/>
    <w:rsid w:val="00877A38"/>
    <w:rsid w:val="00877A99"/>
    <w:rsid w:val="00880400"/>
    <w:rsid w:val="0088075B"/>
    <w:rsid w:val="00880836"/>
    <w:rsid w:val="00880889"/>
    <w:rsid w:val="00880C04"/>
    <w:rsid w:val="00880D3C"/>
    <w:rsid w:val="00880E70"/>
    <w:rsid w:val="00880F17"/>
    <w:rsid w:val="008811B2"/>
    <w:rsid w:val="008812D7"/>
    <w:rsid w:val="0088164C"/>
    <w:rsid w:val="008816F8"/>
    <w:rsid w:val="00881AF9"/>
    <w:rsid w:val="00881F6A"/>
    <w:rsid w:val="008822D5"/>
    <w:rsid w:val="008829C1"/>
    <w:rsid w:val="00882C12"/>
    <w:rsid w:val="00882C15"/>
    <w:rsid w:val="008834FA"/>
    <w:rsid w:val="008839EB"/>
    <w:rsid w:val="00883A4A"/>
    <w:rsid w:val="00883F31"/>
    <w:rsid w:val="00884130"/>
    <w:rsid w:val="00884845"/>
    <w:rsid w:val="00884B8B"/>
    <w:rsid w:val="00885120"/>
    <w:rsid w:val="008852FF"/>
    <w:rsid w:val="008857FB"/>
    <w:rsid w:val="00885EA3"/>
    <w:rsid w:val="00886015"/>
    <w:rsid w:val="00886178"/>
    <w:rsid w:val="008861C2"/>
    <w:rsid w:val="00886737"/>
    <w:rsid w:val="00886772"/>
    <w:rsid w:val="00886D1E"/>
    <w:rsid w:val="00886D46"/>
    <w:rsid w:val="00886DEE"/>
    <w:rsid w:val="00886EFD"/>
    <w:rsid w:val="00886F01"/>
    <w:rsid w:val="00887198"/>
    <w:rsid w:val="00887540"/>
    <w:rsid w:val="008875C0"/>
    <w:rsid w:val="008877BD"/>
    <w:rsid w:val="00887978"/>
    <w:rsid w:val="00887984"/>
    <w:rsid w:val="008879D4"/>
    <w:rsid w:val="00887DC2"/>
    <w:rsid w:val="008903FA"/>
    <w:rsid w:val="00890B98"/>
    <w:rsid w:val="00890DBB"/>
    <w:rsid w:val="00890DEC"/>
    <w:rsid w:val="00890E1B"/>
    <w:rsid w:val="00891339"/>
    <w:rsid w:val="0089149A"/>
    <w:rsid w:val="008914FA"/>
    <w:rsid w:val="00891873"/>
    <w:rsid w:val="00891C12"/>
    <w:rsid w:val="008920A8"/>
    <w:rsid w:val="008921D6"/>
    <w:rsid w:val="00892A85"/>
    <w:rsid w:val="00892DB3"/>
    <w:rsid w:val="0089346C"/>
    <w:rsid w:val="00893E76"/>
    <w:rsid w:val="008942BC"/>
    <w:rsid w:val="00894818"/>
    <w:rsid w:val="00894986"/>
    <w:rsid w:val="00894D66"/>
    <w:rsid w:val="008956FE"/>
    <w:rsid w:val="0089627C"/>
    <w:rsid w:val="0089690C"/>
    <w:rsid w:val="00896DB1"/>
    <w:rsid w:val="00896FB6"/>
    <w:rsid w:val="008A07A9"/>
    <w:rsid w:val="008A0E6D"/>
    <w:rsid w:val="008A0E9C"/>
    <w:rsid w:val="008A18DF"/>
    <w:rsid w:val="008A1C56"/>
    <w:rsid w:val="008A1D43"/>
    <w:rsid w:val="008A1D4E"/>
    <w:rsid w:val="008A1E57"/>
    <w:rsid w:val="008A232E"/>
    <w:rsid w:val="008A24A0"/>
    <w:rsid w:val="008A273D"/>
    <w:rsid w:val="008A2962"/>
    <w:rsid w:val="008A2995"/>
    <w:rsid w:val="008A2BFC"/>
    <w:rsid w:val="008A2EC7"/>
    <w:rsid w:val="008A3989"/>
    <w:rsid w:val="008A3E1F"/>
    <w:rsid w:val="008A3E89"/>
    <w:rsid w:val="008A4817"/>
    <w:rsid w:val="008A4972"/>
    <w:rsid w:val="008A4EE8"/>
    <w:rsid w:val="008A5166"/>
    <w:rsid w:val="008A534F"/>
    <w:rsid w:val="008A53FF"/>
    <w:rsid w:val="008A55EC"/>
    <w:rsid w:val="008A562A"/>
    <w:rsid w:val="008A56F2"/>
    <w:rsid w:val="008A5B89"/>
    <w:rsid w:val="008A5E02"/>
    <w:rsid w:val="008A5E91"/>
    <w:rsid w:val="008A6274"/>
    <w:rsid w:val="008A647B"/>
    <w:rsid w:val="008A6E04"/>
    <w:rsid w:val="008A6E87"/>
    <w:rsid w:val="008A71B9"/>
    <w:rsid w:val="008A7472"/>
    <w:rsid w:val="008A74A0"/>
    <w:rsid w:val="008A7547"/>
    <w:rsid w:val="008A759C"/>
    <w:rsid w:val="008A7F05"/>
    <w:rsid w:val="008B0116"/>
    <w:rsid w:val="008B06A3"/>
    <w:rsid w:val="008B0EB1"/>
    <w:rsid w:val="008B119B"/>
    <w:rsid w:val="008B1382"/>
    <w:rsid w:val="008B145F"/>
    <w:rsid w:val="008B1991"/>
    <w:rsid w:val="008B1A11"/>
    <w:rsid w:val="008B25FA"/>
    <w:rsid w:val="008B267B"/>
    <w:rsid w:val="008B2B73"/>
    <w:rsid w:val="008B33F7"/>
    <w:rsid w:val="008B3CA5"/>
    <w:rsid w:val="008B4027"/>
    <w:rsid w:val="008B48CF"/>
    <w:rsid w:val="008B4BB0"/>
    <w:rsid w:val="008B4C77"/>
    <w:rsid w:val="008B4EE6"/>
    <w:rsid w:val="008B5609"/>
    <w:rsid w:val="008B5747"/>
    <w:rsid w:val="008B58FD"/>
    <w:rsid w:val="008B5F8D"/>
    <w:rsid w:val="008B6421"/>
    <w:rsid w:val="008B693A"/>
    <w:rsid w:val="008B6BA9"/>
    <w:rsid w:val="008B6E7A"/>
    <w:rsid w:val="008B6FAE"/>
    <w:rsid w:val="008B75C3"/>
    <w:rsid w:val="008B7AF1"/>
    <w:rsid w:val="008B7E59"/>
    <w:rsid w:val="008B7EF8"/>
    <w:rsid w:val="008C006E"/>
    <w:rsid w:val="008C0098"/>
    <w:rsid w:val="008C00CF"/>
    <w:rsid w:val="008C0418"/>
    <w:rsid w:val="008C0623"/>
    <w:rsid w:val="008C07CB"/>
    <w:rsid w:val="008C086D"/>
    <w:rsid w:val="008C0909"/>
    <w:rsid w:val="008C0A54"/>
    <w:rsid w:val="008C0A94"/>
    <w:rsid w:val="008C114D"/>
    <w:rsid w:val="008C159A"/>
    <w:rsid w:val="008C1632"/>
    <w:rsid w:val="008C17F9"/>
    <w:rsid w:val="008C215B"/>
    <w:rsid w:val="008C2194"/>
    <w:rsid w:val="008C220C"/>
    <w:rsid w:val="008C25DA"/>
    <w:rsid w:val="008C2BA5"/>
    <w:rsid w:val="008C3078"/>
    <w:rsid w:val="008C309D"/>
    <w:rsid w:val="008C366F"/>
    <w:rsid w:val="008C386C"/>
    <w:rsid w:val="008C3C03"/>
    <w:rsid w:val="008C3D29"/>
    <w:rsid w:val="008C3D3B"/>
    <w:rsid w:val="008C3F97"/>
    <w:rsid w:val="008C448C"/>
    <w:rsid w:val="008C4753"/>
    <w:rsid w:val="008C4B07"/>
    <w:rsid w:val="008C4E2E"/>
    <w:rsid w:val="008C52D8"/>
    <w:rsid w:val="008C53BF"/>
    <w:rsid w:val="008C5B9E"/>
    <w:rsid w:val="008C5BAE"/>
    <w:rsid w:val="008C5FD9"/>
    <w:rsid w:val="008C67F6"/>
    <w:rsid w:val="008C6844"/>
    <w:rsid w:val="008C6A74"/>
    <w:rsid w:val="008C6D5E"/>
    <w:rsid w:val="008C73D4"/>
    <w:rsid w:val="008C7C1F"/>
    <w:rsid w:val="008C7C2B"/>
    <w:rsid w:val="008C7F35"/>
    <w:rsid w:val="008D028C"/>
    <w:rsid w:val="008D0580"/>
    <w:rsid w:val="008D060B"/>
    <w:rsid w:val="008D0A28"/>
    <w:rsid w:val="008D0E7F"/>
    <w:rsid w:val="008D0E90"/>
    <w:rsid w:val="008D0EA9"/>
    <w:rsid w:val="008D1673"/>
    <w:rsid w:val="008D1822"/>
    <w:rsid w:val="008D18C4"/>
    <w:rsid w:val="008D1949"/>
    <w:rsid w:val="008D1F77"/>
    <w:rsid w:val="008D1FBC"/>
    <w:rsid w:val="008D21F8"/>
    <w:rsid w:val="008D25AE"/>
    <w:rsid w:val="008D25C6"/>
    <w:rsid w:val="008D2720"/>
    <w:rsid w:val="008D295C"/>
    <w:rsid w:val="008D2B4D"/>
    <w:rsid w:val="008D2D11"/>
    <w:rsid w:val="008D2D45"/>
    <w:rsid w:val="008D3481"/>
    <w:rsid w:val="008D3492"/>
    <w:rsid w:val="008D3B98"/>
    <w:rsid w:val="008D40E6"/>
    <w:rsid w:val="008D499B"/>
    <w:rsid w:val="008D4BCE"/>
    <w:rsid w:val="008D53E0"/>
    <w:rsid w:val="008D5B2B"/>
    <w:rsid w:val="008D5C17"/>
    <w:rsid w:val="008D5CDF"/>
    <w:rsid w:val="008D5D77"/>
    <w:rsid w:val="008D62DA"/>
    <w:rsid w:val="008D67D2"/>
    <w:rsid w:val="008D6AD8"/>
    <w:rsid w:val="008D6B3A"/>
    <w:rsid w:val="008D73A0"/>
    <w:rsid w:val="008D74D0"/>
    <w:rsid w:val="008D75A0"/>
    <w:rsid w:val="008D7DD1"/>
    <w:rsid w:val="008D7F94"/>
    <w:rsid w:val="008E00D6"/>
    <w:rsid w:val="008E00F6"/>
    <w:rsid w:val="008E037F"/>
    <w:rsid w:val="008E064B"/>
    <w:rsid w:val="008E08A1"/>
    <w:rsid w:val="008E0BE6"/>
    <w:rsid w:val="008E1238"/>
    <w:rsid w:val="008E1775"/>
    <w:rsid w:val="008E1A8D"/>
    <w:rsid w:val="008E1B44"/>
    <w:rsid w:val="008E1C20"/>
    <w:rsid w:val="008E23DD"/>
    <w:rsid w:val="008E277B"/>
    <w:rsid w:val="008E2A60"/>
    <w:rsid w:val="008E3660"/>
    <w:rsid w:val="008E3907"/>
    <w:rsid w:val="008E39BB"/>
    <w:rsid w:val="008E3E17"/>
    <w:rsid w:val="008E5016"/>
    <w:rsid w:val="008E56E9"/>
    <w:rsid w:val="008E5B68"/>
    <w:rsid w:val="008E5F23"/>
    <w:rsid w:val="008E62DE"/>
    <w:rsid w:val="008E6ABA"/>
    <w:rsid w:val="008E6F00"/>
    <w:rsid w:val="008E6FAD"/>
    <w:rsid w:val="008E74AA"/>
    <w:rsid w:val="008E7676"/>
    <w:rsid w:val="008E77E0"/>
    <w:rsid w:val="008E78D6"/>
    <w:rsid w:val="008E7B70"/>
    <w:rsid w:val="008E7C2B"/>
    <w:rsid w:val="008E7E73"/>
    <w:rsid w:val="008F03E4"/>
    <w:rsid w:val="008F0625"/>
    <w:rsid w:val="008F0857"/>
    <w:rsid w:val="008F0B96"/>
    <w:rsid w:val="008F12B1"/>
    <w:rsid w:val="008F19B4"/>
    <w:rsid w:val="008F1A7C"/>
    <w:rsid w:val="008F2354"/>
    <w:rsid w:val="008F2916"/>
    <w:rsid w:val="008F2F7D"/>
    <w:rsid w:val="008F312E"/>
    <w:rsid w:val="008F34DA"/>
    <w:rsid w:val="008F3898"/>
    <w:rsid w:val="008F3D01"/>
    <w:rsid w:val="008F4144"/>
    <w:rsid w:val="008F46ED"/>
    <w:rsid w:val="008F46EF"/>
    <w:rsid w:val="008F4701"/>
    <w:rsid w:val="008F499E"/>
    <w:rsid w:val="008F4CBC"/>
    <w:rsid w:val="008F4F5D"/>
    <w:rsid w:val="008F51BF"/>
    <w:rsid w:val="008F561F"/>
    <w:rsid w:val="008F56AF"/>
    <w:rsid w:val="008F58E1"/>
    <w:rsid w:val="008F5B98"/>
    <w:rsid w:val="008F5D43"/>
    <w:rsid w:val="008F62BB"/>
    <w:rsid w:val="008F6888"/>
    <w:rsid w:val="008F6C4A"/>
    <w:rsid w:val="008F748C"/>
    <w:rsid w:val="00900243"/>
    <w:rsid w:val="009003ED"/>
    <w:rsid w:val="009004B7"/>
    <w:rsid w:val="009005DF"/>
    <w:rsid w:val="00900682"/>
    <w:rsid w:val="00901733"/>
    <w:rsid w:val="00901DE9"/>
    <w:rsid w:val="009023ED"/>
    <w:rsid w:val="0090244C"/>
    <w:rsid w:val="0090294E"/>
    <w:rsid w:val="00903BF8"/>
    <w:rsid w:val="00904184"/>
    <w:rsid w:val="009046BF"/>
    <w:rsid w:val="00904B31"/>
    <w:rsid w:val="00904DE9"/>
    <w:rsid w:val="00905009"/>
    <w:rsid w:val="00905454"/>
    <w:rsid w:val="00905709"/>
    <w:rsid w:val="00905785"/>
    <w:rsid w:val="009059F3"/>
    <w:rsid w:val="00905BB3"/>
    <w:rsid w:val="00905C88"/>
    <w:rsid w:val="00905E13"/>
    <w:rsid w:val="00905E24"/>
    <w:rsid w:val="009062C1"/>
    <w:rsid w:val="00906E12"/>
    <w:rsid w:val="00907385"/>
    <w:rsid w:val="00907642"/>
    <w:rsid w:val="0090782C"/>
    <w:rsid w:val="00907C8D"/>
    <w:rsid w:val="00907E51"/>
    <w:rsid w:val="00907EBC"/>
    <w:rsid w:val="0091026B"/>
    <w:rsid w:val="00910425"/>
    <w:rsid w:val="00910521"/>
    <w:rsid w:val="00910779"/>
    <w:rsid w:val="00911106"/>
    <w:rsid w:val="009111F2"/>
    <w:rsid w:val="00911806"/>
    <w:rsid w:val="00911AEE"/>
    <w:rsid w:val="00911E9E"/>
    <w:rsid w:val="00911FD3"/>
    <w:rsid w:val="009121AC"/>
    <w:rsid w:val="00912296"/>
    <w:rsid w:val="00912494"/>
    <w:rsid w:val="00912596"/>
    <w:rsid w:val="00912701"/>
    <w:rsid w:val="00912A87"/>
    <w:rsid w:val="00912AFB"/>
    <w:rsid w:val="009130EA"/>
    <w:rsid w:val="00913223"/>
    <w:rsid w:val="009139BD"/>
    <w:rsid w:val="00913D3E"/>
    <w:rsid w:val="00913DD7"/>
    <w:rsid w:val="009145D7"/>
    <w:rsid w:val="00914756"/>
    <w:rsid w:val="00914F18"/>
    <w:rsid w:val="0091500C"/>
    <w:rsid w:val="00915E36"/>
    <w:rsid w:val="00915F81"/>
    <w:rsid w:val="00916061"/>
    <w:rsid w:val="0091632E"/>
    <w:rsid w:val="00916332"/>
    <w:rsid w:val="00916388"/>
    <w:rsid w:val="009163DF"/>
    <w:rsid w:val="009164D1"/>
    <w:rsid w:val="009167D0"/>
    <w:rsid w:val="00916BA1"/>
    <w:rsid w:val="00917211"/>
    <w:rsid w:val="009177A2"/>
    <w:rsid w:val="00917DCC"/>
    <w:rsid w:val="009202D1"/>
    <w:rsid w:val="0092036A"/>
    <w:rsid w:val="00920428"/>
    <w:rsid w:val="009204FF"/>
    <w:rsid w:val="0092061A"/>
    <w:rsid w:val="00920728"/>
    <w:rsid w:val="009207CE"/>
    <w:rsid w:val="00920C3E"/>
    <w:rsid w:val="00920DF0"/>
    <w:rsid w:val="00921E59"/>
    <w:rsid w:val="00922568"/>
    <w:rsid w:val="0092259D"/>
    <w:rsid w:val="00922C96"/>
    <w:rsid w:val="00923168"/>
    <w:rsid w:val="00923A45"/>
    <w:rsid w:val="00924FDE"/>
    <w:rsid w:val="00925156"/>
    <w:rsid w:val="00925326"/>
    <w:rsid w:val="00925626"/>
    <w:rsid w:val="00925825"/>
    <w:rsid w:val="00925CF9"/>
    <w:rsid w:val="00925E5E"/>
    <w:rsid w:val="00925FC9"/>
    <w:rsid w:val="00926625"/>
    <w:rsid w:val="00926808"/>
    <w:rsid w:val="009268CC"/>
    <w:rsid w:val="00926E78"/>
    <w:rsid w:val="00926F26"/>
    <w:rsid w:val="0092710C"/>
    <w:rsid w:val="00927490"/>
    <w:rsid w:val="009276A2"/>
    <w:rsid w:val="009276F0"/>
    <w:rsid w:val="00927B97"/>
    <w:rsid w:val="00927E3C"/>
    <w:rsid w:val="0093003C"/>
    <w:rsid w:val="00930584"/>
    <w:rsid w:val="00930627"/>
    <w:rsid w:val="00930956"/>
    <w:rsid w:val="00930D17"/>
    <w:rsid w:val="00930F25"/>
    <w:rsid w:val="009315D7"/>
    <w:rsid w:val="00931817"/>
    <w:rsid w:val="00931C80"/>
    <w:rsid w:val="00931DB6"/>
    <w:rsid w:val="0093275C"/>
    <w:rsid w:val="00932C38"/>
    <w:rsid w:val="00933082"/>
    <w:rsid w:val="0093335A"/>
    <w:rsid w:val="0093399F"/>
    <w:rsid w:val="00933A4C"/>
    <w:rsid w:val="00933C26"/>
    <w:rsid w:val="00934687"/>
    <w:rsid w:val="00934F48"/>
    <w:rsid w:val="0093585A"/>
    <w:rsid w:val="00935875"/>
    <w:rsid w:val="009367DA"/>
    <w:rsid w:val="00936BC5"/>
    <w:rsid w:val="00936F36"/>
    <w:rsid w:val="00936F3A"/>
    <w:rsid w:val="009373D4"/>
    <w:rsid w:val="00940610"/>
    <w:rsid w:val="0094086C"/>
    <w:rsid w:val="00940942"/>
    <w:rsid w:val="00941116"/>
    <w:rsid w:val="0094125F"/>
    <w:rsid w:val="0094195D"/>
    <w:rsid w:val="00941C2E"/>
    <w:rsid w:val="00941EDF"/>
    <w:rsid w:val="00941F32"/>
    <w:rsid w:val="00942E05"/>
    <w:rsid w:val="00942E9D"/>
    <w:rsid w:val="009430A4"/>
    <w:rsid w:val="009439A8"/>
    <w:rsid w:val="00943E8A"/>
    <w:rsid w:val="00943EFC"/>
    <w:rsid w:val="0094407E"/>
    <w:rsid w:val="009441C1"/>
    <w:rsid w:val="009442ED"/>
    <w:rsid w:val="0094509D"/>
    <w:rsid w:val="00945571"/>
    <w:rsid w:val="009456EB"/>
    <w:rsid w:val="00945C0E"/>
    <w:rsid w:val="00945F5B"/>
    <w:rsid w:val="0094632C"/>
    <w:rsid w:val="00946C97"/>
    <w:rsid w:val="00946D2C"/>
    <w:rsid w:val="00946F10"/>
    <w:rsid w:val="009472B0"/>
    <w:rsid w:val="00947715"/>
    <w:rsid w:val="00947EFD"/>
    <w:rsid w:val="00950030"/>
    <w:rsid w:val="00950F71"/>
    <w:rsid w:val="009511F6"/>
    <w:rsid w:val="009513EE"/>
    <w:rsid w:val="0095184F"/>
    <w:rsid w:val="00951928"/>
    <w:rsid w:val="00951C28"/>
    <w:rsid w:val="00951C95"/>
    <w:rsid w:val="00951FA0"/>
    <w:rsid w:val="00952AB0"/>
    <w:rsid w:val="00952CF8"/>
    <w:rsid w:val="00953418"/>
    <w:rsid w:val="0095379F"/>
    <w:rsid w:val="00953AAF"/>
    <w:rsid w:val="00953D58"/>
    <w:rsid w:val="00954356"/>
    <w:rsid w:val="00954541"/>
    <w:rsid w:val="00954741"/>
    <w:rsid w:val="0095475C"/>
    <w:rsid w:val="00954CDE"/>
    <w:rsid w:val="00954E5F"/>
    <w:rsid w:val="00955031"/>
    <w:rsid w:val="0095519F"/>
    <w:rsid w:val="0095531B"/>
    <w:rsid w:val="009553AC"/>
    <w:rsid w:val="009558BE"/>
    <w:rsid w:val="00955A95"/>
    <w:rsid w:val="00955EB9"/>
    <w:rsid w:val="00955F77"/>
    <w:rsid w:val="00956940"/>
    <w:rsid w:val="009569B6"/>
    <w:rsid w:val="00956B70"/>
    <w:rsid w:val="00956B93"/>
    <w:rsid w:val="00956DED"/>
    <w:rsid w:val="00956EC5"/>
    <w:rsid w:val="009572D4"/>
    <w:rsid w:val="009574B6"/>
    <w:rsid w:val="00957690"/>
    <w:rsid w:val="00957B26"/>
    <w:rsid w:val="009602A4"/>
    <w:rsid w:val="0096063D"/>
    <w:rsid w:val="0096064C"/>
    <w:rsid w:val="009606B3"/>
    <w:rsid w:val="009606E7"/>
    <w:rsid w:val="00960A24"/>
    <w:rsid w:val="00960B69"/>
    <w:rsid w:val="00960D76"/>
    <w:rsid w:val="00960D84"/>
    <w:rsid w:val="00961008"/>
    <w:rsid w:val="00961083"/>
    <w:rsid w:val="0096142B"/>
    <w:rsid w:val="00961926"/>
    <w:rsid w:val="00961943"/>
    <w:rsid w:val="00961FDD"/>
    <w:rsid w:val="00962160"/>
    <w:rsid w:val="0096244B"/>
    <w:rsid w:val="0096245A"/>
    <w:rsid w:val="00962632"/>
    <w:rsid w:val="0096294B"/>
    <w:rsid w:val="00962DE3"/>
    <w:rsid w:val="009631D5"/>
    <w:rsid w:val="0096398E"/>
    <w:rsid w:val="00963B02"/>
    <w:rsid w:val="00963BC4"/>
    <w:rsid w:val="00963E4C"/>
    <w:rsid w:val="00963ECF"/>
    <w:rsid w:val="0096417F"/>
    <w:rsid w:val="00964661"/>
    <w:rsid w:val="00964679"/>
    <w:rsid w:val="0096495A"/>
    <w:rsid w:val="00964FBF"/>
    <w:rsid w:val="00965188"/>
    <w:rsid w:val="009651D8"/>
    <w:rsid w:val="00965494"/>
    <w:rsid w:val="009657CF"/>
    <w:rsid w:val="00965952"/>
    <w:rsid w:val="00965963"/>
    <w:rsid w:val="00965D74"/>
    <w:rsid w:val="00965ED8"/>
    <w:rsid w:val="00965F6F"/>
    <w:rsid w:val="00966288"/>
    <w:rsid w:val="009662EC"/>
    <w:rsid w:val="00966786"/>
    <w:rsid w:val="00966ABB"/>
    <w:rsid w:val="00966EC9"/>
    <w:rsid w:val="0096737F"/>
    <w:rsid w:val="00967432"/>
    <w:rsid w:val="00967450"/>
    <w:rsid w:val="00967703"/>
    <w:rsid w:val="0096775D"/>
    <w:rsid w:val="0096777E"/>
    <w:rsid w:val="00967922"/>
    <w:rsid w:val="00967AE1"/>
    <w:rsid w:val="00967DB7"/>
    <w:rsid w:val="00967DDE"/>
    <w:rsid w:val="00967F37"/>
    <w:rsid w:val="00970093"/>
    <w:rsid w:val="009707DE"/>
    <w:rsid w:val="00970F35"/>
    <w:rsid w:val="0097122B"/>
    <w:rsid w:val="00971385"/>
    <w:rsid w:val="00971C1E"/>
    <w:rsid w:val="00971CF1"/>
    <w:rsid w:val="00971DBF"/>
    <w:rsid w:val="009728C5"/>
    <w:rsid w:val="00972D3D"/>
    <w:rsid w:val="00972E86"/>
    <w:rsid w:val="0097316D"/>
    <w:rsid w:val="00973412"/>
    <w:rsid w:val="009737E5"/>
    <w:rsid w:val="0097388A"/>
    <w:rsid w:val="00973B7F"/>
    <w:rsid w:val="0097454D"/>
    <w:rsid w:val="00974607"/>
    <w:rsid w:val="00974635"/>
    <w:rsid w:val="009746D2"/>
    <w:rsid w:val="00974B52"/>
    <w:rsid w:val="00975453"/>
    <w:rsid w:val="00975454"/>
    <w:rsid w:val="009756E8"/>
    <w:rsid w:val="00975CC2"/>
    <w:rsid w:val="00975D51"/>
    <w:rsid w:val="00975F1D"/>
    <w:rsid w:val="00975F23"/>
    <w:rsid w:val="0097625C"/>
    <w:rsid w:val="009764F3"/>
    <w:rsid w:val="009765A7"/>
    <w:rsid w:val="009766B0"/>
    <w:rsid w:val="009768AC"/>
    <w:rsid w:val="009768D4"/>
    <w:rsid w:val="00976BFB"/>
    <w:rsid w:val="00976D2C"/>
    <w:rsid w:val="00976D54"/>
    <w:rsid w:val="009770B3"/>
    <w:rsid w:val="00977400"/>
    <w:rsid w:val="00977472"/>
    <w:rsid w:val="0097794B"/>
    <w:rsid w:val="00977BDC"/>
    <w:rsid w:val="00977DF1"/>
    <w:rsid w:val="0098018A"/>
    <w:rsid w:val="0098096A"/>
    <w:rsid w:val="009813A9"/>
    <w:rsid w:val="00981A4B"/>
    <w:rsid w:val="009822EA"/>
    <w:rsid w:val="0098254D"/>
    <w:rsid w:val="009826E9"/>
    <w:rsid w:val="00982820"/>
    <w:rsid w:val="00982CFF"/>
    <w:rsid w:val="009830F0"/>
    <w:rsid w:val="00983210"/>
    <w:rsid w:val="00983214"/>
    <w:rsid w:val="00983429"/>
    <w:rsid w:val="00983C66"/>
    <w:rsid w:val="009840FF"/>
    <w:rsid w:val="009844E2"/>
    <w:rsid w:val="00984546"/>
    <w:rsid w:val="00984882"/>
    <w:rsid w:val="009849FD"/>
    <w:rsid w:val="00984A57"/>
    <w:rsid w:val="00984C89"/>
    <w:rsid w:val="00984DF0"/>
    <w:rsid w:val="0098534D"/>
    <w:rsid w:val="00985431"/>
    <w:rsid w:val="0098576D"/>
    <w:rsid w:val="009859B3"/>
    <w:rsid w:val="00985C95"/>
    <w:rsid w:val="00986246"/>
    <w:rsid w:val="009867D7"/>
    <w:rsid w:val="00986BA0"/>
    <w:rsid w:val="00987106"/>
    <w:rsid w:val="00987A96"/>
    <w:rsid w:val="00987C57"/>
    <w:rsid w:val="009905B5"/>
    <w:rsid w:val="00991142"/>
    <w:rsid w:val="009913C2"/>
    <w:rsid w:val="00992049"/>
    <w:rsid w:val="009921C3"/>
    <w:rsid w:val="009921D1"/>
    <w:rsid w:val="00992C5D"/>
    <w:rsid w:val="00992C63"/>
    <w:rsid w:val="00992DD5"/>
    <w:rsid w:val="00992FF7"/>
    <w:rsid w:val="00993409"/>
    <w:rsid w:val="00993434"/>
    <w:rsid w:val="0099350B"/>
    <w:rsid w:val="00993C72"/>
    <w:rsid w:val="00993E9F"/>
    <w:rsid w:val="009941B9"/>
    <w:rsid w:val="009943E8"/>
    <w:rsid w:val="00994C4A"/>
    <w:rsid w:val="00994FE3"/>
    <w:rsid w:val="0099557E"/>
    <w:rsid w:val="0099573A"/>
    <w:rsid w:val="00995D6B"/>
    <w:rsid w:val="00995F81"/>
    <w:rsid w:val="00995FCE"/>
    <w:rsid w:val="00996079"/>
    <w:rsid w:val="00996147"/>
    <w:rsid w:val="009961CD"/>
    <w:rsid w:val="009963EE"/>
    <w:rsid w:val="009964DB"/>
    <w:rsid w:val="0099680B"/>
    <w:rsid w:val="0099682A"/>
    <w:rsid w:val="00996A06"/>
    <w:rsid w:val="00996A49"/>
    <w:rsid w:val="009972FD"/>
    <w:rsid w:val="00997B72"/>
    <w:rsid w:val="00997B8F"/>
    <w:rsid w:val="00997C00"/>
    <w:rsid w:val="00997E57"/>
    <w:rsid w:val="009A0153"/>
    <w:rsid w:val="009A0470"/>
    <w:rsid w:val="009A0B62"/>
    <w:rsid w:val="009A0D49"/>
    <w:rsid w:val="009A1588"/>
    <w:rsid w:val="009A1C17"/>
    <w:rsid w:val="009A1CA8"/>
    <w:rsid w:val="009A24D8"/>
    <w:rsid w:val="009A2599"/>
    <w:rsid w:val="009A2C49"/>
    <w:rsid w:val="009A3336"/>
    <w:rsid w:val="009A3AC2"/>
    <w:rsid w:val="009A3C05"/>
    <w:rsid w:val="009A3D94"/>
    <w:rsid w:val="009A3FAC"/>
    <w:rsid w:val="009A411D"/>
    <w:rsid w:val="009A4753"/>
    <w:rsid w:val="009A4A9E"/>
    <w:rsid w:val="009A4B26"/>
    <w:rsid w:val="009A4EF6"/>
    <w:rsid w:val="009A5050"/>
    <w:rsid w:val="009A5E35"/>
    <w:rsid w:val="009A6153"/>
    <w:rsid w:val="009A68F4"/>
    <w:rsid w:val="009A6B2F"/>
    <w:rsid w:val="009A6CEC"/>
    <w:rsid w:val="009A6F35"/>
    <w:rsid w:val="009A6FE3"/>
    <w:rsid w:val="009A7F3A"/>
    <w:rsid w:val="009A7FD0"/>
    <w:rsid w:val="009B0984"/>
    <w:rsid w:val="009B0E76"/>
    <w:rsid w:val="009B1247"/>
    <w:rsid w:val="009B14A6"/>
    <w:rsid w:val="009B18C4"/>
    <w:rsid w:val="009B1A6C"/>
    <w:rsid w:val="009B2571"/>
    <w:rsid w:val="009B26AD"/>
    <w:rsid w:val="009B3026"/>
    <w:rsid w:val="009B3366"/>
    <w:rsid w:val="009B39A1"/>
    <w:rsid w:val="009B3D80"/>
    <w:rsid w:val="009B4560"/>
    <w:rsid w:val="009B465A"/>
    <w:rsid w:val="009B487E"/>
    <w:rsid w:val="009B4980"/>
    <w:rsid w:val="009B4BF9"/>
    <w:rsid w:val="009B4D07"/>
    <w:rsid w:val="009B542D"/>
    <w:rsid w:val="009B5642"/>
    <w:rsid w:val="009B595B"/>
    <w:rsid w:val="009B5FC0"/>
    <w:rsid w:val="009B5FCA"/>
    <w:rsid w:val="009B6203"/>
    <w:rsid w:val="009B631A"/>
    <w:rsid w:val="009B6558"/>
    <w:rsid w:val="009B692F"/>
    <w:rsid w:val="009B6A0C"/>
    <w:rsid w:val="009B6C9E"/>
    <w:rsid w:val="009B6D30"/>
    <w:rsid w:val="009B70C1"/>
    <w:rsid w:val="009B7471"/>
    <w:rsid w:val="009B7605"/>
    <w:rsid w:val="009B768F"/>
    <w:rsid w:val="009B7A97"/>
    <w:rsid w:val="009B7D02"/>
    <w:rsid w:val="009C015B"/>
    <w:rsid w:val="009C025E"/>
    <w:rsid w:val="009C02FE"/>
    <w:rsid w:val="009C038C"/>
    <w:rsid w:val="009C0464"/>
    <w:rsid w:val="009C063D"/>
    <w:rsid w:val="009C06FF"/>
    <w:rsid w:val="009C09D6"/>
    <w:rsid w:val="009C0A35"/>
    <w:rsid w:val="009C0B2E"/>
    <w:rsid w:val="009C0BB6"/>
    <w:rsid w:val="009C0F65"/>
    <w:rsid w:val="009C1164"/>
    <w:rsid w:val="009C15CC"/>
    <w:rsid w:val="009C1691"/>
    <w:rsid w:val="009C1A64"/>
    <w:rsid w:val="009C1AF9"/>
    <w:rsid w:val="009C24AB"/>
    <w:rsid w:val="009C2840"/>
    <w:rsid w:val="009C2D1E"/>
    <w:rsid w:val="009C2D56"/>
    <w:rsid w:val="009C3D89"/>
    <w:rsid w:val="009C3DEE"/>
    <w:rsid w:val="009C40C2"/>
    <w:rsid w:val="009C4208"/>
    <w:rsid w:val="009C44BB"/>
    <w:rsid w:val="009C49C8"/>
    <w:rsid w:val="009C4A65"/>
    <w:rsid w:val="009C52AC"/>
    <w:rsid w:val="009C533F"/>
    <w:rsid w:val="009C5A40"/>
    <w:rsid w:val="009C5CA0"/>
    <w:rsid w:val="009C65C4"/>
    <w:rsid w:val="009C696F"/>
    <w:rsid w:val="009C735E"/>
    <w:rsid w:val="009C7A4C"/>
    <w:rsid w:val="009C7F21"/>
    <w:rsid w:val="009C7FC1"/>
    <w:rsid w:val="009D0045"/>
    <w:rsid w:val="009D00FA"/>
    <w:rsid w:val="009D1155"/>
    <w:rsid w:val="009D1326"/>
    <w:rsid w:val="009D13CF"/>
    <w:rsid w:val="009D14A1"/>
    <w:rsid w:val="009D1705"/>
    <w:rsid w:val="009D1D22"/>
    <w:rsid w:val="009D1F55"/>
    <w:rsid w:val="009D1F56"/>
    <w:rsid w:val="009D20A3"/>
    <w:rsid w:val="009D2508"/>
    <w:rsid w:val="009D267F"/>
    <w:rsid w:val="009D2969"/>
    <w:rsid w:val="009D2A9F"/>
    <w:rsid w:val="009D2F7E"/>
    <w:rsid w:val="009D3580"/>
    <w:rsid w:val="009D3A14"/>
    <w:rsid w:val="009D3F90"/>
    <w:rsid w:val="009D41D2"/>
    <w:rsid w:val="009D4A4B"/>
    <w:rsid w:val="009D4BA2"/>
    <w:rsid w:val="009D51F2"/>
    <w:rsid w:val="009D5344"/>
    <w:rsid w:val="009D534B"/>
    <w:rsid w:val="009D5428"/>
    <w:rsid w:val="009D544E"/>
    <w:rsid w:val="009D5B68"/>
    <w:rsid w:val="009D5FE4"/>
    <w:rsid w:val="009D61E7"/>
    <w:rsid w:val="009D636E"/>
    <w:rsid w:val="009D67CB"/>
    <w:rsid w:val="009D6AE6"/>
    <w:rsid w:val="009D6ECF"/>
    <w:rsid w:val="009D6F3C"/>
    <w:rsid w:val="009D708B"/>
    <w:rsid w:val="009D731B"/>
    <w:rsid w:val="009D73D1"/>
    <w:rsid w:val="009D7851"/>
    <w:rsid w:val="009D7BE0"/>
    <w:rsid w:val="009D7C24"/>
    <w:rsid w:val="009D7C53"/>
    <w:rsid w:val="009D7F24"/>
    <w:rsid w:val="009E00A3"/>
    <w:rsid w:val="009E0206"/>
    <w:rsid w:val="009E08AB"/>
    <w:rsid w:val="009E097F"/>
    <w:rsid w:val="009E0CDC"/>
    <w:rsid w:val="009E144F"/>
    <w:rsid w:val="009E148E"/>
    <w:rsid w:val="009E1734"/>
    <w:rsid w:val="009E1AF9"/>
    <w:rsid w:val="009E1B63"/>
    <w:rsid w:val="009E1ECE"/>
    <w:rsid w:val="009E2318"/>
    <w:rsid w:val="009E2A09"/>
    <w:rsid w:val="009E2AC6"/>
    <w:rsid w:val="009E2ECC"/>
    <w:rsid w:val="009E32B6"/>
    <w:rsid w:val="009E356E"/>
    <w:rsid w:val="009E3D16"/>
    <w:rsid w:val="009E3F00"/>
    <w:rsid w:val="009E4428"/>
    <w:rsid w:val="009E4D3D"/>
    <w:rsid w:val="009E4F68"/>
    <w:rsid w:val="009E591D"/>
    <w:rsid w:val="009E5A53"/>
    <w:rsid w:val="009E5BE6"/>
    <w:rsid w:val="009E5DA0"/>
    <w:rsid w:val="009E5E2A"/>
    <w:rsid w:val="009E6280"/>
    <w:rsid w:val="009E66D6"/>
    <w:rsid w:val="009E6EE2"/>
    <w:rsid w:val="009E7209"/>
    <w:rsid w:val="009E75FD"/>
    <w:rsid w:val="009E769F"/>
    <w:rsid w:val="009E7854"/>
    <w:rsid w:val="009E7922"/>
    <w:rsid w:val="009F011E"/>
    <w:rsid w:val="009F0164"/>
    <w:rsid w:val="009F032B"/>
    <w:rsid w:val="009F03E0"/>
    <w:rsid w:val="009F0874"/>
    <w:rsid w:val="009F0942"/>
    <w:rsid w:val="009F0CBF"/>
    <w:rsid w:val="009F1112"/>
    <w:rsid w:val="009F1139"/>
    <w:rsid w:val="009F1632"/>
    <w:rsid w:val="009F16DD"/>
    <w:rsid w:val="009F18D4"/>
    <w:rsid w:val="009F2152"/>
    <w:rsid w:val="009F260F"/>
    <w:rsid w:val="009F266C"/>
    <w:rsid w:val="009F3060"/>
    <w:rsid w:val="009F33AC"/>
    <w:rsid w:val="009F33F8"/>
    <w:rsid w:val="009F3497"/>
    <w:rsid w:val="009F3871"/>
    <w:rsid w:val="009F41F1"/>
    <w:rsid w:val="009F428B"/>
    <w:rsid w:val="009F47A8"/>
    <w:rsid w:val="009F4B5A"/>
    <w:rsid w:val="009F4F31"/>
    <w:rsid w:val="009F522C"/>
    <w:rsid w:val="009F523E"/>
    <w:rsid w:val="009F5C00"/>
    <w:rsid w:val="009F5C9D"/>
    <w:rsid w:val="009F5D57"/>
    <w:rsid w:val="009F5F07"/>
    <w:rsid w:val="009F693E"/>
    <w:rsid w:val="009F6A5F"/>
    <w:rsid w:val="009F6CD3"/>
    <w:rsid w:val="009F7B8F"/>
    <w:rsid w:val="00A0047F"/>
    <w:rsid w:val="00A00704"/>
    <w:rsid w:val="00A00991"/>
    <w:rsid w:val="00A00CA1"/>
    <w:rsid w:val="00A00E27"/>
    <w:rsid w:val="00A00E9D"/>
    <w:rsid w:val="00A01009"/>
    <w:rsid w:val="00A01961"/>
    <w:rsid w:val="00A01D99"/>
    <w:rsid w:val="00A01F10"/>
    <w:rsid w:val="00A020AD"/>
    <w:rsid w:val="00A024F0"/>
    <w:rsid w:val="00A02847"/>
    <w:rsid w:val="00A02A1C"/>
    <w:rsid w:val="00A02C71"/>
    <w:rsid w:val="00A02D94"/>
    <w:rsid w:val="00A02E06"/>
    <w:rsid w:val="00A03396"/>
    <w:rsid w:val="00A034C9"/>
    <w:rsid w:val="00A03AB4"/>
    <w:rsid w:val="00A03CE8"/>
    <w:rsid w:val="00A03DF9"/>
    <w:rsid w:val="00A03FB2"/>
    <w:rsid w:val="00A043B6"/>
    <w:rsid w:val="00A044E0"/>
    <w:rsid w:val="00A0473B"/>
    <w:rsid w:val="00A0546A"/>
    <w:rsid w:val="00A05522"/>
    <w:rsid w:val="00A0554B"/>
    <w:rsid w:val="00A055B5"/>
    <w:rsid w:val="00A0585E"/>
    <w:rsid w:val="00A05D64"/>
    <w:rsid w:val="00A062A4"/>
    <w:rsid w:val="00A06F32"/>
    <w:rsid w:val="00A0701C"/>
    <w:rsid w:val="00A07149"/>
    <w:rsid w:val="00A07625"/>
    <w:rsid w:val="00A07697"/>
    <w:rsid w:val="00A07855"/>
    <w:rsid w:val="00A07BDE"/>
    <w:rsid w:val="00A10513"/>
    <w:rsid w:val="00A106D3"/>
    <w:rsid w:val="00A107A7"/>
    <w:rsid w:val="00A10B1F"/>
    <w:rsid w:val="00A10FB0"/>
    <w:rsid w:val="00A1103B"/>
    <w:rsid w:val="00A11161"/>
    <w:rsid w:val="00A112A1"/>
    <w:rsid w:val="00A11419"/>
    <w:rsid w:val="00A1141B"/>
    <w:rsid w:val="00A1161A"/>
    <w:rsid w:val="00A11B80"/>
    <w:rsid w:val="00A11C29"/>
    <w:rsid w:val="00A11C35"/>
    <w:rsid w:val="00A11C79"/>
    <w:rsid w:val="00A11CB7"/>
    <w:rsid w:val="00A11EEF"/>
    <w:rsid w:val="00A1254B"/>
    <w:rsid w:val="00A12731"/>
    <w:rsid w:val="00A1362C"/>
    <w:rsid w:val="00A139A4"/>
    <w:rsid w:val="00A13E19"/>
    <w:rsid w:val="00A1404B"/>
    <w:rsid w:val="00A146D7"/>
    <w:rsid w:val="00A148FE"/>
    <w:rsid w:val="00A14A2A"/>
    <w:rsid w:val="00A14E89"/>
    <w:rsid w:val="00A156DF"/>
    <w:rsid w:val="00A15A91"/>
    <w:rsid w:val="00A15EE0"/>
    <w:rsid w:val="00A164F0"/>
    <w:rsid w:val="00A16D14"/>
    <w:rsid w:val="00A17136"/>
    <w:rsid w:val="00A17AA5"/>
    <w:rsid w:val="00A17F85"/>
    <w:rsid w:val="00A2014F"/>
    <w:rsid w:val="00A20576"/>
    <w:rsid w:val="00A2099B"/>
    <w:rsid w:val="00A20DEE"/>
    <w:rsid w:val="00A20E58"/>
    <w:rsid w:val="00A2151D"/>
    <w:rsid w:val="00A21ED2"/>
    <w:rsid w:val="00A2262B"/>
    <w:rsid w:val="00A228BA"/>
    <w:rsid w:val="00A229FE"/>
    <w:rsid w:val="00A232F5"/>
    <w:rsid w:val="00A2334F"/>
    <w:rsid w:val="00A234CD"/>
    <w:rsid w:val="00A23BAC"/>
    <w:rsid w:val="00A23DBA"/>
    <w:rsid w:val="00A249FA"/>
    <w:rsid w:val="00A252DC"/>
    <w:rsid w:val="00A25982"/>
    <w:rsid w:val="00A25D13"/>
    <w:rsid w:val="00A26129"/>
    <w:rsid w:val="00A261D3"/>
    <w:rsid w:val="00A263A0"/>
    <w:rsid w:val="00A26571"/>
    <w:rsid w:val="00A26D31"/>
    <w:rsid w:val="00A275AC"/>
    <w:rsid w:val="00A2794A"/>
    <w:rsid w:val="00A27BCD"/>
    <w:rsid w:val="00A303C3"/>
    <w:rsid w:val="00A30449"/>
    <w:rsid w:val="00A30560"/>
    <w:rsid w:val="00A30FDC"/>
    <w:rsid w:val="00A3126A"/>
    <w:rsid w:val="00A3135C"/>
    <w:rsid w:val="00A31380"/>
    <w:rsid w:val="00A3138D"/>
    <w:rsid w:val="00A316CA"/>
    <w:rsid w:val="00A31BB6"/>
    <w:rsid w:val="00A32353"/>
    <w:rsid w:val="00A323E3"/>
    <w:rsid w:val="00A32435"/>
    <w:rsid w:val="00A32439"/>
    <w:rsid w:val="00A32ACB"/>
    <w:rsid w:val="00A32D4E"/>
    <w:rsid w:val="00A32E48"/>
    <w:rsid w:val="00A32E5E"/>
    <w:rsid w:val="00A3307B"/>
    <w:rsid w:val="00A332E5"/>
    <w:rsid w:val="00A3352E"/>
    <w:rsid w:val="00A339B4"/>
    <w:rsid w:val="00A33B7B"/>
    <w:rsid w:val="00A33FCA"/>
    <w:rsid w:val="00A3464F"/>
    <w:rsid w:val="00A34A0E"/>
    <w:rsid w:val="00A34C73"/>
    <w:rsid w:val="00A34E49"/>
    <w:rsid w:val="00A35DD2"/>
    <w:rsid w:val="00A36066"/>
    <w:rsid w:val="00A36278"/>
    <w:rsid w:val="00A3638E"/>
    <w:rsid w:val="00A363CC"/>
    <w:rsid w:val="00A36A51"/>
    <w:rsid w:val="00A37159"/>
    <w:rsid w:val="00A3745D"/>
    <w:rsid w:val="00A37567"/>
    <w:rsid w:val="00A3761F"/>
    <w:rsid w:val="00A37784"/>
    <w:rsid w:val="00A37874"/>
    <w:rsid w:val="00A37B17"/>
    <w:rsid w:val="00A37BD3"/>
    <w:rsid w:val="00A37E31"/>
    <w:rsid w:val="00A403AB"/>
    <w:rsid w:val="00A40D22"/>
    <w:rsid w:val="00A40F41"/>
    <w:rsid w:val="00A40F6F"/>
    <w:rsid w:val="00A40FDD"/>
    <w:rsid w:val="00A4116F"/>
    <w:rsid w:val="00A41348"/>
    <w:rsid w:val="00A4192A"/>
    <w:rsid w:val="00A41949"/>
    <w:rsid w:val="00A41969"/>
    <w:rsid w:val="00A419FD"/>
    <w:rsid w:val="00A41A10"/>
    <w:rsid w:val="00A41D29"/>
    <w:rsid w:val="00A41D34"/>
    <w:rsid w:val="00A41D5D"/>
    <w:rsid w:val="00A421DC"/>
    <w:rsid w:val="00A42483"/>
    <w:rsid w:val="00A42634"/>
    <w:rsid w:val="00A42732"/>
    <w:rsid w:val="00A4288E"/>
    <w:rsid w:val="00A428A9"/>
    <w:rsid w:val="00A42CF7"/>
    <w:rsid w:val="00A42D8D"/>
    <w:rsid w:val="00A42F83"/>
    <w:rsid w:val="00A42F99"/>
    <w:rsid w:val="00A43168"/>
    <w:rsid w:val="00A43350"/>
    <w:rsid w:val="00A435B4"/>
    <w:rsid w:val="00A43989"/>
    <w:rsid w:val="00A43A0C"/>
    <w:rsid w:val="00A43A87"/>
    <w:rsid w:val="00A43F5E"/>
    <w:rsid w:val="00A442F5"/>
    <w:rsid w:val="00A44575"/>
    <w:rsid w:val="00A44DC1"/>
    <w:rsid w:val="00A44E8F"/>
    <w:rsid w:val="00A454A7"/>
    <w:rsid w:val="00A456B4"/>
    <w:rsid w:val="00A456C8"/>
    <w:rsid w:val="00A45D7E"/>
    <w:rsid w:val="00A46128"/>
    <w:rsid w:val="00A4623A"/>
    <w:rsid w:val="00A46611"/>
    <w:rsid w:val="00A4666F"/>
    <w:rsid w:val="00A466D2"/>
    <w:rsid w:val="00A470F9"/>
    <w:rsid w:val="00A47A6C"/>
    <w:rsid w:val="00A47AB9"/>
    <w:rsid w:val="00A47E82"/>
    <w:rsid w:val="00A47F67"/>
    <w:rsid w:val="00A502D3"/>
    <w:rsid w:val="00A50344"/>
    <w:rsid w:val="00A503BB"/>
    <w:rsid w:val="00A50531"/>
    <w:rsid w:val="00A50716"/>
    <w:rsid w:val="00A50DD9"/>
    <w:rsid w:val="00A513F3"/>
    <w:rsid w:val="00A51635"/>
    <w:rsid w:val="00A51A6C"/>
    <w:rsid w:val="00A51BE7"/>
    <w:rsid w:val="00A51C3C"/>
    <w:rsid w:val="00A51F02"/>
    <w:rsid w:val="00A51FF3"/>
    <w:rsid w:val="00A5224B"/>
    <w:rsid w:val="00A5226E"/>
    <w:rsid w:val="00A52C3B"/>
    <w:rsid w:val="00A531F0"/>
    <w:rsid w:val="00A53518"/>
    <w:rsid w:val="00A5379C"/>
    <w:rsid w:val="00A539EC"/>
    <w:rsid w:val="00A53B24"/>
    <w:rsid w:val="00A53D71"/>
    <w:rsid w:val="00A53FD6"/>
    <w:rsid w:val="00A543A4"/>
    <w:rsid w:val="00A54DDF"/>
    <w:rsid w:val="00A54E90"/>
    <w:rsid w:val="00A54F40"/>
    <w:rsid w:val="00A54F7F"/>
    <w:rsid w:val="00A5509E"/>
    <w:rsid w:val="00A551CF"/>
    <w:rsid w:val="00A5532A"/>
    <w:rsid w:val="00A55DA0"/>
    <w:rsid w:val="00A5622A"/>
    <w:rsid w:val="00A5632A"/>
    <w:rsid w:val="00A56AF4"/>
    <w:rsid w:val="00A56C33"/>
    <w:rsid w:val="00A56E9E"/>
    <w:rsid w:val="00A579D0"/>
    <w:rsid w:val="00A6023A"/>
    <w:rsid w:val="00A60522"/>
    <w:rsid w:val="00A608E5"/>
    <w:rsid w:val="00A6093E"/>
    <w:rsid w:val="00A609D7"/>
    <w:rsid w:val="00A60A1A"/>
    <w:rsid w:val="00A60A5F"/>
    <w:rsid w:val="00A60FD2"/>
    <w:rsid w:val="00A6107B"/>
    <w:rsid w:val="00A61B17"/>
    <w:rsid w:val="00A61DE1"/>
    <w:rsid w:val="00A61F00"/>
    <w:rsid w:val="00A62193"/>
    <w:rsid w:val="00A62980"/>
    <w:rsid w:val="00A629FB"/>
    <w:rsid w:val="00A62EDB"/>
    <w:rsid w:val="00A63201"/>
    <w:rsid w:val="00A63ECA"/>
    <w:rsid w:val="00A63F6A"/>
    <w:rsid w:val="00A6414D"/>
    <w:rsid w:val="00A6482A"/>
    <w:rsid w:val="00A64B69"/>
    <w:rsid w:val="00A654B0"/>
    <w:rsid w:val="00A657C2"/>
    <w:rsid w:val="00A65D48"/>
    <w:rsid w:val="00A66F51"/>
    <w:rsid w:val="00A66F9C"/>
    <w:rsid w:val="00A674AA"/>
    <w:rsid w:val="00A67A79"/>
    <w:rsid w:val="00A67D83"/>
    <w:rsid w:val="00A67D87"/>
    <w:rsid w:val="00A67DA6"/>
    <w:rsid w:val="00A67DCA"/>
    <w:rsid w:val="00A67DD1"/>
    <w:rsid w:val="00A67E00"/>
    <w:rsid w:val="00A67E04"/>
    <w:rsid w:val="00A700FF"/>
    <w:rsid w:val="00A70130"/>
    <w:rsid w:val="00A7044E"/>
    <w:rsid w:val="00A7078D"/>
    <w:rsid w:val="00A70EA2"/>
    <w:rsid w:val="00A71054"/>
    <w:rsid w:val="00A710F8"/>
    <w:rsid w:val="00A711AC"/>
    <w:rsid w:val="00A715F8"/>
    <w:rsid w:val="00A71BEB"/>
    <w:rsid w:val="00A72B6E"/>
    <w:rsid w:val="00A72ED9"/>
    <w:rsid w:val="00A7330E"/>
    <w:rsid w:val="00A736AD"/>
    <w:rsid w:val="00A7377D"/>
    <w:rsid w:val="00A7390D"/>
    <w:rsid w:val="00A73A7E"/>
    <w:rsid w:val="00A74025"/>
    <w:rsid w:val="00A74234"/>
    <w:rsid w:val="00A742E3"/>
    <w:rsid w:val="00A742F2"/>
    <w:rsid w:val="00A743A3"/>
    <w:rsid w:val="00A74607"/>
    <w:rsid w:val="00A74766"/>
    <w:rsid w:val="00A747E6"/>
    <w:rsid w:val="00A74A57"/>
    <w:rsid w:val="00A74B73"/>
    <w:rsid w:val="00A74E07"/>
    <w:rsid w:val="00A75834"/>
    <w:rsid w:val="00A75A9B"/>
    <w:rsid w:val="00A75EAD"/>
    <w:rsid w:val="00A760D1"/>
    <w:rsid w:val="00A761D0"/>
    <w:rsid w:val="00A7623D"/>
    <w:rsid w:val="00A76495"/>
    <w:rsid w:val="00A765B4"/>
    <w:rsid w:val="00A76A1A"/>
    <w:rsid w:val="00A76D70"/>
    <w:rsid w:val="00A76DFE"/>
    <w:rsid w:val="00A77208"/>
    <w:rsid w:val="00A772D8"/>
    <w:rsid w:val="00A774E4"/>
    <w:rsid w:val="00A77A0E"/>
    <w:rsid w:val="00A80227"/>
    <w:rsid w:val="00A8106F"/>
    <w:rsid w:val="00A814A2"/>
    <w:rsid w:val="00A81ACC"/>
    <w:rsid w:val="00A82020"/>
    <w:rsid w:val="00A82216"/>
    <w:rsid w:val="00A825E6"/>
    <w:rsid w:val="00A827C6"/>
    <w:rsid w:val="00A82873"/>
    <w:rsid w:val="00A8290E"/>
    <w:rsid w:val="00A83132"/>
    <w:rsid w:val="00A83787"/>
    <w:rsid w:val="00A83A83"/>
    <w:rsid w:val="00A83CF1"/>
    <w:rsid w:val="00A84282"/>
    <w:rsid w:val="00A845F6"/>
    <w:rsid w:val="00A84928"/>
    <w:rsid w:val="00A8501B"/>
    <w:rsid w:val="00A850CA"/>
    <w:rsid w:val="00A85A4B"/>
    <w:rsid w:val="00A85E18"/>
    <w:rsid w:val="00A85F60"/>
    <w:rsid w:val="00A8603D"/>
    <w:rsid w:val="00A8637D"/>
    <w:rsid w:val="00A865C4"/>
    <w:rsid w:val="00A86758"/>
    <w:rsid w:val="00A86D24"/>
    <w:rsid w:val="00A87009"/>
    <w:rsid w:val="00A871CB"/>
    <w:rsid w:val="00A87277"/>
    <w:rsid w:val="00A877E4"/>
    <w:rsid w:val="00A87E0F"/>
    <w:rsid w:val="00A90599"/>
    <w:rsid w:val="00A905E1"/>
    <w:rsid w:val="00A905F3"/>
    <w:rsid w:val="00A90D0F"/>
    <w:rsid w:val="00A90F91"/>
    <w:rsid w:val="00A91458"/>
    <w:rsid w:val="00A9164E"/>
    <w:rsid w:val="00A919BD"/>
    <w:rsid w:val="00A91BAC"/>
    <w:rsid w:val="00A91D2B"/>
    <w:rsid w:val="00A91E8B"/>
    <w:rsid w:val="00A91EC9"/>
    <w:rsid w:val="00A9262A"/>
    <w:rsid w:val="00A9263E"/>
    <w:rsid w:val="00A92726"/>
    <w:rsid w:val="00A92821"/>
    <w:rsid w:val="00A92864"/>
    <w:rsid w:val="00A92C57"/>
    <w:rsid w:val="00A92D12"/>
    <w:rsid w:val="00A93190"/>
    <w:rsid w:val="00A936E4"/>
    <w:rsid w:val="00A93C17"/>
    <w:rsid w:val="00A943C2"/>
    <w:rsid w:val="00A943C7"/>
    <w:rsid w:val="00A943F7"/>
    <w:rsid w:val="00A94676"/>
    <w:rsid w:val="00A9475D"/>
    <w:rsid w:val="00A94B90"/>
    <w:rsid w:val="00A94F0A"/>
    <w:rsid w:val="00A9557B"/>
    <w:rsid w:val="00A95A1E"/>
    <w:rsid w:val="00A95B08"/>
    <w:rsid w:val="00A95B36"/>
    <w:rsid w:val="00A95B70"/>
    <w:rsid w:val="00A960F5"/>
    <w:rsid w:val="00A96200"/>
    <w:rsid w:val="00A964B6"/>
    <w:rsid w:val="00A9668A"/>
    <w:rsid w:val="00A966EA"/>
    <w:rsid w:val="00A96885"/>
    <w:rsid w:val="00A96F7F"/>
    <w:rsid w:val="00A9711D"/>
    <w:rsid w:val="00A9715E"/>
    <w:rsid w:val="00A977D9"/>
    <w:rsid w:val="00A9792B"/>
    <w:rsid w:val="00A979CC"/>
    <w:rsid w:val="00A97ADC"/>
    <w:rsid w:val="00A97D39"/>
    <w:rsid w:val="00A97DB0"/>
    <w:rsid w:val="00A97F9F"/>
    <w:rsid w:val="00AA073E"/>
    <w:rsid w:val="00AA0742"/>
    <w:rsid w:val="00AA09BC"/>
    <w:rsid w:val="00AA0F52"/>
    <w:rsid w:val="00AA126B"/>
    <w:rsid w:val="00AA1345"/>
    <w:rsid w:val="00AA177E"/>
    <w:rsid w:val="00AA17A8"/>
    <w:rsid w:val="00AA1867"/>
    <w:rsid w:val="00AA1B7E"/>
    <w:rsid w:val="00AA1CCF"/>
    <w:rsid w:val="00AA1CF0"/>
    <w:rsid w:val="00AA2244"/>
    <w:rsid w:val="00AA244C"/>
    <w:rsid w:val="00AA24B5"/>
    <w:rsid w:val="00AA2CB3"/>
    <w:rsid w:val="00AA2FC7"/>
    <w:rsid w:val="00AA3058"/>
    <w:rsid w:val="00AA3129"/>
    <w:rsid w:val="00AA31F0"/>
    <w:rsid w:val="00AA333E"/>
    <w:rsid w:val="00AA343A"/>
    <w:rsid w:val="00AA3614"/>
    <w:rsid w:val="00AA3982"/>
    <w:rsid w:val="00AA3BA9"/>
    <w:rsid w:val="00AA3E08"/>
    <w:rsid w:val="00AA421C"/>
    <w:rsid w:val="00AA42BD"/>
    <w:rsid w:val="00AA47B1"/>
    <w:rsid w:val="00AA4CBA"/>
    <w:rsid w:val="00AA53AE"/>
    <w:rsid w:val="00AA6039"/>
    <w:rsid w:val="00AA6A1A"/>
    <w:rsid w:val="00AA6C0E"/>
    <w:rsid w:val="00AA6E47"/>
    <w:rsid w:val="00AA6E75"/>
    <w:rsid w:val="00AA728F"/>
    <w:rsid w:val="00AA76EE"/>
    <w:rsid w:val="00AA7DEC"/>
    <w:rsid w:val="00AB01C6"/>
    <w:rsid w:val="00AB03CD"/>
    <w:rsid w:val="00AB042F"/>
    <w:rsid w:val="00AB0C50"/>
    <w:rsid w:val="00AB1337"/>
    <w:rsid w:val="00AB1359"/>
    <w:rsid w:val="00AB1EB3"/>
    <w:rsid w:val="00AB28B6"/>
    <w:rsid w:val="00AB2B32"/>
    <w:rsid w:val="00AB2F39"/>
    <w:rsid w:val="00AB33EE"/>
    <w:rsid w:val="00AB35E0"/>
    <w:rsid w:val="00AB362F"/>
    <w:rsid w:val="00AB36C8"/>
    <w:rsid w:val="00AB38B8"/>
    <w:rsid w:val="00AB39B2"/>
    <w:rsid w:val="00AB3C6B"/>
    <w:rsid w:val="00AB3F0D"/>
    <w:rsid w:val="00AB432C"/>
    <w:rsid w:val="00AB4473"/>
    <w:rsid w:val="00AB44A7"/>
    <w:rsid w:val="00AB47CD"/>
    <w:rsid w:val="00AB4979"/>
    <w:rsid w:val="00AB4B50"/>
    <w:rsid w:val="00AB4D76"/>
    <w:rsid w:val="00AB5265"/>
    <w:rsid w:val="00AB5475"/>
    <w:rsid w:val="00AB5F99"/>
    <w:rsid w:val="00AB616B"/>
    <w:rsid w:val="00AB620D"/>
    <w:rsid w:val="00AB62B2"/>
    <w:rsid w:val="00AB723B"/>
    <w:rsid w:val="00AB7374"/>
    <w:rsid w:val="00AB7C31"/>
    <w:rsid w:val="00AC071D"/>
    <w:rsid w:val="00AC079F"/>
    <w:rsid w:val="00AC0AD6"/>
    <w:rsid w:val="00AC0EF2"/>
    <w:rsid w:val="00AC0F80"/>
    <w:rsid w:val="00AC1112"/>
    <w:rsid w:val="00AC13EF"/>
    <w:rsid w:val="00AC15FD"/>
    <w:rsid w:val="00AC1AD1"/>
    <w:rsid w:val="00AC20D4"/>
    <w:rsid w:val="00AC21B6"/>
    <w:rsid w:val="00AC2354"/>
    <w:rsid w:val="00AC24B2"/>
    <w:rsid w:val="00AC26B5"/>
    <w:rsid w:val="00AC2840"/>
    <w:rsid w:val="00AC36B7"/>
    <w:rsid w:val="00AC3A10"/>
    <w:rsid w:val="00AC3B30"/>
    <w:rsid w:val="00AC4269"/>
    <w:rsid w:val="00AC4CCC"/>
    <w:rsid w:val="00AC4D16"/>
    <w:rsid w:val="00AC4DFD"/>
    <w:rsid w:val="00AC4F4B"/>
    <w:rsid w:val="00AC524F"/>
    <w:rsid w:val="00AC590E"/>
    <w:rsid w:val="00AC5A19"/>
    <w:rsid w:val="00AC5E05"/>
    <w:rsid w:val="00AC5E18"/>
    <w:rsid w:val="00AC5E74"/>
    <w:rsid w:val="00AC63CB"/>
    <w:rsid w:val="00AC63EE"/>
    <w:rsid w:val="00AC652C"/>
    <w:rsid w:val="00AC6A15"/>
    <w:rsid w:val="00AC6BEF"/>
    <w:rsid w:val="00AC6CE7"/>
    <w:rsid w:val="00AC6D75"/>
    <w:rsid w:val="00AC7155"/>
    <w:rsid w:val="00AC73B8"/>
    <w:rsid w:val="00AC7449"/>
    <w:rsid w:val="00AC745F"/>
    <w:rsid w:val="00AC750D"/>
    <w:rsid w:val="00AC7524"/>
    <w:rsid w:val="00AC7EF7"/>
    <w:rsid w:val="00AD01DA"/>
    <w:rsid w:val="00AD0801"/>
    <w:rsid w:val="00AD0839"/>
    <w:rsid w:val="00AD0985"/>
    <w:rsid w:val="00AD0CAA"/>
    <w:rsid w:val="00AD0D36"/>
    <w:rsid w:val="00AD0EF0"/>
    <w:rsid w:val="00AD0F27"/>
    <w:rsid w:val="00AD1B2E"/>
    <w:rsid w:val="00AD1F49"/>
    <w:rsid w:val="00AD212D"/>
    <w:rsid w:val="00AD26B7"/>
    <w:rsid w:val="00AD2D3E"/>
    <w:rsid w:val="00AD2EEB"/>
    <w:rsid w:val="00AD3034"/>
    <w:rsid w:val="00AD3230"/>
    <w:rsid w:val="00AD35C5"/>
    <w:rsid w:val="00AD3955"/>
    <w:rsid w:val="00AD3F4F"/>
    <w:rsid w:val="00AD4020"/>
    <w:rsid w:val="00AD478D"/>
    <w:rsid w:val="00AD47BC"/>
    <w:rsid w:val="00AD4ADE"/>
    <w:rsid w:val="00AD5078"/>
    <w:rsid w:val="00AD52E7"/>
    <w:rsid w:val="00AD56DB"/>
    <w:rsid w:val="00AD57C1"/>
    <w:rsid w:val="00AD603B"/>
    <w:rsid w:val="00AD6122"/>
    <w:rsid w:val="00AD61E7"/>
    <w:rsid w:val="00AD62F1"/>
    <w:rsid w:val="00AD6856"/>
    <w:rsid w:val="00AD70F3"/>
    <w:rsid w:val="00AD743D"/>
    <w:rsid w:val="00AD7B48"/>
    <w:rsid w:val="00AD7B5A"/>
    <w:rsid w:val="00AD7BC7"/>
    <w:rsid w:val="00AD7CA1"/>
    <w:rsid w:val="00AE0120"/>
    <w:rsid w:val="00AE09D5"/>
    <w:rsid w:val="00AE0C99"/>
    <w:rsid w:val="00AE1082"/>
    <w:rsid w:val="00AE14E6"/>
    <w:rsid w:val="00AE1A9A"/>
    <w:rsid w:val="00AE1B14"/>
    <w:rsid w:val="00AE27D4"/>
    <w:rsid w:val="00AE282F"/>
    <w:rsid w:val="00AE2E57"/>
    <w:rsid w:val="00AE3400"/>
    <w:rsid w:val="00AE3846"/>
    <w:rsid w:val="00AE3B19"/>
    <w:rsid w:val="00AE3D22"/>
    <w:rsid w:val="00AE3E43"/>
    <w:rsid w:val="00AE413B"/>
    <w:rsid w:val="00AE429C"/>
    <w:rsid w:val="00AE4417"/>
    <w:rsid w:val="00AE47A1"/>
    <w:rsid w:val="00AE49F4"/>
    <w:rsid w:val="00AE4B2D"/>
    <w:rsid w:val="00AE4D46"/>
    <w:rsid w:val="00AE4D59"/>
    <w:rsid w:val="00AE5081"/>
    <w:rsid w:val="00AE560B"/>
    <w:rsid w:val="00AE58E8"/>
    <w:rsid w:val="00AE5978"/>
    <w:rsid w:val="00AE622D"/>
    <w:rsid w:val="00AE64AE"/>
    <w:rsid w:val="00AE64E0"/>
    <w:rsid w:val="00AE67FE"/>
    <w:rsid w:val="00AE6A32"/>
    <w:rsid w:val="00AE6C80"/>
    <w:rsid w:val="00AE71BA"/>
    <w:rsid w:val="00AE7290"/>
    <w:rsid w:val="00AE754B"/>
    <w:rsid w:val="00AE7A7E"/>
    <w:rsid w:val="00AE7BCE"/>
    <w:rsid w:val="00AF0319"/>
    <w:rsid w:val="00AF07E8"/>
    <w:rsid w:val="00AF0A16"/>
    <w:rsid w:val="00AF0AB0"/>
    <w:rsid w:val="00AF0F72"/>
    <w:rsid w:val="00AF16E2"/>
    <w:rsid w:val="00AF16E9"/>
    <w:rsid w:val="00AF1886"/>
    <w:rsid w:val="00AF2DE7"/>
    <w:rsid w:val="00AF2DEA"/>
    <w:rsid w:val="00AF3683"/>
    <w:rsid w:val="00AF3A11"/>
    <w:rsid w:val="00AF3B9F"/>
    <w:rsid w:val="00AF3BEF"/>
    <w:rsid w:val="00AF3D62"/>
    <w:rsid w:val="00AF4008"/>
    <w:rsid w:val="00AF444E"/>
    <w:rsid w:val="00AF4758"/>
    <w:rsid w:val="00AF48B7"/>
    <w:rsid w:val="00AF51DD"/>
    <w:rsid w:val="00AF5635"/>
    <w:rsid w:val="00AF57D5"/>
    <w:rsid w:val="00AF5A32"/>
    <w:rsid w:val="00AF5A54"/>
    <w:rsid w:val="00AF61FC"/>
    <w:rsid w:val="00AF6679"/>
    <w:rsid w:val="00AF67DD"/>
    <w:rsid w:val="00AF6D94"/>
    <w:rsid w:val="00AF6FF7"/>
    <w:rsid w:val="00AF70E9"/>
    <w:rsid w:val="00AF7230"/>
    <w:rsid w:val="00AF73E2"/>
    <w:rsid w:val="00AF7473"/>
    <w:rsid w:val="00AF7A19"/>
    <w:rsid w:val="00B00719"/>
    <w:rsid w:val="00B00967"/>
    <w:rsid w:val="00B01289"/>
    <w:rsid w:val="00B01874"/>
    <w:rsid w:val="00B01963"/>
    <w:rsid w:val="00B01A4C"/>
    <w:rsid w:val="00B01B34"/>
    <w:rsid w:val="00B01C5F"/>
    <w:rsid w:val="00B02420"/>
    <w:rsid w:val="00B026FE"/>
    <w:rsid w:val="00B028CA"/>
    <w:rsid w:val="00B0322F"/>
    <w:rsid w:val="00B038AB"/>
    <w:rsid w:val="00B038B7"/>
    <w:rsid w:val="00B03A2E"/>
    <w:rsid w:val="00B04B22"/>
    <w:rsid w:val="00B04EDF"/>
    <w:rsid w:val="00B057AE"/>
    <w:rsid w:val="00B05A21"/>
    <w:rsid w:val="00B05D74"/>
    <w:rsid w:val="00B05DAE"/>
    <w:rsid w:val="00B06121"/>
    <w:rsid w:val="00B063F9"/>
    <w:rsid w:val="00B06592"/>
    <w:rsid w:val="00B0675B"/>
    <w:rsid w:val="00B06E68"/>
    <w:rsid w:val="00B07013"/>
    <w:rsid w:val="00B070BC"/>
    <w:rsid w:val="00B07331"/>
    <w:rsid w:val="00B0757F"/>
    <w:rsid w:val="00B100C1"/>
    <w:rsid w:val="00B1080A"/>
    <w:rsid w:val="00B10848"/>
    <w:rsid w:val="00B10E95"/>
    <w:rsid w:val="00B11049"/>
    <w:rsid w:val="00B111E0"/>
    <w:rsid w:val="00B112FD"/>
    <w:rsid w:val="00B11551"/>
    <w:rsid w:val="00B11C6B"/>
    <w:rsid w:val="00B11FB2"/>
    <w:rsid w:val="00B120AC"/>
    <w:rsid w:val="00B12402"/>
    <w:rsid w:val="00B1292E"/>
    <w:rsid w:val="00B131BB"/>
    <w:rsid w:val="00B139F2"/>
    <w:rsid w:val="00B13BC4"/>
    <w:rsid w:val="00B13BFE"/>
    <w:rsid w:val="00B13F21"/>
    <w:rsid w:val="00B141CE"/>
    <w:rsid w:val="00B14844"/>
    <w:rsid w:val="00B14AD6"/>
    <w:rsid w:val="00B14B99"/>
    <w:rsid w:val="00B1502C"/>
    <w:rsid w:val="00B15190"/>
    <w:rsid w:val="00B155EA"/>
    <w:rsid w:val="00B15935"/>
    <w:rsid w:val="00B15A3F"/>
    <w:rsid w:val="00B15D98"/>
    <w:rsid w:val="00B15DEF"/>
    <w:rsid w:val="00B1619A"/>
    <w:rsid w:val="00B165B4"/>
    <w:rsid w:val="00B166D3"/>
    <w:rsid w:val="00B16839"/>
    <w:rsid w:val="00B1689C"/>
    <w:rsid w:val="00B169DC"/>
    <w:rsid w:val="00B16CFF"/>
    <w:rsid w:val="00B1711E"/>
    <w:rsid w:val="00B17672"/>
    <w:rsid w:val="00B176F7"/>
    <w:rsid w:val="00B17726"/>
    <w:rsid w:val="00B178DA"/>
    <w:rsid w:val="00B17A24"/>
    <w:rsid w:val="00B17D5E"/>
    <w:rsid w:val="00B2031B"/>
    <w:rsid w:val="00B2070E"/>
    <w:rsid w:val="00B2082E"/>
    <w:rsid w:val="00B208C6"/>
    <w:rsid w:val="00B20953"/>
    <w:rsid w:val="00B20C7E"/>
    <w:rsid w:val="00B20DA1"/>
    <w:rsid w:val="00B210DC"/>
    <w:rsid w:val="00B216F8"/>
    <w:rsid w:val="00B2185B"/>
    <w:rsid w:val="00B21C2B"/>
    <w:rsid w:val="00B21CF7"/>
    <w:rsid w:val="00B21E70"/>
    <w:rsid w:val="00B220C7"/>
    <w:rsid w:val="00B228B3"/>
    <w:rsid w:val="00B22A23"/>
    <w:rsid w:val="00B22C1E"/>
    <w:rsid w:val="00B22C45"/>
    <w:rsid w:val="00B22D13"/>
    <w:rsid w:val="00B2344B"/>
    <w:rsid w:val="00B234A6"/>
    <w:rsid w:val="00B237A4"/>
    <w:rsid w:val="00B23B6F"/>
    <w:rsid w:val="00B23D5C"/>
    <w:rsid w:val="00B23ECE"/>
    <w:rsid w:val="00B240DA"/>
    <w:rsid w:val="00B2477F"/>
    <w:rsid w:val="00B24998"/>
    <w:rsid w:val="00B24CC4"/>
    <w:rsid w:val="00B24ED1"/>
    <w:rsid w:val="00B25244"/>
    <w:rsid w:val="00B2549F"/>
    <w:rsid w:val="00B2552D"/>
    <w:rsid w:val="00B2574A"/>
    <w:rsid w:val="00B25E20"/>
    <w:rsid w:val="00B25E76"/>
    <w:rsid w:val="00B25EBC"/>
    <w:rsid w:val="00B26177"/>
    <w:rsid w:val="00B26345"/>
    <w:rsid w:val="00B26BB5"/>
    <w:rsid w:val="00B2752A"/>
    <w:rsid w:val="00B27E68"/>
    <w:rsid w:val="00B307AA"/>
    <w:rsid w:val="00B30810"/>
    <w:rsid w:val="00B30B72"/>
    <w:rsid w:val="00B30ED0"/>
    <w:rsid w:val="00B31255"/>
    <w:rsid w:val="00B31663"/>
    <w:rsid w:val="00B31696"/>
    <w:rsid w:val="00B3179C"/>
    <w:rsid w:val="00B317BC"/>
    <w:rsid w:val="00B31AC5"/>
    <w:rsid w:val="00B31E5E"/>
    <w:rsid w:val="00B322DA"/>
    <w:rsid w:val="00B3257B"/>
    <w:rsid w:val="00B328DE"/>
    <w:rsid w:val="00B32AE6"/>
    <w:rsid w:val="00B32CE4"/>
    <w:rsid w:val="00B32FDF"/>
    <w:rsid w:val="00B330FA"/>
    <w:rsid w:val="00B340E7"/>
    <w:rsid w:val="00B341E3"/>
    <w:rsid w:val="00B344CF"/>
    <w:rsid w:val="00B34AD8"/>
    <w:rsid w:val="00B34CC6"/>
    <w:rsid w:val="00B34D7B"/>
    <w:rsid w:val="00B34FF8"/>
    <w:rsid w:val="00B3507F"/>
    <w:rsid w:val="00B352E9"/>
    <w:rsid w:val="00B35CAC"/>
    <w:rsid w:val="00B3602D"/>
    <w:rsid w:val="00B3631E"/>
    <w:rsid w:val="00B36508"/>
    <w:rsid w:val="00B366B7"/>
    <w:rsid w:val="00B36724"/>
    <w:rsid w:val="00B3693F"/>
    <w:rsid w:val="00B36B7F"/>
    <w:rsid w:val="00B37046"/>
    <w:rsid w:val="00B37502"/>
    <w:rsid w:val="00B37602"/>
    <w:rsid w:val="00B376C5"/>
    <w:rsid w:val="00B37809"/>
    <w:rsid w:val="00B37828"/>
    <w:rsid w:val="00B37A1B"/>
    <w:rsid w:val="00B37B67"/>
    <w:rsid w:val="00B37E2B"/>
    <w:rsid w:val="00B402C2"/>
    <w:rsid w:val="00B4030C"/>
    <w:rsid w:val="00B4033D"/>
    <w:rsid w:val="00B40688"/>
    <w:rsid w:val="00B40F48"/>
    <w:rsid w:val="00B41368"/>
    <w:rsid w:val="00B41611"/>
    <w:rsid w:val="00B41BB5"/>
    <w:rsid w:val="00B41D3B"/>
    <w:rsid w:val="00B42AD4"/>
    <w:rsid w:val="00B42AF2"/>
    <w:rsid w:val="00B42E1A"/>
    <w:rsid w:val="00B42E6A"/>
    <w:rsid w:val="00B43068"/>
    <w:rsid w:val="00B435E5"/>
    <w:rsid w:val="00B43736"/>
    <w:rsid w:val="00B43B9E"/>
    <w:rsid w:val="00B43BED"/>
    <w:rsid w:val="00B43EDE"/>
    <w:rsid w:val="00B44866"/>
    <w:rsid w:val="00B44B9A"/>
    <w:rsid w:val="00B450E9"/>
    <w:rsid w:val="00B45182"/>
    <w:rsid w:val="00B45717"/>
    <w:rsid w:val="00B457EA"/>
    <w:rsid w:val="00B459FF"/>
    <w:rsid w:val="00B45C21"/>
    <w:rsid w:val="00B46144"/>
    <w:rsid w:val="00B465B1"/>
    <w:rsid w:val="00B47190"/>
    <w:rsid w:val="00B472E6"/>
    <w:rsid w:val="00B47588"/>
    <w:rsid w:val="00B47641"/>
    <w:rsid w:val="00B47AEB"/>
    <w:rsid w:val="00B47E3A"/>
    <w:rsid w:val="00B47EF1"/>
    <w:rsid w:val="00B5039B"/>
    <w:rsid w:val="00B50BFB"/>
    <w:rsid w:val="00B5103C"/>
    <w:rsid w:val="00B511E9"/>
    <w:rsid w:val="00B512C1"/>
    <w:rsid w:val="00B51523"/>
    <w:rsid w:val="00B51693"/>
    <w:rsid w:val="00B519A3"/>
    <w:rsid w:val="00B51B3A"/>
    <w:rsid w:val="00B52122"/>
    <w:rsid w:val="00B52380"/>
    <w:rsid w:val="00B524E6"/>
    <w:rsid w:val="00B52A01"/>
    <w:rsid w:val="00B52D04"/>
    <w:rsid w:val="00B530F6"/>
    <w:rsid w:val="00B531D0"/>
    <w:rsid w:val="00B537DB"/>
    <w:rsid w:val="00B53A6A"/>
    <w:rsid w:val="00B53B02"/>
    <w:rsid w:val="00B53B83"/>
    <w:rsid w:val="00B54785"/>
    <w:rsid w:val="00B54DCD"/>
    <w:rsid w:val="00B55373"/>
    <w:rsid w:val="00B556C6"/>
    <w:rsid w:val="00B55890"/>
    <w:rsid w:val="00B55A3F"/>
    <w:rsid w:val="00B56325"/>
    <w:rsid w:val="00B56D0F"/>
    <w:rsid w:val="00B56F24"/>
    <w:rsid w:val="00B574A0"/>
    <w:rsid w:val="00B57730"/>
    <w:rsid w:val="00B57B13"/>
    <w:rsid w:val="00B57DED"/>
    <w:rsid w:val="00B60280"/>
    <w:rsid w:val="00B60B58"/>
    <w:rsid w:val="00B60D6E"/>
    <w:rsid w:val="00B60E61"/>
    <w:rsid w:val="00B611AF"/>
    <w:rsid w:val="00B611D8"/>
    <w:rsid w:val="00B6123E"/>
    <w:rsid w:val="00B6129E"/>
    <w:rsid w:val="00B61611"/>
    <w:rsid w:val="00B6180C"/>
    <w:rsid w:val="00B6182D"/>
    <w:rsid w:val="00B618B2"/>
    <w:rsid w:val="00B6196E"/>
    <w:rsid w:val="00B61A87"/>
    <w:rsid w:val="00B61AC2"/>
    <w:rsid w:val="00B61D7F"/>
    <w:rsid w:val="00B61E14"/>
    <w:rsid w:val="00B6201B"/>
    <w:rsid w:val="00B6250F"/>
    <w:rsid w:val="00B625D5"/>
    <w:rsid w:val="00B6273D"/>
    <w:rsid w:val="00B62B85"/>
    <w:rsid w:val="00B630E2"/>
    <w:rsid w:val="00B630F3"/>
    <w:rsid w:val="00B63372"/>
    <w:rsid w:val="00B635A5"/>
    <w:rsid w:val="00B63712"/>
    <w:rsid w:val="00B64215"/>
    <w:rsid w:val="00B64236"/>
    <w:rsid w:val="00B64E65"/>
    <w:rsid w:val="00B64E94"/>
    <w:rsid w:val="00B64F65"/>
    <w:rsid w:val="00B65E42"/>
    <w:rsid w:val="00B65FE6"/>
    <w:rsid w:val="00B666FB"/>
    <w:rsid w:val="00B670BC"/>
    <w:rsid w:val="00B672D9"/>
    <w:rsid w:val="00B67736"/>
    <w:rsid w:val="00B67932"/>
    <w:rsid w:val="00B67B06"/>
    <w:rsid w:val="00B67E38"/>
    <w:rsid w:val="00B70810"/>
    <w:rsid w:val="00B70869"/>
    <w:rsid w:val="00B708B5"/>
    <w:rsid w:val="00B71AF8"/>
    <w:rsid w:val="00B71B85"/>
    <w:rsid w:val="00B71BE1"/>
    <w:rsid w:val="00B71EDC"/>
    <w:rsid w:val="00B724F4"/>
    <w:rsid w:val="00B739F5"/>
    <w:rsid w:val="00B73E3B"/>
    <w:rsid w:val="00B74005"/>
    <w:rsid w:val="00B74083"/>
    <w:rsid w:val="00B7430C"/>
    <w:rsid w:val="00B7436A"/>
    <w:rsid w:val="00B74755"/>
    <w:rsid w:val="00B74F21"/>
    <w:rsid w:val="00B75E93"/>
    <w:rsid w:val="00B760C2"/>
    <w:rsid w:val="00B76346"/>
    <w:rsid w:val="00B76697"/>
    <w:rsid w:val="00B769A2"/>
    <w:rsid w:val="00B76BA6"/>
    <w:rsid w:val="00B76FDB"/>
    <w:rsid w:val="00B775B7"/>
    <w:rsid w:val="00B77762"/>
    <w:rsid w:val="00B77771"/>
    <w:rsid w:val="00B77C7D"/>
    <w:rsid w:val="00B77E30"/>
    <w:rsid w:val="00B8004D"/>
    <w:rsid w:val="00B800AE"/>
    <w:rsid w:val="00B80288"/>
    <w:rsid w:val="00B8041D"/>
    <w:rsid w:val="00B80844"/>
    <w:rsid w:val="00B80A2C"/>
    <w:rsid w:val="00B80BEC"/>
    <w:rsid w:val="00B80C12"/>
    <w:rsid w:val="00B811AD"/>
    <w:rsid w:val="00B8122A"/>
    <w:rsid w:val="00B819A0"/>
    <w:rsid w:val="00B81A92"/>
    <w:rsid w:val="00B81E3A"/>
    <w:rsid w:val="00B81F78"/>
    <w:rsid w:val="00B81FE5"/>
    <w:rsid w:val="00B820EE"/>
    <w:rsid w:val="00B82483"/>
    <w:rsid w:val="00B827E7"/>
    <w:rsid w:val="00B82865"/>
    <w:rsid w:val="00B82984"/>
    <w:rsid w:val="00B82F95"/>
    <w:rsid w:val="00B82FC0"/>
    <w:rsid w:val="00B831E0"/>
    <w:rsid w:val="00B8327B"/>
    <w:rsid w:val="00B832AC"/>
    <w:rsid w:val="00B8349D"/>
    <w:rsid w:val="00B835AA"/>
    <w:rsid w:val="00B83C83"/>
    <w:rsid w:val="00B842C1"/>
    <w:rsid w:val="00B846FE"/>
    <w:rsid w:val="00B84717"/>
    <w:rsid w:val="00B84A9C"/>
    <w:rsid w:val="00B84CDF"/>
    <w:rsid w:val="00B84D31"/>
    <w:rsid w:val="00B84DB0"/>
    <w:rsid w:val="00B85225"/>
    <w:rsid w:val="00B852DB"/>
    <w:rsid w:val="00B85E65"/>
    <w:rsid w:val="00B862AF"/>
    <w:rsid w:val="00B864DB"/>
    <w:rsid w:val="00B8681E"/>
    <w:rsid w:val="00B86A3D"/>
    <w:rsid w:val="00B8744E"/>
    <w:rsid w:val="00B87836"/>
    <w:rsid w:val="00B87AE0"/>
    <w:rsid w:val="00B87AFB"/>
    <w:rsid w:val="00B87E71"/>
    <w:rsid w:val="00B901AA"/>
    <w:rsid w:val="00B90C58"/>
    <w:rsid w:val="00B9133B"/>
    <w:rsid w:val="00B91392"/>
    <w:rsid w:val="00B916B5"/>
    <w:rsid w:val="00B921EF"/>
    <w:rsid w:val="00B9278A"/>
    <w:rsid w:val="00B92A19"/>
    <w:rsid w:val="00B92ADC"/>
    <w:rsid w:val="00B93203"/>
    <w:rsid w:val="00B9330A"/>
    <w:rsid w:val="00B934A8"/>
    <w:rsid w:val="00B939DC"/>
    <w:rsid w:val="00B93D9F"/>
    <w:rsid w:val="00B94049"/>
    <w:rsid w:val="00B94248"/>
    <w:rsid w:val="00B94389"/>
    <w:rsid w:val="00B94653"/>
    <w:rsid w:val="00B946B7"/>
    <w:rsid w:val="00B95190"/>
    <w:rsid w:val="00B952FC"/>
    <w:rsid w:val="00B95317"/>
    <w:rsid w:val="00B9548E"/>
    <w:rsid w:val="00B95556"/>
    <w:rsid w:val="00B95685"/>
    <w:rsid w:val="00B95CA2"/>
    <w:rsid w:val="00B95EF8"/>
    <w:rsid w:val="00B96207"/>
    <w:rsid w:val="00B9662C"/>
    <w:rsid w:val="00B96B69"/>
    <w:rsid w:val="00B96EE4"/>
    <w:rsid w:val="00B972AE"/>
    <w:rsid w:val="00B977DF"/>
    <w:rsid w:val="00B9796D"/>
    <w:rsid w:val="00BA008F"/>
    <w:rsid w:val="00BA017C"/>
    <w:rsid w:val="00BA041F"/>
    <w:rsid w:val="00BA0F63"/>
    <w:rsid w:val="00BA12F5"/>
    <w:rsid w:val="00BA16B6"/>
    <w:rsid w:val="00BA16E3"/>
    <w:rsid w:val="00BA18B9"/>
    <w:rsid w:val="00BA1BBA"/>
    <w:rsid w:val="00BA2842"/>
    <w:rsid w:val="00BA2854"/>
    <w:rsid w:val="00BA2ECC"/>
    <w:rsid w:val="00BA31BB"/>
    <w:rsid w:val="00BA3299"/>
    <w:rsid w:val="00BA373D"/>
    <w:rsid w:val="00BA39EC"/>
    <w:rsid w:val="00BA3EE9"/>
    <w:rsid w:val="00BA4639"/>
    <w:rsid w:val="00BA4E24"/>
    <w:rsid w:val="00BA4FCB"/>
    <w:rsid w:val="00BA4FD6"/>
    <w:rsid w:val="00BA55E4"/>
    <w:rsid w:val="00BA57CF"/>
    <w:rsid w:val="00BA59E7"/>
    <w:rsid w:val="00BA5C9F"/>
    <w:rsid w:val="00BA5DB9"/>
    <w:rsid w:val="00BA6636"/>
    <w:rsid w:val="00BA666B"/>
    <w:rsid w:val="00BA68CF"/>
    <w:rsid w:val="00BA6AEB"/>
    <w:rsid w:val="00BA6D6D"/>
    <w:rsid w:val="00BA6E03"/>
    <w:rsid w:val="00BA7057"/>
    <w:rsid w:val="00BA7092"/>
    <w:rsid w:val="00BA7358"/>
    <w:rsid w:val="00BA7726"/>
    <w:rsid w:val="00BA7A83"/>
    <w:rsid w:val="00BA7C4C"/>
    <w:rsid w:val="00BA7CB8"/>
    <w:rsid w:val="00BA7FA1"/>
    <w:rsid w:val="00BB0455"/>
    <w:rsid w:val="00BB0BE3"/>
    <w:rsid w:val="00BB0E79"/>
    <w:rsid w:val="00BB114F"/>
    <w:rsid w:val="00BB117E"/>
    <w:rsid w:val="00BB14B4"/>
    <w:rsid w:val="00BB169B"/>
    <w:rsid w:val="00BB17E4"/>
    <w:rsid w:val="00BB1825"/>
    <w:rsid w:val="00BB1934"/>
    <w:rsid w:val="00BB1A41"/>
    <w:rsid w:val="00BB1E33"/>
    <w:rsid w:val="00BB209B"/>
    <w:rsid w:val="00BB2586"/>
    <w:rsid w:val="00BB273A"/>
    <w:rsid w:val="00BB28A5"/>
    <w:rsid w:val="00BB3090"/>
    <w:rsid w:val="00BB33AE"/>
    <w:rsid w:val="00BB3BB2"/>
    <w:rsid w:val="00BB3D84"/>
    <w:rsid w:val="00BB42B5"/>
    <w:rsid w:val="00BB4317"/>
    <w:rsid w:val="00BB437E"/>
    <w:rsid w:val="00BB43DC"/>
    <w:rsid w:val="00BB4732"/>
    <w:rsid w:val="00BB4986"/>
    <w:rsid w:val="00BB4EC0"/>
    <w:rsid w:val="00BB52E7"/>
    <w:rsid w:val="00BB597C"/>
    <w:rsid w:val="00BB620F"/>
    <w:rsid w:val="00BB6A4A"/>
    <w:rsid w:val="00BB6B11"/>
    <w:rsid w:val="00BB6E88"/>
    <w:rsid w:val="00BB784E"/>
    <w:rsid w:val="00BB7A35"/>
    <w:rsid w:val="00BB7C92"/>
    <w:rsid w:val="00BB7E81"/>
    <w:rsid w:val="00BC03DD"/>
    <w:rsid w:val="00BC0971"/>
    <w:rsid w:val="00BC09B3"/>
    <w:rsid w:val="00BC09CD"/>
    <w:rsid w:val="00BC0D16"/>
    <w:rsid w:val="00BC1282"/>
    <w:rsid w:val="00BC12F4"/>
    <w:rsid w:val="00BC13B4"/>
    <w:rsid w:val="00BC1695"/>
    <w:rsid w:val="00BC17C6"/>
    <w:rsid w:val="00BC1B17"/>
    <w:rsid w:val="00BC1BC0"/>
    <w:rsid w:val="00BC1FFB"/>
    <w:rsid w:val="00BC20A1"/>
    <w:rsid w:val="00BC21D5"/>
    <w:rsid w:val="00BC2260"/>
    <w:rsid w:val="00BC2478"/>
    <w:rsid w:val="00BC264A"/>
    <w:rsid w:val="00BC3269"/>
    <w:rsid w:val="00BC368F"/>
    <w:rsid w:val="00BC36EF"/>
    <w:rsid w:val="00BC3B2A"/>
    <w:rsid w:val="00BC3E20"/>
    <w:rsid w:val="00BC4640"/>
    <w:rsid w:val="00BC4707"/>
    <w:rsid w:val="00BC486A"/>
    <w:rsid w:val="00BC4FEB"/>
    <w:rsid w:val="00BC516B"/>
    <w:rsid w:val="00BC525D"/>
    <w:rsid w:val="00BC5631"/>
    <w:rsid w:val="00BC5B5C"/>
    <w:rsid w:val="00BC5B7F"/>
    <w:rsid w:val="00BC5C66"/>
    <w:rsid w:val="00BC5EB6"/>
    <w:rsid w:val="00BC6076"/>
    <w:rsid w:val="00BC62A4"/>
    <w:rsid w:val="00BC63F6"/>
    <w:rsid w:val="00BC69A3"/>
    <w:rsid w:val="00BC6CDB"/>
    <w:rsid w:val="00BC6E8C"/>
    <w:rsid w:val="00BC747D"/>
    <w:rsid w:val="00BC7651"/>
    <w:rsid w:val="00BC791E"/>
    <w:rsid w:val="00BD00EA"/>
    <w:rsid w:val="00BD0150"/>
    <w:rsid w:val="00BD021B"/>
    <w:rsid w:val="00BD036F"/>
    <w:rsid w:val="00BD07D9"/>
    <w:rsid w:val="00BD0A31"/>
    <w:rsid w:val="00BD0AD4"/>
    <w:rsid w:val="00BD0F72"/>
    <w:rsid w:val="00BD0FBD"/>
    <w:rsid w:val="00BD12A9"/>
    <w:rsid w:val="00BD1639"/>
    <w:rsid w:val="00BD1753"/>
    <w:rsid w:val="00BD1DA8"/>
    <w:rsid w:val="00BD1FB5"/>
    <w:rsid w:val="00BD20BB"/>
    <w:rsid w:val="00BD21ED"/>
    <w:rsid w:val="00BD22C7"/>
    <w:rsid w:val="00BD2338"/>
    <w:rsid w:val="00BD24D7"/>
    <w:rsid w:val="00BD2558"/>
    <w:rsid w:val="00BD2AF3"/>
    <w:rsid w:val="00BD2B4F"/>
    <w:rsid w:val="00BD2C2F"/>
    <w:rsid w:val="00BD3019"/>
    <w:rsid w:val="00BD3397"/>
    <w:rsid w:val="00BD3960"/>
    <w:rsid w:val="00BD3C08"/>
    <w:rsid w:val="00BD4880"/>
    <w:rsid w:val="00BD4A03"/>
    <w:rsid w:val="00BD5985"/>
    <w:rsid w:val="00BD5C96"/>
    <w:rsid w:val="00BD657A"/>
    <w:rsid w:val="00BD67B4"/>
    <w:rsid w:val="00BD6C24"/>
    <w:rsid w:val="00BD6E4B"/>
    <w:rsid w:val="00BD6FD2"/>
    <w:rsid w:val="00BD74E8"/>
    <w:rsid w:val="00BD7620"/>
    <w:rsid w:val="00BD77D8"/>
    <w:rsid w:val="00BD7AFA"/>
    <w:rsid w:val="00BE02E0"/>
    <w:rsid w:val="00BE0659"/>
    <w:rsid w:val="00BE065D"/>
    <w:rsid w:val="00BE0B65"/>
    <w:rsid w:val="00BE0C6B"/>
    <w:rsid w:val="00BE0DB4"/>
    <w:rsid w:val="00BE1C83"/>
    <w:rsid w:val="00BE2507"/>
    <w:rsid w:val="00BE253B"/>
    <w:rsid w:val="00BE29FE"/>
    <w:rsid w:val="00BE2C07"/>
    <w:rsid w:val="00BE2C42"/>
    <w:rsid w:val="00BE3271"/>
    <w:rsid w:val="00BE32B6"/>
    <w:rsid w:val="00BE35E2"/>
    <w:rsid w:val="00BE3C65"/>
    <w:rsid w:val="00BE3D0D"/>
    <w:rsid w:val="00BE43B7"/>
    <w:rsid w:val="00BE457E"/>
    <w:rsid w:val="00BE4881"/>
    <w:rsid w:val="00BE4927"/>
    <w:rsid w:val="00BE4BB5"/>
    <w:rsid w:val="00BE4BC5"/>
    <w:rsid w:val="00BE515A"/>
    <w:rsid w:val="00BE534F"/>
    <w:rsid w:val="00BE590E"/>
    <w:rsid w:val="00BE695D"/>
    <w:rsid w:val="00BE69D7"/>
    <w:rsid w:val="00BE6A5D"/>
    <w:rsid w:val="00BE728D"/>
    <w:rsid w:val="00BE7436"/>
    <w:rsid w:val="00BE75A5"/>
    <w:rsid w:val="00BE75EB"/>
    <w:rsid w:val="00BE7DD5"/>
    <w:rsid w:val="00BF0341"/>
    <w:rsid w:val="00BF0913"/>
    <w:rsid w:val="00BF09F0"/>
    <w:rsid w:val="00BF0BAC"/>
    <w:rsid w:val="00BF11AB"/>
    <w:rsid w:val="00BF13AB"/>
    <w:rsid w:val="00BF1484"/>
    <w:rsid w:val="00BF182E"/>
    <w:rsid w:val="00BF1BA7"/>
    <w:rsid w:val="00BF1CBC"/>
    <w:rsid w:val="00BF2239"/>
    <w:rsid w:val="00BF24EF"/>
    <w:rsid w:val="00BF2730"/>
    <w:rsid w:val="00BF2F7D"/>
    <w:rsid w:val="00BF3884"/>
    <w:rsid w:val="00BF3923"/>
    <w:rsid w:val="00BF4013"/>
    <w:rsid w:val="00BF4075"/>
    <w:rsid w:val="00BF4755"/>
    <w:rsid w:val="00BF4884"/>
    <w:rsid w:val="00BF4D7B"/>
    <w:rsid w:val="00BF53A3"/>
    <w:rsid w:val="00BF5C38"/>
    <w:rsid w:val="00BF5EAA"/>
    <w:rsid w:val="00BF6088"/>
    <w:rsid w:val="00BF65E9"/>
    <w:rsid w:val="00BF66A5"/>
    <w:rsid w:val="00BF6A11"/>
    <w:rsid w:val="00BF6B69"/>
    <w:rsid w:val="00BF7295"/>
    <w:rsid w:val="00BF77A4"/>
    <w:rsid w:val="00BF790D"/>
    <w:rsid w:val="00BF79AC"/>
    <w:rsid w:val="00BF7E7D"/>
    <w:rsid w:val="00C00E4C"/>
    <w:rsid w:val="00C01553"/>
    <w:rsid w:val="00C01D33"/>
    <w:rsid w:val="00C01FC1"/>
    <w:rsid w:val="00C02179"/>
    <w:rsid w:val="00C0232E"/>
    <w:rsid w:val="00C02368"/>
    <w:rsid w:val="00C02829"/>
    <w:rsid w:val="00C02C9E"/>
    <w:rsid w:val="00C02DCE"/>
    <w:rsid w:val="00C03057"/>
    <w:rsid w:val="00C0337F"/>
    <w:rsid w:val="00C0356D"/>
    <w:rsid w:val="00C035FD"/>
    <w:rsid w:val="00C036EA"/>
    <w:rsid w:val="00C03CF7"/>
    <w:rsid w:val="00C0401E"/>
    <w:rsid w:val="00C04570"/>
    <w:rsid w:val="00C0468D"/>
    <w:rsid w:val="00C04B4A"/>
    <w:rsid w:val="00C04C9D"/>
    <w:rsid w:val="00C04D88"/>
    <w:rsid w:val="00C04DBB"/>
    <w:rsid w:val="00C05430"/>
    <w:rsid w:val="00C05762"/>
    <w:rsid w:val="00C0578D"/>
    <w:rsid w:val="00C0592C"/>
    <w:rsid w:val="00C05EF1"/>
    <w:rsid w:val="00C060DE"/>
    <w:rsid w:val="00C062B0"/>
    <w:rsid w:val="00C06DE3"/>
    <w:rsid w:val="00C07064"/>
    <w:rsid w:val="00C07127"/>
    <w:rsid w:val="00C071CA"/>
    <w:rsid w:val="00C071F8"/>
    <w:rsid w:val="00C0731D"/>
    <w:rsid w:val="00C101A1"/>
    <w:rsid w:val="00C103CA"/>
    <w:rsid w:val="00C104BA"/>
    <w:rsid w:val="00C1068B"/>
    <w:rsid w:val="00C10AA5"/>
    <w:rsid w:val="00C10C03"/>
    <w:rsid w:val="00C10C6E"/>
    <w:rsid w:val="00C111B3"/>
    <w:rsid w:val="00C11433"/>
    <w:rsid w:val="00C116BD"/>
    <w:rsid w:val="00C118F4"/>
    <w:rsid w:val="00C11D7C"/>
    <w:rsid w:val="00C11E0B"/>
    <w:rsid w:val="00C11FDA"/>
    <w:rsid w:val="00C12556"/>
    <w:rsid w:val="00C127AA"/>
    <w:rsid w:val="00C12972"/>
    <w:rsid w:val="00C12F60"/>
    <w:rsid w:val="00C132E4"/>
    <w:rsid w:val="00C13929"/>
    <w:rsid w:val="00C139F9"/>
    <w:rsid w:val="00C13A14"/>
    <w:rsid w:val="00C13A29"/>
    <w:rsid w:val="00C13BFF"/>
    <w:rsid w:val="00C13D4B"/>
    <w:rsid w:val="00C1468A"/>
    <w:rsid w:val="00C14B69"/>
    <w:rsid w:val="00C14D19"/>
    <w:rsid w:val="00C1583F"/>
    <w:rsid w:val="00C158D5"/>
    <w:rsid w:val="00C15A2A"/>
    <w:rsid w:val="00C15AC9"/>
    <w:rsid w:val="00C16128"/>
    <w:rsid w:val="00C1629F"/>
    <w:rsid w:val="00C16786"/>
    <w:rsid w:val="00C16E2D"/>
    <w:rsid w:val="00C172B5"/>
    <w:rsid w:val="00C17990"/>
    <w:rsid w:val="00C17AAB"/>
    <w:rsid w:val="00C17B8F"/>
    <w:rsid w:val="00C201A3"/>
    <w:rsid w:val="00C2042B"/>
    <w:rsid w:val="00C20C05"/>
    <w:rsid w:val="00C20EC0"/>
    <w:rsid w:val="00C21110"/>
    <w:rsid w:val="00C211CA"/>
    <w:rsid w:val="00C2150D"/>
    <w:rsid w:val="00C21555"/>
    <w:rsid w:val="00C2159E"/>
    <w:rsid w:val="00C21951"/>
    <w:rsid w:val="00C21B7C"/>
    <w:rsid w:val="00C21BD6"/>
    <w:rsid w:val="00C21CAB"/>
    <w:rsid w:val="00C22B5B"/>
    <w:rsid w:val="00C22B6E"/>
    <w:rsid w:val="00C22DF8"/>
    <w:rsid w:val="00C231FE"/>
    <w:rsid w:val="00C236E4"/>
    <w:rsid w:val="00C23C1E"/>
    <w:rsid w:val="00C23E4D"/>
    <w:rsid w:val="00C246E5"/>
    <w:rsid w:val="00C24D87"/>
    <w:rsid w:val="00C24E4E"/>
    <w:rsid w:val="00C24E5E"/>
    <w:rsid w:val="00C254FF"/>
    <w:rsid w:val="00C256CB"/>
    <w:rsid w:val="00C2593A"/>
    <w:rsid w:val="00C25946"/>
    <w:rsid w:val="00C25A6D"/>
    <w:rsid w:val="00C25DF2"/>
    <w:rsid w:val="00C25E9E"/>
    <w:rsid w:val="00C26A69"/>
    <w:rsid w:val="00C26B75"/>
    <w:rsid w:val="00C26E16"/>
    <w:rsid w:val="00C272B0"/>
    <w:rsid w:val="00C272E7"/>
    <w:rsid w:val="00C2733E"/>
    <w:rsid w:val="00C273A0"/>
    <w:rsid w:val="00C27608"/>
    <w:rsid w:val="00C27835"/>
    <w:rsid w:val="00C27EA1"/>
    <w:rsid w:val="00C30039"/>
    <w:rsid w:val="00C301CC"/>
    <w:rsid w:val="00C30E61"/>
    <w:rsid w:val="00C3123B"/>
    <w:rsid w:val="00C31290"/>
    <w:rsid w:val="00C312D1"/>
    <w:rsid w:val="00C315D0"/>
    <w:rsid w:val="00C31BAA"/>
    <w:rsid w:val="00C31BE8"/>
    <w:rsid w:val="00C31F6F"/>
    <w:rsid w:val="00C32721"/>
    <w:rsid w:val="00C32AF9"/>
    <w:rsid w:val="00C330DA"/>
    <w:rsid w:val="00C331F9"/>
    <w:rsid w:val="00C333FA"/>
    <w:rsid w:val="00C33962"/>
    <w:rsid w:val="00C33DC3"/>
    <w:rsid w:val="00C33E73"/>
    <w:rsid w:val="00C342DA"/>
    <w:rsid w:val="00C34965"/>
    <w:rsid w:val="00C34C49"/>
    <w:rsid w:val="00C34D21"/>
    <w:rsid w:val="00C34D27"/>
    <w:rsid w:val="00C34EB0"/>
    <w:rsid w:val="00C356A3"/>
    <w:rsid w:val="00C35907"/>
    <w:rsid w:val="00C359C7"/>
    <w:rsid w:val="00C35A95"/>
    <w:rsid w:val="00C35AAA"/>
    <w:rsid w:val="00C35D13"/>
    <w:rsid w:val="00C35DAE"/>
    <w:rsid w:val="00C36B19"/>
    <w:rsid w:val="00C36CCE"/>
    <w:rsid w:val="00C36F0F"/>
    <w:rsid w:val="00C372CB"/>
    <w:rsid w:val="00C37C4A"/>
    <w:rsid w:val="00C37F4E"/>
    <w:rsid w:val="00C37F91"/>
    <w:rsid w:val="00C40310"/>
    <w:rsid w:val="00C40524"/>
    <w:rsid w:val="00C405FF"/>
    <w:rsid w:val="00C409B7"/>
    <w:rsid w:val="00C409C2"/>
    <w:rsid w:val="00C409DF"/>
    <w:rsid w:val="00C40D3D"/>
    <w:rsid w:val="00C41069"/>
    <w:rsid w:val="00C41616"/>
    <w:rsid w:val="00C4165C"/>
    <w:rsid w:val="00C41ADB"/>
    <w:rsid w:val="00C41F27"/>
    <w:rsid w:val="00C421C4"/>
    <w:rsid w:val="00C42CAB"/>
    <w:rsid w:val="00C433E1"/>
    <w:rsid w:val="00C43801"/>
    <w:rsid w:val="00C439CC"/>
    <w:rsid w:val="00C43F2A"/>
    <w:rsid w:val="00C44C1F"/>
    <w:rsid w:val="00C44FD0"/>
    <w:rsid w:val="00C45195"/>
    <w:rsid w:val="00C45857"/>
    <w:rsid w:val="00C45916"/>
    <w:rsid w:val="00C45B01"/>
    <w:rsid w:val="00C45BBA"/>
    <w:rsid w:val="00C45D83"/>
    <w:rsid w:val="00C46417"/>
    <w:rsid w:val="00C4671D"/>
    <w:rsid w:val="00C46A62"/>
    <w:rsid w:val="00C46B1D"/>
    <w:rsid w:val="00C46D26"/>
    <w:rsid w:val="00C46E31"/>
    <w:rsid w:val="00C472C7"/>
    <w:rsid w:val="00C47893"/>
    <w:rsid w:val="00C47DA9"/>
    <w:rsid w:val="00C5088A"/>
    <w:rsid w:val="00C50C73"/>
    <w:rsid w:val="00C50CFE"/>
    <w:rsid w:val="00C50D93"/>
    <w:rsid w:val="00C50E3E"/>
    <w:rsid w:val="00C5126A"/>
    <w:rsid w:val="00C512BA"/>
    <w:rsid w:val="00C51542"/>
    <w:rsid w:val="00C51A6A"/>
    <w:rsid w:val="00C51A79"/>
    <w:rsid w:val="00C51D43"/>
    <w:rsid w:val="00C51DB3"/>
    <w:rsid w:val="00C51DC0"/>
    <w:rsid w:val="00C5221D"/>
    <w:rsid w:val="00C522B3"/>
    <w:rsid w:val="00C528AF"/>
    <w:rsid w:val="00C52B3D"/>
    <w:rsid w:val="00C52F56"/>
    <w:rsid w:val="00C53315"/>
    <w:rsid w:val="00C535D2"/>
    <w:rsid w:val="00C539F4"/>
    <w:rsid w:val="00C544FC"/>
    <w:rsid w:val="00C54654"/>
    <w:rsid w:val="00C546F6"/>
    <w:rsid w:val="00C5470E"/>
    <w:rsid w:val="00C54952"/>
    <w:rsid w:val="00C54C55"/>
    <w:rsid w:val="00C5539E"/>
    <w:rsid w:val="00C55D62"/>
    <w:rsid w:val="00C561AE"/>
    <w:rsid w:val="00C56BA5"/>
    <w:rsid w:val="00C56C0A"/>
    <w:rsid w:val="00C56DB8"/>
    <w:rsid w:val="00C57138"/>
    <w:rsid w:val="00C579DB"/>
    <w:rsid w:val="00C6061E"/>
    <w:rsid w:val="00C60BCB"/>
    <w:rsid w:val="00C61004"/>
    <w:rsid w:val="00C61077"/>
    <w:rsid w:val="00C6177C"/>
    <w:rsid w:val="00C61983"/>
    <w:rsid w:val="00C62060"/>
    <w:rsid w:val="00C621D9"/>
    <w:rsid w:val="00C626A9"/>
    <w:rsid w:val="00C626B9"/>
    <w:rsid w:val="00C62BD7"/>
    <w:rsid w:val="00C638FC"/>
    <w:rsid w:val="00C639D7"/>
    <w:rsid w:val="00C63A38"/>
    <w:rsid w:val="00C64035"/>
    <w:rsid w:val="00C64109"/>
    <w:rsid w:val="00C64250"/>
    <w:rsid w:val="00C643D0"/>
    <w:rsid w:val="00C644DB"/>
    <w:rsid w:val="00C64589"/>
    <w:rsid w:val="00C64AE9"/>
    <w:rsid w:val="00C64B8F"/>
    <w:rsid w:val="00C6560E"/>
    <w:rsid w:val="00C65CAE"/>
    <w:rsid w:val="00C65E2B"/>
    <w:rsid w:val="00C65E2C"/>
    <w:rsid w:val="00C65E55"/>
    <w:rsid w:val="00C66075"/>
    <w:rsid w:val="00C6691C"/>
    <w:rsid w:val="00C66D9E"/>
    <w:rsid w:val="00C66EEC"/>
    <w:rsid w:val="00C6739F"/>
    <w:rsid w:val="00C67429"/>
    <w:rsid w:val="00C679CD"/>
    <w:rsid w:val="00C7014C"/>
    <w:rsid w:val="00C7024B"/>
    <w:rsid w:val="00C7045A"/>
    <w:rsid w:val="00C7046F"/>
    <w:rsid w:val="00C7070E"/>
    <w:rsid w:val="00C70B4F"/>
    <w:rsid w:val="00C70BFC"/>
    <w:rsid w:val="00C70E3D"/>
    <w:rsid w:val="00C70F29"/>
    <w:rsid w:val="00C70FCA"/>
    <w:rsid w:val="00C70FE8"/>
    <w:rsid w:val="00C715BB"/>
    <w:rsid w:val="00C71A90"/>
    <w:rsid w:val="00C72071"/>
    <w:rsid w:val="00C72201"/>
    <w:rsid w:val="00C72231"/>
    <w:rsid w:val="00C726B8"/>
    <w:rsid w:val="00C72AD6"/>
    <w:rsid w:val="00C72B9F"/>
    <w:rsid w:val="00C72BD0"/>
    <w:rsid w:val="00C72BF3"/>
    <w:rsid w:val="00C72C06"/>
    <w:rsid w:val="00C731DB"/>
    <w:rsid w:val="00C73896"/>
    <w:rsid w:val="00C73C57"/>
    <w:rsid w:val="00C74189"/>
    <w:rsid w:val="00C7430F"/>
    <w:rsid w:val="00C74333"/>
    <w:rsid w:val="00C743E7"/>
    <w:rsid w:val="00C74721"/>
    <w:rsid w:val="00C74821"/>
    <w:rsid w:val="00C74B63"/>
    <w:rsid w:val="00C74D6B"/>
    <w:rsid w:val="00C75064"/>
    <w:rsid w:val="00C75085"/>
    <w:rsid w:val="00C75A16"/>
    <w:rsid w:val="00C75D2A"/>
    <w:rsid w:val="00C75DB5"/>
    <w:rsid w:val="00C75EDC"/>
    <w:rsid w:val="00C7628B"/>
    <w:rsid w:val="00C764E2"/>
    <w:rsid w:val="00C767EC"/>
    <w:rsid w:val="00C76883"/>
    <w:rsid w:val="00C77283"/>
    <w:rsid w:val="00C777D3"/>
    <w:rsid w:val="00C77A45"/>
    <w:rsid w:val="00C77BCC"/>
    <w:rsid w:val="00C77F2C"/>
    <w:rsid w:val="00C80197"/>
    <w:rsid w:val="00C8046C"/>
    <w:rsid w:val="00C809E1"/>
    <w:rsid w:val="00C80E45"/>
    <w:rsid w:val="00C8114A"/>
    <w:rsid w:val="00C81A27"/>
    <w:rsid w:val="00C81D34"/>
    <w:rsid w:val="00C82245"/>
    <w:rsid w:val="00C824C9"/>
    <w:rsid w:val="00C8289F"/>
    <w:rsid w:val="00C82A05"/>
    <w:rsid w:val="00C82C68"/>
    <w:rsid w:val="00C82DA4"/>
    <w:rsid w:val="00C82E9C"/>
    <w:rsid w:val="00C82ECA"/>
    <w:rsid w:val="00C83266"/>
    <w:rsid w:val="00C8387A"/>
    <w:rsid w:val="00C83BD3"/>
    <w:rsid w:val="00C83CF1"/>
    <w:rsid w:val="00C8454E"/>
    <w:rsid w:val="00C8457F"/>
    <w:rsid w:val="00C848AF"/>
    <w:rsid w:val="00C84978"/>
    <w:rsid w:val="00C85141"/>
    <w:rsid w:val="00C8520F"/>
    <w:rsid w:val="00C85266"/>
    <w:rsid w:val="00C85350"/>
    <w:rsid w:val="00C853B4"/>
    <w:rsid w:val="00C8544C"/>
    <w:rsid w:val="00C857AA"/>
    <w:rsid w:val="00C85EC7"/>
    <w:rsid w:val="00C8600F"/>
    <w:rsid w:val="00C86CCA"/>
    <w:rsid w:val="00C86D6B"/>
    <w:rsid w:val="00C86E26"/>
    <w:rsid w:val="00C8788F"/>
    <w:rsid w:val="00C8794F"/>
    <w:rsid w:val="00C87974"/>
    <w:rsid w:val="00C87D03"/>
    <w:rsid w:val="00C9035C"/>
    <w:rsid w:val="00C9042D"/>
    <w:rsid w:val="00C90814"/>
    <w:rsid w:val="00C9091D"/>
    <w:rsid w:val="00C90B90"/>
    <w:rsid w:val="00C91D2B"/>
    <w:rsid w:val="00C91F52"/>
    <w:rsid w:val="00C92090"/>
    <w:rsid w:val="00C920DA"/>
    <w:rsid w:val="00C92146"/>
    <w:rsid w:val="00C9232E"/>
    <w:rsid w:val="00C92596"/>
    <w:rsid w:val="00C92A0B"/>
    <w:rsid w:val="00C92C98"/>
    <w:rsid w:val="00C92DB6"/>
    <w:rsid w:val="00C92E5C"/>
    <w:rsid w:val="00C93149"/>
    <w:rsid w:val="00C93240"/>
    <w:rsid w:val="00C934B2"/>
    <w:rsid w:val="00C93719"/>
    <w:rsid w:val="00C93772"/>
    <w:rsid w:val="00C939F8"/>
    <w:rsid w:val="00C94482"/>
    <w:rsid w:val="00C9452F"/>
    <w:rsid w:val="00C946E8"/>
    <w:rsid w:val="00C94757"/>
    <w:rsid w:val="00C94908"/>
    <w:rsid w:val="00C94B92"/>
    <w:rsid w:val="00C94CE2"/>
    <w:rsid w:val="00C9556B"/>
    <w:rsid w:val="00C9576F"/>
    <w:rsid w:val="00C958BB"/>
    <w:rsid w:val="00C959A0"/>
    <w:rsid w:val="00C95A8C"/>
    <w:rsid w:val="00C95B1E"/>
    <w:rsid w:val="00C95ECA"/>
    <w:rsid w:val="00C960D8"/>
    <w:rsid w:val="00C964DF"/>
    <w:rsid w:val="00C967FC"/>
    <w:rsid w:val="00C96AA8"/>
    <w:rsid w:val="00C96E03"/>
    <w:rsid w:val="00C977D8"/>
    <w:rsid w:val="00C97BD6"/>
    <w:rsid w:val="00CA011A"/>
    <w:rsid w:val="00CA016E"/>
    <w:rsid w:val="00CA01E5"/>
    <w:rsid w:val="00CA0621"/>
    <w:rsid w:val="00CA068D"/>
    <w:rsid w:val="00CA09D3"/>
    <w:rsid w:val="00CA0ACD"/>
    <w:rsid w:val="00CA0B1F"/>
    <w:rsid w:val="00CA1045"/>
    <w:rsid w:val="00CA1148"/>
    <w:rsid w:val="00CA1288"/>
    <w:rsid w:val="00CA14C8"/>
    <w:rsid w:val="00CA1EE9"/>
    <w:rsid w:val="00CA2008"/>
    <w:rsid w:val="00CA23A0"/>
    <w:rsid w:val="00CA2ACE"/>
    <w:rsid w:val="00CA3380"/>
    <w:rsid w:val="00CA3E1C"/>
    <w:rsid w:val="00CA3EF5"/>
    <w:rsid w:val="00CA4340"/>
    <w:rsid w:val="00CA4504"/>
    <w:rsid w:val="00CA4D0E"/>
    <w:rsid w:val="00CA5199"/>
    <w:rsid w:val="00CA5333"/>
    <w:rsid w:val="00CA5793"/>
    <w:rsid w:val="00CA57FF"/>
    <w:rsid w:val="00CA5831"/>
    <w:rsid w:val="00CA601A"/>
    <w:rsid w:val="00CA60EB"/>
    <w:rsid w:val="00CA615B"/>
    <w:rsid w:val="00CA6362"/>
    <w:rsid w:val="00CA6437"/>
    <w:rsid w:val="00CA68DC"/>
    <w:rsid w:val="00CA6E9D"/>
    <w:rsid w:val="00CA7397"/>
    <w:rsid w:val="00CA758D"/>
    <w:rsid w:val="00CA7ACA"/>
    <w:rsid w:val="00CB03E3"/>
    <w:rsid w:val="00CB07A6"/>
    <w:rsid w:val="00CB09D8"/>
    <w:rsid w:val="00CB1683"/>
    <w:rsid w:val="00CB18FA"/>
    <w:rsid w:val="00CB19A7"/>
    <w:rsid w:val="00CB1B53"/>
    <w:rsid w:val="00CB1D82"/>
    <w:rsid w:val="00CB207D"/>
    <w:rsid w:val="00CB2497"/>
    <w:rsid w:val="00CB29D6"/>
    <w:rsid w:val="00CB2C30"/>
    <w:rsid w:val="00CB2D2E"/>
    <w:rsid w:val="00CB2D75"/>
    <w:rsid w:val="00CB3010"/>
    <w:rsid w:val="00CB3426"/>
    <w:rsid w:val="00CB3DB1"/>
    <w:rsid w:val="00CB4388"/>
    <w:rsid w:val="00CB4460"/>
    <w:rsid w:val="00CB48C4"/>
    <w:rsid w:val="00CB4E4B"/>
    <w:rsid w:val="00CB5BB3"/>
    <w:rsid w:val="00CB65D8"/>
    <w:rsid w:val="00CB6624"/>
    <w:rsid w:val="00CB67D9"/>
    <w:rsid w:val="00CB6B17"/>
    <w:rsid w:val="00CB6BFB"/>
    <w:rsid w:val="00CB7407"/>
    <w:rsid w:val="00CB758F"/>
    <w:rsid w:val="00CC027A"/>
    <w:rsid w:val="00CC051B"/>
    <w:rsid w:val="00CC1591"/>
    <w:rsid w:val="00CC1D22"/>
    <w:rsid w:val="00CC1DAF"/>
    <w:rsid w:val="00CC20B6"/>
    <w:rsid w:val="00CC22A2"/>
    <w:rsid w:val="00CC22F6"/>
    <w:rsid w:val="00CC2449"/>
    <w:rsid w:val="00CC28DF"/>
    <w:rsid w:val="00CC2B57"/>
    <w:rsid w:val="00CC2C72"/>
    <w:rsid w:val="00CC2D10"/>
    <w:rsid w:val="00CC2DFD"/>
    <w:rsid w:val="00CC2E70"/>
    <w:rsid w:val="00CC3317"/>
    <w:rsid w:val="00CC361D"/>
    <w:rsid w:val="00CC37E4"/>
    <w:rsid w:val="00CC3C8C"/>
    <w:rsid w:val="00CC3F8C"/>
    <w:rsid w:val="00CC3FF9"/>
    <w:rsid w:val="00CC4269"/>
    <w:rsid w:val="00CC434C"/>
    <w:rsid w:val="00CC4A11"/>
    <w:rsid w:val="00CC4D38"/>
    <w:rsid w:val="00CC50D3"/>
    <w:rsid w:val="00CC5233"/>
    <w:rsid w:val="00CC53E1"/>
    <w:rsid w:val="00CC5957"/>
    <w:rsid w:val="00CC5A2E"/>
    <w:rsid w:val="00CC5CAF"/>
    <w:rsid w:val="00CC5E4E"/>
    <w:rsid w:val="00CC64C8"/>
    <w:rsid w:val="00CC66FE"/>
    <w:rsid w:val="00CC6AFE"/>
    <w:rsid w:val="00CC6CB9"/>
    <w:rsid w:val="00CC6D61"/>
    <w:rsid w:val="00CC726B"/>
    <w:rsid w:val="00CC7437"/>
    <w:rsid w:val="00CC798F"/>
    <w:rsid w:val="00CC79B6"/>
    <w:rsid w:val="00CC7CB8"/>
    <w:rsid w:val="00CC7DB7"/>
    <w:rsid w:val="00CC7F83"/>
    <w:rsid w:val="00CD0164"/>
    <w:rsid w:val="00CD0599"/>
    <w:rsid w:val="00CD0CD6"/>
    <w:rsid w:val="00CD0E15"/>
    <w:rsid w:val="00CD0E48"/>
    <w:rsid w:val="00CD132F"/>
    <w:rsid w:val="00CD1C48"/>
    <w:rsid w:val="00CD217A"/>
    <w:rsid w:val="00CD24F9"/>
    <w:rsid w:val="00CD263E"/>
    <w:rsid w:val="00CD2AB5"/>
    <w:rsid w:val="00CD3B12"/>
    <w:rsid w:val="00CD4004"/>
    <w:rsid w:val="00CD4543"/>
    <w:rsid w:val="00CD4620"/>
    <w:rsid w:val="00CD4642"/>
    <w:rsid w:val="00CD464C"/>
    <w:rsid w:val="00CD4D9A"/>
    <w:rsid w:val="00CD5130"/>
    <w:rsid w:val="00CD51B8"/>
    <w:rsid w:val="00CD530B"/>
    <w:rsid w:val="00CD58F1"/>
    <w:rsid w:val="00CD59E1"/>
    <w:rsid w:val="00CD5C0A"/>
    <w:rsid w:val="00CD5CAF"/>
    <w:rsid w:val="00CD6442"/>
    <w:rsid w:val="00CD6722"/>
    <w:rsid w:val="00CD6C88"/>
    <w:rsid w:val="00CD6F7D"/>
    <w:rsid w:val="00CD6F9C"/>
    <w:rsid w:val="00CD730F"/>
    <w:rsid w:val="00CD7A38"/>
    <w:rsid w:val="00CE0517"/>
    <w:rsid w:val="00CE06F9"/>
    <w:rsid w:val="00CE08D8"/>
    <w:rsid w:val="00CE09A1"/>
    <w:rsid w:val="00CE0A38"/>
    <w:rsid w:val="00CE0B59"/>
    <w:rsid w:val="00CE0DF1"/>
    <w:rsid w:val="00CE1644"/>
    <w:rsid w:val="00CE1697"/>
    <w:rsid w:val="00CE1890"/>
    <w:rsid w:val="00CE2536"/>
    <w:rsid w:val="00CE2541"/>
    <w:rsid w:val="00CE26EE"/>
    <w:rsid w:val="00CE2CC0"/>
    <w:rsid w:val="00CE2CFD"/>
    <w:rsid w:val="00CE2E80"/>
    <w:rsid w:val="00CE30F9"/>
    <w:rsid w:val="00CE34AF"/>
    <w:rsid w:val="00CE37D5"/>
    <w:rsid w:val="00CE39CB"/>
    <w:rsid w:val="00CE3CC2"/>
    <w:rsid w:val="00CE4454"/>
    <w:rsid w:val="00CE44D6"/>
    <w:rsid w:val="00CE45A3"/>
    <w:rsid w:val="00CE4D8D"/>
    <w:rsid w:val="00CE524C"/>
    <w:rsid w:val="00CE568F"/>
    <w:rsid w:val="00CE56F6"/>
    <w:rsid w:val="00CE5716"/>
    <w:rsid w:val="00CE5A0A"/>
    <w:rsid w:val="00CE5BD9"/>
    <w:rsid w:val="00CE60D8"/>
    <w:rsid w:val="00CE6308"/>
    <w:rsid w:val="00CE6B81"/>
    <w:rsid w:val="00CE707B"/>
    <w:rsid w:val="00CE754A"/>
    <w:rsid w:val="00CE7652"/>
    <w:rsid w:val="00CE79C9"/>
    <w:rsid w:val="00CE7A58"/>
    <w:rsid w:val="00CE7D71"/>
    <w:rsid w:val="00CF05D4"/>
    <w:rsid w:val="00CF0A2C"/>
    <w:rsid w:val="00CF0BC7"/>
    <w:rsid w:val="00CF0D26"/>
    <w:rsid w:val="00CF0D4E"/>
    <w:rsid w:val="00CF15A2"/>
    <w:rsid w:val="00CF17C4"/>
    <w:rsid w:val="00CF1925"/>
    <w:rsid w:val="00CF1B29"/>
    <w:rsid w:val="00CF1BB9"/>
    <w:rsid w:val="00CF1E9D"/>
    <w:rsid w:val="00CF1EF5"/>
    <w:rsid w:val="00CF1F77"/>
    <w:rsid w:val="00CF20CB"/>
    <w:rsid w:val="00CF2392"/>
    <w:rsid w:val="00CF24CC"/>
    <w:rsid w:val="00CF2FC1"/>
    <w:rsid w:val="00CF352F"/>
    <w:rsid w:val="00CF3893"/>
    <w:rsid w:val="00CF3C52"/>
    <w:rsid w:val="00CF42B6"/>
    <w:rsid w:val="00CF43A9"/>
    <w:rsid w:val="00CF48E5"/>
    <w:rsid w:val="00CF4A6D"/>
    <w:rsid w:val="00CF5372"/>
    <w:rsid w:val="00CF56F7"/>
    <w:rsid w:val="00CF585A"/>
    <w:rsid w:val="00CF5DD3"/>
    <w:rsid w:val="00CF5E95"/>
    <w:rsid w:val="00CF688C"/>
    <w:rsid w:val="00CF68CE"/>
    <w:rsid w:val="00CF6FE1"/>
    <w:rsid w:val="00CF7253"/>
    <w:rsid w:val="00CF73F8"/>
    <w:rsid w:val="00CF75FA"/>
    <w:rsid w:val="00CF7A5D"/>
    <w:rsid w:val="00CF7B45"/>
    <w:rsid w:val="00CF7FBB"/>
    <w:rsid w:val="00CF7FD5"/>
    <w:rsid w:val="00D000EB"/>
    <w:rsid w:val="00D0090D"/>
    <w:rsid w:val="00D00F35"/>
    <w:rsid w:val="00D0117A"/>
    <w:rsid w:val="00D011C7"/>
    <w:rsid w:val="00D014B9"/>
    <w:rsid w:val="00D016D4"/>
    <w:rsid w:val="00D0179F"/>
    <w:rsid w:val="00D019CE"/>
    <w:rsid w:val="00D01C60"/>
    <w:rsid w:val="00D01CDA"/>
    <w:rsid w:val="00D01D3C"/>
    <w:rsid w:val="00D0300B"/>
    <w:rsid w:val="00D0300F"/>
    <w:rsid w:val="00D03271"/>
    <w:rsid w:val="00D04490"/>
    <w:rsid w:val="00D048A0"/>
    <w:rsid w:val="00D049B7"/>
    <w:rsid w:val="00D04A2D"/>
    <w:rsid w:val="00D04FDB"/>
    <w:rsid w:val="00D053C7"/>
    <w:rsid w:val="00D05663"/>
    <w:rsid w:val="00D057C2"/>
    <w:rsid w:val="00D059EC"/>
    <w:rsid w:val="00D05F92"/>
    <w:rsid w:val="00D0629E"/>
    <w:rsid w:val="00D063F3"/>
    <w:rsid w:val="00D0647A"/>
    <w:rsid w:val="00D06DFB"/>
    <w:rsid w:val="00D073C7"/>
    <w:rsid w:val="00D07B28"/>
    <w:rsid w:val="00D10BA3"/>
    <w:rsid w:val="00D10C3A"/>
    <w:rsid w:val="00D10D8D"/>
    <w:rsid w:val="00D116E4"/>
    <w:rsid w:val="00D11BB0"/>
    <w:rsid w:val="00D11FD3"/>
    <w:rsid w:val="00D120ED"/>
    <w:rsid w:val="00D12356"/>
    <w:rsid w:val="00D127DE"/>
    <w:rsid w:val="00D12858"/>
    <w:rsid w:val="00D12B07"/>
    <w:rsid w:val="00D12B81"/>
    <w:rsid w:val="00D12FAF"/>
    <w:rsid w:val="00D130A8"/>
    <w:rsid w:val="00D13AC5"/>
    <w:rsid w:val="00D1414D"/>
    <w:rsid w:val="00D141F6"/>
    <w:rsid w:val="00D143C9"/>
    <w:rsid w:val="00D14A1E"/>
    <w:rsid w:val="00D14B1A"/>
    <w:rsid w:val="00D14BBB"/>
    <w:rsid w:val="00D15E7B"/>
    <w:rsid w:val="00D15FF7"/>
    <w:rsid w:val="00D164C4"/>
    <w:rsid w:val="00D167FA"/>
    <w:rsid w:val="00D16BEF"/>
    <w:rsid w:val="00D17694"/>
    <w:rsid w:val="00D176E4"/>
    <w:rsid w:val="00D20734"/>
    <w:rsid w:val="00D20818"/>
    <w:rsid w:val="00D2081A"/>
    <w:rsid w:val="00D20967"/>
    <w:rsid w:val="00D20D0C"/>
    <w:rsid w:val="00D2111F"/>
    <w:rsid w:val="00D212D1"/>
    <w:rsid w:val="00D212D7"/>
    <w:rsid w:val="00D2144C"/>
    <w:rsid w:val="00D214D9"/>
    <w:rsid w:val="00D21B0B"/>
    <w:rsid w:val="00D21C42"/>
    <w:rsid w:val="00D21D27"/>
    <w:rsid w:val="00D21FA6"/>
    <w:rsid w:val="00D22031"/>
    <w:rsid w:val="00D22521"/>
    <w:rsid w:val="00D2261B"/>
    <w:rsid w:val="00D2264F"/>
    <w:rsid w:val="00D229F4"/>
    <w:rsid w:val="00D22A14"/>
    <w:rsid w:val="00D22C53"/>
    <w:rsid w:val="00D22C89"/>
    <w:rsid w:val="00D23422"/>
    <w:rsid w:val="00D2385B"/>
    <w:rsid w:val="00D239B8"/>
    <w:rsid w:val="00D2412B"/>
    <w:rsid w:val="00D2435C"/>
    <w:rsid w:val="00D24408"/>
    <w:rsid w:val="00D24599"/>
    <w:rsid w:val="00D24783"/>
    <w:rsid w:val="00D25013"/>
    <w:rsid w:val="00D25081"/>
    <w:rsid w:val="00D254B8"/>
    <w:rsid w:val="00D257AB"/>
    <w:rsid w:val="00D25ECC"/>
    <w:rsid w:val="00D25F0C"/>
    <w:rsid w:val="00D26272"/>
    <w:rsid w:val="00D26607"/>
    <w:rsid w:val="00D26766"/>
    <w:rsid w:val="00D26E1D"/>
    <w:rsid w:val="00D270DD"/>
    <w:rsid w:val="00D278FD"/>
    <w:rsid w:val="00D279E5"/>
    <w:rsid w:val="00D27B1B"/>
    <w:rsid w:val="00D27DAA"/>
    <w:rsid w:val="00D30397"/>
    <w:rsid w:val="00D30615"/>
    <w:rsid w:val="00D30660"/>
    <w:rsid w:val="00D313F4"/>
    <w:rsid w:val="00D315FA"/>
    <w:rsid w:val="00D317F1"/>
    <w:rsid w:val="00D31A37"/>
    <w:rsid w:val="00D31DE7"/>
    <w:rsid w:val="00D32014"/>
    <w:rsid w:val="00D321C1"/>
    <w:rsid w:val="00D32679"/>
    <w:rsid w:val="00D32BF0"/>
    <w:rsid w:val="00D32C4B"/>
    <w:rsid w:val="00D33249"/>
    <w:rsid w:val="00D3326E"/>
    <w:rsid w:val="00D3411A"/>
    <w:rsid w:val="00D343FD"/>
    <w:rsid w:val="00D345E7"/>
    <w:rsid w:val="00D34996"/>
    <w:rsid w:val="00D34A34"/>
    <w:rsid w:val="00D34B2B"/>
    <w:rsid w:val="00D34C11"/>
    <w:rsid w:val="00D34CC8"/>
    <w:rsid w:val="00D34CEC"/>
    <w:rsid w:val="00D34FC2"/>
    <w:rsid w:val="00D35391"/>
    <w:rsid w:val="00D35E55"/>
    <w:rsid w:val="00D3613D"/>
    <w:rsid w:val="00D366B2"/>
    <w:rsid w:val="00D36BE6"/>
    <w:rsid w:val="00D36E20"/>
    <w:rsid w:val="00D37483"/>
    <w:rsid w:val="00D37492"/>
    <w:rsid w:val="00D37839"/>
    <w:rsid w:val="00D378A6"/>
    <w:rsid w:val="00D378C9"/>
    <w:rsid w:val="00D40711"/>
    <w:rsid w:val="00D407C3"/>
    <w:rsid w:val="00D4094A"/>
    <w:rsid w:val="00D40DFE"/>
    <w:rsid w:val="00D41053"/>
    <w:rsid w:val="00D41BA8"/>
    <w:rsid w:val="00D41D9E"/>
    <w:rsid w:val="00D4240D"/>
    <w:rsid w:val="00D42B55"/>
    <w:rsid w:val="00D42BA3"/>
    <w:rsid w:val="00D42C8E"/>
    <w:rsid w:val="00D42DBF"/>
    <w:rsid w:val="00D42EAE"/>
    <w:rsid w:val="00D4306A"/>
    <w:rsid w:val="00D4394E"/>
    <w:rsid w:val="00D43A3B"/>
    <w:rsid w:val="00D43CA9"/>
    <w:rsid w:val="00D43CED"/>
    <w:rsid w:val="00D44587"/>
    <w:rsid w:val="00D4496C"/>
    <w:rsid w:val="00D44FA2"/>
    <w:rsid w:val="00D4500C"/>
    <w:rsid w:val="00D45183"/>
    <w:rsid w:val="00D45F2C"/>
    <w:rsid w:val="00D46304"/>
    <w:rsid w:val="00D46884"/>
    <w:rsid w:val="00D46896"/>
    <w:rsid w:val="00D468DD"/>
    <w:rsid w:val="00D46E20"/>
    <w:rsid w:val="00D4707F"/>
    <w:rsid w:val="00D4728D"/>
    <w:rsid w:val="00D476FF"/>
    <w:rsid w:val="00D47E19"/>
    <w:rsid w:val="00D50A5B"/>
    <w:rsid w:val="00D50BE4"/>
    <w:rsid w:val="00D51110"/>
    <w:rsid w:val="00D511B6"/>
    <w:rsid w:val="00D5133B"/>
    <w:rsid w:val="00D5147B"/>
    <w:rsid w:val="00D518B9"/>
    <w:rsid w:val="00D5204C"/>
    <w:rsid w:val="00D52668"/>
    <w:rsid w:val="00D52C11"/>
    <w:rsid w:val="00D52EA9"/>
    <w:rsid w:val="00D53051"/>
    <w:rsid w:val="00D5352B"/>
    <w:rsid w:val="00D538D3"/>
    <w:rsid w:val="00D53C5C"/>
    <w:rsid w:val="00D53CC4"/>
    <w:rsid w:val="00D53D9E"/>
    <w:rsid w:val="00D543E9"/>
    <w:rsid w:val="00D545D1"/>
    <w:rsid w:val="00D54BAB"/>
    <w:rsid w:val="00D54D3F"/>
    <w:rsid w:val="00D55725"/>
    <w:rsid w:val="00D559E3"/>
    <w:rsid w:val="00D55A2D"/>
    <w:rsid w:val="00D55CDB"/>
    <w:rsid w:val="00D55D43"/>
    <w:rsid w:val="00D55FDA"/>
    <w:rsid w:val="00D56574"/>
    <w:rsid w:val="00D567D9"/>
    <w:rsid w:val="00D56880"/>
    <w:rsid w:val="00D56905"/>
    <w:rsid w:val="00D56A22"/>
    <w:rsid w:val="00D5721B"/>
    <w:rsid w:val="00D57A5E"/>
    <w:rsid w:val="00D57F6C"/>
    <w:rsid w:val="00D60050"/>
    <w:rsid w:val="00D603A2"/>
    <w:rsid w:val="00D609C6"/>
    <w:rsid w:val="00D60CE7"/>
    <w:rsid w:val="00D612BC"/>
    <w:rsid w:val="00D6134C"/>
    <w:rsid w:val="00D6136F"/>
    <w:rsid w:val="00D613B9"/>
    <w:rsid w:val="00D61520"/>
    <w:rsid w:val="00D61535"/>
    <w:rsid w:val="00D61705"/>
    <w:rsid w:val="00D61A01"/>
    <w:rsid w:val="00D61A88"/>
    <w:rsid w:val="00D61FAB"/>
    <w:rsid w:val="00D6219A"/>
    <w:rsid w:val="00D62945"/>
    <w:rsid w:val="00D62D7C"/>
    <w:rsid w:val="00D62FBB"/>
    <w:rsid w:val="00D639E2"/>
    <w:rsid w:val="00D63FE4"/>
    <w:rsid w:val="00D64361"/>
    <w:rsid w:val="00D647D2"/>
    <w:rsid w:val="00D64F31"/>
    <w:rsid w:val="00D652E9"/>
    <w:rsid w:val="00D65B32"/>
    <w:rsid w:val="00D65D8D"/>
    <w:rsid w:val="00D66089"/>
    <w:rsid w:val="00D660F6"/>
    <w:rsid w:val="00D66C88"/>
    <w:rsid w:val="00D66DC0"/>
    <w:rsid w:val="00D66E99"/>
    <w:rsid w:val="00D67116"/>
    <w:rsid w:val="00D67211"/>
    <w:rsid w:val="00D6729B"/>
    <w:rsid w:val="00D672DA"/>
    <w:rsid w:val="00D674E3"/>
    <w:rsid w:val="00D677DC"/>
    <w:rsid w:val="00D67980"/>
    <w:rsid w:val="00D67AC1"/>
    <w:rsid w:val="00D7005E"/>
    <w:rsid w:val="00D70256"/>
    <w:rsid w:val="00D703F2"/>
    <w:rsid w:val="00D704BD"/>
    <w:rsid w:val="00D71133"/>
    <w:rsid w:val="00D7132B"/>
    <w:rsid w:val="00D7143E"/>
    <w:rsid w:val="00D71AD5"/>
    <w:rsid w:val="00D71C05"/>
    <w:rsid w:val="00D71C67"/>
    <w:rsid w:val="00D729D1"/>
    <w:rsid w:val="00D72AB3"/>
    <w:rsid w:val="00D73269"/>
    <w:rsid w:val="00D7341E"/>
    <w:rsid w:val="00D736D2"/>
    <w:rsid w:val="00D73EB8"/>
    <w:rsid w:val="00D74E46"/>
    <w:rsid w:val="00D750C2"/>
    <w:rsid w:val="00D75B0E"/>
    <w:rsid w:val="00D7623A"/>
    <w:rsid w:val="00D762C7"/>
    <w:rsid w:val="00D765F7"/>
    <w:rsid w:val="00D76863"/>
    <w:rsid w:val="00D76B23"/>
    <w:rsid w:val="00D76BA4"/>
    <w:rsid w:val="00D76BC3"/>
    <w:rsid w:val="00D76ED8"/>
    <w:rsid w:val="00D772AE"/>
    <w:rsid w:val="00D7760C"/>
    <w:rsid w:val="00D777CC"/>
    <w:rsid w:val="00D77AF7"/>
    <w:rsid w:val="00D77E2C"/>
    <w:rsid w:val="00D77F46"/>
    <w:rsid w:val="00D80186"/>
    <w:rsid w:val="00D802EB"/>
    <w:rsid w:val="00D803FB"/>
    <w:rsid w:val="00D8062A"/>
    <w:rsid w:val="00D80822"/>
    <w:rsid w:val="00D80E06"/>
    <w:rsid w:val="00D81473"/>
    <w:rsid w:val="00D814D0"/>
    <w:rsid w:val="00D8150C"/>
    <w:rsid w:val="00D81E3D"/>
    <w:rsid w:val="00D81F43"/>
    <w:rsid w:val="00D82220"/>
    <w:rsid w:val="00D82306"/>
    <w:rsid w:val="00D82E34"/>
    <w:rsid w:val="00D82F9A"/>
    <w:rsid w:val="00D830DC"/>
    <w:rsid w:val="00D833F0"/>
    <w:rsid w:val="00D835CB"/>
    <w:rsid w:val="00D83788"/>
    <w:rsid w:val="00D837BE"/>
    <w:rsid w:val="00D837E9"/>
    <w:rsid w:val="00D839CA"/>
    <w:rsid w:val="00D83B03"/>
    <w:rsid w:val="00D83CD4"/>
    <w:rsid w:val="00D843C0"/>
    <w:rsid w:val="00D84478"/>
    <w:rsid w:val="00D846BA"/>
    <w:rsid w:val="00D8503E"/>
    <w:rsid w:val="00D8536F"/>
    <w:rsid w:val="00D85758"/>
    <w:rsid w:val="00D864FF"/>
    <w:rsid w:val="00D86553"/>
    <w:rsid w:val="00D86703"/>
    <w:rsid w:val="00D8676E"/>
    <w:rsid w:val="00D86D1C"/>
    <w:rsid w:val="00D86EC4"/>
    <w:rsid w:val="00D86F51"/>
    <w:rsid w:val="00D87341"/>
    <w:rsid w:val="00D873DF"/>
    <w:rsid w:val="00D87815"/>
    <w:rsid w:val="00D879BF"/>
    <w:rsid w:val="00D87DFF"/>
    <w:rsid w:val="00D87FC7"/>
    <w:rsid w:val="00D90C3E"/>
    <w:rsid w:val="00D90CD3"/>
    <w:rsid w:val="00D90E97"/>
    <w:rsid w:val="00D90ED8"/>
    <w:rsid w:val="00D910E4"/>
    <w:rsid w:val="00D91125"/>
    <w:rsid w:val="00D91162"/>
    <w:rsid w:val="00D913A3"/>
    <w:rsid w:val="00D917CA"/>
    <w:rsid w:val="00D9197D"/>
    <w:rsid w:val="00D91E10"/>
    <w:rsid w:val="00D91FC6"/>
    <w:rsid w:val="00D921BE"/>
    <w:rsid w:val="00D92F99"/>
    <w:rsid w:val="00D932C6"/>
    <w:rsid w:val="00D9333F"/>
    <w:rsid w:val="00D940D8"/>
    <w:rsid w:val="00D943FB"/>
    <w:rsid w:val="00D94546"/>
    <w:rsid w:val="00D9547B"/>
    <w:rsid w:val="00D95A9A"/>
    <w:rsid w:val="00D95CB6"/>
    <w:rsid w:val="00D95CB8"/>
    <w:rsid w:val="00D95E0D"/>
    <w:rsid w:val="00D9613D"/>
    <w:rsid w:val="00D963F3"/>
    <w:rsid w:val="00D9661C"/>
    <w:rsid w:val="00D96903"/>
    <w:rsid w:val="00D9691F"/>
    <w:rsid w:val="00D96EA7"/>
    <w:rsid w:val="00D96FE5"/>
    <w:rsid w:val="00D975B5"/>
    <w:rsid w:val="00D97813"/>
    <w:rsid w:val="00D97CAD"/>
    <w:rsid w:val="00D97E8E"/>
    <w:rsid w:val="00D97ED3"/>
    <w:rsid w:val="00D97F4D"/>
    <w:rsid w:val="00DA0375"/>
    <w:rsid w:val="00DA0751"/>
    <w:rsid w:val="00DA07C4"/>
    <w:rsid w:val="00DA0816"/>
    <w:rsid w:val="00DA0922"/>
    <w:rsid w:val="00DA09C1"/>
    <w:rsid w:val="00DA0C38"/>
    <w:rsid w:val="00DA0F8C"/>
    <w:rsid w:val="00DA1208"/>
    <w:rsid w:val="00DA1964"/>
    <w:rsid w:val="00DA1CD1"/>
    <w:rsid w:val="00DA27FF"/>
    <w:rsid w:val="00DA2854"/>
    <w:rsid w:val="00DA2EB6"/>
    <w:rsid w:val="00DA313E"/>
    <w:rsid w:val="00DA3563"/>
    <w:rsid w:val="00DA3901"/>
    <w:rsid w:val="00DA3A39"/>
    <w:rsid w:val="00DA3E91"/>
    <w:rsid w:val="00DA45DB"/>
    <w:rsid w:val="00DA487F"/>
    <w:rsid w:val="00DA4ADC"/>
    <w:rsid w:val="00DA4CB8"/>
    <w:rsid w:val="00DA4D4D"/>
    <w:rsid w:val="00DA50F6"/>
    <w:rsid w:val="00DA5434"/>
    <w:rsid w:val="00DA56E7"/>
    <w:rsid w:val="00DA66A8"/>
    <w:rsid w:val="00DA6C9E"/>
    <w:rsid w:val="00DA6DC4"/>
    <w:rsid w:val="00DA6E9D"/>
    <w:rsid w:val="00DA70C8"/>
    <w:rsid w:val="00DA754E"/>
    <w:rsid w:val="00DA77B4"/>
    <w:rsid w:val="00DA7A12"/>
    <w:rsid w:val="00DA7A85"/>
    <w:rsid w:val="00DA7E18"/>
    <w:rsid w:val="00DB0838"/>
    <w:rsid w:val="00DB0BC0"/>
    <w:rsid w:val="00DB0D3A"/>
    <w:rsid w:val="00DB1407"/>
    <w:rsid w:val="00DB1540"/>
    <w:rsid w:val="00DB1918"/>
    <w:rsid w:val="00DB1A69"/>
    <w:rsid w:val="00DB1BF0"/>
    <w:rsid w:val="00DB1F3C"/>
    <w:rsid w:val="00DB1F4E"/>
    <w:rsid w:val="00DB23F6"/>
    <w:rsid w:val="00DB3066"/>
    <w:rsid w:val="00DB3068"/>
    <w:rsid w:val="00DB31D8"/>
    <w:rsid w:val="00DB3727"/>
    <w:rsid w:val="00DB379A"/>
    <w:rsid w:val="00DB3ECF"/>
    <w:rsid w:val="00DB4282"/>
    <w:rsid w:val="00DB43F4"/>
    <w:rsid w:val="00DB471E"/>
    <w:rsid w:val="00DB483E"/>
    <w:rsid w:val="00DB4884"/>
    <w:rsid w:val="00DB537D"/>
    <w:rsid w:val="00DB595D"/>
    <w:rsid w:val="00DB5970"/>
    <w:rsid w:val="00DB5E8C"/>
    <w:rsid w:val="00DB615A"/>
    <w:rsid w:val="00DB61A1"/>
    <w:rsid w:val="00DB643C"/>
    <w:rsid w:val="00DB64AD"/>
    <w:rsid w:val="00DB693A"/>
    <w:rsid w:val="00DB6A38"/>
    <w:rsid w:val="00DB6E45"/>
    <w:rsid w:val="00DB705B"/>
    <w:rsid w:val="00DB73CF"/>
    <w:rsid w:val="00DB7649"/>
    <w:rsid w:val="00DB7822"/>
    <w:rsid w:val="00DB7BD1"/>
    <w:rsid w:val="00DB7BFC"/>
    <w:rsid w:val="00DB7DC7"/>
    <w:rsid w:val="00DB7E4D"/>
    <w:rsid w:val="00DC0698"/>
    <w:rsid w:val="00DC09FE"/>
    <w:rsid w:val="00DC0D81"/>
    <w:rsid w:val="00DC0F1D"/>
    <w:rsid w:val="00DC0F8E"/>
    <w:rsid w:val="00DC1016"/>
    <w:rsid w:val="00DC12BF"/>
    <w:rsid w:val="00DC130F"/>
    <w:rsid w:val="00DC135A"/>
    <w:rsid w:val="00DC1C15"/>
    <w:rsid w:val="00DC1C84"/>
    <w:rsid w:val="00DC1D74"/>
    <w:rsid w:val="00DC21E9"/>
    <w:rsid w:val="00DC22B2"/>
    <w:rsid w:val="00DC27E7"/>
    <w:rsid w:val="00DC28DB"/>
    <w:rsid w:val="00DC35DA"/>
    <w:rsid w:val="00DC3B63"/>
    <w:rsid w:val="00DC3B8F"/>
    <w:rsid w:val="00DC3FED"/>
    <w:rsid w:val="00DC4B7A"/>
    <w:rsid w:val="00DC4EEA"/>
    <w:rsid w:val="00DC5102"/>
    <w:rsid w:val="00DC5559"/>
    <w:rsid w:val="00DC55C6"/>
    <w:rsid w:val="00DC5671"/>
    <w:rsid w:val="00DC5F96"/>
    <w:rsid w:val="00DC60F7"/>
    <w:rsid w:val="00DC6B6C"/>
    <w:rsid w:val="00DC6EF5"/>
    <w:rsid w:val="00DC7B8D"/>
    <w:rsid w:val="00DD053F"/>
    <w:rsid w:val="00DD0E9E"/>
    <w:rsid w:val="00DD11FB"/>
    <w:rsid w:val="00DD2472"/>
    <w:rsid w:val="00DD2599"/>
    <w:rsid w:val="00DD2A58"/>
    <w:rsid w:val="00DD2ACA"/>
    <w:rsid w:val="00DD2AF9"/>
    <w:rsid w:val="00DD2EE9"/>
    <w:rsid w:val="00DD323E"/>
    <w:rsid w:val="00DD3AC9"/>
    <w:rsid w:val="00DD41E6"/>
    <w:rsid w:val="00DD437C"/>
    <w:rsid w:val="00DD4419"/>
    <w:rsid w:val="00DD4572"/>
    <w:rsid w:val="00DD4795"/>
    <w:rsid w:val="00DD4EDB"/>
    <w:rsid w:val="00DD53F6"/>
    <w:rsid w:val="00DD5516"/>
    <w:rsid w:val="00DD5557"/>
    <w:rsid w:val="00DD5895"/>
    <w:rsid w:val="00DD58A0"/>
    <w:rsid w:val="00DD58F3"/>
    <w:rsid w:val="00DD59A3"/>
    <w:rsid w:val="00DD5C80"/>
    <w:rsid w:val="00DD5EA1"/>
    <w:rsid w:val="00DD602D"/>
    <w:rsid w:val="00DD607D"/>
    <w:rsid w:val="00DD6C7C"/>
    <w:rsid w:val="00DD7312"/>
    <w:rsid w:val="00DD74CE"/>
    <w:rsid w:val="00DD7899"/>
    <w:rsid w:val="00DD79B8"/>
    <w:rsid w:val="00DD7AFD"/>
    <w:rsid w:val="00DD7C74"/>
    <w:rsid w:val="00DD7E6B"/>
    <w:rsid w:val="00DE021C"/>
    <w:rsid w:val="00DE05F7"/>
    <w:rsid w:val="00DE0A97"/>
    <w:rsid w:val="00DE1DA4"/>
    <w:rsid w:val="00DE1E60"/>
    <w:rsid w:val="00DE2057"/>
    <w:rsid w:val="00DE22FF"/>
    <w:rsid w:val="00DE2357"/>
    <w:rsid w:val="00DE2EBD"/>
    <w:rsid w:val="00DE2F60"/>
    <w:rsid w:val="00DE3337"/>
    <w:rsid w:val="00DE369E"/>
    <w:rsid w:val="00DE3993"/>
    <w:rsid w:val="00DE3A27"/>
    <w:rsid w:val="00DE3DB7"/>
    <w:rsid w:val="00DE3DF4"/>
    <w:rsid w:val="00DE3FE0"/>
    <w:rsid w:val="00DE40AE"/>
    <w:rsid w:val="00DE4B9E"/>
    <w:rsid w:val="00DE4F08"/>
    <w:rsid w:val="00DE551E"/>
    <w:rsid w:val="00DE55EB"/>
    <w:rsid w:val="00DE6598"/>
    <w:rsid w:val="00DE6716"/>
    <w:rsid w:val="00DE687F"/>
    <w:rsid w:val="00DE69CD"/>
    <w:rsid w:val="00DE6A12"/>
    <w:rsid w:val="00DE6C08"/>
    <w:rsid w:val="00DE7860"/>
    <w:rsid w:val="00DF014A"/>
    <w:rsid w:val="00DF0282"/>
    <w:rsid w:val="00DF0417"/>
    <w:rsid w:val="00DF0BBE"/>
    <w:rsid w:val="00DF13BE"/>
    <w:rsid w:val="00DF14D9"/>
    <w:rsid w:val="00DF18D9"/>
    <w:rsid w:val="00DF1E20"/>
    <w:rsid w:val="00DF206A"/>
    <w:rsid w:val="00DF2174"/>
    <w:rsid w:val="00DF27C6"/>
    <w:rsid w:val="00DF28F9"/>
    <w:rsid w:val="00DF2B95"/>
    <w:rsid w:val="00DF2E0F"/>
    <w:rsid w:val="00DF2E71"/>
    <w:rsid w:val="00DF338A"/>
    <w:rsid w:val="00DF36FA"/>
    <w:rsid w:val="00DF3742"/>
    <w:rsid w:val="00DF3783"/>
    <w:rsid w:val="00DF3A72"/>
    <w:rsid w:val="00DF3C5F"/>
    <w:rsid w:val="00DF3E05"/>
    <w:rsid w:val="00DF453D"/>
    <w:rsid w:val="00DF4770"/>
    <w:rsid w:val="00DF4D65"/>
    <w:rsid w:val="00DF4DC5"/>
    <w:rsid w:val="00DF4F83"/>
    <w:rsid w:val="00DF5070"/>
    <w:rsid w:val="00DF5088"/>
    <w:rsid w:val="00DF6263"/>
    <w:rsid w:val="00DF6BBA"/>
    <w:rsid w:val="00DF7223"/>
    <w:rsid w:val="00DF7324"/>
    <w:rsid w:val="00DF74DF"/>
    <w:rsid w:val="00DF7840"/>
    <w:rsid w:val="00DF79B9"/>
    <w:rsid w:val="00E005D7"/>
    <w:rsid w:val="00E00712"/>
    <w:rsid w:val="00E00BF4"/>
    <w:rsid w:val="00E011CC"/>
    <w:rsid w:val="00E0126C"/>
    <w:rsid w:val="00E017B8"/>
    <w:rsid w:val="00E01939"/>
    <w:rsid w:val="00E01945"/>
    <w:rsid w:val="00E02419"/>
    <w:rsid w:val="00E02C79"/>
    <w:rsid w:val="00E02E36"/>
    <w:rsid w:val="00E02E87"/>
    <w:rsid w:val="00E02EAB"/>
    <w:rsid w:val="00E03175"/>
    <w:rsid w:val="00E0326C"/>
    <w:rsid w:val="00E03702"/>
    <w:rsid w:val="00E03740"/>
    <w:rsid w:val="00E03837"/>
    <w:rsid w:val="00E03E55"/>
    <w:rsid w:val="00E03E84"/>
    <w:rsid w:val="00E03EF2"/>
    <w:rsid w:val="00E03F2E"/>
    <w:rsid w:val="00E04072"/>
    <w:rsid w:val="00E04AE1"/>
    <w:rsid w:val="00E04F82"/>
    <w:rsid w:val="00E05353"/>
    <w:rsid w:val="00E05378"/>
    <w:rsid w:val="00E05524"/>
    <w:rsid w:val="00E05549"/>
    <w:rsid w:val="00E05585"/>
    <w:rsid w:val="00E0584D"/>
    <w:rsid w:val="00E05BF7"/>
    <w:rsid w:val="00E061FE"/>
    <w:rsid w:val="00E0669F"/>
    <w:rsid w:val="00E06FC4"/>
    <w:rsid w:val="00E071D1"/>
    <w:rsid w:val="00E0738F"/>
    <w:rsid w:val="00E0748F"/>
    <w:rsid w:val="00E101CB"/>
    <w:rsid w:val="00E1040D"/>
    <w:rsid w:val="00E104FA"/>
    <w:rsid w:val="00E10A42"/>
    <w:rsid w:val="00E1117A"/>
    <w:rsid w:val="00E11293"/>
    <w:rsid w:val="00E11549"/>
    <w:rsid w:val="00E11853"/>
    <w:rsid w:val="00E11C1F"/>
    <w:rsid w:val="00E120F2"/>
    <w:rsid w:val="00E12666"/>
    <w:rsid w:val="00E129A1"/>
    <w:rsid w:val="00E12E3A"/>
    <w:rsid w:val="00E132D0"/>
    <w:rsid w:val="00E13A07"/>
    <w:rsid w:val="00E13BBE"/>
    <w:rsid w:val="00E1417F"/>
    <w:rsid w:val="00E144BA"/>
    <w:rsid w:val="00E1475A"/>
    <w:rsid w:val="00E147D4"/>
    <w:rsid w:val="00E148EB"/>
    <w:rsid w:val="00E14E2D"/>
    <w:rsid w:val="00E154BB"/>
    <w:rsid w:val="00E1561A"/>
    <w:rsid w:val="00E15787"/>
    <w:rsid w:val="00E15A93"/>
    <w:rsid w:val="00E15B47"/>
    <w:rsid w:val="00E15E01"/>
    <w:rsid w:val="00E161BC"/>
    <w:rsid w:val="00E169BD"/>
    <w:rsid w:val="00E171D2"/>
    <w:rsid w:val="00E176CC"/>
    <w:rsid w:val="00E1776D"/>
    <w:rsid w:val="00E178ED"/>
    <w:rsid w:val="00E17901"/>
    <w:rsid w:val="00E17B3E"/>
    <w:rsid w:val="00E17E4A"/>
    <w:rsid w:val="00E212A1"/>
    <w:rsid w:val="00E2156A"/>
    <w:rsid w:val="00E22A45"/>
    <w:rsid w:val="00E23300"/>
    <w:rsid w:val="00E23524"/>
    <w:rsid w:val="00E23874"/>
    <w:rsid w:val="00E23FB9"/>
    <w:rsid w:val="00E24191"/>
    <w:rsid w:val="00E2478F"/>
    <w:rsid w:val="00E24A7B"/>
    <w:rsid w:val="00E24CF7"/>
    <w:rsid w:val="00E2505D"/>
    <w:rsid w:val="00E2598A"/>
    <w:rsid w:val="00E264E0"/>
    <w:rsid w:val="00E268D0"/>
    <w:rsid w:val="00E26CC8"/>
    <w:rsid w:val="00E26FA9"/>
    <w:rsid w:val="00E27262"/>
    <w:rsid w:val="00E27694"/>
    <w:rsid w:val="00E276C0"/>
    <w:rsid w:val="00E27CD8"/>
    <w:rsid w:val="00E27ED5"/>
    <w:rsid w:val="00E27F5A"/>
    <w:rsid w:val="00E30066"/>
    <w:rsid w:val="00E300F3"/>
    <w:rsid w:val="00E303EE"/>
    <w:rsid w:val="00E3079B"/>
    <w:rsid w:val="00E30B39"/>
    <w:rsid w:val="00E30F1E"/>
    <w:rsid w:val="00E30F4E"/>
    <w:rsid w:val="00E313A5"/>
    <w:rsid w:val="00E31C88"/>
    <w:rsid w:val="00E320B4"/>
    <w:rsid w:val="00E322BC"/>
    <w:rsid w:val="00E3292B"/>
    <w:rsid w:val="00E32CE9"/>
    <w:rsid w:val="00E32DED"/>
    <w:rsid w:val="00E332E9"/>
    <w:rsid w:val="00E333AC"/>
    <w:rsid w:val="00E33B66"/>
    <w:rsid w:val="00E33F4A"/>
    <w:rsid w:val="00E340A0"/>
    <w:rsid w:val="00E34785"/>
    <w:rsid w:val="00E34C94"/>
    <w:rsid w:val="00E350B5"/>
    <w:rsid w:val="00E352D6"/>
    <w:rsid w:val="00E35BD0"/>
    <w:rsid w:val="00E35D89"/>
    <w:rsid w:val="00E35EEA"/>
    <w:rsid w:val="00E36423"/>
    <w:rsid w:val="00E3701F"/>
    <w:rsid w:val="00E372A3"/>
    <w:rsid w:val="00E375F3"/>
    <w:rsid w:val="00E37A06"/>
    <w:rsid w:val="00E4029D"/>
    <w:rsid w:val="00E40714"/>
    <w:rsid w:val="00E4089A"/>
    <w:rsid w:val="00E40B87"/>
    <w:rsid w:val="00E4100A"/>
    <w:rsid w:val="00E410B2"/>
    <w:rsid w:val="00E411D3"/>
    <w:rsid w:val="00E41216"/>
    <w:rsid w:val="00E41438"/>
    <w:rsid w:val="00E41C3F"/>
    <w:rsid w:val="00E41F5C"/>
    <w:rsid w:val="00E41FC7"/>
    <w:rsid w:val="00E423C0"/>
    <w:rsid w:val="00E425CB"/>
    <w:rsid w:val="00E42B94"/>
    <w:rsid w:val="00E43398"/>
    <w:rsid w:val="00E43425"/>
    <w:rsid w:val="00E43B5E"/>
    <w:rsid w:val="00E43D33"/>
    <w:rsid w:val="00E43E4F"/>
    <w:rsid w:val="00E440BA"/>
    <w:rsid w:val="00E44620"/>
    <w:rsid w:val="00E44DF5"/>
    <w:rsid w:val="00E44FC6"/>
    <w:rsid w:val="00E4514A"/>
    <w:rsid w:val="00E45CE9"/>
    <w:rsid w:val="00E4606D"/>
    <w:rsid w:val="00E4635E"/>
    <w:rsid w:val="00E4670B"/>
    <w:rsid w:val="00E46C6D"/>
    <w:rsid w:val="00E470ED"/>
    <w:rsid w:val="00E471B7"/>
    <w:rsid w:val="00E472D8"/>
    <w:rsid w:val="00E476D4"/>
    <w:rsid w:val="00E47FEF"/>
    <w:rsid w:val="00E503AE"/>
    <w:rsid w:val="00E508BA"/>
    <w:rsid w:val="00E509FE"/>
    <w:rsid w:val="00E51287"/>
    <w:rsid w:val="00E51753"/>
    <w:rsid w:val="00E51C1A"/>
    <w:rsid w:val="00E524C6"/>
    <w:rsid w:val="00E52524"/>
    <w:rsid w:val="00E52D6C"/>
    <w:rsid w:val="00E535FF"/>
    <w:rsid w:val="00E538FD"/>
    <w:rsid w:val="00E53CE9"/>
    <w:rsid w:val="00E544E0"/>
    <w:rsid w:val="00E5463E"/>
    <w:rsid w:val="00E5498C"/>
    <w:rsid w:val="00E54A25"/>
    <w:rsid w:val="00E552A3"/>
    <w:rsid w:val="00E553BB"/>
    <w:rsid w:val="00E55580"/>
    <w:rsid w:val="00E5652B"/>
    <w:rsid w:val="00E56911"/>
    <w:rsid w:val="00E56951"/>
    <w:rsid w:val="00E56DC8"/>
    <w:rsid w:val="00E56EB9"/>
    <w:rsid w:val="00E56F35"/>
    <w:rsid w:val="00E56FD6"/>
    <w:rsid w:val="00E57155"/>
    <w:rsid w:val="00E57231"/>
    <w:rsid w:val="00E572A1"/>
    <w:rsid w:val="00E574A0"/>
    <w:rsid w:val="00E574AC"/>
    <w:rsid w:val="00E5771E"/>
    <w:rsid w:val="00E57907"/>
    <w:rsid w:val="00E5797F"/>
    <w:rsid w:val="00E57D70"/>
    <w:rsid w:val="00E60053"/>
    <w:rsid w:val="00E603A1"/>
    <w:rsid w:val="00E604DF"/>
    <w:rsid w:val="00E6086D"/>
    <w:rsid w:val="00E60964"/>
    <w:rsid w:val="00E60AA2"/>
    <w:rsid w:val="00E60AD8"/>
    <w:rsid w:val="00E61079"/>
    <w:rsid w:val="00E6145D"/>
    <w:rsid w:val="00E6146D"/>
    <w:rsid w:val="00E6149D"/>
    <w:rsid w:val="00E61809"/>
    <w:rsid w:val="00E6319B"/>
    <w:rsid w:val="00E6339A"/>
    <w:rsid w:val="00E633B9"/>
    <w:rsid w:val="00E63444"/>
    <w:rsid w:val="00E63862"/>
    <w:rsid w:val="00E64ADF"/>
    <w:rsid w:val="00E64BA6"/>
    <w:rsid w:val="00E64CC6"/>
    <w:rsid w:val="00E650F7"/>
    <w:rsid w:val="00E652DE"/>
    <w:rsid w:val="00E6530D"/>
    <w:rsid w:val="00E6566E"/>
    <w:rsid w:val="00E6573F"/>
    <w:rsid w:val="00E659CB"/>
    <w:rsid w:val="00E65B75"/>
    <w:rsid w:val="00E65C9C"/>
    <w:rsid w:val="00E65E1B"/>
    <w:rsid w:val="00E66005"/>
    <w:rsid w:val="00E663F3"/>
    <w:rsid w:val="00E66465"/>
    <w:rsid w:val="00E66C9F"/>
    <w:rsid w:val="00E66DD7"/>
    <w:rsid w:val="00E67137"/>
    <w:rsid w:val="00E67DDA"/>
    <w:rsid w:val="00E70390"/>
    <w:rsid w:val="00E70431"/>
    <w:rsid w:val="00E7044F"/>
    <w:rsid w:val="00E704F4"/>
    <w:rsid w:val="00E705E8"/>
    <w:rsid w:val="00E70860"/>
    <w:rsid w:val="00E70E8F"/>
    <w:rsid w:val="00E712DE"/>
    <w:rsid w:val="00E717AF"/>
    <w:rsid w:val="00E72097"/>
    <w:rsid w:val="00E7238A"/>
    <w:rsid w:val="00E72F81"/>
    <w:rsid w:val="00E73337"/>
    <w:rsid w:val="00E73495"/>
    <w:rsid w:val="00E73496"/>
    <w:rsid w:val="00E7350E"/>
    <w:rsid w:val="00E735F6"/>
    <w:rsid w:val="00E736B7"/>
    <w:rsid w:val="00E73788"/>
    <w:rsid w:val="00E739E2"/>
    <w:rsid w:val="00E73EE4"/>
    <w:rsid w:val="00E73FB3"/>
    <w:rsid w:val="00E745FA"/>
    <w:rsid w:val="00E7462F"/>
    <w:rsid w:val="00E748F7"/>
    <w:rsid w:val="00E74914"/>
    <w:rsid w:val="00E74D7F"/>
    <w:rsid w:val="00E74FEF"/>
    <w:rsid w:val="00E75849"/>
    <w:rsid w:val="00E75AA2"/>
    <w:rsid w:val="00E76099"/>
    <w:rsid w:val="00E760AB"/>
    <w:rsid w:val="00E76144"/>
    <w:rsid w:val="00E762BF"/>
    <w:rsid w:val="00E76307"/>
    <w:rsid w:val="00E764F9"/>
    <w:rsid w:val="00E767B5"/>
    <w:rsid w:val="00E76C7B"/>
    <w:rsid w:val="00E76F29"/>
    <w:rsid w:val="00E775A4"/>
    <w:rsid w:val="00E775AB"/>
    <w:rsid w:val="00E77808"/>
    <w:rsid w:val="00E77F02"/>
    <w:rsid w:val="00E77F20"/>
    <w:rsid w:val="00E77F24"/>
    <w:rsid w:val="00E80212"/>
    <w:rsid w:val="00E80417"/>
    <w:rsid w:val="00E80682"/>
    <w:rsid w:val="00E80B1C"/>
    <w:rsid w:val="00E80D3C"/>
    <w:rsid w:val="00E80DEB"/>
    <w:rsid w:val="00E81530"/>
    <w:rsid w:val="00E81A1F"/>
    <w:rsid w:val="00E81B7B"/>
    <w:rsid w:val="00E81D2A"/>
    <w:rsid w:val="00E81D38"/>
    <w:rsid w:val="00E82626"/>
    <w:rsid w:val="00E82A03"/>
    <w:rsid w:val="00E82B4A"/>
    <w:rsid w:val="00E82B6E"/>
    <w:rsid w:val="00E837B0"/>
    <w:rsid w:val="00E84524"/>
    <w:rsid w:val="00E8467C"/>
    <w:rsid w:val="00E85071"/>
    <w:rsid w:val="00E85519"/>
    <w:rsid w:val="00E8581E"/>
    <w:rsid w:val="00E85A5F"/>
    <w:rsid w:val="00E85AC7"/>
    <w:rsid w:val="00E85B27"/>
    <w:rsid w:val="00E862A2"/>
    <w:rsid w:val="00E86F13"/>
    <w:rsid w:val="00E872A0"/>
    <w:rsid w:val="00E87401"/>
    <w:rsid w:val="00E87726"/>
    <w:rsid w:val="00E87849"/>
    <w:rsid w:val="00E90A55"/>
    <w:rsid w:val="00E90D85"/>
    <w:rsid w:val="00E90E57"/>
    <w:rsid w:val="00E90F8D"/>
    <w:rsid w:val="00E91284"/>
    <w:rsid w:val="00E91538"/>
    <w:rsid w:val="00E91988"/>
    <w:rsid w:val="00E91B1C"/>
    <w:rsid w:val="00E91FD6"/>
    <w:rsid w:val="00E924B4"/>
    <w:rsid w:val="00E92821"/>
    <w:rsid w:val="00E92AD9"/>
    <w:rsid w:val="00E932C2"/>
    <w:rsid w:val="00E9343A"/>
    <w:rsid w:val="00E938C6"/>
    <w:rsid w:val="00E939E4"/>
    <w:rsid w:val="00E93A02"/>
    <w:rsid w:val="00E93A2E"/>
    <w:rsid w:val="00E93EED"/>
    <w:rsid w:val="00E93F53"/>
    <w:rsid w:val="00E94357"/>
    <w:rsid w:val="00E94AB5"/>
    <w:rsid w:val="00E94B88"/>
    <w:rsid w:val="00E94D8B"/>
    <w:rsid w:val="00E95063"/>
    <w:rsid w:val="00E95399"/>
    <w:rsid w:val="00E953A0"/>
    <w:rsid w:val="00E95909"/>
    <w:rsid w:val="00E95DA7"/>
    <w:rsid w:val="00E95F12"/>
    <w:rsid w:val="00E96055"/>
    <w:rsid w:val="00E963DD"/>
    <w:rsid w:val="00E967A9"/>
    <w:rsid w:val="00E96ECD"/>
    <w:rsid w:val="00E979D6"/>
    <w:rsid w:val="00EA0280"/>
    <w:rsid w:val="00EA049D"/>
    <w:rsid w:val="00EA0D49"/>
    <w:rsid w:val="00EA115E"/>
    <w:rsid w:val="00EA13C8"/>
    <w:rsid w:val="00EA14E3"/>
    <w:rsid w:val="00EA1735"/>
    <w:rsid w:val="00EA17A8"/>
    <w:rsid w:val="00EA1863"/>
    <w:rsid w:val="00EA1A79"/>
    <w:rsid w:val="00EA1A9C"/>
    <w:rsid w:val="00EA1D44"/>
    <w:rsid w:val="00EA1EED"/>
    <w:rsid w:val="00EA2197"/>
    <w:rsid w:val="00EA21B9"/>
    <w:rsid w:val="00EA2543"/>
    <w:rsid w:val="00EA257D"/>
    <w:rsid w:val="00EA2A21"/>
    <w:rsid w:val="00EA2C2C"/>
    <w:rsid w:val="00EA2C6C"/>
    <w:rsid w:val="00EA2CE8"/>
    <w:rsid w:val="00EA375D"/>
    <w:rsid w:val="00EA37FF"/>
    <w:rsid w:val="00EA3809"/>
    <w:rsid w:val="00EA3CDF"/>
    <w:rsid w:val="00EA3DA9"/>
    <w:rsid w:val="00EA406D"/>
    <w:rsid w:val="00EA4070"/>
    <w:rsid w:val="00EA40C4"/>
    <w:rsid w:val="00EA44B2"/>
    <w:rsid w:val="00EA4A37"/>
    <w:rsid w:val="00EA4B7C"/>
    <w:rsid w:val="00EA4C52"/>
    <w:rsid w:val="00EA549F"/>
    <w:rsid w:val="00EA589D"/>
    <w:rsid w:val="00EA59A6"/>
    <w:rsid w:val="00EA63C4"/>
    <w:rsid w:val="00EA6501"/>
    <w:rsid w:val="00EA69BA"/>
    <w:rsid w:val="00EA6A51"/>
    <w:rsid w:val="00EA6AAA"/>
    <w:rsid w:val="00EA73AE"/>
    <w:rsid w:val="00EA79E1"/>
    <w:rsid w:val="00EA7CD7"/>
    <w:rsid w:val="00EA7F4C"/>
    <w:rsid w:val="00EB000A"/>
    <w:rsid w:val="00EB0040"/>
    <w:rsid w:val="00EB0287"/>
    <w:rsid w:val="00EB0C57"/>
    <w:rsid w:val="00EB14F2"/>
    <w:rsid w:val="00EB1AA6"/>
    <w:rsid w:val="00EB1B61"/>
    <w:rsid w:val="00EB30FF"/>
    <w:rsid w:val="00EB316B"/>
    <w:rsid w:val="00EB31CB"/>
    <w:rsid w:val="00EB36EB"/>
    <w:rsid w:val="00EB3742"/>
    <w:rsid w:val="00EB3891"/>
    <w:rsid w:val="00EB39AC"/>
    <w:rsid w:val="00EB425F"/>
    <w:rsid w:val="00EB464F"/>
    <w:rsid w:val="00EB4652"/>
    <w:rsid w:val="00EB500D"/>
    <w:rsid w:val="00EB534C"/>
    <w:rsid w:val="00EB5FAF"/>
    <w:rsid w:val="00EB61BE"/>
    <w:rsid w:val="00EB64D9"/>
    <w:rsid w:val="00EB6659"/>
    <w:rsid w:val="00EB69C3"/>
    <w:rsid w:val="00EB7356"/>
    <w:rsid w:val="00EB793F"/>
    <w:rsid w:val="00EB7BDE"/>
    <w:rsid w:val="00EC090A"/>
    <w:rsid w:val="00EC097A"/>
    <w:rsid w:val="00EC0A10"/>
    <w:rsid w:val="00EC0E4B"/>
    <w:rsid w:val="00EC0E63"/>
    <w:rsid w:val="00EC0E77"/>
    <w:rsid w:val="00EC1058"/>
    <w:rsid w:val="00EC1153"/>
    <w:rsid w:val="00EC1175"/>
    <w:rsid w:val="00EC1367"/>
    <w:rsid w:val="00EC1557"/>
    <w:rsid w:val="00EC1CA5"/>
    <w:rsid w:val="00EC2381"/>
    <w:rsid w:val="00EC24B9"/>
    <w:rsid w:val="00EC2694"/>
    <w:rsid w:val="00EC2844"/>
    <w:rsid w:val="00EC2850"/>
    <w:rsid w:val="00EC2A4A"/>
    <w:rsid w:val="00EC2A96"/>
    <w:rsid w:val="00EC2D25"/>
    <w:rsid w:val="00EC328E"/>
    <w:rsid w:val="00EC3436"/>
    <w:rsid w:val="00EC36F5"/>
    <w:rsid w:val="00EC38C8"/>
    <w:rsid w:val="00EC39C5"/>
    <w:rsid w:val="00EC46EC"/>
    <w:rsid w:val="00EC5105"/>
    <w:rsid w:val="00EC52A2"/>
    <w:rsid w:val="00EC5310"/>
    <w:rsid w:val="00EC5ECF"/>
    <w:rsid w:val="00EC60B1"/>
    <w:rsid w:val="00EC61FB"/>
    <w:rsid w:val="00EC6548"/>
    <w:rsid w:val="00EC6B9D"/>
    <w:rsid w:val="00EC6D29"/>
    <w:rsid w:val="00EC6D3F"/>
    <w:rsid w:val="00EC6F6F"/>
    <w:rsid w:val="00EC73C2"/>
    <w:rsid w:val="00EC7710"/>
    <w:rsid w:val="00EC7A19"/>
    <w:rsid w:val="00EC7C0C"/>
    <w:rsid w:val="00EC7F15"/>
    <w:rsid w:val="00ED000F"/>
    <w:rsid w:val="00ED010A"/>
    <w:rsid w:val="00ED043B"/>
    <w:rsid w:val="00ED0668"/>
    <w:rsid w:val="00ED0A29"/>
    <w:rsid w:val="00ED0AB5"/>
    <w:rsid w:val="00ED0E06"/>
    <w:rsid w:val="00ED153D"/>
    <w:rsid w:val="00ED15D4"/>
    <w:rsid w:val="00ED181A"/>
    <w:rsid w:val="00ED1904"/>
    <w:rsid w:val="00ED1D1C"/>
    <w:rsid w:val="00ED1DFD"/>
    <w:rsid w:val="00ED1ECE"/>
    <w:rsid w:val="00ED1FD0"/>
    <w:rsid w:val="00ED2145"/>
    <w:rsid w:val="00ED22C6"/>
    <w:rsid w:val="00ED2326"/>
    <w:rsid w:val="00ED2344"/>
    <w:rsid w:val="00ED2528"/>
    <w:rsid w:val="00ED2642"/>
    <w:rsid w:val="00ED2D6C"/>
    <w:rsid w:val="00ED2FEE"/>
    <w:rsid w:val="00ED301B"/>
    <w:rsid w:val="00ED33B2"/>
    <w:rsid w:val="00ED3504"/>
    <w:rsid w:val="00ED3F5F"/>
    <w:rsid w:val="00ED46B2"/>
    <w:rsid w:val="00ED4725"/>
    <w:rsid w:val="00ED4E6B"/>
    <w:rsid w:val="00ED4ED8"/>
    <w:rsid w:val="00ED4FDE"/>
    <w:rsid w:val="00ED5654"/>
    <w:rsid w:val="00ED5934"/>
    <w:rsid w:val="00ED5F0C"/>
    <w:rsid w:val="00ED6064"/>
    <w:rsid w:val="00ED65D0"/>
    <w:rsid w:val="00ED6873"/>
    <w:rsid w:val="00ED6A05"/>
    <w:rsid w:val="00EE0736"/>
    <w:rsid w:val="00EE0747"/>
    <w:rsid w:val="00EE0C0C"/>
    <w:rsid w:val="00EE1299"/>
    <w:rsid w:val="00EE1BB0"/>
    <w:rsid w:val="00EE1BB9"/>
    <w:rsid w:val="00EE2149"/>
    <w:rsid w:val="00EE28A5"/>
    <w:rsid w:val="00EE294C"/>
    <w:rsid w:val="00EE29C7"/>
    <w:rsid w:val="00EE29ED"/>
    <w:rsid w:val="00EE3130"/>
    <w:rsid w:val="00EE317C"/>
    <w:rsid w:val="00EE34CF"/>
    <w:rsid w:val="00EE3EB7"/>
    <w:rsid w:val="00EE4307"/>
    <w:rsid w:val="00EE4349"/>
    <w:rsid w:val="00EE449B"/>
    <w:rsid w:val="00EE49EC"/>
    <w:rsid w:val="00EE4AF2"/>
    <w:rsid w:val="00EE4B2F"/>
    <w:rsid w:val="00EE4D7D"/>
    <w:rsid w:val="00EE5263"/>
    <w:rsid w:val="00EE5796"/>
    <w:rsid w:val="00EE58BC"/>
    <w:rsid w:val="00EE5B68"/>
    <w:rsid w:val="00EE5BDC"/>
    <w:rsid w:val="00EE6363"/>
    <w:rsid w:val="00EE68FF"/>
    <w:rsid w:val="00EE7252"/>
    <w:rsid w:val="00EE7350"/>
    <w:rsid w:val="00EE7696"/>
    <w:rsid w:val="00EE7ADC"/>
    <w:rsid w:val="00EE7AF5"/>
    <w:rsid w:val="00EE7B9C"/>
    <w:rsid w:val="00EE7C63"/>
    <w:rsid w:val="00EF01EF"/>
    <w:rsid w:val="00EF0292"/>
    <w:rsid w:val="00EF03D1"/>
    <w:rsid w:val="00EF0821"/>
    <w:rsid w:val="00EF0BE3"/>
    <w:rsid w:val="00EF0E92"/>
    <w:rsid w:val="00EF0F48"/>
    <w:rsid w:val="00EF146A"/>
    <w:rsid w:val="00EF14C9"/>
    <w:rsid w:val="00EF1A9F"/>
    <w:rsid w:val="00EF2519"/>
    <w:rsid w:val="00EF31D1"/>
    <w:rsid w:val="00EF33D1"/>
    <w:rsid w:val="00EF3636"/>
    <w:rsid w:val="00EF443F"/>
    <w:rsid w:val="00EF4581"/>
    <w:rsid w:val="00EF468A"/>
    <w:rsid w:val="00EF496E"/>
    <w:rsid w:val="00EF49AB"/>
    <w:rsid w:val="00EF4DEF"/>
    <w:rsid w:val="00EF4F1D"/>
    <w:rsid w:val="00EF4F31"/>
    <w:rsid w:val="00EF566B"/>
    <w:rsid w:val="00EF5712"/>
    <w:rsid w:val="00EF596E"/>
    <w:rsid w:val="00EF5C48"/>
    <w:rsid w:val="00EF5EED"/>
    <w:rsid w:val="00EF614C"/>
    <w:rsid w:val="00EF62AC"/>
    <w:rsid w:val="00EF64C4"/>
    <w:rsid w:val="00EF65DA"/>
    <w:rsid w:val="00EF672C"/>
    <w:rsid w:val="00EF675F"/>
    <w:rsid w:val="00EF6CE3"/>
    <w:rsid w:val="00F0006C"/>
    <w:rsid w:val="00F00657"/>
    <w:rsid w:val="00F008F0"/>
    <w:rsid w:val="00F009A9"/>
    <w:rsid w:val="00F00D19"/>
    <w:rsid w:val="00F013BE"/>
    <w:rsid w:val="00F014A5"/>
    <w:rsid w:val="00F01529"/>
    <w:rsid w:val="00F02289"/>
    <w:rsid w:val="00F0264F"/>
    <w:rsid w:val="00F0327A"/>
    <w:rsid w:val="00F03648"/>
    <w:rsid w:val="00F03A73"/>
    <w:rsid w:val="00F042D6"/>
    <w:rsid w:val="00F04311"/>
    <w:rsid w:val="00F04685"/>
    <w:rsid w:val="00F046D3"/>
    <w:rsid w:val="00F046D6"/>
    <w:rsid w:val="00F04BE2"/>
    <w:rsid w:val="00F04E20"/>
    <w:rsid w:val="00F051B3"/>
    <w:rsid w:val="00F051C6"/>
    <w:rsid w:val="00F0530D"/>
    <w:rsid w:val="00F0573B"/>
    <w:rsid w:val="00F05BDF"/>
    <w:rsid w:val="00F05D7C"/>
    <w:rsid w:val="00F05E0D"/>
    <w:rsid w:val="00F05E78"/>
    <w:rsid w:val="00F064AB"/>
    <w:rsid w:val="00F06B3A"/>
    <w:rsid w:val="00F06EB7"/>
    <w:rsid w:val="00F0702D"/>
    <w:rsid w:val="00F078FD"/>
    <w:rsid w:val="00F0794F"/>
    <w:rsid w:val="00F07B76"/>
    <w:rsid w:val="00F07C08"/>
    <w:rsid w:val="00F108F6"/>
    <w:rsid w:val="00F10D0B"/>
    <w:rsid w:val="00F113DC"/>
    <w:rsid w:val="00F11763"/>
    <w:rsid w:val="00F11781"/>
    <w:rsid w:val="00F11906"/>
    <w:rsid w:val="00F12684"/>
    <w:rsid w:val="00F12EA5"/>
    <w:rsid w:val="00F12EB1"/>
    <w:rsid w:val="00F130F2"/>
    <w:rsid w:val="00F13498"/>
    <w:rsid w:val="00F13805"/>
    <w:rsid w:val="00F13AA7"/>
    <w:rsid w:val="00F1417C"/>
    <w:rsid w:val="00F14C58"/>
    <w:rsid w:val="00F14D7C"/>
    <w:rsid w:val="00F14F59"/>
    <w:rsid w:val="00F14FA3"/>
    <w:rsid w:val="00F15070"/>
    <w:rsid w:val="00F15422"/>
    <w:rsid w:val="00F15D90"/>
    <w:rsid w:val="00F1652D"/>
    <w:rsid w:val="00F16892"/>
    <w:rsid w:val="00F16B1B"/>
    <w:rsid w:val="00F16BAA"/>
    <w:rsid w:val="00F16CCA"/>
    <w:rsid w:val="00F16FC6"/>
    <w:rsid w:val="00F17141"/>
    <w:rsid w:val="00F176CF"/>
    <w:rsid w:val="00F1778B"/>
    <w:rsid w:val="00F1780F"/>
    <w:rsid w:val="00F2001F"/>
    <w:rsid w:val="00F203FB"/>
    <w:rsid w:val="00F207EC"/>
    <w:rsid w:val="00F20F58"/>
    <w:rsid w:val="00F20F90"/>
    <w:rsid w:val="00F212A4"/>
    <w:rsid w:val="00F21681"/>
    <w:rsid w:val="00F219B6"/>
    <w:rsid w:val="00F22367"/>
    <w:rsid w:val="00F22DB4"/>
    <w:rsid w:val="00F22F93"/>
    <w:rsid w:val="00F23694"/>
    <w:rsid w:val="00F238EA"/>
    <w:rsid w:val="00F23C1D"/>
    <w:rsid w:val="00F23E38"/>
    <w:rsid w:val="00F23ECA"/>
    <w:rsid w:val="00F2482F"/>
    <w:rsid w:val="00F249D4"/>
    <w:rsid w:val="00F24A50"/>
    <w:rsid w:val="00F24F82"/>
    <w:rsid w:val="00F25139"/>
    <w:rsid w:val="00F252AE"/>
    <w:rsid w:val="00F254E7"/>
    <w:rsid w:val="00F255CE"/>
    <w:rsid w:val="00F256F4"/>
    <w:rsid w:val="00F260B1"/>
    <w:rsid w:val="00F26127"/>
    <w:rsid w:val="00F266E6"/>
    <w:rsid w:val="00F26C6C"/>
    <w:rsid w:val="00F26CD1"/>
    <w:rsid w:val="00F26FC4"/>
    <w:rsid w:val="00F277E8"/>
    <w:rsid w:val="00F27A8E"/>
    <w:rsid w:val="00F27C9F"/>
    <w:rsid w:val="00F30C95"/>
    <w:rsid w:val="00F30F0C"/>
    <w:rsid w:val="00F30FEE"/>
    <w:rsid w:val="00F31459"/>
    <w:rsid w:val="00F31649"/>
    <w:rsid w:val="00F320E0"/>
    <w:rsid w:val="00F3285F"/>
    <w:rsid w:val="00F32C0E"/>
    <w:rsid w:val="00F32F2D"/>
    <w:rsid w:val="00F33015"/>
    <w:rsid w:val="00F34012"/>
    <w:rsid w:val="00F346CA"/>
    <w:rsid w:val="00F34868"/>
    <w:rsid w:val="00F348B4"/>
    <w:rsid w:val="00F34BEC"/>
    <w:rsid w:val="00F350D1"/>
    <w:rsid w:val="00F35255"/>
    <w:rsid w:val="00F352EC"/>
    <w:rsid w:val="00F35737"/>
    <w:rsid w:val="00F357A4"/>
    <w:rsid w:val="00F357F9"/>
    <w:rsid w:val="00F35CD0"/>
    <w:rsid w:val="00F35E0C"/>
    <w:rsid w:val="00F35EE1"/>
    <w:rsid w:val="00F35F61"/>
    <w:rsid w:val="00F36F56"/>
    <w:rsid w:val="00F370D1"/>
    <w:rsid w:val="00F3749E"/>
    <w:rsid w:val="00F37A33"/>
    <w:rsid w:val="00F37A67"/>
    <w:rsid w:val="00F37DF0"/>
    <w:rsid w:val="00F40125"/>
    <w:rsid w:val="00F4012A"/>
    <w:rsid w:val="00F40D77"/>
    <w:rsid w:val="00F40E84"/>
    <w:rsid w:val="00F411B3"/>
    <w:rsid w:val="00F41773"/>
    <w:rsid w:val="00F419C8"/>
    <w:rsid w:val="00F42062"/>
    <w:rsid w:val="00F4292C"/>
    <w:rsid w:val="00F42A85"/>
    <w:rsid w:val="00F42DB6"/>
    <w:rsid w:val="00F42E58"/>
    <w:rsid w:val="00F433FA"/>
    <w:rsid w:val="00F4351E"/>
    <w:rsid w:val="00F4395E"/>
    <w:rsid w:val="00F44095"/>
    <w:rsid w:val="00F443F3"/>
    <w:rsid w:val="00F449B4"/>
    <w:rsid w:val="00F44B94"/>
    <w:rsid w:val="00F458BD"/>
    <w:rsid w:val="00F4591D"/>
    <w:rsid w:val="00F459FE"/>
    <w:rsid w:val="00F45CBF"/>
    <w:rsid w:val="00F45D7A"/>
    <w:rsid w:val="00F45F19"/>
    <w:rsid w:val="00F4612F"/>
    <w:rsid w:val="00F468C2"/>
    <w:rsid w:val="00F4690D"/>
    <w:rsid w:val="00F46F42"/>
    <w:rsid w:val="00F504FA"/>
    <w:rsid w:val="00F507C9"/>
    <w:rsid w:val="00F50891"/>
    <w:rsid w:val="00F5118E"/>
    <w:rsid w:val="00F51532"/>
    <w:rsid w:val="00F515EB"/>
    <w:rsid w:val="00F516DF"/>
    <w:rsid w:val="00F51A09"/>
    <w:rsid w:val="00F51A99"/>
    <w:rsid w:val="00F51D98"/>
    <w:rsid w:val="00F523E4"/>
    <w:rsid w:val="00F526B0"/>
    <w:rsid w:val="00F528A2"/>
    <w:rsid w:val="00F5298D"/>
    <w:rsid w:val="00F52A61"/>
    <w:rsid w:val="00F52A8C"/>
    <w:rsid w:val="00F52F8B"/>
    <w:rsid w:val="00F53531"/>
    <w:rsid w:val="00F53574"/>
    <w:rsid w:val="00F53B73"/>
    <w:rsid w:val="00F53D17"/>
    <w:rsid w:val="00F53E6D"/>
    <w:rsid w:val="00F53EF5"/>
    <w:rsid w:val="00F54800"/>
    <w:rsid w:val="00F54B95"/>
    <w:rsid w:val="00F55198"/>
    <w:rsid w:val="00F55372"/>
    <w:rsid w:val="00F55405"/>
    <w:rsid w:val="00F55974"/>
    <w:rsid w:val="00F56512"/>
    <w:rsid w:val="00F5675C"/>
    <w:rsid w:val="00F56776"/>
    <w:rsid w:val="00F5679D"/>
    <w:rsid w:val="00F56C9B"/>
    <w:rsid w:val="00F574DA"/>
    <w:rsid w:val="00F57E17"/>
    <w:rsid w:val="00F57F73"/>
    <w:rsid w:val="00F57FE6"/>
    <w:rsid w:val="00F608A3"/>
    <w:rsid w:val="00F60A1A"/>
    <w:rsid w:val="00F60B31"/>
    <w:rsid w:val="00F60CAC"/>
    <w:rsid w:val="00F60EFC"/>
    <w:rsid w:val="00F60F3A"/>
    <w:rsid w:val="00F6162C"/>
    <w:rsid w:val="00F616BC"/>
    <w:rsid w:val="00F61B7C"/>
    <w:rsid w:val="00F61B80"/>
    <w:rsid w:val="00F61BCF"/>
    <w:rsid w:val="00F61F70"/>
    <w:rsid w:val="00F62392"/>
    <w:rsid w:val="00F62DD0"/>
    <w:rsid w:val="00F63213"/>
    <w:rsid w:val="00F633E8"/>
    <w:rsid w:val="00F63847"/>
    <w:rsid w:val="00F63972"/>
    <w:rsid w:val="00F63C99"/>
    <w:rsid w:val="00F63CD5"/>
    <w:rsid w:val="00F63E43"/>
    <w:rsid w:val="00F64264"/>
    <w:rsid w:val="00F64B86"/>
    <w:rsid w:val="00F64D19"/>
    <w:rsid w:val="00F64EB1"/>
    <w:rsid w:val="00F6621D"/>
    <w:rsid w:val="00F66237"/>
    <w:rsid w:val="00F665B7"/>
    <w:rsid w:val="00F667B9"/>
    <w:rsid w:val="00F672A1"/>
    <w:rsid w:val="00F67596"/>
    <w:rsid w:val="00F67B42"/>
    <w:rsid w:val="00F67BB7"/>
    <w:rsid w:val="00F70037"/>
    <w:rsid w:val="00F70553"/>
    <w:rsid w:val="00F7075E"/>
    <w:rsid w:val="00F70A08"/>
    <w:rsid w:val="00F70A47"/>
    <w:rsid w:val="00F70F39"/>
    <w:rsid w:val="00F71054"/>
    <w:rsid w:val="00F71C6F"/>
    <w:rsid w:val="00F7216A"/>
    <w:rsid w:val="00F72B79"/>
    <w:rsid w:val="00F72BA9"/>
    <w:rsid w:val="00F72BEF"/>
    <w:rsid w:val="00F72C44"/>
    <w:rsid w:val="00F7335A"/>
    <w:rsid w:val="00F73596"/>
    <w:rsid w:val="00F73720"/>
    <w:rsid w:val="00F73937"/>
    <w:rsid w:val="00F73E32"/>
    <w:rsid w:val="00F7412F"/>
    <w:rsid w:val="00F7454C"/>
    <w:rsid w:val="00F7478B"/>
    <w:rsid w:val="00F7482F"/>
    <w:rsid w:val="00F74A26"/>
    <w:rsid w:val="00F74A46"/>
    <w:rsid w:val="00F74A4A"/>
    <w:rsid w:val="00F74D93"/>
    <w:rsid w:val="00F74DCD"/>
    <w:rsid w:val="00F75582"/>
    <w:rsid w:val="00F756AD"/>
    <w:rsid w:val="00F7572F"/>
    <w:rsid w:val="00F7575F"/>
    <w:rsid w:val="00F75814"/>
    <w:rsid w:val="00F76142"/>
    <w:rsid w:val="00F76154"/>
    <w:rsid w:val="00F76558"/>
    <w:rsid w:val="00F76AF0"/>
    <w:rsid w:val="00F76D12"/>
    <w:rsid w:val="00F771AB"/>
    <w:rsid w:val="00F77277"/>
    <w:rsid w:val="00F77A67"/>
    <w:rsid w:val="00F77FF0"/>
    <w:rsid w:val="00F80281"/>
    <w:rsid w:val="00F80303"/>
    <w:rsid w:val="00F8034B"/>
    <w:rsid w:val="00F803B8"/>
    <w:rsid w:val="00F80796"/>
    <w:rsid w:val="00F81497"/>
    <w:rsid w:val="00F81685"/>
    <w:rsid w:val="00F81DE7"/>
    <w:rsid w:val="00F8201E"/>
    <w:rsid w:val="00F821F8"/>
    <w:rsid w:val="00F821F9"/>
    <w:rsid w:val="00F822F7"/>
    <w:rsid w:val="00F82647"/>
    <w:rsid w:val="00F82C30"/>
    <w:rsid w:val="00F82E79"/>
    <w:rsid w:val="00F830F5"/>
    <w:rsid w:val="00F831A4"/>
    <w:rsid w:val="00F83290"/>
    <w:rsid w:val="00F835DA"/>
    <w:rsid w:val="00F83B8A"/>
    <w:rsid w:val="00F840F3"/>
    <w:rsid w:val="00F84127"/>
    <w:rsid w:val="00F8439E"/>
    <w:rsid w:val="00F84437"/>
    <w:rsid w:val="00F84449"/>
    <w:rsid w:val="00F84515"/>
    <w:rsid w:val="00F84524"/>
    <w:rsid w:val="00F8491A"/>
    <w:rsid w:val="00F849CF"/>
    <w:rsid w:val="00F84AF3"/>
    <w:rsid w:val="00F84ECC"/>
    <w:rsid w:val="00F851D8"/>
    <w:rsid w:val="00F85545"/>
    <w:rsid w:val="00F8581F"/>
    <w:rsid w:val="00F8589B"/>
    <w:rsid w:val="00F85902"/>
    <w:rsid w:val="00F85AB0"/>
    <w:rsid w:val="00F85C08"/>
    <w:rsid w:val="00F85CCD"/>
    <w:rsid w:val="00F85CEF"/>
    <w:rsid w:val="00F86007"/>
    <w:rsid w:val="00F86040"/>
    <w:rsid w:val="00F864E1"/>
    <w:rsid w:val="00F865A8"/>
    <w:rsid w:val="00F865B3"/>
    <w:rsid w:val="00F86682"/>
    <w:rsid w:val="00F86897"/>
    <w:rsid w:val="00F86D52"/>
    <w:rsid w:val="00F87773"/>
    <w:rsid w:val="00F87893"/>
    <w:rsid w:val="00F87975"/>
    <w:rsid w:val="00F879A3"/>
    <w:rsid w:val="00F87A23"/>
    <w:rsid w:val="00F87AD4"/>
    <w:rsid w:val="00F90020"/>
    <w:rsid w:val="00F90711"/>
    <w:rsid w:val="00F90717"/>
    <w:rsid w:val="00F9075C"/>
    <w:rsid w:val="00F90A1E"/>
    <w:rsid w:val="00F90D01"/>
    <w:rsid w:val="00F90EA1"/>
    <w:rsid w:val="00F91500"/>
    <w:rsid w:val="00F91981"/>
    <w:rsid w:val="00F91CBA"/>
    <w:rsid w:val="00F92212"/>
    <w:rsid w:val="00F92481"/>
    <w:rsid w:val="00F92876"/>
    <w:rsid w:val="00F92BA8"/>
    <w:rsid w:val="00F92FDA"/>
    <w:rsid w:val="00F930C6"/>
    <w:rsid w:val="00F934B5"/>
    <w:rsid w:val="00F93AE7"/>
    <w:rsid w:val="00F93CC4"/>
    <w:rsid w:val="00F93D1C"/>
    <w:rsid w:val="00F94507"/>
    <w:rsid w:val="00F9500E"/>
    <w:rsid w:val="00F95105"/>
    <w:rsid w:val="00F951F5"/>
    <w:rsid w:val="00F95967"/>
    <w:rsid w:val="00F95FDA"/>
    <w:rsid w:val="00F96402"/>
    <w:rsid w:val="00F96773"/>
    <w:rsid w:val="00F967D9"/>
    <w:rsid w:val="00F96C09"/>
    <w:rsid w:val="00F96D46"/>
    <w:rsid w:val="00F96FF7"/>
    <w:rsid w:val="00F97258"/>
    <w:rsid w:val="00F973FA"/>
    <w:rsid w:val="00F975BF"/>
    <w:rsid w:val="00F97798"/>
    <w:rsid w:val="00F97A71"/>
    <w:rsid w:val="00F97B39"/>
    <w:rsid w:val="00F97DD3"/>
    <w:rsid w:val="00FA0124"/>
    <w:rsid w:val="00FA0540"/>
    <w:rsid w:val="00FA06D8"/>
    <w:rsid w:val="00FA06FD"/>
    <w:rsid w:val="00FA0984"/>
    <w:rsid w:val="00FA0A4B"/>
    <w:rsid w:val="00FA0CB7"/>
    <w:rsid w:val="00FA0CDB"/>
    <w:rsid w:val="00FA16B0"/>
    <w:rsid w:val="00FA1D98"/>
    <w:rsid w:val="00FA218C"/>
    <w:rsid w:val="00FA2286"/>
    <w:rsid w:val="00FA22B2"/>
    <w:rsid w:val="00FA2545"/>
    <w:rsid w:val="00FA298F"/>
    <w:rsid w:val="00FA2AF9"/>
    <w:rsid w:val="00FA2F24"/>
    <w:rsid w:val="00FA3352"/>
    <w:rsid w:val="00FA3A5F"/>
    <w:rsid w:val="00FA4664"/>
    <w:rsid w:val="00FA4A0C"/>
    <w:rsid w:val="00FA4BF2"/>
    <w:rsid w:val="00FA5413"/>
    <w:rsid w:val="00FA58EA"/>
    <w:rsid w:val="00FA5D17"/>
    <w:rsid w:val="00FA5D20"/>
    <w:rsid w:val="00FA610D"/>
    <w:rsid w:val="00FA635F"/>
    <w:rsid w:val="00FA6440"/>
    <w:rsid w:val="00FA660E"/>
    <w:rsid w:val="00FA6933"/>
    <w:rsid w:val="00FA6DFE"/>
    <w:rsid w:val="00FA7276"/>
    <w:rsid w:val="00FA7527"/>
    <w:rsid w:val="00FA76D3"/>
    <w:rsid w:val="00FA774D"/>
    <w:rsid w:val="00FA79C7"/>
    <w:rsid w:val="00FA7CA3"/>
    <w:rsid w:val="00FA7E7E"/>
    <w:rsid w:val="00FB02A9"/>
    <w:rsid w:val="00FB05AA"/>
    <w:rsid w:val="00FB0B94"/>
    <w:rsid w:val="00FB1654"/>
    <w:rsid w:val="00FB18A9"/>
    <w:rsid w:val="00FB18B6"/>
    <w:rsid w:val="00FB19BF"/>
    <w:rsid w:val="00FB1F02"/>
    <w:rsid w:val="00FB1FC7"/>
    <w:rsid w:val="00FB2166"/>
    <w:rsid w:val="00FB21BE"/>
    <w:rsid w:val="00FB2877"/>
    <w:rsid w:val="00FB2D77"/>
    <w:rsid w:val="00FB3064"/>
    <w:rsid w:val="00FB3286"/>
    <w:rsid w:val="00FB353D"/>
    <w:rsid w:val="00FB3564"/>
    <w:rsid w:val="00FB3E2C"/>
    <w:rsid w:val="00FB4115"/>
    <w:rsid w:val="00FB44F4"/>
    <w:rsid w:val="00FB4B12"/>
    <w:rsid w:val="00FB4D31"/>
    <w:rsid w:val="00FB5306"/>
    <w:rsid w:val="00FB5569"/>
    <w:rsid w:val="00FB5CC4"/>
    <w:rsid w:val="00FB5DE9"/>
    <w:rsid w:val="00FB5E8B"/>
    <w:rsid w:val="00FB6181"/>
    <w:rsid w:val="00FB6599"/>
    <w:rsid w:val="00FB6E78"/>
    <w:rsid w:val="00FB772B"/>
    <w:rsid w:val="00FB7B31"/>
    <w:rsid w:val="00FB7D62"/>
    <w:rsid w:val="00FB7FDE"/>
    <w:rsid w:val="00FC0222"/>
    <w:rsid w:val="00FC0320"/>
    <w:rsid w:val="00FC0B7A"/>
    <w:rsid w:val="00FC0BDC"/>
    <w:rsid w:val="00FC0C82"/>
    <w:rsid w:val="00FC0F70"/>
    <w:rsid w:val="00FC1B06"/>
    <w:rsid w:val="00FC1B8C"/>
    <w:rsid w:val="00FC1B90"/>
    <w:rsid w:val="00FC1FEE"/>
    <w:rsid w:val="00FC23A6"/>
    <w:rsid w:val="00FC31FF"/>
    <w:rsid w:val="00FC33DD"/>
    <w:rsid w:val="00FC3DA9"/>
    <w:rsid w:val="00FC3EB8"/>
    <w:rsid w:val="00FC3FE4"/>
    <w:rsid w:val="00FC4311"/>
    <w:rsid w:val="00FC4440"/>
    <w:rsid w:val="00FC4E1A"/>
    <w:rsid w:val="00FC522C"/>
    <w:rsid w:val="00FC562A"/>
    <w:rsid w:val="00FC57EB"/>
    <w:rsid w:val="00FC583D"/>
    <w:rsid w:val="00FC58DF"/>
    <w:rsid w:val="00FC5A5B"/>
    <w:rsid w:val="00FC5BD6"/>
    <w:rsid w:val="00FC5D3C"/>
    <w:rsid w:val="00FC5E6A"/>
    <w:rsid w:val="00FC5ED7"/>
    <w:rsid w:val="00FC64B3"/>
    <w:rsid w:val="00FC69F7"/>
    <w:rsid w:val="00FC7255"/>
    <w:rsid w:val="00FC7A68"/>
    <w:rsid w:val="00FC7CB8"/>
    <w:rsid w:val="00FC7FAB"/>
    <w:rsid w:val="00FD05E5"/>
    <w:rsid w:val="00FD0624"/>
    <w:rsid w:val="00FD074C"/>
    <w:rsid w:val="00FD0F10"/>
    <w:rsid w:val="00FD13D2"/>
    <w:rsid w:val="00FD14AA"/>
    <w:rsid w:val="00FD1985"/>
    <w:rsid w:val="00FD1E6D"/>
    <w:rsid w:val="00FD227D"/>
    <w:rsid w:val="00FD248A"/>
    <w:rsid w:val="00FD2771"/>
    <w:rsid w:val="00FD30D5"/>
    <w:rsid w:val="00FD35EA"/>
    <w:rsid w:val="00FD3ABE"/>
    <w:rsid w:val="00FD3EAB"/>
    <w:rsid w:val="00FD3FE7"/>
    <w:rsid w:val="00FD4143"/>
    <w:rsid w:val="00FD4274"/>
    <w:rsid w:val="00FD483D"/>
    <w:rsid w:val="00FD4DE4"/>
    <w:rsid w:val="00FD4EF9"/>
    <w:rsid w:val="00FD54E1"/>
    <w:rsid w:val="00FD5E94"/>
    <w:rsid w:val="00FD6354"/>
    <w:rsid w:val="00FD64BA"/>
    <w:rsid w:val="00FD6547"/>
    <w:rsid w:val="00FD6575"/>
    <w:rsid w:val="00FD6B91"/>
    <w:rsid w:val="00FD6C0B"/>
    <w:rsid w:val="00FD6FDA"/>
    <w:rsid w:val="00FD7668"/>
    <w:rsid w:val="00FD7727"/>
    <w:rsid w:val="00FD7C0A"/>
    <w:rsid w:val="00FD7C54"/>
    <w:rsid w:val="00FD7DB7"/>
    <w:rsid w:val="00FE037B"/>
    <w:rsid w:val="00FE1129"/>
    <w:rsid w:val="00FE1598"/>
    <w:rsid w:val="00FE1E22"/>
    <w:rsid w:val="00FE20D6"/>
    <w:rsid w:val="00FE2C05"/>
    <w:rsid w:val="00FE2E39"/>
    <w:rsid w:val="00FE31DC"/>
    <w:rsid w:val="00FE3284"/>
    <w:rsid w:val="00FE3D5C"/>
    <w:rsid w:val="00FE4431"/>
    <w:rsid w:val="00FE4E81"/>
    <w:rsid w:val="00FE51B0"/>
    <w:rsid w:val="00FE5412"/>
    <w:rsid w:val="00FE57A3"/>
    <w:rsid w:val="00FE5BED"/>
    <w:rsid w:val="00FE615E"/>
    <w:rsid w:val="00FE67DB"/>
    <w:rsid w:val="00FE69ED"/>
    <w:rsid w:val="00FE6FCA"/>
    <w:rsid w:val="00FE704C"/>
    <w:rsid w:val="00FE7148"/>
    <w:rsid w:val="00FE7528"/>
    <w:rsid w:val="00FE78D6"/>
    <w:rsid w:val="00FE7991"/>
    <w:rsid w:val="00FE7FAC"/>
    <w:rsid w:val="00FF038B"/>
    <w:rsid w:val="00FF0730"/>
    <w:rsid w:val="00FF07F4"/>
    <w:rsid w:val="00FF0880"/>
    <w:rsid w:val="00FF0AEB"/>
    <w:rsid w:val="00FF0EC3"/>
    <w:rsid w:val="00FF12DF"/>
    <w:rsid w:val="00FF1726"/>
    <w:rsid w:val="00FF1794"/>
    <w:rsid w:val="00FF1992"/>
    <w:rsid w:val="00FF1B11"/>
    <w:rsid w:val="00FF1C3B"/>
    <w:rsid w:val="00FF1D42"/>
    <w:rsid w:val="00FF2077"/>
    <w:rsid w:val="00FF26A7"/>
    <w:rsid w:val="00FF278B"/>
    <w:rsid w:val="00FF2C8B"/>
    <w:rsid w:val="00FF2F18"/>
    <w:rsid w:val="00FF309D"/>
    <w:rsid w:val="00FF342F"/>
    <w:rsid w:val="00FF3436"/>
    <w:rsid w:val="00FF3652"/>
    <w:rsid w:val="00FF3D75"/>
    <w:rsid w:val="00FF3F4E"/>
    <w:rsid w:val="00FF452E"/>
    <w:rsid w:val="00FF4B39"/>
    <w:rsid w:val="00FF5311"/>
    <w:rsid w:val="00FF5ED2"/>
    <w:rsid w:val="00FF6AC5"/>
    <w:rsid w:val="00FF6E13"/>
    <w:rsid w:val="00FF6FA0"/>
    <w:rsid w:val="00FF71A1"/>
    <w:rsid w:val="00FF728D"/>
    <w:rsid w:val="00FF72E8"/>
    <w:rsid w:val="00FF74BC"/>
    <w:rsid w:val="0589E9A6"/>
    <w:rsid w:val="2EB03B76"/>
    <w:rsid w:val="2EDBA02F"/>
    <w:rsid w:val="5F18524E"/>
    <w:rsid w:val="78A4718B"/>
    <w:rsid w:val="7AEED2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7580"/>
  <w15:docId w15:val="{C250EC65-4CD5-4B7D-B1C2-6E9E22BF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99" w:unhideWhenUsed="1"/>
    <w:lsdException w:name="annotation reference" w:semiHidden="1"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 w:qFormat="1"/>
    <w:lsdException w:name="Closing" w:semiHidden="1" w:uiPriority="6"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iPriority="6"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uiPriority="6"/>
    <w:lsdException w:name="Salutation" w:semiHidden="1" w:uiPriority="6" w:unhideWhenUsed="1"/>
    <w:lsdException w:name="Date" w:semiHidden="1" w:uiPriority="6" w:unhideWhenUsed="1"/>
    <w:lsdException w:name="Body Text First Indent" w:semiHidden="1" w:uiPriority="6" w:unhideWhenUsed="1"/>
    <w:lsdException w:name="Body Text First Indent 2" w:semiHidden="1" w:uiPriority="6" w:unhideWhenUsed="1"/>
    <w:lsdException w:name="Note Heading" w:semiHidden="1" w:uiPriority="6" w:unhideWhenUsed="1"/>
    <w:lsdException w:name="Body Text 2" w:semiHidden="1" w:uiPriority="6" w:unhideWhenUsed="1"/>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99" w:unhideWhenUsed="1"/>
    <w:lsdException w:name="FollowedHyperlink" w:semiHidden="1" w:unhideWhenUsed="1"/>
    <w:lsdException w:name="Strong" w:uiPriority="6"/>
    <w:lsdException w:name="Emphasis" w:uiPriority="6"/>
    <w:lsdException w:name="Document Map" w:semiHidden="1" w:unhideWhenUsed="1"/>
    <w:lsdException w:name="Plain Text" w:semiHidden="1" w:uiPriority="6" w:unhideWhenUsed="1"/>
    <w:lsdException w:name="E-mail Signature" w:semiHidden="1" w:uiPriority="6"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6" w:unhideWhenUsed="1"/>
    <w:lsdException w:name="HTML Address" w:semiHidden="1" w:uiPriority="6" w:unhideWhenUsed="1"/>
    <w:lsdException w:name="HTML Cite" w:semiHidden="1" w:uiPriority="6" w:unhideWhenUsed="1"/>
    <w:lsdException w:name="HTML Code" w:semiHidden="1" w:uiPriority="6" w:unhideWhenUsed="1"/>
    <w:lsdException w:name="HTML Definition" w:semiHidden="1" w:uiPriority="6" w:unhideWhenUsed="1"/>
    <w:lsdException w:name="HTML Keyboard" w:semiHidden="1" w:uiPriority="6" w:unhideWhenUsed="1"/>
    <w:lsdException w:name="HTML Preformatted" w:semiHidden="1" w:uiPriority="6" w:unhideWhenUsed="1"/>
    <w:lsdException w:name="HTML Sample" w:semiHidden="1" w:uiPriority="6" w:unhideWhenUsed="1"/>
    <w:lsdException w:name="HTML Typewriter" w:semiHidden="1" w:uiPriority="6" w:unhideWhenUsed="1"/>
    <w:lsdException w:name="HTML Variable" w:semiHidden="1" w:uiPriority="6"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74A"/>
    <w:pPr>
      <w:jc w:val="both"/>
    </w:pPr>
    <w:rPr>
      <w:sz w:val="19"/>
      <w:lang w:eastAsia="en-US"/>
    </w:rPr>
  </w:style>
  <w:style w:type="paragraph" w:styleId="Heading1">
    <w:name w:val="heading 1"/>
    <w:basedOn w:val="ConvSectionTitle"/>
    <w:next w:val="Normal"/>
    <w:link w:val="Heading1Char"/>
    <w:qFormat/>
    <w:rsid w:val="000024D4"/>
  </w:style>
  <w:style w:type="paragraph" w:styleId="Heading2">
    <w:name w:val="heading 2"/>
    <w:basedOn w:val="IASBSectionTitle1NonInd"/>
    <w:next w:val="Normal"/>
    <w:link w:val="Heading2Char"/>
    <w:qFormat/>
    <w:rsid w:val="009A5E35"/>
    <w:pPr>
      <w:outlineLvl w:val="1"/>
    </w:pPr>
  </w:style>
  <w:style w:type="paragraph" w:styleId="Heading3">
    <w:name w:val="heading 3"/>
    <w:basedOn w:val="IASBSectionTitle2Ind"/>
    <w:next w:val="Normal"/>
    <w:link w:val="Heading3Char"/>
    <w:qFormat/>
    <w:rsid w:val="009A5E35"/>
    <w:pPr>
      <w:outlineLvl w:val="2"/>
    </w:pPr>
  </w:style>
  <w:style w:type="paragraph" w:styleId="Heading4">
    <w:name w:val="heading 4"/>
    <w:basedOn w:val="IASBSectionTitle3Ind"/>
    <w:next w:val="Normal"/>
    <w:link w:val="Heading4Char"/>
    <w:qFormat/>
    <w:rsid w:val="009A5E35"/>
    <w:pPr>
      <w:outlineLvl w:val="3"/>
    </w:pPr>
  </w:style>
  <w:style w:type="paragraph" w:styleId="Heading5">
    <w:name w:val="heading 5"/>
    <w:basedOn w:val="IASBSectionTitle4Ind"/>
    <w:next w:val="Normal"/>
    <w:link w:val="Heading5Char"/>
    <w:unhideWhenUsed/>
    <w:qFormat/>
    <w:rsid w:val="00C65E2B"/>
    <w:pPr>
      <w:outlineLvl w:val="4"/>
    </w:pPr>
  </w:style>
  <w:style w:type="paragraph" w:styleId="Heading6">
    <w:name w:val="heading 6"/>
    <w:basedOn w:val="Heading5"/>
    <w:next w:val="Normal"/>
    <w:link w:val="Heading6Char"/>
    <w:qFormat/>
    <w:rsid w:val="00F42DB6"/>
    <w:pPr>
      <w:keepLines w:val="0"/>
      <w:spacing w:before="100"/>
      <w:ind w:left="0"/>
      <w:outlineLvl w:val="5"/>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A5E35"/>
    <w:rPr>
      <w:rFonts w:ascii="Arial" w:hAnsi="Arial" w:cs="Arial"/>
      <w:b/>
      <w:sz w:val="22"/>
      <w:lang w:eastAsia="en-US"/>
    </w:rPr>
  </w:style>
  <w:style w:type="paragraph" w:customStyle="1" w:styleId="NumPlain1">
    <w:name w:val="Num Plain1"/>
    <w:basedOn w:val="Normal"/>
    <w:link w:val="NumPlain1Char"/>
    <w:qFormat/>
    <w:rsid w:val="00C16E2D"/>
    <w:pPr>
      <w:spacing w:after="100"/>
    </w:pPr>
  </w:style>
  <w:style w:type="paragraph" w:customStyle="1" w:styleId="NumPlain2">
    <w:name w:val="Num Plain2"/>
    <w:basedOn w:val="NumPlain1"/>
    <w:link w:val="NumPlain2Char1"/>
    <w:qFormat/>
    <w:rsid w:val="00B23B6F"/>
  </w:style>
  <w:style w:type="paragraph" w:customStyle="1" w:styleId="NumPlain3">
    <w:name w:val="Num Plain3"/>
    <w:basedOn w:val="NumPlain2"/>
    <w:link w:val="NumPlain3Char"/>
    <w:qFormat/>
    <w:rsid w:val="00B23B6F"/>
    <w:pPr>
      <w:ind w:left="2347"/>
    </w:pPr>
  </w:style>
  <w:style w:type="paragraph" w:customStyle="1" w:styleId="NoNumPlain1">
    <w:name w:val="NoNum Plain1"/>
    <w:basedOn w:val="Normal"/>
    <w:uiPriority w:val="2"/>
    <w:qFormat/>
    <w:rsid w:val="001B58FD"/>
    <w:pPr>
      <w:spacing w:after="100"/>
    </w:pPr>
  </w:style>
  <w:style w:type="paragraph" w:customStyle="1" w:styleId="NoNumPlain2">
    <w:name w:val="NoNum Plain2"/>
    <w:basedOn w:val="NoNumPlain1"/>
    <w:qFormat/>
    <w:rsid w:val="00B23B6F"/>
    <w:pPr>
      <w:ind w:left="782"/>
    </w:pPr>
  </w:style>
  <w:style w:type="paragraph" w:styleId="FootnoteText">
    <w:name w:val="footnote text"/>
    <w:aliases w:val="Footnote Text Char2,Footnote Text Char11,Footnote Text Char3,Footnote Text Char4,Footnote Text Char5,Footnote Text Char6,Footnote Text Char12,Footnote Text Char21,Footnote Text Char31,Footnote New,C,ARM footnote Text,Footnote Text Char1"/>
    <w:basedOn w:val="Normal"/>
    <w:link w:val="FootnoteTextChar"/>
    <w:autoRedefine/>
    <w:qFormat/>
    <w:rsid w:val="00504B9F"/>
    <w:pPr>
      <w:ind w:left="284" w:hanging="284"/>
    </w:pPr>
    <w:rPr>
      <w:sz w:val="16"/>
    </w:rPr>
  </w:style>
  <w:style w:type="paragraph" w:customStyle="1" w:styleId="NoNumPlain3">
    <w:name w:val="NoNum Plain3"/>
    <w:basedOn w:val="NoNumPlain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uiPriority w:val="99"/>
    <w:rsid w:val="00ED1904"/>
    <w:pPr>
      <w:tabs>
        <w:tab w:val="center" w:pos="4536"/>
        <w:tab w:val="right" w:pos="9072"/>
      </w:tabs>
    </w:pPr>
    <w:rPr>
      <w:sz w:val="20"/>
    </w:rPr>
  </w:style>
  <w:style w:type="paragraph" w:customStyle="1" w:styleId="Bullet1">
    <w:name w:val="Bullet1"/>
    <w:basedOn w:val="Normal"/>
    <w:qFormat/>
    <w:rsid w:val="00D86703"/>
    <w:pPr>
      <w:numPr>
        <w:numId w:val="2"/>
      </w:numPr>
      <w:spacing w:after="240"/>
    </w:pPr>
  </w:style>
  <w:style w:type="paragraph" w:customStyle="1" w:styleId="Bullet2">
    <w:name w:val="Bullet2"/>
    <w:basedOn w:val="Bullet1"/>
    <w:qFormat/>
    <w:rsid w:val="00D86703"/>
    <w:pPr>
      <w:numPr>
        <w:ilvl w:val="1"/>
      </w:numPr>
    </w:pPr>
  </w:style>
  <w:style w:type="paragraph" w:customStyle="1" w:styleId="Bullet3">
    <w:name w:val="Bullet3"/>
    <w:basedOn w:val="Bullet2"/>
    <w:qFormat/>
    <w:rsid w:val="00D86703"/>
    <w:pPr>
      <w:numPr>
        <w:ilvl w:val="2"/>
      </w:numPr>
    </w:pPr>
  </w:style>
  <w:style w:type="numbering" w:customStyle="1" w:styleId="AASBNumbers">
    <w:name w:val="AASB Numbers"/>
    <w:uiPriority w:val="99"/>
    <w:rsid w:val="004178D3"/>
    <w:pPr>
      <w:numPr>
        <w:numId w:val="14"/>
      </w:numPr>
    </w:pPr>
  </w:style>
  <w:style w:type="numbering" w:customStyle="1" w:styleId="AASBBullets">
    <w:name w:val="AASB Bullets"/>
    <w:uiPriority w:val="99"/>
    <w:rsid w:val="00404FB0"/>
    <w:pPr>
      <w:numPr>
        <w:numId w:val="1"/>
      </w:numPr>
    </w:pPr>
  </w:style>
  <w:style w:type="paragraph" w:customStyle="1" w:styleId="TableHeading">
    <w:name w:val="TableHeading"/>
    <w:basedOn w:val="Normal"/>
    <w:uiPriority w:val="5"/>
    <w:qFormat/>
    <w:rsid w:val="002B7440"/>
    <w:pPr>
      <w:spacing w:before="60" w:after="60"/>
    </w:pPr>
    <w:rPr>
      <w:b/>
      <w:szCs w:val="24"/>
      <w:lang w:eastAsia="en-AU"/>
    </w:rPr>
  </w:style>
  <w:style w:type="paragraph" w:customStyle="1" w:styleId="TableRow">
    <w:name w:val="TableRow"/>
    <w:basedOn w:val="Normal"/>
    <w:uiPriority w:val="5"/>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link w:val="ListParagraphChar"/>
    <w:uiPriority w:val="34"/>
    <w:qFormat/>
    <w:rsid w:val="000914BB"/>
    <w:pPr>
      <w:numPr>
        <w:numId w:val="51"/>
      </w:numPr>
      <w:spacing w:after="100"/>
      <w:jc w:val="left"/>
    </w:pPr>
  </w:style>
  <w:style w:type="paragraph" w:customStyle="1" w:styleId="TableCaption">
    <w:name w:val="TableCaption"/>
    <w:basedOn w:val="Normal"/>
    <w:next w:val="Normal"/>
    <w:uiPriority w:val="5"/>
    <w:qFormat/>
    <w:rsid w:val="006A1562"/>
    <w:pPr>
      <w:keepNext/>
      <w:spacing w:after="120"/>
    </w:pPr>
    <w:rPr>
      <w:b/>
    </w:rPr>
  </w:style>
  <w:style w:type="paragraph" w:styleId="NormalWeb">
    <w:name w:val="Normal (Web)"/>
    <w:basedOn w:val="Normal"/>
    <w:uiPriority w:val="99"/>
    <w:semiHidden/>
    <w:rsid w:val="00804BFA"/>
    <w:rPr>
      <w:szCs w:val="24"/>
    </w:rPr>
  </w:style>
  <w:style w:type="paragraph" w:customStyle="1" w:styleId="NoNumBold1">
    <w:name w:val="NoNum Bold1"/>
    <w:basedOn w:val="NoNumPlain1"/>
    <w:qFormat/>
    <w:rsid w:val="00C51A79"/>
    <w:rPr>
      <w:b/>
    </w:rPr>
  </w:style>
  <w:style w:type="paragraph" w:customStyle="1" w:styleId="NoNumBold2">
    <w:name w:val="NoNum Bold2"/>
    <w:basedOn w:val="NoNumPlain2"/>
    <w:qFormat/>
    <w:rsid w:val="00C51A79"/>
    <w:rPr>
      <w:b/>
    </w:rPr>
  </w:style>
  <w:style w:type="paragraph" w:customStyle="1" w:styleId="NoNumBold3">
    <w:name w:val="NoNum Bold3"/>
    <w:basedOn w:val="NoNumPlain3"/>
    <w:qFormat/>
    <w:rsid w:val="004B05E9"/>
    <w:rPr>
      <w:b/>
    </w:rPr>
  </w:style>
  <w:style w:type="paragraph" w:customStyle="1" w:styleId="NumBold1">
    <w:name w:val="Num Bold1"/>
    <w:basedOn w:val="NumPlain1"/>
    <w:qFormat/>
    <w:rsid w:val="00B43EDE"/>
    <w:rPr>
      <w:rFonts w:ascii="Times New Roman Bold" w:hAnsi="Times New Roman Bold"/>
      <w:b/>
    </w:rPr>
  </w:style>
  <w:style w:type="paragraph" w:customStyle="1" w:styleId="NumBold2">
    <w:name w:val="Num Bold2"/>
    <w:basedOn w:val="NumPlain2"/>
    <w:qFormat/>
    <w:rsid w:val="007E6CB8"/>
    <w:rPr>
      <w:b/>
    </w:rPr>
  </w:style>
  <w:style w:type="paragraph" w:customStyle="1" w:styleId="NumBold3">
    <w:name w:val="Num Bold3"/>
    <w:basedOn w:val="NumPlain3"/>
    <w:qFormat/>
    <w:rsid w:val="004B05E9"/>
    <w:rPr>
      <w:b/>
    </w:rPr>
  </w:style>
  <w:style w:type="paragraph" w:styleId="Title">
    <w:name w:val="Title"/>
    <w:basedOn w:val="Normal"/>
    <w:next w:val="Normal"/>
    <w:link w:val="TitleChar"/>
    <w:uiPriority w:val="4"/>
    <w:qFormat/>
    <w:rsid w:val="004B05E9"/>
    <w:pPr>
      <w:keepNext/>
      <w:spacing w:after="240"/>
    </w:pPr>
    <w:rPr>
      <w:rFonts w:eastAsiaTheme="majorEastAsia" w:cstheme="majorBidi"/>
      <w:b/>
      <w:sz w:val="28"/>
      <w:szCs w:val="52"/>
    </w:rPr>
  </w:style>
  <w:style w:type="character" w:customStyle="1" w:styleId="TitleChar">
    <w:name w:val="Title Char"/>
    <w:basedOn w:val="DefaultParagraphFont"/>
    <w:link w:val="Title"/>
    <w:uiPriority w:val="4"/>
    <w:rsid w:val="004B05E9"/>
    <w:rPr>
      <w:rFonts w:eastAsiaTheme="majorEastAsia" w:cstheme="majorBidi"/>
      <w:b/>
      <w:sz w:val="28"/>
      <w:szCs w:val="52"/>
      <w:lang w:eastAsia="en-US"/>
    </w:rPr>
  </w:style>
  <w:style w:type="paragraph" w:customStyle="1" w:styleId="IASBNormal">
    <w:name w:val="IASB Normal"/>
    <w:link w:val="IASBNormalChar"/>
    <w:uiPriority w:val="8"/>
    <w:rsid w:val="00773F4F"/>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8"/>
    <w:qFormat/>
    <w:rsid w:val="00773F4F"/>
    <w:pPr>
      <w:tabs>
        <w:tab w:val="clear" w:pos="4253"/>
      </w:tabs>
      <w:spacing w:after="0"/>
      <w:ind w:left="782" w:hanging="782"/>
    </w:pPr>
  </w:style>
  <w:style w:type="paragraph" w:customStyle="1" w:styleId="IASBSectionTitle1NonInd">
    <w:name w:val="IASB Section Title 1 NonInd"/>
    <w:basedOn w:val="Normal"/>
    <w:link w:val="IASBSectionTitle1NonIndChar"/>
    <w:uiPriority w:val="8"/>
    <w:rsid w:val="003E5A7E"/>
    <w:pPr>
      <w:keepNext/>
      <w:keepLines/>
      <w:pBdr>
        <w:bottom w:val="single" w:sz="4" w:space="0" w:color="auto"/>
      </w:pBdr>
      <w:spacing w:before="400" w:after="200"/>
      <w:jc w:val="left"/>
      <w:outlineLvl w:val="0"/>
    </w:pPr>
    <w:rPr>
      <w:rFonts w:ascii="Arial" w:hAnsi="Arial" w:cs="Arial"/>
      <w:b/>
      <w:sz w:val="26"/>
    </w:rPr>
  </w:style>
  <w:style w:type="paragraph" w:customStyle="1" w:styleId="IASBSectionTitle2NonInd">
    <w:name w:val="IASB Section Title 2 NonInd"/>
    <w:basedOn w:val="Normal"/>
    <w:uiPriority w:val="8"/>
    <w:rsid w:val="003E5A7E"/>
    <w:pPr>
      <w:keepNext/>
      <w:keepLines/>
      <w:spacing w:before="300" w:after="200"/>
      <w:jc w:val="left"/>
      <w:outlineLvl w:val="1"/>
    </w:pPr>
    <w:rPr>
      <w:rFonts w:ascii="Arial" w:hAnsi="Arial" w:cs="Arial"/>
      <w:b/>
      <w:sz w:val="26"/>
    </w:rPr>
  </w:style>
  <w:style w:type="paragraph" w:customStyle="1" w:styleId="IASBSectionTitle2Ind">
    <w:name w:val="IASB Section Title 2 Ind"/>
    <w:basedOn w:val="IASBSectionTitle2NonInd"/>
    <w:rsid w:val="00773F4F"/>
    <w:pPr>
      <w:spacing w:before="240"/>
      <w:ind w:left="782"/>
    </w:pPr>
  </w:style>
  <w:style w:type="paragraph" w:customStyle="1" w:styleId="IASBNote">
    <w:name w:val="IASB Note"/>
    <w:basedOn w:val="IASBNormal"/>
    <w:uiPriority w:val="8"/>
    <w:rsid w:val="00773F4F"/>
    <w:rPr>
      <w:i/>
    </w:rPr>
  </w:style>
  <w:style w:type="character" w:customStyle="1" w:styleId="HeaderChar">
    <w:name w:val="Header Char"/>
    <w:link w:val="Header"/>
    <w:uiPriority w:val="99"/>
    <w:rsid w:val="00773F4F"/>
    <w:rPr>
      <w:lang w:eastAsia="en-US"/>
    </w:rPr>
  </w:style>
  <w:style w:type="character" w:customStyle="1" w:styleId="FooterChar">
    <w:name w:val="Footer Char"/>
    <w:link w:val="Footer"/>
    <w:uiPriority w:val="99"/>
    <w:rsid w:val="00773F4F"/>
    <w:rPr>
      <w:lang w:eastAsia="en-US"/>
    </w:rPr>
  </w:style>
  <w:style w:type="paragraph" w:customStyle="1" w:styleId="IASBNormalL1P">
    <w:name w:val="IASB Normal L1P"/>
    <w:basedOn w:val="Normal"/>
    <w:uiPriority w:val="8"/>
    <w:qFormat/>
    <w:rsid w:val="00773F4F"/>
    <w:pPr>
      <w:spacing w:before="100"/>
      <w:ind w:left="782"/>
    </w:pPr>
  </w:style>
  <w:style w:type="paragraph" w:customStyle="1" w:styleId="IASBTableTNR">
    <w:name w:val="IASB Table TNR"/>
    <w:basedOn w:val="Normal"/>
    <w:uiPriority w:val="8"/>
    <w:qFormat/>
    <w:rsid w:val="00773F4F"/>
    <w:pPr>
      <w:spacing w:before="120"/>
    </w:pPr>
    <w:rPr>
      <w:lang w:eastAsia="en-GB"/>
    </w:rPr>
  </w:style>
  <w:style w:type="paragraph" w:customStyle="1" w:styleId="ConvSectionTitle">
    <w:name w:val="Conv Section Title"/>
    <w:basedOn w:val="IASBSectionTitle1NonInd"/>
    <w:uiPriority w:val="9"/>
    <w:qFormat/>
    <w:rsid w:val="00E24A7B"/>
    <w:pPr>
      <w:pBdr>
        <w:bottom w:val="none" w:sz="0" w:space="0" w:color="auto"/>
      </w:pBdr>
    </w:pPr>
  </w:style>
  <w:style w:type="paragraph" w:customStyle="1" w:styleId="ConvStandardTitle1">
    <w:name w:val="Conv Standard Title 1"/>
    <w:basedOn w:val="Normal"/>
    <w:next w:val="ConvStandardTitle2"/>
    <w:uiPriority w:val="9"/>
    <w:qFormat/>
    <w:rsid w:val="00773F4F"/>
    <w:pPr>
      <w:spacing w:before="300"/>
    </w:pPr>
    <w:rPr>
      <w:rFonts w:ascii="Arial" w:hAnsi="Arial"/>
      <w:b/>
      <w:sz w:val="26"/>
      <w:szCs w:val="24"/>
    </w:rPr>
  </w:style>
  <w:style w:type="paragraph" w:customStyle="1" w:styleId="ConvStandardTitle2">
    <w:name w:val="Conv Standard Title2"/>
    <w:basedOn w:val="ConvStandardTitle1"/>
    <w:uiPriority w:val="9"/>
    <w:qFormat/>
    <w:rsid w:val="00773F4F"/>
    <w:pPr>
      <w:spacing w:before="0" w:after="200"/>
    </w:pPr>
    <w:rPr>
      <w:i/>
    </w:rPr>
  </w:style>
  <w:style w:type="paragraph" w:customStyle="1" w:styleId="AASBBase">
    <w:name w:val="AASB Base"/>
    <w:qFormat/>
    <w:rsid w:val="00773F4F"/>
    <w:pPr>
      <w:jc w:val="both"/>
    </w:pPr>
    <w:rPr>
      <w:sz w:val="19"/>
      <w:lang w:eastAsia="en-US"/>
    </w:rPr>
  </w:style>
  <w:style w:type="paragraph" w:customStyle="1" w:styleId="AASBPara">
    <w:name w:val="AASB Para"/>
    <w:basedOn w:val="AASBBase"/>
    <w:qFormat/>
    <w:rsid w:val="00773F4F"/>
    <w:pPr>
      <w:spacing w:after="200"/>
    </w:pPr>
  </w:style>
  <w:style w:type="paragraph" w:customStyle="1" w:styleId="AASBStandardCover">
    <w:name w:val="AASB Standard Cover"/>
    <w:semiHidden/>
    <w:qFormat/>
    <w:rsid w:val="00773F4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73F4F"/>
    <w:pPr>
      <w:jc w:val="right"/>
    </w:pPr>
    <w:rPr>
      <w:b w:val="0"/>
      <w:sz w:val="24"/>
    </w:rPr>
  </w:style>
  <w:style w:type="paragraph" w:customStyle="1" w:styleId="AASBStandardNumber">
    <w:name w:val="AASB Standard Number"/>
    <w:basedOn w:val="AASBStandardCover"/>
    <w:semiHidden/>
    <w:qFormat/>
    <w:rsid w:val="00773F4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73F4F"/>
    <w:pPr>
      <w:spacing w:before="800"/>
    </w:pPr>
    <w:rPr>
      <w:b w:val="0"/>
      <w:sz w:val="50"/>
    </w:rPr>
  </w:style>
  <w:style w:type="table" w:styleId="TableGrid">
    <w:name w:val="Table Grid"/>
    <w:basedOn w:val="TableNormal"/>
    <w:rsid w:val="00773F4F"/>
    <w:tblPr/>
  </w:style>
  <w:style w:type="paragraph" w:customStyle="1" w:styleId="ContentsHeading">
    <w:name w:val="Contents Heading"/>
    <w:basedOn w:val="AASBBase"/>
    <w:next w:val="ContentsLevel1"/>
    <w:qFormat/>
    <w:rsid w:val="00773F4F"/>
    <w:pPr>
      <w:spacing w:after="60"/>
      <w:jc w:val="right"/>
    </w:pPr>
    <w:rPr>
      <w:i/>
    </w:rPr>
  </w:style>
  <w:style w:type="paragraph" w:customStyle="1" w:styleId="ContentsLevel1">
    <w:name w:val="Contents Level1"/>
    <w:basedOn w:val="AASBBase"/>
    <w:qFormat/>
    <w:rsid w:val="00773F4F"/>
    <w:pPr>
      <w:tabs>
        <w:tab w:val="right" w:pos="9027"/>
      </w:tabs>
      <w:spacing w:after="60"/>
      <w:ind w:right="1134"/>
    </w:pPr>
    <w:rPr>
      <w:b/>
      <w:caps/>
    </w:rPr>
  </w:style>
  <w:style w:type="character" w:styleId="CommentReference">
    <w:name w:val="annotation reference"/>
    <w:basedOn w:val="DefaultParagraphFont"/>
    <w:unhideWhenUsed/>
    <w:rsid w:val="00773F4F"/>
    <w:rPr>
      <w:sz w:val="16"/>
      <w:szCs w:val="16"/>
    </w:rPr>
  </w:style>
  <w:style w:type="paragraph" w:styleId="CommentText">
    <w:name w:val="annotation text"/>
    <w:basedOn w:val="Normal"/>
    <w:link w:val="CommentTextChar"/>
    <w:unhideWhenUsed/>
    <w:rsid w:val="00773F4F"/>
    <w:rPr>
      <w:sz w:val="20"/>
    </w:rPr>
  </w:style>
  <w:style w:type="character" w:customStyle="1" w:styleId="CommentTextChar">
    <w:name w:val="Comment Text Char"/>
    <w:basedOn w:val="DefaultParagraphFont"/>
    <w:link w:val="CommentText"/>
    <w:rsid w:val="00773F4F"/>
    <w:rPr>
      <w:lang w:eastAsia="en-US"/>
    </w:rPr>
  </w:style>
  <w:style w:type="paragraph" w:styleId="BalloonText">
    <w:name w:val="Balloon Text"/>
    <w:basedOn w:val="Normal"/>
    <w:link w:val="BalloonTextChar"/>
    <w:rsid w:val="00773F4F"/>
    <w:rPr>
      <w:rFonts w:ascii="Tahoma" w:hAnsi="Tahoma" w:cs="Tahoma"/>
      <w:sz w:val="16"/>
      <w:szCs w:val="16"/>
    </w:rPr>
  </w:style>
  <w:style w:type="character" w:customStyle="1" w:styleId="BalloonTextChar">
    <w:name w:val="Balloon Text Char"/>
    <w:basedOn w:val="DefaultParagraphFont"/>
    <w:link w:val="BalloonText"/>
    <w:rsid w:val="00773F4F"/>
    <w:rPr>
      <w:rFonts w:ascii="Tahoma" w:hAnsi="Tahoma" w:cs="Tahoma"/>
      <w:sz w:val="16"/>
      <w:szCs w:val="16"/>
      <w:lang w:eastAsia="en-US"/>
    </w:rPr>
  </w:style>
  <w:style w:type="paragraph" w:customStyle="1" w:styleId="AppendixBPara">
    <w:name w:val="AppendixB Para"/>
    <w:basedOn w:val="IASBNormalnpara"/>
    <w:link w:val="AppendixBParaChar"/>
    <w:qFormat/>
    <w:rsid w:val="008942BC"/>
    <w:pPr>
      <w:numPr>
        <w:numId w:val="3"/>
      </w:numPr>
      <w:ind w:left="782" w:hanging="782"/>
    </w:pPr>
  </w:style>
  <w:style w:type="character" w:customStyle="1" w:styleId="IASBNormalChar">
    <w:name w:val="IASB Normal Char"/>
    <w:basedOn w:val="DefaultParagraphFont"/>
    <w:link w:val="IASBNormal"/>
    <w:uiPriority w:val="8"/>
    <w:rsid w:val="008942BC"/>
    <w:rPr>
      <w:sz w:val="19"/>
      <w:lang w:eastAsia="en-US"/>
    </w:rPr>
  </w:style>
  <w:style w:type="character" w:customStyle="1" w:styleId="IASBNormalnparaChar">
    <w:name w:val="IASB Normal npara Char"/>
    <w:basedOn w:val="IASBNormalChar"/>
    <w:link w:val="IASBNormalnpara"/>
    <w:uiPriority w:val="8"/>
    <w:rsid w:val="008942BC"/>
    <w:rPr>
      <w:sz w:val="19"/>
      <w:lang w:eastAsia="en-US"/>
    </w:rPr>
  </w:style>
  <w:style w:type="character" w:customStyle="1" w:styleId="AppendixBParaChar">
    <w:name w:val="AppendixB Para Char"/>
    <w:basedOn w:val="IASBNormalnparaChar"/>
    <w:link w:val="AppendixBPara"/>
    <w:rsid w:val="008942BC"/>
    <w:rPr>
      <w:sz w:val="19"/>
      <w:lang w:eastAsia="en-US"/>
    </w:rPr>
  </w:style>
  <w:style w:type="character" w:customStyle="1" w:styleId="NumPlain1Char">
    <w:name w:val="Num Plain1 Char"/>
    <w:basedOn w:val="DefaultParagraphFont"/>
    <w:link w:val="NumPlain1"/>
    <w:locked/>
    <w:rsid w:val="00C16E2D"/>
    <w:rPr>
      <w:sz w:val="19"/>
      <w:lang w:eastAsia="en-US"/>
    </w:rPr>
  </w:style>
  <w:style w:type="paragraph" w:customStyle="1" w:styleId="NumPlain4">
    <w:name w:val="Num Plain4"/>
    <w:basedOn w:val="NumPlain3"/>
    <w:rsid w:val="00394379"/>
    <w:pPr>
      <w:tabs>
        <w:tab w:val="num" w:pos="360"/>
      </w:tabs>
      <w:spacing w:after="200" w:line="200" w:lineRule="exact"/>
      <w:ind w:left="2041" w:hanging="510"/>
    </w:pPr>
    <w:rPr>
      <w:sz w:val="20"/>
    </w:rPr>
  </w:style>
  <w:style w:type="paragraph" w:customStyle="1" w:styleId="AppendixNo">
    <w:name w:val="AppendixNo"/>
    <w:basedOn w:val="Normal"/>
    <w:next w:val="Normal"/>
    <w:link w:val="AppendixNoChar"/>
    <w:rsid w:val="00A16D14"/>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16D14"/>
    <w:rPr>
      <w:b/>
      <w:caps/>
      <w:sz w:val="28"/>
      <w:szCs w:val="28"/>
      <w:lang w:eastAsia="en-US"/>
    </w:rPr>
  </w:style>
  <w:style w:type="paragraph" w:customStyle="1" w:styleId="AppendixTitle">
    <w:name w:val="AppendixTitle"/>
    <w:basedOn w:val="Normal"/>
    <w:next w:val="AppendixNote"/>
    <w:rsid w:val="00A16D14"/>
    <w:pPr>
      <w:keepNext/>
      <w:spacing w:after="200" w:line="280" w:lineRule="exact"/>
      <w:jc w:val="center"/>
      <w:outlineLvl w:val="0"/>
    </w:pPr>
    <w:rPr>
      <w:b/>
      <w:caps/>
      <w:sz w:val="28"/>
      <w:szCs w:val="28"/>
    </w:rPr>
  </w:style>
  <w:style w:type="paragraph" w:customStyle="1" w:styleId="AppendixNote">
    <w:name w:val="AppendixNote"/>
    <w:basedOn w:val="Normal"/>
    <w:next w:val="Normal"/>
    <w:rsid w:val="00A16D14"/>
    <w:pPr>
      <w:spacing w:after="200" w:line="200" w:lineRule="exact"/>
    </w:pPr>
    <w:rPr>
      <w:i/>
      <w:iCs/>
      <w:sz w:val="20"/>
    </w:rPr>
  </w:style>
  <w:style w:type="paragraph" w:customStyle="1" w:styleId="AppendixText">
    <w:name w:val="AppendixText"/>
    <w:basedOn w:val="Normal"/>
    <w:rsid w:val="00A16D14"/>
    <w:pPr>
      <w:spacing w:after="200" w:line="200" w:lineRule="exact"/>
    </w:pPr>
    <w:rPr>
      <w:sz w:val="20"/>
    </w:rPr>
  </w:style>
  <w:style w:type="paragraph" w:customStyle="1" w:styleId="NumberedList">
    <w:name w:val="NumberedList"/>
    <w:basedOn w:val="Normal"/>
    <w:qFormat/>
    <w:rsid w:val="00A16D14"/>
    <w:pPr>
      <w:numPr>
        <w:numId w:val="4"/>
      </w:numPr>
      <w:spacing w:before="100" w:after="100"/>
    </w:pPr>
  </w:style>
  <w:style w:type="character" w:customStyle="1" w:styleId="NumPlain3Char">
    <w:name w:val="Num Plain3 Char"/>
    <w:basedOn w:val="DefaultParagraphFont"/>
    <w:link w:val="NumPlain3"/>
    <w:locked/>
    <w:rsid w:val="00B23B6F"/>
    <w:rPr>
      <w:sz w:val="19"/>
      <w:lang w:eastAsia="en-US"/>
    </w:rPr>
  </w:style>
  <w:style w:type="character" w:customStyle="1" w:styleId="NumPlain2Char1">
    <w:name w:val="Num Plain2 Char1"/>
    <w:basedOn w:val="DefaultParagraphFont"/>
    <w:link w:val="NumPlain2"/>
    <w:locked/>
    <w:rsid w:val="00B23B6F"/>
    <w:rPr>
      <w:sz w:val="19"/>
      <w:lang w:eastAsia="en-US"/>
    </w:rPr>
  </w:style>
  <w:style w:type="paragraph" w:customStyle="1" w:styleId="IASBSectionTitle3Ind">
    <w:name w:val="IASB Section Title 3 Ind"/>
    <w:basedOn w:val="Normal"/>
    <w:uiPriority w:val="8"/>
    <w:qFormat/>
    <w:rsid w:val="003E5A7E"/>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E5A7E"/>
    <w:pPr>
      <w:keepNext/>
      <w:keepLines/>
      <w:spacing w:before="300" w:after="200"/>
      <w:ind w:left="782"/>
      <w:jc w:val="left"/>
      <w:outlineLvl w:val="3"/>
    </w:pPr>
    <w:rPr>
      <w:rFonts w:ascii="Arial" w:hAnsi="Arial" w:cs="Arial"/>
      <w:i/>
      <w:sz w:val="22"/>
    </w:rPr>
  </w:style>
  <w:style w:type="paragraph" w:customStyle="1" w:styleId="NumBPlain1">
    <w:name w:val="Num B Plain 1"/>
    <w:basedOn w:val="Normal"/>
    <w:qFormat/>
    <w:rsid w:val="004E18FD"/>
    <w:pPr>
      <w:numPr>
        <w:numId w:val="5"/>
      </w:numPr>
      <w:spacing w:after="100"/>
    </w:pPr>
  </w:style>
  <w:style w:type="paragraph" w:customStyle="1" w:styleId="NumBPlain2">
    <w:name w:val="Num B Plain 2"/>
    <w:basedOn w:val="NumBPlain1"/>
    <w:qFormat/>
    <w:rsid w:val="0029638A"/>
    <w:pPr>
      <w:numPr>
        <w:ilvl w:val="1"/>
      </w:numPr>
      <w:ind w:left="1564" w:hanging="782"/>
    </w:pPr>
  </w:style>
  <w:style w:type="paragraph" w:customStyle="1" w:styleId="NumBPlain3">
    <w:name w:val="Num B Plain 3"/>
    <w:basedOn w:val="NumBPlain2"/>
    <w:qFormat/>
    <w:rsid w:val="0029638A"/>
    <w:pPr>
      <w:numPr>
        <w:ilvl w:val="2"/>
      </w:numPr>
      <w:ind w:left="2347" w:hanging="782"/>
    </w:pPr>
  </w:style>
  <w:style w:type="paragraph" w:customStyle="1" w:styleId="NumAG1">
    <w:name w:val="Num AG1"/>
    <w:basedOn w:val="Normal"/>
    <w:qFormat/>
    <w:rsid w:val="001B347D"/>
    <w:pPr>
      <w:tabs>
        <w:tab w:val="num" w:pos="624"/>
      </w:tabs>
      <w:spacing w:after="200" w:line="200" w:lineRule="exact"/>
      <w:ind w:left="624" w:hanging="624"/>
    </w:pPr>
    <w:rPr>
      <w:sz w:val="20"/>
    </w:rPr>
  </w:style>
  <w:style w:type="paragraph" w:customStyle="1" w:styleId="NumAG2">
    <w:name w:val="Num AG2"/>
    <w:basedOn w:val="Normal"/>
    <w:rsid w:val="001B347D"/>
    <w:pPr>
      <w:tabs>
        <w:tab w:val="num" w:pos="1247"/>
      </w:tabs>
      <w:spacing w:after="200" w:line="200" w:lineRule="exact"/>
      <w:ind w:left="1247" w:hanging="623"/>
    </w:pPr>
    <w:rPr>
      <w:sz w:val="20"/>
    </w:rPr>
  </w:style>
  <w:style w:type="paragraph" w:customStyle="1" w:styleId="NumAG3">
    <w:name w:val="Num AG3"/>
    <w:basedOn w:val="Normal"/>
    <w:rsid w:val="001B347D"/>
    <w:pPr>
      <w:tabs>
        <w:tab w:val="num" w:pos="1871"/>
      </w:tabs>
      <w:spacing w:after="200" w:line="200" w:lineRule="exact"/>
      <w:ind w:left="1871" w:hanging="624"/>
    </w:pPr>
    <w:rPr>
      <w:sz w:val="20"/>
    </w:rPr>
  </w:style>
  <w:style w:type="paragraph" w:customStyle="1" w:styleId="NumAG4">
    <w:name w:val="Num AG4"/>
    <w:basedOn w:val="Normal"/>
    <w:rsid w:val="001B347D"/>
    <w:pPr>
      <w:tabs>
        <w:tab w:val="num" w:pos="2495"/>
      </w:tabs>
      <w:spacing w:after="200" w:line="200" w:lineRule="exact"/>
      <w:ind w:left="2495" w:hanging="624"/>
    </w:pPr>
    <w:rPr>
      <w:sz w:val="20"/>
    </w:rPr>
  </w:style>
  <w:style w:type="character" w:styleId="FootnoteReference">
    <w:name w:val="footnote reference"/>
    <w:basedOn w:val="DefaultParagraphFont"/>
    <w:uiPriority w:val="99"/>
    <w:rsid w:val="00714E0A"/>
    <w:rPr>
      <w:vertAlign w:val="superscript"/>
    </w:rPr>
  </w:style>
  <w:style w:type="paragraph" w:customStyle="1" w:styleId="NumCPlain1">
    <w:name w:val="Num C Plain 1"/>
    <w:basedOn w:val="Normal"/>
    <w:qFormat/>
    <w:rsid w:val="004E18FD"/>
    <w:pPr>
      <w:numPr>
        <w:numId w:val="6"/>
      </w:numPr>
      <w:spacing w:after="100"/>
    </w:pPr>
  </w:style>
  <w:style w:type="paragraph" w:customStyle="1" w:styleId="NumCPlain2">
    <w:name w:val="Num C Plain 2"/>
    <w:basedOn w:val="NumCPlain1"/>
    <w:qFormat/>
    <w:rsid w:val="007C205F"/>
    <w:pPr>
      <w:numPr>
        <w:ilvl w:val="1"/>
      </w:numPr>
      <w:ind w:left="1491" w:hanging="709"/>
    </w:pPr>
  </w:style>
  <w:style w:type="paragraph" w:customStyle="1" w:styleId="NumCPlain3">
    <w:name w:val="Num C Plain 3"/>
    <w:basedOn w:val="NumCPlain2"/>
    <w:qFormat/>
    <w:rsid w:val="00746228"/>
    <w:pPr>
      <w:numPr>
        <w:ilvl w:val="2"/>
      </w:numPr>
      <w:ind w:left="2347" w:hanging="782"/>
    </w:pPr>
  </w:style>
  <w:style w:type="paragraph" w:customStyle="1" w:styleId="NumDPlain1">
    <w:name w:val="Num D Plain 1"/>
    <w:basedOn w:val="Normal"/>
    <w:qFormat/>
    <w:rsid w:val="00EB316B"/>
    <w:pPr>
      <w:numPr>
        <w:numId w:val="7"/>
      </w:numPr>
      <w:spacing w:after="240"/>
    </w:pPr>
  </w:style>
  <w:style w:type="paragraph" w:customStyle="1" w:styleId="NumDPlain2">
    <w:name w:val="Num D Plain 2"/>
    <w:basedOn w:val="NumDPlain1"/>
    <w:qFormat/>
    <w:rsid w:val="00AD3955"/>
    <w:pPr>
      <w:numPr>
        <w:ilvl w:val="1"/>
      </w:numPr>
      <w:ind w:left="1564" w:hanging="782"/>
    </w:pPr>
  </w:style>
  <w:style w:type="paragraph" w:customStyle="1" w:styleId="NumDPlain3">
    <w:name w:val="Num D Plain 3"/>
    <w:basedOn w:val="NumDPlain2"/>
    <w:qFormat/>
    <w:rsid w:val="00AD3955"/>
    <w:pPr>
      <w:numPr>
        <w:ilvl w:val="2"/>
      </w:numPr>
      <w:ind w:left="2347" w:hanging="782"/>
    </w:pPr>
  </w:style>
  <w:style w:type="paragraph" w:customStyle="1" w:styleId="DLevel1">
    <w:name w:val="DLevel 1"/>
    <w:basedOn w:val="Normal"/>
    <w:uiPriority w:val="1"/>
    <w:qFormat/>
    <w:rsid w:val="00AD3955"/>
    <w:pPr>
      <w:numPr>
        <w:numId w:val="9"/>
      </w:numPr>
      <w:spacing w:after="200" w:line="200" w:lineRule="exact"/>
    </w:pPr>
    <w:rPr>
      <w:sz w:val="20"/>
    </w:rPr>
  </w:style>
  <w:style w:type="paragraph" w:customStyle="1" w:styleId="DLevel2">
    <w:name w:val="DLevel 2"/>
    <w:basedOn w:val="Normal"/>
    <w:uiPriority w:val="1"/>
    <w:qFormat/>
    <w:rsid w:val="00AD3955"/>
    <w:pPr>
      <w:numPr>
        <w:ilvl w:val="1"/>
        <w:numId w:val="9"/>
      </w:numPr>
      <w:spacing w:after="200" w:line="200" w:lineRule="exact"/>
    </w:pPr>
    <w:rPr>
      <w:sz w:val="20"/>
    </w:rPr>
  </w:style>
  <w:style w:type="paragraph" w:customStyle="1" w:styleId="DLevel3">
    <w:name w:val="DLevel 3"/>
    <w:basedOn w:val="Normal"/>
    <w:uiPriority w:val="1"/>
    <w:qFormat/>
    <w:rsid w:val="00AD3955"/>
    <w:pPr>
      <w:numPr>
        <w:ilvl w:val="2"/>
        <w:numId w:val="9"/>
      </w:numPr>
      <w:spacing w:after="200" w:line="200" w:lineRule="exact"/>
    </w:pPr>
    <w:rPr>
      <w:sz w:val="20"/>
    </w:rPr>
  </w:style>
  <w:style w:type="numbering" w:customStyle="1" w:styleId="DNos">
    <w:name w:val="DNos"/>
    <w:rsid w:val="00AD3955"/>
    <w:pPr>
      <w:numPr>
        <w:numId w:val="8"/>
      </w:numPr>
    </w:pPr>
  </w:style>
  <w:style w:type="paragraph" w:customStyle="1" w:styleId="IASBSectionTitle1NonIndNoLine">
    <w:name w:val="IASB Section Title 1 NonInd NoLine"/>
    <w:basedOn w:val="IASBSectionTitle1NonInd"/>
    <w:link w:val="IASBSectionTitle1NonIndNoLineChar"/>
    <w:qFormat/>
    <w:rsid w:val="00AD3955"/>
    <w:pPr>
      <w:pBdr>
        <w:bottom w:val="none" w:sz="0" w:space="0" w:color="auto"/>
      </w:pBdr>
    </w:pPr>
  </w:style>
  <w:style w:type="paragraph" w:customStyle="1" w:styleId="PlainNumHang1">
    <w:name w:val="Plain Num Hang 1"/>
    <w:basedOn w:val="Normal"/>
    <w:qFormat/>
    <w:rsid w:val="00AD3955"/>
    <w:pPr>
      <w:spacing w:after="240"/>
      <w:ind w:left="782" w:hanging="782"/>
    </w:pPr>
  </w:style>
  <w:style w:type="character" w:customStyle="1" w:styleId="IASBSectionTitle1NonIndChar">
    <w:name w:val="IASB Section Title 1 NonInd Char"/>
    <w:basedOn w:val="DefaultParagraphFont"/>
    <w:link w:val="IASBSectionTitle1NonInd"/>
    <w:uiPriority w:val="8"/>
    <w:rsid w:val="003E5A7E"/>
    <w:rPr>
      <w:rFonts w:ascii="Arial" w:hAnsi="Arial" w:cs="Arial"/>
      <w:b/>
      <w:sz w:val="26"/>
      <w:lang w:eastAsia="en-US"/>
    </w:rPr>
  </w:style>
  <w:style w:type="character" w:customStyle="1" w:styleId="IASBSectionTitle1NonIndNoLineChar">
    <w:name w:val="IASB Section Title 1 NonInd NoLine Char"/>
    <w:basedOn w:val="IASBSectionTitle1NonIndChar"/>
    <w:link w:val="IASBSectionTitle1NonIndNoLine"/>
    <w:rsid w:val="00AD3955"/>
    <w:rPr>
      <w:rFonts w:ascii="Arial" w:hAnsi="Arial" w:cs="Arial"/>
      <w:b/>
      <w:sz w:val="26"/>
      <w:lang w:eastAsia="en-US"/>
    </w:rPr>
  </w:style>
  <w:style w:type="paragraph" w:customStyle="1" w:styleId="PlainNumHang2">
    <w:name w:val="Plain Num Hang 2"/>
    <w:basedOn w:val="PlainNumHang1"/>
    <w:qFormat/>
    <w:rsid w:val="00AD3955"/>
    <w:pPr>
      <w:ind w:left="1564"/>
    </w:pPr>
  </w:style>
  <w:style w:type="paragraph" w:customStyle="1" w:styleId="PlainNumHang3">
    <w:name w:val="Plain Num Hang 3"/>
    <w:basedOn w:val="PlainNumHang2"/>
    <w:qFormat/>
    <w:rsid w:val="00AD3955"/>
    <w:pPr>
      <w:ind w:left="2347"/>
    </w:pPr>
  </w:style>
  <w:style w:type="paragraph" w:customStyle="1" w:styleId="BoldNumHang1">
    <w:name w:val="Bold Num Hang 1"/>
    <w:basedOn w:val="PlainNumHang1"/>
    <w:qFormat/>
    <w:rsid w:val="00AA333E"/>
    <w:rPr>
      <w:b/>
    </w:rPr>
  </w:style>
  <w:style w:type="paragraph" w:customStyle="1" w:styleId="BoldNumHang2">
    <w:name w:val="Bold Num Hang 2"/>
    <w:basedOn w:val="BoldNumHang1"/>
    <w:qFormat/>
    <w:rsid w:val="00AA333E"/>
    <w:pPr>
      <w:ind w:left="1564"/>
    </w:pPr>
  </w:style>
  <w:style w:type="paragraph" w:customStyle="1" w:styleId="BoldNumHang3">
    <w:name w:val="Bold Num Hang 3"/>
    <w:basedOn w:val="BoldNumHang2"/>
    <w:qFormat/>
    <w:rsid w:val="00AA333E"/>
    <w:pPr>
      <w:ind w:left="2347"/>
    </w:pPr>
  </w:style>
  <w:style w:type="paragraph" w:customStyle="1" w:styleId="AmendmentInstruction">
    <w:name w:val="AmendmentInstruction"/>
    <w:qFormat/>
    <w:rsid w:val="006E3738"/>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styleId="CommentSubject">
    <w:name w:val="annotation subject"/>
    <w:basedOn w:val="CommentText"/>
    <w:next w:val="CommentText"/>
    <w:link w:val="CommentSubjectChar"/>
    <w:unhideWhenUsed/>
    <w:rsid w:val="00B64E94"/>
    <w:rPr>
      <w:b/>
      <w:bCs/>
    </w:rPr>
  </w:style>
  <w:style w:type="character" w:customStyle="1" w:styleId="CommentSubjectChar">
    <w:name w:val="Comment Subject Char"/>
    <w:basedOn w:val="CommentTextChar"/>
    <w:link w:val="CommentSubject"/>
    <w:rsid w:val="00B64E94"/>
    <w:rPr>
      <w:b/>
      <w:bCs/>
      <w:lang w:eastAsia="en-US"/>
    </w:rPr>
  </w:style>
  <w:style w:type="character" w:styleId="Hyperlink">
    <w:name w:val="Hyperlink"/>
    <w:basedOn w:val="DefaultParagraphFont"/>
    <w:uiPriority w:val="99"/>
    <w:rsid w:val="00651319"/>
    <w:rPr>
      <w:color w:val="0000FF"/>
      <w:u w:val="single"/>
    </w:rPr>
  </w:style>
  <w:style w:type="paragraph" w:customStyle="1" w:styleId="NumIEPlain1">
    <w:name w:val="Num IE Plain 1"/>
    <w:basedOn w:val="Normal"/>
    <w:qFormat/>
    <w:rsid w:val="004E18FD"/>
    <w:pPr>
      <w:numPr>
        <w:numId w:val="10"/>
      </w:numPr>
      <w:spacing w:after="100"/>
    </w:pPr>
  </w:style>
  <w:style w:type="paragraph" w:customStyle="1" w:styleId="NumIEPlain2">
    <w:name w:val="Num IE Plain 2"/>
    <w:basedOn w:val="NumIEPlain1"/>
    <w:qFormat/>
    <w:rsid w:val="008607A4"/>
    <w:pPr>
      <w:numPr>
        <w:ilvl w:val="1"/>
      </w:numPr>
    </w:pPr>
  </w:style>
  <w:style w:type="paragraph" w:customStyle="1" w:styleId="NumIEPlain3">
    <w:name w:val="Num IE Plain 3"/>
    <w:basedOn w:val="NumIEPlain2"/>
    <w:qFormat/>
    <w:rsid w:val="008607A4"/>
    <w:pPr>
      <w:numPr>
        <w:ilvl w:val="2"/>
      </w:numPr>
    </w:pPr>
  </w:style>
  <w:style w:type="paragraph" w:customStyle="1" w:styleId="IE1">
    <w:name w:val="IE1"/>
    <w:basedOn w:val="Normal"/>
    <w:uiPriority w:val="1"/>
    <w:qFormat/>
    <w:rsid w:val="00F238EA"/>
    <w:pPr>
      <w:numPr>
        <w:numId w:val="12"/>
      </w:numPr>
      <w:spacing w:after="200" w:line="200" w:lineRule="exact"/>
    </w:pPr>
    <w:rPr>
      <w:sz w:val="20"/>
    </w:rPr>
  </w:style>
  <w:style w:type="paragraph" w:customStyle="1" w:styleId="IE2">
    <w:name w:val="IE2"/>
    <w:basedOn w:val="Normal"/>
    <w:uiPriority w:val="1"/>
    <w:qFormat/>
    <w:rsid w:val="00F238EA"/>
    <w:pPr>
      <w:numPr>
        <w:ilvl w:val="1"/>
        <w:numId w:val="12"/>
      </w:numPr>
      <w:spacing w:after="200" w:line="200" w:lineRule="exact"/>
    </w:pPr>
    <w:rPr>
      <w:sz w:val="20"/>
    </w:rPr>
  </w:style>
  <w:style w:type="paragraph" w:customStyle="1" w:styleId="IE3">
    <w:name w:val="IE3"/>
    <w:basedOn w:val="Normal"/>
    <w:uiPriority w:val="1"/>
    <w:qFormat/>
    <w:rsid w:val="00F238EA"/>
    <w:pPr>
      <w:numPr>
        <w:ilvl w:val="2"/>
        <w:numId w:val="12"/>
      </w:numPr>
      <w:spacing w:after="200" w:line="200" w:lineRule="exact"/>
    </w:pPr>
    <w:rPr>
      <w:sz w:val="20"/>
    </w:rPr>
  </w:style>
  <w:style w:type="numbering" w:customStyle="1" w:styleId="IENos">
    <w:name w:val="IENos"/>
    <w:uiPriority w:val="99"/>
    <w:rsid w:val="00F238EA"/>
    <w:pPr>
      <w:numPr>
        <w:numId w:val="11"/>
      </w:numPr>
    </w:pPr>
  </w:style>
  <w:style w:type="paragraph" w:customStyle="1" w:styleId="IEHeading">
    <w:name w:val="IE Heading"/>
    <w:basedOn w:val="Normal"/>
    <w:next w:val="IEText"/>
    <w:qFormat/>
    <w:rsid w:val="00A46611"/>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IEText">
    <w:name w:val="IE Text"/>
    <w:basedOn w:val="IEHeading"/>
    <w:qFormat/>
    <w:rsid w:val="00E24A7B"/>
    <w:pPr>
      <w:keepNext w:val="0"/>
      <w:pBdr>
        <w:between w:val="none" w:sz="0" w:space="0" w:color="auto"/>
      </w:pBdr>
      <w:spacing w:after="100"/>
      <w:jc w:val="left"/>
    </w:pPr>
    <w:rPr>
      <w:b w:val="0"/>
    </w:rPr>
  </w:style>
  <w:style w:type="table" w:styleId="TableGrid1">
    <w:name w:val="Table Grid 1"/>
    <w:basedOn w:val="TableNormal"/>
    <w:rsid w:val="00193D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BC2">
    <w:name w:val="NoNum BC2"/>
    <w:basedOn w:val="NoNumPlain1"/>
    <w:rsid w:val="002D5C33"/>
    <w:pPr>
      <w:ind w:left="1564" w:hanging="782"/>
    </w:pPr>
    <w:rPr>
      <w:sz w:val="20"/>
    </w:rPr>
  </w:style>
  <w:style w:type="paragraph" w:customStyle="1" w:styleId="NumBC1">
    <w:name w:val="Num BC1"/>
    <w:basedOn w:val="Normal"/>
    <w:qFormat/>
    <w:rsid w:val="0083436B"/>
    <w:pPr>
      <w:numPr>
        <w:numId w:val="13"/>
      </w:numPr>
      <w:tabs>
        <w:tab w:val="clear" w:pos="1191"/>
        <w:tab w:val="left" w:pos="782"/>
      </w:tabs>
      <w:spacing w:after="100"/>
      <w:ind w:left="782" w:hanging="782"/>
    </w:pPr>
    <w:rPr>
      <w:szCs w:val="19"/>
    </w:rPr>
  </w:style>
  <w:style w:type="paragraph" w:customStyle="1" w:styleId="NumBC2">
    <w:name w:val="Num BC2"/>
    <w:basedOn w:val="NumBC1"/>
    <w:rsid w:val="008608D3"/>
    <w:pPr>
      <w:numPr>
        <w:ilvl w:val="1"/>
      </w:numPr>
      <w:tabs>
        <w:tab w:val="clear" w:pos="782"/>
        <w:tab w:val="clear" w:pos="1190"/>
        <w:tab w:val="left" w:pos="1565"/>
      </w:tabs>
      <w:ind w:left="1564" w:hanging="782"/>
    </w:pPr>
  </w:style>
  <w:style w:type="paragraph" w:customStyle="1" w:styleId="NumBC3">
    <w:name w:val="Num BC3"/>
    <w:basedOn w:val="NumBC2"/>
    <w:rsid w:val="004D5494"/>
    <w:pPr>
      <w:numPr>
        <w:ilvl w:val="2"/>
      </w:numPr>
      <w:tabs>
        <w:tab w:val="clear" w:pos="1871"/>
        <w:tab w:val="left" w:pos="2347"/>
      </w:tabs>
      <w:ind w:left="2347" w:hanging="782"/>
    </w:pPr>
  </w:style>
  <w:style w:type="paragraph" w:customStyle="1" w:styleId="NumBC4">
    <w:name w:val="Num BC4"/>
    <w:basedOn w:val="NumBC3"/>
    <w:rsid w:val="002D5C33"/>
    <w:pPr>
      <w:numPr>
        <w:ilvl w:val="3"/>
      </w:numPr>
    </w:pPr>
  </w:style>
  <w:style w:type="character" w:customStyle="1" w:styleId="Heading5Char">
    <w:name w:val="Heading 5 Char"/>
    <w:basedOn w:val="DefaultParagraphFont"/>
    <w:link w:val="Heading5"/>
    <w:uiPriority w:val="1"/>
    <w:rsid w:val="00C65E2B"/>
    <w:rPr>
      <w:rFonts w:ascii="Arial" w:hAnsi="Arial" w:cs="Arial"/>
      <w:i/>
      <w:sz w:val="22"/>
      <w:lang w:eastAsia="en-US"/>
    </w:rPr>
  </w:style>
  <w:style w:type="paragraph" w:customStyle="1" w:styleId="ContentsLevel2">
    <w:name w:val="Contents Level2"/>
    <w:basedOn w:val="ContentsLevel1"/>
    <w:qFormat/>
    <w:rsid w:val="00C65E2B"/>
    <w:rPr>
      <w:caps w:val="0"/>
    </w:rPr>
  </w:style>
  <w:style w:type="paragraph" w:customStyle="1" w:styleId="ContentsLevel3">
    <w:name w:val="Contents Level3"/>
    <w:basedOn w:val="ContentsLevel2"/>
    <w:qFormat/>
    <w:rsid w:val="00C65E2B"/>
    <w:pPr>
      <w:ind w:left="510"/>
    </w:pPr>
    <w:rPr>
      <w:b w:val="0"/>
    </w:rPr>
  </w:style>
  <w:style w:type="paragraph" w:customStyle="1" w:styleId="ContentsLevel4">
    <w:name w:val="Contents Level4"/>
    <w:basedOn w:val="ContentsLevel3"/>
    <w:qFormat/>
    <w:rsid w:val="00C65E2B"/>
    <w:pPr>
      <w:ind w:left="850"/>
    </w:pPr>
  </w:style>
  <w:style w:type="character" w:customStyle="1" w:styleId="Heading3Char">
    <w:name w:val="Heading 3 Char"/>
    <w:basedOn w:val="DefaultParagraphFont"/>
    <w:link w:val="Heading3"/>
    <w:uiPriority w:val="1"/>
    <w:rsid w:val="009A5E35"/>
    <w:rPr>
      <w:rFonts w:ascii="Arial" w:hAnsi="Arial" w:cs="Arial"/>
      <w:b/>
      <w:sz w:val="26"/>
      <w:lang w:eastAsia="en-US"/>
    </w:rPr>
  </w:style>
  <w:style w:type="paragraph" w:styleId="Revision">
    <w:name w:val="Revision"/>
    <w:hidden/>
    <w:uiPriority w:val="99"/>
    <w:semiHidden/>
    <w:rsid w:val="006E3738"/>
    <w:rPr>
      <w:sz w:val="19"/>
      <w:lang w:eastAsia="en-US"/>
    </w:rPr>
  </w:style>
  <w:style w:type="paragraph" w:customStyle="1" w:styleId="IASBTableArial">
    <w:name w:val="IASB Table Arial"/>
    <w:basedOn w:val="Normal"/>
    <w:uiPriority w:val="99"/>
    <w:rsid w:val="007041B0"/>
    <w:pPr>
      <w:spacing w:before="120"/>
    </w:pPr>
    <w:rPr>
      <w:rFonts w:ascii="Arial" w:hAnsi="Arial"/>
      <w:sz w:val="18"/>
      <w:lang w:eastAsia="en-GB"/>
    </w:rPr>
  </w:style>
  <w:style w:type="paragraph" w:customStyle="1" w:styleId="Default">
    <w:name w:val="Default"/>
    <w:rsid w:val="00883F3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7C205F"/>
    <w:rPr>
      <w:color w:val="808080"/>
    </w:rPr>
  </w:style>
  <w:style w:type="numbering" w:customStyle="1" w:styleId="ImportedStyle2">
    <w:name w:val="Imported Style 2"/>
    <w:rsid w:val="009B18C4"/>
    <w:pPr>
      <w:numPr>
        <w:numId w:val="16"/>
      </w:numPr>
    </w:pPr>
  </w:style>
  <w:style w:type="numbering" w:customStyle="1" w:styleId="ImportedStyle4">
    <w:name w:val="Imported Style 4"/>
    <w:rsid w:val="009B18C4"/>
    <w:pPr>
      <w:numPr>
        <w:numId w:val="17"/>
      </w:numPr>
    </w:pPr>
  </w:style>
  <w:style w:type="numbering" w:customStyle="1" w:styleId="ImportedStyle3">
    <w:name w:val="Imported Style 3"/>
    <w:rsid w:val="009B18C4"/>
    <w:pPr>
      <w:numPr>
        <w:numId w:val="18"/>
      </w:numPr>
    </w:pPr>
  </w:style>
  <w:style w:type="paragraph" w:customStyle="1" w:styleId="Body">
    <w:name w:val="Body"/>
    <w:rsid w:val="009B18C4"/>
    <w:pPr>
      <w:pBdr>
        <w:top w:val="nil"/>
        <w:left w:val="nil"/>
        <w:bottom w:val="nil"/>
        <w:right w:val="nil"/>
        <w:between w:val="nil"/>
        <w:bar w:val="nil"/>
      </w:pBdr>
    </w:pPr>
    <w:rPr>
      <w:color w:val="000000"/>
      <w:sz w:val="19"/>
      <w:szCs w:val="19"/>
      <w:u w:color="000000"/>
      <w:bdr w:val="nil"/>
    </w:rPr>
  </w:style>
  <w:style w:type="numbering" w:customStyle="1" w:styleId="ImportedStyle6">
    <w:name w:val="Imported Style 6"/>
    <w:rsid w:val="009B18C4"/>
    <w:pPr>
      <w:numPr>
        <w:numId w:val="19"/>
      </w:numPr>
    </w:p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rsid w:val="00504B9F"/>
    <w:rPr>
      <w:sz w:val="16"/>
      <w:lang w:eastAsia="en-US"/>
    </w:rPr>
  </w:style>
  <w:style w:type="character" w:customStyle="1" w:styleId="Heading2Char">
    <w:name w:val="Heading 2 Char"/>
    <w:basedOn w:val="DefaultParagraphFont"/>
    <w:link w:val="Heading2"/>
    <w:rsid w:val="009A5E35"/>
    <w:rPr>
      <w:rFonts w:ascii="Arial" w:hAnsi="Arial" w:cs="Arial"/>
      <w:b/>
      <w:sz w:val="26"/>
      <w:lang w:eastAsia="en-US"/>
    </w:rPr>
  </w:style>
  <w:style w:type="paragraph" w:customStyle="1" w:styleId="SubNumPlain1">
    <w:name w:val="SubNum Plain1"/>
    <w:basedOn w:val="Normal"/>
    <w:qFormat/>
    <w:rsid w:val="0062612C"/>
    <w:pPr>
      <w:numPr>
        <w:numId w:val="21"/>
      </w:numPr>
      <w:spacing w:before="100" w:after="100"/>
    </w:pPr>
  </w:style>
  <w:style w:type="paragraph" w:customStyle="1" w:styleId="SubNumPlain2">
    <w:name w:val="SubNum Plain2"/>
    <w:basedOn w:val="Normal"/>
    <w:qFormat/>
    <w:rsid w:val="0062612C"/>
    <w:pPr>
      <w:numPr>
        <w:ilvl w:val="1"/>
        <w:numId w:val="21"/>
      </w:numPr>
      <w:spacing w:before="100" w:after="100"/>
    </w:pPr>
  </w:style>
  <w:style w:type="paragraph" w:customStyle="1" w:styleId="SubNumPlain3">
    <w:name w:val="SubNum Plain3"/>
    <w:basedOn w:val="Normal"/>
    <w:qFormat/>
    <w:rsid w:val="0062612C"/>
    <w:pPr>
      <w:numPr>
        <w:ilvl w:val="2"/>
        <w:numId w:val="21"/>
      </w:numPr>
      <w:spacing w:before="100" w:after="100"/>
    </w:pPr>
  </w:style>
  <w:style w:type="paragraph" w:customStyle="1" w:styleId="SubNumPlain4">
    <w:name w:val="SubNum Plain4"/>
    <w:basedOn w:val="Normal"/>
    <w:qFormat/>
    <w:rsid w:val="0062612C"/>
    <w:pPr>
      <w:numPr>
        <w:ilvl w:val="3"/>
        <w:numId w:val="21"/>
      </w:numPr>
      <w:spacing w:before="100" w:after="100"/>
    </w:pPr>
  </w:style>
  <w:style w:type="numbering" w:customStyle="1" w:styleId="AASBSubNumbers">
    <w:name w:val="AASB SubNumbers"/>
    <w:uiPriority w:val="99"/>
    <w:rsid w:val="0062612C"/>
    <w:pPr>
      <w:numPr>
        <w:numId w:val="20"/>
      </w:numPr>
    </w:pPr>
  </w:style>
  <w:style w:type="numbering" w:customStyle="1" w:styleId="AASBNumbers1">
    <w:name w:val="AASB Numbers1"/>
    <w:uiPriority w:val="99"/>
    <w:rsid w:val="00105939"/>
  </w:style>
  <w:style w:type="paragraph" w:customStyle="1" w:styleId="NumFPlain1">
    <w:name w:val="Num F Plain1"/>
    <w:basedOn w:val="Normal"/>
    <w:qFormat/>
    <w:rsid w:val="00BA7057"/>
    <w:pPr>
      <w:numPr>
        <w:numId w:val="22"/>
      </w:numPr>
      <w:spacing w:before="100" w:after="100"/>
    </w:pPr>
  </w:style>
  <w:style w:type="paragraph" w:customStyle="1" w:styleId="NumFPlain2">
    <w:name w:val="Num F Plain2"/>
    <w:basedOn w:val="NumFPlain1"/>
    <w:qFormat/>
    <w:rsid w:val="00BA7057"/>
    <w:pPr>
      <w:numPr>
        <w:ilvl w:val="1"/>
      </w:numPr>
    </w:pPr>
  </w:style>
  <w:style w:type="paragraph" w:customStyle="1" w:styleId="NumFPlain3">
    <w:name w:val="Num F Plain3"/>
    <w:basedOn w:val="NumFPlain2"/>
    <w:qFormat/>
    <w:rsid w:val="00BA7057"/>
    <w:pPr>
      <w:numPr>
        <w:ilvl w:val="2"/>
      </w:numPr>
    </w:pPr>
  </w:style>
  <w:style w:type="paragraph" w:customStyle="1" w:styleId="JournalEntry">
    <w:name w:val="Journal Entry"/>
    <w:basedOn w:val="IEText"/>
    <w:rsid w:val="008A1D43"/>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CF73F8"/>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CF73F8"/>
    <w:pPr>
      <w:keepNext/>
      <w:pBdr>
        <w:top w:val="none" w:sz="0" w:space="0" w:color="auto"/>
        <w:bottom w:val="none" w:sz="0" w:space="0" w:color="auto"/>
      </w:pBdr>
      <w:tabs>
        <w:tab w:val="left" w:pos="1134"/>
        <w:tab w:val="right" w:pos="6804"/>
        <w:tab w:val="right" w:pos="8505"/>
      </w:tabs>
    </w:pPr>
    <w:rPr>
      <w:b/>
      <w:szCs w:val="19"/>
    </w:rPr>
  </w:style>
  <w:style w:type="paragraph" w:customStyle="1" w:styleId="ContentsCapsBold">
    <w:name w:val="Contents CapsBold"/>
    <w:basedOn w:val="Normal"/>
    <w:next w:val="ContentsLevel1"/>
    <w:rsid w:val="00EA4070"/>
    <w:rPr>
      <w:b/>
    </w:rPr>
  </w:style>
  <w:style w:type="paragraph" w:customStyle="1" w:styleId="ContentsCapsPlain">
    <w:name w:val="Contents CapsPlain"/>
    <w:basedOn w:val="Normal"/>
    <w:next w:val="ContentsLevel1"/>
    <w:rsid w:val="00EA4070"/>
    <w:pPr>
      <w:spacing w:after="200"/>
    </w:pPr>
  </w:style>
  <w:style w:type="paragraph" w:customStyle="1" w:styleId="ContentsParaHead">
    <w:name w:val="Contents ParaHead"/>
    <w:basedOn w:val="Normal"/>
    <w:next w:val="Normal"/>
    <w:rsid w:val="00EA4070"/>
    <w:pPr>
      <w:spacing w:after="60"/>
      <w:jc w:val="right"/>
    </w:pPr>
    <w:rPr>
      <w:i/>
    </w:rPr>
  </w:style>
  <w:style w:type="character" w:customStyle="1" w:styleId="ListParagraphChar">
    <w:name w:val="List Paragraph Char"/>
    <w:basedOn w:val="DefaultParagraphFont"/>
    <w:link w:val="ListParagraph"/>
    <w:uiPriority w:val="34"/>
    <w:rsid w:val="000914BB"/>
    <w:rPr>
      <w:sz w:val="19"/>
      <w:lang w:eastAsia="en-US"/>
    </w:rPr>
  </w:style>
  <w:style w:type="paragraph" w:styleId="BodyText">
    <w:name w:val="Body Text"/>
    <w:basedOn w:val="Normal"/>
    <w:link w:val="BodyTextChar"/>
    <w:unhideWhenUsed/>
    <w:rsid w:val="00EA4070"/>
    <w:pPr>
      <w:spacing w:after="120"/>
    </w:pPr>
  </w:style>
  <w:style w:type="character" w:customStyle="1" w:styleId="BodyTextChar">
    <w:name w:val="Body Text Char"/>
    <w:basedOn w:val="DefaultParagraphFont"/>
    <w:link w:val="BodyText"/>
    <w:rsid w:val="00EA4070"/>
    <w:rPr>
      <w:sz w:val="19"/>
      <w:lang w:eastAsia="en-US"/>
    </w:rPr>
  </w:style>
  <w:style w:type="character" w:customStyle="1" w:styleId="Heading6Char">
    <w:name w:val="Heading 6 Char"/>
    <w:basedOn w:val="DefaultParagraphFont"/>
    <w:link w:val="Heading6"/>
    <w:rsid w:val="00F42DB6"/>
    <w:rPr>
      <w:rFonts w:ascii="Arial" w:hAnsi="Arial" w:cs="Arial"/>
      <w:i/>
      <w:sz w:val="18"/>
      <w:szCs w:val="22"/>
      <w:lang w:eastAsia="en-US"/>
    </w:rPr>
  </w:style>
  <w:style w:type="paragraph" w:customStyle="1" w:styleId="Heading1Italic">
    <w:name w:val="Heading 1 Italic"/>
    <w:basedOn w:val="Heading1"/>
    <w:next w:val="Normal"/>
    <w:rsid w:val="00F42DB6"/>
    <w:pPr>
      <w:keepLines w:val="0"/>
      <w:spacing w:before="240"/>
    </w:pPr>
    <w:rPr>
      <w:bCs/>
      <w:i/>
      <w:szCs w:val="32"/>
    </w:rPr>
  </w:style>
  <w:style w:type="paragraph" w:customStyle="1" w:styleId="Heading2Indent1">
    <w:name w:val="Heading 2 Indent1"/>
    <w:basedOn w:val="Heading2"/>
    <w:next w:val="Normal"/>
    <w:rsid w:val="00F42DB6"/>
    <w:pPr>
      <w:keepLines w:val="0"/>
      <w:pBdr>
        <w:bottom w:val="none" w:sz="0" w:space="0" w:color="auto"/>
      </w:pBdr>
      <w:spacing w:before="240"/>
      <w:ind w:left="510"/>
    </w:pPr>
    <w:rPr>
      <w:iCs/>
      <w:szCs w:val="28"/>
    </w:rPr>
  </w:style>
  <w:style w:type="paragraph" w:customStyle="1" w:styleId="Heading3Indent1">
    <w:name w:val="Heading 3 Indent1"/>
    <w:basedOn w:val="Heading3"/>
    <w:next w:val="Normal"/>
    <w:rsid w:val="00F42DB6"/>
    <w:pPr>
      <w:keepLines w:val="0"/>
      <w:spacing w:before="100"/>
    </w:pPr>
    <w:rPr>
      <w:bCs/>
      <w:iCs/>
      <w:szCs w:val="26"/>
    </w:rPr>
  </w:style>
  <w:style w:type="paragraph" w:customStyle="1" w:styleId="Heading4Indent1">
    <w:name w:val="Heading 4 Indent1"/>
    <w:basedOn w:val="Heading4"/>
    <w:next w:val="Normal"/>
    <w:rsid w:val="00F42DB6"/>
    <w:pPr>
      <w:keepLines w:val="0"/>
      <w:spacing w:before="100"/>
    </w:pPr>
    <w:rPr>
      <w:iCs/>
      <w:sz w:val="18"/>
      <w:szCs w:val="28"/>
    </w:rPr>
  </w:style>
  <w:style w:type="paragraph" w:customStyle="1" w:styleId="Heading5Indent1">
    <w:name w:val="Heading 5 Indent1"/>
    <w:basedOn w:val="Heading5"/>
    <w:next w:val="Normal"/>
    <w:rsid w:val="00F42DB6"/>
    <w:pPr>
      <w:keepLines w:val="0"/>
      <w:spacing w:before="100"/>
      <w:ind w:left="510"/>
    </w:pPr>
    <w:rPr>
      <w:b/>
      <w:bCs/>
      <w:sz w:val="18"/>
      <w:szCs w:val="26"/>
    </w:rPr>
  </w:style>
  <w:style w:type="paragraph" w:customStyle="1" w:styleId="Heading6Indent1">
    <w:name w:val="Heading 6 Indent1"/>
    <w:basedOn w:val="Heading6"/>
    <w:next w:val="Normal"/>
    <w:rsid w:val="00F42DB6"/>
    <w:pPr>
      <w:ind w:left="510"/>
    </w:pPr>
  </w:style>
  <w:style w:type="paragraph" w:customStyle="1" w:styleId="CoverStandard">
    <w:name w:val="Cover Standard"/>
    <w:basedOn w:val="Normal"/>
    <w:next w:val="Normal"/>
    <w:rsid w:val="00F42DB6"/>
    <w:pPr>
      <w:spacing w:line="280" w:lineRule="exact"/>
    </w:pPr>
    <w:rPr>
      <w:b/>
      <w:sz w:val="28"/>
    </w:rPr>
  </w:style>
  <w:style w:type="paragraph" w:customStyle="1" w:styleId="CoverNumber">
    <w:name w:val="Cover Number"/>
    <w:basedOn w:val="Normal"/>
    <w:next w:val="Normal"/>
    <w:rsid w:val="00F42DB6"/>
    <w:pPr>
      <w:spacing w:line="320" w:lineRule="exact"/>
      <w:jc w:val="right"/>
    </w:pPr>
    <w:rPr>
      <w:b/>
      <w:caps/>
      <w:sz w:val="32"/>
    </w:rPr>
  </w:style>
  <w:style w:type="paragraph" w:customStyle="1" w:styleId="CoverRelease">
    <w:name w:val="Cover Release"/>
    <w:basedOn w:val="Normal"/>
    <w:next w:val="Normal"/>
    <w:rsid w:val="00F42DB6"/>
    <w:pPr>
      <w:spacing w:line="240" w:lineRule="exact"/>
    </w:pPr>
    <w:rPr>
      <w:sz w:val="24"/>
    </w:rPr>
  </w:style>
  <w:style w:type="paragraph" w:customStyle="1" w:styleId="CoverDate">
    <w:name w:val="Cover Date"/>
    <w:basedOn w:val="Normal"/>
    <w:next w:val="Normal"/>
    <w:rsid w:val="00F42DB6"/>
    <w:pPr>
      <w:spacing w:line="240" w:lineRule="exact"/>
      <w:jc w:val="right"/>
    </w:pPr>
    <w:rPr>
      <w:sz w:val="24"/>
    </w:rPr>
  </w:style>
  <w:style w:type="paragraph" w:customStyle="1" w:styleId="CoverTitle">
    <w:name w:val="Cover Title"/>
    <w:basedOn w:val="Normal"/>
    <w:rsid w:val="00F42DB6"/>
    <w:pPr>
      <w:spacing w:before="800" w:after="500" w:line="500" w:lineRule="exact"/>
    </w:pPr>
    <w:rPr>
      <w:b/>
      <w:sz w:val="50"/>
    </w:rPr>
  </w:style>
  <w:style w:type="paragraph" w:customStyle="1" w:styleId="CoverBox">
    <w:name w:val="Cover Box"/>
    <w:basedOn w:val="Normal"/>
    <w:rsid w:val="00F42DB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F42DB6"/>
    <w:pPr>
      <w:tabs>
        <w:tab w:val="left" w:pos="907"/>
      </w:tabs>
    </w:pPr>
  </w:style>
  <w:style w:type="paragraph" w:customStyle="1" w:styleId="CoverLeadPara">
    <w:name w:val="Cover LeadPara"/>
    <w:basedOn w:val="Normal"/>
    <w:next w:val="Normal"/>
    <w:rsid w:val="00F42DB6"/>
    <w:pPr>
      <w:spacing w:after="100"/>
    </w:pPr>
  </w:style>
  <w:style w:type="paragraph" w:customStyle="1" w:styleId="ContentsCapsPlainPg">
    <w:name w:val="Contents CapsPlainPg"/>
    <w:basedOn w:val="Normal"/>
    <w:next w:val="ContentsLevel1"/>
    <w:rsid w:val="00F42DB6"/>
    <w:pPr>
      <w:tabs>
        <w:tab w:val="right" w:pos="6237"/>
      </w:tabs>
      <w:spacing w:after="200"/>
      <w:ind w:left="170" w:right="1134" w:hanging="170"/>
    </w:pPr>
  </w:style>
  <w:style w:type="paragraph" w:customStyle="1" w:styleId="ContentsCapsBoldPg">
    <w:name w:val="Contents CapsBoldPg"/>
    <w:basedOn w:val="ContentsCapsPlainPg"/>
    <w:next w:val="ContentsLevel1"/>
    <w:rsid w:val="00F42DB6"/>
    <w:rPr>
      <w:b/>
    </w:rPr>
  </w:style>
  <w:style w:type="paragraph" w:customStyle="1" w:styleId="ContentsBox">
    <w:name w:val="Contents Box"/>
    <w:basedOn w:val="Normal"/>
    <w:rsid w:val="00F42DB6"/>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F42DB6"/>
  </w:style>
  <w:style w:type="paragraph" w:customStyle="1" w:styleId="NumPlainA">
    <w:name w:val="Num PlainA"/>
    <w:basedOn w:val="Normal"/>
    <w:qFormat/>
    <w:rsid w:val="00F42DB6"/>
    <w:pPr>
      <w:tabs>
        <w:tab w:val="num" w:pos="510"/>
      </w:tabs>
      <w:spacing w:before="100" w:after="100"/>
      <w:ind w:left="1021" w:hanging="511"/>
    </w:pPr>
  </w:style>
  <w:style w:type="paragraph" w:customStyle="1" w:styleId="NoNumPlain4">
    <w:name w:val="NoNum Plain4"/>
    <w:basedOn w:val="NoNumPlain3"/>
    <w:rsid w:val="00F42DB6"/>
    <w:pPr>
      <w:spacing w:before="100"/>
      <w:ind w:left="1531"/>
    </w:pPr>
  </w:style>
  <w:style w:type="paragraph" w:customStyle="1" w:styleId="NoNumBold4">
    <w:name w:val="NoNum Bold4"/>
    <w:basedOn w:val="NoNumBold3"/>
    <w:rsid w:val="00F42DB6"/>
    <w:pPr>
      <w:spacing w:before="100"/>
      <w:ind w:left="1531"/>
    </w:pPr>
  </w:style>
  <w:style w:type="paragraph" w:customStyle="1" w:styleId="CommentsPage">
    <w:name w:val="CommentsPage"/>
    <w:basedOn w:val="Normal"/>
    <w:next w:val="Normal"/>
    <w:rsid w:val="00F42DB6"/>
  </w:style>
  <w:style w:type="paragraph" w:customStyle="1" w:styleId="Bullet4">
    <w:name w:val="Bullet4"/>
    <w:basedOn w:val="Normal"/>
    <w:rsid w:val="00F42DB6"/>
    <w:pPr>
      <w:spacing w:after="200"/>
      <w:ind w:left="2019" w:hanging="505"/>
    </w:pPr>
  </w:style>
  <w:style w:type="paragraph" w:styleId="DocumentMap">
    <w:name w:val="Document Map"/>
    <w:basedOn w:val="Normal"/>
    <w:link w:val="DocumentMapChar"/>
    <w:semiHidden/>
    <w:rsid w:val="00F42D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2DB6"/>
    <w:rPr>
      <w:rFonts w:ascii="Tahoma" w:hAnsi="Tahoma" w:cs="Tahoma"/>
      <w:sz w:val="19"/>
      <w:shd w:val="clear" w:color="auto" w:fill="000080"/>
      <w:lang w:eastAsia="en-US"/>
    </w:rPr>
  </w:style>
  <w:style w:type="paragraph" w:customStyle="1" w:styleId="ContentsLevel1NoIndent">
    <w:name w:val="Contents Level1 NoIndent"/>
    <w:basedOn w:val="ContentsLevel1"/>
    <w:rsid w:val="00F42DB6"/>
    <w:pPr>
      <w:tabs>
        <w:tab w:val="clear" w:pos="9027"/>
        <w:tab w:val="right" w:pos="9072"/>
      </w:tabs>
      <w:jc w:val="left"/>
    </w:pPr>
    <w:rPr>
      <w:b w:val="0"/>
      <w:caps w:val="0"/>
    </w:rPr>
  </w:style>
  <w:style w:type="paragraph" w:customStyle="1" w:styleId="BCHanging0">
    <w:name w:val="BC Hanging0"/>
    <w:basedOn w:val="NoNumPlain1"/>
    <w:qFormat/>
    <w:rsid w:val="00F42DB6"/>
    <w:pPr>
      <w:spacing w:before="100"/>
      <w:ind w:left="624" w:hanging="624"/>
    </w:pPr>
  </w:style>
  <w:style w:type="paragraph" w:customStyle="1" w:styleId="BCHanging1">
    <w:name w:val="BC Hanging1"/>
    <w:basedOn w:val="NoNumBC2"/>
    <w:rsid w:val="00F42DB6"/>
    <w:pPr>
      <w:spacing w:before="100"/>
      <w:ind w:left="1248" w:hanging="624"/>
    </w:pPr>
    <w:rPr>
      <w:sz w:val="19"/>
    </w:rPr>
  </w:style>
  <w:style w:type="paragraph" w:customStyle="1" w:styleId="BCHanging2">
    <w:name w:val="BC Hanging2"/>
    <w:basedOn w:val="BCHanging1"/>
    <w:rsid w:val="00F42DB6"/>
    <w:pPr>
      <w:ind w:left="1871"/>
    </w:pPr>
  </w:style>
  <w:style w:type="paragraph" w:customStyle="1" w:styleId="BCHanging3">
    <w:name w:val="BC Hanging3"/>
    <w:basedOn w:val="BCHanging1"/>
    <w:rsid w:val="00F42DB6"/>
    <w:pPr>
      <w:ind w:left="2495"/>
    </w:pPr>
  </w:style>
  <w:style w:type="paragraph" w:customStyle="1" w:styleId="CoverSubtitle">
    <w:name w:val="Cover Subtitle"/>
    <w:basedOn w:val="CoverTitle"/>
    <w:rsid w:val="00F42DB6"/>
    <w:pPr>
      <w:spacing w:before="0" w:after="0"/>
    </w:pPr>
    <w:rPr>
      <w:sz w:val="40"/>
      <w:szCs w:val="40"/>
    </w:rPr>
  </w:style>
  <w:style w:type="paragraph" w:customStyle="1" w:styleId="NumBold4">
    <w:name w:val="Num Bold4"/>
    <w:basedOn w:val="NumPlain4"/>
    <w:rsid w:val="00F42DB6"/>
    <w:pPr>
      <w:numPr>
        <w:ilvl w:val="3"/>
        <w:numId w:val="15"/>
      </w:numPr>
      <w:spacing w:before="100" w:after="100" w:line="240" w:lineRule="auto"/>
    </w:pPr>
    <w:rPr>
      <w:b/>
      <w:sz w:val="19"/>
    </w:rPr>
  </w:style>
  <w:style w:type="paragraph" w:customStyle="1" w:styleId="PlainHanging1">
    <w:name w:val="Plain Hanging1"/>
    <w:basedOn w:val="NoNumPlain2"/>
    <w:rsid w:val="00F42DB6"/>
    <w:pPr>
      <w:spacing w:before="100"/>
      <w:ind w:left="1020" w:hanging="510"/>
    </w:pPr>
  </w:style>
  <w:style w:type="paragraph" w:customStyle="1" w:styleId="PlainHanging2">
    <w:name w:val="Plain Hanging2"/>
    <w:basedOn w:val="PlainHanging1"/>
    <w:rsid w:val="00F42DB6"/>
    <w:pPr>
      <w:ind w:left="1531"/>
    </w:pPr>
  </w:style>
  <w:style w:type="paragraph" w:customStyle="1" w:styleId="PlainHanging3">
    <w:name w:val="Plain Hanging3"/>
    <w:basedOn w:val="PlainHanging1"/>
    <w:rsid w:val="00F42DB6"/>
    <w:pPr>
      <w:ind w:left="2041"/>
    </w:pPr>
  </w:style>
  <w:style w:type="paragraph" w:customStyle="1" w:styleId="PlainHanging4">
    <w:name w:val="Plain Hanging4"/>
    <w:basedOn w:val="PlainHanging1"/>
    <w:rsid w:val="00F42DB6"/>
    <w:pPr>
      <w:ind w:left="2551"/>
    </w:pPr>
  </w:style>
  <w:style w:type="paragraph" w:customStyle="1" w:styleId="BoldHanging1">
    <w:name w:val="Bold Hanging1"/>
    <w:basedOn w:val="PlainHanging1"/>
    <w:rsid w:val="00F42DB6"/>
    <w:rPr>
      <w:b/>
    </w:rPr>
  </w:style>
  <w:style w:type="paragraph" w:customStyle="1" w:styleId="BoldHanging2">
    <w:name w:val="Bold Hanging2"/>
    <w:basedOn w:val="PlainHanging2"/>
    <w:rsid w:val="00F42DB6"/>
    <w:rPr>
      <w:b/>
    </w:rPr>
  </w:style>
  <w:style w:type="paragraph" w:customStyle="1" w:styleId="BoldHanging3">
    <w:name w:val="Bold Hanging3"/>
    <w:basedOn w:val="PlainHanging3"/>
    <w:rsid w:val="00F42DB6"/>
    <w:rPr>
      <w:b/>
    </w:rPr>
  </w:style>
  <w:style w:type="paragraph" w:customStyle="1" w:styleId="BoldHanging4">
    <w:name w:val="Bold Hanging4"/>
    <w:basedOn w:val="PlainHanging4"/>
    <w:rsid w:val="00F42DB6"/>
    <w:rPr>
      <w:b/>
    </w:rPr>
  </w:style>
  <w:style w:type="paragraph" w:customStyle="1" w:styleId="PlainHanging0">
    <w:name w:val="Plain Hanging0"/>
    <w:basedOn w:val="PlainHanging1"/>
    <w:qFormat/>
    <w:rsid w:val="00F42DB6"/>
    <w:pPr>
      <w:ind w:left="510"/>
    </w:pPr>
  </w:style>
  <w:style w:type="paragraph" w:customStyle="1" w:styleId="BoldHanging0">
    <w:name w:val="Bold Hanging0"/>
    <w:basedOn w:val="PlainHanging0"/>
    <w:qFormat/>
    <w:rsid w:val="00F42DB6"/>
    <w:rPr>
      <w:b/>
    </w:rPr>
  </w:style>
  <w:style w:type="paragraph" w:customStyle="1" w:styleId="BCHanging4">
    <w:name w:val="BC Hanging4"/>
    <w:basedOn w:val="BCHanging1"/>
    <w:rsid w:val="00F42DB6"/>
    <w:pPr>
      <w:ind w:left="3119"/>
    </w:pPr>
  </w:style>
  <w:style w:type="paragraph" w:customStyle="1" w:styleId="NoNumBC3">
    <w:name w:val="NoNum BC3"/>
    <w:basedOn w:val="NoNumBC2"/>
    <w:rsid w:val="00F42DB6"/>
    <w:pPr>
      <w:spacing w:before="100"/>
      <w:ind w:left="1247" w:firstLine="0"/>
    </w:pPr>
    <w:rPr>
      <w:sz w:val="19"/>
    </w:rPr>
  </w:style>
  <w:style w:type="paragraph" w:customStyle="1" w:styleId="NoNumBC4">
    <w:name w:val="NoNum BC4"/>
    <w:basedOn w:val="NoNumBC3"/>
    <w:rsid w:val="00F42DB6"/>
    <w:pPr>
      <w:ind w:left="1871"/>
    </w:pPr>
  </w:style>
  <w:style w:type="numbering" w:customStyle="1" w:styleId="Bullets">
    <w:name w:val="Bullets"/>
    <w:uiPriority w:val="99"/>
    <w:rsid w:val="00F42DB6"/>
    <w:pPr>
      <w:numPr>
        <w:numId w:val="24"/>
      </w:numPr>
    </w:pPr>
  </w:style>
  <w:style w:type="paragraph" w:customStyle="1" w:styleId="NumPlainA2">
    <w:name w:val="Num PlainA2"/>
    <w:basedOn w:val="NumPlainA"/>
    <w:rsid w:val="00F42DB6"/>
    <w:pPr>
      <w:numPr>
        <w:ilvl w:val="1"/>
      </w:numPr>
      <w:tabs>
        <w:tab w:val="num" w:pos="510"/>
      </w:tabs>
      <w:ind w:left="1021" w:hanging="511"/>
      <w:outlineLvl w:val="1"/>
    </w:pPr>
  </w:style>
  <w:style w:type="paragraph" w:customStyle="1" w:styleId="SubNumBold1">
    <w:name w:val="SubNum Bold1"/>
    <w:basedOn w:val="BoldHanging1"/>
    <w:qFormat/>
    <w:rsid w:val="00F42DB6"/>
    <w:pPr>
      <w:numPr>
        <w:numId w:val="25"/>
      </w:numPr>
    </w:pPr>
  </w:style>
  <w:style w:type="paragraph" w:customStyle="1" w:styleId="SubNumBold2">
    <w:name w:val="SubNum Bold2"/>
    <w:basedOn w:val="BoldHanging2"/>
    <w:qFormat/>
    <w:rsid w:val="00F42DB6"/>
    <w:pPr>
      <w:numPr>
        <w:ilvl w:val="1"/>
        <w:numId w:val="25"/>
      </w:numPr>
    </w:pPr>
  </w:style>
  <w:style w:type="paragraph" w:customStyle="1" w:styleId="SubNumBold3">
    <w:name w:val="SubNum Bold3"/>
    <w:basedOn w:val="BoldHanging3"/>
    <w:qFormat/>
    <w:rsid w:val="00F42DB6"/>
    <w:pPr>
      <w:numPr>
        <w:ilvl w:val="2"/>
        <w:numId w:val="25"/>
      </w:numPr>
    </w:pPr>
  </w:style>
  <w:style w:type="paragraph" w:customStyle="1" w:styleId="SubNumBold4">
    <w:name w:val="SubNum Bold4"/>
    <w:basedOn w:val="BoldHanging4"/>
    <w:qFormat/>
    <w:rsid w:val="00F42DB6"/>
    <w:pPr>
      <w:numPr>
        <w:ilvl w:val="3"/>
        <w:numId w:val="25"/>
      </w:numPr>
    </w:pPr>
  </w:style>
  <w:style w:type="numbering" w:customStyle="1" w:styleId="AASBSubNumbersBold">
    <w:name w:val="AASB SubNumbers Bold"/>
    <w:uiPriority w:val="99"/>
    <w:rsid w:val="00F42DB6"/>
    <w:pPr>
      <w:numPr>
        <w:numId w:val="25"/>
      </w:numPr>
    </w:pPr>
  </w:style>
  <w:style w:type="character" w:customStyle="1" w:styleId="Heading1Char">
    <w:name w:val="Heading 1 Char"/>
    <w:basedOn w:val="DefaultParagraphFont"/>
    <w:link w:val="Heading1"/>
    <w:rsid w:val="00F42DB6"/>
    <w:rPr>
      <w:rFonts w:ascii="Arial" w:hAnsi="Arial" w:cs="Arial"/>
      <w:b/>
      <w:sz w:val="26"/>
      <w:lang w:eastAsia="en-US"/>
    </w:rPr>
  </w:style>
  <w:style w:type="table" w:customStyle="1" w:styleId="TableGrid10">
    <w:name w:val="Table Grid1"/>
    <w:basedOn w:val="TableNormal"/>
    <w:next w:val="TableGrid"/>
    <w:uiPriority w:val="59"/>
    <w:rsid w:val="00F42DB6"/>
    <w:tblPr/>
  </w:style>
  <w:style w:type="paragraph" w:customStyle="1" w:styleId="Ig">
    <w:name w:val="Ig"/>
    <w:basedOn w:val="NumFPlain1"/>
    <w:rsid w:val="00F42DB6"/>
    <w:pPr>
      <w:numPr>
        <w:numId w:val="0"/>
      </w:numPr>
      <w:tabs>
        <w:tab w:val="num" w:pos="782"/>
      </w:tabs>
      <w:ind w:left="782" w:hanging="782"/>
    </w:pPr>
  </w:style>
  <w:style w:type="paragraph" w:customStyle="1" w:styleId="NumBPlain10">
    <w:name w:val="Num B Plain1"/>
    <w:basedOn w:val="NumFPlain1"/>
    <w:rsid w:val="00F42DB6"/>
    <w:pPr>
      <w:numPr>
        <w:numId w:val="0"/>
      </w:numPr>
      <w:tabs>
        <w:tab w:val="num" w:pos="782"/>
      </w:tabs>
      <w:ind w:left="782" w:hanging="782"/>
    </w:pPr>
  </w:style>
  <w:style w:type="paragraph" w:styleId="EndnoteText">
    <w:name w:val="endnote text"/>
    <w:basedOn w:val="Normal"/>
    <w:link w:val="EndnoteTextChar"/>
    <w:uiPriority w:val="5"/>
    <w:unhideWhenUsed/>
    <w:rsid w:val="00F42DB6"/>
    <w:pPr>
      <w:jc w:val="left"/>
    </w:pPr>
    <w:rPr>
      <w:sz w:val="20"/>
    </w:rPr>
  </w:style>
  <w:style w:type="character" w:customStyle="1" w:styleId="EndnoteTextChar">
    <w:name w:val="Endnote Text Char"/>
    <w:basedOn w:val="DefaultParagraphFont"/>
    <w:link w:val="EndnoteText"/>
    <w:uiPriority w:val="5"/>
    <w:rsid w:val="00F42DB6"/>
    <w:rPr>
      <w:lang w:eastAsia="en-US"/>
    </w:rPr>
  </w:style>
  <w:style w:type="character" w:styleId="EndnoteReference">
    <w:name w:val="endnote reference"/>
    <w:basedOn w:val="DefaultParagraphFont"/>
    <w:uiPriority w:val="5"/>
    <w:semiHidden/>
    <w:unhideWhenUsed/>
    <w:rsid w:val="00F42DB6"/>
    <w:rPr>
      <w:vertAlign w:val="superscript"/>
    </w:rPr>
  </w:style>
  <w:style w:type="paragraph" w:customStyle="1" w:styleId="Style1">
    <w:name w:val="Style1"/>
    <w:basedOn w:val="Normal"/>
    <w:rsid w:val="00F42DB6"/>
    <w:pPr>
      <w:numPr>
        <w:numId w:val="26"/>
      </w:numPr>
      <w:spacing w:after="100"/>
    </w:pPr>
    <w:rPr>
      <w:rFonts w:eastAsia="Arial Unicode MS" w:cs="Arial Unicode MS"/>
      <w:color w:val="000000"/>
      <w:szCs w:val="19"/>
      <w:u w:color="000000"/>
      <w:lang w:eastAsia="en-GB"/>
    </w:rPr>
  </w:style>
  <w:style w:type="paragraph" w:customStyle="1" w:styleId="Style3">
    <w:name w:val="Style3"/>
    <w:basedOn w:val="Style1"/>
    <w:rsid w:val="00F42DB6"/>
    <w:pPr>
      <w:numPr>
        <w:ilvl w:val="1"/>
      </w:numPr>
    </w:pPr>
    <w:rPr>
      <w:rFonts w:ascii="Times" w:hAnsi="Times" w:cs="Times"/>
    </w:rPr>
  </w:style>
  <w:style w:type="paragraph" w:customStyle="1" w:styleId="IGpara1">
    <w:name w:val="IG para 1"/>
    <w:basedOn w:val="Normal"/>
    <w:uiPriority w:val="9"/>
    <w:qFormat/>
    <w:rsid w:val="00F42DB6"/>
    <w:pPr>
      <w:numPr>
        <w:numId w:val="27"/>
      </w:numPr>
      <w:spacing w:after="100"/>
    </w:pPr>
    <w:rPr>
      <w:szCs w:val="19"/>
    </w:rPr>
  </w:style>
  <w:style w:type="paragraph" w:customStyle="1" w:styleId="HeaderFooter">
    <w:name w:val="Header &amp; Footer"/>
    <w:rsid w:val="00F42DB6"/>
    <w:pPr>
      <w:tabs>
        <w:tab w:val="right" w:pos="9020"/>
      </w:tabs>
    </w:pPr>
    <w:rPr>
      <w:rFonts w:ascii="Helvetica Neue" w:eastAsia="Arial Unicode MS" w:hAnsi="Helvetica Neue" w:cs="Arial Unicode MS"/>
      <w:color w:val="000000"/>
      <w:sz w:val="24"/>
      <w:szCs w:val="24"/>
      <w:lang w:val="en-GB" w:eastAsia="en-GB"/>
    </w:rPr>
  </w:style>
  <w:style w:type="paragraph" w:customStyle="1" w:styleId="NumberPara1">
    <w:name w:val="Number Para 1"/>
    <w:basedOn w:val="Normal"/>
    <w:uiPriority w:val="2"/>
    <w:qFormat/>
    <w:rsid w:val="00F42DB6"/>
    <w:pPr>
      <w:numPr>
        <w:numId w:val="28"/>
      </w:numPr>
      <w:spacing w:after="240"/>
      <w:jc w:val="left"/>
    </w:pPr>
    <w:rPr>
      <w:sz w:val="24"/>
      <w:szCs w:val="24"/>
      <w:lang w:eastAsia="en-AU"/>
    </w:rPr>
  </w:style>
  <w:style w:type="paragraph" w:customStyle="1" w:styleId="NumberPara2">
    <w:name w:val="Number Para 2"/>
    <w:basedOn w:val="NumberPara1"/>
    <w:uiPriority w:val="2"/>
    <w:qFormat/>
    <w:rsid w:val="00F42DB6"/>
    <w:pPr>
      <w:numPr>
        <w:ilvl w:val="1"/>
      </w:numPr>
    </w:pPr>
  </w:style>
  <w:style w:type="paragraph" w:customStyle="1" w:styleId="NumberPara3">
    <w:name w:val="Number Para 3"/>
    <w:basedOn w:val="NumberPara2"/>
    <w:uiPriority w:val="2"/>
    <w:qFormat/>
    <w:rsid w:val="00F42DB6"/>
    <w:pPr>
      <w:numPr>
        <w:ilvl w:val="2"/>
      </w:numPr>
    </w:pPr>
  </w:style>
  <w:style w:type="numbering" w:customStyle="1" w:styleId="NumberedParas">
    <w:name w:val="Numbered Paras"/>
    <w:uiPriority w:val="99"/>
    <w:rsid w:val="00F42DB6"/>
    <w:pPr>
      <w:numPr>
        <w:numId w:val="28"/>
      </w:numPr>
    </w:pPr>
  </w:style>
  <w:style w:type="paragraph" w:customStyle="1" w:styleId="ParaLevel1">
    <w:name w:val="ParaLevel1"/>
    <w:basedOn w:val="Normal"/>
    <w:uiPriority w:val="1"/>
    <w:qFormat/>
    <w:rsid w:val="00F42DB6"/>
    <w:pPr>
      <w:numPr>
        <w:numId w:val="31"/>
      </w:numPr>
      <w:spacing w:after="200" w:line="220" w:lineRule="exact"/>
      <w:jc w:val="left"/>
    </w:pPr>
    <w:rPr>
      <w:sz w:val="22"/>
    </w:rPr>
  </w:style>
  <w:style w:type="paragraph" w:customStyle="1" w:styleId="ParaLevel3">
    <w:name w:val="ParaLevel3"/>
    <w:basedOn w:val="Normal"/>
    <w:uiPriority w:val="1"/>
    <w:rsid w:val="00F42DB6"/>
    <w:pPr>
      <w:numPr>
        <w:ilvl w:val="2"/>
        <w:numId w:val="31"/>
      </w:numPr>
      <w:spacing w:after="200" w:line="220" w:lineRule="exact"/>
      <w:jc w:val="left"/>
    </w:pPr>
    <w:rPr>
      <w:sz w:val="22"/>
    </w:rPr>
  </w:style>
  <w:style w:type="numbering" w:customStyle="1" w:styleId="AUASBParaLevels">
    <w:name w:val="AUASBParaLevels"/>
    <w:uiPriority w:val="99"/>
    <w:rsid w:val="00F42DB6"/>
    <w:pPr>
      <w:numPr>
        <w:numId w:val="31"/>
      </w:numPr>
    </w:pPr>
  </w:style>
  <w:style w:type="paragraph" w:customStyle="1" w:styleId="QuestionHeading">
    <w:name w:val="Question Heading"/>
    <w:basedOn w:val="Normal"/>
    <w:next w:val="Normal"/>
    <w:qFormat/>
    <w:rsid w:val="00F42DB6"/>
    <w:pPr>
      <w:keepNext/>
      <w:spacing w:after="240" w:line="240" w:lineRule="exact"/>
      <w:ind w:left="709" w:hanging="709"/>
      <w:jc w:val="left"/>
    </w:pPr>
    <w:rPr>
      <w:b/>
      <w:sz w:val="24"/>
    </w:rPr>
  </w:style>
  <w:style w:type="paragraph" w:customStyle="1" w:styleId="IASBNormalnparaL2">
    <w:name w:val="IASB Normal nparaL2"/>
    <w:basedOn w:val="Normal"/>
    <w:uiPriority w:val="8"/>
    <w:rsid w:val="00F42DB6"/>
    <w:pPr>
      <w:spacing w:before="100"/>
      <w:ind w:left="2347" w:hanging="782"/>
    </w:pPr>
  </w:style>
  <w:style w:type="paragraph" w:customStyle="1" w:styleId="AusBold">
    <w:name w:val="Aus Bold"/>
    <w:basedOn w:val="Normal"/>
    <w:uiPriority w:val="2"/>
    <w:qFormat/>
    <w:rsid w:val="00F42DB6"/>
    <w:pPr>
      <w:spacing w:before="100"/>
      <w:ind w:left="1565" w:hanging="1565"/>
    </w:pPr>
    <w:rPr>
      <w:b/>
    </w:rPr>
  </w:style>
  <w:style w:type="paragraph" w:customStyle="1" w:styleId="IASBNormalnparaL3">
    <w:name w:val="IASB Normal nparaL3"/>
    <w:basedOn w:val="IASBNormalnparaL2"/>
    <w:uiPriority w:val="8"/>
    <w:rsid w:val="00F42DB6"/>
    <w:pPr>
      <w:ind w:left="3129"/>
    </w:pPr>
  </w:style>
  <w:style w:type="paragraph" w:customStyle="1" w:styleId="AusPlain">
    <w:name w:val="Aus Plain"/>
    <w:basedOn w:val="Normal"/>
    <w:uiPriority w:val="1"/>
    <w:qFormat/>
    <w:rsid w:val="00F42DB6"/>
    <w:pPr>
      <w:spacing w:before="100"/>
      <w:ind w:left="1565" w:hanging="1565"/>
    </w:pPr>
  </w:style>
  <w:style w:type="character" w:styleId="FollowedHyperlink">
    <w:name w:val="FollowedHyperlink"/>
    <w:basedOn w:val="DefaultParagraphFont"/>
    <w:semiHidden/>
    <w:unhideWhenUsed/>
    <w:rsid w:val="00F42DB6"/>
    <w:rPr>
      <w:color w:val="800080" w:themeColor="followedHyperlink"/>
      <w:u w:val="single"/>
    </w:rPr>
  </w:style>
  <w:style w:type="paragraph" w:customStyle="1" w:styleId="IASBNormalnparaP">
    <w:name w:val="IASB Normal nparaP"/>
    <w:basedOn w:val="IASBNormal"/>
    <w:uiPriority w:val="8"/>
    <w:rsid w:val="0064729C"/>
    <w:pPr>
      <w:ind w:left="782"/>
    </w:pPr>
  </w:style>
  <w:style w:type="paragraph" w:customStyle="1" w:styleId="DefnPara">
    <w:name w:val="Defn Para"/>
    <w:basedOn w:val="Normal"/>
    <w:rsid w:val="00B43BED"/>
    <w:pPr>
      <w:spacing w:after="200" w:line="200" w:lineRule="exact"/>
      <w:ind w:left="1077" w:hanging="340"/>
      <w:jc w:val="left"/>
    </w:pPr>
    <w:rPr>
      <w:b/>
      <w:sz w:val="20"/>
    </w:rPr>
  </w:style>
  <w:style w:type="paragraph" w:customStyle="1" w:styleId="DefnSubpoint1">
    <w:name w:val="Defn Subpoint1"/>
    <w:basedOn w:val="DefnPara"/>
    <w:rsid w:val="00B43BED"/>
    <w:pPr>
      <w:ind w:left="1587" w:hanging="510"/>
    </w:pPr>
  </w:style>
  <w:style w:type="paragraph" w:customStyle="1" w:styleId="IASBNormalnparaL1">
    <w:name w:val="IASB Normal nparaL1"/>
    <w:basedOn w:val="IASBNormalnpara"/>
    <w:rsid w:val="00DC27E7"/>
    <w:pPr>
      <w:ind w:left="1564"/>
    </w:pPr>
  </w:style>
  <w:style w:type="numbering" w:customStyle="1" w:styleId="BulletedParas">
    <w:name w:val="Bulleted Paras"/>
    <w:uiPriority w:val="99"/>
    <w:rsid w:val="00795355"/>
    <w:pPr>
      <w:numPr>
        <w:numId w:val="46"/>
      </w:numPr>
    </w:pPr>
  </w:style>
  <w:style w:type="character" w:customStyle="1" w:styleId="UnresolvedMention1">
    <w:name w:val="Unresolved Mention1"/>
    <w:basedOn w:val="DefaultParagraphFont"/>
    <w:uiPriority w:val="99"/>
    <w:unhideWhenUsed/>
    <w:rsid w:val="00B666FB"/>
    <w:rPr>
      <w:color w:val="605E5C"/>
      <w:shd w:val="clear" w:color="auto" w:fill="E1DFDD"/>
    </w:rPr>
  </w:style>
  <w:style w:type="character" w:customStyle="1" w:styleId="Mention1">
    <w:name w:val="Mention1"/>
    <w:basedOn w:val="DefaultParagraphFont"/>
    <w:uiPriority w:val="99"/>
    <w:unhideWhenUsed/>
    <w:rsid w:val="00B666FB"/>
    <w:rPr>
      <w:color w:val="2B579A"/>
      <w:shd w:val="clear" w:color="auto" w:fill="E1DFDD"/>
    </w:rPr>
  </w:style>
  <w:style w:type="character" w:customStyle="1" w:styleId="UnresolvedMention2">
    <w:name w:val="Unresolved Mention2"/>
    <w:basedOn w:val="DefaultParagraphFont"/>
    <w:uiPriority w:val="99"/>
    <w:unhideWhenUsed/>
    <w:rsid w:val="0064735B"/>
    <w:rPr>
      <w:color w:val="605E5C"/>
      <w:shd w:val="clear" w:color="auto" w:fill="E1DFDD"/>
    </w:rPr>
  </w:style>
  <w:style w:type="character" w:customStyle="1" w:styleId="Mention2">
    <w:name w:val="Mention2"/>
    <w:basedOn w:val="DefaultParagraphFont"/>
    <w:uiPriority w:val="99"/>
    <w:unhideWhenUsed/>
    <w:rsid w:val="0064735B"/>
    <w:rPr>
      <w:color w:val="2B579A"/>
      <w:shd w:val="clear" w:color="auto" w:fill="E1DFDD"/>
    </w:rPr>
  </w:style>
  <w:style w:type="character" w:customStyle="1" w:styleId="eop">
    <w:name w:val="eop"/>
    <w:basedOn w:val="DefaultParagraphFont"/>
    <w:rsid w:val="00CD6442"/>
  </w:style>
  <w:style w:type="character" w:styleId="UnresolvedMention">
    <w:name w:val="Unresolved Mention"/>
    <w:basedOn w:val="DefaultParagraphFont"/>
    <w:uiPriority w:val="99"/>
    <w:unhideWhenUsed/>
    <w:rsid w:val="006A0FC2"/>
    <w:rPr>
      <w:color w:val="605E5C"/>
      <w:shd w:val="clear" w:color="auto" w:fill="E1DFDD"/>
    </w:rPr>
  </w:style>
  <w:style w:type="character" w:styleId="Mention">
    <w:name w:val="Mention"/>
    <w:basedOn w:val="DefaultParagraphFont"/>
    <w:uiPriority w:val="99"/>
    <w:unhideWhenUsed/>
    <w:rsid w:val="00054354"/>
    <w:rPr>
      <w:color w:val="2B579A"/>
      <w:shd w:val="clear" w:color="auto" w:fill="E1DFDD"/>
    </w:rPr>
  </w:style>
  <w:style w:type="paragraph" w:customStyle="1" w:styleId="AASBNormal">
    <w:name w:val="AASB Normal"/>
    <w:basedOn w:val="IASBNormal"/>
    <w:qFormat/>
    <w:rsid w:val="000A3347"/>
    <w:pPr>
      <w:tabs>
        <w:tab w:val="clear" w:pos="4253"/>
        <w:tab w:val="left" w:pos="782"/>
      </w:tabs>
    </w:pPr>
  </w:style>
  <w:style w:type="paragraph" w:customStyle="1" w:styleId="ListPara">
    <w:name w:val="List Para"/>
    <w:basedOn w:val="Normal"/>
    <w:rsid w:val="004E4871"/>
    <w:pPr>
      <w:spacing w:after="100"/>
      <w:ind w:left="1134" w:hanging="567"/>
    </w:pPr>
    <w:rPr>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8335">
      <w:bodyDiv w:val="1"/>
      <w:marLeft w:val="0"/>
      <w:marRight w:val="0"/>
      <w:marTop w:val="0"/>
      <w:marBottom w:val="0"/>
      <w:divBdr>
        <w:top w:val="none" w:sz="0" w:space="0" w:color="auto"/>
        <w:left w:val="none" w:sz="0" w:space="0" w:color="auto"/>
        <w:bottom w:val="none" w:sz="0" w:space="0" w:color="auto"/>
        <w:right w:val="none" w:sz="0" w:space="0" w:color="auto"/>
      </w:divBdr>
    </w:div>
    <w:div w:id="120193496">
      <w:bodyDiv w:val="1"/>
      <w:marLeft w:val="0"/>
      <w:marRight w:val="0"/>
      <w:marTop w:val="0"/>
      <w:marBottom w:val="0"/>
      <w:divBdr>
        <w:top w:val="none" w:sz="0" w:space="0" w:color="auto"/>
        <w:left w:val="none" w:sz="0" w:space="0" w:color="auto"/>
        <w:bottom w:val="none" w:sz="0" w:space="0" w:color="auto"/>
        <w:right w:val="none" w:sz="0" w:space="0" w:color="auto"/>
      </w:divBdr>
    </w:div>
    <w:div w:id="389619668">
      <w:bodyDiv w:val="1"/>
      <w:marLeft w:val="0"/>
      <w:marRight w:val="0"/>
      <w:marTop w:val="0"/>
      <w:marBottom w:val="0"/>
      <w:divBdr>
        <w:top w:val="none" w:sz="0" w:space="0" w:color="auto"/>
        <w:left w:val="none" w:sz="0" w:space="0" w:color="auto"/>
        <w:bottom w:val="none" w:sz="0" w:space="0" w:color="auto"/>
        <w:right w:val="none" w:sz="0" w:space="0" w:color="auto"/>
      </w:divBdr>
    </w:div>
    <w:div w:id="463355823">
      <w:bodyDiv w:val="1"/>
      <w:marLeft w:val="0"/>
      <w:marRight w:val="0"/>
      <w:marTop w:val="0"/>
      <w:marBottom w:val="0"/>
      <w:divBdr>
        <w:top w:val="none" w:sz="0" w:space="0" w:color="auto"/>
        <w:left w:val="none" w:sz="0" w:space="0" w:color="auto"/>
        <w:bottom w:val="none" w:sz="0" w:space="0" w:color="auto"/>
        <w:right w:val="none" w:sz="0" w:space="0" w:color="auto"/>
      </w:divBdr>
    </w:div>
    <w:div w:id="832720258">
      <w:bodyDiv w:val="1"/>
      <w:marLeft w:val="0"/>
      <w:marRight w:val="0"/>
      <w:marTop w:val="0"/>
      <w:marBottom w:val="0"/>
      <w:divBdr>
        <w:top w:val="none" w:sz="0" w:space="0" w:color="auto"/>
        <w:left w:val="none" w:sz="0" w:space="0" w:color="auto"/>
        <w:bottom w:val="none" w:sz="0" w:space="0" w:color="auto"/>
        <w:right w:val="none" w:sz="0" w:space="0" w:color="auto"/>
      </w:divBdr>
    </w:div>
    <w:div w:id="933897435">
      <w:bodyDiv w:val="1"/>
      <w:marLeft w:val="0"/>
      <w:marRight w:val="0"/>
      <w:marTop w:val="0"/>
      <w:marBottom w:val="0"/>
      <w:divBdr>
        <w:top w:val="none" w:sz="0" w:space="0" w:color="auto"/>
        <w:left w:val="none" w:sz="0" w:space="0" w:color="auto"/>
        <w:bottom w:val="none" w:sz="0" w:space="0" w:color="auto"/>
        <w:right w:val="none" w:sz="0" w:space="0" w:color="auto"/>
      </w:divBdr>
    </w:div>
    <w:div w:id="952204231">
      <w:bodyDiv w:val="1"/>
      <w:marLeft w:val="0"/>
      <w:marRight w:val="0"/>
      <w:marTop w:val="0"/>
      <w:marBottom w:val="0"/>
      <w:divBdr>
        <w:top w:val="none" w:sz="0" w:space="0" w:color="auto"/>
        <w:left w:val="none" w:sz="0" w:space="0" w:color="auto"/>
        <w:bottom w:val="none" w:sz="0" w:space="0" w:color="auto"/>
        <w:right w:val="none" w:sz="0" w:space="0" w:color="auto"/>
      </w:divBdr>
    </w:div>
    <w:div w:id="988090849">
      <w:bodyDiv w:val="1"/>
      <w:marLeft w:val="0"/>
      <w:marRight w:val="0"/>
      <w:marTop w:val="0"/>
      <w:marBottom w:val="0"/>
      <w:divBdr>
        <w:top w:val="none" w:sz="0" w:space="0" w:color="auto"/>
        <w:left w:val="none" w:sz="0" w:space="0" w:color="auto"/>
        <w:bottom w:val="none" w:sz="0" w:space="0" w:color="auto"/>
        <w:right w:val="none" w:sz="0" w:space="0" w:color="auto"/>
      </w:divBdr>
    </w:div>
    <w:div w:id="1049770671">
      <w:bodyDiv w:val="1"/>
      <w:marLeft w:val="0"/>
      <w:marRight w:val="0"/>
      <w:marTop w:val="0"/>
      <w:marBottom w:val="0"/>
      <w:divBdr>
        <w:top w:val="none" w:sz="0" w:space="0" w:color="auto"/>
        <w:left w:val="none" w:sz="0" w:space="0" w:color="auto"/>
        <w:bottom w:val="none" w:sz="0" w:space="0" w:color="auto"/>
        <w:right w:val="none" w:sz="0" w:space="0" w:color="auto"/>
      </w:divBdr>
    </w:div>
    <w:div w:id="1121219192">
      <w:bodyDiv w:val="1"/>
      <w:marLeft w:val="0"/>
      <w:marRight w:val="0"/>
      <w:marTop w:val="0"/>
      <w:marBottom w:val="0"/>
      <w:divBdr>
        <w:top w:val="none" w:sz="0" w:space="0" w:color="auto"/>
        <w:left w:val="none" w:sz="0" w:space="0" w:color="auto"/>
        <w:bottom w:val="none" w:sz="0" w:space="0" w:color="auto"/>
        <w:right w:val="none" w:sz="0" w:space="0" w:color="auto"/>
      </w:divBdr>
    </w:div>
    <w:div w:id="1199053723">
      <w:bodyDiv w:val="1"/>
      <w:marLeft w:val="0"/>
      <w:marRight w:val="0"/>
      <w:marTop w:val="0"/>
      <w:marBottom w:val="0"/>
      <w:divBdr>
        <w:top w:val="none" w:sz="0" w:space="0" w:color="auto"/>
        <w:left w:val="none" w:sz="0" w:space="0" w:color="auto"/>
        <w:bottom w:val="none" w:sz="0" w:space="0" w:color="auto"/>
        <w:right w:val="none" w:sz="0" w:space="0" w:color="auto"/>
      </w:divBdr>
    </w:div>
    <w:div w:id="1271546093">
      <w:bodyDiv w:val="1"/>
      <w:marLeft w:val="0"/>
      <w:marRight w:val="0"/>
      <w:marTop w:val="0"/>
      <w:marBottom w:val="0"/>
      <w:divBdr>
        <w:top w:val="none" w:sz="0" w:space="0" w:color="auto"/>
        <w:left w:val="none" w:sz="0" w:space="0" w:color="auto"/>
        <w:bottom w:val="none" w:sz="0" w:space="0" w:color="auto"/>
        <w:right w:val="none" w:sz="0" w:space="0" w:color="auto"/>
      </w:divBdr>
    </w:div>
    <w:div w:id="1422410441">
      <w:bodyDiv w:val="1"/>
      <w:marLeft w:val="0"/>
      <w:marRight w:val="0"/>
      <w:marTop w:val="0"/>
      <w:marBottom w:val="0"/>
      <w:divBdr>
        <w:top w:val="none" w:sz="0" w:space="0" w:color="auto"/>
        <w:left w:val="none" w:sz="0" w:space="0" w:color="auto"/>
        <w:bottom w:val="none" w:sz="0" w:space="0" w:color="auto"/>
        <w:right w:val="none" w:sz="0" w:space="0" w:color="auto"/>
      </w:divBdr>
    </w:div>
    <w:div w:id="1491168700">
      <w:bodyDiv w:val="1"/>
      <w:marLeft w:val="0"/>
      <w:marRight w:val="0"/>
      <w:marTop w:val="0"/>
      <w:marBottom w:val="0"/>
      <w:divBdr>
        <w:top w:val="none" w:sz="0" w:space="0" w:color="auto"/>
        <w:left w:val="none" w:sz="0" w:space="0" w:color="auto"/>
        <w:bottom w:val="none" w:sz="0" w:space="0" w:color="auto"/>
        <w:right w:val="none" w:sz="0" w:space="0" w:color="auto"/>
      </w:divBdr>
    </w:div>
    <w:div w:id="1582372010">
      <w:bodyDiv w:val="1"/>
      <w:marLeft w:val="0"/>
      <w:marRight w:val="0"/>
      <w:marTop w:val="0"/>
      <w:marBottom w:val="0"/>
      <w:divBdr>
        <w:top w:val="none" w:sz="0" w:space="0" w:color="auto"/>
        <w:left w:val="none" w:sz="0" w:space="0" w:color="auto"/>
        <w:bottom w:val="none" w:sz="0" w:space="0" w:color="auto"/>
        <w:right w:val="none" w:sz="0" w:space="0" w:color="auto"/>
      </w:divBdr>
    </w:div>
    <w:div w:id="1790929835">
      <w:bodyDiv w:val="1"/>
      <w:marLeft w:val="0"/>
      <w:marRight w:val="0"/>
      <w:marTop w:val="0"/>
      <w:marBottom w:val="0"/>
      <w:divBdr>
        <w:top w:val="none" w:sz="0" w:space="0" w:color="auto"/>
        <w:left w:val="none" w:sz="0" w:space="0" w:color="auto"/>
        <w:bottom w:val="none" w:sz="0" w:space="0" w:color="auto"/>
        <w:right w:val="none" w:sz="0" w:space="0" w:color="auto"/>
      </w:divBdr>
    </w:div>
    <w:div w:id="18152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ct:contentTypeSchema xmlns:ct="http://schemas.microsoft.com/office/2006/metadata/contentType" xmlns:ma="http://schemas.microsoft.com/office/2006/metadata/properties/metaAttributes" ct:_="" ma:_="" ma:contentTypeName="Document" ma:contentTypeID="0x0101009631990F91A9D744B9B29EE96453A5E8" ma:contentTypeVersion="7" ma:contentTypeDescription="Create a new document." ma:contentTypeScope="" ma:versionID="decca1d6e5cb596b40c8003e660a3507">
  <xsd:schema xmlns:xsd="http://www.w3.org/2001/XMLSchema" xmlns:xs="http://www.w3.org/2001/XMLSchema" xmlns:p="http://schemas.microsoft.com/office/2006/metadata/properties" xmlns:ns3="557c4cde-39f4-41f0-84f3-10cc916c05ed" xmlns:ns4="3764cd7e-7e3f-40e3-a0e0-bd6f294f2306" targetNamespace="http://schemas.microsoft.com/office/2006/metadata/properties" ma:root="true" ma:fieldsID="b9597840587b3fd4ef122ba564506fd0" ns3:_="" ns4:_="">
    <xsd:import namespace="557c4cde-39f4-41f0-84f3-10cc916c05ed"/>
    <xsd:import namespace="3764cd7e-7e3f-40e3-a0e0-bd6f294f2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4cde-39f4-41f0-84f3-10cc916c0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4cd7e-7e3f-40e3-a0e0-bd6f294f2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806E5-C5CD-4156-8968-04B9075BCE7E}">
  <ds:schemaRefs>
    <ds:schemaRef ds:uri="http://schemas.microsoft.com/sharepoint/v3/contenttype/forms"/>
  </ds:schemaRefs>
</ds:datastoreItem>
</file>

<file path=customXml/itemProps2.xml><?xml version="1.0" encoding="utf-8"?>
<ds:datastoreItem xmlns:ds="http://schemas.openxmlformats.org/officeDocument/2006/customXml" ds:itemID="{D3E66933-2759-4A64-883F-B2FE0A3429AD}">
  <ds:schemaRef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3764cd7e-7e3f-40e3-a0e0-bd6f294f2306"/>
    <ds:schemaRef ds:uri="557c4cde-39f4-41f0-84f3-10cc916c05ed"/>
    <ds:schemaRef ds:uri="http://purl.org/dc/terms/"/>
  </ds:schemaRefs>
</ds:datastoreItem>
</file>

<file path=customXml/itemProps3.xml><?xml version="1.0" encoding="utf-8"?>
<ds:datastoreItem xmlns:ds="http://schemas.openxmlformats.org/officeDocument/2006/customXml" ds:itemID="{47EA2D4A-68D1-406D-B14B-8ADFE1AE4B32}">
  <ds:schemaRefs>
    <ds:schemaRef ds:uri="http://schemas.openxmlformats.org/officeDocument/2006/bibliography"/>
  </ds:schemaRefs>
</ds:datastoreItem>
</file>

<file path=customXml/itemProps4.xml><?xml version="1.0" encoding="utf-8"?>
<ds:datastoreItem xmlns:ds="http://schemas.openxmlformats.org/officeDocument/2006/customXml" ds:itemID="{88242AB8-B9DF-40C7-AD04-300F8213D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4cde-39f4-41f0-84f3-10cc916c05ed"/>
    <ds:schemaRef ds:uri="3764cd7e-7e3f-40e3-a0e0-bd6f294f2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97</Pages>
  <Words>46937</Words>
  <Characters>262389</Characters>
  <Application>Microsoft Office Word</Application>
  <DocSecurity>0</DocSecurity>
  <Lines>2186</Lines>
  <Paragraphs>617</Paragraphs>
  <ScaleCrop>false</ScaleCrop>
  <HeadingPairs>
    <vt:vector size="2" baseType="variant">
      <vt:variant>
        <vt:lpstr>Title</vt:lpstr>
      </vt:variant>
      <vt:variant>
        <vt:i4>1</vt:i4>
      </vt:variant>
    </vt:vector>
  </HeadingPairs>
  <TitlesOfParts>
    <vt:vector size="1" baseType="lpstr">
      <vt:lpstr>Compiled AASB 1060 (March 2021)</vt:lpstr>
    </vt:vector>
  </TitlesOfParts>
  <Company>Tertiary Education Quality and Standards Agency</Company>
  <LinksUpToDate>false</LinksUpToDate>
  <CharactersWithSpaces>308709</CharactersWithSpaces>
  <SharedDoc>false</SharedDoc>
  <HLinks>
    <vt:vector size="36" baseType="variant">
      <vt:variant>
        <vt:i4>6488163</vt:i4>
      </vt:variant>
      <vt:variant>
        <vt:i4>68</vt:i4>
      </vt:variant>
      <vt:variant>
        <vt:i4>0</vt:i4>
      </vt:variant>
      <vt:variant>
        <vt:i4>5</vt:i4>
      </vt:variant>
      <vt:variant>
        <vt:lpwstr/>
      </vt:variant>
      <vt:variant>
        <vt:lpwstr>AcctingPolicies</vt:lpwstr>
      </vt:variant>
      <vt:variant>
        <vt:i4>7078010</vt:i4>
      </vt:variant>
      <vt:variant>
        <vt:i4>65</vt:i4>
      </vt:variant>
      <vt:variant>
        <vt:i4>0</vt:i4>
      </vt:variant>
      <vt:variant>
        <vt:i4>5</vt:i4>
      </vt:variant>
      <vt:variant>
        <vt:lpwstr/>
      </vt:variant>
      <vt:variant>
        <vt:lpwstr>ImpairmentofAssets</vt:lpwstr>
      </vt:variant>
      <vt:variant>
        <vt:i4>7274614</vt:i4>
      </vt:variant>
      <vt:variant>
        <vt:i4>62</vt:i4>
      </vt:variant>
      <vt:variant>
        <vt:i4>0</vt:i4>
      </vt:variant>
      <vt:variant>
        <vt:i4>5</vt:i4>
      </vt:variant>
      <vt:variant>
        <vt:lpwstr/>
      </vt:variant>
      <vt:variant>
        <vt:lpwstr>Intangibles</vt:lpwstr>
      </vt:variant>
      <vt:variant>
        <vt:i4>7340144</vt:i4>
      </vt:variant>
      <vt:variant>
        <vt:i4>59</vt:i4>
      </vt:variant>
      <vt:variant>
        <vt:i4>0</vt:i4>
      </vt:variant>
      <vt:variant>
        <vt:i4>5</vt:i4>
      </vt:variant>
      <vt:variant>
        <vt:lpwstr/>
      </vt:variant>
      <vt:variant>
        <vt:lpwstr>PPE</vt:lpwstr>
      </vt:variant>
      <vt:variant>
        <vt:i4>6619240</vt:i4>
      </vt:variant>
      <vt:variant>
        <vt:i4>56</vt:i4>
      </vt:variant>
      <vt:variant>
        <vt:i4>0</vt:i4>
      </vt:variant>
      <vt:variant>
        <vt:i4>5</vt:i4>
      </vt:variant>
      <vt:variant>
        <vt:lpwstr/>
      </vt:variant>
      <vt:variant>
        <vt:lpwstr>Leases</vt:lpwstr>
      </vt:variant>
      <vt:variant>
        <vt:i4>262152</vt:i4>
      </vt:variant>
      <vt:variant>
        <vt:i4>53</vt:i4>
      </vt:variant>
      <vt:variant>
        <vt:i4>0</vt:i4>
      </vt:variant>
      <vt:variant>
        <vt:i4>5</vt:i4>
      </vt:variant>
      <vt:variant>
        <vt:lpwstr/>
      </vt:variant>
      <vt:variant>
        <vt:lpwstr>StmtPLandOCI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1060 (March 2021)</dc:title>
  <dc:subject/>
  <dc:creator>.</dc:creator>
  <cp:keywords/>
  <cp:lastModifiedBy>Clark Anstis</cp:lastModifiedBy>
  <cp:revision>244</cp:revision>
  <cp:lastPrinted>2020-03-21T03:36:00Z</cp:lastPrinted>
  <dcterms:created xsi:type="dcterms:W3CDTF">2021-09-16T22:12:00Z</dcterms:created>
  <dcterms:modified xsi:type="dcterms:W3CDTF">2021-11-03T05:20:00Z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0x0101009631990F91A9D744B9B29EE96453A5E8</vt:lpwstr>
  </property>
  <property fmtid="{D5CDD505-2E9C-101B-9397-08002B2CF9AE}" pid="3" name="TaxKeyword">
    <vt:lpwstr>11;#aasb 10xx|2e430d4a-e818-4d8d-aea8-3f460f2bdc01;#12;#income of not-for-profits|8d493c99-636c-4241-b043-ac54b55b159d</vt:lpwstr>
  </property>
  <property fmtid="{D5CDD505-2E9C-101B-9397-08002B2CF9AE}" pid="4" name="Term">
    <vt:lpwstr>52;#Standard - Final|8ce87724-35c3-451a-b91a-5e50d8ae86a7</vt:lpwstr>
  </property>
  <property fmtid="{D5CDD505-2E9C-101B-9397-08002B2CF9AE}" pid="5" name="_dlc_DocIdItemGuid">
    <vt:lpwstr>27adbc7d-0131-4234-9e82-b64aa47695a9</vt:lpwstr>
  </property>
</Properties>
</file>