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3000E" w14:textId="77777777" w:rsidR="00414BC3" w:rsidRPr="001B1D7C" w:rsidRDefault="00414BC3" w:rsidP="00A94F2A">
      <w:pPr>
        <w:pStyle w:val="CoverTitle"/>
        <w:spacing w:after="600"/>
        <w:jc w:val="center"/>
      </w:pPr>
      <w:bookmarkStart w:id="0" w:name="_GoBack"/>
      <w:bookmarkEnd w:id="0"/>
      <w:r w:rsidRPr="001B1D7C">
        <w:t>Explanatory Statement</w:t>
      </w:r>
    </w:p>
    <w:p w14:paraId="1CB81A28" w14:textId="5DE5CA99" w:rsidR="006776BD" w:rsidRPr="009F3698" w:rsidRDefault="00396BCD" w:rsidP="009F3698">
      <w:pPr>
        <w:pStyle w:val="CoverTitle"/>
        <w:spacing w:after="120"/>
        <w:jc w:val="center"/>
        <w:rPr>
          <w:i/>
          <w:sz w:val="36"/>
          <w:szCs w:val="36"/>
        </w:rPr>
      </w:pPr>
      <w:r w:rsidRPr="001B1D7C">
        <w:rPr>
          <w:sz w:val="36"/>
          <w:szCs w:val="36"/>
        </w:rPr>
        <w:t xml:space="preserve">Accounting Standard </w:t>
      </w:r>
      <w:r w:rsidR="005F4451" w:rsidRPr="001B1D7C">
        <w:rPr>
          <w:sz w:val="36"/>
          <w:szCs w:val="36"/>
        </w:rPr>
        <w:t>AASB</w:t>
      </w:r>
      <w:r w:rsidR="00F913AF">
        <w:rPr>
          <w:sz w:val="36"/>
          <w:szCs w:val="36"/>
        </w:rPr>
        <w:t> </w:t>
      </w:r>
      <w:r w:rsidR="006617A0">
        <w:rPr>
          <w:sz w:val="36"/>
          <w:szCs w:val="36"/>
        </w:rPr>
        <w:t>10</w:t>
      </w:r>
      <w:r w:rsidR="006B3739">
        <w:rPr>
          <w:sz w:val="36"/>
          <w:szCs w:val="36"/>
        </w:rPr>
        <w:t>60</w:t>
      </w:r>
      <w:r w:rsidR="00347521" w:rsidRPr="00314DC3">
        <w:rPr>
          <w:sz w:val="36"/>
          <w:szCs w:val="36"/>
        </w:rPr>
        <w:br/>
      </w:r>
      <w:r w:rsidR="00B64CE9">
        <w:rPr>
          <w:i/>
          <w:sz w:val="36"/>
          <w:szCs w:val="36"/>
        </w:rPr>
        <w:t>General Purpose Financial Statements – Simplified Disclosures for For</w:t>
      </w:r>
      <w:r w:rsidR="005F641F">
        <w:rPr>
          <w:i/>
          <w:sz w:val="36"/>
          <w:szCs w:val="36"/>
        </w:rPr>
        <w:t>-Profit and Not-for-Profit Tier 2 Entities</w:t>
      </w:r>
      <w:r w:rsidR="00753AD8">
        <w:rPr>
          <w:i/>
          <w:sz w:val="36"/>
          <w:szCs w:val="36"/>
        </w:rPr>
        <w:br/>
      </w:r>
    </w:p>
    <w:p w14:paraId="404A1F6F" w14:textId="77777777" w:rsidR="00D36B1E" w:rsidRPr="001B1D7C" w:rsidRDefault="00D36B1E" w:rsidP="00D36B1E">
      <w:pPr>
        <w:pStyle w:val="CoverSubtitle"/>
        <w:spacing w:after="3120"/>
        <w:rPr>
          <w:sz w:val="32"/>
          <w:szCs w:val="32"/>
        </w:rPr>
      </w:pPr>
    </w:p>
    <w:p w14:paraId="76A4C860" w14:textId="44732BD6" w:rsidR="00D36B1E" w:rsidRPr="001B1D7C" w:rsidRDefault="009A337C" w:rsidP="00D36B1E">
      <w:pPr>
        <w:pStyle w:val="CoverDate"/>
        <w:tabs>
          <w:tab w:val="left" w:pos="3794"/>
          <w:tab w:val="left" w:pos="6232"/>
        </w:tabs>
        <w:spacing w:before="840"/>
        <w:jc w:val="center"/>
        <w:rPr>
          <w:b/>
          <w:sz w:val="28"/>
          <w:szCs w:val="28"/>
        </w:rPr>
      </w:pPr>
      <w:r>
        <w:rPr>
          <w:b/>
          <w:sz w:val="28"/>
          <w:szCs w:val="28"/>
        </w:rPr>
        <w:t xml:space="preserve">March </w:t>
      </w:r>
      <w:r w:rsidR="007A218F">
        <w:rPr>
          <w:b/>
          <w:sz w:val="28"/>
          <w:szCs w:val="28"/>
        </w:rPr>
        <w:t>20</w:t>
      </w:r>
      <w:r>
        <w:rPr>
          <w:b/>
          <w:sz w:val="28"/>
          <w:szCs w:val="28"/>
        </w:rPr>
        <w:t>20</w:t>
      </w:r>
    </w:p>
    <w:p w14:paraId="199CBD61" w14:textId="77777777" w:rsidR="00414BC3" w:rsidRPr="00314DC3" w:rsidRDefault="00624317">
      <w:pPr>
        <w:sectPr w:rsidR="00414BC3" w:rsidRPr="00314DC3" w:rsidSect="00B93CE4">
          <w:pgSz w:w="11907" w:h="16840"/>
          <w:pgMar w:top="1134" w:right="1134" w:bottom="1134" w:left="1134" w:header="720" w:footer="720" w:gutter="0"/>
          <w:cols w:space="720"/>
        </w:sectPr>
      </w:pPr>
      <w:r>
        <w:rPr>
          <w:noProof/>
        </w:rPr>
        <w:object w:dxaOrig="1440" w:dyaOrig="1440" w14:anchorId="4520EC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ustralian Government - Australian Accounting Standards Board" style="position:absolute;margin-left:0;margin-top:0;width:123.05pt;height:95.75pt;z-index:251658240;visibility:visible;mso-wrap-edited:f;mso-position-horizontal:left;mso-position-horizontal-relative:margin;mso-position-vertical:bottom;mso-position-vertical-relative:margin">
            <v:imagedata r:id="rId11" o:title=""/>
            <w10:wrap anchorx="margin" anchory="margin"/>
            <w10:anchorlock/>
          </v:shape>
          <o:OLEObject Type="Embed" ProgID="Word.Picture.8" ShapeID="_x0000_s1026" DrawAspect="Content" ObjectID="_1646050886" r:id="rId12"/>
        </w:object>
      </w:r>
    </w:p>
    <w:p w14:paraId="2D19E39E" w14:textId="77777777" w:rsidR="00414BC3" w:rsidRPr="00314DC3" w:rsidRDefault="00414BC3">
      <w:pPr>
        <w:pStyle w:val="Heading1"/>
      </w:pPr>
      <w:r w:rsidRPr="00314DC3">
        <w:lastRenderedPageBreak/>
        <w:t>EXPLANATORY STATEMENT</w:t>
      </w:r>
    </w:p>
    <w:p w14:paraId="537A3EA5" w14:textId="45E30B37" w:rsidR="00FD4C0C" w:rsidRPr="00127350" w:rsidRDefault="00FD4C0C" w:rsidP="00F73663">
      <w:pPr>
        <w:pStyle w:val="Heading2"/>
      </w:pPr>
      <w:r w:rsidRPr="00127350">
        <w:t>Main Features of AASB</w:t>
      </w:r>
      <w:r w:rsidR="00375119">
        <w:t> </w:t>
      </w:r>
      <w:r w:rsidR="00F86853">
        <w:t>10</w:t>
      </w:r>
      <w:r w:rsidR="007D7AE0">
        <w:t>60</w:t>
      </w:r>
    </w:p>
    <w:p w14:paraId="13C20FD1" w14:textId="77777777" w:rsidR="00ED4F33" w:rsidRPr="001B1D7C" w:rsidRDefault="00ED4F33" w:rsidP="00ED4F33">
      <w:pPr>
        <w:pStyle w:val="Heading3"/>
      </w:pPr>
      <w:r w:rsidRPr="001B1D7C">
        <w:t>Main Requirements</w:t>
      </w:r>
    </w:p>
    <w:p w14:paraId="0906A8F8" w14:textId="0BC715BF" w:rsidR="007B54C3" w:rsidRPr="007B54C3" w:rsidRDefault="007B54C3" w:rsidP="00755499">
      <w:pPr>
        <w:pStyle w:val="Heading3"/>
        <w:spacing w:line="200" w:lineRule="exact"/>
        <w:jc w:val="both"/>
        <w:rPr>
          <w:rFonts w:cs="Times New Roman"/>
          <w:b w:val="0"/>
          <w:bCs w:val="0"/>
          <w:iCs w:val="0"/>
          <w:sz w:val="20"/>
          <w:szCs w:val="20"/>
        </w:rPr>
      </w:pPr>
      <w:r w:rsidRPr="007B54C3">
        <w:rPr>
          <w:rFonts w:cs="Times New Roman"/>
          <w:b w:val="0"/>
          <w:bCs w:val="0"/>
          <w:iCs w:val="0"/>
          <w:sz w:val="20"/>
          <w:szCs w:val="20"/>
        </w:rPr>
        <w:t>This Standard sets out a new, separate disclosure Standard to be applied by all entities that are reporting under Tier 2 of the Differential Reporting Framework in AASB 1053</w:t>
      </w:r>
      <w:r w:rsidR="00FF7B22">
        <w:rPr>
          <w:rFonts w:cs="Times New Roman"/>
          <w:b w:val="0"/>
          <w:bCs w:val="0"/>
          <w:iCs w:val="0"/>
          <w:sz w:val="20"/>
          <w:szCs w:val="20"/>
        </w:rPr>
        <w:t xml:space="preserve"> </w:t>
      </w:r>
      <w:r w:rsidR="005D70F7" w:rsidRPr="00755499">
        <w:rPr>
          <w:rFonts w:cs="Times New Roman"/>
          <w:b w:val="0"/>
          <w:bCs w:val="0"/>
          <w:iCs w:val="0"/>
          <w:sz w:val="20"/>
          <w:szCs w:val="20"/>
        </w:rPr>
        <w:t>Application of Tiers of Australian Accounting Standards</w:t>
      </w:r>
      <w:r w:rsidRPr="007B54C3">
        <w:rPr>
          <w:rFonts w:cs="Times New Roman"/>
          <w:b w:val="0"/>
          <w:bCs w:val="0"/>
          <w:iCs w:val="0"/>
          <w:sz w:val="20"/>
          <w:szCs w:val="20"/>
        </w:rPr>
        <w:t xml:space="preserve">. This Standard has been developed based on a new methodology and principles to be used in determining the Tier 2 disclosures that are necessary for meeting user needs, to replace the current Reduced Disclosure Requirements (RDR) framework. The methodology and principles applied are outlined in the Basis for Conclusions to this Standard. </w:t>
      </w:r>
    </w:p>
    <w:p w14:paraId="5F8CF634" w14:textId="77777777" w:rsidR="007B54C3" w:rsidRPr="007B54C3" w:rsidRDefault="007B54C3" w:rsidP="00755499">
      <w:pPr>
        <w:pStyle w:val="Heading3"/>
        <w:spacing w:line="200" w:lineRule="exact"/>
        <w:jc w:val="both"/>
        <w:rPr>
          <w:rFonts w:cs="Times New Roman"/>
          <w:b w:val="0"/>
          <w:bCs w:val="0"/>
          <w:iCs w:val="0"/>
          <w:sz w:val="20"/>
          <w:szCs w:val="20"/>
        </w:rPr>
      </w:pPr>
      <w:r w:rsidRPr="007B54C3">
        <w:rPr>
          <w:rFonts w:cs="Times New Roman"/>
          <w:b w:val="0"/>
          <w:bCs w:val="0"/>
          <w:iCs w:val="0"/>
          <w:sz w:val="20"/>
          <w:szCs w:val="20"/>
        </w:rPr>
        <w:t xml:space="preserve">This Standard does not change: </w:t>
      </w:r>
    </w:p>
    <w:p w14:paraId="3DCE0700" w14:textId="77777777" w:rsidR="007B54C3" w:rsidRPr="007B54C3" w:rsidRDefault="007B54C3" w:rsidP="00755499">
      <w:pPr>
        <w:pStyle w:val="Heading3"/>
        <w:spacing w:line="200" w:lineRule="exact"/>
        <w:contextualSpacing/>
        <w:jc w:val="both"/>
        <w:rPr>
          <w:rFonts w:cs="Times New Roman"/>
          <w:b w:val="0"/>
          <w:bCs w:val="0"/>
          <w:iCs w:val="0"/>
          <w:sz w:val="20"/>
          <w:szCs w:val="20"/>
        </w:rPr>
      </w:pPr>
      <w:r w:rsidRPr="007B54C3">
        <w:rPr>
          <w:rFonts w:cs="Times New Roman"/>
          <w:b w:val="0"/>
          <w:bCs w:val="0"/>
          <w:iCs w:val="0"/>
          <w:sz w:val="20"/>
          <w:szCs w:val="20"/>
        </w:rPr>
        <w:t>•</w:t>
      </w:r>
      <w:r w:rsidRPr="007B54C3">
        <w:rPr>
          <w:rFonts w:cs="Times New Roman"/>
          <w:b w:val="0"/>
          <w:bCs w:val="0"/>
          <w:iCs w:val="0"/>
          <w:sz w:val="20"/>
          <w:szCs w:val="20"/>
        </w:rPr>
        <w:tab/>
        <w:t xml:space="preserve">which entities are permitted to apply Tier 2 reporting requirements; and </w:t>
      </w:r>
    </w:p>
    <w:p w14:paraId="23EF6A3C" w14:textId="77777777" w:rsidR="007B54C3" w:rsidRPr="007B54C3" w:rsidRDefault="007B54C3" w:rsidP="00755499">
      <w:pPr>
        <w:pStyle w:val="Heading3"/>
        <w:spacing w:line="200" w:lineRule="exact"/>
        <w:jc w:val="both"/>
        <w:rPr>
          <w:rFonts w:cs="Times New Roman"/>
          <w:b w:val="0"/>
          <w:bCs w:val="0"/>
          <w:iCs w:val="0"/>
          <w:sz w:val="20"/>
          <w:szCs w:val="20"/>
        </w:rPr>
      </w:pPr>
      <w:r w:rsidRPr="007B54C3">
        <w:rPr>
          <w:rFonts w:cs="Times New Roman"/>
          <w:b w:val="0"/>
          <w:bCs w:val="0"/>
          <w:iCs w:val="0"/>
          <w:sz w:val="20"/>
          <w:szCs w:val="20"/>
        </w:rPr>
        <w:t>•</w:t>
      </w:r>
      <w:r w:rsidRPr="007B54C3">
        <w:rPr>
          <w:rFonts w:cs="Times New Roman"/>
          <w:b w:val="0"/>
          <w:bCs w:val="0"/>
          <w:iCs w:val="0"/>
          <w:sz w:val="20"/>
          <w:szCs w:val="20"/>
        </w:rPr>
        <w:tab/>
        <w:t xml:space="preserve">the recognition and measurement requirements of Tier 2, which are the same as for Tier 1. </w:t>
      </w:r>
    </w:p>
    <w:p w14:paraId="32CB5478" w14:textId="66CE0B0E" w:rsidR="007B54C3" w:rsidRPr="007B54C3" w:rsidRDefault="007B54C3" w:rsidP="00755499">
      <w:pPr>
        <w:pStyle w:val="Heading3"/>
        <w:spacing w:line="200" w:lineRule="exact"/>
        <w:jc w:val="both"/>
        <w:rPr>
          <w:rFonts w:cs="Times New Roman"/>
          <w:b w:val="0"/>
          <w:bCs w:val="0"/>
          <w:iCs w:val="0"/>
          <w:sz w:val="20"/>
          <w:szCs w:val="20"/>
        </w:rPr>
      </w:pPr>
      <w:r w:rsidRPr="007B54C3">
        <w:rPr>
          <w:rFonts w:cs="Times New Roman"/>
          <w:b w:val="0"/>
          <w:bCs w:val="0"/>
          <w:iCs w:val="0"/>
          <w:sz w:val="20"/>
          <w:szCs w:val="20"/>
        </w:rPr>
        <w:t>The disclosures that are relevant to Tier 2 entities are set out in this separate Standard</w:t>
      </w:r>
      <w:r w:rsidR="000360B2">
        <w:rPr>
          <w:rFonts w:cs="Times New Roman"/>
          <w:b w:val="0"/>
          <w:bCs w:val="0"/>
          <w:iCs w:val="0"/>
          <w:sz w:val="20"/>
          <w:szCs w:val="20"/>
        </w:rPr>
        <w:t xml:space="preserve"> and are less than what is required for Tier 1 entities</w:t>
      </w:r>
      <w:r w:rsidRPr="007B54C3">
        <w:rPr>
          <w:rFonts w:cs="Times New Roman"/>
          <w:b w:val="0"/>
          <w:bCs w:val="0"/>
          <w:iCs w:val="0"/>
          <w:sz w:val="20"/>
          <w:szCs w:val="20"/>
        </w:rPr>
        <w:t>.</w:t>
      </w:r>
      <w:r w:rsidR="00B6231D">
        <w:rPr>
          <w:rFonts w:cs="Times New Roman"/>
          <w:b w:val="0"/>
          <w:bCs w:val="0"/>
          <w:iCs w:val="0"/>
          <w:sz w:val="20"/>
          <w:szCs w:val="20"/>
        </w:rPr>
        <w:t xml:space="preserve"> </w:t>
      </w:r>
      <w:r w:rsidR="00B6231D" w:rsidRPr="007B54C3">
        <w:rPr>
          <w:rFonts w:cs="Times New Roman"/>
          <w:b w:val="0"/>
          <w:bCs w:val="0"/>
          <w:iCs w:val="0"/>
          <w:sz w:val="20"/>
          <w:szCs w:val="20"/>
        </w:rPr>
        <w:t xml:space="preserve">While </w:t>
      </w:r>
      <w:r w:rsidR="000360B2">
        <w:rPr>
          <w:rFonts w:cs="Times New Roman"/>
          <w:b w:val="0"/>
          <w:bCs w:val="0"/>
          <w:iCs w:val="0"/>
          <w:sz w:val="20"/>
          <w:szCs w:val="20"/>
        </w:rPr>
        <w:t xml:space="preserve">AASB 1060 </w:t>
      </w:r>
      <w:r w:rsidR="00F001C9">
        <w:rPr>
          <w:rFonts w:cs="Times New Roman"/>
          <w:b w:val="0"/>
          <w:bCs w:val="0"/>
          <w:iCs w:val="0"/>
          <w:sz w:val="20"/>
          <w:szCs w:val="20"/>
        </w:rPr>
        <w:t xml:space="preserve">also </w:t>
      </w:r>
      <w:r w:rsidR="00B6231D" w:rsidRPr="007B54C3">
        <w:rPr>
          <w:rFonts w:cs="Times New Roman"/>
          <w:b w:val="0"/>
          <w:bCs w:val="0"/>
          <w:iCs w:val="0"/>
          <w:sz w:val="20"/>
          <w:szCs w:val="20"/>
        </w:rPr>
        <w:t xml:space="preserve">includes certain presentation requirements, these do not result in presentations or classifications that are different to those required for Tier 1 entities. The only exception is the option not to include a separate statement of changes in equity in certain circumstances, as set out in paragraph </w:t>
      </w:r>
      <w:r w:rsidR="00B6231D">
        <w:rPr>
          <w:rFonts w:cs="Times New Roman"/>
          <w:b w:val="0"/>
          <w:bCs w:val="0"/>
          <w:iCs w:val="0"/>
          <w:sz w:val="20"/>
          <w:szCs w:val="20"/>
        </w:rPr>
        <w:t>26</w:t>
      </w:r>
      <w:r w:rsidR="00B6231D" w:rsidRPr="007B54C3">
        <w:rPr>
          <w:rFonts w:cs="Times New Roman"/>
          <w:b w:val="0"/>
          <w:bCs w:val="0"/>
          <w:iCs w:val="0"/>
          <w:sz w:val="20"/>
          <w:szCs w:val="20"/>
        </w:rPr>
        <w:t xml:space="preserve"> of the Standard.</w:t>
      </w:r>
      <w:r w:rsidRPr="007B54C3">
        <w:rPr>
          <w:rFonts w:cs="Times New Roman"/>
          <w:b w:val="0"/>
          <w:bCs w:val="0"/>
          <w:iCs w:val="0"/>
          <w:sz w:val="20"/>
          <w:szCs w:val="20"/>
        </w:rPr>
        <w:t xml:space="preserve"> </w:t>
      </w:r>
    </w:p>
    <w:p w14:paraId="1B627F6A" w14:textId="02115A5C" w:rsidR="00702F66" w:rsidRDefault="00BF7284" w:rsidP="00755499">
      <w:pPr>
        <w:pStyle w:val="Heading3"/>
        <w:spacing w:line="200" w:lineRule="exact"/>
        <w:jc w:val="both"/>
        <w:rPr>
          <w:rFonts w:cs="Times New Roman"/>
          <w:b w:val="0"/>
          <w:bCs w:val="0"/>
          <w:iCs w:val="0"/>
          <w:sz w:val="20"/>
          <w:szCs w:val="20"/>
        </w:rPr>
      </w:pPr>
      <w:r>
        <w:rPr>
          <w:rFonts w:cs="Times New Roman"/>
          <w:b w:val="0"/>
          <w:bCs w:val="0"/>
          <w:iCs w:val="0"/>
          <w:sz w:val="20"/>
          <w:szCs w:val="20"/>
        </w:rPr>
        <w:t>E</w:t>
      </w:r>
      <w:r w:rsidR="007B54C3" w:rsidRPr="007B54C3">
        <w:rPr>
          <w:rFonts w:cs="Times New Roman"/>
          <w:b w:val="0"/>
          <w:bCs w:val="0"/>
          <w:iCs w:val="0"/>
          <w:sz w:val="20"/>
          <w:szCs w:val="20"/>
        </w:rPr>
        <w:t xml:space="preserve">ntities that comply with this Standard need to apply the recognition and measurement requirements in other </w:t>
      </w:r>
      <w:r w:rsidR="00E92450">
        <w:rPr>
          <w:rFonts w:cs="Times New Roman"/>
          <w:b w:val="0"/>
          <w:bCs w:val="0"/>
          <w:iCs w:val="0"/>
          <w:sz w:val="20"/>
          <w:szCs w:val="20"/>
        </w:rPr>
        <w:t xml:space="preserve">Australian Accounting </w:t>
      </w:r>
      <w:r w:rsidR="007B54C3" w:rsidRPr="007B54C3">
        <w:rPr>
          <w:rFonts w:cs="Times New Roman"/>
          <w:b w:val="0"/>
          <w:bCs w:val="0"/>
          <w:iCs w:val="0"/>
          <w:sz w:val="20"/>
          <w:szCs w:val="20"/>
        </w:rPr>
        <w:t>Standards,</w:t>
      </w:r>
      <w:r w:rsidR="004B00D4">
        <w:rPr>
          <w:rFonts w:cs="Times New Roman"/>
          <w:b w:val="0"/>
          <w:bCs w:val="0"/>
          <w:iCs w:val="0"/>
          <w:sz w:val="20"/>
          <w:szCs w:val="20"/>
        </w:rPr>
        <w:t xml:space="preserve"> </w:t>
      </w:r>
      <w:r w:rsidR="00CA2D34">
        <w:rPr>
          <w:rFonts w:cs="Times New Roman"/>
          <w:b w:val="0"/>
          <w:bCs w:val="0"/>
          <w:iCs w:val="0"/>
          <w:sz w:val="20"/>
          <w:szCs w:val="20"/>
        </w:rPr>
        <w:t xml:space="preserve">however, </w:t>
      </w:r>
      <w:r w:rsidR="007B54C3" w:rsidRPr="007B54C3">
        <w:rPr>
          <w:rFonts w:cs="Times New Roman"/>
          <w:b w:val="0"/>
          <w:bCs w:val="0"/>
          <w:iCs w:val="0"/>
          <w:sz w:val="20"/>
          <w:szCs w:val="20"/>
        </w:rPr>
        <w:t xml:space="preserve">they are exempt from the disclosure requirements in specified paragraphs in other Standards. Tier 2 entities are also not required to comply with other </w:t>
      </w:r>
      <w:r w:rsidR="00DB6EF4">
        <w:rPr>
          <w:rFonts w:cs="Times New Roman"/>
          <w:b w:val="0"/>
          <w:bCs w:val="0"/>
          <w:iCs w:val="0"/>
          <w:sz w:val="20"/>
          <w:szCs w:val="20"/>
        </w:rPr>
        <w:t xml:space="preserve">Australian Accounting </w:t>
      </w:r>
      <w:r w:rsidR="007B54C3" w:rsidRPr="007B54C3">
        <w:rPr>
          <w:rFonts w:cs="Times New Roman"/>
          <w:b w:val="0"/>
          <w:bCs w:val="0"/>
          <w:iCs w:val="0"/>
          <w:sz w:val="20"/>
          <w:szCs w:val="20"/>
        </w:rPr>
        <w:t xml:space="preserve">Standards that deal only with presentation and disclosure. Consequential amendments to the relevant Standards are set out in Appendix </w:t>
      </w:r>
      <w:r w:rsidR="00A20B33">
        <w:rPr>
          <w:rFonts w:cs="Times New Roman"/>
          <w:b w:val="0"/>
          <w:bCs w:val="0"/>
          <w:iCs w:val="0"/>
          <w:sz w:val="20"/>
          <w:szCs w:val="20"/>
        </w:rPr>
        <w:t>C</w:t>
      </w:r>
      <w:r w:rsidR="007B54C3" w:rsidRPr="007B54C3">
        <w:rPr>
          <w:rFonts w:cs="Times New Roman"/>
          <w:b w:val="0"/>
          <w:bCs w:val="0"/>
          <w:iCs w:val="0"/>
          <w:sz w:val="20"/>
          <w:szCs w:val="20"/>
        </w:rPr>
        <w:t>.</w:t>
      </w:r>
    </w:p>
    <w:p w14:paraId="2DC32F77" w14:textId="1884028C" w:rsidR="00FD4C0C" w:rsidRPr="001B1D7C" w:rsidRDefault="00FD4C0C" w:rsidP="007066A8">
      <w:pPr>
        <w:pStyle w:val="Heading3"/>
      </w:pPr>
      <w:r w:rsidRPr="001B1D7C">
        <w:t>Application Date</w:t>
      </w:r>
    </w:p>
    <w:p w14:paraId="6887C942" w14:textId="3BFC179C" w:rsidR="000C7E0C" w:rsidRPr="00997547" w:rsidRDefault="000C7E0C" w:rsidP="00EA7505">
      <w:pPr>
        <w:spacing w:before="100" w:after="200" w:line="240" w:lineRule="auto"/>
        <w:jc w:val="both"/>
      </w:pPr>
      <w:r w:rsidRPr="00997547">
        <w:t xml:space="preserve">This Standard applies to annual reporting periods </w:t>
      </w:r>
      <w:bookmarkStart w:id="1" w:name="ApplyText"/>
      <w:r w:rsidRPr="00997547">
        <w:t>beginning</w:t>
      </w:r>
      <w:bookmarkEnd w:id="1"/>
      <w:r w:rsidRPr="00997547">
        <w:t xml:space="preserve"> on or after </w:t>
      </w:r>
      <w:bookmarkStart w:id="2" w:name="ApplyDate"/>
      <w:r w:rsidRPr="00997547">
        <w:t>1 J</w:t>
      </w:r>
      <w:r w:rsidR="00635CA7">
        <w:t>uly</w:t>
      </w:r>
      <w:r w:rsidRPr="00997547">
        <w:t> 20</w:t>
      </w:r>
      <w:r w:rsidR="00635CA7">
        <w:t>2</w:t>
      </w:r>
      <w:r w:rsidR="005F15ED">
        <w:t>1</w:t>
      </w:r>
      <w:bookmarkEnd w:id="2"/>
      <w:r w:rsidR="00977669">
        <w:t xml:space="preserve">, </w:t>
      </w:r>
      <w:r w:rsidR="0064463A">
        <w:t xml:space="preserve">with </w:t>
      </w:r>
      <w:r w:rsidR="005D5030">
        <w:t>e</w:t>
      </w:r>
      <w:r w:rsidRPr="00997547">
        <w:t>arlier application permitted.</w:t>
      </w:r>
    </w:p>
    <w:p w14:paraId="49D912FC" w14:textId="77777777" w:rsidR="00ED4F33" w:rsidRPr="00127350" w:rsidRDefault="007676C0" w:rsidP="007676C0">
      <w:pPr>
        <w:pStyle w:val="Heading3"/>
      </w:pPr>
      <w:r w:rsidRPr="00127350">
        <w:t>References to Other AASB Standards</w:t>
      </w:r>
    </w:p>
    <w:p w14:paraId="27BA1D33" w14:textId="4A15E45A" w:rsidR="00ED4F33" w:rsidRPr="00127350" w:rsidRDefault="006D4E28" w:rsidP="00EA7505">
      <w:pPr>
        <w:pStyle w:val="NoNumPlain1"/>
        <w:jc w:val="both"/>
      </w:pPr>
      <w:r>
        <w:t>References in this</w:t>
      </w:r>
      <w:r w:rsidR="00ED4F33" w:rsidRPr="00127350">
        <w:t xml:space="preserve"> Standard to the titles of other AASB Standards that are legislative instruments are to be construed as </w:t>
      </w:r>
      <w:r w:rsidR="00ED4F33" w:rsidRPr="00314DC3">
        <w:t>references to those other Standards as originally made and as amended from time to time and incorporate provisions of those Standards as in force from time to time.</w:t>
      </w:r>
    </w:p>
    <w:p w14:paraId="25327CD6" w14:textId="77777777" w:rsidR="00B41DBB" w:rsidRDefault="00B41DBB" w:rsidP="00B41DBB">
      <w:pPr>
        <w:pStyle w:val="Heading2"/>
      </w:pPr>
      <w:r w:rsidRPr="00314DC3">
        <w:t>Standard</w:t>
      </w:r>
      <w:r>
        <w:t>s</w:t>
      </w:r>
      <w:r w:rsidRPr="00314DC3">
        <w:t xml:space="preserve"> Amended by</w:t>
      </w:r>
      <w:r w:rsidRPr="001B1D7C">
        <w:t xml:space="preserve"> AASB</w:t>
      </w:r>
      <w:r>
        <w:t> 1060</w:t>
      </w:r>
    </w:p>
    <w:p w14:paraId="1CEBE6A6" w14:textId="128BAD6B" w:rsidR="00B41DBB" w:rsidRPr="00280693" w:rsidRDefault="00B41DBB" w:rsidP="00B41DBB">
      <w:pPr>
        <w:pStyle w:val="NoNumPlain1"/>
      </w:pPr>
      <w:r w:rsidRPr="00E62FF1">
        <w:t xml:space="preserve">This Standard makes amendments to </w:t>
      </w:r>
      <w:r>
        <w:t>4</w:t>
      </w:r>
      <w:r w:rsidR="00351B7D">
        <w:t>4</w:t>
      </w:r>
      <w:r>
        <w:t xml:space="preserve"> Australian Accounting Standards and </w:t>
      </w:r>
      <w:r w:rsidR="00CB610B">
        <w:t>six</w:t>
      </w:r>
      <w:r>
        <w:t xml:space="preserve"> interpretations, as set out in Appendix</w:t>
      </w:r>
      <w:r w:rsidR="00CB610B">
        <w:t xml:space="preserve"> C</w:t>
      </w:r>
      <w:r>
        <w:t xml:space="preserve"> to </w:t>
      </w:r>
      <w:r w:rsidR="00CB610B">
        <w:t>the Standard</w:t>
      </w:r>
      <w:r w:rsidRPr="00280693">
        <w:t>.</w:t>
      </w:r>
    </w:p>
    <w:p w14:paraId="20FC3E08" w14:textId="77777777" w:rsidR="00B41DBB" w:rsidRPr="007E7E18" w:rsidRDefault="00B41DBB" w:rsidP="007E7E18">
      <w:pPr>
        <w:pStyle w:val="Heading3"/>
      </w:pPr>
      <w:r w:rsidRPr="007E7E18">
        <w:t xml:space="preserve">Power to Make Amendments </w:t>
      </w:r>
    </w:p>
    <w:p w14:paraId="07E47693" w14:textId="77777777" w:rsidR="00B41DBB" w:rsidRPr="001B1D7C" w:rsidRDefault="00B41DBB" w:rsidP="00B41DBB">
      <w:pPr>
        <w:pStyle w:val="NoNumPlain1"/>
        <w:jc w:val="both"/>
      </w:pPr>
      <w:r>
        <w:t>Under subsection </w:t>
      </w:r>
      <w:r w:rsidRPr="001B1D7C">
        <w:t xml:space="preserve">33(3) of the </w:t>
      </w:r>
      <w:r w:rsidRPr="001B1D7C">
        <w:rPr>
          <w:i/>
        </w:rPr>
        <w:t>Acts Interpretation Act 1901</w:t>
      </w:r>
      <w:r w:rsidRPr="001B1D7C">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 Accordingly, the AASB has the power to amend the Accounting Standards that are made by the AASB as legislative instruments under the </w:t>
      </w:r>
      <w:r w:rsidRPr="001B1D7C">
        <w:rPr>
          <w:i/>
        </w:rPr>
        <w:t>Corporations Act 2001</w:t>
      </w:r>
      <w:r w:rsidRPr="001B1D7C">
        <w:t>.</w:t>
      </w:r>
    </w:p>
    <w:p w14:paraId="29FEE43A" w14:textId="30FD7705" w:rsidR="00EA0A87" w:rsidRPr="00FA691A" w:rsidRDefault="00EA0A87" w:rsidP="00EA0A87">
      <w:pPr>
        <w:pStyle w:val="Heading2"/>
      </w:pPr>
      <w:r w:rsidRPr="00FA691A">
        <w:t>C</w:t>
      </w:r>
      <w:r w:rsidR="00465EBE" w:rsidRPr="00FA691A">
        <w:t>on</w:t>
      </w:r>
      <w:r w:rsidR="009F3698" w:rsidRPr="00FA691A">
        <w:t>sultation Prior to Issuing this</w:t>
      </w:r>
      <w:r w:rsidRPr="00FA691A">
        <w:t xml:space="preserve"> Standard</w:t>
      </w:r>
    </w:p>
    <w:p w14:paraId="5431DFE0" w14:textId="1B859F68" w:rsidR="00467B73" w:rsidRDefault="00E4461A" w:rsidP="005C2F09">
      <w:pPr>
        <w:pStyle w:val="NoNumPlain1"/>
        <w:jc w:val="both"/>
      </w:pPr>
      <w:r>
        <w:t xml:space="preserve">The </w:t>
      </w:r>
      <w:r w:rsidR="00011607">
        <w:t xml:space="preserve">Board first </w:t>
      </w:r>
      <w:r w:rsidR="007B4375">
        <w:t>consulte</w:t>
      </w:r>
      <w:r w:rsidR="00222A57">
        <w:t xml:space="preserve">d on </w:t>
      </w:r>
      <w:r w:rsidR="00011607">
        <w:t xml:space="preserve">the replacement of the </w:t>
      </w:r>
      <w:r w:rsidR="007D330F">
        <w:t xml:space="preserve">Tier 2 Reduced Disclosure Requirements (RDR) </w:t>
      </w:r>
      <w:r w:rsidR="007B4375">
        <w:t>f</w:t>
      </w:r>
      <w:r w:rsidR="007D330F">
        <w:t xml:space="preserve">ramework </w:t>
      </w:r>
      <w:r w:rsidR="003E3FDA">
        <w:t xml:space="preserve">after </w:t>
      </w:r>
      <w:r w:rsidR="007B4375">
        <w:t xml:space="preserve">a post implementation review identified that the RDR </w:t>
      </w:r>
      <w:r w:rsidR="00496CE3">
        <w:t xml:space="preserve">framework </w:t>
      </w:r>
      <w:r w:rsidR="007B4375">
        <w:t xml:space="preserve">had not delivered the expected outcome and that take up of the </w:t>
      </w:r>
      <w:r w:rsidR="00F31913">
        <w:t xml:space="preserve">RDR </w:t>
      </w:r>
      <w:r w:rsidR="007B4375">
        <w:t>framework by entities was consequently low. In response to the</w:t>
      </w:r>
      <w:r w:rsidR="00796839">
        <w:t>se</w:t>
      </w:r>
      <w:r w:rsidR="007B4375">
        <w:t xml:space="preserve"> findings the Board issued ED 277 </w:t>
      </w:r>
      <w:r w:rsidR="007B4375" w:rsidRPr="0025656F">
        <w:rPr>
          <w:i/>
          <w:iCs/>
        </w:rPr>
        <w:t xml:space="preserve">Reduced Disclosures Requirements for Tier 2 </w:t>
      </w:r>
      <w:r w:rsidR="007B4375" w:rsidRPr="00C1426B">
        <w:rPr>
          <w:i/>
          <w:iCs/>
        </w:rPr>
        <w:t>Entities</w:t>
      </w:r>
      <w:r w:rsidR="007B4375">
        <w:t xml:space="preserve"> in January 2017 as a joint project with the New Zealand Accounting Standards Board (NZASB). </w:t>
      </w:r>
    </w:p>
    <w:p w14:paraId="6E02427A" w14:textId="76AFFB42" w:rsidR="005C2F09" w:rsidRDefault="007B4375" w:rsidP="005C2F09">
      <w:pPr>
        <w:pStyle w:val="NoNumPlain1"/>
        <w:jc w:val="both"/>
      </w:pPr>
      <w:r>
        <w:t xml:space="preserve">ED 277 proposed adopting an RDR decision-making framework, together with accompanying operational guidance. </w:t>
      </w:r>
      <w:r w:rsidR="00135D9E">
        <w:t>However, Australian stakeholders did not support the proposals in ED 2</w:t>
      </w:r>
      <w:r w:rsidR="003B076D">
        <w:t>77</w:t>
      </w:r>
      <w:r w:rsidR="005C2F09">
        <w:t xml:space="preserve"> and while the Board had intended to conduct further outreach, this was put on hold following the decision by the Board to reform the Australian Financial Reporting Framework and propose removing the ability for entities to prepare special purpose financial statements when required to comply with A</w:t>
      </w:r>
      <w:r w:rsidR="003D44C1">
        <w:t xml:space="preserve">ustralian </w:t>
      </w:r>
      <w:r w:rsidR="005C2F09">
        <w:t>A</w:t>
      </w:r>
      <w:r w:rsidR="003D44C1">
        <w:t xml:space="preserve">ccounting </w:t>
      </w:r>
      <w:r w:rsidR="005C2F09">
        <w:t>S</w:t>
      </w:r>
      <w:r w:rsidR="003D44C1">
        <w:t>tandards</w:t>
      </w:r>
      <w:r w:rsidR="005C2F09">
        <w:t xml:space="preserve"> by legislation or otherwise.</w:t>
      </w:r>
    </w:p>
    <w:p w14:paraId="57F487BA" w14:textId="09DD813E" w:rsidR="00467B73" w:rsidRDefault="00467B73" w:rsidP="005C2F09">
      <w:pPr>
        <w:pStyle w:val="NoNumPlain1"/>
        <w:jc w:val="both"/>
      </w:pPr>
      <w:r>
        <w:t xml:space="preserve">In </w:t>
      </w:r>
      <w:r w:rsidR="00625037">
        <w:t xml:space="preserve">May 2018, the Board issued Invitation to Comment ITC 39 </w:t>
      </w:r>
      <w:r w:rsidR="00625037" w:rsidRPr="00364409">
        <w:rPr>
          <w:i/>
          <w:iCs/>
        </w:rPr>
        <w:t>Applying the IASB’s Revised Conceptual Framework and Solving the Reporting Entity and Special Purpose Financial Statement Problems</w:t>
      </w:r>
      <w:r w:rsidR="00201DA6">
        <w:t xml:space="preserve"> which </w:t>
      </w:r>
      <w:r w:rsidR="00625037">
        <w:t>proposed replac</w:t>
      </w:r>
      <w:r w:rsidR="00222794">
        <w:t>ing</w:t>
      </w:r>
      <w:r w:rsidR="00625037">
        <w:t xml:space="preserve"> the current RDR framework with the Specified Disclosure Requirement (SDR) framework. This would have required compliance with the full recognition and measurement requirements of Australian Accounting Standards (as amended for not-for-profit specific issues) and included the disclosure of those </w:t>
      </w:r>
      <w:r w:rsidR="00E80733">
        <w:t xml:space="preserve">Australian Accounting </w:t>
      </w:r>
      <w:r w:rsidR="00625037">
        <w:t xml:space="preserve">Standards that are currently mandatory for entities required to prepare financial statements in accordance with Chapter 2M of the Corporations Act 2001 (Cwth), </w:t>
      </w:r>
      <w:r w:rsidR="00625037">
        <w:lastRenderedPageBreak/>
        <w:t xml:space="preserve">being AASB 101 </w:t>
      </w:r>
      <w:r w:rsidR="00625037" w:rsidRPr="00C40272">
        <w:rPr>
          <w:i/>
          <w:iCs/>
        </w:rPr>
        <w:t>Presentation of Financial Statements</w:t>
      </w:r>
      <w:r w:rsidR="00625037">
        <w:t xml:space="preserve">, AASB 107 </w:t>
      </w:r>
      <w:r w:rsidR="00625037" w:rsidRPr="00C40272">
        <w:rPr>
          <w:i/>
          <w:iCs/>
        </w:rPr>
        <w:t>Statement of Cash Flows</w:t>
      </w:r>
      <w:r w:rsidR="00625037">
        <w:t xml:space="preserve">, AASB 108 </w:t>
      </w:r>
      <w:r w:rsidR="00625037" w:rsidRPr="00C40272">
        <w:rPr>
          <w:i/>
          <w:iCs/>
        </w:rPr>
        <w:t>Accounting Policies, Changes in Accounting Estimates and Errors</w:t>
      </w:r>
      <w:r w:rsidR="00625037">
        <w:t xml:space="preserve">, AASB 1048 </w:t>
      </w:r>
      <w:r w:rsidR="00625037" w:rsidRPr="00C40272">
        <w:rPr>
          <w:i/>
          <w:iCs/>
        </w:rPr>
        <w:t>Interpretation of Standards</w:t>
      </w:r>
      <w:r w:rsidR="00625037">
        <w:t xml:space="preserve"> and AASB 1054 </w:t>
      </w:r>
      <w:r w:rsidR="00625037" w:rsidRPr="00C40272">
        <w:rPr>
          <w:i/>
          <w:iCs/>
        </w:rPr>
        <w:t>Australian Additional Disclosures</w:t>
      </w:r>
      <w:r w:rsidR="00625037" w:rsidRPr="009D75C9">
        <w:rPr>
          <w:i/>
          <w:iCs/>
        </w:rPr>
        <w:t xml:space="preserve">, </w:t>
      </w:r>
      <w:r w:rsidR="00625037" w:rsidRPr="00751E36">
        <w:t xml:space="preserve">and disclosures </w:t>
      </w:r>
      <w:r w:rsidR="00625037">
        <w:t xml:space="preserve">required by AASB 15 </w:t>
      </w:r>
      <w:r w:rsidR="00625037" w:rsidRPr="00751E36">
        <w:rPr>
          <w:i/>
          <w:iCs/>
        </w:rPr>
        <w:t>Revenue from Contracts with Customers</w:t>
      </w:r>
      <w:r w:rsidR="00625037">
        <w:t xml:space="preserve">, AASB 112 </w:t>
      </w:r>
      <w:r w:rsidR="00625037" w:rsidRPr="00751E36">
        <w:rPr>
          <w:i/>
          <w:iCs/>
        </w:rPr>
        <w:t>Income Taxes</w:t>
      </w:r>
      <w:r w:rsidR="00625037">
        <w:t xml:space="preserve">, AASB 124 </w:t>
      </w:r>
      <w:r w:rsidR="00625037" w:rsidRPr="00751E36">
        <w:rPr>
          <w:i/>
          <w:iCs/>
        </w:rPr>
        <w:t>Related Party Disclosures</w:t>
      </w:r>
      <w:r w:rsidR="00625037">
        <w:t xml:space="preserve"> and AASB 136 </w:t>
      </w:r>
      <w:r w:rsidR="00625037" w:rsidRPr="00751E36">
        <w:rPr>
          <w:i/>
          <w:iCs/>
        </w:rPr>
        <w:t>Impairment of Assets</w:t>
      </w:r>
      <w:r w:rsidR="00625037">
        <w:t>.</w:t>
      </w:r>
    </w:p>
    <w:p w14:paraId="41D7E970" w14:textId="1D48A651" w:rsidR="00E80733" w:rsidRDefault="00E80733" w:rsidP="00E80733">
      <w:pPr>
        <w:pStyle w:val="NoNumPlain1"/>
        <w:jc w:val="both"/>
      </w:pPr>
      <w:r>
        <w:t xml:space="preserve">The feedback </w:t>
      </w:r>
      <w:r w:rsidR="00402416">
        <w:t xml:space="preserve">received </w:t>
      </w:r>
      <w:r>
        <w:t xml:space="preserve">on </w:t>
      </w:r>
      <w:r w:rsidR="00402416">
        <w:t xml:space="preserve">the </w:t>
      </w:r>
      <w:r>
        <w:t xml:space="preserve">proposals </w:t>
      </w:r>
      <w:r w:rsidR="00402416">
        <w:t xml:space="preserve">in ITC 39 </w:t>
      </w:r>
      <w:r>
        <w:t xml:space="preserve">was that the proposed SDR framework had too many disclosures in some ways but fell short in many other ways, </w:t>
      </w:r>
      <w:r w:rsidR="009C253F">
        <w:t xml:space="preserve">but </w:t>
      </w:r>
      <w:r>
        <w:t xml:space="preserve">the RDR framework was also not </w:t>
      </w:r>
      <w:r w:rsidR="00185255">
        <w:t xml:space="preserve">supported </w:t>
      </w:r>
      <w:r>
        <w:t>as it has too many disclosure requirements.</w:t>
      </w:r>
    </w:p>
    <w:p w14:paraId="49061CE0" w14:textId="0D547110" w:rsidR="00682C52" w:rsidRDefault="00682C52" w:rsidP="00EA7505">
      <w:pPr>
        <w:pStyle w:val="NoNumPlain1"/>
        <w:jc w:val="both"/>
      </w:pPr>
      <w:r>
        <w:t xml:space="preserve">In weighing up the shortfalls of </w:t>
      </w:r>
      <w:r w:rsidR="00185255">
        <w:t xml:space="preserve">the </w:t>
      </w:r>
      <w:r>
        <w:t xml:space="preserve">RDR, the other </w:t>
      </w:r>
      <w:r w:rsidR="00AF230A">
        <w:t xml:space="preserve">previously </w:t>
      </w:r>
      <w:r>
        <w:t xml:space="preserve">proposed Tier 2 options and the disclosure principles applied by the IASB while developing the </w:t>
      </w:r>
      <w:r w:rsidRPr="00960B3D">
        <w:rPr>
          <w:i/>
          <w:iCs/>
        </w:rPr>
        <w:t>IFRS for SMEs</w:t>
      </w:r>
      <w:r>
        <w:t xml:space="preserve"> Standard, the Board decided in February 2019 to develop a new Tier 2 Standard based on the disclosures in the </w:t>
      </w:r>
      <w:r w:rsidRPr="00960B3D">
        <w:rPr>
          <w:i/>
          <w:iCs/>
        </w:rPr>
        <w:t>IFRS for SMEs</w:t>
      </w:r>
      <w:r>
        <w:t xml:space="preserve"> Standard which would be available for </w:t>
      </w:r>
      <w:r w:rsidR="00580969">
        <w:t xml:space="preserve">general purpose financial statements </w:t>
      </w:r>
      <w:r>
        <w:t>that are publicly lodged or are required to comply with A</w:t>
      </w:r>
      <w:r w:rsidR="00D075DD">
        <w:t xml:space="preserve">ustralian </w:t>
      </w:r>
      <w:r>
        <w:t>A</w:t>
      </w:r>
      <w:r w:rsidR="00D075DD">
        <w:t xml:space="preserve">ccounting </w:t>
      </w:r>
      <w:r>
        <w:t>S</w:t>
      </w:r>
      <w:r w:rsidR="00D075DD">
        <w:t>tandards</w:t>
      </w:r>
      <w:r>
        <w:t>, but do not relate to entities that are publicly accountable.</w:t>
      </w:r>
    </w:p>
    <w:p w14:paraId="15218D41" w14:textId="46394E48" w:rsidR="00813B85" w:rsidRDefault="00E02708" w:rsidP="00EA7505">
      <w:pPr>
        <w:pStyle w:val="NoNumPlain1"/>
        <w:jc w:val="both"/>
      </w:pPr>
      <w:r>
        <w:t>The disclosures that are relevant to Tier 2 entities are set out in a separate Standard, being AASB 10</w:t>
      </w:r>
      <w:r w:rsidR="00591D60">
        <w:t>60</w:t>
      </w:r>
      <w:r>
        <w:t xml:space="preserve">. </w:t>
      </w:r>
      <w:r w:rsidR="00FC697B">
        <w:t xml:space="preserve">The Board </w:t>
      </w:r>
      <w:r w:rsidR="003E7BB9">
        <w:t xml:space="preserve">concluded that the </w:t>
      </w:r>
      <w:r w:rsidR="003051BE">
        <w:t>s</w:t>
      </w:r>
      <w:r w:rsidR="00F96772">
        <w:t xml:space="preserve">implified </w:t>
      </w:r>
      <w:r w:rsidR="003051BE">
        <w:t>d</w:t>
      </w:r>
      <w:r w:rsidR="00F96772">
        <w:t xml:space="preserve">isclosures </w:t>
      </w:r>
      <w:r w:rsidR="009D6C20">
        <w:t xml:space="preserve">strike the right balance between </w:t>
      </w:r>
      <w:r w:rsidR="00340881">
        <w:t>user needs and cost to preparers</w:t>
      </w:r>
      <w:r w:rsidR="00127805">
        <w:t xml:space="preserve"> and appropriately address the concerns raised </w:t>
      </w:r>
      <w:r w:rsidR="00290176">
        <w:t xml:space="preserve">by respondents </w:t>
      </w:r>
      <w:r w:rsidR="00C44629">
        <w:t xml:space="preserve">to ITC 39. </w:t>
      </w:r>
      <w:r w:rsidR="0009285A">
        <w:t xml:space="preserve">In particular, the </w:t>
      </w:r>
      <w:r w:rsidR="00961546">
        <w:t xml:space="preserve">Board noted the strong support for </w:t>
      </w:r>
      <w:r w:rsidR="004B3319">
        <w:t>a consistent reporting framework</w:t>
      </w:r>
      <w:r w:rsidR="00AA00AD">
        <w:t xml:space="preserve"> which requires compliance with full </w:t>
      </w:r>
      <w:r w:rsidR="00291666">
        <w:t>recognition and measurement</w:t>
      </w:r>
      <w:r w:rsidR="00AA00AD">
        <w:t xml:space="preserve"> requirements in A</w:t>
      </w:r>
      <w:r w:rsidR="00D075DD">
        <w:t xml:space="preserve">ustralian </w:t>
      </w:r>
      <w:r w:rsidR="00AA00AD">
        <w:t>A</w:t>
      </w:r>
      <w:r w:rsidR="00D075DD">
        <w:t xml:space="preserve">ccounting </w:t>
      </w:r>
      <w:r w:rsidR="00AA00AD">
        <w:t>S</w:t>
      </w:r>
      <w:r w:rsidR="00D075DD">
        <w:t>tandards</w:t>
      </w:r>
      <w:r w:rsidR="00CD4B11">
        <w:t xml:space="preserve">. </w:t>
      </w:r>
      <w:r w:rsidR="00FE5921">
        <w:t>The disclosure</w:t>
      </w:r>
      <w:r w:rsidR="00D86E6D">
        <w:t>s</w:t>
      </w:r>
      <w:r w:rsidR="00FE5921">
        <w:t xml:space="preserve"> in AASB 10</w:t>
      </w:r>
      <w:r w:rsidR="009F2D2B">
        <w:t>60</w:t>
      </w:r>
      <w:r w:rsidR="00FE5921">
        <w:t xml:space="preserve"> will not only be beneficial </w:t>
      </w:r>
      <w:r w:rsidR="00DC5E62">
        <w:t xml:space="preserve">for entities that are already reporting under Tier 2 but also </w:t>
      </w:r>
      <w:r w:rsidR="00D86E6D">
        <w:t xml:space="preserve">for </w:t>
      </w:r>
      <w:r w:rsidR="00DC5E62">
        <w:t xml:space="preserve">those entities that will have to step up from </w:t>
      </w:r>
      <w:r w:rsidR="00D075DD">
        <w:t>special purpose financial statements</w:t>
      </w:r>
      <w:r w:rsidR="00D77D67">
        <w:t xml:space="preserve"> to Tier 2 </w:t>
      </w:r>
      <w:r w:rsidR="00D075DD">
        <w:t xml:space="preserve">general purpose financial statements </w:t>
      </w:r>
      <w:r w:rsidR="00D77D67">
        <w:t xml:space="preserve">when </w:t>
      </w:r>
      <w:r w:rsidR="006E1211">
        <w:t xml:space="preserve">the </w:t>
      </w:r>
      <w:r w:rsidR="00A415DD">
        <w:t xml:space="preserve">removal of </w:t>
      </w:r>
      <w:r w:rsidR="00D075DD">
        <w:t xml:space="preserve">special purpose financial statements </w:t>
      </w:r>
      <w:r w:rsidR="00A415DD">
        <w:t xml:space="preserve">for certain for-profit private sector </w:t>
      </w:r>
      <w:r w:rsidR="007030EE">
        <w:t xml:space="preserve">entities that are required to prepare financial statements </w:t>
      </w:r>
      <w:r w:rsidR="001B4368">
        <w:t xml:space="preserve">that comply with </w:t>
      </w:r>
      <w:r w:rsidR="00FE21DA">
        <w:t xml:space="preserve">Australian Accounting Standards </w:t>
      </w:r>
      <w:r w:rsidR="001B4368">
        <w:t xml:space="preserve">or accounting </w:t>
      </w:r>
      <w:r w:rsidR="00C543F8">
        <w:t>standard</w:t>
      </w:r>
      <w:r w:rsidR="00441D21">
        <w:t xml:space="preserve">s </w:t>
      </w:r>
      <w:r w:rsidR="00FE21DA">
        <w:t xml:space="preserve">through AASB 2020-2 </w:t>
      </w:r>
      <w:r w:rsidR="009B2533" w:rsidRPr="009B2533">
        <w:rPr>
          <w:i/>
          <w:iCs/>
        </w:rPr>
        <w:t>Amendments to Australian Accounting Standards – Removal of Special Purpose Financial Statements for Certain For-Profit Private Sector Entities</w:t>
      </w:r>
      <w:r w:rsidR="00FE21DA">
        <w:rPr>
          <w:i/>
          <w:iCs/>
        </w:rPr>
        <w:t xml:space="preserve"> </w:t>
      </w:r>
      <w:r w:rsidR="00FE21DA">
        <w:t>becomes applicable</w:t>
      </w:r>
      <w:r w:rsidR="00441D21">
        <w:t xml:space="preserve">. </w:t>
      </w:r>
    </w:p>
    <w:p w14:paraId="0A8EA7A0" w14:textId="1CF1ACEA" w:rsidR="00682C52" w:rsidRDefault="00591D60" w:rsidP="00EA7505">
      <w:pPr>
        <w:pStyle w:val="NoNumPlain1"/>
        <w:jc w:val="both"/>
      </w:pPr>
      <w:r>
        <w:t xml:space="preserve">AASB 1060 </w:t>
      </w:r>
      <w:r w:rsidR="00682C52">
        <w:t xml:space="preserve">was exposed for public comment in August 2019 as ED 295 </w:t>
      </w:r>
      <w:r w:rsidR="00682C52" w:rsidRPr="00F345A1">
        <w:rPr>
          <w:i/>
          <w:iCs/>
        </w:rPr>
        <w:t>General Purpose Financial Statements – Simplified Disclosures for For-Profit and Not-for-Profit Tier 2 Entities</w:t>
      </w:r>
      <w:r w:rsidR="00682C52">
        <w:t xml:space="preserve">. Exposed together with ED 295 was ED 297 </w:t>
      </w:r>
      <w:r w:rsidR="00682C52" w:rsidRPr="00F345A1">
        <w:rPr>
          <w:i/>
          <w:iCs/>
        </w:rPr>
        <w:t>Removal of Special Purpose Financial Statements for Certain For-Profit Private Sector Entities</w:t>
      </w:r>
      <w:r w:rsidR="00682C52">
        <w:t xml:space="preserve">. Comment period for both EDs ended on </w:t>
      </w:r>
      <w:r w:rsidR="0095678D">
        <w:t>30</w:t>
      </w:r>
      <w:r w:rsidR="00682C52">
        <w:t xml:space="preserve"> November 2019. </w:t>
      </w:r>
    </w:p>
    <w:p w14:paraId="1DC16E55" w14:textId="5CDC1054" w:rsidR="00682C52" w:rsidRDefault="00682C52" w:rsidP="00EA7505">
      <w:pPr>
        <w:pStyle w:val="NoNumPlain1"/>
        <w:jc w:val="both"/>
      </w:pPr>
      <w:r>
        <w:t xml:space="preserve">Extensive outreach was conducted on the proposals, including roundtables in Melbourne, Sydney, Brisbane, Perth and Adelaide, attended by 127 stakeholders, </w:t>
      </w:r>
      <w:r w:rsidR="005E4C18" w:rsidRPr="005E4C18">
        <w:t>a webinar with 162 participants</w:t>
      </w:r>
      <w:r w:rsidR="005E4C18">
        <w:t xml:space="preserve">, </w:t>
      </w:r>
      <w:r>
        <w:t>as well as separate consultations with</w:t>
      </w:r>
      <w:r w:rsidR="00D075DD">
        <w:t xml:space="preserve"> the</w:t>
      </w:r>
      <w:r>
        <w:t xml:space="preserve"> AASB’s </w:t>
      </w:r>
      <w:r w:rsidR="00A54740">
        <w:t>U</w:t>
      </w:r>
      <w:r>
        <w:t xml:space="preserve">ser </w:t>
      </w:r>
      <w:r w:rsidR="00A54740">
        <w:t>A</w:t>
      </w:r>
      <w:r>
        <w:t xml:space="preserve">dvisory </w:t>
      </w:r>
      <w:r w:rsidR="00A54740">
        <w:t>C</w:t>
      </w:r>
      <w:r>
        <w:t>ommittee, credit analysts and private equity investors.</w:t>
      </w:r>
    </w:p>
    <w:p w14:paraId="20B2781D" w14:textId="465EA0F2" w:rsidR="00682C52" w:rsidRDefault="00682C52" w:rsidP="00EA7505">
      <w:pPr>
        <w:pStyle w:val="NoNumPlain1"/>
        <w:jc w:val="both"/>
      </w:pPr>
      <w:r>
        <w:t xml:space="preserve">The Board received 25 formal submissions on ED 295 from stakeholders representing professional services firms, regulators, professional bodies, academics, preparers, public sector audit office, software providers and others. </w:t>
      </w:r>
    </w:p>
    <w:p w14:paraId="76588DC9" w14:textId="60D03C81" w:rsidR="00542989" w:rsidRDefault="00542989" w:rsidP="00EA7505">
      <w:pPr>
        <w:pStyle w:val="NoNumPlain1"/>
        <w:jc w:val="both"/>
      </w:pPr>
      <w:r w:rsidRPr="00542989">
        <w:t>The majority of responses to ED 29</w:t>
      </w:r>
      <w:r>
        <w:t>5</w:t>
      </w:r>
      <w:r w:rsidRPr="00542989">
        <w:t xml:space="preserve"> and feedback from outreach activities showed support for</w:t>
      </w:r>
      <w:r w:rsidR="00C32002">
        <w:t xml:space="preserve"> the AASB to </w:t>
      </w:r>
      <w:r w:rsidR="005A427A">
        <w:t xml:space="preserve">proceed with </w:t>
      </w:r>
      <w:r w:rsidR="00F06CE2">
        <w:t xml:space="preserve">the </w:t>
      </w:r>
      <w:r w:rsidR="002B6B47">
        <w:t>Simplified Disclosure Standard</w:t>
      </w:r>
      <w:r w:rsidRPr="00542989">
        <w:t>. Some stakeholders also provided feedback on other matters related to ED 29</w:t>
      </w:r>
      <w:r w:rsidR="00760F77">
        <w:t>5</w:t>
      </w:r>
      <w:r w:rsidRPr="00542989">
        <w:t>.  The AASB considered all feedback received, and at its meeting in March 2020, the AASB decided to progress finalising this Standard.</w:t>
      </w:r>
    </w:p>
    <w:p w14:paraId="2C5873F9" w14:textId="4D072DF8" w:rsidR="002F2B9C" w:rsidRDefault="007F0BEF" w:rsidP="00FF7625">
      <w:pPr>
        <w:pStyle w:val="NoNumPlain1"/>
        <w:jc w:val="both"/>
      </w:pPr>
      <w:r>
        <w:t>T</w:t>
      </w:r>
      <w:r w:rsidRPr="007F0BEF">
        <w:t xml:space="preserve">he AASB has certified its process in developing this Standard as RIS-like, rather than preparing a Regulatory Impact Statement in relation to this Standard. The AASB has covered </w:t>
      </w:r>
      <w:r w:rsidRPr="000A1C6B">
        <w:t>the seven RIS questions in its</w:t>
      </w:r>
      <w:r w:rsidRPr="007F0BEF">
        <w:t xml:space="preserve"> Basis for Conclusions attached to AASB </w:t>
      </w:r>
      <w:r w:rsidR="00FF7625">
        <w:t>1060.</w:t>
      </w:r>
      <w:r w:rsidRPr="007F0BEF">
        <w:t xml:space="preserve"> </w:t>
      </w:r>
    </w:p>
    <w:p w14:paraId="59C723B4" w14:textId="77777777" w:rsidR="002F2B9C" w:rsidRDefault="002F2B9C">
      <w:pPr>
        <w:spacing w:line="240" w:lineRule="auto"/>
        <w:rPr>
          <w:rFonts w:cs="Arial"/>
          <w:b/>
          <w:iCs/>
          <w:sz w:val="28"/>
          <w:szCs w:val="28"/>
        </w:rPr>
      </w:pPr>
      <w:r>
        <w:br w:type="page"/>
      </w:r>
    </w:p>
    <w:p w14:paraId="3A8917FC" w14:textId="5865F078" w:rsidR="00AD44F9" w:rsidRPr="001B1D7C" w:rsidRDefault="00CD0A54" w:rsidP="00F73663">
      <w:pPr>
        <w:pStyle w:val="Heading2"/>
        <w:spacing w:before="720"/>
        <w:jc w:val="center"/>
      </w:pPr>
      <w:r w:rsidRPr="001B1D7C">
        <w:lastRenderedPageBreak/>
        <w:t>Statement of Compatibility with Human Rights</w:t>
      </w:r>
    </w:p>
    <w:p w14:paraId="3869FD2F" w14:textId="77777777" w:rsidR="00E770E5" w:rsidRPr="001B1D7C" w:rsidRDefault="00E770E5" w:rsidP="00E770E5">
      <w:pPr>
        <w:pStyle w:val="NoNumPlain1"/>
        <w:jc w:val="center"/>
      </w:pPr>
      <w:r w:rsidRPr="001B1D7C">
        <w:t xml:space="preserve">Prepared in accordance with Part 3 of the </w:t>
      </w:r>
      <w:r w:rsidRPr="001B1D7C">
        <w:br/>
      </w:r>
      <w:r w:rsidRPr="001B1D7C">
        <w:rPr>
          <w:i/>
        </w:rPr>
        <w:t>Human Rights (Parliamentary Scrutiny) Act 2011</w:t>
      </w:r>
    </w:p>
    <w:p w14:paraId="2FE1229C" w14:textId="277B6733" w:rsidR="009F7F59" w:rsidRDefault="00A90A3D" w:rsidP="006D4E28">
      <w:pPr>
        <w:pStyle w:val="Heading3"/>
        <w:spacing w:after="360"/>
        <w:jc w:val="center"/>
        <w:rPr>
          <w:i/>
        </w:rPr>
      </w:pPr>
      <w:r w:rsidRPr="001B1D7C">
        <w:t>Accounting Standard AASB</w:t>
      </w:r>
      <w:r w:rsidR="00F913AF">
        <w:t> </w:t>
      </w:r>
      <w:r w:rsidR="00980C86">
        <w:t>10</w:t>
      </w:r>
      <w:r w:rsidR="00344F9F">
        <w:t>60</w:t>
      </w:r>
      <w:r w:rsidRPr="001B1D7C">
        <w:br/>
      </w:r>
      <w:r w:rsidR="00980C86" w:rsidRPr="00980C86">
        <w:rPr>
          <w:i/>
        </w:rPr>
        <w:t>General Purpose Financial Statements – Simplified Disclosures for For-Profit and Not-for-Profit Tier 2 Entities</w:t>
      </w:r>
    </w:p>
    <w:p w14:paraId="7FDDC422" w14:textId="1252D014" w:rsidR="00A90A3D" w:rsidRPr="00314DC3" w:rsidRDefault="00A90A3D" w:rsidP="00A90A3D">
      <w:pPr>
        <w:pStyle w:val="Heading3"/>
      </w:pPr>
      <w:r w:rsidRPr="00314DC3">
        <w:t>Overview of the Accounting Standard</w:t>
      </w:r>
    </w:p>
    <w:p w14:paraId="50A22055" w14:textId="77777777" w:rsidR="009A0D95" w:rsidRPr="007B54C3" w:rsidRDefault="009A0D95" w:rsidP="00755499">
      <w:pPr>
        <w:pStyle w:val="Heading3"/>
        <w:spacing w:line="200" w:lineRule="exact"/>
        <w:jc w:val="both"/>
        <w:rPr>
          <w:rFonts w:cs="Times New Roman"/>
          <w:b w:val="0"/>
          <w:bCs w:val="0"/>
          <w:iCs w:val="0"/>
          <w:sz w:val="20"/>
          <w:szCs w:val="20"/>
        </w:rPr>
      </w:pPr>
      <w:r w:rsidRPr="007B54C3">
        <w:rPr>
          <w:rFonts w:cs="Times New Roman"/>
          <w:b w:val="0"/>
          <w:bCs w:val="0"/>
          <w:iCs w:val="0"/>
          <w:sz w:val="20"/>
          <w:szCs w:val="20"/>
        </w:rPr>
        <w:t>This Standard sets out a new, separate disclosure Standard to be applied by all entities that are reporting under Tier 2 of the Differential Reporting Framework in AASB 1053</w:t>
      </w:r>
      <w:r>
        <w:rPr>
          <w:rFonts w:cs="Times New Roman"/>
          <w:b w:val="0"/>
          <w:bCs w:val="0"/>
          <w:iCs w:val="0"/>
          <w:sz w:val="20"/>
          <w:szCs w:val="20"/>
        </w:rPr>
        <w:t xml:space="preserve"> </w:t>
      </w:r>
      <w:r>
        <w:rPr>
          <w:rFonts w:cs="Times New Roman"/>
          <w:b w:val="0"/>
          <w:bCs w:val="0"/>
          <w:i/>
          <w:sz w:val="20"/>
          <w:szCs w:val="20"/>
        </w:rPr>
        <w:t>Application of Tiers of Australian Accounting Standards</w:t>
      </w:r>
      <w:r w:rsidRPr="007B54C3">
        <w:rPr>
          <w:rFonts w:cs="Times New Roman"/>
          <w:b w:val="0"/>
          <w:bCs w:val="0"/>
          <w:iCs w:val="0"/>
          <w:sz w:val="20"/>
          <w:szCs w:val="20"/>
        </w:rPr>
        <w:t xml:space="preserve">. This Standard has been developed based on a new methodology and principles to be used in determining the Tier 2 disclosures that are necessary for meeting user needs, to replace the current Reduced Disclosure Requirements (RDR) framework. The methodology and principles applied are outlined in the Basis for Conclusions to this Standard. </w:t>
      </w:r>
    </w:p>
    <w:p w14:paraId="76BF3BBC" w14:textId="77777777" w:rsidR="009A0D95" w:rsidRPr="007B54C3" w:rsidRDefault="009A0D95" w:rsidP="00755499">
      <w:pPr>
        <w:pStyle w:val="Heading3"/>
        <w:spacing w:line="200" w:lineRule="exact"/>
        <w:jc w:val="both"/>
        <w:rPr>
          <w:rFonts w:cs="Times New Roman"/>
          <w:b w:val="0"/>
          <w:bCs w:val="0"/>
          <w:iCs w:val="0"/>
          <w:sz w:val="20"/>
          <w:szCs w:val="20"/>
        </w:rPr>
      </w:pPr>
      <w:r w:rsidRPr="007B54C3">
        <w:rPr>
          <w:rFonts w:cs="Times New Roman"/>
          <w:b w:val="0"/>
          <w:bCs w:val="0"/>
          <w:iCs w:val="0"/>
          <w:sz w:val="20"/>
          <w:szCs w:val="20"/>
        </w:rPr>
        <w:t xml:space="preserve">This Standard does not change: </w:t>
      </w:r>
    </w:p>
    <w:p w14:paraId="216399DA" w14:textId="77777777" w:rsidR="009A0D95" w:rsidRPr="007B54C3" w:rsidRDefault="009A0D95" w:rsidP="00755499">
      <w:pPr>
        <w:pStyle w:val="Heading3"/>
        <w:spacing w:line="200" w:lineRule="exact"/>
        <w:contextualSpacing/>
        <w:jc w:val="both"/>
        <w:rPr>
          <w:rFonts w:cs="Times New Roman"/>
          <w:b w:val="0"/>
          <w:bCs w:val="0"/>
          <w:iCs w:val="0"/>
          <w:sz w:val="20"/>
          <w:szCs w:val="20"/>
        </w:rPr>
      </w:pPr>
      <w:r w:rsidRPr="007B54C3">
        <w:rPr>
          <w:rFonts w:cs="Times New Roman"/>
          <w:b w:val="0"/>
          <w:bCs w:val="0"/>
          <w:iCs w:val="0"/>
          <w:sz w:val="20"/>
          <w:szCs w:val="20"/>
        </w:rPr>
        <w:t>•</w:t>
      </w:r>
      <w:r w:rsidRPr="007B54C3">
        <w:rPr>
          <w:rFonts w:cs="Times New Roman"/>
          <w:b w:val="0"/>
          <w:bCs w:val="0"/>
          <w:iCs w:val="0"/>
          <w:sz w:val="20"/>
          <w:szCs w:val="20"/>
        </w:rPr>
        <w:tab/>
        <w:t xml:space="preserve">which entities are permitted to apply Tier 2 reporting requirements; and </w:t>
      </w:r>
    </w:p>
    <w:p w14:paraId="05121219" w14:textId="77777777" w:rsidR="009A0D95" w:rsidRPr="007B54C3" w:rsidRDefault="009A0D95" w:rsidP="00755499">
      <w:pPr>
        <w:pStyle w:val="Heading3"/>
        <w:spacing w:line="200" w:lineRule="exact"/>
        <w:jc w:val="both"/>
        <w:rPr>
          <w:rFonts w:cs="Times New Roman"/>
          <w:b w:val="0"/>
          <w:bCs w:val="0"/>
          <w:iCs w:val="0"/>
          <w:sz w:val="20"/>
          <w:szCs w:val="20"/>
        </w:rPr>
      </w:pPr>
      <w:r w:rsidRPr="007B54C3">
        <w:rPr>
          <w:rFonts w:cs="Times New Roman"/>
          <w:b w:val="0"/>
          <w:bCs w:val="0"/>
          <w:iCs w:val="0"/>
          <w:sz w:val="20"/>
          <w:szCs w:val="20"/>
        </w:rPr>
        <w:t>•</w:t>
      </w:r>
      <w:r w:rsidRPr="007B54C3">
        <w:rPr>
          <w:rFonts w:cs="Times New Roman"/>
          <w:b w:val="0"/>
          <w:bCs w:val="0"/>
          <w:iCs w:val="0"/>
          <w:sz w:val="20"/>
          <w:szCs w:val="20"/>
        </w:rPr>
        <w:tab/>
        <w:t xml:space="preserve">the recognition and measurement requirements of Tier 2, which are the same as for Tier 1. </w:t>
      </w:r>
    </w:p>
    <w:p w14:paraId="214CEAA7" w14:textId="77777777" w:rsidR="009A0D95" w:rsidRPr="007B54C3" w:rsidRDefault="009A0D95" w:rsidP="00755499">
      <w:pPr>
        <w:pStyle w:val="Heading3"/>
        <w:spacing w:line="200" w:lineRule="exact"/>
        <w:jc w:val="both"/>
        <w:rPr>
          <w:rFonts w:cs="Times New Roman"/>
          <w:b w:val="0"/>
          <w:bCs w:val="0"/>
          <w:iCs w:val="0"/>
          <w:sz w:val="20"/>
          <w:szCs w:val="20"/>
        </w:rPr>
      </w:pPr>
      <w:r w:rsidRPr="007B54C3">
        <w:rPr>
          <w:rFonts w:cs="Times New Roman"/>
          <w:b w:val="0"/>
          <w:bCs w:val="0"/>
          <w:iCs w:val="0"/>
          <w:sz w:val="20"/>
          <w:szCs w:val="20"/>
        </w:rPr>
        <w:t>The disclosures that are relevant to Tier 2 entities are set out in this separate Standard</w:t>
      </w:r>
      <w:r>
        <w:rPr>
          <w:rFonts w:cs="Times New Roman"/>
          <w:b w:val="0"/>
          <w:bCs w:val="0"/>
          <w:iCs w:val="0"/>
          <w:sz w:val="20"/>
          <w:szCs w:val="20"/>
        </w:rPr>
        <w:t xml:space="preserve"> and are less than what is required for Tier 1 entities</w:t>
      </w:r>
      <w:r w:rsidRPr="007B54C3">
        <w:rPr>
          <w:rFonts w:cs="Times New Roman"/>
          <w:b w:val="0"/>
          <w:bCs w:val="0"/>
          <w:iCs w:val="0"/>
          <w:sz w:val="20"/>
          <w:szCs w:val="20"/>
        </w:rPr>
        <w:t>.</w:t>
      </w:r>
      <w:r>
        <w:rPr>
          <w:rFonts w:cs="Times New Roman"/>
          <w:b w:val="0"/>
          <w:bCs w:val="0"/>
          <w:iCs w:val="0"/>
          <w:sz w:val="20"/>
          <w:szCs w:val="20"/>
        </w:rPr>
        <w:t xml:space="preserve"> </w:t>
      </w:r>
      <w:r w:rsidRPr="007B54C3">
        <w:rPr>
          <w:rFonts w:cs="Times New Roman"/>
          <w:b w:val="0"/>
          <w:bCs w:val="0"/>
          <w:iCs w:val="0"/>
          <w:sz w:val="20"/>
          <w:szCs w:val="20"/>
        </w:rPr>
        <w:t xml:space="preserve">While </w:t>
      </w:r>
      <w:r>
        <w:rPr>
          <w:rFonts w:cs="Times New Roman"/>
          <w:b w:val="0"/>
          <w:bCs w:val="0"/>
          <w:iCs w:val="0"/>
          <w:sz w:val="20"/>
          <w:szCs w:val="20"/>
        </w:rPr>
        <w:t xml:space="preserve">AASB 1060 also </w:t>
      </w:r>
      <w:r w:rsidRPr="007B54C3">
        <w:rPr>
          <w:rFonts w:cs="Times New Roman"/>
          <w:b w:val="0"/>
          <w:bCs w:val="0"/>
          <w:iCs w:val="0"/>
          <w:sz w:val="20"/>
          <w:szCs w:val="20"/>
        </w:rPr>
        <w:t xml:space="preserve">includes certain presentation requirements, these do not result in presentations or classifications that are different to those required for Tier 1 entities. The only exception is the option not to include a separate statement of changes in equity in certain circumstances, as set out in paragraph </w:t>
      </w:r>
      <w:r>
        <w:rPr>
          <w:rFonts w:cs="Times New Roman"/>
          <w:b w:val="0"/>
          <w:bCs w:val="0"/>
          <w:iCs w:val="0"/>
          <w:sz w:val="20"/>
          <w:szCs w:val="20"/>
        </w:rPr>
        <w:t>26</w:t>
      </w:r>
      <w:r w:rsidRPr="007B54C3">
        <w:rPr>
          <w:rFonts w:cs="Times New Roman"/>
          <w:b w:val="0"/>
          <w:bCs w:val="0"/>
          <w:iCs w:val="0"/>
          <w:sz w:val="20"/>
          <w:szCs w:val="20"/>
        </w:rPr>
        <w:t xml:space="preserve"> of the Standard. </w:t>
      </w:r>
    </w:p>
    <w:p w14:paraId="1ED2CA88" w14:textId="77777777" w:rsidR="009A0D95" w:rsidRPr="007B54C3" w:rsidRDefault="009A0D95" w:rsidP="00755499">
      <w:pPr>
        <w:pStyle w:val="Heading3"/>
        <w:spacing w:line="200" w:lineRule="exact"/>
        <w:jc w:val="both"/>
        <w:rPr>
          <w:rFonts w:cs="Times New Roman"/>
          <w:b w:val="0"/>
          <w:bCs w:val="0"/>
          <w:iCs w:val="0"/>
          <w:sz w:val="20"/>
          <w:szCs w:val="20"/>
        </w:rPr>
      </w:pPr>
      <w:r>
        <w:rPr>
          <w:rFonts w:cs="Times New Roman"/>
          <w:b w:val="0"/>
          <w:bCs w:val="0"/>
          <w:iCs w:val="0"/>
          <w:sz w:val="20"/>
          <w:szCs w:val="20"/>
        </w:rPr>
        <w:t>E</w:t>
      </w:r>
      <w:r w:rsidRPr="007B54C3">
        <w:rPr>
          <w:rFonts w:cs="Times New Roman"/>
          <w:b w:val="0"/>
          <w:bCs w:val="0"/>
          <w:iCs w:val="0"/>
          <w:sz w:val="20"/>
          <w:szCs w:val="20"/>
        </w:rPr>
        <w:t xml:space="preserve">ntities that comply with this Standard need to apply the recognition and measurement requirements in other </w:t>
      </w:r>
      <w:r>
        <w:rPr>
          <w:rFonts w:cs="Times New Roman"/>
          <w:b w:val="0"/>
          <w:bCs w:val="0"/>
          <w:iCs w:val="0"/>
          <w:sz w:val="20"/>
          <w:szCs w:val="20"/>
        </w:rPr>
        <w:t xml:space="preserve">Australian Accounting </w:t>
      </w:r>
      <w:r w:rsidRPr="007B54C3">
        <w:rPr>
          <w:rFonts w:cs="Times New Roman"/>
          <w:b w:val="0"/>
          <w:bCs w:val="0"/>
          <w:iCs w:val="0"/>
          <w:sz w:val="20"/>
          <w:szCs w:val="20"/>
        </w:rPr>
        <w:t>Standards,</w:t>
      </w:r>
      <w:r>
        <w:rPr>
          <w:rFonts w:cs="Times New Roman"/>
          <w:b w:val="0"/>
          <w:bCs w:val="0"/>
          <w:iCs w:val="0"/>
          <w:sz w:val="20"/>
          <w:szCs w:val="20"/>
        </w:rPr>
        <w:t xml:space="preserve"> however, </w:t>
      </w:r>
      <w:r w:rsidRPr="007B54C3">
        <w:rPr>
          <w:rFonts w:cs="Times New Roman"/>
          <w:b w:val="0"/>
          <w:bCs w:val="0"/>
          <w:iCs w:val="0"/>
          <w:sz w:val="20"/>
          <w:szCs w:val="20"/>
        </w:rPr>
        <w:t xml:space="preserve">they are exempt from the disclosure requirements in specified paragraphs in other Standards. Tier 2 entities are also not required to comply with other </w:t>
      </w:r>
      <w:r>
        <w:rPr>
          <w:rFonts w:cs="Times New Roman"/>
          <w:b w:val="0"/>
          <w:bCs w:val="0"/>
          <w:iCs w:val="0"/>
          <w:sz w:val="20"/>
          <w:szCs w:val="20"/>
        </w:rPr>
        <w:t xml:space="preserve">Australian Accounting </w:t>
      </w:r>
      <w:r w:rsidRPr="007B54C3">
        <w:rPr>
          <w:rFonts w:cs="Times New Roman"/>
          <w:b w:val="0"/>
          <w:bCs w:val="0"/>
          <w:iCs w:val="0"/>
          <w:sz w:val="20"/>
          <w:szCs w:val="20"/>
        </w:rPr>
        <w:t xml:space="preserve">Standards that deal only with presentation and disclosure. Consequential amendments to the relevant Standards are set out in Appendix </w:t>
      </w:r>
      <w:r>
        <w:rPr>
          <w:rFonts w:cs="Times New Roman"/>
          <w:b w:val="0"/>
          <w:bCs w:val="0"/>
          <w:iCs w:val="0"/>
          <w:sz w:val="20"/>
          <w:szCs w:val="20"/>
        </w:rPr>
        <w:t>C</w:t>
      </w:r>
      <w:r w:rsidRPr="007B54C3">
        <w:rPr>
          <w:rFonts w:cs="Times New Roman"/>
          <w:b w:val="0"/>
          <w:bCs w:val="0"/>
          <w:iCs w:val="0"/>
          <w:sz w:val="20"/>
          <w:szCs w:val="20"/>
        </w:rPr>
        <w:t xml:space="preserve">. </w:t>
      </w:r>
    </w:p>
    <w:p w14:paraId="06944F3C" w14:textId="77777777" w:rsidR="00A90A3D" w:rsidRPr="001B1D7C" w:rsidRDefault="00A90A3D" w:rsidP="00A90A3D">
      <w:pPr>
        <w:pStyle w:val="Heading3"/>
      </w:pPr>
      <w:r w:rsidRPr="001B1D7C">
        <w:t>Human Rights Implications</w:t>
      </w:r>
    </w:p>
    <w:p w14:paraId="02B05597" w14:textId="13CFD9CB" w:rsidR="00A90A3D" w:rsidRPr="001B1D7C" w:rsidRDefault="006D4E28" w:rsidP="00EA7505">
      <w:pPr>
        <w:pStyle w:val="NoNumPlain1"/>
        <w:jc w:val="both"/>
      </w:pPr>
      <w:r>
        <w:t>This Standard is</w:t>
      </w:r>
      <w:r w:rsidR="00F62F5C" w:rsidRPr="001B1D7C">
        <w:t xml:space="preserve"> issued by the AASB in furtherance of the objective of facilitating the Australian economy. It does not diminish or limit any of the applicable human rights or freedoms, and thus does not raise any human rights issues.</w:t>
      </w:r>
    </w:p>
    <w:p w14:paraId="41D03C73" w14:textId="77777777" w:rsidR="00F62F5C" w:rsidRPr="001B1D7C" w:rsidRDefault="00F62F5C" w:rsidP="00F62F5C">
      <w:pPr>
        <w:pStyle w:val="Heading3"/>
      </w:pPr>
      <w:r w:rsidRPr="001B1D7C">
        <w:t>Conclusion</w:t>
      </w:r>
    </w:p>
    <w:p w14:paraId="6CABE344" w14:textId="15D04F95" w:rsidR="00CD0A54" w:rsidRPr="001B1D7C" w:rsidRDefault="006D4E28" w:rsidP="00EA7505">
      <w:pPr>
        <w:pStyle w:val="NoNumPlain1"/>
        <w:jc w:val="both"/>
      </w:pPr>
      <w:r>
        <w:t>This</w:t>
      </w:r>
      <w:r w:rsidR="00CD0A54" w:rsidRPr="001B1D7C">
        <w:t xml:space="preserve"> Standard </w:t>
      </w:r>
      <w:r w:rsidR="00EC3B0A">
        <w:t>is</w:t>
      </w:r>
      <w:r w:rsidR="00CD0A54" w:rsidRPr="001B1D7C">
        <w:t xml:space="preserve"> compatible with the human rights and freedoms recognised or declared in the international instruments listed in section</w:t>
      </w:r>
      <w:r w:rsidR="002A0EA5">
        <w:t> </w:t>
      </w:r>
      <w:r w:rsidR="00CD0A54" w:rsidRPr="001B1D7C">
        <w:t xml:space="preserve">3 of the </w:t>
      </w:r>
      <w:r w:rsidR="00CD0A54" w:rsidRPr="001B1D7C">
        <w:rPr>
          <w:i/>
        </w:rPr>
        <w:t>Human Rights (Parliamentary Scrutiny) Act</w:t>
      </w:r>
      <w:r w:rsidR="002A0EA5">
        <w:rPr>
          <w:i/>
        </w:rPr>
        <w:t> </w:t>
      </w:r>
      <w:r w:rsidR="00CD0A54" w:rsidRPr="001B1D7C">
        <w:rPr>
          <w:i/>
        </w:rPr>
        <w:t>2011</w:t>
      </w:r>
      <w:r w:rsidR="00CD0A54" w:rsidRPr="001B1D7C">
        <w:t>.</w:t>
      </w:r>
    </w:p>
    <w:p w14:paraId="5B9E94E5" w14:textId="33805912" w:rsidR="00FE4462" w:rsidRPr="001B1D7C" w:rsidRDefault="00FE4462" w:rsidP="00674FFF">
      <w:pPr>
        <w:spacing w:line="240" w:lineRule="auto"/>
      </w:pPr>
    </w:p>
    <w:sectPr w:rsidR="00FE4462" w:rsidRPr="001B1D7C" w:rsidSect="00B93CE4">
      <w:headerReference w:type="even" r:id="rId13"/>
      <w:footerReference w:type="default" r:id="rId14"/>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3FED1" w14:textId="77777777" w:rsidR="009C3675" w:rsidRDefault="009C3675">
      <w:r>
        <w:separator/>
      </w:r>
    </w:p>
  </w:endnote>
  <w:endnote w:type="continuationSeparator" w:id="0">
    <w:p w14:paraId="4EB690B3" w14:textId="77777777" w:rsidR="009C3675" w:rsidRDefault="009C3675">
      <w:r>
        <w:continuationSeparator/>
      </w:r>
    </w:p>
  </w:endnote>
  <w:endnote w:type="continuationNotice" w:id="1">
    <w:p w14:paraId="62F474BD" w14:textId="77777777" w:rsidR="009C3675" w:rsidRDefault="009C367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8D474" w14:textId="3EA8AD06" w:rsidR="006B1B4A" w:rsidRDefault="006B1B4A" w:rsidP="00B93CE4">
    <w:pPr>
      <w:pStyle w:val="Footer"/>
      <w:tabs>
        <w:tab w:val="clear" w:pos="3119"/>
        <w:tab w:val="clear" w:pos="6237"/>
        <w:tab w:val="center" w:pos="4820"/>
        <w:tab w:val="right" w:pos="9639"/>
      </w:tabs>
      <w:rPr>
        <w:b/>
      </w:rPr>
    </w:pPr>
    <w:r>
      <w:rPr>
        <w:b/>
      </w:rPr>
      <w:t>A</w:t>
    </w:r>
    <w:r w:rsidR="00C068D8">
      <w:rPr>
        <w:b/>
      </w:rPr>
      <w:t>ASB</w:t>
    </w:r>
    <w:r w:rsidR="00F913AF">
      <w:rPr>
        <w:b/>
      </w:rPr>
      <w:t> </w:t>
    </w:r>
    <w:r w:rsidR="00363E06">
      <w:rPr>
        <w:b/>
      </w:rPr>
      <w:t>10XX</w:t>
    </w:r>
    <w:r>
      <w:rPr>
        <w:b/>
      </w:rPr>
      <w:tab/>
    </w:r>
    <w:r>
      <w:fldChar w:fldCharType="begin"/>
    </w:r>
    <w:r>
      <w:instrText>PAGE</w:instrText>
    </w:r>
    <w:r>
      <w:fldChar w:fldCharType="separate"/>
    </w:r>
    <w:r w:rsidR="002B0803">
      <w:rPr>
        <w:noProof/>
      </w:rPr>
      <w:t>2</w:t>
    </w:r>
    <w:r>
      <w:fldChar w:fldCharType="end"/>
    </w:r>
    <w:r>
      <w:tab/>
    </w:r>
    <w:r>
      <w:rPr>
        <w:b/>
        <w:bCs/>
      </w:rPr>
      <w:t>EXPLANATORY STATEMENT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5375D" w14:textId="77777777" w:rsidR="009C3675" w:rsidRDefault="009C3675">
      <w:r>
        <w:separator/>
      </w:r>
    </w:p>
  </w:footnote>
  <w:footnote w:type="continuationSeparator" w:id="0">
    <w:p w14:paraId="332ADAC2" w14:textId="77777777" w:rsidR="009C3675" w:rsidRDefault="009C3675">
      <w:r>
        <w:continuationSeparator/>
      </w:r>
    </w:p>
  </w:footnote>
  <w:footnote w:type="continuationNotice" w:id="1">
    <w:p w14:paraId="274382FD" w14:textId="77777777" w:rsidR="009C3675" w:rsidRDefault="009C367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A903B" w14:textId="77777777" w:rsidR="006B1B4A" w:rsidRDefault="006B1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CF6DDE"/>
    <w:multiLevelType w:val="hybridMultilevel"/>
    <w:tmpl w:val="23606F8E"/>
    <w:lvl w:ilvl="0" w:tplc="AEA0BD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576465B"/>
    <w:multiLevelType w:val="multilevel"/>
    <w:tmpl w:val="D9F888A8"/>
    <w:lvl w:ilvl="0">
      <w:start w:val="1"/>
      <w:numFmt w:val="lowerLetter"/>
      <w:lvlText w:val="(%1)"/>
      <w:lvlJc w:val="left"/>
      <w:pPr>
        <w:tabs>
          <w:tab w:val="num" w:pos="652"/>
        </w:tabs>
        <w:ind w:left="652" w:hanging="510"/>
      </w:pPr>
      <w:rPr>
        <w:rFonts w:hint="default"/>
      </w:rPr>
    </w:lvl>
    <w:lvl w:ilvl="1">
      <w:start w:val="1"/>
      <w:numFmt w:val="lowerRoman"/>
      <w:lvlText w:val="(%2)"/>
      <w:lvlJc w:val="left"/>
      <w:pPr>
        <w:tabs>
          <w:tab w:val="num" w:pos="1163"/>
        </w:tabs>
        <w:ind w:left="1163" w:hanging="511"/>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3" w15:restartNumberingAfterBreak="0">
    <w:nsid w:val="272F7F03"/>
    <w:multiLevelType w:val="hybridMultilevel"/>
    <w:tmpl w:val="E0A60058"/>
    <w:lvl w:ilvl="0" w:tplc="A4DABA82">
      <w:start w:val="1"/>
      <w:numFmt w:val="lowerLetter"/>
      <w:lvlText w:val="(%1)"/>
      <w:lvlJc w:val="left"/>
      <w:pPr>
        <w:ind w:left="786" w:hanging="360"/>
      </w:pPr>
      <w:rPr>
        <w:rFonts w:hint="default"/>
        <w:i w:val="0"/>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 w15:restartNumberingAfterBreak="0">
    <w:nsid w:val="27F821CB"/>
    <w:multiLevelType w:val="hybridMultilevel"/>
    <w:tmpl w:val="1CDC9BEA"/>
    <w:lvl w:ilvl="0" w:tplc="8A94C782">
      <w:start w:val="1"/>
      <w:numFmt w:val="bullet"/>
      <w:pStyle w:val="Bullet4"/>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0C0350"/>
    <w:multiLevelType w:val="hybridMultilevel"/>
    <w:tmpl w:val="3DC86F4E"/>
    <w:lvl w:ilvl="0" w:tplc="2B14E8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9A23BD9"/>
    <w:multiLevelType w:val="hybridMultilevel"/>
    <w:tmpl w:val="809074BC"/>
    <w:lvl w:ilvl="0" w:tplc="AAC84BFE">
      <w:start w:val="1"/>
      <w:numFmt w:val="bullet"/>
      <w:pStyle w:val="Bullet2"/>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D93A09"/>
    <w:multiLevelType w:val="hybridMultilevel"/>
    <w:tmpl w:val="ED4E8E82"/>
    <w:lvl w:ilvl="0" w:tplc="3DAA3656">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23D4ECC"/>
    <w:multiLevelType w:val="hybridMultilevel"/>
    <w:tmpl w:val="23606F8E"/>
    <w:lvl w:ilvl="0" w:tplc="AEA0BD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70D7B29"/>
    <w:multiLevelType w:val="hybridMultilevel"/>
    <w:tmpl w:val="E8FCB0B6"/>
    <w:lvl w:ilvl="0" w:tplc="EECA7B38">
      <w:start w:val="1"/>
      <w:numFmt w:val="bullet"/>
      <w:pStyle w:val="Bullets"/>
      <w:lvlText w:val=""/>
      <w:lvlJc w:val="left"/>
      <w:pPr>
        <w:tabs>
          <w:tab w:val="num" w:pos="473"/>
        </w:tabs>
        <w:ind w:left="227" w:hanging="114"/>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52504F"/>
    <w:multiLevelType w:val="hybridMultilevel"/>
    <w:tmpl w:val="FCC49D66"/>
    <w:lvl w:ilvl="0" w:tplc="DFF2F438">
      <w:start w:val="1"/>
      <w:numFmt w:val="bullet"/>
      <w:pStyle w:val="Bullet3"/>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0812F3"/>
    <w:multiLevelType w:val="multilevel"/>
    <w:tmpl w:val="315ABF2C"/>
    <w:styleLink w:val="AASBNumber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upperLetter"/>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13" w15:restartNumberingAfterBreak="0">
    <w:nsid w:val="639A62E6"/>
    <w:multiLevelType w:val="hybridMultilevel"/>
    <w:tmpl w:val="D5F6F600"/>
    <w:lvl w:ilvl="0" w:tplc="37A664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69C02929"/>
    <w:multiLevelType w:val="hybridMultilevel"/>
    <w:tmpl w:val="7F847CDE"/>
    <w:lvl w:ilvl="0" w:tplc="4860E214">
      <w:start w:val="1"/>
      <w:numFmt w:val="bullet"/>
      <w:pStyle w:val="Bullet1"/>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064975"/>
    <w:multiLevelType w:val="hybridMultilevel"/>
    <w:tmpl w:val="B31CEBF2"/>
    <w:lvl w:ilvl="0" w:tplc="5C1C135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14"/>
  </w:num>
  <w:num w:numId="3">
    <w:abstractNumId w:val="11"/>
  </w:num>
  <w:num w:numId="4">
    <w:abstractNumId w:val="0"/>
  </w:num>
  <w:num w:numId="5">
    <w:abstractNumId w:val="5"/>
  </w:num>
  <w:num w:numId="6">
    <w:abstractNumId w:val="4"/>
  </w:num>
  <w:num w:numId="7">
    <w:abstractNumId w:val="10"/>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3"/>
  </w:num>
  <w:num w:numId="12">
    <w:abstractNumId w:val="3"/>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8"/>
  </w:num>
  <w:num w:numId="17">
    <w:abstractNumId w:val="15"/>
  </w:num>
  <w:num w:numId="18">
    <w:abstractNumId w:val="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activeWritingStyle w:appName="MSWord" w:lang="en-AU" w:vendorID="64" w:dllVersion="5" w:nlCheck="1" w:checkStyle="1"/>
  <w:activeWritingStyle w:appName="MSWord" w:lang="en-GB" w:vendorID="64" w:dllVersion="5" w:nlCheck="1" w:checkStyle="1"/>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0241" fillcolor="white">
      <v:fill color="white"/>
      <o:colormru v:ext="edit" colors="#ddd,silver,#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ZCE2NDCyMDYyNzEwMDMyUdpeDU4uLM/DyQAtNaAFxxgG8sAAAA"/>
  </w:docVars>
  <w:rsids>
    <w:rsidRoot w:val="00D429C8"/>
    <w:rsid w:val="000018C8"/>
    <w:rsid w:val="00002E57"/>
    <w:rsid w:val="00004A0D"/>
    <w:rsid w:val="00005371"/>
    <w:rsid w:val="00005EA8"/>
    <w:rsid w:val="00006694"/>
    <w:rsid w:val="00007F65"/>
    <w:rsid w:val="00011607"/>
    <w:rsid w:val="0001484E"/>
    <w:rsid w:val="00020951"/>
    <w:rsid w:val="00020ACD"/>
    <w:rsid w:val="000226E6"/>
    <w:rsid w:val="00031DBC"/>
    <w:rsid w:val="0003451C"/>
    <w:rsid w:val="000360B2"/>
    <w:rsid w:val="00041AE0"/>
    <w:rsid w:val="0004439B"/>
    <w:rsid w:val="000509B7"/>
    <w:rsid w:val="00051616"/>
    <w:rsid w:val="00054347"/>
    <w:rsid w:val="00054FC1"/>
    <w:rsid w:val="00055755"/>
    <w:rsid w:val="00061A37"/>
    <w:rsid w:val="000623C8"/>
    <w:rsid w:val="000636EB"/>
    <w:rsid w:val="000643B2"/>
    <w:rsid w:val="00067953"/>
    <w:rsid w:val="0007096A"/>
    <w:rsid w:val="00070D7A"/>
    <w:rsid w:val="00073311"/>
    <w:rsid w:val="00075626"/>
    <w:rsid w:val="00077B4B"/>
    <w:rsid w:val="00080157"/>
    <w:rsid w:val="00080331"/>
    <w:rsid w:val="0008234F"/>
    <w:rsid w:val="0008242C"/>
    <w:rsid w:val="00083737"/>
    <w:rsid w:val="00085B62"/>
    <w:rsid w:val="000873D0"/>
    <w:rsid w:val="00090318"/>
    <w:rsid w:val="00090D77"/>
    <w:rsid w:val="000920D3"/>
    <w:rsid w:val="0009285A"/>
    <w:rsid w:val="000936C7"/>
    <w:rsid w:val="00094356"/>
    <w:rsid w:val="00096CD7"/>
    <w:rsid w:val="000A1B7E"/>
    <w:rsid w:val="000A1C6B"/>
    <w:rsid w:val="000A2A30"/>
    <w:rsid w:val="000C19FA"/>
    <w:rsid w:val="000C53C1"/>
    <w:rsid w:val="000C7E0C"/>
    <w:rsid w:val="000D41A4"/>
    <w:rsid w:val="000D428B"/>
    <w:rsid w:val="000D4B50"/>
    <w:rsid w:val="000E19F5"/>
    <w:rsid w:val="000E6E09"/>
    <w:rsid w:val="000E7F81"/>
    <w:rsid w:val="000F05E6"/>
    <w:rsid w:val="000F0CF7"/>
    <w:rsid w:val="000F1C55"/>
    <w:rsid w:val="000F281A"/>
    <w:rsid w:val="000F2911"/>
    <w:rsid w:val="000F4C2A"/>
    <w:rsid w:val="000F5549"/>
    <w:rsid w:val="0010032B"/>
    <w:rsid w:val="001012C5"/>
    <w:rsid w:val="00104989"/>
    <w:rsid w:val="00106B71"/>
    <w:rsid w:val="00111680"/>
    <w:rsid w:val="00113EE0"/>
    <w:rsid w:val="001158FE"/>
    <w:rsid w:val="00115A16"/>
    <w:rsid w:val="001167C1"/>
    <w:rsid w:val="001218DE"/>
    <w:rsid w:val="00121ADF"/>
    <w:rsid w:val="00121C54"/>
    <w:rsid w:val="00122EF0"/>
    <w:rsid w:val="00125962"/>
    <w:rsid w:val="0012730F"/>
    <w:rsid w:val="00127350"/>
    <w:rsid w:val="00127681"/>
    <w:rsid w:val="00127805"/>
    <w:rsid w:val="00130F7D"/>
    <w:rsid w:val="00131465"/>
    <w:rsid w:val="00131C3F"/>
    <w:rsid w:val="00135D9E"/>
    <w:rsid w:val="00136259"/>
    <w:rsid w:val="00144850"/>
    <w:rsid w:val="00144CC0"/>
    <w:rsid w:val="0014630A"/>
    <w:rsid w:val="00150587"/>
    <w:rsid w:val="0015670A"/>
    <w:rsid w:val="001631F0"/>
    <w:rsid w:val="001639EB"/>
    <w:rsid w:val="0017334D"/>
    <w:rsid w:val="00185255"/>
    <w:rsid w:val="00187806"/>
    <w:rsid w:val="001A3A3D"/>
    <w:rsid w:val="001B1D7C"/>
    <w:rsid w:val="001B3A40"/>
    <w:rsid w:val="001B4368"/>
    <w:rsid w:val="001B486B"/>
    <w:rsid w:val="001C270A"/>
    <w:rsid w:val="001C5ABB"/>
    <w:rsid w:val="001C68D5"/>
    <w:rsid w:val="001C786F"/>
    <w:rsid w:val="001C7C09"/>
    <w:rsid w:val="001D1FFA"/>
    <w:rsid w:val="001D3B0B"/>
    <w:rsid w:val="001D3CD6"/>
    <w:rsid w:val="001D65AA"/>
    <w:rsid w:val="001D7DA0"/>
    <w:rsid w:val="001E0872"/>
    <w:rsid w:val="001E08D3"/>
    <w:rsid w:val="001E0927"/>
    <w:rsid w:val="001E0EA2"/>
    <w:rsid w:val="001E2184"/>
    <w:rsid w:val="001E22AF"/>
    <w:rsid w:val="001E4107"/>
    <w:rsid w:val="001E78DF"/>
    <w:rsid w:val="001F0BB3"/>
    <w:rsid w:val="001F16F3"/>
    <w:rsid w:val="001F1817"/>
    <w:rsid w:val="001F3518"/>
    <w:rsid w:val="001F3ED4"/>
    <w:rsid w:val="001F5A41"/>
    <w:rsid w:val="00200047"/>
    <w:rsid w:val="00201DA6"/>
    <w:rsid w:val="0020218F"/>
    <w:rsid w:val="0020261B"/>
    <w:rsid w:val="002039A3"/>
    <w:rsid w:val="002068E9"/>
    <w:rsid w:val="00206A47"/>
    <w:rsid w:val="00206EF3"/>
    <w:rsid w:val="00207EEA"/>
    <w:rsid w:val="002116D5"/>
    <w:rsid w:val="0021219F"/>
    <w:rsid w:val="00215FCB"/>
    <w:rsid w:val="00222794"/>
    <w:rsid w:val="00222A57"/>
    <w:rsid w:val="00225101"/>
    <w:rsid w:val="00225454"/>
    <w:rsid w:val="0022689A"/>
    <w:rsid w:val="00230E6D"/>
    <w:rsid w:val="0023104C"/>
    <w:rsid w:val="00232226"/>
    <w:rsid w:val="00233620"/>
    <w:rsid w:val="00234C6B"/>
    <w:rsid w:val="0023642A"/>
    <w:rsid w:val="00236896"/>
    <w:rsid w:val="00236EC1"/>
    <w:rsid w:val="00242763"/>
    <w:rsid w:val="00242CF7"/>
    <w:rsid w:val="00243728"/>
    <w:rsid w:val="00243D14"/>
    <w:rsid w:val="00246A41"/>
    <w:rsid w:val="002473D4"/>
    <w:rsid w:val="00252220"/>
    <w:rsid w:val="00253724"/>
    <w:rsid w:val="00254D86"/>
    <w:rsid w:val="00254E85"/>
    <w:rsid w:val="0025656F"/>
    <w:rsid w:val="00262CED"/>
    <w:rsid w:val="00262EDC"/>
    <w:rsid w:val="00263591"/>
    <w:rsid w:val="00263814"/>
    <w:rsid w:val="00267D86"/>
    <w:rsid w:val="00272D58"/>
    <w:rsid w:val="00280693"/>
    <w:rsid w:val="002808D0"/>
    <w:rsid w:val="00284D8D"/>
    <w:rsid w:val="00287831"/>
    <w:rsid w:val="00290128"/>
    <w:rsid w:val="00290176"/>
    <w:rsid w:val="00290777"/>
    <w:rsid w:val="00291666"/>
    <w:rsid w:val="00294D8C"/>
    <w:rsid w:val="00296FC1"/>
    <w:rsid w:val="002A0173"/>
    <w:rsid w:val="002A0EA5"/>
    <w:rsid w:val="002A6EB9"/>
    <w:rsid w:val="002B0803"/>
    <w:rsid w:val="002B0988"/>
    <w:rsid w:val="002B592B"/>
    <w:rsid w:val="002B5CAF"/>
    <w:rsid w:val="002B6B47"/>
    <w:rsid w:val="002B712E"/>
    <w:rsid w:val="002B7166"/>
    <w:rsid w:val="002D00E5"/>
    <w:rsid w:val="002D401C"/>
    <w:rsid w:val="002D6D7A"/>
    <w:rsid w:val="002E0C7D"/>
    <w:rsid w:val="002E2428"/>
    <w:rsid w:val="002E75A9"/>
    <w:rsid w:val="002F08F9"/>
    <w:rsid w:val="002F0E3F"/>
    <w:rsid w:val="002F18F0"/>
    <w:rsid w:val="002F2B2B"/>
    <w:rsid w:val="002F2B9C"/>
    <w:rsid w:val="002F724F"/>
    <w:rsid w:val="003051BE"/>
    <w:rsid w:val="00306F24"/>
    <w:rsid w:val="00310E5A"/>
    <w:rsid w:val="00311292"/>
    <w:rsid w:val="00312390"/>
    <w:rsid w:val="00312740"/>
    <w:rsid w:val="00314DC3"/>
    <w:rsid w:val="003218A0"/>
    <w:rsid w:val="00323268"/>
    <w:rsid w:val="003238C6"/>
    <w:rsid w:val="0032467B"/>
    <w:rsid w:val="00325585"/>
    <w:rsid w:val="00330FAF"/>
    <w:rsid w:val="003315EB"/>
    <w:rsid w:val="003329B8"/>
    <w:rsid w:val="00334FD7"/>
    <w:rsid w:val="0033501C"/>
    <w:rsid w:val="003351C6"/>
    <w:rsid w:val="00340881"/>
    <w:rsid w:val="00344500"/>
    <w:rsid w:val="00344F9F"/>
    <w:rsid w:val="003462B7"/>
    <w:rsid w:val="00346EDF"/>
    <w:rsid w:val="00347521"/>
    <w:rsid w:val="003505DA"/>
    <w:rsid w:val="00351B7D"/>
    <w:rsid w:val="00352568"/>
    <w:rsid w:val="0035717C"/>
    <w:rsid w:val="003600E3"/>
    <w:rsid w:val="00363368"/>
    <w:rsid w:val="00363E06"/>
    <w:rsid w:val="003643FA"/>
    <w:rsid w:val="00364409"/>
    <w:rsid w:val="003667BE"/>
    <w:rsid w:val="00366D54"/>
    <w:rsid w:val="0037016D"/>
    <w:rsid w:val="003705C9"/>
    <w:rsid w:val="00375119"/>
    <w:rsid w:val="003757EF"/>
    <w:rsid w:val="00375E0B"/>
    <w:rsid w:val="003766D9"/>
    <w:rsid w:val="0037790F"/>
    <w:rsid w:val="00382082"/>
    <w:rsid w:val="00383274"/>
    <w:rsid w:val="00383FF7"/>
    <w:rsid w:val="00384832"/>
    <w:rsid w:val="00385678"/>
    <w:rsid w:val="00385E62"/>
    <w:rsid w:val="0039164A"/>
    <w:rsid w:val="00391DC5"/>
    <w:rsid w:val="00392E3B"/>
    <w:rsid w:val="00396BCD"/>
    <w:rsid w:val="003972DF"/>
    <w:rsid w:val="003973FB"/>
    <w:rsid w:val="00397B88"/>
    <w:rsid w:val="003A0315"/>
    <w:rsid w:val="003A2CB8"/>
    <w:rsid w:val="003A56FD"/>
    <w:rsid w:val="003A5EC1"/>
    <w:rsid w:val="003A7749"/>
    <w:rsid w:val="003B076D"/>
    <w:rsid w:val="003C0287"/>
    <w:rsid w:val="003C1680"/>
    <w:rsid w:val="003C30D0"/>
    <w:rsid w:val="003C3F4E"/>
    <w:rsid w:val="003C4C28"/>
    <w:rsid w:val="003C5A2F"/>
    <w:rsid w:val="003C6A04"/>
    <w:rsid w:val="003D3B11"/>
    <w:rsid w:val="003D44C1"/>
    <w:rsid w:val="003E3FDA"/>
    <w:rsid w:val="003E4E45"/>
    <w:rsid w:val="003E5C75"/>
    <w:rsid w:val="003E6B46"/>
    <w:rsid w:val="003E7BB9"/>
    <w:rsid w:val="00402416"/>
    <w:rsid w:val="0040485F"/>
    <w:rsid w:val="004055EC"/>
    <w:rsid w:val="0040592A"/>
    <w:rsid w:val="0041254C"/>
    <w:rsid w:val="00414BC3"/>
    <w:rsid w:val="0041584B"/>
    <w:rsid w:val="00416FE6"/>
    <w:rsid w:val="004179BF"/>
    <w:rsid w:val="004209B2"/>
    <w:rsid w:val="00427CE5"/>
    <w:rsid w:val="00433B60"/>
    <w:rsid w:val="00441D21"/>
    <w:rsid w:val="00442527"/>
    <w:rsid w:val="00443AB5"/>
    <w:rsid w:val="00443E61"/>
    <w:rsid w:val="00445D70"/>
    <w:rsid w:val="00450945"/>
    <w:rsid w:val="00457DCC"/>
    <w:rsid w:val="00463B8D"/>
    <w:rsid w:val="0046457F"/>
    <w:rsid w:val="0046562B"/>
    <w:rsid w:val="00465EBE"/>
    <w:rsid w:val="00467B73"/>
    <w:rsid w:val="00471528"/>
    <w:rsid w:val="00493DD4"/>
    <w:rsid w:val="004955D9"/>
    <w:rsid w:val="00496CE3"/>
    <w:rsid w:val="004A1131"/>
    <w:rsid w:val="004A4B34"/>
    <w:rsid w:val="004A6718"/>
    <w:rsid w:val="004A7EC7"/>
    <w:rsid w:val="004B00D4"/>
    <w:rsid w:val="004B142A"/>
    <w:rsid w:val="004B3319"/>
    <w:rsid w:val="004B77A1"/>
    <w:rsid w:val="004C1746"/>
    <w:rsid w:val="004C1858"/>
    <w:rsid w:val="004C45B8"/>
    <w:rsid w:val="004C62D2"/>
    <w:rsid w:val="004D0640"/>
    <w:rsid w:val="004D2BDB"/>
    <w:rsid w:val="004D3CB8"/>
    <w:rsid w:val="004D51D9"/>
    <w:rsid w:val="004D54B2"/>
    <w:rsid w:val="004D69C5"/>
    <w:rsid w:val="004D7A84"/>
    <w:rsid w:val="004E1F6F"/>
    <w:rsid w:val="004E54CE"/>
    <w:rsid w:val="004E5715"/>
    <w:rsid w:val="004F2209"/>
    <w:rsid w:val="004F4B60"/>
    <w:rsid w:val="004F7773"/>
    <w:rsid w:val="00500A7F"/>
    <w:rsid w:val="00500BAE"/>
    <w:rsid w:val="00506C66"/>
    <w:rsid w:val="00507514"/>
    <w:rsid w:val="00512F90"/>
    <w:rsid w:val="00520E9E"/>
    <w:rsid w:val="0052464D"/>
    <w:rsid w:val="00525408"/>
    <w:rsid w:val="0052629C"/>
    <w:rsid w:val="00526DA0"/>
    <w:rsid w:val="00527FAD"/>
    <w:rsid w:val="00530262"/>
    <w:rsid w:val="00540E70"/>
    <w:rsid w:val="005414B0"/>
    <w:rsid w:val="00542989"/>
    <w:rsid w:val="0054420C"/>
    <w:rsid w:val="00545D3D"/>
    <w:rsid w:val="00545E1C"/>
    <w:rsid w:val="0054792E"/>
    <w:rsid w:val="005508F8"/>
    <w:rsid w:val="00563010"/>
    <w:rsid w:val="0056486F"/>
    <w:rsid w:val="00565477"/>
    <w:rsid w:val="00567B77"/>
    <w:rsid w:val="00570240"/>
    <w:rsid w:val="00570950"/>
    <w:rsid w:val="005734E0"/>
    <w:rsid w:val="00573C31"/>
    <w:rsid w:val="00580969"/>
    <w:rsid w:val="005815F9"/>
    <w:rsid w:val="00582FEC"/>
    <w:rsid w:val="0058320D"/>
    <w:rsid w:val="00590103"/>
    <w:rsid w:val="00591D60"/>
    <w:rsid w:val="00592AE6"/>
    <w:rsid w:val="00592CDB"/>
    <w:rsid w:val="005962AB"/>
    <w:rsid w:val="00596ADD"/>
    <w:rsid w:val="005A2707"/>
    <w:rsid w:val="005A427A"/>
    <w:rsid w:val="005A581F"/>
    <w:rsid w:val="005A75F0"/>
    <w:rsid w:val="005B1017"/>
    <w:rsid w:val="005B133A"/>
    <w:rsid w:val="005B238F"/>
    <w:rsid w:val="005B25E9"/>
    <w:rsid w:val="005B7BB7"/>
    <w:rsid w:val="005C2F09"/>
    <w:rsid w:val="005C7036"/>
    <w:rsid w:val="005D13D9"/>
    <w:rsid w:val="005D1952"/>
    <w:rsid w:val="005D5030"/>
    <w:rsid w:val="005D70F7"/>
    <w:rsid w:val="005E0140"/>
    <w:rsid w:val="005E1723"/>
    <w:rsid w:val="005E2BBE"/>
    <w:rsid w:val="005E43B9"/>
    <w:rsid w:val="005E4C18"/>
    <w:rsid w:val="005E4D00"/>
    <w:rsid w:val="005E50BA"/>
    <w:rsid w:val="005E5335"/>
    <w:rsid w:val="005E670D"/>
    <w:rsid w:val="005E6A39"/>
    <w:rsid w:val="005E6F84"/>
    <w:rsid w:val="005F0581"/>
    <w:rsid w:val="005F1173"/>
    <w:rsid w:val="005F15ED"/>
    <w:rsid w:val="005F3AA4"/>
    <w:rsid w:val="005F4451"/>
    <w:rsid w:val="005F5FDE"/>
    <w:rsid w:val="005F641F"/>
    <w:rsid w:val="0060043E"/>
    <w:rsid w:val="00603235"/>
    <w:rsid w:val="006047C0"/>
    <w:rsid w:val="006073BF"/>
    <w:rsid w:val="00607A32"/>
    <w:rsid w:val="00607DB6"/>
    <w:rsid w:val="00610132"/>
    <w:rsid w:val="006104FA"/>
    <w:rsid w:val="00614CCF"/>
    <w:rsid w:val="00615859"/>
    <w:rsid w:val="00616B47"/>
    <w:rsid w:val="00620417"/>
    <w:rsid w:val="006213BC"/>
    <w:rsid w:val="006232CB"/>
    <w:rsid w:val="00624317"/>
    <w:rsid w:val="00625037"/>
    <w:rsid w:val="00626AC2"/>
    <w:rsid w:val="00627C8F"/>
    <w:rsid w:val="0063036A"/>
    <w:rsid w:val="00631870"/>
    <w:rsid w:val="00635A1A"/>
    <w:rsid w:val="00635CA7"/>
    <w:rsid w:val="00635FA2"/>
    <w:rsid w:val="0064463A"/>
    <w:rsid w:val="00650E1C"/>
    <w:rsid w:val="00652F27"/>
    <w:rsid w:val="006617A0"/>
    <w:rsid w:val="0066223C"/>
    <w:rsid w:val="006628B2"/>
    <w:rsid w:val="00666164"/>
    <w:rsid w:val="00667895"/>
    <w:rsid w:val="0067004E"/>
    <w:rsid w:val="0067195B"/>
    <w:rsid w:val="00672100"/>
    <w:rsid w:val="0067249B"/>
    <w:rsid w:val="00673C8E"/>
    <w:rsid w:val="00674FFF"/>
    <w:rsid w:val="00677378"/>
    <w:rsid w:val="006776BD"/>
    <w:rsid w:val="00677A12"/>
    <w:rsid w:val="006827F3"/>
    <w:rsid w:val="00682C52"/>
    <w:rsid w:val="00684668"/>
    <w:rsid w:val="00685B4C"/>
    <w:rsid w:val="00686B7C"/>
    <w:rsid w:val="00692A62"/>
    <w:rsid w:val="00694DED"/>
    <w:rsid w:val="00696267"/>
    <w:rsid w:val="00697488"/>
    <w:rsid w:val="006A01D2"/>
    <w:rsid w:val="006A0C7C"/>
    <w:rsid w:val="006A2A04"/>
    <w:rsid w:val="006A3F91"/>
    <w:rsid w:val="006A56D8"/>
    <w:rsid w:val="006A6C9F"/>
    <w:rsid w:val="006A6D1C"/>
    <w:rsid w:val="006B1374"/>
    <w:rsid w:val="006B1B4A"/>
    <w:rsid w:val="006B3739"/>
    <w:rsid w:val="006B3C9F"/>
    <w:rsid w:val="006B4DC6"/>
    <w:rsid w:val="006B7310"/>
    <w:rsid w:val="006B7335"/>
    <w:rsid w:val="006B7F2B"/>
    <w:rsid w:val="006C34F1"/>
    <w:rsid w:val="006C39D1"/>
    <w:rsid w:val="006C5EB8"/>
    <w:rsid w:val="006D2015"/>
    <w:rsid w:val="006D4E28"/>
    <w:rsid w:val="006D5858"/>
    <w:rsid w:val="006D6272"/>
    <w:rsid w:val="006D6B35"/>
    <w:rsid w:val="006E1211"/>
    <w:rsid w:val="006E2CC6"/>
    <w:rsid w:val="006E4245"/>
    <w:rsid w:val="006E651D"/>
    <w:rsid w:val="006F217C"/>
    <w:rsid w:val="006F46DE"/>
    <w:rsid w:val="006F4E7F"/>
    <w:rsid w:val="00702A91"/>
    <w:rsid w:val="00702F66"/>
    <w:rsid w:val="007030EE"/>
    <w:rsid w:val="00703571"/>
    <w:rsid w:val="00704CE1"/>
    <w:rsid w:val="007057EC"/>
    <w:rsid w:val="007064F6"/>
    <w:rsid w:val="007066A8"/>
    <w:rsid w:val="00711664"/>
    <w:rsid w:val="007140B0"/>
    <w:rsid w:val="007170C9"/>
    <w:rsid w:val="00717627"/>
    <w:rsid w:val="00720919"/>
    <w:rsid w:val="00722937"/>
    <w:rsid w:val="00722CC9"/>
    <w:rsid w:val="007231BD"/>
    <w:rsid w:val="007261ED"/>
    <w:rsid w:val="00727A6C"/>
    <w:rsid w:val="007322D6"/>
    <w:rsid w:val="007328C0"/>
    <w:rsid w:val="00735F5E"/>
    <w:rsid w:val="00736AC5"/>
    <w:rsid w:val="007403B0"/>
    <w:rsid w:val="007415C8"/>
    <w:rsid w:val="00741AD2"/>
    <w:rsid w:val="00744147"/>
    <w:rsid w:val="00745631"/>
    <w:rsid w:val="00751E36"/>
    <w:rsid w:val="00753AD8"/>
    <w:rsid w:val="00753C44"/>
    <w:rsid w:val="00754179"/>
    <w:rsid w:val="00755499"/>
    <w:rsid w:val="00755B4C"/>
    <w:rsid w:val="00755D8C"/>
    <w:rsid w:val="00760F77"/>
    <w:rsid w:val="007619E6"/>
    <w:rsid w:val="007632A7"/>
    <w:rsid w:val="007676C0"/>
    <w:rsid w:val="00767D2C"/>
    <w:rsid w:val="00770387"/>
    <w:rsid w:val="00776E95"/>
    <w:rsid w:val="00781C08"/>
    <w:rsid w:val="00783BEC"/>
    <w:rsid w:val="00783F93"/>
    <w:rsid w:val="0078659B"/>
    <w:rsid w:val="00787825"/>
    <w:rsid w:val="007903C8"/>
    <w:rsid w:val="00791279"/>
    <w:rsid w:val="00796839"/>
    <w:rsid w:val="007968BE"/>
    <w:rsid w:val="007A218F"/>
    <w:rsid w:val="007A5488"/>
    <w:rsid w:val="007A54A4"/>
    <w:rsid w:val="007A5F63"/>
    <w:rsid w:val="007A69E7"/>
    <w:rsid w:val="007B004E"/>
    <w:rsid w:val="007B02E3"/>
    <w:rsid w:val="007B0652"/>
    <w:rsid w:val="007B228F"/>
    <w:rsid w:val="007B3132"/>
    <w:rsid w:val="007B323F"/>
    <w:rsid w:val="007B4375"/>
    <w:rsid w:val="007B539D"/>
    <w:rsid w:val="007B54C3"/>
    <w:rsid w:val="007B57FC"/>
    <w:rsid w:val="007C13D0"/>
    <w:rsid w:val="007C1E39"/>
    <w:rsid w:val="007C2A76"/>
    <w:rsid w:val="007C2B04"/>
    <w:rsid w:val="007C506B"/>
    <w:rsid w:val="007C5788"/>
    <w:rsid w:val="007C5F2A"/>
    <w:rsid w:val="007C61A5"/>
    <w:rsid w:val="007C7DDA"/>
    <w:rsid w:val="007D23BF"/>
    <w:rsid w:val="007D330F"/>
    <w:rsid w:val="007D48B0"/>
    <w:rsid w:val="007D7337"/>
    <w:rsid w:val="007D7AE0"/>
    <w:rsid w:val="007E4856"/>
    <w:rsid w:val="007E548A"/>
    <w:rsid w:val="007E57B1"/>
    <w:rsid w:val="007E7E18"/>
    <w:rsid w:val="007F06B7"/>
    <w:rsid w:val="007F0BEF"/>
    <w:rsid w:val="007F4E20"/>
    <w:rsid w:val="008026D7"/>
    <w:rsid w:val="00802C2B"/>
    <w:rsid w:val="008053BF"/>
    <w:rsid w:val="008056D5"/>
    <w:rsid w:val="00807345"/>
    <w:rsid w:val="0081311B"/>
    <w:rsid w:val="00813B85"/>
    <w:rsid w:val="00813FC1"/>
    <w:rsid w:val="00817A7B"/>
    <w:rsid w:val="00817AC8"/>
    <w:rsid w:val="008206F8"/>
    <w:rsid w:val="00822659"/>
    <w:rsid w:val="008248C4"/>
    <w:rsid w:val="00824A1D"/>
    <w:rsid w:val="0082668C"/>
    <w:rsid w:val="00826FE1"/>
    <w:rsid w:val="00832ABA"/>
    <w:rsid w:val="0083452A"/>
    <w:rsid w:val="00835477"/>
    <w:rsid w:val="00835AA4"/>
    <w:rsid w:val="008377FF"/>
    <w:rsid w:val="00843BF6"/>
    <w:rsid w:val="008505E4"/>
    <w:rsid w:val="00854BCD"/>
    <w:rsid w:val="008551C6"/>
    <w:rsid w:val="0085663E"/>
    <w:rsid w:val="0085777B"/>
    <w:rsid w:val="00861618"/>
    <w:rsid w:val="00863DE1"/>
    <w:rsid w:val="00864F55"/>
    <w:rsid w:val="00871F83"/>
    <w:rsid w:val="00875E24"/>
    <w:rsid w:val="00882805"/>
    <w:rsid w:val="00886215"/>
    <w:rsid w:val="0088667E"/>
    <w:rsid w:val="00896AE0"/>
    <w:rsid w:val="00897C65"/>
    <w:rsid w:val="008A1B75"/>
    <w:rsid w:val="008A1F39"/>
    <w:rsid w:val="008A264E"/>
    <w:rsid w:val="008A2E3E"/>
    <w:rsid w:val="008A7DA1"/>
    <w:rsid w:val="008B0485"/>
    <w:rsid w:val="008B0ACD"/>
    <w:rsid w:val="008B25C6"/>
    <w:rsid w:val="008B63BA"/>
    <w:rsid w:val="008B66C2"/>
    <w:rsid w:val="008C2352"/>
    <w:rsid w:val="008C38E9"/>
    <w:rsid w:val="008C5B82"/>
    <w:rsid w:val="008C76C3"/>
    <w:rsid w:val="008D051C"/>
    <w:rsid w:val="008D24A4"/>
    <w:rsid w:val="008D315E"/>
    <w:rsid w:val="008D3E1A"/>
    <w:rsid w:val="008D40CC"/>
    <w:rsid w:val="008D46F8"/>
    <w:rsid w:val="008D6807"/>
    <w:rsid w:val="008D7324"/>
    <w:rsid w:val="008E3702"/>
    <w:rsid w:val="008E4294"/>
    <w:rsid w:val="008E664A"/>
    <w:rsid w:val="008F1340"/>
    <w:rsid w:val="008F14A8"/>
    <w:rsid w:val="008F2C9D"/>
    <w:rsid w:val="008F344A"/>
    <w:rsid w:val="008F60E5"/>
    <w:rsid w:val="008F6CD7"/>
    <w:rsid w:val="00901322"/>
    <w:rsid w:val="00902CEF"/>
    <w:rsid w:val="009056E6"/>
    <w:rsid w:val="009060CF"/>
    <w:rsid w:val="00911DB4"/>
    <w:rsid w:val="009125E1"/>
    <w:rsid w:val="00912CBB"/>
    <w:rsid w:val="00915F55"/>
    <w:rsid w:val="00916B64"/>
    <w:rsid w:val="00925700"/>
    <w:rsid w:val="00930915"/>
    <w:rsid w:val="00931309"/>
    <w:rsid w:val="00933294"/>
    <w:rsid w:val="00934ED0"/>
    <w:rsid w:val="00936592"/>
    <w:rsid w:val="00936AD7"/>
    <w:rsid w:val="009375BC"/>
    <w:rsid w:val="00944BBE"/>
    <w:rsid w:val="00951700"/>
    <w:rsid w:val="009524A8"/>
    <w:rsid w:val="0095678D"/>
    <w:rsid w:val="0095684E"/>
    <w:rsid w:val="009576F6"/>
    <w:rsid w:val="00960B3D"/>
    <w:rsid w:val="00961546"/>
    <w:rsid w:val="009627FA"/>
    <w:rsid w:val="009766A1"/>
    <w:rsid w:val="00977669"/>
    <w:rsid w:val="00980C3B"/>
    <w:rsid w:val="00980C86"/>
    <w:rsid w:val="009839D3"/>
    <w:rsid w:val="00983E04"/>
    <w:rsid w:val="00990966"/>
    <w:rsid w:val="00991DA5"/>
    <w:rsid w:val="0099248A"/>
    <w:rsid w:val="00993378"/>
    <w:rsid w:val="00994D9B"/>
    <w:rsid w:val="00995556"/>
    <w:rsid w:val="00997547"/>
    <w:rsid w:val="009979AB"/>
    <w:rsid w:val="009A0B33"/>
    <w:rsid w:val="009A0D95"/>
    <w:rsid w:val="009A337C"/>
    <w:rsid w:val="009A537C"/>
    <w:rsid w:val="009A627A"/>
    <w:rsid w:val="009B2533"/>
    <w:rsid w:val="009B509B"/>
    <w:rsid w:val="009C1B6A"/>
    <w:rsid w:val="009C253F"/>
    <w:rsid w:val="009C3675"/>
    <w:rsid w:val="009C5C89"/>
    <w:rsid w:val="009D2044"/>
    <w:rsid w:val="009D4897"/>
    <w:rsid w:val="009D5CEF"/>
    <w:rsid w:val="009D6119"/>
    <w:rsid w:val="009D6938"/>
    <w:rsid w:val="009D6C20"/>
    <w:rsid w:val="009D75C9"/>
    <w:rsid w:val="009D7FD3"/>
    <w:rsid w:val="009E5C3A"/>
    <w:rsid w:val="009E78EF"/>
    <w:rsid w:val="009F00ED"/>
    <w:rsid w:val="009F21E9"/>
    <w:rsid w:val="009F2D2B"/>
    <w:rsid w:val="009F3698"/>
    <w:rsid w:val="009F7F59"/>
    <w:rsid w:val="00A00539"/>
    <w:rsid w:val="00A035A7"/>
    <w:rsid w:val="00A0640C"/>
    <w:rsid w:val="00A07B58"/>
    <w:rsid w:val="00A120EC"/>
    <w:rsid w:val="00A14C37"/>
    <w:rsid w:val="00A20B33"/>
    <w:rsid w:val="00A26D78"/>
    <w:rsid w:val="00A3070B"/>
    <w:rsid w:val="00A318CA"/>
    <w:rsid w:val="00A322F6"/>
    <w:rsid w:val="00A33757"/>
    <w:rsid w:val="00A34A8C"/>
    <w:rsid w:val="00A415DD"/>
    <w:rsid w:val="00A41EF3"/>
    <w:rsid w:val="00A43DD6"/>
    <w:rsid w:val="00A46379"/>
    <w:rsid w:val="00A54740"/>
    <w:rsid w:val="00A54BB3"/>
    <w:rsid w:val="00A55C62"/>
    <w:rsid w:val="00A57577"/>
    <w:rsid w:val="00A60BDB"/>
    <w:rsid w:val="00A61CB2"/>
    <w:rsid w:val="00A62850"/>
    <w:rsid w:val="00A638C0"/>
    <w:rsid w:val="00A64AEA"/>
    <w:rsid w:val="00A664AB"/>
    <w:rsid w:val="00A67680"/>
    <w:rsid w:val="00A713CE"/>
    <w:rsid w:val="00A73CE0"/>
    <w:rsid w:val="00A75A81"/>
    <w:rsid w:val="00A76122"/>
    <w:rsid w:val="00A8344C"/>
    <w:rsid w:val="00A84FB4"/>
    <w:rsid w:val="00A86C65"/>
    <w:rsid w:val="00A902EA"/>
    <w:rsid w:val="00A90590"/>
    <w:rsid w:val="00A90A3D"/>
    <w:rsid w:val="00A92FFA"/>
    <w:rsid w:val="00A9484D"/>
    <w:rsid w:val="00A94F2A"/>
    <w:rsid w:val="00A979E4"/>
    <w:rsid w:val="00A97B77"/>
    <w:rsid w:val="00AA00AD"/>
    <w:rsid w:val="00AA16F5"/>
    <w:rsid w:val="00AA1888"/>
    <w:rsid w:val="00AA2E6B"/>
    <w:rsid w:val="00AA4407"/>
    <w:rsid w:val="00AB2137"/>
    <w:rsid w:val="00AB47C9"/>
    <w:rsid w:val="00AB61AB"/>
    <w:rsid w:val="00AC2063"/>
    <w:rsid w:val="00AC2CA9"/>
    <w:rsid w:val="00AC50AE"/>
    <w:rsid w:val="00AC5503"/>
    <w:rsid w:val="00AC6C1A"/>
    <w:rsid w:val="00AD2064"/>
    <w:rsid w:val="00AD3F4E"/>
    <w:rsid w:val="00AD44F9"/>
    <w:rsid w:val="00AD5E2A"/>
    <w:rsid w:val="00AE1F8A"/>
    <w:rsid w:val="00AE50B6"/>
    <w:rsid w:val="00AE5B4C"/>
    <w:rsid w:val="00AF230A"/>
    <w:rsid w:val="00AF52EB"/>
    <w:rsid w:val="00B00C1B"/>
    <w:rsid w:val="00B03D1D"/>
    <w:rsid w:val="00B05B7B"/>
    <w:rsid w:val="00B06AF5"/>
    <w:rsid w:val="00B1095D"/>
    <w:rsid w:val="00B10AB1"/>
    <w:rsid w:val="00B127B5"/>
    <w:rsid w:val="00B12E84"/>
    <w:rsid w:val="00B16DEA"/>
    <w:rsid w:val="00B17EE5"/>
    <w:rsid w:val="00B223A3"/>
    <w:rsid w:val="00B23A4D"/>
    <w:rsid w:val="00B259A2"/>
    <w:rsid w:val="00B25A7C"/>
    <w:rsid w:val="00B27356"/>
    <w:rsid w:val="00B31702"/>
    <w:rsid w:val="00B31B7D"/>
    <w:rsid w:val="00B329DE"/>
    <w:rsid w:val="00B348F9"/>
    <w:rsid w:val="00B41DBB"/>
    <w:rsid w:val="00B43B63"/>
    <w:rsid w:val="00B440B7"/>
    <w:rsid w:val="00B44EFA"/>
    <w:rsid w:val="00B46FCB"/>
    <w:rsid w:val="00B50541"/>
    <w:rsid w:val="00B50A3C"/>
    <w:rsid w:val="00B5196B"/>
    <w:rsid w:val="00B56764"/>
    <w:rsid w:val="00B56BB1"/>
    <w:rsid w:val="00B6231D"/>
    <w:rsid w:val="00B62F36"/>
    <w:rsid w:val="00B64CE9"/>
    <w:rsid w:val="00B6513D"/>
    <w:rsid w:val="00B66986"/>
    <w:rsid w:val="00B67434"/>
    <w:rsid w:val="00B71C28"/>
    <w:rsid w:val="00B7416F"/>
    <w:rsid w:val="00B76672"/>
    <w:rsid w:val="00B81972"/>
    <w:rsid w:val="00B85DBC"/>
    <w:rsid w:val="00B90804"/>
    <w:rsid w:val="00B93CE4"/>
    <w:rsid w:val="00B94FFF"/>
    <w:rsid w:val="00BA06E5"/>
    <w:rsid w:val="00BA2BC0"/>
    <w:rsid w:val="00BB2459"/>
    <w:rsid w:val="00BB61A5"/>
    <w:rsid w:val="00BC0F66"/>
    <w:rsid w:val="00BC14ED"/>
    <w:rsid w:val="00BC15D4"/>
    <w:rsid w:val="00BC3C0C"/>
    <w:rsid w:val="00BC78E2"/>
    <w:rsid w:val="00BD0B5B"/>
    <w:rsid w:val="00BD1980"/>
    <w:rsid w:val="00BD2871"/>
    <w:rsid w:val="00BD5227"/>
    <w:rsid w:val="00BD7C61"/>
    <w:rsid w:val="00BE0C60"/>
    <w:rsid w:val="00BE1E1C"/>
    <w:rsid w:val="00BE5A80"/>
    <w:rsid w:val="00BE66D4"/>
    <w:rsid w:val="00BF05BF"/>
    <w:rsid w:val="00BF2726"/>
    <w:rsid w:val="00BF4422"/>
    <w:rsid w:val="00BF6D42"/>
    <w:rsid w:val="00BF6FB4"/>
    <w:rsid w:val="00BF7284"/>
    <w:rsid w:val="00C014B1"/>
    <w:rsid w:val="00C0152F"/>
    <w:rsid w:val="00C03C03"/>
    <w:rsid w:val="00C05266"/>
    <w:rsid w:val="00C068D8"/>
    <w:rsid w:val="00C0691D"/>
    <w:rsid w:val="00C07BC6"/>
    <w:rsid w:val="00C119CC"/>
    <w:rsid w:val="00C1426B"/>
    <w:rsid w:val="00C14CCB"/>
    <w:rsid w:val="00C16665"/>
    <w:rsid w:val="00C177F4"/>
    <w:rsid w:val="00C213AA"/>
    <w:rsid w:val="00C21F45"/>
    <w:rsid w:val="00C22D6C"/>
    <w:rsid w:val="00C32002"/>
    <w:rsid w:val="00C32F2A"/>
    <w:rsid w:val="00C34789"/>
    <w:rsid w:val="00C34D96"/>
    <w:rsid w:val="00C35A20"/>
    <w:rsid w:val="00C37450"/>
    <w:rsid w:val="00C40272"/>
    <w:rsid w:val="00C420C9"/>
    <w:rsid w:val="00C43C64"/>
    <w:rsid w:val="00C44629"/>
    <w:rsid w:val="00C510C2"/>
    <w:rsid w:val="00C51E65"/>
    <w:rsid w:val="00C52357"/>
    <w:rsid w:val="00C543F8"/>
    <w:rsid w:val="00C546C0"/>
    <w:rsid w:val="00C55ED0"/>
    <w:rsid w:val="00C604CC"/>
    <w:rsid w:val="00C61FC9"/>
    <w:rsid w:val="00C634BB"/>
    <w:rsid w:val="00C64906"/>
    <w:rsid w:val="00C64AC9"/>
    <w:rsid w:val="00C661A8"/>
    <w:rsid w:val="00C73349"/>
    <w:rsid w:val="00C80350"/>
    <w:rsid w:val="00C80CE0"/>
    <w:rsid w:val="00C80E07"/>
    <w:rsid w:val="00C815C4"/>
    <w:rsid w:val="00C82A8C"/>
    <w:rsid w:val="00C83E55"/>
    <w:rsid w:val="00C86790"/>
    <w:rsid w:val="00C935F9"/>
    <w:rsid w:val="00CA20FA"/>
    <w:rsid w:val="00CA2771"/>
    <w:rsid w:val="00CA2D34"/>
    <w:rsid w:val="00CA36E1"/>
    <w:rsid w:val="00CA518E"/>
    <w:rsid w:val="00CB1A48"/>
    <w:rsid w:val="00CB2372"/>
    <w:rsid w:val="00CB2F81"/>
    <w:rsid w:val="00CB3B1F"/>
    <w:rsid w:val="00CB3E61"/>
    <w:rsid w:val="00CB4BA9"/>
    <w:rsid w:val="00CB610B"/>
    <w:rsid w:val="00CB74B0"/>
    <w:rsid w:val="00CC17E3"/>
    <w:rsid w:val="00CC3224"/>
    <w:rsid w:val="00CC546B"/>
    <w:rsid w:val="00CD0574"/>
    <w:rsid w:val="00CD0808"/>
    <w:rsid w:val="00CD0A54"/>
    <w:rsid w:val="00CD13F1"/>
    <w:rsid w:val="00CD29D9"/>
    <w:rsid w:val="00CD4B11"/>
    <w:rsid w:val="00CD4FFF"/>
    <w:rsid w:val="00CD50A4"/>
    <w:rsid w:val="00CD6F30"/>
    <w:rsid w:val="00CD725C"/>
    <w:rsid w:val="00CE447B"/>
    <w:rsid w:val="00CF1B42"/>
    <w:rsid w:val="00CF4D2F"/>
    <w:rsid w:val="00CF72F6"/>
    <w:rsid w:val="00D03279"/>
    <w:rsid w:val="00D03547"/>
    <w:rsid w:val="00D03D0E"/>
    <w:rsid w:val="00D06D1E"/>
    <w:rsid w:val="00D075DD"/>
    <w:rsid w:val="00D13E43"/>
    <w:rsid w:val="00D172F0"/>
    <w:rsid w:val="00D20A9E"/>
    <w:rsid w:val="00D217F3"/>
    <w:rsid w:val="00D24634"/>
    <w:rsid w:val="00D25292"/>
    <w:rsid w:val="00D27E14"/>
    <w:rsid w:val="00D33B58"/>
    <w:rsid w:val="00D341FE"/>
    <w:rsid w:val="00D36B1E"/>
    <w:rsid w:val="00D40502"/>
    <w:rsid w:val="00D41AFD"/>
    <w:rsid w:val="00D4293B"/>
    <w:rsid w:val="00D429C8"/>
    <w:rsid w:val="00D43163"/>
    <w:rsid w:val="00D44528"/>
    <w:rsid w:val="00D44AAA"/>
    <w:rsid w:val="00D463B3"/>
    <w:rsid w:val="00D5323B"/>
    <w:rsid w:val="00D57E14"/>
    <w:rsid w:val="00D62044"/>
    <w:rsid w:val="00D665FE"/>
    <w:rsid w:val="00D67C43"/>
    <w:rsid w:val="00D71916"/>
    <w:rsid w:val="00D71B35"/>
    <w:rsid w:val="00D728B9"/>
    <w:rsid w:val="00D72BCC"/>
    <w:rsid w:val="00D73E59"/>
    <w:rsid w:val="00D75099"/>
    <w:rsid w:val="00D77D67"/>
    <w:rsid w:val="00D84BEC"/>
    <w:rsid w:val="00D850DE"/>
    <w:rsid w:val="00D86E6D"/>
    <w:rsid w:val="00D90893"/>
    <w:rsid w:val="00D91812"/>
    <w:rsid w:val="00D9314B"/>
    <w:rsid w:val="00D93D0A"/>
    <w:rsid w:val="00D9450D"/>
    <w:rsid w:val="00D95402"/>
    <w:rsid w:val="00D972E8"/>
    <w:rsid w:val="00D97A29"/>
    <w:rsid w:val="00DA2E07"/>
    <w:rsid w:val="00DB03A4"/>
    <w:rsid w:val="00DB1DF7"/>
    <w:rsid w:val="00DB275C"/>
    <w:rsid w:val="00DB2A32"/>
    <w:rsid w:val="00DB2D0C"/>
    <w:rsid w:val="00DB3940"/>
    <w:rsid w:val="00DB52E0"/>
    <w:rsid w:val="00DB5798"/>
    <w:rsid w:val="00DB6EF4"/>
    <w:rsid w:val="00DC1BC4"/>
    <w:rsid w:val="00DC1CF9"/>
    <w:rsid w:val="00DC5E62"/>
    <w:rsid w:val="00DC60DE"/>
    <w:rsid w:val="00DD0390"/>
    <w:rsid w:val="00DD1167"/>
    <w:rsid w:val="00DD3FDF"/>
    <w:rsid w:val="00DD670F"/>
    <w:rsid w:val="00DE1915"/>
    <w:rsid w:val="00DE2BF2"/>
    <w:rsid w:val="00DE2D1C"/>
    <w:rsid w:val="00DE3B3D"/>
    <w:rsid w:val="00DE58DF"/>
    <w:rsid w:val="00DF21DD"/>
    <w:rsid w:val="00E00D64"/>
    <w:rsid w:val="00E01270"/>
    <w:rsid w:val="00E01615"/>
    <w:rsid w:val="00E02708"/>
    <w:rsid w:val="00E079C1"/>
    <w:rsid w:val="00E11F07"/>
    <w:rsid w:val="00E1388A"/>
    <w:rsid w:val="00E14733"/>
    <w:rsid w:val="00E14937"/>
    <w:rsid w:val="00E1658F"/>
    <w:rsid w:val="00E2118D"/>
    <w:rsid w:val="00E2414E"/>
    <w:rsid w:val="00E3426D"/>
    <w:rsid w:val="00E34411"/>
    <w:rsid w:val="00E40A16"/>
    <w:rsid w:val="00E41E4F"/>
    <w:rsid w:val="00E4461A"/>
    <w:rsid w:val="00E4487C"/>
    <w:rsid w:val="00E51060"/>
    <w:rsid w:val="00E52CD1"/>
    <w:rsid w:val="00E550B3"/>
    <w:rsid w:val="00E5713F"/>
    <w:rsid w:val="00E60DF7"/>
    <w:rsid w:val="00E60F74"/>
    <w:rsid w:val="00E62FF1"/>
    <w:rsid w:val="00E67493"/>
    <w:rsid w:val="00E72B4D"/>
    <w:rsid w:val="00E73950"/>
    <w:rsid w:val="00E770E5"/>
    <w:rsid w:val="00E7777B"/>
    <w:rsid w:val="00E80733"/>
    <w:rsid w:val="00E811F1"/>
    <w:rsid w:val="00E8380B"/>
    <w:rsid w:val="00E86ADF"/>
    <w:rsid w:val="00E8792A"/>
    <w:rsid w:val="00E90B93"/>
    <w:rsid w:val="00E90C4A"/>
    <w:rsid w:val="00E92450"/>
    <w:rsid w:val="00E953C9"/>
    <w:rsid w:val="00E95C5D"/>
    <w:rsid w:val="00EA0A87"/>
    <w:rsid w:val="00EA44DC"/>
    <w:rsid w:val="00EA5124"/>
    <w:rsid w:val="00EA520F"/>
    <w:rsid w:val="00EA54DD"/>
    <w:rsid w:val="00EA56FD"/>
    <w:rsid w:val="00EA7505"/>
    <w:rsid w:val="00EC3B0A"/>
    <w:rsid w:val="00EC5448"/>
    <w:rsid w:val="00EC7B53"/>
    <w:rsid w:val="00EC7B80"/>
    <w:rsid w:val="00ED120D"/>
    <w:rsid w:val="00ED2AD0"/>
    <w:rsid w:val="00ED4F33"/>
    <w:rsid w:val="00EE2363"/>
    <w:rsid w:val="00EE34A8"/>
    <w:rsid w:val="00EE5F0F"/>
    <w:rsid w:val="00EF22B0"/>
    <w:rsid w:val="00EF7AF3"/>
    <w:rsid w:val="00F001C9"/>
    <w:rsid w:val="00F004E1"/>
    <w:rsid w:val="00F00DA9"/>
    <w:rsid w:val="00F0228B"/>
    <w:rsid w:val="00F038FC"/>
    <w:rsid w:val="00F03DC6"/>
    <w:rsid w:val="00F041AA"/>
    <w:rsid w:val="00F04EBC"/>
    <w:rsid w:val="00F06CE2"/>
    <w:rsid w:val="00F12C8C"/>
    <w:rsid w:val="00F12DF8"/>
    <w:rsid w:val="00F13AFE"/>
    <w:rsid w:val="00F16B64"/>
    <w:rsid w:val="00F16DF8"/>
    <w:rsid w:val="00F239B4"/>
    <w:rsid w:val="00F23FEF"/>
    <w:rsid w:val="00F2467A"/>
    <w:rsid w:val="00F27715"/>
    <w:rsid w:val="00F31913"/>
    <w:rsid w:val="00F339DE"/>
    <w:rsid w:val="00F345A1"/>
    <w:rsid w:val="00F349E6"/>
    <w:rsid w:val="00F35106"/>
    <w:rsid w:val="00F362C7"/>
    <w:rsid w:val="00F36B24"/>
    <w:rsid w:val="00F42222"/>
    <w:rsid w:val="00F428E9"/>
    <w:rsid w:val="00F42CA6"/>
    <w:rsid w:val="00F42FF0"/>
    <w:rsid w:val="00F43FC5"/>
    <w:rsid w:val="00F4517C"/>
    <w:rsid w:val="00F45D86"/>
    <w:rsid w:val="00F46721"/>
    <w:rsid w:val="00F50AC3"/>
    <w:rsid w:val="00F55368"/>
    <w:rsid w:val="00F56520"/>
    <w:rsid w:val="00F62F5C"/>
    <w:rsid w:val="00F63F3B"/>
    <w:rsid w:val="00F643B1"/>
    <w:rsid w:val="00F675D1"/>
    <w:rsid w:val="00F67BD5"/>
    <w:rsid w:val="00F7131A"/>
    <w:rsid w:val="00F71510"/>
    <w:rsid w:val="00F7284C"/>
    <w:rsid w:val="00F7345E"/>
    <w:rsid w:val="00F73663"/>
    <w:rsid w:val="00F74426"/>
    <w:rsid w:val="00F805B3"/>
    <w:rsid w:val="00F8126B"/>
    <w:rsid w:val="00F81F26"/>
    <w:rsid w:val="00F8246A"/>
    <w:rsid w:val="00F8483F"/>
    <w:rsid w:val="00F8665D"/>
    <w:rsid w:val="00F86853"/>
    <w:rsid w:val="00F913AF"/>
    <w:rsid w:val="00F92174"/>
    <w:rsid w:val="00F96772"/>
    <w:rsid w:val="00FA103B"/>
    <w:rsid w:val="00FA2AA0"/>
    <w:rsid w:val="00FA30CB"/>
    <w:rsid w:val="00FA691A"/>
    <w:rsid w:val="00FA7C5C"/>
    <w:rsid w:val="00FB0CFC"/>
    <w:rsid w:val="00FB547E"/>
    <w:rsid w:val="00FB68F9"/>
    <w:rsid w:val="00FC6232"/>
    <w:rsid w:val="00FC697B"/>
    <w:rsid w:val="00FC72E1"/>
    <w:rsid w:val="00FD0153"/>
    <w:rsid w:val="00FD3216"/>
    <w:rsid w:val="00FD4C0C"/>
    <w:rsid w:val="00FD5517"/>
    <w:rsid w:val="00FD6273"/>
    <w:rsid w:val="00FD7DDC"/>
    <w:rsid w:val="00FE1488"/>
    <w:rsid w:val="00FE21DA"/>
    <w:rsid w:val="00FE4462"/>
    <w:rsid w:val="00FE4DA3"/>
    <w:rsid w:val="00FE5921"/>
    <w:rsid w:val="00FF354C"/>
    <w:rsid w:val="00FF4EC0"/>
    <w:rsid w:val="00FF7625"/>
    <w:rsid w:val="00FF7B22"/>
  </w:rsids>
  <m:mathPr>
    <m:mathFont m:val="Cambria Math"/>
    <m:brkBin m:val="before"/>
    <m:brkBinSub m:val="--"/>
    <m:smallFrac/>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o:colormru v:ext="edit" colors="#ddd,silver,#eaeaea"/>
    </o:shapedefaults>
    <o:shapelayout v:ext="edit">
      <o:idmap v:ext="edit" data="1"/>
    </o:shapelayout>
  </w:shapeDefaults>
  <w:decimalSymbol w:val="."/>
  <w:listSeparator w:val=","/>
  <w14:docId w14:val="60DDA42F"/>
  <w15:docId w15:val="{9DACB061-2BAD-41FC-88FD-6F6607051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5"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link w:val="Heading2Char"/>
    <w:uiPriority w:val="9"/>
    <w:qFormat/>
    <w:pPr>
      <w:jc w:val="left"/>
      <w:outlineLvl w:val="1"/>
    </w:pPr>
    <w:rPr>
      <w:bCs w:val="0"/>
      <w:iCs/>
      <w:caps w:val="0"/>
      <w:szCs w:val="28"/>
    </w:rPr>
  </w:style>
  <w:style w:type="paragraph" w:styleId="Heading3">
    <w:name w:val="heading 3"/>
    <w:basedOn w:val="Heading2"/>
    <w:next w:val="Normal"/>
    <w:link w:val="Heading3Char"/>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uiPriority w:val="5"/>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qFormat/>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uiPriority w:val="2"/>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uiPriority w:val="2"/>
    <w:qFormat/>
    <w:pPr>
      <w:spacing w:after="200"/>
      <w:ind w:left="510" w:hanging="510"/>
    </w:pPr>
  </w:style>
  <w:style w:type="paragraph" w:customStyle="1" w:styleId="NumPlain2">
    <w:name w:val="Num Plain2"/>
    <w:basedOn w:val="NumPlain1"/>
    <w:uiPriority w:val="2"/>
    <w:qFormat/>
    <w:pPr>
      <w:ind w:left="1020"/>
    </w:pPr>
  </w:style>
  <w:style w:type="paragraph" w:customStyle="1" w:styleId="NumPlain3">
    <w:name w:val="Num Plain3"/>
    <w:basedOn w:val="NumPlain2"/>
    <w:uiPriority w:val="2"/>
    <w:qFormat/>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uiPriority w:val="2"/>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qFormat/>
    <w:rsid w:val="00FD4C0C"/>
    <w:p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uiPriority w:val="5"/>
    <w:semiHidden/>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paragraph" w:customStyle="1" w:styleId="CoverSubtitle">
    <w:name w:val="Cover Subtitle"/>
    <w:basedOn w:val="CoverTitle"/>
    <w:rsid w:val="006776BD"/>
    <w:rPr>
      <w:sz w:val="40"/>
      <w:szCs w:val="40"/>
    </w:rPr>
  </w:style>
  <w:style w:type="paragraph" w:customStyle="1" w:styleId="Default">
    <w:name w:val="Default"/>
    <w:rsid w:val="00E2118D"/>
    <w:pPr>
      <w:autoSpaceDE w:val="0"/>
      <w:autoSpaceDN w:val="0"/>
      <w:adjustRightInd w:val="0"/>
    </w:pPr>
    <w:rPr>
      <w:color w:val="000000"/>
      <w:sz w:val="24"/>
      <w:szCs w:val="24"/>
    </w:rPr>
  </w:style>
  <w:style w:type="paragraph" w:customStyle="1" w:styleId="IASBNormal">
    <w:name w:val="IASB Normal"/>
    <w:uiPriority w:val="8"/>
    <w:rsid w:val="00130F7D"/>
    <w:pPr>
      <w:tabs>
        <w:tab w:val="left" w:pos="4253"/>
      </w:tabs>
      <w:spacing w:before="100" w:after="100"/>
      <w:jc w:val="both"/>
    </w:pPr>
    <w:rPr>
      <w:sz w:val="19"/>
      <w:lang w:eastAsia="en-US"/>
    </w:rPr>
  </w:style>
  <w:style w:type="paragraph" w:customStyle="1" w:styleId="IASBSectionTitle2Ind">
    <w:name w:val="IASB Section Title 2 Ind"/>
    <w:basedOn w:val="Normal"/>
    <w:uiPriority w:val="8"/>
    <w:rsid w:val="00130F7D"/>
    <w:pPr>
      <w:keepNext/>
      <w:keepLines/>
      <w:spacing w:before="240" w:after="200" w:line="240" w:lineRule="auto"/>
      <w:ind w:left="782"/>
      <w:outlineLvl w:val="1"/>
    </w:pPr>
    <w:rPr>
      <w:rFonts w:ascii="Arial" w:hAnsi="Arial" w:cs="Arial"/>
      <w:b/>
      <w:sz w:val="26"/>
    </w:rPr>
  </w:style>
  <w:style w:type="character" w:styleId="CommentReference">
    <w:name w:val="annotation reference"/>
    <w:basedOn w:val="DefaultParagraphFont"/>
    <w:rsid w:val="00DB2D0C"/>
    <w:rPr>
      <w:sz w:val="16"/>
      <w:szCs w:val="16"/>
    </w:rPr>
  </w:style>
  <w:style w:type="paragraph" w:styleId="CommentText">
    <w:name w:val="annotation text"/>
    <w:basedOn w:val="Normal"/>
    <w:link w:val="CommentTextChar"/>
    <w:rsid w:val="00DB2D0C"/>
    <w:pPr>
      <w:spacing w:line="240" w:lineRule="auto"/>
    </w:pPr>
  </w:style>
  <w:style w:type="character" w:customStyle="1" w:styleId="CommentTextChar">
    <w:name w:val="Comment Text Char"/>
    <w:basedOn w:val="DefaultParagraphFont"/>
    <w:link w:val="CommentText"/>
    <w:rsid w:val="00DB2D0C"/>
    <w:rPr>
      <w:lang w:eastAsia="en-US"/>
    </w:rPr>
  </w:style>
  <w:style w:type="paragraph" w:styleId="CommentSubject">
    <w:name w:val="annotation subject"/>
    <w:basedOn w:val="CommentText"/>
    <w:next w:val="CommentText"/>
    <w:link w:val="CommentSubjectChar"/>
    <w:rsid w:val="00DB2D0C"/>
    <w:rPr>
      <w:b/>
      <w:bCs/>
    </w:rPr>
  </w:style>
  <w:style w:type="character" w:customStyle="1" w:styleId="CommentSubjectChar">
    <w:name w:val="Comment Subject Char"/>
    <w:basedOn w:val="CommentTextChar"/>
    <w:link w:val="CommentSubject"/>
    <w:rsid w:val="00DB2D0C"/>
    <w:rPr>
      <w:b/>
      <w:bCs/>
      <w:lang w:eastAsia="en-US"/>
    </w:rPr>
  </w:style>
  <w:style w:type="numbering" w:customStyle="1" w:styleId="AASBNumbers">
    <w:name w:val="AASB Numbers"/>
    <w:uiPriority w:val="99"/>
    <w:rsid w:val="0040485F"/>
    <w:pPr>
      <w:numPr>
        <w:numId w:val="15"/>
      </w:numPr>
    </w:pPr>
  </w:style>
  <w:style w:type="paragraph" w:customStyle="1" w:styleId="AppendixNote">
    <w:name w:val="AppendixNote"/>
    <w:basedOn w:val="Normal"/>
    <w:next w:val="Normal"/>
    <w:rsid w:val="000C7E0C"/>
    <w:pPr>
      <w:spacing w:after="200" w:line="240" w:lineRule="auto"/>
      <w:jc w:val="both"/>
    </w:pPr>
    <w:rPr>
      <w:i/>
      <w:iCs/>
      <w:sz w:val="19"/>
    </w:rPr>
  </w:style>
  <w:style w:type="paragraph" w:styleId="ListParagraph">
    <w:name w:val="List Paragraph"/>
    <w:basedOn w:val="Normal"/>
    <w:uiPriority w:val="34"/>
    <w:qFormat/>
    <w:rsid w:val="000C7E0C"/>
    <w:pPr>
      <w:ind w:left="720"/>
      <w:contextualSpacing/>
    </w:pPr>
  </w:style>
  <w:style w:type="character" w:customStyle="1" w:styleId="Heading3Char">
    <w:name w:val="Heading 3 Char"/>
    <w:basedOn w:val="DefaultParagraphFont"/>
    <w:link w:val="Heading3"/>
    <w:rsid w:val="00FD3216"/>
    <w:rPr>
      <w:rFonts w:cs="Arial"/>
      <w:b/>
      <w:bCs/>
      <w:iCs/>
      <w:sz w:val="24"/>
      <w:szCs w:val="26"/>
      <w:lang w:eastAsia="en-US"/>
    </w:rPr>
  </w:style>
  <w:style w:type="paragraph" w:customStyle="1" w:styleId="paragraph">
    <w:name w:val="paragraph"/>
    <w:basedOn w:val="Normal"/>
    <w:rsid w:val="00C177F4"/>
    <w:pPr>
      <w:spacing w:before="100" w:beforeAutospacing="1" w:after="100" w:afterAutospacing="1" w:line="240" w:lineRule="auto"/>
    </w:pPr>
    <w:rPr>
      <w:sz w:val="24"/>
      <w:szCs w:val="24"/>
      <w:lang w:eastAsia="en-AU"/>
    </w:rPr>
  </w:style>
  <w:style w:type="character" w:customStyle="1" w:styleId="normaltextrun">
    <w:name w:val="normaltextrun"/>
    <w:basedOn w:val="DefaultParagraphFont"/>
    <w:rsid w:val="00C177F4"/>
  </w:style>
  <w:style w:type="character" w:customStyle="1" w:styleId="eop">
    <w:name w:val="eop"/>
    <w:basedOn w:val="DefaultParagraphFont"/>
    <w:rsid w:val="00C177F4"/>
  </w:style>
  <w:style w:type="character" w:customStyle="1" w:styleId="Heading2Char">
    <w:name w:val="Heading 2 Char"/>
    <w:basedOn w:val="DefaultParagraphFont"/>
    <w:link w:val="Heading2"/>
    <w:uiPriority w:val="9"/>
    <w:rsid w:val="00443E61"/>
    <w:rPr>
      <w:rFonts w:cs="Arial"/>
      <w:b/>
      <w:iCs/>
      <w:sz w:val="28"/>
      <w:szCs w:val="28"/>
      <w:lang w:eastAsia="en-US"/>
    </w:rPr>
  </w:style>
  <w:style w:type="character" w:styleId="UnresolvedMention">
    <w:name w:val="Unresolved Mention"/>
    <w:basedOn w:val="DefaultParagraphFont"/>
    <w:uiPriority w:val="99"/>
    <w:unhideWhenUsed/>
    <w:rsid w:val="00382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80919">
      <w:bodyDiv w:val="1"/>
      <w:marLeft w:val="0"/>
      <w:marRight w:val="0"/>
      <w:marTop w:val="0"/>
      <w:marBottom w:val="0"/>
      <w:divBdr>
        <w:top w:val="none" w:sz="0" w:space="0" w:color="auto"/>
        <w:left w:val="none" w:sz="0" w:space="0" w:color="auto"/>
        <w:bottom w:val="none" w:sz="0" w:space="0" w:color="auto"/>
        <w:right w:val="none" w:sz="0" w:space="0" w:color="auto"/>
      </w:divBdr>
    </w:div>
    <w:div w:id="1701737876">
      <w:bodyDiv w:val="1"/>
      <w:marLeft w:val="0"/>
      <w:marRight w:val="0"/>
      <w:marTop w:val="0"/>
      <w:marBottom w:val="0"/>
      <w:divBdr>
        <w:top w:val="none" w:sz="0" w:space="0" w:color="auto"/>
        <w:left w:val="none" w:sz="0" w:space="0" w:color="auto"/>
        <w:bottom w:val="none" w:sz="0" w:space="0" w:color="auto"/>
        <w:right w:val="none" w:sz="0" w:space="0" w:color="auto"/>
      </w:divBdr>
    </w:div>
    <w:div w:id="2124030494">
      <w:bodyDiv w:val="1"/>
      <w:marLeft w:val="0"/>
      <w:marRight w:val="0"/>
      <w:marTop w:val="0"/>
      <w:marBottom w:val="0"/>
      <w:divBdr>
        <w:top w:val="none" w:sz="0" w:space="0" w:color="auto"/>
        <w:left w:val="none" w:sz="0" w:space="0" w:color="auto"/>
        <w:bottom w:val="none" w:sz="0" w:space="0" w:color="auto"/>
        <w:right w:val="none" w:sz="0" w:space="0" w:color="auto"/>
      </w:divBdr>
      <w:divsChild>
        <w:div w:id="1416124809">
          <w:marLeft w:val="0"/>
          <w:marRight w:val="0"/>
          <w:marTop w:val="0"/>
          <w:marBottom w:val="0"/>
          <w:divBdr>
            <w:top w:val="none" w:sz="0" w:space="0" w:color="auto"/>
            <w:left w:val="none" w:sz="0" w:space="0" w:color="auto"/>
            <w:bottom w:val="none" w:sz="0" w:space="0" w:color="auto"/>
            <w:right w:val="none" w:sz="0" w:space="0" w:color="auto"/>
          </w:divBdr>
        </w:div>
        <w:div w:id="2051954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E783DE0C8B6B4D9E83E79277ABEA6F" ma:contentTypeVersion="7" ma:contentTypeDescription="Create a new document." ma:contentTypeScope="" ma:versionID="dfce45f0a50a6d113f78b8b99b96ea99">
  <xsd:schema xmlns:xsd="http://www.w3.org/2001/XMLSchema" xmlns:xs="http://www.w3.org/2001/XMLSchema" xmlns:p="http://schemas.microsoft.com/office/2006/metadata/properties" xmlns:ns3="dacb3ef7-33a4-4aaf-8e2c-a382b35b1891" xmlns:ns4="2fffc6f8-0ce6-4feb-a150-9d1574269ef9" targetNamespace="http://schemas.microsoft.com/office/2006/metadata/properties" ma:root="true" ma:fieldsID="a6b6da1f36b631be910e4a6c5ba4efd2" ns3:_="" ns4:_="">
    <xsd:import namespace="dacb3ef7-33a4-4aaf-8e2c-a382b35b1891"/>
    <xsd:import namespace="2fffc6f8-0ce6-4feb-a150-9d1574269ef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b3ef7-33a4-4aaf-8e2c-a382b35b18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ffc6f8-0ce6-4feb-a150-9d1574269e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C27BA-49EB-4200-ABBF-72DF2E8373E6}">
  <ds:schemaRefs>
    <ds:schemaRef ds:uri="http://schemas.microsoft.com/sharepoint/v3/contenttype/forms"/>
  </ds:schemaRefs>
</ds:datastoreItem>
</file>

<file path=customXml/itemProps2.xml><?xml version="1.0" encoding="utf-8"?>
<ds:datastoreItem xmlns:ds="http://schemas.openxmlformats.org/officeDocument/2006/customXml" ds:itemID="{07559A67-A10F-485B-964B-348699B951B0}">
  <ds:schemaRefs>
    <ds:schemaRef ds:uri="http://schemas.microsoft.com/office/2006/documentManagement/types"/>
    <ds:schemaRef ds:uri="http://schemas.microsoft.com/office/infopath/2007/PartnerControls"/>
    <ds:schemaRef ds:uri="http://purl.org/dc/terms/"/>
    <ds:schemaRef ds:uri="2fffc6f8-0ce6-4feb-a150-9d1574269ef9"/>
    <ds:schemaRef ds:uri="dacb3ef7-33a4-4aaf-8e2c-a382b35b1891"/>
    <ds:schemaRef ds:uri="http://schemas.microsoft.com/office/2006/metadata/propertie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F7FF74D2-2334-478D-9CF6-22911E160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b3ef7-33a4-4aaf-8e2c-a382b35b1891"/>
    <ds:schemaRef ds:uri="2fffc6f8-0ce6-4feb-a150-9d1574269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1B6C5B-4935-4C73-BED3-2AB591430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4</Pages>
  <Words>1708</Words>
  <Characters>9606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AASB</Company>
  <LinksUpToDate>false</LinksUpToDate>
  <CharactersWithSpaces>11292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dc:creator>
  <cp:lastModifiedBy>Kathy Xu</cp:lastModifiedBy>
  <cp:revision>395</cp:revision>
  <cp:lastPrinted>2020-03-17T21:38:00Z</cp:lastPrinted>
  <dcterms:created xsi:type="dcterms:W3CDTF">2020-02-27T03:07:00Z</dcterms:created>
  <dcterms:modified xsi:type="dcterms:W3CDTF">2020-03-18T04:35:00Z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0x01010070E783DE0C8B6B4D9E83E79277ABEA6F</vt:lpwstr>
  </property>
</Properties>
</file>