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555D4" w14:textId="77777777" w:rsidR="003F0DCD" w:rsidRPr="008738D0" w:rsidRDefault="00337666" w:rsidP="008738D0">
      <w:pPr>
        <w:widowControl/>
        <w:autoSpaceDE/>
        <w:autoSpaceDN/>
        <w:jc w:val="center"/>
        <w:rPr>
          <w:b/>
          <w:bCs/>
          <w:sz w:val="24"/>
          <w:szCs w:val="24"/>
          <w:u w:val="single"/>
          <w:lang w:val="en-AU" w:eastAsia="en-AU" w:bidi="ar-SA"/>
        </w:rPr>
      </w:pPr>
      <w:bookmarkStart w:id="0" w:name="Bookmarks"/>
      <w:bookmarkEnd w:id="0"/>
      <w:r w:rsidRPr="008738D0">
        <w:rPr>
          <w:b/>
          <w:bCs/>
          <w:sz w:val="24"/>
          <w:szCs w:val="24"/>
          <w:u w:val="single"/>
          <w:lang w:val="en-AU" w:eastAsia="en-AU" w:bidi="ar-SA"/>
        </w:rPr>
        <w:t>EXPLANATORY STATEMENT</w:t>
      </w:r>
    </w:p>
    <w:p w14:paraId="063A7405" w14:textId="77777777" w:rsidR="00A67F58" w:rsidRDefault="00A67F58" w:rsidP="008738D0">
      <w:pPr>
        <w:widowControl/>
        <w:autoSpaceDE/>
        <w:autoSpaceDN/>
        <w:jc w:val="center"/>
        <w:rPr>
          <w:rFonts w:ascii="Tms Rmn" w:hAnsi="Tms Rmn"/>
          <w:b/>
          <w:lang w:val="en-AU" w:eastAsia="en-AU" w:bidi="ar-SA"/>
        </w:rPr>
      </w:pPr>
    </w:p>
    <w:p w14:paraId="0B819AAB" w14:textId="77777777" w:rsidR="00A67F58" w:rsidRPr="008738D0" w:rsidRDefault="00337666" w:rsidP="008738D0">
      <w:pPr>
        <w:widowControl/>
        <w:autoSpaceDE/>
        <w:autoSpaceDN/>
        <w:jc w:val="center"/>
        <w:rPr>
          <w:bCs/>
          <w:i/>
          <w:iCs/>
          <w:lang w:val="en-AU" w:eastAsia="en-AU" w:bidi="ar-SA"/>
        </w:rPr>
      </w:pPr>
      <w:r w:rsidRPr="008738D0">
        <w:rPr>
          <w:bCs/>
          <w:i/>
          <w:iCs/>
          <w:lang w:val="en-AU" w:eastAsia="en-AU" w:bidi="ar-SA"/>
        </w:rPr>
        <w:t>Therapeutic Goods Act 1989</w:t>
      </w:r>
    </w:p>
    <w:p w14:paraId="0617441A" w14:textId="77777777" w:rsidR="00A67F58" w:rsidRPr="008738D0" w:rsidRDefault="00A67F58" w:rsidP="008738D0">
      <w:pPr>
        <w:widowControl/>
        <w:autoSpaceDE/>
        <w:autoSpaceDN/>
        <w:jc w:val="center"/>
        <w:rPr>
          <w:rFonts w:ascii="Tms Rmn" w:hAnsi="Tms Rmn"/>
          <w:b/>
          <w:lang w:val="en-AU" w:eastAsia="en-AU" w:bidi="ar-SA"/>
        </w:rPr>
      </w:pPr>
    </w:p>
    <w:p w14:paraId="459C52D7" w14:textId="12154530" w:rsidR="003F0DCD" w:rsidRDefault="00C30F09" w:rsidP="008738D0">
      <w:pPr>
        <w:widowControl/>
        <w:autoSpaceDE/>
        <w:autoSpaceDN/>
        <w:jc w:val="center"/>
        <w:rPr>
          <w:bCs/>
          <w:i/>
          <w:iCs/>
          <w:lang w:val="en-AU" w:eastAsia="en-AU" w:bidi="ar-SA"/>
        </w:rPr>
      </w:pPr>
      <w:r w:rsidRPr="008738D0">
        <w:rPr>
          <w:bCs/>
          <w:i/>
          <w:iCs/>
          <w:lang w:val="en-AU" w:eastAsia="en-AU" w:bidi="ar-SA"/>
        </w:rPr>
        <w:t xml:space="preserve">Poisons </w:t>
      </w:r>
      <w:r w:rsidR="00C60C38">
        <w:rPr>
          <w:bCs/>
          <w:i/>
          <w:iCs/>
          <w:lang w:val="en-AU" w:eastAsia="en-AU" w:bidi="ar-SA"/>
        </w:rPr>
        <w:t>Standard Amendment (Hydroxychloroquine and Salbutamol</w:t>
      </w:r>
      <w:r w:rsidRPr="008738D0">
        <w:rPr>
          <w:bCs/>
          <w:i/>
          <w:iCs/>
          <w:lang w:val="en-AU" w:eastAsia="en-AU" w:bidi="ar-SA"/>
        </w:rPr>
        <w:t>) Instrument 2020</w:t>
      </w:r>
    </w:p>
    <w:p w14:paraId="1922E131" w14:textId="77777777" w:rsidR="00A67F58" w:rsidRPr="008738D0" w:rsidRDefault="00A67F58" w:rsidP="008738D0">
      <w:pPr>
        <w:widowControl/>
        <w:autoSpaceDE/>
        <w:autoSpaceDN/>
        <w:jc w:val="center"/>
        <w:rPr>
          <w:rFonts w:ascii="Tms Rmn" w:hAnsi="Tms Rmn"/>
          <w:b/>
          <w:lang w:val="en-AU" w:eastAsia="en-AU" w:bidi="ar-SA"/>
        </w:rPr>
      </w:pPr>
    </w:p>
    <w:p w14:paraId="6A25DB88" w14:textId="39809ACB" w:rsidR="00C85419" w:rsidRDefault="00C85419" w:rsidP="0063546A">
      <w:pPr>
        <w:pStyle w:val="BodyText"/>
        <w:ind w:left="119" w:right="289"/>
      </w:pPr>
      <w:r>
        <w:t xml:space="preserve">The </w:t>
      </w:r>
      <w:r w:rsidRPr="00C85419">
        <w:rPr>
          <w:i/>
        </w:rPr>
        <w:t>Therapeutic Goods Act 1989</w:t>
      </w:r>
      <w:r>
        <w:t xml:space="preserve"> (“the Act”) provides for the establishment and maintenance of a national system of controls for the quality, safety, efficacy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 Australian Government Department of Health.</w:t>
      </w:r>
    </w:p>
    <w:p w14:paraId="15BF260E" w14:textId="77777777" w:rsidR="0063546A" w:rsidRDefault="0063546A" w:rsidP="0063546A">
      <w:pPr>
        <w:pStyle w:val="BodyText"/>
        <w:ind w:left="119" w:right="289"/>
      </w:pPr>
    </w:p>
    <w:p w14:paraId="4963DC3A" w14:textId="4579BD76" w:rsidR="00C85419" w:rsidRDefault="00C85419" w:rsidP="0063546A">
      <w:pPr>
        <w:pStyle w:val="BodyText"/>
        <w:ind w:left="120" w:right="290"/>
      </w:pPr>
      <w:r>
        <w:t>Part 6-3 of the Act (sections 52AA to 52EC) provides the basis for a uniform system of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39AFA9B2" w14:textId="77777777" w:rsidR="0063546A" w:rsidRDefault="0063546A" w:rsidP="0063546A">
      <w:pPr>
        <w:pStyle w:val="BodyText"/>
        <w:ind w:left="120" w:right="290"/>
      </w:pPr>
    </w:p>
    <w:p w14:paraId="2383211A" w14:textId="0D4B2356" w:rsidR="00C85419" w:rsidRDefault="00C85419" w:rsidP="0063546A">
      <w:pPr>
        <w:pStyle w:val="BodyText"/>
        <w:ind w:left="120" w:right="290"/>
      </w:pPr>
      <w:r>
        <w:t>Subsection 52D(2) of the Act empowers the Secretary to amend the current Poisons Standard or to prepare a document (“a new Poisons Standard”) that includes schedules containing the names or descriptions of substances, in substitution for the current Poisons Standard.</w:t>
      </w:r>
      <w:r w:rsidR="0063546A" w:rsidRPr="0063546A">
        <w:t xml:space="preserve"> </w:t>
      </w:r>
      <w:r w:rsidR="0063546A">
        <w:t>The current Poisons Standard consists principally of the Standard for the Uniform Scheduling of Medicines and Poisons (section 2 of th</w:t>
      </w:r>
      <w:r w:rsidR="00695140">
        <w:t xml:space="preserve">e Poisons Standard refers). It </w:t>
      </w:r>
      <w:r>
        <w:t>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204CEAEA" w14:textId="77777777" w:rsidR="0063546A" w:rsidRDefault="0063546A" w:rsidP="0063546A">
      <w:pPr>
        <w:pStyle w:val="BodyText"/>
        <w:ind w:left="120" w:right="290"/>
      </w:pPr>
    </w:p>
    <w:p w14:paraId="7899977E" w14:textId="5D4E8313" w:rsidR="00C85419" w:rsidRDefault="00C85419" w:rsidP="0063546A">
      <w:pPr>
        <w:pStyle w:val="BodyText"/>
        <w:ind w:left="120" w:right="290"/>
      </w:pPr>
      <w:r>
        <w:t>The Act establishes two expert advisory committees, the Advisory Committee on Medicines Scheduling (“ACMS”) (section 52B of the Act refers) and the Advisory Committee on Chemicals Scheduling (“ACCS”) (section 52C of the Act refers)</w:t>
      </w:r>
      <w:r w:rsidR="0063546A">
        <w:t>. ACMS and ACCS</w:t>
      </w:r>
      <w:r>
        <w:t xml:space="preserve"> provide advice and make recommendations to the Secretary on matters relating to medicines and chemicals scheduling decisions.</w:t>
      </w:r>
    </w:p>
    <w:p w14:paraId="7D873EBD" w14:textId="77777777" w:rsidR="0063546A" w:rsidRDefault="0063546A" w:rsidP="0063546A">
      <w:pPr>
        <w:pStyle w:val="BodyText"/>
        <w:ind w:left="120" w:right="290"/>
      </w:pPr>
    </w:p>
    <w:p w14:paraId="3755ADB1" w14:textId="388A0902" w:rsidR="00C85419" w:rsidRDefault="00C85419" w:rsidP="0063546A">
      <w:pPr>
        <w:pStyle w:val="BodyText"/>
        <w:ind w:left="120" w:right="290"/>
      </w:pPr>
      <w:r>
        <w:t>The Schedules contained in the Poisons Standard are referred to under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w:t>
      </w:r>
      <w:r w:rsidR="00340DF0">
        <w:t>st of public health and safety.</w:t>
      </w:r>
    </w:p>
    <w:p w14:paraId="5EB58797" w14:textId="77777777" w:rsidR="00D141E0" w:rsidRDefault="00D141E0" w:rsidP="0063546A">
      <w:pPr>
        <w:pStyle w:val="BodyText"/>
        <w:ind w:left="120" w:right="290"/>
      </w:pPr>
    </w:p>
    <w:p w14:paraId="6CF52EF2" w14:textId="2807628B" w:rsidR="00C85419" w:rsidRDefault="00C85419" w:rsidP="0063546A">
      <w:pPr>
        <w:pStyle w:val="BodyText"/>
        <w:ind w:left="120" w:right="290"/>
      </w:pPr>
      <w:r>
        <w:t xml:space="preserve">The Commonwealth takes into account the scheduling and classification of substances in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Standard. The advertising of substances included in Schedule 9 or Schedule 10 </w:t>
      </w:r>
      <w:r w:rsidR="0045230A">
        <w:t xml:space="preserve">to </w:t>
      </w:r>
      <w:r>
        <w:t>the Poisons Standard is also prohibited.</w:t>
      </w:r>
    </w:p>
    <w:p w14:paraId="794ADDC9" w14:textId="77777777" w:rsidR="00D141E0" w:rsidRDefault="00D141E0" w:rsidP="009A4740">
      <w:pPr>
        <w:pStyle w:val="BodyText"/>
        <w:ind w:left="120" w:right="290"/>
      </w:pPr>
    </w:p>
    <w:p w14:paraId="1516FD57" w14:textId="1B57259E" w:rsidR="00E23986" w:rsidRDefault="00C85419" w:rsidP="009A4740">
      <w:pPr>
        <w:pStyle w:val="BodyText"/>
        <w:ind w:left="120" w:right="290"/>
      </w:pPr>
      <w:r>
        <w:t xml:space="preserve">The Scheduling Policy Framework (“the SPF”) provides guidance on whether a decision concerning the scheduling of substances under the Poisons Standard would benefit from being referred to ACMS or ACCS for advice. A copy of the SPF can be found at </w:t>
      </w:r>
      <w:hyperlink r:id="rId7" w:history="1">
        <w:r w:rsidR="00E23986" w:rsidRPr="009A4740">
          <w:t>https://www.tga.gov.au/publication/ahmac-scheduling-policy-framework-medicines-and-chemicals</w:t>
        </w:r>
      </w:hyperlink>
      <w:r>
        <w:t>.</w:t>
      </w:r>
    </w:p>
    <w:p w14:paraId="0EC541BA" w14:textId="77777777" w:rsidR="00D141E0" w:rsidRDefault="00D141E0" w:rsidP="0063546A">
      <w:pPr>
        <w:pStyle w:val="BodyText"/>
        <w:ind w:left="120" w:right="290"/>
      </w:pPr>
    </w:p>
    <w:p w14:paraId="2E01BD29" w14:textId="23172630" w:rsidR="005D3A75" w:rsidRPr="009A4740" w:rsidRDefault="00470320" w:rsidP="0063546A">
      <w:pPr>
        <w:pStyle w:val="BodyText"/>
        <w:ind w:left="120" w:right="290"/>
      </w:pPr>
      <w:r w:rsidRPr="009A4740">
        <w:t>The purpose of th</w:t>
      </w:r>
      <w:r w:rsidR="00A35815" w:rsidRPr="009A4740">
        <w:t xml:space="preserve">e </w:t>
      </w:r>
      <w:r w:rsidR="00A35815" w:rsidRPr="009A4740">
        <w:rPr>
          <w:i/>
        </w:rPr>
        <w:t xml:space="preserve">Poisons </w:t>
      </w:r>
      <w:r w:rsidR="00C60C38" w:rsidRPr="009A4740">
        <w:rPr>
          <w:i/>
        </w:rPr>
        <w:t>Standard Amendment (Hydroxychloroquine and Salbutamol</w:t>
      </w:r>
      <w:r w:rsidR="00A35815" w:rsidRPr="009A4740">
        <w:rPr>
          <w:i/>
        </w:rPr>
        <w:t>) Instrument 2020</w:t>
      </w:r>
      <w:r w:rsidR="00A35815" w:rsidRPr="009A4740">
        <w:t xml:space="preserve"> (“the Amendment Instrument”) </w:t>
      </w:r>
      <w:r w:rsidRPr="009A4740">
        <w:t xml:space="preserve">is to amend the </w:t>
      </w:r>
      <w:r w:rsidRPr="009A4740">
        <w:rPr>
          <w:i/>
        </w:rPr>
        <w:t>Poisons Standard February 2020</w:t>
      </w:r>
      <w:r w:rsidR="00614DD4" w:rsidRPr="009A4740">
        <w:t xml:space="preserve"> in relation to the substances</w:t>
      </w:r>
      <w:r w:rsidR="0045230A">
        <w:t>,</w:t>
      </w:r>
      <w:r w:rsidR="00614DD4" w:rsidRPr="009A4740">
        <w:t xml:space="preserve"> hydroxychloroquine and s</w:t>
      </w:r>
      <w:r w:rsidR="008871B5" w:rsidRPr="009A4740">
        <w:t xml:space="preserve">albutamol, principally to ensure the continued availability of </w:t>
      </w:r>
      <w:r w:rsidR="00935751" w:rsidRPr="009A4740">
        <w:t>medicines containing these substances</w:t>
      </w:r>
      <w:r w:rsidR="008871B5" w:rsidRPr="009A4740">
        <w:t xml:space="preserve"> in Australia during the public health emergency caused by the outbreak of the disease known as coronavirus disease (COVID-19).</w:t>
      </w:r>
    </w:p>
    <w:p w14:paraId="186A3532" w14:textId="77777777" w:rsidR="00D141E0" w:rsidRDefault="00D141E0" w:rsidP="009A4740">
      <w:pPr>
        <w:pStyle w:val="BodyText"/>
        <w:ind w:left="120" w:right="290"/>
      </w:pPr>
    </w:p>
    <w:p w14:paraId="67B469E9" w14:textId="4A4478D1" w:rsidR="00A22CD2" w:rsidRPr="009A4740" w:rsidRDefault="00C60C38" w:rsidP="009A4740">
      <w:pPr>
        <w:pStyle w:val="BodyText"/>
        <w:ind w:left="120" w:right="290"/>
      </w:pPr>
      <w:r w:rsidRPr="009A4740">
        <w:t>Hydroxychloroquine is</w:t>
      </w:r>
      <w:r w:rsidR="00935751" w:rsidRPr="009A4740">
        <w:t xml:space="preserve"> a substance</w:t>
      </w:r>
      <w:r w:rsidR="008871B5" w:rsidRPr="009A4740">
        <w:t xml:space="preserve"> that has been used </w:t>
      </w:r>
      <w:r w:rsidR="00935751" w:rsidRPr="009A4740">
        <w:t xml:space="preserve">in medicines </w:t>
      </w:r>
      <w:r w:rsidR="008871B5" w:rsidRPr="009A4740">
        <w:t>for the prevention and treatment of certain types of malaria, rheumatoid arthritis and other conditions</w:t>
      </w:r>
      <w:r w:rsidR="00DA57E9" w:rsidRPr="009A4740">
        <w:t>. Recent studies have indic</w:t>
      </w:r>
      <w:r w:rsidR="00614DD4" w:rsidRPr="009A4740">
        <w:t>ated that hydroxychloroquine may have</w:t>
      </w:r>
      <w:r w:rsidR="00DA57E9" w:rsidRPr="009A4740">
        <w:t xml:space="preserve"> potential in the treatment of</w:t>
      </w:r>
      <w:r w:rsidR="008871B5" w:rsidRPr="009A4740">
        <w:t xml:space="preserve"> COVID-19.</w:t>
      </w:r>
      <w:r w:rsidR="007E20B7" w:rsidRPr="009A4740">
        <w:t xml:space="preserve"> </w:t>
      </w:r>
      <w:r w:rsidR="00DA57E9" w:rsidRPr="009A4740">
        <w:t>Recent repor</w:t>
      </w:r>
      <w:r w:rsidR="00614DD4" w:rsidRPr="009A4740">
        <w:t>ts of increased prescribing of medicines containing h</w:t>
      </w:r>
      <w:r w:rsidR="00DA57E9" w:rsidRPr="009A4740">
        <w:t xml:space="preserve">ydroxychloroquine have raised concerns </w:t>
      </w:r>
      <w:r w:rsidR="002E37CA">
        <w:t xml:space="preserve">regarding </w:t>
      </w:r>
      <w:r w:rsidR="00DA57E9" w:rsidRPr="009A4740">
        <w:t xml:space="preserve">a potential </w:t>
      </w:r>
      <w:r w:rsidR="00935751" w:rsidRPr="009A4740">
        <w:t xml:space="preserve">shortage of </w:t>
      </w:r>
      <w:r w:rsidR="002E37CA">
        <w:t xml:space="preserve">these medicines </w:t>
      </w:r>
      <w:r w:rsidR="00DA57E9" w:rsidRPr="009A4740">
        <w:t>in Australia. Consequently, there is a</w:t>
      </w:r>
      <w:r w:rsidR="007E20B7" w:rsidRPr="009A4740">
        <w:t xml:space="preserve"> need to ensure availability of supply for tho</w:t>
      </w:r>
      <w:r w:rsidR="00935751" w:rsidRPr="009A4740">
        <w:t xml:space="preserve">se patients who need to use </w:t>
      </w:r>
      <w:r w:rsidR="007E20B7" w:rsidRPr="009A4740">
        <w:t>medicine</w:t>
      </w:r>
      <w:r w:rsidR="00935751" w:rsidRPr="009A4740">
        <w:t xml:space="preserve">s </w:t>
      </w:r>
      <w:r w:rsidR="002E37CA">
        <w:t xml:space="preserve">containing </w:t>
      </w:r>
      <w:r w:rsidR="002E37CA" w:rsidRPr="002E37CA">
        <w:t xml:space="preserve">hydroxychloroquine </w:t>
      </w:r>
      <w:r w:rsidR="00935751" w:rsidRPr="009A4740">
        <w:t>and</w:t>
      </w:r>
      <w:r w:rsidR="000D5873" w:rsidRPr="009A4740">
        <w:t xml:space="preserve"> to prevent</w:t>
      </w:r>
      <w:r w:rsidR="007E20B7" w:rsidRPr="009A4740">
        <w:t xml:space="preserve"> inappropriate use.</w:t>
      </w:r>
      <w:r w:rsidR="00D11D3D" w:rsidRPr="009A4740">
        <w:t xml:space="preserve"> </w:t>
      </w:r>
      <w:r w:rsidR="00980C05" w:rsidRPr="009A4740">
        <w:t xml:space="preserve">Hydroxychloroquine is included </w:t>
      </w:r>
      <w:r w:rsidR="00A22CD2" w:rsidRPr="009A4740">
        <w:t>in Schedule 4 to the Poisons Standard, indicating that the recommended le</w:t>
      </w:r>
      <w:r w:rsidR="00935751" w:rsidRPr="009A4740">
        <w:t>vel of control for this substance</w:t>
      </w:r>
      <w:r w:rsidR="00A22CD2" w:rsidRPr="009A4740">
        <w:t xml:space="preserve"> is that it be available </w:t>
      </w:r>
      <w:r w:rsidR="002E37CA">
        <w:t xml:space="preserve">to </w:t>
      </w:r>
      <w:r w:rsidR="00980C05" w:rsidRPr="009A4740">
        <w:t xml:space="preserve">persons with </w:t>
      </w:r>
      <w:r w:rsidR="00A22CD2" w:rsidRPr="009A4740">
        <w:t>a prescription.</w:t>
      </w:r>
    </w:p>
    <w:p w14:paraId="05CE0475" w14:textId="77777777" w:rsidR="00D141E0" w:rsidRDefault="00D141E0" w:rsidP="009A4740">
      <w:pPr>
        <w:pStyle w:val="BodyText"/>
        <w:ind w:left="120" w:right="290"/>
      </w:pPr>
    </w:p>
    <w:p w14:paraId="12824BC0" w14:textId="6C92C6B5" w:rsidR="00980C05" w:rsidRPr="009A4740" w:rsidRDefault="00C60C38" w:rsidP="009A4740">
      <w:pPr>
        <w:pStyle w:val="BodyText"/>
        <w:ind w:left="120" w:right="290"/>
      </w:pPr>
      <w:r w:rsidRPr="009A4740">
        <w:t>Salbutamol</w:t>
      </w:r>
      <w:r w:rsidR="007E20B7" w:rsidRPr="009A4740">
        <w:t xml:space="preserve">, also known as albuterol </w:t>
      </w:r>
      <w:r w:rsidR="00846E3D" w:rsidRPr="009A4740">
        <w:t>or Ventolin,</w:t>
      </w:r>
      <w:r w:rsidRPr="009A4740">
        <w:t xml:space="preserve"> is </w:t>
      </w:r>
      <w:r w:rsidR="00846E3D" w:rsidRPr="009A4740">
        <w:t xml:space="preserve">a bronchodilator and adrenoreceptor stimulant </w:t>
      </w:r>
      <w:r w:rsidR="00935751" w:rsidRPr="009A4740">
        <w:t xml:space="preserve">used in medicines that are </w:t>
      </w:r>
      <w:r w:rsidR="002E37CA">
        <w:t xml:space="preserve">indicated </w:t>
      </w:r>
      <w:r w:rsidR="00846E3D" w:rsidRPr="009A4740">
        <w:t>for the treatment of asthma. Conc</w:t>
      </w:r>
      <w:r w:rsidR="00935751" w:rsidRPr="009A4740">
        <w:t>erns have arisen that such medicines have</w:t>
      </w:r>
      <w:r w:rsidR="00846E3D" w:rsidRPr="009A4740">
        <w:t xml:space="preserve"> been the subject of panic-buying and hoarding in </w:t>
      </w:r>
      <w:r w:rsidR="00935751" w:rsidRPr="009A4740">
        <w:t>association with COVID-19, and that there is a</w:t>
      </w:r>
      <w:r w:rsidR="00846E3D" w:rsidRPr="009A4740">
        <w:t xml:space="preserve"> corresponding need to ensure availability of supply for those patient</w:t>
      </w:r>
      <w:r w:rsidR="00935751" w:rsidRPr="009A4740">
        <w:t>s who genuinely need to use such</w:t>
      </w:r>
      <w:r w:rsidR="00846E3D" w:rsidRPr="009A4740">
        <w:t xml:space="preserve"> medicine</w:t>
      </w:r>
      <w:r w:rsidR="00935751" w:rsidRPr="009A4740">
        <w:t>s</w:t>
      </w:r>
      <w:r w:rsidR="00846E3D" w:rsidRPr="009A4740">
        <w:t xml:space="preserve"> for their asthma condition.</w:t>
      </w:r>
      <w:r w:rsidR="00D11D3D" w:rsidRPr="009A4740">
        <w:t xml:space="preserve"> </w:t>
      </w:r>
      <w:r w:rsidR="00980C05" w:rsidRPr="009A4740">
        <w:t>Salbutamol is included in Schedule 3 to the Poisons Standard, indicating that the recommended le</w:t>
      </w:r>
      <w:r w:rsidR="00935751" w:rsidRPr="009A4740">
        <w:t>vel of control for this substance</w:t>
      </w:r>
      <w:r w:rsidR="00980C05" w:rsidRPr="009A4740">
        <w:t xml:space="preserve"> </w:t>
      </w:r>
      <w:r w:rsidR="002E37CA">
        <w:t xml:space="preserve">is that it </w:t>
      </w:r>
      <w:r w:rsidR="00980C05" w:rsidRPr="009A4740">
        <w:t xml:space="preserve">requires professional advice but </w:t>
      </w:r>
      <w:r w:rsidR="002E37CA">
        <w:t xml:space="preserve">should </w:t>
      </w:r>
      <w:r w:rsidR="00980C05" w:rsidRPr="009A4740">
        <w:t xml:space="preserve">be available </w:t>
      </w:r>
      <w:r w:rsidR="00F36816">
        <w:t xml:space="preserve">to the public </w:t>
      </w:r>
      <w:r w:rsidR="00980C05" w:rsidRPr="009A4740">
        <w:t>from a pharmacist, without a prescription.</w:t>
      </w:r>
    </w:p>
    <w:p w14:paraId="4CE5FB0F" w14:textId="77777777" w:rsidR="00D141E0" w:rsidRDefault="00D141E0" w:rsidP="009A4740">
      <w:pPr>
        <w:pStyle w:val="BodyText"/>
        <w:ind w:left="120" w:right="290"/>
      </w:pPr>
    </w:p>
    <w:p w14:paraId="0E35A895" w14:textId="39D25225" w:rsidR="007E20B7" w:rsidRDefault="00846E3D" w:rsidP="009A4740">
      <w:pPr>
        <w:pStyle w:val="BodyText"/>
        <w:ind w:left="120" w:right="290"/>
      </w:pPr>
      <w:r w:rsidRPr="009A4740">
        <w:t>The Amendment Instru</w:t>
      </w:r>
      <w:r w:rsidR="00980C05" w:rsidRPr="009A4740">
        <w:t>ment would address the</w:t>
      </w:r>
      <w:r w:rsidRPr="009A4740">
        <w:t xml:space="preserve"> concerns</w:t>
      </w:r>
      <w:r w:rsidR="00980C05" w:rsidRPr="009A4740">
        <w:t xml:space="preserve"> rel</w:t>
      </w:r>
      <w:r w:rsidR="00935751" w:rsidRPr="009A4740">
        <w:t>ating to both of these substances</w:t>
      </w:r>
      <w:r w:rsidR="00980C05" w:rsidRPr="009A4740">
        <w:t xml:space="preserve">, </w:t>
      </w:r>
      <w:r w:rsidRPr="009A4740">
        <w:t>by:</w:t>
      </w:r>
    </w:p>
    <w:p w14:paraId="54A628E9" w14:textId="77777777" w:rsidR="0045230A" w:rsidRPr="009A4740" w:rsidRDefault="0045230A" w:rsidP="009A4740">
      <w:pPr>
        <w:pStyle w:val="BodyText"/>
        <w:ind w:left="120" w:right="290"/>
      </w:pPr>
    </w:p>
    <w:p w14:paraId="6D3711D3" w14:textId="34BD38F1" w:rsidR="00980C05" w:rsidRDefault="00980C05" w:rsidP="0063546A">
      <w:pPr>
        <w:pStyle w:val="BodyText"/>
        <w:numPr>
          <w:ilvl w:val="0"/>
          <w:numId w:val="2"/>
        </w:numPr>
        <w:ind w:right="386"/>
        <w:rPr>
          <w:lang w:val="en-AU"/>
        </w:rPr>
      </w:pPr>
      <w:r>
        <w:rPr>
          <w:lang w:val="en-AU"/>
        </w:rPr>
        <w:t>i</w:t>
      </w:r>
      <w:r w:rsidR="00A22CD2">
        <w:rPr>
          <w:lang w:val="en-AU"/>
        </w:rPr>
        <w:t>n</w:t>
      </w:r>
      <w:r>
        <w:rPr>
          <w:lang w:val="en-AU"/>
        </w:rPr>
        <w:t xml:space="preserve"> rela</w:t>
      </w:r>
      <w:r w:rsidR="00614DD4">
        <w:rPr>
          <w:lang w:val="en-AU"/>
        </w:rPr>
        <w:t>tion to h</w:t>
      </w:r>
      <w:r w:rsidR="00DA57E9">
        <w:rPr>
          <w:lang w:val="en-AU"/>
        </w:rPr>
        <w:t>ydroxychloroquine</w:t>
      </w:r>
      <w:r w:rsidR="00F36816">
        <w:rPr>
          <w:lang w:val="en-AU"/>
        </w:rPr>
        <w:t>─</w:t>
      </w:r>
      <w:r>
        <w:rPr>
          <w:lang w:val="en-AU"/>
        </w:rPr>
        <w:t>in</w:t>
      </w:r>
      <w:r w:rsidR="00A22CD2">
        <w:rPr>
          <w:lang w:val="en-AU"/>
        </w:rPr>
        <w:t>cluding a reference to</w:t>
      </w:r>
      <w:r>
        <w:rPr>
          <w:lang w:val="en-AU"/>
        </w:rPr>
        <w:t xml:space="preserve"> </w:t>
      </w:r>
      <w:r w:rsidR="00F36816">
        <w:rPr>
          <w:lang w:val="en-AU"/>
        </w:rPr>
        <w:t xml:space="preserve">the substance </w:t>
      </w:r>
      <w:r>
        <w:rPr>
          <w:lang w:val="en-AU"/>
        </w:rPr>
        <w:t xml:space="preserve">in Appendix D </w:t>
      </w:r>
      <w:r w:rsidR="00F36816">
        <w:rPr>
          <w:lang w:val="en-AU"/>
        </w:rPr>
        <w:t xml:space="preserve">to </w:t>
      </w:r>
      <w:r>
        <w:rPr>
          <w:lang w:val="en-AU"/>
        </w:rPr>
        <w:t xml:space="preserve">the Poisons Standard, </w:t>
      </w:r>
      <w:r w:rsidR="00D11D3D">
        <w:rPr>
          <w:lang w:val="en-AU"/>
        </w:rPr>
        <w:t xml:space="preserve">to </w:t>
      </w:r>
      <w:r w:rsidR="000A32DF">
        <w:rPr>
          <w:lang w:val="en-AU"/>
        </w:rPr>
        <w:t xml:space="preserve">specify </w:t>
      </w:r>
      <w:r>
        <w:rPr>
          <w:lang w:val="en-AU"/>
        </w:rPr>
        <w:t>that</w:t>
      </w:r>
      <w:r w:rsidR="000560F4">
        <w:rPr>
          <w:lang w:val="en-AU"/>
        </w:rPr>
        <w:t xml:space="preserve">, in addition to the requirement to supply a medicine containing the substance on prescription, </w:t>
      </w:r>
      <w:r>
        <w:rPr>
          <w:lang w:val="en-AU"/>
        </w:rPr>
        <w:t xml:space="preserve">a </w:t>
      </w:r>
      <w:r w:rsidR="00EE45D8">
        <w:rPr>
          <w:lang w:val="en-AU"/>
        </w:rPr>
        <w:t xml:space="preserve">Medical Board of Australia recognised </w:t>
      </w:r>
      <w:r>
        <w:rPr>
          <w:lang w:val="en-AU"/>
        </w:rPr>
        <w:t xml:space="preserve">specialist in dermatology, intensive care medicine, paediatrics and child health, a physician or a specialist in emergency medicine has </w:t>
      </w:r>
      <w:r w:rsidR="00F36816">
        <w:rPr>
          <w:lang w:val="en-AU"/>
        </w:rPr>
        <w:t>authorised the supply of the substance in the initial treatment of a patient following the commencement of the Amendment Instrument</w:t>
      </w:r>
      <w:r w:rsidR="005E0B32">
        <w:rPr>
          <w:lang w:val="en-AU"/>
        </w:rPr>
        <w:t xml:space="preserve">. The intention is to ensure </w:t>
      </w:r>
      <w:r w:rsidR="00E63650">
        <w:rPr>
          <w:lang w:val="en-AU"/>
        </w:rPr>
        <w:t xml:space="preserve">that </w:t>
      </w:r>
      <w:r w:rsidR="00F36816">
        <w:rPr>
          <w:lang w:val="en-AU"/>
        </w:rPr>
        <w:t xml:space="preserve">patients </w:t>
      </w:r>
      <w:r w:rsidR="00E63650">
        <w:rPr>
          <w:lang w:val="en-AU"/>
        </w:rPr>
        <w:t xml:space="preserve">first obtain an authorisation </w:t>
      </w:r>
      <w:r w:rsidR="00F36816">
        <w:rPr>
          <w:lang w:val="en-AU"/>
        </w:rPr>
        <w:t xml:space="preserve">for initial treatment </w:t>
      </w:r>
      <w:r w:rsidR="00E63650">
        <w:rPr>
          <w:lang w:val="en-AU"/>
        </w:rPr>
        <w:t xml:space="preserve">from </w:t>
      </w:r>
      <w:r w:rsidR="00F36816">
        <w:rPr>
          <w:lang w:val="en-AU"/>
        </w:rPr>
        <w:t xml:space="preserve">a medical practitioner recognised by a Medical Board of Australia as a </w:t>
      </w:r>
      <w:r w:rsidR="00D11D3D">
        <w:rPr>
          <w:lang w:val="en-AU"/>
        </w:rPr>
        <w:t>specialist</w:t>
      </w:r>
      <w:r w:rsidR="00E63650">
        <w:rPr>
          <w:lang w:val="en-AU"/>
        </w:rPr>
        <w:t xml:space="preserve"> </w:t>
      </w:r>
      <w:r w:rsidR="00F36816">
        <w:rPr>
          <w:lang w:val="en-AU"/>
        </w:rPr>
        <w:t xml:space="preserve">in one of the specialities </w:t>
      </w:r>
      <w:r w:rsidR="000A32DF">
        <w:rPr>
          <w:lang w:val="en-AU"/>
        </w:rPr>
        <w:t xml:space="preserve">mentioned </w:t>
      </w:r>
      <w:r w:rsidR="00F36816">
        <w:rPr>
          <w:lang w:val="en-AU"/>
        </w:rPr>
        <w:t xml:space="preserve">in item 8 of Appendix D </w:t>
      </w:r>
      <w:r w:rsidR="00E63650">
        <w:rPr>
          <w:lang w:val="en-AU"/>
        </w:rPr>
        <w:t xml:space="preserve">before being able to obtain </w:t>
      </w:r>
      <w:r w:rsidR="000D5873">
        <w:rPr>
          <w:lang w:val="en-AU"/>
        </w:rPr>
        <w:t>ongoing</w:t>
      </w:r>
      <w:r w:rsidR="005E0B32">
        <w:rPr>
          <w:lang w:val="en-AU"/>
        </w:rPr>
        <w:t xml:space="preserve"> </w:t>
      </w:r>
      <w:r w:rsidR="00F36816">
        <w:rPr>
          <w:lang w:val="en-AU"/>
        </w:rPr>
        <w:t xml:space="preserve">authorisation from </w:t>
      </w:r>
      <w:r w:rsidR="00E63650">
        <w:rPr>
          <w:lang w:val="en-AU"/>
        </w:rPr>
        <w:t>their general practitioner</w:t>
      </w:r>
      <w:r>
        <w:rPr>
          <w:lang w:val="en-AU"/>
        </w:rPr>
        <w:t>; and</w:t>
      </w:r>
    </w:p>
    <w:p w14:paraId="1A1DF47B" w14:textId="7AD0BA89" w:rsidR="00846E3D" w:rsidRDefault="00614DD4" w:rsidP="0063546A">
      <w:pPr>
        <w:pStyle w:val="BodyText"/>
        <w:numPr>
          <w:ilvl w:val="0"/>
          <w:numId w:val="2"/>
        </w:numPr>
        <w:ind w:right="386"/>
        <w:rPr>
          <w:lang w:val="en-AU"/>
        </w:rPr>
      </w:pPr>
      <w:bookmarkStart w:id="1" w:name="_GoBack"/>
      <w:bookmarkEnd w:id="1"/>
      <w:r>
        <w:rPr>
          <w:lang w:val="en-AU"/>
        </w:rPr>
        <w:lastRenderedPageBreak/>
        <w:t>in relation to s</w:t>
      </w:r>
      <w:r w:rsidR="00D11D3D">
        <w:rPr>
          <w:lang w:val="en-AU"/>
        </w:rPr>
        <w:t>albutamol</w:t>
      </w:r>
      <w:r w:rsidR="000A32DF">
        <w:rPr>
          <w:lang w:val="en-AU"/>
        </w:rPr>
        <w:t>─</w:t>
      </w:r>
      <w:r w:rsidR="00D11D3D">
        <w:rPr>
          <w:lang w:val="en-AU"/>
        </w:rPr>
        <w:t>substituti</w:t>
      </w:r>
      <w:r w:rsidR="005E0B32">
        <w:rPr>
          <w:lang w:val="en-AU"/>
        </w:rPr>
        <w:t>ng a new entry for this substance</w:t>
      </w:r>
      <w:r w:rsidR="00D11D3D">
        <w:rPr>
          <w:lang w:val="en-AU"/>
        </w:rPr>
        <w:t xml:space="preserve"> in Schedule 3 to the Poisons Standard, to </w:t>
      </w:r>
      <w:r w:rsidR="000A32DF">
        <w:rPr>
          <w:lang w:val="en-AU"/>
        </w:rPr>
        <w:t xml:space="preserve">specify </w:t>
      </w:r>
      <w:r w:rsidR="00D11D3D">
        <w:rPr>
          <w:lang w:val="en-AU"/>
        </w:rPr>
        <w:t xml:space="preserve">that its supply </w:t>
      </w:r>
      <w:r w:rsidR="000560F4">
        <w:rPr>
          <w:lang w:val="en-AU"/>
        </w:rPr>
        <w:t xml:space="preserve">is </w:t>
      </w:r>
      <w:r w:rsidR="00D11D3D">
        <w:rPr>
          <w:lang w:val="en-AU"/>
        </w:rPr>
        <w:t>limited to persons with evidence of a medically diagnosed lung condition</w:t>
      </w:r>
      <w:r w:rsidR="000560F4">
        <w:rPr>
          <w:lang w:val="en-AU"/>
        </w:rPr>
        <w:t>,</w:t>
      </w:r>
      <w:r w:rsidR="00D11D3D">
        <w:rPr>
          <w:lang w:val="en-AU"/>
        </w:rPr>
        <w:t xml:space="preserve"> </w:t>
      </w:r>
      <w:r w:rsidR="000560F4">
        <w:rPr>
          <w:lang w:val="en-AU"/>
        </w:rPr>
        <w:t xml:space="preserve">persons </w:t>
      </w:r>
      <w:r w:rsidR="00D11D3D">
        <w:rPr>
          <w:lang w:val="en-AU"/>
        </w:rPr>
        <w:t>with a record of previous supply from the same pharmacist, persons authorised under a law of a State or</w:t>
      </w:r>
      <w:r>
        <w:rPr>
          <w:lang w:val="en-AU"/>
        </w:rPr>
        <w:t xml:space="preserve"> Territory to supply or supply s</w:t>
      </w:r>
      <w:r w:rsidR="00D11D3D">
        <w:rPr>
          <w:lang w:val="en-AU"/>
        </w:rPr>
        <w:t>albutamol in the practice of th</w:t>
      </w:r>
      <w:r>
        <w:rPr>
          <w:lang w:val="en-AU"/>
        </w:rPr>
        <w:t>eir profession (</w:t>
      </w:r>
      <w:r w:rsidR="000560F4">
        <w:rPr>
          <w:lang w:val="en-AU"/>
        </w:rPr>
        <w:t>such as medical practitioners</w:t>
      </w:r>
      <w:r w:rsidR="00D11D3D">
        <w:rPr>
          <w:lang w:val="en-AU"/>
        </w:rPr>
        <w:t>) or for use in institutional first aid</w:t>
      </w:r>
      <w:r w:rsidR="00E63650">
        <w:rPr>
          <w:lang w:val="en-AU"/>
        </w:rPr>
        <w:t xml:space="preserve"> (</w:t>
      </w:r>
      <w:r w:rsidR="000560F4">
        <w:rPr>
          <w:lang w:val="en-AU"/>
        </w:rPr>
        <w:t>for example,</w:t>
      </w:r>
      <w:r w:rsidR="00E63650">
        <w:rPr>
          <w:lang w:val="en-AU"/>
        </w:rPr>
        <w:t xml:space="preserve"> schools and workplaces)</w:t>
      </w:r>
      <w:r w:rsidR="00D11D3D">
        <w:rPr>
          <w:lang w:val="en-AU"/>
        </w:rPr>
        <w:t xml:space="preserve">. The new entry would also </w:t>
      </w:r>
      <w:r w:rsidR="000560F4">
        <w:rPr>
          <w:lang w:val="en-AU"/>
        </w:rPr>
        <w:t xml:space="preserve">specify </w:t>
      </w:r>
      <w:r w:rsidR="00D11D3D">
        <w:rPr>
          <w:lang w:val="en-AU"/>
        </w:rPr>
        <w:t xml:space="preserve">that </w:t>
      </w:r>
      <w:r w:rsidR="000560F4">
        <w:rPr>
          <w:lang w:val="en-AU"/>
        </w:rPr>
        <w:t xml:space="preserve">supply is limited to one primary pack of salbutamol </w:t>
      </w:r>
      <w:r w:rsidR="00D11D3D">
        <w:rPr>
          <w:lang w:val="en-AU"/>
        </w:rPr>
        <w:t xml:space="preserve">for </w:t>
      </w:r>
      <w:r w:rsidR="000560F4">
        <w:rPr>
          <w:lang w:val="en-AU"/>
        </w:rPr>
        <w:t xml:space="preserve">each </w:t>
      </w:r>
      <w:r w:rsidR="00D11D3D">
        <w:rPr>
          <w:lang w:val="en-AU"/>
        </w:rPr>
        <w:t>perso</w:t>
      </w:r>
      <w:r w:rsidR="000560F4">
        <w:rPr>
          <w:lang w:val="en-AU"/>
        </w:rPr>
        <w:t>n</w:t>
      </w:r>
      <w:r w:rsidR="00D11D3D">
        <w:rPr>
          <w:lang w:val="en-AU"/>
        </w:rPr>
        <w:t xml:space="preserve"> with evidence of a medically diagnosed lung condition or previous supply</w:t>
      </w:r>
      <w:r w:rsidR="000560F4">
        <w:rPr>
          <w:lang w:val="en-AU"/>
        </w:rPr>
        <w:t xml:space="preserve"> from the pharmacist.</w:t>
      </w:r>
    </w:p>
    <w:p w14:paraId="7C179B31" w14:textId="77777777" w:rsidR="00D141E0" w:rsidRDefault="00D141E0" w:rsidP="009A4740">
      <w:pPr>
        <w:pStyle w:val="BodyText"/>
        <w:ind w:left="120" w:right="290"/>
      </w:pPr>
    </w:p>
    <w:p w14:paraId="5D156076" w14:textId="339BB749" w:rsidR="004D7961" w:rsidRPr="009A4740" w:rsidRDefault="00262C4C" w:rsidP="009A4740">
      <w:pPr>
        <w:pStyle w:val="BodyText"/>
        <w:ind w:left="120" w:right="290"/>
      </w:pPr>
      <w:r w:rsidRPr="009A4740">
        <w:t>Th</w:t>
      </w:r>
      <w:r w:rsidR="00A35815" w:rsidRPr="009A4740">
        <w:t>e</w:t>
      </w:r>
      <w:r w:rsidRPr="009A4740">
        <w:t xml:space="preserve"> </w:t>
      </w:r>
      <w:r w:rsidR="00A35815" w:rsidRPr="009A4740">
        <w:t>Amendment I</w:t>
      </w:r>
      <w:r w:rsidR="00B52CD0" w:rsidRPr="009A4740">
        <w:t>nstrument also make</w:t>
      </w:r>
      <w:r w:rsidR="000560F4">
        <w:t>s</w:t>
      </w:r>
      <w:r w:rsidR="00B52CD0" w:rsidRPr="009A4740">
        <w:t xml:space="preserve"> two </w:t>
      </w:r>
      <w:r w:rsidRPr="009A4740">
        <w:t>minor, consequential amendment</w:t>
      </w:r>
      <w:r w:rsidR="00B52CD0" w:rsidRPr="009A4740">
        <w:t>s</w:t>
      </w:r>
      <w:r w:rsidRPr="009A4740">
        <w:t xml:space="preserve"> </w:t>
      </w:r>
      <w:r w:rsidR="000346AD">
        <w:t xml:space="preserve">to </w:t>
      </w:r>
      <w:r w:rsidR="000560F4">
        <w:t xml:space="preserve">the </w:t>
      </w:r>
      <w:r w:rsidR="000560F4">
        <w:rPr>
          <w:i/>
        </w:rPr>
        <w:t xml:space="preserve">Poisons Standard February 2020 </w:t>
      </w:r>
      <w:r w:rsidRPr="009A4740">
        <w:t xml:space="preserve">to </w:t>
      </w:r>
      <w:r w:rsidR="000560F4">
        <w:t xml:space="preserve">support the first measure </w:t>
      </w:r>
      <w:r w:rsidR="000346AD">
        <w:t xml:space="preserve">mentioned above </w:t>
      </w:r>
      <w:r w:rsidR="000560F4">
        <w:t xml:space="preserve">by including </w:t>
      </w:r>
      <w:r w:rsidR="00B52CD0" w:rsidRPr="009A4740">
        <w:t>a</w:t>
      </w:r>
      <w:r w:rsidR="000560F4">
        <w:t xml:space="preserve"> hash symbol</w:t>
      </w:r>
      <w:r w:rsidR="00614DD4" w:rsidRPr="009A4740">
        <w:t xml:space="preserve"> </w:t>
      </w:r>
      <w:r w:rsidR="000560F4">
        <w:t>(</w:t>
      </w:r>
      <w:r w:rsidR="00614DD4" w:rsidRPr="009A4740">
        <w:t>#</w:t>
      </w:r>
      <w:r w:rsidR="000560F4">
        <w:t>)</w:t>
      </w:r>
      <w:r w:rsidR="00614DD4" w:rsidRPr="009A4740">
        <w:t xml:space="preserve"> in the Schedule 4 entry for h</w:t>
      </w:r>
      <w:r w:rsidR="00B52CD0" w:rsidRPr="009A4740">
        <w:t xml:space="preserve">ydroxychloroquine to </w:t>
      </w:r>
      <w:r w:rsidR="000560F4">
        <w:t xml:space="preserve">indicate </w:t>
      </w:r>
      <w:r w:rsidR="00B52CD0" w:rsidRPr="009A4740">
        <w:t>that there is also an Ap</w:t>
      </w:r>
      <w:r w:rsidR="005E0B32" w:rsidRPr="009A4740">
        <w:t>pendix D entry for this substance</w:t>
      </w:r>
      <w:r w:rsidR="00B52CD0" w:rsidRPr="009A4740">
        <w:t xml:space="preserve">, and to </w:t>
      </w:r>
      <w:r w:rsidR="00C60C38" w:rsidRPr="009A4740">
        <w:t>update</w:t>
      </w:r>
      <w:r w:rsidR="00614DD4" w:rsidRPr="009A4740">
        <w:t xml:space="preserve"> the reference to h</w:t>
      </w:r>
      <w:r w:rsidR="00B52CD0" w:rsidRPr="009A4740">
        <w:t xml:space="preserve">ydroxychloroquine in the </w:t>
      </w:r>
      <w:r w:rsidR="000560F4">
        <w:t>i</w:t>
      </w:r>
      <w:r w:rsidR="00B52CD0" w:rsidRPr="009A4740">
        <w:t>ndex to reflect the new Appendix D entry.</w:t>
      </w:r>
    </w:p>
    <w:p w14:paraId="08BCB1D0" w14:textId="77777777" w:rsidR="00D141E0" w:rsidRDefault="00D141E0" w:rsidP="009A4740">
      <w:pPr>
        <w:pStyle w:val="BodyText"/>
        <w:ind w:left="120" w:right="290"/>
      </w:pPr>
    </w:p>
    <w:p w14:paraId="1822767F" w14:textId="2006B5A0" w:rsidR="003F0DCD" w:rsidRDefault="00337666" w:rsidP="009A4740">
      <w:pPr>
        <w:pStyle w:val="BodyText"/>
        <w:ind w:left="120" w:right="290"/>
      </w:pPr>
      <w:r>
        <w:t>The</w:t>
      </w:r>
      <w:r w:rsidR="00B52CD0">
        <w:t xml:space="preserve">se decisions were </w:t>
      </w:r>
      <w:r>
        <w:t>delegate-only decision</w:t>
      </w:r>
      <w:r w:rsidR="00B52CD0">
        <w:t>s</w:t>
      </w:r>
      <w:r>
        <w:t xml:space="preserve"> that </w:t>
      </w:r>
      <w:r w:rsidR="00B52CD0">
        <w:t>were</w:t>
      </w:r>
      <w:r w:rsidR="00BC3D2A">
        <w:t xml:space="preserve"> </w:t>
      </w:r>
      <w:r>
        <w:t>not</w:t>
      </w:r>
      <w:r w:rsidR="003C3083">
        <w:t xml:space="preserve"> open to public consultation</w:t>
      </w:r>
      <w:r w:rsidR="000560F4">
        <w:t>. However</w:t>
      </w:r>
      <w:r w:rsidR="003C3083">
        <w:t>, the ACMS (including State and Territory representative members) was consulted and supported these amendments</w:t>
      </w:r>
      <w:r>
        <w:t>.</w:t>
      </w:r>
      <w:r w:rsidR="003C3083">
        <w:t xml:space="preserve"> </w:t>
      </w:r>
      <w:r w:rsidR="000560F4">
        <w:t xml:space="preserve">Further, it </w:t>
      </w:r>
      <w:r w:rsidR="003C3083">
        <w:t xml:space="preserve">was </w:t>
      </w:r>
      <w:r w:rsidR="00F03B97">
        <w:t xml:space="preserve">considered necessary to put these decisions in place urgently in order to support the </w:t>
      </w:r>
      <w:r w:rsidR="00DA57E9">
        <w:t xml:space="preserve">continued </w:t>
      </w:r>
      <w:r w:rsidR="00F03B97">
        <w:t>availability of these medicines for Australians who need to use them and to support response to the COVID-19 public health emergency.</w:t>
      </w:r>
    </w:p>
    <w:p w14:paraId="26540990" w14:textId="77777777" w:rsidR="00D141E0" w:rsidRDefault="00D141E0" w:rsidP="009A4740">
      <w:pPr>
        <w:pStyle w:val="BodyText"/>
        <w:ind w:left="120" w:right="290"/>
      </w:pPr>
    </w:p>
    <w:p w14:paraId="7D28A1A0" w14:textId="69082751" w:rsidR="003F0DCD" w:rsidRDefault="00337666" w:rsidP="009A4740">
      <w:pPr>
        <w:pStyle w:val="BodyText"/>
        <w:ind w:left="120" w:right="290"/>
      </w:pPr>
      <w:r>
        <w:t>Th</w:t>
      </w:r>
      <w:r w:rsidR="00A35815">
        <w:t>e</w:t>
      </w:r>
      <w:r w:rsidR="00262C4C">
        <w:t xml:space="preserve"> </w:t>
      </w:r>
      <w:r w:rsidR="00A35815">
        <w:t>Amendment I</w:t>
      </w:r>
      <w:r w:rsidR="00262C4C">
        <w:t xml:space="preserve">nstrument </w:t>
      </w:r>
      <w:r>
        <w:t xml:space="preserve">is a legislative instrument for the purposes of the </w:t>
      </w:r>
      <w:r w:rsidRPr="009A4740">
        <w:rPr>
          <w:i/>
        </w:rPr>
        <w:t>Legislation Act 2003</w:t>
      </w:r>
      <w:r>
        <w:t xml:space="preserve">. However, section 42 of the </w:t>
      </w:r>
      <w:r w:rsidR="000560F4">
        <w:rPr>
          <w:i/>
        </w:rPr>
        <w:t xml:space="preserve">Legislation Act 2003 </w:t>
      </w:r>
      <w:r w:rsidR="00E045BB">
        <w:t xml:space="preserve">relating to disallowance </w:t>
      </w:r>
      <w:r>
        <w:t>does not apply (subsection 52D(4A)</w:t>
      </w:r>
      <w:r w:rsidR="000560F4">
        <w:t xml:space="preserve"> of the </w:t>
      </w:r>
      <w:r w:rsidR="000560F4">
        <w:rPr>
          <w:i/>
        </w:rPr>
        <w:t xml:space="preserve">Legislation Act 2003 </w:t>
      </w:r>
      <w:r w:rsidR="000560F4">
        <w:t>refers</w:t>
      </w:r>
      <w:r>
        <w:t xml:space="preserve">). As </w:t>
      </w:r>
      <w:r w:rsidR="000560F4">
        <w:t xml:space="preserve">the Amendment Instrument is </w:t>
      </w:r>
      <w:r>
        <w:t xml:space="preserve">not disallowable, subsection 9(1) of the </w:t>
      </w:r>
      <w:r w:rsidRPr="009A4740">
        <w:rPr>
          <w:i/>
        </w:rPr>
        <w:t>Human Rights (Parliamentary Scrutiny) Act 2011</w:t>
      </w:r>
      <w:r w:rsidRPr="009A4740">
        <w:t xml:space="preserve"> </w:t>
      </w:r>
      <w:r>
        <w:t xml:space="preserve">does not require the instrument </w:t>
      </w:r>
      <w:r w:rsidR="000560F4">
        <w:t xml:space="preserve">to </w:t>
      </w:r>
      <w:r>
        <w:t>be accompanied by a statement of compatibility with the human rights recognised under that Act.</w:t>
      </w:r>
    </w:p>
    <w:p w14:paraId="43F07084" w14:textId="77777777" w:rsidR="00D141E0" w:rsidRDefault="00D141E0" w:rsidP="009A4740">
      <w:pPr>
        <w:pStyle w:val="BodyText"/>
        <w:ind w:left="120" w:right="290"/>
      </w:pPr>
    </w:p>
    <w:p w14:paraId="594A493B" w14:textId="4245D832" w:rsidR="003F0DCD" w:rsidRDefault="00337666" w:rsidP="009A4740">
      <w:pPr>
        <w:pStyle w:val="BodyText"/>
        <w:ind w:left="120" w:right="290"/>
      </w:pPr>
      <w:r>
        <w:t>Th</w:t>
      </w:r>
      <w:r w:rsidR="00A35815">
        <w:t>e</w:t>
      </w:r>
      <w:r w:rsidR="00262C4C">
        <w:t xml:space="preserve"> </w:t>
      </w:r>
      <w:r w:rsidR="00A35815">
        <w:t>Amendment I</w:t>
      </w:r>
      <w:r w:rsidR="00262C4C">
        <w:t xml:space="preserve">nstrument commences on </w:t>
      </w:r>
      <w:r w:rsidR="00C60C38">
        <w:t>the day after it is reg</w:t>
      </w:r>
      <w:r w:rsidR="00B52CD0">
        <w:t>is</w:t>
      </w:r>
      <w:r w:rsidR="00C60C38">
        <w:t>tered</w:t>
      </w:r>
      <w:r w:rsidR="005D3A75" w:rsidRPr="00BE0DB9">
        <w:t>.</w:t>
      </w:r>
    </w:p>
    <w:sectPr w:rsidR="003F0DCD" w:rsidSect="00FC14D5">
      <w:headerReference w:type="even" r:id="rId8"/>
      <w:headerReference w:type="default" r:id="rId9"/>
      <w:footerReference w:type="even" r:id="rId10"/>
      <w:footerReference w:type="default" r:id="rId11"/>
      <w:headerReference w:type="first" r:id="rId12"/>
      <w:footerReference w:type="first" r:id="rId13"/>
      <w:type w:val="continuous"/>
      <w:pgSz w:w="11910" w:h="16840"/>
      <w:pgMar w:top="1340" w:right="1680" w:bottom="1276" w:left="16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2748" w14:textId="77777777" w:rsidR="003123F1" w:rsidRDefault="003123F1">
      <w:r>
        <w:separator/>
      </w:r>
    </w:p>
  </w:endnote>
  <w:endnote w:type="continuationSeparator" w:id="0">
    <w:p w14:paraId="4E32FA4D" w14:textId="77777777" w:rsidR="003123F1" w:rsidRDefault="0031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0A70" w14:textId="77777777" w:rsidR="00340DF0" w:rsidRDefault="00340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07356"/>
      <w:docPartObj>
        <w:docPartGallery w:val="Page Numbers (Bottom of Page)"/>
        <w:docPartUnique/>
      </w:docPartObj>
    </w:sdtPr>
    <w:sdtEndPr>
      <w:rPr>
        <w:noProof/>
      </w:rPr>
    </w:sdtEndPr>
    <w:sdtContent>
      <w:p w14:paraId="0C3FA839" w14:textId="6154D3E0" w:rsidR="008D0CDA" w:rsidRDefault="008D0CDA" w:rsidP="00340DF0">
        <w:pPr>
          <w:pStyle w:val="Footer"/>
          <w:jc w:val="right"/>
        </w:pPr>
        <w:r>
          <w:fldChar w:fldCharType="begin"/>
        </w:r>
        <w:r>
          <w:instrText xml:space="preserve"> PAGE   \* MERGEFORMAT </w:instrText>
        </w:r>
        <w:r>
          <w:fldChar w:fldCharType="separate"/>
        </w:r>
        <w:r w:rsidR="00DE1E48">
          <w:rPr>
            <w:noProof/>
          </w:rPr>
          <w:t>3</w:t>
        </w:r>
        <w:r>
          <w:rPr>
            <w:noProof/>
          </w:rPr>
          <w:fldChar w:fldCharType="end"/>
        </w:r>
      </w:p>
    </w:sdtContent>
  </w:sdt>
  <w:p w14:paraId="1E5B34DE" w14:textId="77777777" w:rsidR="003123F1" w:rsidRDefault="003123F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3844" w14:textId="77777777" w:rsidR="00340DF0" w:rsidRDefault="0034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C3F7" w14:textId="77777777" w:rsidR="003123F1" w:rsidRDefault="003123F1">
      <w:r>
        <w:separator/>
      </w:r>
    </w:p>
  </w:footnote>
  <w:footnote w:type="continuationSeparator" w:id="0">
    <w:p w14:paraId="7293B220" w14:textId="77777777" w:rsidR="003123F1" w:rsidRDefault="0031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EC7DD" w14:textId="77777777" w:rsidR="00340DF0" w:rsidRDefault="00340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8A99" w14:textId="77777777" w:rsidR="00340DF0" w:rsidRDefault="00340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339E" w14:textId="77777777" w:rsidR="00340DF0" w:rsidRDefault="0034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647E5"/>
    <w:multiLevelType w:val="hybridMultilevel"/>
    <w:tmpl w:val="DEB4457C"/>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 w15:restartNumberingAfterBreak="0">
    <w:nsid w:val="79341140"/>
    <w:multiLevelType w:val="hybridMultilevel"/>
    <w:tmpl w:val="E40C5D50"/>
    <w:lvl w:ilvl="0" w:tplc="3FF60E1C">
      <w:numFmt w:val="bullet"/>
      <w:lvlText w:val=""/>
      <w:lvlJc w:val="left"/>
      <w:pPr>
        <w:ind w:left="547" w:hanging="360"/>
      </w:pPr>
      <w:rPr>
        <w:rFonts w:ascii="Symbol" w:eastAsia="Symbol" w:hAnsi="Symbol" w:cs="Symbol" w:hint="default"/>
        <w:w w:val="100"/>
        <w:sz w:val="24"/>
        <w:szCs w:val="24"/>
        <w:lang w:val="en-US" w:eastAsia="en-US" w:bidi="en-US"/>
      </w:rPr>
    </w:lvl>
    <w:lvl w:ilvl="1" w:tplc="9C783980">
      <w:numFmt w:val="bullet"/>
      <w:lvlText w:val="•"/>
      <w:lvlJc w:val="left"/>
      <w:pPr>
        <w:ind w:left="1340" w:hanging="360"/>
      </w:pPr>
      <w:rPr>
        <w:rFonts w:hint="default"/>
        <w:lang w:val="en-US" w:eastAsia="en-US" w:bidi="en-US"/>
      </w:rPr>
    </w:lvl>
    <w:lvl w:ilvl="2" w:tplc="58F2B66E">
      <w:numFmt w:val="bullet"/>
      <w:lvlText w:val="•"/>
      <w:lvlJc w:val="left"/>
      <w:pPr>
        <w:ind w:left="2141" w:hanging="360"/>
      </w:pPr>
      <w:rPr>
        <w:rFonts w:hint="default"/>
        <w:lang w:val="en-US" w:eastAsia="en-US" w:bidi="en-US"/>
      </w:rPr>
    </w:lvl>
    <w:lvl w:ilvl="3" w:tplc="52C49958">
      <w:numFmt w:val="bullet"/>
      <w:lvlText w:val="•"/>
      <w:lvlJc w:val="left"/>
      <w:pPr>
        <w:ind w:left="2941" w:hanging="360"/>
      </w:pPr>
      <w:rPr>
        <w:rFonts w:hint="default"/>
        <w:lang w:val="en-US" w:eastAsia="en-US" w:bidi="en-US"/>
      </w:rPr>
    </w:lvl>
    <w:lvl w:ilvl="4" w:tplc="53B81C04">
      <w:numFmt w:val="bullet"/>
      <w:lvlText w:val="•"/>
      <w:lvlJc w:val="left"/>
      <w:pPr>
        <w:ind w:left="3742" w:hanging="360"/>
      </w:pPr>
      <w:rPr>
        <w:rFonts w:hint="default"/>
        <w:lang w:val="en-US" w:eastAsia="en-US" w:bidi="en-US"/>
      </w:rPr>
    </w:lvl>
    <w:lvl w:ilvl="5" w:tplc="0EEE4064">
      <w:numFmt w:val="bullet"/>
      <w:lvlText w:val="•"/>
      <w:lvlJc w:val="left"/>
      <w:pPr>
        <w:ind w:left="4543" w:hanging="360"/>
      </w:pPr>
      <w:rPr>
        <w:rFonts w:hint="default"/>
        <w:lang w:val="en-US" w:eastAsia="en-US" w:bidi="en-US"/>
      </w:rPr>
    </w:lvl>
    <w:lvl w:ilvl="6" w:tplc="AAB469A4">
      <w:numFmt w:val="bullet"/>
      <w:lvlText w:val="•"/>
      <w:lvlJc w:val="left"/>
      <w:pPr>
        <w:ind w:left="5343" w:hanging="360"/>
      </w:pPr>
      <w:rPr>
        <w:rFonts w:hint="default"/>
        <w:lang w:val="en-US" w:eastAsia="en-US" w:bidi="en-US"/>
      </w:rPr>
    </w:lvl>
    <w:lvl w:ilvl="7" w:tplc="1A1601DC">
      <w:numFmt w:val="bullet"/>
      <w:lvlText w:val="•"/>
      <w:lvlJc w:val="left"/>
      <w:pPr>
        <w:ind w:left="6144" w:hanging="360"/>
      </w:pPr>
      <w:rPr>
        <w:rFonts w:hint="default"/>
        <w:lang w:val="en-US" w:eastAsia="en-US" w:bidi="en-US"/>
      </w:rPr>
    </w:lvl>
    <w:lvl w:ilvl="8" w:tplc="AB7C3AFE">
      <w:numFmt w:val="bullet"/>
      <w:lvlText w:val="•"/>
      <w:lvlJc w:val="left"/>
      <w:pPr>
        <w:ind w:left="6945"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CD"/>
    <w:rsid w:val="000346AD"/>
    <w:rsid w:val="000560F4"/>
    <w:rsid w:val="000A32DF"/>
    <w:rsid w:val="000A42C3"/>
    <w:rsid w:val="000D5873"/>
    <w:rsid w:val="001153F8"/>
    <w:rsid w:val="001956B6"/>
    <w:rsid w:val="001B4D68"/>
    <w:rsid w:val="00262C4C"/>
    <w:rsid w:val="002E37CA"/>
    <w:rsid w:val="003123F1"/>
    <w:rsid w:val="00337666"/>
    <w:rsid w:val="00340DF0"/>
    <w:rsid w:val="003C3083"/>
    <w:rsid w:val="003F0DCD"/>
    <w:rsid w:val="00400C34"/>
    <w:rsid w:val="0045230A"/>
    <w:rsid w:val="00470320"/>
    <w:rsid w:val="004A7DAD"/>
    <w:rsid w:val="004D7961"/>
    <w:rsid w:val="004E72FF"/>
    <w:rsid w:val="005664A0"/>
    <w:rsid w:val="005C1787"/>
    <w:rsid w:val="005D3A75"/>
    <w:rsid w:val="005E0B32"/>
    <w:rsid w:val="00614DD4"/>
    <w:rsid w:val="00635130"/>
    <w:rsid w:val="0063546A"/>
    <w:rsid w:val="00635E9F"/>
    <w:rsid w:val="00695140"/>
    <w:rsid w:val="00734274"/>
    <w:rsid w:val="007E20B7"/>
    <w:rsid w:val="007E77F6"/>
    <w:rsid w:val="00846E3D"/>
    <w:rsid w:val="008738D0"/>
    <w:rsid w:val="00881D02"/>
    <w:rsid w:val="008871B5"/>
    <w:rsid w:val="008D0CDA"/>
    <w:rsid w:val="00935751"/>
    <w:rsid w:val="0096285F"/>
    <w:rsid w:val="00976BAA"/>
    <w:rsid w:val="00980C05"/>
    <w:rsid w:val="009A4740"/>
    <w:rsid w:val="009E3ACB"/>
    <w:rsid w:val="00A22CD2"/>
    <w:rsid w:val="00A35815"/>
    <w:rsid w:val="00A67F58"/>
    <w:rsid w:val="00B52CD0"/>
    <w:rsid w:val="00B81969"/>
    <w:rsid w:val="00BA6A93"/>
    <w:rsid w:val="00BB5DF0"/>
    <w:rsid w:val="00BC3D2A"/>
    <w:rsid w:val="00BE0DB9"/>
    <w:rsid w:val="00C30F09"/>
    <w:rsid w:val="00C4691C"/>
    <w:rsid w:val="00C60C38"/>
    <w:rsid w:val="00C60D3D"/>
    <w:rsid w:val="00C85419"/>
    <w:rsid w:val="00CC2CD3"/>
    <w:rsid w:val="00CD042D"/>
    <w:rsid w:val="00D11D3D"/>
    <w:rsid w:val="00D136CB"/>
    <w:rsid w:val="00D141E0"/>
    <w:rsid w:val="00D24A14"/>
    <w:rsid w:val="00D94864"/>
    <w:rsid w:val="00DA57E9"/>
    <w:rsid w:val="00DE1E48"/>
    <w:rsid w:val="00DF59BA"/>
    <w:rsid w:val="00E045BB"/>
    <w:rsid w:val="00E23986"/>
    <w:rsid w:val="00E63650"/>
    <w:rsid w:val="00E64D57"/>
    <w:rsid w:val="00ED57A1"/>
    <w:rsid w:val="00EE45D8"/>
    <w:rsid w:val="00F03B97"/>
    <w:rsid w:val="00F36816"/>
    <w:rsid w:val="00FC1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9F0"/>
  <w15:docId w15:val="{DAC5FF95-DE70-4C0C-A257-0D07653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0C34"/>
    <w:pPr>
      <w:tabs>
        <w:tab w:val="center" w:pos="4513"/>
        <w:tab w:val="right" w:pos="9026"/>
      </w:tabs>
    </w:pPr>
  </w:style>
  <w:style w:type="character" w:customStyle="1" w:styleId="HeaderChar">
    <w:name w:val="Header Char"/>
    <w:basedOn w:val="DefaultParagraphFont"/>
    <w:link w:val="Header"/>
    <w:uiPriority w:val="99"/>
    <w:rsid w:val="00400C34"/>
    <w:rPr>
      <w:rFonts w:ascii="Times New Roman" w:eastAsia="Times New Roman" w:hAnsi="Times New Roman" w:cs="Times New Roman"/>
      <w:lang w:bidi="en-US"/>
    </w:rPr>
  </w:style>
  <w:style w:type="paragraph" w:styleId="Footer">
    <w:name w:val="footer"/>
    <w:basedOn w:val="Normal"/>
    <w:link w:val="FooterChar"/>
    <w:uiPriority w:val="99"/>
    <w:unhideWhenUsed/>
    <w:rsid w:val="00400C34"/>
    <w:pPr>
      <w:tabs>
        <w:tab w:val="center" w:pos="4513"/>
        <w:tab w:val="right" w:pos="9026"/>
      </w:tabs>
    </w:pPr>
  </w:style>
  <w:style w:type="character" w:customStyle="1" w:styleId="FooterChar">
    <w:name w:val="Footer Char"/>
    <w:basedOn w:val="DefaultParagraphFont"/>
    <w:link w:val="Footer"/>
    <w:uiPriority w:val="99"/>
    <w:rsid w:val="00400C3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470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2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5D3A75"/>
    <w:rPr>
      <w:sz w:val="16"/>
      <w:szCs w:val="16"/>
    </w:rPr>
  </w:style>
  <w:style w:type="paragraph" w:styleId="CommentText">
    <w:name w:val="annotation text"/>
    <w:basedOn w:val="Normal"/>
    <w:link w:val="CommentTextChar"/>
    <w:uiPriority w:val="99"/>
    <w:semiHidden/>
    <w:unhideWhenUsed/>
    <w:rsid w:val="005D3A75"/>
    <w:rPr>
      <w:sz w:val="20"/>
      <w:szCs w:val="20"/>
    </w:rPr>
  </w:style>
  <w:style w:type="character" w:customStyle="1" w:styleId="CommentTextChar">
    <w:name w:val="Comment Text Char"/>
    <w:basedOn w:val="DefaultParagraphFont"/>
    <w:link w:val="CommentText"/>
    <w:uiPriority w:val="99"/>
    <w:semiHidden/>
    <w:rsid w:val="005D3A7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D3A75"/>
    <w:rPr>
      <w:b/>
      <w:bCs/>
    </w:rPr>
  </w:style>
  <w:style w:type="character" w:customStyle="1" w:styleId="CommentSubjectChar">
    <w:name w:val="Comment Subject Char"/>
    <w:basedOn w:val="CommentTextChar"/>
    <w:link w:val="CommentSubject"/>
    <w:uiPriority w:val="99"/>
    <w:semiHidden/>
    <w:rsid w:val="005D3A75"/>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E23986"/>
    <w:rPr>
      <w:color w:val="0000FF" w:themeColor="hyperlink"/>
      <w:u w:val="single"/>
    </w:rPr>
  </w:style>
  <w:style w:type="character" w:styleId="FollowedHyperlink">
    <w:name w:val="FollowedHyperlink"/>
    <w:basedOn w:val="DefaultParagraphFont"/>
    <w:uiPriority w:val="99"/>
    <w:semiHidden/>
    <w:unhideWhenUsed/>
    <w:rsid w:val="00D94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1091">
      <w:bodyDiv w:val="1"/>
      <w:marLeft w:val="0"/>
      <w:marRight w:val="0"/>
      <w:marTop w:val="0"/>
      <w:marBottom w:val="0"/>
      <w:divBdr>
        <w:top w:val="none" w:sz="0" w:space="0" w:color="auto"/>
        <w:left w:val="none" w:sz="0" w:space="0" w:color="auto"/>
        <w:bottom w:val="none" w:sz="0" w:space="0" w:color="auto"/>
        <w:right w:val="none" w:sz="0" w:space="0" w:color="auto"/>
      </w:divBdr>
      <w:divsChild>
        <w:div w:id="174345705">
          <w:marLeft w:val="0"/>
          <w:marRight w:val="0"/>
          <w:marTop w:val="0"/>
          <w:marBottom w:val="0"/>
          <w:divBdr>
            <w:top w:val="none" w:sz="0" w:space="0" w:color="auto"/>
            <w:left w:val="none" w:sz="0" w:space="0" w:color="auto"/>
            <w:bottom w:val="none" w:sz="0" w:space="0" w:color="auto"/>
            <w:right w:val="none" w:sz="0" w:space="0" w:color="auto"/>
          </w:divBdr>
          <w:divsChild>
            <w:div w:id="420882455">
              <w:marLeft w:val="0"/>
              <w:marRight w:val="0"/>
              <w:marTop w:val="0"/>
              <w:marBottom w:val="0"/>
              <w:divBdr>
                <w:top w:val="none" w:sz="0" w:space="0" w:color="auto"/>
                <w:left w:val="none" w:sz="0" w:space="0" w:color="auto"/>
                <w:bottom w:val="none" w:sz="0" w:space="0" w:color="auto"/>
                <w:right w:val="none" w:sz="0" w:space="0" w:color="auto"/>
              </w:divBdr>
              <w:divsChild>
                <w:div w:id="191116883">
                  <w:marLeft w:val="0"/>
                  <w:marRight w:val="0"/>
                  <w:marTop w:val="0"/>
                  <w:marBottom w:val="0"/>
                  <w:divBdr>
                    <w:top w:val="none" w:sz="0" w:space="0" w:color="auto"/>
                    <w:left w:val="none" w:sz="0" w:space="0" w:color="auto"/>
                    <w:bottom w:val="none" w:sz="0" w:space="0" w:color="auto"/>
                    <w:right w:val="none" w:sz="0" w:space="0" w:color="auto"/>
                  </w:divBdr>
                  <w:divsChild>
                    <w:div w:id="669481539">
                      <w:marLeft w:val="0"/>
                      <w:marRight w:val="0"/>
                      <w:marTop w:val="0"/>
                      <w:marBottom w:val="0"/>
                      <w:divBdr>
                        <w:top w:val="none" w:sz="0" w:space="0" w:color="auto"/>
                        <w:left w:val="none" w:sz="0" w:space="0" w:color="auto"/>
                        <w:bottom w:val="none" w:sz="0" w:space="0" w:color="auto"/>
                        <w:right w:val="none" w:sz="0" w:space="0" w:color="auto"/>
                      </w:divBdr>
                      <w:divsChild>
                        <w:div w:id="2091736115">
                          <w:marLeft w:val="0"/>
                          <w:marRight w:val="0"/>
                          <w:marTop w:val="0"/>
                          <w:marBottom w:val="0"/>
                          <w:divBdr>
                            <w:top w:val="none" w:sz="0" w:space="0" w:color="auto"/>
                            <w:left w:val="none" w:sz="0" w:space="0" w:color="auto"/>
                            <w:bottom w:val="none" w:sz="0" w:space="0" w:color="auto"/>
                            <w:right w:val="none" w:sz="0" w:space="0" w:color="auto"/>
                          </w:divBdr>
                          <w:divsChild>
                            <w:div w:id="681051013">
                              <w:marLeft w:val="0"/>
                              <w:marRight w:val="0"/>
                              <w:marTop w:val="0"/>
                              <w:marBottom w:val="0"/>
                              <w:divBdr>
                                <w:top w:val="none" w:sz="0" w:space="0" w:color="auto"/>
                                <w:left w:val="none" w:sz="0" w:space="0" w:color="auto"/>
                                <w:bottom w:val="none" w:sz="0" w:space="0" w:color="auto"/>
                                <w:right w:val="none" w:sz="0" w:space="0" w:color="auto"/>
                              </w:divBdr>
                              <w:divsChild>
                                <w:div w:id="1935045391">
                                  <w:marLeft w:val="0"/>
                                  <w:marRight w:val="0"/>
                                  <w:marTop w:val="0"/>
                                  <w:marBottom w:val="0"/>
                                  <w:divBdr>
                                    <w:top w:val="none" w:sz="0" w:space="0" w:color="auto"/>
                                    <w:left w:val="none" w:sz="0" w:space="0" w:color="auto"/>
                                    <w:bottom w:val="none" w:sz="0" w:space="0" w:color="auto"/>
                                    <w:right w:val="none" w:sz="0" w:space="0" w:color="auto"/>
                                  </w:divBdr>
                                  <w:divsChild>
                                    <w:div w:id="934170379">
                                      <w:marLeft w:val="0"/>
                                      <w:marRight w:val="0"/>
                                      <w:marTop w:val="0"/>
                                      <w:marBottom w:val="0"/>
                                      <w:divBdr>
                                        <w:top w:val="none" w:sz="0" w:space="0" w:color="auto"/>
                                        <w:left w:val="none" w:sz="0" w:space="0" w:color="auto"/>
                                        <w:bottom w:val="none" w:sz="0" w:space="0" w:color="auto"/>
                                        <w:right w:val="none" w:sz="0" w:space="0" w:color="auto"/>
                                      </w:divBdr>
                                      <w:divsChild>
                                        <w:div w:id="241915221">
                                          <w:marLeft w:val="0"/>
                                          <w:marRight w:val="0"/>
                                          <w:marTop w:val="0"/>
                                          <w:marBottom w:val="0"/>
                                          <w:divBdr>
                                            <w:top w:val="none" w:sz="0" w:space="0" w:color="auto"/>
                                            <w:left w:val="none" w:sz="0" w:space="0" w:color="auto"/>
                                            <w:bottom w:val="none" w:sz="0" w:space="0" w:color="auto"/>
                                            <w:right w:val="none" w:sz="0" w:space="0" w:color="auto"/>
                                          </w:divBdr>
                                          <w:divsChild>
                                            <w:div w:id="1967540653">
                                              <w:marLeft w:val="0"/>
                                              <w:marRight w:val="0"/>
                                              <w:marTop w:val="0"/>
                                              <w:marBottom w:val="0"/>
                                              <w:divBdr>
                                                <w:top w:val="none" w:sz="0" w:space="0" w:color="auto"/>
                                                <w:left w:val="none" w:sz="0" w:space="0" w:color="auto"/>
                                                <w:bottom w:val="none" w:sz="0" w:space="0" w:color="auto"/>
                                                <w:right w:val="none" w:sz="0" w:space="0" w:color="auto"/>
                                              </w:divBdr>
                                              <w:divsChild>
                                                <w:div w:id="1175727163">
                                                  <w:marLeft w:val="0"/>
                                                  <w:marRight w:val="0"/>
                                                  <w:marTop w:val="0"/>
                                                  <w:marBottom w:val="0"/>
                                                  <w:divBdr>
                                                    <w:top w:val="none" w:sz="0" w:space="0" w:color="auto"/>
                                                    <w:left w:val="none" w:sz="0" w:space="0" w:color="auto"/>
                                                    <w:bottom w:val="none" w:sz="0" w:space="0" w:color="auto"/>
                                                    <w:right w:val="none" w:sz="0" w:space="0" w:color="auto"/>
                                                  </w:divBdr>
                                                  <w:divsChild>
                                                    <w:div w:id="921138039">
                                                      <w:marLeft w:val="0"/>
                                                      <w:marRight w:val="0"/>
                                                      <w:marTop w:val="0"/>
                                                      <w:marBottom w:val="0"/>
                                                      <w:divBdr>
                                                        <w:top w:val="none" w:sz="0" w:space="0" w:color="auto"/>
                                                        <w:left w:val="none" w:sz="0" w:space="0" w:color="auto"/>
                                                        <w:bottom w:val="none" w:sz="0" w:space="0" w:color="auto"/>
                                                        <w:right w:val="none" w:sz="0" w:space="0" w:color="auto"/>
                                                      </w:divBdr>
                                                      <w:divsChild>
                                                        <w:div w:id="6750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ga.gov.au/publication/ahmac-scheduling-policy-framework-medicines-and-chemica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Rachel</dc:creator>
  <cp:lastModifiedBy>Edlington, Mandy</cp:lastModifiedBy>
  <cp:revision>2</cp:revision>
  <cp:lastPrinted>2020-01-22T01:07:00Z</cp:lastPrinted>
  <dcterms:created xsi:type="dcterms:W3CDTF">2020-03-23T06:56:00Z</dcterms:created>
  <dcterms:modified xsi:type="dcterms:W3CDTF">2020-03-23T06:56:00Z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2010</vt:lpwstr>
  </property>
  <property fmtid="{D5CDD505-2E9C-101B-9397-08002B2CF9AE}" pid="4" name="LastSaved">
    <vt:filetime>2020-01-20T00:00:00Z</vt:filetime>
  </property>
</Properties>
</file>