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A9F5A" w14:textId="77777777" w:rsidR="00202381" w:rsidRDefault="00202381" w:rsidP="003A6026">
      <w:pPr>
        <w:jc w:val="center"/>
      </w:pPr>
      <w:bookmarkStart w:id="0" w:name="_GoBack"/>
      <w:bookmarkEnd w:id="0"/>
    </w:p>
    <w:p w14:paraId="18701BC9" w14:textId="77777777" w:rsidR="003A6026" w:rsidRDefault="003A6026" w:rsidP="003A6026">
      <w:pPr>
        <w:jc w:val="center"/>
        <w:rPr>
          <w:u w:val="single"/>
        </w:rPr>
      </w:pPr>
      <w:r>
        <w:rPr>
          <w:u w:val="single"/>
        </w:rPr>
        <w:t>EXPLANATORY STATEMENT</w:t>
      </w:r>
    </w:p>
    <w:p w14:paraId="1FE6AA90" w14:textId="77777777" w:rsidR="0088120A" w:rsidRDefault="0088120A" w:rsidP="003A6026">
      <w:pPr>
        <w:jc w:val="center"/>
        <w:rPr>
          <w:u w:val="single"/>
        </w:rPr>
      </w:pPr>
    </w:p>
    <w:p w14:paraId="6F2A2728" w14:textId="77777777" w:rsidR="0088120A" w:rsidRPr="00A50B2A" w:rsidRDefault="0088120A" w:rsidP="003A6026">
      <w:pPr>
        <w:jc w:val="center"/>
        <w:rPr>
          <w:i/>
        </w:rPr>
      </w:pPr>
      <w:r w:rsidRPr="00A50B2A">
        <w:rPr>
          <w:i/>
        </w:rPr>
        <w:t>Biosecurity Act 2015</w:t>
      </w:r>
    </w:p>
    <w:p w14:paraId="3F2D295C" w14:textId="77777777" w:rsidR="0088120A" w:rsidRPr="00A50B2A" w:rsidRDefault="0088120A" w:rsidP="003A6026">
      <w:pPr>
        <w:jc w:val="center"/>
      </w:pPr>
    </w:p>
    <w:p w14:paraId="429883C4" w14:textId="5DF5EEFE" w:rsidR="00FF665A" w:rsidRPr="00F73C2D" w:rsidRDefault="00FF665A" w:rsidP="00FF665A">
      <w:pPr>
        <w:pStyle w:val="ShortT"/>
        <w:jc w:val="center"/>
        <w:rPr>
          <w:i/>
          <w:sz w:val="24"/>
          <w:szCs w:val="24"/>
        </w:rPr>
      </w:pPr>
      <w:r w:rsidRPr="00A50B2A">
        <w:rPr>
          <w:i/>
          <w:sz w:val="24"/>
          <w:szCs w:val="24"/>
        </w:rPr>
        <w:t xml:space="preserve">Biosecurity (Human </w:t>
      </w:r>
      <w:r w:rsidR="001734CF" w:rsidRPr="00A50B2A">
        <w:rPr>
          <w:i/>
          <w:sz w:val="24"/>
          <w:szCs w:val="24"/>
        </w:rPr>
        <w:t xml:space="preserve">Health </w:t>
      </w:r>
      <w:r w:rsidR="001734CF" w:rsidRPr="00F73C2D">
        <w:rPr>
          <w:i/>
          <w:sz w:val="24"/>
          <w:szCs w:val="24"/>
        </w:rPr>
        <w:t>Response Zone) (</w:t>
      </w:r>
      <w:proofErr w:type="spellStart"/>
      <w:r w:rsidR="00E20283" w:rsidRPr="00E20283">
        <w:rPr>
          <w:i/>
          <w:sz w:val="24"/>
          <w:szCs w:val="24"/>
        </w:rPr>
        <w:t>Swissotel</w:t>
      </w:r>
      <w:proofErr w:type="spellEnd"/>
      <w:r w:rsidR="00E20283" w:rsidRPr="00E20283">
        <w:rPr>
          <w:i/>
          <w:sz w:val="24"/>
          <w:szCs w:val="24"/>
        </w:rPr>
        <w:t xml:space="preserve"> Sydney</w:t>
      </w:r>
      <w:r w:rsidR="00474CDA">
        <w:rPr>
          <w:i/>
          <w:sz w:val="24"/>
          <w:szCs w:val="24"/>
        </w:rPr>
        <w:t>) Determination </w:t>
      </w:r>
      <w:r w:rsidRPr="00F73C2D">
        <w:rPr>
          <w:i/>
          <w:sz w:val="24"/>
          <w:szCs w:val="24"/>
        </w:rPr>
        <w:t>2020</w:t>
      </w:r>
    </w:p>
    <w:p w14:paraId="7003CBC5" w14:textId="77777777" w:rsidR="007B459F" w:rsidRPr="00F73C2D" w:rsidRDefault="007B459F" w:rsidP="0088120A">
      <w:pPr>
        <w:rPr>
          <w:lang w:val="en-US"/>
        </w:rPr>
      </w:pPr>
    </w:p>
    <w:p w14:paraId="5CAD2F0A" w14:textId="77777777" w:rsidR="000A1691" w:rsidRDefault="00EA27A4" w:rsidP="00EA27A4">
      <w:pPr>
        <w:rPr>
          <w:rFonts w:eastAsia="Calibri"/>
        </w:rPr>
      </w:pPr>
      <w:r w:rsidRPr="00F73C2D">
        <w:rPr>
          <w:lang w:val="en-US"/>
        </w:rPr>
        <w:t xml:space="preserve">Subsection 113(1) of the </w:t>
      </w:r>
      <w:r w:rsidRPr="00F73C2D">
        <w:rPr>
          <w:i/>
          <w:lang w:val="en-US"/>
        </w:rPr>
        <w:t>Biosecurity Act 2015</w:t>
      </w:r>
      <w:r w:rsidRPr="00F73C2D">
        <w:rPr>
          <w:lang w:val="en-US"/>
        </w:rPr>
        <w:t xml:space="preserve"> (the </w:t>
      </w:r>
      <w:r w:rsidRPr="00F27EBC">
        <w:rPr>
          <w:b/>
          <w:lang w:val="en-US"/>
        </w:rPr>
        <w:t>Act</w:t>
      </w:r>
      <w:r w:rsidRPr="00F73C2D">
        <w:rPr>
          <w:lang w:val="en-US"/>
        </w:rPr>
        <w:t>) provides that the Director of Human Biosecurity may determine that a specified area within a State or Territory is a human health response zone (</w:t>
      </w:r>
      <w:r w:rsidRPr="00F27EBC">
        <w:rPr>
          <w:b/>
          <w:lang w:val="en-US"/>
        </w:rPr>
        <w:t>zone</w:t>
      </w:r>
      <w:r w:rsidRPr="00F73C2D">
        <w:rPr>
          <w:lang w:val="en-US"/>
        </w:rPr>
        <w:t xml:space="preserve">) if satisfied that it is necessary to do so for the purposes of </w:t>
      </w:r>
      <w:r w:rsidRPr="00F73C2D">
        <w:rPr>
          <w:rFonts w:eastAsia="Calibri"/>
        </w:rPr>
        <w:t xml:space="preserve">preventing, or reducing the risk of, a listed human disease emerging, establishing itself or spreading in Australian territory or a part of Australian territory. </w:t>
      </w:r>
    </w:p>
    <w:p w14:paraId="7AF270D0" w14:textId="77777777" w:rsidR="000A1691" w:rsidRDefault="000A1691" w:rsidP="00EA27A4">
      <w:pPr>
        <w:rPr>
          <w:rFonts w:eastAsia="Calibri"/>
        </w:rPr>
      </w:pPr>
    </w:p>
    <w:p w14:paraId="41DEE821" w14:textId="77777777" w:rsidR="00EA27A4" w:rsidRPr="00F73C2D" w:rsidRDefault="00EA27A4" w:rsidP="00EA27A4">
      <w:pPr>
        <w:rPr>
          <w:rFonts w:eastAsia="Calibri"/>
        </w:rPr>
      </w:pPr>
      <w:r w:rsidRPr="00F73C2D">
        <w:rPr>
          <w:rFonts w:eastAsia="Calibri"/>
        </w:rPr>
        <w:t xml:space="preserve">In determining a zone the Director of Human Biosecurity may determine requirements for </w:t>
      </w:r>
      <w:r w:rsidR="000A1691">
        <w:rPr>
          <w:rFonts w:eastAsia="Calibri"/>
        </w:rPr>
        <w:t>individuals</w:t>
      </w:r>
      <w:r w:rsidRPr="00F73C2D">
        <w:rPr>
          <w:rFonts w:eastAsia="Calibri"/>
        </w:rPr>
        <w:t xml:space="preserve"> entering </w:t>
      </w:r>
      <w:r w:rsidR="000A1691">
        <w:rPr>
          <w:rFonts w:eastAsia="Calibri"/>
        </w:rPr>
        <w:t xml:space="preserve">or leaving </w:t>
      </w:r>
      <w:r w:rsidRPr="00F73C2D">
        <w:rPr>
          <w:rFonts w:eastAsia="Calibri"/>
        </w:rPr>
        <w:t>the zone.</w:t>
      </w:r>
      <w:r w:rsidR="00F24F97">
        <w:rPr>
          <w:rFonts w:eastAsia="Calibri"/>
        </w:rPr>
        <w:t xml:space="preserve"> </w:t>
      </w:r>
    </w:p>
    <w:p w14:paraId="1F7C0A8A" w14:textId="77777777" w:rsidR="00117032" w:rsidRPr="00F73C2D" w:rsidRDefault="00117032" w:rsidP="007B459F">
      <w:pPr>
        <w:rPr>
          <w:rFonts w:eastAsia="Calibri"/>
        </w:rPr>
      </w:pPr>
    </w:p>
    <w:p w14:paraId="74AD0DB9" w14:textId="77777777" w:rsidR="0018323A" w:rsidRPr="00F73C2D" w:rsidRDefault="00117032" w:rsidP="007B459F">
      <w:r w:rsidRPr="00F73C2D">
        <w:rPr>
          <w:rFonts w:eastAsia="Calibri"/>
        </w:rPr>
        <w:t xml:space="preserve">The purpose of the </w:t>
      </w:r>
      <w:r w:rsidRPr="00F73C2D">
        <w:rPr>
          <w:i/>
        </w:rPr>
        <w:t>Biosecurity (Human Health Response Zone) (</w:t>
      </w:r>
      <w:proofErr w:type="spellStart"/>
      <w:r w:rsidR="00E20283" w:rsidRPr="00E20283">
        <w:rPr>
          <w:i/>
        </w:rPr>
        <w:t>Swissotel</w:t>
      </w:r>
      <w:proofErr w:type="spellEnd"/>
      <w:r w:rsidR="00E20283" w:rsidRPr="00E20283">
        <w:rPr>
          <w:i/>
        </w:rPr>
        <w:t xml:space="preserve"> Sydney</w:t>
      </w:r>
      <w:r w:rsidRPr="00F73C2D">
        <w:rPr>
          <w:i/>
        </w:rPr>
        <w:t>) Determination 2020</w:t>
      </w:r>
      <w:r w:rsidRPr="00F73C2D">
        <w:t xml:space="preserve"> (the </w:t>
      </w:r>
      <w:r w:rsidRPr="00F27EBC">
        <w:rPr>
          <w:b/>
        </w:rPr>
        <w:t>Determination</w:t>
      </w:r>
      <w:r w:rsidRPr="00F73C2D">
        <w:t xml:space="preserve">) is to determine the </w:t>
      </w:r>
      <w:proofErr w:type="spellStart"/>
      <w:r w:rsidR="001F7B3C">
        <w:t>Swissotel</w:t>
      </w:r>
      <w:proofErr w:type="spellEnd"/>
      <w:r w:rsidR="001F7B3C">
        <w:t xml:space="preserve">, 68 Market Street, </w:t>
      </w:r>
      <w:r w:rsidR="00E20283" w:rsidRPr="00E20283">
        <w:t>Sydney</w:t>
      </w:r>
      <w:r w:rsidR="00F54B4D" w:rsidRPr="00F73C2D">
        <w:t>,</w:t>
      </w:r>
      <w:r w:rsidR="00027A95" w:rsidRPr="00F73C2D">
        <w:t xml:space="preserve"> in the</w:t>
      </w:r>
      <w:r w:rsidR="00F54B4D" w:rsidRPr="00F73C2D">
        <w:t xml:space="preserve"> </w:t>
      </w:r>
      <w:r w:rsidR="00E20283">
        <w:t xml:space="preserve">State of New South Wales </w:t>
      </w:r>
      <w:r w:rsidRPr="00F73C2D">
        <w:t>as a zone</w:t>
      </w:r>
      <w:r w:rsidR="001B141F" w:rsidRPr="00F73C2D">
        <w:t>,</w:t>
      </w:r>
      <w:r w:rsidR="000A1691">
        <w:t xml:space="preserve"> and determine requirements for individuals who are entering or leaving </w:t>
      </w:r>
      <w:r w:rsidRPr="00F73C2D">
        <w:t xml:space="preserve">the zone. </w:t>
      </w:r>
      <w:r w:rsidR="00F24F97">
        <w:t xml:space="preserve"> The Determination </w:t>
      </w:r>
      <w:r w:rsidR="00F24F97">
        <w:rPr>
          <w:lang w:val="en-US"/>
        </w:rPr>
        <w:t>is necessary to prevent or reduce</w:t>
      </w:r>
      <w:r w:rsidR="00F24F97" w:rsidRPr="00F24F97">
        <w:rPr>
          <w:lang w:val="en-US"/>
        </w:rPr>
        <w:t xml:space="preserve"> the risk </w:t>
      </w:r>
      <w:r w:rsidR="00F24F97">
        <w:rPr>
          <w:lang w:val="en-US"/>
        </w:rPr>
        <w:t>of</w:t>
      </w:r>
      <w:r w:rsidR="00F24F97" w:rsidRPr="00F24F97">
        <w:rPr>
          <w:lang w:val="en-US"/>
        </w:rPr>
        <w:t xml:space="preserve"> </w:t>
      </w:r>
      <w:r w:rsidR="00F24F97">
        <w:rPr>
          <w:lang w:val="en-US"/>
        </w:rPr>
        <w:t>COVID-19 further</w:t>
      </w:r>
      <w:r w:rsidR="00F24F97" w:rsidRPr="00F24F97">
        <w:rPr>
          <w:lang w:val="en-US"/>
        </w:rPr>
        <w:t xml:space="preserve"> establishing itself or spreading in Australian territory</w:t>
      </w:r>
      <w:r w:rsidR="00F24F97">
        <w:rPr>
          <w:lang w:val="en-US"/>
        </w:rPr>
        <w:t>.</w:t>
      </w:r>
    </w:p>
    <w:p w14:paraId="2DF457E3" w14:textId="77777777" w:rsidR="0018323A" w:rsidRDefault="0018323A" w:rsidP="007B459F"/>
    <w:p w14:paraId="11DC65AD" w14:textId="77777777" w:rsidR="00EA27A4" w:rsidRDefault="00EA27A4" w:rsidP="00EA27A4">
      <w:r>
        <w:t xml:space="preserve">As required by subsections 113(3) and (4) of the Act, the Director of Human Biosecurity is satisfied that the determination of the zone, and the </w:t>
      </w:r>
      <w:r w:rsidR="000A1691">
        <w:t>requirements for individuals who are entering or leaving the zone,</w:t>
      </w:r>
      <w:r>
        <w:t xml:space="preserve"> are both necessary, and appropriate </w:t>
      </w:r>
      <w:proofErr w:type="gramStart"/>
      <w:r>
        <w:t>and</w:t>
      </w:r>
      <w:proofErr w:type="gramEnd"/>
      <w:r>
        <w:t xml:space="preserve"> adapted, to prevent or reduce the risk of the listed human disease ‘human coronavirus with pandemic potential’</w:t>
      </w:r>
      <w:r w:rsidR="009F01A5">
        <w:t xml:space="preserve"> (</w:t>
      </w:r>
      <w:r w:rsidR="009F01A5" w:rsidRPr="009F01A5">
        <w:rPr>
          <w:b/>
        </w:rPr>
        <w:t>COVID-19</w:t>
      </w:r>
      <w:r w:rsidR="009F01A5">
        <w:t xml:space="preserve">) </w:t>
      </w:r>
      <w:r>
        <w:t>emerging, establishing itself or spreading</w:t>
      </w:r>
      <w:r w:rsidR="000A1691">
        <w:t xml:space="preserve"> in </w:t>
      </w:r>
      <w:r>
        <w:t>Australian territory.</w:t>
      </w:r>
    </w:p>
    <w:p w14:paraId="4F3558E4" w14:textId="77777777" w:rsidR="004017E4" w:rsidRDefault="004017E4" w:rsidP="00EA27A4">
      <w:pPr>
        <w:rPr>
          <w:b/>
        </w:rPr>
      </w:pPr>
    </w:p>
    <w:p w14:paraId="4CA001C3" w14:textId="77777777" w:rsidR="004017E4" w:rsidRPr="000C69B8" w:rsidRDefault="004017E4" w:rsidP="004017E4">
      <w:pPr>
        <w:pStyle w:val="NoSpacing"/>
        <w:rPr>
          <w:szCs w:val="24"/>
          <w:lang w:val="en-US"/>
        </w:rPr>
      </w:pPr>
      <w:r w:rsidRPr="000C69B8">
        <w:rPr>
          <w:szCs w:val="24"/>
          <w:lang w:val="en-US"/>
        </w:rPr>
        <w:t xml:space="preserve">On 5 January 2020, the World Health Organization (WHO) notified Member States under the </w:t>
      </w:r>
      <w:r w:rsidRPr="000C69B8">
        <w:rPr>
          <w:i/>
          <w:iCs/>
          <w:szCs w:val="24"/>
          <w:lang w:val="en-US"/>
        </w:rPr>
        <w:t xml:space="preserve">International Health Regulations (2005) </w:t>
      </w:r>
      <w:r w:rsidRPr="000C69B8">
        <w:rPr>
          <w:szCs w:val="24"/>
          <w:lang w:val="en-US"/>
        </w:rPr>
        <w:t>(</w:t>
      </w:r>
      <w:r w:rsidRPr="000C69B8">
        <w:rPr>
          <w:bCs/>
          <w:szCs w:val="24"/>
          <w:lang w:val="en-US"/>
        </w:rPr>
        <w:t>IHR</w:t>
      </w:r>
      <w:r w:rsidRPr="000C69B8">
        <w:rPr>
          <w:szCs w:val="24"/>
          <w:lang w:val="en-US"/>
        </w:rPr>
        <w:t xml:space="preserve">) of an outbreak of pneumonia of unknown cause in Wuhan city, China. The pathogen is a novel (new) coronavirus. On 21 January 2020 ‘Human coronavirus with pandemic potential’ </w:t>
      </w:r>
      <w:r>
        <w:rPr>
          <w:szCs w:val="24"/>
          <w:lang w:val="en-US"/>
        </w:rPr>
        <w:t>became a</w:t>
      </w:r>
      <w:r w:rsidRPr="000C69B8">
        <w:rPr>
          <w:szCs w:val="24"/>
          <w:lang w:val="en-US"/>
        </w:rPr>
        <w:t xml:space="preserve"> ‘listed human disease’ </w:t>
      </w:r>
      <w:r>
        <w:rPr>
          <w:szCs w:val="24"/>
          <w:lang w:val="en-US"/>
        </w:rPr>
        <w:t xml:space="preserve">by legislative instrument made by the Director of Human Biosecurity </w:t>
      </w:r>
      <w:r w:rsidRPr="000C69B8">
        <w:rPr>
          <w:szCs w:val="24"/>
          <w:lang w:val="en-US"/>
        </w:rPr>
        <w:t>under the Act. On 30 January 2020, the outbreak was declared by the WHO International Regulations Emergency Committee to constitute a Public Health Emergency of International Concern.</w:t>
      </w:r>
    </w:p>
    <w:p w14:paraId="31707500" w14:textId="77777777" w:rsidR="004017E4" w:rsidRPr="000C69B8" w:rsidRDefault="004017E4" w:rsidP="004017E4">
      <w:pPr>
        <w:pStyle w:val="NoSpacing"/>
        <w:rPr>
          <w:szCs w:val="24"/>
          <w:lang w:val="en-US"/>
        </w:rPr>
      </w:pPr>
    </w:p>
    <w:p w14:paraId="42454EB3" w14:textId="77777777" w:rsidR="004017E4" w:rsidRPr="000C69B8" w:rsidRDefault="004017E4" w:rsidP="004017E4">
      <w:pPr>
        <w:pStyle w:val="NoSpacing"/>
        <w:rPr>
          <w:szCs w:val="24"/>
          <w:lang w:val="en-US"/>
        </w:rPr>
      </w:pPr>
      <w:r w:rsidRPr="000C69B8">
        <w:rPr>
          <w:szCs w:val="24"/>
          <w:lang w:val="en-US"/>
        </w:rPr>
        <w:t xml:space="preserve">On 11 February 2020, WHO announced that </w:t>
      </w:r>
      <w:r>
        <w:rPr>
          <w:szCs w:val="24"/>
          <w:lang w:val="en-US"/>
        </w:rPr>
        <w:t>t</w:t>
      </w:r>
      <w:r w:rsidRPr="000C69B8">
        <w:rPr>
          <w:szCs w:val="24"/>
          <w:lang w:val="en-US"/>
        </w:rPr>
        <w:t>he International Committee on Taxonomy of Viruses named the pathogen virus ‘severe acute respiratory syndrome coronavirus (SARS-CoV-2)</w:t>
      </w:r>
      <w:proofErr w:type="gramStart"/>
      <w:r w:rsidR="009F01A5">
        <w:rPr>
          <w:szCs w:val="24"/>
          <w:lang w:val="en-US"/>
        </w:rPr>
        <w:t>.</w:t>
      </w:r>
      <w:proofErr w:type="gramEnd"/>
      <w:r w:rsidR="009F01A5">
        <w:rPr>
          <w:szCs w:val="24"/>
          <w:lang w:val="en-US"/>
        </w:rPr>
        <w:t>’</w:t>
      </w:r>
      <w:r w:rsidRPr="000C69B8">
        <w:rPr>
          <w:szCs w:val="24"/>
          <w:lang w:val="en-US"/>
        </w:rPr>
        <w:t xml:space="preserve"> It is </w:t>
      </w:r>
      <w:r w:rsidRPr="000C69B8">
        <w:rPr>
          <w:szCs w:val="24"/>
          <w:lang w:val="en"/>
        </w:rPr>
        <w:t>closely related genetically to the virus that caused the 2003 outbreak of Severe Acute Respiratory Syndrome (SARS). The international name given by WHO to the disease caused by SARS-CoV-2 is Coronavirus disease 2019 (COVID-19).</w:t>
      </w:r>
    </w:p>
    <w:p w14:paraId="77E910BA" w14:textId="77777777" w:rsidR="004017E4" w:rsidRPr="000C69B8" w:rsidRDefault="004017E4" w:rsidP="004017E4">
      <w:pPr>
        <w:pStyle w:val="NoSpacing"/>
        <w:rPr>
          <w:szCs w:val="24"/>
          <w:lang w:val="en-US"/>
        </w:rPr>
      </w:pPr>
    </w:p>
    <w:p w14:paraId="43339865" w14:textId="77777777" w:rsidR="004017E4" w:rsidRDefault="004017E4" w:rsidP="004017E4">
      <w:pPr>
        <w:pStyle w:val="NoSpacing"/>
        <w:rPr>
          <w:szCs w:val="24"/>
        </w:rPr>
      </w:pPr>
      <w:r w:rsidRPr="000C69B8">
        <w:rPr>
          <w:szCs w:val="24"/>
        </w:rPr>
        <w:t xml:space="preserve">On 17 February 2020 the Australian Health Protection Principal Committee (AHPPC) endorsed the Australian Health Sector Emergency Response Plan (Health Sector Emergency Plan). On 27 February 2020, the Prime Minister of Australia announced </w:t>
      </w:r>
      <w:r w:rsidRPr="000C69B8">
        <w:rPr>
          <w:szCs w:val="24"/>
        </w:rPr>
        <w:lastRenderedPageBreak/>
        <w:t xml:space="preserve">the </w:t>
      </w:r>
      <w:r>
        <w:rPr>
          <w:szCs w:val="24"/>
        </w:rPr>
        <w:t xml:space="preserve">Australian Government </w:t>
      </w:r>
      <w:r w:rsidRPr="000C69B8">
        <w:rPr>
          <w:szCs w:val="24"/>
        </w:rPr>
        <w:t xml:space="preserve">had endorsed and activated the Health Sector Emergency Plan. The Prime Minister noted the rate of transmission of the virus outside mainland China, and the indications that the world will soon enter a pandemic phase of the listed human disease. </w:t>
      </w:r>
      <w:r>
        <w:rPr>
          <w:szCs w:val="24"/>
        </w:rPr>
        <w:t xml:space="preserve">On 11 March 2020 WHO declared the outbreak of COVID-19 a pandemic.  </w:t>
      </w:r>
    </w:p>
    <w:p w14:paraId="2D6A3907" w14:textId="77777777" w:rsidR="004B0C7A" w:rsidRDefault="004B0C7A" w:rsidP="004017E4">
      <w:pPr>
        <w:pStyle w:val="NoSpacing"/>
        <w:rPr>
          <w:szCs w:val="24"/>
        </w:rPr>
      </w:pPr>
    </w:p>
    <w:p w14:paraId="5F1A8F51" w14:textId="77777777" w:rsidR="004B0C7A" w:rsidRPr="004B0C7A" w:rsidRDefault="004B0C7A" w:rsidP="004017E4">
      <w:pPr>
        <w:pStyle w:val="NoSpacing"/>
        <w:rPr>
          <w:szCs w:val="24"/>
          <w:lang w:val="en-US"/>
        </w:rPr>
      </w:pPr>
      <w:r w:rsidRPr="000C69B8">
        <w:rPr>
          <w:szCs w:val="24"/>
          <w:lang w:val="en-US"/>
        </w:rPr>
        <w:t>COVID-19 has entered Australia. It</w:t>
      </w:r>
      <w:r w:rsidR="00F24F97">
        <w:rPr>
          <w:szCs w:val="24"/>
          <w:lang w:val="en-US"/>
        </w:rPr>
        <w:t xml:space="preserve"> continues to represent</w:t>
      </w:r>
      <w:r w:rsidRPr="000C69B8">
        <w:rPr>
          <w:szCs w:val="24"/>
          <w:lang w:val="en-US"/>
        </w:rPr>
        <w:t xml:space="preserve"> a severe and immediate threat to human health in Australia as it has the ability to cause high levels of morbidity and mortality and to disrupt Australian community socially and economically. </w:t>
      </w:r>
      <w:r w:rsidR="00F24F97">
        <w:rPr>
          <w:szCs w:val="24"/>
          <w:lang w:val="en-US"/>
        </w:rPr>
        <w:t xml:space="preserve"> </w:t>
      </w:r>
    </w:p>
    <w:p w14:paraId="18F90519" w14:textId="77777777" w:rsidR="004017E4" w:rsidRDefault="004017E4" w:rsidP="008A1383"/>
    <w:p w14:paraId="24454E6D" w14:textId="0F503AB3" w:rsidR="008A1383" w:rsidRPr="00F73C2D" w:rsidRDefault="004B0C7A" w:rsidP="008A1383">
      <w:r>
        <w:t>T</w:t>
      </w:r>
      <w:r w:rsidR="008A1383" w:rsidRPr="00F73C2D">
        <w:t xml:space="preserve">he </w:t>
      </w:r>
      <w:proofErr w:type="spellStart"/>
      <w:r w:rsidR="00E20283" w:rsidRPr="00E20283">
        <w:t>Swissotel</w:t>
      </w:r>
      <w:proofErr w:type="spellEnd"/>
      <w:r w:rsidR="00E20283" w:rsidRPr="00E20283">
        <w:t xml:space="preserve"> Sydney </w:t>
      </w:r>
      <w:r w:rsidR="008A1383" w:rsidRPr="00F73C2D">
        <w:t xml:space="preserve">will </w:t>
      </w:r>
      <w:r w:rsidR="00080537" w:rsidRPr="00F73C2D">
        <w:t xml:space="preserve">temporarily </w:t>
      </w:r>
      <w:r w:rsidR="008A1383" w:rsidRPr="00F73C2D">
        <w:t xml:space="preserve">house individuals </w:t>
      </w:r>
      <w:r w:rsidR="00080537" w:rsidRPr="00F73C2D">
        <w:t xml:space="preserve">who </w:t>
      </w:r>
      <w:r w:rsidR="001F7B3C">
        <w:t xml:space="preserve">are returning to Australia </w:t>
      </w:r>
      <w:r w:rsidR="00C65E53">
        <w:t xml:space="preserve">by aircraft after having been passengers on the </w:t>
      </w:r>
      <w:r w:rsidR="00C65E53" w:rsidRPr="00C65E53">
        <w:t>Norwegian Jewel</w:t>
      </w:r>
      <w:r w:rsidR="001F7B3C">
        <w:t xml:space="preserve"> </w:t>
      </w:r>
      <w:r w:rsidR="00C65E53">
        <w:t>cruise ship</w:t>
      </w:r>
      <w:r w:rsidR="001B285A">
        <w:t xml:space="preserve"> to undertake 14 days of isolation</w:t>
      </w:r>
      <w:r>
        <w:t xml:space="preserve">.  </w:t>
      </w:r>
      <w:r w:rsidR="00080537" w:rsidRPr="00F73C2D">
        <w:t>It is anticipated that</w:t>
      </w:r>
      <w:r w:rsidR="00C65E53">
        <w:t xml:space="preserve"> those individuals will remain in </w:t>
      </w:r>
      <w:r w:rsidR="00C65E53" w:rsidRPr="00F73C2D">
        <w:t xml:space="preserve">isolation </w:t>
      </w:r>
      <w:r w:rsidR="00C65E53">
        <w:t xml:space="preserve">for </w:t>
      </w:r>
      <w:r w:rsidR="00C65E53" w:rsidRPr="00F73C2D">
        <w:t>14 days after their arrival</w:t>
      </w:r>
      <w:r w:rsidR="00C65E53">
        <w:t>.  S</w:t>
      </w:r>
      <w:r w:rsidR="007A024B" w:rsidRPr="00F73C2D">
        <w:t xml:space="preserve">ubject to medical clearances, </w:t>
      </w:r>
      <w:r w:rsidR="00080537" w:rsidRPr="00F73C2D">
        <w:t>it will be appropriate for the</w:t>
      </w:r>
      <w:r w:rsidR="00F54B4D" w:rsidRPr="00F73C2D">
        <w:t xml:space="preserve"> individuals to return to </w:t>
      </w:r>
      <w:r w:rsidR="00080537" w:rsidRPr="00F73C2D">
        <w:t>their homes</w:t>
      </w:r>
      <w:r w:rsidR="00F54B4D" w:rsidRPr="00F73C2D">
        <w:t xml:space="preserve"> in Australia</w:t>
      </w:r>
      <w:r w:rsidR="00C65E53">
        <w:t xml:space="preserve"> after that time</w:t>
      </w:r>
      <w:r w:rsidR="00080537" w:rsidRPr="00F73C2D">
        <w:t>.</w:t>
      </w:r>
      <w:r w:rsidR="00C62805">
        <w:t xml:space="preserve"> It is possible that the zone</w:t>
      </w:r>
      <w:r w:rsidR="00C65E53">
        <w:t xml:space="preserve"> </w:t>
      </w:r>
      <w:r w:rsidR="00C62805">
        <w:t xml:space="preserve">may also temporarily house other individuals </w:t>
      </w:r>
      <w:r w:rsidR="00C65E53">
        <w:t xml:space="preserve">returning </w:t>
      </w:r>
      <w:r w:rsidR="00C62805">
        <w:t>to Australia</w:t>
      </w:r>
      <w:r w:rsidR="00C65E53">
        <w:t xml:space="preserve"> on an aircraft</w:t>
      </w:r>
      <w:r w:rsidRPr="004B0C7A">
        <w:t xml:space="preserve"> </w:t>
      </w:r>
      <w:r>
        <w:t>due to COVID-19</w:t>
      </w:r>
      <w:r w:rsidR="00C65E53">
        <w:t xml:space="preserve">, if considered necessary and </w:t>
      </w:r>
      <w:r>
        <w:t>appropriate.</w:t>
      </w:r>
      <w:r w:rsidR="00C65E53">
        <w:t xml:space="preserve"> </w:t>
      </w:r>
    </w:p>
    <w:p w14:paraId="11DE63DF" w14:textId="77777777" w:rsidR="00A9519F" w:rsidRPr="00F73C2D" w:rsidRDefault="00A9519F" w:rsidP="008A1383"/>
    <w:p w14:paraId="1BAA254D" w14:textId="13E89A74" w:rsidR="000D33EE" w:rsidRPr="000D33EE" w:rsidRDefault="001B285A" w:rsidP="000D33EE">
      <w:r>
        <w:t>I</w:t>
      </w:r>
      <w:r w:rsidR="000D33EE" w:rsidRPr="000D33EE">
        <w:t xml:space="preserve">n accordance with subsection 113(5) of the Act, the Determination does not specify as a requirement a biosecurity measure described in Subdivision </w:t>
      </w:r>
      <w:r w:rsidR="000A1691">
        <w:t xml:space="preserve">B, Division 3, Part 3, </w:t>
      </w:r>
      <w:proofErr w:type="gramStart"/>
      <w:r w:rsidR="000D33EE">
        <w:t>Chapter</w:t>
      </w:r>
      <w:proofErr w:type="gramEnd"/>
      <w:r w:rsidR="000D33EE">
        <w:t xml:space="preserve"> </w:t>
      </w:r>
      <w:r w:rsidR="000D33EE" w:rsidRPr="000D33EE">
        <w:t>2</w:t>
      </w:r>
      <w:r w:rsidR="000D33EE">
        <w:t xml:space="preserve"> of the Act (</w:t>
      </w:r>
      <w:r w:rsidR="000D33EE" w:rsidRPr="00F27EBC">
        <w:rPr>
          <w:b/>
        </w:rPr>
        <w:t>Detention</w:t>
      </w:r>
      <w:r w:rsidR="000D33EE">
        <w:t xml:space="preserve">). </w:t>
      </w:r>
      <w:r w:rsidR="000D33EE" w:rsidRPr="000D33EE">
        <w:t>In accordance with the Act, and clinical guidance, consideration will be given to human biosecurity control orders, such as isolation measure</w:t>
      </w:r>
      <w:r w:rsidR="000D33EE">
        <w:t>s</w:t>
      </w:r>
      <w:r w:rsidR="000D33EE" w:rsidRPr="000D33EE">
        <w:t>, if necessary and appropriate.</w:t>
      </w:r>
    </w:p>
    <w:p w14:paraId="6965B2CB" w14:textId="77777777" w:rsidR="00EF7695" w:rsidRDefault="00EF7695" w:rsidP="00D44B54">
      <w:pPr>
        <w:rPr>
          <w:lang w:val="en-US"/>
        </w:rPr>
      </w:pPr>
    </w:p>
    <w:p w14:paraId="7D88FBF2" w14:textId="77777777" w:rsidR="00EA27A4" w:rsidRDefault="00EA27A4" w:rsidP="00EA27A4">
      <w:r>
        <w:t>The Determination is in force for</w:t>
      </w:r>
      <w:r w:rsidR="00E20283">
        <w:t xml:space="preserve"> 3 months</w:t>
      </w:r>
      <w:r>
        <w:t xml:space="preserve"> beginning on the day </w:t>
      </w:r>
      <w:r w:rsidR="003C446A">
        <w:t xml:space="preserve">it </w:t>
      </w:r>
      <w:r w:rsidR="00E20283">
        <w:t>is registered.</w:t>
      </w:r>
    </w:p>
    <w:p w14:paraId="0B3669D4" w14:textId="77777777" w:rsidR="00EA27A4" w:rsidRDefault="00EA27A4" w:rsidP="00EA27A4"/>
    <w:p w14:paraId="4186A7AF" w14:textId="77777777" w:rsidR="00EA27A4" w:rsidRDefault="00EA27A4" w:rsidP="00EA27A4">
      <w:r>
        <w:t xml:space="preserve">A person </w:t>
      </w:r>
      <w:r w:rsidR="000620F5">
        <w:t xml:space="preserve">to </w:t>
      </w:r>
      <w:r>
        <w:t>whom a requirement applies under the Determination must comply with t</w:t>
      </w:r>
      <w:r w:rsidR="000A1691">
        <w:t xml:space="preserve">he requirement: civil penalty, </w:t>
      </w:r>
      <w:r>
        <w:t xml:space="preserve">30 penalty </w:t>
      </w:r>
      <w:r w:rsidR="000A1691">
        <w:t xml:space="preserve">units, </w:t>
      </w:r>
      <w:proofErr w:type="gramStart"/>
      <w:r w:rsidR="000A1691">
        <w:t>section</w:t>
      </w:r>
      <w:proofErr w:type="gramEnd"/>
      <w:r w:rsidR="000A1691">
        <w:t xml:space="preserve"> 116 of the Act.</w:t>
      </w:r>
    </w:p>
    <w:p w14:paraId="65DBAADB" w14:textId="77777777" w:rsidR="00E26068" w:rsidRDefault="00E26068" w:rsidP="006F5071">
      <w:pPr>
        <w:rPr>
          <w:rFonts w:eastAsia="Calibri"/>
          <w:b/>
        </w:rPr>
      </w:pPr>
    </w:p>
    <w:p w14:paraId="37367BEF" w14:textId="77777777" w:rsidR="007B459F" w:rsidRPr="00BA1C7B" w:rsidRDefault="007B459F" w:rsidP="00BA1C7B">
      <w:pPr>
        <w:rPr>
          <w:lang w:val="en-US"/>
        </w:rPr>
      </w:pPr>
      <w:r w:rsidRPr="00460CBE">
        <w:rPr>
          <w:rFonts w:eastAsia="Calibri"/>
          <w:b/>
        </w:rPr>
        <w:t>Consultation</w:t>
      </w:r>
    </w:p>
    <w:p w14:paraId="403D5AA3" w14:textId="77777777" w:rsidR="00CD5946" w:rsidRDefault="00EF7695" w:rsidP="007B459F">
      <w:pPr>
        <w:pStyle w:val="BodyText1"/>
        <w:rPr>
          <w:rFonts w:eastAsia="Calibri"/>
        </w:rPr>
      </w:pPr>
      <w:r>
        <w:rPr>
          <w:rFonts w:eastAsia="Calibri"/>
        </w:rPr>
        <w:t>In accordance with s</w:t>
      </w:r>
      <w:r w:rsidR="00790545">
        <w:rPr>
          <w:rFonts w:eastAsia="Calibri"/>
        </w:rPr>
        <w:t>ection 114 of the Act</w:t>
      </w:r>
      <w:r w:rsidR="003F173E">
        <w:rPr>
          <w:rFonts w:eastAsia="Calibri"/>
        </w:rPr>
        <w:t>, before making the determination</w:t>
      </w:r>
      <w:r w:rsidR="00790545">
        <w:rPr>
          <w:rFonts w:eastAsia="Calibri"/>
        </w:rPr>
        <w:t xml:space="preserve"> the Director of Human Biosecurity </w:t>
      </w:r>
      <w:r>
        <w:rPr>
          <w:rFonts w:eastAsia="Calibri"/>
        </w:rPr>
        <w:t>consulted</w:t>
      </w:r>
      <w:r w:rsidR="00790545">
        <w:rPr>
          <w:rFonts w:eastAsia="Calibri"/>
        </w:rPr>
        <w:t xml:space="preserve"> with the </w:t>
      </w:r>
      <w:r w:rsidR="00CD5946">
        <w:rPr>
          <w:rFonts w:eastAsia="Calibri"/>
        </w:rPr>
        <w:t>Chief Health Officer</w:t>
      </w:r>
      <w:r w:rsidR="00790545">
        <w:rPr>
          <w:rFonts w:eastAsia="Calibri"/>
        </w:rPr>
        <w:t xml:space="preserve"> </w:t>
      </w:r>
      <w:r>
        <w:rPr>
          <w:rFonts w:eastAsia="Calibri"/>
        </w:rPr>
        <w:t>for</w:t>
      </w:r>
      <w:r w:rsidR="00F54B4D">
        <w:rPr>
          <w:rFonts w:eastAsia="Calibri"/>
        </w:rPr>
        <w:t xml:space="preserve"> the</w:t>
      </w:r>
      <w:r w:rsidR="00CE55C8">
        <w:rPr>
          <w:rFonts w:eastAsia="Calibri"/>
        </w:rPr>
        <w:t xml:space="preserve"> State of New South Wales</w:t>
      </w:r>
      <w:r>
        <w:rPr>
          <w:rFonts w:eastAsia="Calibri"/>
        </w:rPr>
        <w:t xml:space="preserve"> and </w:t>
      </w:r>
      <w:r w:rsidR="00790545">
        <w:rPr>
          <w:rFonts w:eastAsia="Calibri"/>
        </w:rPr>
        <w:t xml:space="preserve">the Director of Biosecurity. </w:t>
      </w:r>
    </w:p>
    <w:p w14:paraId="0CCAFEC0" w14:textId="77777777" w:rsidR="003D3E3D" w:rsidRPr="00223B9D" w:rsidRDefault="003D3E3D" w:rsidP="007B459F">
      <w:pPr>
        <w:pStyle w:val="BodyText1"/>
      </w:pPr>
      <w:r w:rsidRPr="00223B9D">
        <w:t xml:space="preserve">The </w:t>
      </w:r>
      <w:r w:rsidR="00ED2491">
        <w:t>Determination</w:t>
      </w:r>
      <w:r w:rsidRPr="00223B9D">
        <w:t xml:space="preserve"> commences </w:t>
      </w:r>
      <w:r w:rsidR="009412C9">
        <w:t xml:space="preserve">immediately </w:t>
      </w:r>
      <w:r w:rsidRPr="00223B9D">
        <w:t xml:space="preserve">after it is registered on the Federal Register of Legislation. </w:t>
      </w:r>
      <w:r w:rsidR="00AE6EA2">
        <w:t>In addition, and a</w:t>
      </w:r>
      <w:r w:rsidR="00BA1C7B">
        <w:t>s required by subsection 115 of the Act, the Director of Human Biosecurity will ensure that the determination is made public by publication on the Department of Health website</w:t>
      </w:r>
      <w:r w:rsidR="00346498">
        <w:t>.</w:t>
      </w:r>
    </w:p>
    <w:p w14:paraId="629BD5ED" w14:textId="77777777" w:rsidR="00FC7EF9" w:rsidRPr="00223B9D" w:rsidRDefault="00ED2491" w:rsidP="007B459F">
      <w:pPr>
        <w:pStyle w:val="BodyText1"/>
      </w:pPr>
      <w:r w:rsidRPr="00223B9D">
        <w:t xml:space="preserve">The </w:t>
      </w:r>
      <w:r>
        <w:t>Determination</w:t>
      </w:r>
      <w:r w:rsidRPr="00223B9D">
        <w:t xml:space="preserve"> </w:t>
      </w:r>
      <w:r w:rsidR="007B459F" w:rsidRPr="00223B9D">
        <w:t xml:space="preserve">is a </w:t>
      </w:r>
      <w:r w:rsidR="00FC7EF9" w:rsidRPr="00223B9D">
        <w:t xml:space="preserve">legislative instrument for the purposes of the </w:t>
      </w:r>
      <w:r w:rsidR="00FC7EF9" w:rsidRPr="00223B9D">
        <w:rPr>
          <w:i/>
        </w:rPr>
        <w:t>Legislative Instruments Act 2003</w:t>
      </w:r>
      <w:r w:rsidR="00196E8A">
        <w:t xml:space="preserve">, but </w:t>
      </w:r>
      <w:r w:rsidR="007B459F" w:rsidRPr="00223B9D">
        <w:t xml:space="preserve">section 42 (disallowance) of the </w:t>
      </w:r>
      <w:r w:rsidR="007B459F" w:rsidRPr="00223B9D">
        <w:rPr>
          <w:i/>
        </w:rPr>
        <w:t>Legislation Act 2003</w:t>
      </w:r>
      <w:r w:rsidR="00196E8A">
        <w:t xml:space="preserve"> does not apply to the determination.</w:t>
      </w:r>
    </w:p>
    <w:p w14:paraId="0F6ADE8F" w14:textId="77777777" w:rsidR="00FC7EF9" w:rsidRPr="00FD1682" w:rsidRDefault="007B459F" w:rsidP="00FD1682">
      <w:pPr>
        <w:shd w:val="clear" w:color="auto" w:fill="FFFFFF"/>
        <w:spacing w:before="180" w:after="180"/>
        <w:rPr>
          <w:rFonts w:ascii="Helvetica Neue" w:hAnsi="Helvetica Neue"/>
          <w:sz w:val="22"/>
          <w:szCs w:val="22"/>
          <w:lang w:val="en-US"/>
        </w:rPr>
      </w:pPr>
      <w:r w:rsidRPr="00223B9D">
        <w:t xml:space="preserve">A provision by provision description of </w:t>
      </w:r>
      <w:r w:rsidR="00ED2491">
        <w:t>t</w:t>
      </w:r>
      <w:r w:rsidR="00ED2491" w:rsidRPr="00223B9D">
        <w:t xml:space="preserve">he </w:t>
      </w:r>
      <w:r w:rsidR="00ED2491">
        <w:t>Determination</w:t>
      </w:r>
      <w:r w:rsidR="00ED2491" w:rsidRPr="00223B9D">
        <w:t xml:space="preserve"> </w:t>
      </w:r>
      <w:r w:rsidRPr="00223B9D">
        <w:t>is contained in the Attachment.</w:t>
      </w:r>
      <w:r w:rsidRPr="009078BC">
        <w:rPr>
          <w:sz w:val="22"/>
          <w:szCs w:val="22"/>
        </w:rPr>
        <w:t xml:space="preserve">  </w:t>
      </w:r>
    </w:p>
    <w:p w14:paraId="11E8D849" w14:textId="77777777" w:rsidR="00BB171B" w:rsidRPr="005F78C9" w:rsidRDefault="007B459F" w:rsidP="00FD1682">
      <w:pPr>
        <w:jc w:val="right"/>
        <w:rPr>
          <w:i/>
        </w:rPr>
      </w:pPr>
      <w:r>
        <w:rPr>
          <w:b/>
        </w:rPr>
        <w:br w:type="page"/>
      </w:r>
      <w:r w:rsidR="007757EA" w:rsidRPr="005F78C9">
        <w:rPr>
          <w:b/>
        </w:rPr>
        <w:lastRenderedPageBreak/>
        <w:t>ATTACHMENT</w:t>
      </w:r>
    </w:p>
    <w:p w14:paraId="2CBE352C" w14:textId="77777777" w:rsidR="007757EA" w:rsidRPr="005F78C9" w:rsidRDefault="007757EA" w:rsidP="007757EA">
      <w:pPr>
        <w:jc w:val="right"/>
        <w:rPr>
          <w:b/>
        </w:rPr>
      </w:pPr>
    </w:p>
    <w:p w14:paraId="180AABDC" w14:textId="77777777" w:rsidR="007757EA" w:rsidRPr="00931D6B" w:rsidRDefault="00413730" w:rsidP="007757EA">
      <w:pPr>
        <w:rPr>
          <w:b/>
          <w:i/>
          <w:noProof/>
        </w:rPr>
      </w:pPr>
      <w:r w:rsidRPr="00931D6B">
        <w:rPr>
          <w:b/>
          <w:i/>
          <w:noProof/>
        </w:rPr>
        <w:t xml:space="preserve">Biosecurity (Human Health Response </w:t>
      </w:r>
      <w:r w:rsidRPr="009412C9">
        <w:rPr>
          <w:b/>
          <w:i/>
          <w:noProof/>
        </w:rPr>
        <w:t>Zone) (</w:t>
      </w:r>
      <w:proofErr w:type="spellStart"/>
      <w:r w:rsidR="009412C9" w:rsidRPr="009412C9">
        <w:rPr>
          <w:b/>
          <w:i/>
        </w:rPr>
        <w:t>Swissotel</w:t>
      </w:r>
      <w:proofErr w:type="spellEnd"/>
      <w:r w:rsidR="009412C9" w:rsidRPr="009412C9">
        <w:rPr>
          <w:b/>
          <w:i/>
        </w:rPr>
        <w:t xml:space="preserve"> Sydney</w:t>
      </w:r>
      <w:r w:rsidRPr="009412C9">
        <w:rPr>
          <w:b/>
          <w:i/>
          <w:noProof/>
        </w:rPr>
        <w:t>)</w:t>
      </w:r>
      <w:r w:rsidRPr="00931D6B">
        <w:rPr>
          <w:b/>
          <w:i/>
          <w:noProof/>
        </w:rPr>
        <w:t xml:space="preserve"> Determination </w:t>
      </w:r>
      <w:r w:rsidR="00BA1C7B" w:rsidRPr="00931D6B">
        <w:rPr>
          <w:b/>
          <w:i/>
          <w:noProof/>
        </w:rPr>
        <w:t>2020</w:t>
      </w:r>
    </w:p>
    <w:p w14:paraId="6C6FC659" w14:textId="77777777" w:rsidR="00413730" w:rsidRPr="00714981" w:rsidRDefault="00413730" w:rsidP="007757EA">
      <w:pPr>
        <w:rPr>
          <w:b/>
          <w:u w:val="single"/>
        </w:rPr>
      </w:pPr>
    </w:p>
    <w:p w14:paraId="171943B7" w14:textId="77777777" w:rsidR="007757EA" w:rsidRPr="00714981" w:rsidRDefault="004F26E8" w:rsidP="00A9134B">
      <w:pPr>
        <w:numPr>
          <w:ilvl w:val="0"/>
          <w:numId w:val="2"/>
        </w:numPr>
        <w:tabs>
          <w:tab w:val="clear" w:pos="1080"/>
        </w:tabs>
        <w:ind w:left="0" w:firstLine="0"/>
        <w:rPr>
          <w:b/>
        </w:rPr>
      </w:pPr>
      <w:r w:rsidRPr="00714981">
        <w:rPr>
          <w:b/>
        </w:rPr>
        <w:t xml:space="preserve">Name </w:t>
      </w:r>
    </w:p>
    <w:p w14:paraId="3F476EDD" w14:textId="77777777" w:rsidR="005428D5" w:rsidRPr="00714981" w:rsidRDefault="00142BE0" w:rsidP="005428D5">
      <w:r w:rsidRPr="00714981">
        <w:t>Section</w:t>
      </w:r>
      <w:r w:rsidR="00A9134B" w:rsidRPr="00714981">
        <w:t xml:space="preserve"> 1 </w:t>
      </w:r>
      <w:r w:rsidR="005F78C9" w:rsidRPr="00714981">
        <w:t xml:space="preserve">provides for the </w:t>
      </w:r>
      <w:r w:rsidR="005428D5" w:rsidRPr="00714981">
        <w:t xml:space="preserve">instrument to be referred to as the </w:t>
      </w:r>
      <w:r w:rsidR="00F12837" w:rsidRPr="00714981">
        <w:rPr>
          <w:i/>
        </w:rPr>
        <w:t>B</w:t>
      </w:r>
      <w:r w:rsidR="00F12837" w:rsidRPr="00714981">
        <w:rPr>
          <w:i/>
          <w:noProof/>
        </w:rPr>
        <w:t>iosecurity (Human Health Response Zone) (</w:t>
      </w:r>
      <w:proofErr w:type="spellStart"/>
      <w:r w:rsidR="009412C9" w:rsidRPr="00E20283">
        <w:rPr>
          <w:i/>
        </w:rPr>
        <w:t>Swissotel</w:t>
      </w:r>
      <w:proofErr w:type="spellEnd"/>
      <w:r w:rsidR="009412C9" w:rsidRPr="00E20283">
        <w:rPr>
          <w:i/>
        </w:rPr>
        <w:t xml:space="preserve"> Sydney</w:t>
      </w:r>
      <w:r w:rsidR="00F12837" w:rsidRPr="00714981">
        <w:rPr>
          <w:i/>
          <w:noProof/>
        </w:rPr>
        <w:t>) Determination</w:t>
      </w:r>
      <w:r w:rsidR="0090707A" w:rsidRPr="00714981">
        <w:rPr>
          <w:i/>
          <w:noProof/>
        </w:rPr>
        <w:t xml:space="preserve"> 2020</w:t>
      </w:r>
      <w:r w:rsidR="005428D5" w:rsidRPr="00714981">
        <w:t xml:space="preserve">. </w:t>
      </w:r>
    </w:p>
    <w:p w14:paraId="3274F4A5" w14:textId="77777777" w:rsidR="007757EA" w:rsidRPr="00714981" w:rsidRDefault="007757EA" w:rsidP="007757EA">
      <w:pPr>
        <w:rPr>
          <w:b/>
        </w:rPr>
      </w:pPr>
    </w:p>
    <w:p w14:paraId="4BDA280C" w14:textId="77777777" w:rsidR="007757EA" w:rsidRPr="00714981" w:rsidRDefault="007757EA" w:rsidP="00A9134B">
      <w:pPr>
        <w:numPr>
          <w:ilvl w:val="0"/>
          <w:numId w:val="2"/>
        </w:numPr>
        <w:tabs>
          <w:tab w:val="clear" w:pos="1080"/>
        </w:tabs>
        <w:ind w:left="0" w:firstLine="0"/>
        <w:rPr>
          <w:b/>
        </w:rPr>
      </w:pPr>
      <w:r w:rsidRPr="00714981">
        <w:rPr>
          <w:b/>
        </w:rPr>
        <w:t>Commencement</w:t>
      </w:r>
    </w:p>
    <w:p w14:paraId="0B3F207D" w14:textId="77777777" w:rsidR="007757EA" w:rsidRPr="00714981" w:rsidRDefault="00142BE0" w:rsidP="00A9134B">
      <w:r w:rsidRPr="00714981">
        <w:t xml:space="preserve">Section </w:t>
      </w:r>
      <w:r w:rsidR="00A9134B" w:rsidRPr="00714981">
        <w:t xml:space="preserve">2 </w:t>
      </w:r>
      <w:r w:rsidR="005F78C9" w:rsidRPr="00714981">
        <w:t xml:space="preserve">provides that the </w:t>
      </w:r>
      <w:r w:rsidR="00532BFB" w:rsidRPr="00714981">
        <w:t xml:space="preserve">instrument </w:t>
      </w:r>
      <w:r w:rsidR="005F78C9" w:rsidRPr="00714981">
        <w:t>commence</w:t>
      </w:r>
      <w:r w:rsidR="00532BFB" w:rsidRPr="00714981">
        <w:t xml:space="preserve">s </w:t>
      </w:r>
      <w:r w:rsidR="009412C9">
        <w:t xml:space="preserve">immediately after </w:t>
      </w:r>
      <w:r w:rsidR="003440DA" w:rsidRPr="00714981">
        <w:t xml:space="preserve">it is registered. </w:t>
      </w:r>
    </w:p>
    <w:p w14:paraId="0FCE23DE" w14:textId="77777777" w:rsidR="007757EA" w:rsidRPr="00714981" w:rsidRDefault="007757EA" w:rsidP="00A9134B">
      <w:pPr>
        <w:rPr>
          <w:b/>
        </w:rPr>
      </w:pPr>
    </w:p>
    <w:p w14:paraId="7242C7EC" w14:textId="77777777" w:rsidR="007757EA" w:rsidRPr="00714981" w:rsidRDefault="00930E9B" w:rsidP="00A9134B">
      <w:pPr>
        <w:numPr>
          <w:ilvl w:val="0"/>
          <w:numId w:val="2"/>
        </w:numPr>
        <w:tabs>
          <w:tab w:val="clear" w:pos="1080"/>
        </w:tabs>
        <w:ind w:left="0" w:firstLine="0"/>
        <w:rPr>
          <w:b/>
          <w:i/>
        </w:rPr>
      </w:pPr>
      <w:r w:rsidRPr="00714981">
        <w:rPr>
          <w:b/>
        </w:rPr>
        <w:t>Authority</w:t>
      </w:r>
    </w:p>
    <w:p w14:paraId="06FCA57E" w14:textId="77777777" w:rsidR="00A9134B" w:rsidRPr="00714981" w:rsidRDefault="00142BE0" w:rsidP="00A9134B">
      <w:r w:rsidRPr="00714981">
        <w:t xml:space="preserve">Section </w:t>
      </w:r>
      <w:r w:rsidR="00A9134B" w:rsidRPr="00714981">
        <w:t xml:space="preserve">3 </w:t>
      </w:r>
      <w:r w:rsidR="00930E9B" w:rsidRPr="00714981">
        <w:t xml:space="preserve">provides that the </w:t>
      </w:r>
      <w:r w:rsidR="00C62D04" w:rsidRPr="00714981">
        <w:t>instrument is made under subsection 113(1) of the</w:t>
      </w:r>
      <w:r w:rsidR="00930E9B" w:rsidRPr="00714981">
        <w:t xml:space="preserve"> </w:t>
      </w:r>
      <w:r w:rsidR="00C62D04" w:rsidRPr="00714981">
        <w:rPr>
          <w:i/>
        </w:rPr>
        <w:t>Biosecurity Act 2015</w:t>
      </w:r>
      <w:r w:rsidR="00930E9B" w:rsidRPr="00714981">
        <w:t>.</w:t>
      </w:r>
    </w:p>
    <w:p w14:paraId="256596E3" w14:textId="77777777" w:rsidR="00930E9B" w:rsidRPr="00714981" w:rsidRDefault="00930E9B" w:rsidP="005F78C9"/>
    <w:p w14:paraId="455A3A36" w14:textId="77777777" w:rsidR="00930E9B" w:rsidRPr="00714981" w:rsidRDefault="003D3E3D" w:rsidP="00930E9B">
      <w:pPr>
        <w:numPr>
          <w:ilvl w:val="0"/>
          <w:numId w:val="2"/>
        </w:numPr>
        <w:tabs>
          <w:tab w:val="clear" w:pos="1080"/>
        </w:tabs>
        <w:ind w:left="0" w:firstLine="0"/>
        <w:rPr>
          <w:b/>
          <w:i/>
        </w:rPr>
      </w:pPr>
      <w:r w:rsidRPr="00714981">
        <w:rPr>
          <w:b/>
        </w:rPr>
        <w:t>Human health response zone</w:t>
      </w:r>
    </w:p>
    <w:p w14:paraId="317808DA" w14:textId="77777777" w:rsidR="00D63D93" w:rsidRPr="00714981" w:rsidRDefault="00930E9B" w:rsidP="00DC4A7E">
      <w:r w:rsidRPr="00714981">
        <w:t xml:space="preserve">Section </w:t>
      </w:r>
      <w:r w:rsidR="00DC4A7E" w:rsidRPr="00714981">
        <w:t>4</w:t>
      </w:r>
      <w:r w:rsidRPr="00714981">
        <w:t xml:space="preserve"> </w:t>
      </w:r>
      <w:r w:rsidR="00DC4A7E" w:rsidRPr="00714981">
        <w:t>provides that the</w:t>
      </w:r>
      <w:r w:rsidR="009412C9" w:rsidRPr="009412C9">
        <w:t xml:space="preserve"> </w:t>
      </w:r>
      <w:proofErr w:type="spellStart"/>
      <w:r w:rsidR="009412C9" w:rsidRPr="009412C9">
        <w:t>Swissotel</w:t>
      </w:r>
      <w:proofErr w:type="spellEnd"/>
      <w:r w:rsidR="009412C9" w:rsidRPr="009412C9">
        <w:t>, 68 Market Street, Sydney in New South Wales</w:t>
      </w:r>
      <w:r w:rsidR="00DC4A7E" w:rsidRPr="00714981">
        <w:t xml:space="preserve"> is </w:t>
      </w:r>
      <w:r w:rsidR="009412C9">
        <w:t xml:space="preserve">a </w:t>
      </w:r>
      <w:r w:rsidR="00DC4A7E" w:rsidRPr="00714981">
        <w:t xml:space="preserve">human health response zone. </w:t>
      </w:r>
    </w:p>
    <w:p w14:paraId="64F867DD" w14:textId="77777777" w:rsidR="00930E9B" w:rsidRPr="00714981" w:rsidRDefault="00930E9B" w:rsidP="00930E9B"/>
    <w:p w14:paraId="28B56CDE" w14:textId="77777777" w:rsidR="00930E9B" w:rsidRPr="00714981" w:rsidRDefault="00DC4A7E" w:rsidP="00930E9B">
      <w:pPr>
        <w:numPr>
          <w:ilvl w:val="0"/>
          <w:numId w:val="2"/>
        </w:numPr>
        <w:tabs>
          <w:tab w:val="clear" w:pos="1080"/>
        </w:tabs>
        <w:ind w:left="0" w:firstLine="0"/>
        <w:rPr>
          <w:b/>
          <w:i/>
        </w:rPr>
      </w:pPr>
      <w:r w:rsidRPr="00714981">
        <w:rPr>
          <w:b/>
        </w:rPr>
        <w:t>Listed human disease to which this instrument relates</w:t>
      </w:r>
    </w:p>
    <w:p w14:paraId="531E437C" w14:textId="77777777" w:rsidR="00930E9B" w:rsidRPr="00714981" w:rsidRDefault="00930E9B" w:rsidP="00930E9B">
      <w:r w:rsidRPr="00714981">
        <w:t xml:space="preserve">Section </w:t>
      </w:r>
      <w:r w:rsidR="00DC4A7E" w:rsidRPr="00714981">
        <w:t>5 provi</w:t>
      </w:r>
      <w:r w:rsidR="00585FCB" w:rsidRPr="00714981">
        <w:t>des that this instrument relates</w:t>
      </w:r>
      <w:r w:rsidR="00DC4A7E" w:rsidRPr="00714981">
        <w:t xml:space="preserve"> to human coronavirus with pandemic potential. </w:t>
      </w:r>
    </w:p>
    <w:p w14:paraId="4B0FC6C9" w14:textId="77777777" w:rsidR="00930E9B" w:rsidRPr="00714981" w:rsidRDefault="00930E9B" w:rsidP="005F78C9"/>
    <w:p w14:paraId="3749E596" w14:textId="77777777" w:rsidR="00930E9B" w:rsidRPr="00714981" w:rsidRDefault="00E315A9" w:rsidP="00930E9B">
      <w:pPr>
        <w:numPr>
          <w:ilvl w:val="0"/>
          <w:numId w:val="2"/>
        </w:numPr>
        <w:tabs>
          <w:tab w:val="clear" w:pos="1080"/>
        </w:tabs>
        <w:ind w:left="0" w:firstLine="0"/>
        <w:rPr>
          <w:b/>
          <w:i/>
        </w:rPr>
      </w:pPr>
      <w:r w:rsidRPr="00714981">
        <w:rPr>
          <w:b/>
        </w:rPr>
        <w:t>Requirement that specified classes of individuals must not enter the zone</w:t>
      </w:r>
    </w:p>
    <w:p w14:paraId="28F979CB" w14:textId="77777777" w:rsidR="00DF5C13" w:rsidRDefault="00930E9B" w:rsidP="00DF5C13">
      <w:r w:rsidRPr="000D06CA">
        <w:t xml:space="preserve">Section </w:t>
      </w:r>
      <w:r w:rsidR="00EC6169">
        <w:t>6</w:t>
      </w:r>
      <w:r w:rsidRPr="000D06CA">
        <w:t xml:space="preserve"> </w:t>
      </w:r>
      <w:r w:rsidR="00DF5C13">
        <w:t>provides that an individual, other than one listed</w:t>
      </w:r>
      <w:r w:rsidR="00446E6F">
        <w:t xml:space="preserve"> in paragraph 6(a)-(e</w:t>
      </w:r>
      <w:r w:rsidR="00DF5C13">
        <w:t xml:space="preserve">), must not enter the human health response zone. </w:t>
      </w:r>
    </w:p>
    <w:p w14:paraId="05C23379" w14:textId="77777777" w:rsidR="004D0806" w:rsidRDefault="004D0806" w:rsidP="00DF5C13"/>
    <w:p w14:paraId="063D4A74" w14:textId="77777777" w:rsidR="004D0806" w:rsidRPr="004D0806" w:rsidRDefault="004D0806" w:rsidP="004D0806">
      <w:pPr>
        <w:numPr>
          <w:ilvl w:val="0"/>
          <w:numId w:val="2"/>
        </w:numPr>
        <w:tabs>
          <w:tab w:val="clear" w:pos="1080"/>
        </w:tabs>
        <w:ind w:left="0" w:firstLine="0"/>
        <w:rPr>
          <w:b/>
          <w:i/>
        </w:rPr>
      </w:pPr>
      <w:r w:rsidRPr="004D0806">
        <w:rPr>
          <w:b/>
        </w:rPr>
        <w:t xml:space="preserve">Requirement </w:t>
      </w:r>
      <w:r>
        <w:rPr>
          <w:b/>
        </w:rPr>
        <w:t xml:space="preserve">for certain </w:t>
      </w:r>
      <w:r w:rsidRPr="004D0806">
        <w:rPr>
          <w:b/>
        </w:rPr>
        <w:t xml:space="preserve">individuals </w:t>
      </w:r>
      <w:r>
        <w:rPr>
          <w:b/>
        </w:rPr>
        <w:t>who are leaving the zone</w:t>
      </w:r>
    </w:p>
    <w:p w14:paraId="785DFF08" w14:textId="77777777" w:rsidR="00C62805" w:rsidRDefault="000A1691" w:rsidP="00DF5C13">
      <w:r>
        <w:t>Section 7</w:t>
      </w:r>
      <w:r w:rsidR="004D0806" w:rsidRPr="004D0806">
        <w:t xml:space="preserve"> provides that an individual mentioned</w:t>
      </w:r>
      <w:r w:rsidR="00295D65">
        <w:t xml:space="preserve"> in paragraph 6(a) or</w:t>
      </w:r>
      <w:r w:rsidR="004D0806" w:rsidRPr="004D0806">
        <w:t xml:space="preserve"> (b)</w:t>
      </w:r>
      <w:r>
        <w:t xml:space="preserve"> of the Determination </w:t>
      </w:r>
      <w:r w:rsidR="00295D65">
        <w:t>who is leaving the zone must, before leaving the zone,</w:t>
      </w:r>
      <w:r w:rsidR="004D0806" w:rsidRPr="004D0806">
        <w:t xml:space="preserve"> communicate, </w:t>
      </w:r>
      <w:r w:rsidR="00295D65">
        <w:t>or attempt to communicate, their intention to leave the zone to the person who has</w:t>
      </w:r>
      <w:r w:rsidR="004D0806" w:rsidRPr="004D0806">
        <w:t xml:space="preserve"> operational (but not clinical) control</w:t>
      </w:r>
      <w:r w:rsidR="00295D65">
        <w:t xml:space="preserve"> over the </w:t>
      </w:r>
      <w:r w:rsidR="00446E6F" w:rsidRPr="00446E6F">
        <w:t>zone.</w:t>
      </w:r>
    </w:p>
    <w:p w14:paraId="490DCD44" w14:textId="77777777" w:rsidR="00C62805" w:rsidRDefault="00C62805" w:rsidP="00DF5C13"/>
    <w:p w14:paraId="3188912E" w14:textId="77777777" w:rsidR="00C62805" w:rsidRDefault="00C62805" w:rsidP="00DF5C13">
      <w:r>
        <w:t>Section 7 does not apply to a child or incapable person, as it would not be appropriate to impose this requirement on a child or incapable person. Children and incapable persons in the zone will be under the care and supervision of an accompanying person (usually a parent) who would themselves be subject to the requirement to communicate, or attempt to communicate.</w:t>
      </w:r>
    </w:p>
    <w:p w14:paraId="5F3665A1" w14:textId="77777777" w:rsidR="00DF5C13" w:rsidRDefault="00DF5C13" w:rsidP="00DF5C13"/>
    <w:p w14:paraId="44E5BC1C" w14:textId="77777777" w:rsidR="00DF5C13" w:rsidRPr="000D06CA" w:rsidRDefault="00DF5C13" w:rsidP="00DF5C13">
      <w:pPr>
        <w:numPr>
          <w:ilvl w:val="0"/>
          <w:numId w:val="2"/>
        </w:numPr>
        <w:tabs>
          <w:tab w:val="clear" w:pos="1080"/>
        </w:tabs>
        <w:ind w:left="0" w:firstLine="0"/>
        <w:rPr>
          <w:b/>
          <w:i/>
        </w:rPr>
      </w:pPr>
      <w:r>
        <w:t xml:space="preserve"> </w:t>
      </w:r>
      <w:r>
        <w:rPr>
          <w:b/>
        </w:rPr>
        <w:t>Period during which the instrument is in force</w:t>
      </w:r>
    </w:p>
    <w:p w14:paraId="3C6E6A38" w14:textId="77777777" w:rsidR="009078BC" w:rsidRPr="004D0806" w:rsidRDefault="00DF5C13" w:rsidP="004D0806">
      <w:r w:rsidRPr="000D06CA">
        <w:t>Section</w:t>
      </w:r>
      <w:r w:rsidR="00C81903">
        <w:t xml:space="preserve"> 7 provides that this instrument is in force for</w:t>
      </w:r>
      <w:r w:rsidR="00446E6F">
        <w:t xml:space="preserve"> 3 months</w:t>
      </w:r>
      <w:r w:rsidR="00C81903">
        <w:t xml:space="preserve"> beginning on the day it commences. </w:t>
      </w:r>
    </w:p>
    <w:p w14:paraId="72EDBD55" w14:textId="77777777" w:rsidR="00D303BB" w:rsidRPr="00041433" w:rsidRDefault="00B9224B" w:rsidP="00041433">
      <w:pPr>
        <w:spacing w:before="120" w:after="120"/>
        <w:rPr>
          <w:color w:val="0070C0"/>
        </w:rPr>
      </w:pPr>
      <w:r w:rsidRPr="00C24BF4">
        <w:rPr>
          <w:color w:val="0070C0"/>
        </w:rPr>
        <w:t xml:space="preserve"> </w:t>
      </w:r>
    </w:p>
    <w:sectPr w:rsidR="00D303BB" w:rsidRPr="000414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0684F"/>
    <w:multiLevelType w:val="hybridMultilevel"/>
    <w:tmpl w:val="D892E0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6F4F6ED4"/>
    <w:multiLevelType w:val="hybridMultilevel"/>
    <w:tmpl w:val="62D03FD4"/>
    <w:lvl w:ilvl="0" w:tplc="143A72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990"/>
    <w:rsid w:val="00016D72"/>
    <w:rsid w:val="00016D73"/>
    <w:rsid w:val="00016D99"/>
    <w:rsid w:val="00016E94"/>
    <w:rsid w:val="0001737D"/>
    <w:rsid w:val="00017467"/>
    <w:rsid w:val="00017B0C"/>
    <w:rsid w:val="00017E67"/>
    <w:rsid w:val="00017EFE"/>
    <w:rsid w:val="00017F33"/>
    <w:rsid w:val="00020CCD"/>
    <w:rsid w:val="00020FD1"/>
    <w:rsid w:val="0002105D"/>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A95"/>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428"/>
    <w:rsid w:val="00034758"/>
    <w:rsid w:val="00034826"/>
    <w:rsid w:val="000349A3"/>
    <w:rsid w:val="00034C3E"/>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433"/>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6B8E"/>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0F5"/>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346"/>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37"/>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6C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691"/>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A1C"/>
    <w:rsid w:val="000C6F17"/>
    <w:rsid w:val="000C7001"/>
    <w:rsid w:val="000C7454"/>
    <w:rsid w:val="000C750E"/>
    <w:rsid w:val="000C7ABD"/>
    <w:rsid w:val="000C7DDB"/>
    <w:rsid w:val="000C7EFB"/>
    <w:rsid w:val="000D0205"/>
    <w:rsid w:val="000D0673"/>
    <w:rsid w:val="000D06CA"/>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3EE"/>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9B"/>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80B"/>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811"/>
    <w:rsid w:val="001100B2"/>
    <w:rsid w:val="001100F9"/>
    <w:rsid w:val="00110461"/>
    <w:rsid w:val="0011054E"/>
    <w:rsid w:val="0011089F"/>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032"/>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A5E"/>
    <w:rsid w:val="00131C15"/>
    <w:rsid w:val="00131C7A"/>
    <w:rsid w:val="00131D5D"/>
    <w:rsid w:val="00131D65"/>
    <w:rsid w:val="00131E17"/>
    <w:rsid w:val="00131E41"/>
    <w:rsid w:val="00131E48"/>
    <w:rsid w:val="00132458"/>
    <w:rsid w:val="00132F86"/>
    <w:rsid w:val="0013351A"/>
    <w:rsid w:val="00133B2C"/>
    <w:rsid w:val="00133EF7"/>
    <w:rsid w:val="00133F3A"/>
    <w:rsid w:val="001344B6"/>
    <w:rsid w:val="0013460B"/>
    <w:rsid w:val="001349BF"/>
    <w:rsid w:val="00134BAA"/>
    <w:rsid w:val="00134F5B"/>
    <w:rsid w:val="0013501C"/>
    <w:rsid w:val="0013550D"/>
    <w:rsid w:val="00135653"/>
    <w:rsid w:val="00135B61"/>
    <w:rsid w:val="00135ED0"/>
    <w:rsid w:val="001360FC"/>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77C"/>
    <w:rsid w:val="001608BE"/>
    <w:rsid w:val="00160E82"/>
    <w:rsid w:val="00161489"/>
    <w:rsid w:val="00161729"/>
    <w:rsid w:val="00161752"/>
    <w:rsid w:val="00162173"/>
    <w:rsid w:val="00162607"/>
    <w:rsid w:val="0016295F"/>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D9F"/>
    <w:rsid w:val="001723DF"/>
    <w:rsid w:val="0017291B"/>
    <w:rsid w:val="00172E0E"/>
    <w:rsid w:val="001730E1"/>
    <w:rsid w:val="00173233"/>
    <w:rsid w:val="001732E5"/>
    <w:rsid w:val="001734CF"/>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23A"/>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6AA"/>
    <w:rsid w:val="001937CB"/>
    <w:rsid w:val="0019461F"/>
    <w:rsid w:val="001947B6"/>
    <w:rsid w:val="00194FF6"/>
    <w:rsid w:val="001954E6"/>
    <w:rsid w:val="001956D0"/>
    <w:rsid w:val="00195BBA"/>
    <w:rsid w:val="00195C5A"/>
    <w:rsid w:val="00195CC0"/>
    <w:rsid w:val="00195DEB"/>
    <w:rsid w:val="00195E47"/>
    <w:rsid w:val="00196C42"/>
    <w:rsid w:val="00196E8A"/>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41F"/>
    <w:rsid w:val="001B1AD3"/>
    <w:rsid w:val="001B26F2"/>
    <w:rsid w:val="001B285A"/>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D2B"/>
    <w:rsid w:val="001E6F4F"/>
    <w:rsid w:val="001E70DD"/>
    <w:rsid w:val="001E76FC"/>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A28"/>
    <w:rsid w:val="001F4CAF"/>
    <w:rsid w:val="001F53A3"/>
    <w:rsid w:val="001F5452"/>
    <w:rsid w:val="001F5712"/>
    <w:rsid w:val="001F5AF4"/>
    <w:rsid w:val="001F5CA7"/>
    <w:rsid w:val="001F5D18"/>
    <w:rsid w:val="001F6AD6"/>
    <w:rsid w:val="001F6C67"/>
    <w:rsid w:val="001F6FBD"/>
    <w:rsid w:val="001F70E5"/>
    <w:rsid w:val="001F7460"/>
    <w:rsid w:val="001F7488"/>
    <w:rsid w:val="001F7B3C"/>
    <w:rsid w:val="002000F9"/>
    <w:rsid w:val="00200880"/>
    <w:rsid w:val="00200F1E"/>
    <w:rsid w:val="00201004"/>
    <w:rsid w:val="00201447"/>
    <w:rsid w:val="0020168A"/>
    <w:rsid w:val="00201FA6"/>
    <w:rsid w:val="00202019"/>
    <w:rsid w:val="002021D3"/>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79E"/>
    <w:rsid w:val="00222A01"/>
    <w:rsid w:val="00222D13"/>
    <w:rsid w:val="002231B6"/>
    <w:rsid w:val="00223384"/>
    <w:rsid w:val="00223A51"/>
    <w:rsid w:val="00223B9D"/>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CDA"/>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08F"/>
    <w:rsid w:val="00260799"/>
    <w:rsid w:val="002607F6"/>
    <w:rsid w:val="00260AF3"/>
    <w:rsid w:val="00260B57"/>
    <w:rsid w:val="002614A1"/>
    <w:rsid w:val="00261516"/>
    <w:rsid w:val="002619DA"/>
    <w:rsid w:val="00261B0E"/>
    <w:rsid w:val="00261C4B"/>
    <w:rsid w:val="002629F6"/>
    <w:rsid w:val="00262B4E"/>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350"/>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1F48"/>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D65"/>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4F"/>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05"/>
    <w:rsid w:val="002D1C8E"/>
    <w:rsid w:val="002D1E22"/>
    <w:rsid w:val="002D2135"/>
    <w:rsid w:val="002D2291"/>
    <w:rsid w:val="002D2369"/>
    <w:rsid w:val="002D2ADA"/>
    <w:rsid w:val="002D2C7F"/>
    <w:rsid w:val="002D2FD2"/>
    <w:rsid w:val="002D3455"/>
    <w:rsid w:val="002D45A8"/>
    <w:rsid w:val="002D48C9"/>
    <w:rsid w:val="002D4AC5"/>
    <w:rsid w:val="002D4CAB"/>
    <w:rsid w:val="002D4DB6"/>
    <w:rsid w:val="002D4F96"/>
    <w:rsid w:val="002D5165"/>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2E3B"/>
    <w:rsid w:val="002E4BDF"/>
    <w:rsid w:val="002E5BA1"/>
    <w:rsid w:val="002E5F4C"/>
    <w:rsid w:val="002E65A1"/>
    <w:rsid w:val="002E66B7"/>
    <w:rsid w:val="002E67C4"/>
    <w:rsid w:val="002E6ACD"/>
    <w:rsid w:val="002E6C41"/>
    <w:rsid w:val="002E753E"/>
    <w:rsid w:val="002E7742"/>
    <w:rsid w:val="002E7ED9"/>
    <w:rsid w:val="002E7F16"/>
    <w:rsid w:val="002F016D"/>
    <w:rsid w:val="002F0232"/>
    <w:rsid w:val="002F0368"/>
    <w:rsid w:val="002F0535"/>
    <w:rsid w:val="002F064A"/>
    <w:rsid w:val="002F0919"/>
    <w:rsid w:val="002F0D30"/>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4EA"/>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19F"/>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6BA9"/>
    <w:rsid w:val="003270A1"/>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3AAA"/>
    <w:rsid w:val="00344029"/>
    <w:rsid w:val="003440DA"/>
    <w:rsid w:val="00344ACB"/>
    <w:rsid w:val="00344B4D"/>
    <w:rsid w:val="0034552C"/>
    <w:rsid w:val="0034561F"/>
    <w:rsid w:val="0034563B"/>
    <w:rsid w:val="00345B66"/>
    <w:rsid w:val="003462C6"/>
    <w:rsid w:val="003462F9"/>
    <w:rsid w:val="00346498"/>
    <w:rsid w:val="00346A76"/>
    <w:rsid w:val="00346AEB"/>
    <w:rsid w:val="00346C57"/>
    <w:rsid w:val="00346C61"/>
    <w:rsid w:val="003471D0"/>
    <w:rsid w:val="003473DB"/>
    <w:rsid w:val="003475F0"/>
    <w:rsid w:val="00350023"/>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66"/>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A96"/>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A7DA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46A"/>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3D"/>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73E"/>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31C"/>
    <w:rsid w:val="003F7583"/>
    <w:rsid w:val="003F77CC"/>
    <w:rsid w:val="003F7BCD"/>
    <w:rsid w:val="003F7F52"/>
    <w:rsid w:val="00400A39"/>
    <w:rsid w:val="00400F41"/>
    <w:rsid w:val="0040176F"/>
    <w:rsid w:val="004017E4"/>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730"/>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339"/>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795"/>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6E6F"/>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CFE"/>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0CBE"/>
    <w:rsid w:val="0046122C"/>
    <w:rsid w:val="00461562"/>
    <w:rsid w:val="00462043"/>
    <w:rsid w:val="004626D9"/>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CDA"/>
    <w:rsid w:val="00474ED9"/>
    <w:rsid w:val="004754BD"/>
    <w:rsid w:val="00475C5A"/>
    <w:rsid w:val="00475C81"/>
    <w:rsid w:val="00476718"/>
    <w:rsid w:val="00476759"/>
    <w:rsid w:val="00476C9F"/>
    <w:rsid w:val="00476FB5"/>
    <w:rsid w:val="00477930"/>
    <w:rsid w:val="00477B69"/>
    <w:rsid w:val="00477F2E"/>
    <w:rsid w:val="0048025F"/>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5DB"/>
    <w:rsid w:val="00486659"/>
    <w:rsid w:val="004869F2"/>
    <w:rsid w:val="00486A3A"/>
    <w:rsid w:val="00486E9E"/>
    <w:rsid w:val="004870F4"/>
    <w:rsid w:val="00487167"/>
    <w:rsid w:val="0048730C"/>
    <w:rsid w:val="0048782B"/>
    <w:rsid w:val="00487EEA"/>
    <w:rsid w:val="00490D6A"/>
    <w:rsid w:val="00490F24"/>
    <w:rsid w:val="0049116B"/>
    <w:rsid w:val="004916DD"/>
    <w:rsid w:val="00491728"/>
    <w:rsid w:val="00491D51"/>
    <w:rsid w:val="00492B02"/>
    <w:rsid w:val="00492D9A"/>
    <w:rsid w:val="00492FC0"/>
    <w:rsid w:val="00493070"/>
    <w:rsid w:val="004937A8"/>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08B2"/>
    <w:rsid w:val="004B0C7A"/>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628"/>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806"/>
    <w:rsid w:val="004D0ADD"/>
    <w:rsid w:val="004D0B83"/>
    <w:rsid w:val="004D0FE3"/>
    <w:rsid w:val="004D19A9"/>
    <w:rsid w:val="004D1B7B"/>
    <w:rsid w:val="004D1F68"/>
    <w:rsid w:val="004D1FDC"/>
    <w:rsid w:val="004D28BB"/>
    <w:rsid w:val="004D29D7"/>
    <w:rsid w:val="004D33A4"/>
    <w:rsid w:val="004D3CEA"/>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17A"/>
    <w:rsid w:val="004F226B"/>
    <w:rsid w:val="004F26E8"/>
    <w:rsid w:val="004F2917"/>
    <w:rsid w:val="004F3AF4"/>
    <w:rsid w:val="004F3C2B"/>
    <w:rsid w:val="004F40C6"/>
    <w:rsid w:val="004F45C9"/>
    <w:rsid w:val="004F45F8"/>
    <w:rsid w:val="004F4ED0"/>
    <w:rsid w:val="004F5866"/>
    <w:rsid w:val="004F58BB"/>
    <w:rsid w:val="004F58D4"/>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412"/>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2BFB"/>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8D5"/>
    <w:rsid w:val="00542B6C"/>
    <w:rsid w:val="0054362D"/>
    <w:rsid w:val="005441D9"/>
    <w:rsid w:val="00544848"/>
    <w:rsid w:val="00544D8E"/>
    <w:rsid w:val="005454D5"/>
    <w:rsid w:val="00545681"/>
    <w:rsid w:val="00545865"/>
    <w:rsid w:val="00546329"/>
    <w:rsid w:val="00546836"/>
    <w:rsid w:val="00546F4B"/>
    <w:rsid w:val="00546F7D"/>
    <w:rsid w:val="00547765"/>
    <w:rsid w:val="00550099"/>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733"/>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07E"/>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5FCB"/>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2B5"/>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28F"/>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5FE"/>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6FE"/>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49F"/>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8C9"/>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A85"/>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26E"/>
    <w:rsid w:val="0066739D"/>
    <w:rsid w:val="006676B1"/>
    <w:rsid w:val="00667E13"/>
    <w:rsid w:val="0067009F"/>
    <w:rsid w:val="0067015E"/>
    <w:rsid w:val="006701BD"/>
    <w:rsid w:val="00670A4D"/>
    <w:rsid w:val="006710F2"/>
    <w:rsid w:val="00671270"/>
    <w:rsid w:val="006716C6"/>
    <w:rsid w:val="00671980"/>
    <w:rsid w:val="00671B5D"/>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7CD"/>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3F61"/>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BFF"/>
    <w:rsid w:val="006F3D6C"/>
    <w:rsid w:val="006F3F1E"/>
    <w:rsid w:val="006F422D"/>
    <w:rsid w:val="006F44A0"/>
    <w:rsid w:val="006F466F"/>
    <w:rsid w:val="006F487B"/>
    <w:rsid w:val="006F4A9D"/>
    <w:rsid w:val="006F4D8D"/>
    <w:rsid w:val="006F5003"/>
    <w:rsid w:val="006F5071"/>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981"/>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85"/>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A94"/>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1C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1D5"/>
    <w:rsid w:val="00764448"/>
    <w:rsid w:val="00764563"/>
    <w:rsid w:val="007646B1"/>
    <w:rsid w:val="00764E20"/>
    <w:rsid w:val="0076586A"/>
    <w:rsid w:val="007658BA"/>
    <w:rsid w:val="007659B1"/>
    <w:rsid w:val="00765A52"/>
    <w:rsid w:val="00765A91"/>
    <w:rsid w:val="00765F8D"/>
    <w:rsid w:val="00766414"/>
    <w:rsid w:val="0076658A"/>
    <w:rsid w:val="00766D70"/>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1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6B86"/>
    <w:rsid w:val="0078751B"/>
    <w:rsid w:val="00787CAA"/>
    <w:rsid w:val="00787DD9"/>
    <w:rsid w:val="00790334"/>
    <w:rsid w:val="00790545"/>
    <w:rsid w:val="007905F1"/>
    <w:rsid w:val="007909A5"/>
    <w:rsid w:val="00790C69"/>
    <w:rsid w:val="00790E87"/>
    <w:rsid w:val="00790FE5"/>
    <w:rsid w:val="007916D0"/>
    <w:rsid w:val="007918EB"/>
    <w:rsid w:val="00791A2D"/>
    <w:rsid w:val="00791BB2"/>
    <w:rsid w:val="00791E7A"/>
    <w:rsid w:val="00792322"/>
    <w:rsid w:val="0079235A"/>
    <w:rsid w:val="00792C15"/>
    <w:rsid w:val="00793070"/>
    <w:rsid w:val="007936D2"/>
    <w:rsid w:val="00793826"/>
    <w:rsid w:val="00793999"/>
    <w:rsid w:val="00793D3F"/>
    <w:rsid w:val="007940FB"/>
    <w:rsid w:val="0079436D"/>
    <w:rsid w:val="007946CB"/>
    <w:rsid w:val="007948D2"/>
    <w:rsid w:val="007964BD"/>
    <w:rsid w:val="00796596"/>
    <w:rsid w:val="0079677B"/>
    <w:rsid w:val="00797180"/>
    <w:rsid w:val="007971ED"/>
    <w:rsid w:val="00797858"/>
    <w:rsid w:val="00797A7E"/>
    <w:rsid w:val="007A0166"/>
    <w:rsid w:val="007A024B"/>
    <w:rsid w:val="007A045D"/>
    <w:rsid w:val="007A079E"/>
    <w:rsid w:val="007A0DF8"/>
    <w:rsid w:val="007A1A8C"/>
    <w:rsid w:val="007A1B74"/>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AF"/>
    <w:rsid w:val="007B29F5"/>
    <w:rsid w:val="007B2BBA"/>
    <w:rsid w:val="007B348F"/>
    <w:rsid w:val="007B36C4"/>
    <w:rsid w:val="007B3797"/>
    <w:rsid w:val="007B3BBD"/>
    <w:rsid w:val="007B459F"/>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2EF5"/>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CCF"/>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401"/>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982"/>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1748F"/>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4D4"/>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2F7"/>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6F36"/>
    <w:rsid w:val="0086717E"/>
    <w:rsid w:val="008675BB"/>
    <w:rsid w:val="00870515"/>
    <w:rsid w:val="008707A8"/>
    <w:rsid w:val="00870F48"/>
    <w:rsid w:val="008711D4"/>
    <w:rsid w:val="0087129C"/>
    <w:rsid w:val="00871DD9"/>
    <w:rsid w:val="00871E9C"/>
    <w:rsid w:val="00872030"/>
    <w:rsid w:val="008722FD"/>
    <w:rsid w:val="008726DF"/>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20A"/>
    <w:rsid w:val="0088155A"/>
    <w:rsid w:val="00881DF8"/>
    <w:rsid w:val="00881E72"/>
    <w:rsid w:val="00882455"/>
    <w:rsid w:val="00882860"/>
    <w:rsid w:val="00882B97"/>
    <w:rsid w:val="00882EFD"/>
    <w:rsid w:val="008834D7"/>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5FA"/>
    <w:rsid w:val="0089779D"/>
    <w:rsid w:val="00897FD9"/>
    <w:rsid w:val="008A01CC"/>
    <w:rsid w:val="008A0391"/>
    <w:rsid w:val="008A06A6"/>
    <w:rsid w:val="008A0767"/>
    <w:rsid w:val="008A1268"/>
    <w:rsid w:val="008A1383"/>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2C8"/>
    <w:rsid w:val="008B3EE4"/>
    <w:rsid w:val="008B447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88D"/>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07A"/>
    <w:rsid w:val="0090720A"/>
    <w:rsid w:val="00907583"/>
    <w:rsid w:val="0090776A"/>
    <w:rsid w:val="009078BC"/>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4EC"/>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E9B"/>
    <w:rsid w:val="00930FB8"/>
    <w:rsid w:val="009311BF"/>
    <w:rsid w:val="009318DC"/>
    <w:rsid w:val="00931D6B"/>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2C9"/>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096"/>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9DD"/>
    <w:rsid w:val="00974CD7"/>
    <w:rsid w:val="00975092"/>
    <w:rsid w:val="00975095"/>
    <w:rsid w:val="00975ABF"/>
    <w:rsid w:val="00975E1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876"/>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E82"/>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1FFC"/>
    <w:rsid w:val="009E21CB"/>
    <w:rsid w:val="009E2480"/>
    <w:rsid w:val="009E24E5"/>
    <w:rsid w:val="009E25D3"/>
    <w:rsid w:val="009E30C5"/>
    <w:rsid w:val="009E3127"/>
    <w:rsid w:val="009E324A"/>
    <w:rsid w:val="009E3430"/>
    <w:rsid w:val="009E34C8"/>
    <w:rsid w:val="009E3B7A"/>
    <w:rsid w:val="009E3CC4"/>
    <w:rsid w:val="009E45E5"/>
    <w:rsid w:val="009E48F2"/>
    <w:rsid w:val="009E4A22"/>
    <w:rsid w:val="009E4A6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1A5"/>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2D62"/>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3C6"/>
    <w:rsid w:val="00A2010A"/>
    <w:rsid w:val="00A201C2"/>
    <w:rsid w:val="00A2051F"/>
    <w:rsid w:val="00A206BD"/>
    <w:rsid w:val="00A2075C"/>
    <w:rsid w:val="00A20BDC"/>
    <w:rsid w:val="00A20E98"/>
    <w:rsid w:val="00A21081"/>
    <w:rsid w:val="00A21094"/>
    <w:rsid w:val="00A210EB"/>
    <w:rsid w:val="00A21461"/>
    <w:rsid w:val="00A21900"/>
    <w:rsid w:val="00A21CA7"/>
    <w:rsid w:val="00A21CE6"/>
    <w:rsid w:val="00A21DFA"/>
    <w:rsid w:val="00A21E33"/>
    <w:rsid w:val="00A21F8B"/>
    <w:rsid w:val="00A22303"/>
    <w:rsid w:val="00A22809"/>
    <w:rsid w:val="00A228E6"/>
    <w:rsid w:val="00A229D0"/>
    <w:rsid w:val="00A22B3F"/>
    <w:rsid w:val="00A22C60"/>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B2A"/>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3E0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19F"/>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2F1"/>
    <w:rsid w:val="00AB0AF6"/>
    <w:rsid w:val="00AB0EAE"/>
    <w:rsid w:val="00AB0F7A"/>
    <w:rsid w:val="00AB1D6C"/>
    <w:rsid w:val="00AB2555"/>
    <w:rsid w:val="00AB2974"/>
    <w:rsid w:val="00AB2C21"/>
    <w:rsid w:val="00AB30C3"/>
    <w:rsid w:val="00AB32CC"/>
    <w:rsid w:val="00AB3436"/>
    <w:rsid w:val="00AB3AD4"/>
    <w:rsid w:val="00AB43FA"/>
    <w:rsid w:val="00AB4B87"/>
    <w:rsid w:val="00AB57AE"/>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B6"/>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E2"/>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6EA2"/>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05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922"/>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6C1"/>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2B7"/>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664C"/>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2BE1"/>
    <w:rsid w:val="00B837BA"/>
    <w:rsid w:val="00B8384D"/>
    <w:rsid w:val="00B83DA3"/>
    <w:rsid w:val="00B8427D"/>
    <w:rsid w:val="00B8467F"/>
    <w:rsid w:val="00B846A2"/>
    <w:rsid w:val="00B84B08"/>
    <w:rsid w:val="00B85178"/>
    <w:rsid w:val="00B8661F"/>
    <w:rsid w:val="00B86635"/>
    <w:rsid w:val="00B86757"/>
    <w:rsid w:val="00B86F5D"/>
    <w:rsid w:val="00B87024"/>
    <w:rsid w:val="00B871BF"/>
    <w:rsid w:val="00B87683"/>
    <w:rsid w:val="00B9028A"/>
    <w:rsid w:val="00B903C1"/>
    <w:rsid w:val="00B906A9"/>
    <w:rsid w:val="00B90E9C"/>
    <w:rsid w:val="00B91067"/>
    <w:rsid w:val="00B91985"/>
    <w:rsid w:val="00B9224B"/>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C7B"/>
    <w:rsid w:val="00BA1F77"/>
    <w:rsid w:val="00BA2221"/>
    <w:rsid w:val="00BA230D"/>
    <w:rsid w:val="00BA23F2"/>
    <w:rsid w:val="00BA27F5"/>
    <w:rsid w:val="00BA318A"/>
    <w:rsid w:val="00BA331D"/>
    <w:rsid w:val="00BA3BDC"/>
    <w:rsid w:val="00BA3F3D"/>
    <w:rsid w:val="00BA4944"/>
    <w:rsid w:val="00BA4B18"/>
    <w:rsid w:val="00BA50A3"/>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EF8"/>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F6F"/>
    <w:rsid w:val="00C52063"/>
    <w:rsid w:val="00C52499"/>
    <w:rsid w:val="00C52A28"/>
    <w:rsid w:val="00C52FEB"/>
    <w:rsid w:val="00C53076"/>
    <w:rsid w:val="00C53263"/>
    <w:rsid w:val="00C53942"/>
    <w:rsid w:val="00C5406C"/>
    <w:rsid w:val="00C544FE"/>
    <w:rsid w:val="00C5451A"/>
    <w:rsid w:val="00C546A1"/>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805"/>
    <w:rsid w:val="00C62B9B"/>
    <w:rsid w:val="00C62D04"/>
    <w:rsid w:val="00C63F21"/>
    <w:rsid w:val="00C63F88"/>
    <w:rsid w:val="00C64963"/>
    <w:rsid w:val="00C64A19"/>
    <w:rsid w:val="00C65075"/>
    <w:rsid w:val="00C65E53"/>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1903"/>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166D"/>
    <w:rsid w:val="00C92542"/>
    <w:rsid w:val="00C92941"/>
    <w:rsid w:val="00C92ACA"/>
    <w:rsid w:val="00C92DE0"/>
    <w:rsid w:val="00C93124"/>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347B"/>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41B"/>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9C"/>
    <w:rsid w:val="00CD3A3D"/>
    <w:rsid w:val="00CD4784"/>
    <w:rsid w:val="00CD48DC"/>
    <w:rsid w:val="00CD4BAF"/>
    <w:rsid w:val="00CD4F0C"/>
    <w:rsid w:val="00CD508A"/>
    <w:rsid w:val="00CD51DB"/>
    <w:rsid w:val="00CD52C0"/>
    <w:rsid w:val="00CD5746"/>
    <w:rsid w:val="00CD59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7B8"/>
    <w:rsid w:val="00CE4D5A"/>
    <w:rsid w:val="00CE4E35"/>
    <w:rsid w:val="00CE50F2"/>
    <w:rsid w:val="00CE52A5"/>
    <w:rsid w:val="00CE544D"/>
    <w:rsid w:val="00CE55C8"/>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84E"/>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05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819"/>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3E9"/>
    <w:rsid w:val="00D27471"/>
    <w:rsid w:val="00D27474"/>
    <w:rsid w:val="00D27676"/>
    <w:rsid w:val="00D27774"/>
    <w:rsid w:val="00D27EF0"/>
    <w:rsid w:val="00D303BB"/>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6CC9"/>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B54"/>
    <w:rsid w:val="00D44D41"/>
    <w:rsid w:val="00D44D99"/>
    <w:rsid w:val="00D452B5"/>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3D93"/>
    <w:rsid w:val="00D64275"/>
    <w:rsid w:val="00D6527D"/>
    <w:rsid w:val="00D659F0"/>
    <w:rsid w:val="00D65B11"/>
    <w:rsid w:val="00D65B49"/>
    <w:rsid w:val="00D65E66"/>
    <w:rsid w:val="00D66C49"/>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CF2"/>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4A7E"/>
    <w:rsid w:val="00DC507F"/>
    <w:rsid w:val="00DC51AD"/>
    <w:rsid w:val="00DC5DB1"/>
    <w:rsid w:val="00DC6261"/>
    <w:rsid w:val="00DC64E4"/>
    <w:rsid w:val="00DC68F4"/>
    <w:rsid w:val="00DC7643"/>
    <w:rsid w:val="00DC772B"/>
    <w:rsid w:val="00DC7B39"/>
    <w:rsid w:val="00DD0296"/>
    <w:rsid w:val="00DD0419"/>
    <w:rsid w:val="00DD093C"/>
    <w:rsid w:val="00DD0BCF"/>
    <w:rsid w:val="00DD0C20"/>
    <w:rsid w:val="00DD0CC8"/>
    <w:rsid w:val="00DD0D44"/>
    <w:rsid w:val="00DD0F7A"/>
    <w:rsid w:val="00DD21A0"/>
    <w:rsid w:val="00DD2631"/>
    <w:rsid w:val="00DD264C"/>
    <w:rsid w:val="00DD28A6"/>
    <w:rsid w:val="00DD2941"/>
    <w:rsid w:val="00DD2B06"/>
    <w:rsid w:val="00DD30F8"/>
    <w:rsid w:val="00DD3651"/>
    <w:rsid w:val="00DD398E"/>
    <w:rsid w:val="00DD3C0A"/>
    <w:rsid w:val="00DD4622"/>
    <w:rsid w:val="00DD46FB"/>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A86"/>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C13"/>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47E"/>
    <w:rsid w:val="00E10561"/>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283"/>
    <w:rsid w:val="00E2052E"/>
    <w:rsid w:val="00E20738"/>
    <w:rsid w:val="00E2090A"/>
    <w:rsid w:val="00E21491"/>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5E21"/>
    <w:rsid w:val="00E26024"/>
    <w:rsid w:val="00E26068"/>
    <w:rsid w:val="00E2670C"/>
    <w:rsid w:val="00E26760"/>
    <w:rsid w:val="00E269BF"/>
    <w:rsid w:val="00E26C94"/>
    <w:rsid w:val="00E27057"/>
    <w:rsid w:val="00E27180"/>
    <w:rsid w:val="00E3029F"/>
    <w:rsid w:val="00E30490"/>
    <w:rsid w:val="00E30B3E"/>
    <w:rsid w:val="00E3111A"/>
    <w:rsid w:val="00E315A9"/>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6AF"/>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0D0"/>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40E"/>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960"/>
    <w:rsid w:val="00E54CD3"/>
    <w:rsid w:val="00E5502F"/>
    <w:rsid w:val="00E5605E"/>
    <w:rsid w:val="00E56CB6"/>
    <w:rsid w:val="00E56E37"/>
    <w:rsid w:val="00E57026"/>
    <w:rsid w:val="00E5702F"/>
    <w:rsid w:val="00E60155"/>
    <w:rsid w:val="00E606E1"/>
    <w:rsid w:val="00E609D2"/>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020"/>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7A4"/>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3EC0"/>
    <w:rsid w:val="00EB4A0C"/>
    <w:rsid w:val="00EB5012"/>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16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491"/>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695"/>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837"/>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4F97"/>
    <w:rsid w:val="00F2501C"/>
    <w:rsid w:val="00F2534B"/>
    <w:rsid w:val="00F26776"/>
    <w:rsid w:val="00F269BE"/>
    <w:rsid w:val="00F26BEE"/>
    <w:rsid w:val="00F26CFF"/>
    <w:rsid w:val="00F2702C"/>
    <w:rsid w:val="00F270D6"/>
    <w:rsid w:val="00F27A14"/>
    <w:rsid w:val="00F27C3D"/>
    <w:rsid w:val="00F27EBC"/>
    <w:rsid w:val="00F30291"/>
    <w:rsid w:val="00F30822"/>
    <w:rsid w:val="00F30AF8"/>
    <w:rsid w:val="00F30F16"/>
    <w:rsid w:val="00F31440"/>
    <w:rsid w:val="00F318B6"/>
    <w:rsid w:val="00F31CDF"/>
    <w:rsid w:val="00F31DF2"/>
    <w:rsid w:val="00F31E45"/>
    <w:rsid w:val="00F31F4E"/>
    <w:rsid w:val="00F32072"/>
    <w:rsid w:val="00F32485"/>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6E94"/>
    <w:rsid w:val="00F3715A"/>
    <w:rsid w:val="00F37356"/>
    <w:rsid w:val="00F37A11"/>
    <w:rsid w:val="00F37C47"/>
    <w:rsid w:val="00F37E18"/>
    <w:rsid w:val="00F37E8E"/>
    <w:rsid w:val="00F37F88"/>
    <w:rsid w:val="00F400CB"/>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4D"/>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3C2D"/>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1A4"/>
    <w:rsid w:val="00F842EC"/>
    <w:rsid w:val="00F84E25"/>
    <w:rsid w:val="00F853C6"/>
    <w:rsid w:val="00F85DCD"/>
    <w:rsid w:val="00F86AC8"/>
    <w:rsid w:val="00F86CAE"/>
    <w:rsid w:val="00F86D9C"/>
    <w:rsid w:val="00F87374"/>
    <w:rsid w:val="00F87A41"/>
    <w:rsid w:val="00F87F7E"/>
    <w:rsid w:val="00F90174"/>
    <w:rsid w:val="00F90328"/>
    <w:rsid w:val="00F90342"/>
    <w:rsid w:val="00F903ED"/>
    <w:rsid w:val="00F904C5"/>
    <w:rsid w:val="00F909EC"/>
    <w:rsid w:val="00F90C9D"/>
    <w:rsid w:val="00F90E1F"/>
    <w:rsid w:val="00F913D5"/>
    <w:rsid w:val="00F917C1"/>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83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894"/>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EF9"/>
    <w:rsid w:val="00FC7FA8"/>
    <w:rsid w:val="00FD0369"/>
    <w:rsid w:val="00FD0B77"/>
    <w:rsid w:val="00FD0F0A"/>
    <w:rsid w:val="00FD1299"/>
    <w:rsid w:val="00FD12A0"/>
    <w:rsid w:val="00FD1621"/>
    <w:rsid w:val="00FD1625"/>
    <w:rsid w:val="00FD1682"/>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0F16"/>
    <w:rsid w:val="00FE1076"/>
    <w:rsid w:val="00FE10AC"/>
    <w:rsid w:val="00FE1177"/>
    <w:rsid w:val="00FE121A"/>
    <w:rsid w:val="00FE18EE"/>
    <w:rsid w:val="00FE1AE2"/>
    <w:rsid w:val="00FE32A2"/>
    <w:rsid w:val="00FE342A"/>
    <w:rsid w:val="00FE35EE"/>
    <w:rsid w:val="00FE38BC"/>
    <w:rsid w:val="00FE3ED6"/>
    <w:rsid w:val="00FE3F46"/>
    <w:rsid w:val="00FE3FEF"/>
    <w:rsid w:val="00FE51B5"/>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10"/>
    <w:rsid w:val="00FF22A6"/>
    <w:rsid w:val="00FF2542"/>
    <w:rsid w:val="00FF2E80"/>
    <w:rsid w:val="00FF3502"/>
    <w:rsid w:val="00FF3671"/>
    <w:rsid w:val="00FF3D5C"/>
    <w:rsid w:val="00FF3F6A"/>
    <w:rsid w:val="00FF4143"/>
    <w:rsid w:val="00FF41B1"/>
    <w:rsid w:val="00FF4DF7"/>
    <w:rsid w:val="00FF4F9A"/>
    <w:rsid w:val="00FF55B1"/>
    <w:rsid w:val="00FF59A8"/>
    <w:rsid w:val="00FF60BD"/>
    <w:rsid w:val="00FF6548"/>
    <w:rsid w:val="00FF665A"/>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7553D"/>
  <w15:docId w15:val="{AEBE5D06-2837-40AA-806B-4EE944FB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B9224B"/>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B9224B"/>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550099"/>
    <w:rPr>
      <w:sz w:val="16"/>
      <w:szCs w:val="16"/>
    </w:rPr>
  </w:style>
  <w:style w:type="paragraph" w:styleId="CommentText">
    <w:name w:val="annotation text"/>
    <w:basedOn w:val="Normal"/>
    <w:link w:val="CommentTextChar"/>
    <w:rsid w:val="00550099"/>
    <w:rPr>
      <w:sz w:val="20"/>
      <w:szCs w:val="20"/>
    </w:rPr>
  </w:style>
  <w:style w:type="character" w:customStyle="1" w:styleId="CommentTextChar">
    <w:name w:val="Comment Text Char"/>
    <w:basedOn w:val="DefaultParagraphFont"/>
    <w:link w:val="CommentText"/>
    <w:rsid w:val="00550099"/>
  </w:style>
  <w:style w:type="paragraph" w:styleId="CommentSubject">
    <w:name w:val="annotation subject"/>
    <w:basedOn w:val="CommentText"/>
    <w:next w:val="CommentText"/>
    <w:link w:val="CommentSubjectChar"/>
    <w:rsid w:val="00550099"/>
    <w:rPr>
      <w:b/>
      <w:bCs/>
    </w:rPr>
  </w:style>
  <w:style w:type="character" w:customStyle="1" w:styleId="CommentSubjectChar">
    <w:name w:val="Comment Subject Char"/>
    <w:link w:val="CommentSubject"/>
    <w:rsid w:val="00550099"/>
    <w:rPr>
      <w:b/>
      <w:bCs/>
    </w:rPr>
  </w:style>
  <w:style w:type="paragraph" w:styleId="Revision">
    <w:name w:val="Revision"/>
    <w:hidden/>
    <w:uiPriority w:val="99"/>
    <w:semiHidden/>
    <w:rsid w:val="00FC7EF9"/>
    <w:rPr>
      <w:sz w:val="24"/>
      <w:szCs w:val="24"/>
    </w:rPr>
  </w:style>
  <w:style w:type="character" w:customStyle="1" w:styleId="Heading2Char">
    <w:name w:val="Heading 2 Char"/>
    <w:link w:val="Heading2"/>
    <w:uiPriority w:val="9"/>
    <w:rsid w:val="00B9224B"/>
    <w:rPr>
      <w:rFonts w:eastAsia="Calibri"/>
      <w:b/>
      <w:sz w:val="28"/>
      <w:szCs w:val="28"/>
      <w:lang w:eastAsia="en-US"/>
    </w:rPr>
  </w:style>
  <w:style w:type="character" w:customStyle="1" w:styleId="Heading3Char">
    <w:name w:val="Heading 3 Char"/>
    <w:link w:val="Heading3"/>
    <w:uiPriority w:val="9"/>
    <w:rsid w:val="00B9224B"/>
    <w:rPr>
      <w:rFonts w:eastAsia="Calibri"/>
      <w:b/>
      <w:sz w:val="24"/>
      <w:szCs w:val="24"/>
      <w:lang w:eastAsia="en-US"/>
    </w:rPr>
  </w:style>
  <w:style w:type="character" w:styleId="Hyperlink">
    <w:name w:val="Hyperlink"/>
    <w:rsid w:val="00CD339C"/>
    <w:rPr>
      <w:color w:val="0563C1"/>
      <w:u w:val="single"/>
    </w:rPr>
  </w:style>
  <w:style w:type="paragraph" w:customStyle="1" w:styleId="BodyText1">
    <w:name w:val="Body Text1"/>
    <w:basedOn w:val="ListParagraph"/>
    <w:link w:val="BodytextChar"/>
    <w:qFormat/>
    <w:rsid w:val="0088120A"/>
    <w:pPr>
      <w:spacing w:before="120" w:after="240"/>
      <w:ind w:left="0"/>
    </w:pPr>
  </w:style>
  <w:style w:type="character" w:customStyle="1" w:styleId="BodytextChar">
    <w:name w:val="Body text Char"/>
    <w:link w:val="BodyText1"/>
    <w:rsid w:val="0088120A"/>
    <w:rPr>
      <w:sz w:val="24"/>
      <w:szCs w:val="24"/>
    </w:rPr>
  </w:style>
  <w:style w:type="paragraph" w:styleId="ListParagraph">
    <w:name w:val="List Paragraph"/>
    <w:basedOn w:val="Normal"/>
    <w:uiPriority w:val="34"/>
    <w:qFormat/>
    <w:rsid w:val="0088120A"/>
    <w:pPr>
      <w:ind w:left="720"/>
    </w:pPr>
  </w:style>
  <w:style w:type="paragraph" w:customStyle="1" w:styleId="subsection">
    <w:name w:val="subsection"/>
    <w:aliases w:val="ss,Subsection"/>
    <w:basedOn w:val="Normal"/>
    <w:link w:val="subsectionChar"/>
    <w:rsid w:val="007B459F"/>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7B459F"/>
    <w:rPr>
      <w:sz w:val="22"/>
    </w:rPr>
  </w:style>
  <w:style w:type="paragraph" w:styleId="NormalWeb">
    <w:name w:val="Normal (Web)"/>
    <w:basedOn w:val="Normal"/>
    <w:uiPriority w:val="99"/>
    <w:unhideWhenUsed/>
    <w:rsid w:val="00967096"/>
    <w:pPr>
      <w:spacing w:before="100" w:beforeAutospacing="1" w:after="100" w:afterAutospacing="1"/>
    </w:pPr>
  </w:style>
  <w:style w:type="paragraph" w:customStyle="1" w:styleId="ShortT">
    <w:name w:val="ShortT"/>
    <w:basedOn w:val="Normal"/>
    <w:next w:val="Normal"/>
    <w:qFormat/>
    <w:rsid w:val="00FF665A"/>
    <w:rPr>
      <w:b/>
      <w:sz w:val="40"/>
      <w:szCs w:val="20"/>
    </w:rPr>
  </w:style>
  <w:style w:type="paragraph" w:customStyle="1" w:styleId="bodytext10">
    <w:name w:val="bodytext1"/>
    <w:basedOn w:val="Normal"/>
    <w:rsid w:val="004F217A"/>
    <w:pPr>
      <w:spacing w:before="100" w:beforeAutospacing="1" w:after="100" w:afterAutospacing="1"/>
    </w:pPr>
    <w:rPr>
      <w:rFonts w:eastAsia="Calibri"/>
    </w:rPr>
  </w:style>
  <w:style w:type="paragraph" w:styleId="NoSpacing">
    <w:name w:val="No Spacing"/>
    <w:uiPriority w:val="1"/>
    <w:qFormat/>
    <w:rsid w:val="004017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88555">
      <w:bodyDiv w:val="1"/>
      <w:marLeft w:val="0"/>
      <w:marRight w:val="0"/>
      <w:marTop w:val="0"/>
      <w:marBottom w:val="0"/>
      <w:divBdr>
        <w:top w:val="none" w:sz="0" w:space="0" w:color="auto"/>
        <w:left w:val="none" w:sz="0" w:space="0" w:color="auto"/>
        <w:bottom w:val="none" w:sz="0" w:space="0" w:color="auto"/>
        <w:right w:val="none" w:sz="0" w:space="0" w:color="auto"/>
      </w:divBdr>
    </w:div>
    <w:div w:id="215169000">
      <w:bodyDiv w:val="1"/>
      <w:marLeft w:val="0"/>
      <w:marRight w:val="0"/>
      <w:marTop w:val="0"/>
      <w:marBottom w:val="0"/>
      <w:divBdr>
        <w:top w:val="none" w:sz="0" w:space="0" w:color="auto"/>
        <w:left w:val="none" w:sz="0" w:space="0" w:color="auto"/>
        <w:bottom w:val="none" w:sz="0" w:space="0" w:color="auto"/>
        <w:right w:val="none" w:sz="0" w:space="0" w:color="auto"/>
      </w:divBdr>
      <w:divsChild>
        <w:div w:id="975721535">
          <w:marLeft w:val="0"/>
          <w:marRight w:val="0"/>
          <w:marTop w:val="0"/>
          <w:marBottom w:val="0"/>
          <w:divBdr>
            <w:top w:val="none" w:sz="0" w:space="0" w:color="auto"/>
            <w:left w:val="none" w:sz="0" w:space="0" w:color="auto"/>
            <w:bottom w:val="none" w:sz="0" w:space="0" w:color="auto"/>
            <w:right w:val="none" w:sz="0" w:space="0" w:color="auto"/>
          </w:divBdr>
          <w:divsChild>
            <w:div w:id="233007593">
              <w:marLeft w:val="0"/>
              <w:marRight w:val="0"/>
              <w:marTop w:val="0"/>
              <w:marBottom w:val="0"/>
              <w:divBdr>
                <w:top w:val="none" w:sz="0" w:space="0" w:color="auto"/>
                <w:left w:val="none" w:sz="0" w:space="0" w:color="auto"/>
                <w:bottom w:val="none" w:sz="0" w:space="0" w:color="auto"/>
                <w:right w:val="none" w:sz="0" w:space="0" w:color="auto"/>
              </w:divBdr>
              <w:divsChild>
                <w:div w:id="1315142141">
                  <w:marLeft w:val="0"/>
                  <w:marRight w:val="0"/>
                  <w:marTop w:val="0"/>
                  <w:marBottom w:val="0"/>
                  <w:divBdr>
                    <w:top w:val="none" w:sz="0" w:space="0" w:color="auto"/>
                    <w:left w:val="none" w:sz="0" w:space="0" w:color="auto"/>
                    <w:bottom w:val="none" w:sz="0" w:space="0" w:color="auto"/>
                    <w:right w:val="none" w:sz="0" w:space="0" w:color="auto"/>
                  </w:divBdr>
                  <w:divsChild>
                    <w:div w:id="604460840">
                      <w:marLeft w:val="0"/>
                      <w:marRight w:val="0"/>
                      <w:marTop w:val="0"/>
                      <w:marBottom w:val="0"/>
                      <w:divBdr>
                        <w:top w:val="none" w:sz="0" w:space="0" w:color="auto"/>
                        <w:left w:val="none" w:sz="0" w:space="0" w:color="auto"/>
                        <w:bottom w:val="none" w:sz="0" w:space="0" w:color="auto"/>
                        <w:right w:val="none" w:sz="0" w:space="0" w:color="auto"/>
                      </w:divBdr>
                      <w:divsChild>
                        <w:div w:id="152719363">
                          <w:marLeft w:val="0"/>
                          <w:marRight w:val="0"/>
                          <w:marTop w:val="0"/>
                          <w:marBottom w:val="0"/>
                          <w:divBdr>
                            <w:top w:val="none" w:sz="0" w:space="0" w:color="auto"/>
                            <w:left w:val="none" w:sz="0" w:space="0" w:color="auto"/>
                            <w:bottom w:val="none" w:sz="0" w:space="0" w:color="auto"/>
                            <w:right w:val="none" w:sz="0" w:space="0" w:color="auto"/>
                          </w:divBdr>
                          <w:divsChild>
                            <w:div w:id="264385083">
                              <w:marLeft w:val="0"/>
                              <w:marRight w:val="0"/>
                              <w:marTop w:val="0"/>
                              <w:marBottom w:val="0"/>
                              <w:divBdr>
                                <w:top w:val="none" w:sz="0" w:space="0" w:color="auto"/>
                                <w:left w:val="none" w:sz="0" w:space="0" w:color="auto"/>
                                <w:bottom w:val="none" w:sz="0" w:space="0" w:color="auto"/>
                                <w:right w:val="none" w:sz="0" w:space="0" w:color="auto"/>
                              </w:divBdr>
                              <w:divsChild>
                                <w:div w:id="1348218690">
                                  <w:marLeft w:val="0"/>
                                  <w:marRight w:val="0"/>
                                  <w:marTop w:val="0"/>
                                  <w:marBottom w:val="0"/>
                                  <w:divBdr>
                                    <w:top w:val="none" w:sz="0" w:space="0" w:color="auto"/>
                                    <w:left w:val="none" w:sz="0" w:space="0" w:color="auto"/>
                                    <w:bottom w:val="none" w:sz="0" w:space="0" w:color="auto"/>
                                    <w:right w:val="none" w:sz="0" w:space="0" w:color="auto"/>
                                  </w:divBdr>
                                  <w:divsChild>
                                    <w:div w:id="1519542444">
                                      <w:marLeft w:val="0"/>
                                      <w:marRight w:val="0"/>
                                      <w:marTop w:val="0"/>
                                      <w:marBottom w:val="0"/>
                                      <w:divBdr>
                                        <w:top w:val="none" w:sz="0" w:space="0" w:color="auto"/>
                                        <w:left w:val="none" w:sz="0" w:space="0" w:color="auto"/>
                                        <w:bottom w:val="none" w:sz="0" w:space="0" w:color="auto"/>
                                        <w:right w:val="none" w:sz="0" w:space="0" w:color="auto"/>
                                      </w:divBdr>
                                      <w:divsChild>
                                        <w:div w:id="35351872">
                                          <w:marLeft w:val="0"/>
                                          <w:marRight w:val="0"/>
                                          <w:marTop w:val="0"/>
                                          <w:marBottom w:val="0"/>
                                          <w:divBdr>
                                            <w:top w:val="none" w:sz="0" w:space="0" w:color="auto"/>
                                            <w:left w:val="none" w:sz="0" w:space="0" w:color="auto"/>
                                            <w:bottom w:val="none" w:sz="0" w:space="0" w:color="auto"/>
                                            <w:right w:val="none" w:sz="0" w:space="0" w:color="auto"/>
                                          </w:divBdr>
                                          <w:divsChild>
                                            <w:div w:id="77797985">
                                              <w:marLeft w:val="0"/>
                                              <w:marRight w:val="0"/>
                                              <w:marTop w:val="0"/>
                                              <w:marBottom w:val="0"/>
                                              <w:divBdr>
                                                <w:top w:val="none" w:sz="0" w:space="0" w:color="auto"/>
                                                <w:left w:val="none" w:sz="0" w:space="0" w:color="auto"/>
                                                <w:bottom w:val="none" w:sz="0" w:space="0" w:color="auto"/>
                                                <w:right w:val="none" w:sz="0" w:space="0" w:color="auto"/>
                                              </w:divBdr>
                                              <w:divsChild>
                                                <w:div w:id="2081324077">
                                                  <w:marLeft w:val="0"/>
                                                  <w:marRight w:val="0"/>
                                                  <w:marTop w:val="0"/>
                                                  <w:marBottom w:val="0"/>
                                                  <w:divBdr>
                                                    <w:top w:val="none" w:sz="0" w:space="0" w:color="auto"/>
                                                    <w:left w:val="none" w:sz="0" w:space="0" w:color="auto"/>
                                                    <w:bottom w:val="none" w:sz="0" w:space="0" w:color="auto"/>
                                                    <w:right w:val="none" w:sz="0" w:space="0" w:color="auto"/>
                                                  </w:divBdr>
                                                  <w:divsChild>
                                                    <w:div w:id="1892157407">
                                                      <w:marLeft w:val="0"/>
                                                      <w:marRight w:val="0"/>
                                                      <w:marTop w:val="0"/>
                                                      <w:marBottom w:val="0"/>
                                                      <w:divBdr>
                                                        <w:top w:val="none" w:sz="0" w:space="0" w:color="auto"/>
                                                        <w:left w:val="none" w:sz="0" w:space="0" w:color="auto"/>
                                                        <w:bottom w:val="none" w:sz="0" w:space="0" w:color="auto"/>
                                                        <w:right w:val="none" w:sz="0" w:space="0" w:color="auto"/>
                                                      </w:divBdr>
                                                      <w:divsChild>
                                                        <w:div w:id="14981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0283585">
      <w:bodyDiv w:val="1"/>
      <w:marLeft w:val="0"/>
      <w:marRight w:val="0"/>
      <w:marTop w:val="0"/>
      <w:marBottom w:val="0"/>
      <w:divBdr>
        <w:top w:val="none" w:sz="0" w:space="0" w:color="auto"/>
        <w:left w:val="none" w:sz="0" w:space="0" w:color="auto"/>
        <w:bottom w:val="none" w:sz="0" w:space="0" w:color="auto"/>
        <w:right w:val="none" w:sz="0" w:space="0" w:color="auto"/>
      </w:divBdr>
    </w:div>
    <w:div w:id="611976756">
      <w:bodyDiv w:val="1"/>
      <w:marLeft w:val="0"/>
      <w:marRight w:val="0"/>
      <w:marTop w:val="0"/>
      <w:marBottom w:val="0"/>
      <w:divBdr>
        <w:top w:val="none" w:sz="0" w:space="0" w:color="auto"/>
        <w:left w:val="none" w:sz="0" w:space="0" w:color="auto"/>
        <w:bottom w:val="none" w:sz="0" w:space="0" w:color="auto"/>
        <w:right w:val="none" w:sz="0" w:space="0" w:color="auto"/>
      </w:divBdr>
      <w:divsChild>
        <w:div w:id="362830835">
          <w:marLeft w:val="0"/>
          <w:marRight w:val="0"/>
          <w:marTop w:val="0"/>
          <w:marBottom w:val="0"/>
          <w:divBdr>
            <w:top w:val="none" w:sz="0" w:space="0" w:color="auto"/>
            <w:left w:val="none" w:sz="0" w:space="0" w:color="auto"/>
            <w:bottom w:val="none" w:sz="0" w:space="0" w:color="auto"/>
            <w:right w:val="none" w:sz="0" w:space="0" w:color="auto"/>
          </w:divBdr>
          <w:divsChild>
            <w:div w:id="340738657">
              <w:marLeft w:val="0"/>
              <w:marRight w:val="0"/>
              <w:marTop w:val="0"/>
              <w:marBottom w:val="0"/>
              <w:divBdr>
                <w:top w:val="none" w:sz="0" w:space="0" w:color="auto"/>
                <w:left w:val="none" w:sz="0" w:space="0" w:color="auto"/>
                <w:bottom w:val="none" w:sz="0" w:space="0" w:color="auto"/>
                <w:right w:val="none" w:sz="0" w:space="0" w:color="auto"/>
              </w:divBdr>
              <w:divsChild>
                <w:div w:id="1094084786">
                  <w:marLeft w:val="0"/>
                  <w:marRight w:val="0"/>
                  <w:marTop w:val="0"/>
                  <w:marBottom w:val="0"/>
                  <w:divBdr>
                    <w:top w:val="none" w:sz="0" w:space="0" w:color="auto"/>
                    <w:left w:val="none" w:sz="0" w:space="0" w:color="auto"/>
                    <w:bottom w:val="none" w:sz="0" w:space="0" w:color="auto"/>
                    <w:right w:val="none" w:sz="0" w:space="0" w:color="auto"/>
                  </w:divBdr>
                  <w:divsChild>
                    <w:div w:id="1882009692">
                      <w:marLeft w:val="0"/>
                      <w:marRight w:val="0"/>
                      <w:marTop w:val="0"/>
                      <w:marBottom w:val="0"/>
                      <w:divBdr>
                        <w:top w:val="none" w:sz="0" w:space="0" w:color="auto"/>
                        <w:left w:val="none" w:sz="0" w:space="0" w:color="auto"/>
                        <w:bottom w:val="none" w:sz="0" w:space="0" w:color="auto"/>
                        <w:right w:val="none" w:sz="0" w:space="0" w:color="auto"/>
                      </w:divBdr>
                      <w:divsChild>
                        <w:div w:id="876969899">
                          <w:marLeft w:val="0"/>
                          <w:marRight w:val="0"/>
                          <w:marTop w:val="0"/>
                          <w:marBottom w:val="0"/>
                          <w:divBdr>
                            <w:top w:val="none" w:sz="0" w:space="0" w:color="auto"/>
                            <w:left w:val="none" w:sz="0" w:space="0" w:color="auto"/>
                            <w:bottom w:val="none" w:sz="0" w:space="0" w:color="auto"/>
                            <w:right w:val="none" w:sz="0" w:space="0" w:color="auto"/>
                          </w:divBdr>
                          <w:divsChild>
                            <w:div w:id="1440298793">
                              <w:marLeft w:val="0"/>
                              <w:marRight w:val="0"/>
                              <w:marTop w:val="0"/>
                              <w:marBottom w:val="0"/>
                              <w:divBdr>
                                <w:top w:val="none" w:sz="0" w:space="0" w:color="auto"/>
                                <w:left w:val="none" w:sz="0" w:space="0" w:color="auto"/>
                                <w:bottom w:val="none" w:sz="0" w:space="0" w:color="auto"/>
                                <w:right w:val="none" w:sz="0" w:space="0" w:color="auto"/>
                              </w:divBdr>
                              <w:divsChild>
                                <w:div w:id="2053579504">
                                  <w:marLeft w:val="0"/>
                                  <w:marRight w:val="0"/>
                                  <w:marTop w:val="0"/>
                                  <w:marBottom w:val="0"/>
                                  <w:divBdr>
                                    <w:top w:val="none" w:sz="0" w:space="0" w:color="auto"/>
                                    <w:left w:val="none" w:sz="0" w:space="0" w:color="auto"/>
                                    <w:bottom w:val="none" w:sz="0" w:space="0" w:color="auto"/>
                                    <w:right w:val="none" w:sz="0" w:space="0" w:color="auto"/>
                                  </w:divBdr>
                                  <w:divsChild>
                                    <w:div w:id="169762946">
                                      <w:marLeft w:val="0"/>
                                      <w:marRight w:val="0"/>
                                      <w:marTop w:val="0"/>
                                      <w:marBottom w:val="0"/>
                                      <w:divBdr>
                                        <w:top w:val="none" w:sz="0" w:space="0" w:color="auto"/>
                                        <w:left w:val="none" w:sz="0" w:space="0" w:color="auto"/>
                                        <w:bottom w:val="none" w:sz="0" w:space="0" w:color="auto"/>
                                        <w:right w:val="none" w:sz="0" w:space="0" w:color="auto"/>
                                      </w:divBdr>
                                      <w:divsChild>
                                        <w:div w:id="1281259999">
                                          <w:marLeft w:val="0"/>
                                          <w:marRight w:val="0"/>
                                          <w:marTop w:val="0"/>
                                          <w:marBottom w:val="0"/>
                                          <w:divBdr>
                                            <w:top w:val="none" w:sz="0" w:space="0" w:color="auto"/>
                                            <w:left w:val="none" w:sz="0" w:space="0" w:color="auto"/>
                                            <w:bottom w:val="none" w:sz="0" w:space="0" w:color="auto"/>
                                            <w:right w:val="none" w:sz="0" w:space="0" w:color="auto"/>
                                          </w:divBdr>
                                          <w:divsChild>
                                            <w:div w:id="1165974713">
                                              <w:marLeft w:val="0"/>
                                              <w:marRight w:val="0"/>
                                              <w:marTop w:val="0"/>
                                              <w:marBottom w:val="0"/>
                                              <w:divBdr>
                                                <w:top w:val="none" w:sz="0" w:space="0" w:color="auto"/>
                                                <w:left w:val="none" w:sz="0" w:space="0" w:color="auto"/>
                                                <w:bottom w:val="none" w:sz="0" w:space="0" w:color="auto"/>
                                                <w:right w:val="none" w:sz="0" w:space="0" w:color="auto"/>
                                              </w:divBdr>
                                              <w:divsChild>
                                                <w:div w:id="1747989896">
                                                  <w:marLeft w:val="0"/>
                                                  <w:marRight w:val="0"/>
                                                  <w:marTop w:val="0"/>
                                                  <w:marBottom w:val="0"/>
                                                  <w:divBdr>
                                                    <w:top w:val="none" w:sz="0" w:space="0" w:color="auto"/>
                                                    <w:left w:val="none" w:sz="0" w:space="0" w:color="auto"/>
                                                    <w:bottom w:val="none" w:sz="0" w:space="0" w:color="auto"/>
                                                    <w:right w:val="none" w:sz="0" w:space="0" w:color="auto"/>
                                                  </w:divBdr>
                                                  <w:divsChild>
                                                    <w:div w:id="19547891">
                                                      <w:marLeft w:val="0"/>
                                                      <w:marRight w:val="0"/>
                                                      <w:marTop w:val="0"/>
                                                      <w:marBottom w:val="0"/>
                                                      <w:divBdr>
                                                        <w:top w:val="none" w:sz="0" w:space="0" w:color="auto"/>
                                                        <w:left w:val="none" w:sz="0" w:space="0" w:color="auto"/>
                                                        <w:bottom w:val="none" w:sz="0" w:space="0" w:color="auto"/>
                                                        <w:right w:val="none" w:sz="0" w:space="0" w:color="auto"/>
                                                      </w:divBdr>
                                                      <w:divsChild>
                                                        <w:div w:id="6420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6218676">
      <w:bodyDiv w:val="1"/>
      <w:marLeft w:val="0"/>
      <w:marRight w:val="0"/>
      <w:marTop w:val="0"/>
      <w:marBottom w:val="0"/>
      <w:divBdr>
        <w:top w:val="none" w:sz="0" w:space="0" w:color="auto"/>
        <w:left w:val="none" w:sz="0" w:space="0" w:color="auto"/>
        <w:bottom w:val="none" w:sz="0" w:space="0" w:color="auto"/>
        <w:right w:val="none" w:sz="0" w:space="0" w:color="auto"/>
      </w:divBdr>
      <w:divsChild>
        <w:div w:id="2017730494">
          <w:marLeft w:val="0"/>
          <w:marRight w:val="0"/>
          <w:marTop w:val="0"/>
          <w:marBottom w:val="0"/>
          <w:divBdr>
            <w:top w:val="none" w:sz="0" w:space="0" w:color="auto"/>
            <w:left w:val="none" w:sz="0" w:space="0" w:color="auto"/>
            <w:bottom w:val="none" w:sz="0" w:space="0" w:color="auto"/>
            <w:right w:val="none" w:sz="0" w:space="0" w:color="auto"/>
          </w:divBdr>
          <w:divsChild>
            <w:div w:id="1853301112">
              <w:marLeft w:val="0"/>
              <w:marRight w:val="0"/>
              <w:marTop w:val="0"/>
              <w:marBottom w:val="0"/>
              <w:divBdr>
                <w:top w:val="none" w:sz="0" w:space="0" w:color="auto"/>
                <w:left w:val="none" w:sz="0" w:space="0" w:color="auto"/>
                <w:bottom w:val="none" w:sz="0" w:space="0" w:color="auto"/>
                <w:right w:val="none" w:sz="0" w:space="0" w:color="auto"/>
              </w:divBdr>
              <w:divsChild>
                <w:div w:id="362562948">
                  <w:marLeft w:val="0"/>
                  <w:marRight w:val="0"/>
                  <w:marTop w:val="0"/>
                  <w:marBottom w:val="0"/>
                  <w:divBdr>
                    <w:top w:val="none" w:sz="0" w:space="0" w:color="auto"/>
                    <w:left w:val="none" w:sz="0" w:space="0" w:color="auto"/>
                    <w:bottom w:val="none" w:sz="0" w:space="0" w:color="auto"/>
                    <w:right w:val="none" w:sz="0" w:space="0" w:color="auto"/>
                  </w:divBdr>
                  <w:divsChild>
                    <w:div w:id="148526166">
                      <w:marLeft w:val="0"/>
                      <w:marRight w:val="0"/>
                      <w:marTop w:val="0"/>
                      <w:marBottom w:val="0"/>
                      <w:divBdr>
                        <w:top w:val="none" w:sz="0" w:space="0" w:color="auto"/>
                        <w:left w:val="none" w:sz="0" w:space="0" w:color="auto"/>
                        <w:bottom w:val="none" w:sz="0" w:space="0" w:color="auto"/>
                        <w:right w:val="none" w:sz="0" w:space="0" w:color="auto"/>
                      </w:divBdr>
                      <w:divsChild>
                        <w:div w:id="473640433">
                          <w:marLeft w:val="0"/>
                          <w:marRight w:val="0"/>
                          <w:marTop w:val="0"/>
                          <w:marBottom w:val="0"/>
                          <w:divBdr>
                            <w:top w:val="none" w:sz="0" w:space="0" w:color="auto"/>
                            <w:left w:val="none" w:sz="0" w:space="0" w:color="auto"/>
                            <w:bottom w:val="none" w:sz="0" w:space="0" w:color="auto"/>
                            <w:right w:val="none" w:sz="0" w:space="0" w:color="auto"/>
                          </w:divBdr>
                          <w:divsChild>
                            <w:div w:id="585385135">
                              <w:marLeft w:val="0"/>
                              <w:marRight w:val="0"/>
                              <w:marTop w:val="0"/>
                              <w:marBottom w:val="0"/>
                              <w:divBdr>
                                <w:top w:val="none" w:sz="0" w:space="0" w:color="auto"/>
                                <w:left w:val="none" w:sz="0" w:space="0" w:color="auto"/>
                                <w:bottom w:val="none" w:sz="0" w:space="0" w:color="auto"/>
                                <w:right w:val="none" w:sz="0" w:space="0" w:color="auto"/>
                              </w:divBdr>
                              <w:divsChild>
                                <w:div w:id="8472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469345">
      <w:bodyDiv w:val="1"/>
      <w:marLeft w:val="0"/>
      <w:marRight w:val="0"/>
      <w:marTop w:val="0"/>
      <w:marBottom w:val="0"/>
      <w:divBdr>
        <w:top w:val="none" w:sz="0" w:space="0" w:color="auto"/>
        <w:left w:val="none" w:sz="0" w:space="0" w:color="auto"/>
        <w:bottom w:val="none" w:sz="0" w:space="0" w:color="auto"/>
        <w:right w:val="none" w:sz="0" w:space="0" w:color="auto"/>
      </w:divBdr>
    </w:div>
    <w:div w:id="16222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F8AB0-F94B-4FD8-B670-593EFB8AB4AD}">
  <ds:schemaRefs>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6163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Charlton, Mandy</cp:lastModifiedBy>
  <cp:revision>2</cp:revision>
  <cp:lastPrinted>2020-01-31T06:35:00Z</cp:lastPrinted>
  <dcterms:created xsi:type="dcterms:W3CDTF">2020-03-25T09:29:00Z</dcterms:created>
  <dcterms:modified xsi:type="dcterms:W3CDTF">2020-03-25T09:29:00Z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