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43D87" w14:textId="7FE90638" w:rsidR="002436BD" w:rsidRPr="002C6D26" w:rsidRDefault="00E62E09" w:rsidP="001A2234">
      <w:pPr>
        <w:pStyle w:val="Heading"/>
        <w:spacing w:after="240"/>
        <w:jc w:val="center"/>
        <w:rPr>
          <w:rFonts w:ascii="Times New Roman" w:hAnsi="Times New Roman"/>
          <w:sz w:val="24"/>
          <w:szCs w:val="24"/>
        </w:rPr>
      </w:pPr>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 xml:space="preserve">determination </w:t>
      </w:r>
      <w:r w:rsidR="002436BD" w:rsidRPr="008C1B04">
        <w:rPr>
          <w:rFonts w:ascii="Times New Roman" w:hAnsi="Times New Roman"/>
          <w:sz w:val="24"/>
          <w:szCs w:val="24"/>
        </w:rPr>
        <w:t>No.</w:t>
      </w:r>
      <w:r w:rsidR="00C643D4" w:rsidRPr="008C1B04">
        <w:rPr>
          <w:rFonts w:ascii="Times New Roman" w:hAnsi="Times New Roman"/>
          <w:sz w:val="24"/>
          <w:szCs w:val="24"/>
        </w:rPr>
        <w:t xml:space="preserve"> </w:t>
      </w:r>
      <w:r w:rsidR="00E63AC5">
        <w:rPr>
          <w:rFonts w:ascii="Times New Roman" w:hAnsi="Times New Roman"/>
          <w:sz w:val="24"/>
          <w:szCs w:val="24"/>
        </w:rPr>
        <w:t>3</w:t>
      </w:r>
      <w:r w:rsidR="00C643D4">
        <w:rPr>
          <w:rFonts w:ascii="Times New Roman" w:hAnsi="Times New Roman"/>
          <w:sz w:val="24"/>
          <w:szCs w:val="24"/>
        </w:rPr>
        <w:t xml:space="preserve"> </w:t>
      </w:r>
      <w:r w:rsidR="00552287">
        <w:rPr>
          <w:rFonts w:ascii="Times New Roman" w:hAnsi="Times New Roman"/>
          <w:sz w:val="24"/>
          <w:szCs w:val="24"/>
        </w:rPr>
        <w:t>of 20</w:t>
      </w:r>
      <w:r w:rsidR="00E63AC5">
        <w:rPr>
          <w:rFonts w:ascii="Times New Roman" w:hAnsi="Times New Roman"/>
          <w:sz w:val="24"/>
          <w:szCs w:val="24"/>
        </w:rPr>
        <w:t>20</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Pr="00786947" w:rsidRDefault="001A2ADB" w:rsidP="001A2234">
      <w:pPr>
        <w:pStyle w:val="heading0"/>
        <w:spacing w:before="0" w:beforeAutospacing="0" w:after="240" w:afterAutospacing="0"/>
        <w:jc w:val="center"/>
      </w:pPr>
      <w:r>
        <w:rPr>
          <w:i/>
          <w:iCs/>
        </w:rPr>
        <w:t>Financial Sector (Collection of Data) Act 2001</w:t>
      </w:r>
      <w:r>
        <w:t xml:space="preserve">, </w:t>
      </w:r>
      <w:r w:rsidRPr="004B3A2A">
        <w:t>sections 13 and 15</w:t>
      </w:r>
    </w:p>
    <w:p w14:paraId="6A5906BF" w14:textId="77777777" w:rsidR="00380068" w:rsidRDefault="00380068" w:rsidP="001A2234">
      <w:pPr>
        <w:pStyle w:val="heading0"/>
        <w:spacing w:before="0" w:beforeAutospacing="0" w:after="240" w:afterAutospacing="0"/>
        <w:jc w:val="center"/>
      </w:pPr>
      <w:r w:rsidRPr="00786947">
        <w:rPr>
          <w:i/>
        </w:rPr>
        <w:t>Acts Interpretation Act 1901</w:t>
      </w:r>
      <w:r w:rsidRPr="00786947">
        <w:t xml:space="preserve">, </w:t>
      </w:r>
      <w:r w:rsidRPr="004B3A2A">
        <w:t>section 33</w:t>
      </w:r>
    </w:p>
    <w:p w14:paraId="7464B2FD" w14:textId="4AFD5DC2" w:rsidR="002436BD" w:rsidRPr="002C6D26" w:rsidRDefault="002436BD" w:rsidP="000C706C">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sidRPr="00BD6360">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227DD99" w14:textId="65867FF3" w:rsidR="00FF29C7" w:rsidRDefault="00246723" w:rsidP="000C706C">
      <w:pPr>
        <w:jc w:val="both"/>
        <w:rPr>
          <w:rFonts w:ascii="Times New Roman" w:hAnsi="Times New Roman"/>
          <w:sz w:val="24"/>
        </w:rPr>
      </w:pPr>
      <w:r w:rsidRPr="00C333B7">
        <w:rPr>
          <w:rFonts w:ascii="Times New Roman" w:hAnsi="Times New Roman"/>
          <w:sz w:val="24"/>
          <w:szCs w:val="24"/>
        </w:rPr>
        <w:t xml:space="preserve">On </w:t>
      </w:r>
      <w:r w:rsidR="00C333B7" w:rsidRPr="00C333B7">
        <w:rPr>
          <w:rFonts w:ascii="Times New Roman" w:hAnsi="Times New Roman"/>
          <w:sz w:val="24"/>
          <w:szCs w:val="24"/>
        </w:rPr>
        <w:t>26</w:t>
      </w:r>
      <w:r w:rsidR="00BA284A" w:rsidRPr="00C333B7">
        <w:rPr>
          <w:rFonts w:ascii="Times New Roman" w:hAnsi="Times New Roman"/>
          <w:sz w:val="24"/>
          <w:szCs w:val="24"/>
        </w:rPr>
        <w:t xml:space="preserve"> </w:t>
      </w:r>
      <w:r w:rsidR="00E63AC5" w:rsidRPr="00C333B7">
        <w:rPr>
          <w:rFonts w:ascii="Times New Roman" w:hAnsi="Times New Roman"/>
          <w:sz w:val="24"/>
          <w:szCs w:val="24"/>
        </w:rPr>
        <w:t>March 2020</w:t>
      </w:r>
      <w:r w:rsidRPr="00C333B7">
        <w:rPr>
          <w:rFonts w:ascii="Times New Roman" w:hAnsi="Times New Roman"/>
          <w:sz w:val="24"/>
          <w:szCs w:val="24"/>
        </w:rPr>
        <w:t>,</w:t>
      </w:r>
      <w:r w:rsidRPr="00246723">
        <w:rPr>
          <w:rFonts w:ascii="Times New Roman" w:hAnsi="Times New Roman"/>
          <w:sz w:val="24"/>
          <w:szCs w:val="24"/>
        </w:rPr>
        <w:t xml:space="preserve"> </w:t>
      </w:r>
      <w:r w:rsidR="002F1F01" w:rsidRPr="00D204CC">
        <w:rPr>
          <w:rFonts w:ascii="Times New Roman" w:hAnsi="Times New Roman"/>
          <w:sz w:val="24"/>
        </w:rPr>
        <w:t xml:space="preserve">APRA made Financial Sector (Collection of Data) (reporting standard) </w:t>
      </w:r>
      <w:r w:rsidR="002F1F01" w:rsidRPr="00083B05">
        <w:rPr>
          <w:rFonts w:ascii="Times New Roman" w:hAnsi="Times New Roman"/>
          <w:sz w:val="24"/>
        </w:rPr>
        <w:t xml:space="preserve">determination </w:t>
      </w:r>
      <w:r w:rsidR="002F1F01" w:rsidRPr="00554554">
        <w:rPr>
          <w:rFonts w:ascii="Times New Roman" w:hAnsi="Times New Roman"/>
          <w:sz w:val="24"/>
        </w:rPr>
        <w:t xml:space="preserve">No. </w:t>
      </w:r>
      <w:r w:rsidR="00554554" w:rsidRPr="00554554">
        <w:rPr>
          <w:rFonts w:ascii="Times New Roman" w:hAnsi="Times New Roman"/>
          <w:sz w:val="24"/>
        </w:rPr>
        <w:t>3</w:t>
      </w:r>
      <w:r w:rsidR="002F1F01" w:rsidRPr="00554554">
        <w:rPr>
          <w:rFonts w:ascii="Times New Roman" w:hAnsi="Times New Roman"/>
          <w:sz w:val="24"/>
        </w:rPr>
        <w:t xml:space="preserve"> of 20</w:t>
      </w:r>
      <w:r w:rsidR="00E63AC5">
        <w:rPr>
          <w:rFonts w:ascii="Times New Roman" w:hAnsi="Times New Roman"/>
          <w:sz w:val="24"/>
        </w:rPr>
        <w:t>20</w:t>
      </w:r>
      <w:r w:rsidR="002F1F01" w:rsidRPr="00083B05">
        <w:rPr>
          <w:rFonts w:ascii="Times New Roman" w:hAnsi="Times New Roman"/>
          <w:sz w:val="24"/>
        </w:rPr>
        <w:t xml:space="preserve"> (the instrument) which </w:t>
      </w:r>
      <w:r w:rsidR="002F1F01">
        <w:rPr>
          <w:rFonts w:ascii="Times New Roman" w:hAnsi="Times New Roman"/>
          <w:sz w:val="24"/>
        </w:rPr>
        <w:t xml:space="preserve">revokes </w:t>
      </w:r>
      <w:r w:rsidR="002F1F01" w:rsidRPr="009D4CF3">
        <w:rPr>
          <w:rFonts w:ascii="Times New Roman" w:hAnsi="Times New Roman"/>
          <w:i/>
          <w:sz w:val="24"/>
        </w:rPr>
        <w:t>Reporting Standard ARS 221.0 Large Exposures</w:t>
      </w:r>
      <w:r w:rsidR="002F1F01">
        <w:rPr>
          <w:rFonts w:ascii="Times New Roman" w:hAnsi="Times New Roman"/>
          <w:sz w:val="24"/>
        </w:rPr>
        <w:t xml:space="preserve"> made under Financial Sector (Collection of Data) </w:t>
      </w:r>
      <w:r w:rsidR="002F1F01" w:rsidRPr="00554554">
        <w:rPr>
          <w:rFonts w:ascii="Times New Roman" w:hAnsi="Times New Roman"/>
          <w:sz w:val="24"/>
        </w:rPr>
        <w:t>(reporting standard)</w:t>
      </w:r>
      <w:r w:rsidR="002F1F01">
        <w:rPr>
          <w:rFonts w:ascii="Times New Roman" w:hAnsi="Times New Roman"/>
          <w:sz w:val="24"/>
        </w:rPr>
        <w:t xml:space="preserve"> determination No. 41 of 2018 and </w:t>
      </w:r>
      <w:r w:rsidR="002F1F01" w:rsidRPr="00083B05">
        <w:rPr>
          <w:rFonts w:ascii="Times New Roman" w:hAnsi="Times New Roman"/>
          <w:sz w:val="24"/>
        </w:rPr>
        <w:t>determines</w:t>
      </w:r>
      <w:r w:rsidR="002F1F01">
        <w:rPr>
          <w:rFonts w:ascii="Times New Roman" w:hAnsi="Times New Roman"/>
          <w:sz w:val="24"/>
        </w:rPr>
        <w:t xml:space="preserve"> a new</w:t>
      </w:r>
      <w:r w:rsidR="002F1F01" w:rsidRPr="00083B05">
        <w:rPr>
          <w:rFonts w:ascii="Times New Roman" w:hAnsi="Times New Roman"/>
          <w:sz w:val="24"/>
        </w:rPr>
        <w:t xml:space="preserve"> </w:t>
      </w:r>
      <w:r w:rsidR="002F1F01" w:rsidRPr="00083B05">
        <w:rPr>
          <w:rFonts w:ascii="Times New Roman" w:hAnsi="Times New Roman"/>
          <w:i/>
          <w:sz w:val="24"/>
        </w:rPr>
        <w:t>Reporting Standard ARS</w:t>
      </w:r>
      <w:r w:rsidR="002F1F01" w:rsidRPr="00D204CC">
        <w:rPr>
          <w:rFonts w:ascii="Times New Roman" w:hAnsi="Times New Roman"/>
          <w:i/>
          <w:sz w:val="24"/>
        </w:rPr>
        <w:t xml:space="preserve"> 221.0 Large Exposures </w:t>
      </w:r>
      <w:r w:rsidR="002F1F01" w:rsidRPr="00D204CC">
        <w:rPr>
          <w:rFonts w:ascii="Times New Roman" w:hAnsi="Times New Roman"/>
          <w:sz w:val="24"/>
        </w:rPr>
        <w:t>(ARS 221.0).</w:t>
      </w:r>
    </w:p>
    <w:p w14:paraId="476E4CBF" w14:textId="77777777" w:rsidR="00FF29C7" w:rsidRDefault="00FF29C7" w:rsidP="000C706C">
      <w:pPr>
        <w:jc w:val="both"/>
        <w:rPr>
          <w:rFonts w:ascii="Times New Roman" w:hAnsi="Times New Roman"/>
          <w:sz w:val="24"/>
          <w:szCs w:val="24"/>
        </w:rPr>
      </w:pPr>
    </w:p>
    <w:p w14:paraId="00A7386E" w14:textId="1D402261" w:rsidR="00246723" w:rsidRDefault="00AC7A56" w:rsidP="000C706C">
      <w:pPr>
        <w:widowControl w:val="0"/>
        <w:spacing w:after="240"/>
        <w:jc w:val="both"/>
        <w:rPr>
          <w:rFonts w:ascii="Times New Roman" w:hAnsi="Times New Roman"/>
          <w:sz w:val="24"/>
          <w:szCs w:val="24"/>
        </w:rPr>
      </w:pPr>
      <w:r>
        <w:rPr>
          <w:rFonts w:ascii="Times New Roman" w:hAnsi="Times New Roman"/>
          <w:sz w:val="24"/>
          <w:szCs w:val="24"/>
        </w:rPr>
        <w:t>The instrument commence</w:t>
      </w:r>
      <w:r w:rsidR="0000465F">
        <w:rPr>
          <w:rFonts w:ascii="Times New Roman" w:hAnsi="Times New Roman"/>
          <w:sz w:val="24"/>
          <w:szCs w:val="24"/>
        </w:rPr>
        <w:t>s</w:t>
      </w:r>
      <w:r>
        <w:rPr>
          <w:rFonts w:ascii="Times New Roman" w:hAnsi="Times New Roman"/>
          <w:sz w:val="24"/>
          <w:szCs w:val="24"/>
        </w:rPr>
        <w:t xml:space="preserve"> on</w:t>
      </w:r>
      <w:r w:rsidR="00D50699">
        <w:rPr>
          <w:rFonts w:ascii="Times New Roman" w:hAnsi="Times New Roman"/>
          <w:sz w:val="24"/>
          <w:szCs w:val="24"/>
        </w:rPr>
        <w:t xml:space="preserve"> </w:t>
      </w:r>
      <w:r w:rsidR="00D50699" w:rsidRPr="002721FB">
        <w:rPr>
          <w:rFonts w:ascii="Times New Roman" w:hAnsi="Times New Roman"/>
          <w:sz w:val="24"/>
          <w:szCs w:val="24"/>
        </w:rPr>
        <w:t>1 January 202</w:t>
      </w:r>
      <w:r w:rsidR="00FF29C7" w:rsidRPr="002721FB">
        <w:rPr>
          <w:rFonts w:ascii="Times New Roman" w:hAnsi="Times New Roman"/>
          <w:sz w:val="24"/>
          <w:szCs w:val="24"/>
        </w:rPr>
        <w:t>0</w:t>
      </w:r>
      <w:r w:rsidR="00D50699">
        <w:rPr>
          <w:rFonts w:ascii="Times New Roman" w:hAnsi="Times New Roman"/>
          <w:sz w:val="24"/>
          <w:szCs w:val="24"/>
        </w:rPr>
        <w:t>.</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3A498D9E" w14:textId="306038F5" w:rsidR="002E06FC" w:rsidRPr="002E06FC" w:rsidRDefault="002E06FC" w:rsidP="003222ED">
      <w:pPr>
        <w:jc w:val="both"/>
        <w:rPr>
          <w:rFonts w:ascii="Times New Roman" w:hAnsi="Times New Roman"/>
          <w:b/>
          <w:color w:val="000000"/>
          <w:sz w:val="24"/>
        </w:rPr>
      </w:pPr>
      <w:bookmarkStart w:id="3" w:name="bkBackground"/>
      <w:bookmarkEnd w:id="3"/>
      <w:r w:rsidRPr="002E06FC">
        <w:rPr>
          <w:rFonts w:ascii="Times New Roman" w:hAnsi="Times New Roman"/>
          <w:sz w:val="24"/>
        </w:rPr>
        <w:t xml:space="preserve">APRA’s mandate is </w:t>
      </w:r>
      <w:r w:rsidR="005C56A7" w:rsidRPr="00612845">
        <w:rPr>
          <w:rFonts w:ascii="Times New Roman" w:hAnsi="Times New Roman"/>
          <w:color w:val="000000"/>
          <w:sz w:val="24"/>
          <w:szCs w:val="24"/>
          <w:shd w:val="clear" w:color="auto" w:fill="FFFFFF"/>
        </w:rPr>
        <w:t>to protect the Australian Community by establishing and enforcing prudential standards and practices designed to ensure that, under all reasonable circumstances, financial promises made by institutions we supervise are met within a stable, efficient and competitive financial system</w:t>
      </w:r>
      <w:r w:rsidRPr="002E06FC">
        <w:rPr>
          <w:rFonts w:ascii="Times New Roman" w:hAnsi="Times New Roman"/>
          <w:sz w:val="24"/>
        </w:rPr>
        <w:t xml:space="preserve">. A key component of this is requiring </w:t>
      </w:r>
      <w:r w:rsidR="00FD1ABB">
        <w:rPr>
          <w:rFonts w:ascii="Times New Roman" w:hAnsi="Times New Roman"/>
          <w:sz w:val="24"/>
        </w:rPr>
        <w:t>authorised deposit-taking institutions (</w:t>
      </w:r>
      <w:r w:rsidRPr="002E06FC">
        <w:rPr>
          <w:rFonts w:ascii="Times New Roman" w:hAnsi="Times New Roman"/>
          <w:sz w:val="24"/>
        </w:rPr>
        <w:t>ADIs</w:t>
      </w:r>
      <w:r w:rsidR="00FD1ABB">
        <w:rPr>
          <w:rFonts w:ascii="Times New Roman" w:hAnsi="Times New Roman"/>
          <w:sz w:val="24"/>
        </w:rPr>
        <w:t>)</w:t>
      </w:r>
      <w:r w:rsidRPr="002E06FC">
        <w:rPr>
          <w:rFonts w:ascii="Times New Roman" w:hAnsi="Times New Roman"/>
          <w:sz w:val="24"/>
        </w:rPr>
        <w:t xml:space="preserve"> to have prudent systems for identifying, measuring, evaluating, monitoring, reporting and controlling or mitigating material risks that may affect their ability to meet obligations to depositors.</w:t>
      </w:r>
    </w:p>
    <w:p w14:paraId="172A889A" w14:textId="77777777" w:rsidR="002E06FC" w:rsidRDefault="002E06FC" w:rsidP="003222ED">
      <w:pPr>
        <w:jc w:val="both"/>
        <w:rPr>
          <w:rFonts w:ascii="Times New Roman" w:hAnsi="Times New Roman"/>
          <w:sz w:val="24"/>
        </w:rPr>
      </w:pPr>
    </w:p>
    <w:p w14:paraId="63A80FA8" w14:textId="5E40916B" w:rsidR="006E07D4" w:rsidRDefault="002E06FC" w:rsidP="003222ED">
      <w:pPr>
        <w:jc w:val="both"/>
        <w:rPr>
          <w:rFonts w:ascii="Times New Roman" w:hAnsi="Times New Roman"/>
          <w:sz w:val="24"/>
        </w:rPr>
      </w:pPr>
      <w:r w:rsidRPr="002E06FC">
        <w:rPr>
          <w:rFonts w:ascii="Times New Roman" w:hAnsi="Times New Roman"/>
          <w:sz w:val="24"/>
        </w:rPr>
        <w:t xml:space="preserve">A risk concentration occurs when an ADI has a concentration of exposures to counterparties, industries, countries or particular asset classes. A large exposure is a type of risk concentration and is defined in </w:t>
      </w:r>
      <w:r w:rsidRPr="002E06FC">
        <w:rPr>
          <w:rFonts w:ascii="Times New Roman" w:hAnsi="Times New Roman"/>
          <w:i/>
          <w:sz w:val="24"/>
        </w:rPr>
        <w:t>Prudential Standard APS 221 Large Exposures</w:t>
      </w:r>
      <w:r w:rsidRPr="002E06FC">
        <w:rPr>
          <w:rFonts w:ascii="Times New Roman" w:hAnsi="Times New Roman"/>
          <w:sz w:val="24"/>
        </w:rPr>
        <w:t xml:space="preserve"> (APS 221) as an ADI’s exposure to an individual counterparty or a group of connected counterparties that is greater than, or equal to, 10 per cent of the ADI’s Tier 1 Capital. Large exposures have the potential to cause significant losses to an ADI as a result of a sudden default of a counterparty or a group of connected counterparties </w:t>
      </w:r>
      <w:r w:rsidR="00F71B45">
        <w:rPr>
          <w:rFonts w:ascii="Times New Roman" w:hAnsi="Times New Roman"/>
          <w:sz w:val="24"/>
        </w:rPr>
        <w:t xml:space="preserve">to </w:t>
      </w:r>
      <w:r w:rsidRPr="002E06FC">
        <w:rPr>
          <w:rFonts w:ascii="Times New Roman" w:hAnsi="Times New Roman"/>
          <w:sz w:val="24"/>
        </w:rPr>
        <w:t xml:space="preserve">which an ADI has </w:t>
      </w:r>
      <w:r w:rsidR="00017EB4">
        <w:rPr>
          <w:rFonts w:ascii="Times New Roman" w:hAnsi="Times New Roman"/>
          <w:sz w:val="24"/>
        </w:rPr>
        <w:t xml:space="preserve">an </w:t>
      </w:r>
      <w:r w:rsidRPr="002E06FC">
        <w:rPr>
          <w:rFonts w:ascii="Times New Roman" w:hAnsi="Times New Roman"/>
          <w:sz w:val="24"/>
        </w:rPr>
        <w:t>exposure</w:t>
      </w:r>
      <w:r w:rsidR="00E968F1">
        <w:rPr>
          <w:rFonts w:ascii="Times New Roman" w:hAnsi="Times New Roman"/>
          <w:sz w:val="24"/>
        </w:rPr>
        <w:t xml:space="preserve">. </w:t>
      </w:r>
      <w:r w:rsidR="00A042EE">
        <w:rPr>
          <w:rFonts w:ascii="Times New Roman" w:hAnsi="Times New Roman"/>
          <w:sz w:val="24"/>
        </w:rPr>
        <w:t>ARS 221.0 collect</w:t>
      </w:r>
      <w:r w:rsidR="006E07D4">
        <w:rPr>
          <w:rFonts w:ascii="Times New Roman" w:hAnsi="Times New Roman"/>
          <w:sz w:val="24"/>
        </w:rPr>
        <w:t>s</w:t>
      </w:r>
      <w:r w:rsidRPr="002E06FC">
        <w:rPr>
          <w:rFonts w:ascii="Times New Roman" w:hAnsi="Times New Roman"/>
          <w:sz w:val="24"/>
        </w:rPr>
        <w:t xml:space="preserve"> information from ADIs on their </w:t>
      </w:r>
      <w:r w:rsidR="00A042EE">
        <w:rPr>
          <w:rFonts w:ascii="Times New Roman" w:hAnsi="Times New Roman"/>
          <w:sz w:val="24"/>
        </w:rPr>
        <w:t xml:space="preserve">20 largest exposures, groups of connected counterparties, and certain excluded exposures. </w:t>
      </w:r>
    </w:p>
    <w:p w14:paraId="24ABFADA" w14:textId="77777777" w:rsidR="006E07D4" w:rsidRDefault="006E07D4" w:rsidP="003222ED">
      <w:pPr>
        <w:jc w:val="both"/>
        <w:rPr>
          <w:rFonts w:ascii="Times New Roman" w:hAnsi="Times New Roman"/>
          <w:sz w:val="24"/>
        </w:rPr>
      </w:pPr>
    </w:p>
    <w:p w14:paraId="25CC19A4" w14:textId="3FE9260D" w:rsidR="00023652" w:rsidRDefault="00A042EE" w:rsidP="003222ED">
      <w:pPr>
        <w:jc w:val="both"/>
        <w:rPr>
          <w:rFonts w:ascii="Times New Roman" w:hAnsi="Times New Roman"/>
          <w:sz w:val="24"/>
        </w:rPr>
      </w:pPr>
      <w:r>
        <w:rPr>
          <w:rFonts w:ascii="Times New Roman" w:hAnsi="Times New Roman"/>
          <w:sz w:val="24"/>
        </w:rPr>
        <w:t xml:space="preserve">The </w:t>
      </w:r>
      <w:r w:rsidR="006E07D4">
        <w:rPr>
          <w:rFonts w:ascii="Times New Roman" w:hAnsi="Times New Roman"/>
          <w:sz w:val="24"/>
        </w:rPr>
        <w:t xml:space="preserve">instrument makes minor </w:t>
      </w:r>
      <w:r w:rsidR="00FF4958">
        <w:rPr>
          <w:rFonts w:ascii="Times New Roman" w:hAnsi="Times New Roman"/>
          <w:sz w:val="24"/>
        </w:rPr>
        <w:t xml:space="preserve">amendments </w:t>
      </w:r>
      <w:r w:rsidR="007B1F34">
        <w:rPr>
          <w:rFonts w:ascii="Times New Roman" w:hAnsi="Times New Roman"/>
          <w:sz w:val="24"/>
        </w:rPr>
        <w:t xml:space="preserve">to update ARS 221.0 </w:t>
      </w:r>
      <w:r w:rsidR="006E07D4">
        <w:rPr>
          <w:rFonts w:ascii="Times New Roman" w:hAnsi="Times New Roman"/>
          <w:sz w:val="24"/>
        </w:rPr>
        <w:t xml:space="preserve">in line with </w:t>
      </w:r>
      <w:r w:rsidR="007B1F34">
        <w:rPr>
          <w:rFonts w:ascii="Times New Roman" w:hAnsi="Times New Roman"/>
          <w:sz w:val="24"/>
        </w:rPr>
        <w:t>minor</w:t>
      </w:r>
      <w:r w:rsidR="00C70C54">
        <w:rPr>
          <w:rFonts w:ascii="Times New Roman" w:hAnsi="Times New Roman"/>
          <w:sz w:val="24"/>
        </w:rPr>
        <w:t xml:space="preserve"> changes in</w:t>
      </w:r>
      <w:r w:rsidR="00FF4958">
        <w:rPr>
          <w:rFonts w:ascii="Times New Roman" w:hAnsi="Times New Roman"/>
          <w:sz w:val="24"/>
        </w:rPr>
        <w:t xml:space="preserve"> APS 221. </w:t>
      </w:r>
      <w:r w:rsidR="006E07D4">
        <w:rPr>
          <w:rFonts w:ascii="Times New Roman" w:hAnsi="Times New Roman"/>
          <w:sz w:val="24"/>
        </w:rPr>
        <w:t>There are no substantive changes to ARS 221.0.</w:t>
      </w:r>
    </w:p>
    <w:p w14:paraId="062C4BE9" w14:textId="77777777" w:rsidR="00C70C54" w:rsidRDefault="00C70C54" w:rsidP="003222ED">
      <w:pPr>
        <w:pStyle w:val="APRANORMAL"/>
        <w:jc w:val="both"/>
        <w:rPr>
          <w:rFonts w:ascii="Times New Roman" w:hAnsi="Times New Roman"/>
          <w:color w:val="808080" w:themeColor="background1" w:themeShade="80"/>
          <w:sz w:val="24"/>
          <w:szCs w:val="24"/>
        </w:rPr>
      </w:pPr>
    </w:p>
    <w:p w14:paraId="7FA50A5F" w14:textId="69F46A3B" w:rsidR="002436BD" w:rsidRPr="00C70C54" w:rsidRDefault="002436BD" w:rsidP="003222ED">
      <w:pPr>
        <w:pStyle w:val="Heading"/>
        <w:keepNext/>
        <w:numPr>
          <w:ilvl w:val="0"/>
          <w:numId w:val="2"/>
        </w:numPr>
        <w:spacing w:after="240"/>
        <w:ind w:left="0" w:firstLine="0"/>
        <w:outlineLvl w:val="0"/>
        <w:rPr>
          <w:rFonts w:ascii="Times New Roman" w:hAnsi="Times New Roman"/>
          <w:sz w:val="24"/>
          <w:szCs w:val="24"/>
        </w:rPr>
      </w:pPr>
      <w:r w:rsidRPr="00C70C54">
        <w:rPr>
          <w:rFonts w:ascii="Times New Roman" w:hAnsi="Times New Roman"/>
          <w:sz w:val="24"/>
          <w:szCs w:val="24"/>
        </w:rPr>
        <w:t xml:space="preserve">Purpose </w:t>
      </w:r>
      <w:r w:rsidR="00DF524E" w:rsidRPr="00C70C54">
        <w:rPr>
          <w:rFonts w:ascii="Times New Roman" w:hAnsi="Times New Roman"/>
          <w:sz w:val="24"/>
          <w:szCs w:val="24"/>
        </w:rPr>
        <w:t xml:space="preserve">and operation </w:t>
      </w:r>
      <w:r w:rsidRPr="00C70C54">
        <w:rPr>
          <w:rFonts w:ascii="Times New Roman" w:hAnsi="Times New Roman"/>
          <w:sz w:val="24"/>
          <w:szCs w:val="24"/>
        </w:rPr>
        <w:t>of the instrument</w:t>
      </w:r>
      <w:r w:rsidR="00895DAC" w:rsidRPr="00C70C54">
        <w:rPr>
          <w:rFonts w:ascii="Times New Roman" w:hAnsi="Times New Roman"/>
          <w:sz w:val="24"/>
          <w:szCs w:val="24"/>
        </w:rPr>
        <w:t>s</w:t>
      </w:r>
    </w:p>
    <w:p w14:paraId="543C0393" w14:textId="77777777" w:rsidR="00C70C54" w:rsidRDefault="00C70C54" w:rsidP="003222ED">
      <w:pPr>
        <w:spacing w:after="240"/>
        <w:jc w:val="both"/>
        <w:rPr>
          <w:rFonts w:ascii="Times New Roman" w:hAnsi="Times New Roman"/>
          <w:sz w:val="24"/>
        </w:rPr>
      </w:pPr>
      <w:bookmarkStart w:id="4" w:name="bkPurpose"/>
      <w:bookmarkEnd w:id="4"/>
      <w:r w:rsidRPr="00C70C54">
        <w:rPr>
          <w:rFonts w:ascii="Times New Roman" w:hAnsi="Times New Roman"/>
          <w:sz w:val="24"/>
        </w:rPr>
        <w:t xml:space="preserve">The purpose of this instrument is to revoke ARS 221.0 and replace it with a new version of ARS 221.0. The changes </w:t>
      </w:r>
      <w:r>
        <w:rPr>
          <w:rFonts w:ascii="Times New Roman" w:hAnsi="Times New Roman"/>
          <w:sz w:val="24"/>
        </w:rPr>
        <w:t>are minor in nature and include:</w:t>
      </w:r>
    </w:p>
    <w:p w14:paraId="78253ED9" w14:textId="0D1CADF5" w:rsidR="00C70C54" w:rsidRPr="00D50848" w:rsidRDefault="00C70C54" w:rsidP="00D0565A">
      <w:pPr>
        <w:pStyle w:val="ListParagraph"/>
        <w:numPr>
          <w:ilvl w:val="0"/>
          <w:numId w:val="11"/>
        </w:numPr>
        <w:spacing w:after="120"/>
        <w:ind w:left="357" w:hanging="357"/>
        <w:jc w:val="both"/>
        <w:rPr>
          <w:rFonts w:ascii="Times New Roman" w:hAnsi="Times New Roman"/>
          <w:sz w:val="24"/>
        </w:rPr>
      </w:pPr>
      <w:r w:rsidRPr="00D50848">
        <w:rPr>
          <w:rFonts w:ascii="Times New Roman" w:hAnsi="Times New Roman"/>
          <w:sz w:val="24"/>
        </w:rPr>
        <w:t>changes to referenc</w:t>
      </w:r>
      <w:r w:rsidR="001336DE">
        <w:rPr>
          <w:rFonts w:ascii="Times New Roman" w:hAnsi="Times New Roman"/>
          <w:sz w:val="24"/>
        </w:rPr>
        <w:t>es</w:t>
      </w:r>
      <w:r w:rsidRPr="00D50848">
        <w:rPr>
          <w:rFonts w:ascii="Times New Roman" w:hAnsi="Times New Roman"/>
          <w:sz w:val="24"/>
        </w:rPr>
        <w:t xml:space="preserve"> to </w:t>
      </w:r>
      <w:r w:rsidR="003122EC" w:rsidRPr="00D50848">
        <w:rPr>
          <w:rFonts w:ascii="Times New Roman" w:hAnsi="Times New Roman"/>
          <w:sz w:val="24"/>
        </w:rPr>
        <w:t>paragraph</w:t>
      </w:r>
      <w:r w:rsidR="001336DE">
        <w:rPr>
          <w:rFonts w:ascii="Times New Roman" w:hAnsi="Times New Roman"/>
          <w:sz w:val="24"/>
        </w:rPr>
        <w:t>s</w:t>
      </w:r>
      <w:r w:rsidR="003122EC" w:rsidRPr="00D50848">
        <w:rPr>
          <w:rFonts w:ascii="Times New Roman" w:hAnsi="Times New Roman"/>
          <w:sz w:val="24"/>
        </w:rPr>
        <w:t xml:space="preserve"> </w:t>
      </w:r>
      <w:r w:rsidRPr="00D50848">
        <w:rPr>
          <w:rFonts w:ascii="Times New Roman" w:hAnsi="Times New Roman"/>
          <w:sz w:val="24"/>
        </w:rPr>
        <w:t>in APS 221</w:t>
      </w:r>
      <w:r w:rsidR="001336DE">
        <w:rPr>
          <w:rFonts w:ascii="Times New Roman" w:hAnsi="Times New Roman"/>
          <w:sz w:val="24"/>
        </w:rPr>
        <w:t xml:space="preserve"> in line with amendments to APS 221</w:t>
      </w:r>
      <w:r>
        <w:rPr>
          <w:rFonts w:ascii="Times New Roman" w:hAnsi="Times New Roman"/>
          <w:sz w:val="24"/>
        </w:rPr>
        <w:t>;</w:t>
      </w:r>
    </w:p>
    <w:p w14:paraId="7ADDA108" w14:textId="60577277" w:rsidR="00C70C54" w:rsidRPr="00C333B7" w:rsidRDefault="00C70C54" w:rsidP="005909DC">
      <w:pPr>
        <w:pStyle w:val="ListParagraph"/>
        <w:numPr>
          <w:ilvl w:val="0"/>
          <w:numId w:val="11"/>
        </w:numPr>
        <w:spacing w:after="120"/>
        <w:ind w:left="357" w:hanging="357"/>
        <w:jc w:val="both"/>
        <w:rPr>
          <w:rFonts w:ascii="Times New Roman" w:hAnsi="Times New Roman"/>
          <w:sz w:val="24"/>
        </w:rPr>
      </w:pPr>
      <w:r w:rsidRPr="00C333B7">
        <w:rPr>
          <w:rFonts w:ascii="Times New Roman" w:hAnsi="Times New Roman"/>
          <w:sz w:val="24"/>
        </w:rPr>
        <w:t>removing transitional arrangements which are e</w:t>
      </w:r>
      <w:r w:rsidR="004156BE" w:rsidRPr="00C333B7">
        <w:rPr>
          <w:rFonts w:ascii="Times New Roman" w:hAnsi="Times New Roman"/>
          <w:sz w:val="24"/>
        </w:rPr>
        <w:t>ffective until 31 December 2019;</w:t>
      </w:r>
      <w:r w:rsidR="005909DC" w:rsidRPr="00C333B7">
        <w:rPr>
          <w:rFonts w:ascii="Times New Roman" w:hAnsi="Times New Roman"/>
          <w:sz w:val="24"/>
        </w:rPr>
        <w:t xml:space="preserve"> and</w:t>
      </w:r>
    </w:p>
    <w:p w14:paraId="66A54C6F" w14:textId="204A3B04" w:rsidR="004156BE" w:rsidRPr="00C333B7" w:rsidRDefault="004156BE" w:rsidP="00F76E7B">
      <w:pPr>
        <w:pStyle w:val="ListParagraph"/>
        <w:numPr>
          <w:ilvl w:val="0"/>
          <w:numId w:val="11"/>
        </w:numPr>
        <w:spacing w:after="240"/>
        <w:ind w:left="357" w:hanging="357"/>
        <w:jc w:val="both"/>
        <w:rPr>
          <w:rFonts w:ascii="Times New Roman" w:hAnsi="Times New Roman"/>
          <w:sz w:val="24"/>
        </w:rPr>
      </w:pPr>
      <w:r w:rsidRPr="00C333B7">
        <w:rPr>
          <w:rFonts w:ascii="Times New Roman" w:hAnsi="Times New Roman"/>
          <w:sz w:val="24"/>
        </w:rPr>
        <w:t xml:space="preserve">updating </w:t>
      </w:r>
      <w:r w:rsidR="00D50848" w:rsidRPr="00C333B7">
        <w:rPr>
          <w:rFonts w:ascii="Times New Roman" w:hAnsi="Times New Roman"/>
          <w:sz w:val="24"/>
        </w:rPr>
        <w:t xml:space="preserve">references and </w:t>
      </w:r>
      <w:r w:rsidRPr="00C333B7">
        <w:rPr>
          <w:rFonts w:ascii="Times New Roman" w:hAnsi="Times New Roman"/>
          <w:sz w:val="24"/>
        </w:rPr>
        <w:t>website links used in the definitions in ARS 221.0.</w:t>
      </w:r>
    </w:p>
    <w:p w14:paraId="78D4EB29" w14:textId="3EEA9AA1" w:rsidR="00E63AC5" w:rsidRPr="00E63AC5" w:rsidRDefault="00E63AC5" w:rsidP="00E63AC5">
      <w:pPr>
        <w:spacing w:after="240"/>
        <w:jc w:val="both"/>
        <w:rPr>
          <w:rFonts w:ascii="Times New Roman" w:hAnsi="Times New Roman"/>
          <w:sz w:val="24"/>
          <w:szCs w:val="24"/>
        </w:rPr>
      </w:pPr>
      <w:r w:rsidRPr="00C333B7">
        <w:rPr>
          <w:rFonts w:ascii="Times New Roman" w:hAnsi="Times New Roman"/>
          <w:sz w:val="24"/>
          <w:szCs w:val="24"/>
        </w:rPr>
        <w:t>ARS 221.0 commences on 1 January 2020, however as it requires data be provided on a quarterly basis, the obligations imposed under the reporting standard do not arise until after 31 March 2020.</w:t>
      </w:r>
    </w:p>
    <w:p w14:paraId="0CC6C193" w14:textId="6F213972" w:rsidR="00631116" w:rsidRPr="00943595" w:rsidRDefault="00AD1E70" w:rsidP="003222ED">
      <w:pPr>
        <w:spacing w:after="240"/>
        <w:jc w:val="both"/>
        <w:rPr>
          <w:rFonts w:ascii="Times New Roman" w:hAnsi="Times New Roman"/>
          <w:sz w:val="24"/>
          <w:szCs w:val="24"/>
        </w:rPr>
      </w:pPr>
      <w:r w:rsidRPr="00943595">
        <w:rPr>
          <w:rFonts w:ascii="Times New Roman" w:hAnsi="Times New Roman"/>
          <w:sz w:val="24"/>
          <w:szCs w:val="24"/>
        </w:rPr>
        <w:t xml:space="preserve">Where </w:t>
      </w:r>
      <w:r w:rsidR="001336DE">
        <w:rPr>
          <w:rFonts w:ascii="Times New Roman" w:hAnsi="Times New Roman"/>
          <w:sz w:val="24"/>
          <w:szCs w:val="24"/>
        </w:rPr>
        <w:t xml:space="preserve">ARS 221.0 </w:t>
      </w:r>
      <w:r w:rsidR="002C0701" w:rsidRPr="00943595">
        <w:rPr>
          <w:rFonts w:ascii="Times New Roman" w:hAnsi="Times New Roman"/>
          <w:sz w:val="24"/>
          <w:szCs w:val="24"/>
        </w:rPr>
        <w:t>refer</w:t>
      </w:r>
      <w:r w:rsidR="001336DE">
        <w:rPr>
          <w:rFonts w:ascii="Times New Roman" w:hAnsi="Times New Roman"/>
          <w:sz w:val="24"/>
          <w:szCs w:val="24"/>
        </w:rPr>
        <w:t>s</w:t>
      </w:r>
      <w:r w:rsidR="008B659C" w:rsidRPr="00943595">
        <w:rPr>
          <w:rFonts w:ascii="Times New Roman" w:hAnsi="Times New Roman"/>
          <w:sz w:val="24"/>
          <w:szCs w:val="24"/>
        </w:rPr>
        <w:t xml:space="preserve"> to an Act, Regulation, Prudential Standard, Reporting Standard, Australian Accounting or Auditing Standard, this is a reference to the document as it exists from time to time</w:t>
      </w:r>
      <w:r w:rsidR="008B659C" w:rsidRPr="00943595">
        <w:rPr>
          <w:rFonts w:ascii="Times New Roman" w:hAnsi="Times New Roman"/>
          <w:b/>
          <w:sz w:val="24"/>
          <w:szCs w:val="24"/>
        </w:rPr>
        <w:t xml:space="preserve">, </w:t>
      </w:r>
      <w:r w:rsidR="008B659C" w:rsidRPr="00943595">
        <w:rPr>
          <w:rFonts w:ascii="Times New Roman" w:hAnsi="Times New Roman"/>
          <w:sz w:val="24"/>
          <w:szCs w:val="24"/>
        </w:rPr>
        <w:t xml:space="preserve">and </w:t>
      </w:r>
      <w:r w:rsidR="00566B0B" w:rsidRPr="00943595">
        <w:rPr>
          <w:rFonts w:ascii="Times New Roman" w:hAnsi="Times New Roman"/>
          <w:sz w:val="24"/>
          <w:szCs w:val="24"/>
        </w:rPr>
        <w:t>which is</w:t>
      </w:r>
      <w:r w:rsidR="008B659C" w:rsidRPr="00943595">
        <w:rPr>
          <w:rFonts w:ascii="Times New Roman" w:hAnsi="Times New Roman"/>
          <w:sz w:val="24"/>
          <w:szCs w:val="24"/>
        </w:rPr>
        <w:t xml:space="preserve"> available on the Federal Register of Legislation at </w:t>
      </w:r>
      <w:hyperlink r:id="rId13" w:history="1">
        <w:r w:rsidR="008B659C" w:rsidRPr="00943595">
          <w:rPr>
            <w:rStyle w:val="Hyperlink"/>
            <w:rFonts w:ascii="Times New Roman" w:hAnsi="Times New Roman"/>
            <w:color w:val="auto"/>
            <w:sz w:val="24"/>
            <w:szCs w:val="24"/>
          </w:rPr>
          <w:t>www.legislation.gov.au</w:t>
        </w:r>
      </w:hyperlink>
      <w:r w:rsidR="008B659C" w:rsidRPr="00943595">
        <w:rPr>
          <w:rFonts w:ascii="Times New Roman" w:hAnsi="Times New Roman"/>
          <w:sz w:val="24"/>
          <w:szCs w:val="24"/>
        </w:rPr>
        <w:t>.</w:t>
      </w:r>
    </w:p>
    <w:p w14:paraId="773F58FD" w14:textId="49846FAB" w:rsidR="00305A9C" w:rsidRPr="00943595" w:rsidRDefault="001336DE" w:rsidP="003222ED">
      <w:pPr>
        <w:spacing w:after="240"/>
        <w:jc w:val="both"/>
        <w:rPr>
          <w:rFonts w:ascii="Times New Roman" w:hAnsi="Times New Roman"/>
          <w:sz w:val="24"/>
          <w:szCs w:val="24"/>
        </w:rPr>
      </w:pPr>
      <w:r>
        <w:rPr>
          <w:rFonts w:ascii="Times New Roman" w:hAnsi="Times New Roman"/>
          <w:sz w:val="24"/>
          <w:szCs w:val="24"/>
        </w:rPr>
        <w:t xml:space="preserve">ARS 221.0 </w:t>
      </w:r>
      <w:r w:rsidR="00305A9C" w:rsidRPr="00943595">
        <w:rPr>
          <w:rFonts w:ascii="Times New Roman" w:hAnsi="Times New Roman"/>
          <w:sz w:val="24"/>
          <w:szCs w:val="24"/>
        </w:rPr>
        <w:t>refer</w:t>
      </w:r>
      <w:r>
        <w:rPr>
          <w:rFonts w:ascii="Times New Roman" w:hAnsi="Times New Roman"/>
          <w:sz w:val="24"/>
          <w:szCs w:val="24"/>
        </w:rPr>
        <w:t>s</w:t>
      </w:r>
      <w:r w:rsidR="00305A9C" w:rsidRPr="00943595">
        <w:rPr>
          <w:rFonts w:ascii="Times New Roman" w:hAnsi="Times New Roman"/>
          <w:sz w:val="24"/>
          <w:szCs w:val="24"/>
        </w:rPr>
        <w:t xml:space="preserve"> to International Standards ISO 3166 and ISO 17442, which are issued by the International Organizat</w:t>
      </w:r>
      <w:r w:rsidR="00E968F1">
        <w:rPr>
          <w:rFonts w:ascii="Times New Roman" w:hAnsi="Times New Roman"/>
          <w:sz w:val="24"/>
          <w:szCs w:val="24"/>
        </w:rPr>
        <w:t xml:space="preserve">ion for Standardization (ISO). </w:t>
      </w:r>
      <w:r w:rsidR="00305A9C" w:rsidRPr="00943595">
        <w:rPr>
          <w:rFonts w:ascii="Times New Roman" w:hAnsi="Times New Roman"/>
          <w:sz w:val="24"/>
          <w:szCs w:val="24"/>
        </w:rPr>
        <w:t xml:space="preserve">These ISO standards are not intended to be incorporated in </w:t>
      </w:r>
      <w:r w:rsidR="00FD1ABB">
        <w:rPr>
          <w:rFonts w:ascii="Times New Roman" w:hAnsi="Times New Roman"/>
          <w:sz w:val="24"/>
          <w:szCs w:val="24"/>
        </w:rPr>
        <w:t xml:space="preserve">ARS 221.0 </w:t>
      </w:r>
      <w:r w:rsidR="00305A9C" w:rsidRPr="00943595">
        <w:rPr>
          <w:rFonts w:ascii="Times New Roman" w:hAnsi="Times New Roman"/>
          <w:sz w:val="24"/>
          <w:szCs w:val="24"/>
        </w:rPr>
        <w:t xml:space="preserve">as the contents of the ISO standards are not relevant to understanding the terms of </w:t>
      </w:r>
      <w:r w:rsidR="00FD1ABB">
        <w:rPr>
          <w:rFonts w:ascii="Times New Roman" w:hAnsi="Times New Roman"/>
          <w:sz w:val="24"/>
          <w:szCs w:val="24"/>
        </w:rPr>
        <w:t>ARS 221.0</w:t>
      </w:r>
      <w:r w:rsidR="00305A9C" w:rsidRPr="00943595">
        <w:rPr>
          <w:rFonts w:ascii="Times New Roman" w:hAnsi="Times New Roman"/>
          <w:sz w:val="24"/>
          <w:szCs w:val="24"/>
        </w:rPr>
        <w:t>.</w:t>
      </w:r>
    </w:p>
    <w:p w14:paraId="6E219B72" w14:textId="6D41710E" w:rsidR="00FD1ABB" w:rsidRDefault="00016C79" w:rsidP="00016C79">
      <w:pPr>
        <w:pStyle w:val="BULLET1"/>
        <w:numPr>
          <w:ilvl w:val="0"/>
          <w:numId w:val="0"/>
        </w:numPr>
        <w:rPr>
          <w:rFonts w:ascii="Times New Roman" w:hAnsi="Times New Roman" w:cs="Times New Roman"/>
          <w:sz w:val="24"/>
          <w:szCs w:val="24"/>
        </w:rPr>
      </w:pPr>
      <w:r>
        <w:rPr>
          <w:rFonts w:ascii="Times New Roman" w:hAnsi="Times New Roman" w:cs="Times New Roman"/>
          <w:sz w:val="24"/>
          <w:szCs w:val="24"/>
        </w:rPr>
        <w:t xml:space="preserve">ARS 221.0 requires </w:t>
      </w:r>
      <w:r w:rsidR="00C6442A">
        <w:rPr>
          <w:rFonts w:ascii="Times New Roman" w:hAnsi="Times New Roman" w:cs="Times New Roman"/>
          <w:sz w:val="24"/>
          <w:szCs w:val="24"/>
        </w:rPr>
        <w:t>ADIs</w:t>
      </w:r>
      <w:r>
        <w:rPr>
          <w:rFonts w:ascii="Times New Roman" w:hAnsi="Times New Roman" w:cs="Times New Roman"/>
          <w:sz w:val="24"/>
          <w:szCs w:val="24"/>
        </w:rPr>
        <w:t xml:space="preserve"> </w:t>
      </w:r>
      <w:r w:rsidR="0025070D">
        <w:rPr>
          <w:rFonts w:ascii="Times New Roman" w:hAnsi="Times New Roman" w:cs="Times New Roman"/>
          <w:sz w:val="24"/>
          <w:szCs w:val="24"/>
        </w:rPr>
        <w:t>and, where applicable, non-operating holding companies of ADIs (</w:t>
      </w:r>
      <w:r w:rsidR="00FD1ABB">
        <w:rPr>
          <w:rFonts w:ascii="Times New Roman" w:hAnsi="Times New Roman" w:cs="Times New Roman"/>
          <w:sz w:val="24"/>
          <w:szCs w:val="24"/>
        </w:rPr>
        <w:t>financial sector entities</w:t>
      </w:r>
      <w:r w:rsidR="0025070D">
        <w:rPr>
          <w:rFonts w:ascii="Times New Roman" w:hAnsi="Times New Roman" w:cs="Times New Roman"/>
          <w:sz w:val="24"/>
          <w:szCs w:val="24"/>
        </w:rPr>
        <w:t>)</w:t>
      </w:r>
      <w:r w:rsidR="00FD1ABB">
        <w:rPr>
          <w:rFonts w:ascii="Times New Roman" w:hAnsi="Times New Roman" w:cs="Times New Roman"/>
          <w:sz w:val="24"/>
          <w:szCs w:val="24"/>
        </w:rPr>
        <w:t xml:space="preserve"> </w:t>
      </w:r>
      <w:r>
        <w:rPr>
          <w:rFonts w:ascii="Times New Roman" w:hAnsi="Times New Roman" w:cs="Times New Roman"/>
          <w:sz w:val="24"/>
          <w:szCs w:val="24"/>
        </w:rPr>
        <w:t>to report a counterparty country using the English name of the relevant country as assigned by the ISO 3166 Maintenance Agency to define country codes under International Standard ISO 3166. The ISO has stated that the Maintenance Agency assigns country names to member states of the United Nations and some dependencies of those member states based on information from United Nations sources.</w:t>
      </w:r>
      <w:r w:rsidRPr="00DC2BF8">
        <w:rPr>
          <w:rStyle w:val="FootnoteReference"/>
          <w:rFonts w:ascii="Times New Roman" w:hAnsi="Times New Roman" w:cs="Times New Roman"/>
          <w:szCs w:val="24"/>
        </w:rPr>
        <w:footnoteReference w:id="2"/>
      </w:r>
      <w:r>
        <w:rPr>
          <w:rFonts w:ascii="Times New Roman" w:hAnsi="Times New Roman" w:cs="Times New Roman"/>
          <w:sz w:val="24"/>
          <w:szCs w:val="24"/>
        </w:rPr>
        <w:t xml:space="preserve"> </w:t>
      </w:r>
      <w:r w:rsidR="00FD1ABB">
        <w:rPr>
          <w:rFonts w:ascii="Times New Roman" w:hAnsi="Times New Roman" w:cs="Times New Roman"/>
          <w:sz w:val="24"/>
          <w:szCs w:val="24"/>
        </w:rPr>
        <w:t xml:space="preserve">Up-to-date information about </w:t>
      </w:r>
      <w:r>
        <w:rPr>
          <w:rFonts w:ascii="Times New Roman" w:hAnsi="Times New Roman" w:cs="Times New Roman"/>
          <w:sz w:val="24"/>
          <w:szCs w:val="24"/>
        </w:rPr>
        <w:t xml:space="preserve">country names and associated country codes is available online for free at </w:t>
      </w:r>
      <w:hyperlink r:id="rId14" w:history="1">
        <w:r w:rsidRPr="00E0187C">
          <w:rPr>
            <w:rStyle w:val="Hyperlink"/>
            <w:rFonts w:ascii="Times New Roman" w:hAnsi="Times New Roman"/>
            <w:sz w:val="24"/>
            <w:szCs w:val="24"/>
          </w:rPr>
          <w:t>http://www.iso.org/iso/country_codes</w:t>
        </w:r>
      </w:hyperlink>
      <w:r w:rsidR="00FD1ABB">
        <w:rPr>
          <w:rFonts w:ascii="Times New Roman" w:hAnsi="Times New Roman" w:cs="Times New Roman"/>
          <w:sz w:val="24"/>
          <w:szCs w:val="24"/>
        </w:rPr>
        <w:t xml:space="preserve"> via the Online Browsing Platform or by purchasing the Country Codes Collection.</w:t>
      </w:r>
      <w:r>
        <w:rPr>
          <w:rFonts w:ascii="Times New Roman" w:hAnsi="Times New Roman" w:cs="Times New Roman"/>
          <w:sz w:val="24"/>
          <w:szCs w:val="24"/>
        </w:rPr>
        <w:t xml:space="preserve"> </w:t>
      </w:r>
    </w:p>
    <w:p w14:paraId="51EEA83A" w14:textId="2C392455" w:rsidR="00016C79" w:rsidRDefault="00016C79" w:rsidP="00016C79">
      <w:pPr>
        <w:pStyle w:val="BULLET1"/>
        <w:numPr>
          <w:ilvl w:val="0"/>
          <w:numId w:val="0"/>
        </w:numPr>
        <w:rPr>
          <w:rFonts w:ascii="Times New Roman" w:hAnsi="Times New Roman" w:cs="Times New Roman"/>
          <w:sz w:val="24"/>
          <w:szCs w:val="24"/>
        </w:rPr>
      </w:pPr>
      <w:r>
        <w:rPr>
          <w:rFonts w:ascii="Times New Roman" w:hAnsi="Times New Roman" w:cs="Times New Roman"/>
          <w:sz w:val="24"/>
          <w:szCs w:val="24"/>
        </w:rPr>
        <w:t>In addition, financial sector entities are to report the ISO 17442 Legal Entity Identifier (LEI) code for a counterparty</w:t>
      </w:r>
      <w:r w:rsidR="00E64A0A">
        <w:rPr>
          <w:rFonts w:ascii="Times New Roman" w:hAnsi="Times New Roman" w:cs="Times New Roman"/>
          <w:sz w:val="24"/>
          <w:szCs w:val="24"/>
        </w:rPr>
        <w:t xml:space="preserve"> where available</w:t>
      </w:r>
      <w:r>
        <w:rPr>
          <w:rFonts w:ascii="Times New Roman" w:hAnsi="Times New Roman" w:cs="Times New Roman"/>
          <w:sz w:val="24"/>
          <w:szCs w:val="24"/>
        </w:rPr>
        <w:t xml:space="preserve">. The LEI codes are issued by Local Operating Units (LOU) in accordance with International Standard ISO 17442. Each LEI comprises a 4-digit code for the issuing LOU, a 14-digit code for the specific legal entity, and a 2-digit verification code. </w:t>
      </w:r>
      <w:r w:rsidR="00FD1ABB">
        <w:rPr>
          <w:rFonts w:ascii="Times New Roman" w:hAnsi="Times New Roman" w:cs="Times New Roman"/>
          <w:sz w:val="24"/>
          <w:szCs w:val="24"/>
        </w:rPr>
        <w:t>LEIs are not contained in ISO 17442</w:t>
      </w:r>
      <w:r w:rsidR="005E59FB">
        <w:rPr>
          <w:rFonts w:ascii="Times New Roman" w:hAnsi="Times New Roman" w:cs="Times New Roman"/>
          <w:sz w:val="24"/>
          <w:szCs w:val="24"/>
        </w:rPr>
        <w:t xml:space="preserve"> and it would not be possible to determine an entity’s LEI by referring to ISO 17442.</w:t>
      </w:r>
      <w:r w:rsidR="00FD1ABB">
        <w:rPr>
          <w:rFonts w:ascii="Times New Roman" w:hAnsi="Times New Roman" w:cs="Times New Roman"/>
          <w:sz w:val="24"/>
          <w:szCs w:val="24"/>
        </w:rPr>
        <w:t xml:space="preserve"> </w:t>
      </w:r>
      <w:r>
        <w:rPr>
          <w:rFonts w:ascii="Times New Roman" w:hAnsi="Times New Roman" w:cs="Times New Roman"/>
          <w:sz w:val="24"/>
          <w:szCs w:val="24"/>
        </w:rPr>
        <w:t>LEIs can be searched online for free at</w:t>
      </w:r>
      <w:r w:rsidR="005E59FB">
        <w:rPr>
          <w:rFonts w:ascii="Times New Roman" w:hAnsi="Times New Roman" w:cs="Times New Roman"/>
          <w:sz w:val="24"/>
          <w:szCs w:val="24"/>
        </w:rPr>
        <w:t xml:space="preserve"> </w:t>
      </w:r>
      <w:hyperlink r:id="rId15" w:history="1">
        <w:r w:rsidR="005E59FB" w:rsidRPr="00E0187C">
          <w:rPr>
            <w:rStyle w:val="Hyperlink"/>
            <w:rFonts w:ascii="Times New Roman" w:hAnsi="Times New Roman"/>
            <w:sz w:val="24"/>
            <w:szCs w:val="24"/>
          </w:rPr>
          <w:t>https://www.gleif.org/en/lei/search</w:t>
        </w:r>
      </w:hyperlink>
      <w:r>
        <w:rPr>
          <w:rFonts w:ascii="Times New Roman" w:hAnsi="Times New Roman" w:cs="Times New Roman"/>
          <w:sz w:val="24"/>
          <w:szCs w:val="24"/>
        </w:rPr>
        <w:t xml:space="preserve">. </w:t>
      </w:r>
    </w:p>
    <w:p w14:paraId="67154D3F" w14:textId="35190FA5" w:rsidR="002C376A" w:rsidRPr="00C333B7" w:rsidRDefault="005E59FB" w:rsidP="00BC414D">
      <w:pPr>
        <w:pStyle w:val="BULLET1"/>
        <w:numPr>
          <w:ilvl w:val="0"/>
          <w:numId w:val="0"/>
        </w:numPr>
        <w:rPr>
          <w:rFonts w:ascii="Times New Roman" w:hAnsi="Times New Roman"/>
          <w:sz w:val="24"/>
          <w:szCs w:val="24"/>
        </w:rPr>
      </w:pPr>
      <w:r>
        <w:rPr>
          <w:rFonts w:ascii="Times New Roman" w:hAnsi="Times New Roman"/>
          <w:sz w:val="24"/>
          <w:szCs w:val="24"/>
        </w:rPr>
        <w:t xml:space="preserve">Financial sector entities </w:t>
      </w:r>
      <w:r w:rsidR="00305A9C" w:rsidRPr="00BC414D">
        <w:rPr>
          <w:rFonts w:ascii="Times New Roman" w:hAnsi="Times New Roman"/>
          <w:sz w:val="24"/>
          <w:szCs w:val="24"/>
        </w:rPr>
        <w:t xml:space="preserve">are expected to report the country names and LEIs as matters of fact, analogous to a requirement to include Australian or foreign addresses and telephone numbers. Information about how the country names and LEI codes can be accessed for free is included in </w:t>
      </w:r>
      <w:r>
        <w:rPr>
          <w:rFonts w:ascii="Times New Roman" w:hAnsi="Times New Roman"/>
          <w:sz w:val="24"/>
          <w:szCs w:val="24"/>
        </w:rPr>
        <w:t xml:space="preserve">ARS 221.0 </w:t>
      </w:r>
      <w:r w:rsidR="00305A9C" w:rsidRPr="00BC414D">
        <w:rPr>
          <w:rFonts w:ascii="Times New Roman" w:hAnsi="Times New Roman"/>
          <w:sz w:val="24"/>
          <w:szCs w:val="24"/>
        </w:rPr>
        <w:t xml:space="preserve">to assist </w:t>
      </w:r>
      <w:r>
        <w:rPr>
          <w:rFonts w:ascii="Times New Roman" w:hAnsi="Times New Roman"/>
          <w:sz w:val="24"/>
          <w:szCs w:val="24"/>
        </w:rPr>
        <w:t xml:space="preserve">financial sector entities </w:t>
      </w:r>
      <w:r w:rsidR="00305A9C" w:rsidRPr="00BC414D">
        <w:rPr>
          <w:rFonts w:ascii="Times New Roman" w:hAnsi="Times New Roman"/>
          <w:sz w:val="24"/>
          <w:szCs w:val="24"/>
        </w:rPr>
        <w:t xml:space="preserve">to understand and comply with </w:t>
      </w:r>
      <w:r w:rsidR="00305A9C" w:rsidRPr="00BC414D">
        <w:rPr>
          <w:rFonts w:ascii="Times New Roman" w:hAnsi="Times New Roman"/>
          <w:sz w:val="24"/>
          <w:szCs w:val="24"/>
        </w:rPr>
        <w:lastRenderedPageBreak/>
        <w:t xml:space="preserve">the requirements. </w:t>
      </w:r>
      <w:r>
        <w:rPr>
          <w:rFonts w:ascii="Times New Roman" w:hAnsi="Times New Roman"/>
          <w:sz w:val="24"/>
          <w:szCs w:val="24"/>
        </w:rPr>
        <w:t xml:space="preserve">Financial sector entities </w:t>
      </w:r>
      <w:r w:rsidR="00305A9C" w:rsidRPr="00BC414D">
        <w:rPr>
          <w:rFonts w:ascii="Times New Roman" w:hAnsi="Times New Roman"/>
          <w:sz w:val="24"/>
          <w:szCs w:val="24"/>
        </w:rPr>
        <w:t xml:space="preserve">already report </w:t>
      </w:r>
      <w:r w:rsidR="00514AE1" w:rsidRPr="00C333B7">
        <w:rPr>
          <w:rFonts w:ascii="Times New Roman" w:hAnsi="Times New Roman"/>
          <w:sz w:val="24"/>
          <w:szCs w:val="24"/>
        </w:rPr>
        <w:t xml:space="preserve">using </w:t>
      </w:r>
      <w:r w:rsidR="00305A9C" w:rsidRPr="00C333B7">
        <w:rPr>
          <w:rFonts w:ascii="Times New Roman" w:hAnsi="Times New Roman"/>
          <w:sz w:val="24"/>
          <w:szCs w:val="24"/>
        </w:rPr>
        <w:t>country names and LEIs under other reporting</w:t>
      </w:r>
      <w:r w:rsidR="004A5391" w:rsidRPr="00C333B7">
        <w:rPr>
          <w:rFonts w:ascii="Times New Roman" w:hAnsi="Times New Roman"/>
          <w:sz w:val="24"/>
          <w:szCs w:val="24"/>
        </w:rPr>
        <w:t xml:space="preserve"> standards made under the Act. </w:t>
      </w:r>
      <w:r w:rsidRPr="00C333B7">
        <w:rPr>
          <w:rFonts w:ascii="Times New Roman" w:hAnsi="Times New Roman"/>
          <w:sz w:val="24"/>
          <w:szCs w:val="24"/>
        </w:rPr>
        <w:t>The ISO standards, LEI database, country names and LEI codes are not intended to be incorporated into ARS 221.0.</w:t>
      </w:r>
    </w:p>
    <w:p w14:paraId="47F864E3" w14:textId="40509AFA" w:rsidR="00E63AC5" w:rsidRPr="00C333B7" w:rsidRDefault="00E63AC5" w:rsidP="00E63AC5">
      <w:pPr>
        <w:spacing w:after="240"/>
        <w:jc w:val="both"/>
        <w:rPr>
          <w:rFonts w:ascii="Times New Roman" w:hAnsi="Times New Roman"/>
          <w:sz w:val="24"/>
          <w:szCs w:val="24"/>
        </w:rPr>
      </w:pPr>
      <w:r w:rsidRPr="00C333B7">
        <w:rPr>
          <w:rFonts w:ascii="Times New Roman" w:hAnsi="Times New Roman"/>
          <w:sz w:val="24"/>
          <w:szCs w:val="24"/>
        </w:rPr>
        <w:t>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an ADI to provide information required by ARS 221.0. Decisions made by APRA exercising those powers are not subject to merits review.</w:t>
      </w:r>
    </w:p>
    <w:p w14:paraId="1F432B6A" w14:textId="77777777" w:rsidR="00E63AC5" w:rsidRPr="00C333B7" w:rsidRDefault="00E63AC5" w:rsidP="00E63AC5">
      <w:pPr>
        <w:spacing w:after="240"/>
        <w:jc w:val="both"/>
        <w:rPr>
          <w:rFonts w:ascii="Times New Roman" w:hAnsi="Times New Roman"/>
          <w:sz w:val="24"/>
          <w:szCs w:val="24"/>
        </w:rPr>
      </w:pPr>
      <w:r w:rsidRPr="00C333B7">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6EE537E7" w14:textId="77777777" w:rsidR="00E63AC5" w:rsidRPr="00C333B7" w:rsidRDefault="00E63AC5" w:rsidP="00E63AC5">
      <w:pPr>
        <w:spacing w:after="240"/>
        <w:jc w:val="both"/>
        <w:rPr>
          <w:rFonts w:ascii="Times New Roman" w:hAnsi="Times New Roman"/>
          <w:sz w:val="24"/>
          <w:szCs w:val="24"/>
        </w:rPr>
      </w:pPr>
      <w:r w:rsidRPr="00C333B7">
        <w:rPr>
          <w:rFonts w:ascii="Times New Roman" w:hAnsi="Times New Roman"/>
          <w:sz w:val="24"/>
          <w:szCs w:val="24"/>
        </w:rPr>
        <w:t>APRA’s reporting standards collect financial data from regulated entities. This data  contains critical indicators of a regulated entity’s financial wellbeing, including data on an entity’s assets, capital, liquidity, expenses and risk exposures. APRA relies heavily on this financial data to inform its supervisory actions towards its regulated entities. Without timely and complete data, APRA may miss indicators that an ADI is taking on imprudent risk or is in distress. APRA’s supervisory decisions may be jeopardised if its receipt of data is unreliable due to entities seeking merits review under its reporting standards.</w:t>
      </w:r>
    </w:p>
    <w:p w14:paraId="6A9E942C" w14:textId="77777777" w:rsidR="00E63AC5" w:rsidRPr="00C333B7" w:rsidRDefault="00E63AC5" w:rsidP="00E63AC5">
      <w:pPr>
        <w:spacing w:after="240"/>
        <w:jc w:val="both"/>
        <w:rPr>
          <w:rFonts w:ascii="Times New Roman" w:hAnsi="Times New Roman"/>
          <w:sz w:val="24"/>
          <w:szCs w:val="24"/>
        </w:rPr>
      </w:pPr>
      <w:r w:rsidRPr="00C333B7">
        <w:rPr>
          <w:rFonts w:ascii="Times New Roman" w:hAnsi="Times New Roman"/>
          <w:sz w:val="24"/>
          <w:szCs w:val="24"/>
        </w:rPr>
        <w:t xml:space="preserve">The data collected by APRA’s reporting standards is also often used to compile key macroeconomic indicators for Australia. The Reserve Bank of Australia uses the data to compile and publish its monetary and credit aggregates. The Australian Bureau of Statistics uses the data to compile the national accounts. The data is also used to meet Australia’s international reporting obligations. </w:t>
      </w:r>
    </w:p>
    <w:p w14:paraId="78F7576B" w14:textId="0E633C4E" w:rsidR="00E63AC5" w:rsidRPr="00C333B7" w:rsidRDefault="00E63AC5" w:rsidP="00E63AC5">
      <w:pPr>
        <w:spacing w:after="240"/>
        <w:jc w:val="both"/>
        <w:rPr>
          <w:rFonts w:ascii="Times New Roman" w:hAnsi="Times New Roman"/>
          <w:sz w:val="24"/>
          <w:szCs w:val="24"/>
        </w:rPr>
      </w:pPr>
      <w:r w:rsidRPr="00C333B7">
        <w:rPr>
          <w:rFonts w:ascii="Times New Roman" w:hAnsi="Times New Roman"/>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620C833F" w14:textId="04C4F6BC" w:rsidR="002436BD" w:rsidRPr="00C333B7" w:rsidRDefault="002436BD" w:rsidP="001A2234">
      <w:pPr>
        <w:pStyle w:val="Heading"/>
        <w:numPr>
          <w:ilvl w:val="0"/>
          <w:numId w:val="2"/>
        </w:numPr>
        <w:spacing w:after="240"/>
        <w:rPr>
          <w:rFonts w:ascii="Times New Roman" w:hAnsi="Times New Roman"/>
          <w:sz w:val="24"/>
          <w:szCs w:val="24"/>
        </w:rPr>
      </w:pPr>
      <w:bookmarkStart w:id="5" w:name="bkoperation"/>
      <w:bookmarkStart w:id="6" w:name="bkConsultationNo"/>
      <w:bookmarkEnd w:id="5"/>
      <w:bookmarkEnd w:id="6"/>
      <w:r w:rsidRPr="00C333B7">
        <w:rPr>
          <w:rFonts w:ascii="Times New Roman" w:hAnsi="Times New Roman"/>
          <w:sz w:val="24"/>
          <w:szCs w:val="24"/>
        </w:rPr>
        <w:t>Consultation</w:t>
      </w:r>
    </w:p>
    <w:p w14:paraId="156BCA78" w14:textId="5BD6888C" w:rsidR="007231F5" w:rsidRPr="007231F5" w:rsidRDefault="008C0437" w:rsidP="009356BF">
      <w:pPr>
        <w:pStyle w:val="Heading"/>
        <w:keepNext/>
        <w:tabs>
          <w:tab w:val="left" w:pos="360"/>
        </w:tabs>
        <w:spacing w:after="240"/>
        <w:rPr>
          <w:rFonts w:ascii="Times New Roman" w:hAnsi="Times New Roman"/>
          <w:b w:val="0"/>
          <w:sz w:val="24"/>
          <w:szCs w:val="24"/>
        </w:rPr>
      </w:pPr>
      <w:r w:rsidRPr="00C333B7">
        <w:rPr>
          <w:rFonts w:ascii="Times New Roman" w:hAnsi="Times New Roman"/>
          <w:b w:val="0"/>
          <w:sz w:val="24"/>
          <w:szCs w:val="24"/>
        </w:rPr>
        <w:t>T</w:t>
      </w:r>
      <w:r w:rsidR="007231F5" w:rsidRPr="00C333B7">
        <w:rPr>
          <w:rFonts w:ascii="Times New Roman" w:hAnsi="Times New Roman"/>
          <w:b w:val="0"/>
          <w:sz w:val="24"/>
          <w:szCs w:val="24"/>
        </w:rPr>
        <w:t xml:space="preserve">he amendments </w:t>
      </w:r>
      <w:r w:rsidRPr="00C333B7">
        <w:rPr>
          <w:rFonts w:ascii="Times New Roman" w:hAnsi="Times New Roman"/>
          <w:b w:val="0"/>
          <w:sz w:val="24"/>
          <w:szCs w:val="24"/>
        </w:rPr>
        <w:t xml:space="preserve">to ARS 221.0 made under </w:t>
      </w:r>
      <w:r w:rsidR="007231F5" w:rsidRPr="00C333B7">
        <w:rPr>
          <w:rFonts w:ascii="Times New Roman" w:hAnsi="Times New Roman"/>
          <w:b w:val="0"/>
          <w:sz w:val="24"/>
          <w:szCs w:val="24"/>
        </w:rPr>
        <w:t xml:space="preserve">this instrument </w:t>
      </w:r>
      <w:r w:rsidRPr="00C333B7">
        <w:rPr>
          <w:rFonts w:ascii="Times New Roman" w:hAnsi="Times New Roman"/>
          <w:b w:val="0"/>
          <w:sz w:val="24"/>
          <w:szCs w:val="24"/>
        </w:rPr>
        <w:t xml:space="preserve">are minor and machinery in nature, and do not substantially alter existing obligations under the previous version of ARS 221.0.  For this reason, </w:t>
      </w:r>
      <w:r w:rsidR="007231F5" w:rsidRPr="00C333B7">
        <w:rPr>
          <w:rFonts w:ascii="Times New Roman" w:hAnsi="Times New Roman"/>
          <w:b w:val="0"/>
          <w:sz w:val="24"/>
          <w:szCs w:val="24"/>
        </w:rPr>
        <w:t xml:space="preserve">APRA has not consulted </w:t>
      </w:r>
      <w:r w:rsidRPr="00C333B7">
        <w:rPr>
          <w:rFonts w:ascii="Times New Roman" w:hAnsi="Times New Roman"/>
          <w:b w:val="0"/>
          <w:sz w:val="24"/>
          <w:szCs w:val="24"/>
        </w:rPr>
        <w:t xml:space="preserve">specifically </w:t>
      </w:r>
      <w:r w:rsidR="007231F5" w:rsidRPr="00C333B7">
        <w:rPr>
          <w:rFonts w:ascii="Times New Roman" w:hAnsi="Times New Roman"/>
          <w:b w:val="0"/>
          <w:sz w:val="24"/>
          <w:szCs w:val="24"/>
        </w:rPr>
        <w:t>on the proposed</w:t>
      </w:r>
      <w:bookmarkStart w:id="7" w:name="_GoBack"/>
      <w:bookmarkEnd w:id="7"/>
      <w:r w:rsidR="007231F5">
        <w:rPr>
          <w:rFonts w:ascii="Times New Roman" w:hAnsi="Times New Roman"/>
          <w:b w:val="0"/>
          <w:sz w:val="24"/>
          <w:szCs w:val="24"/>
        </w:rPr>
        <w:t xml:space="preserve"> changes in ARS 221.0. </w:t>
      </w:r>
    </w:p>
    <w:p w14:paraId="53D8EB30" w14:textId="77777777" w:rsidR="002436BD" w:rsidRPr="007231F5" w:rsidRDefault="00DF524E" w:rsidP="001A2234">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sidRPr="007231F5">
        <w:rPr>
          <w:rFonts w:ascii="Times New Roman" w:hAnsi="Times New Roman"/>
          <w:sz w:val="24"/>
          <w:szCs w:val="24"/>
        </w:rPr>
        <w:t>4</w:t>
      </w:r>
      <w:r w:rsidR="002436BD" w:rsidRPr="007231F5">
        <w:rPr>
          <w:rFonts w:ascii="Times New Roman" w:hAnsi="Times New Roman"/>
          <w:sz w:val="24"/>
          <w:szCs w:val="24"/>
        </w:rPr>
        <w:t xml:space="preserve">. </w:t>
      </w:r>
      <w:r w:rsidR="002436BD" w:rsidRPr="007231F5">
        <w:rPr>
          <w:rFonts w:ascii="Times New Roman" w:hAnsi="Times New Roman"/>
          <w:sz w:val="24"/>
          <w:szCs w:val="24"/>
        </w:rPr>
        <w:tab/>
        <w:t>Regulation Impact Statement</w:t>
      </w:r>
    </w:p>
    <w:bookmarkEnd w:id="10"/>
    <w:p w14:paraId="6B9CA911" w14:textId="68171512" w:rsidR="00696C73" w:rsidRPr="00D81AD4" w:rsidRDefault="00361C21" w:rsidP="00696C73">
      <w:pPr>
        <w:pStyle w:val="Heading"/>
        <w:spacing w:after="240"/>
        <w:rPr>
          <w:rFonts w:ascii="Times New Roman" w:hAnsi="Times New Roman"/>
          <w:b w:val="0"/>
          <w:sz w:val="24"/>
          <w:szCs w:val="24"/>
        </w:rPr>
      </w:pPr>
      <w:r>
        <w:rPr>
          <w:rFonts w:ascii="Times New Roman" w:hAnsi="Times New Roman"/>
          <w:b w:val="0"/>
          <w:sz w:val="24"/>
          <w:szCs w:val="24"/>
        </w:rPr>
        <w:t>The Office of Best Practice Regulation has advised that a</w:t>
      </w:r>
      <w:r w:rsidR="00696C73" w:rsidRPr="003B0A31">
        <w:rPr>
          <w:rFonts w:ascii="Times New Roman" w:hAnsi="Times New Roman"/>
          <w:b w:val="0"/>
          <w:sz w:val="24"/>
          <w:szCs w:val="24"/>
        </w:rPr>
        <w:t xml:space="preserve"> Regulation Impact Statement is not required for </w:t>
      </w:r>
      <w:r w:rsidR="00A97B58">
        <w:rPr>
          <w:rFonts w:ascii="Times New Roman" w:hAnsi="Times New Roman"/>
          <w:b w:val="0"/>
          <w:sz w:val="24"/>
          <w:szCs w:val="24"/>
        </w:rPr>
        <w:t>this legislative instrument</w:t>
      </w:r>
      <w:r w:rsidR="00696C73" w:rsidRPr="003B0A31">
        <w:rPr>
          <w:rFonts w:ascii="Times New Roman" w:hAnsi="Times New Roman"/>
          <w:b w:val="0"/>
          <w:sz w:val="24"/>
          <w:szCs w:val="24"/>
        </w:rPr>
        <w:t xml:space="preserve">. </w:t>
      </w:r>
    </w:p>
    <w:p w14:paraId="3359862D" w14:textId="77777777" w:rsidR="002436BD" w:rsidRPr="00D81AD4" w:rsidRDefault="00DF524E" w:rsidP="001A2234">
      <w:pPr>
        <w:pStyle w:val="Heading"/>
        <w:tabs>
          <w:tab w:val="left" w:pos="360"/>
        </w:tabs>
        <w:spacing w:after="240"/>
        <w:rPr>
          <w:rFonts w:ascii="Times New Roman" w:hAnsi="Times New Roman"/>
          <w:sz w:val="24"/>
          <w:szCs w:val="24"/>
        </w:rPr>
      </w:pPr>
      <w:r w:rsidRPr="00D81AD4">
        <w:rPr>
          <w:rFonts w:ascii="Times New Roman" w:hAnsi="Times New Roman"/>
          <w:sz w:val="24"/>
          <w:szCs w:val="24"/>
        </w:rPr>
        <w:t>5</w:t>
      </w:r>
      <w:r w:rsidR="002436BD" w:rsidRPr="00D81AD4">
        <w:rPr>
          <w:rFonts w:ascii="Times New Roman" w:hAnsi="Times New Roman"/>
          <w:sz w:val="24"/>
          <w:szCs w:val="24"/>
        </w:rPr>
        <w:t>.</w:t>
      </w:r>
      <w:r w:rsidR="002436BD" w:rsidRPr="00D81AD4">
        <w:rPr>
          <w:rFonts w:ascii="Times New Roman" w:hAnsi="Times New Roman"/>
          <w:sz w:val="24"/>
          <w:szCs w:val="24"/>
        </w:rPr>
        <w:tab/>
        <w:t xml:space="preserve">Statement of compatibility prepared in accordance with Part 3 of the </w:t>
      </w:r>
      <w:r w:rsidR="002436BD" w:rsidRPr="00D81AD4">
        <w:rPr>
          <w:rFonts w:ascii="Times New Roman" w:hAnsi="Times New Roman"/>
          <w:i/>
          <w:sz w:val="24"/>
          <w:szCs w:val="24"/>
        </w:rPr>
        <w:t>Human Rights (Parliamentary Scrutiny) Act 2011</w:t>
      </w:r>
    </w:p>
    <w:p w14:paraId="0C7D4631" w14:textId="77777777" w:rsidR="00B04B20" w:rsidRPr="00D81AD4" w:rsidRDefault="0030506B" w:rsidP="001A2234">
      <w:pPr>
        <w:pStyle w:val="Heading"/>
        <w:spacing w:after="240"/>
        <w:rPr>
          <w:rFonts w:ascii="Times New Roman" w:hAnsi="Times New Roman"/>
          <w:b w:val="0"/>
          <w:sz w:val="24"/>
          <w:szCs w:val="24"/>
        </w:rPr>
      </w:pPr>
      <w:r w:rsidRPr="00D81AD4">
        <w:rPr>
          <w:rFonts w:ascii="Times New Roman" w:hAnsi="Times New Roman"/>
          <w:b w:val="0"/>
          <w:sz w:val="24"/>
          <w:szCs w:val="24"/>
        </w:rPr>
        <w:t xml:space="preserve">A Statement of compatibility prepared in accordance with Part 3 of the </w:t>
      </w:r>
      <w:r w:rsidRPr="00D81AD4">
        <w:rPr>
          <w:rFonts w:ascii="Times New Roman" w:hAnsi="Times New Roman"/>
          <w:b w:val="0"/>
          <w:i/>
          <w:sz w:val="24"/>
          <w:szCs w:val="24"/>
        </w:rPr>
        <w:t>Human Rights (Parliamentary Scrutiny) Act 2011</w:t>
      </w:r>
      <w:r w:rsidRPr="00D81AD4">
        <w:rPr>
          <w:rFonts w:ascii="Times New Roman" w:hAnsi="Times New Roman"/>
          <w:b w:val="0"/>
          <w:sz w:val="24"/>
          <w:szCs w:val="24"/>
        </w:rPr>
        <w:t xml:space="preserve"> is provided at Attachment A to this Explanatory Statement.</w:t>
      </w:r>
    </w:p>
    <w:p w14:paraId="73679DCC" w14:textId="6224E9EC" w:rsidR="00864003" w:rsidRDefault="00864003" w:rsidP="001A2234">
      <w:pPr>
        <w:pStyle w:val="Heading"/>
        <w:spacing w:after="240"/>
      </w:pP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385BD5BC" w14:textId="77777777" w:rsidR="00864003" w:rsidRPr="00CE5EEC" w:rsidRDefault="00864003" w:rsidP="00864003">
      <w:pPr>
        <w:shd w:val="clear" w:color="auto" w:fill="FFFFFF"/>
        <w:spacing w:before="100" w:beforeAutospacing="1" w:after="240"/>
        <w:jc w:val="center"/>
        <w:rPr>
          <w:rFonts w:ascii="Times New Roman" w:hAnsi="Times New Roman"/>
          <w:sz w:val="24"/>
          <w:szCs w:val="24"/>
          <w:lang w:val="en-US"/>
        </w:rPr>
      </w:pPr>
      <w:r w:rsidRPr="00CE5EEC">
        <w:rPr>
          <w:rFonts w:ascii="Times New Roman" w:hAnsi="Times New Roman"/>
          <w:b/>
          <w:bCs/>
          <w:sz w:val="24"/>
          <w:szCs w:val="24"/>
        </w:rPr>
        <w:t>Statement of Compatibility with Human Rights</w:t>
      </w:r>
    </w:p>
    <w:p w14:paraId="36236543" w14:textId="77777777" w:rsidR="00864003" w:rsidRPr="00CE5EEC" w:rsidRDefault="00864003" w:rsidP="00864003">
      <w:pPr>
        <w:shd w:val="clear" w:color="auto" w:fill="FFFFFF"/>
        <w:spacing w:before="100" w:beforeAutospacing="1" w:after="240"/>
        <w:jc w:val="center"/>
        <w:rPr>
          <w:rFonts w:ascii="Times New Roman" w:hAnsi="Times New Roman"/>
          <w:sz w:val="24"/>
          <w:szCs w:val="24"/>
          <w:lang w:val="en-US"/>
        </w:rPr>
      </w:pPr>
      <w:r w:rsidRPr="00CE5EEC">
        <w:rPr>
          <w:rFonts w:ascii="Times New Roman" w:hAnsi="Times New Roman"/>
          <w:sz w:val="24"/>
          <w:szCs w:val="24"/>
        </w:rPr>
        <w:t xml:space="preserve">Prepared in accordance with Part 3 of the </w:t>
      </w:r>
      <w:r w:rsidRPr="00CE5EEC">
        <w:rPr>
          <w:rFonts w:ascii="Times New Roman" w:hAnsi="Times New Roman"/>
          <w:i/>
          <w:iCs/>
          <w:sz w:val="24"/>
          <w:szCs w:val="24"/>
        </w:rPr>
        <w:t>Human Rights (Parliamentary Scrutiny) Act 2011</w:t>
      </w:r>
    </w:p>
    <w:p w14:paraId="55947A2A" w14:textId="17371077" w:rsidR="00113307" w:rsidRPr="00CE5EEC" w:rsidRDefault="00113307" w:rsidP="00113307">
      <w:pPr>
        <w:pStyle w:val="Heading"/>
        <w:spacing w:after="240"/>
        <w:jc w:val="left"/>
        <w:rPr>
          <w:rFonts w:ascii="Times New Roman" w:hAnsi="Times New Roman"/>
          <w:sz w:val="24"/>
          <w:szCs w:val="24"/>
        </w:rPr>
      </w:pPr>
      <w:r w:rsidRPr="00CE5EEC">
        <w:rPr>
          <w:rFonts w:ascii="Times New Roman" w:hAnsi="Times New Roman"/>
          <w:sz w:val="24"/>
          <w:szCs w:val="24"/>
        </w:rPr>
        <w:t xml:space="preserve">Financial Sector (Collection of Data) (reporting standard) determination </w:t>
      </w:r>
      <w:r w:rsidRPr="00BC2024">
        <w:rPr>
          <w:rFonts w:ascii="Times New Roman" w:hAnsi="Times New Roman"/>
          <w:sz w:val="24"/>
          <w:szCs w:val="24"/>
        </w:rPr>
        <w:t xml:space="preserve">No. </w:t>
      </w:r>
      <w:r w:rsidR="00BC2024" w:rsidRPr="00BC2024">
        <w:rPr>
          <w:rFonts w:ascii="Times New Roman" w:hAnsi="Times New Roman"/>
          <w:sz w:val="24"/>
          <w:szCs w:val="24"/>
        </w:rPr>
        <w:t>3</w:t>
      </w:r>
      <w:r w:rsidR="00A85E0E">
        <w:rPr>
          <w:rFonts w:ascii="Times New Roman" w:hAnsi="Times New Roman"/>
          <w:sz w:val="24"/>
          <w:szCs w:val="24"/>
        </w:rPr>
        <w:t xml:space="preserve"> </w:t>
      </w:r>
      <w:r w:rsidRPr="00CE5EEC">
        <w:rPr>
          <w:rFonts w:ascii="Times New Roman" w:hAnsi="Times New Roman"/>
          <w:sz w:val="24"/>
          <w:szCs w:val="24"/>
        </w:rPr>
        <w:t>of 20</w:t>
      </w:r>
      <w:r w:rsidR="00E63AC5">
        <w:rPr>
          <w:rFonts w:ascii="Times New Roman" w:hAnsi="Times New Roman"/>
          <w:sz w:val="24"/>
          <w:szCs w:val="24"/>
        </w:rPr>
        <w:t>20</w:t>
      </w:r>
    </w:p>
    <w:p w14:paraId="58020716" w14:textId="3E36223F" w:rsidR="00864003" w:rsidRPr="00CE5EEC" w:rsidRDefault="00864003" w:rsidP="00BD5A88">
      <w:pPr>
        <w:shd w:val="clear" w:color="auto" w:fill="FFFFFF"/>
        <w:spacing w:before="100" w:beforeAutospacing="1" w:after="240"/>
        <w:jc w:val="both"/>
        <w:rPr>
          <w:rFonts w:ascii="Times New Roman" w:hAnsi="Times New Roman"/>
          <w:sz w:val="24"/>
          <w:szCs w:val="24"/>
          <w:lang w:val="en-US"/>
        </w:rPr>
      </w:pPr>
      <w:r w:rsidRPr="00CE5EEC">
        <w:rPr>
          <w:rFonts w:ascii="Times New Roman" w:hAnsi="Times New Roman"/>
          <w:sz w:val="24"/>
          <w:szCs w:val="24"/>
        </w:rPr>
        <w:t xml:space="preserve">The legislative instrument </w:t>
      </w:r>
      <w:r w:rsidR="00063571">
        <w:rPr>
          <w:rFonts w:ascii="Times New Roman" w:hAnsi="Times New Roman"/>
          <w:sz w:val="24"/>
          <w:szCs w:val="24"/>
        </w:rPr>
        <w:t xml:space="preserve">is </w:t>
      </w:r>
      <w:r w:rsidRPr="00CE5EEC">
        <w:rPr>
          <w:rFonts w:ascii="Times New Roman" w:hAnsi="Times New Roman"/>
          <w:sz w:val="24"/>
          <w:szCs w:val="24"/>
        </w:rPr>
        <w:t>compatible with the human rights and freedoms recognised or declared in the international instrument</w:t>
      </w:r>
      <w:r w:rsidR="00A85E0E">
        <w:rPr>
          <w:rFonts w:ascii="Times New Roman" w:hAnsi="Times New Roman"/>
          <w:sz w:val="24"/>
          <w:szCs w:val="24"/>
        </w:rPr>
        <w:t>s</w:t>
      </w:r>
      <w:r w:rsidRPr="00CE5EEC">
        <w:rPr>
          <w:rFonts w:ascii="Times New Roman" w:hAnsi="Times New Roman"/>
          <w:sz w:val="24"/>
          <w:szCs w:val="24"/>
        </w:rPr>
        <w:t xml:space="preserve"> listed in section 3 of the </w:t>
      </w:r>
      <w:r w:rsidRPr="00CE5EEC">
        <w:rPr>
          <w:rFonts w:ascii="Times New Roman" w:hAnsi="Times New Roman"/>
          <w:i/>
          <w:iCs/>
          <w:sz w:val="24"/>
          <w:szCs w:val="24"/>
        </w:rPr>
        <w:t>Human Rights (Parliamentary Scrutiny) Act 2011</w:t>
      </w:r>
      <w:r w:rsidRPr="00CE5EEC">
        <w:rPr>
          <w:rFonts w:ascii="Times New Roman" w:hAnsi="Times New Roman"/>
          <w:sz w:val="24"/>
          <w:szCs w:val="24"/>
        </w:rPr>
        <w:t xml:space="preserve"> (HRPS Act).</w:t>
      </w:r>
    </w:p>
    <w:p w14:paraId="60D6C237" w14:textId="144C3ED8" w:rsidR="00864003" w:rsidRPr="00CE5EEC" w:rsidRDefault="00864003" w:rsidP="00BD5A88">
      <w:pPr>
        <w:shd w:val="clear" w:color="auto" w:fill="FFFFFF"/>
        <w:spacing w:before="100" w:beforeAutospacing="1" w:after="240"/>
        <w:jc w:val="both"/>
        <w:rPr>
          <w:rFonts w:ascii="Times New Roman" w:hAnsi="Times New Roman"/>
          <w:sz w:val="24"/>
          <w:szCs w:val="24"/>
          <w:lang w:val="en-US"/>
        </w:rPr>
      </w:pPr>
      <w:r w:rsidRPr="00CE5EEC">
        <w:rPr>
          <w:rFonts w:ascii="Times New Roman" w:hAnsi="Times New Roman"/>
          <w:b/>
          <w:bCs/>
          <w:sz w:val="24"/>
          <w:szCs w:val="24"/>
        </w:rPr>
        <w:t>Overview of the Legislative Instrument</w:t>
      </w:r>
    </w:p>
    <w:p w14:paraId="29E58F0C" w14:textId="5DE4C091" w:rsidR="00864003" w:rsidRPr="00CE5EEC" w:rsidRDefault="00BD5A88" w:rsidP="00BD5A88">
      <w:pPr>
        <w:jc w:val="both"/>
        <w:rPr>
          <w:rFonts w:ascii="Times New Roman" w:hAnsi="Times New Roman"/>
          <w:i/>
          <w:sz w:val="24"/>
          <w:szCs w:val="24"/>
        </w:rPr>
      </w:pPr>
      <w:r w:rsidRPr="00CE5EEC">
        <w:rPr>
          <w:rFonts w:ascii="Times New Roman" w:hAnsi="Times New Roman"/>
          <w:sz w:val="24"/>
          <w:szCs w:val="24"/>
        </w:rPr>
        <w:t xml:space="preserve">The purpose of the instrument is to revoke </w:t>
      </w:r>
      <w:r w:rsidRPr="00CE5EEC">
        <w:rPr>
          <w:rFonts w:ascii="Times New Roman" w:hAnsi="Times New Roman"/>
          <w:i/>
          <w:sz w:val="24"/>
          <w:szCs w:val="24"/>
        </w:rPr>
        <w:t xml:space="preserve">Reporting Standard ARS 221.0 Large Exposures </w:t>
      </w:r>
      <w:r w:rsidRPr="00CE5EEC">
        <w:rPr>
          <w:rFonts w:ascii="Times New Roman" w:hAnsi="Times New Roman"/>
          <w:sz w:val="24"/>
          <w:szCs w:val="24"/>
        </w:rPr>
        <w:t xml:space="preserve">determined by APRA in 2018 and replace it with a new </w:t>
      </w:r>
      <w:r w:rsidRPr="00CE5EEC">
        <w:rPr>
          <w:rFonts w:ascii="Times New Roman" w:hAnsi="Times New Roman"/>
          <w:i/>
          <w:sz w:val="24"/>
          <w:szCs w:val="24"/>
        </w:rPr>
        <w:t>Reporting Standard ARS 221.0 Large Exposures</w:t>
      </w:r>
      <w:r w:rsidRPr="00CE5EEC">
        <w:rPr>
          <w:rFonts w:ascii="Times New Roman" w:hAnsi="Times New Roman"/>
          <w:sz w:val="24"/>
          <w:szCs w:val="24"/>
        </w:rPr>
        <w:t xml:space="preserve"> (ARS 221.0</w:t>
      </w:r>
      <w:r w:rsidR="00EE01F2" w:rsidRPr="00CE5EEC">
        <w:rPr>
          <w:rFonts w:ascii="Times New Roman" w:hAnsi="Times New Roman"/>
          <w:sz w:val="24"/>
          <w:szCs w:val="24"/>
        </w:rPr>
        <w:t>)</w:t>
      </w:r>
      <w:r w:rsidR="00EE01F2" w:rsidRPr="00CE5EEC">
        <w:rPr>
          <w:rFonts w:ascii="Times New Roman" w:hAnsi="Times New Roman"/>
          <w:i/>
          <w:sz w:val="24"/>
          <w:szCs w:val="24"/>
        </w:rPr>
        <w:t>.</w:t>
      </w:r>
    </w:p>
    <w:p w14:paraId="55CE1411" w14:textId="77777777" w:rsidR="00BD5A88" w:rsidRPr="00CE5EEC" w:rsidRDefault="00BD5A88" w:rsidP="00BD5A88">
      <w:pPr>
        <w:jc w:val="both"/>
        <w:rPr>
          <w:rFonts w:ascii="Times New Roman" w:hAnsi="Times New Roman"/>
          <w:i/>
          <w:sz w:val="24"/>
          <w:szCs w:val="24"/>
        </w:rPr>
      </w:pPr>
    </w:p>
    <w:p w14:paraId="40857FD6" w14:textId="0E0BE8D9" w:rsidR="00BD5A88" w:rsidRPr="00101E2B" w:rsidRDefault="00BD5A88" w:rsidP="00BD5A88">
      <w:pPr>
        <w:jc w:val="both"/>
        <w:rPr>
          <w:rFonts w:ascii="Times New Roman" w:hAnsi="Times New Roman"/>
          <w:sz w:val="24"/>
          <w:szCs w:val="24"/>
        </w:rPr>
      </w:pPr>
      <w:r w:rsidRPr="00101E2B">
        <w:rPr>
          <w:rFonts w:ascii="Times New Roman" w:hAnsi="Times New Roman"/>
          <w:sz w:val="24"/>
          <w:szCs w:val="24"/>
        </w:rPr>
        <w:t xml:space="preserve">ARS 221.0 sets out requirements for authorised deposit-taking institutions (ADIs) </w:t>
      </w:r>
      <w:r w:rsidR="00063571">
        <w:rPr>
          <w:rFonts w:ascii="Times New Roman" w:hAnsi="Times New Roman"/>
          <w:sz w:val="24"/>
          <w:szCs w:val="24"/>
        </w:rPr>
        <w:t xml:space="preserve">and, where applicable, non-operating holding companies of ADIs </w:t>
      </w:r>
      <w:r w:rsidRPr="00101E2B">
        <w:rPr>
          <w:rFonts w:ascii="Times New Roman" w:hAnsi="Times New Roman"/>
          <w:sz w:val="24"/>
          <w:szCs w:val="24"/>
        </w:rPr>
        <w:t>to report their large exposures</w:t>
      </w:r>
      <w:r w:rsidR="00C9279E">
        <w:rPr>
          <w:rFonts w:ascii="Times New Roman" w:hAnsi="Times New Roman"/>
          <w:sz w:val="24"/>
          <w:szCs w:val="24"/>
        </w:rPr>
        <w:t xml:space="preserve"> (e.g. loans) to counterparties</w:t>
      </w:r>
      <w:r w:rsidRPr="00101E2B">
        <w:rPr>
          <w:rFonts w:ascii="Times New Roman" w:hAnsi="Times New Roman"/>
          <w:sz w:val="24"/>
          <w:szCs w:val="24"/>
        </w:rPr>
        <w:t>. ADIs are bod</w:t>
      </w:r>
      <w:r w:rsidR="00C9279E">
        <w:rPr>
          <w:rFonts w:ascii="Times New Roman" w:hAnsi="Times New Roman"/>
          <w:sz w:val="24"/>
          <w:szCs w:val="24"/>
        </w:rPr>
        <w:t>ies</w:t>
      </w:r>
      <w:r w:rsidRPr="00101E2B">
        <w:rPr>
          <w:rFonts w:ascii="Times New Roman" w:hAnsi="Times New Roman"/>
          <w:sz w:val="24"/>
          <w:szCs w:val="24"/>
        </w:rPr>
        <w:t xml:space="preserve"> corporate that have been granted the authority, under the </w:t>
      </w:r>
      <w:r w:rsidRPr="00101E2B">
        <w:rPr>
          <w:rFonts w:ascii="Times New Roman" w:hAnsi="Times New Roman"/>
          <w:i/>
          <w:sz w:val="24"/>
          <w:szCs w:val="24"/>
        </w:rPr>
        <w:t>Banking Act 1959</w:t>
      </w:r>
      <w:r w:rsidRPr="00101E2B">
        <w:rPr>
          <w:rFonts w:ascii="Times New Roman" w:hAnsi="Times New Roman"/>
          <w:sz w:val="24"/>
          <w:szCs w:val="24"/>
        </w:rPr>
        <w:t>, to carry on banking business in Australia.</w:t>
      </w:r>
    </w:p>
    <w:p w14:paraId="697834A3" w14:textId="77777777" w:rsidR="00BD5A88" w:rsidRPr="00101E2B" w:rsidRDefault="00BD5A88" w:rsidP="00BD5A88">
      <w:pPr>
        <w:jc w:val="both"/>
        <w:rPr>
          <w:rFonts w:ascii="Times New Roman" w:hAnsi="Times New Roman"/>
          <w:sz w:val="24"/>
          <w:szCs w:val="24"/>
        </w:rPr>
      </w:pPr>
    </w:p>
    <w:p w14:paraId="6A365477" w14:textId="4F68B465" w:rsidR="006D0015" w:rsidRPr="00101E2B" w:rsidRDefault="006D0015" w:rsidP="00BD5A88">
      <w:pPr>
        <w:jc w:val="both"/>
        <w:rPr>
          <w:rFonts w:ascii="Times New Roman" w:hAnsi="Times New Roman"/>
          <w:sz w:val="24"/>
          <w:szCs w:val="24"/>
        </w:rPr>
      </w:pPr>
      <w:r w:rsidRPr="00101E2B">
        <w:rPr>
          <w:rFonts w:ascii="Times New Roman" w:hAnsi="Times New Roman"/>
          <w:sz w:val="24"/>
          <w:szCs w:val="24"/>
        </w:rPr>
        <w:t xml:space="preserve">The new ARS 221.0 has </w:t>
      </w:r>
      <w:r w:rsidR="006D0232">
        <w:rPr>
          <w:rFonts w:ascii="Times New Roman" w:hAnsi="Times New Roman"/>
          <w:sz w:val="24"/>
          <w:szCs w:val="24"/>
        </w:rPr>
        <w:t>minor</w:t>
      </w:r>
      <w:r w:rsidRPr="00101E2B">
        <w:rPr>
          <w:rFonts w:ascii="Times New Roman" w:hAnsi="Times New Roman"/>
          <w:sz w:val="24"/>
          <w:szCs w:val="24"/>
        </w:rPr>
        <w:t xml:space="preserve"> changes to </w:t>
      </w:r>
      <w:r w:rsidR="00063571">
        <w:rPr>
          <w:rFonts w:ascii="Times New Roman" w:hAnsi="Times New Roman"/>
          <w:sz w:val="24"/>
          <w:szCs w:val="24"/>
        </w:rPr>
        <w:t xml:space="preserve">update references to </w:t>
      </w:r>
      <w:r w:rsidRPr="00101E2B">
        <w:rPr>
          <w:rFonts w:ascii="Times New Roman" w:hAnsi="Times New Roman"/>
          <w:sz w:val="24"/>
          <w:szCs w:val="24"/>
        </w:rPr>
        <w:t>paragraph</w:t>
      </w:r>
      <w:r w:rsidR="00063571">
        <w:rPr>
          <w:rFonts w:ascii="Times New Roman" w:hAnsi="Times New Roman"/>
          <w:sz w:val="24"/>
          <w:szCs w:val="24"/>
        </w:rPr>
        <w:t>s</w:t>
      </w:r>
      <w:r w:rsidRPr="00101E2B">
        <w:rPr>
          <w:rFonts w:ascii="Times New Roman" w:hAnsi="Times New Roman"/>
          <w:sz w:val="24"/>
          <w:szCs w:val="24"/>
        </w:rPr>
        <w:t xml:space="preserve"> in </w:t>
      </w:r>
      <w:r w:rsidR="00063571">
        <w:rPr>
          <w:rFonts w:ascii="Times New Roman" w:hAnsi="Times New Roman"/>
          <w:sz w:val="24"/>
          <w:szCs w:val="24"/>
        </w:rPr>
        <w:t xml:space="preserve">the </w:t>
      </w:r>
      <w:r w:rsidR="00C9279E">
        <w:rPr>
          <w:rFonts w:ascii="Times New Roman" w:hAnsi="Times New Roman"/>
          <w:sz w:val="24"/>
          <w:szCs w:val="24"/>
        </w:rPr>
        <w:t>revised</w:t>
      </w:r>
      <w:r w:rsidR="00063571">
        <w:rPr>
          <w:rFonts w:ascii="Times New Roman" w:hAnsi="Times New Roman"/>
          <w:sz w:val="24"/>
          <w:szCs w:val="24"/>
        </w:rPr>
        <w:t xml:space="preserve"> </w:t>
      </w:r>
      <w:r w:rsidRPr="00101E2B">
        <w:rPr>
          <w:rFonts w:ascii="Times New Roman" w:hAnsi="Times New Roman"/>
          <w:i/>
          <w:sz w:val="24"/>
          <w:szCs w:val="24"/>
        </w:rPr>
        <w:t>Prudential Standard APS 221 Large Exposures</w:t>
      </w:r>
      <w:r w:rsidR="00932D17" w:rsidRPr="00101E2B">
        <w:rPr>
          <w:rFonts w:ascii="Times New Roman" w:hAnsi="Times New Roman"/>
          <w:sz w:val="24"/>
          <w:szCs w:val="24"/>
        </w:rPr>
        <w:t>, remove transition</w:t>
      </w:r>
      <w:r w:rsidR="00063571">
        <w:rPr>
          <w:rFonts w:ascii="Times New Roman" w:hAnsi="Times New Roman"/>
          <w:sz w:val="24"/>
          <w:szCs w:val="24"/>
        </w:rPr>
        <w:t>al</w:t>
      </w:r>
      <w:r w:rsidR="00932D17" w:rsidRPr="00101E2B">
        <w:rPr>
          <w:rFonts w:ascii="Times New Roman" w:hAnsi="Times New Roman"/>
          <w:sz w:val="24"/>
          <w:szCs w:val="24"/>
        </w:rPr>
        <w:t xml:space="preserve"> arrangements which </w:t>
      </w:r>
      <w:r w:rsidR="00063571">
        <w:rPr>
          <w:rFonts w:ascii="Times New Roman" w:hAnsi="Times New Roman"/>
          <w:sz w:val="24"/>
          <w:szCs w:val="24"/>
        </w:rPr>
        <w:t>do</w:t>
      </w:r>
      <w:r w:rsidR="00063571" w:rsidRPr="00101E2B">
        <w:rPr>
          <w:rFonts w:ascii="Times New Roman" w:hAnsi="Times New Roman"/>
          <w:sz w:val="24"/>
          <w:szCs w:val="24"/>
        </w:rPr>
        <w:t xml:space="preserve"> </w:t>
      </w:r>
      <w:r w:rsidR="00932D17" w:rsidRPr="00101E2B">
        <w:rPr>
          <w:rFonts w:ascii="Times New Roman" w:hAnsi="Times New Roman"/>
          <w:sz w:val="24"/>
          <w:szCs w:val="24"/>
        </w:rPr>
        <w:t>not apply after 31 December 2019, and update website links used in the definitions in ARS 221.0. The changes are minor</w:t>
      </w:r>
      <w:r w:rsidR="00063571">
        <w:rPr>
          <w:rFonts w:ascii="Times New Roman" w:hAnsi="Times New Roman"/>
          <w:sz w:val="24"/>
          <w:szCs w:val="24"/>
        </w:rPr>
        <w:t xml:space="preserve"> and machinery</w:t>
      </w:r>
      <w:r w:rsidR="00932D17" w:rsidRPr="00101E2B">
        <w:rPr>
          <w:rFonts w:ascii="Times New Roman" w:hAnsi="Times New Roman"/>
          <w:sz w:val="24"/>
          <w:szCs w:val="24"/>
        </w:rPr>
        <w:t xml:space="preserve"> in nature and assist A</w:t>
      </w:r>
      <w:r w:rsidR="00A87CBD">
        <w:rPr>
          <w:rFonts w:ascii="Times New Roman" w:hAnsi="Times New Roman"/>
          <w:sz w:val="24"/>
          <w:szCs w:val="24"/>
        </w:rPr>
        <w:t xml:space="preserve">DIs </w:t>
      </w:r>
      <w:r w:rsidR="00063571">
        <w:rPr>
          <w:rFonts w:ascii="Times New Roman" w:hAnsi="Times New Roman"/>
          <w:sz w:val="24"/>
          <w:szCs w:val="24"/>
        </w:rPr>
        <w:t xml:space="preserve">by </w:t>
      </w:r>
      <w:r w:rsidR="00A87CBD">
        <w:rPr>
          <w:rFonts w:ascii="Times New Roman" w:hAnsi="Times New Roman"/>
          <w:sz w:val="24"/>
          <w:szCs w:val="24"/>
        </w:rPr>
        <w:t>ensuring ARS 221.0 is up-</w:t>
      </w:r>
      <w:r w:rsidR="00932D17" w:rsidRPr="00101E2B">
        <w:rPr>
          <w:rFonts w:ascii="Times New Roman" w:hAnsi="Times New Roman"/>
          <w:sz w:val="24"/>
          <w:szCs w:val="24"/>
        </w:rPr>
        <w:t>to</w:t>
      </w:r>
      <w:r w:rsidR="00A87CBD">
        <w:rPr>
          <w:rFonts w:ascii="Times New Roman" w:hAnsi="Times New Roman"/>
          <w:sz w:val="24"/>
          <w:szCs w:val="24"/>
        </w:rPr>
        <w:t>-</w:t>
      </w:r>
      <w:r w:rsidR="00932D17" w:rsidRPr="00101E2B">
        <w:rPr>
          <w:rFonts w:ascii="Times New Roman" w:hAnsi="Times New Roman"/>
          <w:sz w:val="24"/>
          <w:szCs w:val="24"/>
        </w:rPr>
        <w:t xml:space="preserve">date and fit for purpose. </w:t>
      </w:r>
    </w:p>
    <w:p w14:paraId="68828A90" w14:textId="77777777" w:rsidR="006D0015" w:rsidRPr="006D0015" w:rsidRDefault="006D0015" w:rsidP="00BD5A88">
      <w:pPr>
        <w:jc w:val="both"/>
        <w:rPr>
          <w:rFonts w:ascii="Times New Roman" w:hAnsi="Times New Roman"/>
          <w:sz w:val="24"/>
          <w:szCs w:val="24"/>
          <w:highlight w:val="yellow"/>
        </w:rPr>
      </w:pPr>
    </w:p>
    <w:p w14:paraId="2D3CC6CE" w14:textId="436D0FA5" w:rsidR="00864003" w:rsidRPr="00CE5EEC" w:rsidRDefault="00864003" w:rsidP="00932D17">
      <w:pPr>
        <w:jc w:val="both"/>
        <w:rPr>
          <w:rFonts w:ascii="Times New Roman" w:hAnsi="Times New Roman"/>
          <w:sz w:val="24"/>
          <w:szCs w:val="24"/>
          <w:lang w:val="en-US"/>
        </w:rPr>
      </w:pPr>
      <w:r w:rsidRPr="00CE5EEC">
        <w:rPr>
          <w:rFonts w:ascii="Times New Roman" w:hAnsi="Times New Roman"/>
          <w:b/>
          <w:bCs/>
          <w:sz w:val="24"/>
          <w:szCs w:val="24"/>
        </w:rPr>
        <w:t>Human rights implications</w:t>
      </w:r>
    </w:p>
    <w:p w14:paraId="187A8C2D" w14:textId="77777777" w:rsidR="00BD5A88" w:rsidRPr="00CE5EEC" w:rsidRDefault="00BD5A88" w:rsidP="00BD5A88">
      <w:pPr>
        <w:keepNext/>
        <w:shd w:val="clear" w:color="auto" w:fill="FFFFFF"/>
        <w:spacing w:before="100" w:beforeAutospacing="1"/>
        <w:jc w:val="both"/>
        <w:rPr>
          <w:rFonts w:ascii="Times New Roman" w:hAnsi="Times New Roman"/>
          <w:sz w:val="24"/>
          <w:szCs w:val="24"/>
        </w:rPr>
      </w:pPr>
      <w:r w:rsidRPr="00CE5EEC">
        <w:rPr>
          <w:rFonts w:ascii="Times New Roman" w:hAnsi="Times New Roman"/>
          <w:sz w:val="24"/>
          <w:szCs w:val="24"/>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106CB87E" w14:textId="484B837E" w:rsidR="00864003" w:rsidRPr="00CE5EEC" w:rsidRDefault="00864003" w:rsidP="00BD5A88">
      <w:pPr>
        <w:shd w:val="clear" w:color="auto" w:fill="FFFFFF"/>
        <w:spacing w:before="100" w:beforeAutospacing="1" w:after="240"/>
        <w:jc w:val="both"/>
        <w:rPr>
          <w:rFonts w:ascii="Times New Roman" w:hAnsi="Times New Roman"/>
          <w:b/>
          <w:bCs/>
          <w:sz w:val="24"/>
          <w:szCs w:val="24"/>
        </w:rPr>
      </w:pPr>
      <w:r w:rsidRPr="00CE5EEC">
        <w:rPr>
          <w:rFonts w:ascii="Times New Roman" w:hAnsi="Times New Roman"/>
          <w:b/>
          <w:bCs/>
          <w:sz w:val="24"/>
          <w:szCs w:val="24"/>
        </w:rPr>
        <w:t>Conclusion</w:t>
      </w:r>
    </w:p>
    <w:p w14:paraId="21F0C537" w14:textId="77777777" w:rsidR="00BD5A88" w:rsidRPr="00CE5EEC" w:rsidRDefault="00BD5A88" w:rsidP="00BD5A88">
      <w:pPr>
        <w:shd w:val="clear" w:color="auto" w:fill="FFFFFF"/>
        <w:spacing w:before="100" w:beforeAutospacing="1"/>
        <w:jc w:val="both"/>
        <w:rPr>
          <w:rFonts w:ascii="Times New Roman" w:hAnsi="Times New Roman"/>
          <w:sz w:val="24"/>
          <w:szCs w:val="24"/>
          <w:lang w:val="en-US"/>
        </w:rPr>
      </w:pPr>
      <w:r w:rsidRPr="00CE5EEC">
        <w:rPr>
          <w:rFonts w:ascii="Times New Roman" w:hAnsi="Times New Roman"/>
          <w:sz w:val="24"/>
          <w:szCs w:val="24"/>
        </w:rPr>
        <w:t xml:space="preserve">The instrument is compatible with human rights as it does not raise any human rights issues. </w:t>
      </w:r>
    </w:p>
    <w:p w14:paraId="6E05734B" w14:textId="3AB08BD2" w:rsidR="00864003" w:rsidRPr="00CE5EEC" w:rsidRDefault="00864003" w:rsidP="00BD5A88">
      <w:pPr>
        <w:rPr>
          <w:rFonts w:ascii="Times New Roman" w:hAnsi="Times New Roman"/>
          <w:sz w:val="24"/>
          <w:szCs w:val="24"/>
        </w:rPr>
      </w:pPr>
    </w:p>
    <w:sectPr w:rsidR="00864003" w:rsidRPr="00CE5EEC" w:rsidSect="003D5032">
      <w:footerReference w:type="default" r:id="rId16"/>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8EB39" w14:textId="77777777" w:rsidR="00B23131" w:rsidRDefault="00B23131" w:rsidP="001A2234">
      <w:r>
        <w:separator/>
      </w:r>
    </w:p>
  </w:endnote>
  <w:endnote w:type="continuationSeparator" w:id="0">
    <w:p w14:paraId="1E6B2814" w14:textId="77777777" w:rsidR="00B23131" w:rsidRDefault="00B23131" w:rsidP="001A2234">
      <w:r>
        <w:continuationSeparator/>
      </w:r>
    </w:p>
  </w:endnote>
  <w:endnote w:type="continuationNotice" w:id="1">
    <w:p w14:paraId="1DF2DA2B" w14:textId="77777777" w:rsidR="00B23131" w:rsidRDefault="00B23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B23131" w:rsidRPr="001A2234" w:rsidRDefault="00B23131"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DF2F7B">
          <w:rPr>
            <w:rFonts w:ascii="Times New Roman" w:hAnsi="Times New Roman"/>
            <w:bCs/>
            <w:noProof/>
            <w:sz w:val="24"/>
            <w:szCs w:val="24"/>
          </w:rPr>
          <w:t>5</w:t>
        </w:r>
        <w:r w:rsidRPr="001A2234">
          <w:rPr>
            <w:rFonts w:ascii="Times New Roman" w:hAnsi="Times New Roman"/>
            <w:bCs/>
            <w:sz w:val="24"/>
            <w:szCs w:val="24"/>
          </w:rPr>
          <w:fldChar w:fldCharType="end"/>
        </w:r>
      </w:p>
    </w:sdtContent>
  </w:sdt>
  <w:p w14:paraId="4ACC2704" w14:textId="77777777" w:rsidR="00B23131" w:rsidRDefault="00B23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46B11" w14:textId="77777777" w:rsidR="00B23131" w:rsidRDefault="00B23131" w:rsidP="001A2234">
      <w:r>
        <w:separator/>
      </w:r>
    </w:p>
  </w:footnote>
  <w:footnote w:type="continuationSeparator" w:id="0">
    <w:p w14:paraId="21D48484" w14:textId="77777777" w:rsidR="00B23131" w:rsidRDefault="00B23131" w:rsidP="001A2234">
      <w:r>
        <w:continuationSeparator/>
      </w:r>
    </w:p>
  </w:footnote>
  <w:footnote w:type="continuationNotice" w:id="1">
    <w:p w14:paraId="3E106BDE" w14:textId="77777777" w:rsidR="00B23131" w:rsidRDefault="00B23131"/>
  </w:footnote>
  <w:footnote w:id="2">
    <w:p w14:paraId="4BB8A352" w14:textId="77777777" w:rsidR="00B23131" w:rsidRDefault="00B23131" w:rsidP="00016C79">
      <w:pPr>
        <w:pStyle w:val="FootnoteText"/>
        <w:spacing w:after="120"/>
      </w:pPr>
      <w:r>
        <w:rPr>
          <w:rStyle w:val="FootnoteReference"/>
        </w:rPr>
        <w:footnoteRef/>
      </w:r>
      <w:r>
        <w:t xml:space="preserve"> </w:t>
      </w:r>
      <w:hyperlink r:id="rId1" w:history="1">
        <w:r w:rsidRPr="002B5A13">
          <w:rPr>
            <w:rStyle w:val="Hyperlink"/>
            <w:rFonts w:ascii="Times New Roman" w:hAnsi="Times New Roman"/>
            <w:sz w:val="18"/>
          </w:rPr>
          <w:t>https://www.iso.org/iso-3166-country-codes.html</w:t>
        </w:r>
      </w:hyperlink>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C6E2E20"/>
    <w:multiLevelType w:val="hybridMultilevel"/>
    <w:tmpl w:val="1D5E2844"/>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B8A3CB2"/>
    <w:multiLevelType w:val="hybridMultilevel"/>
    <w:tmpl w:val="501E1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4"/>
  </w:num>
  <w:num w:numId="6">
    <w:abstractNumId w:val="1"/>
  </w:num>
  <w:num w:numId="7">
    <w:abstractNumId w:val="6"/>
  </w:num>
  <w:num w:numId="8">
    <w:abstractNumId w:val="5"/>
  </w:num>
  <w:num w:numId="9">
    <w:abstractNumId w:val="8"/>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73"/>
    <w:rsid w:val="0000465F"/>
    <w:rsid w:val="00010A0B"/>
    <w:rsid w:val="000139EB"/>
    <w:rsid w:val="00013ADE"/>
    <w:rsid w:val="00016C79"/>
    <w:rsid w:val="00017EB4"/>
    <w:rsid w:val="00023652"/>
    <w:rsid w:val="000401FC"/>
    <w:rsid w:val="00063571"/>
    <w:rsid w:val="00072362"/>
    <w:rsid w:val="00074CEB"/>
    <w:rsid w:val="00076618"/>
    <w:rsid w:val="00083727"/>
    <w:rsid w:val="00085AC6"/>
    <w:rsid w:val="0008681E"/>
    <w:rsid w:val="000910F5"/>
    <w:rsid w:val="000954D6"/>
    <w:rsid w:val="000B14BD"/>
    <w:rsid w:val="000B56F5"/>
    <w:rsid w:val="000C706C"/>
    <w:rsid w:val="000D0D50"/>
    <w:rsid w:val="000D3451"/>
    <w:rsid w:val="000D4B01"/>
    <w:rsid w:val="000D58E7"/>
    <w:rsid w:val="000D689A"/>
    <w:rsid w:val="000D76DC"/>
    <w:rsid w:val="000E0FF5"/>
    <w:rsid w:val="000E15E6"/>
    <w:rsid w:val="000E369C"/>
    <w:rsid w:val="000E3A02"/>
    <w:rsid w:val="00101BCE"/>
    <w:rsid w:val="00101E2B"/>
    <w:rsid w:val="001062E7"/>
    <w:rsid w:val="00113307"/>
    <w:rsid w:val="00117D61"/>
    <w:rsid w:val="00122C95"/>
    <w:rsid w:val="00126870"/>
    <w:rsid w:val="001273DF"/>
    <w:rsid w:val="00132748"/>
    <w:rsid w:val="001336DE"/>
    <w:rsid w:val="0013433F"/>
    <w:rsid w:val="00137F0E"/>
    <w:rsid w:val="00142358"/>
    <w:rsid w:val="00143FBB"/>
    <w:rsid w:val="00150B4F"/>
    <w:rsid w:val="00150E1A"/>
    <w:rsid w:val="00156332"/>
    <w:rsid w:val="00157FF6"/>
    <w:rsid w:val="00162333"/>
    <w:rsid w:val="0016436B"/>
    <w:rsid w:val="0016652D"/>
    <w:rsid w:val="00182FA1"/>
    <w:rsid w:val="0018346E"/>
    <w:rsid w:val="0018587A"/>
    <w:rsid w:val="00194899"/>
    <w:rsid w:val="001A075E"/>
    <w:rsid w:val="001A2234"/>
    <w:rsid w:val="001A2ADB"/>
    <w:rsid w:val="001B2A41"/>
    <w:rsid w:val="001B7C8A"/>
    <w:rsid w:val="001C2D20"/>
    <w:rsid w:val="001C310E"/>
    <w:rsid w:val="001C463B"/>
    <w:rsid w:val="001D61A2"/>
    <w:rsid w:val="001E2F92"/>
    <w:rsid w:val="001E6998"/>
    <w:rsid w:val="00207BA4"/>
    <w:rsid w:val="00212FE9"/>
    <w:rsid w:val="0021372B"/>
    <w:rsid w:val="002158A9"/>
    <w:rsid w:val="0021596D"/>
    <w:rsid w:val="002346F2"/>
    <w:rsid w:val="002436BD"/>
    <w:rsid w:val="00245634"/>
    <w:rsid w:val="00246723"/>
    <w:rsid w:val="0025070D"/>
    <w:rsid w:val="00264B90"/>
    <w:rsid w:val="00267087"/>
    <w:rsid w:val="002721FB"/>
    <w:rsid w:val="00272D3C"/>
    <w:rsid w:val="00275936"/>
    <w:rsid w:val="00281F8F"/>
    <w:rsid w:val="00285923"/>
    <w:rsid w:val="00290AA6"/>
    <w:rsid w:val="00291EEA"/>
    <w:rsid w:val="002953F0"/>
    <w:rsid w:val="002A0F07"/>
    <w:rsid w:val="002A3687"/>
    <w:rsid w:val="002A4974"/>
    <w:rsid w:val="002A5F5F"/>
    <w:rsid w:val="002A73BD"/>
    <w:rsid w:val="002B526C"/>
    <w:rsid w:val="002B5971"/>
    <w:rsid w:val="002C0701"/>
    <w:rsid w:val="002C2806"/>
    <w:rsid w:val="002C376A"/>
    <w:rsid w:val="002C7FFB"/>
    <w:rsid w:val="002D4BAF"/>
    <w:rsid w:val="002D6FD2"/>
    <w:rsid w:val="002D7C33"/>
    <w:rsid w:val="002E06FC"/>
    <w:rsid w:val="002E1189"/>
    <w:rsid w:val="002F123D"/>
    <w:rsid w:val="002F1F01"/>
    <w:rsid w:val="002F6B0A"/>
    <w:rsid w:val="002F70A2"/>
    <w:rsid w:val="00300EEF"/>
    <w:rsid w:val="003015DA"/>
    <w:rsid w:val="0030506B"/>
    <w:rsid w:val="00305648"/>
    <w:rsid w:val="00305A9C"/>
    <w:rsid w:val="00305E5F"/>
    <w:rsid w:val="00310CF8"/>
    <w:rsid w:val="003122EC"/>
    <w:rsid w:val="003222ED"/>
    <w:rsid w:val="00334235"/>
    <w:rsid w:val="00343D8A"/>
    <w:rsid w:val="003509F8"/>
    <w:rsid w:val="00354CB8"/>
    <w:rsid w:val="00361C21"/>
    <w:rsid w:val="00380068"/>
    <w:rsid w:val="00382846"/>
    <w:rsid w:val="003843DB"/>
    <w:rsid w:val="00384D39"/>
    <w:rsid w:val="003866AD"/>
    <w:rsid w:val="003977AE"/>
    <w:rsid w:val="003A52A5"/>
    <w:rsid w:val="003B0A31"/>
    <w:rsid w:val="003C44BE"/>
    <w:rsid w:val="003D5032"/>
    <w:rsid w:val="003E4F75"/>
    <w:rsid w:val="003E74CF"/>
    <w:rsid w:val="003E7A2A"/>
    <w:rsid w:val="003F7007"/>
    <w:rsid w:val="003F712D"/>
    <w:rsid w:val="0040175E"/>
    <w:rsid w:val="004139D9"/>
    <w:rsid w:val="004156BE"/>
    <w:rsid w:val="0041786B"/>
    <w:rsid w:val="00417E79"/>
    <w:rsid w:val="00420385"/>
    <w:rsid w:val="00420DB0"/>
    <w:rsid w:val="00421896"/>
    <w:rsid w:val="00422164"/>
    <w:rsid w:val="00425D5C"/>
    <w:rsid w:val="004275FF"/>
    <w:rsid w:val="00427A88"/>
    <w:rsid w:val="00434568"/>
    <w:rsid w:val="00435131"/>
    <w:rsid w:val="00443A02"/>
    <w:rsid w:val="004455DC"/>
    <w:rsid w:val="0044622F"/>
    <w:rsid w:val="00453D3C"/>
    <w:rsid w:val="00455D9A"/>
    <w:rsid w:val="00456BE0"/>
    <w:rsid w:val="00464570"/>
    <w:rsid w:val="00464712"/>
    <w:rsid w:val="00473A51"/>
    <w:rsid w:val="00475847"/>
    <w:rsid w:val="00482857"/>
    <w:rsid w:val="00482F85"/>
    <w:rsid w:val="00490338"/>
    <w:rsid w:val="0049732A"/>
    <w:rsid w:val="00497F2E"/>
    <w:rsid w:val="004A14E0"/>
    <w:rsid w:val="004A5391"/>
    <w:rsid w:val="004A590D"/>
    <w:rsid w:val="004A707E"/>
    <w:rsid w:val="004B3A2A"/>
    <w:rsid w:val="004C3D07"/>
    <w:rsid w:val="004E2008"/>
    <w:rsid w:val="004E5201"/>
    <w:rsid w:val="004E6D9E"/>
    <w:rsid w:val="004E7A5F"/>
    <w:rsid w:val="004F5692"/>
    <w:rsid w:val="004F5F9E"/>
    <w:rsid w:val="004F70BE"/>
    <w:rsid w:val="005002DD"/>
    <w:rsid w:val="00512E9D"/>
    <w:rsid w:val="00514AE1"/>
    <w:rsid w:val="0051575B"/>
    <w:rsid w:val="00523EAA"/>
    <w:rsid w:val="005270E5"/>
    <w:rsid w:val="00540092"/>
    <w:rsid w:val="00541A8B"/>
    <w:rsid w:val="00545F91"/>
    <w:rsid w:val="005502D1"/>
    <w:rsid w:val="00552287"/>
    <w:rsid w:val="00554554"/>
    <w:rsid w:val="005568DD"/>
    <w:rsid w:val="00556D12"/>
    <w:rsid w:val="0056141D"/>
    <w:rsid w:val="00561601"/>
    <w:rsid w:val="005666AB"/>
    <w:rsid w:val="00566B0B"/>
    <w:rsid w:val="005711FF"/>
    <w:rsid w:val="00575541"/>
    <w:rsid w:val="00585BF8"/>
    <w:rsid w:val="005909DC"/>
    <w:rsid w:val="00590F40"/>
    <w:rsid w:val="005A51DD"/>
    <w:rsid w:val="005B209F"/>
    <w:rsid w:val="005C33BD"/>
    <w:rsid w:val="005C56A7"/>
    <w:rsid w:val="005C642F"/>
    <w:rsid w:val="005D4287"/>
    <w:rsid w:val="005E5910"/>
    <w:rsid w:val="005E59FB"/>
    <w:rsid w:val="005F29F3"/>
    <w:rsid w:val="00610CFB"/>
    <w:rsid w:val="006142AE"/>
    <w:rsid w:val="00616B20"/>
    <w:rsid w:val="00622480"/>
    <w:rsid w:val="00623DD1"/>
    <w:rsid w:val="00631116"/>
    <w:rsid w:val="00635169"/>
    <w:rsid w:val="006432C1"/>
    <w:rsid w:val="00644CBA"/>
    <w:rsid w:val="00647D58"/>
    <w:rsid w:val="00652745"/>
    <w:rsid w:val="006544E1"/>
    <w:rsid w:val="00657678"/>
    <w:rsid w:val="006644A9"/>
    <w:rsid w:val="00666614"/>
    <w:rsid w:val="00676226"/>
    <w:rsid w:val="00677AC5"/>
    <w:rsid w:val="00682865"/>
    <w:rsid w:val="00684900"/>
    <w:rsid w:val="00684F73"/>
    <w:rsid w:val="00696C73"/>
    <w:rsid w:val="006A05C0"/>
    <w:rsid w:val="006A43F1"/>
    <w:rsid w:val="006B093F"/>
    <w:rsid w:val="006B0B74"/>
    <w:rsid w:val="006B4B39"/>
    <w:rsid w:val="006C591F"/>
    <w:rsid w:val="006C59B9"/>
    <w:rsid w:val="006D0015"/>
    <w:rsid w:val="006D0232"/>
    <w:rsid w:val="006E07D4"/>
    <w:rsid w:val="006E0D86"/>
    <w:rsid w:val="006E2AE9"/>
    <w:rsid w:val="006E757E"/>
    <w:rsid w:val="006E7887"/>
    <w:rsid w:val="006F1C44"/>
    <w:rsid w:val="007031F4"/>
    <w:rsid w:val="007049CF"/>
    <w:rsid w:val="00707277"/>
    <w:rsid w:val="007231F5"/>
    <w:rsid w:val="00724F0B"/>
    <w:rsid w:val="00730E49"/>
    <w:rsid w:val="00734E68"/>
    <w:rsid w:val="007368AD"/>
    <w:rsid w:val="00736D41"/>
    <w:rsid w:val="00736D9A"/>
    <w:rsid w:val="007428D4"/>
    <w:rsid w:val="007430E5"/>
    <w:rsid w:val="00745B14"/>
    <w:rsid w:val="00745C6F"/>
    <w:rsid w:val="00747AFF"/>
    <w:rsid w:val="00756284"/>
    <w:rsid w:val="00757009"/>
    <w:rsid w:val="00764ED5"/>
    <w:rsid w:val="00766B3D"/>
    <w:rsid w:val="0077361A"/>
    <w:rsid w:val="00781232"/>
    <w:rsid w:val="00781773"/>
    <w:rsid w:val="00781AE3"/>
    <w:rsid w:val="0078519B"/>
    <w:rsid w:val="00785CDC"/>
    <w:rsid w:val="00786947"/>
    <w:rsid w:val="0079175F"/>
    <w:rsid w:val="00792DAE"/>
    <w:rsid w:val="00793573"/>
    <w:rsid w:val="00796D9A"/>
    <w:rsid w:val="007A1CC7"/>
    <w:rsid w:val="007B1F34"/>
    <w:rsid w:val="007C2298"/>
    <w:rsid w:val="007C7E1E"/>
    <w:rsid w:val="007D0BEE"/>
    <w:rsid w:val="007D39FD"/>
    <w:rsid w:val="007D3E28"/>
    <w:rsid w:val="007E1EC6"/>
    <w:rsid w:val="007E4B2A"/>
    <w:rsid w:val="007F59E2"/>
    <w:rsid w:val="007F7D4A"/>
    <w:rsid w:val="0080080F"/>
    <w:rsid w:val="00802197"/>
    <w:rsid w:val="008134E4"/>
    <w:rsid w:val="008155D4"/>
    <w:rsid w:val="008205D9"/>
    <w:rsid w:val="00826169"/>
    <w:rsid w:val="00826C30"/>
    <w:rsid w:val="00830EEF"/>
    <w:rsid w:val="00830F66"/>
    <w:rsid w:val="008317DE"/>
    <w:rsid w:val="00832289"/>
    <w:rsid w:val="0083316F"/>
    <w:rsid w:val="00834123"/>
    <w:rsid w:val="00834676"/>
    <w:rsid w:val="00835B51"/>
    <w:rsid w:val="00852948"/>
    <w:rsid w:val="00852EAD"/>
    <w:rsid w:val="00856111"/>
    <w:rsid w:val="0085655B"/>
    <w:rsid w:val="0086113E"/>
    <w:rsid w:val="00862CEE"/>
    <w:rsid w:val="00864003"/>
    <w:rsid w:val="00871E54"/>
    <w:rsid w:val="00890C79"/>
    <w:rsid w:val="00892D63"/>
    <w:rsid w:val="00895DAC"/>
    <w:rsid w:val="008A33CD"/>
    <w:rsid w:val="008B659C"/>
    <w:rsid w:val="008C0437"/>
    <w:rsid w:val="008C1B04"/>
    <w:rsid w:val="008E00D9"/>
    <w:rsid w:val="008E044B"/>
    <w:rsid w:val="008E143B"/>
    <w:rsid w:val="008E2E3D"/>
    <w:rsid w:val="008F2233"/>
    <w:rsid w:val="008F275E"/>
    <w:rsid w:val="00901D3C"/>
    <w:rsid w:val="00902344"/>
    <w:rsid w:val="00906161"/>
    <w:rsid w:val="009145DF"/>
    <w:rsid w:val="00922FBC"/>
    <w:rsid w:val="00923688"/>
    <w:rsid w:val="00927513"/>
    <w:rsid w:val="009320C4"/>
    <w:rsid w:val="00932D17"/>
    <w:rsid w:val="00932EFA"/>
    <w:rsid w:val="00934B92"/>
    <w:rsid w:val="009356BF"/>
    <w:rsid w:val="00943595"/>
    <w:rsid w:val="0095027C"/>
    <w:rsid w:val="009660F6"/>
    <w:rsid w:val="00967D16"/>
    <w:rsid w:val="00981D3A"/>
    <w:rsid w:val="00987321"/>
    <w:rsid w:val="009B67A8"/>
    <w:rsid w:val="009C5368"/>
    <w:rsid w:val="009D708F"/>
    <w:rsid w:val="00A03FD1"/>
    <w:rsid w:val="00A042EE"/>
    <w:rsid w:val="00A22D3E"/>
    <w:rsid w:val="00A279AF"/>
    <w:rsid w:val="00A31F71"/>
    <w:rsid w:val="00A342FA"/>
    <w:rsid w:val="00A36726"/>
    <w:rsid w:val="00A37C12"/>
    <w:rsid w:val="00A4133B"/>
    <w:rsid w:val="00A42365"/>
    <w:rsid w:val="00A42FEE"/>
    <w:rsid w:val="00A63A2B"/>
    <w:rsid w:val="00A642D7"/>
    <w:rsid w:val="00A66D48"/>
    <w:rsid w:val="00A672CD"/>
    <w:rsid w:val="00A70688"/>
    <w:rsid w:val="00A8208F"/>
    <w:rsid w:val="00A85E0E"/>
    <w:rsid w:val="00A87CBD"/>
    <w:rsid w:val="00A97B58"/>
    <w:rsid w:val="00AA4A25"/>
    <w:rsid w:val="00AA5025"/>
    <w:rsid w:val="00AA5522"/>
    <w:rsid w:val="00AB2CA3"/>
    <w:rsid w:val="00AB549C"/>
    <w:rsid w:val="00AC2517"/>
    <w:rsid w:val="00AC7A56"/>
    <w:rsid w:val="00AD1E70"/>
    <w:rsid w:val="00B02803"/>
    <w:rsid w:val="00B02D82"/>
    <w:rsid w:val="00B04B20"/>
    <w:rsid w:val="00B059A1"/>
    <w:rsid w:val="00B124FA"/>
    <w:rsid w:val="00B16668"/>
    <w:rsid w:val="00B23131"/>
    <w:rsid w:val="00B420D8"/>
    <w:rsid w:val="00B46DC7"/>
    <w:rsid w:val="00B52DDA"/>
    <w:rsid w:val="00B64869"/>
    <w:rsid w:val="00B64B2E"/>
    <w:rsid w:val="00B71EB5"/>
    <w:rsid w:val="00B731B6"/>
    <w:rsid w:val="00B74722"/>
    <w:rsid w:val="00B754DC"/>
    <w:rsid w:val="00B83096"/>
    <w:rsid w:val="00B85B6E"/>
    <w:rsid w:val="00B91992"/>
    <w:rsid w:val="00B93BFF"/>
    <w:rsid w:val="00B963BE"/>
    <w:rsid w:val="00B96CA2"/>
    <w:rsid w:val="00BA07D4"/>
    <w:rsid w:val="00BA284A"/>
    <w:rsid w:val="00BA5EB2"/>
    <w:rsid w:val="00BA7DA6"/>
    <w:rsid w:val="00BB1678"/>
    <w:rsid w:val="00BB272E"/>
    <w:rsid w:val="00BB7224"/>
    <w:rsid w:val="00BC1783"/>
    <w:rsid w:val="00BC2024"/>
    <w:rsid w:val="00BC3E7D"/>
    <w:rsid w:val="00BC414D"/>
    <w:rsid w:val="00BC609E"/>
    <w:rsid w:val="00BC6E15"/>
    <w:rsid w:val="00BC7FD7"/>
    <w:rsid w:val="00BD1F61"/>
    <w:rsid w:val="00BD3D55"/>
    <w:rsid w:val="00BD5A88"/>
    <w:rsid w:val="00BD6360"/>
    <w:rsid w:val="00BD66B1"/>
    <w:rsid w:val="00BD7532"/>
    <w:rsid w:val="00BF2953"/>
    <w:rsid w:val="00C034A9"/>
    <w:rsid w:val="00C0368E"/>
    <w:rsid w:val="00C06BC5"/>
    <w:rsid w:val="00C06D51"/>
    <w:rsid w:val="00C11731"/>
    <w:rsid w:val="00C1702B"/>
    <w:rsid w:val="00C26A22"/>
    <w:rsid w:val="00C302FA"/>
    <w:rsid w:val="00C3072D"/>
    <w:rsid w:val="00C3178E"/>
    <w:rsid w:val="00C3292D"/>
    <w:rsid w:val="00C33045"/>
    <w:rsid w:val="00C333B7"/>
    <w:rsid w:val="00C41639"/>
    <w:rsid w:val="00C4681D"/>
    <w:rsid w:val="00C50889"/>
    <w:rsid w:val="00C643D4"/>
    <w:rsid w:val="00C6442A"/>
    <w:rsid w:val="00C66C00"/>
    <w:rsid w:val="00C6753E"/>
    <w:rsid w:val="00C70C54"/>
    <w:rsid w:val="00C755BD"/>
    <w:rsid w:val="00C80B16"/>
    <w:rsid w:val="00C9279E"/>
    <w:rsid w:val="00C948AA"/>
    <w:rsid w:val="00CA33DC"/>
    <w:rsid w:val="00CA5E25"/>
    <w:rsid w:val="00CA6CB3"/>
    <w:rsid w:val="00CB0977"/>
    <w:rsid w:val="00CB0F92"/>
    <w:rsid w:val="00CB384A"/>
    <w:rsid w:val="00CB4C18"/>
    <w:rsid w:val="00CC0F76"/>
    <w:rsid w:val="00CC37BF"/>
    <w:rsid w:val="00CD1947"/>
    <w:rsid w:val="00CE3EF2"/>
    <w:rsid w:val="00CE5EEC"/>
    <w:rsid w:val="00D0565A"/>
    <w:rsid w:val="00D119F5"/>
    <w:rsid w:val="00D15010"/>
    <w:rsid w:val="00D228AE"/>
    <w:rsid w:val="00D32FB8"/>
    <w:rsid w:val="00D3484E"/>
    <w:rsid w:val="00D36C7E"/>
    <w:rsid w:val="00D36F73"/>
    <w:rsid w:val="00D4344D"/>
    <w:rsid w:val="00D50699"/>
    <w:rsid w:val="00D50848"/>
    <w:rsid w:val="00D51C9B"/>
    <w:rsid w:val="00D605BC"/>
    <w:rsid w:val="00D61C83"/>
    <w:rsid w:val="00D64906"/>
    <w:rsid w:val="00D74164"/>
    <w:rsid w:val="00D74DC3"/>
    <w:rsid w:val="00D81A80"/>
    <w:rsid w:val="00D81AD4"/>
    <w:rsid w:val="00D83531"/>
    <w:rsid w:val="00D87E36"/>
    <w:rsid w:val="00D912B0"/>
    <w:rsid w:val="00D93439"/>
    <w:rsid w:val="00D937D6"/>
    <w:rsid w:val="00D95044"/>
    <w:rsid w:val="00DA3D1A"/>
    <w:rsid w:val="00DA6D66"/>
    <w:rsid w:val="00DB0979"/>
    <w:rsid w:val="00DB2009"/>
    <w:rsid w:val="00DB2B8C"/>
    <w:rsid w:val="00DB3857"/>
    <w:rsid w:val="00DC198B"/>
    <w:rsid w:val="00DC1A5F"/>
    <w:rsid w:val="00DC2BF8"/>
    <w:rsid w:val="00DD2E63"/>
    <w:rsid w:val="00DD312C"/>
    <w:rsid w:val="00DE183E"/>
    <w:rsid w:val="00DF2F7B"/>
    <w:rsid w:val="00DF3D38"/>
    <w:rsid w:val="00DF524E"/>
    <w:rsid w:val="00E013A9"/>
    <w:rsid w:val="00E11392"/>
    <w:rsid w:val="00E14C55"/>
    <w:rsid w:val="00E15497"/>
    <w:rsid w:val="00E154A3"/>
    <w:rsid w:val="00E158B2"/>
    <w:rsid w:val="00E16789"/>
    <w:rsid w:val="00E201A8"/>
    <w:rsid w:val="00E241B7"/>
    <w:rsid w:val="00E2544E"/>
    <w:rsid w:val="00E31FA1"/>
    <w:rsid w:val="00E33085"/>
    <w:rsid w:val="00E3334F"/>
    <w:rsid w:val="00E3435D"/>
    <w:rsid w:val="00E4750A"/>
    <w:rsid w:val="00E52DFE"/>
    <w:rsid w:val="00E53788"/>
    <w:rsid w:val="00E56C5E"/>
    <w:rsid w:val="00E61B19"/>
    <w:rsid w:val="00E62E09"/>
    <w:rsid w:val="00E63AC5"/>
    <w:rsid w:val="00E64A0A"/>
    <w:rsid w:val="00E66223"/>
    <w:rsid w:val="00E71180"/>
    <w:rsid w:val="00E72515"/>
    <w:rsid w:val="00E90C89"/>
    <w:rsid w:val="00E91BF6"/>
    <w:rsid w:val="00E968F1"/>
    <w:rsid w:val="00EB1A84"/>
    <w:rsid w:val="00EB3130"/>
    <w:rsid w:val="00EB42E3"/>
    <w:rsid w:val="00EC5653"/>
    <w:rsid w:val="00EC5FA9"/>
    <w:rsid w:val="00ED76C3"/>
    <w:rsid w:val="00EE01F2"/>
    <w:rsid w:val="00EE066D"/>
    <w:rsid w:val="00EE3647"/>
    <w:rsid w:val="00F23EF9"/>
    <w:rsid w:val="00F372EB"/>
    <w:rsid w:val="00F4329D"/>
    <w:rsid w:val="00F436BC"/>
    <w:rsid w:val="00F456FD"/>
    <w:rsid w:val="00F510E0"/>
    <w:rsid w:val="00F52B07"/>
    <w:rsid w:val="00F57F16"/>
    <w:rsid w:val="00F70B8C"/>
    <w:rsid w:val="00F71B45"/>
    <w:rsid w:val="00F71CD3"/>
    <w:rsid w:val="00F733EA"/>
    <w:rsid w:val="00F76071"/>
    <w:rsid w:val="00F76E7B"/>
    <w:rsid w:val="00F7706D"/>
    <w:rsid w:val="00F777A2"/>
    <w:rsid w:val="00F845F5"/>
    <w:rsid w:val="00F9391B"/>
    <w:rsid w:val="00F950EB"/>
    <w:rsid w:val="00FA088D"/>
    <w:rsid w:val="00FA5345"/>
    <w:rsid w:val="00FC3FC5"/>
    <w:rsid w:val="00FC6BE4"/>
    <w:rsid w:val="00FD1ABB"/>
    <w:rsid w:val="00FD346B"/>
    <w:rsid w:val="00FE44FC"/>
    <w:rsid w:val="00FE6CF8"/>
    <w:rsid w:val="00FF29C7"/>
    <w:rsid w:val="00FF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4AE173B"/>
  <w15:docId w15:val="{5656F1C9-2BFE-457D-8B14-6482F681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aliases w:val="Char"/>
    <w:basedOn w:val="Normal"/>
    <w:link w:val="FootnoteTextChar"/>
    <w:uiPriority w:val="99"/>
    <w:unhideWhenUsed/>
    <w:rsid w:val="00DA3D1A"/>
    <w:rPr>
      <w:sz w:val="20"/>
    </w:rPr>
  </w:style>
  <w:style w:type="character" w:customStyle="1" w:styleId="FootnoteTextChar">
    <w:name w:val="Footnote Text Char"/>
    <w:aliases w:val="Char Char"/>
    <w:basedOn w:val="DefaultParagraphFont"/>
    <w:link w:val="FootnoteText"/>
    <w:uiPriority w:val="99"/>
    <w:rsid w:val="00DA3D1A"/>
    <w:rPr>
      <w:rFonts w:ascii="Trebuchet MS" w:eastAsia="Times New Roman" w:hAnsi="Trebuchet MS"/>
    </w:rPr>
  </w:style>
  <w:style w:type="character" w:styleId="FootnoteReference">
    <w:name w:val="footnote reference"/>
    <w:basedOn w:val="DefaultParagraphFont"/>
    <w:uiPriority w:val="99"/>
    <w:unhideWhenUsed/>
    <w:qFormat/>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customStyle="1" w:styleId="BULLET1">
    <w:name w:val="BULLET 1"/>
    <w:basedOn w:val="Normal"/>
    <w:link w:val="BULLET1Char"/>
    <w:qFormat/>
    <w:rsid w:val="00BC414D"/>
    <w:pPr>
      <w:numPr>
        <w:numId w:val="12"/>
      </w:numPr>
      <w:spacing w:after="240"/>
      <w:jc w:val="both"/>
    </w:pPr>
    <w:rPr>
      <w:rFonts w:ascii="Arial" w:eastAsiaTheme="minorEastAsia" w:hAnsi="Arial" w:cstheme="minorBidi"/>
      <w:szCs w:val="22"/>
    </w:rPr>
  </w:style>
  <w:style w:type="character" w:customStyle="1" w:styleId="BULLET1Char">
    <w:name w:val="BULLET 1 Char"/>
    <w:basedOn w:val="DefaultParagraphFont"/>
    <w:link w:val="BULLET1"/>
    <w:rsid w:val="00BC414D"/>
    <w:rPr>
      <w:rFonts w:ascii="Arial" w:eastAsiaTheme="minorEastAsia"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leif.org/en/lei/search"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so.org/iso/country_co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iso-3166-country-co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119</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355</Value>
      <Value>268</Value>
      <Value>333</Value>
      <Value>36</Value>
      <Value>312</Value>
      <Value>4</Value>
      <Value>19</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Example of an Explanatory Statement for revoke and replace reporting standard.  Annotated</APRADescription>
    <APRAActivityID xmlns="814d62cb-2db6-4c25-ab62-b9075facbc11">Related Parties</APRAActivityID>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APS 221 Large Exposures</TermName>
          <TermId xmlns="http://schemas.microsoft.com/office/infopath/2007/PartnerControls">319ae373-517c-479b-a77f-a9a671f2765d</TermId>
        </TermInfo>
        <TermInfo xmlns="http://schemas.microsoft.com/office/infopath/2007/PartnerControls">
          <TermName xmlns="http://schemas.microsoft.com/office/infopath/2007/PartnerControls">ARS 221.0 Large Exposures</TermName>
          <TermId xmlns="http://schemas.microsoft.com/office/infopath/2007/PartnerControls">8b64252b-bdac-4a15-a780-87d0a03dd49e</TermId>
        </TermInfo>
      </Terms>
    </aa36a5a650d54f768f171f4d17b8b238>
    <_dlc_DocId xmlns="814d62cb-2db6-4c25-ab62-b9075facbc11">5PCYMS3VTAUD-626204655-6975</_dlc_DocId>
    <_dlc_DocIdUrl xmlns="814d62cb-2db6-4c25-ab62-b9075facbc11">
      <Url>https://im/teams/POLICYADI/_layouts/15/DocIdRedir.aspx?ID=5PCYMS3VTAUD-626204655-6975</Url>
      <Description>5PCYMS3VTAUD-626204655-6975</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2.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3.xml><?xml version="1.0" encoding="utf-8"?>
<ds:datastoreItem xmlns:ds="http://schemas.openxmlformats.org/officeDocument/2006/customXml" ds:itemID="{3B74E0B5-57C2-4781-900D-667EC70EB54A}">
  <ds:schemaRefs>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5.xml><?xml version="1.0" encoding="utf-8"?>
<ds:datastoreItem xmlns:ds="http://schemas.openxmlformats.org/officeDocument/2006/customXml" ds:itemID="{CF66983E-D4BA-4C6D-A60C-03FC27CBD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47DE09-25D8-4A5E-A9F3-157C104A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5</Pages>
  <Words>1660</Words>
  <Characters>9098</Characters>
  <Application>Microsoft Office Word</Application>
  <DocSecurity>0</DocSecurity>
  <Lines>165</Lines>
  <Paragraphs>56</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revoke and replace reporting standard</dc:title>
  <dc:subject/>
  <dc:creator>Sullivan, David</dc:creator>
  <cp:keywords>[SEC=UNCLASSIFIED]</cp:keywords>
  <dc:description/>
  <cp:lastModifiedBy>Li, Joanne</cp:lastModifiedBy>
  <cp:revision>2</cp:revision>
  <cp:lastPrinted>2019-11-29T00:21:00Z</cp:lastPrinted>
  <dcterms:created xsi:type="dcterms:W3CDTF">2020-03-26T06:17:00Z</dcterms:created>
  <dcterms:modified xsi:type="dcterms:W3CDTF">2020-03-26T06:17:00Z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1CD1E0673941667F49261F5DEEE95EED755C7EF5</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4F0B2491C8742E8023C3C22E9C6274E9C59D9335</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3B0CCB2A9D064597B35F04C89ED4A370</vt:lpwstr>
  </property>
  <property fmtid="{D5CDD505-2E9C-101B-9397-08002B2CF9AE}" pid="16" name="PM_OriginationTimeStamp">
    <vt:lpwstr>2019-11-25T21:17:00Z</vt:lpwstr>
  </property>
  <property fmtid="{D5CDD505-2E9C-101B-9397-08002B2CF9AE}" pid="17" name="PM_Hash_Version">
    <vt:lpwstr>2018.0</vt:lpwstr>
  </property>
  <property fmtid="{D5CDD505-2E9C-101B-9397-08002B2CF9AE}" pid="18" name="PM_Hash_Salt_Prev">
    <vt:lpwstr>40903D5FBED13EBC68531BCF3DBC2E93</vt:lpwstr>
  </property>
  <property fmtid="{D5CDD505-2E9C-101B-9397-08002B2CF9AE}" pid="19" name="PM_Hash_Salt">
    <vt:lpwstr>C549771FD0A5CED92364D2C6C6723EAB</vt:lpwstr>
  </property>
  <property fmtid="{D5CDD505-2E9C-101B-9397-08002B2CF9AE}" pid="20" name="PM_MinimumSecurityClassification">
    <vt:lpwstr/>
  </property>
  <property fmtid="{D5CDD505-2E9C-101B-9397-08002B2CF9AE}" pid="21" name="ContentTypeId">
    <vt:lpwstr>0x0101008CA7A4F8331B45C7B0D3158B4994D0CA020066A5C421D8AD4F439F9FF2A1FED828D5</vt:lpwstr>
  </property>
  <property fmtid="{D5CDD505-2E9C-101B-9397-08002B2CF9AE}" pid="22" name="APRAPeriod">
    <vt:lpwstr/>
  </property>
  <property fmtid="{D5CDD505-2E9C-101B-9397-08002B2CF9AE}" pid="23" name="APRACostCentre">
    <vt:lpwstr>268;#PAD300|98bbdbe4-d019-48eb-87c4-aa31a7f2f98f</vt:lpwstr>
  </property>
  <property fmtid="{D5CDD505-2E9C-101B-9397-08002B2CF9AE}" pid="24" name="APRAYear">
    <vt:lpwstr/>
  </property>
  <property fmtid="{D5CDD505-2E9C-101B-9397-08002B2CF9AE}" pid="25" name="APRAIndustry">
    <vt:lpwstr>4;#ADI|906b8d6f-8851-e311-9e2e-005056b54f10</vt:lpwstr>
  </property>
  <property fmtid="{D5CDD505-2E9C-101B-9397-08002B2CF9AE}" pid="26" name="APRAPRSG">
    <vt:lpwstr>36;#APS 221 Large Exposures|319ae373-517c-479b-a77f-a9a671f2765d;#355;#ARS 221.0 Large Exposures|8b64252b-bdac-4a15-a780-87d0a03dd49e</vt:lpwstr>
  </property>
  <property fmtid="{D5CDD505-2E9C-101B-9397-08002B2CF9AE}" pid="27" name="_dlc_DocIdItemGuid">
    <vt:lpwstr>ec909e6c-59a1-42ee-ad3c-90683b1f29e6</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333;#Precedent|197f51c4-dc37-4f46-99ec-cabda449ee10;#312;#Legal instrument|71fd6ed3-d6d6-4975-ba99-bfe45802e734</vt:lpwstr>
  </property>
  <property fmtid="{D5CDD505-2E9C-101B-9397-08002B2CF9AE}" pid="32" name="APRAStatus">
    <vt:lpwstr>1;#Draft|0e1556d2-3fe8-443a-ada7-3620563b46b3</vt:lpwstr>
  </property>
  <property fmtid="{D5CDD505-2E9C-101B-9397-08002B2CF9AE}" pid="33" name="APRAActivity">
    <vt:lpwstr>19;#Prudential policy development|4cf81ba0-32a2-4f8f-8216-9e632903331b</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{6cf21f76-089f-49aa-b976-a2f63c0fa512}</vt:lpwstr>
  </property>
  <property fmtid="{D5CDD505-2E9C-101B-9397-08002B2CF9AE}" pid="40" name="RecordPoint_ActiveItemSiteId">
    <vt:lpwstr>{673c3c09-c2de-4447-b34a-12048cb74e15}</vt:lpwstr>
  </property>
  <property fmtid="{D5CDD505-2E9C-101B-9397-08002B2CF9AE}" pid="41" name="RecordPoint_ActiveItemListId">
    <vt:lpwstr>{54723745-d72c-4003-be6c-0dd489a7c0f4}</vt:lpwstr>
  </property>
  <property fmtid="{D5CDD505-2E9C-101B-9397-08002B2CF9AE}" pid="42" name="RecordPoint_ActiveItemUniqueId">
    <vt:lpwstr>{ec909e6c-59a1-42ee-ad3c-90683b1f29e6}</vt:lpwstr>
  </property>
  <property fmtid="{D5CDD505-2E9C-101B-9397-08002B2CF9AE}" pid="43" name="RecordPoint_RecordNumberSubmitted">
    <vt:lpwstr>R0000903509</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RecordPoint_SubmissionCompleted">
    <vt:lpwstr>2020-03-20T18:16:36.9149048+11:00</vt:lpwstr>
  </property>
  <property fmtid="{D5CDD505-2E9C-101B-9397-08002B2CF9AE}" pid="48" name="PM_SecurityClassification_Prev">
    <vt:lpwstr>UNCLASSIFIED</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ies>
</file>