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BFCEB" w14:textId="3F287A10" w:rsidR="003705E4" w:rsidRPr="00D57976" w:rsidRDefault="003705E4" w:rsidP="002662C3">
      <w:pPr>
        <w:pStyle w:val="Heading1"/>
        <w:spacing w:before="0" w:after="240" w:line="240" w:lineRule="auto"/>
        <w:rPr>
          <w:b w:val="0"/>
          <w:bCs/>
          <w:spacing w:val="-2"/>
          <w:szCs w:val="28"/>
          <w:lang w:eastAsia="en-AU"/>
        </w:rPr>
      </w:pPr>
      <w:bookmarkStart w:id="0" w:name="_Toc408568581"/>
      <w:bookmarkStart w:id="1" w:name="_GoBack"/>
      <w:bookmarkEnd w:id="1"/>
      <w:r w:rsidRPr="00D57976">
        <w:rPr>
          <w:bCs/>
          <w:i/>
          <w:spacing w:val="-2"/>
          <w:szCs w:val="28"/>
          <w:lang w:eastAsia="en-AU"/>
        </w:rPr>
        <w:t>Legislation (</w:t>
      </w:r>
      <w:r w:rsidR="00DB5005">
        <w:rPr>
          <w:bCs/>
          <w:i/>
          <w:spacing w:val="-2"/>
          <w:szCs w:val="28"/>
          <w:lang w:eastAsia="en-AU"/>
        </w:rPr>
        <w:t>Building Energy Efficiency Disclosure Instruments) Sunset</w:t>
      </w:r>
      <w:r w:rsidR="00E74EBA">
        <w:rPr>
          <w:bCs/>
          <w:i/>
          <w:spacing w:val="-2"/>
          <w:szCs w:val="28"/>
          <w:lang w:eastAsia="en-AU"/>
        </w:rPr>
        <w:noBreakHyphen/>
      </w:r>
      <w:r w:rsidRPr="00D57976">
        <w:rPr>
          <w:bCs/>
          <w:i/>
          <w:spacing w:val="-2"/>
          <w:szCs w:val="28"/>
          <w:lang w:eastAsia="en-AU"/>
        </w:rPr>
        <w:t>altering Declaration 20</w:t>
      </w:r>
      <w:r w:rsidR="008379D7">
        <w:rPr>
          <w:bCs/>
          <w:i/>
          <w:spacing w:val="-2"/>
          <w:szCs w:val="28"/>
          <w:lang w:eastAsia="en-AU"/>
        </w:rPr>
        <w:t>20</w:t>
      </w:r>
    </w:p>
    <w:p w14:paraId="63FBFCEC" w14:textId="77777777" w:rsidR="003705E4" w:rsidRPr="00AE3ED3" w:rsidRDefault="003705E4" w:rsidP="002662C3">
      <w:pPr>
        <w:pStyle w:val="Heading1"/>
        <w:spacing w:before="0" w:after="240" w:line="240" w:lineRule="auto"/>
      </w:pPr>
      <w:r w:rsidRPr="00AE3ED3">
        <w:t>EXPLANATORY STATEMENT</w:t>
      </w:r>
    </w:p>
    <w:p w14:paraId="63FBFCEE" w14:textId="6987F046" w:rsidR="003705E4" w:rsidRDefault="003705E4" w:rsidP="002662C3">
      <w:pPr>
        <w:pBdr>
          <w:bottom w:val="single" w:sz="12" w:space="1" w:color="auto"/>
        </w:pBdr>
        <w:jc w:val="center"/>
        <w:rPr>
          <w:i/>
          <w:lang w:val="en-AU"/>
        </w:rPr>
      </w:pPr>
      <w:r w:rsidRPr="00AE3ED3">
        <w:rPr>
          <w:lang w:val="en-AU"/>
        </w:rPr>
        <w:t xml:space="preserve">Issued by the Attorney-General in compliance with </w:t>
      </w:r>
      <w:r w:rsidRPr="00AE3ED3">
        <w:rPr>
          <w:lang w:val="en-AU"/>
        </w:rPr>
        <w:br/>
        <w:t>section 15G of the</w:t>
      </w:r>
      <w:r w:rsidRPr="005D7B1E">
        <w:rPr>
          <w:lang w:val="en-AU"/>
        </w:rPr>
        <w:t xml:space="preserve"> </w:t>
      </w:r>
      <w:r w:rsidRPr="005D7B1E">
        <w:rPr>
          <w:i/>
          <w:lang w:val="en-AU"/>
        </w:rPr>
        <w:t>Legislation Act 2003</w:t>
      </w:r>
    </w:p>
    <w:p w14:paraId="37755A38" w14:textId="711EC1A0" w:rsidR="00E74EBA" w:rsidRPr="002662C3" w:rsidRDefault="00E74EBA" w:rsidP="002662C3">
      <w:pPr>
        <w:pBdr>
          <w:bottom w:val="single" w:sz="12" w:space="1" w:color="auto"/>
        </w:pBdr>
        <w:spacing w:after="240"/>
        <w:rPr>
          <w:i/>
          <w:lang w:val="en-AU"/>
        </w:rPr>
      </w:pPr>
    </w:p>
    <w:p w14:paraId="63FBFCEF" w14:textId="77777777" w:rsidR="003705E4" w:rsidRDefault="003705E4" w:rsidP="002662C3">
      <w:pPr>
        <w:pStyle w:val="Heading2"/>
        <w:spacing w:before="0"/>
        <w:rPr>
          <w:sz w:val="24"/>
          <w:szCs w:val="24"/>
        </w:rPr>
      </w:pPr>
      <w:r w:rsidRPr="00E74EBA">
        <w:rPr>
          <w:sz w:val="24"/>
          <w:szCs w:val="24"/>
        </w:rPr>
        <w:t xml:space="preserve">INTRODUCTION </w:t>
      </w:r>
    </w:p>
    <w:p w14:paraId="66848B73" w14:textId="77777777" w:rsidR="00E74EBA" w:rsidRPr="00E74EBA" w:rsidRDefault="00E74EBA" w:rsidP="002662C3">
      <w:pPr>
        <w:rPr>
          <w:lang w:val="en-AU"/>
        </w:rPr>
      </w:pPr>
    </w:p>
    <w:p w14:paraId="63FBFCF0" w14:textId="7C5C20EC" w:rsidR="003705E4" w:rsidRDefault="003705E4" w:rsidP="002662C3">
      <w:pPr>
        <w:pStyle w:val="Basetext"/>
        <w:spacing w:before="0" w:line="240" w:lineRule="auto"/>
        <w:rPr>
          <w:sz w:val="24"/>
          <w:szCs w:val="24"/>
        </w:rPr>
      </w:pPr>
      <w:r w:rsidRPr="00E74EBA">
        <w:rPr>
          <w:sz w:val="24"/>
          <w:szCs w:val="24"/>
        </w:rPr>
        <w:t xml:space="preserve">The </w:t>
      </w:r>
      <w:r w:rsidR="007326B2" w:rsidRPr="00E74EBA">
        <w:rPr>
          <w:bCs/>
          <w:i/>
          <w:sz w:val="24"/>
          <w:szCs w:val="24"/>
          <w:lang w:val="en-US"/>
        </w:rPr>
        <w:t>Legislation (Building Energy Efficiency</w:t>
      </w:r>
      <w:r w:rsidRPr="00E74EBA">
        <w:rPr>
          <w:bCs/>
          <w:i/>
          <w:sz w:val="24"/>
          <w:szCs w:val="24"/>
          <w:lang w:val="en-US"/>
        </w:rPr>
        <w:t xml:space="preserve"> </w:t>
      </w:r>
      <w:r w:rsidR="007326B2" w:rsidRPr="00E74EBA">
        <w:rPr>
          <w:bCs/>
          <w:i/>
          <w:sz w:val="24"/>
          <w:szCs w:val="24"/>
          <w:lang w:val="en-US"/>
        </w:rPr>
        <w:t xml:space="preserve">Disclosure </w:t>
      </w:r>
      <w:r w:rsidRPr="00E74EBA">
        <w:rPr>
          <w:bCs/>
          <w:i/>
          <w:sz w:val="24"/>
          <w:szCs w:val="24"/>
          <w:lang w:val="en-US"/>
        </w:rPr>
        <w:t>Instruments) Sunset-altering Declaration 20</w:t>
      </w:r>
      <w:r w:rsidR="008379D7">
        <w:rPr>
          <w:bCs/>
          <w:i/>
          <w:sz w:val="24"/>
          <w:szCs w:val="24"/>
          <w:lang w:val="en-US"/>
        </w:rPr>
        <w:t>20</w:t>
      </w:r>
      <w:r w:rsidRPr="00E74EBA">
        <w:rPr>
          <w:bCs/>
          <w:i/>
          <w:sz w:val="24"/>
          <w:szCs w:val="24"/>
        </w:rPr>
        <w:t xml:space="preserve"> </w:t>
      </w:r>
      <w:r w:rsidRPr="00E74EBA">
        <w:rPr>
          <w:sz w:val="24"/>
          <w:szCs w:val="24"/>
        </w:rPr>
        <w:t xml:space="preserve">(the </w:t>
      </w:r>
      <w:r w:rsidR="007326B2" w:rsidRPr="00E74EBA">
        <w:rPr>
          <w:sz w:val="24"/>
          <w:szCs w:val="24"/>
        </w:rPr>
        <w:t>BEED</w:t>
      </w:r>
      <w:r w:rsidRPr="00E74EBA">
        <w:rPr>
          <w:sz w:val="24"/>
          <w:szCs w:val="24"/>
        </w:rPr>
        <w:t xml:space="preserve"> </w:t>
      </w:r>
      <w:r w:rsidR="007326B2" w:rsidRPr="00E74EBA">
        <w:rPr>
          <w:sz w:val="24"/>
          <w:szCs w:val="24"/>
        </w:rPr>
        <w:t xml:space="preserve">Instruments </w:t>
      </w:r>
      <w:r w:rsidRPr="00E74EBA">
        <w:rPr>
          <w:sz w:val="24"/>
          <w:szCs w:val="24"/>
        </w:rPr>
        <w:t xml:space="preserve">Declaration) is made under subsection 51A(1) of the </w:t>
      </w:r>
      <w:r w:rsidRPr="00E74EBA">
        <w:rPr>
          <w:i/>
          <w:sz w:val="24"/>
          <w:szCs w:val="24"/>
        </w:rPr>
        <w:t>Legislation Act 2003</w:t>
      </w:r>
      <w:r w:rsidRPr="00E74EBA">
        <w:rPr>
          <w:sz w:val="24"/>
          <w:szCs w:val="24"/>
        </w:rPr>
        <w:t>.</w:t>
      </w:r>
      <w:r w:rsidRPr="00E74EBA">
        <w:rPr>
          <w:i/>
          <w:sz w:val="24"/>
          <w:szCs w:val="24"/>
        </w:rPr>
        <w:t xml:space="preserve"> </w:t>
      </w:r>
      <w:r w:rsidRPr="00E74EBA">
        <w:rPr>
          <w:sz w:val="24"/>
          <w:szCs w:val="24"/>
        </w:rPr>
        <w:t xml:space="preserve">It is a legislative instrument for the purposes of the Legislation Act and must be registered on the Federal Register of Legislation. The </w:t>
      </w:r>
      <w:r w:rsidR="007326B2" w:rsidRPr="00E74EBA">
        <w:rPr>
          <w:sz w:val="24"/>
          <w:szCs w:val="24"/>
        </w:rPr>
        <w:t>BEED</w:t>
      </w:r>
      <w:r w:rsidRPr="00E74EBA">
        <w:rPr>
          <w:sz w:val="24"/>
          <w:szCs w:val="24"/>
        </w:rPr>
        <w:t xml:space="preserve"> Instruments Declaration is subject to the disallowance provisions of the Legislation Act.</w:t>
      </w:r>
      <w:r w:rsidR="00E74EBA">
        <w:rPr>
          <w:sz w:val="24"/>
          <w:szCs w:val="24"/>
        </w:rPr>
        <w:t xml:space="preserve"> </w:t>
      </w:r>
    </w:p>
    <w:p w14:paraId="20890855" w14:textId="77777777" w:rsidR="00E74EBA" w:rsidRPr="00E74EBA" w:rsidRDefault="00E74EBA" w:rsidP="002662C3">
      <w:pPr>
        <w:pStyle w:val="Basetext"/>
        <w:spacing w:before="0" w:line="240" w:lineRule="auto"/>
        <w:rPr>
          <w:sz w:val="24"/>
          <w:szCs w:val="24"/>
        </w:rPr>
      </w:pPr>
    </w:p>
    <w:p w14:paraId="63FBFCF1" w14:textId="77777777" w:rsidR="003705E4" w:rsidRDefault="003705E4" w:rsidP="002662C3">
      <w:pPr>
        <w:pStyle w:val="Basetext"/>
        <w:spacing w:before="0" w:line="240" w:lineRule="auto"/>
        <w:rPr>
          <w:b/>
          <w:sz w:val="24"/>
          <w:szCs w:val="24"/>
        </w:rPr>
      </w:pPr>
      <w:r w:rsidRPr="00E74EBA">
        <w:rPr>
          <w:b/>
          <w:sz w:val="24"/>
          <w:szCs w:val="24"/>
        </w:rPr>
        <w:t>OUTLINE</w:t>
      </w:r>
    </w:p>
    <w:p w14:paraId="32427BAC" w14:textId="77777777" w:rsidR="00E74EBA" w:rsidRPr="00E74EBA" w:rsidRDefault="00E74EBA" w:rsidP="002662C3">
      <w:pPr>
        <w:pStyle w:val="Basetext"/>
        <w:spacing w:before="0" w:line="240" w:lineRule="auto"/>
        <w:rPr>
          <w:b/>
          <w:sz w:val="24"/>
          <w:szCs w:val="24"/>
        </w:rPr>
      </w:pPr>
    </w:p>
    <w:p w14:paraId="63FBFCF2" w14:textId="77777777" w:rsidR="003705E4" w:rsidRPr="00E74EBA" w:rsidRDefault="003705E4" w:rsidP="002662C3">
      <w:pPr>
        <w:pStyle w:val="Basetext"/>
        <w:spacing w:before="0" w:line="240" w:lineRule="auto"/>
        <w:rPr>
          <w:sz w:val="24"/>
          <w:szCs w:val="24"/>
        </w:rPr>
      </w:pPr>
      <w:r w:rsidRPr="00E74EBA">
        <w:rPr>
          <w:sz w:val="24"/>
          <w:szCs w:val="24"/>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63FBFCF3" w14:textId="77777777" w:rsidR="003705E4" w:rsidRDefault="003705E4" w:rsidP="002662C3">
      <w:pPr>
        <w:pStyle w:val="Basetext"/>
        <w:spacing w:before="0" w:line="240" w:lineRule="auto"/>
        <w:rPr>
          <w:sz w:val="24"/>
          <w:szCs w:val="24"/>
        </w:rPr>
      </w:pPr>
      <w:r w:rsidRPr="00E74EBA">
        <w:rPr>
          <w:sz w:val="24"/>
          <w:szCs w:val="24"/>
        </w:rPr>
        <w:t xml:space="preserve">Subsection 50(1) of the Legislation Act provides that a legislative instrument is automatically repealed on the 1 April or 1 October immediately on or following the tenth anniversary of its registration, unless it was registered on 1 January 2005. Legislative instruments registered on 1 January 2005 are subject to the staggered sunsetting timetable set out in subsection 50(2) of the Legislation Act. </w:t>
      </w:r>
    </w:p>
    <w:p w14:paraId="66936D90" w14:textId="77777777" w:rsidR="00E74EBA" w:rsidRPr="00E74EBA" w:rsidRDefault="00E74EBA" w:rsidP="002662C3">
      <w:pPr>
        <w:pStyle w:val="Basetext"/>
        <w:spacing w:before="0" w:line="240" w:lineRule="auto"/>
        <w:rPr>
          <w:sz w:val="24"/>
          <w:szCs w:val="24"/>
        </w:rPr>
      </w:pPr>
    </w:p>
    <w:p w14:paraId="63FBFCF4" w14:textId="77777777" w:rsidR="003705E4" w:rsidRDefault="003705E4" w:rsidP="002662C3">
      <w:pPr>
        <w:pStyle w:val="Basetext"/>
        <w:spacing w:before="0" w:line="240" w:lineRule="auto"/>
        <w:rPr>
          <w:sz w:val="24"/>
          <w:szCs w:val="24"/>
        </w:rPr>
      </w:pPr>
      <w:r w:rsidRPr="00E74EBA">
        <w:rPr>
          <w:sz w:val="24"/>
          <w:szCs w:val="24"/>
        </w:rPr>
        <w:t>Under subsection 51A(1) of the Legislation Act, the Attorney-General can issue a declaration aligning the sunsetting days of two or more instruments to 1 April or 1 October of a year that is up to five years later than the earliest sunsetting day. The instruments will then be repealed on the day specified in the declaration instead of the previously scheduled sunsetting day of each instrument. This allows instruments to continue to be in force for a further but limited period of time when they would otherwise sunset, or to sunset earlier than the originally scheduled sunsetting day.</w:t>
      </w:r>
    </w:p>
    <w:p w14:paraId="62909451" w14:textId="77777777" w:rsidR="00E74EBA" w:rsidRPr="00E74EBA" w:rsidRDefault="00E74EBA" w:rsidP="002662C3">
      <w:pPr>
        <w:pStyle w:val="Basetext"/>
        <w:spacing w:before="0" w:line="240" w:lineRule="auto"/>
        <w:rPr>
          <w:sz w:val="24"/>
          <w:szCs w:val="24"/>
        </w:rPr>
      </w:pPr>
    </w:p>
    <w:p w14:paraId="63FBFCF5" w14:textId="77777777" w:rsidR="003705E4" w:rsidRDefault="003705E4" w:rsidP="002662C3">
      <w:pPr>
        <w:pStyle w:val="Basetext"/>
        <w:spacing w:before="0" w:line="240" w:lineRule="auto"/>
        <w:rPr>
          <w:sz w:val="24"/>
          <w:szCs w:val="24"/>
        </w:rPr>
      </w:pPr>
      <w:r w:rsidRPr="00E74EBA">
        <w:rPr>
          <w:sz w:val="24"/>
          <w:szCs w:val="24"/>
        </w:rPr>
        <w:t xml:space="preserve">The objective of issuing a sunset-altering declaration is to facilitate either: the undertaking of a single review into the fitness-for-purpose of two or more thematically related legislative instruments; or the implementation of such a review’s findings. This reduces administrative burden as well as the possibility of legislative inconsistencies arising from reviewing and replacing related legislation at different times. </w:t>
      </w:r>
    </w:p>
    <w:p w14:paraId="331B09AB" w14:textId="77777777" w:rsidR="00E74EBA" w:rsidRPr="00E74EBA" w:rsidRDefault="00E74EBA" w:rsidP="002662C3">
      <w:pPr>
        <w:pStyle w:val="Basetext"/>
        <w:spacing w:before="0" w:line="240" w:lineRule="auto"/>
        <w:rPr>
          <w:sz w:val="24"/>
          <w:szCs w:val="24"/>
        </w:rPr>
      </w:pPr>
    </w:p>
    <w:p w14:paraId="63FBFCF6" w14:textId="1D7C1874" w:rsidR="003705E4" w:rsidRDefault="003705E4" w:rsidP="002662C3">
      <w:pPr>
        <w:pStyle w:val="Basetext"/>
        <w:spacing w:before="0" w:line="240" w:lineRule="auto"/>
        <w:rPr>
          <w:sz w:val="24"/>
          <w:szCs w:val="24"/>
        </w:rPr>
      </w:pPr>
      <w:r w:rsidRPr="00E74EBA">
        <w:rPr>
          <w:sz w:val="24"/>
          <w:szCs w:val="24"/>
        </w:rPr>
        <w:t xml:space="preserve">The </w:t>
      </w:r>
      <w:r w:rsidR="007326B2" w:rsidRPr="00E74EBA">
        <w:rPr>
          <w:sz w:val="24"/>
          <w:szCs w:val="24"/>
        </w:rPr>
        <w:t>BEED Instruments</w:t>
      </w:r>
      <w:r w:rsidRPr="00E74EBA">
        <w:rPr>
          <w:sz w:val="24"/>
          <w:szCs w:val="24"/>
        </w:rPr>
        <w:t xml:space="preserve"> Declaration aligns the sunsetting dates of the following </w:t>
      </w:r>
      <w:r w:rsidR="007326B2" w:rsidRPr="00E74EBA">
        <w:rPr>
          <w:sz w:val="24"/>
          <w:szCs w:val="24"/>
        </w:rPr>
        <w:t>three</w:t>
      </w:r>
      <w:r w:rsidRPr="00E74EBA">
        <w:rPr>
          <w:sz w:val="24"/>
          <w:szCs w:val="24"/>
        </w:rPr>
        <w:t xml:space="preserve"> instruments (together, the </w:t>
      </w:r>
      <w:r w:rsidR="007326B2" w:rsidRPr="00E74EBA">
        <w:rPr>
          <w:sz w:val="24"/>
          <w:szCs w:val="24"/>
        </w:rPr>
        <w:t>BEED</w:t>
      </w:r>
      <w:r w:rsidR="00987112">
        <w:rPr>
          <w:sz w:val="24"/>
          <w:szCs w:val="24"/>
        </w:rPr>
        <w:t xml:space="preserve"> instruments</w:t>
      </w:r>
      <w:r w:rsidRPr="00E74EBA">
        <w:rPr>
          <w:sz w:val="24"/>
          <w:szCs w:val="24"/>
        </w:rPr>
        <w:t>) to 1 </w:t>
      </w:r>
      <w:r w:rsidR="007326B2" w:rsidRPr="00E74EBA">
        <w:rPr>
          <w:sz w:val="24"/>
          <w:szCs w:val="24"/>
        </w:rPr>
        <w:t>October</w:t>
      </w:r>
      <w:r w:rsidRPr="00E74EBA">
        <w:rPr>
          <w:sz w:val="24"/>
          <w:szCs w:val="24"/>
        </w:rPr>
        <w:t xml:space="preserve"> 202</w:t>
      </w:r>
      <w:r w:rsidR="00BD03CC" w:rsidRPr="00E74EBA">
        <w:rPr>
          <w:sz w:val="24"/>
          <w:szCs w:val="24"/>
        </w:rPr>
        <w:t>5</w:t>
      </w:r>
      <w:r w:rsidRPr="00E74EBA">
        <w:rPr>
          <w:sz w:val="24"/>
          <w:szCs w:val="24"/>
        </w:rPr>
        <w:t xml:space="preserve">: </w:t>
      </w:r>
    </w:p>
    <w:p w14:paraId="6D8458EB" w14:textId="77777777" w:rsidR="00E74EBA" w:rsidRPr="00E74EBA" w:rsidRDefault="00E74EBA" w:rsidP="002662C3">
      <w:pPr>
        <w:pStyle w:val="Basetext"/>
        <w:spacing w:before="0" w:line="240" w:lineRule="auto"/>
        <w:rPr>
          <w:sz w:val="24"/>
          <w:szCs w:val="24"/>
        </w:rPr>
      </w:pPr>
    </w:p>
    <w:p w14:paraId="63FBFCF7" w14:textId="77777777" w:rsidR="003705E4" w:rsidRPr="00E74EBA" w:rsidRDefault="003705E4" w:rsidP="002662C3">
      <w:pPr>
        <w:pStyle w:val="Celltext"/>
        <w:numPr>
          <w:ilvl w:val="0"/>
          <w:numId w:val="1"/>
        </w:numPr>
        <w:spacing w:before="0"/>
        <w:rPr>
          <w:i/>
          <w:szCs w:val="24"/>
        </w:rPr>
      </w:pPr>
      <w:r w:rsidRPr="00E74EBA">
        <w:rPr>
          <w:szCs w:val="24"/>
        </w:rPr>
        <w:t xml:space="preserve">the </w:t>
      </w:r>
      <w:r w:rsidR="007326B2" w:rsidRPr="00E74EBA">
        <w:rPr>
          <w:i/>
          <w:szCs w:val="24"/>
        </w:rPr>
        <w:t>Building Energy Efficiency Disclosure Regulations 2010</w:t>
      </w:r>
      <w:r w:rsidRPr="00E74EBA">
        <w:rPr>
          <w:szCs w:val="24"/>
        </w:rPr>
        <w:t xml:space="preserve">; </w:t>
      </w:r>
    </w:p>
    <w:p w14:paraId="63FBFCF8" w14:textId="77777777" w:rsidR="003705E4" w:rsidRPr="00E74EBA" w:rsidRDefault="003705E4" w:rsidP="002662C3">
      <w:pPr>
        <w:pStyle w:val="Celltext"/>
        <w:numPr>
          <w:ilvl w:val="0"/>
          <w:numId w:val="1"/>
        </w:numPr>
        <w:spacing w:before="0"/>
        <w:rPr>
          <w:i/>
          <w:szCs w:val="24"/>
        </w:rPr>
      </w:pPr>
      <w:r w:rsidRPr="00E74EBA">
        <w:rPr>
          <w:szCs w:val="24"/>
        </w:rPr>
        <w:t xml:space="preserve">the </w:t>
      </w:r>
      <w:r w:rsidR="007326B2" w:rsidRPr="00E74EBA">
        <w:rPr>
          <w:i/>
          <w:szCs w:val="24"/>
        </w:rPr>
        <w:t>Building Energy Efficiency Disclosure Determination 2016</w:t>
      </w:r>
      <w:r w:rsidRPr="00E74EBA">
        <w:rPr>
          <w:szCs w:val="24"/>
        </w:rPr>
        <w:t xml:space="preserve">; </w:t>
      </w:r>
      <w:r w:rsidR="007326B2" w:rsidRPr="00E74EBA">
        <w:rPr>
          <w:szCs w:val="24"/>
        </w:rPr>
        <w:t>and</w:t>
      </w:r>
    </w:p>
    <w:p w14:paraId="63FBFCF9" w14:textId="7F6722A2" w:rsidR="003705E4" w:rsidRPr="00E74EBA" w:rsidRDefault="003705E4" w:rsidP="002662C3">
      <w:pPr>
        <w:pStyle w:val="Celltext"/>
        <w:numPr>
          <w:ilvl w:val="0"/>
          <w:numId w:val="1"/>
        </w:numPr>
        <w:spacing w:before="0"/>
        <w:rPr>
          <w:i/>
          <w:szCs w:val="24"/>
        </w:rPr>
      </w:pPr>
      <w:r w:rsidRPr="00E74EBA">
        <w:rPr>
          <w:szCs w:val="24"/>
        </w:rPr>
        <w:t xml:space="preserve">the </w:t>
      </w:r>
      <w:r w:rsidR="007326B2" w:rsidRPr="00E74EBA">
        <w:rPr>
          <w:i/>
          <w:szCs w:val="24"/>
        </w:rPr>
        <w:t>Building Energy Efficiency Disclosure (Disclosure Affected Buildings) Determination</w:t>
      </w:r>
      <w:r w:rsidR="00E74EBA" w:rsidRPr="00E74EBA">
        <w:rPr>
          <w:i/>
          <w:szCs w:val="24"/>
        </w:rPr>
        <w:t> </w:t>
      </w:r>
      <w:r w:rsidR="007326B2" w:rsidRPr="00E74EBA">
        <w:rPr>
          <w:i/>
          <w:szCs w:val="24"/>
        </w:rPr>
        <w:t>2016</w:t>
      </w:r>
      <w:r w:rsidR="007326B2" w:rsidRPr="00E74EBA">
        <w:rPr>
          <w:szCs w:val="24"/>
        </w:rPr>
        <w:t>.</w:t>
      </w:r>
      <w:r w:rsidRPr="00E74EBA">
        <w:rPr>
          <w:szCs w:val="24"/>
        </w:rPr>
        <w:t xml:space="preserve"> </w:t>
      </w:r>
    </w:p>
    <w:p w14:paraId="35B8D33F" w14:textId="77777777" w:rsidR="00236944" w:rsidRDefault="00236944">
      <w:pPr>
        <w:widowControl/>
        <w:spacing w:after="160" w:line="259" w:lineRule="auto"/>
        <w:rPr>
          <w:b/>
          <w:szCs w:val="24"/>
        </w:rPr>
      </w:pPr>
      <w:r>
        <w:rPr>
          <w:b/>
          <w:szCs w:val="24"/>
        </w:rPr>
        <w:br w:type="page"/>
      </w:r>
    </w:p>
    <w:p w14:paraId="63FBFD09" w14:textId="2A345BF7" w:rsidR="003705E4" w:rsidRPr="0061286F" w:rsidRDefault="003705E4" w:rsidP="0061286F">
      <w:pPr>
        <w:widowControl/>
        <w:rPr>
          <w:b/>
          <w:szCs w:val="24"/>
          <w:lang w:val="en-AU"/>
        </w:rPr>
      </w:pPr>
      <w:r w:rsidRPr="0061286F">
        <w:rPr>
          <w:b/>
          <w:szCs w:val="24"/>
        </w:rPr>
        <w:lastRenderedPageBreak/>
        <w:t xml:space="preserve">PROCESS BEFORE DECLARATION WAS MADE </w:t>
      </w:r>
    </w:p>
    <w:p w14:paraId="1AB86587" w14:textId="77777777" w:rsidR="00E74EBA" w:rsidRPr="00E74EBA" w:rsidRDefault="00E74EBA" w:rsidP="002662C3">
      <w:pPr>
        <w:rPr>
          <w:lang w:val="en-AU"/>
        </w:rPr>
      </w:pPr>
    </w:p>
    <w:p w14:paraId="63FBFD0A" w14:textId="77777777" w:rsidR="003705E4" w:rsidRDefault="003705E4" w:rsidP="002662C3">
      <w:pPr>
        <w:pStyle w:val="Heading3"/>
        <w:spacing w:before="0" w:after="0"/>
        <w:rPr>
          <w:sz w:val="24"/>
          <w:szCs w:val="24"/>
        </w:rPr>
      </w:pPr>
      <w:r w:rsidRPr="00E74EBA">
        <w:rPr>
          <w:sz w:val="24"/>
          <w:szCs w:val="24"/>
        </w:rPr>
        <w:t>Regulatory impact analysis</w:t>
      </w:r>
    </w:p>
    <w:p w14:paraId="0F8588EE" w14:textId="77777777" w:rsidR="00E74EBA" w:rsidRPr="00E74EBA" w:rsidRDefault="00E74EBA" w:rsidP="002662C3">
      <w:pPr>
        <w:rPr>
          <w:lang w:val="en-AU"/>
        </w:rPr>
      </w:pPr>
    </w:p>
    <w:p w14:paraId="63FBFD0B" w14:textId="77777777" w:rsidR="003705E4" w:rsidRPr="00E74EBA" w:rsidRDefault="003705E4" w:rsidP="002662C3">
      <w:pPr>
        <w:rPr>
          <w:szCs w:val="24"/>
        </w:rPr>
      </w:pPr>
      <w:r w:rsidRPr="00E74EBA">
        <w:rPr>
          <w:szCs w:val="24"/>
        </w:rPr>
        <w:t xml:space="preserve">Sunset-altering declarations are machinery of government instruments, and are therefore not subject to the regulatory impact assessment requirements set out by the Office of Best Practice Regulation (OBPR). The OBPR reference for this standing exemption is ID 19486. </w:t>
      </w:r>
    </w:p>
    <w:p w14:paraId="0776023D" w14:textId="77777777" w:rsidR="00E74EBA" w:rsidRDefault="00E74EBA" w:rsidP="002662C3">
      <w:pPr>
        <w:pStyle w:val="Heading3"/>
        <w:spacing w:before="0" w:after="0"/>
        <w:rPr>
          <w:sz w:val="24"/>
          <w:szCs w:val="24"/>
        </w:rPr>
      </w:pPr>
    </w:p>
    <w:p w14:paraId="63FBFD0C" w14:textId="77777777" w:rsidR="003705E4" w:rsidRDefault="003705E4" w:rsidP="002662C3">
      <w:pPr>
        <w:pStyle w:val="Heading3"/>
        <w:spacing w:before="0" w:after="0"/>
        <w:rPr>
          <w:sz w:val="24"/>
          <w:szCs w:val="24"/>
        </w:rPr>
      </w:pPr>
      <w:r w:rsidRPr="00E74EBA">
        <w:rPr>
          <w:sz w:val="24"/>
          <w:szCs w:val="24"/>
        </w:rPr>
        <w:t xml:space="preserve">Consultation before making </w:t>
      </w:r>
    </w:p>
    <w:p w14:paraId="4474C364" w14:textId="77777777" w:rsidR="00E74EBA" w:rsidRPr="00E74EBA" w:rsidRDefault="00E74EBA" w:rsidP="002662C3">
      <w:pPr>
        <w:rPr>
          <w:lang w:val="en-AU"/>
        </w:rPr>
      </w:pPr>
    </w:p>
    <w:p w14:paraId="63FBFD0D" w14:textId="2C1AF735" w:rsidR="003705E4" w:rsidRDefault="003705E4" w:rsidP="002662C3">
      <w:pPr>
        <w:pStyle w:val="Basetext"/>
        <w:spacing w:before="0" w:line="240" w:lineRule="auto"/>
        <w:rPr>
          <w:sz w:val="24"/>
          <w:szCs w:val="24"/>
        </w:rPr>
      </w:pPr>
      <w:r w:rsidRPr="00E74EBA">
        <w:rPr>
          <w:sz w:val="24"/>
          <w:szCs w:val="24"/>
        </w:rPr>
        <w:t xml:space="preserve">Before the </w:t>
      </w:r>
      <w:r w:rsidR="00E74EBA">
        <w:rPr>
          <w:sz w:val="24"/>
          <w:szCs w:val="24"/>
        </w:rPr>
        <w:t xml:space="preserve">BEED </w:t>
      </w:r>
      <w:r w:rsidRPr="00E74EBA">
        <w:rPr>
          <w:sz w:val="24"/>
          <w:szCs w:val="24"/>
        </w:rPr>
        <w:t>Instruments Declaration was issued, the Attorney</w:t>
      </w:r>
      <w:r w:rsidRPr="00E74EBA">
        <w:rPr>
          <w:sz w:val="24"/>
          <w:szCs w:val="24"/>
        </w:rPr>
        <w:noBreakHyphen/>
        <w:t xml:space="preserve">General considered the general obligation to consult imposed by section 17 of the Legislation Act. </w:t>
      </w:r>
    </w:p>
    <w:p w14:paraId="3BE95EB3" w14:textId="77777777" w:rsidR="00E74EBA" w:rsidRPr="00E74EBA" w:rsidRDefault="00E74EBA" w:rsidP="002662C3">
      <w:pPr>
        <w:pStyle w:val="Basetext"/>
        <w:spacing w:before="0" w:line="240" w:lineRule="auto"/>
        <w:rPr>
          <w:sz w:val="24"/>
          <w:szCs w:val="24"/>
        </w:rPr>
      </w:pPr>
    </w:p>
    <w:p w14:paraId="63FBFD0E" w14:textId="19E3A63A" w:rsidR="003705E4" w:rsidRDefault="003705E4" w:rsidP="002662C3">
      <w:pPr>
        <w:pStyle w:val="Celltext"/>
        <w:spacing w:before="0"/>
        <w:rPr>
          <w:szCs w:val="24"/>
        </w:rPr>
      </w:pPr>
      <w:r w:rsidRPr="00E74EBA">
        <w:rPr>
          <w:szCs w:val="24"/>
        </w:rPr>
        <w:t xml:space="preserve">The Minister for </w:t>
      </w:r>
      <w:r w:rsidR="007326B2" w:rsidRPr="00E74EBA">
        <w:rPr>
          <w:szCs w:val="24"/>
        </w:rPr>
        <w:t>Energy and Emissions Reduction</w:t>
      </w:r>
      <w:r w:rsidRPr="00E74EBA">
        <w:rPr>
          <w:szCs w:val="24"/>
        </w:rPr>
        <w:t>,</w:t>
      </w:r>
      <w:r w:rsidR="00236944" w:rsidRPr="00236944">
        <w:rPr>
          <w:szCs w:val="24"/>
        </w:rPr>
        <w:t xml:space="preserve"> </w:t>
      </w:r>
      <w:r w:rsidR="00236944" w:rsidRPr="00E74EBA">
        <w:rPr>
          <w:szCs w:val="24"/>
        </w:rPr>
        <w:t>Hon Angus Taylor MP</w:t>
      </w:r>
      <w:r w:rsidR="00236944">
        <w:rPr>
          <w:szCs w:val="24"/>
        </w:rPr>
        <w:t>,</w:t>
      </w:r>
      <w:r w:rsidR="00236944" w:rsidRPr="00E74EBA">
        <w:rPr>
          <w:szCs w:val="24"/>
        </w:rPr>
        <w:t xml:space="preserve"> is </w:t>
      </w:r>
      <w:r w:rsidRPr="00E74EBA">
        <w:rPr>
          <w:szCs w:val="24"/>
        </w:rPr>
        <w:t xml:space="preserve">responsible for administering the </w:t>
      </w:r>
      <w:r w:rsidR="007326B2" w:rsidRPr="00E74EBA">
        <w:rPr>
          <w:i/>
          <w:szCs w:val="24"/>
        </w:rPr>
        <w:t>Building Energy Efficiency Disclosure Act 2010</w:t>
      </w:r>
      <w:r w:rsidRPr="00E74EBA">
        <w:rPr>
          <w:szCs w:val="24"/>
        </w:rPr>
        <w:t xml:space="preserve">, under which the </w:t>
      </w:r>
      <w:r w:rsidR="007326B2" w:rsidRPr="00E74EBA">
        <w:rPr>
          <w:szCs w:val="24"/>
        </w:rPr>
        <w:t>BEED</w:t>
      </w:r>
      <w:r w:rsidRPr="00E74EBA">
        <w:rPr>
          <w:szCs w:val="24"/>
        </w:rPr>
        <w:t xml:space="preserve"> </w:t>
      </w:r>
      <w:r w:rsidR="00987112">
        <w:rPr>
          <w:szCs w:val="24"/>
        </w:rPr>
        <w:t>i</w:t>
      </w:r>
      <w:r w:rsidRPr="00E74EBA">
        <w:rPr>
          <w:szCs w:val="24"/>
        </w:rPr>
        <w:t xml:space="preserve">nstruments are made. Minister </w:t>
      </w:r>
      <w:r w:rsidR="007326B2" w:rsidRPr="00E74EBA">
        <w:rPr>
          <w:szCs w:val="24"/>
        </w:rPr>
        <w:t>Taylor</w:t>
      </w:r>
      <w:r w:rsidRPr="00E74EBA">
        <w:rPr>
          <w:szCs w:val="24"/>
        </w:rPr>
        <w:t xml:space="preserve"> is therefore the relevant rule</w:t>
      </w:r>
      <w:r w:rsidRPr="00E74EBA">
        <w:rPr>
          <w:szCs w:val="24"/>
        </w:rPr>
        <w:noBreakHyphen/>
        <w:t>maker for the purposes of section 6 of the Legislation Act for the</w:t>
      </w:r>
      <w:r w:rsidR="007326B2" w:rsidRPr="00E74EBA">
        <w:rPr>
          <w:szCs w:val="24"/>
        </w:rPr>
        <w:t xml:space="preserve"> </w:t>
      </w:r>
      <w:r w:rsidR="007326B2" w:rsidRPr="00E74EBA">
        <w:rPr>
          <w:i/>
          <w:szCs w:val="24"/>
        </w:rPr>
        <w:t>Building Energy Efficiency Disclosure Regulations 2010</w:t>
      </w:r>
      <w:r w:rsidR="007326B2" w:rsidRPr="00E74EBA">
        <w:rPr>
          <w:szCs w:val="24"/>
        </w:rPr>
        <w:t xml:space="preserve">, the </w:t>
      </w:r>
      <w:r w:rsidR="007326B2" w:rsidRPr="00E74EBA">
        <w:rPr>
          <w:i/>
          <w:szCs w:val="24"/>
        </w:rPr>
        <w:t>Building Energy Efficiency Disclosure Determination 2016</w:t>
      </w:r>
      <w:r w:rsidR="007326B2" w:rsidRPr="00E74EBA">
        <w:rPr>
          <w:szCs w:val="24"/>
        </w:rPr>
        <w:t xml:space="preserve"> and</w:t>
      </w:r>
      <w:r w:rsidR="007326B2" w:rsidRPr="00E74EBA">
        <w:rPr>
          <w:i/>
          <w:szCs w:val="24"/>
        </w:rPr>
        <w:t xml:space="preserve"> </w:t>
      </w:r>
      <w:r w:rsidR="007326B2" w:rsidRPr="00E74EBA">
        <w:rPr>
          <w:szCs w:val="24"/>
        </w:rPr>
        <w:t xml:space="preserve">the </w:t>
      </w:r>
      <w:r w:rsidR="007326B2" w:rsidRPr="00E74EBA">
        <w:rPr>
          <w:i/>
          <w:szCs w:val="24"/>
        </w:rPr>
        <w:t>Building Energy Efficiency Disclosure (Disclosure Affected Buildings) Determination 2016</w:t>
      </w:r>
      <w:r w:rsidR="007326B2" w:rsidRPr="00E74EBA">
        <w:rPr>
          <w:szCs w:val="24"/>
        </w:rPr>
        <w:t xml:space="preserve">. </w:t>
      </w:r>
    </w:p>
    <w:p w14:paraId="3BC336FC" w14:textId="77777777" w:rsidR="00E74EBA" w:rsidRPr="00E74EBA" w:rsidRDefault="00E74EBA" w:rsidP="002662C3">
      <w:pPr>
        <w:pStyle w:val="Celltext"/>
        <w:spacing w:before="0"/>
        <w:rPr>
          <w:i/>
          <w:szCs w:val="24"/>
        </w:rPr>
      </w:pPr>
    </w:p>
    <w:p w14:paraId="63FBFD0F" w14:textId="218A778F" w:rsidR="003705E4" w:rsidRDefault="005F0187" w:rsidP="002662C3">
      <w:pPr>
        <w:pStyle w:val="Basetext"/>
        <w:spacing w:before="0" w:line="240" w:lineRule="auto"/>
        <w:rPr>
          <w:sz w:val="24"/>
          <w:szCs w:val="24"/>
        </w:rPr>
      </w:pPr>
      <w:r w:rsidRPr="00E74EBA">
        <w:rPr>
          <w:sz w:val="24"/>
          <w:szCs w:val="24"/>
        </w:rPr>
        <w:t>Minister Taylor</w:t>
      </w:r>
      <w:r w:rsidR="003705E4" w:rsidRPr="00E74EBA">
        <w:rPr>
          <w:sz w:val="24"/>
          <w:szCs w:val="24"/>
        </w:rPr>
        <w:t xml:space="preserve"> </w:t>
      </w:r>
      <w:r w:rsidR="00E74EBA">
        <w:rPr>
          <w:sz w:val="24"/>
          <w:szCs w:val="24"/>
        </w:rPr>
        <w:t>applied</w:t>
      </w:r>
      <w:r w:rsidR="003705E4" w:rsidRPr="00E74EBA">
        <w:rPr>
          <w:sz w:val="24"/>
          <w:szCs w:val="24"/>
        </w:rPr>
        <w:t xml:space="preserve"> to the Attorney</w:t>
      </w:r>
      <w:r w:rsidR="003705E4" w:rsidRPr="00E74EBA">
        <w:rPr>
          <w:sz w:val="24"/>
          <w:szCs w:val="24"/>
        </w:rPr>
        <w:noBreakHyphen/>
        <w:t>General setting out the reasons in support of issuing the certificate.</w:t>
      </w:r>
    </w:p>
    <w:p w14:paraId="0C702544" w14:textId="77777777" w:rsidR="00E74EBA" w:rsidRPr="00E74EBA" w:rsidRDefault="00E74EBA" w:rsidP="002662C3">
      <w:pPr>
        <w:pStyle w:val="Basetext"/>
        <w:spacing w:before="0" w:line="240" w:lineRule="auto"/>
        <w:rPr>
          <w:sz w:val="24"/>
          <w:szCs w:val="24"/>
        </w:rPr>
      </w:pPr>
    </w:p>
    <w:p w14:paraId="63FBFD10" w14:textId="5819717B" w:rsidR="003705E4" w:rsidRDefault="003705E4" w:rsidP="002662C3">
      <w:pPr>
        <w:pStyle w:val="Basetext"/>
        <w:spacing w:before="0" w:line="240" w:lineRule="auto"/>
        <w:rPr>
          <w:sz w:val="24"/>
          <w:szCs w:val="24"/>
        </w:rPr>
      </w:pPr>
      <w:r w:rsidRPr="00E74EBA">
        <w:rPr>
          <w:sz w:val="24"/>
          <w:szCs w:val="24"/>
        </w:rPr>
        <w:t xml:space="preserve">The </w:t>
      </w:r>
      <w:r w:rsidR="00B84ACF">
        <w:rPr>
          <w:sz w:val="24"/>
          <w:szCs w:val="24"/>
        </w:rPr>
        <w:t>BEED Instruments D</w:t>
      </w:r>
      <w:r w:rsidRPr="00E74EBA">
        <w:rPr>
          <w:sz w:val="24"/>
          <w:szCs w:val="24"/>
        </w:rPr>
        <w:t>eclaration is consistent with the policy intent of the sunsetting arrangements. Accordingly, further consultation was unnecessary.</w:t>
      </w:r>
    </w:p>
    <w:p w14:paraId="2C65CA51" w14:textId="77777777" w:rsidR="00E74EBA" w:rsidRPr="00E74EBA" w:rsidRDefault="00E74EBA" w:rsidP="002662C3">
      <w:pPr>
        <w:pStyle w:val="Basetext"/>
        <w:spacing w:before="0" w:line="240" w:lineRule="auto"/>
        <w:rPr>
          <w:sz w:val="24"/>
          <w:szCs w:val="24"/>
        </w:rPr>
      </w:pPr>
    </w:p>
    <w:p w14:paraId="63FBFD11" w14:textId="3AC55B63" w:rsidR="003705E4" w:rsidRDefault="003705E4" w:rsidP="002662C3">
      <w:pPr>
        <w:pStyle w:val="Heading3"/>
        <w:spacing w:before="0" w:after="0"/>
        <w:rPr>
          <w:sz w:val="24"/>
          <w:szCs w:val="24"/>
        </w:rPr>
      </w:pPr>
      <w:r w:rsidRPr="00E74EBA">
        <w:rPr>
          <w:sz w:val="24"/>
          <w:szCs w:val="24"/>
        </w:rPr>
        <w:t>Statutory</w:t>
      </w:r>
      <w:r w:rsidR="002662C3">
        <w:rPr>
          <w:sz w:val="24"/>
          <w:szCs w:val="24"/>
        </w:rPr>
        <w:t xml:space="preserve"> preconditions relevant to the Declaration</w:t>
      </w:r>
    </w:p>
    <w:p w14:paraId="2F6F17C7" w14:textId="77777777" w:rsidR="00E74EBA" w:rsidRPr="00E74EBA" w:rsidRDefault="00E74EBA" w:rsidP="002662C3">
      <w:pPr>
        <w:rPr>
          <w:lang w:val="en-AU"/>
        </w:rPr>
      </w:pPr>
    </w:p>
    <w:p w14:paraId="63FBFD12" w14:textId="77777777" w:rsidR="003705E4" w:rsidRDefault="003705E4" w:rsidP="002662C3">
      <w:pPr>
        <w:pStyle w:val="Heading2"/>
        <w:spacing w:before="0"/>
        <w:ind w:left="11" w:hanging="11"/>
        <w:rPr>
          <w:b w:val="0"/>
          <w:sz w:val="24"/>
          <w:szCs w:val="24"/>
        </w:rPr>
      </w:pPr>
      <w:r w:rsidRPr="00E74EBA">
        <w:rPr>
          <w:b w:val="0"/>
          <w:sz w:val="24"/>
          <w:szCs w:val="24"/>
        </w:rPr>
        <w:t xml:space="preserve">In order to align the sunsetting day of two or more instruments, the Attorney-General must be satisfied on written application from the relevant rule-maker that the statutory conditions in paragraphs 51A(1)(a) and (b) of the Legislation Act are met. The statutory conditions are that: </w:t>
      </w:r>
    </w:p>
    <w:p w14:paraId="7D73A015" w14:textId="77777777" w:rsidR="00E74EBA" w:rsidRPr="00E74EBA" w:rsidRDefault="00E74EBA" w:rsidP="002662C3">
      <w:pPr>
        <w:rPr>
          <w:lang w:val="en-AU"/>
        </w:rPr>
      </w:pPr>
    </w:p>
    <w:p w14:paraId="63FBFD13" w14:textId="77777777" w:rsidR="003705E4" w:rsidRPr="00E74EBA" w:rsidRDefault="003705E4" w:rsidP="002662C3">
      <w:pPr>
        <w:pStyle w:val="Heading2"/>
        <w:keepNext w:val="0"/>
        <w:keepLines w:val="0"/>
        <w:widowControl/>
        <w:numPr>
          <w:ilvl w:val="1"/>
          <w:numId w:val="2"/>
        </w:numPr>
        <w:spacing w:before="0"/>
        <w:rPr>
          <w:b w:val="0"/>
          <w:sz w:val="24"/>
          <w:szCs w:val="24"/>
        </w:rPr>
      </w:pPr>
      <w:r w:rsidRPr="00E74EBA">
        <w:rPr>
          <w:b w:val="0"/>
          <w:sz w:val="24"/>
          <w:szCs w:val="24"/>
        </w:rPr>
        <w:t xml:space="preserve">all the instruments to be reviewed would (in the absence of a declaration made under section 51A of the Legislation Act) be repealed by section 50 or 51 of the Legislation Act, and  </w:t>
      </w:r>
    </w:p>
    <w:p w14:paraId="63FBFD14" w14:textId="77777777" w:rsidR="003705E4" w:rsidRPr="00E74EBA" w:rsidRDefault="003705E4" w:rsidP="002662C3">
      <w:pPr>
        <w:pStyle w:val="Heading2"/>
        <w:keepNext w:val="0"/>
        <w:keepLines w:val="0"/>
        <w:widowControl/>
        <w:numPr>
          <w:ilvl w:val="1"/>
          <w:numId w:val="2"/>
        </w:numPr>
        <w:spacing w:before="0"/>
        <w:rPr>
          <w:b w:val="0"/>
          <w:sz w:val="24"/>
          <w:szCs w:val="24"/>
        </w:rPr>
      </w:pPr>
      <w:r w:rsidRPr="00E74EBA">
        <w:rPr>
          <w:b w:val="0"/>
          <w:sz w:val="24"/>
          <w:szCs w:val="24"/>
        </w:rPr>
        <w:t xml:space="preserve">all the instruments to be reviewed are or will be the subject of a single review, and </w:t>
      </w:r>
    </w:p>
    <w:p w14:paraId="63FBFD15" w14:textId="77777777" w:rsidR="003705E4" w:rsidRPr="00E74EBA" w:rsidRDefault="003705E4" w:rsidP="002662C3">
      <w:pPr>
        <w:pStyle w:val="Heading2"/>
        <w:keepNext w:val="0"/>
        <w:keepLines w:val="0"/>
        <w:widowControl/>
        <w:numPr>
          <w:ilvl w:val="1"/>
          <w:numId w:val="2"/>
        </w:numPr>
        <w:spacing w:before="0"/>
        <w:rPr>
          <w:b w:val="0"/>
          <w:sz w:val="24"/>
          <w:szCs w:val="24"/>
        </w:rPr>
      </w:pPr>
      <w:r w:rsidRPr="00E74EBA">
        <w:rPr>
          <w:b w:val="0"/>
          <w:sz w:val="24"/>
          <w:szCs w:val="24"/>
        </w:rPr>
        <w:t xml:space="preserve">the making of the declaration will facilitate the undertaking of the review or the implementation of its findings.  </w:t>
      </w:r>
    </w:p>
    <w:p w14:paraId="43F54276" w14:textId="77777777" w:rsidR="00E74EBA" w:rsidRDefault="00E74EBA" w:rsidP="002662C3">
      <w:pPr>
        <w:pStyle w:val="Heading2"/>
        <w:spacing w:before="0"/>
        <w:ind w:left="11" w:hanging="11"/>
        <w:rPr>
          <w:b w:val="0"/>
          <w:sz w:val="24"/>
          <w:szCs w:val="24"/>
        </w:rPr>
      </w:pPr>
    </w:p>
    <w:p w14:paraId="63FBFD16" w14:textId="77777777" w:rsidR="003705E4" w:rsidRDefault="003705E4" w:rsidP="002662C3">
      <w:pPr>
        <w:pStyle w:val="Heading2"/>
        <w:spacing w:before="0"/>
        <w:ind w:left="11" w:hanging="11"/>
        <w:rPr>
          <w:b w:val="0"/>
          <w:sz w:val="24"/>
          <w:szCs w:val="24"/>
        </w:rPr>
      </w:pPr>
      <w:r w:rsidRPr="00E74EBA">
        <w:rPr>
          <w:b w:val="0"/>
          <w:sz w:val="24"/>
          <w:szCs w:val="24"/>
        </w:rPr>
        <w:t xml:space="preserve">In terms of process, the Legislation Act requires: </w:t>
      </w:r>
    </w:p>
    <w:p w14:paraId="03AA5C03" w14:textId="77777777" w:rsidR="00E74EBA" w:rsidRPr="00E74EBA" w:rsidRDefault="00E74EBA" w:rsidP="002662C3">
      <w:pPr>
        <w:rPr>
          <w:lang w:val="en-AU"/>
        </w:rPr>
      </w:pPr>
    </w:p>
    <w:p w14:paraId="63FBFD17" w14:textId="77777777" w:rsidR="003705E4" w:rsidRPr="00E74EBA" w:rsidRDefault="003705E4" w:rsidP="002662C3">
      <w:pPr>
        <w:pStyle w:val="Heading2"/>
        <w:keepNext w:val="0"/>
        <w:keepLines w:val="0"/>
        <w:widowControl/>
        <w:numPr>
          <w:ilvl w:val="4"/>
          <w:numId w:val="2"/>
        </w:numPr>
        <w:spacing w:before="0"/>
        <w:ind w:left="709"/>
        <w:rPr>
          <w:b w:val="0"/>
          <w:sz w:val="24"/>
          <w:szCs w:val="24"/>
        </w:rPr>
      </w:pPr>
      <w:r w:rsidRPr="00E74EBA">
        <w:rPr>
          <w:b w:val="0"/>
          <w:sz w:val="24"/>
          <w:szCs w:val="24"/>
        </w:rPr>
        <w:t>the responsible rule-maker to apply to the Attorney-General,</w:t>
      </w:r>
    </w:p>
    <w:p w14:paraId="63FBFD18" w14:textId="77777777" w:rsidR="003705E4" w:rsidRPr="00E74EBA" w:rsidRDefault="003705E4" w:rsidP="002662C3">
      <w:pPr>
        <w:pStyle w:val="Heading2"/>
        <w:keepNext w:val="0"/>
        <w:keepLines w:val="0"/>
        <w:widowControl/>
        <w:numPr>
          <w:ilvl w:val="4"/>
          <w:numId w:val="2"/>
        </w:numPr>
        <w:spacing w:before="0"/>
        <w:ind w:left="709"/>
        <w:rPr>
          <w:b w:val="0"/>
          <w:sz w:val="24"/>
          <w:szCs w:val="24"/>
        </w:rPr>
      </w:pPr>
      <w:r w:rsidRPr="00E74EBA">
        <w:rPr>
          <w:b w:val="0"/>
          <w:sz w:val="24"/>
          <w:szCs w:val="24"/>
        </w:rPr>
        <w:t xml:space="preserve">the Attorney-General to be satisfied of the statutory conditions, and </w:t>
      </w:r>
    </w:p>
    <w:p w14:paraId="63FBFD19" w14:textId="77777777" w:rsidR="003705E4" w:rsidRPr="00E74EBA" w:rsidRDefault="003705E4" w:rsidP="002662C3">
      <w:pPr>
        <w:pStyle w:val="Heading2"/>
        <w:keepNext w:val="0"/>
        <w:keepLines w:val="0"/>
        <w:widowControl/>
        <w:numPr>
          <w:ilvl w:val="4"/>
          <w:numId w:val="2"/>
        </w:numPr>
        <w:spacing w:before="0"/>
        <w:ind w:left="709"/>
        <w:rPr>
          <w:b w:val="0"/>
          <w:sz w:val="24"/>
          <w:szCs w:val="24"/>
        </w:rPr>
      </w:pPr>
      <w:r w:rsidRPr="00E74EBA">
        <w:rPr>
          <w:b w:val="0"/>
          <w:sz w:val="24"/>
          <w:szCs w:val="24"/>
        </w:rPr>
        <w:t xml:space="preserve">the Attorney-General to make a declaration, which is a legislative instrument and subject to disallowance. </w:t>
      </w:r>
    </w:p>
    <w:p w14:paraId="288CAED7" w14:textId="77777777" w:rsidR="00E74EBA" w:rsidRDefault="00E74EBA" w:rsidP="00E74EBA">
      <w:pPr>
        <w:pStyle w:val="Heading2"/>
        <w:spacing w:before="0"/>
        <w:ind w:left="11" w:hanging="11"/>
        <w:rPr>
          <w:b w:val="0"/>
          <w:sz w:val="24"/>
          <w:szCs w:val="24"/>
        </w:rPr>
      </w:pPr>
    </w:p>
    <w:p w14:paraId="63FBFD1A" w14:textId="6B13FE1F" w:rsidR="003705E4" w:rsidRDefault="003705E4" w:rsidP="00E74EBA">
      <w:pPr>
        <w:pStyle w:val="Heading2"/>
        <w:spacing w:before="0"/>
        <w:ind w:left="11" w:hanging="11"/>
        <w:rPr>
          <w:b w:val="0"/>
          <w:sz w:val="24"/>
          <w:szCs w:val="24"/>
        </w:rPr>
      </w:pPr>
      <w:r w:rsidRPr="00E74EBA">
        <w:rPr>
          <w:b w:val="0"/>
          <w:sz w:val="24"/>
          <w:szCs w:val="24"/>
        </w:rPr>
        <w:t xml:space="preserve">The </w:t>
      </w:r>
      <w:r w:rsidR="005F0187" w:rsidRPr="00E74EBA">
        <w:rPr>
          <w:b w:val="0"/>
          <w:sz w:val="24"/>
          <w:szCs w:val="24"/>
        </w:rPr>
        <w:t>BEED</w:t>
      </w:r>
      <w:r w:rsidRPr="00E74EBA">
        <w:rPr>
          <w:b w:val="0"/>
          <w:sz w:val="24"/>
          <w:szCs w:val="24"/>
        </w:rPr>
        <w:t xml:space="preserve"> Instruments Declaration aligns the sunsetting dates for the </w:t>
      </w:r>
      <w:r w:rsidR="005F0187" w:rsidRPr="00E74EBA">
        <w:rPr>
          <w:b w:val="0"/>
          <w:sz w:val="24"/>
          <w:szCs w:val="24"/>
        </w:rPr>
        <w:t>BEED</w:t>
      </w:r>
      <w:r w:rsidRPr="00E74EBA">
        <w:rPr>
          <w:b w:val="0"/>
          <w:sz w:val="24"/>
          <w:szCs w:val="24"/>
        </w:rPr>
        <w:t xml:space="preserve"> Instruments to </w:t>
      </w:r>
      <w:r w:rsidR="00236944">
        <w:rPr>
          <w:b w:val="0"/>
          <w:sz w:val="24"/>
          <w:szCs w:val="24"/>
        </w:rPr>
        <w:t xml:space="preserve">1 October 2025 to </w:t>
      </w:r>
      <w:r w:rsidRPr="00E74EBA">
        <w:rPr>
          <w:b w:val="0"/>
          <w:sz w:val="24"/>
          <w:szCs w:val="24"/>
        </w:rPr>
        <w:t xml:space="preserve">enable the Department of </w:t>
      </w:r>
      <w:r w:rsidR="00D7530F">
        <w:rPr>
          <w:b w:val="0"/>
          <w:sz w:val="24"/>
          <w:szCs w:val="24"/>
        </w:rPr>
        <w:t xml:space="preserve">Agriculture, Water and the </w:t>
      </w:r>
      <w:r w:rsidR="005F0187" w:rsidRPr="00E74EBA">
        <w:rPr>
          <w:b w:val="0"/>
          <w:sz w:val="24"/>
          <w:szCs w:val="24"/>
        </w:rPr>
        <w:t xml:space="preserve">Environment </w:t>
      </w:r>
      <w:r w:rsidRPr="00E74EBA">
        <w:rPr>
          <w:b w:val="0"/>
          <w:sz w:val="24"/>
          <w:szCs w:val="24"/>
        </w:rPr>
        <w:t xml:space="preserve">to complete a thematic review taking into account the outcomes of </w:t>
      </w:r>
      <w:r w:rsidR="005F0187" w:rsidRPr="00E74EBA">
        <w:rPr>
          <w:b w:val="0"/>
          <w:sz w:val="24"/>
          <w:szCs w:val="24"/>
        </w:rPr>
        <w:t xml:space="preserve">the Commercial Building Disclosure </w:t>
      </w:r>
      <w:r w:rsidR="00DB5005" w:rsidRPr="00E74EBA">
        <w:rPr>
          <w:b w:val="0"/>
          <w:sz w:val="24"/>
          <w:szCs w:val="24"/>
        </w:rPr>
        <w:t xml:space="preserve">(CBD) </w:t>
      </w:r>
      <w:r w:rsidR="005F0187" w:rsidRPr="00E74EBA">
        <w:rPr>
          <w:b w:val="0"/>
          <w:sz w:val="24"/>
          <w:szCs w:val="24"/>
        </w:rPr>
        <w:t>Program review, currently being conducted by the Centre for International Economics</w:t>
      </w:r>
      <w:r w:rsidRPr="00E74EBA">
        <w:rPr>
          <w:b w:val="0"/>
          <w:sz w:val="24"/>
          <w:szCs w:val="24"/>
        </w:rPr>
        <w:t xml:space="preserve">. </w:t>
      </w:r>
    </w:p>
    <w:p w14:paraId="2F180C60" w14:textId="77777777" w:rsidR="00E74EBA" w:rsidRPr="00E74EBA" w:rsidRDefault="00E74EBA" w:rsidP="00E74EBA">
      <w:pPr>
        <w:rPr>
          <w:lang w:val="en-AU"/>
        </w:rPr>
      </w:pPr>
    </w:p>
    <w:p w14:paraId="63FBFD1B" w14:textId="06D21043" w:rsidR="003705E4" w:rsidRDefault="003705E4" w:rsidP="00E74EBA">
      <w:pPr>
        <w:pStyle w:val="Heading2"/>
        <w:spacing w:before="0"/>
        <w:ind w:left="11" w:hanging="11"/>
        <w:rPr>
          <w:b w:val="0"/>
          <w:sz w:val="24"/>
          <w:szCs w:val="24"/>
        </w:rPr>
      </w:pPr>
      <w:r w:rsidRPr="00E74EBA">
        <w:rPr>
          <w:b w:val="0"/>
          <w:sz w:val="24"/>
          <w:szCs w:val="24"/>
        </w:rPr>
        <w:t xml:space="preserve">As noted above, the relevant rule-maker for the </w:t>
      </w:r>
      <w:r w:rsidR="005F0187" w:rsidRPr="00E74EBA">
        <w:rPr>
          <w:b w:val="0"/>
          <w:sz w:val="24"/>
          <w:szCs w:val="24"/>
        </w:rPr>
        <w:t>BEED</w:t>
      </w:r>
      <w:r w:rsidRPr="00E74EBA">
        <w:rPr>
          <w:b w:val="0"/>
          <w:sz w:val="24"/>
          <w:szCs w:val="24"/>
        </w:rPr>
        <w:t xml:space="preserve"> </w:t>
      </w:r>
      <w:r w:rsidR="00987112">
        <w:rPr>
          <w:b w:val="0"/>
          <w:sz w:val="24"/>
          <w:szCs w:val="24"/>
        </w:rPr>
        <w:t>i</w:t>
      </w:r>
      <w:r w:rsidRPr="00E74EBA">
        <w:rPr>
          <w:b w:val="0"/>
          <w:sz w:val="24"/>
          <w:szCs w:val="24"/>
        </w:rPr>
        <w:t xml:space="preserve">nstruments </w:t>
      </w:r>
      <w:r w:rsidR="00662E08">
        <w:rPr>
          <w:b w:val="0"/>
          <w:sz w:val="24"/>
          <w:szCs w:val="24"/>
        </w:rPr>
        <w:t>applied</w:t>
      </w:r>
      <w:r w:rsidRPr="00E74EBA">
        <w:rPr>
          <w:b w:val="0"/>
          <w:sz w:val="24"/>
          <w:szCs w:val="24"/>
        </w:rPr>
        <w:t xml:space="preserve"> to the Attorney</w:t>
      </w:r>
      <w:r w:rsidRPr="00E74EBA">
        <w:rPr>
          <w:b w:val="0"/>
          <w:sz w:val="24"/>
          <w:szCs w:val="24"/>
        </w:rPr>
        <w:noBreakHyphen/>
        <w:t xml:space="preserve">General seeking an alignment of the relevant sunsetting days. </w:t>
      </w:r>
    </w:p>
    <w:p w14:paraId="63BD226D" w14:textId="77777777" w:rsidR="00662E08" w:rsidRPr="005835C7" w:rsidRDefault="00662E08" w:rsidP="005835C7">
      <w:pPr>
        <w:rPr>
          <w:b/>
        </w:rPr>
      </w:pPr>
    </w:p>
    <w:p w14:paraId="63FBFD1C" w14:textId="77777777" w:rsidR="003705E4" w:rsidRDefault="003705E4" w:rsidP="00E74EBA">
      <w:pPr>
        <w:pStyle w:val="Heading2"/>
        <w:spacing w:before="0"/>
        <w:ind w:left="11" w:hanging="11"/>
        <w:rPr>
          <w:b w:val="0"/>
          <w:sz w:val="24"/>
          <w:szCs w:val="24"/>
        </w:rPr>
      </w:pPr>
      <w:r w:rsidRPr="00E74EBA">
        <w:rPr>
          <w:b w:val="0"/>
          <w:sz w:val="24"/>
          <w:szCs w:val="24"/>
        </w:rPr>
        <w:t>On consideration of this application, the Attorney</w:t>
      </w:r>
      <w:r w:rsidRPr="00E74EBA">
        <w:rPr>
          <w:b w:val="0"/>
          <w:sz w:val="24"/>
          <w:szCs w:val="24"/>
        </w:rPr>
        <w:noBreakHyphen/>
        <w:t>General was satisfied that the criteria in paragraphs 51A(1)(a) and (b) of the Legislation Act were met.</w:t>
      </w:r>
    </w:p>
    <w:p w14:paraId="1361BD01" w14:textId="77777777" w:rsidR="00E74EBA" w:rsidRPr="00E74EBA" w:rsidRDefault="00E74EBA" w:rsidP="00E74EBA">
      <w:pPr>
        <w:rPr>
          <w:lang w:val="en-AU"/>
        </w:rPr>
      </w:pPr>
    </w:p>
    <w:p w14:paraId="63FBFD1D" w14:textId="587416CA" w:rsidR="003705E4" w:rsidRPr="00E74EBA" w:rsidRDefault="003705E4" w:rsidP="00E74EBA">
      <w:pPr>
        <w:pStyle w:val="Heading3"/>
        <w:tabs>
          <w:tab w:val="left" w:pos="7335"/>
        </w:tabs>
        <w:spacing w:before="0" w:after="0"/>
        <w:rPr>
          <w:sz w:val="24"/>
          <w:szCs w:val="24"/>
        </w:rPr>
      </w:pPr>
      <w:r w:rsidRPr="00E74EBA">
        <w:rPr>
          <w:sz w:val="24"/>
          <w:szCs w:val="24"/>
        </w:rPr>
        <w:t xml:space="preserve">Statement of Reasons for issuing of the </w:t>
      </w:r>
      <w:r w:rsidR="002662C3">
        <w:rPr>
          <w:sz w:val="24"/>
          <w:szCs w:val="24"/>
        </w:rPr>
        <w:t>Declaration</w:t>
      </w:r>
      <w:r w:rsidRPr="00E74EBA">
        <w:rPr>
          <w:sz w:val="24"/>
          <w:szCs w:val="24"/>
        </w:rPr>
        <w:t xml:space="preserve"> </w:t>
      </w:r>
    </w:p>
    <w:p w14:paraId="146120E9" w14:textId="77777777" w:rsidR="00E74EBA" w:rsidRDefault="00E74EBA" w:rsidP="00E74EBA">
      <w:pPr>
        <w:pStyle w:val="Heading2"/>
        <w:spacing w:before="0"/>
        <w:ind w:left="11" w:hanging="11"/>
        <w:rPr>
          <w:b w:val="0"/>
          <w:sz w:val="24"/>
          <w:szCs w:val="24"/>
        </w:rPr>
      </w:pPr>
    </w:p>
    <w:p w14:paraId="63FBFD1E" w14:textId="77777777" w:rsidR="003705E4" w:rsidRDefault="003705E4" w:rsidP="00E74EBA">
      <w:pPr>
        <w:pStyle w:val="Heading2"/>
        <w:spacing w:before="0"/>
        <w:ind w:left="11" w:hanging="11"/>
        <w:rPr>
          <w:b w:val="0"/>
          <w:sz w:val="24"/>
          <w:szCs w:val="24"/>
        </w:rPr>
      </w:pPr>
      <w:r w:rsidRPr="00E74EBA">
        <w:rPr>
          <w:b w:val="0"/>
          <w:sz w:val="24"/>
          <w:szCs w:val="24"/>
        </w:rPr>
        <w:t xml:space="preserve">For the purposes of subsection 51A(4) of the Legislation Act, this section sets out the statement of reasons for the issue of the certificate. </w:t>
      </w:r>
    </w:p>
    <w:p w14:paraId="20CDE856" w14:textId="77777777" w:rsidR="00E74EBA" w:rsidRPr="00E74EBA" w:rsidRDefault="00E74EBA" w:rsidP="00E74EBA">
      <w:pPr>
        <w:rPr>
          <w:lang w:val="en-AU"/>
        </w:rPr>
      </w:pPr>
    </w:p>
    <w:p w14:paraId="63FBFD1F" w14:textId="791D491A" w:rsidR="003705E4" w:rsidRDefault="003705E4" w:rsidP="00E74EBA">
      <w:pPr>
        <w:pStyle w:val="Heading2"/>
        <w:spacing w:before="0"/>
        <w:ind w:left="11" w:hanging="11"/>
        <w:rPr>
          <w:b w:val="0"/>
          <w:sz w:val="24"/>
          <w:szCs w:val="24"/>
        </w:rPr>
      </w:pPr>
      <w:r w:rsidRPr="00E74EBA">
        <w:rPr>
          <w:b w:val="0"/>
          <w:sz w:val="24"/>
          <w:szCs w:val="24"/>
        </w:rPr>
        <w:t xml:space="preserve">As outlined above, the </w:t>
      </w:r>
      <w:r w:rsidR="005F0187" w:rsidRPr="00E74EBA">
        <w:rPr>
          <w:b w:val="0"/>
          <w:sz w:val="24"/>
          <w:szCs w:val="24"/>
        </w:rPr>
        <w:t>BEED</w:t>
      </w:r>
      <w:r w:rsidRPr="00E74EBA">
        <w:rPr>
          <w:b w:val="0"/>
          <w:sz w:val="24"/>
          <w:szCs w:val="24"/>
        </w:rPr>
        <w:t xml:space="preserve"> Instruments Declaration aligns the sunsetting dates for the </w:t>
      </w:r>
      <w:r w:rsidR="005F0187" w:rsidRPr="00E74EBA">
        <w:rPr>
          <w:b w:val="0"/>
          <w:sz w:val="24"/>
          <w:szCs w:val="24"/>
        </w:rPr>
        <w:t>BEED</w:t>
      </w:r>
      <w:r w:rsidRPr="00E74EBA">
        <w:rPr>
          <w:b w:val="0"/>
          <w:sz w:val="24"/>
          <w:szCs w:val="24"/>
        </w:rPr>
        <w:t xml:space="preserve"> </w:t>
      </w:r>
      <w:r w:rsidR="00987112">
        <w:rPr>
          <w:b w:val="0"/>
          <w:sz w:val="24"/>
          <w:szCs w:val="24"/>
        </w:rPr>
        <w:t>i</w:t>
      </w:r>
      <w:r w:rsidRPr="00E74EBA">
        <w:rPr>
          <w:b w:val="0"/>
          <w:sz w:val="24"/>
          <w:szCs w:val="24"/>
        </w:rPr>
        <w:t xml:space="preserve">nstruments to </w:t>
      </w:r>
      <w:r w:rsidR="00C423FA">
        <w:rPr>
          <w:b w:val="0"/>
          <w:sz w:val="24"/>
          <w:szCs w:val="24"/>
        </w:rPr>
        <w:t xml:space="preserve">1 October 2025 to </w:t>
      </w:r>
      <w:r w:rsidRPr="00E74EBA">
        <w:rPr>
          <w:b w:val="0"/>
          <w:sz w:val="24"/>
          <w:szCs w:val="24"/>
        </w:rPr>
        <w:t xml:space="preserve">enable the </w:t>
      </w:r>
      <w:r w:rsidR="00D7530F" w:rsidRPr="00E74EBA">
        <w:rPr>
          <w:b w:val="0"/>
          <w:sz w:val="24"/>
          <w:szCs w:val="24"/>
        </w:rPr>
        <w:t xml:space="preserve">Department of </w:t>
      </w:r>
      <w:r w:rsidR="00D7530F">
        <w:rPr>
          <w:b w:val="0"/>
          <w:sz w:val="24"/>
          <w:szCs w:val="24"/>
        </w:rPr>
        <w:t xml:space="preserve">Agriculture, Water and the </w:t>
      </w:r>
      <w:r w:rsidR="00D7530F" w:rsidRPr="00E74EBA">
        <w:rPr>
          <w:b w:val="0"/>
          <w:sz w:val="24"/>
          <w:szCs w:val="24"/>
        </w:rPr>
        <w:t xml:space="preserve">Environment </w:t>
      </w:r>
      <w:r w:rsidRPr="00E74EBA">
        <w:rPr>
          <w:b w:val="0"/>
          <w:sz w:val="24"/>
          <w:szCs w:val="24"/>
        </w:rPr>
        <w:t xml:space="preserve">to complete a thematic review taking into account the outcomes of </w:t>
      </w:r>
      <w:r w:rsidR="00DB5005" w:rsidRPr="00E74EBA">
        <w:rPr>
          <w:b w:val="0"/>
          <w:sz w:val="24"/>
          <w:szCs w:val="24"/>
        </w:rPr>
        <w:t>CBD Program review</w:t>
      </w:r>
      <w:r w:rsidRPr="00E74EBA">
        <w:rPr>
          <w:b w:val="0"/>
          <w:sz w:val="24"/>
          <w:szCs w:val="24"/>
        </w:rPr>
        <w:t xml:space="preserve">. </w:t>
      </w:r>
    </w:p>
    <w:p w14:paraId="6CA2E05E" w14:textId="77777777" w:rsidR="00E74EBA" w:rsidRPr="00E74EBA" w:rsidRDefault="00E74EBA" w:rsidP="00E74EBA">
      <w:pPr>
        <w:rPr>
          <w:lang w:val="en-AU"/>
        </w:rPr>
      </w:pPr>
    </w:p>
    <w:p w14:paraId="63FBFD20" w14:textId="4D784D66" w:rsidR="003705E4" w:rsidRDefault="003705E4" w:rsidP="00E74EBA">
      <w:pPr>
        <w:pStyle w:val="Heading2"/>
        <w:spacing w:before="0"/>
        <w:ind w:left="11" w:hanging="11"/>
        <w:rPr>
          <w:b w:val="0"/>
          <w:sz w:val="24"/>
          <w:szCs w:val="24"/>
        </w:rPr>
      </w:pPr>
      <w:r w:rsidRPr="00E74EBA">
        <w:rPr>
          <w:b w:val="0"/>
          <w:sz w:val="24"/>
          <w:szCs w:val="24"/>
        </w:rPr>
        <w:t xml:space="preserve">Aligning the sunsetting dates of the </w:t>
      </w:r>
      <w:r w:rsidR="00DB5005" w:rsidRPr="00E74EBA">
        <w:rPr>
          <w:b w:val="0"/>
          <w:sz w:val="24"/>
          <w:szCs w:val="24"/>
        </w:rPr>
        <w:t>BEED</w:t>
      </w:r>
      <w:r w:rsidRPr="00E74EBA">
        <w:rPr>
          <w:b w:val="0"/>
          <w:sz w:val="24"/>
          <w:szCs w:val="24"/>
        </w:rPr>
        <w:t xml:space="preserve"> </w:t>
      </w:r>
      <w:r w:rsidR="00987112">
        <w:rPr>
          <w:b w:val="0"/>
          <w:sz w:val="24"/>
          <w:szCs w:val="24"/>
        </w:rPr>
        <w:t>i</w:t>
      </w:r>
      <w:r w:rsidRPr="00E74EBA">
        <w:rPr>
          <w:b w:val="0"/>
          <w:sz w:val="24"/>
          <w:szCs w:val="24"/>
        </w:rPr>
        <w:t xml:space="preserve">nstruments would allow sufficient time for the </w:t>
      </w:r>
      <w:r w:rsidR="00DB5005" w:rsidRPr="00E74EBA">
        <w:rPr>
          <w:b w:val="0"/>
          <w:sz w:val="24"/>
          <w:szCs w:val="24"/>
        </w:rPr>
        <w:t xml:space="preserve">CBD Program </w:t>
      </w:r>
      <w:r w:rsidRPr="00E74EBA">
        <w:rPr>
          <w:b w:val="0"/>
          <w:sz w:val="24"/>
          <w:szCs w:val="24"/>
        </w:rPr>
        <w:t xml:space="preserve">review to be undertaken and for any resulting legislative package to be developed to implement the outcomes of the review. </w:t>
      </w:r>
    </w:p>
    <w:p w14:paraId="6245676D" w14:textId="77777777" w:rsidR="00E74EBA" w:rsidRPr="00E74EBA" w:rsidRDefault="00E74EBA" w:rsidP="00E74EBA">
      <w:pPr>
        <w:rPr>
          <w:lang w:val="en-AU"/>
        </w:rPr>
      </w:pPr>
    </w:p>
    <w:p w14:paraId="63FBFD21" w14:textId="77777777" w:rsidR="003705E4" w:rsidRDefault="003705E4" w:rsidP="00E74EBA">
      <w:pPr>
        <w:pStyle w:val="Basetext"/>
        <w:spacing w:before="0" w:line="240" w:lineRule="auto"/>
        <w:rPr>
          <w:sz w:val="24"/>
          <w:szCs w:val="24"/>
        </w:rPr>
      </w:pPr>
      <w:r w:rsidRPr="00E74EBA">
        <w:rPr>
          <w:sz w:val="24"/>
          <w:szCs w:val="24"/>
        </w:rPr>
        <w:t>As such, the sunset-altering instrument is consistent with the policy intent of the sunsetting regime that legislative instruments should be kept up to date and only remain in force so long as they are needed.</w:t>
      </w:r>
    </w:p>
    <w:p w14:paraId="3B5ACDF0" w14:textId="77777777" w:rsidR="00E74EBA" w:rsidRPr="00E74EBA" w:rsidRDefault="00E74EBA" w:rsidP="00E74EBA">
      <w:pPr>
        <w:pStyle w:val="Basetext"/>
        <w:spacing w:before="0" w:line="240" w:lineRule="auto"/>
        <w:rPr>
          <w:sz w:val="24"/>
          <w:szCs w:val="24"/>
        </w:rPr>
      </w:pPr>
    </w:p>
    <w:p w14:paraId="63FBFD22" w14:textId="77777777" w:rsidR="003705E4" w:rsidRPr="00E74EBA" w:rsidRDefault="003705E4" w:rsidP="00E74EBA">
      <w:pPr>
        <w:pStyle w:val="Heading3"/>
        <w:spacing w:before="0" w:after="0"/>
        <w:rPr>
          <w:sz w:val="24"/>
          <w:szCs w:val="24"/>
        </w:rPr>
      </w:pPr>
      <w:r w:rsidRPr="00E74EBA">
        <w:rPr>
          <w:sz w:val="24"/>
          <w:szCs w:val="24"/>
        </w:rPr>
        <w:t xml:space="preserve">More information </w:t>
      </w:r>
    </w:p>
    <w:p w14:paraId="570045F1" w14:textId="77777777" w:rsidR="00E74EBA" w:rsidRDefault="00E74EBA" w:rsidP="00E74EBA">
      <w:pPr>
        <w:pStyle w:val="Heading2"/>
        <w:spacing w:before="0"/>
        <w:ind w:left="11" w:hanging="11"/>
        <w:rPr>
          <w:b w:val="0"/>
          <w:sz w:val="24"/>
          <w:szCs w:val="24"/>
        </w:rPr>
      </w:pPr>
    </w:p>
    <w:p w14:paraId="63FBFD23" w14:textId="03E50561" w:rsidR="003705E4" w:rsidRDefault="003705E4" w:rsidP="00E74EBA">
      <w:pPr>
        <w:pStyle w:val="Heading2"/>
        <w:spacing w:before="0"/>
        <w:ind w:left="11" w:hanging="11"/>
        <w:rPr>
          <w:b w:val="0"/>
          <w:sz w:val="24"/>
          <w:szCs w:val="24"/>
        </w:rPr>
      </w:pPr>
      <w:r w:rsidRPr="00E74EBA">
        <w:rPr>
          <w:b w:val="0"/>
          <w:sz w:val="24"/>
          <w:szCs w:val="24"/>
        </w:rPr>
        <w:t>Further details o</w:t>
      </w:r>
      <w:r w:rsidR="00662E08">
        <w:rPr>
          <w:b w:val="0"/>
          <w:sz w:val="24"/>
          <w:szCs w:val="24"/>
        </w:rPr>
        <w:t>f</w:t>
      </w:r>
      <w:r w:rsidRPr="00E74EBA">
        <w:rPr>
          <w:b w:val="0"/>
          <w:sz w:val="24"/>
          <w:szCs w:val="24"/>
        </w:rPr>
        <w:t xml:space="preserve"> the provisions of the </w:t>
      </w:r>
      <w:r w:rsidR="00662E08">
        <w:rPr>
          <w:b w:val="0"/>
          <w:sz w:val="24"/>
          <w:szCs w:val="24"/>
        </w:rPr>
        <w:t>BEED Instruments D</w:t>
      </w:r>
      <w:r w:rsidR="00662E08" w:rsidRPr="00E74EBA">
        <w:rPr>
          <w:b w:val="0"/>
          <w:sz w:val="24"/>
          <w:szCs w:val="24"/>
        </w:rPr>
        <w:t xml:space="preserve">eclaration </w:t>
      </w:r>
      <w:r w:rsidRPr="00E74EBA">
        <w:rPr>
          <w:b w:val="0"/>
          <w:sz w:val="24"/>
          <w:szCs w:val="24"/>
        </w:rPr>
        <w:t xml:space="preserve">are provided in </w:t>
      </w:r>
      <w:r w:rsidRPr="00E74EBA">
        <w:rPr>
          <w:b w:val="0"/>
          <w:sz w:val="24"/>
          <w:szCs w:val="24"/>
          <w:u w:val="single"/>
        </w:rPr>
        <w:t>Attachment A</w:t>
      </w:r>
      <w:r w:rsidRPr="00E74EBA">
        <w:rPr>
          <w:b w:val="0"/>
          <w:sz w:val="24"/>
          <w:szCs w:val="24"/>
        </w:rPr>
        <w:t>.</w:t>
      </w:r>
    </w:p>
    <w:p w14:paraId="4A4E933E" w14:textId="77777777" w:rsidR="00E74EBA" w:rsidRPr="00E74EBA" w:rsidRDefault="00E74EBA" w:rsidP="00E74EBA">
      <w:pPr>
        <w:rPr>
          <w:lang w:val="en-AU"/>
        </w:rPr>
      </w:pPr>
    </w:p>
    <w:p w14:paraId="63FBFD24" w14:textId="580AE2E8" w:rsidR="003705E4" w:rsidRDefault="003705E4" w:rsidP="00E74EBA">
      <w:pPr>
        <w:pStyle w:val="Heading2"/>
        <w:spacing w:before="0"/>
        <w:ind w:left="11" w:hanging="11"/>
        <w:rPr>
          <w:b w:val="0"/>
          <w:sz w:val="24"/>
          <w:szCs w:val="24"/>
        </w:rPr>
      </w:pPr>
      <w:r w:rsidRPr="00E74EBA">
        <w:rPr>
          <w:b w:val="0"/>
          <w:sz w:val="24"/>
          <w:szCs w:val="24"/>
        </w:rPr>
        <w:t xml:space="preserve">The </w:t>
      </w:r>
      <w:r w:rsidR="00DB5005" w:rsidRPr="00E74EBA">
        <w:rPr>
          <w:b w:val="0"/>
          <w:sz w:val="24"/>
          <w:szCs w:val="24"/>
        </w:rPr>
        <w:t>BEED</w:t>
      </w:r>
      <w:r w:rsidRPr="00E74EBA">
        <w:rPr>
          <w:b w:val="0"/>
          <w:sz w:val="24"/>
          <w:szCs w:val="24"/>
        </w:rPr>
        <w:t xml:space="preserve"> </w:t>
      </w:r>
      <w:r w:rsidR="00987112">
        <w:rPr>
          <w:b w:val="0"/>
          <w:sz w:val="24"/>
          <w:szCs w:val="24"/>
        </w:rPr>
        <w:t>i</w:t>
      </w:r>
      <w:r w:rsidRPr="00E74EBA">
        <w:rPr>
          <w:b w:val="0"/>
          <w:sz w:val="24"/>
          <w:szCs w:val="24"/>
        </w:rPr>
        <w:t>nstrument</w:t>
      </w:r>
      <w:r w:rsidR="001C1EE5">
        <w:rPr>
          <w:b w:val="0"/>
          <w:sz w:val="24"/>
          <w:szCs w:val="24"/>
        </w:rPr>
        <w:t>s which are the subject of the D</w:t>
      </w:r>
      <w:r w:rsidRPr="00E74EBA">
        <w:rPr>
          <w:b w:val="0"/>
          <w:sz w:val="24"/>
          <w:szCs w:val="24"/>
        </w:rPr>
        <w:t xml:space="preserve">eclaration, which will now all sunset on 1 </w:t>
      </w:r>
      <w:r w:rsidR="00DB5005" w:rsidRPr="00E74EBA">
        <w:rPr>
          <w:b w:val="0"/>
          <w:sz w:val="24"/>
          <w:szCs w:val="24"/>
        </w:rPr>
        <w:t>October</w:t>
      </w:r>
      <w:r w:rsidRPr="00E74EBA">
        <w:rPr>
          <w:b w:val="0"/>
          <w:sz w:val="24"/>
          <w:szCs w:val="24"/>
        </w:rPr>
        <w:t xml:space="preserve"> 202</w:t>
      </w:r>
      <w:r w:rsidR="00C423FA">
        <w:rPr>
          <w:b w:val="0"/>
          <w:sz w:val="24"/>
          <w:szCs w:val="24"/>
        </w:rPr>
        <w:t>5</w:t>
      </w:r>
      <w:r w:rsidR="001C1EE5">
        <w:rPr>
          <w:b w:val="0"/>
          <w:sz w:val="24"/>
          <w:szCs w:val="24"/>
        </w:rPr>
        <w:t xml:space="preserve"> as specified in the D</w:t>
      </w:r>
      <w:r w:rsidRPr="00E74EBA">
        <w:rPr>
          <w:b w:val="0"/>
          <w:sz w:val="24"/>
          <w:szCs w:val="24"/>
        </w:rPr>
        <w:t>eclaration, are available on the Federal Register of Legislation</w:t>
      </w:r>
      <w:r w:rsidRPr="00E74EBA">
        <w:rPr>
          <w:b w:val="0"/>
          <w:sz w:val="24"/>
          <w:szCs w:val="24"/>
        </w:rPr>
        <w:fldChar w:fldCharType="begin"/>
      </w:r>
      <w:r w:rsidRPr="00E74EBA">
        <w:rPr>
          <w:b w:val="0"/>
          <w:sz w:val="24"/>
          <w:szCs w:val="24"/>
        </w:rPr>
        <w:instrText>http://www.comlaw.gov.au/</w:instrText>
      </w:r>
      <w:r w:rsidRPr="00E74EBA">
        <w:rPr>
          <w:b w:val="0"/>
          <w:sz w:val="24"/>
          <w:szCs w:val="24"/>
        </w:rPr>
        <w:fldChar w:fldCharType="separate"/>
      </w:r>
      <w:r w:rsidRPr="00E74EBA">
        <w:rPr>
          <w:sz w:val="24"/>
          <w:szCs w:val="24"/>
        </w:rPr>
        <w:t>http://www.comlaw.gov.au</w:t>
      </w:r>
      <w:r w:rsidRPr="00E74EBA">
        <w:rPr>
          <w:sz w:val="24"/>
          <w:szCs w:val="24"/>
        </w:rPr>
        <w:fldChar w:fldCharType="end"/>
      </w:r>
      <w:r w:rsidRPr="00E74EBA">
        <w:rPr>
          <w:b w:val="0"/>
          <w:sz w:val="24"/>
          <w:szCs w:val="24"/>
        </w:rPr>
        <w:t>.</w:t>
      </w:r>
    </w:p>
    <w:p w14:paraId="50447925" w14:textId="77777777" w:rsidR="00E74EBA" w:rsidRPr="00E74EBA" w:rsidRDefault="00E74EBA" w:rsidP="00E74EBA">
      <w:pPr>
        <w:rPr>
          <w:lang w:val="en-AU"/>
        </w:rPr>
      </w:pPr>
    </w:p>
    <w:bookmarkEnd w:id="0"/>
    <w:p w14:paraId="63FBFD25" w14:textId="5C3667FE" w:rsidR="003705E4" w:rsidRPr="00E74EBA" w:rsidRDefault="003705E4" w:rsidP="00E74EBA">
      <w:pPr>
        <w:pStyle w:val="Heading2"/>
        <w:spacing w:before="0"/>
        <w:ind w:left="11" w:hanging="11"/>
        <w:rPr>
          <w:sz w:val="24"/>
          <w:szCs w:val="24"/>
        </w:rPr>
      </w:pPr>
      <w:r w:rsidRPr="00E74EBA">
        <w:rPr>
          <w:b w:val="0"/>
          <w:sz w:val="24"/>
          <w:szCs w:val="24"/>
        </w:rPr>
        <w:t xml:space="preserve">Further information may be requested from the Attorney-General’s Department about the operation of </w:t>
      </w:r>
      <w:r w:rsidR="00662E08">
        <w:rPr>
          <w:b w:val="0"/>
          <w:sz w:val="24"/>
          <w:szCs w:val="24"/>
        </w:rPr>
        <w:t>the BEED Instruments D</w:t>
      </w:r>
      <w:r w:rsidRPr="00E74EBA">
        <w:rPr>
          <w:b w:val="0"/>
          <w:sz w:val="24"/>
          <w:szCs w:val="24"/>
        </w:rPr>
        <w:t xml:space="preserve">eclaration, and from the </w:t>
      </w:r>
      <w:r w:rsidR="00D7530F" w:rsidRPr="00E74EBA">
        <w:rPr>
          <w:b w:val="0"/>
          <w:sz w:val="24"/>
          <w:szCs w:val="24"/>
        </w:rPr>
        <w:t xml:space="preserve">Department of </w:t>
      </w:r>
      <w:r w:rsidR="00D7530F">
        <w:rPr>
          <w:b w:val="0"/>
          <w:sz w:val="24"/>
          <w:szCs w:val="24"/>
        </w:rPr>
        <w:t xml:space="preserve">Agriculture, Water and the </w:t>
      </w:r>
      <w:r w:rsidR="00D7530F" w:rsidRPr="00E74EBA">
        <w:rPr>
          <w:b w:val="0"/>
          <w:sz w:val="24"/>
          <w:szCs w:val="24"/>
        </w:rPr>
        <w:t>Environment</w:t>
      </w:r>
      <w:r w:rsidRPr="00E74EBA">
        <w:rPr>
          <w:b w:val="0"/>
          <w:sz w:val="24"/>
          <w:szCs w:val="24"/>
        </w:rPr>
        <w:t xml:space="preserve"> about the </w:t>
      </w:r>
      <w:r w:rsidR="00DB5005" w:rsidRPr="00E74EBA">
        <w:rPr>
          <w:b w:val="0"/>
          <w:sz w:val="24"/>
          <w:szCs w:val="24"/>
        </w:rPr>
        <w:t>BEED</w:t>
      </w:r>
      <w:r w:rsidRPr="00E74EBA">
        <w:rPr>
          <w:b w:val="0"/>
          <w:sz w:val="24"/>
          <w:szCs w:val="24"/>
        </w:rPr>
        <w:t xml:space="preserve"> </w:t>
      </w:r>
      <w:r w:rsidR="00987112">
        <w:rPr>
          <w:b w:val="0"/>
          <w:sz w:val="24"/>
          <w:szCs w:val="24"/>
        </w:rPr>
        <w:t>i</w:t>
      </w:r>
      <w:r w:rsidRPr="00E74EBA">
        <w:rPr>
          <w:b w:val="0"/>
          <w:sz w:val="24"/>
          <w:szCs w:val="24"/>
        </w:rPr>
        <w:t xml:space="preserve">nstruments to which the </w:t>
      </w:r>
      <w:r w:rsidR="00662E08">
        <w:rPr>
          <w:b w:val="0"/>
          <w:sz w:val="24"/>
          <w:szCs w:val="24"/>
        </w:rPr>
        <w:t>D</w:t>
      </w:r>
      <w:r w:rsidRPr="00E74EBA">
        <w:rPr>
          <w:b w:val="0"/>
          <w:sz w:val="24"/>
          <w:szCs w:val="24"/>
        </w:rPr>
        <w:t>eclaration applies.</w:t>
      </w:r>
    </w:p>
    <w:p w14:paraId="48B6DB24" w14:textId="77777777" w:rsidR="00E74EBA" w:rsidRPr="00E74EBA" w:rsidRDefault="003705E4" w:rsidP="00E74EBA">
      <w:pPr>
        <w:pStyle w:val="Basetext"/>
        <w:spacing w:before="0" w:line="240" w:lineRule="auto"/>
        <w:rPr>
          <w:b/>
          <w:sz w:val="24"/>
          <w:szCs w:val="24"/>
        </w:rPr>
      </w:pPr>
      <w:r w:rsidRPr="00E74EBA">
        <w:rPr>
          <w:rStyle w:val="Heading1Char"/>
          <w:rFonts w:eastAsiaTheme="majorEastAsia"/>
          <w:b w:val="0"/>
          <w:color w:val="000000" w:themeColor="text1"/>
          <w:sz w:val="24"/>
        </w:rPr>
        <w:br w:type="page"/>
      </w:r>
      <w:r w:rsidR="00E74EBA" w:rsidRPr="00E74EBA">
        <w:rPr>
          <w:b/>
          <w:sz w:val="24"/>
          <w:szCs w:val="24"/>
        </w:rPr>
        <w:lastRenderedPageBreak/>
        <w:t>STATEMENT OF COMPATIBILITY WITH HUMAN RIGHTS</w:t>
      </w:r>
    </w:p>
    <w:p w14:paraId="796345EF" w14:textId="77777777" w:rsidR="00E74EBA" w:rsidRDefault="00E74EBA" w:rsidP="00E74EBA">
      <w:pPr>
        <w:rPr>
          <w:szCs w:val="24"/>
        </w:rPr>
      </w:pPr>
    </w:p>
    <w:p w14:paraId="2A01C78D" w14:textId="08DEF02B" w:rsidR="00E74EBA" w:rsidRPr="00E74EBA" w:rsidRDefault="00E74EBA" w:rsidP="00E74EBA">
      <w:pPr>
        <w:rPr>
          <w:szCs w:val="24"/>
        </w:rPr>
      </w:pPr>
      <w:r w:rsidRPr="00E74EBA">
        <w:rPr>
          <w:szCs w:val="24"/>
        </w:rPr>
        <w:t xml:space="preserve">The </w:t>
      </w:r>
      <w:r w:rsidRPr="00E74EBA">
        <w:rPr>
          <w:i/>
          <w:iCs/>
          <w:szCs w:val="24"/>
        </w:rPr>
        <w:t>Legislation (Building Energy Efficiency Disclosure Instruments) Sunset-altering Declaration 20</w:t>
      </w:r>
      <w:r w:rsidR="008379D7">
        <w:rPr>
          <w:i/>
          <w:iCs/>
          <w:szCs w:val="24"/>
        </w:rPr>
        <w:t>20</w:t>
      </w:r>
      <w:r w:rsidRPr="00E74EBA">
        <w:rPr>
          <w:i/>
          <w:iCs/>
          <w:szCs w:val="24"/>
        </w:rPr>
        <w:t xml:space="preserve"> </w:t>
      </w:r>
      <w:r w:rsidRPr="00E74EBA">
        <w:rPr>
          <w:bCs/>
          <w:szCs w:val="24"/>
        </w:rPr>
        <w:t xml:space="preserve">(the </w:t>
      </w:r>
      <w:r w:rsidRPr="00E74EBA">
        <w:rPr>
          <w:szCs w:val="24"/>
        </w:rPr>
        <w:t xml:space="preserve">BEED Instruments Declaration) is compatible with human rights and freedoms recognised or declared in the international instruments listed in section 3 of the </w:t>
      </w:r>
      <w:r w:rsidRPr="00E74EBA">
        <w:rPr>
          <w:i/>
          <w:szCs w:val="24"/>
        </w:rPr>
        <w:t>Human Rights (Parliamentary Scrutiny) Act 2011</w:t>
      </w:r>
      <w:r w:rsidRPr="00E74EBA">
        <w:rPr>
          <w:szCs w:val="24"/>
        </w:rPr>
        <w:t xml:space="preserve"> (the Human Rights Act).</w:t>
      </w:r>
    </w:p>
    <w:p w14:paraId="707EE924" w14:textId="77777777" w:rsidR="00E74EBA" w:rsidRDefault="00E74EBA" w:rsidP="00E74EBA">
      <w:pPr>
        <w:rPr>
          <w:i/>
          <w:szCs w:val="24"/>
        </w:rPr>
      </w:pPr>
    </w:p>
    <w:p w14:paraId="21512D0A" w14:textId="77777777" w:rsidR="00E74EBA" w:rsidRPr="00E74EBA" w:rsidRDefault="00E74EBA" w:rsidP="00E74EBA">
      <w:pPr>
        <w:rPr>
          <w:b/>
          <w:szCs w:val="24"/>
        </w:rPr>
      </w:pPr>
      <w:r w:rsidRPr="00E74EBA">
        <w:rPr>
          <w:b/>
          <w:szCs w:val="24"/>
        </w:rPr>
        <w:t xml:space="preserve">Overview of the Declaration </w:t>
      </w:r>
    </w:p>
    <w:p w14:paraId="4FC30C14" w14:textId="77777777" w:rsidR="00E74EBA" w:rsidRDefault="00E74EBA" w:rsidP="00E74EBA">
      <w:pPr>
        <w:rPr>
          <w:szCs w:val="24"/>
        </w:rPr>
      </w:pPr>
    </w:p>
    <w:p w14:paraId="423990AE" w14:textId="092E97C7" w:rsidR="00E74EBA" w:rsidRDefault="00E74EBA" w:rsidP="00E74EBA">
      <w:pPr>
        <w:rPr>
          <w:szCs w:val="24"/>
        </w:rPr>
      </w:pPr>
      <w:r w:rsidRPr="00E74EBA">
        <w:rPr>
          <w:szCs w:val="24"/>
        </w:rPr>
        <w:t xml:space="preserve">The </w:t>
      </w:r>
      <w:r w:rsidR="00F742BF">
        <w:rPr>
          <w:szCs w:val="24"/>
        </w:rPr>
        <w:t>BEED</w:t>
      </w:r>
      <w:r w:rsidR="00F742BF" w:rsidRPr="00E74EBA">
        <w:rPr>
          <w:szCs w:val="24"/>
        </w:rPr>
        <w:t xml:space="preserve"> </w:t>
      </w:r>
      <w:r w:rsidRPr="00E74EBA">
        <w:rPr>
          <w:szCs w:val="24"/>
        </w:rPr>
        <w:t>Instruments Declaration is made under subsection 51A(1) of the Legislation Act. Under that subsection, the Attorney-General can align the sunsetting days of two or more legislative instruments to 1 April or 1 October of a year that is up to five years later than the earliest sunsetting day. Th</w:t>
      </w:r>
      <w:r w:rsidR="001C1EE5">
        <w:rPr>
          <w:szCs w:val="24"/>
        </w:rPr>
        <w:t>e instruments specified in the D</w:t>
      </w:r>
      <w:r w:rsidRPr="00E74EBA">
        <w:rPr>
          <w:szCs w:val="24"/>
        </w:rPr>
        <w:t xml:space="preserve">eclaration will then be repealed on the day specified in the </w:t>
      </w:r>
      <w:r w:rsidR="001C1EE5">
        <w:rPr>
          <w:szCs w:val="24"/>
        </w:rPr>
        <w:t>D</w:t>
      </w:r>
      <w:r w:rsidRPr="00E74EBA">
        <w:rPr>
          <w:szCs w:val="24"/>
        </w:rPr>
        <w:t xml:space="preserve">eclaration instead of the previously scheduled sunsetting day. The instruments specified in the </w:t>
      </w:r>
      <w:r w:rsidR="00F742BF">
        <w:rPr>
          <w:szCs w:val="24"/>
        </w:rPr>
        <w:t xml:space="preserve">BEED </w:t>
      </w:r>
      <w:r w:rsidRPr="00E74EBA">
        <w:rPr>
          <w:szCs w:val="24"/>
        </w:rPr>
        <w:t>Instruments Declaration are:</w:t>
      </w:r>
    </w:p>
    <w:p w14:paraId="08B33ACE" w14:textId="77777777" w:rsidR="00E74EBA" w:rsidRPr="00E74EBA" w:rsidRDefault="00E74EBA" w:rsidP="00E74EBA">
      <w:pPr>
        <w:rPr>
          <w:szCs w:val="24"/>
        </w:rPr>
      </w:pPr>
    </w:p>
    <w:p w14:paraId="357037F5" w14:textId="77777777" w:rsidR="00E74EBA" w:rsidRPr="00E74EBA" w:rsidRDefault="00E74EBA" w:rsidP="00E74EBA">
      <w:pPr>
        <w:pStyle w:val="Celltext"/>
        <w:numPr>
          <w:ilvl w:val="0"/>
          <w:numId w:val="5"/>
        </w:numPr>
        <w:spacing w:before="0"/>
        <w:rPr>
          <w:i/>
          <w:szCs w:val="24"/>
        </w:rPr>
      </w:pPr>
      <w:r w:rsidRPr="00E74EBA">
        <w:rPr>
          <w:szCs w:val="24"/>
        </w:rPr>
        <w:t xml:space="preserve">the </w:t>
      </w:r>
      <w:r w:rsidRPr="00E74EBA">
        <w:rPr>
          <w:i/>
          <w:szCs w:val="24"/>
        </w:rPr>
        <w:t>Building Energy Efficiency Disclosure Regulations 2010</w:t>
      </w:r>
      <w:r w:rsidRPr="00E74EBA">
        <w:rPr>
          <w:szCs w:val="24"/>
        </w:rPr>
        <w:t xml:space="preserve">; </w:t>
      </w:r>
    </w:p>
    <w:p w14:paraId="2D1F7631" w14:textId="77777777" w:rsidR="00E74EBA" w:rsidRPr="00E74EBA" w:rsidRDefault="00E74EBA" w:rsidP="00E74EBA">
      <w:pPr>
        <w:pStyle w:val="Celltext"/>
        <w:numPr>
          <w:ilvl w:val="0"/>
          <w:numId w:val="5"/>
        </w:numPr>
        <w:spacing w:before="0"/>
        <w:rPr>
          <w:i/>
          <w:szCs w:val="24"/>
        </w:rPr>
      </w:pPr>
      <w:r w:rsidRPr="00E74EBA">
        <w:rPr>
          <w:szCs w:val="24"/>
        </w:rPr>
        <w:t xml:space="preserve">the </w:t>
      </w:r>
      <w:r w:rsidRPr="00E74EBA">
        <w:rPr>
          <w:i/>
          <w:szCs w:val="24"/>
        </w:rPr>
        <w:t>Building Energy Efficiency Disclosure Determination 2016</w:t>
      </w:r>
      <w:r w:rsidRPr="00E74EBA">
        <w:rPr>
          <w:szCs w:val="24"/>
        </w:rPr>
        <w:t>; and</w:t>
      </w:r>
    </w:p>
    <w:p w14:paraId="2B05F484" w14:textId="77777777" w:rsidR="00E74EBA" w:rsidRPr="00E74EBA" w:rsidRDefault="00E74EBA" w:rsidP="00E74EBA">
      <w:pPr>
        <w:pStyle w:val="Celltext"/>
        <w:numPr>
          <w:ilvl w:val="0"/>
          <w:numId w:val="5"/>
        </w:numPr>
        <w:spacing w:before="0"/>
        <w:rPr>
          <w:i/>
          <w:szCs w:val="24"/>
        </w:rPr>
      </w:pPr>
      <w:r w:rsidRPr="00E74EBA">
        <w:rPr>
          <w:szCs w:val="24"/>
        </w:rPr>
        <w:t xml:space="preserve">the </w:t>
      </w:r>
      <w:r w:rsidRPr="00E74EBA">
        <w:rPr>
          <w:i/>
          <w:szCs w:val="24"/>
        </w:rPr>
        <w:t>Building Energy Efficiency Disclosure (Disclosure Affected Buildings) Determination 2016</w:t>
      </w:r>
      <w:r w:rsidRPr="00E74EBA">
        <w:rPr>
          <w:szCs w:val="24"/>
        </w:rPr>
        <w:t xml:space="preserve">. </w:t>
      </w:r>
    </w:p>
    <w:p w14:paraId="5EE394A6" w14:textId="77777777" w:rsidR="00E74EBA" w:rsidRDefault="00E74EBA" w:rsidP="00E74EBA">
      <w:pPr>
        <w:pStyle w:val="Celltext"/>
        <w:spacing w:before="0"/>
        <w:rPr>
          <w:szCs w:val="24"/>
        </w:rPr>
      </w:pPr>
    </w:p>
    <w:p w14:paraId="1E824711" w14:textId="29ED6B6B" w:rsidR="00E74EBA" w:rsidRPr="00E74EBA" w:rsidRDefault="00E74EBA" w:rsidP="00E74EBA">
      <w:pPr>
        <w:pStyle w:val="Celltext"/>
        <w:spacing w:before="0"/>
        <w:rPr>
          <w:szCs w:val="24"/>
        </w:rPr>
      </w:pPr>
      <w:r w:rsidRPr="00E74EBA">
        <w:rPr>
          <w:szCs w:val="24"/>
        </w:rPr>
        <w:t xml:space="preserve">The BEED Instruments Declaration aligns the sunsetting dates of these instruments (the BEED </w:t>
      </w:r>
      <w:r w:rsidR="00987112">
        <w:rPr>
          <w:szCs w:val="24"/>
        </w:rPr>
        <w:t>i</w:t>
      </w:r>
      <w:r w:rsidRPr="00E74EBA">
        <w:rPr>
          <w:szCs w:val="24"/>
        </w:rPr>
        <w:t xml:space="preserve">nstruments) to 1 October 2025. The objective of issuing the declaration is to facilitate the undertaking of a single thematic review into the fitness-for-purpose of the BEED </w:t>
      </w:r>
      <w:r w:rsidR="00987112">
        <w:rPr>
          <w:szCs w:val="24"/>
        </w:rPr>
        <w:t>i</w:t>
      </w:r>
      <w:r w:rsidRPr="00E74EBA">
        <w:rPr>
          <w:szCs w:val="24"/>
        </w:rPr>
        <w:t>nstruments. This will reduce administrative burden as well as the possibility of legislative inconsistencies arising from reviewing and replacing the related legislation at different times.</w:t>
      </w:r>
    </w:p>
    <w:p w14:paraId="5BCA9DC3" w14:textId="77777777" w:rsidR="00E74EBA" w:rsidRDefault="00E74EBA" w:rsidP="00E74EBA">
      <w:pPr>
        <w:rPr>
          <w:i/>
          <w:szCs w:val="24"/>
        </w:rPr>
      </w:pPr>
    </w:p>
    <w:p w14:paraId="06ED2C39" w14:textId="09ACF7CC" w:rsidR="00E74EBA" w:rsidRPr="00E74EBA" w:rsidRDefault="002662C3" w:rsidP="00E74EBA">
      <w:pPr>
        <w:rPr>
          <w:b/>
          <w:szCs w:val="24"/>
        </w:rPr>
      </w:pPr>
      <w:r>
        <w:rPr>
          <w:b/>
          <w:szCs w:val="24"/>
        </w:rPr>
        <w:t>Human rights i</w:t>
      </w:r>
      <w:r w:rsidR="00E74EBA" w:rsidRPr="00E74EBA">
        <w:rPr>
          <w:b/>
          <w:szCs w:val="24"/>
        </w:rPr>
        <w:t xml:space="preserve">mplications </w:t>
      </w:r>
    </w:p>
    <w:p w14:paraId="07132C8B" w14:textId="77777777" w:rsidR="00E74EBA" w:rsidRDefault="00E74EBA" w:rsidP="00E74EBA">
      <w:pPr>
        <w:pStyle w:val="Celltext"/>
        <w:spacing w:before="0"/>
        <w:rPr>
          <w:szCs w:val="24"/>
        </w:rPr>
      </w:pPr>
    </w:p>
    <w:p w14:paraId="53C64067" w14:textId="77777777" w:rsidR="00E74EBA" w:rsidRPr="00E74EBA" w:rsidRDefault="00E74EBA" w:rsidP="00E74EBA">
      <w:pPr>
        <w:pStyle w:val="Celltext"/>
        <w:spacing w:before="0"/>
        <w:rPr>
          <w:szCs w:val="24"/>
        </w:rPr>
      </w:pPr>
      <w:r w:rsidRPr="00E74EBA">
        <w:rPr>
          <w:szCs w:val="24"/>
        </w:rPr>
        <w:t>The Statement of Compatibility with Human Rights for a sunset</w:t>
      </w:r>
      <w:r w:rsidRPr="00E74EBA">
        <w:rPr>
          <w:szCs w:val="24"/>
        </w:rPr>
        <w:noBreakHyphen/>
        <w:t>altering declaration focuses on the effect of the aligning instrument, rather than the substantive effect of continuing the instruments that have been aligned.</w:t>
      </w:r>
    </w:p>
    <w:p w14:paraId="05A076CA" w14:textId="77777777" w:rsidR="00E74EBA" w:rsidRDefault="00E74EBA" w:rsidP="00E74EBA">
      <w:pPr>
        <w:rPr>
          <w:szCs w:val="24"/>
        </w:rPr>
      </w:pPr>
    </w:p>
    <w:p w14:paraId="77A18402" w14:textId="0EC07AF4" w:rsidR="00E74EBA" w:rsidRPr="00E74EBA" w:rsidRDefault="00E74EBA" w:rsidP="00E74EBA">
      <w:pPr>
        <w:rPr>
          <w:szCs w:val="24"/>
        </w:rPr>
      </w:pPr>
      <w:r w:rsidRPr="00E74EBA">
        <w:rPr>
          <w:szCs w:val="24"/>
        </w:rPr>
        <w:t xml:space="preserve">Before issuing the </w:t>
      </w:r>
      <w:r w:rsidR="00F742BF">
        <w:rPr>
          <w:szCs w:val="24"/>
        </w:rPr>
        <w:t xml:space="preserve">BEED </w:t>
      </w:r>
      <w:r w:rsidRPr="00E74EBA">
        <w:rPr>
          <w:szCs w:val="24"/>
        </w:rPr>
        <w:t>Instruments Declaration, the Attorney-General was satisfied that al</w:t>
      </w:r>
      <w:r w:rsidR="001C1EE5">
        <w:rPr>
          <w:szCs w:val="24"/>
        </w:rPr>
        <w:t>l instruments specified in the D</w:t>
      </w:r>
      <w:r w:rsidRPr="00E74EBA">
        <w:rPr>
          <w:szCs w:val="24"/>
        </w:rPr>
        <w:t>eclaration would be subject to a single thematic review. A</w:t>
      </w:r>
      <w:r w:rsidR="00D7530F">
        <w:rPr>
          <w:szCs w:val="24"/>
        </w:rPr>
        <w:t> </w:t>
      </w:r>
      <w:r w:rsidRPr="00E74EBA">
        <w:rPr>
          <w:szCs w:val="24"/>
        </w:rPr>
        <w:t xml:space="preserve">thematic review is an effective mechanism for determining whether the instruments are fit for purpose, identifying opportunities to update, streamline and clarify the operation of the instruments and, where appropriate, reducing unnecessary regulation. </w:t>
      </w:r>
    </w:p>
    <w:p w14:paraId="77F9CFE3" w14:textId="77777777" w:rsidR="00E74EBA" w:rsidRDefault="00E74EBA" w:rsidP="00E74EBA">
      <w:pPr>
        <w:rPr>
          <w:i/>
          <w:szCs w:val="24"/>
        </w:rPr>
      </w:pPr>
    </w:p>
    <w:p w14:paraId="0A5243B4" w14:textId="77777777" w:rsidR="00E74EBA" w:rsidRPr="00E74EBA" w:rsidRDefault="00E74EBA" w:rsidP="00E74EBA">
      <w:pPr>
        <w:rPr>
          <w:b/>
          <w:szCs w:val="24"/>
        </w:rPr>
      </w:pPr>
      <w:r w:rsidRPr="00E74EBA">
        <w:rPr>
          <w:b/>
          <w:szCs w:val="24"/>
        </w:rPr>
        <w:t>Conclusion</w:t>
      </w:r>
    </w:p>
    <w:p w14:paraId="45A9339F" w14:textId="77777777" w:rsidR="00E74EBA" w:rsidRDefault="00E74EBA" w:rsidP="00E74EBA">
      <w:pPr>
        <w:rPr>
          <w:szCs w:val="24"/>
        </w:rPr>
      </w:pPr>
    </w:p>
    <w:p w14:paraId="10FC175A" w14:textId="42922B23" w:rsidR="00E74EBA" w:rsidRPr="00E74EBA" w:rsidRDefault="00E74EBA" w:rsidP="00E74EBA">
      <w:pPr>
        <w:rPr>
          <w:szCs w:val="24"/>
        </w:rPr>
      </w:pPr>
      <w:r w:rsidRPr="00E74EBA">
        <w:rPr>
          <w:szCs w:val="24"/>
        </w:rPr>
        <w:t xml:space="preserve">The </w:t>
      </w:r>
      <w:r w:rsidR="00F742BF">
        <w:rPr>
          <w:szCs w:val="24"/>
        </w:rPr>
        <w:t>BEED</w:t>
      </w:r>
      <w:r w:rsidR="00F742BF" w:rsidRPr="00E74EBA">
        <w:rPr>
          <w:szCs w:val="24"/>
        </w:rPr>
        <w:t xml:space="preserve"> </w:t>
      </w:r>
      <w:r w:rsidRPr="00E74EBA">
        <w:rPr>
          <w:szCs w:val="24"/>
        </w:rPr>
        <w:t>Instruments Declaration is compatible with the human rights and freedoms recognised or declared in the international instruments listed in section 3 of the Human Rights Act, as it does not raise any human rights issues.</w:t>
      </w:r>
    </w:p>
    <w:p w14:paraId="32188BB2" w14:textId="77777777" w:rsidR="00E74EBA" w:rsidRPr="00E74EBA" w:rsidRDefault="00E74EBA" w:rsidP="00E74EBA">
      <w:pPr>
        <w:widowControl/>
        <w:rPr>
          <w:rFonts w:eastAsiaTheme="majorEastAsia"/>
          <w:b/>
          <w:bCs/>
          <w:szCs w:val="24"/>
          <w:lang w:val="en-AU"/>
        </w:rPr>
      </w:pPr>
      <w:r w:rsidRPr="00E74EBA">
        <w:rPr>
          <w:szCs w:val="24"/>
        </w:rPr>
        <w:br w:type="page"/>
      </w:r>
    </w:p>
    <w:p w14:paraId="24047112" w14:textId="77777777" w:rsidR="00DC016A" w:rsidRDefault="00DC016A" w:rsidP="00E74EBA">
      <w:pPr>
        <w:pStyle w:val="Heading2"/>
        <w:spacing w:before="0"/>
        <w:jc w:val="right"/>
        <w:rPr>
          <w:rStyle w:val="Heading1Char"/>
          <w:rFonts w:eastAsiaTheme="majorEastAsia"/>
          <w:b/>
          <w:color w:val="000000" w:themeColor="text1"/>
          <w:sz w:val="24"/>
        </w:rPr>
      </w:pPr>
    </w:p>
    <w:p w14:paraId="63FBFD27" w14:textId="77777777" w:rsidR="003705E4" w:rsidRPr="00E74EBA" w:rsidRDefault="003705E4" w:rsidP="00E74EBA">
      <w:pPr>
        <w:pStyle w:val="Heading2"/>
        <w:spacing w:before="0"/>
        <w:jc w:val="right"/>
        <w:rPr>
          <w:rStyle w:val="Heading1Char"/>
          <w:rFonts w:eastAsiaTheme="majorEastAsia"/>
          <w:b/>
          <w:color w:val="000000" w:themeColor="text1"/>
          <w:sz w:val="24"/>
        </w:rPr>
      </w:pPr>
      <w:r w:rsidRPr="00E74EBA">
        <w:rPr>
          <w:rStyle w:val="Heading1Char"/>
          <w:rFonts w:eastAsiaTheme="majorEastAsia"/>
          <w:b/>
          <w:color w:val="000000" w:themeColor="text1"/>
          <w:sz w:val="24"/>
        </w:rPr>
        <w:t>ATTACHMENT A</w:t>
      </w:r>
    </w:p>
    <w:p w14:paraId="63FBFD28" w14:textId="77777777" w:rsidR="003705E4" w:rsidRPr="00E74EBA" w:rsidRDefault="003705E4" w:rsidP="00E74EBA">
      <w:pPr>
        <w:pStyle w:val="Heading2"/>
        <w:spacing w:before="0"/>
        <w:rPr>
          <w:sz w:val="24"/>
          <w:szCs w:val="24"/>
        </w:rPr>
      </w:pPr>
      <w:r w:rsidRPr="00E74EBA">
        <w:rPr>
          <w:sz w:val="24"/>
          <w:szCs w:val="24"/>
        </w:rPr>
        <w:t>NOTES ON THE DECLARATION</w:t>
      </w:r>
      <w:r w:rsidRPr="00E74EBA">
        <w:rPr>
          <w:sz w:val="24"/>
          <w:szCs w:val="24"/>
        </w:rPr>
        <w:tab/>
      </w:r>
      <w:r w:rsidRPr="00E74EBA">
        <w:rPr>
          <w:sz w:val="24"/>
          <w:szCs w:val="24"/>
        </w:rPr>
        <w:tab/>
      </w:r>
      <w:r w:rsidRPr="00E74EBA">
        <w:rPr>
          <w:sz w:val="24"/>
          <w:szCs w:val="24"/>
        </w:rPr>
        <w:tab/>
        <w:t xml:space="preserve">       </w:t>
      </w:r>
    </w:p>
    <w:p w14:paraId="072E33DB" w14:textId="77777777" w:rsidR="00E74EBA" w:rsidRDefault="00E74EBA" w:rsidP="00E74EBA">
      <w:pPr>
        <w:pStyle w:val="Heading3"/>
        <w:spacing w:before="0" w:after="0"/>
        <w:rPr>
          <w:sz w:val="24"/>
          <w:szCs w:val="24"/>
        </w:rPr>
      </w:pPr>
    </w:p>
    <w:p w14:paraId="63FBFD29" w14:textId="77777777" w:rsidR="003705E4" w:rsidRPr="00E74EBA" w:rsidRDefault="003705E4" w:rsidP="00E74EBA">
      <w:pPr>
        <w:pStyle w:val="Heading3"/>
        <w:spacing w:before="0" w:after="0"/>
        <w:rPr>
          <w:sz w:val="24"/>
          <w:szCs w:val="24"/>
        </w:rPr>
      </w:pPr>
      <w:r w:rsidRPr="00E74EBA">
        <w:rPr>
          <w:sz w:val="24"/>
          <w:szCs w:val="24"/>
        </w:rPr>
        <w:t>Section 1</w:t>
      </w:r>
      <w:r w:rsidRPr="00E74EBA">
        <w:rPr>
          <w:sz w:val="24"/>
          <w:szCs w:val="24"/>
        </w:rPr>
        <w:tab/>
        <w:t>Name</w:t>
      </w:r>
    </w:p>
    <w:p w14:paraId="051F7096" w14:textId="77777777" w:rsidR="00E74EBA" w:rsidRDefault="00E74EBA" w:rsidP="00E74EBA">
      <w:pPr>
        <w:rPr>
          <w:szCs w:val="24"/>
        </w:rPr>
      </w:pPr>
    </w:p>
    <w:p w14:paraId="63FBFD2A" w14:textId="7D7C0B6E" w:rsidR="003705E4" w:rsidRPr="00E74EBA" w:rsidRDefault="001C1EE5" w:rsidP="00E74EBA">
      <w:pPr>
        <w:rPr>
          <w:szCs w:val="24"/>
        </w:rPr>
      </w:pPr>
      <w:r>
        <w:rPr>
          <w:szCs w:val="24"/>
        </w:rPr>
        <w:t>This section provides for the D</w:t>
      </w:r>
      <w:r w:rsidR="003705E4" w:rsidRPr="00E74EBA">
        <w:rPr>
          <w:szCs w:val="24"/>
        </w:rPr>
        <w:t xml:space="preserve">eclaration to be named the </w:t>
      </w:r>
      <w:r w:rsidR="003705E4" w:rsidRPr="00E74EBA">
        <w:rPr>
          <w:i/>
          <w:iCs/>
          <w:szCs w:val="24"/>
        </w:rPr>
        <w:t>Legislation (</w:t>
      </w:r>
      <w:r w:rsidR="00DB5005" w:rsidRPr="00E74EBA">
        <w:rPr>
          <w:i/>
          <w:iCs/>
          <w:szCs w:val="24"/>
        </w:rPr>
        <w:t>Building Efficiency Disclosure Regulations</w:t>
      </w:r>
      <w:r w:rsidR="003705E4" w:rsidRPr="00E74EBA">
        <w:rPr>
          <w:i/>
          <w:iCs/>
          <w:szCs w:val="24"/>
        </w:rPr>
        <w:t>) Sunset-altering Declaration 20</w:t>
      </w:r>
      <w:r w:rsidR="008379D7">
        <w:rPr>
          <w:i/>
          <w:iCs/>
          <w:szCs w:val="24"/>
        </w:rPr>
        <w:t>20</w:t>
      </w:r>
      <w:r>
        <w:rPr>
          <w:szCs w:val="24"/>
        </w:rPr>
        <w:t>. The d</w:t>
      </w:r>
      <w:r w:rsidR="003705E4" w:rsidRPr="00E74EBA">
        <w:rPr>
          <w:szCs w:val="24"/>
        </w:rPr>
        <w:t xml:space="preserve">eclaration may be cited by that name. </w:t>
      </w:r>
    </w:p>
    <w:p w14:paraId="2745C9BE" w14:textId="77777777" w:rsidR="00E74EBA" w:rsidRDefault="00E74EBA" w:rsidP="00E74EBA">
      <w:pPr>
        <w:pStyle w:val="Heading3"/>
        <w:spacing w:before="0" w:after="0"/>
        <w:rPr>
          <w:sz w:val="24"/>
          <w:szCs w:val="24"/>
        </w:rPr>
      </w:pPr>
    </w:p>
    <w:p w14:paraId="63FBFD2B" w14:textId="77777777" w:rsidR="003705E4" w:rsidRPr="00E74EBA" w:rsidRDefault="003705E4" w:rsidP="00E74EBA">
      <w:pPr>
        <w:pStyle w:val="Heading3"/>
        <w:spacing w:before="0" w:after="0"/>
        <w:rPr>
          <w:sz w:val="24"/>
          <w:szCs w:val="24"/>
        </w:rPr>
      </w:pPr>
      <w:r w:rsidRPr="00E74EBA">
        <w:rPr>
          <w:sz w:val="24"/>
          <w:szCs w:val="24"/>
        </w:rPr>
        <w:t xml:space="preserve">Section 2 </w:t>
      </w:r>
      <w:r w:rsidRPr="00E74EBA">
        <w:rPr>
          <w:sz w:val="24"/>
          <w:szCs w:val="24"/>
        </w:rPr>
        <w:tab/>
        <w:t>Commencement</w:t>
      </w:r>
    </w:p>
    <w:p w14:paraId="26B7E102" w14:textId="77777777" w:rsidR="00E74EBA" w:rsidRDefault="00E74EBA" w:rsidP="00E74EBA">
      <w:pPr>
        <w:rPr>
          <w:color w:val="000000" w:themeColor="text1"/>
          <w:szCs w:val="24"/>
          <w:lang w:val="en-AU"/>
        </w:rPr>
      </w:pPr>
    </w:p>
    <w:p w14:paraId="63FBFD2C" w14:textId="269D7605" w:rsidR="003705E4" w:rsidRPr="00E74EBA" w:rsidRDefault="001C1EE5" w:rsidP="00E74EBA">
      <w:pPr>
        <w:rPr>
          <w:color w:val="000000" w:themeColor="text1"/>
          <w:szCs w:val="24"/>
          <w:lang w:val="en-AU"/>
        </w:rPr>
      </w:pPr>
      <w:r>
        <w:rPr>
          <w:color w:val="000000" w:themeColor="text1"/>
          <w:szCs w:val="24"/>
          <w:lang w:val="en-AU"/>
        </w:rPr>
        <w:t>This section provides for the d</w:t>
      </w:r>
      <w:r w:rsidR="003705E4" w:rsidRPr="00E74EBA">
        <w:rPr>
          <w:color w:val="000000" w:themeColor="text1"/>
          <w:szCs w:val="24"/>
          <w:lang w:val="en-AU"/>
        </w:rPr>
        <w:t xml:space="preserve">eclaration to commence on the day after it is registered. </w:t>
      </w:r>
    </w:p>
    <w:p w14:paraId="10F56AE1" w14:textId="77777777" w:rsidR="00E74EBA" w:rsidRDefault="00E74EBA" w:rsidP="00E74EBA">
      <w:pPr>
        <w:pStyle w:val="Heading3"/>
        <w:spacing w:before="0" w:after="0"/>
        <w:rPr>
          <w:sz w:val="24"/>
          <w:szCs w:val="24"/>
        </w:rPr>
      </w:pPr>
    </w:p>
    <w:p w14:paraId="63FBFD2D" w14:textId="77777777" w:rsidR="003705E4" w:rsidRPr="00E74EBA" w:rsidRDefault="003705E4" w:rsidP="00E74EBA">
      <w:pPr>
        <w:pStyle w:val="Heading3"/>
        <w:spacing w:before="0" w:after="0"/>
        <w:rPr>
          <w:sz w:val="24"/>
          <w:szCs w:val="24"/>
        </w:rPr>
      </w:pPr>
      <w:r w:rsidRPr="00E74EBA">
        <w:rPr>
          <w:sz w:val="24"/>
          <w:szCs w:val="24"/>
        </w:rPr>
        <w:t>Section 3</w:t>
      </w:r>
      <w:r w:rsidRPr="00E74EBA">
        <w:rPr>
          <w:sz w:val="24"/>
          <w:szCs w:val="24"/>
        </w:rPr>
        <w:tab/>
        <w:t>Authority</w:t>
      </w:r>
    </w:p>
    <w:p w14:paraId="4FE37739" w14:textId="77777777" w:rsidR="00E74EBA" w:rsidRDefault="00E74EBA" w:rsidP="00E74EBA">
      <w:pPr>
        <w:rPr>
          <w:color w:val="000000" w:themeColor="text1"/>
          <w:szCs w:val="24"/>
          <w:lang w:val="en-AU"/>
        </w:rPr>
      </w:pPr>
    </w:p>
    <w:p w14:paraId="63FBFD2E" w14:textId="0F051FC9" w:rsidR="003705E4" w:rsidRPr="00E74EBA" w:rsidRDefault="003705E4" w:rsidP="00E74EBA">
      <w:pPr>
        <w:rPr>
          <w:color w:val="000000" w:themeColor="text1"/>
          <w:szCs w:val="24"/>
          <w:lang w:val="en-AU"/>
        </w:rPr>
      </w:pPr>
      <w:r w:rsidRPr="00E74EBA">
        <w:rPr>
          <w:color w:val="000000" w:themeColor="text1"/>
          <w:szCs w:val="24"/>
          <w:lang w:val="en-AU"/>
        </w:rPr>
        <w:t xml:space="preserve">This section provides that the </w:t>
      </w:r>
      <w:r w:rsidR="001C1EE5">
        <w:rPr>
          <w:color w:val="000000" w:themeColor="text1"/>
          <w:szCs w:val="24"/>
          <w:lang w:val="en-AU"/>
        </w:rPr>
        <w:t>d</w:t>
      </w:r>
      <w:r w:rsidRPr="00E74EBA">
        <w:rPr>
          <w:color w:val="000000" w:themeColor="text1"/>
          <w:szCs w:val="24"/>
          <w:lang w:val="en-AU"/>
        </w:rPr>
        <w:t xml:space="preserve">eclaration is made under subsection 51A(1) of the </w:t>
      </w:r>
      <w:r w:rsidRPr="00E74EBA">
        <w:rPr>
          <w:i/>
          <w:color w:val="000000" w:themeColor="text1"/>
          <w:szCs w:val="24"/>
          <w:lang w:val="en-AU"/>
        </w:rPr>
        <w:t>Legislation Act 2003</w:t>
      </w:r>
      <w:r w:rsidRPr="00E74EBA">
        <w:rPr>
          <w:color w:val="000000" w:themeColor="text1"/>
          <w:szCs w:val="24"/>
          <w:lang w:val="en-AU"/>
        </w:rPr>
        <w:t>.</w:t>
      </w:r>
    </w:p>
    <w:p w14:paraId="2DD3EC9D" w14:textId="77777777" w:rsidR="00E74EBA" w:rsidRDefault="00E74EBA" w:rsidP="00E74EBA">
      <w:pPr>
        <w:pStyle w:val="Heading3"/>
        <w:spacing w:before="0" w:after="0"/>
        <w:rPr>
          <w:sz w:val="24"/>
          <w:szCs w:val="24"/>
        </w:rPr>
      </w:pPr>
    </w:p>
    <w:p w14:paraId="63FBFD2F" w14:textId="77777777" w:rsidR="003705E4" w:rsidRPr="00E74EBA" w:rsidRDefault="003705E4" w:rsidP="00E74EBA">
      <w:pPr>
        <w:pStyle w:val="Heading3"/>
        <w:spacing w:before="0" w:after="0"/>
        <w:rPr>
          <w:sz w:val="24"/>
          <w:szCs w:val="24"/>
        </w:rPr>
      </w:pPr>
      <w:r w:rsidRPr="00E74EBA">
        <w:rPr>
          <w:sz w:val="24"/>
          <w:szCs w:val="24"/>
        </w:rPr>
        <w:t>Section 4</w:t>
      </w:r>
      <w:r w:rsidRPr="00E74EBA">
        <w:rPr>
          <w:sz w:val="24"/>
          <w:szCs w:val="24"/>
        </w:rPr>
        <w:tab/>
        <w:t>Repeal of instruments to facilitate review etc.</w:t>
      </w:r>
    </w:p>
    <w:p w14:paraId="3B9D6DC1" w14:textId="77777777" w:rsidR="00E74EBA" w:rsidRDefault="00E74EBA" w:rsidP="00E74EBA">
      <w:pPr>
        <w:pStyle w:val="Default"/>
      </w:pPr>
    </w:p>
    <w:p w14:paraId="63FBFD30" w14:textId="62BC4049" w:rsidR="003705E4" w:rsidRDefault="003705E4" w:rsidP="00E74EBA">
      <w:pPr>
        <w:pStyle w:val="Default"/>
      </w:pPr>
      <w:r w:rsidRPr="00E74EBA">
        <w:t xml:space="preserve">This section provides that the following instruments are repealed by section 51A of the </w:t>
      </w:r>
      <w:r w:rsidRPr="00E74EBA">
        <w:rPr>
          <w:i/>
          <w:iCs/>
        </w:rPr>
        <w:t xml:space="preserve">Legislation Act 2003 </w:t>
      </w:r>
      <w:r w:rsidRPr="00E74EBA">
        <w:t xml:space="preserve">on 1 </w:t>
      </w:r>
      <w:r w:rsidR="00DB5005" w:rsidRPr="00E74EBA">
        <w:t>October</w:t>
      </w:r>
      <w:r w:rsidRPr="00E74EBA">
        <w:t xml:space="preserve"> </w:t>
      </w:r>
      <w:r w:rsidR="00F742BF">
        <w:t>2025</w:t>
      </w:r>
      <w:r w:rsidRPr="00E74EBA">
        <w:t xml:space="preserve">: </w:t>
      </w:r>
    </w:p>
    <w:p w14:paraId="5835A27D" w14:textId="77777777" w:rsidR="00E74EBA" w:rsidRPr="00E74EBA" w:rsidRDefault="00E74EBA" w:rsidP="00E74EBA">
      <w:pPr>
        <w:pStyle w:val="Default"/>
      </w:pPr>
    </w:p>
    <w:p w14:paraId="63FBFD31" w14:textId="77777777" w:rsidR="00DB5005" w:rsidRPr="00E74EBA" w:rsidRDefault="00DB5005" w:rsidP="00E74EBA">
      <w:pPr>
        <w:pStyle w:val="Celltext"/>
        <w:numPr>
          <w:ilvl w:val="0"/>
          <w:numId w:val="7"/>
        </w:numPr>
        <w:spacing w:before="0"/>
        <w:rPr>
          <w:i/>
          <w:szCs w:val="24"/>
        </w:rPr>
      </w:pPr>
      <w:r w:rsidRPr="00E74EBA">
        <w:rPr>
          <w:szCs w:val="24"/>
        </w:rPr>
        <w:t xml:space="preserve">the </w:t>
      </w:r>
      <w:r w:rsidRPr="00E74EBA">
        <w:rPr>
          <w:i/>
          <w:szCs w:val="24"/>
        </w:rPr>
        <w:t>Building Energy Efficiency Disclosure Regulations 2010</w:t>
      </w:r>
      <w:r w:rsidRPr="00E74EBA">
        <w:rPr>
          <w:szCs w:val="24"/>
        </w:rPr>
        <w:t xml:space="preserve">; </w:t>
      </w:r>
    </w:p>
    <w:p w14:paraId="63FBFD32" w14:textId="77777777" w:rsidR="00DB5005" w:rsidRPr="00E74EBA" w:rsidRDefault="00DB5005" w:rsidP="00E74EBA">
      <w:pPr>
        <w:pStyle w:val="Celltext"/>
        <w:numPr>
          <w:ilvl w:val="0"/>
          <w:numId w:val="7"/>
        </w:numPr>
        <w:spacing w:before="0"/>
        <w:rPr>
          <w:i/>
          <w:szCs w:val="24"/>
        </w:rPr>
      </w:pPr>
      <w:r w:rsidRPr="00E74EBA">
        <w:rPr>
          <w:szCs w:val="24"/>
        </w:rPr>
        <w:t xml:space="preserve">the </w:t>
      </w:r>
      <w:r w:rsidRPr="00E74EBA">
        <w:rPr>
          <w:i/>
          <w:szCs w:val="24"/>
        </w:rPr>
        <w:t>Building Energy Efficiency Disclosure Determination 2016</w:t>
      </w:r>
      <w:r w:rsidRPr="00E74EBA">
        <w:rPr>
          <w:szCs w:val="24"/>
        </w:rPr>
        <w:t>; and</w:t>
      </w:r>
    </w:p>
    <w:p w14:paraId="63FBFD33" w14:textId="77777777" w:rsidR="00DB5005" w:rsidRPr="00E74EBA" w:rsidRDefault="00DB5005" w:rsidP="00E74EBA">
      <w:pPr>
        <w:pStyle w:val="Celltext"/>
        <w:numPr>
          <w:ilvl w:val="0"/>
          <w:numId w:val="7"/>
        </w:numPr>
        <w:spacing w:before="0"/>
        <w:rPr>
          <w:i/>
          <w:szCs w:val="24"/>
        </w:rPr>
      </w:pPr>
      <w:r w:rsidRPr="00E74EBA">
        <w:rPr>
          <w:szCs w:val="24"/>
        </w:rPr>
        <w:t xml:space="preserve">the </w:t>
      </w:r>
      <w:r w:rsidRPr="00E74EBA">
        <w:rPr>
          <w:i/>
          <w:szCs w:val="24"/>
        </w:rPr>
        <w:t>Building Energy Efficiency Disclosure (Disclosure Affected Buildings) Determination 2016</w:t>
      </w:r>
      <w:r w:rsidRPr="00E74EBA">
        <w:rPr>
          <w:szCs w:val="24"/>
        </w:rPr>
        <w:t xml:space="preserve">. </w:t>
      </w:r>
    </w:p>
    <w:p w14:paraId="5681353C" w14:textId="77777777" w:rsidR="00E74EBA" w:rsidRDefault="00E74EBA" w:rsidP="00E74EBA">
      <w:pPr>
        <w:rPr>
          <w:szCs w:val="24"/>
        </w:rPr>
      </w:pPr>
    </w:p>
    <w:p w14:paraId="63FBFD34" w14:textId="0C26EA8C" w:rsidR="003705E4" w:rsidRPr="00E74EBA" w:rsidRDefault="003705E4" w:rsidP="00E74EBA">
      <w:pPr>
        <w:rPr>
          <w:szCs w:val="24"/>
        </w:rPr>
      </w:pPr>
      <w:r w:rsidRPr="00E74EBA">
        <w:rPr>
          <w:szCs w:val="24"/>
        </w:rPr>
        <w:t xml:space="preserve">1 </w:t>
      </w:r>
      <w:r w:rsidR="00DB5005" w:rsidRPr="00E74EBA">
        <w:rPr>
          <w:szCs w:val="24"/>
        </w:rPr>
        <w:t>October</w:t>
      </w:r>
      <w:r w:rsidRPr="00E74EBA">
        <w:rPr>
          <w:szCs w:val="24"/>
        </w:rPr>
        <w:t xml:space="preserve"> 202</w:t>
      </w:r>
      <w:r w:rsidR="00BD03CC" w:rsidRPr="00E74EBA">
        <w:rPr>
          <w:szCs w:val="24"/>
        </w:rPr>
        <w:t>5</w:t>
      </w:r>
      <w:r w:rsidRPr="00E74EBA">
        <w:rPr>
          <w:szCs w:val="24"/>
        </w:rPr>
        <w:t xml:space="preserve"> is the aligned sunsetting day for those instruments, which would otherwise have sunset on 1 October 20</w:t>
      </w:r>
      <w:r w:rsidR="00DB5005" w:rsidRPr="00E74EBA">
        <w:rPr>
          <w:szCs w:val="24"/>
        </w:rPr>
        <w:t>20</w:t>
      </w:r>
      <w:r w:rsidR="00C423FA">
        <w:rPr>
          <w:szCs w:val="24"/>
        </w:rPr>
        <w:t xml:space="preserve"> (the Regulations) </w:t>
      </w:r>
      <w:r w:rsidR="00DB5005" w:rsidRPr="00E74EBA">
        <w:rPr>
          <w:szCs w:val="24"/>
        </w:rPr>
        <w:t>and</w:t>
      </w:r>
      <w:r w:rsidRPr="00E74EBA">
        <w:rPr>
          <w:szCs w:val="24"/>
        </w:rPr>
        <w:t xml:space="preserve"> 1 </w:t>
      </w:r>
      <w:r w:rsidR="00DB5005" w:rsidRPr="00E74EBA">
        <w:rPr>
          <w:szCs w:val="24"/>
        </w:rPr>
        <w:t>October</w:t>
      </w:r>
      <w:r w:rsidRPr="00E74EBA">
        <w:rPr>
          <w:szCs w:val="24"/>
        </w:rPr>
        <w:t xml:space="preserve"> 202</w:t>
      </w:r>
      <w:r w:rsidR="00DB5005" w:rsidRPr="00E74EBA">
        <w:rPr>
          <w:szCs w:val="24"/>
        </w:rPr>
        <w:t>6</w:t>
      </w:r>
      <w:r w:rsidR="00C423FA">
        <w:rPr>
          <w:szCs w:val="24"/>
        </w:rPr>
        <w:t xml:space="preserve"> (the Determinations).</w:t>
      </w:r>
    </w:p>
    <w:p w14:paraId="08BB6A5D" w14:textId="77777777" w:rsidR="00E74EBA" w:rsidRDefault="00E74EBA" w:rsidP="00E74EBA">
      <w:pPr>
        <w:pStyle w:val="Heading3"/>
        <w:spacing w:before="0" w:after="0"/>
        <w:rPr>
          <w:sz w:val="24"/>
          <w:szCs w:val="24"/>
        </w:rPr>
      </w:pPr>
    </w:p>
    <w:p w14:paraId="63FBFD35" w14:textId="77777777" w:rsidR="003705E4" w:rsidRPr="00E74EBA" w:rsidRDefault="003705E4" w:rsidP="00E74EBA">
      <w:pPr>
        <w:pStyle w:val="Heading3"/>
        <w:spacing w:before="0" w:after="0"/>
        <w:rPr>
          <w:sz w:val="24"/>
          <w:szCs w:val="24"/>
        </w:rPr>
      </w:pPr>
      <w:r w:rsidRPr="00E74EBA">
        <w:rPr>
          <w:sz w:val="24"/>
          <w:szCs w:val="24"/>
        </w:rPr>
        <w:t>Section 5</w:t>
      </w:r>
      <w:r w:rsidRPr="00E74EBA">
        <w:rPr>
          <w:sz w:val="24"/>
          <w:szCs w:val="24"/>
        </w:rPr>
        <w:tab/>
        <w:t>Repeal of this instrument</w:t>
      </w:r>
    </w:p>
    <w:p w14:paraId="255248F0" w14:textId="77777777" w:rsidR="00E74EBA" w:rsidRDefault="00E74EBA" w:rsidP="00E74EBA">
      <w:pPr>
        <w:pStyle w:val="subsection"/>
        <w:spacing w:before="0"/>
        <w:ind w:left="0" w:firstLine="0"/>
        <w:jc w:val="both"/>
        <w:rPr>
          <w:snapToGrid/>
          <w:color w:val="000000" w:themeColor="text1"/>
          <w:szCs w:val="24"/>
          <w:lang w:val="en-AU" w:eastAsia="en-US"/>
        </w:rPr>
      </w:pPr>
    </w:p>
    <w:p w14:paraId="63FBFD36" w14:textId="08F92F5C" w:rsidR="003705E4" w:rsidRPr="00E74EBA" w:rsidRDefault="003705E4" w:rsidP="00E74EBA">
      <w:pPr>
        <w:pStyle w:val="subsection"/>
        <w:spacing w:before="0"/>
        <w:ind w:left="0" w:firstLine="0"/>
        <w:jc w:val="both"/>
        <w:rPr>
          <w:szCs w:val="24"/>
          <w:lang w:val="en-AU"/>
        </w:rPr>
      </w:pPr>
      <w:r w:rsidRPr="00E74EBA">
        <w:rPr>
          <w:snapToGrid/>
          <w:color w:val="000000" w:themeColor="text1"/>
          <w:szCs w:val="24"/>
          <w:lang w:val="en-AU" w:eastAsia="en-US"/>
        </w:rPr>
        <w:t xml:space="preserve">This section provides that the </w:t>
      </w:r>
      <w:r w:rsidR="001C1EE5">
        <w:rPr>
          <w:snapToGrid/>
          <w:color w:val="000000" w:themeColor="text1"/>
          <w:szCs w:val="24"/>
          <w:lang w:val="en-AU" w:eastAsia="en-US"/>
        </w:rPr>
        <w:t>declaration</w:t>
      </w:r>
      <w:r w:rsidRPr="00E74EBA">
        <w:rPr>
          <w:snapToGrid/>
          <w:color w:val="000000" w:themeColor="text1"/>
          <w:szCs w:val="24"/>
          <w:lang w:val="en-AU" w:eastAsia="en-US"/>
        </w:rPr>
        <w:t xml:space="preserve"> is repealed at the </w:t>
      </w:r>
      <w:r w:rsidRPr="00E74EBA">
        <w:rPr>
          <w:snapToGrid/>
          <w:szCs w:val="24"/>
          <w:lang w:val="en-AU" w:eastAsia="en-US"/>
        </w:rPr>
        <w:t>start of 2</w:t>
      </w:r>
      <w:r w:rsidRPr="00E74EBA">
        <w:rPr>
          <w:szCs w:val="24"/>
        </w:rPr>
        <w:t> </w:t>
      </w:r>
      <w:r w:rsidR="00DB5005" w:rsidRPr="00E74EBA">
        <w:rPr>
          <w:szCs w:val="24"/>
        </w:rPr>
        <w:t>October</w:t>
      </w:r>
      <w:r w:rsidRPr="00E74EBA">
        <w:rPr>
          <w:szCs w:val="24"/>
        </w:rPr>
        <w:t xml:space="preserve"> 202</w:t>
      </w:r>
      <w:r w:rsidR="00BD03CC" w:rsidRPr="00E74EBA">
        <w:rPr>
          <w:szCs w:val="24"/>
        </w:rPr>
        <w:t>5</w:t>
      </w:r>
      <w:r w:rsidRPr="00E74EBA">
        <w:rPr>
          <w:szCs w:val="24"/>
        </w:rPr>
        <w:t>.</w:t>
      </w:r>
    </w:p>
    <w:p w14:paraId="63FBFD37" w14:textId="77777777" w:rsidR="003705E4" w:rsidRPr="00E74EBA" w:rsidRDefault="003705E4" w:rsidP="00E74EBA">
      <w:pPr>
        <w:rPr>
          <w:szCs w:val="24"/>
        </w:rPr>
      </w:pPr>
    </w:p>
    <w:p w14:paraId="63FBFD38" w14:textId="77777777" w:rsidR="003705E4" w:rsidRPr="00E74EBA" w:rsidRDefault="003705E4" w:rsidP="00E74EBA">
      <w:pPr>
        <w:rPr>
          <w:szCs w:val="24"/>
        </w:rPr>
      </w:pPr>
    </w:p>
    <w:p w14:paraId="63FBFD39" w14:textId="77777777" w:rsidR="00A36316" w:rsidRPr="00E74EBA" w:rsidRDefault="00A36316" w:rsidP="00E74EBA">
      <w:pPr>
        <w:rPr>
          <w:szCs w:val="24"/>
        </w:rPr>
      </w:pPr>
    </w:p>
    <w:sectPr w:rsidR="00A36316" w:rsidRPr="00E74EBA" w:rsidSect="00434A44">
      <w:footerReference w:type="default" r:id="rId10"/>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BFD3C" w14:textId="77777777" w:rsidR="008B2CFE" w:rsidRDefault="008B2CFE">
      <w:r>
        <w:separator/>
      </w:r>
    </w:p>
  </w:endnote>
  <w:endnote w:type="continuationSeparator" w:id="0">
    <w:p w14:paraId="63FBFD3D" w14:textId="77777777" w:rsidR="008B2CFE" w:rsidRDefault="008B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841804"/>
      <w:docPartObj>
        <w:docPartGallery w:val="Page Numbers (Bottom of Page)"/>
        <w:docPartUnique/>
      </w:docPartObj>
    </w:sdtPr>
    <w:sdtEndPr>
      <w:rPr>
        <w:noProof/>
      </w:rPr>
    </w:sdtEndPr>
    <w:sdtContent>
      <w:p w14:paraId="63FBFD3E" w14:textId="77777777" w:rsidR="00021171" w:rsidRDefault="00DB5005" w:rsidP="00D2023C">
        <w:pPr>
          <w:pStyle w:val="Footer"/>
          <w:jc w:val="right"/>
        </w:pPr>
        <w:r w:rsidRPr="00611F23">
          <w:fldChar w:fldCharType="begin"/>
        </w:r>
        <w:r w:rsidRPr="00611F23">
          <w:instrText xml:space="preserve"> PAGE   \* MERGEFORMAT </w:instrText>
        </w:r>
        <w:r w:rsidRPr="00611F23">
          <w:fldChar w:fldCharType="separate"/>
        </w:r>
        <w:r w:rsidR="00896277">
          <w:rPr>
            <w:noProof/>
          </w:rPr>
          <w:t>1</w:t>
        </w:r>
        <w:r w:rsidRPr="00611F23">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BFD3A" w14:textId="77777777" w:rsidR="008B2CFE" w:rsidRDefault="008B2CFE">
      <w:r>
        <w:separator/>
      </w:r>
    </w:p>
  </w:footnote>
  <w:footnote w:type="continuationSeparator" w:id="0">
    <w:p w14:paraId="63FBFD3B" w14:textId="77777777" w:rsidR="008B2CFE" w:rsidRDefault="008B2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651EB"/>
    <w:multiLevelType w:val="hybridMultilevel"/>
    <w:tmpl w:val="DE667A0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B0108D4"/>
    <w:multiLevelType w:val="hybridMultilevel"/>
    <w:tmpl w:val="4B5C6546"/>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8006DE"/>
    <w:multiLevelType w:val="hybridMultilevel"/>
    <w:tmpl w:val="4B5C6546"/>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73742E"/>
    <w:multiLevelType w:val="multilevel"/>
    <w:tmpl w:val="C786FC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27B03BF"/>
    <w:multiLevelType w:val="hybridMultilevel"/>
    <w:tmpl w:val="4B5C6546"/>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FE14A1"/>
    <w:multiLevelType w:val="hybridMultilevel"/>
    <w:tmpl w:val="4B5C6546"/>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CE6977"/>
    <w:multiLevelType w:val="hybridMultilevel"/>
    <w:tmpl w:val="4B5C6546"/>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E4"/>
    <w:rsid w:val="001C1EE5"/>
    <w:rsid w:val="00236944"/>
    <w:rsid w:val="002662C3"/>
    <w:rsid w:val="003705E4"/>
    <w:rsid w:val="005835C7"/>
    <w:rsid w:val="005F0187"/>
    <w:rsid w:val="0061286F"/>
    <w:rsid w:val="00662E08"/>
    <w:rsid w:val="007326B2"/>
    <w:rsid w:val="008379D7"/>
    <w:rsid w:val="00896277"/>
    <w:rsid w:val="008B2CFE"/>
    <w:rsid w:val="00987112"/>
    <w:rsid w:val="00A36316"/>
    <w:rsid w:val="00B84ACF"/>
    <w:rsid w:val="00BD03CC"/>
    <w:rsid w:val="00C423FA"/>
    <w:rsid w:val="00D7530F"/>
    <w:rsid w:val="00DB5005"/>
    <w:rsid w:val="00DC016A"/>
    <w:rsid w:val="00E74EBA"/>
    <w:rsid w:val="00F742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FCEB"/>
  <w15:chartTrackingRefBased/>
  <w15:docId w15:val="{E0BCE13E-F0DD-4426-A939-1CBF5274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5E4"/>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3705E4"/>
    <w:pPr>
      <w:keepNext w:val="0"/>
      <w:keepLines w:val="0"/>
      <w:spacing w:before="360" w:line="260" w:lineRule="atLeast"/>
      <w:jc w:val="center"/>
      <w:outlineLvl w:val="0"/>
    </w:pPr>
    <w:rPr>
      <w:rFonts w:eastAsia="Times New Roman"/>
      <w:bCs w:val="0"/>
      <w:sz w:val="28"/>
      <w:szCs w:val="24"/>
    </w:rPr>
  </w:style>
  <w:style w:type="paragraph" w:styleId="Heading2">
    <w:name w:val="heading 2"/>
    <w:basedOn w:val="Normal"/>
    <w:next w:val="Normal"/>
    <w:link w:val="Heading2Char"/>
    <w:uiPriority w:val="9"/>
    <w:unhideWhenUsed/>
    <w:qFormat/>
    <w:rsid w:val="003705E4"/>
    <w:pPr>
      <w:keepNext/>
      <w:keepLines/>
      <w:spacing w:before="200"/>
      <w:outlineLvl w:val="1"/>
    </w:pPr>
    <w:rPr>
      <w:rFonts w:eastAsiaTheme="majorEastAsia"/>
      <w:b/>
      <w:bCs/>
      <w:sz w:val="22"/>
      <w:szCs w:val="22"/>
      <w:lang w:val="en-AU"/>
    </w:rPr>
  </w:style>
  <w:style w:type="paragraph" w:styleId="Heading3">
    <w:name w:val="heading 3"/>
    <w:basedOn w:val="Normal"/>
    <w:next w:val="Normal"/>
    <w:link w:val="Heading3Char"/>
    <w:uiPriority w:val="9"/>
    <w:unhideWhenUsed/>
    <w:qFormat/>
    <w:rsid w:val="003705E4"/>
    <w:pPr>
      <w:keepNext/>
      <w:keepLines/>
      <w:spacing w:before="180" w:after="200"/>
      <w:outlineLvl w:val="2"/>
    </w:pPr>
    <w:rPr>
      <w:rFonts w:eastAsiaTheme="majorEastAsia"/>
      <w:b/>
      <w:bCs/>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05E4"/>
    <w:rPr>
      <w:rFonts w:ascii="Times New Roman" w:eastAsia="Times New Roman" w:hAnsi="Times New Roman" w:cs="Times New Roman"/>
      <w:b/>
      <w:snapToGrid w:val="0"/>
      <w:sz w:val="28"/>
      <w:szCs w:val="24"/>
    </w:rPr>
  </w:style>
  <w:style w:type="character" w:customStyle="1" w:styleId="Heading2Char">
    <w:name w:val="Heading 2 Char"/>
    <w:basedOn w:val="DefaultParagraphFont"/>
    <w:link w:val="Heading2"/>
    <w:uiPriority w:val="9"/>
    <w:rsid w:val="003705E4"/>
    <w:rPr>
      <w:rFonts w:ascii="Times New Roman" w:eastAsiaTheme="majorEastAsia" w:hAnsi="Times New Roman" w:cs="Times New Roman"/>
      <w:b/>
      <w:bCs/>
      <w:snapToGrid w:val="0"/>
    </w:rPr>
  </w:style>
  <w:style w:type="character" w:customStyle="1" w:styleId="Heading3Char">
    <w:name w:val="Heading 3 Char"/>
    <w:basedOn w:val="DefaultParagraphFont"/>
    <w:link w:val="Heading3"/>
    <w:uiPriority w:val="9"/>
    <w:rsid w:val="003705E4"/>
    <w:rPr>
      <w:rFonts w:ascii="Times New Roman" w:eastAsiaTheme="majorEastAsia" w:hAnsi="Times New Roman" w:cs="Times New Roman"/>
      <w:b/>
      <w:bCs/>
      <w:snapToGrid w:val="0"/>
    </w:rPr>
  </w:style>
  <w:style w:type="paragraph" w:customStyle="1" w:styleId="subsection">
    <w:name w:val="subsection"/>
    <w:aliases w:val="ss"/>
    <w:basedOn w:val="Normal"/>
    <w:link w:val="subsectionChar"/>
    <w:rsid w:val="003705E4"/>
    <w:pPr>
      <w:tabs>
        <w:tab w:val="right" w:pos="1021"/>
      </w:tabs>
      <w:spacing w:before="180"/>
      <w:ind w:left="1134" w:hanging="1134"/>
    </w:pPr>
    <w:rPr>
      <w:lang w:eastAsia="en-AU"/>
    </w:rPr>
  </w:style>
  <w:style w:type="character" w:customStyle="1" w:styleId="subsectionChar">
    <w:name w:val="subsection Char"/>
    <w:aliases w:val="ss Char"/>
    <w:link w:val="subsection"/>
    <w:locked/>
    <w:rsid w:val="003705E4"/>
    <w:rPr>
      <w:rFonts w:ascii="Times New Roman" w:eastAsia="Times New Roman" w:hAnsi="Times New Roman" w:cs="Times New Roman"/>
      <w:snapToGrid w:val="0"/>
      <w:sz w:val="24"/>
      <w:szCs w:val="20"/>
      <w:lang w:val="en-US" w:eastAsia="en-AU"/>
    </w:rPr>
  </w:style>
  <w:style w:type="paragraph" w:styleId="Footer">
    <w:name w:val="footer"/>
    <w:basedOn w:val="Normal"/>
    <w:link w:val="FooterChar"/>
    <w:uiPriority w:val="99"/>
    <w:unhideWhenUsed/>
    <w:rsid w:val="003705E4"/>
    <w:pPr>
      <w:tabs>
        <w:tab w:val="center" w:pos="4513"/>
        <w:tab w:val="right" w:pos="9026"/>
      </w:tabs>
    </w:pPr>
  </w:style>
  <w:style w:type="character" w:customStyle="1" w:styleId="FooterChar">
    <w:name w:val="Footer Char"/>
    <w:basedOn w:val="DefaultParagraphFont"/>
    <w:link w:val="Footer"/>
    <w:uiPriority w:val="99"/>
    <w:rsid w:val="003705E4"/>
    <w:rPr>
      <w:rFonts w:ascii="Times New Roman" w:eastAsia="Times New Roman" w:hAnsi="Times New Roman" w:cs="Times New Roman"/>
      <w:snapToGrid w:val="0"/>
      <w:sz w:val="24"/>
      <w:szCs w:val="20"/>
      <w:lang w:val="en-US"/>
    </w:rPr>
  </w:style>
  <w:style w:type="paragraph" w:customStyle="1" w:styleId="Celltext">
    <w:name w:val="Cell text"/>
    <w:basedOn w:val="Normal"/>
    <w:rsid w:val="003705E4"/>
    <w:pPr>
      <w:widowControl/>
      <w:spacing w:before="120"/>
    </w:pPr>
    <w:rPr>
      <w:snapToGrid/>
      <w:lang w:val="en-AU" w:eastAsia="en-AU"/>
    </w:rPr>
  </w:style>
  <w:style w:type="paragraph" w:customStyle="1" w:styleId="Basetext">
    <w:name w:val="Base text"/>
    <w:basedOn w:val="Normal"/>
    <w:link w:val="BasetextChar"/>
    <w:qFormat/>
    <w:rsid w:val="003705E4"/>
    <w:pPr>
      <w:spacing w:before="180" w:line="276" w:lineRule="auto"/>
    </w:pPr>
    <w:rPr>
      <w:sz w:val="22"/>
      <w:szCs w:val="22"/>
      <w:lang w:val="en-AU"/>
    </w:rPr>
  </w:style>
  <w:style w:type="character" w:customStyle="1" w:styleId="BasetextChar">
    <w:name w:val="Base text Char"/>
    <w:basedOn w:val="DefaultParagraphFont"/>
    <w:link w:val="Basetext"/>
    <w:rsid w:val="003705E4"/>
    <w:rPr>
      <w:rFonts w:ascii="Times New Roman" w:eastAsia="Times New Roman" w:hAnsi="Times New Roman" w:cs="Times New Roman"/>
      <w:snapToGrid w:val="0"/>
    </w:rPr>
  </w:style>
  <w:style w:type="paragraph" w:customStyle="1" w:styleId="Default">
    <w:name w:val="Default"/>
    <w:rsid w:val="003705E4"/>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rsid w:val="003705E4"/>
    <w:pPr>
      <w:ind w:left="720"/>
      <w:contextualSpacing/>
    </w:pPr>
  </w:style>
  <w:style w:type="paragraph" w:styleId="BalloonText">
    <w:name w:val="Balloon Text"/>
    <w:basedOn w:val="Normal"/>
    <w:link w:val="BalloonTextChar"/>
    <w:uiPriority w:val="99"/>
    <w:semiHidden/>
    <w:unhideWhenUsed/>
    <w:rsid w:val="00E74E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EBA"/>
    <w:rPr>
      <w:rFonts w:ascii="Segoe UI" w:eastAsia="Times New Roman" w:hAnsi="Segoe UI" w:cs="Segoe UI"/>
      <w:snapToGrid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A99F4E2-F991-44B8-BACE-264BCDAEE4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0472C20871DAD4A8D4A6F7E76B9C943" ma:contentTypeVersion="" ma:contentTypeDescription="PDMS Document Site Content Type" ma:contentTypeScope="" ma:versionID="ab21a700a3c2d6525e4e288c75e7db96">
  <xsd:schema xmlns:xsd="http://www.w3.org/2001/XMLSchema" xmlns:xs="http://www.w3.org/2001/XMLSchema" xmlns:p="http://schemas.microsoft.com/office/2006/metadata/properties" xmlns:ns2="AA99F4E2-F991-44B8-BACE-264BCDAEE41B" targetNamespace="http://schemas.microsoft.com/office/2006/metadata/properties" ma:root="true" ma:fieldsID="3b9a2ff332e7532bdf065906de56c562" ns2:_="">
    <xsd:import namespace="AA99F4E2-F991-44B8-BACE-264BCDAEE41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9F4E2-F991-44B8-BACE-264BCDAEE4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B72D5-5B0A-49FD-A1C9-358CF8F2FB55}">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AA99F4E2-F991-44B8-BACE-264BCDAEE41B"/>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54DD1642-BE55-4E2D-9FEA-0DA51FB87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9F4E2-F991-44B8-BACE-264BCDAEE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4F569-B45F-4148-9335-98D75D5C20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1665</Words>
  <Characters>9496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Diya</dc:creator>
  <cp:keywords/>
  <dc:description/>
  <cp:lastModifiedBy>Subramanyan, Vaidehi</cp:lastModifiedBy>
  <cp:revision>2</cp:revision>
  <cp:lastPrinted>2020-01-17T05:59:00Z</cp:lastPrinted>
  <dcterms:created xsi:type="dcterms:W3CDTF">2020-03-25T03:57:00Z</dcterms:created>
  <dcterms:modified xsi:type="dcterms:W3CDTF">2020-03-25T03:57:00Z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0x010100266966F133664895A6EE3632470D45F500A0472C20871DAD4A8D4A6F7E76B9C943</vt:lpwstr>
  </property>
</Properties>
</file>