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B52CE9" w:rsidRDefault="00FA6784" w:rsidP="00FA6784">
      <w:pPr>
        <w:pStyle w:val="H3"/>
        <w:jc w:val="center"/>
        <w:rPr>
          <w:sz w:val="24"/>
          <w:szCs w:val="24"/>
        </w:rPr>
      </w:pPr>
      <w:r w:rsidRPr="00B52CE9">
        <w:rPr>
          <w:sz w:val="24"/>
          <w:szCs w:val="24"/>
        </w:rPr>
        <w:t>EXPLANATORY STATEMENT</w:t>
      </w:r>
    </w:p>
    <w:p w14:paraId="2412D120" w14:textId="77777777" w:rsidR="00FA6784" w:rsidRPr="00B52CE9" w:rsidRDefault="00FA6784" w:rsidP="00FA6784">
      <w:pPr>
        <w:jc w:val="center"/>
        <w:rPr>
          <w:sz w:val="22"/>
          <w:szCs w:val="22"/>
        </w:rPr>
      </w:pPr>
    </w:p>
    <w:p w14:paraId="2412D121" w14:textId="04441B99" w:rsidR="00FA6784" w:rsidRPr="00B52CE9" w:rsidRDefault="00FA6784" w:rsidP="00FA6784">
      <w:pPr>
        <w:jc w:val="center"/>
      </w:pPr>
      <w:r w:rsidRPr="00B52CE9">
        <w:t>Issued by the</w:t>
      </w:r>
      <w:r w:rsidR="0089375C" w:rsidRPr="00B52CE9">
        <w:t xml:space="preserve"> </w:t>
      </w:r>
      <w:r w:rsidRPr="00B52CE9">
        <w:t>Minister for Health</w:t>
      </w:r>
    </w:p>
    <w:p w14:paraId="2412D122" w14:textId="77777777" w:rsidR="00FA6784" w:rsidRPr="00B52CE9" w:rsidRDefault="00FA6784" w:rsidP="00FA6784">
      <w:pPr>
        <w:jc w:val="center"/>
        <w:rPr>
          <w:i/>
          <w:iCs/>
          <w:sz w:val="20"/>
        </w:rPr>
      </w:pPr>
    </w:p>
    <w:p w14:paraId="2412D123" w14:textId="77777777" w:rsidR="00FA6784" w:rsidRPr="00B52CE9" w:rsidRDefault="00FA6784" w:rsidP="00FA6784">
      <w:pPr>
        <w:jc w:val="center"/>
        <w:rPr>
          <w:i/>
          <w:iCs/>
        </w:rPr>
      </w:pPr>
      <w:r w:rsidRPr="00B52CE9">
        <w:rPr>
          <w:i/>
          <w:iCs/>
        </w:rPr>
        <w:t>Health Insurance Act 1973</w:t>
      </w:r>
    </w:p>
    <w:p w14:paraId="2412D124" w14:textId="77777777" w:rsidR="00A1739A" w:rsidRPr="00B52CE9" w:rsidRDefault="00A1739A" w:rsidP="00A1739A">
      <w:pPr>
        <w:rPr>
          <w:szCs w:val="24"/>
          <w:u w:val="single"/>
        </w:rPr>
      </w:pPr>
    </w:p>
    <w:p w14:paraId="052E97C1" w14:textId="68BAF72E" w:rsidR="00164A69" w:rsidRPr="00B52CE9" w:rsidRDefault="00C1560E" w:rsidP="00BB7A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rPr>
      </w:pPr>
      <w:r w:rsidRPr="00B52CE9">
        <w:rPr>
          <w:i/>
        </w:rPr>
        <w:t>Health Insurance (Section 3C General Medical Services –</w:t>
      </w:r>
      <w:r w:rsidR="00E23B40" w:rsidRPr="00B52CE9">
        <w:rPr>
          <w:i/>
        </w:rPr>
        <w:t xml:space="preserve"> </w:t>
      </w:r>
      <w:r w:rsidR="002C32A0" w:rsidRPr="00B52CE9">
        <w:rPr>
          <w:i/>
        </w:rPr>
        <w:t>COVID-19</w:t>
      </w:r>
      <w:r w:rsidR="00E23B40" w:rsidRPr="00B52CE9">
        <w:rPr>
          <w:i/>
        </w:rPr>
        <w:t xml:space="preserve"> Telehealth and Telephone Attendances</w:t>
      </w:r>
      <w:r w:rsidRPr="00B52CE9">
        <w:rPr>
          <w:i/>
        </w:rPr>
        <w:t>) Determination 2020</w:t>
      </w:r>
    </w:p>
    <w:p w14:paraId="46561F89" w14:textId="77777777" w:rsidR="00BB7ABA" w:rsidRPr="00B52CE9" w:rsidRDefault="00BB7ABA" w:rsidP="00BB7ABA">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shd w:val="clear" w:color="auto" w:fill="FFFFFF"/>
        </w:rPr>
      </w:pPr>
    </w:p>
    <w:p w14:paraId="30CCE728" w14:textId="5771B6FB" w:rsidR="00164A69" w:rsidRPr="00B52CE9"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B52CE9">
        <w:rPr>
          <w:shd w:val="clear" w:color="auto" w:fill="FFFFFF"/>
        </w:rPr>
        <w:t xml:space="preserve">Subsection 3C(1) of the </w:t>
      </w:r>
      <w:r w:rsidRPr="00B52CE9">
        <w:rPr>
          <w:i/>
          <w:shd w:val="clear" w:color="auto" w:fill="FFFFFF"/>
        </w:rPr>
        <w:t>Health Insurance Act 1973</w:t>
      </w:r>
      <w:r w:rsidRPr="00B52CE9">
        <w:rPr>
          <w:shd w:val="clear" w:color="auto" w:fill="FFFFFF"/>
        </w:rPr>
        <w:t xml:space="preserve"> (the Act) </w:t>
      </w:r>
      <w:r w:rsidR="00477C74" w:rsidRPr="00B52CE9">
        <w:rPr>
          <w:shd w:val="clear" w:color="auto" w:fill="FFFFFF"/>
        </w:rPr>
        <w:t>provide</w:t>
      </w:r>
      <w:r w:rsidR="002E5708" w:rsidRPr="00B52CE9">
        <w:rPr>
          <w:shd w:val="clear" w:color="auto" w:fill="FFFFFF"/>
        </w:rPr>
        <w:t>s</w:t>
      </w:r>
      <w:r w:rsidR="00477C74" w:rsidRPr="00B52CE9">
        <w:rPr>
          <w:shd w:val="clear" w:color="auto" w:fill="FFFFFF"/>
        </w:rPr>
        <w:t xml:space="preserve"> that</w:t>
      </w:r>
      <w:r w:rsidRPr="00B52CE9">
        <w:rPr>
          <w:shd w:val="clear" w:color="auto" w:fill="FFFFFF"/>
        </w:rPr>
        <w:t xml:space="preserve"> the Minister </w:t>
      </w:r>
      <w:r w:rsidR="00477C74" w:rsidRPr="00B52CE9">
        <w:rPr>
          <w:shd w:val="clear" w:color="auto" w:fill="FFFFFF"/>
        </w:rPr>
        <w:t>may</w:t>
      </w:r>
      <w:r w:rsidRPr="00B52CE9">
        <w:rPr>
          <w:shd w:val="clear" w:color="auto" w:fill="FFFFFF"/>
        </w:rPr>
        <w:t xml:space="preserve">, by legislative instrument, determine that a health service not specified in an item in the </w:t>
      </w:r>
      <w:r w:rsidR="00231CD0" w:rsidRPr="00B52CE9">
        <w:rPr>
          <w:shd w:val="clear" w:color="auto" w:fill="FFFFFF"/>
        </w:rPr>
        <w:t>general medical services t</w:t>
      </w:r>
      <w:r w:rsidRPr="00B52CE9">
        <w:rPr>
          <w:shd w:val="clear" w:color="auto" w:fill="FFFFFF"/>
        </w:rPr>
        <w:t xml:space="preserve">able </w:t>
      </w:r>
      <w:r w:rsidR="00D01D5A" w:rsidRPr="00B52CE9">
        <w:rPr>
          <w:shd w:val="clear" w:color="auto" w:fill="FFFFFF"/>
        </w:rPr>
        <w:t xml:space="preserve">(the Table) </w:t>
      </w:r>
      <w:r w:rsidRPr="00B52CE9">
        <w:rPr>
          <w:shd w:val="clear" w:color="auto" w:fill="FFFFFF"/>
        </w:rPr>
        <w:t xml:space="preserve">shall, in specified circumstances and for specified statutory provisions, be treated as if it were specified in the </w:t>
      </w:r>
      <w:r w:rsidR="00D01D5A" w:rsidRPr="00B52CE9">
        <w:rPr>
          <w:shd w:val="clear" w:color="auto" w:fill="FFFFFF"/>
        </w:rPr>
        <w:t xml:space="preserve">Table. </w:t>
      </w:r>
      <w:r w:rsidRPr="00B52CE9">
        <w:rPr>
          <w:shd w:val="clear" w:color="auto" w:fill="FFFFFF"/>
        </w:rPr>
        <w:t xml:space="preserve">  </w:t>
      </w:r>
    </w:p>
    <w:p w14:paraId="7DB18649" w14:textId="77777777" w:rsidR="00841EDA" w:rsidRPr="00B52CE9"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78120CB" w:rsidR="00050623" w:rsidRPr="00B52CE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52CE9">
        <w:t xml:space="preserve">The </w:t>
      </w:r>
      <w:r w:rsidR="00D01D5A" w:rsidRPr="00B52CE9">
        <w:t>Table</w:t>
      </w:r>
      <w:r w:rsidRPr="00B52CE9">
        <w:t xml:space="preserve"> is set out in the regulations made under subsection 4(1) of the Act.  The most recent version of the regulations is the </w:t>
      </w:r>
      <w:r w:rsidR="00231CD0" w:rsidRPr="00B52CE9">
        <w:rPr>
          <w:i/>
        </w:rPr>
        <w:t xml:space="preserve">Health Insurance (General Medical Services Table) Regulations 2019. </w:t>
      </w:r>
      <w:r w:rsidRPr="00B52CE9">
        <w:rPr>
          <w:i/>
        </w:rPr>
        <w:t xml:space="preserve"> </w:t>
      </w:r>
    </w:p>
    <w:p w14:paraId="2412D129" w14:textId="4D3C443A" w:rsidR="008C5F1C" w:rsidRPr="00B52CE9" w:rsidRDefault="008C5F1C" w:rsidP="00D33180">
      <w:pPr>
        <w:autoSpaceDE w:val="0"/>
        <w:autoSpaceDN w:val="0"/>
        <w:adjustRightInd w:val="0"/>
        <w:ind w:right="-483"/>
        <w:rPr>
          <w:szCs w:val="24"/>
        </w:rPr>
      </w:pPr>
    </w:p>
    <w:p w14:paraId="1C1242A9" w14:textId="2C520E5B" w:rsidR="008973B9" w:rsidRPr="00B52CE9" w:rsidRDefault="008973B9" w:rsidP="00D33180">
      <w:pPr>
        <w:autoSpaceDE w:val="0"/>
        <w:autoSpaceDN w:val="0"/>
        <w:adjustRightInd w:val="0"/>
        <w:ind w:right="-483"/>
        <w:rPr>
          <w:b/>
          <w:szCs w:val="24"/>
        </w:rPr>
      </w:pPr>
      <w:r w:rsidRPr="00B52CE9">
        <w:rPr>
          <w:b/>
          <w:szCs w:val="24"/>
        </w:rPr>
        <w:t>Purpose</w:t>
      </w:r>
    </w:p>
    <w:p w14:paraId="428A865D" w14:textId="77777777" w:rsidR="00B44E08" w:rsidRPr="00B52CE9" w:rsidRDefault="00B44E08" w:rsidP="00B44E08">
      <w:pPr>
        <w:rPr>
          <w:szCs w:val="24"/>
        </w:rPr>
      </w:pPr>
      <w:r w:rsidRPr="00B52CE9">
        <w:rPr>
          <w:szCs w:val="24"/>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57517899" w14:textId="77777777" w:rsidR="00B44E08" w:rsidRPr="00B52CE9" w:rsidRDefault="00B44E08" w:rsidP="00B44E08">
      <w:pPr>
        <w:rPr>
          <w:szCs w:val="24"/>
        </w:rPr>
      </w:pPr>
    </w:p>
    <w:p w14:paraId="6B8C651D" w14:textId="539383EC" w:rsidR="00B44E08" w:rsidRPr="00B52CE9" w:rsidRDefault="00B44E08" w:rsidP="00B44E08">
      <w:pPr>
        <w:rPr>
          <w:szCs w:val="24"/>
        </w:rPr>
      </w:pPr>
      <w:r w:rsidRPr="00B52CE9">
        <w:rPr>
          <w:szCs w:val="24"/>
        </w:rPr>
        <w:t xml:space="preserve">As part of the package, the Government announced $100 million to fund new Medicare services for people in home isolation or quarantine, as a result of </w:t>
      </w:r>
      <w:r w:rsidR="00A447EE" w:rsidRPr="00B52CE9">
        <w:rPr>
          <w:szCs w:val="24"/>
        </w:rPr>
        <w:br/>
      </w:r>
      <w:r w:rsidRPr="00B52CE9">
        <w:rPr>
          <w:szCs w:val="24"/>
        </w:rPr>
        <w:t xml:space="preserve">COVID-19, to receive health consultations remotely. </w:t>
      </w:r>
      <w:r w:rsidRPr="00B52CE9">
        <w:rPr>
          <w:szCs w:val="24"/>
        </w:rPr>
        <w:tab/>
      </w:r>
    </w:p>
    <w:p w14:paraId="040FFA15" w14:textId="77777777" w:rsidR="00B44E08" w:rsidRPr="00B52CE9" w:rsidRDefault="00B44E08" w:rsidP="00B44E08">
      <w:pPr>
        <w:rPr>
          <w:szCs w:val="24"/>
        </w:rPr>
      </w:pPr>
    </w:p>
    <w:p w14:paraId="73F9A482" w14:textId="77777777" w:rsidR="00B44E08" w:rsidRPr="00B52CE9" w:rsidRDefault="00B44E08" w:rsidP="00B44E08">
      <w:pPr>
        <w:rPr>
          <w:szCs w:val="24"/>
        </w:rPr>
      </w:pPr>
      <w:r w:rsidRPr="00B52CE9">
        <w:rPr>
          <w:szCs w:val="24"/>
        </w:rPr>
        <w:t xml:space="preserve">Stage </w:t>
      </w:r>
      <w:proofErr w:type="gramStart"/>
      <w:r w:rsidRPr="00B52CE9">
        <w:rPr>
          <w:szCs w:val="24"/>
        </w:rPr>
        <w:t>One</w:t>
      </w:r>
      <w:proofErr w:type="gramEnd"/>
      <w:r w:rsidRPr="00B52CE9">
        <w:rPr>
          <w:szCs w:val="24"/>
        </w:rPr>
        <w:t xml:space="preserve"> of the Government’s response commenced on 13 March 2020 by introducing new telehealth consultation services to provide services remotely to patients who have been diagnosed with the COVID-19 virus, or who are vulnerable of contracting </w:t>
      </w:r>
      <w:r w:rsidRPr="00B52CE9">
        <w:rPr>
          <w:szCs w:val="24"/>
        </w:rPr>
        <w:lastRenderedPageBreak/>
        <w:t>the COVID-19 virus. These services can be provided by general practitioner (GPs), other doctors in general practice, nurse practitioners, mental health allied health workers, specialists, consultant physicians and consultant psychiatrists.</w:t>
      </w:r>
    </w:p>
    <w:p w14:paraId="4B2907DC" w14:textId="77777777" w:rsidR="00B44E08" w:rsidRPr="00B52CE9" w:rsidRDefault="00B44E08" w:rsidP="00B44E08">
      <w:pPr>
        <w:rPr>
          <w:szCs w:val="24"/>
        </w:rPr>
      </w:pPr>
    </w:p>
    <w:p w14:paraId="4D3F6465" w14:textId="215F6C44" w:rsidR="00DD2D6B" w:rsidRPr="00B52CE9" w:rsidRDefault="00B44E08" w:rsidP="00B44E08">
      <w:pPr>
        <w:rPr>
          <w:szCs w:val="24"/>
        </w:rPr>
      </w:pPr>
      <w:r w:rsidRPr="00B52CE9">
        <w:rPr>
          <w:szCs w:val="24"/>
        </w:rPr>
        <w:t>Stage Two commenced on 16 March 2018 to expand the telehealth items to midwives</w:t>
      </w:r>
      <w:r w:rsidR="009A00D2" w:rsidRPr="00B52CE9">
        <w:rPr>
          <w:szCs w:val="24"/>
        </w:rPr>
        <w:t>, obstetricians</w:t>
      </w:r>
      <w:r w:rsidRPr="00B52CE9">
        <w:rPr>
          <w:szCs w:val="24"/>
        </w:rPr>
        <w:t xml:space="preserve"> and to recognise a GP for continuity of care practices (rather than an individual GP). </w:t>
      </w:r>
    </w:p>
    <w:p w14:paraId="42253CF0" w14:textId="77777777" w:rsidR="00DD2D6B" w:rsidRPr="00B52CE9" w:rsidRDefault="00DD2D6B" w:rsidP="00B44E08">
      <w:pPr>
        <w:rPr>
          <w:szCs w:val="24"/>
        </w:rPr>
      </w:pPr>
    </w:p>
    <w:p w14:paraId="001F6DD9" w14:textId="7D65B6DD" w:rsidR="00B44E08" w:rsidRPr="00B52CE9" w:rsidRDefault="00B44E08" w:rsidP="00B44E08">
      <w:pPr>
        <w:rPr>
          <w:szCs w:val="24"/>
        </w:rPr>
      </w:pPr>
      <w:r w:rsidRPr="00B52CE9">
        <w:rPr>
          <w:szCs w:val="24"/>
        </w:rPr>
        <w:t>Stage Three commenced on 23 March 2020 to allow all vulnerable general practitioners and other vulnerable health professionals who are currently authorised to use telehealth item numbers, to use telehealth for all consultations with all their patients.</w:t>
      </w:r>
    </w:p>
    <w:p w14:paraId="50C5D906" w14:textId="77777777" w:rsidR="00B44E08" w:rsidRPr="00B52CE9" w:rsidRDefault="00B44E08" w:rsidP="00B44E08">
      <w:pPr>
        <w:rPr>
          <w:szCs w:val="24"/>
        </w:rPr>
      </w:pPr>
    </w:p>
    <w:p w14:paraId="4575CBD7" w14:textId="37FBEB34" w:rsidR="002F5B1A" w:rsidRPr="00B52CE9" w:rsidRDefault="00162A60" w:rsidP="00B44E08">
      <w:pPr>
        <w:ind w:right="84"/>
        <w:rPr>
          <w:szCs w:val="24"/>
        </w:rPr>
      </w:pPr>
      <w:r w:rsidRPr="00B52CE9">
        <w:rPr>
          <w:szCs w:val="24"/>
        </w:rPr>
        <w:t>Stage Four commence</w:t>
      </w:r>
      <w:r w:rsidR="00A447EE" w:rsidRPr="00B52CE9">
        <w:rPr>
          <w:szCs w:val="24"/>
        </w:rPr>
        <w:t>s</w:t>
      </w:r>
      <w:r w:rsidRPr="00B52CE9">
        <w:rPr>
          <w:szCs w:val="24"/>
        </w:rPr>
        <w:t xml:space="preserve"> on 30 March 2020, to enable all Australians with or without COVID-19</w:t>
      </w:r>
      <w:r w:rsidR="00D256A6" w:rsidRPr="00B52CE9">
        <w:rPr>
          <w:szCs w:val="24"/>
        </w:rPr>
        <w:t xml:space="preserve"> to access relevant telephone and phone consultation services. </w:t>
      </w:r>
      <w:r w:rsidR="0092237D" w:rsidRPr="00B52CE9">
        <w:rPr>
          <w:szCs w:val="24"/>
        </w:rPr>
        <w:t>All patients will be required to be bulk-billed.</w:t>
      </w:r>
    </w:p>
    <w:p w14:paraId="09DE492A" w14:textId="77777777" w:rsidR="002F5B1A" w:rsidRPr="00B52CE9" w:rsidRDefault="002F5B1A" w:rsidP="00B44E08">
      <w:pPr>
        <w:ind w:right="84"/>
        <w:rPr>
          <w:szCs w:val="24"/>
        </w:rPr>
      </w:pPr>
    </w:p>
    <w:p w14:paraId="7E81ABE1" w14:textId="04E6D9FD" w:rsidR="00D256A6" w:rsidRPr="00B52CE9" w:rsidRDefault="002F5B1A" w:rsidP="00B44E08">
      <w:pPr>
        <w:ind w:right="84"/>
        <w:rPr>
          <w:szCs w:val="24"/>
        </w:rPr>
      </w:pPr>
      <w:r w:rsidRPr="00B52CE9">
        <w:rPr>
          <w:szCs w:val="24"/>
        </w:rPr>
        <w:t>Under Stage Four, new</w:t>
      </w:r>
      <w:r w:rsidR="00D256A6" w:rsidRPr="00B52CE9">
        <w:rPr>
          <w:szCs w:val="24"/>
        </w:rPr>
        <w:t xml:space="preserve"> telehealth and phone consultations items will be listed for the following services:</w:t>
      </w:r>
    </w:p>
    <w:p w14:paraId="4E52FB28" w14:textId="291AD98B" w:rsidR="00D256A6" w:rsidRPr="00B52CE9" w:rsidRDefault="0064465A" w:rsidP="000929C8">
      <w:pPr>
        <w:pStyle w:val="ListParagraph"/>
        <w:numPr>
          <w:ilvl w:val="0"/>
          <w:numId w:val="11"/>
        </w:numPr>
        <w:ind w:right="84"/>
        <w:rPr>
          <w:szCs w:val="24"/>
        </w:rPr>
      </w:pPr>
      <w:r w:rsidRPr="00B52CE9">
        <w:rPr>
          <w:szCs w:val="24"/>
        </w:rPr>
        <w:t>t</w:t>
      </w:r>
      <w:r w:rsidR="0092237D" w:rsidRPr="00B52CE9">
        <w:rPr>
          <w:szCs w:val="24"/>
        </w:rPr>
        <w:t xml:space="preserve">he </w:t>
      </w:r>
      <w:r w:rsidR="00D256A6" w:rsidRPr="00B52CE9">
        <w:rPr>
          <w:szCs w:val="24"/>
        </w:rPr>
        <w:t>provision of health assessments;</w:t>
      </w:r>
      <w:r w:rsidR="0092237D" w:rsidRPr="00B52CE9">
        <w:rPr>
          <w:szCs w:val="24"/>
        </w:rPr>
        <w:t xml:space="preserve"> GP</w:t>
      </w:r>
      <w:r w:rsidR="00D256A6" w:rsidRPr="00B52CE9">
        <w:rPr>
          <w:szCs w:val="24"/>
        </w:rPr>
        <w:t xml:space="preserve"> management plans, team care arrangements and multidisciplinary care plans</w:t>
      </w:r>
      <w:r w:rsidRPr="00B52CE9">
        <w:rPr>
          <w:szCs w:val="24"/>
        </w:rPr>
        <w:t>;</w:t>
      </w:r>
    </w:p>
    <w:p w14:paraId="0BE286C6" w14:textId="08675197" w:rsidR="00D256A6" w:rsidRPr="00B52CE9" w:rsidRDefault="00D256A6" w:rsidP="00D256A6">
      <w:pPr>
        <w:pStyle w:val="ListParagraph"/>
        <w:numPr>
          <w:ilvl w:val="0"/>
          <w:numId w:val="11"/>
        </w:numPr>
        <w:ind w:right="84"/>
        <w:rPr>
          <w:szCs w:val="24"/>
        </w:rPr>
      </w:pPr>
      <w:r w:rsidRPr="00B52CE9">
        <w:rPr>
          <w:szCs w:val="24"/>
        </w:rPr>
        <w:t>GP pregnancy support counselling services</w:t>
      </w:r>
      <w:r w:rsidR="0064465A" w:rsidRPr="00B52CE9">
        <w:rPr>
          <w:szCs w:val="24"/>
        </w:rPr>
        <w:t>;</w:t>
      </w:r>
    </w:p>
    <w:p w14:paraId="1C0E7716" w14:textId="01BC28E8" w:rsidR="002F5B1A" w:rsidRPr="00B52CE9" w:rsidRDefault="0064465A" w:rsidP="002F5B1A">
      <w:pPr>
        <w:pStyle w:val="ListParagraph"/>
        <w:numPr>
          <w:ilvl w:val="0"/>
          <w:numId w:val="11"/>
        </w:numPr>
        <w:ind w:right="84"/>
        <w:rPr>
          <w:szCs w:val="24"/>
        </w:rPr>
      </w:pPr>
      <w:r w:rsidRPr="00B52CE9">
        <w:rPr>
          <w:szCs w:val="24"/>
        </w:rPr>
        <w:t>t</w:t>
      </w:r>
      <w:r w:rsidR="002F5B1A" w:rsidRPr="00B52CE9">
        <w:rPr>
          <w:szCs w:val="24"/>
        </w:rPr>
        <w:t>he assessment and diagnosis for children with autism or another pervasive development disorder</w:t>
      </w:r>
      <w:r w:rsidRPr="00B52CE9">
        <w:rPr>
          <w:szCs w:val="24"/>
        </w:rPr>
        <w:t>;</w:t>
      </w:r>
    </w:p>
    <w:p w14:paraId="4423A20E" w14:textId="429EE167" w:rsidR="00D256A6" w:rsidRPr="00B52CE9" w:rsidRDefault="002F5B1A" w:rsidP="002F5B1A">
      <w:pPr>
        <w:pStyle w:val="ListParagraph"/>
        <w:numPr>
          <w:ilvl w:val="0"/>
          <w:numId w:val="11"/>
        </w:numPr>
        <w:ind w:right="84"/>
        <w:rPr>
          <w:szCs w:val="24"/>
        </w:rPr>
      </w:pPr>
      <w:r w:rsidRPr="00B52CE9">
        <w:rPr>
          <w:szCs w:val="24"/>
        </w:rPr>
        <w:t>GP mental health treatment plans</w:t>
      </w:r>
      <w:r w:rsidR="0064465A" w:rsidRPr="00B52CE9">
        <w:rPr>
          <w:szCs w:val="24"/>
        </w:rPr>
        <w:t>;</w:t>
      </w:r>
    </w:p>
    <w:p w14:paraId="7EE0B48E" w14:textId="13290740" w:rsidR="002F5B1A" w:rsidRPr="00B52CE9" w:rsidRDefault="0064465A" w:rsidP="002F5B1A">
      <w:pPr>
        <w:pStyle w:val="ListParagraph"/>
        <w:numPr>
          <w:ilvl w:val="0"/>
          <w:numId w:val="11"/>
        </w:numPr>
        <w:ind w:right="84"/>
        <w:rPr>
          <w:szCs w:val="24"/>
        </w:rPr>
      </w:pPr>
      <w:r w:rsidRPr="00B52CE9">
        <w:rPr>
          <w:szCs w:val="24"/>
        </w:rPr>
        <w:t>e</w:t>
      </w:r>
      <w:r w:rsidR="002F5B1A" w:rsidRPr="00B52CE9">
        <w:rPr>
          <w:szCs w:val="24"/>
        </w:rPr>
        <w:t>ating disorder treatment and management plans that can be provided by either a GP, or a consultant physician or psychiatrist</w:t>
      </w:r>
      <w:r w:rsidRPr="00B52CE9">
        <w:rPr>
          <w:szCs w:val="24"/>
        </w:rPr>
        <w:t>;</w:t>
      </w:r>
    </w:p>
    <w:p w14:paraId="47A81916" w14:textId="51BEC6E8" w:rsidR="002F5B1A" w:rsidRPr="00B52CE9" w:rsidRDefault="0064465A" w:rsidP="002F5B1A">
      <w:pPr>
        <w:pStyle w:val="ListParagraph"/>
        <w:numPr>
          <w:ilvl w:val="0"/>
          <w:numId w:val="11"/>
        </w:numPr>
        <w:ind w:right="84"/>
        <w:rPr>
          <w:szCs w:val="24"/>
        </w:rPr>
      </w:pPr>
      <w:r w:rsidRPr="00B52CE9">
        <w:rPr>
          <w:szCs w:val="24"/>
        </w:rPr>
        <w:t>t</w:t>
      </w:r>
      <w:r w:rsidR="002F5B1A" w:rsidRPr="00B52CE9">
        <w:rPr>
          <w:szCs w:val="24"/>
        </w:rPr>
        <w:t>he preparation of an eating disorder treatment plan and the review of an eating disorder treatment plan</w:t>
      </w:r>
      <w:r w:rsidRPr="00B52CE9">
        <w:rPr>
          <w:szCs w:val="24"/>
        </w:rPr>
        <w:t>;</w:t>
      </w:r>
    </w:p>
    <w:p w14:paraId="491D0D52" w14:textId="34F8E8A8" w:rsidR="002F5B1A" w:rsidRPr="00B52CE9" w:rsidRDefault="0064465A" w:rsidP="002F5B1A">
      <w:pPr>
        <w:pStyle w:val="ListParagraph"/>
        <w:numPr>
          <w:ilvl w:val="0"/>
          <w:numId w:val="11"/>
        </w:numPr>
        <w:ind w:right="84"/>
        <w:rPr>
          <w:szCs w:val="24"/>
        </w:rPr>
      </w:pPr>
      <w:r w:rsidRPr="00B52CE9">
        <w:rPr>
          <w:szCs w:val="24"/>
        </w:rPr>
        <w:t>t</w:t>
      </w:r>
      <w:r w:rsidR="002F5B1A" w:rsidRPr="00B52CE9">
        <w:rPr>
          <w:szCs w:val="24"/>
        </w:rPr>
        <w:t>he provision of an eating disorder psychological treatment service that can be provided by a general practitioner</w:t>
      </w:r>
      <w:r w:rsidRPr="00B52CE9">
        <w:rPr>
          <w:szCs w:val="24"/>
        </w:rPr>
        <w:t>; and</w:t>
      </w:r>
    </w:p>
    <w:p w14:paraId="0FC4D99A" w14:textId="4341B6B4" w:rsidR="002F5B1A" w:rsidRPr="00B52CE9" w:rsidRDefault="0064465A" w:rsidP="002F5B1A">
      <w:pPr>
        <w:pStyle w:val="ListParagraph"/>
        <w:numPr>
          <w:ilvl w:val="0"/>
          <w:numId w:val="11"/>
        </w:numPr>
        <w:ind w:right="84"/>
        <w:rPr>
          <w:szCs w:val="24"/>
        </w:rPr>
      </w:pPr>
      <w:proofErr w:type="gramStart"/>
      <w:r w:rsidRPr="00B52CE9">
        <w:rPr>
          <w:szCs w:val="24"/>
        </w:rPr>
        <w:lastRenderedPageBreak/>
        <w:t>u</w:t>
      </w:r>
      <w:r w:rsidR="002F5B1A" w:rsidRPr="00B52CE9">
        <w:rPr>
          <w:szCs w:val="24"/>
        </w:rPr>
        <w:t>rgent</w:t>
      </w:r>
      <w:proofErr w:type="gramEnd"/>
      <w:r w:rsidR="002F5B1A" w:rsidRPr="00B52CE9">
        <w:rPr>
          <w:szCs w:val="24"/>
        </w:rPr>
        <w:t xml:space="preserve"> after hours services in unsociable </w:t>
      </w:r>
      <w:r w:rsidR="00494EB9" w:rsidRPr="00B52CE9">
        <w:rPr>
          <w:szCs w:val="24"/>
        </w:rPr>
        <w:t>hours, which</w:t>
      </w:r>
      <w:r w:rsidR="002F5B1A" w:rsidRPr="00B52CE9">
        <w:rPr>
          <w:szCs w:val="24"/>
        </w:rPr>
        <w:t xml:space="preserve"> can be provided by general practitioners or another medical practitioner in general practice.</w:t>
      </w:r>
    </w:p>
    <w:p w14:paraId="62753D74" w14:textId="49729C96" w:rsidR="00D256A6" w:rsidRPr="00B52CE9" w:rsidRDefault="00D256A6" w:rsidP="00B44E08">
      <w:pPr>
        <w:ind w:right="84"/>
        <w:rPr>
          <w:szCs w:val="24"/>
        </w:rPr>
      </w:pPr>
    </w:p>
    <w:p w14:paraId="17F31BC4" w14:textId="092FE171" w:rsidR="002F5B1A" w:rsidRPr="00B52CE9" w:rsidRDefault="002F5B1A" w:rsidP="00B44E08">
      <w:pPr>
        <w:ind w:right="84"/>
        <w:rPr>
          <w:szCs w:val="24"/>
        </w:rPr>
      </w:pPr>
      <w:r w:rsidRPr="00B52CE9">
        <w:rPr>
          <w:szCs w:val="24"/>
        </w:rPr>
        <w:t xml:space="preserve">Stage Four will </w:t>
      </w:r>
      <w:r w:rsidR="0092237D" w:rsidRPr="00B52CE9">
        <w:rPr>
          <w:szCs w:val="24"/>
        </w:rPr>
        <w:t xml:space="preserve">also </w:t>
      </w:r>
      <w:r w:rsidRPr="00B52CE9">
        <w:rPr>
          <w:szCs w:val="24"/>
        </w:rPr>
        <w:t xml:space="preserve">expand the provision of telehealth and phone services </w:t>
      </w:r>
      <w:r w:rsidR="0092237D" w:rsidRPr="00B52CE9">
        <w:rPr>
          <w:szCs w:val="24"/>
        </w:rPr>
        <w:t xml:space="preserve">to enable </w:t>
      </w:r>
      <w:r w:rsidRPr="00B52CE9">
        <w:rPr>
          <w:szCs w:val="24"/>
        </w:rPr>
        <w:t>allied health professionals to provide the following services:</w:t>
      </w:r>
    </w:p>
    <w:p w14:paraId="06F79C58" w14:textId="2C3BFDF9" w:rsidR="002F5B1A" w:rsidRPr="00B52CE9" w:rsidRDefault="0064465A" w:rsidP="002F5B1A">
      <w:pPr>
        <w:pStyle w:val="ListParagraph"/>
        <w:numPr>
          <w:ilvl w:val="0"/>
          <w:numId w:val="12"/>
        </w:numPr>
        <w:ind w:right="84"/>
        <w:rPr>
          <w:szCs w:val="24"/>
        </w:rPr>
      </w:pPr>
      <w:r w:rsidRPr="00B52CE9">
        <w:rPr>
          <w:szCs w:val="24"/>
        </w:rPr>
        <w:t>p</w:t>
      </w:r>
      <w:r w:rsidR="002F5B1A" w:rsidRPr="00B52CE9">
        <w:rPr>
          <w:szCs w:val="24"/>
        </w:rPr>
        <w:t>sychological therap</w:t>
      </w:r>
      <w:r w:rsidR="0092237D" w:rsidRPr="00B52CE9">
        <w:rPr>
          <w:szCs w:val="24"/>
        </w:rPr>
        <w:t>y</w:t>
      </w:r>
      <w:r w:rsidR="002F5B1A" w:rsidRPr="00B52CE9">
        <w:rPr>
          <w:szCs w:val="24"/>
        </w:rPr>
        <w:t xml:space="preserve"> services which can be rendered by eligible clinical psychologists</w:t>
      </w:r>
      <w:r w:rsidRPr="00B52CE9">
        <w:rPr>
          <w:szCs w:val="24"/>
        </w:rPr>
        <w:t>;</w:t>
      </w:r>
    </w:p>
    <w:p w14:paraId="1BCFB355" w14:textId="6E3C2312" w:rsidR="002F5B1A" w:rsidRPr="00B52CE9" w:rsidRDefault="0064465A" w:rsidP="00B67914">
      <w:pPr>
        <w:pStyle w:val="ListParagraph"/>
        <w:numPr>
          <w:ilvl w:val="0"/>
          <w:numId w:val="12"/>
        </w:numPr>
        <w:ind w:right="84"/>
        <w:rPr>
          <w:szCs w:val="24"/>
        </w:rPr>
      </w:pPr>
      <w:r w:rsidRPr="00B52CE9">
        <w:rPr>
          <w:szCs w:val="24"/>
        </w:rPr>
        <w:t>f</w:t>
      </w:r>
      <w:r w:rsidR="002F5B1A" w:rsidRPr="00B52CE9">
        <w:rPr>
          <w:szCs w:val="24"/>
        </w:rPr>
        <w:t xml:space="preserve">ocussed psychological </w:t>
      </w:r>
      <w:r w:rsidR="0092237D" w:rsidRPr="00B52CE9">
        <w:rPr>
          <w:szCs w:val="24"/>
        </w:rPr>
        <w:t>strategy</w:t>
      </w:r>
      <w:r w:rsidR="002F5B1A" w:rsidRPr="00B52CE9">
        <w:rPr>
          <w:szCs w:val="24"/>
        </w:rPr>
        <w:t xml:space="preserve"> services which can be rendered by eligible clinical psychologists</w:t>
      </w:r>
      <w:r w:rsidR="008D15E7" w:rsidRPr="00B52CE9">
        <w:rPr>
          <w:szCs w:val="24"/>
        </w:rPr>
        <w:t xml:space="preserve">, </w:t>
      </w:r>
      <w:r w:rsidR="002F5B1A" w:rsidRPr="00B52CE9">
        <w:rPr>
          <w:szCs w:val="24"/>
        </w:rPr>
        <w:t>an occupational therapist</w:t>
      </w:r>
      <w:r w:rsidR="008D15E7" w:rsidRPr="00B52CE9">
        <w:rPr>
          <w:szCs w:val="24"/>
        </w:rPr>
        <w:t xml:space="preserve">, </w:t>
      </w:r>
      <w:r w:rsidR="002F5B1A" w:rsidRPr="00B52CE9">
        <w:rPr>
          <w:szCs w:val="24"/>
        </w:rPr>
        <w:t>an eligible social worker</w:t>
      </w:r>
      <w:r w:rsidRPr="00B52CE9">
        <w:rPr>
          <w:szCs w:val="24"/>
        </w:rPr>
        <w:t>;</w:t>
      </w:r>
    </w:p>
    <w:p w14:paraId="0A1F9687" w14:textId="1C827F6B" w:rsidR="002F5B1A" w:rsidRPr="00B52CE9" w:rsidRDefault="0064465A" w:rsidP="002F5B1A">
      <w:pPr>
        <w:pStyle w:val="ListParagraph"/>
        <w:numPr>
          <w:ilvl w:val="0"/>
          <w:numId w:val="12"/>
        </w:numPr>
        <w:ind w:right="84"/>
        <w:rPr>
          <w:szCs w:val="24"/>
        </w:rPr>
      </w:pPr>
      <w:r w:rsidRPr="00B52CE9">
        <w:rPr>
          <w:szCs w:val="24"/>
        </w:rPr>
        <w:t>a</w:t>
      </w:r>
      <w:r w:rsidR="002F5B1A" w:rsidRPr="00B52CE9">
        <w:rPr>
          <w:szCs w:val="24"/>
        </w:rPr>
        <w:t>llied health services which can be rendered by an eligible allied health practitioner</w:t>
      </w:r>
      <w:r w:rsidRPr="00B52CE9">
        <w:rPr>
          <w:szCs w:val="24"/>
        </w:rPr>
        <w:t>;</w:t>
      </w:r>
    </w:p>
    <w:p w14:paraId="78DE79ED" w14:textId="5C840151" w:rsidR="002F5B1A" w:rsidRPr="00B52CE9" w:rsidRDefault="0064465A" w:rsidP="002F5B1A">
      <w:pPr>
        <w:pStyle w:val="ListParagraph"/>
        <w:numPr>
          <w:ilvl w:val="0"/>
          <w:numId w:val="12"/>
        </w:numPr>
        <w:ind w:right="84"/>
        <w:rPr>
          <w:szCs w:val="24"/>
        </w:rPr>
      </w:pPr>
      <w:r w:rsidRPr="00B52CE9">
        <w:rPr>
          <w:szCs w:val="24"/>
        </w:rPr>
        <w:t>p</w:t>
      </w:r>
      <w:r w:rsidR="002F5B1A" w:rsidRPr="00B52CE9">
        <w:rPr>
          <w:szCs w:val="24"/>
        </w:rPr>
        <w:t xml:space="preserve">regnancy support counselling </w:t>
      </w:r>
      <w:r w:rsidR="00494EB9" w:rsidRPr="00B52CE9">
        <w:rPr>
          <w:szCs w:val="24"/>
        </w:rPr>
        <w:t>services, which</w:t>
      </w:r>
      <w:r w:rsidR="002F5B1A" w:rsidRPr="00B52CE9">
        <w:rPr>
          <w:szCs w:val="24"/>
        </w:rPr>
        <w:t xml:space="preserve"> can be rendered by an eligible psychologist, eligible social worker or eligible mental health nurse</w:t>
      </w:r>
      <w:r w:rsidRPr="00B52CE9">
        <w:rPr>
          <w:szCs w:val="24"/>
        </w:rPr>
        <w:t>;</w:t>
      </w:r>
    </w:p>
    <w:p w14:paraId="09F884D8" w14:textId="6237B3FE" w:rsidR="002F5B1A" w:rsidRPr="00B52CE9" w:rsidRDefault="0064465A" w:rsidP="002F5B1A">
      <w:pPr>
        <w:pStyle w:val="ListParagraph"/>
        <w:numPr>
          <w:ilvl w:val="0"/>
          <w:numId w:val="12"/>
        </w:numPr>
        <w:ind w:right="84"/>
        <w:rPr>
          <w:szCs w:val="24"/>
        </w:rPr>
      </w:pPr>
      <w:r w:rsidRPr="00B52CE9">
        <w:rPr>
          <w:szCs w:val="24"/>
        </w:rPr>
        <w:t>p</w:t>
      </w:r>
      <w:r w:rsidR="002F5B1A" w:rsidRPr="00B52CE9">
        <w:rPr>
          <w:szCs w:val="24"/>
        </w:rPr>
        <w:t xml:space="preserve">sychological health </w:t>
      </w:r>
      <w:r w:rsidR="00494EB9" w:rsidRPr="00B52CE9">
        <w:rPr>
          <w:szCs w:val="24"/>
        </w:rPr>
        <w:t>service, which</w:t>
      </w:r>
      <w:r w:rsidR="002F5B1A" w:rsidRPr="00B52CE9">
        <w:rPr>
          <w:szCs w:val="24"/>
        </w:rPr>
        <w:t xml:space="preserve"> can be rendered by an eligible psychologist</w:t>
      </w:r>
      <w:r w:rsidRPr="00B52CE9">
        <w:rPr>
          <w:szCs w:val="24"/>
        </w:rPr>
        <w:t>;</w:t>
      </w:r>
    </w:p>
    <w:p w14:paraId="1E0CFCCE" w14:textId="5A87E89C" w:rsidR="002F5B1A" w:rsidRPr="00B52CE9" w:rsidRDefault="0064465A" w:rsidP="002F5B1A">
      <w:pPr>
        <w:pStyle w:val="ListParagraph"/>
        <w:numPr>
          <w:ilvl w:val="0"/>
          <w:numId w:val="12"/>
        </w:numPr>
        <w:ind w:right="84"/>
        <w:rPr>
          <w:szCs w:val="24"/>
        </w:rPr>
      </w:pPr>
      <w:r w:rsidRPr="00B52CE9">
        <w:rPr>
          <w:szCs w:val="24"/>
        </w:rPr>
        <w:t>s</w:t>
      </w:r>
      <w:r w:rsidR="002F5B1A" w:rsidRPr="00B52CE9">
        <w:rPr>
          <w:szCs w:val="24"/>
        </w:rPr>
        <w:t xml:space="preserve">peech pathology, occupational therapy, audiology, optometry, </w:t>
      </w:r>
      <w:proofErr w:type="spellStart"/>
      <w:r w:rsidR="002F5B1A" w:rsidRPr="00B52CE9">
        <w:rPr>
          <w:szCs w:val="24"/>
        </w:rPr>
        <w:t>orthoptic</w:t>
      </w:r>
      <w:proofErr w:type="spellEnd"/>
      <w:r w:rsidR="002F5B1A" w:rsidRPr="00B52CE9">
        <w:rPr>
          <w:szCs w:val="24"/>
        </w:rPr>
        <w:t xml:space="preserve"> or physiotherapy health service</w:t>
      </w:r>
      <w:r w:rsidR="008D15E7" w:rsidRPr="00B52CE9">
        <w:rPr>
          <w:szCs w:val="24"/>
        </w:rPr>
        <w:t>s</w:t>
      </w:r>
      <w:r w:rsidR="002F5B1A" w:rsidRPr="00B52CE9">
        <w:rPr>
          <w:szCs w:val="24"/>
        </w:rPr>
        <w:t xml:space="preserve"> which can be rendered by an eligible speech pathologist, occupational therapist, audiologist, orthoptist or physiotherapist</w:t>
      </w:r>
      <w:r w:rsidRPr="00B52CE9">
        <w:rPr>
          <w:szCs w:val="24"/>
        </w:rPr>
        <w:t>;</w:t>
      </w:r>
    </w:p>
    <w:p w14:paraId="734B365C" w14:textId="3CEEC00D" w:rsidR="002F5B1A" w:rsidRPr="00B52CE9" w:rsidRDefault="0064465A" w:rsidP="002F5B1A">
      <w:pPr>
        <w:pStyle w:val="ListParagraph"/>
        <w:numPr>
          <w:ilvl w:val="0"/>
          <w:numId w:val="12"/>
        </w:numPr>
        <w:ind w:right="84"/>
        <w:rPr>
          <w:szCs w:val="24"/>
        </w:rPr>
      </w:pPr>
      <w:r w:rsidRPr="00B52CE9">
        <w:rPr>
          <w:szCs w:val="24"/>
        </w:rPr>
        <w:t>t</w:t>
      </w:r>
      <w:r w:rsidR="002F5B1A" w:rsidRPr="00B52CE9">
        <w:rPr>
          <w:szCs w:val="24"/>
        </w:rPr>
        <w:t xml:space="preserve">elehealth attendance </w:t>
      </w:r>
      <w:r w:rsidR="008D15E7" w:rsidRPr="00B52CE9">
        <w:rPr>
          <w:szCs w:val="24"/>
        </w:rPr>
        <w:t xml:space="preserve">services for a </w:t>
      </w:r>
      <w:r w:rsidR="002F5B1A" w:rsidRPr="00B52CE9">
        <w:rPr>
          <w:szCs w:val="24"/>
        </w:rPr>
        <w:t xml:space="preserve">person of Aboriginal and Torres Strait Islander </w:t>
      </w:r>
      <w:r w:rsidR="00494EB9" w:rsidRPr="00B52CE9">
        <w:rPr>
          <w:szCs w:val="24"/>
        </w:rPr>
        <w:t>descent, which</w:t>
      </w:r>
      <w:r w:rsidR="002F5B1A" w:rsidRPr="00B52CE9">
        <w:rPr>
          <w:szCs w:val="24"/>
        </w:rPr>
        <w:t xml:space="preserve"> can be rendered by an eligible allied health practitioner</w:t>
      </w:r>
      <w:r w:rsidRPr="00B52CE9">
        <w:rPr>
          <w:szCs w:val="24"/>
        </w:rPr>
        <w:t>;</w:t>
      </w:r>
    </w:p>
    <w:p w14:paraId="27716B39" w14:textId="3E16FE63" w:rsidR="002F5B1A" w:rsidRPr="00B52CE9" w:rsidRDefault="0064465A" w:rsidP="002F5B1A">
      <w:pPr>
        <w:pStyle w:val="ListParagraph"/>
        <w:numPr>
          <w:ilvl w:val="0"/>
          <w:numId w:val="12"/>
        </w:numPr>
        <w:ind w:right="84"/>
        <w:rPr>
          <w:szCs w:val="24"/>
        </w:rPr>
      </w:pPr>
      <w:r w:rsidRPr="00B52CE9">
        <w:rPr>
          <w:szCs w:val="24"/>
        </w:rPr>
        <w:t>e</w:t>
      </w:r>
      <w:r w:rsidR="002F5B1A" w:rsidRPr="00B52CE9">
        <w:rPr>
          <w:szCs w:val="24"/>
        </w:rPr>
        <w:t xml:space="preserve">ating disorder dietetics </w:t>
      </w:r>
      <w:r w:rsidR="00494EB9" w:rsidRPr="00B52CE9">
        <w:rPr>
          <w:szCs w:val="24"/>
        </w:rPr>
        <w:t>service, which</w:t>
      </w:r>
      <w:r w:rsidR="002F5B1A" w:rsidRPr="00B52CE9">
        <w:rPr>
          <w:szCs w:val="24"/>
        </w:rPr>
        <w:t xml:space="preserve"> can be rendered by an eligible dietitian</w:t>
      </w:r>
      <w:r w:rsidRPr="00B52CE9">
        <w:rPr>
          <w:szCs w:val="24"/>
        </w:rPr>
        <w:t>; and</w:t>
      </w:r>
    </w:p>
    <w:p w14:paraId="452B30AA" w14:textId="04AF3190" w:rsidR="002F5B1A" w:rsidRPr="00B52CE9" w:rsidRDefault="0064465A" w:rsidP="002F5B1A">
      <w:pPr>
        <w:pStyle w:val="ListParagraph"/>
        <w:numPr>
          <w:ilvl w:val="0"/>
          <w:numId w:val="12"/>
        </w:numPr>
        <w:ind w:right="84"/>
        <w:rPr>
          <w:szCs w:val="24"/>
        </w:rPr>
      </w:pPr>
      <w:proofErr w:type="gramStart"/>
      <w:r w:rsidRPr="00B52CE9">
        <w:rPr>
          <w:szCs w:val="24"/>
        </w:rPr>
        <w:t>e</w:t>
      </w:r>
      <w:r w:rsidR="0092237D" w:rsidRPr="00B52CE9">
        <w:rPr>
          <w:szCs w:val="24"/>
        </w:rPr>
        <w:t>ating</w:t>
      </w:r>
      <w:proofErr w:type="gramEnd"/>
      <w:r w:rsidR="002F5B1A" w:rsidRPr="00B52CE9">
        <w:rPr>
          <w:szCs w:val="24"/>
        </w:rPr>
        <w:t xml:space="preserve"> disorder psychological treatment services which can be rendered by an eligible clinical psychologist, an eligible occupational therap</w:t>
      </w:r>
      <w:r w:rsidRPr="00B52CE9">
        <w:rPr>
          <w:szCs w:val="24"/>
        </w:rPr>
        <w:t>ist, and eligible social worker.</w:t>
      </w:r>
    </w:p>
    <w:p w14:paraId="4CEE0640" w14:textId="1E533C7E" w:rsidR="002F5B1A" w:rsidRPr="00B52CE9" w:rsidRDefault="002F5B1A" w:rsidP="008D15E7">
      <w:pPr>
        <w:pStyle w:val="ListParagraph"/>
        <w:ind w:left="783" w:right="84"/>
        <w:rPr>
          <w:szCs w:val="24"/>
        </w:rPr>
      </w:pPr>
    </w:p>
    <w:p w14:paraId="3B4DEFF0" w14:textId="0915DE54" w:rsidR="003175A1" w:rsidRPr="00B52CE9" w:rsidRDefault="008F5F2C" w:rsidP="00231CD0">
      <w:r w:rsidRPr="00B52CE9">
        <w:t xml:space="preserve">The purpose of the </w:t>
      </w:r>
      <w:r w:rsidRPr="00B52CE9">
        <w:rPr>
          <w:i/>
        </w:rPr>
        <w:t xml:space="preserve">Health Insurance (Section 3C General Medical Services – </w:t>
      </w:r>
      <w:r w:rsidR="002C32A0" w:rsidRPr="00B52CE9">
        <w:rPr>
          <w:i/>
        </w:rPr>
        <w:t xml:space="preserve">COVID-19 </w:t>
      </w:r>
      <w:r w:rsidRPr="00B52CE9">
        <w:rPr>
          <w:i/>
        </w:rPr>
        <w:t xml:space="preserve"> Telehealth and Telephone Attendances) Determination 2020 </w:t>
      </w:r>
      <w:r w:rsidR="00DD2D6B" w:rsidRPr="00B52CE9">
        <w:t xml:space="preserve">(the Determination) </w:t>
      </w:r>
      <w:r w:rsidRPr="00B52CE9">
        <w:t xml:space="preserve">is to </w:t>
      </w:r>
      <w:r w:rsidR="0092237D" w:rsidRPr="00B52CE9">
        <w:t xml:space="preserve">repeal the </w:t>
      </w:r>
      <w:r w:rsidR="0092237D" w:rsidRPr="00B52CE9">
        <w:rPr>
          <w:i/>
        </w:rPr>
        <w:t xml:space="preserve">Health Insurance (Section 3C General Medical Services - </w:t>
      </w:r>
      <w:r w:rsidR="0092237D" w:rsidRPr="00B52CE9">
        <w:rPr>
          <w:i/>
        </w:rPr>
        <w:lastRenderedPageBreak/>
        <w:t>COVID-19 Services) Determination 2020</w:t>
      </w:r>
      <w:r w:rsidR="0092237D" w:rsidRPr="00B52CE9">
        <w:t xml:space="preserve"> to amend the </w:t>
      </w:r>
      <w:r w:rsidRPr="00B52CE9">
        <w:t>existing 92 items that currently prescribe the COVID-19 medical services to prescribe that all Australians can access these services</w:t>
      </w:r>
      <w:r w:rsidR="00DD2D6B" w:rsidRPr="00B52CE9">
        <w:t>,</w:t>
      </w:r>
      <w:r w:rsidR="0092237D" w:rsidRPr="00B52CE9">
        <w:t xml:space="preserve"> and to introduce the </w:t>
      </w:r>
      <w:r w:rsidR="009A00D2" w:rsidRPr="00B52CE9">
        <w:t>130</w:t>
      </w:r>
      <w:r w:rsidR="00DD2D6B" w:rsidRPr="00B52CE9">
        <w:t xml:space="preserve"> </w:t>
      </w:r>
      <w:r w:rsidR="0092237D" w:rsidRPr="00B52CE9">
        <w:t xml:space="preserve">new </w:t>
      </w:r>
      <w:r w:rsidR="00DD2D6B" w:rsidRPr="00B52CE9">
        <w:t xml:space="preserve">items for </w:t>
      </w:r>
      <w:r w:rsidR="00A447EE" w:rsidRPr="00B52CE9">
        <w:br/>
      </w:r>
      <w:r w:rsidR="0092237D" w:rsidRPr="00B52CE9">
        <w:t>COVID-19</w:t>
      </w:r>
      <w:r w:rsidR="00DD2D6B" w:rsidRPr="00B52CE9">
        <w:t xml:space="preserve"> health services for all Australians.</w:t>
      </w:r>
      <w:r w:rsidR="0092237D" w:rsidRPr="00B52CE9">
        <w:t xml:space="preserve"> </w:t>
      </w:r>
    </w:p>
    <w:p w14:paraId="063C2DB9" w14:textId="467AE1C6" w:rsidR="008F5F2C" w:rsidRPr="00B52CE9" w:rsidRDefault="008F5F2C" w:rsidP="00231CD0">
      <w:bookmarkStart w:id="0" w:name="_GoBack"/>
      <w:bookmarkEnd w:id="0"/>
    </w:p>
    <w:p w14:paraId="2412D131" w14:textId="6420F8BC" w:rsidR="001865F8" w:rsidRPr="00B52CE9" w:rsidRDefault="00A1739A" w:rsidP="008973B9">
      <w:pPr>
        <w:rPr>
          <w:rFonts w:ascii="Helvetica Neue" w:hAnsi="Helvetica Neue"/>
          <w:szCs w:val="24"/>
          <w:lang w:val="en-US"/>
        </w:rPr>
      </w:pPr>
      <w:r w:rsidRPr="00B52CE9">
        <w:rPr>
          <w:b/>
        </w:rPr>
        <w:t>Consultation</w:t>
      </w:r>
    </w:p>
    <w:p w14:paraId="46AB2F62" w14:textId="67AF1215" w:rsidR="008F5F2C" w:rsidRPr="00B52CE9" w:rsidRDefault="008F5F2C" w:rsidP="008F5F2C">
      <w:pPr>
        <w:rPr>
          <w:szCs w:val="24"/>
        </w:rPr>
      </w:pPr>
      <w:r w:rsidRPr="00B52CE9">
        <w:rPr>
          <w:szCs w:val="24"/>
        </w:rPr>
        <w:t>Consultation was undertaken with the Australian Medical Association, the Royal Australian College of General Practitioners, the Australian College of Rural and Remote Medicine and the Rural Doctors Association of Australia on Stage Four of the Government’s health care package to protect all Australians from the coronavirus (COVID-19).</w:t>
      </w:r>
      <w:r w:rsidR="00A447EE" w:rsidRPr="00B52CE9">
        <w:rPr>
          <w:szCs w:val="24"/>
        </w:rPr>
        <w:t xml:space="preserve"> Stage 4 was broadly supported to further support Australians during the COVID-19 health emergency.</w:t>
      </w:r>
    </w:p>
    <w:p w14:paraId="593F46E7" w14:textId="77777777" w:rsidR="00A447EE" w:rsidRPr="00B52CE9" w:rsidRDefault="00A447EE" w:rsidP="000337CB">
      <w:pPr>
        <w:rPr>
          <w:szCs w:val="24"/>
        </w:rPr>
      </w:pPr>
    </w:p>
    <w:p w14:paraId="2412D134" w14:textId="71C9794C" w:rsidR="00967E51" w:rsidRPr="00B52CE9" w:rsidRDefault="00A1739A" w:rsidP="000337CB">
      <w:pPr>
        <w:rPr>
          <w:szCs w:val="24"/>
        </w:rPr>
      </w:pPr>
      <w:r w:rsidRPr="00B52CE9">
        <w:rPr>
          <w:szCs w:val="24"/>
        </w:rPr>
        <w:t xml:space="preserve">Details of the </w:t>
      </w:r>
      <w:r w:rsidR="00574E71" w:rsidRPr="00B52CE9">
        <w:rPr>
          <w:szCs w:val="24"/>
        </w:rPr>
        <w:t>Determination</w:t>
      </w:r>
      <w:r w:rsidRPr="00B52CE9">
        <w:rPr>
          <w:szCs w:val="24"/>
        </w:rPr>
        <w:t xml:space="preserve"> are set out in the </w:t>
      </w:r>
      <w:r w:rsidRPr="00B52CE9">
        <w:rPr>
          <w:szCs w:val="24"/>
          <w:u w:val="single"/>
        </w:rPr>
        <w:t>Attachment</w:t>
      </w:r>
      <w:r w:rsidRPr="00B52CE9">
        <w:rPr>
          <w:szCs w:val="24"/>
        </w:rPr>
        <w:t>.</w:t>
      </w:r>
    </w:p>
    <w:p w14:paraId="07372F0D" w14:textId="77777777" w:rsidR="00234EDC" w:rsidRPr="00B52CE9" w:rsidRDefault="00234EDC" w:rsidP="00234EDC">
      <w:pPr>
        <w:autoSpaceDE w:val="0"/>
        <w:autoSpaceDN w:val="0"/>
        <w:adjustRightInd w:val="0"/>
        <w:rPr>
          <w:szCs w:val="24"/>
        </w:rPr>
      </w:pPr>
    </w:p>
    <w:p w14:paraId="2412D136" w14:textId="22BC1C4C" w:rsidR="00236DF2" w:rsidRPr="00B52CE9" w:rsidRDefault="008973B9" w:rsidP="00234EDC">
      <w:pPr>
        <w:autoSpaceDE w:val="0"/>
        <w:autoSpaceDN w:val="0"/>
        <w:adjustRightInd w:val="0"/>
        <w:rPr>
          <w:szCs w:val="24"/>
        </w:rPr>
      </w:pPr>
      <w:r w:rsidRPr="00B52CE9">
        <w:rPr>
          <w:szCs w:val="24"/>
        </w:rPr>
        <w:t xml:space="preserve">The Determination commences </w:t>
      </w:r>
      <w:r w:rsidR="008F5F2C" w:rsidRPr="00B52CE9">
        <w:rPr>
          <w:szCs w:val="24"/>
        </w:rPr>
        <w:t>on 30 March 2020 and will cease on 30 September 2020.</w:t>
      </w:r>
      <w:r w:rsidR="003B41FC" w:rsidRPr="00B52CE9">
        <w:rPr>
          <w:szCs w:val="24"/>
        </w:rPr>
        <w:t xml:space="preserve"> </w:t>
      </w:r>
    </w:p>
    <w:p w14:paraId="3A5D5C4F" w14:textId="77777777" w:rsidR="00C43D5A" w:rsidRPr="00B52CE9" w:rsidRDefault="00C43D5A" w:rsidP="00234EDC">
      <w:pPr>
        <w:autoSpaceDE w:val="0"/>
        <w:autoSpaceDN w:val="0"/>
        <w:adjustRightInd w:val="0"/>
        <w:rPr>
          <w:szCs w:val="24"/>
        </w:rPr>
      </w:pPr>
    </w:p>
    <w:p w14:paraId="2412D138" w14:textId="65B73875" w:rsidR="00574E71" w:rsidRPr="00B52CE9" w:rsidRDefault="0002728B" w:rsidP="00DE07E4">
      <w:pPr>
        <w:spacing w:after="200" w:line="276" w:lineRule="auto"/>
        <w:rPr>
          <w:szCs w:val="24"/>
        </w:rPr>
      </w:pPr>
      <w:r w:rsidRPr="00B52CE9">
        <w:rPr>
          <w:szCs w:val="24"/>
        </w:rPr>
        <w:t>T</w:t>
      </w:r>
      <w:r w:rsidR="00574E71" w:rsidRPr="00B52CE9">
        <w:rPr>
          <w:szCs w:val="24"/>
        </w:rPr>
        <w:t xml:space="preserve">he Determination is </w:t>
      </w:r>
      <w:r w:rsidR="004417A2" w:rsidRPr="00B52CE9">
        <w:rPr>
          <w:szCs w:val="24"/>
        </w:rPr>
        <w:t xml:space="preserve">a </w:t>
      </w:r>
      <w:r w:rsidR="00574E71" w:rsidRPr="00B52CE9">
        <w:rPr>
          <w:szCs w:val="24"/>
        </w:rPr>
        <w:t xml:space="preserve">legislative instrument for the purposes of the </w:t>
      </w:r>
      <w:r w:rsidR="00574E71" w:rsidRPr="00B52CE9">
        <w:rPr>
          <w:i/>
        </w:rPr>
        <w:t>Legislation Act 2003</w:t>
      </w:r>
      <w:r w:rsidR="00574E71" w:rsidRPr="00B52CE9">
        <w:rPr>
          <w:szCs w:val="24"/>
        </w:rPr>
        <w:t>.</w:t>
      </w:r>
    </w:p>
    <w:p w14:paraId="2412D139" w14:textId="77777777" w:rsidR="00A1739A" w:rsidRPr="00B52CE9" w:rsidRDefault="00A1739A" w:rsidP="000337CB">
      <w:pPr>
        <w:ind w:left="6663" w:hanging="3119"/>
        <w:rPr>
          <w:szCs w:val="24"/>
        </w:rPr>
      </w:pPr>
      <w:r w:rsidRPr="00B52CE9">
        <w:rPr>
          <w:szCs w:val="24"/>
        </w:rPr>
        <w:t xml:space="preserve">           </w:t>
      </w:r>
    </w:p>
    <w:p w14:paraId="2412D13A" w14:textId="77777777" w:rsidR="00A1739A" w:rsidRPr="00B52CE9" w:rsidRDefault="00A1739A" w:rsidP="000337CB">
      <w:pPr>
        <w:ind w:left="6663" w:hanging="3119"/>
        <w:rPr>
          <w:szCs w:val="24"/>
        </w:rPr>
      </w:pPr>
      <w:r w:rsidRPr="00B52CE9">
        <w:rPr>
          <w:szCs w:val="24"/>
          <w:u w:val="single"/>
        </w:rPr>
        <w:t>Authority</w:t>
      </w:r>
      <w:r w:rsidR="00967E51" w:rsidRPr="00B52CE9">
        <w:rPr>
          <w:szCs w:val="24"/>
        </w:rPr>
        <w:t xml:space="preserve">:     Subsection </w:t>
      </w:r>
      <w:proofErr w:type="gramStart"/>
      <w:r w:rsidRPr="00B52CE9">
        <w:rPr>
          <w:szCs w:val="24"/>
        </w:rPr>
        <w:t>3</w:t>
      </w:r>
      <w:r w:rsidR="00967E51" w:rsidRPr="00B52CE9">
        <w:rPr>
          <w:szCs w:val="24"/>
        </w:rPr>
        <w:t>C</w:t>
      </w:r>
      <w:r w:rsidRPr="00B52CE9">
        <w:rPr>
          <w:szCs w:val="24"/>
        </w:rPr>
        <w:t>(</w:t>
      </w:r>
      <w:proofErr w:type="gramEnd"/>
      <w:r w:rsidRPr="00B52CE9">
        <w:rPr>
          <w:szCs w:val="24"/>
        </w:rPr>
        <w:t xml:space="preserve">1) of the </w:t>
      </w:r>
    </w:p>
    <w:p w14:paraId="2412D13B" w14:textId="0596CD30" w:rsidR="00A1739A" w:rsidRPr="00B52CE9" w:rsidRDefault="00A1739A" w:rsidP="000337CB">
      <w:pPr>
        <w:tabs>
          <w:tab w:val="left" w:pos="4820"/>
        </w:tabs>
        <w:rPr>
          <w:szCs w:val="24"/>
        </w:rPr>
        <w:sectPr w:rsidR="00A1739A" w:rsidRPr="00B52CE9" w:rsidSect="00235B6C">
          <w:headerReference w:type="default" r:id="rId11"/>
          <w:pgSz w:w="11906" w:h="16838"/>
          <w:pgMar w:top="1440" w:right="1800" w:bottom="1135" w:left="1800" w:header="708" w:footer="708" w:gutter="0"/>
          <w:pgNumType w:start="1"/>
          <w:cols w:space="708"/>
          <w:docGrid w:linePitch="360"/>
        </w:sectPr>
      </w:pPr>
      <w:r w:rsidRPr="00B52CE9">
        <w:rPr>
          <w:i/>
          <w:szCs w:val="24"/>
        </w:rPr>
        <w:tab/>
        <w:t>Health Insurance Act 1973</w:t>
      </w:r>
    </w:p>
    <w:p w14:paraId="2412D13D" w14:textId="77777777" w:rsidR="006D5816" w:rsidRPr="00B52CE9" w:rsidRDefault="006D5816" w:rsidP="000337CB">
      <w:pPr>
        <w:pStyle w:val="BodyText"/>
        <w:jc w:val="right"/>
        <w:rPr>
          <w:szCs w:val="24"/>
        </w:rPr>
      </w:pPr>
      <w:r w:rsidRPr="00B52CE9">
        <w:rPr>
          <w:szCs w:val="24"/>
        </w:rPr>
        <w:lastRenderedPageBreak/>
        <w:t>ATTACHMENT</w:t>
      </w:r>
    </w:p>
    <w:p w14:paraId="2412D13E" w14:textId="77777777" w:rsidR="006D5816" w:rsidRPr="00B52CE9" w:rsidRDefault="006D5816" w:rsidP="000337CB">
      <w:pPr>
        <w:pStyle w:val="BodyText"/>
        <w:rPr>
          <w:szCs w:val="24"/>
          <w:u w:val="single"/>
        </w:rPr>
      </w:pPr>
    </w:p>
    <w:p w14:paraId="7BBEB147" w14:textId="42F5A98C" w:rsidR="00E70355" w:rsidRPr="00B52CE9" w:rsidRDefault="00A41364" w:rsidP="000337CB">
      <w:pPr>
        <w:pStyle w:val="BodyText"/>
        <w:rPr>
          <w:i/>
        </w:rPr>
      </w:pPr>
      <w:r w:rsidRPr="00B52CE9">
        <w:rPr>
          <w:szCs w:val="24"/>
        </w:rPr>
        <w:t xml:space="preserve">Details of the </w:t>
      </w:r>
      <w:r w:rsidR="008F5F2C" w:rsidRPr="00B52CE9">
        <w:rPr>
          <w:i/>
        </w:rPr>
        <w:t xml:space="preserve">Health Insurance (Section 3C General Medical Services </w:t>
      </w:r>
      <w:r w:rsidR="002C32A0" w:rsidRPr="00B52CE9">
        <w:rPr>
          <w:i/>
        </w:rPr>
        <w:t xml:space="preserve">– COVID-19 </w:t>
      </w:r>
      <w:r w:rsidR="008F5F2C" w:rsidRPr="00B52CE9">
        <w:rPr>
          <w:i/>
        </w:rPr>
        <w:t>Telehealth and Telephone Attendances) Determination 2020</w:t>
      </w:r>
    </w:p>
    <w:p w14:paraId="4BB6E138" w14:textId="77777777" w:rsidR="008F5F2C" w:rsidRPr="00B52CE9" w:rsidRDefault="008F5F2C" w:rsidP="000337CB">
      <w:pPr>
        <w:pStyle w:val="BodyText"/>
        <w:rPr>
          <w:b w:val="0"/>
          <w:i/>
          <w:szCs w:val="24"/>
        </w:rPr>
      </w:pPr>
    </w:p>
    <w:p w14:paraId="2412D141" w14:textId="7C34D5F4" w:rsidR="00FE02C2" w:rsidRPr="00B52CE9" w:rsidRDefault="001B0111" w:rsidP="000337CB">
      <w:pPr>
        <w:pStyle w:val="BodyText"/>
        <w:rPr>
          <w:b w:val="0"/>
          <w:szCs w:val="24"/>
          <w:u w:val="single"/>
        </w:rPr>
      </w:pPr>
      <w:r w:rsidRPr="00B52CE9">
        <w:rPr>
          <w:b w:val="0"/>
          <w:szCs w:val="24"/>
          <w:u w:val="single"/>
        </w:rPr>
        <w:t>Section 1 – Name</w:t>
      </w:r>
    </w:p>
    <w:p w14:paraId="2412D142" w14:textId="77777777" w:rsidR="00FE02C2" w:rsidRPr="00B52CE9" w:rsidRDefault="00FE02C2" w:rsidP="000337CB">
      <w:pPr>
        <w:pStyle w:val="BodyText"/>
        <w:rPr>
          <w:b w:val="0"/>
          <w:szCs w:val="24"/>
          <w:u w:val="single"/>
        </w:rPr>
      </w:pPr>
    </w:p>
    <w:p w14:paraId="2412D144" w14:textId="7FA6331A" w:rsidR="00F83B6F" w:rsidRPr="00B52CE9" w:rsidRDefault="00BC7397" w:rsidP="00C67BC7">
      <w:pPr>
        <w:pStyle w:val="BodyText"/>
        <w:rPr>
          <w:i/>
          <w:iCs/>
        </w:rPr>
      </w:pPr>
      <w:r w:rsidRPr="00B52CE9">
        <w:rPr>
          <w:b w:val="0"/>
          <w:szCs w:val="24"/>
        </w:rPr>
        <w:t>S</w:t>
      </w:r>
      <w:r w:rsidR="00FE02C2" w:rsidRPr="00B52CE9">
        <w:rPr>
          <w:b w:val="0"/>
          <w:szCs w:val="24"/>
        </w:rPr>
        <w:t xml:space="preserve">ection </w:t>
      </w:r>
      <w:r w:rsidRPr="00B52CE9">
        <w:rPr>
          <w:b w:val="0"/>
          <w:szCs w:val="24"/>
        </w:rPr>
        <w:t xml:space="preserve">1 </w:t>
      </w:r>
      <w:r w:rsidR="00FE02C2" w:rsidRPr="00B52CE9">
        <w:rPr>
          <w:b w:val="0"/>
          <w:szCs w:val="24"/>
        </w:rPr>
        <w:t>provides</w:t>
      </w:r>
      <w:r w:rsidR="008B683E" w:rsidRPr="00B52CE9">
        <w:rPr>
          <w:b w:val="0"/>
          <w:szCs w:val="24"/>
        </w:rPr>
        <w:t xml:space="preserve"> for the </w:t>
      </w:r>
      <w:r w:rsidR="008B2094" w:rsidRPr="00B52CE9">
        <w:rPr>
          <w:b w:val="0"/>
          <w:szCs w:val="24"/>
        </w:rPr>
        <w:t>Determination</w:t>
      </w:r>
      <w:r w:rsidR="00FE02C2" w:rsidRPr="00B52CE9">
        <w:rPr>
          <w:b w:val="0"/>
          <w:szCs w:val="24"/>
        </w:rPr>
        <w:t xml:space="preserve"> to be referred to as the </w:t>
      </w:r>
      <w:r w:rsidR="008F5F2C" w:rsidRPr="00B52CE9">
        <w:rPr>
          <w:b w:val="0"/>
          <w:i/>
        </w:rPr>
        <w:t xml:space="preserve">Health Insurance (Section 3C General Medical Services </w:t>
      </w:r>
      <w:r w:rsidR="002C32A0" w:rsidRPr="00B52CE9">
        <w:rPr>
          <w:b w:val="0"/>
          <w:i/>
        </w:rPr>
        <w:t xml:space="preserve">– COVID-19 </w:t>
      </w:r>
      <w:r w:rsidR="008F5F2C" w:rsidRPr="00B52CE9">
        <w:rPr>
          <w:b w:val="0"/>
          <w:i/>
        </w:rPr>
        <w:t>Telehealth and Telephone Attendances) Determination 2020.</w:t>
      </w:r>
    </w:p>
    <w:p w14:paraId="68DAA207" w14:textId="77777777" w:rsidR="00FD602D" w:rsidRPr="00B52CE9" w:rsidRDefault="00FD602D" w:rsidP="00FD602D"/>
    <w:p w14:paraId="49D1E050" w14:textId="77777777" w:rsidR="007A4089" w:rsidRPr="00B52CE9" w:rsidRDefault="00FE02C2" w:rsidP="000337CB">
      <w:pPr>
        <w:pStyle w:val="BodyText"/>
        <w:rPr>
          <w:b w:val="0"/>
          <w:szCs w:val="24"/>
          <w:u w:val="single"/>
        </w:rPr>
      </w:pPr>
      <w:r w:rsidRPr="00B52CE9">
        <w:rPr>
          <w:b w:val="0"/>
          <w:szCs w:val="24"/>
          <w:u w:val="single"/>
        </w:rPr>
        <w:t xml:space="preserve">Section 2 – Commencement </w:t>
      </w:r>
    </w:p>
    <w:p w14:paraId="2DCE2ED0" w14:textId="77777777" w:rsidR="007A4089" w:rsidRPr="00B52CE9" w:rsidRDefault="007A4089" w:rsidP="000337CB">
      <w:pPr>
        <w:pStyle w:val="BodyText"/>
        <w:rPr>
          <w:b w:val="0"/>
          <w:szCs w:val="24"/>
          <w:u w:val="single"/>
        </w:rPr>
      </w:pPr>
    </w:p>
    <w:p w14:paraId="16C03200" w14:textId="58059255" w:rsidR="007E0017" w:rsidRPr="00B52CE9" w:rsidRDefault="00013DAA" w:rsidP="000337CB">
      <w:pPr>
        <w:pStyle w:val="BodyText"/>
        <w:rPr>
          <w:b w:val="0"/>
          <w:szCs w:val="24"/>
        </w:rPr>
      </w:pPr>
      <w:r w:rsidRPr="00B52CE9">
        <w:rPr>
          <w:b w:val="0"/>
          <w:szCs w:val="24"/>
        </w:rPr>
        <w:t>Section 2 provides for t</w:t>
      </w:r>
      <w:r w:rsidR="00F820C0" w:rsidRPr="00B52CE9">
        <w:rPr>
          <w:b w:val="0"/>
          <w:szCs w:val="24"/>
        </w:rPr>
        <w:t xml:space="preserve">he Determination </w:t>
      </w:r>
      <w:r w:rsidRPr="00B52CE9">
        <w:rPr>
          <w:b w:val="0"/>
          <w:szCs w:val="24"/>
        </w:rPr>
        <w:t>to commence</w:t>
      </w:r>
      <w:r w:rsidR="00F820C0" w:rsidRPr="00B52CE9">
        <w:rPr>
          <w:b w:val="0"/>
          <w:szCs w:val="24"/>
        </w:rPr>
        <w:t xml:space="preserve"> </w:t>
      </w:r>
      <w:r w:rsidR="008F5F2C" w:rsidRPr="00B52CE9">
        <w:rPr>
          <w:b w:val="0"/>
          <w:szCs w:val="24"/>
        </w:rPr>
        <w:t>on 30 March 2020</w:t>
      </w:r>
      <w:r w:rsidR="00F820C0" w:rsidRPr="00B52CE9">
        <w:rPr>
          <w:b w:val="0"/>
          <w:i/>
          <w:szCs w:val="24"/>
        </w:rPr>
        <w:t>.</w:t>
      </w:r>
    </w:p>
    <w:p w14:paraId="52409296" w14:textId="77777777" w:rsidR="00F820C0" w:rsidRPr="00B52CE9" w:rsidRDefault="00F820C0" w:rsidP="000337CB">
      <w:pPr>
        <w:pStyle w:val="BodyText"/>
        <w:rPr>
          <w:b w:val="0"/>
          <w:szCs w:val="24"/>
        </w:rPr>
      </w:pPr>
    </w:p>
    <w:p w14:paraId="45985218" w14:textId="27508E9B" w:rsidR="008F5F2C" w:rsidRPr="00B52CE9" w:rsidRDefault="008F5F2C" w:rsidP="008F5F2C">
      <w:pPr>
        <w:pStyle w:val="BodyText"/>
        <w:rPr>
          <w:b w:val="0"/>
          <w:szCs w:val="24"/>
          <w:u w:val="single"/>
        </w:rPr>
      </w:pPr>
      <w:r w:rsidRPr="00B52CE9">
        <w:rPr>
          <w:b w:val="0"/>
          <w:szCs w:val="24"/>
          <w:u w:val="single"/>
        </w:rPr>
        <w:t>Section 3 – Authority</w:t>
      </w:r>
    </w:p>
    <w:p w14:paraId="7F923CB4" w14:textId="77777777" w:rsidR="008F5F2C" w:rsidRPr="00B52CE9" w:rsidRDefault="008F5F2C" w:rsidP="008F5F2C">
      <w:pPr>
        <w:pStyle w:val="BodyText"/>
        <w:rPr>
          <w:b w:val="0"/>
          <w:szCs w:val="24"/>
          <w:u w:val="single"/>
        </w:rPr>
      </w:pPr>
    </w:p>
    <w:p w14:paraId="282FCB5D" w14:textId="265D9F6B" w:rsidR="008F5F2C" w:rsidRPr="00B52CE9" w:rsidRDefault="008F5F2C" w:rsidP="008F5F2C">
      <w:pPr>
        <w:pStyle w:val="BodyText"/>
        <w:rPr>
          <w:b w:val="0"/>
        </w:rPr>
      </w:pPr>
      <w:r w:rsidRPr="00B52CE9">
        <w:rPr>
          <w:b w:val="0"/>
        </w:rPr>
        <w:t xml:space="preserve">Section 3 provides that the </w:t>
      </w:r>
      <w:r w:rsidRPr="00B52CE9">
        <w:rPr>
          <w:b w:val="0"/>
          <w:szCs w:val="24"/>
        </w:rPr>
        <w:t xml:space="preserve">Determination </w:t>
      </w:r>
      <w:r w:rsidRPr="00B52CE9">
        <w:rPr>
          <w:b w:val="0"/>
        </w:rPr>
        <w:t xml:space="preserve">is made under subsection </w:t>
      </w:r>
      <w:proofErr w:type="gramStart"/>
      <w:r w:rsidRPr="00B52CE9">
        <w:rPr>
          <w:b w:val="0"/>
        </w:rPr>
        <w:t>3C(</w:t>
      </w:r>
      <w:proofErr w:type="gramEnd"/>
      <w:r w:rsidRPr="00B52CE9">
        <w:rPr>
          <w:b w:val="0"/>
        </w:rPr>
        <w:t xml:space="preserve">1) of the </w:t>
      </w:r>
      <w:r w:rsidRPr="00B52CE9">
        <w:rPr>
          <w:b w:val="0"/>
          <w:i/>
        </w:rPr>
        <w:t>Health Insurance Act 1973</w:t>
      </w:r>
      <w:r w:rsidRPr="00B52CE9">
        <w:rPr>
          <w:b w:val="0"/>
        </w:rPr>
        <w:t>.</w:t>
      </w:r>
    </w:p>
    <w:p w14:paraId="47FFBFC4" w14:textId="77777777" w:rsidR="008F5F2C" w:rsidRPr="00B52CE9" w:rsidRDefault="008F5F2C" w:rsidP="00CA091B">
      <w:pPr>
        <w:pStyle w:val="BodyText"/>
        <w:rPr>
          <w:b w:val="0"/>
          <w:szCs w:val="24"/>
          <w:u w:val="single"/>
        </w:rPr>
      </w:pPr>
    </w:p>
    <w:p w14:paraId="17F8C19C" w14:textId="5B8A9AE7" w:rsidR="00CA091B" w:rsidRPr="00B52CE9" w:rsidRDefault="00CA091B" w:rsidP="00CA091B">
      <w:pPr>
        <w:pStyle w:val="BodyText"/>
        <w:rPr>
          <w:b w:val="0"/>
          <w:szCs w:val="24"/>
          <w:u w:val="single"/>
        </w:rPr>
      </w:pPr>
      <w:r w:rsidRPr="00B52CE9">
        <w:rPr>
          <w:b w:val="0"/>
          <w:szCs w:val="24"/>
          <w:u w:val="single"/>
        </w:rPr>
        <w:t xml:space="preserve">Section </w:t>
      </w:r>
      <w:r w:rsidR="008F5F2C" w:rsidRPr="00B52CE9">
        <w:rPr>
          <w:b w:val="0"/>
          <w:szCs w:val="24"/>
          <w:u w:val="single"/>
        </w:rPr>
        <w:t>4</w:t>
      </w:r>
      <w:r w:rsidRPr="00B52CE9">
        <w:rPr>
          <w:b w:val="0"/>
          <w:szCs w:val="24"/>
          <w:u w:val="single"/>
        </w:rPr>
        <w:t xml:space="preserve"> – Cessation</w:t>
      </w:r>
    </w:p>
    <w:p w14:paraId="3D2845AE" w14:textId="77777777" w:rsidR="00CA091B" w:rsidRPr="00B52CE9" w:rsidRDefault="00CA091B" w:rsidP="00CA091B">
      <w:pPr>
        <w:pStyle w:val="BodyText"/>
        <w:rPr>
          <w:b w:val="0"/>
          <w:szCs w:val="24"/>
          <w:u w:val="single"/>
        </w:rPr>
      </w:pPr>
    </w:p>
    <w:p w14:paraId="38758745" w14:textId="73FCFF70" w:rsidR="00CA091B" w:rsidRPr="00B52CE9" w:rsidRDefault="00CA091B" w:rsidP="000337CB">
      <w:pPr>
        <w:pStyle w:val="BodyText"/>
        <w:rPr>
          <w:b w:val="0"/>
          <w:szCs w:val="24"/>
          <w:u w:val="single"/>
        </w:rPr>
      </w:pPr>
      <w:r w:rsidRPr="00B52CE9">
        <w:rPr>
          <w:b w:val="0"/>
        </w:rPr>
        <w:t xml:space="preserve">Section </w:t>
      </w:r>
      <w:r w:rsidR="008F5F2C" w:rsidRPr="00B52CE9">
        <w:rPr>
          <w:b w:val="0"/>
        </w:rPr>
        <w:t>4</w:t>
      </w:r>
      <w:r w:rsidRPr="00B52CE9">
        <w:rPr>
          <w:b w:val="0"/>
        </w:rPr>
        <w:t xml:space="preserve"> provides that the Determination will cease on 30 September 2020, unless earlier revoked.</w:t>
      </w:r>
    </w:p>
    <w:p w14:paraId="012BC20D" w14:textId="77777777" w:rsidR="00B7231A" w:rsidRPr="00B52CE9" w:rsidRDefault="00B7231A" w:rsidP="000337CB">
      <w:pPr>
        <w:pStyle w:val="BodyText"/>
        <w:rPr>
          <w:b w:val="0"/>
          <w:szCs w:val="24"/>
          <w:u w:val="single"/>
        </w:rPr>
      </w:pPr>
    </w:p>
    <w:p w14:paraId="20CBF84A" w14:textId="2319E2DB" w:rsidR="00C63FDC" w:rsidRPr="00B52CE9" w:rsidRDefault="00BB7ABA" w:rsidP="00C63FDC">
      <w:pPr>
        <w:pStyle w:val="BodyText"/>
        <w:rPr>
          <w:b w:val="0"/>
          <w:szCs w:val="24"/>
          <w:u w:val="single"/>
        </w:rPr>
      </w:pPr>
      <w:r w:rsidRPr="00B52CE9">
        <w:rPr>
          <w:b w:val="0"/>
          <w:szCs w:val="24"/>
          <w:u w:val="single"/>
        </w:rPr>
        <w:t xml:space="preserve">Section </w:t>
      </w:r>
      <w:r w:rsidR="00E97059" w:rsidRPr="00B52CE9">
        <w:rPr>
          <w:b w:val="0"/>
          <w:szCs w:val="24"/>
          <w:u w:val="single"/>
        </w:rPr>
        <w:t>5</w:t>
      </w:r>
      <w:r w:rsidR="00C63FDC" w:rsidRPr="00B52CE9">
        <w:rPr>
          <w:b w:val="0"/>
          <w:szCs w:val="24"/>
          <w:u w:val="single"/>
        </w:rPr>
        <w:t xml:space="preserve"> – </w:t>
      </w:r>
      <w:r w:rsidR="00CA091B" w:rsidRPr="00B52CE9">
        <w:rPr>
          <w:b w:val="0"/>
          <w:szCs w:val="24"/>
          <w:u w:val="single"/>
        </w:rPr>
        <w:t>Definitions</w:t>
      </w:r>
    </w:p>
    <w:p w14:paraId="4C010161" w14:textId="77777777" w:rsidR="00C63FDC" w:rsidRPr="00B52CE9" w:rsidRDefault="00C63FDC" w:rsidP="00C63FDC">
      <w:pPr>
        <w:pStyle w:val="BodyText"/>
        <w:rPr>
          <w:b w:val="0"/>
          <w:szCs w:val="24"/>
          <w:u w:val="single"/>
        </w:rPr>
      </w:pPr>
    </w:p>
    <w:p w14:paraId="5D9EBF8D" w14:textId="0DE95123" w:rsidR="00C63FDC" w:rsidRPr="00B52CE9" w:rsidRDefault="00BB7ABA" w:rsidP="00C63FDC">
      <w:pPr>
        <w:pStyle w:val="BodyText"/>
        <w:rPr>
          <w:b w:val="0"/>
          <w:szCs w:val="24"/>
        </w:rPr>
      </w:pPr>
      <w:r w:rsidRPr="00B52CE9">
        <w:rPr>
          <w:b w:val="0"/>
          <w:szCs w:val="24"/>
        </w:rPr>
        <w:t xml:space="preserve">Section </w:t>
      </w:r>
      <w:r w:rsidR="00E97059" w:rsidRPr="00B52CE9">
        <w:rPr>
          <w:b w:val="0"/>
          <w:szCs w:val="24"/>
        </w:rPr>
        <w:t>5</w:t>
      </w:r>
      <w:r w:rsidR="00CA091B" w:rsidRPr="00B52CE9">
        <w:rPr>
          <w:b w:val="0"/>
          <w:szCs w:val="24"/>
        </w:rPr>
        <w:t xml:space="preserve"> defines terms used in the Determination.</w:t>
      </w:r>
    </w:p>
    <w:p w14:paraId="0497325F" w14:textId="3B90CEEC" w:rsidR="000A16E0" w:rsidRPr="00B52CE9" w:rsidRDefault="000A16E0" w:rsidP="00C63FDC">
      <w:pPr>
        <w:pStyle w:val="BodyText"/>
        <w:rPr>
          <w:b w:val="0"/>
          <w:szCs w:val="24"/>
        </w:rPr>
      </w:pPr>
    </w:p>
    <w:p w14:paraId="1B897613" w14:textId="1FEBA101" w:rsidR="002C32A0" w:rsidRPr="00B52CE9" w:rsidRDefault="002C32A0" w:rsidP="00A14FBC">
      <w:pPr>
        <w:pStyle w:val="BodyText"/>
        <w:rPr>
          <w:b w:val="0"/>
          <w:szCs w:val="24"/>
          <w:u w:val="single"/>
        </w:rPr>
      </w:pPr>
      <w:r w:rsidRPr="00B52CE9">
        <w:rPr>
          <w:b w:val="0"/>
          <w:szCs w:val="24"/>
          <w:u w:val="single"/>
        </w:rPr>
        <w:t>Section 6 – Schedules</w:t>
      </w:r>
    </w:p>
    <w:p w14:paraId="234B62D2" w14:textId="7D7A9FA0" w:rsidR="002C32A0" w:rsidRPr="00B52CE9" w:rsidRDefault="002C32A0" w:rsidP="00A14FBC">
      <w:pPr>
        <w:pStyle w:val="BodyText"/>
        <w:rPr>
          <w:b w:val="0"/>
          <w:szCs w:val="24"/>
          <w:u w:val="single"/>
        </w:rPr>
      </w:pPr>
    </w:p>
    <w:p w14:paraId="644AB6A8" w14:textId="4C30BB2F" w:rsidR="002C32A0" w:rsidRPr="00B52CE9" w:rsidRDefault="002C32A0" w:rsidP="00A14FBC">
      <w:pPr>
        <w:pStyle w:val="BodyText"/>
        <w:rPr>
          <w:b w:val="0"/>
          <w:szCs w:val="24"/>
        </w:rPr>
      </w:pPr>
      <w:r w:rsidRPr="00B52CE9">
        <w:rPr>
          <w:b w:val="0"/>
          <w:szCs w:val="24"/>
        </w:rPr>
        <w:t>Section 6 provides that each instrument that is specified in a Schedule to this Determination is amended or repealed as set out in the applicable items in the Schedule concerned, and any other item in a Schedule to this Determination has effect according to its terms.</w:t>
      </w:r>
    </w:p>
    <w:p w14:paraId="084FA20F" w14:textId="77777777" w:rsidR="002C32A0" w:rsidRPr="00B52CE9" w:rsidRDefault="002C32A0" w:rsidP="00A14FBC">
      <w:pPr>
        <w:pStyle w:val="BodyText"/>
        <w:rPr>
          <w:b w:val="0"/>
          <w:szCs w:val="24"/>
          <w:u w:val="single"/>
        </w:rPr>
      </w:pPr>
    </w:p>
    <w:p w14:paraId="6AAABC8C" w14:textId="7212625F" w:rsidR="00A14FBC" w:rsidRPr="00B52CE9" w:rsidRDefault="004903EF" w:rsidP="00A14FBC">
      <w:pPr>
        <w:pStyle w:val="BodyText"/>
        <w:rPr>
          <w:b w:val="0"/>
          <w:szCs w:val="24"/>
          <w:u w:val="single"/>
        </w:rPr>
      </w:pPr>
      <w:r w:rsidRPr="00B52CE9">
        <w:rPr>
          <w:b w:val="0"/>
          <w:szCs w:val="24"/>
          <w:u w:val="single"/>
        </w:rPr>
        <w:t xml:space="preserve">Section </w:t>
      </w:r>
      <w:r w:rsidR="002C32A0" w:rsidRPr="00B52CE9">
        <w:rPr>
          <w:b w:val="0"/>
          <w:szCs w:val="24"/>
          <w:u w:val="single"/>
        </w:rPr>
        <w:t>7</w:t>
      </w:r>
      <w:r w:rsidR="00A14FBC" w:rsidRPr="00B52CE9">
        <w:rPr>
          <w:b w:val="0"/>
          <w:szCs w:val="24"/>
          <w:u w:val="single"/>
        </w:rPr>
        <w:t xml:space="preserve"> – </w:t>
      </w:r>
      <w:r w:rsidR="00A14FBC" w:rsidRPr="00B52CE9">
        <w:rPr>
          <w:b w:val="0"/>
          <w:bCs/>
          <w:szCs w:val="24"/>
          <w:u w:val="single"/>
        </w:rPr>
        <w:t>Treatment of relevant services</w:t>
      </w:r>
    </w:p>
    <w:p w14:paraId="14CAF265" w14:textId="1774D7BA" w:rsidR="00A14FBC" w:rsidRPr="00B52CE9" w:rsidRDefault="00A14FBC" w:rsidP="00404F11">
      <w:pPr>
        <w:pStyle w:val="BodyText"/>
        <w:rPr>
          <w:b w:val="0"/>
          <w:szCs w:val="24"/>
        </w:rPr>
      </w:pPr>
    </w:p>
    <w:p w14:paraId="7884B589" w14:textId="47588649" w:rsidR="00A14FBC" w:rsidRPr="00B52CE9" w:rsidRDefault="004903EF" w:rsidP="00404F11">
      <w:pPr>
        <w:pStyle w:val="BodyText"/>
        <w:rPr>
          <w:b w:val="0"/>
          <w:szCs w:val="24"/>
        </w:rPr>
      </w:pPr>
      <w:r w:rsidRPr="00B52CE9">
        <w:rPr>
          <w:b w:val="0"/>
          <w:szCs w:val="24"/>
        </w:rPr>
        <w:t xml:space="preserve">Section </w:t>
      </w:r>
      <w:r w:rsidR="002C32A0" w:rsidRPr="00B52CE9">
        <w:rPr>
          <w:b w:val="0"/>
          <w:szCs w:val="24"/>
        </w:rPr>
        <w:t>7</w:t>
      </w:r>
      <w:r w:rsidR="00A14FBC" w:rsidRPr="00B52CE9">
        <w:rPr>
          <w:b w:val="0"/>
          <w:szCs w:val="24"/>
        </w:rPr>
        <w:t xml:space="preserve"> provides that a clinically relevant service provided in accordance with the Determination shall be treated, for relevant provisions of the </w:t>
      </w:r>
      <w:r w:rsidR="00A14FBC" w:rsidRPr="00B52CE9">
        <w:rPr>
          <w:b w:val="0"/>
          <w:i/>
          <w:szCs w:val="24"/>
        </w:rPr>
        <w:t>Health Insurance Act 1973</w:t>
      </w:r>
      <w:r w:rsidR="00A14FBC" w:rsidRPr="00B52CE9">
        <w:rPr>
          <w:b w:val="0"/>
          <w:szCs w:val="24"/>
        </w:rPr>
        <w:t xml:space="preserve"> and </w:t>
      </w:r>
      <w:r w:rsidR="00A14FBC" w:rsidRPr="00B52CE9">
        <w:rPr>
          <w:b w:val="0"/>
          <w:i/>
          <w:szCs w:val="24"/>
        </w:rPr>
        <w:t>National Health Act 1953</w:t>
      </w:r>
      <w:r w:rsidR="00A14FBC" w:rsidRPr="00B52CE9">
        <w:rPr>
          <w:b w:val="0"/>
          <w:szCs w:val="24"/>
        </w:rPr>
        <w:t>, and regulations made under those Acts, as if it were both a professional service and a medical service and as if there were an item specified in the Table for the service.</w:t>
      </w:r>
    </w:p>
    <w:p w14:paraId="4A7541FA" w14:textId="2527C079" w:rsidR="00A14FBC" w:rsidRPr="00B52CE9" w:rsidRDefault="00A14FBC" w:rsidP="00404F11">
      <w:pPr>
        <w:pStyle w:val="BodyText"/>
        <w:rPr>
          <w:b w:val="0"/>
          <w:szCs w:val="24"/>
        </w:rPr>
      </w:pPr>
    </w:p>
    <w:p w14:paraId="09A98773" w14:textId="3529923F" w:rsidR="00B7231A" w:rsidRPr="00B52CE9" w:rsidRDefault="001161AA" w:rsidP="00B7231A">
      <w:pPr>
        <w:pStyle w:val="BodyText"/>
        <w:rPr>
          <w:b w:val="0"/>
          <w:bCs/>
          <w:szCs w:val="24"/>
          <w:u w:val="single"/>
        </w:rPr>
      </w:pPr>
      <w:r w:rsidRPr="00B52CE9">
        <w:rPr>
          <w:b w:val="0"/>
          <w:szCs w:val="24"/>
          <w:u w:val="single"/>
        </w:rPr>
        <w:t>Part 2</w:t>
      </w:r>
      <w:r w:rsidR="00B7231A" w:rsidRPr="00B52CE9">
        <w:rPr>
          <w:b w:val="0"/>
          <w:szCs w:val="24"/>
          <w:u w:val="single"/>
        </w:rPr>
        <w:t xml:space="preserve"> – </w:t>
      </w:r>
      <w:r w:rsidR="00B7231A" w:rsidRPr="00B52CE9">
        <w:rPr>
          <w:b w:val="0"/>
          <w:bCs/>
          <w:szCs w:val="24"/>
          <w:u w:val="single"/>
        </w:rPr>
        <w:t xml:space="preserve">Application of items </w:t>
      </w:r>
    </w:p>
    <w:p w14:paraId="16DC5B8C" w14:textId="7ED50E19" w:rsidR="001161AA" w:rsidRPr="00B52CE9" w:rsidRDefault="001161AA" w:rsidP="00B7231A">
      <w:pPr>
        <w:pStyle w:val="BodyText"/>
        <w:rPr>
          <w:b w:val="0"/>
          <w:bCs/>
          <w:szCs w:val="24"/>
          <w:u w:val="single"/>
        </w:rPr>
      </w:pPr>
    </w:p>
    <w:p w14:paraId="4E8AD07D" w14:textId="40693CC3" w:rsidR="001161AA" w:rsidRPr="00B52CE9" w:rsidRDefault="001161AA" w:rsidP="00B7231A">
      <w:pPr>
        <w:pStyle w:val="BodyText"/>
        <w:rPr>
          <w:b w:val="0"/>
          <w:bCs/>
          <w:szCs w:val="24"/>
          <w:u w:val="single"/>
        </w:rPr>
      </w:pPr>
      <w:r w:rsidRPr="00B52CE9">
        <w:rPr>
          <w:b w:val="0"/>
          <w:bCs/>
          <w:szCs w:val="24"/>
          <w:u w:val="single"/>
        </w:rPr>
        <w:t xml:space="preserve">Section </w:t>
      </w:r>
      <w:r w:rsidR="002C32A0" w:rsidRPr="00B52CE9">
        <w:rPr>
          <w:b w:val="0"/>
          <w:bCs/>
          <w:szCs w:val="24"/>
          <w:u w:val="single"/>
        </w:rPr>
        <w:t>8</w:t>
      </w:r>
      <w:r w:rsidRPr="00B52CE9">
        <w:rPr>
          <w:b w:val="0"/>
          <w:bCs/>
          <w:szCs w:val="24"/>
          <w:u w:val="single"/>
        </w:rPr>
        <w:t xml:space="preserve"> – Application of items – general </w:t>
      </w:r>
    </w:p>
    <w:p w14:paraId="0378FAEF" w14:textId="11661371" w:rsidR="00CE1180" w:rsidRPr="00B52CE9" w:rsidRDefault="00CE1180" w:rsidP="00B7231A">
      <w:pPr>
        <w:pStyle w:val="BodyText"/>
        <w:rPr>
          <w:b w:val="0"/>
          <w:bCs/>
          <w:szCs w:val="24"/>
          <w:u w:val="single"/>
        </w:rPr>
      </w:pPr>
    </w:p>
    <w:p w14:paraId="14049CB6" w14:textId="79EC4963" w:rsidR="00CE1180" w:rsidRPr="00B52CE9" w:rsidRDefault="002C32A0" w:rsidP="00B7231A">
      <w:pPr>
        <w:pStyle w:val="BodyText"/>
        <w:rPr>
          <w:b w:val="0"/>
          <w:bCs/>
          <w:szCs w:val="24"/>
        </w:rPr>
      </w:pPr>
      <w:r w:rsidRPr="00B52CE9">
        <w:rPr>
          <w:b w:val="0"/>
          <w:bCs/>
          <w:szCs w:val="24"/>
        </w:rPr>
        <w:t xml:space="preserve">Section 8 of Part 2 </w:t>
      </w:r>
      <w:r w:rsidR="00CE1180" w:rsidRPr="00B52CE9">
        <w:rPr>
          <w:b w:val="0"/>
          <w:bCs/>
          <w:szCs w:val="24"/>
        </w:rPr>
        <w:t>applies general application provisions.</w:t>
      </w:r>
    </w:p>
    <w:p w14:paraId="4C5F7A9B" w14:textId="0B96E4BC" w:rsidR="00CE1180" w:rsidRPr="00B52CE9" w:rsidRDefault="00CE1180" w:rsidP="00B7231A">
      <w:pPr>
        <w:pStyle w:val="BodyText"/>
        <w:rPr>
          <w:b w:val="0"/>
          <w:bCs/>
          <w:szCs w:val="24"/>
        </w:rPr>
      </w:pPr>
    </w:p>
    <w:p w14:paraId="36D1C083" w14:textId="018B297B" w:rsidR="00CE1180" w:rsidRPr="00B52CE9" w:rsidRDefault="00CE1180" w:rsidP="00B7231A">
      <w:pPr>
        <w:pStyle w:val="BodyText"/>
        <w:rPr>
          <w:b w:val="0"/>
          <w:szCs w:val="24"/>
        </w:rPr>
      </w:pPr>
      <w:r w:rsidRPr="00B52CE9">
        <w:rPr>
          <w:b w:val="0"/>
          <w:szCs w:val="24"/>
        </w:rPr>
        <w:t>Sub</w:t>
      </w:r>
      <w:r w:rsidR="003A5CBE" w:rsidRPr="00B52CE9">
        <w:rPr>
          <w:b w:val="0"/>
          <w:szCs w:val="24"/>
        </w:rPr>
        <w:t xml:space="preserve">section </w:t>
      </w:r>
      <w:r w:rsidR="002C32A0" w:rsidRPr="00B52CE9">
        <w:rPr>
          <w:b w:val="0"/>
          <w:szCs w:val="24"/>
        </w:rPr>
        <w:t>8</w:t>
      </w:r>
      <w:r w:rsidRPr="00B52CE9">
        <w:rPr>
          <w:b w:val="0"/>
          <w:szCs w:val="24"/>
        </w:rPr>
        <w:t xml:space="preserve">(1) requires that a service in the Determination does not apply if the patient is an “admitted patient”, as defined in section </w:t>
      </w:r>
      <w:r w:rsidR="008022BE" w:rsidRPr="00B52CE9">
        <w:rPr>
          <w:b w:val="0"/>
          <w:szCs w:val="24"/>
        </w:rPr>
        <w:t>4</w:t>
      </w:r>
      <w:r w:rsidRPr="00B52CE9">
        <w:rPr>
          <w:b w:val="0"/>
          <w:szCs w:val="24"/>
        </w:rPr>
        <w:t>.</w:t>
      </w:r>
    </w:p>
    <w:p w14:paraId="010FA360" w14:textId="50410AF2" w:rsidR="00B7231A" w:rsidRPr="00B52CE9" w:rsidRDefault="00B7231A" w:rsidP="00404F11">
      <w:pPr>
        <w:pStyle w:val="BodyText"/>
        <w:rPr>
          <w:b w:val="0"/>
          <w:szCs w:val="24"/>
        </w:rPr>
      </w:pPr>
    </w:p>
    <w:p w14:paraId="76B862DC" w14:textId="3009EAE5" w:rsidR="00971F31" w:rsidRPr="00B52CE9" w:rsidRDefault="003A5CBE" w:rsidP="00971F31">
      <w:pPr>
        <w:pStyle w:val="BodyText"/>
        <w:rPr>
          <w:b w:val="0"/>
          <w:szCs w:val="24"/>
        </w:rPr>
      </w:pPr>
      <w:r w:rsidRPr="00B52CE9">
        <w:rPr>
          <w:b w:val="0"/>
          <w:szCs w:val="24"/>
        </w:rPr>
        <w:t xml:space="preserve">Subsection </w:t>
      </w:r>
      <w:r w:rsidR="002C32A0" w:rsidRPr="00B52CE9">
        <w:rPr>
          <w:b w:val="0"/>
          <w:szCs w:val="24"/>
        </w:rPr>
        <w:t>8</w:t>
      </w:r>
      <w:r w:rsidR="00CE1180" w:rsidRPr="00B52CE9">
        <w:rPr>
          <w:b w:val="0"/>
          <w:szCs w:val="24"/>
        </w:rPr>
        <w:t xml:space="preserve">(2) </w:t>
      </w:r>
      <w:r w:rsidR="00971F31" w:rsidRPr="00B52CE9">
        <w:rPr>
          <w:b w:val="0"/>
          <w:szCs w:val="24"/>
        </w:rPr>
        <w:t>provide</w:t>
      </w:r>
      <w:r w:rsidR="00586B6A" w:rsidRPr="00B52CE9">
        <w:rPr>
          <w:b w:val="0"/>
          <w:szCs w:val="24"/>
        </w:rPr>
        <w:t>s</w:t>
      </w:r>
      <w:r w:rsidR="00971F31" w:rsidRPr="00B52CE9">
        <w:rPr>
          <w:b w:val="0"/>
          <w:szCs w:val="24"/>
        </w:rPr>
        <w:t xml:space="preserve"> that the specialist, consultant physician</w:t>
      </w:r>
      <w:r w:rsidR="00D13857" w:rsidRPr="00B52CE9">
        <w:rPr>
          <w:b w:val="0"/>
          <w:szCs w:val="24"/>
        </w:rPr>
        <w:t xml:space="preserve"> and</w:t>
      </w:r>
      <w:r w:rsidR="00971F31" w:rsidRPr="00B52CE9">
        <w:rPr>
          <w:b w:val="0"/>
          <w:szCs w:val="24"/>
        </w:rPr>
        <w:t xml:space="preserve"> consultant psychiatrist</w:t>
      </w:r>
      <w:r w:rsidRPr="00B52CE9">
        <w:rPr>
          <w:b w:val="0"/>
          <w:szCs w:val="24"/>
        </w:rPr>
        <w:t xml:space="preserve"> </w:t>
      </w:r>
      <w:r w:rsidR="00971F31" w:rsidRPr="00B52CE9">
        <w:rPr>
          <w:b w:val="0"/>
          <w:szCs w:val="24"/>
        </w:rPr>
        <w:t>items in Schedule 2</w:t>
      </w:r>
      <w:r w:rsidR="001B7A22" w:rsidRPr="00B52CE9">
        <w:rPr>
          <w:b w:val="0"/>
          <w:szCs w:val="24"/>
        </w:rPr>
        <w:t xml:space="preserve"> (other than items 91850, 91853, 91855 and 91857)</w:t>
      </w:r>
      <w:r w:rsidR="00971F31" w:rsidRPr="00B52CE9">
        <w:rPr>
          <w:b w:val="0"/>
          <w:szCs w:val="24"/>
        </w:rPr>
        <w:t xml:space="preserve"> shall be treated as if</w:t>
      </w:r>
      <w:r w:rsidR="00586B6A" w:rsidRPr="00B52CE9">
        <w:rPr>
          <w:b w:val="0"/>
          <w:szCs w:val="24"/>
        </w:rPr>
        <w:t xml:space="preserve"> they were specified in clause </w:t>
      </w:r>
      <w:r w:rsidR="00971F31" w:rsidRPr="00B52CE9">
        <w:rPr>
          <w:b w:val="0"/>
          <w:szCs w:val="24"/>
        </w:rPr>
        <w:t>1.2.2 of the general medical services table. Clause 1.2.2 provides that the specified item</w:t>
      </w:r>
      <w:r w:rsidR="0049514C" w:rsidRPr="00B52CE9">
        <w:rPr>
          <w:b w:val="0"/>
          <w:szCs w:val="24"/>
        </w:rPr>
        <w:t>s do</w:t>
      </w:r>
      <w:r w:rsidR="00971F31" w:rsidRPr="00B52CE9">
        <w:rPr>
          <w:b w:val="0"/>
          <w:szCs w:val="24"/>
        </w:rPr>
        <w:t xml:space="preserve"> not apply if the patient does not have a referral within the period of validity. </w:t>
      </w:r>
    </w:p>
    <w:p w14:paraId="09DFC80B" w14:textId="6FF89172" w:rsidR="00501134" w:rsidRPr="00B52CE9" w:rsidRDefault="00501134" w:rsidP="00501134">
      <w:pPr>
        <w:pStyle w:val="BodyText"/>
        <w:rPr>
          <w:b w:val="0"/>
          <w:szCs w:val="24"/>
        </w:rPr>
      </w:pPr>
    </w:p>
    <w:p w14:paraId="69AB16E0" w14:textId="64E42CC0" w:rsidR="00501134" w:rsidRPr="00B52CE9" w:rsidRDefault="003A5CBE" w:rsidP="00971F31">
      <w:pPr>
        <w:pStyle w:val="BodyText"/>
        <w:rPr>
          <w:b w:val="0"/>
          <w:szCs w:val="24"/>
        </w:rPr>
      </w:pPr>
      <w:r w:rsidRPr="00B52CE9">
        <w:rPr>
          <w:b w:val="0"/>
          <w:szCs w:val="24"/>
        </w:rPr>
        <w:t xml:space="preserve">Subsection </w:t>
      </w:r>
      <w:r w:rsidR="002C32A0" w:rsidRPr="00B52CE9">
        <w:rPr>
          <w:b w:val="0"/>
          <w:szCs w:val="24"/>
        </w:rPr>
        <w:t>8</w:t>
      </w:r>
      <w:r w:rsidR="00740DCC" w:rsidRPr="00B52CE9">
        <w:rPr>
          <w:b w:val="0"/>
          <w:szCs w:val="24"/>
        </w:rPr>
        <w:t>(3</w:t>
      </w:r>
      <w:r w:rsidR="00501134" w:rsidRPr="00B52CE9">
        <w:rPr>
          <w:b w:val="0"/>
          <w:szCs w:val="24"/>
        </w:rPr>
        <w:t xml:space="preserve">) provides that a patient cannot access the COVID-19 general practice focussed psychological strategy services (items Subgroup 3 </w:t>
      </w:r>
      <w:r w:rsidR="001C4A6B" w:rsidRPr="00B52CE9">
        <w:rPr>
          <w:b w:val="0"/>
          <w:szCs w:val="24"/>
        </w:rPr>
        <w:t>or</w:t>
      </w:r>
      <w:r w:rsidR="00501134" w:rsidRPr="00B52CE9">
        <w:rPr>
          <w:b w:val="0"/>
          <w:szCs w:val="24"/>
        </w:rPr>
        <w:t xml:space="preserve"> 10 of Group A40) or the </w:t>
      </w:r>
      <w:r w:rsidR="00EA5ED3" w:rsidRPr="00B52CE9">
        <w:rPr>
          <w:b w:val="0"/>
          <w:szCs w:val="24"/>
        </w:rPr>
        <w:t xml:space="preserve">allied mental health treatment items (Subgroups </w:t>
      </w:r>
      <w:r w:rsidR="00D13857" w:rsidRPr="00B52CE9">
        <w:rPr>
          <w:b w:val="0"/>
          <w:szCs w:val="24"/>
        </w:rPr>
        <w:t>1</w:t>
      </w:r>
      <w:r w:rsidR="00EA5ED3" w:rsidRPr="00B52CE9">
        <w:rPr>
          <w:b w:val="0"/>
          <w:szCs w:val="24"/>
        </w:rPr>
        <w:t xml:space="preserve"> to 4</w:t>
      </w:r>
      <w:r w:rsidR="00D13857" w:rsidRPr="00B52CE9">
        <w:rPr>
          <w:b w:val="0"/>
          <w:szCs w:val="24"/>
        </w:rPr>
        <w:t>, 6</w:t>
      </w:r>
      <w:r w:rsidR="00EA5ED3" w:rsidRPr="00B52CE9">
        <w:rPr>
          <w:b w:val="0"/>
          <w:szCs w:val="24"/>
        </w:rPr>
        <w:t xml:space="preserve"> to 9 of Group M18) if they have accessed more than 10 services through the Medicare Benefits Schedule Better Access initiative</w:t>
      </w:r>
      <w:r w:rsidR="007A0B95" w:rsidRPr="00B52CE9">
        <w:rPr>
          <w:b w:val="0"/>
          <w:szCs w:val="24"/>
        </w:rPr>
        <w:t xml:space="preserve"> in a calendar year</w:t>
      </w:r>
      <w:r w:rsidR="00EA5ED3" w:rsidRPr="00B52CE9">
        <w:rPr>
          <w:b w:val="0"/>
          <w:szCs w:val="24"/>
        </w:rPr>
        <w:t>.</w:t>
      </w:r>
    </w:p>
    <w:p w14:paraId="10D51B33" w14:textId="0A044047" w:rsidR="00924C5E" w:rsidRPr="00B52CE9" w:rsidRDefault="00924C5E" w:rsidP="00971F31">
      <w:pPr>
        <w:pStyle w:val="BodyText"/>
        <w:rPr>
          <w:b w:val="0"/>
          <w:szCs w:val="24"/>
        </w:rPr>
      </w:pPr>
    </w:p>
    <w:p w14:paraId="602290F9" w14:textId="6FF125B3" w:rsidR="00924C5E" w:rsidRPr="00B52CE9" w:rsidRDefault="00924C5E" w:rsidP="00971F31">
      <w:pPr>
        <w:pStyle w:val="BodyText"/>
        <w:rPr>
          <w:b w:val="0"/>
          <w:szCs w:val="24"/>
        </w:rPr>
      </w:pPr>
      <w:r w:rsidRPr="00B52CE9">
        <w:rPr>
          <w:b w:val="0"/>
          <w:szCs w:val="24"/>
        </w:rPr>
        <w:t xml:space="preserve">Subsection </w:t>
      </w:r>
      <w:r w:rsidR="002C32A0" w:rsidRPr="00B52CE9">
        <w:rPr>
          <w:b w:val="0"/>
          <w:szCs w:val="24"/>
        </w:rPr>
        <w:t>8</w:t>
      </w:r>
      <w:r w:rsidRPr="00B52CE9">
        <w:rPr>
          <w:b w:val="0"/>
          <w:szCs w:val="24"/>
        </w:rPr>
        <w:t>(4) provides</w:t>
      </w:r>
      <w:r w:rsidR="00AD1AB6" w:rsidRPr="00B52CE9">
        <w:rPr>
          <w:b w:val="0"/>
          <w:szCs w:val="24"/>
        </w:rPr>
        <w:t xml:space="preserve"> that the service</w:t>
      </w:r>
      <w:r w:rsidRPr="00B52CE9">
        <w:rPr>
          <w:b w:val="0"/>
          <w:szCs w:val="24"/>
        </w:rPr>
        <w:t xml:space="preserve"> </w:t>
      </w:r>
      <w:r w:rsidR="00AD1AB6" w:rsidRPr="00B52CE9">
        <w:rPr>
          <w:b w:val="0"/>
          <w:szCs w:val="24"/>
        </w:rPr>
        <w:t>can only be performed if the service is “bulk-billed”, as defined in section 4.</w:t>
      </w:r>
    </w:p>
    <w:p w14:paraId="11404A01" w14:textId="1FD1E01F" w:rsidR="00AD1AB6" w:rsidRPr="00B52CE9" w:rsidRDefault="00AD1AB6" w:rsidP="00971F31">
      <w:pPr>
        <w:pStyle w:val="BodyText"/>
        <w:rPr>
          <w:b w:val="0"/>
          <w:szCs w:val="24"/>
        </w:rPr>
      </w:pPr>
    </w:p>
    <w:p w14:paraId="518FBDC2" w14:textId="3A96A14B" w:rsidR="00AD1AB6" w:rsidRPr="00B52CE9" w:rsidRDefault="00AD1AB6" w:rsidP="00971F31">
      <w:pPr>
        <w:pStyle w:val="BodyText"/>
        <w:rPr>
          <w:b w:val="0"/>
          <w:szCs w:val="24"/>
        </w:rPr>
      </w:pPr>
      <w:r w:rsidRPr="00B52CE9">
        <w:rPr>
          <w:b w:val="0"/>
          <w:szCs w:val="24"/>
        </w:rPr>
        <w:t xml:space="preserve">Subsection 8(5) provides that the service can only be provided by a single practitioner on a single patient. </w:t>
      </w:r>
    </w:p>
    <w:p w14:paraId="5DF7B536" w14:textId="69422D1B" w:rsidR="00CE1180" w:rsidRPr="00B52CE9" w:rsidRDefault="00CE1180" w:rsidP="00404F11">
      <w:pPr>
        <w:pStyle w:val="BodyText"/>
        <w:rPr>
          <w:b w:val="0"/>
          <w:szCs w:val="24"/>
        </w:rPr>
      </w:pPr>
    </w:p>
    <w:p w14:paraId="768D340E" w14:textId="6937D947" w:rsidR="00C63FDC" w:rsidRPr="00B52CE9" w:rsidRDefault="00C63FDC" w:rsidP="00C63FDC">
      <w:pPr>
        <w:pStyle w:val="Header"/>
        <w:tabs>
          <w:tab w:val="num" w:pos="1080"/>
        </w:tabs>
        <w:rPr>
          <w:szCs w:val="24"/>
          <w:u w:val="single"/>
        </w:rPr>
      </w:pPr>
      <w:r w:rsidRPr="00B52CE9">
        <w:rPr>
          <w:szCs w:val="24"/>
          <w:u w:val="single"/>
        </w:rPr>
        <w:t xml:space="preserve">Schedule 1 – </w:t>
      </w:r>
      <w:r w:rsidR="00740DCC" w:rsidRPr="00B52CE9">
        <w:rPr>
          <w:szCs w:val="24"/>
          <w:u w:val="single"/>
        </w:rPr>
        <w:t>R</w:t>
      </w:r>
      <w:r w:rsidR="004903EF" w:rsidRPr="00B52CE9">
        <w:rPr>
          <w:szCs w:val="24"/>
          <w:u w:val="single"/>
        </w:rPr>
        <w:t xml:space="preserve">elevant </w:t>
      </w:r>
      <w:r w:rsidR="00740DCC" w:rsidRPr="00B52CE9">
        <w:rPr>
          <w:szCs w:val="24"/>
          <w:u w:val="single"/>
        </w:rPr>
        <w:t>S</w:t>
      </w:r>
      <w:r w:rsidR="00A14FBC" w:rsidRPr="00B52CE9">
        <w:rPr>
          <w:szCs w:val="24"/>
          <w:u w:val="single"/>
        </w:rPr>
        <w:t>ervices</w:t>
      </w:r>
      <w:r w:rsidR="004903EF" w:rsidRPr="00B52CE9">
        <w:rPr>
          <w:szCs w:val="24"/>
          <w:u w:val="single"/>
        </w:rPr>
        <w:t xml:space="preserve"> – </w:t>
      </w:r>
      <w:r w:rsidR="00740DCC" w:rsidRPr="00B52CE9">
        <w:rPr>
          <w:szCs w:val="24"/>
          <w:u w:val="single"/>
        </w:rPr>
        <w:t>GP</w:t>
      </w:r>
      <w:r w:rsidR="00A86D2A" w:rsidRPr="00B52CE9">
        <w:rPr>
          <w:szCs w:val="24"/>
          <w:u w:val="single"/>
        </w:rPr>
        <w:t xml:space="preserve"> and</w:t>
      </w:r>
      <w:r w:rsidR="00740DCC" w:rsidRPr="00B52CE9">
        <w:rPr>
          <w:szCs w:val="24"/>
          <w:u w:val="single"/>
        </w:rPr>
        <w:t xml:space="preserve"> medical practitioner</w:t>
      </w:r>
      <w:r w:rsidR="00A86D2A" w:rsidRPr="00B52CE9">
        <w:rPr>
          <w:szCs w:val="24"/>
          <w:u w:val="single"/>
        </w:rPr>
        <w:t xml:space="preserve"> </w:t>
      </w:r>
      <w:r w:rsidR="00740DCC" w:rsidRPr="00B52CE9">
        <w:rPr>
          <w:szCs w:val="24"/>
          <w:u w:val="single"/>
        </w:rPr>
        <w:t>services</w:t>
      </w:r>
    </w:p>
    <w:p w14:paraId="2212E577" w14:textId="77777777" w:rsidR="00C63FDC" w:rsidRPr="00B52CE9" w:rsidRDefault="00C63FDC" w:rsidP="00C63FDC">
      <w:pPr>
        <w:pStyle w:val="Header"/>
        <w:tabs>
          <w:tab w:val="num" w:pos="1080"/>
        </w:tabs>
        <w:rPr>
          <w:szCs w:val="24"/>
          <w:u w:val="single"/>
        </w:rPr>
      </w:pPr>
    </w:p>
    <w:p w14:paraId="71860F62" w14:textId="254B713F" w:rsidR="0079108B" w:rsidRPr="00B52CE9" w:rsidRDefault="00A14FBC" w:rsidP="00C63FDC">
      <w:pPr>
        <w:pStyle w:val="Header"/>
        <w:tabs>
          <w:tab w:val="num" w:pos="1080"/>
        </w:tabs>
        <w:rPr>
          <w:szCs w:val="24"/>
        </w:rPr>
      </w:pPr>
      <w:r w:rsidRPr="00B52CE9">
        <w:t xml:space="preserve">Schedule 1 prescribes the </w:t>
      </w:r>
      <w:r w:rsidR="008442FF" w:rsidRPr="00B52CE9">
        <w:t xml:space="preserve">COVID-19 </w:t>
      </w:r>
      <w:r w:rsidRPr="00B52CE9">
        <w:t xml:space="preserve">telehealth and phone consultation services provided by </w:t>
      </w:r>
      <w:r w:rsidR="001161AA" w:rsidRPr="00B52CE9">
        <w:t>general practitioners (</w:t>
      </w:r>
      <w:r w:rsidR="008442FF" w:rsidRPr="00B52CE9">
        <w:rPr>
          <w:szCs w:val="24"/>
        </w:rPr>
        <w:t>GPs</w:t>
      </w:r>
      <w:r w:rsidR="001161AA" w:rsidRPr="00B52CE9">
        <w:rPr>
          <w:szCs w:val="24"/>
        </w:rPr>
        <w:t>)</w:t>
      </w:r>
      <w:r w:rsidR="00A86D2A" w:rsidRPr="00B52CE9">
        <w:rPr>
          <w:szCs w:val="24"/>
        </w:rPr>
        <w:t xml:space="preserve"> and</w:t>
      </w:r>
      <w:r w:rsidR="008442FF" w:rsidRPr="00B52CE9">
        <w:rPr>
          <w:szCs w:val="24"/>
        </w:rPr>
        <w:t xml:space="preserve"> other doctors in general practice.</w:t>
      </w:r>
      <w:r w:rsidRPr="00B52CE9">
        <w:t xml:space="preserve"> These services can be rendered </w:t>
      </w:r>
      <w:r w:rsidR="001161AA" w:rsidRPr="00B52CE9">
        <w:t>to all Australians</w:t>
      </w:r>
      <w:r w:rsidR="00A86D2A" w:rsidRPr="00B52CE9">
        <w:t xml:space="preserve"> and must be bulk-billed</w:t>
      </w:r>
      <w:r w:rsidR="001161AA" w:rsidRPr="00B52CE9">
        <w:t xml:space="preserve">. </w:t>
      </w:r>
    </w:p>
    <w:p w14:paraId="3575A941" w14:textId="77777777" w:rsidR="00A86D2A" w:rsidRPr="00B52CE9" w:rsidRDefault="00A86D2A" w:rsidP="00C63FDC">
      <w:pPr>
        <w:pStyle w:val="Header"/>
        <w:tabs>
          <w:tab w:val="num" w:pos="1080"/>
        </w:tabs>
        <w:rPr>
          <w:b/>
          <w:szCs w:val="24"/>
        </w:rPr>
      </w:pPr>
    </w:p>
    <w:p w14:paraId="5633B67D" w14:textId="5E86FCEB" w:rsidR="002A1EAE" w:rsidRPr="00B52CE9" w:rsidRDefault="002A1EAE" w:rsidP="00C63FDC">
      <w:pPr>
        <w:pStyle w:val="Header"/>
        <w:tabs>
          <w:tab w:val="num" w:pos="1080"/>
        </w:tabs>
        <w:rPr>
          <w:b/>
          <w:szCs w:val="24"/>
        </w:rPr>
      </w:pPr>
      <w:r w:rsidRPr="00B52CE9">
        <w:rPr>
          <w:b/>
          <w:szCs w:val="24"/>
        </w:rPr>
        <w:t>Division 1.1</w:t>
      </w:r>
      <w:r w:rsidR="009006EB" w:rsidRPr="00B52CE9">
        <w:rPr>
          <w:b/>
          <w:szCs w:val="24"/>
        </w:rPr>
        <w:t xml:space="preserve"> of Schedule 1</w:t>
      </w:r>
    </w:p>
    <w:p w14:paraId="65CA53C2" w14:textId="5A564532" w:rsidR="002A1EAE" w:rsidRPr="00B52CE9" w:rsidRDefault="000D2660" w:rsidP="00C63FDC">
      <w:pPr>
        <w:pStyle w:val="Header"/>
        <w:tabs>
          <w:tab w:val="num" w:pos="1080"/>
        </w:tabs>
        <w:rPr>
          <w:szCs w:val="24"/>
        </w:rPr>
      </w:pPr>
      <w:r w:rsidRPr="00B52CE9">
        <w:rPr>
          <w:szCs w:val="24"/>
        </w:rPr>
        <w:t>Subgroups 1 and 2 of Group A</w:t>
      </w:r>
      <w:r w:rsidR="00920E55" w:rsidRPr="00B52CE9">
        <w:rPr>
          <w:szCs w:val="24"/>
        </w:rPr>
        <w:t>4</w:t>
      </w:r>
      <w:r w:rsidRPr="00B52CE9">
        <w:rPr>
          <w:szCs w:val="24"/>
        </w:rPr>
        <w:t>0</w:t>
      </w:r>
      <w:r w:rsidR="00920E55" w:rsidRPr="00B52CE9">
        <w:rPr>
          <w:szCs w:val="24"/>
        </w:rPr>
        <w:t xml:space="preserve"> prescribe</w:t>
      </w:r>
      <w:r w:rsidR="002A1EAE" w:rsidRPr="00B52CE9">
        <w:rPr>
          <w:szCs w:val="24"/>
        </w:rPr>
        <w:t xml:space="preserve"> </w:t>
      </w:r>
      <w:r w:rsidR="00DE2BC6" w:rsidRPr="00B52CE9">
        <w:rPr>
          <w:szCs w:val="24"/>
        </w:rPr>
        <w:t>24</w:t>
      </w:r>
      <w:r w:rsidR="002A1EAE" w:rsidRPr="00B52CE9">
        <w:rPr>
          <w:szCs w:val="24"/>
        </w:rPr>
        <w:t xml:space="preserve"> </w:t>
      </w:r>
      <w:r w:rsidR="00942398" w:rsidRPr="00B52CE9">
        <w:rPr>
          <w:szCs w:val="24"/>
        </w:rPr>
        <w:t xml:space="preserve">equivalent Level A to D </w:t>
      </w:r>
      <w:r w:rsidR="002A1EAE" w:rsidRPr="00B52CE9">
        <w:rPr>
          <w:szCs w:val="24"/>
        </w:rPr>
        <w:t xml:space="preserve">attendance items that can be provided </w:t>
      </w:r>
      <w:r w:rsidR="00942398" w:rsidRPr="00B52CE9">
        <w:rPr>
          <w:szCs w:val="24"/>
        </w:rPr>
        <w:t xml:space="preserve">remotely </w:t>
      </w:r>
      <w:r w:rsidR="002A1EAE" w:rsidRPr="00B52CE9">
        <w:rPr>
          <w:szCs w:val="24"/>
        </w:rPr>
        <w:t>by a GP or another medical practitioner in general practice</w:t>
      </w:r>
      <w:r w:rsidR="00D35CB1" w:rsidRPr="00B52CE9">
        <w:rPr>
          <w:szCs w:val="24"/>
        </w:rPr>
        <w:t xml:space="preserve">. </w:t>
      </w:r>
    </w:p>
    <w:p w14:paraId="22436136" w14:textId="4DB0EA73" w:rsidR="005A3C32" w:rsidRPr="00B52CE9" w:rsidRDefault="005A3C32" w:rsidP="00C63FDC">
      <w:pPr>
        <w:pStyle w:val="Header"/>
        <w:tabs>
          <w:tab w:val="num" w:pos="1080"/>
        </w:tabs>
        <w:rPr>
          <w:szCs w:val="24"/>
        </w:rPr>
      </w:pPr>
    </w:p>
    <w:p w14:paraId="4AC36C0A" w14:textId="2D482FD4" w:rsidR="00D35CB1" w:rsidRPr="00B52CE9" w:rsidRDefault="002A1EAE" w:rsidP="00942398">
      <w:pPr>
        <w:pStyle w:val="Header"/>
        <w:tabs>
          <w:tab w:val="num" w:pos="1080"/>
        </w:tabs>
        <w:rPr>
          <w:szCs w:val="24"/>
        </w:rPr>
      </w:pPr>
      <w:r w:rsidRPr="00B52CE9">
        <w:rPr>
          <w:szCs w:val="24"/>
        </w:rPr>
        <w:t xml:space="preserve">Items in subgroup 1 </w:t>
      </w:r>
      <w:r w:rsidR="00AC5E33" w:rsidRPr="00B52CE9">
        <w:rPr>
          <w:szCs w:val="24"/>
        </w:rPr>
        <w:t>prescribe</w:t>
      </w:r>
      <w:r w:rsidRPr="00B52CE9">
        <w:rPr>
          <w:szCs w:val="24"/>
        </w:rPr>
        <w:t xml:space="preserve"> </w:t>
      </w:r>
      <w:r w:rsidR="00942398" w:rsidRPr="00B52CE9">
        <w:rPr>
          <w:szCs w:val="24"/>
        </w:rPr>
        <w:t>1</w:t>
      </w:r>
      <w:r w:rsidR="00DE2BC6" w:rsidRPr="00B52CE9">
        <w:rPr>
          <w:szCs w:val="24"/>
        </w:rPr>
        <w:t>2</w:t>
      </w:r>
      <w:r w:rsidR="00942398" w:rsidRPr="00B52CE9">
        <w:rPr>
          <w:szCs w:val="24"/>
        </w:rPr>
        <w:t xml:space="preserve"> equivalent Level A to D </w:t>
      </w:r>
      <w:r w:rsidRPr="00B52CE9">
        <w:rPr>
          <w:szCs w:val="24"/>
        </w:rPr>
        <w:t>general practice attendance services</w:t>
      </w:r>
      <w:r w:rsidR="00942398" w:rsidRPr="00B52CE9">
        <w:rPr>
          <w:szCs w:val="24"/>
        </w:rPr>
        <w:t xml:space="preserve"> by telehealth,</w:t>
      </w:r>
      <w:r w:rsidRPr="00B52CE9">
        <w:rPr>
          <w:szCs w:val="24"/>
        </w:rPr>
        <w:t xml:space="preserve"> </w:t>
      </w:r>
      <w:r w:rsidR="00942398" w:rsidRPr="00B52CE9">
        <w:rPr>
          <w:szCs w:val="24"/>
        </w:rPr>
        <w:t>which requires an audio and visual link.</w:t>
      </w:r>
      <w:r w:rsidR="00D35CB1" w:rsidRPr="00B52CE9">
        <w:rPr>
          <w:szCs w:val="24"/>
        </w:rPr>
        <w:t xml:space="preserve"> This includes:</w:t>
      </w:r>
    </w:p>
    <w:p w14:paraId="53EBD36D" w14:textId="30E5F262" w:rsidR="00D35CB1" w:rsidRPr="00B52CE9" w:rsidRDefault="00D35CB1" w:rsidP="00D73869">
      <w:pPr>
        <w:pStyle w:val="Header"/>
        <w:numPr>
          <w:ilvl w:val="0"/>
          <w:numId w:val="3"/>
        </w:numPr>
        <w:rPr>
          <w:szCs w:val="24"/>
        </w:rPr>
      </w:pPr>
      <w:r w:rsidRPr="00B52CE9">
        <w:rPr>
          <w:szCs w:val="24"/>
        </w:rPr>
        <w:t xml:space="preserve">Items 91790, 91800, 91801 and 91802 </w:t>
      </w:r>
      <w:r w:rsidR="000D2660" w:rsidRPr="00B52CE9">
        <w:rPr>
          <w:szCs w:val="24"/>
        </w:rPr>
        <w:t>rendered by</w:t>
      </w:r>
      <w:r w:rsidRPr="00B52CE9">
        <w:rPr>
          <w:szCs w:val="24"/>
        </w:rPr>
        <w:t xml:space="preserve"> GPs</w:t>
      </w:r>
      <w:r w:rsidR="00B60A33" w:rsidRPr="00B52CE9">
        <w:rPr>
          <w:szCs w:val="24"/>
        </w:rPr>
        <w:t>.</w:t>
      </w:r>
    </w:p>
    <w:p w14:paraId="5F5167D6" w14:textId="2BC39AE7" w:rsidR="00D35CB1" w:rsidRPr="00B52CE9" w:rsidRDefault="00D35CB1" w:rsidP="00D73869">
      <w:pPr>
        <w:pStyle w:val="Header"/>
        <w:numPr>
          <w:ilvl w:val="0"/>
          <w:numId w:val="3"/>
        </w:numPr>
        <w:rPr>
          <w:szCs w:val="24"/>
        </w:rPr>
      </w:pPr>
      <w:r w:rsidRPr="00B52CE9">
        <w:rPr>
          <w:szCs w:val="24"/>
        </w:rPr>
        <w:t>Items 91792, 91803, 91804 and 9</w:t>
      </w:r>
      <w:r w:rsidR="007F3C9B" w:rsidRPr="00B52CE9">
        <w:rPr>
          <w:szCs w:val="24"/>
        </w:rPr>
        <w:t>1</w:t>
      </w:r>
      <w:r w:rsidRPr="00B52CE9">
        <w:rPr>
          <w:szCs w:val="24"/>
        </w:rPr>
        <w:t xml:space="preserve">805 </w:t>
      </w:r>
      <w:r w:rsidR="000D2660" w:rsidRPr="00B52CE9">
        <w:rPr>
          <w:szCs w:val="24"/>
        </w:rPr>
        <w:t xml:space="preserve">rendered by </w:t>
      </w:r>
      <w:r w:rsidRPr="00B52CE9">
        <w:rPr>
          <w:szCs w:val="24"/>
        </w:rPr>
        <w:t xml:space="preserve">medical practitioners in metropolitan areas. </w:t>
      </w:r>
    </w:p>
    <w:p w14:paraId="38932A7C" w14:textId="7CF583A4" w:rsidR="002A1EAE" w:rsidRPr="00B52CE9" w:rsidRDefault="00D35CB1" w:rsidP="00D73869">
      <w:pPr>
        <w:pStyle w:val="Header"/>
        <w:numPr>
          <w:ilvl w:val="0"/>
          <w:numId w:val="3"/>
        </w:numPr>
        <w:rPr>
          <w:szCs w:val="24"/>
        </w:rPr>
      </w:pPr>
      <w:r w:rsidRPr="00B52CE9">
        <w:rPr>
          <w:szCs w:val="24"/>
        </w:rPr>
        <w:t xml:space="preserve">Items 91794, 91806, 91807 and 91808 </w:t>
      </w:r>
      <w:r w:rsidR="000D2660" w:rsidRPr="00B52CE9">
        <w:rPr>
          <w:szCs w:val="24"/>
        </w:rPr>
        <w:t xml:space="preserve">rendered by </w:t>
      </w:r>
      <w:r w:rsidRPr="00B52CE9">
        <w:rPr>
          <w:szCs w:val="24"/>
        </w:rPr>
        <w:t>medical practitioners in “eligible areas”</w:t>
      </w:r>
      <w:r w:rsidR="00980B83" w:rsidRPr="00B52CE9">
        <w:rPr>
          <w:szCs w:val="24"/>
        </w:rPr>
        <w:t>.</w:t>
      </w:r>
    </w:p>
    <w:p w14:paraId="57D468B8" w14:textId="290CE1DE" w:rsidR="00942398" w:rsidRPr="00B52CE9" w:rsidRDefault="00942398" w:rsidP="00942398">
      <w:pPr>
        <w:pStyle w:val="Header"/>
        <w:tabs>
          <w:tab w:val="num" w:pos="1080"/>
        </w:tabs>
        <w:rPr>
          <w:szCs w:val="24"/>
        </w:rPr>
      </w:pPr>
    </w:p>
    <w:p w14:paraId="29D991F6" w14:textId="6937AC2B" w:rsidR="000D2660" w:rsidRPr="00B52CE9" w:rsidRDefault="00920E55" w:rsidP="000D2660">
      <w:pPr>
        <w:pStyle w:val="Header"/>
        <w:tabs>
          <w:tab w:val="num" w:pos="1080"/>
        </w:tabs>
        <w:rPr>
          <w:szCs w:val="24"/>
        </w:rPr>
      </w:pPr>
      <w:r w:rsidRPr="00B52CE9">
        <w:rPr>
          <w:szCs w:val="24"/>
        </w:rPr>
        <w:t>Items in subgroup 2 prescribe 12 equivalent Level A to D general practice attendance services by phone, which requires an audio link only.</w:t>
      </w:r>
      <w:r w:rsidR="000D2660" w:rsidRPr="00B52CE9">
        <w:rPr>
          <w:szCs w:val="24"/>
        </w:rPr>
        <w:t xml:space="preserve"> This includes:</w:t>
      </w:r>
    </w:p>
    <w:p w14:paraId="1AC15227" w14:textId="1F24FD95" w:rsidR="000D2660" w:rsidRPr="00B52CE9" w:rsidRDefault="000D2660" w:rsidP="00D73869">
      <w:pPr>
        <w:pStyle w:val="Header"/>
        <w:numPr>
          <w:ilvl w:val="0"/>
          <w:numId w:val="3"/>
        </w:numPr>
        <w:rPr>
          <w:szCs w:val="24"/>
        </w:rPr>
      </w:pPr>
      <w:r w:rsidRPr="00B52CE9">
        <w:rPr>
          <w:szCs w:val="24"/>
        </w:rPr>
        <w:t>Items 91795, 91809, 91810 and 91811 rendered by GPs.</w:t>
      </w:r>
    </w:p>
    <w:p w14:paraId="05795619" w14:textId="1A2D5138" w:rsidR="000D2660" w:rsidRPr="00B52CE9" w:rsidRDefault="000D2660" w:rsidP="00D73869">
      <w:pPr>
        <w:pStyle w:val="Header"/>
        <w:numPr>
          <w:ilvl w:val="0"/>
          <w:numId w:val="3"/>
        </w:numPr>
        <w:rPr>
          <w:szCs w:val="24"/>
        </w:rPr>
      </w:pPr>
      <w:r w:rsidRPr="00B52CE9">
        <w:rPr>
          <w:szCs w:val="24"/>
        </w:rPr>
        <w:t xml:space="preserve">Items 91797, 91812, 91813 and 91814 rendered by medical practitioners in metropolitan areas. </w:t>
      </w:r>
    </w:p>
    <w:p w14:paraId="1AE8ABD7" w14:textId="06B97D16" w:rsidR="000D2660" w:rsidRPr="00B52CE9" w:rsidRDefault="000D2660" w:rsidP="00D73869">
      <w:pPr>
        <w:pStyle w:val="Header"/>
        <w:numPr>
          <w:ilvl w:val="0"/>
          <w:numId w:val="3"/>
        </w:numPr>
        <w:rPr>
          <w:szCs w:val="24"/>
        </w:rPr>
      </w:pPr>
      <w:r w:rsidRPr="00B52CE9">
        <w:rPr>
          <w:szCs w:val="24"/>
        </w:rPr>
        <w:t>Items 91799, 91815, 91816 and 91817 rendered by medical practitioners in “eligible areas”.</w:t>
      </w:r>
    </w:p>
    <w:p w14:paraId="10D9CF08" w14:textId="77777777" w:rsidR="00A86D2A" w:rsidRPr="00B52CE9" w:rsidRDefault="00A86D2A" w:rsidP="00D35CB1">
      <w:pPr>
        <w:pStyle w:val="Header"/>
        <w:tabs>
          <w:tab w:val="num" w:pos="1080"/>
        </w:tabs>
        <w:rPr>
          <w:szCs w:val="24"/>
        </w:rPr>
      </w:pPr>
    </w:p>
    <w:p w14:paraId="4F6B0B21" w14:textId="62E5F3B2" w:rsidR="009D1B17" w:rsidRPr="00B52CE9" w:rsidRDefault="00E40A35" w:rsidP="00E40A35">
      <w:pPr>
        <w:pStyle w:val="Header"/>
        <w:tabs>
          <w:tab w:val="num" w:pos="1080"/>
        </w:tabs>
        <w:rPr>
          <w:szCs w:val="24"/>
        </w:rPr>
      </w:pPr>
      <w:r w:rsidRPr="00B52CE9">
        <w:rPr>
          <w:szCs w:val="24"/>
        </w:rPr>
        <w:t xml:space="preserve">Subgroup 3 </w:t>
      </w:r>
      <w:r w:rsidR="009D1B17" w:rsidRPr="00B52CE9">
        <w:rPr>
          <w:szCs w:val="24"/>
        </w:rPr>
        <w:t>prescribes focussed psychological strategy services by telehealth that can be provided by a general practitioner (91818 and 91819) or a medical practitioner (91820 and 91821)</w:t>
      </w:r>
      <w:r w:rsidR="00CD7250" w:rsidRPr="00B52CE9">
        <w:rPr>
          <w:szCs w:val="24"/>
        </w:rPr>
        <w:t>,</w:t>
      </w:r>
      <w:r w:rsidR="009D1B17" w:rsidRPr="00B52CE9">
        <w:rPr>
          <w:szCs w:val="24"/>
        </w:rPr>
        <w:t xml:space="preserve"> which require an audio and visual link. Subgroup 10 prescribes the equivalent phone services</w:t>
      </w:r>
      <w:r w:rsidR="00CD7250" w:rsidRPr="00B52CE9">
        <w:rPr>
          <w:szCs w:val="24"/>
        </w:rPr>
        <w:t xml:space="preserve"> provided by a general practitioner (91842 and 91843) or a medical practitioner (91844 and 91845),</w:t>
      </w:r>
      <w:r w:rsidR="009D1B17" w:rsidRPr="00B52CE9">
        <w:rPr>
          <w:szCs w:val="24"/>
        </w:rPr>
        <w:t xml:space="preserve"> which requires an audio link only</w:t>
      </w:r>
      <w:r w:rsidR="00CD7250" w:rsidRPr="00B52CE9">
        <w:rPr>
          <w:szCs w:val="24"/>
        </w:rPr>
        <w:t>.</w:t>
      </w:r>
      <w:r w:rsidR="009D1B17" w:rsidRPr="00B52CE9">
        <w:rPr>
          <w:szCs w:val="24"/>
        </w:rPr>
        <w:t xml:space="preserve"> </w:t>
      </w:r>
    </w:p>
    <w:p w14:paraId="09FEAC96" w14:textId="77777777" w:rsidR="009D1B17" w:rsidRPr="00B52CE9" w:rsidRDefault="009D1B17" w:rsidP="00E40A35">
      <w:pPr>
        <w:pStyle w:val="Header"/>
        <w:tabs>
          <w:tab w:val="num" w:pos="1080"/>
        </w:tabs>
        <w:rPr>
          <w:szCs w:val="24"/>
        </w:rPr>
      </w:pPr>
    </w:p>
    <w:p w14:paraId="16E2F97F" w14:textId="57BD6CD0" w:rsidR="00CD7250" w:rsidRPr="00B52CE9" w:rsidRDefault="00E40A35" w:rsidP="00202FDE">
      <w:pPr>
        <w:pStyle w:val="Header"/>
        <w:tabs>
          <w:tab w:val="num" w:pos="1080"/>
        </w:tabs>
        <w:rPr>
          <w:szCs w:val="24"/>
        </w:rPr>
      </w:pPr>
      <w:r w:rsidRPr="00B52CE9">
        <w:rPr>
          <w:szCs w:val="24"/>
        </w:rPr>
        <w:t xml:space="preserve">Subgroups 11 </w:t>
      </w:r>
      <w:r w:rsidR="00CD7250" w:rsidRPr="00B52CE9">
        <w:rPr>
          <w:szCs w:val="24"/>
        </w:rPr>
        <w:t>prescribes health assessment attendance telehealth services for Aboriginal and Torres Strait Island people provided by a general practitioner (92004) or a medical practitioner (92011), which requires an audio and visual link. Subgroup 12 prescribes the equivalent phone services provided by a general practitioner (92016) or a medical practitioner (92023), which requires an audio link only.</w:t>
      </w:r>
    </w:p>
    <w:p w14:paraId="01B90C68" w14:textId="77777777" w:rsidR="00CD7250" w:rsidRPr="00B52CE9" w:rsidRDefault="00CD7250" w:rsidP="00202FDE">
      <w:pPr>
        <w:pStyle w:val="Header"/>
        <w:tabs>
          <w:tab w:val="num" w:pos="1080"/>
        </w:tabs>
        <w:rPr>
          <w:szCs w:val="24"/>
        </w:rPr>
      </w:pPr>
    </w:p>
    <w:p w14:paraId="32C0DB61" w14:textId="596F71CB" w:rsidR="00CD7250" w:rsidRPr="00B52CE9" w:rsidRDefault="00DA621F" w:rsidP="00202FDE">
      <w:pPr>
        <w:pStyle w:val="Header"/>
        <w:tabs>
          <w:tab w:val="num" w:pos="1080"/>
        </w:tabs>
        <w:rPr>
          <w:szCs w:val="24"/>
        </w:rPr>
      </w:pPr>
      <w:r w:rsidRPr="00B52CE9">
        <w:rPr>
          <w:szCs w:val="24"/>
        </w:rPr>
        <w:t>Subgroups 1</w:t>
      </w:r>
      <w:r w:rsidR="00C4601D" w:rsidRPr="00B52CE9">
        <w:rPr>
          <w:szCs w:val="24"/>
        </w:rPr>
        <w:t>3</w:t>
      </w:r>
      <w:r w:rsidRPr="00B52CE9">
        <w:rPr>
          <w:szCs w:val="24"/>
        </w:rPr>
        <w:t xml:space="preserve"> prescribe</w:t>
      </w:r>
      <w:r w:rsidR="00CD7250" w:rsidRPr="00B52CE9">
        <w:rPr>
          <w:szCs w:val="24"/>
        </w:rPr>
        <w:t>s</w:t>
      </w:r>
      <w:r w:rsidRPr="00B52CE9">
        <w:rPr>
          <w:szCs w:val="24"/>
        </w:rPr>
        <w:t xml:space="preserve"> 2</w:t>
      </w:r>
      <w:r w:rsidR="00C4601D" w:rsidRPr="00B52CE9">
        <w:rPr>
          <w:szCs w:val="24"/>
        </w:rPr>
        <w:t>0</w:t>
      </w:r>
      <w:r w:rsidRPr="00B52CE9">
        <w:rPr>
          <w:szCs w:val="24"/>
        </w:rPr>
        <w:t xml:space="preserve"> telehealth items for </w:t>
      </w:r>
      <w:r w:rsidR="00051E40" w:rsidRPr="00B52CE9">
        <w:rPr>
          <w:szCs w:val="24"/>
        </w:rPr>
        <w:t xml:space="preserve">the development, coordination or review of </w:t>
      </w:r>
      <w:r w:rsidRPr="00B52CE9">
        <w:rPr>
          <w:szCs w:val="24"/>
        </w:rPr>
        <w:t xml:space="preserve">a GP </w:t>
      </w:r>
      <w:r w:rsidR="00051E40" w:rsidRPr="00B52CE9">
        <w:rPr>
          <w:szCs w:val="24"/>
        </w:rPr>
        <w:t>management plans, the coordination of team care arrangements or a multidisciplinary care plans</w:t>
      </w:r>
      <w:r w:rsidR="009D1B17" w:rsidRPr="00B52CE9">
        <w:rPr>
          <w:szCs w:val="24"/>
        </w:rPr>
        <w:t xml:space="preserve">. </w:t>
      </w:r>
      <w:r w:rsidR="00CD7250" w:rsidRPr="00B52CE9">
        <w:rPr>
          <w:szCs w:val="24"/>
        </w:rPr>
        <w:t>These services require an audio or visual link and can be provided by a general practitioner (92024, 92025, 92026, 92027 and 92028) or a medical practitioner (92055, 92056, 92057 and 92058, 92059). Subgroup 14 prescribes the equivalent phone services provided by a general practitioner (92068, 92069, 92070, 92071</w:t>
      </w:r>
      <w:r w:rsidR="00494EB9" w:rsidRPr="00B52CE9">
        <w:rPr>
          <w:szCs w:val="24"/>
        </w:rPr>
        <w:t xml:space="preserve"> and</w:t>
      </w:r>
      <w:r w:rsidR="00CD7250" w:rsidRPr="00B52CE9">
        <w:rPr>
          <w:szCs w:val="24"/>
        </w:rPr>
        <w:t xml:space="preserve"> 92072) or a medical practitioner (92099, 92100, 92101, 92102 and 92103).</w:t>
      </w:r>
    </w:p>
    <w:p w14:paraId="44497171" w14:textId="77777777" w:rsidR="00CD7250" w:rsidRPr="00B52CE9" w:rsidRDefault="00CD7250" w:rsidP="00202FDE">
      <w:pPr>
        <w:pStyle w:val="Header"/>
        <w:tabs>
          <w:tab w:val="num" w:pos="1080"/>
        </w:tabs>
        <w:rPr>
          <w:szCs w:val="24"/>
        </w:rPr>
      </w:pPr>
    </w:p>
    <w:p w14:paraId="5719F62C" w14:textId="28FFAF67" w:rsidR="00CD7250" w:rsidRPr="00B52CE9" w:rsidRDefault="002E2868" w:rsidP="00202FDE">
      <w:pPr>
        <w:pStyle w:val="Header"/>
        <w:tabs>
          <w:tab w:val="num" w:pos="1080"/>
        </w:tabs>
        <w:rPr>
          <w:szCs w:val="24"/>
        </w:rPr>
      </w:pPr>
      <w:r w:rsidRPr="00B52CE9">
        <w:rPr>
          <w:szCs w:val="24"/>
        </w:rPr>
        <w:t xml:space="preserve">Subgroups 15 </w:t>
      </w:r>
      <w:r w:rsidR="00CD7250" w:rsidRPr="00B52CE9">
        <w:rPr>
          <w:szCs w:val="24"/>
        </w:rPr>
        <w:t xml:space="preserve">prescribes GP pregnancy support counselling services by telehealth </w:t>
      </w:r>
      <w:r w:rsidR="00924FBB" w:rsidRPr="00B52CE9">
        <w:rPr>
          <w:szCs w:val="24"/>
        </w:rPr>
        <w:t xml:space="preserve">that can be provided by a general practitioner (92136) or a medical practitioner (92137) which require an audio and visual link. Subgroup 16 prescribes the equivalent phone services provided by a general practitioner (92138) or a </w:t>
      </w:r>
      <w:r w:rsidR="00A447EE" w:rsidRPr="00B52CE9">
        <w:rPr>
          <w:szCs w:val="24"/>
        </w:rPr>
        <w:t>medical</w:t>
      </w:r>
      <w:r w:rsidR="00924FBB" w:rsidRPr="00B52CE9">
        <w:rPr>
          <w:szCs w:val="24"/>
        </w:rPr>
        <w:t xml:space="preserve"> practitioner (92139).</w:t>
      </w:r>
    </w:p>
    <w:p w14:paraId="2BB1748F" w14:textId="77777777" w:rsidR="00CD7250" w:rsidRPr="00B52CE9" w:rsidRDefault="00CD7250" w:rsidP="00202FDE">
      <w:pPr>
        <w:pStyle w:val="Header"/>
        <w:tabs>
          <w:tab w:val="num" w:pos="1080"/>
        </w:tabs>
        <w:rPr>
          <w:szCs w:val="24"/>
        </w:rPr>
      </w:pPr>
    </w:p>
    <w:p w14:paraId="64D61F60" w14:textId="23D5E6CB" w:rsidR="00924FBB" w:rsidRPr="00B52CE9" w:rsidRDefault="002E2868" w:rsidP="00202FDE">
      <w:pPr>
        <w:pStyle w:val="Header"/>
        <w:tabs>
          <w:tab w:val="num" w:pos="1080"/>
        </w:tabs>
        <w:rPr>
          <w:szCs w:val="24"/>
        </w:rPr>
      </w:pPr>
      <w:r w:rsidRPr="00B52CE9">
        <w:rPr>
          <w:szCs w:val="24"/>
        </w:rPr>
        <w:t>Subgroups 17 prescribe</w:t>
      </w:r>
      <w:r w:rsidR="00924FBB" w:rsidRPr="00B52CE9">
        <w:rPr>
          <w:szCs w:val="24"/>
        </w:rPr>
        <w:t>s a telehealth attendance for the treatment and management plan for a patient under 13 years of age and who has an eligible disability (92142), which can provided by a general practitioner. Subgroup 18 prescribes the equivalent phone service (92145).</w:t>
      </w:r>
    </w:p>
    <w:p w14:paraId="1C0C677A" w14:textId="77777777" w:rsidR="00924FBB" w:rsidRPr="00B52CE9" w:rsidRDefault="00924FBB" w:rsidP="00202FDE">
      <w:pPr>
        <w:pStyle w:val="Header"/>
        <w:tabs>
          <w:tab w:val="num" w:pos="1080"/>
        </w:tabs>
        <w:rPr>
          <w:szCs w:val="24"/>
        </w:rPr>
      </w:pPr>
    </w:p>
    <w:p w14:paraId="46589E50" w14:textId="382F0AE1" w:rsidR="00924FBB" w:rsidRPr="00B52CE9" w:rsidRDefault="002E2868" w:rsidP="00202FDE">
      <w:pPr>
        <w:pStyle w:val="Header"/>
        <w:tabs>
          <w:tab w:val="num" w:pos="1080"/>
        </w:tabs>
        <w:rPr>
          <w:szCs w:val="24"/>
        </w:rPr>
      </w:pPr>
      <w:r w:rsidRPr="00B52CE9">
        <w:rPr>
          <w:szCs w:val="24"/>
        </w:rPr>
        <w:t xml:space="preserve">Subgroups 19 </w:t>
      </w:r>
      <w:r w:rsidR="00924FBB" w:rsidRPr="00B52CE9">
        <w:rPr>
          <w:szCs w:val="24"/>
        </w:rPr>
        <w:t xml:space="preserve">prescribes GP mental health treatment plan services by </w:t>
      </w:r>
      <w:r w:rsidR="00494EB9" w:rsidRPr="00B52CE9">
        <w:rPr>
          <w:szCs w:val="24"/>
        </w:rPr>
        <w:t>telehealth, which</w:t>
      </w:r>
      <w:r w:rsidR="00924FBB" w:rsidRPr="00B52CE9">
        <w:rPr>
          <w:szCs w:val="24"/>
        </w:rPr>
        <w:t xml:space="preserve"> can be provided by a general practitioner (92112, 92113, 92114, 92115, 92116, 92117) or a medical practitioner (92118, 92119, 92120, 92121, 92122 and 92123). Subgroup 20 prescribes the equivalent phone services provided by a general practitioner (92124, 92125, 92126, 92127, 92128 and 92129) or a medical practitioner (92130, 92131, 92132, 92133, 92134 and 92135).</w:t>
      </w:r>
    </w:p>
    <w:p w14:paraId="311D8CE8" w14:textId="77777777" w:rsidR="00924FBB" w:rsidRPr="00B52CE9" w:rsidRDefault="00924FBB" w:rsidP="00202FDE">
      <w:pPr>
        <w:pStyle w:val="Header"/>
        <w:tabs>
          <w:tab w:val="num" w:pos="1080"/>
        </w:tabs>
        <w:rPr>
          <w:szCs w:val="24"/>
        </w:rPr>
      </w:pPr>
    </w:p>
    <w:p w14:paraId="4270A040" w14:textId="2CD58019" w:rsidR="00924FBB" w:rsidRPr="00B52CE9" w:rsidRDefault="00924FBB" w:rsidP="00202FDE">
      <w:pPr>
        <w:pStyle w:val="Header"/>
        <w:tabs>
          <w:tab w:val="num" w:pos="1080"/>
        </w:tabs>
        <w:rPr>
          <w:szCs w:val="24"/>
        </w:rPr>
      </w:pPr>
      <w:r w:rsidRPr="00B52CE9">
        <w:rPr>
          <w:szCs w:val="24"/>
        </w:rPr>
        <w:t xml:space="preserve">Subgroup 21 prescribes telehealth attendance services for the preparation of written eating disorder treatment and management </w:t>
      </w:r>
      <w:r w:rsidR="00494EB9" w:rsidRPr="00B52CE9">
        <w:rPr>
          <w:szCs w:val="24"/>
        </w:rPr>
        <w:t>plan, which</w:t>
      </w:r>
      <w:r w:rsidRPr="00B52CE9">
        <w:rPr>
          <w:szCs w:val="24"/>
        </w:rPr>
        <w:t xml:space="preserve"> can be provided by a general practitioner (92146, 92147, 92148, 92149) or a medical practitioner (92150, 92151, 92152 and 92153). Subgroup 22 prescribes the equivalent phone services provided by a general practitioner </w:t>
      </w:r>
      <w:r w:rsidR="00510E5F" w:rsidRPr="00B52CE9">
        <w:rPr>
          <w:szCs w:val="24"/>
        </w:rPr>
        <w:t xml:space="preserve">(92154, 92155, 92156 and 92157) or a medical practitioner (92158, 92159, 92160 and 92161). </w:t>
      </w:r>
    </w:p>
    <w:p w14:paraId="38BFD0FB" w14:textId="77777777" w:rsidR="00924FBB" w:rsidRPr="00B52CE9" w:rsidRDefault="00924FBB" w:rsidP="00202FDE">
      <w:pPr>
        <w:pStyle w:val="Header"/>
        <w:tabs>
          <w:tab w:val="num" w:pos="1080"/>
        </w:tabs>
        <w:rPr>
          <w:szCs w:val="24"/>
        </w:rPr>
      </w:pPr>
    </w:p>
    <w:p w14:paraId="4B291F8F" w14:textId="5E48A750" w:rsidR="00510E5F" w:rsidRPr="00B52CE9" w:rsidRDefault="00510E5F" w:rsidP="00202FDE">
      <w:pPr>
        <w:pStyle w:val="Header"/>
        <w:tabs>
          <w:tab w:val="num" w:pos="1080"/>
        </w:tabs>
        <w:rPr>
          <w:szCs w:val="24"/>
        </w:rPr>
      </w:pPr>
      <w:r w:rsidRPr="00B52CE9">
        <w:rPr>
          <w:szCs w:val="24"/>
        </w:rPr>
        <w:t xml:space="preserve">Subgroup 25 prescribes telehealth attendance services for the review of an eating disorder </w:t>
      </w:r>
      <w:r w:rsidR="00494EB9" w:rsidRPr="00B52CE9">
        <w:rPr>
          <w:szCs w:val="24"/>
        </w:rPr>
        <w:t>plan, which</w:t>
      </w:r>
      <w:r w:rsidRPr="00B52CE9">
        <w:rPr>
          <w:szCs w:val="24"/>
        </w:rPr>
        <w:t xml:space="preserve"> can be provided by a general practitioner (92170) or a medical practitioner (9217</w:t>
      </w:r>
      <w:r w:rsidR="00A447EE" w:rsidRPr="00B52CE9">
        <w:rPr>
          <w:szCs w:val="24"/>
        </w:rPr>
        <w:t>1</w:t>
      </w:r>
      <w:r w:rsidRPr="00B52CE9">
        <w:rPr>
          <w:szCs w:val="24"/>
        </w:rPr>
        <w:t>). Subgroup 26 prescribes the equivalent phone services provided by a general practitioner (92176)</w:t>
      </w:r>
      <w:r w:rsidR="00A447EE" w:rsidRPr="00B52CE9">
        <w:rPr>
          <w:szCs w:val="24"/>
        </w:rPr>
        <w:t xml:space="preserve"> or a medical practitioner (92177)</w:t>
      </w:r>
      <w:r w:rsidRPr="00B52CE9">
        <w:rPr>
          <w:szCs w:val="24"/>
        </w:rPr>
        <w:t>.</w:t>
      </w:r>
    </w:p>
    <w:p w14:paraId="7E0E18B7" w14:textId="77777777" w:rsidR="00510E5F" w:rsidRPr="00B52CE9" w:rsidRDefault="00510E5F" w:rsidP="00202FDE">
      <w:pPr>
        <w:pStyle w:val="Header"/>
        <w:tabs>
          <w:tab w:val="num" w:pos="1080"/>
        </w:tabs>
        <w:rPr>
          <w:szCs w:val="24"/>
        </w:rPr>
      </w:pPr>
    </w:p>
    <w:p w14:paraId="2D53DE1A" w14:textId="4E9E33D6" w:rsidR="00A447EE" w:rsidRPr="00B52CE9" w:rsidRDefault="002E2868" w:rsidP="00202FDE">
      <w:pPr>
        <w:pStyle w:val="Header"/>
        <w:tabs>
          <w:tab w:val="num" w:pos="1080"/>
        </w:tabs>
        <w:rPr>
          <w:szCs w:val="24"/>
        </w:rPr>
      </w:pPr>
      <w:r w:rsidRPr="00B52CE9">
        <w:rPr>
          <w:szCs w:val="24"/>
        </w:rPr>
        <w:t xml:space="preserve">Subgroups 27 </w:t>
      </w:r>
      <w:r w:rsidR="00A447EE" w:rsidRPr="00B52CE9">
        <w:rPr>
          <w:szCs w:val="24"/>
        </w:rPr>
        <w:t xml:space="preserve">prescribes a telehealth attendance for the provision of an eating disorder psychological treatment </w:t>
      </w:r>
      <w:r w:rsidR="00494EB9" w:rsidRPr="00B52CE9">
        <w:rPr>
          <w:szCs w:val="24"/>
        </w:rPr>
        <w:t>service, which</w:t>
      </w:r>
      <w:r w:rsidR="00A447EE" w:rsidRPr="00B52CE9">
        <w:rPr>
          <w:szCs w:val="24"/>
        </w:rPr>
        <w:t xml:space="preserve"> can be provided by a general practitioner (92182 and 92184) or a medical practitioner (92186 and 92188). Subgroup 28 prescribes the equivalent phone services provided by a general practitioner (92194 and 92196) or a medical practitioner (92198 and 92200).</w:t>
      </w:r>
    </w:p>
    <w:p w14:paraId="621FD39C" w14:textId="1059F55E" w:rsidR="00A447EE" w:rsidRPr="00B52CE9" w:rsidRDefault="00A447EE" w:rsidP="00202FDE">
      <w:pPr>
        <w:pStyle w:val="Header"/>
        <w:tabs>
          <w:tab w:val="num" w:pos="1080"/>
        </w:tabs>
        <w:rPr>
          <w:szCs w:val="24"/>
        </w:rPr>
      </w:pPr>
    </w:p>
    <w:p w14:paraId="015BA068" w14:textId="06D557B7" w:rsidR="00A447EE" w:rsidRPr="00B52CE9" w:rsidRDefault="00A447EE" w:rsidP="00202FDE">
      <w:pPr>
        <w:pStyle w:val="Header"/>
        <w:tabs>
          <w:tab w:val="num" w:pos="1080"/>
        </w:tabs>
        <w:rPr>
          <w:szCs w:val="24"/>
        </w:rPr>
      </w:pPr>
      <w:r w:rsidRPr="00B52CE9">
        <w:rPr>
          <w:szCs w:val="24"/>
        </w:rPr>
        <w:t>Subgroup 29 prescribes a telehealth urgent after hours attendance services which can be provide by a general practitioner (92210) or a medical practitioner (92211). Subgroup 30</w:t>
      </w:r>
      <w:r w:rsidRPr="00B52CE9">
        <w:t xml:space="preserve"> </w:t>
      </w:r>
      <w:r w:rsidRPr="00B52CE9">
        <w:rPr>
          <w:szCs w:val="24"/>
        </w:rPr>
        <w:t xml:space="preserve">prescribes the equivalent phone services provided by a general practitioner (92216) or a medical practitioner (92217). </w:t>
      </w:r>
    </w:p>
    <w:p w14:paraId="57EC5F4E" w14:textId="77777777" w:rsidR="00A447EE" w:rsidRPr="00B52CE9" w:rsidRDefault="00A447EE" w:rsidP="00202FDE">
      <w:pPr>
        <w:pStyle w:val="Header"/>
        <w:tabs>
          <w:tab w:val="num" w:pos="1080"/>
        </w:tabs>
        <w:rPr>
          <w:szCs w:val="24"/>
        </w:rPr>
      </w:pPr>
    </w:p>
    <w:p w14:paraId="4F7D28BD" w14:textId="496966F8" w:rsidR="005F35BF" w:rsidRPr="00B52CE9" w:rsidRDefault="005F35BF" w:rsidP="00202FDE">
      <w:pPr>
        <w:pStyle w:val="Header"/>
        <w:tabs>
          <w:tab w:val="num" w:pos="1080"/>
        </w:tabs>
        <w:rPr>
          <w:szCs w:val="24"/>
          <w:u w:val="single"/>
        </w:rPr>
      </w:pPr>
      <w:r w:rsidRPr="00B52CE9">
        <w:rPr>
          <w:szCs w:val="24"/>
          <w:u w:val="single"/>
        </w:rPr>
        <w:t>Schedule 2 – Specialist, consultant physician and consultant psychiatrist services</w:t>
      </w:r>
    </w:p>
    <w:p w14:paraId="25ED606B" w14:textId="01EBB825" w:rsidR="005F35BF" w:rsidRPr="00B52CE9" w:rsidRDefault="005F35BF" w:rsidP="00E5003D">
      <w:pPr>
        <w:pStyle w:val="Header"/>
        <w:tabs>
          <w:tab w:val="num" w:pos="1080"/>
        </w:tabs>
        <w:rPr>
          <w:szCs w:val="24"/>
        </w:rPr>
      </w:pPr>
      <w:r w:rsidRPr="00B52CE9">
        <w:rPr>
          <w:szCs w:val="24"/>
        </w:rPr>
        <w:t>Schedule 2 prescribes the COVID-19 telehealth and phone consultation services provided by specialists, consultant physicians and consultant psychiatrists. These services can be rendered to all Australians and must be bulk-billed.</w:t>
      </w:r>
    </w:p>
    <w:p w14:paraId="2D07DCA0" w14:textId="77777777" w:rsidR="005F35BF" w:rsidRPr="00B52CE9" w:rsidRDefault="005F35BF" w:rsidP="00E5003D">
      <w:pPr>
        <w:pStyle w:val="Header"/>
        <w:tabs>
          <w:tab w:val="num" w:pos="1080"/>
        </w:tabs>
        <w:rPr>
          <w:szCs w:val="24"/>
        </w:rPr>
      </w:pPr>
    </w:p>
    <w:p w14:paraId="13845A46" w14:textId="3331C77F" w:rsidR="00307A25" w:rsidRPr="00B52CE9" w:rsidRDefault="00307A25" w:rsidP="00307A25">
      <w:pPr>
        <w:pStyle w:val="Header"/>
        <w:tabs>
          <w:tab w:val="num" w:pos="1080"/>
        </w:tabs>
        <w:rPr>
          <w:b/>
          <w:szCs w:val="24"/>
        </w:rPr>
      </w:pPr>
      <w:r w:rsidRPr="00B52CE9">
        <w:rPr>
          <w:b/>
        </w:rPr>
        <w:t xml:space="preserve">Division </w:t>
      </w:r>
      <w:r w:rsidR="00F73C53" w:rsidRPr="00B52CE9">
        <w:rPr>
          <w:b/>
        </w:rPr>
        <w:t>2</w:t>
      </w:r>
      <w:r w:rsidRPr="00B52CE9">
        <w:rPr>
          <w:b/>
        </w:rPr>
        <w:t>.1 of Schedule 2</w:t>
      </w:r>
    </w:p>
    <w:p w14:paraId="7142F31C" w14:textId="485859E6" w:rsidR="00307A25" w:rsidRPr="00B52CE9" w:rsidRDefault="00307A25" w:rsidP="00942398">
      <w:pPr>
        <w:pStyle w:val="Header"/>
        <w:tabs>
          <w:tab w:val="num" w:pos="1080"/>
        </w:tabs>
        <w:rPr>
          <w:szCs w:val="24"/>
        </w:rPr>
      </w:pPr>
      <w:r w:rsidRPr="00B52CE9">
        <w:rPr>
          <w:szCs w:val="24"/>
        </w:rPr>
        <w:t xml:space="preserve">Subgroup 4 </w:t>
      </w:r>
      <w:r w:rsidR="005F35BF" w:rsidRPr="00B52CE9">
        <w:rPr>
          <w:szCs w:val="24"/>
        </w:rPr>
        <w:t xml:space="preserve">of Group A40 </w:t>
      </w:r>
      <w:r w:rsidRPr="00B52CE9">
        <w:rPr>
          <w:szCs w:val="24"/>
        </w:rPr>
        <w:t>prescribes two equivalent initial and subsequent specialist attendance services by telehealth (91822 and 91823), which requires an audio and visual link. Subgroup 7 prescribes the equivalent phone services, which requires an audio link only (91832 and 91833).</w:t>
      </w:r>
    </w:p>
    <w:p w14:paraId="452B538B" w14:textId="51657DDD" w:rsidR="00307A25" w:rsidRPr="00B52CE9" w:rsidRDefault="00307A25" w:rsidP="00942398">
      <w:pPr>
        <w:pStyle w:val="Header"/>
        <w:tabs>
          <w:tab w:val="num" w:pos="1080"/>
        </w:tabs>
        <w:rPr>
          <w:szCs w:val="24"/>
        </w:rPr>
      </w:pPr>
    </w:p>
    <w:p w14:paraId="3D9A6E89" w14:textId="11C1D55F" w:rsidR="00307A25" w:rsidRPr="00B52CE9" w:rsidRDefault="00307A25" w:rsidP="00942398">
      <w:pPr>
        <w:pStyle w:val="Header"/>
        <w:tabs>
          <w:tab w:val="num" w:pos="1080"/>
        </w:tabs>
        <w:rPr>
          <w:szCs w:val="24"/>
        </w:rPr>
      </w:pPr>
      <w:r w:rsidRPr="00B52CE9">
        <w:rPr>
          <w:szCs w:val="24"/>
        </w:rPr>
        <w:t>Subgroup 5 prescribes three equivalent initial, subsequent and minor consultant physician attendance services by telehealth (91824, 91825 and 91826), which requires an audio and visual link. Subgroup 8 prescribes the equivalent phone services</w:t>
      </w:r>
      <w:r w:rsidR="005A4F12" w:rsidRPr="00B52CE9">
        <w:rPr>
          <w:szCs w:val="24"/>
        </w:rPr>
        <w:t xml:space="preserve"> (91834, 91835 and 91836)</w:t>
      </w:r>
      <w:r w:rsidRPr="00B52CE9">
        <w:rPr>
          <w:szCs w:val="24"/>
        </w:rPr>
        <w:t>, which requires an audio link only.</w:t>
      </w:r>
    </w:p>
    <w:p w14:paraId="229B4A10" w14:textId="50EAD618" w:rsidR="00307A25" w:rsidRPr="00B52CE9" w:rsidRDefault="00307A25" w:rsidP="00942398">
      <w:pPr>
        <w:pStyle w:val="Header"/>
        <w:tabs>
          <w:tab w:val="num" w:pos="1080"/>
        </w:tabs>
        <w:rPr>
          <w:szCs w:val="24"/>
        </w:rPr>
      </w:pPr>
    </w:p>
    <w:p w14:paraId="5C243C9F" w14:textId="5F7B7671" w:rsidR="00307A25" w:rsidRPr="00B52CE9" w:rsidRDefault="00307A25" w:rsidP="00942398">
      <w:pPr>
        <w:pStyle w:val="Header"/>
        <w:tabs>
          <w:tab w:val="num" w:pos="1080"/>
        </w:tabs>
        <w:rPr>
          <w:szCs w:val="24"/>
        </w:rPr>
      </w:pPr>
      <w:r w:rsidRPr="00B52CE9">
        <w:rPr>
          <w:szCs w:val="24"/>
        </w:rPr>
        <w:t>Subgroup 6 prescribes five equivalent consultant psychiatry attendance services by telehealth (91827, 91828, 91829, 91830 and 91831), which requires an audio and visual link. Subgroup 9 prescribes the equivalent phone services (91837, 91838, 91839, 91840 and 91841), which requires an audio link only.</w:t>
      </w:r>
    </w:p>
    <w:p w14:paraId="6C83E56D" w14:textId="05F1327F" w:rsidR="00F73C53" w:rsidRPr="00B52CE9" w:rsidRDefault="00F73C53" w:rsidP="00942398">
      <w:pPr>
        <w:pStyle w:val="Header"/>
        <w:tabs>
          <w:tab w:val="num" w:pos="1080"/>
        </w:tabs>
        <w:rPr>
          <w:szCs w:val="24"/>
        </w:rPr>
      </w:pPr>
    </w:p>
    <w:p w14:paraId="5F3271AA" w14:textId="6C29F2A6" w:rsidR="00485C74" w:rsidRPr="00B52CE9" w:rsidRDefault="00F73C53" w:rsidP="00942398">
      <w:pPr>
        <w:pStyle w:val="Header"/>
        <w:tabs>
          <w:tab w:val="num" w:pos="1080"/>
        </w:tabs>
        <w:rPr>
          <w:szCs w:val="24"/>
        </w:rPr>
      </w:pPr>
      <w:r w:rsidRPr="00B52CE9">
        <w:rPr>
          <w:szCs w:val="24"/>
        </w:rPr>
        <w:t xml:space="preserve">Subgroup 17 prescribes two telehealth services for the assessment and diagnosis for children with autism or another </w:t>
      </w:r>
      <w:r w:rsidR="00485C74" w:rsidRPr="00B52CE9">
        <w:rPr>
          <w:szCs w:val="24"/>
        </w:rPr>
        <w:t>pervasive</w:t>
      </w:r>
      <w:r w:rsidRPr="00B52CE9">
        <w:rPr>
          <w:szCs w:val="24"/>
        </w:rPr>
        <w:t xml:space="preserve"> development disorder (92140 and </w:t>
      </w:r>
      <w:r w:rsidR="00485C74" w:rsidRPr="00B52CE9">
        <w:rPr>
          <w:szCs w:val="24"/>
        </w:rPr>
        <w:t>92141), which requires an audio and visual link. Subgroup 18 prescribes the equivalent phone services (92143 and 92144), which requires an audio link only.</w:t>
      </w:r>
    </w:p>
    <w:p w14:paraId="34D23615" w14:textId="10696FDD" w:rsidR="00485C74" w:rsidRPr="00B52CE9" w:rsidRDefault="00485C74" w:rsidP="00942398">
      <w:pPr>
        <w:pStyle w:val="Header"/>
        <w:tabs>
          <w:tab w:val="num" w:pos="1080"/>
        </w:tabs>
        <w:rPr>
          <w:szCs w:val="24"/>
        </w:rPr>
      </w:pPr>
    </w:p>
    <w:p w14:paraId="37F522E3" w14:textId="274E7D89" w:rsidR="00485C74" w:rsidRPr="00B52CE9" w:rsidRDefault="00485C74" w:rsidP="00942398">
      <w:pPr>
        <w:pStyle w:val="Header"/>
        <w:tabs>
          <w:tab w:val="num" w:pos="1080"/>
        </w:tabs>
        <w:rPr>
          <w:szCs w:val="24"/>
        </w:rPr>
      </w:pPr>
      <w:r w:rsidRPr="00B52CE9">
        <w:rPr>
          <w:szCs w:val="24"/>
        </w:rPr>
        <w:t>Subgroup 23 prescribes two telehealth services for the preparation of an eating disorder treatment plan (92162 and 92163), which requires an audio and visual link. Subgroup 24 prescribes the equivalent phone services (92166 and 92167)</w:t>
      </w:r>
      <w:r w:rsidR="005A4F12" w:rsidRPr="00B52CE9">
        <w:rPr>
          <w:szCs w:val="24"/>
        </w:rPr>
        <w:t>, which requires an audio link only.</w:t>
      </w:r>
    </w:p>
    <w:p w14:paraId="03AAB7BB" w14:textId="285530D5" w:rsidR="00485C74" w:rsidRPr="00B52CE9" w:rsidRDefault="00485C74" w:rsidP="00942398">
      <w:pPr>
        <w:pStyle w:val="Header"/>
        <w:tabs>
          <w:tab w:val="num" w:pos="1080"/>
        </w:tabs>
        <w:rPr>
          <w:szCs w:val="24"/>
        </w:rPr>
      </w:pPr>
    </w:p>
    <w:p w14:paraId="673F1DD7" w14:textId="6E83E7BE" w:rsidR="00485C74" w:rsidRPr="00B52CE9" w:rsidRDefault="00485C74" w:rsidP="00942398">
      <w:pPr>
        <w:pStyle w:val="Header"/>
        <w:tabs>
          <w:tab w:val="num" w:pos="1080"/>
        </w:tabs>
        <w:rPr>
          <w:szCs w:val="24"/>
        </w:rPr>
      </w:pPr>
      <w:r w:rsidRPr="00B52CE9">
        <w:rPr>
          <w:szCs w:val="24"/>
        </w:rPr>
        <w:t xml:space="preserve">Subgroup 26 prescribes </w:t>
      </w:r>
      <w:r w:rsidR="005F35BF" w:rsidRPr="00B52CE9">
        <w:rPr>
          <w:szCs w:val="24"/>
        </w:rPr>
        <w:t>two</w:t>
      </w:r>
      <w:r w:rsidRPr="00B52CE9">
        <w:rPr>
          <w:szCs w:val="24"/>
        </w:rPr>
        <w:t xml:space="preserve"> </w:t>
      </w:r>
      <w:r w:rsidR="00C33251" w:rsidRPr="00B52CE9">
        <w:rPr>
          <w:szCs w:val="24"/>
        </w:rPr>
        <w:t>phone</w:t>
      </w:r>
      <w:r w:rsidRPr="00B52CE9">
        <w:rPr>
          <w:szCs w:val="24"/>
        </w:rPr>
        <w:t xml:space="preserve"> services for the review of an eating disorder plan by an eligible psychiatrist (92178</w:t>
      </w:r>
      <w:r w:rsidR="005F35BF" w:rsidRPr="00B52CE9">
        <w:rPr>
          <w:szCs w:val="24"/>
        </w:rPr>
        <w:t xml:space="preserve"> and 92179</w:t>
      </w:r>
      <w:r w:rsidRPr="00B52CE9">
        <w:rPr>
          <w:szCs w:val="24"/>
        </w:rPr>
        <w:t>), which requires an audio link</w:t>
      </w:r>
      <w:r w:rsidR="00C33251" w:rsidRPr="00B52CE9">
        <w:rPr>
          <w:szCs w:val="24"/>
        </w:rPr>
        <w:t xml:space="preserve"> only</w:t>
      </w:r>
      <w:r w:rsidRPr="00B52CE9">
        <w:rPr>
          <w:szCs w:val="24"/>
        </w:rPr>
        <w:t>.</w:t>
      </w:r>
      <w:r w:rsidR="00412C63" w:rsidRPr="00B52CE9">
        <w:rPr>
          <w:szCs w:val="24"/>
        </w:rPr>
        <w:t xml:space="preserve"> </w:t>
      </w:r>
    </w:p>
    <w:p w14:paraId="0D6CBEAD" w14:textId="77777777" w:rsidR="00485C74" w:rsidRPr="00B52CE9" w:rsidRDefault="00485C74" w:rsidP="00942398">
      <w:pPr>
        <w:pStyle w:val="Header"/>
        <w:tabs>
          <w:tab w:val="num" w:pos="1080"/>
        </w:tabs>
        <w:rPr>
          <w:szCs w:val="24"/>
        </w:rPr>
      </w:pPr>
    </w:p>
    <w:p w14:paraId="791D6CF6" w14:textId="21BCAF5D" w:rsidR="00307A25" w:rsidRPr="00B52CE9" w:rsidRDefault="00307A25" w:rsidP="00942398">
      <w:pPr>
        <w:pStyle w:val="Header"/>
        <w:tabs>
          <w:tab w:val="num" w:pos="1080"/>
        </w:tabs>
        <w:rPr>
          <w:b/>
          <w:szCs w:val="24"/>
        </w:rPr>
      </w:pPr>
      <w:r w:rsidRPr="00B52CE9">
        <w:rPr>
          <w:b/>
          <w:szCs w:val="24"/>
        </w:rPr>
        <w:t xml:space="preserve">Division </w:t>
      </w:r>
      <w:r w:rsidR="00412C63" w:rsidRPr="00B52CE9">
        <w:rPr>
          <w:b/>
          <w:szCs w:val="24"/>
        </w:rPr>
        <w:t>2</w:t>
      </w:r>
      <w:r w:rsidRPr="00B52CE9">
        <w:rPr>
          <w:b/>
          <w:szCs w:val="24"/>
        </w:rPr>
        <w:t>.2 of Schedule 2</w:t>
      </w:r>
    </w:p>
    <w:p w14:paraId="2A1039DB" w14:textId="106BA6A3" w:rsidR="00307A25" w:rsidRPr="00B52CE9" w:rsidRDefault="0006625C" w:rsidP="00942398">
      <w:pPr>
        <w:pStyle w:val="Header"/>
        <w:tabs>
          <w:tab w:val="num" w:pos="1080"/>
        </w:tabs>
        <w:rPr>
          <w:szCs w:val="24"/>
        </w:rPr>
      </w:pPr>
      <w:r w:rsidRPr="00B52CE9">
        <w:rPr>
          <w:szCs w:val="24"/>
        </w:rPr>
        <w:t xml:space="preserve">Subgroup 1 </w:t>
      </w:r>
      <w:r w:rsidR="00412C63" w:rsidRPr="00B52CE9">
        <w:rPr>
          <w:szCs w:val="24"/>
        </w:rPr>
        <w:t xml:space="preserve">of Group T4 </w:t>
      </w:r>
      <w:r w:rsidRPr="00B52CE9">
        <w:rPr>
          <w:szCs w:val="24"/>
        </w:rPr>
        <w:t>prescribes four equivalent postnatal attendance services by telehealth (91850, 91851, 91853 and 91853) which requires an audio and visual link. Subgroup 2</w:t>
      </w:r>
      <w:r w:rsidR="00412C63" w:rsidRPr="00B52CE9">
        <w:rPr>
          <w:szCs w:val="24"/>
        </w:rPr>
        <w:t xml:space="preserve"> of Group T4</w:t>
      </w:r>
      <w:r w:rsidRPr="00B52CE9">
        <w:rPr>
          <w:szCs w:val="24"/>
        </w:rPr>
        <w:t xml:space="preserve"> prescribes the equivalent phone services</w:t>
      </w:r>
      <w:r w:rsidR="00E557E3" w:rsidRPr="00B52CE9">
        <w:rPr>
          <w:szCs w:val="24"/>
        </w:rPr>
        <w:t xml:space="preserve"> (91855, 91856, 91857 and 91858)</w:t>
      </w:r>
      <w:r w:rsidRPr="00B52CE9">
        <w:rPr>
          <w:szCs w:val="24"/>
        </w:rPr>
        <w:t>, which requires an audio link only.</w:t>
      </w:r>
    </w:p>
    <w:p w14:paraId="3E41C3A2" w14:textId="77777777" w:rsidR="00C33251" w:rsidRPr="00B52CE9" w:rsidRDefault="00C33251" w:rsidP="00AA6E33">
      <w:pPr>
        <w:pStyle w:val="Header"/>
        <w:tabs>
          <w:tab w:val="num" w:pos="1080"/>
        </w:tabs>
        <w:rPr>
          <w:b/>
          <w:szCs w:val="24"/>
        </w:rPr>
      </w:pPr>
    </w:p>
    <w:p w14:paraId="5D5A8826" w14:textId="70DBE088" w:rsidR="002315E8" w:rsidRPr="00B52CE9" w:rsidRDefault="002315E8" w:rsidP="00AA6E33">
      <w:pPr>
        <w:pStyle w:val="Header"/>
        <w:tabs>
          <w:tab w:val="num" w:pos="1080"/>
        </w:tabs>
        <w:rPr>
          <w:b/>
          <w:szCs w:val="24"/>
        </w:rPr>
      </w:pPr>
      <w:r w:rsidRPr="00B52CE9">
        <w:rPr>
          <w:b/>
          <w:szCs w:val="24"/>
        </w:rPr>
        <w:t>Division 3.1.1 of Schedule 3</w:t>
      </w:r>
    </w:p>
    <w:p w14:paraId="00401685" w14:textId="7D39DBDD" w:rsidR="003F0C3A" w:rsidRPr="00B52CE9" w:rsidRDefault="002315E8" w:rsidP="002315E8">
      <w:pPr>
        <w:pStyle w:val="Header"/>
        <w:tabs>
          <w:tab w:val="num" w:pos="1080"/>
        </w:tabs>
        <w:rPr>
          <w:szCs w:val="24"/>
        </w:rPr>
      </w:pPr>
      <w:r w:rsidRPr="00B52CE9">
        <w:rPr>
          <w:szCs w:val="24"/>
        </w:rPr>
        <w:t>Division 3.1.1 of Schedule 3 prescribe</w:t>
      </w:r>
      <w:r w:rsidR="003F0C3A" w:rsidRPr="00B52CE9">
        <w:rPr>
          <w:szCs w:val="24"/>
        </w:rPr>
        <w:t xml:space="preserve">s </w:t>
      </w:r>
      <w:r w:rsidRPr="00B52CE9">
        <w:rPr>
          <w:szCs w:val="24"/>
        </w:rPr>
        <w:t xml:space="preserve">equivalent health treatment attendance items that can be performed by certain allied health providers by telehealth, which requires an audio and visual link. </w:t>
      </w:r>
    </w:p>
    <w:p w14:paraId="1FB3E296" w14:textId="13200172" w:rsidR="003F0C3A" w:rsidRPr="00B52CE9" w:rsidRDefault="003F0C3A" w:rsidP="002315E8">
      <w:pPr>
        <w:pStyle w:val="Header"/>
        <w:tabs>
          <w:tab w:val="num" w:pos="1080"/>
        </w:tabs>
        <w:rPr>
          <w:szCs w:val="24"/>
        </w:rPr>
      </w:pPr>
    </w:p>
    <w:p w14:paraId="692B5E35" w14:textId="32C8B845" w:rsidR="005F35BF" w:rsidRPr="00B52CE9" w:rsidRDefault="005F35BF" w:rsidP="002315E8">
      <w:pPr>
        <w:pStyle w:val="Header"/>
        <w:tabs>
          <w:tab w:val="num" w:pos="1080"/>
        </w:tabs>
        <w:rPr>
          <w:szCs w:val="24"/>
        </w:rPr>
      </w:pPr>
      <w:r w:rsidRPr="00B52CE9">
        <w:rPr>
          <w:szCs w:val="24"/>
        </w:rPr>
        <w:t>Subgroup 1 of Group M18 prescribes two psychological therapies services</w:t>
      </w:r>
      <w:r w:rsidR="0005592F" w:rsidRPr="00B52CE9">
        <w:rPr>
          <w:szCs w:val="24"/>
        </w:rPr>
        <w:t xml:space="preserve"> by telehealth (91166 and 91167), which requires an audio and visual link. Subgroup 6 of Group M18 prescribes the equivalent phone services</w:t>
      </w:r>
      <w:r w:rsidR="00E557E3" w:rsidRPr="00B52CE9">
        <w:rPr>
          <w:szCs w:val="24"/>
        </w:rPr>
        <w:t xml:space="preserve"> (91181 and 91182)</w:t>
      </w:r>
      <w:r w:rsidR="0005592F" w:rsidRPr="00B52CE9">
        <w:rPr>
          <w:szCs w:val="24"/>
        </w:rPr>
        <w:t>, which requires an audio link only. These services can be provided by an eligible clinical psychologist.</w:t>
      </w:r>
    </w:p>
    <w:p w14:paraId="4DAE43E1" w14:textId="7A8759F3" w:rsidR="0005592F" w:rsidRPr="00B52CE9" w:rsidRDefault="00E557E3" w:rsidP="002315E8">
      <w:pPr>
        <w:pStyle w:val="Header"/>
        <w:tabs>
          <w:tab w:val="num" w:pos="1080"/>
        </w:tabs>
        <w:rPr>
          <w:szCs w:val="24"/>
        </w:rPr>
      </w:pPr>
      <w:r w:rsidRPr="00B52CE9">
        <w:rPr>
          <w:szCs w:val="24"/>
        </w:rPr>
        <w:t xml:space="preserve"> </w:t>
      </w:r>
    </w:p>
    <w:p w14:paraId="22E948A1" w14:textId="312F5372" w:rsidR="0005592F" w:rsidRPr="00B52CE9" w:rsidRDefault="0005592F" w:rsidP="002315E8">
      <w:pPr>
        <w:pStyle w:val="Header"/>
        <w:tabs>
          <w:tab w:val="num" w:pos="1080"/>
        </w:tabs>
        <w:rPr>
          <w:szCs w:val="24"/>
        </w:rPr>
      </w:pPr>
      <w:r w:rsidRPr="00B52CE9">
        <w:rPr>
          <w:szCs w:val="24"/>
        </w:rPr>
        <w:t>Subgroup 2 of Group M18 prescribes two focussed psychological strategies services by telehealth (91169 and 91170), which requires an audio and visual link. Subgroup 7 of Group M18 prescribes the equivalent phone services</w:t>
      </w:r>
      <w:r w:rsidR="00E557E3" w:rsidRPr="00B52CE9">
        <w:rPr>
          <w:szCs w:val="24"/>
        </w:rPr>
        <w:t xml:space="preserve"> (91183 and 91184)</w:t>
      </w:r>
      <w:r w:rsidRPr="00B52CE9">
        <w:rPr>
          <w:szCs w:val="24"/>
        </w:rPr>
        <w:t>, which requires an audio link only. These services can be provided an eligible clinical psychologist.</w:t>
      </w:r>
    </w:p>
    <w:p w14:paraId="1ED8C352" w14:textId="14A6DB90" w:rsidR="0005592F" w:rsidRPr="00B52CE9" w:rsidRDefault="0005592F" w:rsidP="002315E8">
      <w:pPr>
        <w:pStyle w:val="Header"/>
        <w:tabs>
          <w:tab w:val="num" w:pos="1080"/>
        </w:tabs>
        <w:rPr>
          <w:szCs w:val="24"/>
        </w:rPr>
      </w:pPr>
    </w:p>
    <w:p w14:paraId="6041D60A" w14:textId="25C16745" w:rsidR="0005592F" w:rsidRPr="00B52CE9" w:rsidRDefault="0005592F" w:rsidP="002315E8">
      <w:pPr>
        <w:pStyle w:val="Header"/>
        <w:tabs>
          <w:tab w:val="num" w:pos="1080"/>
        </w:tabs>
        <w:rPr>
          <w:szCs w:val="24"/>
        </w:rPr>
      </w:pPr>
      <w:r w:rsidRPr="00B52CE9">
        <w:rPr>
          <w:szCs w:val="24"/>
        </w:rPr>
        <w:t>Subgroup 3 of Group M18 prescribes two focussed psychological strategies services by telehealth (91172 and 91173), which requires an audio and visual link. Subgroup 8 of Group M18 prescribes the equivalent phone services</w:t>
      </w:r>
      <w:r w:rsidR="00E557E3" w:rsidRPr="00B52CE9">
        <w:rPr>
          <w:szCs w:val="24"/>
        </w:rPr>
        <w:t xml:space="preserve"> (91185 and 91186)</w:t>
      </w:r>
      <w:r w:rsidRPr="00B52CE9">
        <w:rPr>
          <w:szCs w:val="24"/>
        </w:rPr>
        <w:t xml:space="preserve">, which requires an audio link only. These services can be provided an eligible occupational therapist. </w:t>
      </w:r>
    </w:p>
    <w:p w14:paraId="26AF7CFB" w14:textId="5A3204D0" w:rsidR="0005592F" w:rsidRPr="00B52CE9" w:rsidRDefault="0005592F" w:rsidP="002315E8">
      <w:pPr>
        <w:pStyle w:val="Header"/>
        <w:tabs>
          <w:tab w:val="num" w:pos="1080"/>
        </w:tabs>
        <w:rPr>
          <w:szCs w:val="24"/>
        </w:rPr>
      </w:pPr>
    </w:p>
    <w:p w14:paraId="4BEF8970" w14:textId="0F2A6C76" w:rsidR="0005592F" w:rsidRPr="00B52CE9" w:rsidRDefault="0005592F" w:rsidP="002315E8">
      <w:pPr>
        <w:pStyle w:val="Header"/>
        <w:tabs>
          <w:tab w:val="num" w:pos="1080"/>
        </w:tabs>
        <w:rPr>
          <w:szCs w:val="24"/>
        </w:rPr>
      </w:pPr>
      <w:r w:rsidRPr="00B52CE9">
        <w:rPr>
          <w:szCs w:val="24"/>
        </w:rPr>
        <w:t>Subgroup 4 of Group M18 prescribes two focussed psychological strategies services by telehealth (91175 and 91176),</w:t>
      </w:r>
      <w:r w:rsidRPr="00B52CE9">
        <w:t xml:space="preserve"> </w:t>
      </w:r>
      <w:r w:rsidRPr="00B52CE9">
        <w:rPr>
          <w:szCs w:val="24"/>
        </w:rPr>
        <w:t>which requires an audio and visual link. Subgroup 9 of Group M18 prescribes the equivalent phone services</w:t>
      </w:r>
      <w:r w:rsidR="00E557E3" w:rsidRPr="00B52CE9">
        <w:rPr>
          <w:szCs w:val="24"/>
        </w:rPr>
        <w:t xml:space="preserve"> (91187 and 91188)</w:t>
      </w:r>
      <w:r w:rsidRPr="00B52CE9">
        <w:rPr>
          <w:szCs w:val="24"/>
        </w:rPr>
        <w:t xml:space="preserve">, which requires an audio link only. These services can be provided an eligible social worker. </w:t>
      </w:r>
    </w:p>
    <w:p w14:paraId="70C1B040" w14:textId="21F3E4CA" w:rsidR="0005592F" w:rsidRPr="00B52CE9" w:rsidRDefault="0005592F" w:rsidP="002315E8">
      <w:pPr>
        <w:pStyle w:val="Header"/>
        <w:tabs>
          <w:tab w:val="num" w:pos="1080"/>
        </w:tabs>
        <w:rPr>
          <w:szCs w:val="24"/>
        </w:rPr>
      </w:pPr>
    </w:p>
    <w:p w14:paraId="249CD002" w14:textId="0F014ED7" w:rsidR="0005592F" w:rsidRPr="00B52CE9" w:rsidRDefault="0005592F" w:rsidP="002315E8">
      <w:pPr>
        <w:pStyle w:val="Header"/>
        <w:tabs>
          <w:tab w:val="num" w:pos="1080"/>
        </w:tabs>
        <w:rPr>
          <w:szCs w:val="24"/>
        </w:rPr>
      </w:pPr>
      <w:r w:rsidRPr="00B52CE9">
        <w:rPr>
          <w:szCs w:val="24"/>
        </w:rPr>
        <w:t>Subgroup 11 of Group M18 provides a telehealth attendance service (93000), which requires an audio and visual link. Subgroup 12 of Group M18 prescribes the equivalent phone service</w:t>
      </w:r>
      <w:r w:rsidR="00E557E3" w:rsidRPr="00B52CE9">
        <w:rPr>
          <w:szCs w:val="24"/>
        </w:rPr>
        <w:t xml:space="preserve"> (93013)</w:t>
      </w:r>
      <w:r w:rsidRPr="00B52CE9">
        <w:rPr>
          <w:szCs w:val="24"/>
        </w:rPr>
        <w:t>, which requires an audio link only</w:t>
      </w:r>
      <w:r w:rsidR="00E557E3" w:rsidRPr="00B52CE9">
        <w:rPr>
          <w:szCs w:val="24"/>
        </w:rPr>
        <w:t>.</w:t>
      </w:r>
      <w:r w:rsidRPr="00B52CE9">
        <w:rPr>
          <w:szCs w:val="24"/>
        </w:rPr>
        <w:t xml:space="preserve"> </w:t>
      </w:r>
      <w:r w:rsidR="00137D42" w:rsidRPr="00B52CE9">
        <w:rPr>
          <w:szCs w:val="24"/>
        </w:rPr>
        <w:t>These services can be provided by an eligible allied health practitioner.</w:t>
      </w:r>
    </w:p>
    <w:p w14:paraId="5DAC0042" w14:textId="41573345" w:rsidR="00137D42" w:rsidRPr="00B52CE9" w:rsidRDefault="00137D42" w:rsidP="002315E8">
      <w:pPr>
        <w:pStyle w:val="Header"/>
        <w:tabs>
          <w:tab w:val="num" w:pos="1080"/>
        </w:tabs>
        <w:rPr>
          <w:szCs w:val="24"/>
        </w:rPr>
      </w:pPr>
    </w:p>
    <w:p w14:paraId="4956A46D" w14:textId="60D55595" w:rsidR="00137D42" w:rsidRPr="00B52CE9" w:rsidRDefault="00137D42" w:rsidP="002315E8">
      <w:pPr>
        <w:pStyle w:val="Header"/>
        <w:tabs>
          <w:tab w:val="num" w:pos="1080"/>
        </w:tabs>
        <w:rPr>
          <w:szCs w:val="24"/>
        </w:rPr>
      </w:pPr>
      <w:r w:rsidRPr="00B52CE9">
        <w:rPr>
          <w:szCs w:val="24"/>
        </w:rPr>
        <w:t>Subgroup 13 of Group M18 provides</w:t>
      </w:r>
      <w:r w:rsidRPr="00B52CE9">
        <w:t xml:space="preserve"> a </w:t>
      </w:r>
      <w:r w:rsidRPr="00B52CE9">
        <w:rPr>
          <w:szCs w:val="24"/>
        </w:rPr>
        <w:t>pregnancy support counselling services by telehealth (93026) which requires an audio and visual link. Subgroup 14 of Group M18 prescribes the equivalent phone service</w:t>
      </w:r>
      <w:r w:rsidR="00E557E3" w:rsidRPr="00B52CE9">
        <w:rPr>
          <w:szCs w:val="24"/>
        </w:rPr>
        <w:t xml:space="preserve"> (93029)</w:t>
      </w:r>
      <w:r w:rsidRPr="00B52CE9">
        <w:rPr>
          <w:szCs w:val="24"/>
        </w:rPr>
        <w:t>, which requires an audio link only. These services can be provided by an eligible psychologist, eligible social worker or eligible mental health nurse</w:t>
      </w:r>
      <w:r w:rsidR="00E557E3" w:rsidRPr="00B52CE9">
        <w:rPr>
          <w:szCs w:val="24"/>
        </w:rPr>
        <w:t>.</w:t>
      </w:r>
    </w:p>
    <w:p w14:paraId="0A167C61" w14:textId="319B33CD" w:rsidR="005F35BF" w:rsidRPr="00B52CE9" w:rsidRDefault="005F35BF" w:rsidP="002315E8">
      <w:pPr>
        <w:pStyle w:val="Header"/>
        <w:tabs>
          <w:tab w:val="num" w:pos="1080"/>
        </w:tabs>
        <w:rPr>
          <w:szCs w:val="24"/>
        </w:rPr>
      </w:pPr>
    </w:p>
    <w:p w14:paraId="27390BFF" w14:textId="438A1A2A" w:rsidR="00137D42" w:rsidRPr="00B52CE9" w:rsidRDefault="00137D42" w:rsidP="002315E8">
      <w:pPr>
        <w:pStyle w:val="Header"/>
        <w:tabs>
          <w:tab w:val="num" w:pos="1080"/>
        </w:tabs>
        <w:rPr>
          <w:szCs w:val="24"/>
        </w:rPr>
      </w:pPr>
      <w:r w:rsidRPr="00B52CE9">
        <w:rPr>
          <w:szCs w:val="24"/>
        </w:rPr>
        <w:t>Subgroup 15 of Group M18 provides psychological health service</w:t>
      </w:r>
      <w:r w:rsidR="00D25061" w:rsidRPr="00B52CE9">
        <w:rPr>
          <w:szCs w:val="24"/>
        </w:rPr>
        <w:t xml:space="preserve"> for a child</w:t>
      </w:r>
      <w:r w:rsidRPr="00B52CE9">
        <w:rPr>
          <w:szCs w:val="24"/>
        </w:rPr>
        <w:t xml:space="preserve"> by telehealth (93032 and 93035), which requires an audio and visual link. Subgroup 16 of Group M18 prescribes the equivalent phone services</w:t>
      </w:r>
      <w:r w:rsidR="00E557E3" w:rsidRPr="00B52CE9">
        <w:rPr>
          <w:szCs w:val="24"/>
        </w:rPr>
        <w:t xml:space="preserve"> (93040 and 93043)</w:t>
      </w:r>
      <w:r w:rsidRPr="00B52CE9">
        <w:rPr>
          <w:szCs w:val="24"/>
        </w:rPr>
        <w:t xml:space="preserve">, which requires an audio link only </w:t>
      </w:r>
      <w:proofErr w:type="gramStart"/>
      <w:r w:rsidR="00D25061" w:rsidRPr="00B52CE9">
        <w:rPr>
          <w:szCs w:val="24"/>
        </w:rPr>
        <w:t>These</w:t>
      </w:r>
      <w:proofErr w:type="gramEnd"/>
      <w:r w:rsidR="00D25061" w:rsidRPr="00B52CE9">
        <w:rPr>
          <w:szCs w:val="24"/>
        </w:rPr>
        <w:t xml:space="preserve"> services can be provided by an eligible psychologist.</w:t>
      </w:r>
    </w:p>
    <w:p w14:paraId="3BC95E94" w14:textId="77777777" w:rsidR="00137D42" w:rsidRPr="00B52CE9" w:rsidRDefault="00137D42" w:rsidP="002315E8">
      <w:pPr>
        <w:pStyle w:val="Header"/>
        <w:tabs>
          <w:tab w:val="num" w:pos="1080"/>
        </w:tabs>
        <w:rPr>
          <w:szCs w:val="24"/>
        </w:rPr>
      </w:pPr>
    </w:p>
    <w:p w14:paraId="00CB139B" w14:textId="527FCC63" w:rsidR="00137D42" w:rsidRPr="00B52CE9" w:rsidRDefault="00137D42" w:rsidP="002315E8">
      <w:pPr>
        <w:pStyle w:val="Header"/>
        <w:tabs>
          <w:tab w:val="num" w:pos="1080"/>
        </w:tabs>
        <w:rPr>
          <w:szCs w:val="24"/>
        </w:rPr>
      </w:pPr>
      <w:r w:rsidRPr="00B52CE9">
        <w:rPr>
          <w:szCs w:val="24"/>
        </w:rPr>
        <w:t xml:space="preserve">Subgroup 15 also provides speech pathology, occupational therapy, audiology, optometry, </w:t>
      </w:r>
      <w:proofErr w:type="spellStart"/>
      <w:r w:rsidRPr="00B52CE9">
        <w:rPr>
          <w:szCs w:val="24"/>
        </w:rPr>
        <w:t>orthoptic</w:t>
      </w:r>
      <w:proofErr w:type="spellEnd"/>
      <w:r w:rsidRPr="00B52CE9">
        <w:rPr>
          <w:szCs w:val="24"/>
        </w:rPr>
        <w:t xml:space="preserve"> or physiotherapy health service by telehealth (93033 and 93036), which requires an audio and visual link. </w:t>
      </w:r>
      <w:r w:rsidR="00D25061" w:rsidRPr="00B52CE9">
        <w:rPr>
          <w:szCs w:val="24"/>
        </w:rPr>
        <w:t>Subgroup 16 of Group M18 also prescribes the equivalent phone services</w:t>
      </w:r>
      <w:r w:rsidR="00E557E3" w:rsidRPr="00B52CE9">
        <w:rPr>
          <w:szCs w:val="24"/>
        </w:rPr>
        <w:t xml:space="preserve"> (93041 and 93044)</w:t>
      </w:r>
      <w:r w:rsidR="00D25061" w:rsidRPr="00B52CE9">
        <w:rPr>
          <w:szCs w:val="24"/>
        </w:rPr>
        <w:t>, which requires an audio link only</w:t>
      </w:r>
      <w:r w:rsidR="00E557E3" w:rsidRPr="00B52CE9">
        <w:rPr>
          <w:szCs w:val="24"/>
        </w:rPr>
        <w:t>.</w:t>
      </w:r>
      <w:r w:rsidR="00D25061" w:rsidRPr="00B52CE9">
        <w:rPr>
          <w:szCs w:val="24"/>
        </w:rPr>
        <w:t xml:space="preserve"> </w:t>
      </w:r>
      <w:r w:rsidRPr="00B52CE9">
        <w:rPr>
          <w:szCs w:val="24"/>
        </w:rPr>
        <w:t>These services can be provided by an eligible speech pathologist, occupational therapist, audiologist, orthoptist or physiotherapist.</w:t>
      </w:r>
    </w:p>
    <w:p w14:paraId="3E163641" w14:textId="21FF0B5E" w:rsidR="00A9126E" w:rsidRPr="00B52CE9" w:rsidRDefault="00A9126E" w:rsidP="002315E8">
      <w:pPr>
        <w:pStyle w:val="Header"/>
        <w:tabs>
          <w:tab w:val="num" w:pos="1080"/>
        </w:tabs>
        <w:rPr>
          <w:szCs w:val="24"/>
        </w:rPr>
      </w:pPr>
    </w:p>
    <w:p w14:paraId="5063E027" w14:textId="2065EE4C" w:rsidR="00A9126E" w:rsidRPr="00B52CE9" w:rsidRDefault="00A9126E" w:rsidP="002315E8">
      <w:pPr>
        <w:pStyle w:val="Header"/>
        <w:tabs>
          <w:tab w:val="num" w:pos="1080"/>
        </w:tabs>
        <w:rPr>
          <w:szCs w:val="24"/>
        </w:rPr>
      </w:pPr>
      <w:r w:rsidRPr="00B52CE9">
        <w:rPr>
          <w:szCs w:val="24"/>
        </w:rPr>
        <w:t>Subgroup 17 of Group M18 provides a telehealth attendance services for a person of Aboriginal and Torres Strait Islander descent (93048)</w:t>
      </w:r>
      <w:r w:rsidR="005867FB" w:rsidRPr="00B52CE9">
        <w:rPr>
          <w:szCs w:val="24"/>
        </w:rPr>
        <w:t>, which requires an audio and visual link</w:t>
      </w:r>
      <w:r w:rsidRPr="00B52CE9">
        <w:rPr>
          <w:szCs w:val="24"/>
        </w:rPr>
        <w:t>. Subgroup 18 of Group M18 prescribes the equivalent phone service</w:t>
      </w:r>
      <w:r w:rsidR="00E557E3" w:rsidRPr="00B52CE9">
        <w:rPr>
          <w:szCs w:val="24"/>
        </w:rPr>
        <w:t xml:space="preserve"> (93061)</w:t>
      </w:r>
      <w:r w:rsidRPr="00B52CE9">
        <w:rPr>
          <w:szCs w:val="24"/>
        </w:rPr>
        <w:t>, which requires an audio link only</w:t>
      </w:r>
      <w:r w:rsidR="00E557E3" w:rsidRPr="00B52CE9">
        <w:rPr>
          <w:szCs w:val="24"/>
        </w:rPr>
        <w:t>.</w:t>
      </w:r>
      <w:r w:rsidRPr="00B52CE9">
        <w:rPr>
          <w:szCs w:val="24"/>
        </w:rPr>
        <w:t xml:space="preserve"> </w:t>
      </w:r>
      <w:r w:rsidR="005867FB" w:rsidRPr="00B52CE9">
        <w:rPr>
          <w:szCs w:val="24"/>
        </w:rPr>
        <w:t>These services can be provided by an eligible allied health practitioner.</w:t>
      </w:r>
    </w:p>
    <w:p w14:paraId="5F44F6C0" w14:textId="77777777" w:rsidR="00C33251" w:rsidRPr="00B52CE9" w:rsidRDefault="00C33251" w:rsidP="002315E8">
      <w:pPr>
        <w:pStyle w:val="Header"/>
        <w:tabs>
          <w:tab w:val="num" w:pos="1080"/>
        </w:tabs>
        <w:rPr>
          <w:szCs w:val="24"/>
        </w:rPr>
      </w:pPr>
    </w:p>
    <w:p w14:paraId="4378655D" w14:textId="5C0D78F9" w:rsidR="005867FB" w:rsidRPr="00B52CE9" w:rsidRDefault="005867FB" w:rsidP="002315E8">
      <w:pPr>
        <w:pStyle w:val="Header"/>
        <w:tabs>
          <w:tab w:val="num" w:pos="1080"/>
        </w:tabs>
        <w:rPr>
          <w:szCs w:val="24"/>
        </w:rPr>
      </w:pPr>
      <w:r w:rsidRPr="00B52CE9">
        <w:rPr>
          <w:szCs w:val="24"/>
        </w:rPr>
        <w:t xml:space="preserve">Subgroup 19 of Group M18 provides an eating disorder dietetics service by telehealth (93074), which requires an audio and visual link. </w:t>
      </w:r>
      <w:r w:rsidR="00C33251" w:rsidRPr="00B52CE9">
        <w:rPr>
          <w:szCs w:val="24"/>
        </w:rPr>
        <w:t xml:space="preserve">Subgroup 21 prescribes the equivalent phone service (93108), which requires an audio link only. </w:t>
      </w:r>
      <w:r w:rsidRPr="00B52CE9">
        <w:rPr>
          <w:szCs w:val="24"/>
        </w:rPr>
        <w:t>Th</w:t>
      </w:r>
      <w:r w:rsidR="00C33251" w:rsidRPr="00B52CE9">
        <w:rPr>
          <w:szCs w:val="24"/>
        </w:rPr>
        <w:t>ese</w:t>
      </w:r>
      <w:r w:rsidRPr="00B52CE9">
        <w:rPr>
          <w:szCs w:val="24"/>
        </w:rPr>
        <w:t xml:space="preserve"> service</w:t>
      </w:r>
      <w:r w:rsidR="00C33251" w:rsidRPr="00B52CE9">
        <w:rPr>
          <w:szCs w:val="24"/>
        </w:rPr>
        <w:t>s</w:t>
      </w:r>
      <w:r w:rsidRPr="00B52CE9">
        <w:rPr>
          <w:szCs w:val="24"/>
        </w:rPr>
        <w:t xml:space="preserve"> can be provided by an eligible dietitian. </w:t>
      </w:r>
    </w:p>
    <w:p w14:paraId="10377ACA" w14:textId="7215E41A" w:rsidR="005867FB" w:rsidRPr="00B52CE9" w:rsidRDefault="005867FB" w:rsidP="002315E8">
      <w:pPr>
        <w:pStyle w:val="Header"/>
        <w:tabs>
          <w:tab w:val="num" w:pos="1080"/>
        </w:tabs>
        <w:rPr>
          <w:szCs w:val="24"/>
        </w:rPr>
      </w:pPr>
    </w:p>
    <w:p w14:paraId="4CDCB035" w14:textId="6A0569D9" w:rsidR="005867FB" w:rsidRPr="00B52CE9" w:rsidRDefault="005867FB" w:rsidP="002315E8">
      <w:pPr>
        <w:pStyle w:val="Header"/>
        <w:tabs>
          <w:tab w:val="num" w:pos="1080"/>
        </w:tabs>
        <w:rPr>
          <w:szCs w:val="24"/>
        </w:rPr>
      </w:pPr>
      <w:r w:rsidRPr="00B52CE9">
        <w:rPr>
          <w:szCs w:val="24"/>
        </w:rPr>
        <w:t xml:space="preserve">Subgroup 20 of Group M18 provides </w:t>
      </w:r>
      <w:r w:rsidR="00261E06" w:rsidRPr="00B52CE9">
        <w:rPr>
          <w:szCs w:val="24"/>
        </w:rPr>
        <w:t xml:space="preserve">eight eating disorder psychological treatment services by telehealth (93076, 93079, 93084, 93087, 93092, 93095, 93100 and 93103), which requires an audio and visual link. These services can be provided by an eligible clinical psychologist (93076, 93079, 93084 and 93087), an eligible occupational therapist (93092 and 93095), and eligible social worker (93100 and 93103). Subgroup 22 prescribes the equivalent phone service which </w:t>
      </w:r>
      <w:r w:rsidR="00494EB9" w:rsidRPr="00B52CE9">
        <w:rPr>
          <w:szCs w:val="24"/>
        </w:rPr>
        <w:t>c</w:t>
      </w:r>
      <w:r w:rsidR="00261E06" w:rsidRPr="00B52CE9">
        <w:rPr>
          <w:szCs w:val="24"/>
        </w:rPr>
        <w:t>an be provided by an eligible clinical psychologist (93110 and 93113), an eligible psychologist (93118 and 93121), an eligible occupational therapist (93126 and 93129) or an eligible social worker (93134 and 93137).</w:t>
      </w:r>
    </w:p>
    <w:p w14:paraId="33CE395D" w14:textId="2DC91391" w:rsidR="00261E06" w:rsidRPr="00B52CE9" w:rsidRDefault="00261E06" w:rsidP="002315E8">
      <w:pPr>
        <w:pStyle w:val="Header"/>
        <w:tabs>
          <w:tab w:val="num" w:pos="1080"/>
        </w:tabs>
        <w:rPr>
          <w:szCs w:val="24"/>
        </w:rPr>
      </w:pPr>
    </w:p>
    <w:p w14:paraId="36B0E60B" w14:textId="691228F8" w:rsidR="00DE5412" w:rsidRPr="00B52CE9" w:rsidRDefault="00DE5412" w:rsidP="002315E8">
      <w:pPr>
        <w:pStyle w:val="Header"/>
        <w:tabs>
          <w:tab w:val="num" w:pos="1080"/>
        </w:tabs>
        <w:rPr>
          <w:szCs w:val="24"/>
          <w:u w:val="single"/>
        </w:rPr>
      </w:pPr>
      <w:r w:rsidRPr="00B52CE9">
        <w:rPr>
          <w:szCs w:val="24"/>
          <w:u w:val="single"/>
        </w:rPr>
        <w:t>Schedule 4 – Nurse practitioner and midwife services</w:t>
      </w:r>
    </w:p>
    <w:p w14:paraId="78BAAC73" w14:textId="611B7372" w:rsidR="0070172A" w:rsidRPr="00B52CE9" w:rsidRDefault="00261E06" w:rsidP="002315E8">
      <w:pPr>
        <w:pStyle w:val="Header"/>
        <w:tabs>
          <w:tab w:val="num" w:pos="1080"/>
        </w:tabs>
        <w:rPr>
          <w:szCs w:val="24"/>
        </w:rPr>
      </w:pPr>
      <w:r w:rsidRPr="00B52CE9">
        <w:rPr>
          <w:szCs w:val="24"/>
        </w:rPr>
        <w:t>Schedule 4 of the Determination prescribes the COVID-19 telehealth and phone consultation services provided by nurse practitioners and midwives. These services can be rendered to all Australians and must be bulk-billed.</w:t>
      </w:r>
    </w:p>
    <w:p w14:paraId="27D1ED8E" w14:textId="428D6B0F" w:rsidR="00261E06" w:rsidRPr="00B52CE9" w:rsidRDefault="00261E06" w:rsidP="002315E8">
      <w:pPr>
        <w:pStyle w:val="Header"/>
        <w:tabs>
          <w:tab w:val="num" w:pos="1080"/>
        </w:tabs>
        <w:rPr>
          <w:szCs w:val="24"/>
          <w:u w:val="single"/>
        </w:rPr>
      </w:pPr>
    </w:p>
    <w:p w14:paraId="7C3C5164" w14:textId="0C0911CF" w:rsidR="0070172A" w:rsidRPr="00B52CE9" w:rsidRDefault="0070172A" w:rsidP="002315E8">
      <w:pPr>
        <w:pStyle w:val="Header"/>
        <w:tabs>
          <w:tab w:val="num" w:pos="1080"/>
        </w:tabs>
        <w:rPr>
          <w:b/>
          <w:szCs w:val="24"/>
        </w:rPr>
      </w:pPr>
      <w:r w:rsidRPr="00B52CE9">
        <w:rPr>
          <w:b/>
          <w:szCs w:val="24"/>
        </w:rPr>
        <w:t>Division 4.1 of Schedule 4</w:t>
      </w:r>
    </w:p>
    <w:p w14:paraId="407A9AD4" w14:textId="7EA5B698" w:rsidR="0070172A" w:rsidRPr="00B52CE9" w:rsidRDefault="00E4607F" w:rsidP="002315E8">
      <w:pPr>
        <w:pStyle w:val="Header"/>
        <w:tabs>
          <w:tab w:val="num" w:pos="1080"/>
        </w:tabs>
        <w:rPr>
          <w:szCs w:val="24"/>
        </w:rPr>
      </w:pPr>
      <w:r w:rsidRPr="00B52CE9">
        <w:rPr>
          <w:szCs w:val="24"/>
        </w:rPr>
        <w:t xml:space="preserve">Subgroup 5 of Group M18 </w:t>
      </w:r>
      <w:r w:rsidR="0070172A" w:rsidRPr="00B52CE9">
        <w:rPr>
          <w:szCs w:val="24"/>
        </w:rPr>
        <w:t xml:space="preserve">prescribes four equivalent Level A to D participating nurse practitioner attendance services by telehealth (items 91192, 91178, 91179 and 91180), which requires an audio and visual link. Subgroup 10 </w:t>
      </w:r>
      <w:r w:rsidR="00465ABB" w:rsidRPr="00B52CE9">
        <w:rPr>
          <w:szCs w:val="24"/>
        </w:rPr>
        <w:t xml:space="preserve">of Group M18 </w:t>
      </w:r>
      <w:r w:rsidR="0070172A" w:rsidRPr="00B52CE9">
        <w:rPr>
          <w:szCs w:val="24"/>
        </w:rPr>
        <w:t>prescribes the equivalent phone services</w:t>
      </w:r>
      <w:r w:rsidR="00465ABB" w:rsidRPr="00B52CE9">
        <w:rPr>
          <w:szCs w:val="24"/>
        </w:rPr>
        <w:t xml:space="preserve"> (91193, 91189, 91190 and 91191)</w:t>
      </w:r>
      <w:r w:rsidR="00261E06" w:rsidRPr="00B52CE9">
        <w:rPr>
          <w:szCs w:val="24"/>
        </w:rPr>
        <w:t xml:space="preserve">, </w:t>
      </w:r>
      <w:r w:rsidR="0070172A" w:rsidRPr="00B52CE9">
        <w:rPr>
          <w:szCs w:val="24"/>
        </w:rPr>
        <w:t>which requires an audio link only</w:t>
      </w:r>
      <w:r w:rsidR="00465ABB" w:rsidRPr="00B52CE9">
        <w:rPr>
          <w:szCs w:val="24"/>
        </w:rPr>
        <w:t>.</w:t>
      </w:r>
      <w:r w:rsidR="0070172A" w:rsidRPr="00B52CE9">
        <w:rPr>
          <w:szCs w:val="24"/>
        </w:rPr>
        <w:t xml:space="preserve"> </w:t>
      </w:r>
    </w:p>
    <w:p w14:paraId="1B5E7926" w14:textId="0E1CFE2B" w:rsidR="00465ABB" w:rsidRPr="00B52CE9" w:rsidRDefault="00465ABB" w:rsidP="002315E8">
      <w:pPr>
        <w:pStyle w:val="Header"/>
        <w:tabs>
          <w:tab w:val="num" w:pos="1080"/>
        </w:tabs>
        <w:rPr>
          <w:szCs w:val="24"/>
        </w:rPr>
      </w:pPr>
    </w:p>
    <w:p w14:paraId="06B25330" w14:textId="77780BCE" w:rsidR="00465ABB" w:rsidRPr="00B52CE9" w:rsidRDefault="00465ABB" w:rsidP="0070172A">
      <w:pPr>
        <w:pStyle w:val="Header"/>
        <w:tabs>
          <w:tab w:val="num" w:pos="1080"/>
        </w:tabs>
        <w:rPr>
          <w:b/>
          <w:szCs w:val="24"/>
        </w:rPr>
      </w:pPr>
      <w:r w:rsidRPr="00B52CE9">
        <w:rPr>
          <w:b/>
          <w:szCs w:val="24"/>
        </w:rPr>
        <w:t>Division 4.2 of Schedule 4</w:t>
      </w:r>
    </w:p>
    <w:p w14:paraId="3AF1BC5A" w14:textId="750F03B6" w:rsidR="0070172A" w:rsidRPr="00B52CE9" w:rsidRDefault="00465ABB" w:rsidP="0070172A">
      <w:pPr>
        <w:pStyle w:val="Header"/>
        <w:tabs>
          <w:tab w:val="num" w:pos="1080"/>
        </w:tabs>
        <w:rPr>
          <w:szCs w:val="24"/>
        </w:rPr>
      </w:pPr>
      <w:r w:rsidRPr="00B52CE9">
        <w:rPr>
          <w:szCs w:val="24"/>
        </w:rPr>
        <w:t>Subgroup 1 of Group M19 prescribes f</w:t>
      </w:r>
      <w:r w:rsidR="0070172A" w:rsidRPr="00B52CE9">
        <w:rPr>
          <w:szCs w:val="24"/>
        </w:rPr>
        <w:t>our</w:t>
      </w:r>
      <w:r w:rsidR="00261E06" w:rsidRPr="00B52CE9">
        <w:t xml:space="preserve"> </w:t>
      </w:r>
      <w:r w:rsidR="00261E06" w:rsidRPr="00B52CE9">
        <w:rPr>
          <w:szCs w:val="24"/>
        </w:rPr>
        <w:t>antenatal</w:t>
      </w:r>
      <w:r w:rsidR="0070172A" w:rsidRPr="00B52CE9">
        <w:rPr>
          <w:szCs w:val="24"/>
        </w:rPr>
        <w:t xml:space="preserve"> </w:t>
      </w:r>
      <w:r w:rsidR="00261E06" w:rsidRPr="00B52CE9">
        <w:rPr>
          <w:szCs w:val="24"/>
        </w:rPr>
        <w:t xml:space="preserve">services by telehealth </w:t>
      </w:r>
      <w:r w:rsidRPr="00B52CE9">
        <w:rPr>
          <w:szCs w:val="24"/>
        </w:rPr>
        <w:t>(91211, 91212, 91214 and 91215)</w:t>
      </w:r>
      <w:r w:rsidR="0070172A" w:rsidRPr="00B52CE9">
        <w:rPr>
          <w:szCs w:val="24"/>
        </w:rPr>
        <w:t xml:space="preserve">, which requires an audio and visual link. </w:t>
      </w:r>
      <w:r w:rsidRPr="00B52CE9">
        <w:rPr>
          <w:szCs w:val="24"/>
        </w:rPr>
        <w:t xml:space="preserve">Subgroup 2 of Group M19 prescribes the equivalent phone services (91218, 91219, 91221 and 91222) </w:t>
      </w:r>
      <w:r w:rsidR="0070172A" w:rsidRPr="00B52CE9">
        <w:rPr>
          <w:szCs w:val="24"/>
        </w:rPr>
        <w:t xml:space="preserve">which requires an audio link only. </w:t>
      </w:r>
    </w:p>
    <w:p w14:paraId="22A3B9A5" w14:textId="76FBFF99" w:rsidR="0070172A" w:rsidRPr="00B52CE9" w:rsidRDefault="0070172A" w:rsidP="0070172A">
      <w:pPr>
        <w:pStyle w:val="Header"/>
        <w:tabs>
          <w:tab w:val="num" w:pos="1080"/>
        </w:tabs>
        <w:rPr>
          <w:szCs w:val="24"/>
        </w:rPr>
      </w:pPr>
    </w:p>
    <w:p w14:paraId="67DB37AB" w14:textId="79458EE1" w:rsidR="00465ABB" w:rsidRPr="00B52CE9" w:rsidRDefault="00465ABB" w:rsidP="0070172A">
      <w:pPr>
        <w:pStyle w:val="Header"/>
        <w:tabs>
          <w:tab w:val="num" w:pos="1080"/>
        </w:tabs>
        <w:rPr>
          <w:b/>
          <w:szCs w:val="24"/>
        </w:rPr>
      </w:pPr>
      <w:r w:rsidRPr="00B52CE9">
        <w:rPr>
          <w:b/>
          <w:szCs w:val="24"/>
        </w:rPr>
        <w:t>Schedule 4 – Repeals</w:t>
      </w:r>
    </w:p>
    <w:p w14:paraId="11C9BE5C" w14:textId="4AEDD940" w:rsidR="00465ABB" w:rsidRPr="00B52CE9" w:rsidRDefault="00465ABB" w:rsidP="0070172A">
      <w:pPr>
        <w:pStyle w:val="Header"/>
        <w:tabs>
          <w:tab w:val="num" w:pos="1080"/>
        </w:tabs>
        <w:rPr>
          <w:szCs w:val="24"/>
        </w:rPr>
      </w:pPr>
      <w:r w:rsidRPr="00B52CE9">
        <w:rPr>
          <w:szCs w:val="24"/>
        </w:rPr>
        <w:t xml:space="preserve">Schedule 4 repeals the </w:t>
      </w:r>
      <w:r w:rsidRPr="00B52CE9">
        <w:rPr>
          <w:i/>
          <w:szCs w:val="24"/>
        </w:rPr>
        <w:t>Health Insurance (Section 3C General Medical Services - COVID-19 Services) Determination 2020.</w:t>
      </w:r>
    </w:p>
    <w:p w14:paraId="5F91DA38" w14:textId="77777777" w:rsidR="00465ABB" w:rsidRPr="00B52CE9" w:rsidRDefault="00465ABB" w:rsidP="0070172A">
      <w:pPr>
        <w:pStyle w:val="Header"/>
        <w:tabs>
          <w:tab w:val="num" w:pos="1080"/>
        </w:tabs>
        <w:rPr>
          <w:szCs w:val="24"/>
        </w:rPr>
      </w:pPr>
    </w:p>
    <w:p w14:paraId="47597293" w14:textId="77777777" w:rsidR="0070172A" w:rsidRPr="00B52CE9" w:rsidRDefault="0070172A" w:rsidP="0070172A">
      <w:pPr>
        <w:pStyle w:val="Header"/>
        <w:tabs>
          <w:tab w:val="num" w:pos="1080"/>
        </w:tabs>
        <w:rPr>
          <w:szCs w:val="24"/>
        </w:rPr>
      </w:pPr>
    </w:p>
    <w:p w14:paraId="301E4CD5" w14:textId="77777777" w:rsidR="00DE5412" w:rsidRPr="00B52CE9" w:rsidRDefault="00DE5412" w:rsidP="002315E8">
      <w:pPr>
        <w:pStyle w:val="Header"/>
        <w:tabs>
          <w:tab w:val="num" w:pos="1080"/>
        </w:tabs>
        <w:rPr>
          <w:szCs w:val="24"/>
        </w:rPr>
      </w:pPr>
    </w:p>
    <w:p w14:paraId="42FC3931" w14:textId="77777777" w:rsidR="002315E8" w:rsidRPr="00B52CE9" w:rsidRDefault="002315E8" w:rsidP="002315E8">
      <w:pPr>
        <w:pStyle w:val="Header"/>
        <w:tabs>
          <w:tab w:val="num" w:pos="1080"/>
        </w:tabs>
        <w:rPr>
          <w:szCs w:val="24"/>
        </w:rPr>
      </w:pPr>
    </w:p>
    <w:p w14:paraId="023806A9" w14:textId="2F570D00" w:rsidR="00AA6E33" w:rsidRPr="00B52CE9" w:rsidRDefault="00AA6E33">
      <w:pPr>
        <w:spacing w:after="200" w:line="276" w:lineRule="auto"/>
        <w:rPr>
          <w:b/>
          <w:sz w:val="28"/>
          <w:szCs w:val="28"/>
        </w:rPr>
      </w:pPr>
      <w:r w:rsidRPr="00B52CE9">
        <w:rPr>
          <w:b/>
          <w:sz w:val="28"/>
          <w:szCs w:val="28"/>
        </w:rPr>
        <w:br w:type="page"/>
      </w:r>
    </w:p>
    <w:p w14:paraId="65D99CA2" w14:textId="77777777" w:rsidR="00F91A58" w:rsidRPr="00B52CE9" w:rsidRDefault="00F91A58" w:rsidP="00C763FD">
      <w:pPr>
        <w:spacing w:after="200" w:line="276" w:lineRule="auto"/>
        <w:rPr>
          <w:b/>
          <w:sz w:val="28"/>
          <w:szCs w:val="28"/>
        </w:rPr>
      </w:pPr>
    </w:p>
    <w:p w14:paraId="2412D14E" w14:textId="0E613FE8" w:rsidR="00A17F2C" w:rsidRPr="00B52CE9" w:rsidRDefault="00A17F2C" w:rsidP="008D136F">
      <w:pPr>
        <w:pStyle w:val="Header"/>
        <w:tabs>
          <w:tab w:val="num" w:pos="1080"/>
        </w:tabs>
        <w:jc w:val="center"/>
        <w:rPr>
          <w:b/>
          <w:sz w:val="28"/>
          <w:szCs w:val="28"/>
        </w:rPr>
      </w:pPr>
      <w:r w:rsidRPr="00B52CE9">
        <w:rPr>
          <w:b/>
          <w:sz w:val="28"/>
          <w:szCs w:val="28"/>
        </w:rPr>
        <w:t>Statement of Compatibility with Human Rights</w:t>
      </w:r>
    </w:p>
    <w:p w14:paraId="2412D14F" w14:textId="77777777" w:rsidR="00A17F2C" w:rsidRPr="00B52CE9" w:rsidRDefault="00A17F2C" w:rsidP="000337CB">
      <w:pPr>
        <w:spacing w:before="120" w:after="120"/>
        <w:jc w:val="center"/>
        <w:rPr>
          <w:szCs w:val="24"/>
        </w:rPr>
      </w:pPr>
      <w:r w:rsidRPr="00B52CE9">
        <w:rPr>
          <w:i/>
          <w:szCs w:val="24"/>
        </w:rPr>
        <w:t>Prepared in accordance with Part 3 of the Human Rights (Parliamentary Scrutiny) Act 2011</w:t>
      </w:r>
    </w:p>
    <w:p w14:paraId="751DE726" w14:textId="77777777" w:rsidR="002A6C77" w:rsidRPr="00B52CE9" w:rsidRDefault="002A6C77" w:rsidP="000337CB">
      <w:pPr>
        <w:tabs>
          <w:tab w:val="left" w:pos="1418"/>
        </w:tabs>
        <w:ind w:left="851"/>
        <w:jc w:val="center"/>
        <w:rPr>
          <w:b/>
          <w:i/>
          <w:iCs/>
        </w:rPr>
      </w:pPr>
    </w:p>
    <w:p w14:paraId="48723DCD" w14:textId="77777777" w:rsidR="00BA6945" w:rsidRPr="00B52CE9" w:rsidRDefault="00BA6945" w:rsidP="00BA6945">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b/>
          <w:i/>
        </w:rPr>
      </w:pPr>
      <w:r w:rsidRPr="00B52CE9">
        <w:rPr>
          <w:b/>
          <w:i/>
        </w:rPr>
        <w:t>Health Insurance (Section 3C General Medical Services – Expanded Telehealth and Telephone Attendances) Determination 2020</w:t>
      </w:r>
    </w:p>
    <w:p w14:paraId="333D57AA" w14:textId="77777777" w:rsidR="00067581" w:rsidRPr="00B52CE9" w:rsidRDefault="00067581" w:rsidP="000337CB">
      <w:pPr>
        <w:tabs>
          <w:tab w:val="left" w:pos="1418"/>
        </w:tabs>
        <w:ind w:left="851"/>
        <w:jc w:val="center"/>
        <w:rPr>
          <w:b/>
          <w:i/>
          <w:szCs w:val="24"/>
        </w:rPr>
      </w:pPr>
    </w:p>
    <w:p w14:paraId="2412D153" w14:textId="7AFD921D" w:rsidR="00A17F2C" w:rsidRPr="00B52CE9" w:rsidRDefault="00A17F2C" w:rsidP="000337CB">
      <w:pPr>
        <w:jc w:val="center"/>
        <w:rPr>
          <w:szCs w:val="24"/>
        </w:rPr>
      </w:pPr>
      <w:r w:rsidRPr="00B52CE9">
        <w:rPr>
          <w:szCs w:val="24"/>
        </w:rPr>
        <w:t xml:space="preserve">This </w:t>
      </w:r>
      <w:r w:rsidR="0046022A" w:rsidRPr="00B52CE9">
        <w:rPr>
          <w:szCs w:val="24"/>
        </w:rPr>
        <w:t>instrument</w:t>
      </w:r>
      <w:r w:rsidRPr="00B52CE9">
        <w:rPr>
          <w:szCs w:val="24"/>
        </w:rPr>
        <w:t xml:space="preserve"> is compatible with the human rights and freedoms recognised or declared in the international instruments listed in section 3 of the </w:t>
      </w:r>
      <w:r w:rsidRPr="00B52CE9">
        <w:rPr>
          <w:i/>
          <w:szCs w:val="24"/>
        </w:rPr>
        <w:t>Human Rights (Parliamentary Scrutiny) Act 2011</w:t>
      </w:r>
      <w:r w:rsidRPr="00B52CE9">
        <w:rPr>
          <w:szCs w:val="24"/>
        </w:rPr>
        <w:t>.</w:t>
      </w:r>
    </w:p>
    <w:p w14:paraId="7EDA9098" w14:textId="306A78E1" w:rsidR="006E6BBF" w:rsidRPr="00B52CE9" w:rsidRDefault="006E6BBF" w:rsidP="008734F5">
      <w:pPr>
        <w:spacing w:before="120" w:after="120"/>
        <w:rPr>
          <w:b/>
          <w:szCs w:val="24"/>
        </w:rPr>
      </w:pPr>
      <w:r w:rsidRPr="00B52CE9">
        <w:rPr>
          <w:b/>
          <w:szCs w:val="24"/>
        </w:rPr>
        <w:t xml:space="preserve">Overview of the </w:t>
      </w:r>
      <w:r w:rsidR="00B86A9F" w:rsidRPr="00B52CE9">
        <w:rPr>
          <w:b/>
          <w:szCs w:val="24"/>
        </w:rPr>
        <w:t>Determination</w:t>
      </w:r>
    </w:p>
    <w:p w14:paraId="3FDAA2F1" w14:textId="77777777" w:rsidR="00494EB9" w:rsidRPr="00B52CE9" w:rsidRDefault="00494EB9" w:rsidP="00494EB9">
      <w:pPr>
        <w:rPr>
          <w:szCs w:val="24"/>
        </w:rPr>
      </w:pPr>
      <w:r w:rsidRPr="00B52CE9">
        <w:rPr>
          <w:szCs w:val="24"/>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41A9D00B" w14:textId="77777777" w:rsidR="00494EB9" w:rsidRPr="00B52CE9" w:rsidRDefault="00494EB9" w:rsidP="00494EB9">
      <w:pPr>
        <w:rPr>
          <w:szCs w:val="24"/>
        </w:rPr>
      </w:pPr>
    </w:p>
    <w:p w14:paraId="2A9EFD54" w14:textId="469A47E0" w:rsidR="00494EB9" w:rsidRPr="00B52CE9" w:rsidRDefault="00494EB9" w:rsidP="00494EB9">
      <w:pPr>
        <w:rPr>
          <w:szCs w:val="24"/>
        </w:rPr>
      </w:pPr>
      <w:r w:rsidRPr="00B52CE9">
        <w:rPr>
          <w:szCs w:val="24"/>
        </w:rPr>
        <w:t xml:space="preserve">As part of the package, the Government announced $100 million to fund new Medicare services for people in home isolation or quarantine, as a result of COVID-19, to receive health consultations remotely. </w:t>
      </w:r>
      <w:r w:rsidRPr="00B52CE9">
        <w:rPr>
          <w:szCs w:val="24"/>
        </w:rPr>
        <w:tab/>
      </w:r>
    </w:p>
    <w:p w14:paraId="3069565C" w14:textId="77777777" w:rsidR="00494EB9" w:rsidRPr="00B52CE9" w:rsidRDefault="00494EB9" w:rsidP="00494EB9">
      <w:pPr>
        <w:rPr>
          <w:szCs w:val="24"/>
        </w:rPr>
      </w:pPr>
    </w:p>
    <w:p w14:paraId="5422CEE7" w14:textId="77777777" w:rsidR="00494EB9" w:rsidRPr="00B52CE9" w:rsidRDefault="00494EB9" w:rsidP="00494EB9">
      <w:pPr>
        <w:rPr>
          <w:szCs w:val="24"/>
        </w:rPr>
      </w:pPr>
      <w:r w:rsidRPr="00B52CE9">
        <w:rPr>
          <w:szCs w:val="24"/>
        </w:rPr>
        <w:t xml:space="preserve">Stage </w:t>
      </w:r>
      <w:proofErr w:type="gramStart"/>
      <w:r w:rsidRPr="00B52CE9">
        <w:rPr>
          <w:szCs w:val="24"/>
        </w:rPr>
        <w:t>One</w:t>
      </w:r>
      <w:proofErr w:type="gramEnd"/>
      <w:r w:rsidRPr="00B52CE9">
        <w:rPr>
          <w:szCs w:val="24"/>
        </w:rPr>
        <w:t xml:space="preserve"> of the Government’s response commenced on 13 March 2020 by introducing new telehealth consultation services to provide services remotely to patients who have been diagnosed with the COVID-19 virus, or who are vulnerable of contracting the COVID-19 virus. These services can be provided by general practitioner (GPs), other doctors in general practice, nurse practitioners, mental health allied health workers, specialists, consultant physicians and consultant psychiatrists.</w:t>
      </w:r>
    </w:p>
    <w:p w14:paraId="566858B2" w14:textId="77777777" w:rsidR="00494EB9" w:rsidRPr="00B52CE9" w:rsidRDefault="00494EB9" w:rsidP="00494EB9">
      <w:pPr>
        <w:rPr>
          <w:szCs w:val="24"/>
        </w:rPr>
      </w:pPr>
    </w:p>
    <w:p w14:paraId="7C1F8A43" w14:textId="02B66621" w:rsidR="00494EB9" w:rsidRPr="00B52CE9" w:rsidRDefault="00494EB9" w:rsidP="00494EB9">
      <w:pPr>
        <w:rPr>
          <w:szCs w:val="24"/>
        </w:rPr>
      </w:pPr>
      <w:r w:rsidRPr="00B52CE9">
        <w:rPr>
          <w:szCs w:val="24"/>
        </w:rPr>
        <w:t>Stage Two commenced on 16 March 2018 to expand the telehealth items to midwives</w:t>
      </w:r>
      <w:r w:rsidR="009A00D2" w:rsidRPr="00B52CE9">
        <w:rPr>
          <w:szCs w:val="24"/>
        </w:rPr>
        <w:t>, obstetricians</w:t>
      </w:r>
      <w:r w:rsidRPr="00B52CE9">
        <w:rPr>
          <w:szCs w:val="24"/>
        </w:rPr>
        <w:t xml:space="preserve"> and to recognise a GP for continuity of care practices (rather than an individual GP). </w:t>
      </w:r>
    </w:p>
    <w:p w14:paraId="6108383B" w14:textId="77777777" w:rsidR="00494EB9" w:rsidRPr="00B52CE9" w:rsidRDefault="00494EB9" w:rsidP="00494EB9">
      <w:pPr>
        <w:rPr>
          <w:szCs w:val="24"/>
        </w:rPr>
      </w:pPr>
    </w:p>
    <w:p w14:paraId="13620E12" w14:textId="77777777" w:rsidR="00494EB9" w:rsidRPr="00B52CE9" w:rsidRDefault="00494EB9" w:rsidP="00494EB9">
      <w:pPr>
        <w:rPr>
          <w:szCs w:val="24"/>
        </w:rPr>
      </w:pPr>
      <w:r w:rsidRPr="00B52CE9">
        <w:rPr>
          <w:szCs w:val="24"/>
        </w:rPr>
        <w:t>Stage Three commenced on 23 March 2020 to allow all vulnerable general practitioners and other vulnerable health professionals who are currently authorised to use telehealth item numbers, to use telehealth for all consultations with all their patients.</w:t>
      </w:r>
    </w:p>
    <w:p w14:paraId="33C28BD3" w14:textId="77777777" w:rsidR="00494EB9" w:rsidRPr="00B52CE9" w:rsidRDefault="00494EB9" w:rsidP="00494EB9">
      <w:pPr>
        <w:rPr>
          <w:szCs w:val="24"/>
        </w:rPr>
      </w:pPr>
    </w:p>
    <w:p w14:paraId="497AFBD6" w14:textId="77777777" w:rsidR="00494EB9" w:rsidRPr="00B52CE9" w:rsidRDefault="00494EB9" w:rsidP="00494EB9">
      <w:pPr>
        <w:ind w:right="84"/>
        <w:rPr>
          <w:szCs w:val="24"/>
        </w:rPr>
      </w:pPr>
      <w:r w:rsidRPr="00B52CE9">
        <w:rPr>
          <w:szCs w:val="24"/>
        </w:rPr>
        <w:t>Stage Four commences on 30 March 2020, to enable all Australians with or without COVID-19 to access relevant telephone and phone consultation services. All patients will be required to be bulk-billed.</w:t>
      </w:r>
    </w:p>
    <w:p w14:paraId="0E1C26F3" w14:textId="77777777" w:rsidR="00494EB9" w:rsidRPr="00B52CE9" w:rsidRDefault="00494EB9" w:rsidP="00494EB9">
      <w:pPr>
        <w:ind w:right="84"/>
        <w:rPr>
          <w:szCs w:val="24"/>
        </w:rPr>
      </w:pPr>
    </w:p>
    <w:p w14:paraId="690EE276" w14:textId="77777777" w:rsidR="00494EB9" w:rsidRPr="00B52CE9" w:rsidRDefault="00494EB9" w:rsidP="00494EB9">
      <w:pPr>
        <w:ind w:right="84"/>
        <w:rPr>
          <w:szCs w:val="24"/>
        </w:rPr>
      </w:pPr>
      <w:r w:rsidRPr="00B52CE9">
        <w:rPr>
          <w:szCs w:val="24"/>
        </w:rPr>
        <w:t>Under Stage Four, new telehealth and phone consultations items will be listed for the following services:</w:t>
      </w:r>
    </w:p>
    <w:p w14:paraId="0EFC1917" w14:textId="77777777" w:rsidR="0064465A" w:rsidRPr="00B52CE9" w:rsidRDefault="0064465A" w:rsidP="0064465A">
      <w:pPr>
        <w:pStyle w:val="ListParagraph"/>
        <w:numPr>
          <w:ilvl w:val="0"/>
          <w:numId w:val="11"/>
        </w:numPr>
        <w:ind w:right="84"/>
        <w:rPr>
          <w:szCs w:val="24"/>
        </w:rPr>
      </w:pPr>
      <w:r w:rsidRPr="00B52CE9">
        <w:rPr>
          <w:szCs w:val="24"/>
        </w:rPr>
        <w:t>the provision of health assessments; GP management plans, team care arrangements and multidisciplinary care plans;</w:t>
      </w:r>
    </w:p>
    <w:p w14:paraId="785B4F0F" w14:textId="77777777" w:rsidR="0064465A" w:rsidRPr="00B52CE9" w:rsidRDefault="0064465A" w:rsidP="0064465A">
      <w:pPr>
        <w:pStyle w:val="ListParagraph"/>
        <w:numPr>
          <w:ilvl w:val="0"/>
          <w:numId w:val="11"/>
        </w:numPr>
        <w:ind w:right="84"/>
        <w:rPr>
          <w:szCs w:val="24"/>
        </w:rPr>
      </w:pPr>
      <w:r w:rsidRPr="00B52CE9">
        <w:rPr>
          <w:szCs w:val="24"/>
        </w:rPr>
        <w:t>GP pregnancy support counselling services;</w:t>
      </w:r>
    </w:p>
    <w:p w14:paraId="61F4EC22" w14:textId="77777777" w:rsidR="0064465A" w:rsidRPr="00B52CE9" w:rsidRDefault="0064465A" w:rsidP="0064465A">
      <w:pPr>
        <w:pStyle w:val="ListParagraph"/>
        <w:numPr>
          <w:ilvl w:val="0"/>
          <w:numId w:val="11"/>
        </w:numPr>
        <w:ind w:right="84"/>
        <w:rPr>
          <w:szCs w:val="24"/>
        </w:rPr>
      </w:pPr>
      <w:r w:rsidRPr="00B52CE9">
        <w:rPr>
          <w:szCs w:val="24"/>
        </w:rPr>
        <w:t>the assessment and diagnosis for children with autism or another pervasive development disorder;</w:t>
      </w:r>
    </w:p>
    <w:p w14:paraId="0C13AD98" w14:textId="77777777" w:rsidR="0064465A" w:rsidRPr="00B52CE9" w:rsidRDefault="0064465A" w:rsidP="0064465A">
      <w:pPr>
        <w:pStyle w:val="ListParagraph"/>
        <w:numPr>
          <w:ilvl w:val="0"/>
          <w:numId w:val="11"/>
        </w:numPr>
        <w:ind w:right="84"/>
        <w:rPr>
          <w:szCs w:val="24"/>
        </w:rPr>
      </w:pPr>
      <w:r w:rsidRPr="00B52CE9">
        <w:rPr>
          <w:szCs w:val="24"/>
        </w:rPr>
        <w:t>GP mental health treatment plans;</w:t>
      </w:r>
    </w:p>
    <w:p w14:paraId="69F76081" w14:textId="77777777" w:rsidR="0064465A" w:rsidRPr="00B52CE9" w:rsidRDefault="0064465A" w:rsidP="0064465A">
      <w:pPr>
        <w:pStyle w:val="ListParagraph"/>
        <w:numPr>
          <w:ilvl w:val="0"/>
          <w:numId w:val="11"/>
        </w:numPr>
        <w:ind w:right="84"/>
        <w:rPr>
          <w:szCs w:val="24"/>
        </w:rPr>
      </w:pPr>
      <w:r w:rsidRPr="00B52CE9">
        <w:rPr>
          <w:szCs w:val="24"/>
        </w:rPr>
        <w:t>eating disorder treatment and management plans that can be provided by either a GP, or a consultant physician or psychiatrist;</w:t>
      </w:r>
    </w:p>
    <w:p w14:paraId="523E2F38" w14:textId="77777777" w:rsidR="0064465A" w:rsidRPr="00B52CE9" w:rsidRDefault="0064465A" w:rsidP="0064465A">
      <w:pPr>
        <w:pStyle w:val="ListParagraph"/>
        <w:numPr>
          <w:ilvl w:val="0"/>
          <w:numId w:val="11"/>
        </w:numPr>
        <w:ind w:right="84"/>
        <w:rPr>
          <w:szCs w:val="24"/>
        </w:rPr>
      </w:pPr>
      <w:r w:rsidRPr="00B52CE9">
        <w:rPr>
          <w:szCs w:val="24"/>
        </w:rPr>
        <w:t>the preparation of an eating disorder treatment plan and the review of an eating disorder treatment plan;</w:t>
      </w:r>
    </w:p>
    <w:p w14:paraId="36A668F0" w14:textId="77777777" w:rsidR="0064465A" w:rsidRPr="00B52CE9" w:rsidRDefault="0064465A" w:rsidP="0064465A">
      <w:pPr>
        <w:pStyle w:val="ListParagraph"/>
        <w:numPr>
          <w:ilvl w:val="0"/>
          <w:numId w:val="11"/>
        </w:numPr>
        <w:ind w:right="84"/>
        <w:rPr>
          <w:szCs w:val="24"/>
        </w:rPr>
      </w:pPr>
      <w:r w:rsidRPr="00B52CE9">
        <w:rPr>
          <w:szCs w:val="24"/>
        </w:rPr>
        <w:t>the provision of an eating disorder psychological treatment service that can be provided by a general practitioner; and</w:t>
      </w:r>
    </w:p>
    <w:p w14:paraId="291480C0" w14:textId="77777777" w:rsidR="0064465A" w:rsidRPr="00B52CE9" w:rsidRDefault="0064465A" w:rsidP="0064465A">
      <w:pPr>
        <w:pStyle w:val="ListParagraph"/>
        <w:numPr>
          <w:ilvl w:val="0"/>
          <w:numId w:val="11"/>
        </w:numPr>
        <w:ind w:right="84"/>
        <w:rPr>
          <w:szCs w:val="24"/>
        </w:rPr>
      </w:pPr>
      <w:proofErr w:type="gramStart"/>
      <w:r w:rsidRPr="00B52CE9">
        <w:rPr>
          <w:szCs w:val="24"/>
        </w:rPr>
        <w:t>urgent</w:t>
      </w:r>
      <w:proofErr w:type="gramEnd"/>
      <w:r w:rsidRPr="00B52CE9">
        <w:rPr>
          <w:szCs w:val="24"/>
        </w:rPr>
        <w:t xml:space="preserve"> after hours services in unsociable hours, which can be provided by general practitioners or another medical practitioner in general practice.</w:t>
      </w:r>
    </w:p>
    <w:p w14:paraId="5E0ABF1E" w14:textId="77777777" w:rsidR="00494EB9" w:rsidRPr="00B52CE9" w:rsidRDefault="00494EB9" w:rsidP="00494EB9">
      <w:pPr>
        <w:ind w:right="84"/>
        <w:rPr>
          <w:szCs w:val="24"/>
        </w:rPr>
      </w:pPr>
    </w:p>
    <w:p w14:paraId="5D52C028" w14:textId="77777777" w:rsidR="00494EB9" w:rsidRPr="00B52CE9" w:rsidRDefault="00494EB9" w:rsidP="00494EB9">
      <w:pPr>
        <w:ind w:right="84"/>
        <w:rPr>
          <w:szCs w:val="24"/>
        </w:rPr>
      </w:pPr>
      <w:r w:rsidRPr="00B52CE9">
        <w:rPr>
          <w:szCs w:val="24"/>
        </w:rPr>
        <w:t>Stage Four will also expand the provision of telehealth and phone services to enable allied health professionals to provide the following services:</w:t>
      </w:r>
    </w:p>
    <w:p w14:paraId="021B320D" w14:textId="77777777" w:rsidR="0064465A" w:rsidRPr="00B52CE9" w:rsidRDefault="0064465A" w:rsidP="0064465A">
      <w:pPr>
        <w:pStyle w:val="ListParagraph"/>
        <w:numPr>
          <w:ilvl w:val="0"/>
          <w:numId w:val="12"/>
        </w:numPr>
        <w:ind w:right="84"/>
        <w:rPr>
          <w:szCs w:val="24"/>
        </w:rPr>
      </w:pPr>
      <w:r w:rsidRPr="00B52CE9">
        <w:rPr>
          <w:szCs w:val="24"/>
        </w:rPr>
        <w:t>psychological therapy services which can be rendered by eligible clinical psychologists;</w:t>
      </w:r>
    </w:p>
    <w:p w14:paraId="685BBBAA" w14:textId="77777777" w:rsidR="0064465A" w:rsidRPr="00B52CE9" w:rsidRDefault="0064465A" w:rsidP="0064465A">
      <w:pPr>
        <w:pStyle w:val="ListParagraph"/>
        <w:numPr>
          <w:ilvl w:val="0"/>
          <w:numId w:val="12"/>
        </w:numPr>
        <w:ind w:right="84"/>
        <w:rPr>
          <w:szCs w:val="24"/>
        </w:rPr>
      </w:pPr>
      <w:r w:rsidRPr="00B52CE9">
        <w:rPr>
          <w:szCs w:val="24"/>
        </w:rPr>
        <w:t>focussed psychological strategy services which can be rendered by eligible clinical psychologists, an occupational therapist, an eligible social worker;</w:t>
      </w:r>
    </w:p>
    <w:p w14:paraId="223B69A4" w14:textId="77777777" w:rsidR="0064465A" w:rsidRPr="00B52CE9" w:rsidRDefault="0064465A" w:rsidP="0064465A">
      <w:pPr>
        <w:pStyle w:val="ListParagraph"/>
        <w:numPr>
          <w:ilvl w:val="0"/>
          <w:numId w:val="12"/>
        </w:numPr>
        <w:ind w:right="84"/>
        <w:rPr>
          <w:szCs w:val="24"/>
        </w:rPr>
      </w:pPr>
      <w:r w:rsidRPr="00B52CE9">
        <w:rPr>
          <w:szCs w:val="24"/>
        </w:rPr>
        <w:t>allied health services which can be rendered by an eligible allied health practitioner;</w:t>
      </w:r>
    </w:p>
    <w:p w14:paraId="5C506CE0" w14:textId="77777777" w:rsidR="0064465A" w:rsidRPr="00B52CE9" w:rsidRDefault="0064465A" w:rsidP="0064465A">
      <w:pPr>
        <w:pStyle w:val="ListParagraph"/>
        <w:numPr>
          <w:ilvl w:val="0"/>
          <w:numId w:val="12"/>
        </w:numPr>
        <w:ind w:right="84"/>
        <w:rPr>
          <w:szCs w:val="24"/>
        </w:rPr>
      </w:pPr>
      <w:r w:rsidRPr="00B52CE9">
        <w:rPr>
          <w:szCs w:val="24"/>
        </w:rPr>
        <w:t>pregnancy support counselling services, which can be rendered by an eligible psychologist, eligible social worker or eligible mental health nurse;</w:t>
      </w:r>
    </w:p>
    <w:p w14:paraId="146DC557" w14:textId="77777777" w:rsidR="0064465A" w:rsidRPr="00B52CE9" w:rsidRDefault="0064465A" w:rsidP="0064465A">
      <w:pPr>
        <w:pStyle w:val="ListParagraph"/>
        <w:numPr>
          <w:ilvl w:val="0"/>
          <w:numId w:val="12"/>
        </w:numPr>
        <w:ind w:right="84"/>
        <w:rPr>
          <w:szCs w:val="24"/>
        </w:rPr>
      </w:pPr>
      <w:r w:rsidRPr="00B52CE9">
        <w:rPr>
          <w:szCs w:val="24"/>
        </w:rPr>
        <w:t>psychological health service, which can be rendered by an eligible psychologist;</w:t>
      </w:r>
    </w:p>
    <w:p w14:paraId="523846AA" w14:textId="77777777" w:rsidR="0064465A" w:rsidRPr="00B52CE9" w:rsidRDefault="0064465A" w:rsidP="0064465A">
      <w:pPr>
        <w:pStyle w:val="ListParagraph"/>
        <w:numPr>
          <w:ilvl w:val="0"/>
          <w:numId w:val="12"/>
        </w:numPr>
        <w:ind w:right="84"/>
        <w:rPr>
          <w:szCs w:val="24"/>
        </w:rPr>
      </w:pPr>
      <w:r w:rsidRPr="00B52CE9">
        <w:rPr>
          <w:szCs w:val="24"/>
        </w:rPr>
        <w:t xml:space="preserve">speech pathology, occupational therapy, audiology, optometry, </w:t>
      </w:r>
      <w:proofErr w:type="spellStart"/>
      <w:r w:rsidRPr="00B52CE9">
        <w:rPr>
          <w:szCs w:val="24"/>
        </w:rPr>
        <w:t>orthoptic</w:t>
      </w:r>
      <w:proofErr w:type="spellEnd"/>
      <w:r w:rsidRPr="00B52CE9">
        <w:rPr>
          <w:szCs w:val="24"/>
        </w:rPr>
        <w:t xml:space="preserve"> or physiotherapy health services which can be rendered by an eligible speech pathologist, occupational therapist, audiologist, orthoptist or physiotherapist;</w:t>
      </w:r>
    </w:p>
    <w:p w14:paraId="53FBBA1A" w14:textId="77777777" w:rsidR="0064465A" w:rsidRPr="00B52CE9" w:rsidRDefault="0064465A" w:rsidP="0064465A">
      <w:pPr>
        <w:pStyle w:val="ListParagraph"/>
        <w:numPr>
          <w:ilvl w:val="0"/>
          <w:numId w:val="12"/>
        </w:numPr>
        <w:ind w:right="84"/>
        <w:rPr>
          <w:szCs w:val="24"/>
        </w:rPr>
      </w:pPr>
      <w:r w:rsidRPr="00B52CE9">
        <w:rPr>
          <w:szCs w:val="24"/>
        </w:rPr>
        <w:t>telehealth attendance services for a person of Aboriginal and Torres Strait Islander descent, which can be rendered by an eligible allied health practitioner;</w:t>
      </w:r>
    </w:p>
    <w:p w14:paraId="7B1F692F" w14:textId="77777777" w:rsidR="0064465A" w:rsidRPr="00B52CE9" w:rsidRDefault="0064465A" w:rsidP="0064465A">
      <w:pPr>
        <w:pStyle w:val="ListParagraph"/>
        <w:numPr>
          <w:ilvl w:val="0"/>
          <w:numId w:val="12"/>
        </w:numPr>
        <w:ind w:right="84"/>
        <w:rPr>
          <w:szCs w:val="24"/>
        </w:rPr>
      </w:pPr>
      <w:r w:rsidRPr="00B52CE9">
        <w:rPr>
          <w:szCs w:val="24"/>
        </w:rPr>
        <w:t>eating disorder dietetics service, which can be rendered by an eligible dietitian; and</w:t>
      </w:r>
    </w:p>
    <w:p w14:paraId="7F1325EF" w14:textId="77777777" w:rsidR="0064465A" w:rsidRPr="00B52CE9" w:rsidRDefault="0064465A" w:rsidP="0064465A">
      <w:pPr>
        <w:pStyle w:val="ListParagraph"/>
        <w:numPr>
          <w:ilvl w:val="0"/>
          <w:numId w:val="12"/>
        </w:numPr>
        <w:ind w:right="84"/>
        <w:rPr>
          <w:szCs w:val="24"/>
        </w:rPr>
      </w:pPr>
      <w:proofErr w:type="gramStart"/>
      <w:r w:rsidRPr="00B52CE9">
        <w:rPr>
          <w:szCs w:val="24"/>
        </w:rPr>
        <w:t>eating</w:t>
      </w:r>
      <w:proofErr w:type="gramEnd"/>
      <w:r w:rsidRPr="00B52CE9">
        <w:rPr>
          <w:szCs w:val="24"/>
        </w:rPr>
        <w:t xml:space="preserve"> disorder psychological treatment services which can be rendered by an eligible clinical psychologist, an eligible occupational therapist, and eligible social worker.</w:t>
      </w:r>
    </w:p>
    <w:p w14:paraId="47D9F576" w14:textId="77777777" w:rsidR="00494EB9" w:rsidRPr="00B52CE9" w:rsidRDefault="00494EB9" w:rsidP="00494EB9">
      <w:pPr>
        <w:pStyle w:val="ListParagraph"/>
        <w:ind w:left="783" w:right="84"/>
        <w:rPr>
          <w:szCs w:val="24"/>
        </w:rPr>
      </w:pPr>
    </w:p>
    <w:p w14:paraId="0FAA7E2C" w14:textId="2C0E23CC" w:rsidR="00494EB9" w:rsidRPr="00B52CE9" w:rsidRDefault="00494EB9" w:rsidP="00494EB9">
      <w:r w:rsidRPr="00B52CE9">
        <w:t xml:space="preserve">The purpose of the </w:t>
      </w:r>
      <w:r w:rsidRPr="00B52CE9">
        <w:rPr>
          <w:i/>
        </w:rPr>
        <w:t xml:space="preserve">Health Insurance (Section 3C General Medical Services – COVID-19  Telehealth and Telephone Attendances) Determination 2020 </w:t>
      </w:r>
      <w:r w:rsidRPr="00B52CE9">
        <w:t xml:space="preserve">(the Determination) is to repeal the </w:t>
      </w:r>
      <w:r w:rsidRPr="00B52CE9">
        <w:rPr>
          <w:i/>
        </w:rPr>
        <w:t>Health Insurance (Section 3C General Medical Services - COVID-19 Services) Determination 2020</w:t>
      </w:r>
      <w:r w:rsidRPr="00B52CE9">
        <w:t xml:space="preserve"> to amend the existing 92 items that currently prescribe the COVID-19 medical services to prescribe that all Australians can access these services, and to introduce the 1</w:t>
      </w:r>
      <w:r w:rsidR="009A00D2" w:rsidRPr="00B52CE9">
        <w:t>30</w:t>
      </w:r>
      <w:r w:rsidRPr="00B52CE9">
        <w:t xml:space="preserve"> new items for </w:t>
      </w:r>
      <w:r w:rsidRPr="00B52CE9">
        <w:br/>
        <w:t xml:space="preserve">COVID-19 health services for all Australians. </w:t>
      </w:r>
    </w:p>
    <w:p w14:paraId="31515278" w14:textId="28FBF7FC" w:rsidR="007708B3" w:rsidRPr="00B52CE9" w:rsidRDefault="007708B3" w:rsidP="002A6C77">
      <w:pPr>
        <w:ind w:right="-482"/>
        <w:rPr>
          <w:iCs/>
        </w:rPr>
      </w:pPr>
    </w:p>
    <w:p w14:paraId="2412D15C" w14:textId="50D38E8B" w:rsidR="00A17F2C" w:rsidRPr="00B52CE9" w:rsidRDefault="00A17F2C" w:rsidP="00067581">
      <w:pPr>
        <w:keepNext/>
        <w:keepLines/>
        <w:ind w:right="-482"/>
        <w:rPr>
          <w:b/>
          <w:szCs w:val="24"/>
        </w:rPr>
      </w:pPr>
      <w:r w:rsidRPr="00B52CE9">
        <w:rPr>
          <w:b/>
          <w:szCs w:val="24"/>
        </w:rPr>
        <w:t>Human rights implications</w:t>
      </w:r>
    </w:p>
    <w:p w14:paraId="449665F0" w14:textId="2ED3F54B" w:rsidR="00806020" w:rsidRPr="00B52CE9" w:rsidRDefault="00806020" w:rsidP="00067581">
      <w:pPr>
        <w:keepNext/>
        <w:keepLines/>
        <w:spacing w:before="120" w:after="120"/>
        <w:rPr>
          <w:szCs w:val="24"/>
        </w:rPr>
      </w:pPr>
      <w:r w:rsidRPr="00B52CE9">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B52CE9" w:rsidRDefault="00A17F2C" w:rsidP="00806020">
      <w:pPr>
        <w:spacing w:before="120" w:after="120"/>
        <w:rPr>
          <w:i/>
          <w:szCs w:val="24"/>
        </w:rPr>
      </w:pPr>
      <w:r w:rsidRPr="00B52CE9">
        <w:rPr>
          <w:i/>
          <w:szCs w:val="24"/>
        </w:rPr>
        <w:t>The Right to Health</w:t>
      </w:r>
    </w:p>
    <w:p w14:paraId="2412D15F" w14:textId="77777777" w:rsidR="00A17F2C" w:rsidRPr="00B52CE9" w:rsidRDefault="00A17F2C" w:rsidP="000337CB">
      <w:pPr>
        <w:spacing w:before="120" w:after="120"/>
        <w:rPr>
          <w:szCs w:val="24"/>
        </w:rPr>
      </w:pPr>
      <w:r w:rsidRPr="00B52CE9">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52CE9" w:rsidRDefault="00A17F2C" w:rsidP="000337CB">
      <w:pPr>
        <w:spacing w:before="120" w:after="120"/>
        <w:rPr>
          <w:szCs w:val="24"/>
        </w:rPr>
      </w:pPr>
      <w:r w:rsidRPr="00B52CE9">
        <w:rPr>
          <w:szCs w:val="24"/>
        </w:rPr>
        <w:t xml:space="preserve">The Committee reports that the </w:t>
      </w:r>
      <w:r w:rsidRPr="00B52CE9">
        <w:rPr>
          <w:i/>
          <w:szCs w:val="24"/>
        </w:rPr>
        <w:t>‘highest attainable standard of health’</w:t>
      </w:r>
      <w:r w:rsidRPr="00B52CE9">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B52CE9" w:rsidRDefault="00A17F2C" w:rsidP="000337CB">
      <w:pPr>
        <w:spacing w:before="120" w:after="120"/>
        <w:rPr>
          <w:i/>
          <w:szCs w:val="24"/>
        </w:rPr>
      </w:pPr>
      <w:r w:rsidRPr="00B52CE9">
        <w:rPr>
          <w:i/>
          <w:szCs w:val="24"/>
        </w:rPr>
        <w:t xml:space="preserve">The Right to Social Security </w:t>
      </w:r>
    </w:p>
    <w:p w14:paraId="2412D162" w14:textId="77777777" w:rsidR="00A17F2C" w:rsidRPr="00B52CE9" w:rsidRDefault="00A17F2C" w:rsidP="000337CB">
      <w:pPr>
        <w:spacing w:before="120" w:after="120"/>
        <w:rPr>
          <w:szCs w:val="24"/>
        </w:rPr>
      </w:pPr>
      <w:r w:rsidRPr="00B52CE9">
        <w:rPr>
          <w:szCs w:val="24"/>
        </w:rPr>
        <w:t>The right to social security is contained in Article 9 of the ICESCR. It requires that a country must, within its maximum available resources, ensure access to a social security scheme that</w:t>
      </w:r>
      <w:r w:rsidR="00BA69CB" w:rsidRPr="00B52CE9">
        <w:rPr>
          <w:szCs w:val="24"/>
        </w:rPr>
        <w:t xml:space="preserve"> </w:t>
      </w:r>
      <w:r w:rsidRPr="00B52CE9">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52CE9" w:rsidRDefault="00A17F2C" w:rsidP="000337CB">
      <w:pPr>
        <w:spacing w:before="120" w:after="120"/>
        <w:rPr>
          <w:szCs w:val="24"/>
        </w:rPr>
      </w:pPr>
      <w:r w:rsidRPr="00B52CE9">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B52CE9" w:rsidRDefault="00A17F2C" w:rsidP="000337CB">
      <w:pPr>
        <w:spacing w:before="120" w:after="120"/>
        <w:rPr>
          <w:szCs w:val="24"/>
          <w:u w:val="single"/>
        </w:rPr>
      </w:pPr>
      <w:r w:rsidRPr="00B52CE9">
        <w:rPr>
          <w:szCs w:val="24"/>
          <w:u w:val="single"/>
        </w:rPr>
        <w:t xml:space="preserve">Analysis </w:t>
      </w:r>
    </w:p>
    <w:p w14:paraId="5B48A384" w14:textId="5E995624" w:rsidR="000F167F" w:rsidRPr="00B52CE9" w:rsidRDefault="00067581" w:rsidP="00494EB9">
      <w:pPr>
        <w:rPr>
          <w:szCs w:val="24"/>
        </w:rPr>
      </w:pPr>
      <w:r w:rsidRPr="00B52CE9">
        <w:rPr>
          <w:szCs w:val="24"/>
        </w:rPr>
        <w:t xml:space="preserve">This instrument advances the right to health and the right to social security by ensuring </w:t>
      </w:r>
      <w:r w:rsidR="000F167F" w:rsidRPr="00B52CE9">
        <w:rPr>
          <w:szCs w:val="24"/>
        </w:rPr>
        <w:t>all Australians</w:t>
      </w:r>
      <w:r w:rsidRPr="00B52CE9">
        <w:rPr>
          <w:szCs w:val="24"/>
        </w:rPr>
        <w:t xml:space="preserve"> </w:t>
      </w:r>
      <w:r w:rsidR="000F167F" w:rsidRPr="00B52CE9">
        <w:rPr>
          <w:szCs w:val="24"/>
        </w:rPr>
        <w:t xml:space="preserve">will be able to access services for COVID-19. </w:t>
      </w:r>
      <w:r w:rsidR="00494EB9" w:rsidRPr="00B52CE9">
        <w:rPr>
          <w:szCs w:val="24"/>
        </w:rPr>
        <w:t>This instrument also introduces 1</w:t>
      </w:r>
      <w:r w:rsidR="009A00D2" w:rsidRPr="00B52CE9">
        <w:rPr>
          <w:szCs w:val="24"/>
        </w:rPr>
        <w:t>30</w:t>
      </w:r>
      <w:r w:rsidR="00494EB9" w:rsidRPr="00B52CE9">
        <w:rPr>
          <w:szCs w:val="24"/>
        </w:rPr>
        <w:t xml:space="preserve"> new items for COVID-19 health services for all Australians.</w:t>
      </w:r>
    </w:p>
    <w:p w14:paraId="0FA1B997" w14:textId="77777777" w:rsidR="000F167F" w:rsidRPr="00B52CE9" w:rsidRDefault="000F167F" w:rsidP="000F167F">
      <w:pPr>
        <w:rPr>
          <w:szCs w:val="24"/>
        </w:rPr>
      </w:pPr>
    </w:p>
    <w:p w14:paraId="2412D166" w14:textId="7CDB99A1" w:rsidR="00A17F2C" w:rsidRPr="00B52CE9" w:rsidRDefault="00A17F2C" w:rsidP="000F167F">
      <w:pPr>
        <w:rPr>
          <w:rFonts w:eastAsia="Calibri"/>
          <w:b/>
          <w:szCs w:val="24"/>
          <w:lang w:eastAsia="en-US"/>
        </w:rPr>
      </w:pPr>
      <w:r w:rsidRPr="00B52CE9">
        <w:rPr>
          <w:rFonts w:eastAsia="Calibri"/>
          <w:b/>
          <w:szCs w:val="24"/>
          <w:lang w:eastAsia="en-US"/>
        </w:rPr>
        <w:t xml:space="preserve">Conclusion </w:t>
      </w:r>
    </w:p>
    <w:p w14:paraId="29348805" w14:textId="77777777" w:rsidR="00067581" w:rsidRPr="00B52CE9" w:rsidRDefault="00067581" w:rsidP="00067581">
      <w:pPr>
        <w:rPr>
          <w:szCs w:val="24"/>
        </w:rPr>
      </w:pPr>
      <w:r w:rsidRPr="00B52CE9">
        <w:rPr>
          <w:szCs w:val="24"/>
        </w:rPr>
        <w:t xml:space="preserve">This instrument is compatible with human rights as it advances the right to health and the right to social security. </w:t>
      </w:r>
    </w:p>
    <w:p w14:paraId="5F52FC1C" w14:textId="77777777" w:rsidR="00067581" w:rsidRPr="00B52CE9" w:rsidRDefault="00067581" w:rsidP="00067581">
      <w:pPr>
        <w:rPr>
          <w:rFonts w:eastAsia="Calibri"/>
          <w:szCs w:val="24"/>
          <w:lang w:eastAsia="en-US"/>
        </w:rPr>
      </w:pPr>
    </w:p>
    <w:p w14:paraId="0D9EA547" w14:textId="77777777" w:rsidR="00067581" w:rsidRPr="00B52CE9" w:rsidRDefault="00067581" w:rsidP="00067581">
      <w:pPr>
        <w:jc w:val="center"/>
        <w:rPr>
          <w:b/>
          <w:bCs/>
        </w:rPr>
      </w:pPr>
    </w:p>
    <w:p w14:paraId="1A3745E0" w14:textId="09E2EC99" w:rsidR="00067581" w:rsidRPr="00B52CE9" w:rsidRDefault="00140556" w:rsidP="00067581">
      <w:pPr>
        <w:jc w:val="center"/>
        <w:rPr>
          <w:b/>
        </w:rPr>
      </w:pPr>
      <w:r w:rsidRPr="00B52CE9">
        <w:rPr>
          <w:b/>
        </w:rPr>
        <w:t xml:space="preserve">David Weiss </w:t>
      </w:r>
    </w:p>
    <w:p w14:paraId="619B52F1" w14:textId="3E71DA8F" w:rsidR="00140556" w:rsidRPr="00B52CE9" w:rsidRDefault="00140556" w:rsidP="00067581">
      <w:pPr>
        <w:jc w:val="center"/>
        <w:rPr>
          <w:b/>
        </w:rPr>
      </w:pPr>
      <w:r w:rsidRPr="00B52CE9">
        <w:rPr>
          <w:b/>
        </w:rPr>
        <w:t xml:space="preserve">First Assistant Secretary </w:t>
      </w:r>
    </w:p>
    <w:p w14:paraId="30DA6602" w14:textId="38E6E074" w:rsidR="00140556" w:rsidRPr="00B52CE9" w:rsidRDefault="00140556" w:rsidP="00067581">
      <w:pPr>
        <w:jc w:val="center"/>
        <w:rPr>
          <w:b/>
        </w:rPr>
      </w:pPr>
      <w:r w:rsidRPr="00B52CE9">
        <w:rPr>
          <w:b/>
        </w:rPr>
        <w:t xml:space="preserve">Medicare Benefits Division </w:t>
      </w:r>
    </w:p>
    <w:p w14:paraId="3F3B8755" w14:textId="410A38FD" w:rsidR="00E65230" w:rsidRPr="00140556" w:rsidRDefault="00140556" w:rsidP="00140556">
      <w:pPr>
        <w:jc w:val="center"/>
        <w:rPr>
          <w:b/>
        </w:rPr>
      </w:pPr>
      <w:r w:rsidRPr="00B52CE9">
        <w:rPr>
          <w:b/>
        </w:rPr>
        <w:t xml:space="preserve">Department of </w:t>
      </w:r>
      <w:r w:rsidR="002927E3" w:rsidRPr="00B52CE9">
        <w:rPr>
          <w:b/>
        </w:rPr>
        <w:t>Health</w:t>
      </w:r>
    </w:p>
    <w:sectPr w:rsidR="00E65230" w:rsidRPr="00140556"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2E6D72" w:rsidRDefault="002E6D72">
      <w:r>
        <w:separator/>
      </w:r>
    </w:p>
  </w:endnote>
  <w:endnote w:type="continuationSeparator" w:id="0">
    <w:p w14:paraId="20718AEE" w14:textId="77777777" w:rsidR="002E6D72" w:rsidRDefault="002E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2E6D72" w:rsidRDefault="002E6D72">
      <w:r>
        <w:separator/>
      </w:r>
    </w:p>
  </w:footnote>
  <w:footnote w:type="continuationSeparator" w:id="0">
    <w:p w14:paraId="5F92F2AF" w14:textId="77777777" w:rsidR="002E6D72" w:rsidRDefault="002E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0C99C7A9" w:rsidR="002E6D72" w:rsidRDefault="002E6D72" w:rsidP="00765690">
    <w:pPr>
      <w:pStyle w:val="Header"/>
      <w:jc w:val="center"/>
    </w:pPr>
    <w:r>
      <w:fldChar w:fldCharType="begin"/>
    </w:r>
    <w:r>
      <w:instrText xml:space="preserve"> PAGE  \* Arabic  \* MERGEFORMAT </w:instrText>
    </w:r>
    <w:r>
      <w:fldChar w:fldCharType="separate"/>
    </w:r>
    <w:r w:rsidR="00B52CE9">
      <w:rPr>
        <w:noProof/>
      </w:rPr>
      <w:t>3</w:t>
    </w:r>
    <w:r>
      <w:fldChar w:fldCharType="end"/>
    </w:r>
  </w:p>
  <w:p w14:paraId="2412D177" w14:textId="77777777" w:rsidR="002E6D72" w:rsidRDefault="002E6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2E6D72" w:rsidRDefault="002E6D72"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2E6D72" w:rsidRDefault="002E6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5BA7B6D" w:rsidR="002E6D72" w:rsidRDefault="002E6D72">
        <w:pPr>
          <w:pStyle w:val="Header"/>
          <w:jc w:val="center"/>
        </w:pPr>
        <w:r>
          <w:fldChar w:fldCharType="begin"/>
        </w:r>
        <w:r>
          <w:instrText xml:space="preserve"> PAGE   \* MERGEFORMAT </w:instrText>
        </w:r>
        <w:r>
          <w:fldChar w:fldCharType="separate"/>
        </w:r>
        <w:r w:rsidR="00140556">
          <w:rPr>
            <w:noProof/>
          </w:rPr>
          <w:t>12</w:t>
        </w:r>
        <w:r>
          <w:rPr>
            <w:noProof/>
          </w:rPr>
          <w:fldChar w:fldCharType="end"/>
        </w:r>
      </w:p>
    </w:sdtContent>
  </w:sdt>
  <w:p w14:paraId="2412D17B" w14:textId="77777777" w:rsidR="002E6D72" w:rsidRDefault="002E6D72"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BA1923A" w:rsidR="002E6D72" w:rsidRDefault="002E6D72">
        <w:pPr>
          <w:pStyle w:val="Header"/>
          <w:jc w:val="center"/>
        </w:pPr>
        <w:r>
          <w:fldChar w:fldCharType="begin"/>
        </w:r>
        <w:r>
          <w:instrText xml:space="preserve"> PAGE   \* MERGEFORMAT </w:instrText>
        </w:r>
        <w:r>
          <w:fldChar w:fldCharType="separate"/>
        </w:r>
        <w:r w:rsidR="00B52CE9">
          <w:rPr>
            <w:noProof/>
          </w:rPr>
          <w:t>4</w:t>
        </w:r>
        <w:r>
          <w:rPr>
            <w:noProof/>
          </w:rPr>
          <w:fldChar w:fldCharType="end"/>
        </w:r>
      </w:p>
    </w:sdtContent>
  </w:sdt>
  <w:p w14:paraId="2412D17D" w14:textId="77777777" w:rsidR="002E6D72" w:rsidRDefault="002E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4839"/>
    <w:multiLevelType w:val="hybridMultilevel"/>
    <w:tmpl w:val="DD22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82D5D"/>
    <w:multiLevelType w:val="hybridMultilevel"/>
    <w:tmpl w:val="EA986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F5589"/>
    <w:multiLevelType w:val="hybridMultilevel"/>
    <w:tmpl w:val="73A6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FA6325"/>
    <w:multiLevelType w:val="hybridMultilevel"/>
    <w:tmpl w:val="B52C00EC"/>
    <w:lvl w:ilvl="0" w:tplc="DE4CC5F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1FD6506"/>
    <w:multiLevelType w:val="hybridMultilevel"/>
    <w:tmpl w:val="5166507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39104AC4"/>
    <w:multiLevelType w:val="hybridMultilevel"/>
    <w:tmpl w:val="F1C4ADCE"/>
    <w:lvl w:ilvl="0" w:tplc="F286B854">
      <w:start w:val="1"/>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0938AC"/>
    <w:multiLevelType w:val="hybridMultilevel"/>
    <w:tmpl w:val="DD82782E"/>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355B8F"/>
    <w:multiLevelType w:val="hybridMultilevel"/>
    <w:tmpl w:val="9DAE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DA0731"/>
    <w:multiLevelType w:val="hybridMultilevel"/>
    <w:tmpl w:val="3962E044"/>
    <w:lvl w:ilvl="0" w:tplc="2C58AA8E">
      <w:start w:val="1"/>
      <w:numFmt w:val="lowerLetter"/>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9" w15:restartNumberingAfterBreak="0">
    <w:nsid w:val="59FA1D0A"/>
    <w:multiLevelType w:val="hybridMultilevel"/>
    <w:tmpl w:val="72F0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B03A4D"/>
    <w:multiLevelType w:val="hybridMultilevel"/>
    <w:tmpl w:val="DD82782E"/>
    <w:lvl w:ilvl="0" w:tplc="01E04E8A">
      <w:start w:val="1"/>
      <w:numFmt w:val="lowerLetter"/>
      <w:lvlText w:val="(%1)"/>
      <w:lvlJc w:val="left"/>
      <w:pPr>
        <w:ind w:left="720" w:hanging="360"/>
      </w:pPr>
      <w:rPr>
        <w:rFonts w:hint="default"/>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212791"/>
    <w:multiLevelType w:val="hybridMultilevel"/>
    <w:tmpl w:val="5AFE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6"/>
  </w:num>
  <w:num w:numId="5">
    <w:abstractNumId w:val="8"/>
  </w:num>
  <w:num w:numId="6">
    <w:abstractNumId w:val="3"/>
  </w:num>
  <w:num w:numId="7">
    <w:abstractNumId w:val="11"/>
  </w:num>
  <w:num w:numId="8">
    <w:abstractNumId w:val="1"/>
  </w:num>
  <w:num w:numId="9">
    <w:abstractNumId w:val="5"/>
  </w:num>
  <w:num w:numId="10">
    <w:abstractNumId w:val="7"/>
  </w:num>
  <w:num w:numId="11">
    <w:abstractNumId w:val="2"/>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B23"/>
    <w:rsid w:val="00003D66"/>
    <w:rsid w:val="0000441D"/>
    <w:rsid w:val="00004E17"/>
    <w:rsid w:val="00005906"/>
    <w:rsid w:val="00007B65"/>
    <w:rsid w:val="00010199"/>
    <w:rsid w:val="00011F89"/>
    <w:rsid w:val="00012B9E"/>
    <w:rsid w:val="00013DAA"/>
    <w:rsid w:val="00014639"/>
    <w:rsid w:val="00014B38"/>
    <w:rsid w:val="00014E40"/>
    <w:rsid w:val="00016774"/>
    <w:rsid w:val="0001683D"/>
    <w:rsid w:val="000203B4"/>
    <w:rsid w:val="00021EFA"/>
    <w:rsid w:val="00024158"/>
    <w:rsid w:val="00024A1D"/>
    <w:rsid w:val="00025046"/>
    <w:rsid w:val="00025F64"/>
    <w:rsid w:val="00026FA5"/>
    <w:rsid w:val="0002704E"/>
    <w:rsid w:val="0002728B"/>
    <w:rsid w:val="00027830"/>
    <w:rsid w:val="0003040C"/>
    <w:rsid w:val="000319EF"/>
    <w:rsid w:val="00033034"/>
    <w:rsid w:val="000337CB"/>
    <w:rsid w:val="0003591F"/>
    <w:rsid w:val="00036E2B"/>
    <w:rsid w:val="00041849"/>
    <w:rsid w:val="0004426E"/>
    <w:rsid w:val="00044A2A"/>
    <w:rsid w:val="00047285"/>
    <w:rsid w:val="00050250"/>
    <w:rsid w:val="00050623"/>
    <w:rsid w:val="000509BA"/>
    <w:rsid w:val="00051E40"/>
    <w:rsid w:val="0005224B"/>
    <w:rsid w:val="00054F46"/>
    <w:rsid w:val="0005533C"/>
    <w:rsid w:val="0005592F"/>
    <w:rsid w:val="00063242"/>
    <w:rsid w:val="000640CF"/>
    <w:rsid w:val="00064BA4"/>
    <w:rsid w:val="0006625C"/>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065E"/>
    <w:rsid w:val="000A16E0"/>
    <w:rsid w:val="000A199B"/>
    <w:rsid w:val="000A31F2"/>
    <w:rsid w:val="000A45BE"/>
    <w:rsid w:val="000A467F"/>
    <w:rsid w:val="000A6FB3"/>
    <w:rsid w:val="000A7B9B"/>
    <w:rsid w:val="000B208E"/>
    <w:rsid w:val="000B3452"/>
    <w:rsid w:val="000C1226"/>
    <w:rsid w:val="000C12EE"/>
    <w:rsid w:val="000C3367"/>
    <w:rsid w:val="000C3BA7"/>
    <w:rsid w:val="000C3D8A"/>
    <w:rsid w:val="000C46E6"/>
    <w:rsid w:val="000C4B3D"/>
    <w:rsid w:val="000C5BA2"/>
    <w:rsid w:val="000C6797"/>
    <w:rsid w:val="000C6FF8"/>
    <w:rsid w:val="000C7FE1"/>
    <w:rsid w:val="000D1325"/>
    <w:rsid w:val="000D1A87"/>
    <w:rsid w:val="000D2300"/>
    <w:rsid w:val="000D2660"/>
    <w:rsid w:val="000D3B79"/>
    <w:rsid w:val="000D7803"/>
    <w:rsid w:val="000E0C87"/>
    <w:rsid w:val="000E1ACD"/>
    <w:rsid w:val="000E1EB3"/>
    <w:rsid w:val="000E3444"/>
    <w:rsid w:val="000E4AFA"/>
    <w:rsid w:val="000E534F"/>
    <w:rsid w:val="000E66FA"/>
    <w:rsid w:val="000E7163"/>
    <w:rsid w:val="000F14A0"/>
    <w:rsid w:val="000F1575"/>
    <w:rsid w:val="000F162A"/>
    <w:rsid w:val="000F167F"/>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1D1B"/>
    <w:rsid w:val="00113B2E"/>
    <w:rsid w:val="00115225"/>
    <w:rsid w:val="001161AA"/>
    <w:rsid w:val="001164E0"/>
    <w:rsid w:val="00120766"/>
    <w:rsid w:val="00121189"/>
    <w:rsid w:val="00121A66"/>
    <w:rsid w:val="0013159C"/>
    <w:rsid w:val="00132087"/>
    <w:rsid w:val="00132C95"/>
    <w:rsid w:val="00134B27"/>
    <w:rsid w:val="00134C9A"/>
    <w:rsid w:val="00135D0D"/>
    <w:rsid w:val="00137192"/>
    <w:rsid w:val="00137D42"/>
    <w:rsid w:val="001400C4"/>
    <w:rsid w:val="00140556"/>
    <w:rsid w:val="00141323"/>
    <w:rsid w:val="00141E8C"/>
    <w:rsid w:val="00143685"/>
    <w:rsid w:val="00143943"/>
    <w:rsid w:val="001448F2"/>
    <w:rsid w:val="00145918"/>
    <w:rsid w:val="00145D25"/>
    <w:rsid w:val="00145DED"/>
    <w:rsid w:val="00146168"/>
    <w:rsid w:val="001519E4"/>
    <w:rsid w:val="00152BCF"/>
    <w:rsid w:val="00154FC4"/>
    <w:rsid w:val="001551FE"/>
    <w:rsid w:val="0015521F"/>
    <w:rsid w:val="00155F10"/>
    <w:rsid w:val="001603DB"/>
    <w:rsid w:val="00162A60"/>
    <w:rsid w:val="001641C0"/>
    <w:rsid w:val="00164A69"/>
    <w:rsid w:val="0016646C"/>
    <w:rsid w:val="00167DA1"/>
    <w:rsid w:val="0017187F"/>
    <w:rsid w:val="001741B9"/>
    <w:rsid w:val="001747E3"/>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3651"/>
    <w:rsid w:val="001A43A5"/>
    <w:rsid w:val="001A4BE2"/>
    <w:rsid w:val="001A5BC0"/>
    <w:rsid w:val="001A7249"/>
    <w:rsid w:val="001A7EF8"/>
    <w:rsid w:val="001B0111"/>
    <w:rsid w:val="001B02D2"/>
    <w:rsid w:val="001B3714"/>
    <w:rsid w:val="001B5C6E"/>
    <w:rsid w:val="001B5ED9"/>
    <w:rsid w:val="001B6095"/>
    <w:rsid w:val="001B66AF"/>
    <w:rsid w:val="001B7092"/>
    <w:rsid w:val="001B7A22"/>
    <w:rsid w:val="001C1B86"/>
    <w:rsid w:val="001C35BC"/>
    <w:rsid w:val="001C36DE"/>
    <w:rsid w:val="001C443C"/>
    <w:rsid w:val="001C4A6B"/>
    <w:rsid w:val="001C51D8"/>
    <w:rsid w:val="001C5FC1"/>
    <w:rsid w:val="001C6713"/>
    <w:rsid w:val="001D0C04"/>
    <w:rsid w:val="001D0CAB"/>
    <w:rsid w:val="001D15F2"/>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2FDE"/>
    <w:rsid w:val="00203952"/>
    <w:rsid w:val="00203F23"/>
    <w:rsid w:val="00204413"/>
    <w:rsid w:val="00210EE7"/>
    <w:rsid w:val="00213177"/>
    <w:rsid w:val="00215191"/>
    <w:rsid w:val="00216C44"/>
    <w:rsid w:val="00217EBF"/>
    <w:rsid w:val="00220EE3"/>
    <w:rsid w:val="00221C4B"/>
    <w:rsid w:val="002227DF"/>
    <w:rsid w:val="0022342C"/>
    <w:rsid w:val="0022384B"/>
    <w:rsid w:val="00224D90"/>
    <w:rsid w:val="00225B50"/>
    <w:rsid w:val="00225D8E"/>
    <w:rsid w:val="002264F4"/>
    <w:rsid w:val="002270BC"/>
    <w:rsid w:val="00227CBD"/>
    <w:rsid w:val="0023130D"/>
    <w:rsid w:val="002315E8"/>
    <w:rsid w:val="00231CD0"/>
    <w:rsid w:val="002322A8"/>
    <w:rsid w:val="0023311C"/>
    <w:rsid w:val="00233BEB"/>
    <w:rsid w:val="00234EDC"/>
    <w:rsid w:val="00235B6C"/>
    <w:rsid w:val="00236DF2"/>
    <w:rsid w:val="0024152E"/>
    <w:rsid w:val="002427DC"/>
    <w:rsid w:val="00242974"/>
    <w:rsid w:val="00244ADB"/>
    <w:rsid w:val="00244D84"/>
    <w:rsid w:val="00250061"/>
    <w:rsid w:val="00250642"/>
    <w:rsid w:val="00251E4A"/>
    <w:rsid w:val="00251F50"/>
    <w:rsid w:val="002538F6"/>
    <w:rsid w:val="00253E30"/>
    <w:rsid w:val="0025424C"/>
    <w:rsid w:val="0025493F"/>
    <w:rsid w:val="00257459"/>
    <w:rsid w:val="00257E4D"/>
    <w:rsid w:val="00261E06"/>
    <w:rsid w:val="00262230"/>
    <w:rsid w:val="00262865"/>
    <w:rsid w:val="00263279"/>
    <w:rsid w:val="002643FC"/>
    <w:rsid w:val="00272AEA"/>
    <w:rsid w:val="00274073"/>
    <w:rsid w:val="0027545F"/>
    <w:rsid w:val="0027610D"/>
    <w:rsid w:val="002806A1"/>
    <w:rsid w:val="00281918"/>
    <w:rsid w:val="00284483"/>
    <w:rsid w:val="00284749"/>
    <w:rsid w:val="00285256"/>
    <w:rsid w:val="00287AEF"/>
    <w:rsid w:val="00287B08"/>
    <w:rsid w:val="00290B98"/>
    <w:rsid w:val="002927E3"/>
    <w:rsid w:val="00292842"/>
    <w:rsid w:val="002944D4"/>
    <w:rsid w:val="00296763"/>
    <w:rsid w:val="0029737E"/>
    <w:rsid w:val="00297AD0"/>
    <w:rsid w:val="002A0CC8"/>
    <w:rsid w:val="002A1E2C"/>
    <w:rsid w:val="002A1EAE"/>
    <w:rsid w:val="002A3243"/>
    <w:rsid w:val="002A5CDF"/>
    <w:rsid w:val="002A68B3"/>
    <w:rsid w:val="002A6C77"/>
    <w:rsid w:val="002B2AC5"/>
    <w:rsid w:val="002B2E78"/>
    <w:rsid w:val="002B49DE"/>
    <w:rsid w:val="002B4E4D"/>
    <w:rsid w:val="002B53D3"/>
    <w:rsid w:val="002B7177"/>
    <w:rsid w:val="002C1BFE"/>
    <w:rsid w:val="002C32A0"/>
    <w:rsid w:val="002C4F5B"/>
    <w:rsid w:val="002C54A1"/>
    <w:rsid w:val="002C56C7"/>
    <w:rsid w:val="002C5DCD"/>
    <w:rsid w:val="002D03AB"/>
    <w:rsid w:val="002D0BDE"/>
    <w:rsid w:val="002D2A4E"/>
    <w:rsid w:val="002D5294"/>
    <w:rsid w:val="002D59E0"/>
    <w:rsid w:val="002D5DFC"/>
    <w:rsid w:val="002D5E92"/>
    <w:rsid w:val="002D6269"/>
    <w:rsid w:val="002D629A"/>
    <w:rsid w:val="002E12C3"/>
    <w:rsid w:val="002E2868"/>
    <w:rsid w:val="002E3493"/>
    <w:rsid w:val="002E35BF"/>
    <w:rsid w:val="002E5708"/>
    <w:rsid w:val="002E5F5C"/>
    <w:rsid w:val="002E6D72"/>
    <w:rsid w:val="002E6FD5"/>
    <w:rsid w:val="002E7D88"/>
    <w:rsid w:val="002F0434"/>
    <w:rsid w:val="002F1707"/>
    <w:rsid w:val="002F2F33"/>
    <w:rsid w:val="002F3A26"/>
    <w:rsid w:val="002F449C"/>
    <w:rsid w:val="002F4CD2"/>
    <w:rsid w:val="002F5B1A"/>
    <w:rsid w:val="002F6069"/>
    <w:rsid w:val="002F70B1"/>
    <w:rsid w:val="002F7549"/>
    <w:rsid w:val="00301D49"/>
    <w:rsid w:val="003025C7"/>
    <w:rsid w:val="00302C01"/>
    <w:rsid w:val="00302F5C"/>
    <w:rsid w:val="00304080"/>
    <w:rsid w:val="00307A25"/>
    <w:rsid w:val="0031124D"/>
    <w:rsid w:val="003113E4"/>
    <w:rsid w:val="00312ED1"/>
    <w:rsid w:val="00313554"/>
    <w:rsid w:val="003175A1"/>
    <w:rsid w:val="00317B55"/>
    <w:rsid w:val="0032155B"/>
    <w:rsid w:val="003215B6"/>
    <w:rsid w:val="003239D0"/>
    <w:rsid w:val="00324908"/>
    <w:rsid w:val="00324970"/>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B7F"/>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7A97"/>
    <w:rsid w:val="003A280D"/>
    <w:rsid w:val="003A5A70"/>
    <w:rsid w:val="003A5CBE"/>
    <w:rsid w:val="003A6230"/>
    <w:rsid w:val="003A6299"/>
    <w:rsid w:val="003B1976"/>
    <w:rsid w:val="003B1D46"/>
    <w:rsid w:val="003B27BA"/>
    <w:rsid w:val="003B366C"/>
    <w:rsid w:val="003B38C1"/>
    <w:rsid w:val="003B41FC"/>
    <w:rsid w:val="003B59A9"/>
    <w:rsid w:val="003B6B63"/>
    <w:rsid w:val="003B7C31"/>
    <w:rsid w:val="003C02D4"/>
    <w:rsid w:val="003C37E3"/>
    <w:rsid w:val="003C4CBD"/>
    <w:rsid w:val="003C546B"/>
    <w:rsid w:val="003C5D01"/>
    <w:rsid w:val="003C7719"/>
    <w:rsid w:val="003C7B75"/>
    <w:rsid w:val="003D0FBD"/>
    <w:rsid w:val="003D2A6D"/>
    <w:rsid w:val="003E005B"/>
    <w:rsid w:val="003E04DA"/>
    <w:rsid w:val="003E1249"/>
    <w:rsid w:val="003E3544"/>
    <w:rsid w:val="003E35A8"/>
    <w:rsid w:val="003E4F2D"/>
    <w:rsid w:val="003E57BE"/>
    <w:rsid w:val="003E77CB"/>
    <w:rsid w:val="003F0C3A"/>
    <w:rsid w:val="003F40EC"/>
    <w:rsid w:val="003F47FD"/>
    <w:rsid w:val="003F4B52"/>
    <w:rsid w:val="003F73BA"/>
    <w:rsid w:val="003F73F0"/>
    <w:rsid w:val="00401423"/>
    <w:rsid w:val="00403105"/>
    <w:rsid w:val="00404F11"/>
    <w:rsid w:val="00405890"/>
    <w:rsid w:val="00405EF4"/>
    <w:rsid w:val="00406D7A"/>
    <w:rsid w:val="00411365"/>
    <w:rsid w:val="0041237F"/>
    <w:rsid w:val="00412B6C"/>
    <w:rsid w:val="00412C63"/>
    <w:rsid w:val="00414613"/>
    <w:rsid w:val="00415B19"/>
    <w:rsid w:val="0041767B"/>
    <w:rsid w:val="00420205"/>
    <w:rsid w:val="00421D5F"/>
    <w:rsid w:val="004225D8"/>
    <w:rsid w:val="00422831"/>
    <w:rsid w:val="00422D13"/>
    <w:rsid w:val="00424197"/>
    <w:rsid w:val="00425F40"/>
    <w:rsid w:val="004265AA"/>
    <w:rsid w:val="00426A8D"/>
    <w:rsid w:val="00430861"/>
    <w:rsid w:val="00432D4D"/>
    <w:rsid w:val="00433DCE"/>
    <w:rsid w:val="00436690"/>
    <w:rsid w:val="00437B1B"/>
    <w:rsid w:val="004405B8"/>
    <w:rsid w:val="004417A2"/>
    <w:rsid w:val="00442F9D"/>
    <w:rsid w:val="00443731"/>
    <w:rsid w:val="00444782"/>
    <w:rsid w:val="00444EDF"/>
    <w:rsid w:val="004456A4"/>
    <w:rsid w:val="00445A6D"/>
    <w:rsid w:val="00446A6B"/>
    <w:rsid w:val="0045189C"/>
    <w:rsid w:val="00451A88"/>
    <w:rsid w:val="004524A0"/>
    <w:rsid w:val="00456B1D"/>
    <w:rsid w:val="0046022A"/>
    <w:rsid w:val="004636B4"/>
    <w:rsid w:val="004641DC"/>
    <w:rsid w:val="00464AC7"/>
    <w:rsid w:val="00465ABB"/>
    <w:rsid w:val="004664EB"/>
    <w:rsid w:val="004669A4"/>
    <w:rsid w:val="00466A5B"/>
    <w:rsid w:val="0046799A"/>
    <w:rsid w:val="00472D67"/>
    <w:rsid w:val="0047484E"/>
    <w:rsid w:val="0047494B"/>
    <w:rsid w:val="00475A85"/>
    <w:rsid w:val="00476F13"/>
    <w:rsid w:val="00477C74"/>
    <w:rsid w:val="00480561"/>
    <w:rsid w:val="004806B3"/>
    <w:rsid w:val="00481E5E"/>
    <w:rsid w:val="004828A9"/>
    <w:rsid w:val="00484953"/>
    <w:rsid w:val="004849DE"/>
    <w:rsid w:val="00484A65"/>
    <w:rsid w:val="00484E4F"/>
    <w:rsid w:val="00485C74"/>
    <w:rsid w:val="004876DF"/>
    <w:rsid w:val="004903EF"/>
    <w:rsid w:val="00492341"/>
    <w:rsid w:val="00492DBE"/>
    <w:rsid w:val="00494EB9"/>
    <w:rsid w:val="0049514C"/>
    <w:rsid w:val="004962CC"/>
    <w:rsid w:val="00497EC1"/>
    <w:rsid w:val="004A0313"/>
    <w:rsid w:val="004A0A89"/>
    <w:rsid w:val="004A0BE6"/>
    <w:rsid w:val="004A2249"/>
    <w:rsid w:val="004A26E0"/>
    <w:rsid w:val="004A524A"/>
    <w:rsid w:val="004A56D3"/>
    <w:rsid w:val="004A5796"/>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5BF0"/>
    <w:rsid w:val="004E71DC"/>
    <w:rsid w:val="004E7F97"/>
    <w:rsid w:val="004F1563"/>
    <w:rsid w:val="004F20B0"/>
    <w:rsid w:val="004F4BAD"/>
    <w:rsid w:val="004F7682"/>
    <w:rsid w:val="00501134"/>
    <w:rsid w:val="005012BC"/>
    <w:rsid w:val="005013FF"/>
    <w:rsid w:val="00502156"/>
    <w:rsid w:val="00502277"/>
    <w:rsid w:val="0050339C"/>
    <w:rsid w:val="005042B5"/>
    <w:rsid w:val="00505C67"/>
    <w:rsid w:val="00505F9A"/>
    <w:rsid w:val="00510A4F"/>
    <w:rsid w:val="00510E5F"/>
    <w:rsid w:val="005119E9"/>
    <w:rsid w:val="00512A65"/>
    <w:rsid w:val="005130BE"/>
    <w:rsid w:val="005140F2"/>
    <w:rsid w:val="0051709B"/>
    <w:rsid w:val="0052165A"/>
    <w:rsid w:val="00521802"/>
    <w:rsid w:val="0052430B"/>
    <w:rsid w:val="00525D51"/>
    <w:rsid w:val="005305A5"/>
    <w:rsid w:val="00532CD3"/>
    <w:rsid w:val="005345A9"/>
    <w:rsid w:val="00534D8A"/>
    <w:rsid w:val="005378EB"/>
    <w:rsid w:val="0054004F"/>
    <w:rsid w:val="00540C67"/>
    <w:rsid w:val="00540C97"/>
    <w:rsid w:val="00542913"/>
    <w:rsid w:val="005440E4"/>
    <w:rsid w:val="005452CD"/>
    <w:rsid w:val="0054588E"/>
    <w:rsid w:val="00546DB4"/>
    <w:rsid w:val="005474A5"/>
    <w:rsid w:val="00547BC2"/>
    <w:rsid w:val="00547D82"/>
    <w:rsid w:val="005504B4"/>
    <w:rsid w:val="00550DAB"/>
    <w:rsid w:val="00552105"/>
    <w:rsid w:val="0055354D"/>
    <w:rsid w:val="00554543"/>
    <w:rsid w:val="005555B8"/>
    <w:rsid w:val="00555836"/>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7FB"/>
    <w:rsid w:val="0058699E"/>
    <w:rsid w:val="00586B6A"/>
    <w:rsid w:val="00586CE9"/>
    <w:rsid w:val="00590B04"/>
    <w:rsid w:val="00592F78"/>
    <w:rsid w:val="00594EB6"/>
    <w:rsid w:val="0059798F"/>
    <w:rsid w:val="00597EC9"/>
    <w:rsid w:val="005A0300"/>
    <w:rsid w:val="005A163F"/>
    <w:rsid w:val="005A3C32"/>
    <w:rsid w:val="005A3D73"/>
    <w:rsid w:val="005A3D8D"/>
    <w:rsid w:val="005A445D"/>
    <w:rsid w:val="005A4F12"/>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5938"/>
    <w:rsid w:val="005E62D6"/>
    <w:rsid w:val="005E6A82"/>
    <w:rsid w:val="005E7398"/>
    <w:rsid w:val="005F04DC"/>
    <w:rsid w:val="005F0F6C"/>
    <w:rsid w:val="005F168C"/>
    <w:rsid w:val="005F1A7F"/>
    <w:rsid w:val="005F35BF"/>
    <w:rsid w:val="00601165"/>
    <w:rsid w:val="00602D27"/>
    <w:rsid w:val="00603003"/>
    <w:rsid w:val="00607971"/>
    <w:rsid w:val="00611A4E"/>
    <w:rsid w:val="006122C0"/>
    <w:rsid w:val="0061281D"/>
    <w:rsid w:val="00613C46"/>
    <w:rsid w:val="00614085"/>
    <w:rsid w:val="00616889"/>
    <w:rsid w:val="00617F77"/>
    <w:rsid w:val="00620975"/>
    <w:rsid w:val="00623004"/>
    <w:rsid w:val="006237CC"/>
    <w:rsid w:val="006242A3"/>
    <w:rsid w:val="00627C91"/>
    <w:rsid w:val="00634AA2"/>
    <w:rsid w:val="00635031"/>
    <w:rsid w:val="006369D4"/>
    <w:rsid w:val="00636C51"/>
    <w:rsid w:val="006407FA"/>
    <w:rsid w:val="00641335"/>
    <w:rsid w:val="00642537"/>
    <w:rsid w:val="006427B2"/>
    <w:rsid w:val="00642BEB"/>
    <w:rsid w:val="0064465A"/>
    <w:rsid w:val="00647426"/>
    <w:rsid w:val="00647590"/>
    <w:rsid w:val="006526F5"/>
    <w:rsid w:val="00656275"/>
    <w:rsid w:val="00657702"/>
    <w:rsid w:val="00657C8B"/>
    <w:rsid w:val="006619F5"/>
    <w:rsid w:val="006629F9"/>
    <w:rsid w:val="006639F0"/>
    <w:rsid w:val="0066562D"/>
    <w:rsid w:val="0066727B"/>
    <w:rsid w:val="00670998"/>
    <w:rsid w:val="00672050"/>
    <w:rsid w:val="00673872"/>
    <w:rsid w:val="00674A34"/>
    <w:rsid w:val="00685515"/>
    <w:rsid w:val="0068642A"/>
    <w:rsid w:val="00694C76"/>
    <w:rsid w:val="00694F4A"/>
    <w:rsid w:val="006954F4"/>
    <w:rsid w:val="006A029B"/>
    <w:rsid w:val="006A17A1"/>
    <w:rsid w:val="006A61C5"/>
    <w:rsid w:val="006A684F"/>
    <w:rsid w:val="006B0F31"/>
    <w:rsid w:val="006B13BC"/>
    <w:rsid w:val="006B14EC"/>
    <w:rsid w:val="006B32FE"/>
    <w:rsid w:val="006B3959"/>
    <w:rsid w:val="006B4B58"/>
    <w:rsid w:val="006B6925"/>
    <w:rsid w:val="006C026A"/>
    <w:rsid w:val="006C138D"/>
    <w:rsid w:val="006C3807"/>
    <w:rsid w:val="006C6821"/>
    <w:rsid w:val="006C7491"/>
    <w:rsid w:val="006C761B"/>
    <w:rsid w:val="006C76B5"/>
    <w:rsid w:val="006D03ED"/>
    <w:rsid w:val="006D2AA3"/>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172A"/>
    <w:rsid w:val="00702854"/>
    <w:rsid w:val="00704585"/>
    <w:rsid w:val="00704A1A"/>
    <w:rsid w:val="00705833"/>
    <w:rsid w:val="00705924"/>
    <w:rsid w:val="0070594D"/>
    <w:rsid w:val="00707B77"/>
    <w:rsid w:val="00707CE9"/>
    <w:rsid w:val="00710055"/>
    <w:rsid w:val="007103BC"/>
    <w:rsid w:val="0071184F"/>
    <w:rsid w:val="00712189"/>
    <w:rsid w:val="007134A2"/>
    <w:rsid w:val="00713FB2"/>
    <w:rsid w:val="0071674D"/>
    <w:rsid w:val="00717B45"/>
    <w:rsid w:val="007202C4"/>
    <w:rsid w:val="0072331C"/>
    <w:rsid w:val="00726CFA"/>
    <w:rsid w:val="0072758A"/>
    <w:rsid w:val="007304D5"/>
    <w:rsid w:val="00730965"/>
    <w:rsid w:val="00733599"/>
    <w:rsid w:val="00733F09"/>
    <w:rsid w:val="00734B85"/>
    <w:rsid w:val="00735753"/>
    <w:rsid w:val="00735891"/>
    <w:rsid w:val="00735CCC"/>
    <w:rsid w:val="007368DC"/>
    <w:rsid w:val="00736AC9"/>
    <w:rsid w:val="00740DCC"/>
    <w:rsid w:val="00741A4E"/>
    <w:rsid w:val="00742E97"/>
    <w:rsid w:val="007452E0"/>
    <w:rsid w:val="00745BD4"/>
    <w:rsid w:val="00750378"/>
    <w:rsid w:val="007505FB"/>
    <w:rsid w:val="007524B0"/>
    <w:rsid w:val="00752997"/>
    <w:rsid w:val="007533EC"/>
    <w:rsid w:val="00756FEA"/>
    <w:rsid w:val="00757618"/>
    <w:rsid w:val="0076239E"/>
    <w:rsid w:val="00762606"/>
    <w:rsid w:val="00762B45"/>
    <w:rsid w:val="0076544A"/>
    <w:rsid w:val="00765690"/>
    <w:rsid w:val="00765A52"/>
    <w:rsid w:val="00767402"/>
    <w:rsid w:val="0077044D"/>
    <w:rsid w:val="007708B3"/>
    <w:rsid w:val="007710A8"/>
    <w:rsid w:val="007721B6"/>
    <w:rsid w:val="00774454"/>
    <w:rsid w:val="00774ABF"/>
    <w:rsid w:val="00776E17"/>
    <w:rsid w:val="00782D07"/>
    <w:rsid w:val="007859F8"/>
    <w:rsid w:val="0079108B"/>
    <w:rsid w:val="00791384"/>
    <w:rsid w:val="0079191B"/>
    <w:rsid w:val="00791C27"/>
    <w:rsid w:val="0079239C"/>
    <w:rsid w:val="007934F3"/>
    <w:rsid w:val="00795A80"/>
    <w:rsid w:val="00796464"/>
    <w:rsid w:val="00796F15"/>
    <w:rsid w:val="007A0403"/>
    <w:rsid w:val="007A0B95"/>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3C9B"/>
    <w:rsid w:val="007F6ABA"/>
    <w:rsid w:val="0080144C"/>
    <w:rsid w:val="00801B90"/>
    <w:rsid w:val="008022BE"/>
    <w:rsid w:val="00804A3C"/>
    <w:rsid w:val="00804A98"/>
    <w:rsid w:val="00804E1A"/>
    <w:rsid w:val="00805C3A"/>
    <w:rsid w:val="00806020"/>
    <w:rsid w:val="008061B8"/>
    <w:rsid w:val="008100CF"/>
    <w:rsid w:val="008129B1"/>
    <w:rsid w:val="00817A12"/>
    <w:rsid w:val="0082437E"/>
    <w:rsid w:val="008259FD"/>
    <w:rsid w:val="00825B2C"/>
    <w:rsid w:val="00825D67"/>
    <w:rsid w:val="00826C1C"/>
    <w:rsid w:val="00831685"/>
    <w:rsid w:val="00832E86"/>
    <w:rsid w:val="00833BAB"/>
    <w:rsid w:val="00833FCC"/>
    <w:rsid w:val="008356E6"/>
    <w:rsid w:val="008360AA"/>
    <w:rsid w:val="00837412"/>
    <w:rsid w:val="00840877"/>
    <w:rsid w:val="0084180A"/>
    <w:rsid w:val="0084197A"/>
    <w:rsid w:val="00841EDA"/>
    <w:rsid w:val="00843425"/>
    <w:rsid w:val="008442FF"/>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5A01"/>
    <w:rsid w:val="008869CA"/>
    <w:rsid w:val="008870CD"/>
    <w:rsid w:val="008905BA"/>
    <w:rsid w:val="0089375C"/>
    <w:rsid w:val="0089513F"/>
    <w:rsid w:val="00895699"/>
    <w:rsid w:val="008973B9"/>
    <w:rsid w:val="008A153F"/>
    <w:rsid w:val="008A54A9"/>
    <w:rsid w:val="008A6188"/>
    <w:rsid w:val="008A79C6"/>
    <w:rsid w:val="008B2094"/>
    <w:rsid w:val="008B28F2"/>
    <w:rsid w:val="008B32D0"/>
    <w:rsid w:val="008B444F"/>
    <w:rsid w:val="008B558F"/>
    <w:rsid w:val="008B683E"/>
    <w:rsid w:val="008C0EF7"/>
    <w:rsid w:val="008C11A2"/>
    <w:rsid w:val="008C20F7"/>
    <w:rsid w:val="008C5F1C"/>
    <w:rsid w:val="008D06D8"/>
    <w:rsid w:val="008D136F"/>
    <w:rsid w:val="008D15E7"/>
    <w:rsid w:val="008D1B01"/>
    <w:rsid w:val="008D25D7"/>
    <w:rsid w:val="008D2A83"/>
    <w:rsid w:val="008D2D7B"/>
    <w:rsid w:val="008D2D98"/>
    <w:rsid w:val="008D44EB"/>
    <w:rsid w:val="008D6051"/>
    <w:rsid w:val="008E0DA2"/>
    <w:rsid w:val="008E3E1A"/>
    <w:rsid w:val="008E4039"/>
    <w:rsid w:val="008F1AA9"/>
    <w:rsid w:val="008F5F2C"/>
    <w:rsid w:val="008F7C5B"/>
    <w:rsid w:val="009006EB"/>
    <w:rsid w:val="00901C4E"/>
    <w:rsid w:val="00904502"/>
    <w:rsid w:val="009049C0"/>
    <w:rsid w:val="00906257"/>
    <w:rsid w:val="009069D6"/>
    <w:rsid w:val="00910EF6"/>
    <w:rsid w:val="00912380"/>
    <w:rsid w:val="009124F6"/>
    <w:rsid w:val="00912BC1"/>
    <w:rsid w:val="00913B67"/>
    <w:rsid w:val="0091520D"/>
    <w:rsid w:val="00915B08"/>
    <w:rsid w:val="00920E55"/>
    <w:rsid w:val="00920F97"/>
    <w:rsid w:val="00921DD1"/>
    <w:rsid w:val="0092237D"/>
    <w:rsid w:val="009225FE"/>
    <w:rsid w:val="00923D31"/>
    <w:rsid w:val="00923F94"/>
    <w:rsid w:val="00924C5E"/>
    <w:rsid w:val="00924FBB"/>
    <w:rsid w:val="0092508D"/>
    <w:rsid w:val="00925AA3"/>
    <w:rsid w:val="00926DD3"/>
    <w:rsid w:val="009273E9"/>
    <w:rsid w:val="009336C8"/>
    <w:rsid w:val="0093460D"/>
    <w:rsid w:val="00935308"/>
    <w:rsid w:val="009361FD"/>
    <w:rsid w:val="009406D2"/>
    <w:rsid w:val="00940F17"/>
    <w:rsid w:val="009414C5"/>
    <w:rsid w:val="00942398"/>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1F31"/>
    <w:rsid w:val="00972D48"/>
    <w:rsid w:val="009756B6"/>
    <w:rsid w:val="00975E68"/>
    <w:rsid w:val="00977A95"/>
    <w:rsid w:val="00980B83"/>
    <w:rsid w:val="00982585"/>
    <w:rsid w:val="00983FD9"/>
    <w:rsid w:val="00985DC9"/>
    <w:rsid w:val="00985FA9"/>
    <w:rsid w:val="00987A99"/>
    <w:rsid w:val="009902F7"/>
    <w:rsid w:val="0099448D"/>
    <w:rsid w:val="00995A06"/>
    <w:rsid w:val="00996BF2"/>
    <w:rsid w:val="009A00D2"/>
    <w:rsid w:val="009A222A"/>
    <w:rsid w:val="009A26CA"/>
    <w:rsid w:val="009A6FE7"/>
    <w:rsid w:val="009B1BCA"/>
    <w:rsid w:val="009B1FD2"/>
    <w:rsid w:val="009B3AEB"/>
    <w:rsid w:val="009B7AE2"/>
    <w:rsid w:val="009C3981"/>
    <w:rsid w:val="009C3EB5"/>
    <w:rsid w:val="009C42BD"/>
    <w:rsid w:val="009C444B"/>
    <w:rsid w:val="009C5663"/>
    <w:rsid w:val="009D1B17"/>
    <w:rsid w:val="009D3773"/>
    <w:rsid w:val="009D421C"/>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166"/>
    <w:rsid w:val="00A0321B"/>
    <w:rsid w:val="00A045CA"/>
    <w:rsid w:val="00A04DC3"/>
    <w:rsid w:val="00A0597B"/>
    <w:rsid w:val="00A05DAD"/>
    <w:rsid w:val="00A06FB4"/>
    <w:rsid w:val="00A10B25"/>
    <w:rsid w:val="00A14878"/>
    <w:rsid w:val="00A14FBC"/>
    <w:rsid w:val="00A15E52"/>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7EE"/>
    <w:rsid w:val="00A44A25"/>
    <w:rsid w:val="00A54891"/>
    <w:rsid w:val="00A54CA1"/>
    <w:rsid w:val="00A56516"/>
    <w:rsid w:val="00A62031"/>
    <w:rsid w:val="00A65D80"/>
    <w:rsid w:val="00A66849"/>
    <w:rsid w:val="00A672A7"/>
    <w:rsid w:val="00A70F7B"/>
    <w:rsid w:val="00A714DD"/>
    <w:rsid w:val="00A73044"/>
    <w:rsid w:val="00A7379C"/>
    <w:rsid w:val="00A73CF1"/>
    <w:rsid w:val="00A75C9A"/>
    <w:rsid w:val="00A77EB0"/>
    <w:rsid w:val="00A835D4"/>
    <w:rsid w:val="00A853D1"/>
    <w:rsid w:val="00A85AA3"/>
    <w:rsid w:val="00A86302"/>
    <w:rsid w:val="00A86D2A"/>
    <w:rsid w:val="00A86D69"/>
    <w:rsid w:val="00A90EE0"/>
    <w:rsid w:val="00A9123D"/>
    <w:rsid w:val="00A9126E"/>
    <w:rsid w:val="00A918D2"/>
    <w:rsid w:val="00A91DC0"/>
    <w:rsid w:val="00A91EEC"/>
    <w:rsid w:val="00A92534"/>
    <w:rsid w:val="00A927C4"/>
    <w:rsid w:val="00A92BCA"/>
    <w:rsid w:val="00A93B9E"/>
    <w:rsid w:val="00A95428"/>
    <w:rsid w:val="00AA0F9E"/>
    <w:rsid w:val="00AA2734"/>
    <w:rsid w:val="00AA3015"/>
    <w:rsid w:val="00AA3E46"/>
    <w:rsid w:val="00AA4399"/>
    <w:rsid w:val="00AA4D97"/>
    <w:rsid w:val="00AA59AF"/>
    <w:rsid w:val="00AA6E33"/>
    <w:rsid w:val="00AA74B7"/>
    <w:rsid w:val="00AB05D5"/>
    <w:rsid w:val="00AB1416"/>
    <w:rsid w:val="00AB2611"/>
    <w:rsid w:val="00AB35DC"/>
    <w:rsid w:val="00AB3BED"/>
    <w:rsid w:val="00AB419D"/>
    <w:rsid w:val="00AB420A"/>
    <w:rsid w:val="00AB52D0"/>
    <w:rsid w:val="00AC046B"/>
    <w:rsid w:val="00AC1E16"/>
    <w:rsid w:val="00AC1EDB"/>
    <w:rsid w:val="00AC3A0C"/>
    <w:rsid w:val="00AC3EEC"/>
    <w:rsid w:val="00AC50EE"/>
    <w:rsid w:val="00AC54F8"/>
    <w:rsid w:val="00AC57A5"/>
    <w:rsid w:val="00AC5E33"/>
    <w:rsid w:val="00AC681D"/>
    <w:rsid w:val="00AC6FF1"/>
    <w:rsid w:val="00AD0CAB"/>
    <w:rsid w:val="00AD0F67"/>
    <w:rsid w:val="00AD1A30"/>
    <w:rsid w:val="00AD1AB6"/>
    <w:rsid w:val="00AD7E8E"/>
    <w:rsid w:val="00AE0487"/>
    <w:rsid w:val="00AE0F81"/>
    <w:rsid w:val="00AE330D"/>
    <w:rsid w:val="00AE4281"/>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18"/>
    <w:rsid w:val="00B14C3A"/>
    <w:rsid w:val="00B15781"/>
    <w:rsid w:val="00B167A2"/>
    <w:rsid w:val="00B174E3"/>
    <w:rsid w:val="00B20415"/>
    <w:rsid w:val="00B23B5E"/>
    <w:rsid w:val="00B2772E"/>
    <w:rsid w:val="00B27A5B"/>
    <w:rsid w:val="00B316E7"/>
    <w:rsid w:val="00B3398C"/>
    <w:rsid w:val="00B34BDE"/>
    <w:rsid w:val="00B34EF9"/>
    <w:rsid w:val="00B3578F"/>
    <w:rsid w:val="00B35DAD"/>
    <w:rsid w:val="00B36EB3"/>
    <w:rsid w:val="00B40E17"/>
    <w:rsid w:val="00B41AE8"/>
    <w:rsid w:val="00B445D0"/>
    <w:rsid w:val="00B44E08"/>
    <w:rsid w:val="00B45C4D"/>
    <w:rsid w:val="00B50E59"/>
    <w:rsid w:val="00B52CE9"/>
    <w:rsid w:val="00B53FF2"/>
    <w:rsid w:val="00B54620"/>
    <w:rsid w:val="00B55CDD"/>
    <w:rsid w:val="00B56E4F"/>
    <w:rsid w:val="00B60A33"/>
    <w:rsid w:val="00B624B6"/>
    <w:rsid w:val="00B63345"/>
    <w:rsid w:val="00B63A7A"/>
    <w:rsid w:val="00B652B0"/>
    <w:rsid w:val="00B65ABC"/>
    <w:rsid w:val="00B70D13"/>
    <w:rsid w:val="00B7119B"/>
    <w:rsid w:val="00B71CF1"/>
    <w:rsid w:val="00B7231A"/>
    <w:rsid w:val="00B72847"/>
    <w:rsid w:val="00B73A3D"/>
    <w:rsid w:val="00B74168"/>
    <w:rsid w:val="00B746F1"/>
    <w:rsid w:val="00B7481E"/>
    <w:rsid w:val="00B748AE"/>
    <w:rsid w:val="00B757C6"/>
    <w:rsid w:val="00B75DB2"/>
    <w:rsid w:val="00B7681E"/>
    <w:rsid w:val="00B81EB1"/>
    <w:rsid w:val="00B82B8D"/>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7D1"/>
    <w:rsid w:val="00BA3D73"/>
    <w:rsid w:val="00BA5640"/>
    <w:rsid w:val="00BA58AC"/>
    <w:rsid w:val="00BA67DC"/>
    <w:rsid w:val="00BA6945"/>
    <w:rsid w:val="00BA69CB"/>
    <w:rsid w:val="00BA7C49"/>
    <w:rsid w:val="00BB00BA"/>
    <w:rsid w:val="00BB112B"/>
    <w:rsid w:val="00BB1B81"/>
    <w:rsid w:val="00BB1CDA"/>
    <w:rsid w:val="00BB25B1"/>
    <w:rsid w:val="00BB2CD8"/>
    <w:rsid w:val="00BB4114"/>
    <w:rsid w:val="00BB49CB"/>
    <w:rsid w:val="00BB6375"/>
    <w:rsid w:val="00BB7ABA"/>
    <w:rsid w:val="00BC1D4E"/>
    <w:rsid w:val="00BC24F0"/>
    <w:rsid w:val="00BC2D71"/>
    <w:rsid w:val="00BC411D"/>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1944"/>
    <w:rsid w:val="00BF23A6"/>
    <w:rsid w:val="00BF3B3D"/>
    <w:rsid w:val="00BF564D"/>
    <w:rsid w:val="00BF591D"/>
    <w:rsid w:val="00BF5A87"/>
    <w:rsid w:val="00BF6341"/>
    <w:rsid w:val="00C00167"/>
    <w:rsid w:val="00C0045E"/>
    <w:rsid w:val="00C00FC7"/>
    <w:rsid w:val="00C00FD8"/>
    <w:rsid w:val="00C05E84"/>
    <w:rsid w:val="00C073E4"/>
    <w:rsid w:val="00C07C34"/>
    <w:rsid w:val="00C13962"/>
    <w:rsid w:val="00C14703"/>
    <w:rsid w:val="00C154E6"/>
    <w:rsid w:val="00C1560E"/>
    <w:rsid w:val="00C158B5"/>
    <w:rsid w:val="00C15BED"/>
    <w:rsid w:val="00C16E23"/>
    <w:rsid w:val="00C17ED8"/>
    <w:rsid w:val="00C2082B"/>
    <w:rsid w:val="00C20DBA"/>
    <w:rsid w:val="00C23920"/>
    <w:rsid w:val="00C33251"/>
    <w:rsid w:val="00C33771"/>
    <w:rsid w:val="00C3411B"/>
    <w:rsid w:val="00C34230"/>
    <w:rsid w:val="00C3661B"/>
    <w:rsid w:val="00C42112"/>
    <w:rsid w:val="00C435EB"/>
    <w:rsid w:val="00C43D5A"/>
    <w:rsid w:val="00C45768"/>
    <w:rsid w:val="00C4601D"/>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63FD"/>
    <w:rsid w:val="00C77A1F"/>
    <w:rsid w:val="00C80647"/>
    <w:rsid w:val="00C80836"/>
    <w:rsid w:val="00C84DDE"/>
    <w:rsid w:val="00C85162"/>
    <w:rsid w:val="00C87864"/>
    <w:rsid w:val="00C90EAC"/>
    <w:rsid w:val="00C917FD"/>
    <w:rsid w:val="00C92A64"/>
    <w:rsid w:val="00C9306C"/>
    <w:rsid w:val="00C93D01"/>
    <w:rsid w:val="00C94625"/>
    <w:rsid w:val="00C956DA"/>
    <w:rsid w:val="00C958FA"/>
    <w:rsid w:val="00C96958"/>
    <w:rsid w:val="00C96A6B"/>
    <w:rsid w:val="00CA091B"/>
    <w:rsid w:val="00CA62C0"/>
    <w:rsid w:val="00CA73CB"/>
    <w:rsid w:val="00CA79BB"/>
    <w:rsid w:val="00CB4161"/>
    <w:rsid w:val="00CB43A2"/>
    <w:rsid w:val="00CB6DE1"/>
    <w:rsid w:val="00CB7730"/>
    <w:rsid w:val="00CC12A0"/>
    <w:rsid w:val="00CC26A8"/>
    <w:rsid w:val="00CC3336"/>
    <w:rsid w:val="00CC381E"/>
    <w:rsid w:val="00CC4CED"/>
    <w:rsid w:val="00CC6EBB"/>
    <w:rsid w:val="00CD4A21"/>
    <w:rsid w:val="00CD6442"/>
    <w:rsid w:val="00CD7250"/>
    <w:rsid w:val="00CE1180"/>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0708E"/>
    <w:rsid w:val="00D114E6"/>
    <w:rsid w:val="00D1198D"/>
    <w:rsid w:val="00D13857"/>
    <w:rsid w:val="00D15F17"/>
    <w:rsid w:val="00D161BE"/>
    <w:rsid w:val="00D162D9"/>
    <w:rsid w:val="00D17BDD"/>
    <w:rsid w:val="00D225E3"/>
    <w:rsid w:val="00D24F7B"/>
    <w:rsid w:val="00D25061"/>
    <w:rsid w:val="00D256A6"/>
    <w:rsid w:val="00D26319"/>
    <w:rsid w:val="00D30F03"/>
    <w:rsid w:val="00D33180"/>
    <w:rsid w:val="00D34E5E"/>
    <w:rsid w:val="00D35CB1"/>
    <w:rsid w:val="00D37CF1"/>
    <w:rsid w:val="00D4020D"/>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06F8"/>
    <w:rsid w:val="00D712E9"/>
    <w:rsid w:val="00D73869"/>
    <w:rsid w:val="00D7566A"/>
    <w:rsid w:val="00D85008"/>
    <w:rsid w:val="00D85D21"/>
    <w:rsid w:val="00D87426"/>
    <w:rsid w:val="00D8754D"/>
    <w:rsid w:val="00D90291"/>
    <w:rsid w:val="00D92717"/>
    <w:rsid w:val="00D93E05"/>
    <w:rsid w:val="00D9515D"/>
    <w:rsid w:val="00DA3A08"/>
    <w:rsid w:val="00DA3AFD"/>
    <w:rsid w:val="00DA4715"/>
    <w:rsid w:val="00DA621F"/>
    <w:rsid w:val="00DA62DF"/>
    <w:rsid w:val="00DA7439"/>
    <w:rsid w:val="00DB0DA9"/>
    <w:rsid w:val="00DB108A"/>
    <w:rsid w:val="00DC1776"/>
    <w:rsid w:val="00DC2C3C"/>
    <w:rsid w:val="00DC33A5"/>
    <w:rsid w:val="00DC4340"/>
    <w:rsid w:val="00DC7898"/>
    <w:rsid w:val="00DD19F8"/>
    <w:rsid w:val="00DD1C70"/>
    <w:rsid w:val="00DD2898"/>
    <w:rsid w:val="00DD2D6B"/>
    <w:rsid w:val="00DD3239"/>
    <w:rsid w:val="00DE07E4"/>
    <w:rsid w:val="00DE0877"/>
    <w:rsid w:val="00DE0FF8"/>
    <w:rsid w:val="00DE2BC6"/>
    <w:rsid w:val="00DE3EBF"/>
    <w:rsid w:val="00DE5412"/>
    <w:rsid w:val="00DE6D39"/>
    <w:rsid w:val="00DE7345"/>
    <w:rsid w:val="00DE76EB"/>
    <w:rsid w:val="00DF51CA"/>
    <w:rsid w:val="00DF5581"/>
    <w:rsid w:val="00DF7501"/>
    <w:rsid w:val="00DF7936"/>
    <w:rsid w:val="00E004EF"/>
    <w:rsid w:val="00E04B6F"/>
    <w:rsid w:val="00E13833"/>
    <w:rsid w:val="00E17001"/>
    <w:rsid w:val="00E17406"/>
    <w:rsid w:val="00E174B2"/>
    <w:rsid w:val="00E20AE5"/>
    <w:rsid w:val="00E20F00"/>
    <w:rsid w:val="00E21297"/>
    <w:rsid w:val="00E225FD"/>
    <w:rsid w:val="00E23A38"/>
    <w:rsid w:val="00E23B40"/>
    <w:rsid w:val="00E23B6B"/>
    <w:rsid w:val="00E24721"/>
    <w:rsid w:val="00E25139"/>
    <w:rsid w:val="00E265A0"/>
    <w:rsid w:val="00E266DE"/>
    <w:rsid w:val="00E311F5"/>
    <w:rsid w:val="00E319E9"/>
    <w:rsid w:val="00E34BF8"/>
    <w:rsid w:val="00E35B1E"/>
    <w:rsid w:val="00E40A35"/>
    <w:rsid w:val="00E4250F"/>
    <w:rsid w:val="00E44A7E"/>
    <w:rsid w:val="00E4607F"/>
    <w:rsid w:val="00E46A7E"/>
    <w:rsid w:val="00E46CE8"/>
    <w:rsid w:val="00E5003D"/>
    <w:rsid w:val="00E51559"/>
    <w:rsid w:val="00E548DB"/>
    <w:rsid w:val="00E552BD"/>
    <w:rsid w:val="00E55649"/>
    <w:rsid w:val="00E557E3"/>
    <w:rsid w:val="00E56A50"/>
    <w:rsid w:val="00E5798A"/>
    <w:rsid w:val="00E57A3E"/>
    <w:rsid w:val="00E628D9"/>
    <w:rsid w:val="00E63ADA"/>
    <w:rsid w:val="00E640E0"/>
    <w:rsid w:val="00E645F6"/>
    <w:rsid w:val="00E64C5F"/>
    <w:rsid w:val="00E65230"/>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97059"/>
    <w:rsid w:val="00EA1715"/>
    <w:rsid w:val="00EA2EE8"/>
    <w:rsid w:val="00EA31FD"/>
    <w:rsid w:val="00EA4349"/>
    <w:rsid w:val="00EA4EE4"/>
    <w:rsid w:val="00EA5A32"/>
    <w:rsid w:val="00EA5ED3"/>
    <w:rsid w:val="00EB2F51"/>
    <w:rsid w:val="00EB3BF0"/>
    <w:rsid w:val="00EB48AB"/>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979"/>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17673"/>
    <w:rsid w:val="00F207AB"/>
    <w:rsid w:val="00F2161A"/>
    <w:rsid w:val="00F21724"/>
    <w:rsid w:val="00F2198A"/>
    <w:rsid w:val="00F21A81"/>
    <w:rsid w:val="00F21CC1"/>
    <w:rsid w:val="00F22D61"/>
    <w:rsid w:val="00F2324D"/>
    <w:rsid w:val="00F2428F"/>
    <w:rsid w:val="00F244A9"/>
    <w:rsid w:val="00F25075"/>
    <w:rsid w:val="00F26F98"/>
    <w:rsid w:val="00F27444"/>
    <w:rsid w:val="00F3030B"/>
    <w:rsid w:val="00F317CA"/>
    <w:rsid w:val="00F319F3"/>
    <w:rsid w:val="00F31BFB"/>
    <w:rsid w:val="00F323E7"/>
    <w:rsid w:val="00F324D2"/>
    <w:rsid w:val="00F32A56"/>
    <w:rsid w:val="00F335E4"/>
    <w:rsid w:val="00F35509"/>
    <w:rsid w:val="00F358C3"/>
    <w:rsid w:val="00F35CF7"/>
    <w:rsid w:val="00F413D8"/>
    <w:rsid w:val="00F42100"/>
    <w:rsid w:val="00F42251"/>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3C53"/>
    <w:rsid w:val="00F7546C"/>
    <w:rsid w:val="00F77B00"/>
    <w:rsid w:val="00F814C3"/>
    <w:rsid w:val="00F820C0"/>
    <w:rsid w:val="00F83B6F"/>
    <w:rsid w:val="00F84470"/>
    <w:rsid w:val="00F857BC"/>
    <w:rsid w:val="00F90273"/>
    <w:rsid w:val="00F90BD0"/>
    <w:rsid w:val="00F91A58"/>
    <w:rsid w:val="00F91A5F"/>
    <w:rsid w:val="00F93ACB"/>
    <w:rsid w:val="00F93C4F"/>
    <w:rsid w:val="00F95581"/>
    <w:rsid w:val="00F95994"/>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B7C36"/>
    <w:rsid w:val="00FC10F6"/>
    <w:rsid w:val="00FC33A2"/>
    <w:rsid w:val="00FC4841"/>
    <w:rsid w:val="00FC7C25"/>
    <w:rsid w:val="00FD1C2E"/>
    <w:rsid w:val="00FD3574"/>
    <w:rsid w:val="00FD602D"/>
    <w:rsid w:val="00FD60D2"/>
    <w:rsid w:val="00FD6A7D"/>
    <w:rsid w:val="00FD6FC9"/>
    <w:rsid w:val="00FE02C2"/>
    <w:rsid w:val="00FE06C7"/>
    <w:rsid w:val="00FE1E34"/>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8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aliases w:val="a"/>
    <w:basedOn w:val="Normal"/>
    <w:link w:val="paragraphChar"/>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 w:type="paragraph" w:customStyle="1" w:styleId="paragraphsub0">
    <w:name w:val="paragraph(sub)"/>
    <w:aliases w:val="aa"/>
    <w:basedOn w:val="Normal"/>
    <w:rsid w:val="00657C8B"/>
    <w:pPr>
      <w:tabs>
        <w:tab w:val="right" w:pos="1985"/>
      </w:tabs>
      <w:spacing w:before="40"/>
      <w:ind w:left="2098" w:hanging="2098"/>
    </w:pPr>
    <w:rPr>
      <w:sz w:val="22"/>
    </w:rPr>
  </w:style>
  <w:style w:type="character" w:customStyle="1" w:styleId="paragraphChar">
    <w:name w:val="paragraph Char"/>
    <w:aliases w:val="a Char"/>
    <w:link w:val="paragraph"/>
    <w:locked/>
    <w:rsid w:val="00657C8B"/>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495457414">
      <w:bodyDiv w:val="1"/>
      <w:marLeft w:val="0"/>
      <w:marRight w:val="0"/>
      <w:marTop w:val="0"/>
      <w:marBottom w:val="0"/>
      <w:divBdr>
        <w:top w:val="none" w:sz="0" w:space="0" w:color="auto"/>
        <w:left w:val="none" w:sz="0" w:space="0" w:color="auto"/>
        <w:bottom w:val="none" w:sz="0" w:space="0" w:color="auto"/>
        <w:right w:val="none" w:sz="0" w:space="0" w:color="auto"/>
      </w:divBdr>
      <w:divsChild>
        <w:div w:id="530144743">
          <w:marLeft w:val="0"/>
          <w:marRight w:val="0"/>
          <w:marTop w:val="0"/>
          <w:marBottom w:val="0"/>
          <w:divBdr>
            <w:top w:val="none" w:sz="0" w:space="0" w:color="auto"/>
            <w:left w:val="none" w:sz="0" w:space="0" w:color="auto"/>
            <w:bottom w:val="none" w:sz="0" w:space="0" w:color="auto"/>
            <w:right w:val="none" w:sz="0" w:space="0" w:color="auto"/>
          </w:divBdr>
          <w:divsChild>
            <w:div w:id="379744638">
              <w:marLeft w:val="0"/>
              <w:marRight w:val="0"/>
              <w:marTop w:val="0"/>
              <w:marBottom w:val="0"/>
              <w:divBdr>
                <w:top w:val="none" w:sz="0" w:space="0" w:color="auto"/>
                <w:left w:val="none" w:sz="0" w:space="0" w:color="auto"/>
                <w:bottom w:val="none" w:sz="0" w:space="0" w:color="auto"/>
                <w:right w:val="none" w:sz="0" w:space="0" w:color="auto"/>
              </w:divBdr>
              <w:divsChild>
                <w:div w:id="1595894625">
                  <w:marLeft w:val="0"/>
                  <w:marRight w:val="0"/>
                  <w:marTop w:val="0"/>
                  <w:marBottom w:val="0"/>
                  <w:divBdr>
                    <w:top w:val="none" w:sz="0" w:space="0" w:color="auto"/>
                    <w:left w:val="none" w:sz="0" w:space="0" w:color="auto"/>
                    <w:bottom w:val="none" w:sz="0" w:space="0" w:color="auto"/>
                    <w:right w:val="none" w:sz="0" w:space="0" w:color="auto"/>
                  </w:divBdr>
                  <w:divsChild>
                    <w:div w:id="1387026204">
                      <w:marLeft w:val="0"/>
                      <w:marRight w:val="0"/>
                      <w:marTop w:val="0"/>
                      <w:marBottom w:val="0"/>
                      <w:divBdr>
                        <w:top w:val="none" w:sz="0" w:space="0" w:color="auto"/>
                        <w:left w:val="none" w:sz="0" w:space="0" w:color="auto"/>
                        <w:bottom w:val="none" w:sz="0" w:space="0" w:color="auto"/>
                        <w:right w:val="none" w:sz="0" w:space="0" w:color="auto"/>
                      </w:divBdr>
                      <w:divsChild>
                        <w:div w:id="1080785157">
                          <w:marLeft w:val="0"/>
                          <w:marRight w:val="0"/>
                          <w:marTop w:val="0"/>
                          <w:marBottom w:val="0"/>
                          <w:divBdr>
                            <w:top w:val="none" w:sz="0" w:space="0" w:color="auto"/>
                            <w:left w:val="none" w:sz="0" w:space="0" w:color="auto"/>
                            <w:bottom w:val="none" w:sz="0" w:space="0" w:color="auto"/>
                            <w:right w:val="none" w:sz="0" w:space="0" w:color="auto"/>
                          </w:divBdr>
                          <w:divsChild>
                            <w:div w:id="661663485">
                              <w:marLeft w:val="0"/>
                              <w:marRight w:val="0"/>
                              <w:marTop w:val="0"/>
                              <w:marBottom w:val="0"/>
                              <w:divBdr>
                                <w:top w:val="none" w:sz="0" w:space="0" w:color="auto"/>
                                <w:left w:val="none" w:sz="0" w:space="0" w:color="auto"/>
                                <w:bottom w:val="none" w:sz="0" w:space="0" w:color="auto"/>
                                <w:right w:val="none" w:sz="0" w:space="0" w:color="auto"/>
                              </w:divBdr>
                              <w:divsChild>
                                <w:div w:id="1881240842">
                                  <w:marLeft w:val="0"/>
                                  <w:marRight w:val="0"/>
                                  <w:marTop w:val="0"/>
                                  <w:marBottom w:val="0"/>
                                  <w:divBdr>
                                    <w:top w:val="none" w:sz="0" w:space="0" w:color="auto"/>
                                    <w:left w:val="none" w:sz="0" w:space="0" w:color="auto"/>
                                    <w:bottom w:val="none" w:sz="0" w:space="0" w:color="auto"/>
                                    <w:right w:val="none" w:sz="0" w:space="0" w:color="auto"/>
                                  </w:divBdr>
                                  <w:divsChild>
                                    <w:div w:id="559095479">
                                      <w:marLeft w:val="0"/>
                                      <w:marRight w:val="0"/>
                                      <w:marTop w:val="0"/>
                                      <w:marBottom w:val="0"/>
                                      <w:divBdr>
                                        <w:top w:val="none" w:sz="0" w:space="0" w:color="auto"/>
                                        <w:left w:val="none" w:sz="0" w:space="0" w:color="auto"/>
                                        <w:bottom w:val="none" w:sz="0" w:space="0" w:color="auto"/>
                                        <w:right w:val="none" w:sz="0" w:space="0" w:color="auto"/>
                                      </w:divBdr>
                                      <w:divsChild>
                                        <w:div w:id="1023818934">
                                          <w:marLeft w:val="0"/>
                                          <w:marRight w:val="0"/>
                                          <w:marTop w:val="0"/>
                                          <w:marBottom w:val="0"/>
                                          <w:divBdr>
                                            <w:top w:val="none" w:sz="0" w:space="0" w:color="auto"/>
                                            <w:left w:val="none" w:sz="0" w:space="0" w:color="auto"/>
                                            <w:bottom w:val="none" w:sz="0" w:space="0" w:color="auto"/>
                                            <w:right w:val="none" w:sz="0" w:space="0" w:color="auto"/>
                                          </w:divBdr>
                                          <w:divsChild>
                                            <w:div w:id="564797110">
                                              <w:marLeft w:val="0"/>
                                              <w:marRight w:val="0"/>
                                              <w:marTop w:val="0"/>
                                              <w:marBottom w:val="0"/>
                                              <w:divBdr>
                                                <w:top w:val="none" w:sz="0" w:space="0" w:color="auto"/>
                                                <w:left w:val="none" w:sz="0" w:space="0" w:color="auto"/>
                                                <w:bottom w:val="none" w:sz="0" w:space="0" w:color="auto"/>
                                                <w:right w:val="none" w:sz="0" w:space="0" w:color="auto"/>
                                              </w:divBdr>
                                              <w:divsChild>
                                                <w:div w:id="2070223538">
                                                  <w:marLeft w:val="0"/>
                                                  <w:marRight w:val="0"/>
                                                  <w:marTop w:val="0"/>
                                                  <w:marBottom w:val="0"/>
                                                  <w:divBdr>
                                                    <w:top w:val="none" w:sz="0" w:space="0" w:color="auto"/>
                                                    <w:left w:val="none" w:sz="0" w:space="0" w:color="auto"/>
                                                    <w:bottom w:val="none" w:sz="0" w:space="0" w:color="auto"/>
                                                    <w:right w:val="none" w:sz="0" w:space="0" w:color="auto"/>
                                                  </w:divBdr>
                                                  <w:divsChild>
                                                    <w:div w:id="1790663419">
                                                      <w:marLeft w:val="0"/>
                                                      <w:marRight w:val="0"/>
                                                      <w:marTop w:val="0"/>
                                                      <w:marBottom w:val="0"/>
                                                      <w:divBdr>
                                                        <w:top w:val="none" w:sz="0" w:space="0" w:color="auto"/>
                                                        <w:left w:val="none" w:sz="0" w:space="0" w:color="auto"/>
                                                        <w:bottom w:val="none" w:sz="0" w:space="0" w:color="auto"/>
                                                        <w:right w:val="none" w:sz="0" w:space="0" w:color="auto"/>
                                                      </w:divBdr>
                                                      <w:divsChild>
                                                        <w:div w:id="1039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593927">
      <w:bodyDiv w:val="1"/>
      <w:marLeft w:val="0"/>
      <w:marRight w:val="0"/>
      <w:marTop w:val="0"/>
      <w:marBottom w:val="0"/>
      <w:divBdr>
        <w:top w:val="none" w:sz="0" w:space="0" w:color="auto"/>
        <w:left w:val="none" w:sz="0" w:space="0" w:color="auto"/>
        <w:bottom w:val="none" w:sz="0" w:space="0" w:color="auto"/>
        <w:right w:val="none" w:sz="0" w:space="0" w:color="auto"/>
      </w:divBdr>
      <w:divsChild>
        <w:div w:id="2062828795">
          <w:marLeft w:val="0"/>
          <w:marRight w:val="0"/>
          <w:marTop w:val="0"/>
          <w:marBottom w:val="0"/>
          <w:divBdr>
            <w:top w:val="none" w:sz="0" w:space="0" w:color="auto"/>
            <w:left w:val="none" w:sz="0" w:space="0" w:color="auto"/>
            <w:bottom w:val="none" w:sz="0" w:space="0" w:color="auto"/>
            <w:right w:val="none" w:sz="0" w:space="0" w:color="auto"/>
          </w:divBdr>
          <w:divsChild>
            <w:div w:id="2082824395">
              <w:marLeft w:val="0"/>
              <w:marRight w:val="0"/>
              <w:marTop w:val="0"/>
              <w:marBottom w:val="0"/>
              <w:divBdr>
                <w:top w:val="none" w:sz="0" w:space="0" w:color="auto"/>
                <w:left w:val="none" w:sz="0" w:space="0" w:color="auto"/>
                <w:bottom w:val="none" w:sz="0" w:space="0" w:color="auto"/>
                <w:right w:val="none" w:sz="0" w:space="0" w:color="auto"/>
              </w:divBdr>
              <w:divsChild>
                <w:div w:id="1851481761">
                  <w:marLeft w:val="0"/>
                  <w:marRight w:val="0"/>
                  <w:marTop w:val="0"/>
                  <w:marBottom w:val="0"/>
                  <w:divBdr>
                    <w:top w:val="none" w:sz="0" w:space="0" w:color="auto"/>
                    <w:left w:val="none" w:sz="0" w:space="0" w:color="auto"/>
                    <w:bottom w:val="none" w:sz="0" w:space="0" w:color="auto"/>
                    <w:right w:val="none" w:sz="0" w:space="0" w:color="auto"/>
                  </w:divBdr>
                  <w:divsChild>
                    <w:div w:id="578249948">
                      <w:marLeft w:val="0"/>
                      <w:marRight w:val="0"/>
                      <w:marTop w:val="0"/>
                      <w:marBottom w:val="0"/>
                      <w:divBdr>
                        <w:top w:val="none" w:sz="0" w:space="0" w:color="auto"/>
                        <w:left w:val="none" w:sz="0" w:space="0" w:color="auto"/>
                        <w:bottom w:val="none" w:sz="0" w:space="0" w:color="auto"/>
                        <w:right w:val="none" w:sz="0" w:space="0" w:color="auto"/>
                      </w:divBdr>
                      <w:divsChild>
                        <w:div w:id="348483609">
                          <w:marLeft w:val="0"/>
                          <w:marRight w:val="0"/>
                          <w:marTop w:val="0"/>
                          <w:marBottom w:val="0"/>
                          <w:divBdr>
                            <w:top w:val="none" w:sz="0" w:space="0" w:color="auto"/>
                            <w:left w:val="none" w:sz="0" w:space="0" w:color="auto"/>
                            <w:bottom w:val="none" w:sz="0" w:space="0" w:color="auto"/>
                            <w:right w:val="none" w:sz="0" w:space="0" w:color="auto"/>
                          </w:divBdr>
                          <w:divsChild>
                            <w:div w:id="1275867236">
                              <w:marLeft w:val="0"/>
                              <w:marRight w:val="0"/>
                              <w:marTop w:val="0"/>
                              <w:marBottom w:val="0"/>
                              <w:divBdr>
                                <w:top w:val="none" w:sz="0" w:space="0" w:color="auto"/>
                                <w:left w:val="none" w:sz="0" w:space="0" w:color="auto"/>
                                <w:bottom w:val="none" w:sz="0" w:space="0" w:color="auto"/>
                                <w:right w:val="none" w:sz="0" w:space="0" w:color="auto"/>
                              </w:divBdr>
                              <w:divsChild>
                                <w:div w:id="1950814521">
                                  <w:marLeft w:val="0"/>
                                  <w:marRight w:val="0"/>
                                  <w:marTop w:val="0"/>
                                  <w:marBottom w:val="0"/>
                                  <w:divBdr>
                                    <w:top w:val="none" w:sz="0" w:space="0" w:color="auto"/>
                                    <w:left w:val="none" w:sz="0" w:space="0" w:color="auto"/>
                                    <w:bottom w:val="none" w:sz="0" w:space="0" w:color="auto"/>
                                    <w:right w:val="none" w:sz="0" w:space="0" w:color="auto"/>
                                  </w:divBdr>
                                  <w:divsChild>
                                    <w:div w:id="600145184">
                                      <w:marLeft w:val="0"/>
                                      <w:marRight w:val="0"/>
                                      <w:marTop w:val="0"/>
                                      <w:marBottom w:val="0"/>
                                      <w:divBdr>
                                        <w:top w:val="none" w:sz="0" w:space="0" w:color="auto"/>
                                        <w:left w:val="none" w:sz="0" w:space="0" w:color="auto"/>
                                        <w:bottom w:val="none" w:sz="0" w:space="0" w:color="auto"/>
                                        <w:right w:val="none" w:sz="0" w:space="0" w:color="auto"/>
                                      </w:divBdr>
                                      <w:divsChild>
                                        <w:div w:id="819730234">
                                          <w:marLeft w:val="0"/>
                                          <w:marRight w:val="0"/>
                                          <w:marTop w:val="0"/>
                                          <w:marBottom w:val="0"/>
                                          <w:divBdr>
                                            <w:top w:val="none" w:sz="0" w:space="0" w:color="auto"/>
                                            <w:left w:val="none" w:sz="0" w:space="0" w:color="auto"/>
                                            <w:bottom w:val="none" w:sz="0" w:space="0" w:color="auto"/>
                                            <w:right w:val="none" w:sz="0" w:space="0" w:color="auto"/>
                                          </w:divBdr>
                                          <w:divsChild>
                                            <w:div w:id="1492679643">
                                              <w:marLeft w:val="0"/>
                                              <w:marRight w:val="0"/>
                                              <w:marTop w:val="0"/>
                                              <w:marBottom w:val="0"/>
                                              <w:divBdr>
                                                <w:top w:val="none" w:sz="0" w:space="0" w:color="auto"/>
                                                <w:left w:val="none" w:sz="0" w:space="0" w:color="auto"/>
                                                <w:bottom w:val="none" w:sz="0" w:space="0" w:color="auto"/>
                                                <w:right w:val="none" w:sz="0" w:space="0" w:color="auto"/>
                                              </w:divBdr>
                                              <w:divsChild>
                                                <w:div w:id="206920813">
                                                  <w:marLeft w:val="0"/>
                                                  <w:marRight w:val="0"/>
                                                  <w:marTop w:val="0"/>
                                                  <w:marBottom w:val="0"/>
                                                  <w:divBdr>
                                                    <w:top w:val="none" w:sz="0" w:space="0" w:color="auto"/>
                                                    <w:left w:val="none" w:sz="0" w:space="0" w:color="auto"/>
                                                    <w:bottom w:val="none" w:sz="0" w:space="0" w:color="auto"/>
                                                    <w:right w:val="none" w:sz="0" w:space="0" w:color="auto"/>
                                                  </w:divBdr>
                                                  <w:divsChild>
                                                    <w:div w:id="1110515324">
                                                      <w:marLeft w:val="0"/>
                                                      <w:marRight w:val="0"/>
                                                      <w:marTop w:val="0"/>
                                                      <w:marBottom w:val="0"/>
                                                      <w:divBdr>
                                                        <w:top w:val="none" w:sz="0" w:space="0" w:color="auto"/>
                                                        <w:left w:val="none" w:sz="0" w:space="0" w:color="auto"/>
                                                        <w:bottom w:val="none" w:sz="0" w:space="0" w:color="auto"/>
                                                        <w:right w:val="none" w:sz="0" w:space="0" w:color="auto"/>
                                                      </w:divBdr>
                                                      <w:divsChild>
                                                        <w:div w:id="691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bd9498f-fa43-4ae2-8bb2-4c55a71680ad"/>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7AEF1-1AD3-4ECD-8AF1-DC31AF59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3</cp:revision>
  <cp:lastPrinted>2020-03-28T02:55:00Z</cp:lastPrinted>
  <dcterms:created xsi:type="dcterms:W3CDTF">2020-03-28T23:58:00Z</dcterms:created>
  <dcterms:modified xsi:type="dcterms:W3CDTF">2020-03-28T23:58:00Z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