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79512" w14:textId="6E397B6C" w:rsidR="00634FF0" w:rsidRDefault="005E67E9" w:rsidP="00744E6B">
      <w:pPr>
        <w:pStyle w:val="Head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Banking </w:t>
      </w:r>
      <w:r w:rsidR="00642ABC">
        <w:rPr>
          <w:rFonts w:ascii="Times New Roman" w:hAnsi="Times New Roman" w:cs="Times New Roman"/>
          <w:sz w:val="24"/>
          <w:szCs w:val="24"/>
        </w:rPr>
        <w:t>(BEAR) d</w:t>
      </w:r>
      <w:r w:rsidR="008F2DC4">
        <w:rPr>
          <w:rFonts w:ascii="Times New Roman" w:hAnsi="Times New Roman" w:cs="Times New Roman"/>
          <w:sz w:val="24"/>
          <w:szCs w:val="24"/>
        </w:rPr>
        <w:t xml:space="preserve">etermination </w:t>
      </w:r>
      <w:r w:rsidR="00F86DAE">
        <w:rPr>
          <w:rFonts w:ascii="Times New Roman" w:hAnsi="Times New Roman" w:cs="Times New Roman"/>
          <w:sz w:val="24"/>
          <w:szCs w:val="24"/>
        </w:rPr>
        <w:t>No</w:t>
      </w:r>
      <w:r w:rsidR="00B92BA9">
        <w:rPr>
          <w:rFonts w:ascii="Times New Roman" w:hAnsi="Times New Roman" w:cs="Times New Roman"/>
          <w:sz w:val="24"/>
          <w:szCs w:val="24"/>
        </w:rPr>
        <w:t>.</w:t>
      </w:r>
      <w:r w:rsidR="00F86DAE">
        <w:rPr>
          <w:rFonts w:ascii="Times New Roman" w:hAnsi="Times New Roman" w:cs="Times New Roman"/>
          <w:sz w:val="24"/>
          <w:szCs w:val="24"/>
        </w:rPr>
        <w:t xml:space="preserve"> </w:t>
      </w:r>
      <w:r w:rsidR="008F2DC4">
        <w:rPr>
          <w:rFonts w:ascii="Times New Roman" w:hAnsi="Times New Roman" w:cs="Times New Roman"/>
          <w:sz w:val="24"/>
          <w:szCs w:val="24"/>
        </w:rPr>
        <w:t>1</w:t>
      </w:r>
      <w:r w:rsidR="00F86DAE">
        <w:rPr>
          <w:rFonts w:ascii="Times New Roman" w:hAnsi="Times New Roman" w:cs="Times New Roman"/>
          <w:sz w:val="24"/>
          <w:szCs w:val="24"/>
        </w:rPr>
        <w:t xml:space="preserve"> of 20</w:t>
      </w:r>
      <w:r w:rsidR="008F2DC4">
        <w:rPr>
          <w:rFonts w:ascii="Times New Roman" w:hAnsi="Times New Roman" w:cs="Times New Roman"/>
          <w:sz w:val="24"/>
          <w:szCs w:val="24"/>
        </w:rPr>
        <w:t>20</w:t>
      </w:r>
    </w:p>
    <w:p w14:paraId="12AEBAB8" w14:textId="77777777" w:rsidR="005941E1" w:rsidRPr="008B7528" w:rsidRDefault="005941E1" w:rsidP="00D12FBD">
      <w:pPr>
        <w:pStyle w:val="Heading"/>
        <w:jc w:val="center"/>
        <w:rPr>
          <w:rFonts w:ascii="Times New Roman" w:hAnsi="Times New Roman" w:cs="Times New Roman"/>
          <w:sz w:val="24"/>
          <w:szCs w:val="24"/>
          <w:u w:val="single"/>
        </w:rPr>
      </w:pPr>
      <w:bookmarkStart w:id="1" w:name="bkInstrumentSubTitle"/>
      <w:bookmarkStart w:id="2" w:name="bkStart"/>
      <w:bookmarkEnd w:id="1"/>
      <w:bookmarkEnd w:id="2"/>
      <w:r w:rsidRPr="008B7528">
        <w:rPr>
          <w:rFonts w:ascii="Times New Roman" w:hAnsi="Times New Roman" w:cs="Times New Roman"/>
          <w:sz w:val="24"/>
          <w:szCs w:val="24"/>
          <w:u w:val="single"/>
        </w:rPr>
        <w:t>EXPLANATORY STATEMENT</w:t>
      </w:r>
    </w:p>
    <w:p w14:paraId="543DDCE4" w14:textId="77777777" w:rsidR="00102F9E" w:rsidRDefault="005941E1" w:rsidP="005941E1">
      <w:pPr>
        <w:pStyle w:val="Heading"/>
        <w:jc w:val="center"/>
        <w:rPr>
          <w:rFonts w:ascii="Times New Roman" w:hAnsi="Times New Roman" w:cs="Times New Roman"/>
          <w:sz w:val="24"/>
          <w:szCs w:val="24"/>
        </w:rPr>
      </w:pPr>
      <w:r>
        <w:rPr>
          <w:rFonts w:ascii="Times New Roman" w:hAnsi="Times New Roman" w:cs="Times New Roman"/>
          <w:sz w:val="24"/>
          <w:szCs w:val="24"/>
        </w:rPr>
        <w:t>Prepared by the Australian Prudential Regulation Authority</w:t>
      </w:r>
      <w:r w:rsidR="00102F9E">
        <w:rPr>
          <w:rFonts w:ascii="Times New Roman" w:hAnsi="Times New Roman" w:cs="Times New Roman"/>
          <w:sz w:val="24"/>
          <w:szCs w:val="24"/>
        </w:rPr>
        <w:t xml:space="preserve"> </w:t>
      </w:r>
      <w:r w:rsidR="005E67E9">
        <w:rPr>
          <w:rFonts w:ascii="Times New Roman" w:hAnsi="Times New Roman" w:cs="Times New Roman"/>
          <w:sz w:val="24"/>
          <w:szCs w:val="24"/>
        </w:rPr>
        <w:t>(APRA)</w:t>
      </w:r>
    </w:p>
    <w:p w14:paraId="644FEB92" w14:textId="2C18F1AA" w:rsidR="005E67E9" w:rsidRPr="005E67E9" w:rsidRDefault="005E67E9" w:rsidP="00D12FBD">
      <w:pPr>
        <w:pStyle w:val="Heading"/>
        <w:jc w:val="center"/>
        <w:rPr>
          <w:rFonts w:ascii="Times New Roman" w:hAnsi="Times New Roman" w:cs="Times New Roman"/>
          <w:b w:val="0"/>
          <w:color w:val="000000"/>
          <w:sz w:val="24"/>
          <w:szCs w:val="24"/>
        </w:rPr>
      </w:pPr>
      <w:r w:rsidRPr="005E67E9">
        <w:rPr>
          <w:rFonts w:ascii="Times New Roman" w:hAnsi="Times New Roman" w:cs="Times New Roman"/>
          <w:b w:val="0"/>
          <w:i/>
          <w:color w:val="000000"/>
          <w:sz w:val="24"/>
          <w:szCs w:val="24"/>
        </w:rPr>
        <w:t>Banking Act 1959</w:t>
      </w:r>
      <w:r>
        <w:rPr>
          <w:rFonts w:ascii="Times New Roman" w:hAnsi="Times New Roman" w:cs="Times New Roman"/>
          <w:color w:val="000000"/>
          <w:sz w:val="24"/>
          <w:szCs w:val="24"/>
        </w:rPr>
        <w:t>,</w:t>
      </w:r>
      <w:r w:rsidRPr="005E67E9">
        <w:rPr>
          <w:rFonts w:ascii="Times New Roman" w:hAnsi="Times New Roman" w:cs="Times New Roman"/>
          <w:b w:val="0"/>
          <w:i/>
          <w:color w:val="000000"/>
          <w:sz w:val="24"/>
          <w:szCs w:val="24"/>
        </w:rPr>
        <w:t xml:space="preserve"> </w:t>
      </w:r>
      <w:r w:rsidRPr="005E67E9">
        <w:rPr>
          <w:rFonts w:ascii="Times New Roman" w:hAnsi="Times New Roman" w:cs="Times New Roman"/>
          <w:b w:val="0"/>
          <w:color w:val="000000"/>
          <w:sz w:val="24"/>
          <w:szCs w:val="24"/>
        </w:rPr>
        <w:t xml:space="preserve">subsection </w:t>
      </w:r>
      <w:r w:rsidR="008F2DC4">
        <w:rPr>
          <w:rFonts w:ascii="Times New Roman" w:hAnsi="Times New Roman" w:cs="Times New Roman"/>
          <w:b w:val="0"/>
          <w:color w:val="000000"/>
          <w:sz w:val="24"/>
          <w:szCs w:val="24"/>
        </w:rPr>
        <w:t>37F</w:t>
      </w:r>
      <w:r w:rsidRPr="005E67E9">
        <w:rPr>
          <w:rFonts w:ascii="Times New Roman" w:hAnsi="Times New Roman" w:cs="Times New Roman"/>
          <w:b w:val="0"/>
          <w:color w:val="000000"/>
          <w:sz w:val="24"/>
          <w:szCs w:val="24"/>
        </w:rPr>
        <w:t>(</w:t>
      </w:r>
      <w:r w:rsidR="008F2DC4">
        <w:rPr>
          <w:rFonts w:ascii="Times New Roman" w:hAnsi="Times New Roman" w:cs="Times New Roman"/>
          <w:b w:val="0"/>
          <w:color w:val="000000"/>
          <w:sz w:val="24"/>
          <w:szCs w:val="24"/>
        </w:rPr>
        <w:t>3</w:t>
      </w:r>
      <w:r w:rsidRPr="005E67E9">
        <w:rPr>
          <w:rFonts w:ascii="Times New Roman" w:hAnsi="Times New Roman" w:cs="Times New Roman"/>
          <w:b w:val="0"/>
          <w:color w:val="000000"/>
          <w:sz w:val="24"/>
          <w:szCs w:val="24"/>
        </w:rPr>
        <w:t>)</w:t>
      </w:r>
    </w:p>
    <w:p w14:paraId="690D2A96" w14:textId="6939696F" w:rsidR="00122F4C" w:rsidRDefault="005E67E9" w:rsidP="001C001C">
      <w:pPr>
        <w:pStyle w:val="Heading"/>
        <w:jc w:val="both"/>
        <w:rPr>
          <w:rFonts w:ascii="Times New Roman" w:hAnsi="Times New Roman" w:cs="Times New Roman"/>
          <w:b w:val="0"/>
          <w:color w:val="000000"/>
          <w:sz w:val="24"/>
          <w:szCs w:val="24"/>
        </w:rPr>
      </w:pPr>
      <w:bookmarkStart w:id="3" w:name="bkAct"/>
      <w:bookmarkStart w:id="4" w:name="bkExplanatory"/>
      <w:bookmarkEnd w:id="3"/>
      <w:bookmarkEnd w:id="4"/>
      <w:r w:rsidRPr="00BC7834">
        <w:rPr>
          <w:rFonts w:ascii="Times New Roman" w:hAnsi="Times New Roman" w:cs="Times New Roman"/>
          <w:b w:val="0"/>
          <w:sz w:val="24"/>
          <w:szCs w:val="24"/>
        </w:rPr>
        <w:t xml:space="preserve">Under subsection </w:t>
      </w:r>
      <w:r w:rsidR="008F2DC4">
        <w:rPr>
          <w:rFonts w:ascii="Times New Roman" w:hAnsi="Times New Roman" w:cs="Times New Roman"/>
          <w:b w:val="0"/>
          <w:sz w:val="24"/>
          <w:szCs w:val="24"/>
        </w:rPr>
        <w:t>37F</w:t>
      </w:r>
      <w:r w:rsidRPr="00BC7834">
        <w:rPr>
          <w:rFonts w:ascii="Times New Roman" w:hAnsi="Times New Roman" w:cs="Times New Roman"/>
          <w:b w:val="0"/>
          <w:sz w:val="24"/>
          <w:szCs w:val="24"/>
        </w:rPr>
        <w:t>(</w:t>
      </w:r>
      <w:r w:rsidR="008F2DC4">
        <w:rPr>
          <w:rFonts w:ascii="Times New Roman" w:hAnsi="Times New Roman" w:cs="Times New Roman"/>
          <w:b w:val="0"/>
          <w:sz w:val="24"/>
          <w:szCs w:val="24"/>
        </w:rPr>
        <w:t>3</w:t>
      </w:r>
      <w:r w:rsidRPr="00BC7834">
        <w:rPr>
          <w:rFonts w:ascii="Times New Roman" w:hAnsi="Times New Roman" w:cs="Times New Roman"/>
          <w:b w:val="0"/>
          <w:sz w:val="24"/>
          <w:szCs w:val="24"/>
        </w:rPr>
        <w:t xml:space="preserve">) of the </w:t>
      </w:r>
      <w:r w:rsidRPr="00BC7834">
        <w:rPr>
          <w:rFonts w:ascii="Times New Roman" w:hAnsi="Times New Roman" w:cs="Times New Roman"/>
          <w:b w:val="0"/>
          <w:i/>
          <w:color w:val="000000"/>
          <w:sz w:val="24"/>
          <w:szCs w:val="24"/>
        </w:rPr>
        <w:t xml:space="preserve">Banking Act 1959 </w:t>
      </w:r>
      <w:r w:rsidRPr="00BC7834">
        <w:rPr>
          <w:rFonts w:ascii="Times New Roman" w:hAnsi="Times New Roman" w:cs="Times New Roman"/>
          <w:b w:val="0"/>
          <w:color w:val="000000"/>
          <w:sz w:val="24"/>
          <w:szCs w:val="24"/>
        </w:rPr>
        <w:t>(</w:t>
      </w:r>
      <w:r w:rsidR="008B2323" w:rsidRPr="00642ABC">
        <w:rPr>
          <w:rFonts w:ascii="Times New Roman" w:hAnsi="Times New Roman" w:cs="Times New Roman"/>
          <w:b w:val="0"/>
          <w:color w:val="000000"/>
          <w:sz w:val="24"/>
          <w:szCs w:val="24"/>
        </w:rPr>
        <w:t xml:space="preserve">Banking </w:t>
      </w:r>
      <w:r w:rsidRPr="00642ABC">
        <w:rPr>
          <w:rFonts w:ascii="Times New Roman" w:hAnsi="Times New Roman" w:cs="Times New Roman"/>
          <w:b w:val="0"/>
          <w:color w:val="000000"/>
          <w:sz w:val="24"/>
          <w:szCs w:val="24"/>
        </w:rPr>
        <w:t>Act</w:t>
      </w:r>
      <w:r w:rsidRPr="00BC7834">
        <w:rPr>
          <w:rFonts w:ascii="Times New Roman" w:hAnsi="Times New Roman" w:cs="Times New Roman"/>
          <w:b w:val="0"/>
          <w:color w:val="000000"/>
          <w:sz w:val="24"/>
          <w:szCs w:val="24"/>
        </w:rPr>
        <w:t xml:space="preserve">), APRA </w:t>
      </w:r>
      <w:r w:rsidR="00F70A13" w:rsidRPr="00145A8A">
        <w:rPr>
          <w:rFonts w:ascii="Times New Roman" w:hAnsi="Times New Roman" w:cs="Times New Roman"/>
          <w:b w:val="0"/>
          <w:sz w:val="24"/>
          <w:szCs w:val="24"/>
        </w:rPr>
        <w:t xml:space="preserve">may, </w:t>
      </w:r>
      <w:r w:rsidR="008F2DC4">
        <w:rPr>
          <w:rFonts w:ascii="Times New Roman" w:hAnsi="Times New Roman" w:cs="Times New Roman"/>
          <w:b w:val="0"/>
          <w:sz w:val="24"/>
          <w:szCs w:val="24"/>
        </w:rPr>
        <w:t xml:space="preserve">by legislative instrument, determine, for the purposes of paragraph 37F(2)(b), a period for the purposes of paragraphs 37F(1)(a) and (b) </w:t>
      </w:r>
      <w:r w:rsidR="00F70A13" w:rsidRPr="00145A8A">
        <w:rPr>
          <w:rFonts w:ascii="Times New Roman" w:hAnsi="Times New Roman" w:cs="Times New Roman"/>
          <w:b w:val="0"/>
          <w:sz w:val="24"/>
          <w:szCs w:val="24"/>
        </w:rPr>
        <w:t xml:space="preserve">of the </w:t>
      </w:r>
      <w:r w:rsidR="008B2323">
        <w:rPr>
          <w:rFonts w:ascii="Times New Roman" w:hAnsi="Times New Roman" w:cs="Times New Roman"/>
          <w:b w:val="0"/>
          <w:sz w:val="24"/>
          <w:szCs w:val="24"/>
        </w:rPr>
        <w:t xml:space="preserve">Banking </w:t>
      </w:r>
      <w:r w:rsidR="00F70A13" w:rsidRPr="00145A8A">
        <w:rPr>
          <w:rFonts w:ascii="Times New Roman" w:hAnsi="Times New Roman" w:cs="Times New Roman"/>
          <w:b w:val="0"/>
          <w:sz w:val="24"/>
          <w:szCs w:val="24"/>
        </w:rPr>
        <w:t>Act</w:t>
      </w:r>
      <w:r w:rsidR="00122F4C">
        <w:rPr>
          <w:rFonts w:ascii="Times New Roman" w:hAnsi="Times New Roman" w:cs="Times New Roman"/>
          <w:b w:val="0"/>
          <w:color w:val="000000"/>
          <w:sz w:val="24"/>
          <w:szCs w:val="24"/>
        </w:rPr>
        <w:t>.</w:t>
      </w:r>
    </w:p>
    <w:p w14:paraId="3927A192" w14:textId="130D2CF6" w:rsidR="003263A2" w:rsidRPr="002821EF" w:rsidRDefault="007E67DD" w:rsidP="001C001C">
      <w:pPr>
        <w:pStyle w:val="Heading"/>
        <w:jc w:val="both"/>
        <w:rPr>
          <w:rFonts w:ascii="Times New Roman" w:hAnsi="Times New Roman" w:cs="Times New Roman"/>
          <w:sz w:val="24"/>
          <w:szCs w:val="24"/>
        </w:rPr>
      </w:pPr>
      <w:r>
        <w:rPr>
          <w:rFonts w:ascii="Times New Roman" w:hAnsi="Times New Roman" w:cs="Times New Roman"/>
          <w:b w:val="0"/>
          <w:sz w:val="24"/>
          <w:szCs w:val="24"/>
        </w:rPr>
        <w:t>On</w:t>
      </w:r>
      <w:r w:rsidR="00BF29E7">
        <w:rPr>
          <w:rFonts w:ascii="Times New Roman" w:hAnsi="Times New Roman" w:cs="Times New Roman"/>
          <w:b w:val="0"/>
          <w:sz w:val="24"/>
          <w:szCs w:val="24"/>
        </w:rPr>
        <w:t xml:space="preserve"> </w:t>
      </w:r>
      <w:r w:rsidR="00B97CF4">
        <w:rPr>
          <w:rFonts w:ascii="Times New Roman" w:hAnsi="Times New Roman" w:cs="Times New Roman"/>
          <w:b w:val="0"/>
          <w:sz w:val="24"/>
          <w:szCs w:val="24"/>
        </w:rPr>
        <w:t>26</w:t>
      </w:r>
      <w:r w:rsidR="002821EF">
        <w:rPr>
          <w:rFonts w:ascii="Times New Roman" w:hAnsi="Times New Roman" w:cs="Times New Roman"/>
          <w:b w:val="0"/>
          <w:sz w:val="24"/>
          <w:szCs w:val="24"/>
        </w:rPr>
        <w:t xml:space="preserve"> March </w:t>
      </w:r>
      <w:r w:rsidR="00BF29E7" w:rsidRPr="00B979F1">
        <w:rPr>
          <w:rFonts w:ascii="Times New Roman" w:hAnsi="Times New Roman" w:cs="Times New Roman"/>
          <w:b w:val="0"/>
          <w:sz w:val="24"/>
          <w:szCs w:val="24"/>
        </w:rPr>
        <w:t>20</w:t>
      </w:r>
      <w:r w:rsidR="00B97CF4">
        <w:rPr>
          <w:rFonts w:ascii="Times New Roman" w:hAnsi="Times New Roman" w:cs="Times New Roman"/>
          <w:b w:val="0"/>
          <w:sz w:val="24"/>
          <w:szCs w:val="24"/>
        </w:rPr>
        <w:t>20</w:t>
      </w:r>
      <w:r w:rsidR="00DE614A">
        <w:rPr>
          <w:rFonts w:ascii="Times New Roman" w:hAnsi="Times New Roman" w:cs="Times New Roman"/>
          <w:b w:val="0"/>
          <w:sz w:val="24"/>
          <w:szCs w:val="24"/>
        </w:rPr>
        <w:t>,</w:t>
      </w:r>
      <w:r>
        <w:rPr>
          <w:rFonts w:ascii="Times New Roman" w:hAnsi="Times New Roman" w:cs="Times New Roman"/>
          <w:b w:val="0"/>
          <w:sz w:val="24"/>
          <w:szCs w:val="24"/>
        </w:rPr>
        <w:t xml:space="preserve"> APRA made </w:t>
      </w:r>
      <w:r w:rsidR="002821EF" w:rsidRPr="002821EF">
        <w:rPr>
          <w:rFonts w:ascii="Times New Roman" w:hAnsi="Times New Roman" w:cs="Times New Roman"/>
          <w:b w:val="0"/>
          <w:sz w:val="24"/>
          <w:szCs w:val="24"/>
        </w:rPr>
        <w:t>Banking (BEAR) Determination No. 1 of 2020</w:t>
      </w:r>
      <w:r w:rsidR="005E67E9" w:rsidRPr="00BC7834">
        <w:rPr>
          <w:rFonts w:ascii="Times New Roman" w:hAnsi="Times New Roman" w:cs="Times New Roman"/>
          <w:b w:val="0"/>
          <w:sz w:val="24"/>
          <w:szCs w:val="24"/>
        </w:rPr>
        <w:t xml:space="preserve"> (</w:t>
      </w:r>
      <w:r w:rsidR="002821EF">
        <w:rPr>
          <w:rFonts w:ascii="Times New Roman" w:hAnsi="Times New Roman" w:cs="Times New Roman"/>
          <w:b w:val="0"/>
          <w:sz w:val="24"/>
          <w:szCs w:val="24"/>
        </w:rPr>
        <w:t>the Determination.</w:t>
      </w:r>
    </w:p>
    <w:p w14:paraId="406E3927" w14:textId="0346361C" w:rsidR="005E67E9" w:rsidRPr="00BC7834" w:rsidRDefault="003263A2" w:rsidP="001C001C">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w:t>
      </w:r>
      <w:r w:rsidR="002821EF">
        <w:rPr>
          <w:rFonts w:ascii="Times New Roman" w:hAnsi="Times New Roman" w:cs="Times New Roman"/>
          <w:b w:val="0"/>
          <w:sz w:val="24"/>
          <w:szCs w:val="24"/>
        </w:rPr>
        <w:t>Determination</w:t>
      </w:r>
      <w:r>
        <w:rPr>
          <w:rFonts w:ascii="Times New Roman" w:hAnsi="Times New Roman" w:cs="Times New Roman"/>
          <w:b w:val="0"/>
          <w:sz w:val="24"/>
          <w:szCs w:val="24"/>
        </w:rPr>
        <w:t xml:space="preserve"> commences</w:t>
      </w:r>
      <w:r w:rsidR="00A62AE1" w:rsidRPr="005E67E9">
        <w:rPr>
          <w:rFonts w:ascii="Times New Roman" w:hAnsi="Times New Roman" w:cs="Times New Roman"/>
          <w:b w:val="0"/>
          <w:sz w:val="24"/>
          <w:szCs w:val="24"/>
        </w:rPr>
        <w:t xml:space="preserve"> </w:t>
      </w:r>
      <w:r w:rsidR="00A62AE1">
        <w:rPr>
          <w:rFonts w:ascii="Times New Roman" w:hAnsi="Times New Roman" w:cs="Times New Roman"/>
          <w:b w:val="0"/>
          <w:sz w:val="24"/>
          <w:szCs w:val="24"/>
        </w:rPr>
        <w:t>on</w:t>
      </w:r>
      <w:r w:rsidR="00A62AE1" w:rsidRPr="005E67E9">
        <w:rPr>
          <w:rFonts w:ascii="Times New Roman" w:hAnsi="Times New Roman" w:cs="Times New Roman"/>
          <w:b w:val="0"/>
          <w:sz w:val="24"/>
          <w:szCs w:val="24"/>
        </w:rPr>
        <w:t xml:space="preserve"> </w:t>
      </w:r>
      <w:r w:rsidR="00D200D5">
        <w:rPr>
          <w:rFonts w:ascii="Times New Roman" w:hAnsi="Times New Roman" w:cs="Times New Roman"/>
          <w:b w:val="0"/>
          <w:sz w:val="24"/>
          <w:szCs w:val="24"/>
        </w:rPr>
        <w:t xml:space="preserve">the date of </w:t>
      </w:r>
      <w:r w:rsidR="00AF7A1C">
        <w:rPr>
          <w:rFonts w:ascii="Times New Roman" w:hAnsi="Times New Roman" w:cs="Times New Roman"/>
          <w:b w:val="0"/>
          <w:sz w:val="24"/>
          <w:szCs w:val="24"/>
        </w:rPr>
        <w:t xml:space="preserve">its </w:t>
      </w:r>
      <w:r w:rsidR="00D200D5">
        <w:rPr>
          <w:rFonts w:ascii="Times New Roman" w:hAnsi="Times New Roman" w:cs="Times New Roman"/>
          <w:b w:val="0"/>
          <w:sz w:val="24"/>
          <w:szCs w:val="24"/>
        </w:rPr>
        <w:t>registration</w:t>
      </w:r>
      <w:r w:rsidR="00A62AE1" w:rsidRPr="00A62AE1">
        <w:rPr>
          <w:rFonts w:ascii="Times New Roman" w:hAnsi="Times New Roman" w:cs="Times New Roman"/>
          <w:sz w:val="24"/>
          <w:szCs w:val="24"/>
        </w:rPr>
        <w:t>.</w:t>
      </w:r>
    </w:p>
    <w:p w14:paraId="5F936236" w14:textId="77777777" w:rsidR="005941E1" w:rsidRPr="00BC7834" w:rsidRDefault="005941E1" w:rsidP="001C001C">
      <w:pPr>
        <w:pStyle w:val="Heading"/>
        <w:numPr>
          <w:ilvl w:val="0"/>
          <w:numId w:val="1"/>
        </w:numPr>
        <w:tabs>
          <w:tab w:val="clear" w:pos="360"/>
        </w:tabs>
        <w:ind w:left="0" w:firstLine="0"/>
        <w:jc w:val="both"/>
        <w:rPr>
          <w:rFonts w:ascii="Times New Roman" w:hAnsi="Times New Roman" w:cs="Times New Roman"/>
          <w:sz w:val="24"/>
          <w:szCs w:val="24"/>
        </w:rPr>
      </w:pPr>
      <w:r w:rsidRPr="00BC7834">
        <w:rPr>
          <w:rFonts w:ascii="Times New Roman" w:hAnsi="Times New Roman" w:cs="Times New Roman"/>
          <w:sz w:val="24"/>
          <w:szCs w:val="24"/>
        </w:rPr>
        <w:t>Background</w:t>
      </w:r>
    </w:p>
    <w:p w14:paraId="72A6F1AB" w14:textId="77777777" w:rsidR="00B8156D" w:rsidRDefault="00B2136A" w:rsidP="00B2136A">
      <w:pPr>
        <w:pStyle w:val="Heading"/>
        <w:jc w:val="both"/>
        <w:rPr>
          <w:rFonts w:ascii="Times New Roman" w:hAnsi="Times New Roman" w:cs="Times New Roman"/>
          <w:b w:val="0"/>
          <w:kern w:val="0"/>
          <w:sz w:val="24"/>
          <w:szCs w:val="24"/>
          <w:lang w:eastAsia="en-AU"/>
        </w:rPr>
      </w:pPr>
      <w:bookmarkStart w:id="5" w:name="bkBackground"/>
      <w:bookmarkEnd w:id="5"/>
      <w:r w:rsidRPr="00B2136A">
        <w:rPr>
          <w:rFonts w:ascii="Times New Roman" w:hAnsi="Times New Roman" w:cs="Times New Roman"/>
          <w:b w:val="0"/>
          <w:kern w:val="0"/>
          <w:sz w:val="24"/>
          <w:szCs w:val="24"/>
          <w:lang w:eastAsia="en-AU"/>
        </w:rPr>
        <w:t xml:space="preserve">Accountability statements are documents provided by </w:t>
      </w:r>
      <w:r w:rsidR="009A18E8">
        <w:rPr>
          <w:rFonts w:ascii="Times New Roman" w:hAnsi="Times New Roman" w:cs="Times New Roman"/>
          <w:b w:val="0"/>
          <w:kern w:val="0"/>
          <w:sz w:val="24"/>
          <w:szCs w:val="24"/>
          <w:lang w:eastAsia="en-AU"/>
        </w:rPr>
        <w:t>Authorised Deposit-taking Institutions (</w:t>
      </w:r>
      <w:r w:rsidRPr="00B2136A">
        <w:rPr>
          <w:rFonts w:ascii="Times New Roman" w:hAnsi="Times New Roman" w:cs="Times New Roman"/>
          <w:b w:val="0"/>
          <w:kern w:val="0"/>
          <w:sz w:val="24"/>
          <w:szCs w:val="24"/>
          <w:lang w:eastAsia="en-AU"/>
        </w:rPr>
        <w:t>ADIs</w:t>
      </w:r>
      <w:r w:rsidR="009A18E8">
        <w:rPr>
          <w:rFonts w:ascii="Times New Roman" w:hAnsi="Times New Roman" w:cs="Times New Roman"/>
          <w:b w:val="0"/>
          <w:kern w:val="0"/>
          <w:sz w:val="24"/>
          <w:szCs w:val="24"/>
          <w:lang w:eastAsia="en-AU"/>
        </w:rPr>
        <w:t>)</w:t>
      </w:r>
      <w:r w:rsidRPr="00B2136A">
        <w:rPr>
          <w:rFonts w:ascii="Times New Roman" w:hAnsi="Times New Roman" w:cs="Times New Roman"/>
          <w:b w:val="0"/>
          <w:kern w:val="0"/>
          <w:sz w:val="24"/>
          <w:szCs w:val="24"/>
          <w:lang w:eastAsia="en-AU"/>
        </w:rPr>
        <w:t xml:space="preserve"> for ea</w:t>
      </w:r>
      <w:r w:rsidR="009A18E8">
        <w:rPr>
          <w:rFonts w:ascii="Times New Roman" w:hAnsi="Times New Roman" w:cs="Times New Roman"/>
          <w:b w:val="0"/>
          <w:kern w:val="0"/>
          <w:sz w:val="24"/>
          <w:szCs w:val="24"/>
          <w:lang w:eastAsia="en-AU"/>
        </w:rPr>
        <w:t>ch of their accountable persons.  The statements</w:t>
      </w:r>
      <w:r w:rsidRPr="00B2136A">
        <w:rPr>
          <w:rFonts w:ascii="Times New Roman" w:hAnsi="Times New Roman" w:cs="Times New Roman"/>
          <w:b w:val="0"/>
          <w:kern w:val="0"/>
          <w:sz w:val="24"/>
          <w:szCs w:val="24"/>
          <w:lang w:eastAsia="en-AU"/>
        </w:rPr>
        <w:t xml:space="preserve"> set out the responsibilities of those persons. Accountability maps set out the names of all accountable persons of an ADI and set out details of the reporting lines and lines of responsibility of those accountable persons</w:t>
      </w:r>
      <w:r w:rsidR="00774299">
        <w:rPr>
          <w:rFonts w:ascii="Times New Roman" w:hAnsi="Times New Roman" w:cs="Times New Roman"/>
          <w:b w:val="0"/>
          <w:kern w:val="0"/>
          <w:sz w:val="24"/>
          <w:szCs w:val="24"/>
          <w:lang w:eastAsia="en-AU"/>
        </w:rPr>
        <w:t xml:space="preserve">.  </w:t>
      </w:r>
      <w:r w:rsidR="00B8156D" w:rsidRPr="00B8156D">
        <w:rPr>
          <w:rFonts w:ascii="Times New Roman" w:hAnsi="Times New Roman" w:cs="Times New Roman"/>
          <w:b w:val="0"/>
          <w:kern w:val="0"/>
          <w:sz w:val="24"/>
          <w:szCs w:val="24"/>
          <w:lang w:eastAsia="en-AU"/>
        </w:rPr>
        <w:t xml:space="preserve">The statements and maps are part of the Banking Executive Accountability Regime </w:t>
      </w:r>
      <w:r w:rsidR="00B8156D">
        <w:rPr>
          <w:rFonts w:ascii="Times New Roman" w:hAnsi="Times New Roman" w:cs="Times New Roman"/>
          <w:b w:val="0"/>
          <w:kern w:val="0"/>
          <w:sz w:val="24"/>
          <w:szCs w:val="24"/>
          <w:lang w:eastAsia="en-AU"/>
        </w:rPr>
        <w:t>introduced into</w:t>
      </w:r>
      <w:r w:rsidR="00B8156D" w:rsidRPr="00B8156D">
        <w:rPr>
          <w:rFonts w:ascii="Times New Roman" w:hAnsi="Times New Roman" w:cs="Times New Roman"/>
          <w:b w:val="0"/>
          <w:kern w:val="0"/>
          <w:sz w:val="24"/>
          <w:szCs w:val="24"/>
          <w:lang w:eastAsia="en-AU"/>
        </w:rPr>
        <w:t xml:space="preserve"> the Banking Act</w:t>
      </w:r>
      <w:r w:rsidR="00B8156D">
        <w:rPr>
          <w:rFonts w:ascii="Times New Roman" w:hAnsi="Times New Roman" w:cs="Times New Roman"/>
          <w:b w:val="0"/>
          <w:kern w:val="0"/>
          <w:sz w:val="24"/>
          <w:szCs w:val="24"/>
          <w:lang w:eastAsia="en-AU"/>
        </w:rPr>
        <w:t xml:space="preserve"> by </w:t>
      </w:r>
      <w:r w:rsidR="00B8156D" w:rsidRPr="00B8156D">
        <w:rPr>
          <w:rFonts w:ascii="Times New Roman" w:hAnsi="Times New Roman" w:cs="Times New Roman"/>
          <w:b w:val="0"/>
          <w:i/>
          <w:kern w:val="0"/>
          <w:sz w:val="24"/>
          <w:szCs w:val="24"/>
          <w:lang w:eastAsia="en-AU"/>
        </w:rPr>
        <w:t>Treasury Laws Amendment (Banking Executive Accountability and Related Measures) Act 2018</w:t>
      </w:r>
      <w:r w:rsidR="00B8156D">
        <w:rPr>
          <w:rFonts w:ascii="Times New Roman" w:hAnsi="Times New Roman" w:cs="Times New Roman"/>
          <w:b w:val="0"/>
          <w:i/>
          <w:kern w:val="0"/>
          <w:sz w:val="24"/>
          <w:szCs w:val="24"/>
          <w:lang w:eastAsia="en-AU"/>
        </w:rPr>
        <w:t>.</w:t>
      </w:r>
      <w:r w:rsidR="00B8156D">
        <w:rPr>
          <w:rFonts w:ascii="Times New Roman" w:hAnsi="Times New Roman" w:cs="Times New Roman"/>
          <w:b w:val="0"/>
          <w:kern w:val="0"/>
          <w:sz w:val="24"/>
          <w:szCs w:val="24"/>
          <w:lang w:eastAsia="en-AU"/>
        </w:rPr>
        <w:t xml:space="preserve">  </w:t>
      </w:r>
    </w:p>
    <w:p w14:paraId="5D1B98DB" w14:textId="40FF3FA5" w:rsidR="00B2136A" w:rsidRDefault="00B2136A" w:rsidP="00B2136A">
      <w:pPr>
        <w:pStyle w:val="Heading"/>
        <w:jc w:val="both"/>
        <w:rPr>
          <w:rFonts w:ascii="Times New Roman" w:hAnsi="Times New Roman" w:cs="Times New Roman"/>
          <w:b w:val="0"/>
          <w:kern w:val="0"/>
          <w:sz w:val="24"/>
          <w:szCs w:val="24"/>
          <w:lang w:eastAsia="en-AU"/>
        </w:rPr>
      </w:pPr>
      <w:r w:rsidRPr="00B2136A">
        <w:rPr>
          <w:rFonts w:ascii="Times New Roman" w:hAnsi="Times New Roman" w:cs="Times New Roman"/>
          <w:b w:val="0"/>
          <w:kern w:val="0"/>
          <w:sz w:val="24"/>
          <w:szCs w:val="24"/>
          <w:lang w:eastAsia="en-AU"/>
        </w:rPr>
        <w:t>Sections 37F(1) and (2) of the Banking Act require ADIs to notify APRA of any changes to the statements and maps. This must be done within</w:t>
      </w:r>
      <w:r w:rsidR="00397B3D">
        <w:rPr>
          <w:rFonts w:ascii="Times New Roman" w:hAnsi="Times New Roman" w:cs="Times New Roman"/>
          <w:b w:val="0"/>
          <w:kern w:val="0"/>
          <w:sz w:val="24"/>
          <w:szCs w:val="24"/>
          <w:lang w:eastAsia="en-AU"/>
        </w:rPr>
        <w:t xml:space="preserve"> the period, after the change, provided under subsection 37F(2) of</w:t>
      </w:r>
      <w:r w:rsidRPr="00B2136A">
        <w:rPr>
          <w:rFonts w:ascii="Times New Roman" w:hAnsi="Times New Roman" w:cs="Times New Roman"/>
          <w:b w:val="0"/>
          <w:kern w:val="0"/>
          <w:sz w:val="24"/>
          <w:szCs w:val="24"/>
          <w:lang w:eastAsia="en-AU"/>
        </w:rPr>
        <w:t xml:space="preserve"> </w:t>
      </w:r>
      <w:r w:rsidR="00397B3D">
        <w:rPr>
          <w:rFonts w:ascii="Times New Roman" w:hAnsi="Times New Roman" w:cs="Times New Roman"/>
          <w:b w:val="0"/>
          <w:kern w:val="0"/>
          <w:sz w:val="24"/>
          <w:szCs w:val="24"/>
          <w:lang w:eastAsia="en-AU"/>
        </w:rPr>
        <w:t xml:space="preserve">the Banking Act. Subsection 37F(2) provides that the period is </w:t>
      </w:r>
      <w:r w:rsidRPr="00B2136A">
        <w:rPr>
          <w:rFonts w:ascii="Times New Roman" w:hAnsi="Times New Roman" w:cs="Times New Roman"/>
          <w:b w:val="0"/>
          <w:kern w:val="0"/>
          <w:sz w:val="24"/>
          <w:szCs w:val="24"/>
          <w:lang w:eastAsia="en-AU"/>
        </w:rPr>
        <w:t>14 days</w:t>
      </w:r>
      <w:r w:rsidR="00397B3D">
        <w:rPr>
          <w:rFonts w:ascii="Times New Roman" w:hAnsi="Times New Roman" w:cs="Times New Roman"/>
          <w:b w:val="0"/>
          <w:kern w:val="0"/>
          <w:sz w:val="24"/>
          <w:szCs w:val="24"/>
          <w:lang w:eastAsia="en-AU"/>
        </w:rPr>
        <w:t>,</w:t>
      </w:r>
      <w:r w:rsidR="00642ABC">
        <w:rPr>
          <w:rFonts w:ascii="Times New Roman" w:hAnsi="Times New Roman" w:cs="Times New Roman"/>
          <w:b w:val="0"/>
          <w:kern w:val="0"/>
          <w:sz w:val="24"/>
          <w:szCs w:val="24"/>
          <w:lang w:eastAsia="en-AU"/>
        </w:rPr>
        <w:t xml:space="preserve"> or such other period as determined under subsection 37F(3)</w:t>
      </w:r>
      <w:r w:rsidR="00397B3D">
        <w:rPr>
          <w:rFonts w:ascii="Times New Roman" w:hAnsi="Times New Roman" w:cs="Times New Roman"/>
          <w:b w:val="0"/>
          <w:kern w:val="0"/>
          <w:sz w:val="24"/>
          <w:szCs w:val="24"/>
          <w:lang w:eastAsia="en-AU"/>
        </w:rPr>
        <w:t xml:space="preserve"> </w:t>
      </w:r>
      <w:r w:rsidRPr="00B2136A">
        <w:rPr>
          <w:rFonts w:ascii="Times New Roman" w:hAnsi="Times New Roman" w:cs="Times New Roman"/>
          <w:b w:val="0"/>
          <w:kern w:val="0"/>
          <w:sz w:val="24"/>
          <w:szCs w:val="24"/>
          <w:lang w:eastAsia="en-AU"/>
        </w:rPr>
        <w:t xml:space="preserve">of the change occurring.  </w:t>
      </w:r>
      <w:r w:rsidR="00642ABC">
        <w:rPr>
          <w:rFonts w:ascii="Times New Roman" w:hAnsi="Times New Roman" w:cs="Times New Roman"/>
          <w:b w:val="0"/>
          <w:kern w:val="0"/>
          <w:sz w:val="24"/>
          <w:szCs w:val="24"/>
          <w:lang w:eastAsia="en-AU"/>
        </w:rPr>
        <w:t>Subs</w:t>
      </w:r>
      <w:r w:rsidRPr="00B2136A">
        <w:rPr>
          <w:rFonts w:ascii="Times New Roman" w:hAnsi="Times New Roman" w:cs="Times New Roman"/>
          <w:b w:val="0"/>
          <w:kern w:val="0"/>
          <w:sz w:val="24"/>
          <w:szCs w:val="24"/>
          <w:lang w:eastAsia="en-AU"/>
        </w:rPr>
        <w:t xml:space="preserve">ection </w:t>
      </w:r>
      <w:r w:rsidRPr="00B2136A">
        <w:rPr>
          <w:rFonts w:ascii="Times New Roman" w:hAnsi="Times New Roman" w:cs="Times New Roman"/>
          <w:b w:val="0"/>
          <w:kern w:val="0"/>
          <w:sz w:val="24"/>
          <w:szCs w:val="24"/>
          <w:lang w:eastAsia="en-AU"/>
        </w:rPr>
        <w:lastRenderedPageBreak/>
        <w:t xml:space="preserve">37F(3) of the Banking Act </w:t>
      </w:r>
      <w:r w:rsidR="00642ABC">
        <w:rPr>
          <w:rFonts w:ascii="Times New Roman" w:hAnsi="Times New Roman" w:cs="Times New Roman"/>
          <w:b w:val="0"/>
          <w:kern w:val="0"/>
          <w:sz w:val="24"/>
          <w:szCs w:val="24"/>
          <w:lang w:eastAsia="en-AU"/>
        </w:rPr>
        <w:t xml:space="preserve">provides </w:t>
      </w:r>
      <w:r w:rsidRPr="00B2136A">
        <w:rPr>
          <w:rFonts w:ascii="Times New Roman" w:hAnsi="Times New Roman" w:cs="Times New Roman"/>
          <w:b w:val="0"/>
          <w:kern w:val="0"/>
          <w:sz w:val="24"/>
          <w:szCs w:val="24"/>
          <w:lang w:eastAsia="en-AU"/>
        </w:rPr>
        <w:t>for APRA, by legislative instrument, to determine another period for notification.</w:t>
      </w:r>
    </w:p>
    <w:p w14:paraId="76FE170A" w14:textId="77777777" w:rsidR="005E67E9" w:rsidRDefault="008B7528" w:rsidP="001C001C">
      <w:pPr>
        <w:pStyle w:val="Heading"/>
        <w:numPr>
          <w:ilvl w:val="0"/>
          <w:numId w:val="1"/>
        </w:numPr>
        <w:tabs>
          <w:tab w:val="clear" w:pos="360"/>
          <w:tab w:val="num" w:pos="0"/>
        </w:tabs>
        <w:ind w:left="0" w:firstLine="0"/>
        <w:jc w:val="both"/>
        <w:rPr>
          <w:rFonts w:ascii="Times New Roman" w:hAnsi="Times New Roman" w:cs="Times New Roman"/>
          <w:sz w:val="24"/>
          <w:szCs w:val="24"/>
        </w:rPr>
      </w:pPr>
      <w:r w:rsidRPr="00BC7834">
        <w:rPr>
          <w:rFonts w:ascii="Times New Roman" w:hAnsi="Times New Roman" w:cs="Times New Roman"/>
          <w:sz w:val="24"/>
          <w:szCs w:val="24"/>
        </w:rPr>
        <w:t xml:space="preserve">Purpose of </w:t>
      </w:r>
      <w:r w:rsidR="00D07DD9">
        <w:rPr>
          <w:rFonts w:ascii="Times New Roman" w:hAnsi="Times New Roman" w:cs="Times New Roman"/>
          <w:sz w:val="24"/>
          <w:szCs w:val="24"/>
        </w:rPr>
        <w:t>making the</w:t>
      </w:r>
      <w:r w:rsidR="00ED1A15">
        <w:rPr>
          <w:rFonts w:ascii="Times New Roman" w:hAnsi="Times New Roman" w:cs="Times New Roman"/>
          <w:sz w:val="24"/>
          <w:szCs w:val="24"/>
        </w:rPr>
        <w:t xml:space="preserve"> </w:t>
      </w:r>
      <w:r w:rsidRPr="00BC7834">
        <w:rPr>
          <w:rFonts w:ascii="Times New Roman" w:hAnsi="Times New Roman" w:cs="Times New Roman"/>
          <w:sz w:val="24"/>
          <w:szCs w:val="24"/>
        </w:rPr>
        <w:t>instrument</w:t>
      </w:r>
      <w:bookmarkStart w:id="6" w:name="bkPurpose"/>
      <w:bookmarkStart w:id="7" w:name="bkoperation"/>
      <w:bookmarkStart w:id="8" w:name="bkConsultationNo"/>
      <w:bookmarkEnd w:id="6"/>
      <w:bookmarkEnd w:id="7"/>
      <w:bookmarkEnd w:id="8"/>
    </w:p>
    <w:p w14:paraId="0CC6D884" w14:textId="55FE04A8" w:rsidR="00B2136A" w:rsidRPr="00BF6681" w:rsidRDefault="000906FC" w:rsidP="00B2136A">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The purpose of </w:t>
      </w:r>
      <w:r w:rsidR="00B2136A">
        <w:rPr>
          <w:rFonts w:ascii="Times New Roman" w:hAnsi="Times New Roman" w:cs="Times New Roman"/>
          <w:b w:val="0"/>
          <w:sz w:val="24"/>
          <w:szCs w:val="24"/>
        </w:rPr>
        <w:t>making the Determination is to replace the existing 14 day period for notification of changes to accountability statements and maps with a 30 day period.</w:t>
      </w:r>
      <w:r w:rsidR="00B8156D" w:rsidRPr="00B8156D">
        <w:rPr>
          <w:rFonts w:ascii="Times New Roman" w:hAnsi="Times New Roman" w:cs="Times New Roman"/>
          <w:b w:val="0"/>
          <w:kern w:val="0"/>
          <w:sz w:val="24"/>
          <w:szCs w:val="24"/>
          <w:lang w:eastAsia="en-AU"/>
        </w:rPr>
        <w:t xml:space="preserve"> </w:t>
      </w:r>
      <w:r w:rsidR="00B8156D" w:rsidRPr="00B8156D">
        <w:rPr>
          <w:rFonts w:ascii="Times New Roman" w:hAnsi="Times New Roman" w:cs="Times New Roman"/>
          <w:b w:val="0"/>
          <w:sz w:val="24"/>
          <w:szCs w:val="24"/>
        </w:rPr>
        <w:t>The changed notification will affect all ADIs and will provide them with more time to comply with their notification obligations.</w:t>
      </w:r>
    </w:p>
    <w:p w14:paraId="712AFB7E" w14:textId="77777777" w:rsidR="001C4593" w:rsidRDefault="008B7528" w:rsidP="00995BF8">
      <w:pPr>
        <w:pStyle w:val="Heading"/>
        <w:numPr>
          <w:ilvl w:val="0"/>
          <w:numId w:val="1"/>
        </w:numPr>
        <w:tabs>
          <w:tab w:val="left" w:pos="0"/>
        </w:tabs>
        <w:jc w:val="both"/>
        <w:rPr>
          <w:rFonts w:ascii="Times New Roman" w:hAnsi="Times New Roman" w:cs="Times New Roman"/>
          <w:sz w:val="24"/>
          <w:szCs w:val="24"/>
        </w:rPr>
      </w:pPr>
      <w:r w:rsidRPr="00BC7834">
        <w:rPr>
          <w:rFonts w:ascii="Times New Roman" w:hAnsi="Times New Roman" w:cs="Times New Roman"/>
          <w:sz w:val="24"/>
          <w:szCs w:val="24"/>
        </w:rPr>
        <w:t>Consultation</w:t>
      </w:r>
    </w:p>
    <w:p w14:paraId="01552F44" w14:textId="7AD33187" w:rsidR="00B8156D" w:rsidRPr="00B8156D" w:rsidRDefault="00B8156D" w:rsidP="00B8156D">
      <w:pPr>
        <w:pStyle w:val="Heading"/>
        <w:jc w:val="both"/>
        <w:rPr>
          <w:rFonts w:ascii="Times New Roman" w:hAnsi="Times New Roman" w:cs="Times New Roman"/>
          <w:b w:val="0"/>
          <w:sz w:val="24"/>
          <w:szCs w:val="24"/>
        </w:rPr>
      </w:pPr>
      <w:r w:rsidRPr="00B8156D">
        <w:rPr>
          <w:rFonts w:ascii="Times New Roman" w:hAnsi="Times New Roman" w:cs="Times New Roman"/>
          <w:b w:val="0"/>
          <w:sz w:val="24"/>
          <w:szCs w:val="24"/>
        </w:rPr>
        <w:t xml:space="preserve">The Australian Banker’s Association (ABA) has requested APRA provide ADIs with relief from their obligations to notify APRA in relation to changes to accountability statements and accountability maps. </w:t>
      </w:r>
    </w:p>
    <w:p w14:paraId="18FEFCF9" w14:textId="3DE588FC" w:rsidR="00945643" w:rsidRPr="00945643" w:rsidRDefault="00B8156D" w:rsidP="00B8156D">
      <w:pPr>
        <w:pStyle w:val="Heading"/>
        <w:jc w:val="both"/>
        <w:rPr>
          <w:rFonts w:ascii="Times New Roman" w:hAnsi="Times New Roman" w:cs="Times New Roman"/>
          <w:b w:val="0"/>
          <w:sz w:val="24"/>
          <w:szCs w:val="24"/>
        </w:rPr>
      </w:pPr>
      <w:r w:rsidRPr="00B8156D">
        <w:rPr>
          <w:rFonts w:ascii="Times New Roman" w:hAnsi="Times New Roman" w:cs="Times New Roman"/>
          <w:b w:val="0"/>
          <w:sz w:val="24"/>
          <w:szCs w:val="24"/>
        </w:rPr>
        <w:t>The ABA points to the resourcing constraints (</w:t>
      </w:r>
      <w:r w:rsidR="00834D8E">
        <w:rPr>
          <w:rFonts w:ascii="Times New Roman" w:hAnsi="Times New Roman" w:cs="Times New Roman"/>
          <w:b w:val="0"/>
          <w:sz w:val="24"/>
          <w:szCs w:val="24"/>
        </w:rPr>
        <w:t xml:space="preserve">such as </w:t>
      </w:r>
      <w:r w:rsidRPr="00B8156D">
        <w:rPr>
          <w:rFonts w:ascii="Times New Roman" w:hAnsi="Times New Roman" w:cs="Times New Roman"/>
          <w:b w:val="0"/>
          <w:sz w:val="24"/>
          <w:szCs w:val="24"/>
        </w:rPr>
        <w:t>illness, lockdowns, remote access</w:t>
      </w:r>
      <w:r w:rsidR="00834D8E">
        <w:rPr>
          <w:rFonts w:ascii="Times New Roman" w:hAnsi="Times New Roman" w:cs="Times New Roman"/>
          <w:b w:val="0"/>
          <w:sz w:val="24"/>
          <w:szCs w:val="24"/>
        </w:rPr>
        <w:t xml:space="preserve"> and</w:t>
      </w:r>
      <w:r w:rsidRPr="00B8156D">
        <w:rPr>
          <w:rFonts w:ascii="Times New Roman" w:hAnsi="Times New Roman" w:cs="Times New Roman"/>
          <w:b w:val="0"/>
          <w:sz w:val="24"/>
          <w:szCs w:val="24"/>
        </w:rPr>
        <w:t xml:space="preserve"> work-from-home arrangements) and the singular focus that is required by ADIs to meet the economic and social challenges associated with COVID-19 as justifying the extending of time for notification of changes to maps and statements. The ABA has requested APRA alter the period to 30 days. APRA fully supports the </w:t>
      </w:r>
      <w:r w:rsidR="00A80275">
        <w:rPr>
          <w:rFonts w:ascii="Times New Roman" w:hAnsi="Times New Roman" w:cs="Times New Roman"/>
          <w:b w:val="0"/>
          <w:sz w:val="24"/>
          <w:szCs w:val="24"/>
        </w:rPr>
        <w:t>efforts of ADIs to remain focus</w:t>
      </w:r>
      <w:r w:rsidRPr="00B8156D">
        <w:rPr>
          <w:rFonts w:ascii="Times New Roman" w:hAnsi="Times New Roman" w:cs="Times New Roman"/>
          <w:b w:val="0"/>
          <w:sz w:val="24"/>
          <w:szCs w:val="24"/>
        </w:rPr>
        <w:t xml:space="preserve">ed on delivering essential services to the Australian community during these turbulent times and </w:t>
      </w:r>
      <w:r w:rsidR="00BE75B5">
        <w:rPr>
          <w:rFonts w:ascii="Times New Roman" w:hAnsi="Times New Roman" w:cs="Times New Roman"/>
          <w:b w:val="0"/>
          <w:sz w:val="24"/>
          <w:szCs w:val="24"/>
        </w:rPr>
        <w:t xml:space="preserve">has </w:t>
      </w:r>
      <w:r w:rsidRPr="00B8156D">
        <w:rPr>
          <w:rFonts w:ascii="Times New Roman" w:hAnsi="Times New Roman" w:cs="Times New Roman"/>
          <w:b w:val="0"/>
          <w:sz w:val="24"/>
          <w:szCs w:val="24"/>
        </w:rPr>
        <w:t>chang</w:t>
      </w:r>
      <w:r w:rsidR="00BE75B5">
        <w:rPr>
          <w:rFonts w:ascii="Times New Roman" w:hAnsi="Times New Roman" w:cs="Times New Roman"/>
          <w:b w:val="0"/>
          <w:sz w:val="24"/>
          <w:szCs w:val="24"/>
        </w:rPr>
        <w:t>ed</w:t>
      </w:r>
      <w:r w:rsidRPr="00B8156D">
        <w:rPr>
          <w:rFonts w:ascii="Times New Roman" w:hAnsi="Times New Roman" w:cs="Times New Roman"/>
          <w:b w:val="0"/>
          <w:sz w:val="24"/>
          <w:szCs w:val="24"/>
        </w:rPr>
        <w:t xml:space="preserve"> the notification period to 30 days.</w:t>
      </w:r>
      <w:r w:rsidR="00945643" w:rsidRPr="00945643">
        <w:rPr>
          <w:rFonts w:ascii="Times New Roman" w:hAnsi="Times New Roman" w:cs="Times New Roman"/>
          <w:b w:val="0"/>
          <w:sz w:val="24"/>
          <w:szCs w:val="24"/>
        </w:rPr>
        <w:t xml:space="preserve"> </w:t>
      </w:r>
      <w:r w:rsidR="00BE75B5">
        <w:rPr>
          <w:rFonts w:ascii="Times New Roman" w:hAnsi="Times New Roman" w:cs="Times New Roman"/>
          <w:b w:val="0"/>
          <w:sz w:val="24"/>
          <w:szCs w:val="24"/>
        </w:rPr>
        <w:t xml:space="preserve">APRA considers that, taking into account the urgent need to </w:t>
      </w:r>
      <w:r w:rsidR="00BE75B5">
        <w:rPr>
          <w:rFonts w:ascii="Times New Roman" w:hAnsi="Times New Roman" w:cs="Times New Roman"/>
          <w:b w:val="0"/>
          <w:sz w:val="24"/>
          <w:szCs w:val="24"/>
        </w:rPr>
        <w:lastRenderedPageBreak/>
        <w:t>provide assistance to ADIs in meeting the needs of the Australian community, appropriate consultation has taken place.</w:t>
      </w:r>
    </w:p>
    <w:p w14:paraId="093B9B07" w14:textId="77777777" w:rsidR="001C4593" w:rsidRPr="00BC7834" w:rsidRDefault="001C4593" w:rsidP="00995BF8">
      <w:pPr>
        <w:pStyle w:val="Heading"/>
        <w:numPr>
          <w:ilvl w:val="0"/>
          <w:numId w:val="1"/>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Regulation Impact Statement </w:t>
      </w:r>
    </w:p>
    <w:p w14:paraId="4EB7025B" w14:textId="1B76F8DD" w:rsidR="00D62EDA" w:rsidRDefault="00A62AE1" w:rsidP="00D141F4">
      <w:pPr>
        <w:pStyle w:val="Heading"/>
        <w:rPr>
          <w:rFonts w:ascii="Times New Roman" w:hAnsi="Times New Roman"/>
          <w:b w:val="0"/>
          <w:color w:val="000000"/>
          <w:sz w:val="24"/>
        </w:rPr>
      </w:pPr>
      <w:bookmarkStart w:id="9" w:name="bkConsultation"/>
      <w:bookmarkStart w:id="10" w:name="bkRISNO"/>
      <w:bookmarkEnd w:id="9"/>
      <w:bookmarkEnd w:id="10"/>
      <w:r w:rsidRPr="005E083F">
        <w:rPr>
          <w:rFonts w:ascii="Times New Roman" w:hAnsi="Times New Roman" w:cs="Times New Roman"/>
          <w:b w:val="0"/>
          <w:sz w:val="24"/>
          <w:szCs w:val="24"/>
        </w:rPr>
        <w:t>The O</w:t>
      </w:r>
      <w:r w:rsidR="00C072E3">
        <w:rPr>
          <w:rFonts w:ascii="Times New Roman" w:hAnsi="Times New Roman" w:cs="Times New Roman"/>
          <w:b w:val="0"/>
          <w:sz w:val="24"/>
          <w:szCs w:val="24"/>
        </w:rPr>
        <w:t xml:space="preserve">ffice of </w:t>
      </w:r>
      <w:r w:rsidRPr="005E083F">
        <w:rPr>
          <w:rFonts w:ascii="Times New Roman" w:hAnsi="Times New Roman" w:cs="Times New Roman"/>
          <w:b w:val="0"/>
          <w:sz w:val="24"/>
          <w:szCs w:val="24"/>
        </w:rPr>
        <w:t>B</w:t>
      </w:r>
      <w:r w:rsidR="00C072E3">
        <w:rPr>
          <w:rFonts w:ascii="Times New Roman" w:hAnsi="Times New Roman" w:cs="Times New Roman"/>
          <w:b w:val="0"/>
          <w:sz w:val="24"/>
          <w:szCs w:val="24"/>
        </w:rPr>
        <w:t xml:space="preserve">est </w:t>
      </w:r>
      <w:r w:rsidRPr="005E083F">
        <w:rPr>
          <w:rFonts w:ascii="Times New Roman" w:hAnsi="Times New Roman" w:cs="Times New Roman"/>
          <w:b w:val="0"/>
          <w:sz w:val="24"/>
          <w:szCs w:val="24"/>
        </w:rPr>
        <w:t>P</w:t>
      </w:r>
      <w:r w:rsidR="00C072E3">
        <w:rPr>
          <w:rFonts w:ascii="Times New Roman" w:hAnsi="Times New Roman" w:cs="Times New Roman"/>
          <w:b w:val="0"/>
          <w:sz w:val="24"/>
          <w:szCs w:val="24"/>
        </w:rPr>
        <w:t xml:space="preserve">ractice </w:t>
      </w:r>
      <w:r w:rsidRPr="005E083F">
        <w:rPr>
          <w:rFonts w:ascii="Times New Roman" w:hAnsi="Times New Roman" w:cs="Times New Roman"/>
          <w:b w:val="0"/>
          <w:sz w:val="24"/>
          <w:szCs w:val="24"/>
        </w:rPr>
        <w:t>R</w:t>
      </w:r>
      <w:r w:rsidR="00C072E3">
        <w:rPr>
          <w:rFonts w:ascii="Times New Roman" w:hAnsi="Times New Roman" w:cs="Times New Roman"/>
          <w:b w:val="0"/>
          <w:sz w:val="24"/>
          <w:szCs w:val="24"/>
        </w:rPr>
        <w:t>egulation</w:t>
      </w:r>
      <w:r w:rsidRPr="005E083F">
        <w:rPr>
          <w:rFonts w:ascii="Times New Roman" w:hAnsi="Times New Roman" w:cs="Times New Roman"/>
          <w:b w:val="0"/>
          <w:sz w:val="24"/>
          <w:szCs w:val="24"/>
        </w:rPr>
        <w:t xml:space="preserve"> </w:t>
      </w:r>
      <w:r w:rsidR="003A0340">
        <w:rPr>
          <w:rFonts w:ascii="Times New Roman" w:hAnsi="Times New Roman" w:cs="Times New Roman"/>
          <w:b w:val="0"/>
          <w:sz w:val="24"/>
          <w:szCs w:val="24"/>
        </w:rPr>
        <w:t xml:space="preserve">has </w:t>
      </w:r>
      <w:r w:rsidR="0007732A">
        <w:rPr>
          <w:rFonts w:ascii="Times New Roman" w:hAnsi="Times New Roman" w:cs="Times New Roman"/>
          <w:b w:val="0"/>
          <w:sz w:val="24"/>
          <w:szCs w:val="24"/>
        </w:rPr>
        <w:t>advised that</w:t>
      </w:r>
      <w:r w:rsidR="003A0340">
        <w:rPr>
          <w:rFonts w:ascii="Times New Roman" w:hAnsi="Times New Roman" w:cs="Times New Roman"/>
          <w:b w:val="0"/>
          <w:sz w:val="24"/>
          <w:szCs w:val="24"/>
        </w:rPr>
        <w:t xml:space="preserve"> as the making of the Determination</w:t>
      </w:r>
      <w:r w:rsidR="009A0294">
        <w:rPr>
          <w:rFonts w:ascii="Times New Roman" w:hAnsi="Times New Roman" w:cs="Times New Roman"/>
          <w:b w:val="0"/>
          <w:sz w:val="24"/>
          <w:szCs w:val="24"/>
        </w:rPr>
        <w:t xml:space="preserve"> was</w:t>
      </w:r>
      <w:r w:rsidR="009A0294" w:rsidRPr="009A0294">
        <w:rPr>
          <w:rFonts w:cs="Times New Roman"/>
          <w:b w:val="0"/>
          <w:kern w:val="0"/>
          <w:sz w:val="22"/>
          <w:szCs w:val="24"/>
          <w:lang w:eastAsia="en-AU"/>
        </w:rPr>
        <w:t xml:space="preserve"> </w:t>
      </w:r>
      <w:r w:rsidR="009A0294" w:rsidRPr="009A0294">
        <w:rPr>
          <w:rFonts w:ascii="Times New Roman" w:hAnsi="Times New Roman" w:cs="Times New Roman"/>
          <w:b w:val="0"/>
          <w:sz w:val="24"/>
          <w:szCs w:val="24"/>
        </w:rPr>
        <w:t>not likely to have a regulatory impact on business, community organisations or individuals</w:t>
      </w:r>
      <w:r w:rsidR="003A0340">
        <w:rPr>
          <w:rFonts w:ascii="Times New Roman" w:hAnsi="Times New Roman" w:cs="Times New Roman"/>
          <w:b w:val="0"/>
          <w:sz w:val="24"/>
          <w:szCs w:val="24"/>
        </w:rPr>
        <w:t>,</w:t>
      </w:r>
      <w:r w:rsidR="009071DB">
        <w:rPr>
          <w:rFonts w:ascii="Times New Roman" w:hAnsi="Times New Roman" w:cs="Times New Roman"/>
          <w:b w:val="0"/>
          <w:sz w:val="24"/>
          <w:szCs w:val="24"/>
        </w:rPr>
        <w:t xml:space="preserve"> a </w:t>
      </w:r>
      <w:r w:rsidR="00B901F0">
        <w:rPr>
          <w:rFonts w:ascii="Times New Roman" w:hAnsi="Times New Roman" w:cs="Times New Roman"/>
          <w:b w:val="0"/>
          <w:sz w:val="24"/>
          <w:szCs w:val="24"/>
        </w:rPr>
        <w:t>R</w:t>
      </w:r>
      <w:r w:rsidR="000A2D14">
        <w:rPr>
          <w:rFonts w:ascii="Times New Roman" w:hAnsi="Times New Roman" w:cs="Times New Roman"/>
          <w:b w:val="0"/>
          <w:sz w:val="24"/>
          <w:szCs w:val="24"/>
        </w:rPr>
        <w:t>egulation</w:t>
      </w:r>
      <w:r w:rsidRPr="005E083F">
        <w:rPr>
          <w:rFonts w:ascii="Times New Roman" w:hAnsi="Times New Roman" w:cs="Times New Roman"/>
          <w:b w:val="0"/>
          <w:sz w:val="24"/>
          <w:szCs w:val="24"/>
        </w:rPr>
        <w:t xml:space="preserve"> </w:t>
      </w:r>
      <w:r w:rsidR="00B901F0">
        <w:rPr>
          <w:rFonts w:ascii="Times New Roman" w:hAnsi="Times New Roman" w:cs="Times New Roman"/>
          <w:b w:val="0"/>
          <w:sz w:val="24"/>
          <w:szCs w:val="24"/>
        </w:rPr>
        <w:t>I</w:t>
      </w:r>
      <w:r w:rsidRPr="005E083F">
        <w:rPr>
          <w:rFonts w:ascii="Times New Roman" w:hAnsi="Times New Roman" w:cs="Times New Roman"/>
          <w:b w:val="0"/>
          <w:sz w:val="24"/>
          <w:szCs w:val="24"/>
        </w:rPr>
        <w:t xml:space="preserve">mpact </w:t>
      </w:r>
      <w:r w:rsidR="00B901F0">
        <w:rPr>
          <w:rFonts w:ascii="Times New Roman" w:hAnsi="Times New Roman" w:cs="Times New Roman"/>
          <w:b w:val="0"/>
          <w:sz w:val="24"/>
          <w:szCs w:val="24"/>
        </w:rPr>
        <w:t>S</w:t>
      </w:r>
      <w:r w:rsidRPr="005E083F">
        <w:rPr>
          <w:rFonts w:ascii="Times New Roman" w:hAnsi="Times New Roman" w:cs="Times New Roman"/>
          <w:b w:val="0"/>
          <w:sz w:val="24"/>
          <w:szCs w:val="24"/>
        </w:rPr>
        <w:t xml:space="preserve">tatement </w:t>
      </w:r>
      <w:r w:rsidR="009071DB">
        <w:rPr>
          <w:rFonts w:ascii="Times New Roman" w:hAnsi="Times New Roman" w:cs="Times New Roman"/>
          <w:b w:val="0"/>
          <w:sz w:val="24"/>
          <w:szCs w:val="24"/>
        </w:rPr>
        <w:t>was not</w:t>
      </w:r>
      <w:r w:rsidRPr="005E083F">
        <w:rPr>
          <w:rFonts w:ascii="Times New Roman" w:hAnsi="Times New Roman" w:cs="Times New Roman"/>
          <w:b w:val="0"/>
          <w:sz w:val="24"/>
          <w:szCs w:val="24"/>
        </w:rPr>
        <w:t xml:space="preserve"> required</w:t>
      </w:r>
      <w:r w:rsidR="009071DB">
        <w:rPr>
          <w:rFonts w:ascii="Times New Roman" w:hAnsi="Times New Roman" w:cs="Times New Roman"/>
          <w:b w:val="0"/>
          <w:sz w:val="24"/>
          <w:szCs w:val="24"/>
        </w:rPr>
        <w:t>.</w:t>
      </w:r>
    </w:p>
    <w:p w14:paraId="5DE23A58" w14:textId="77777777" w:rsidR="00A9578D" w:rsidRPr="00DC30D9" w:rsidRDefault="00A9578D" w:rsidP="00995BF8">
      <w:pPr>
        <w:pStyle w:val="Heading"/>
        <w:numPr>
          <w:ilvl w:val="0"/>
          <w:numId w:val="1"/>
        </w:numPr>
      </w:pPr>
      <w:r w:rsidRPr="00DC30D9">
        <w:rPr>
          <w:rFonts w:ascii="Times New Roman" w:hAnsi="Times New Roman"/>
          <w:color w:val="000000"/>
          <w:sz w:val="24"/>
          <w:szCs w:val="24"/>
        </w:rPr>
        <w:t>Statement</w:t>
      </w:r>
      <w:r w:rsidRPr="00DC30D9">
        <w:rPr>
          <w:rFonts w:ascii="Times New Roman" w:hAnsi="Times New Roman"/>
          <w:sz w:val="24"/>
          <w:szCs w:val="24"/>
        </w:rPr>
        <w:t xml:space="preserve"> of compatibility prepared in accordance with Part 3 of the </w:t>
      </w:r>
      <w:r w:rsidRPr="00DC30D9">
        <w:rPr>
          <w:rFonts w:ascii="Times New Roman" w:hAnsi="Times New Roman"/>
          <w:i/>
          <w:sz w:val="24"/>
          <w:szCs w:val="24"/>
        </w:rPr>
        <w:t>Human Rights (Parliamentary Scrutiny) Act 2011</w:t>
      </w:r>
    </w:p>
    <w:p w14:paraId="4AE52147" w14:textId="77777777" w:rsidR="006726E6" w:rsidRDefault="006726E6" w:rsidP="006726E6">
      <w:pPr>
        <w:pStyle w:val="Heading"/>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533A7C6E" w14:textId="77777777" w:rsidR="00D62EDA" w:rsidRDefault="00D62EDA" w:rsidP="00931FB9">
      <w:pPr>
        <w:pStyle w:val="Title"/>
        <w:jc w:val="left"/>
        <w:rPr>
          <w:szCs w:val="24"/>
        </w:rPr>
      </w:pPr>
    </w:p>
    <w:p w14:paraId="05C4676C" w14:textId="77777777" w:rsidR="001C544E" w:rsidRDefault="001C544E" w:rsidP="00931FB9">
      <w:pPr>
        <w:pStyle w:val="Title"/>
        <w:jc w:val="left"/>
        <w:rPr>
          <w:szCs w:val="24"/>
        </w:rPr>
      </w:pPr>
    </w:p>
    <w:p w14:paraId="5AC05D72" w14:textId="77777777" w:rsidR="001C544E" w:rsidRDefault="001C544E" w:rsidP="00931FB9">
      <w:pPr>
        <w:pStyle w:val="Title"/>
        <w:jc w:val="left"/>
        <w:rPr>
          <w:szCs w:val="24"/>
        </w:rPr>
      </w:pPr>
    </w:p>
    <w:p w14:paraId="20CDB5A2" w14:textId="77777777" w:rsidR="001C544E" w:rsidRDefault="001C544E" w:rsidP="00931FB9">
      <w:pPr>
        <w:pStyle w:val="Title"/>
        <w:jc w:val="left"/>
        <w:rPr>
          <w:szCs w:val="24"/>
        </w:rPr>
      </w:pPr>
    </w:p>
    <w:p w14:paraId="0EBDCBD1" w14:textId="77777777" w:rsidR="001C544E" w:rsidRDefault="001C544E" w:rsidP="00931FB9">
      <w:pPr>
        <w:pStyle w:val="Title"/>
        <w:jc w:val="left"/>
        <w:rPr>
          <w:szCs w:val="24"/>
        </w:rPr>
      </w:pPr>
    </w:p>
    <w:p w14:paraId="2240BABD" w14:textId="77777777" w:rsidR="001C544E" w:rsidRDefault="001C544E" w:rsidP="00931FB9">
      <w:pPr>
        <w:pStyle w:val="Title"/>
        <w:jc w:val="left"/>
        <w:rPr>
          <w:szCs w:val="24"/>
        </w:rPr>
      </w:pPr>
    </w:p>
    <w:p w14:paraId="2848A5C6" w14:textId="77777777" w:rsidR="001C544E" w:rsidRDefault="001C544E" w:rsidP="00931FB9">
      <w:pPr>
        <w:pStyle w:val="Title"/>
        <w:jc w:val="left"/>
        <w:rPr>
          <w:szCs w:val="24"/>
        </w:rPr>
      </w:pPr>
    </w:p>
    <w:p w14:paraId="060C70DA" w14:textId="77777777" w:rsidR="001C544E" w:rsidRDefault="001C544E" w:rsidP="00931FB9">
      <w:pPr>
        <w:pStyle w:val="Title"/>
        <w:jc w:val="left"/>
        <w:rPr>
          <w:szCs w:val="24"/>
        </w:rPr>
      </w:pPr>
    </w:p>
    <w:p w14:paraId="26521F75" w14:textId="77777777" w:rsidR="001C544E" w:rsidRDefault="001C544E" w:rsidP="00931FB9">
      <w:pPr>
        <w:pStyle w:val="Title"/>
        <w:jc w:val="left"/>
        <w:rPr>
          <w:szCs w:val="24"/>
        </w:rPr>
      </w:pPr>
    </w:p>
    <w:p w14:paraId="378D9130" w14:textId="77777777" w:rsidR="001C544E" w:rsidRDefault="001C544E" w:rsidP="00931FB9">
      <w:pPr>
        <w:pStyle w:val="Title"/>
        <w:jc w:val="left"/>
        <w:rPr>
          <w:szCs w:val="24"/>
        </w:rPr>
      </w:pPr>
    </w:p>
    <w:p w14:paraId="4D07B56E" w14:textId="77777777" w:rsidR="001C544E" w:rsidRDefault="001C544E" w:rsidP="00931FB9">
      <w:pPr>
        <w:pStyle w:val="Title"/>
        <w:jc w:val="left"/>
        <w:rPr>
          <w:szCs w:val="24"/>
        </w:rPr>
      </w:pPr>
    </w:p>
    <w:p w14:paraId="7B516B87" w14:textId="77777777" w:rsidR="00165282" w:rsidRDefault="00165282">
      <w:pPr>
        <w:rPr>
          <w:rFonts w:ascii="Times New Roman" w:hAnsi="Times New Roman"/>
          <w:b/>
          <w:sz w:val="24"/>
          <w:lang w:val="en-US" w:eastAsia="en-AU"/>
        </w:rPr>
      </w:pPr>
      <w:r>
        <w:br w:type="page"/>
      </w:r>
    </w:p>
    <w:p w14:paraId="25B48719" w14:textId="0C462DA3" w:rsidR="00931FB9" w:rsidRDefault="00931FB9" w:rsidP="00931FB9">
      <w:pPr>
        <w:pStyle w:val="Title"/>
        <w:jc w:val="left"/>
        <w:rPr>
          <w:szCs w:val="24"/>
        </w:rPr>
      </w:pPr>
      <w:r>
        <w:rPr>
          <w:szCs w:val="24"/>
        </w:rPr>
        <w:lastRenderedPageBreak/>
        <w:t>Attachment A</w:t>
      </w:r>
    </w:p>
    <w:p w14:paraId="19AF94F0" w14:textId="77777777" w:rsidR="00931FB9" w:rsidRPr="00DA192B" w:rsidRDefault="00931FB9" w:rsidP="00931FB9">
      <w:pPr>
        <w:pStyle w:val="Title"/>
        <w:rPr>
          <w:szCs w:val="24"/>
        </w:rPr>
      </w:pPr>
    </w:p>
    <w:p w14:paraId="7FF18045" w14:textId="77777777" w:rsidR="00931FB9" w:rsidRPr="00DA192B" w:rsidRDefault="00931FB9" w:rsidP="00931FB9">
      <w:pPr>
        <w:autoSpaceDE w:val="0"/>
        <w:autoSpaceDN w:val="0"/>
        <w:adjustRightInd w:val="0"/>
        <w:jc w:val="center"/>
        <w:rPr>
          <w:rFonts w:ascii="Times New Roman" w:hAnsi="Times New Roman"/>
          <w:b/>
          <w:sz w:val="24"/>
        </w:rPr>
      </w:pPr>
      <w:r w:rsidRPr="00DA192B">
        <w:rPr>
          <w:rFonts w:ascii="Times New Roman" w:hAnsi="Times New Roman"/>
          <w:b/>
          <w:sz w:val="24"/>
        </w:rPr>
        <w:t>Statement of Compatibility with Human Rights</w:t>
      </w:r>
    </w:p>
    <w:p w14:paraId="6ED2C309" w14:textId="77777777" w:rsidR="00931FB9" w:rsidRPr="00DA192B" w:rsidRDefault="00931FB9" w:rsidP="00931FB9">
      <w:pPr>
        <w:autoSpaceDE w:val="0"/>
        <w:autoSpaceDN w:val="0"/>
        <w:adjustRightInd w:val="0"/>
        <w:jc w:val="center"/>
        <w:rPr>
          <w:rFonts w:ascii="Times New Roman" w:hAnsi="Times New Roman"/>
          <w:b/>
          <w:sz w:val="24"/>
        </w:rPr>
      </w:pPr>
    </w:p>
    <w:p w14:paraId="269126BC" w14:textId="77777777" w:rsidR="00931FB9" w:rsidRPr="00DA192B" w:rsidRDefault="00931FB9" w:rsidP="00931FB9">
      <w:pPr>
        <w:autoSpaceDE w:val="0"/>
        <w:autoSpaceDN w:val="0"/>
        <w:adjustRightInd w:val="0"/>
        <w:rPr>
          <w:rFonts w:ascii="Times New Roman" w:hAnsi="Times New Roman"/>
          <w:i/>
          <w:sz w:val="24"/>
        </w:rPr>
      </w:pPr>
      <w:r w:rsidRPr="00DA192B">
        <w:rPr>
          <w:rFonts w:ascii="Times New Roman" w:hAnsi="Times New Roman"/>
          <w:i/>
          <w:sz w:val="24"/>
        </w:rPr>
        <w:t>Prepared in accordance with Part 3 of the Human Rights (Parliamentary Scrutiny) Act 2011</w:t>
      </w:r>
    </w:p>
    <w:p w14:paraId="2987B485" w14:textId="77777777" w:rsidR="00931FB9" w:rsidRPr="00DA192B" w:rsidRDefault="00931FB9" w:rsidP="00931FB9">
      <w:pPr>
        <w:pStyle w:val="Title"/>
        <w:jc w:val="left"/>
        <w:rPr>
          <w:szCs w:val="24"/>
        </w:rPr>
      </w:pPr>
    </w:p>
    <w:p w14:paraId="56250AF6" w14:textId="5E8FE34D" w:rsidR="00931FB9" w:rsidRPr="00DA192B" w:rsidRDefault="00931FB9" w:rsidP="00931FB9">
      <w:pPr>
        <w:pStyle w:val="Title"/>
      </w:pPr>
      <w:r>
        <w:t xml:space="preserve">Banking </w:t>
      </w:r>
      <w:r w:rsidR="00397B3D">
        <w:t>(BEAR) determination</w:t>
      </w:r>
      <w:r>
        <w:t xml:space="preserve"> No. </w:t>
      </w:r>
      <w:r w:rsidR="00397B3D">
        <w:t>1</w:t>
      </w:r>
      <w:r>
        <w:t xml:space="preserve"> of </w:t>
      </w:r>
      <w:r w:rsidR="004A4C47">
        <w:t>20</w:t>
      </w:r>
      <w:r w:rsidR="00397B3D">
        <w:t>20</w:t>
      </w:r>
    </w:p>
    <w:p w14:paraId="6622657E" w14:textId="77777777" w:rsidR="00931FB9" w:rsidRPr="00DA192B" w:rsidRDefault="00931FB9" w:rsidP="00931FB9">
      <w:pPr>
        <w:pStyle w:val="BodyText"/>
        <w:spacing w:after="0"/>
        <w:rPr>
          <w:szCs w:val="24"/>
        </w:rPr>
      </w:pPr>
    </w:p>
    <w:p w14:paraId="509C82B7" w14:textId="77777777" w:rsidR="00931FB9" w:rsidRPr="00DA192B" w:rsidRDefault="00931FB9" w:rsidP="00931FB9">
      <w:pPr>
        <w:pStyle w:val="BodyText"/>
        <w:spacing w:after="0"/>
        <w:rPr>
          <w:i/>
          <w:szCs w:val="24"/>
        </w:rPr>
      </w:pPr>
      <w:r w:rsidRPr="00DA192B">
        <w:rPr>
          <w:szCs w:val="24"/>
        </w:rPr>
        <w:t xml:space="preserve">This Legislative Instrument is compatible with the human rights and freedoms recognised or declared in the international instruments listed in section 3 of the </w:t>
      </w:r>
      <w:r w:rsidRPr="00DA192B">
        <w:rPr>
          <w:i/>
          <w:szCs w:val="24"/>
        </w:rPr>
        <w:t>Human Rights (Parliamentary Scrutiny) Act 2011.</w:t>
      </w:r>
    </w:p>
    <w:p w14:paraId="1F4F8E8F" w14:textId="77777777" w:rsidR="00931FB9" w:rsidRPr="00DA192B" w:rsidRDefault="00931FB9" w:rsidP="00931FB9">
      <w:pPr>
        <w:pStyle w:val="BodyText"/>
        <w:spacing w:after="0"/>
        <w:rPr>
          <w:i/>
          <w:szCs w:val="24"/>
        </w:rPr>
      </w:pPr>
    </w:p>
    <w:p w14:paraId="4A1CC2E4" w14:textId="77777777" w:rsidR="00931FB9" w:rsidRDefault="00931FB9" w:rsidP="00931FB9">
      <w:pPr>
        <w:pStyle w:val="BodyText"/>
        <w:spacing w:after="0"/>
        <w:rPr>
          <w:b/>
          <w:szCs w:val="24"/>
        </w:rPr>
      </w:pPr>
      <w:r w:rsidRPr="00740541">
        <w:rPr>
          <w:b/>
          <w:szCs w:val="24"/>
        </w:rPr>
        <w:t>Overview of the Legislative Instrument</w:t>
      </w:r>
    </w:p>
    <w:p w14:paraId="4C6D6E7B" w14:textId="77777777" w:rsidR="00931FB9" w:rsidRDefault="00931FB9" w:rsidP="00931FB9">
      <w:pPr>
        <w:pStyle w:val="BodyText"/>
        <w:spacing w:after="0"/>
        <w:rPr>
          <w:b/>
          <w:szCs w:val="24"/>
        </w:rPr>
      </w:pPr>
    </w:p>
    <w:p w14:paraId="1D3453BB" w14:textId="7E3766C4" w:rsidR="00931FB9" w:rsidRDefault="00834D8E" w:rsidP="00931FB9">
      <w:pPr>
        <w:pStyle w:val="BodyText"/>
        <w:rPr>
          <w:szCs w:val="24"/>
        </w:rPr>
      </w:pPr>
      <w:r w:rsidRPr="00834D8E">
        <w:rPr>
          <w:szCs w:val="24"/>
        </w:rPr>
        <w:t>Accountability statements are documents provided by Authorised Deposit-taking Institutions (ADIs) for each of their accountable persons.  The statements set out the responsibilities of those persons. Accountability maps set out the names of all accountable persons of an ADI and set out details of the reporting lines and lines of responsibility of those accountable persons</w:t>
      </w:r>
      <w:r w:rsidRPr="00834D8E">
        <w:rPr>
          <w:b/>
          <w:szCs w:val="24"/>
        </w:rPr>
        <w:t>.</w:t>
      </w:r>
      <w:r w:rsidR="00931FB9" w:rsidRPr="005D47AA">
        <w:rPr>
          <w:szCs w:val="24"/>
        </w:rPr>
        <w:t xml:space="preserve">  </w:t>
      </w:r>
    </w:p>
    <w:p w14:paraId="7B7CE7C0" w14:textId="2912A386" w:rsidR="00931FB9" w:rsidRDefault="00931FB9" w:rsidP="00931FB9">
      <w:pPr>
        <w:pStyle w:val="BodyText"/>
      </w:pPr>
      <w:r>
        <w:t xml:space="preserve">This Legislative Instrument </w:t>
      </w:r>
      <w:r w:rsidR="001D5A28" w:rsidRPr="001D5A28">
        <w:t>replace</w:t>
      </w:r>
      <w:r w:rsidR="001D5A28">
        <w:t>s</w:t>
      </w:r>
      <w:r w:rsidR="001D5A28" w:rsidRPr="001D5A28">
        <w:t xml:space="preserve"> the existing 14 day period for notification of changes to accountability statements and maps with a 30 day period. The changed notification will affect all ADIs and will provide them with more time to comply with their notification obligations.</w:t>
      </w:r>
    </w:p>
    <w:p w14:paraId="01D3A126" w14:textId="77777777" w:rsidR="00931FB9" w:rsidRDefault="00931FB9" w:rsidP="00931FB9">
      <w:pPr>
        <w:pStyle w:val="BodyText"/>
        <w:rPr>
          <w:b/>
        </w:rPr>
      </w:pPr>
      <w:r>
        <w:rPr>
          <w:b/>
        </w:rPr>
        <w:t>Human rights implications</w:t>
      </w:r>
    </w:p>
    <w:p w14:paraId="2ED9CD9A" w14:textId="77777777" w:rsidR="00931FB9" w:rsidRDefault="00931FB9" w:rsidP="00931FB9">
      <w:pPr>
        <w:pStyle w:val="BodyText"/>
      </w:pPr>
      <w:r>
        <w:t xml:space="preserve">APRA has assessed this Legislative Instrument and is of the view that it does not engage any of the applicable rights or freedoms recognised or declared in the international instruments listed in section 3 of the </w:t>
      </w:r>
      <w:r w:rsidRPr="00792245">
        <w:rPr>
          <w:i/>
        </w:rPr>
        <w:t>Human Rights (Parliamentary Scrutiny) Act 2011</w:t>
      </w:r>
      <w:r>
        <w:t xml:space="preserve">. Accordingly, in APRA’s assessment, the instrument is compatible with human rights. </w:t>
      </w:r>
    </w:p>
    <w:p w14:paraId="74B15985" w14:textId="77777777" w:rsidR="00931FB9" w:rsidRDefault="00931FB9" w:rsidP="00931FB9">
      <w:pPr>
        <w:pStyle w:val="BodyText"/>
        <w:rPr>
          <w:b/>
        </w:rPr>
      </w:pPr>
      <w:r>
        <w:rPr>
          <w:b/>
        </w:rPr>
        <w:t>Conclusion</w:t>
      </w:r>
    </w:p>
    <w:p w14:paraId="5049CE12" w14:textId="44A6D716" w:rsidR="00A9578D" w:rsidRPr="00A9578D" w:rsidRDefault="00931FB9" w:rsidP="00CA4488">
      <w:pPr>
        <w:pStyle w:val="BodyText"/>
      </w:pPr>
      <w:r>
        <w:t>This Legislative Instrument is compatible with human rights as it does not raise any human rights issues.</w:t>
      </w:r>
    </w:p>
    <w:sectPr w:rsidR="00A9578D" w:rsidRPr="00A9578D" w:rsidSect="007F161B">
      <w:footerReference w:type="even" r:id="rId13"/>
      <w:footerReference w:type="default" r:id="rId14"/>
      <w:pgSz w:w="11906" w:h="16838"/>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E36D8" w14:textId="77777777" w:rsidR="00EA1536" w:rsidRDefault="00EA1536">
      <w:r>
        <w:separator/>
      </w:r>
    </w:p>
  </w:endnote>
  <w:endnote w:type="continuationSeparator" w:id="0">
    <w:p w14:paraId="5313B81B" w14:textId="77777777" w:rsidR="00EA1536" w:rsidRDefault="00EA1536">
      <w:r>
        <w:continuationSeparator/>
      </w:r>
    </w:p>
  </w:endnote>
  <w:endnote w:type="continuationNotice" w:id="1">
    <w:p w14:paraId="02E82300" w14:textId="77777777" w:rsidR="00EA1536" w:rsidRDefault="00EA1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F4E6" w14:textId="77777777" w:rsidR="00EA1536" w:rsidRDefault="00EA1536"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2DD387" w14:textId="77777777" w:rsidR="00EA1536" w:rsidRDefault="00EA1536"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353130"/>
      <w:docPartObj>
        <w:docPartGallery w:val="Page Numbers (Bottom of Page)"/>
        <w:docPartUnique/>
      </w:docPartObj>
    </w:sdtPr>
    <w:sdtEndPr/>
    <w:sdtContent>
      <w:sdt>
        <w:sdtPr>
          <w:id w:val="860082579"/>
          <w:docPartObj>
            <w:docPartGallery w:val="Page Numbers (Top of Page)"/>
            <w:docPartUnique/>
          </w:docPartObj>
        </w:sdtPr>
        <w:sdtEndPr/>
        <w:sdtContent>
          <w:p w14:paraId="5BDEF297" w14:textId="4DB8D8B6" w:rsidR="00EA1536" w:rsidRPr="007F161B" w:rsidRDefault="00EA1536">
            <w:pPr>
              <w:pStyle w:val="Footer"/>
              <w:jc w:val="right"/>
            </w:pPr>
            <w:r w:rsidRPr="007F161B">
              <w:rPr>
                <w:bCs/>
                <w:sz w:val="24"/>
              </w:rPr>
              <w:fldChar w:fldCharType="begin"/>
            </w:r>
            <w:r w:rsidRPr="007F161B">
              <w:rPr>
                <w:bCs/>
              </w:rPr>
              <w:instrText xml:space="preserve"> PAGE </w:instrText>
            </w:r>
            <w:r w:rsidRPr="007F161B">
              <w:rPr>
                <w:bCs/>
                <w:sz w:val="24"/>
              </w:rPr>
              <w:fldChar w:fldCharType="separate"/>
            </w:r>
            <w:r w:rsidR="004050C8">
              <w:rPr>
                <w:bCs/>
                <w:noProof/>
              </w:rPr>
              <w:t>1</w:t>
            </w:r>
            <w:r w:rsidRPr="007F161B">
              <w:rPr>
                <w:bCs/>
                <w:sz w:val="24"/>
              </w:rPr>
              <w:fldChar w:fldCharType="end"/>
            </w:r>
          </w:p>
        </w:sdtContent>
      </w:sdt>
    </w:sdtContent>
  </w:sdt>
  <w:p w14:paraId="5F1DD398" w14:textId="77777777" w:rsidR="00EA1536" w:rsidRDefault="00EA1536" w:rsidP="005C40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476EE" w14:textId="77777777" w:rsidR="00EA1536" w:rsidRDefault="00EA1536">
      <w:r>
        <w:separator/>
      </w:r>
    </w:p>
  </w:footnote>
  <w:footnote w:type="continuationSeparator" w:id="0">
    <w:p w14:paraId="20E5BEB3" w14:textId="77777777" w:rsidR="00EA1536" w:rsidRDefault="00EA1536">
      <w:r>
        <w:continuationSeparator/>
      </w:r>
    </w:p>
  </w:footnote>
  <w:footnote w:type="continuationNotice" w:id="1">
    <w:p w14:paraId="0CF360EA" w14:textId="77777777" w:rsidR="00EA1536" w:rsidRDefault="00EA15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0408"/>
    <w:multiLevelType w:val="hybridMultilevel"/>
    <w:tmpl w:val="D064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4B4E69D2"/>
    <w:lvl w:ilvl="0" w:tplc="30A0BD42">
      <w:start w:val="1"/>
      <w:numFmt w:val="decimal"/>
      <w:lvlText w:val="%1."/>
      <w:lvlJc w:val="left"/>
      <w:pPr>
        <w:tabs>
          <w:tab w:val="num" w:pos="360"/>
        </w:tabs>
        <w:ind w:left="360" w:hanging="360"/>
      </w:pPr>
      <w:rPr>
        <w:rFonts w:ascii="Times New Roman" w:hAnsi="Times New Roman" w:cs="Times New Roman" w:hint="default"/>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15:restartNumberingAfterBreak="0">
    <w:nsid w:val="1F595ACB"/>
    <w:multiLevelType w:val="hybridMultilevel"/>
    <w:tmpl w:val="E20812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0423FC"/>
    <w:multiLevelType w:val="hybridMultilevel"/>
    <w:tmpl w:val="4EB6F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A72C6"/>
    <w:multiLevelType w:val="hybridMultilevel"/>
    <w:tmpl w:val="DD00FE2C"/>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370EA9"/>
    <w:multiLevelType w:val="hybridMultilevel"/>
    <w:tmpl w:val="49EC3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0"/>
  </w:num>
  <w:num w:numId="4">
    <w:abstractNumId w:val="6"/>
  </w:num>
  <w:num w:numId="5">
    <w:abstractNumId w:val="5"/>
  </w:num>
  <w:num w:numId="6">
    <w:abstractNumId w:val="11"/>
  </w:num>
  <w:num w:numId="7">
    <w:abstractNumId w:val="4"/>
  </w:num>
  <w:num w:numId="8">
    <w:abstractNumId w:val="2"/>
  </w:num>
  <w:num w:numId="9">
    <w:abstractNumId w:val="8"/>
  </w:num>
  <w:num w:numId="10">
    <w:abstractNumId w:val="12"/>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7"/>
    <w:rsid w:val="00000AE6"/>
    <w:rsid w:val="00006B27"/>
    <w:rsid w:val="00012695"/>
    <w:rsid w:val="0001369F"/>
    <w:rsid w:val="000201AE"/>
    <w:rsid w:val="000218B6"/>
    <w:rsid w:val="0002280F"/>
    <w:rsid w:val="00023985"/>
    <w:rsid w:val="00025FA2"/>
    <w:rsid w:val="00026726"/>
    <w:rsid w:val="0002731C"/>
    <w:rsid w:val="00027386"/>
    <w:rsid w:val="00030BD8"/>
    <w:rsid w:val="000324C9"/>
    <w:rsid w:val="00032E46"/>
    <w:rsid w:val="00033B73"/>
    <w:rsid w:val="00043838"/>
    <w:rsid w:val="0004443B"/>
    <w:rsid w:val="00044574"/>
    <w:rsid w:val="000547F1"/>
    <w:rsid w:val="00054D89"/>
    <w:rsid w:val="00055C1B"/>
    <w:rsid w:val="00056C6C"/>
    <w:rsid w:val="00056DFC"/>
    <w:rsid w:val="00057D1B"/>
    <w:rsid w:val="000619B1"/>
    <w:rsid w:val="000631DA"/>
    <w:rsid w:val="00063B11"/>
    <w:rsid w:val="00076969"/>
    <w:rsid w:val="0007732A"/>
    <w:rsid w:val="00080B55"/>
    <w:rsid w:val="000906FC"/>
    <w:rsid w:val="000A2D14"/>
    <w:rsid w:val="000A579A"/>
    <w:rsid w:val="000B22C3"/>
    <w:rsid w:val="000B244A"/>
    <w:rsid w:val="000B3626"/>
    <w:rsid w:val="000B5532"/>
    <w:rsid w:val="000B59FF"/>
    <w:rsid w:val="000C3A21"/>
    <w:rsid w:val="000C6F92"/>
    <w:rsid w:val="000D046E"/>
    <w:rsid w:val="000D6AC0"/>
    <w:rsid w:val="000E055A"/>
    <w:rsid w:val="000E17D8"/>
    <w:rsid w:val="000E6BC1"/>
    <w:rsid w:val="000E71FC"/>
    <w:rsid w:val="000F0A45"/>
    <w:rsid w:val="000F0EF8"/>
    <w:rsid w:val="000F2451"/>
    <w:rsid w:val="000F309E"/>
    <w:rsid w:val="000F3E1E"/>
    <w:rsid w:val="000F6592"/>
    <w:rsid w:val="000F6F0A"/>
    <w:rsid w:val="00102F9E"/>
    <w:rsid w:val="0010495D"/>
    <w:rsid w:val="00105F5C"/>
    <w:rsid w:val="00110071"/>
    <w:rsid w:val="00111030"/>
    <w:rsid w:val="00112443"/>
    <w:rsid w:val="00122F4C"/>
    <w:rsid w:val="0012491A"/>
    <w:rsid w:val="00124EE2"/>
    <w:rsid w:val="00126BDF"/>
    <w:rsid w:val="00126F51"/>
    <w:rsid w:val="001271A7"/>
    <w:rsid w:val="00134372"/>
    <w:rsid w:val="00137C87"/>
    <w:rsid w:val="00145A8A"/>
    <w:rsid w:val="00146362"/>
    <w:rsid w:val="00147418"/>
    <w:rsid w:val="0016350A"/>
    <w:rsid w:val="001636BF"/>
    <w:rsid w:val="00163AE4"/>
    <w:rsid w:val="00165282"/>
    <w:rsid w:val="00172A31"/>
    <w:rsid w:val="001735C0"/>
    <w:rsid w:val="001736CC"/>
    <w:rsid w:val="0017448C"/>
    <w:rsid w:val="0017485D"/>
    <w:rsid w:val="0017550C"/>
    <w:rsid w:val="00176630"/>
    <w:rsid w:val="0018329E"/>
    <w:rsid w:val="00183A1C"/>
    <w:rsid w:val="00191382"/>
    <w:rsid w:val="0019482E"/>
    <w:rsid w:val="00197842"/>
    <w:rsid w:val="001A0790"/>
    <w:rsid w:val="001B2E2A"/>
    <w:rsid w:val="001B5A23"/>
    <w:rsid w:val="001B6E91"/>
    <w:rsid w:val="001B7226"/>
    <w:rsid w:val="001C001C"/>
    <w:rsid w:val="001C0BC5"/>
    <w:rsid w:val="001C4593"/>
    <w:rsid w:val="001C544E"/>
    <w:rsid w:val="001D16A9"/>
    <w:rsid w:val="001D1DC0"/>
    <w:rsid w:val="001D5392"/>
    <w:rsid w:val="001D5A28"/>
    <w:rsid w:val="001E06CB"/>
    <w:rsid w:val="001E2DB0"/>
    <w:rsid w:val="001E54DD"/>
    <w:rsid w:val="001E623B"/>
    <w:rsid w:val="001E6EA4"/>
    <w:rsid w:val="001E781D"/>
    <w:rsid w:val="001F4FB6"/>
    <w:rsid w:val="001F6130"/>
    <w:rsid w:val="00203601"/>
    <w:rsid w:val="00210D96"/>
    <w:rsid w:val="002114F1"/>
    <w:rsid w:val="0021731D"/>
    <w:rsid w:val="00217AF7"/>
    <w:rsid w:val="00223C69"/>
    <w:rsid w:val="00225921"/>
    <w:rsid w:val="002330A5"/>
    <w:rsid w:val="002341A1"/>
    <w:rsid w:val="002430F8"/>
    <w:rsid w:val="002504E2"/>
    <w:rsid w:val="002529DB"/>
    <w:rsid w:val="00254ED3"/>
    <w:rsid w:val="002642DC"/>
    <w:rsid w:val="00265913"/>
    <w:rsid w:val="002773F5"/>
    <w:rsid w:val="002821EF"/>
    <w:rsid w:val="00282B1D"/>
    <w:rsid w:val="00283FE5"/>
    <w:rsid w:val="00285041"/>
    <w:rsid w:val="002962EE"/>
    <w:rsid w:val="002A0F36"/>
    <w:rsid w:val="002A47FA"/>
    <w:rsid w:val="002B2A6A"/>
    <w:rsid w:val="002B6511"/>
    <w:rsid w:val="002B6780"/>
    <w:rsid w:val="002B6E99"/>
    <w:rsid w:val="002C1AA3"/>
    <w:rsid w:val="002C3824"/>
    <w:rsid w:val="002C3F98"/>
    <w:rsid w:val="002C7D5C"/>
    <w:rsid w:val="002D003A"/>
    <w:rsid w:val="002D15B6"/>
    <w:rsid w:val="002D5680"/>
    <w:rsid w:val="002D628A"/>
    <w:rsid w:val="002D7440"/>
    <w:rsid w:val="002E3617"/>
    <w:rsid w:val="002E68FA"/>
    <w:rsid w:val="002F3145"/>
    <w:rsid w:val="002F7201"/>
    <w:rsid w:val="00300114"/>
    <w:rsid w:val="003016BB"/>
    <w:rsid w:val="00301BF4"/>
    <w:rsid w:val="003033E4"/>
    <w:rsid w:val="00314F61"/>
    <w:rsid w:val="003168CC"/>
    <w:rsid w:val="00323DBD"/>
    <w:rsid w:val="003254CC"/>
    <w:rsid w:val="003263A2"/>
    <w:rsid w:val="0034386A"/>
    <w:rsid w:val="00347FCC"/>
    <w:rsid w:val="00350935"/>
    <w:rsid w:val="00356B67"/>
    <w:rsid w:val="0036074D"/>
    <w:rsid w:val="00361A51"/>
    <w:rsid w:val="003664C9"/>
    <w:rsid w:val="003671DF"/>
    <w:rsid w:val="00370648"/>
    <w:rsid w:val="0037153D"/>
    <w:rsid w:val="00385EBA"/>
    <w:rsid w:val="00397B3D"/>
    <w:rsid w:val="003A0340"/>
    <w:rsid w:val="003A0FB4"/>
    <w:rsid w:val="003A551B"/>
    <w:rsid w:val="003B047E"/>
    <w:rsid w:val="003B6B84"/>
    <w:rsid w:val="003C1F4C"/>
    <w:rsid w:val="003C3568"/>
    <w:rsid w:val="003C7A4B"/>
    <w:rsid w:val="003D14AA"/>
    <w:rsid w:val="003D671F"/>
    <w:rsid w:val="003E1487"/>
    <w:rsid w:val="003E2F84"/>
    <w:rsid w:val="003E399F"/>
    <w:rsid w:val="003E7F89"/>
    <w:rsid w:val="003F2D0E"/>
    <w:rsid w:val="00403EA8"/>
    <w:rsid w:val="004050C8"/>
    <w:rsid w:val="0040568B"/>
    <w:rsid w:val="0041431D"/>
    <w:rsid w:val="00414E21"/>
    <w:rsid w:val="00416296"/>
    <w:rsid w:val="004202FB"/>
    <w:rsid w:val="00426F46"/>
    <w:rsid w:val="00427335"/>
    <w:rsid w:val="00435CE6"/>
    <w:rsid w:val="00436690"/>
    <w:rsid w:val="00440F06"/>
    <w:rsid w:val="00443B03"/>
    <w:rsid w:val="00446793"/>
    <w:rsid w:val="0045045E"/>
    <w:rsid w:val="00452BFF"/>
    <w:rsid w:val="00455CFD"/>
    <w:rsid w:val="00456B13"/>
    <w:rsid w:val="00463269"/>
    <w:rsid w:val="00466BE1"/>
    <w:rsid w:val="0047631C"/>
    <w:rsid w:val="00480AB5"/>
    <w:rsid w:val="00483DAC"/>
    <w:rsid w:val="00485359"/>
    <w:rsid w:val="00485782"/>
    <w:rsid w:val="004913BF"/>
    <w:rsid w:val="00491AD1"/>
    <w:rsid w:val="004974E6"/>
    <w:rsid w:val="00497A10"/>
    <w:rsid w:val="004A4C47"/>
    <w:rsid w:val="004A50EB"/>
    <w:rsid w:val="004A7EF8"/>
    <w:rsid w:val="004B004C"/>
    <w:rsid w:val="004B0CCB"/>
    <w:rsid w:val="004B621D"/>
    <w:rsid w:val="004C12C3"/>
    <w:rsid w:val="004C79A4"/>
    <w:rsid w:val="004D35E6"/>
    <w:rsid w:val="004F0124"/>
    <w:rsid w:val="004F0E6C"/>
    <w:rsid w:val="004F2537"/>
    <w:rsid w:val="004F3053"/>
    <w:rsid w:val="004F4CCA"/>
    <w:rsid w:val="00505C2A"/>
    <w:rsid w:val="00514E54"/>
    <w:rsid w:val="0051573E"/>
    <w:rsid w:val="00523E14"/>
    <w:rsid w:val="005323E9"/>
    <w:rsid w:val="00536D43"/>
    <w:rsid w:val="005378DF"/>
    <w:rsid w:val="00544186"/>
    <w:rsid w:val="00544768"/>
    <w:rsid w:val="00545FD8"/>
    <w:rsid w:val="0054724E"/>
    <w:rsid w:val="005473BA"/>
    <w:rsid w:val="00554D51"/>
    <w:rsid w:val="00561055"/>
    <w:rsid w:val="00562B07"/>
    <w:rsid w:val="00565315"/>
    <w:rsid w:val="00567A9A"/>
    <w:rsid w:val="005718A5"/>
    <w:rsid w:val="00574616"/>
    <w:rsid w:val="005748FE"/>
    <w:rsid w:val="00575F38"/>
    <w:rsid w:val="005833B9"/>
    <w:rsid w:val="00583E07"/>
    <w:rsid w:val="00587233"/>
    <w:rsid w:val="00587962"/>
    <w:rsid w:val="00591630"/>
    <w:rsid w:val="00592576"/>
    <w:rsid w:val="00593BF7"/>
    <w:rsid w:val="005941E1"/>
    <w:rsid w:val="00597FDD"/>
    <w:rsid w:val="005A3ABE"/>
    <w:rsid w:val="005A4BB0"/>
    <w:rsid w:val="005A743A"/>
    <w:rsid w:val="005C37A6"/>
    <w:rsid w:val="005C3C75"/>
    <w:rsid w:val="005C4065"/>
    <w:rsid w:val="005C701A"/>
    <w:rsid w:val="005C7AB3"/>
    <w:rsid w:val="005D0304"/>
    <w:rsid w:val="005D435B"/>
    <w:rsid w:val="005D7020"/>
    <w:rsid w:val="005E2DAA"/>
    <w:rsid w:val="005E3821"/>
    <w:rsid w:val="005E42E4"/>
    <w:rsid w:val="005E67E9"/>
    <w:rsid w:val="005E6DD0"/>
    <w:rsid w:val="005F0577"/>
    <w:rsid w:val="005F30AE"/>
    <w:rsid w:val="005F5DF4"/>
    <w:rsid w:val="005F6BAC"/>
    <w:rsid w:val="005F6F1D"/>
    <w:rsid w:val="005F7292"/>
    <w:rsid w:val="00611A4D"/>
    <w:rsid w:val="0061258F"/>
    <w:rsid w:val="00612C58"/>
    <w:rsid w:val="0062024E"/>
    <w:rsid w:val="006208F9"/>
    <w:rsid w:val="006210C2"/>
    <w:rsid w:val="00624A78"/>
    <w:rsid w:val="00625D6C"/>
    <w:rsid w:val="006272A1"/>
    <w:rsid w:val="00627587"/>
    <w:rsid w:val="00634354"/>
    <w:rsid w:val="00634FF0"/>
    <w:rsid w:val="00635A7C"/>
    <w:rsid w:val="00642ABC"/>
    <w:rsid w:val="00644F26"/>
    <w:rsid w:val="00645119"/>
    <w:rsid w:val="00647B94"/>
    <w:rsid w:val="00652397"/>
    <w:rsid w:val="00653485"/>
    <w:rsid w:val="006546E5"/>
    <w:rsid w:val="006549FC"/>
    <w:rsid w:val="00660B20"/>
    <w:rsid w:val="00662D80"/>
    <w:rsid w:val="00663C9A"/>
    <w:rsid w:val="006726E6"/>
    <w:rsid w:val="00673E01"/>
    <w:rsid w:val="00676E38"/>
    <w:rsid w:val="00685CF1"/>
    <w:rsid w:val="00694F60"/>
    <w:rsid w:val="0069666B"/>
    <w:rsid w:val="006967C8"/>
    <w:rsid w:val="006A05FB"/>
    <w:rsid w:val="006A078D"/>
    <w:rsid w:val="006B4444"/>
    <w:rsid w:val="006B6285"/>
    <w:rsid w:val="006C0777"/>
    <w:rsid w:val="006C0888"/>
    <w:rsid w:val="006C6A19"/>
    <w:rsid w:val="006D1265"/>
    <w:rsid w:val="006E15EA"/>
    <w:rsid w:val="006E222F"/>
    <w:rsid w:val="006E5332"/>
    <w:rsid w:val="006F26DC"/>
    <w:rsid w:val="006F671E"/>
    <w:rsid w:val="006F6C05"/>
    <w:rsid w:val="0070194B"/>
    <w:rsid w:val="00702EF7"/>
    <w:rsid w:val="00704E26"/>
    <w:rsid w:val="007060F0"/>
    <w:rsid w:val="00707A6A"/>
    <w:rsid w:val="0071023C"/>
    <w:rsid w:val="00712E3F"/>
    <w:rsid w:val="00717A79"/>
    <w:rsid w:val="00723AA5"/>
    <w:rsid w:val="00733B48"/>
    <w:rsid w:val="00740328"/>
    <w:rsid w:val="00741683"/>
    <w:rsid w:val="00743617"/>
    <w:rsid w:val="00744E6B"/>
    <w:rsid w:val="00746058"/>
    <w:rsid w:val="00754B88"/>
    <w:rsid w:val="007561AB"/>
    <w:rsid w:val="00760CF4"/>
    <w:rsid w:val="00761677"/>
    <w:rsid w:val="00770264"/>
    <w:rsid w:val="00774299"/>
    <w:rsid w:val="0078005E"/>
    <w:rsid w:val="00780C75"/>
    <w:rsid w:val="00785B77"/>
    <w:rsid w:val="007966E0"/>
    <w:rsid w:val="00796DE0"/>
    <w:rsid w:val="007B093E"/>
    <w:rsid w:val="007B2E50"/>
    <w:rsid w:val="007B49C0"/>
    <w:rsid w:val="007B79AB"/>
    <w:rsid w:val="007C3113"/>
    <w:rsid w:val="007C3365"/>
    <w:rsid w:val="007C3955"/>
    <w:rsid w:val="007C574E"/>
    <w:rsid w:val="007C5B42"/>
    <w:rsid w:val="007D0ED2"/>
    <w:rsid w:val="007D7456"/>
    <w:rsid w:val="007E1094"/>
    <w:rsid w:val="007E3AD8"/>
    <w:rsid w:val="007E67DD"/>
    <w:rsid w:val="007F161B"/>
    <w:rsid w:val="007F3766"/>
    <w:rsid w:val="007F3DD2"/>
    <w:rsid w:val="007F50A4"/>
    <w:rsid w:val="007F616B"/>
    <w:rsid w:val="008015D2"/>
    <w:rsid w:val="00801811"/>
    <w:rsid w:val="00802231"/>
    <w:rsid w:val="0080552D"/>
    <w:rsid w:val="00806B31"/>
    <w:rsid w:val="00807B3F"/>
    <w:rsid w:val="00810A4F"/>
    <w:rsid w:val="00810BAA"/>
    <w:rsid w:val="00810CB3"/>
    <w:rsid w:val="008124F3"/>
    <w:rsid w:val="0082354F"/>
    <w:rsid w:val="00826B4E"/>
    <w:rsid w:val="00830C54"/>
    <w:rsid w:val="00830E90"/>
    <w:rsid w:val="0083482E"/>
    <w:rsid w:val="00834D8E"/>
    <w:rsid w:val="00837FB3"/>
    <w:rsid w:val="00841672"/>
    <w:rsid w:val="00844445"/>
    <w:rsid w:val="0084490C"/>
    <w:rsid w:val="0084495C"/>
    <w:rsid w:val="00853398"/>
    <w:rsid w:val="008539E3"/>
    <w:rsid w:val="008565C8"/>
    <w:rsid w:val="00860DC0"/>
    <w:rsid w:val="008713A5"/>
    <w:rsid w:val="00881B57"/>
    <w:rsid w:val="008825C2"/>
    <w:rsid w:val="0088539F"/>
    <w:rsid w:val="00885A37"/>
    <w:rsid w:val="00885D7C"/>
    <w:rsid w:val="0089152E"/>
    <w:rsid w:val="008922AE"/>
    <w:rsid w:val="00894E12"/>
    <w:rsid w:val="008A1A5F"/>
    <w:rsid w:val="008A2D7D"/>
    <w:rsid w:val="008A7848"/>
    <w:rsid w:val="008B0921"/>
    <w:rsid w:val="008B1DD5"/>
    <w:rsid w:val="008B2323"/>
    <w:rsid w:val="008B5B9B"/>
    <w:rsid w:val="008B7528"/>
    <w:rsid w:val="008C0F09"/>
    <w:rsid w:val="008C18E9"/>
    <w:rsid w:val="008C228A"/>
    <w:rsid w:val="008D0E01"/>
    <w:rsid w:val="008E0961"/>
    <w:rsid w:val="008E1C9F"/>
    <w:rsid w:val="008E25C7"/>
    <w:rsid w:val="008E445F"/>
    <w:rsid w:val="008F07CE"/>
    <w:rsid w:val="008F2DC4"/>
    <w:rsid w:val="008F5236"/>
    <w:rsid w:val="008F6AA0"/>
    <w:rsid w:val="009071DB"/>
    <w:rsid w:val="00910F17"/>
    <w:rsid w:val="0091221E"/>
    <w:rsid w:val="00915A33"/>
    <w:rsid w:val="00920EEA"/>
    <w:rsid w:val="00922097"/>
    <w:rsid w:val="0092360F"/>
    <w:rsid w:val="00931FB9"/>
    <w:rsid w:val="00932D57"/>
    <w:rsid w:val="009334DB"/>
    <w:rsid w:val="009403D0"/>
    <w:rsid w:val="00945643"/>
    <w:rsid w:val="00946285"/>
    <w:rsid w:val="009468D6"/>
    <w:rsid w:val="00950CA8"/>
    <w:rsid w:val="009528F4"/>
    <w:rsid w:val="00953841"/>
    <w:rsid w:val="00956A1C"/>
    <w:rsid w:val="00957450"/>
    <w:rsid w:val="0097061E"/>
    <w:rsid w:val="009732D4"/>
    <w:rsid w:val="009805E2"/>
    <w:rsid w:val="00983DB6"/>
    <w:rsid w:val="00985A96"/>
    <w:rsid w:val="00995BF8"/>
    <w:rsid w:val="00997B46"/>
    <w:rsid w:val="00997B94"/>
    <w:rsid w:val="009A0294"/>
    <w:rsid w:val="009A18E8"/>
    <w:rsid w:val="009B0608"/>
    <w:rsid w:val="009B63CF"/>
    <w:rsid w:val="009C19B4"/>
    <w:rsid w:val="009C54D9"/>
    <w:rsid w:val="009D0C7B"/>
    <w:rsid w:val="009D3619"/>
    <w:rsid w:val="009E216B"/>
    <w:rsid w:val="009F2DFF"/>
    <w:rsid w:val="00A03AB9"/>
    <w:rsid w:val="00A047B5"/>
    <w:rsid w:val="00A1381C"/>
    <w:rsid w:val="00A15209"/>
    <w:rsid w:val="00A1638E"/>
    <w:rsid w:val="00A1674A"/>
    <w:rsid w:val="00A17D9E"/>
    <w:rsid w:val="00A208EB"/>
    <w:rsid w:val="00A26D67"/>
    <w:rsid w:val="00A32396"/>
    <w:rsid w:val="00A32B98"/>
    <w:rsid w:val="00A40D5C"/>
    <w:rsid w:val="00A41617"/>
    <w:rsid w:val="00A43FF9"/>
    <w:rsid w:val="00A463F0"/>
    <w:rsid w:val="00A51D19"/>
    <w:rsid w:val="00A55057"/>
    <w:rsid w:val="00A62AE1"/>
    <w:rsid w:val="00A66958"/>
    <w:rsid w:val="00A66DF3"/>
    <w:rsid w:val="00A74C60"/>
    <w:rsid w:val="00A75E28"/>
    <w:rsid w:val="00A80275"/>
    <w:rsid w:val="00A81EBF"/>
    <w:rsid w:val="00A82561"/>
    <w:rsid w:val="00A87B36"/>
    <w:rsid w:val="00A9578D"/>
    <w:rsid w:val="00A963A8"/>
    <w:rsid w:val="00A96F6A"/>
    <w:rsid w:val="00AA08EC"/>
    <w:rsid w:val="00AA14B6"/>
    <w:rsid w:val="00AA2735"/>
    <w:rsid w:val="00AA2B95"/>
    <w:rsid w:val="00AA7013"/>
    <w:rsid w:val="00AB0A7D"/>
    <w:rsid w:val="00AB1F92"/>
    <w:rsid w:val="00AB31D5"/>
    <w:rsid w:val="00AB3FCB"/>
    <w:rsid w:val="00AB533D"/>
    <w:rsid w:val="00AC031B"/>
    <w:rsid w:val="00AC2996"/>
    <w:rsid w:val="00AC3F07"/>
    <w:rsid w:val="00AC56FC"/>
    <w:rsid w:val="00AD31BC"/>
    <w:rsid w:val="00AD56A7"/>
    <w:rsid w:val="00AD62C5"/>
    <w:rsid w:val="00AE287A"/>
    <w:rsid w:val="00AE2AE2"/>
    <w:rsid w:val="00AE2D97"/>
    <w:rsid w:val="00AE7E64"/>
    <w:rsid w:val="00AF3144"/>
    <w:rsid w:val="00AF7A1C"/>
    <w:rsid w:val="00B02043"/>
    <w:rsid w:val="00B12376"/>
    <w:rsid w:val="00B20EEE"/>
    <w:rsid w:val="00B2136A"/>
    <w:rsid w:val="00B27510"/>
    <w:rsid w:val="00B3032C"/>
    <w:rsid w:val="00B331AE"/>
    <w:rsid w:val="00B458A3"/>
    <w:rsid w:val="00B46846"/>
    <w:rsid w:val="00B51C0A"/>
    <w:rsid w:val="00B52C31"/>
    <w:rsid w:val="00B57341"/>
    <w:rsid w:val="00B6334F"/>
    <w:rsid w:val="00B71A97"/>
    <w:rsid w:val="00B77BD4"/>
    <w:rsid w:val="00B8156D"/>
    <w:rsid w:val="00B84194"/>
    <w:rsid w:val="00B901F0"/>
    <w:rsid w:val="00B92BA9"/>
    <w:rsid w:val="00B979F1"/>
    <w:rsid w:val="00B97B6E"/>
    <w:rsid w:val="00B97CF4"/>
    <w:rsid w:val="00BA0BC1"/>
    <w:rsid w:val="00BA3189"/>
    <w:rsid w:val="00BB27C5"/>
    <w:rsid w:val="00BB387D"/>
    <w:rsid w:val="00BC015D"/>
    <w:rsid w:val="00BC2BFB"/>
    <w:rsid w:val="00BC5B4E"/>
    <w:rsid w:val="00BC6A8D"/>
    <w:rsid w:val="00BC7834"/>
    <w:rsid w:val="00BE1348"/>
    <w:rsid w:val="00BE4444"/>
    <w:rsid w:val="00BE5F98"/>
    <w:rsid w:val="00BE6A5B"/>
    <w:rsid w:val="00BE75B5"/>
    <w:rsid w:val="00BF29E7"/>
    <w:rsid w:val="00BF555C"/>
    <w:rsid w:val="00BF584E"/>
    <w:rsid w:val="00BF6681"/>
    <w:rsid w:val="00C007F6"/>
    <w:rsid w:val="00C03925"/>
    <w:rsid w:val="00C047E7"/>
    <w:rsid w:val="00C04A63"/>
    <w:rsid w:val="00C06282"/>
    <w:rsid w:val="00C072E3"/>
    <w:rsid w:val="00C07D4E"/>
    <w:rsid w:val="00C11599"/>
    <w:rsid w:val="00C16BD6"/>
    <w:rsid w:val="00C17594"/>
    <w:rsid w:val="00C17ED3"/>
    <w:rsid w:val="00C2447B"/>
    <w:rsid w:val="00C27E05"/>
    <w:rsid w:val="00C3432E"/>
    <w:rsid w:val="00C3551A"/>
    <w:rsid w:val="00C41329"/>
    <w:rsid w:val="00C464F8"/>
    <w:rsid w:val="00C57B96"/>
    <w:rsid w:val="00C62FA1"/>
    <w:rsid w:val="00C63AFF"/>
    <w:rsid w:val="00C66F5F"/>
    <w:rsid w:val="00C72F5E"/>
    <w:rsid w:val="00C76906"/>
    <w:rsid w:val="00C802C1"/>
    <w:rsid w:val="00C90010"/>
    <w:rsid w:val="00C94DCF"/>
    <w:rsid w:val="00C9694D"/>
    <w:rsid w:val="00C96E5E"/>
    <w:rsid w:val="00C97019"/>
    <w:rsid w:val="00CA29DB"/>
    <w:rsid w:val="00CA3FE5"/>
    <w:rsid w:val="00CA4488"/>
    <w:rsid w:val="00CB1E6C"/>
    <w:rsid w:val="00CC1195"/>
    <w:rsid w:val="00CC3525"/>
    <w:rsid w:val="00CC4BE4"/>
    <w:rsid w:val="00CC6A8F"/>
    <w:rsid w:val="00CC793B"/>
    <w:rsid w:val="00CD0116"/>
    <w:rsid w:val="00CD519A"/>
    <w:rsid w:val="00CD7E66"/>
    <w:rsid w:val="00CF6510"/>
    <w:rsid w:val="00CF7B05"/>
    <w:rsid w:val="00D04EA3"/>
    <w:rsid w:val="00D07DD9"/>
    <w:rsid w:val="00D100D6"/>
    <w:rsid w:val="00D10CE5"/>
    <w:rsid w:val="00D11F1D"/>
    <w:rsid w:val="00D12FBD"/>
    <w:rsid w:val="00D141F4"/>
    <w:rsid w:val="00D161B4"/>
    <w:rsid w:val="00D16D75"/>
    <w:rsid w:val="00D200D5"/>
    <w:rsid w:val="00D2126B"/>
    <w:rsid w:val="00D22D14"/>
    <w:rsid w:val="00D25C40"/>
    <w:rsid w:val="00D25F3C"/>
    <w:rsid w:val="00D27DE1"/>
    <w:rsid w:val="00D3515D"/>
    <w:rsid w:val="00D4290F"/>
    <w:rsid w:val="00D4387C"/>
    <w:rsid w:val="00D44DB1"/>
    <w:rsid w:val="00D56C0A"/>
    <w:rsid w:val="00D617D8"/>
    <w:rsid w:val="00D62EDA"/>
    <w:rsid w:val="00D6328A"/>
    <w:rsid w:val="00D63690"/>
    <w:rsid w:val="00D65B11"/>
    <w:rsid w:val="00D66CB2"/>
    <w:rsid w:val="00D7240A"/>
    <w:rsid w:val="00D724D7"/>
    <w:rsid w:val="00D76F75"/>
    <w:rsid w:val="00D77584"/>
    <w:rsid w:val="00D80BBF"/>
    <w:rsid w:val="00D8796B"/>
    <w:rsid w:val="00D94F65"/>
    <w:rsid w:val="00D96744"/>
    <w:rsid w:val="00D96A48"/>
    <w:rsid w:val="00DA3F2E"/>
    <w:rsid w:val="00DA465D"/>
    <w:rsid w:val="00DA5D0D"/>
    <w:rsid w:val="00DB2DC5"/>
    <w:rsid w:val="00DC1030"/>
    <w:rsid w:val="00DC2B2A"/>
    <w:rsid w:val="00DC30D9"/>
    <w:rsid w:val="00DD3416"/>
    <w:rsid w:val="00DE614A"/>
    <w:rsid w:val="00DE6BEB"/>
    <w:rsid w:val="00DF05AE"/>
    <w:rsid w:val="00DF6C34"/>
    <w:rsid w:val="00DF716C"/>
    <w:rsid w:val="00DF780E"/>
    <w:rsid w:val="00E01E2B"/>
    <w:rsid w:val="00E13541"/>
    <w:rsid w:val="00E14D72"/>
    <w:rsid w:val="00E14D9D"/>
    <w:rsid w:val="00E21E01"/>
    <w:rsid w:val="00E23EB3"/>
    <w:rsid w:val="00E30B8D"/>
    <w:rsid w:val="00E313AF"/>
    <w:rsid w:val="00E33298"/>
    <w:rsid w:val="00E53839"/>
    <w:rsid w:val="00E566E4"/>
    <w:rsid w:val="00E60B70"/>
    <w:rsid w:val="00E60B8F"/>
    <w:rsid w:val="00E60C03"/>
    <w:rsid w:val="00E65CBA"/>
    <w:rsid w:val="00E67C6B"/>
    <w:rsid w:val="00E8014D"/>
    <w:rsid w:val="00E829A2"/>
    <w:rsid w:val="00E83ADE"/>
    <w:rsid w:val="00E854D2"/>
    <w:rsid w:val="00E866D6"/>
    <w:rsid w:val="00E87CE6"/>
    <w:rsid w:val="00E90876"/>
    <w:rsid w:val="00E9434C"/>
    <w:rsid w:val="00EA0357"/>
    <w:rsid w:val="00EA1536"/>
    <w:rsid w:val="00EA4787"/>
    <w:rsid w:val="00EA6BF0"/>
    <w:rsid w:val="00EB1920"/>
    <w:rsid w:val="00EB2024"/>
    <w:rsid w:val="00EB366B"/>
    <w:rsid w:val="00EC0016"/>
    <w:rsid w:val="00EC1777"/>
    <w:rsid w:val="00ED1A15"/>
    <w:rsid w:val="00ED39A7"/>
    <w:rsid w:val="00ED5169"/>
    <w:rsid w:val="00ED6433"/>
    <w:rsid w:val="00ED64E9"/>
    <w:rsid w:val="00ED70BA"/>
    <w:rsid w:val="00EF4430"/>
    <w:rsid w:val="00EF6A2F"/>
    <w:rsid w:val="00F0354E"/>
    <w:rsid w:val="00F101EC"/>
    <w:rsid w:val="00F20846"/>
    <w:rsid w:val="00F221C2"/>
    <w:rsid w:val="00F32CA9"/>
    <w:rsid w:val="00F4269A"/>
    <w:rsid w:val="00F46E3A"/>
    <w:rsid w:val="00F52BC4"/>
    <w:rsid w:val="00F53DE9"/>
    <w:rsid w:val="00F579EC"/>
    <w:rsid w:val="00F57F83"/>
    <w:rsid w:val="00F62BE0"/>
    <w:rsid w:val="00F62FDB"/>
    <w:rsid w:val="00F70A13"/>
    <w:rsid w:val="00F71B7F"/>
    <w:rsid w:val="00F857AC"/>
    <w:rsid w:val="00F86DAE"/>
    <w:rsid w:val="00F977E1"/>
    <w:rsid w:val="00FA1B28"/>
    <w:rsid w:val="00FA5216"/>
    <w:rsid w:val="00FB4746"/>
    <w:rsid w:val="00FC1DCC"/>
    <w:rsid w:val="00FC4FA0"/>
    <w:rsid w:val="00FD1524"/>
    <w:rsid w:val="00FD1E76"/>
    <w:rsid w:val="00FD30EE"/>
    <w:rsid w:val="00FD5583"/>
    <w:rsid w:val="00FE0073"/>
    <w:rsid w:val="00FF19E9"/>
    <w:rsid w:val="00FF2E5E"/>
    <w:rsid w:val="00FF353A"/>
    <w:rsid w:val="00FF4047"/>
    <w:rsid w:val="00FF4236"/>
    <w:rsid w:val="00FF47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5197433"/>
  <w15:docId w15:val="{A1E4491A-5C2C-447D-95AC-F8644E44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41"/>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BalloonText">
    <w:name w:val="Balloon Text"/>
    <w:basedOn w:val="Normal"/>
    <w:semiHidden/>
    <w:rsid w:val="00F86DAE"/>
    <w:rPr>
      <w:rFonts w:ascii="Tahoma" w:hAnsi="Tahoma" w:cs="Tahoma"/>
      <w:sz w:val="16"/>
      <w:szCs w:val="16"/>
    </w:rPr>
  </w:style>
  <w:style w:type="paragraph" w:styleId="ListParagraph">
    <w:name w:val="List Paragraph"/>
    <w:basedOn w:val="Normal"/>
    <w:uiPriority w:val="34"/>
    <w:rsid w:val="00B92BA9"/>
    <w:pPr>
      <w:spacing w:before="240" w:after="240"/>
      <w:ind w:left="720"/>
      <w:jc w:val="both"/>
    </w:pPr>
    <w:rPr>
      <w:rFonts w:ascii="Garamond" w:hAnsi="Garamond"/>
      <w:sz w:val="24"/>
      <w:lang w:eastAsia="en-AU"/>
    </w:rPr>
  </w:style>
  <w:style w:type="character" w:styleId="CommentReference">
    <w:name w:val="annotation reference"/>
    <w:basedOn w:val="DefaultParagraphFont"/>
    <w:uiPriority w:val="99"/>
    <w:semiHidden/>
    <w:unhideWhenUsed/>
    <w:rsid w:val="00A9578D"/>
    <w:rPr>
      <w:sz w:val="16"/>
      <w:szCs w:val="16"/>
    </w:rPr>
  </w:style>
  <w:style w:type="paragraph" w:styleId="CommentText">
    <w:name w:val="annotation text"/>
    <w:basedOn w:val="Normal"/>
    <w:link w:val="CommentTextChar"/>
    <w:uiPriority w:val="99"/>
    <w:unhideWhenUsed/>
    <w:rsid w:val="00A9578D"/>
    <w:rPr>
      <w:sz w:val="20"/>
      <w:szCs w:val="20"/>
    </w:rPr>
  </w:style>
  <w:style w:type="character" w:customStyle="1" w:styleId="CommentTextChar">
    <w:name w:val="Comment Text Char"/>
    <w:basedOn w:val="DefaultParagraphFont"/>
    <w:link w:val="CommentText"/>
    <w:uiPriority w:val="99"/>
    <w:rsid w:val="00A9578D"/>
    <w:rPr>
      <w:rFonts w:ascii="Trebuchet MS" w:hAnsi="Trebuchet MS"/>
      <w:lang w:eastAsia="en-US"/>
    </w:rPr>
  </w:style>
  <w:style w:type="paragraph" w:styleId="BodyText">
    <w:name w:val="Body Text"/>
    <w:basedOn w:val="Normal"/>
    <w:link w:val="BodyTextChar"/>
    <w:rsid w:val="00A9578D"/>
    <w:pPr>
      <w:spacing w:after="240"/>
    </w:pPr>
    <w:rPr>
      <w:rFonts w:ascii="Times New Roman" w:hAnsi="Times New Roman"/>
      <w:sz w:val="24"/>
      <w:szCs w:val="20"/>
      <w:lang w:eastAsia="en-AU"/>
    </w:rPr>
  </w:style>
  <w:style w:type="character" w:customStyle="1" w:styleId="BodyTextChar">
    <w:name w:val="Body Text Char"/>
    <w:basedOn w:val="DefaultParagraphFont"/>
    <w:link w:val="BodyText"/>
    <w:rsid w:val="00A9578D"/>
    <w:rPr>
      <w:sz w:val="24"/>
    </w:rPr>
  </w:style>
  <w:style w:type="paragraph" w:styleId="CommentSubject">
    <w:name w:val="annotation subject"/>
    <w:basedOn w:val="CommentText"/>
    <w:next w:val="CommentText"/>
    <w:link w:val="CommentSubjectChar"/>
    <w:uiPriority w:val="99"/>
    <w:semiHidden/>
    <w:unhideWhenUsed/>
    <w:rsid w:val="00A9578D"/>
    <w:rPr>
      <w:b/>
      <w:bCs/>
    </w:rPr>
  </w:style>
  <w:style w:type="character" w:customStyle="1" w:styleId="CommentSubjectChar">
    <w:name w:val="Comment Subject Char"/>
    <w:basedOn w:val="CommentTextChar"/>
    <w:link w:val="CommentSubject"/>
    <w:uiPriority w:val="99"/>
    <w:semiHidden/>
    <w:rsid w:val="00A9578D"/>
    <w:rPr>
      <w:rFonts w:ascii="Trebuchet MS" w:hAnsi="Trebuchet MS"/>
      <w:b/>
      <w:bCs/>
      <w:lang w:eastAsia="en-US"/>
    </w:rPr>
  </w:style>
  <w:style w:type="paragraph" w:styleId="Revision">
    <w:name w:val="Revision"/>
    <w:hidden/>
    <w:uiPriority w:val="99"/>
    <w:semiHidden/>
    <w:rsid w:val="00D200D5"/>
    <w:rPr>
      <w:rFonts w:ascii="Trebuchet MS" w:hAnsi="Trebuchet MS"/>
      <w:sz w:val="22"/>
      <w:szCs w:val="24"/>
      <w:lang w:eastAsia="en-US"/>
    </w:rPr>
  </w:style>
  <w:style w:type="paragraph" w:styleId="Title">
    <w:name w:val="Title"/>
    <w:basedOn w:val="Normal"/>
    <w:link w:val="TitleChar"/>
    <w:qFormat/>
    <w:rsid w:val="00931FB9"/>
    <w:pPr>
      <w:jc w:val="center"/>
    </w:pPr>
    <w:rPr>
      <w:rFonts w:ascii="Times New Roman" w:hAnsi="Times New Roman"/>
      <w:b/>
      <w:sz w:val="24"/>
      <w:szCs w:val="20"/>
      <w:lang w:val="en-US" w:eastAsia="en-AU"/>
    </w:rPr>
  </w:style>
  <w:style w:type="character" w:customStyle="1" w:styleId="TitleChar">
    <w:name w:val="Title Char"/>
    <w:basedOn w:val="DefaultParagraphFont"/>
    <w:link w:val="Title"/>
    <w:rsid w:val="00931FB9"/>
    <w:rPr>
      <w:b/>
      <w:sz w:val="24"/>
      <w:lang w:val="en-US" w:eastAsia="en-AU"/>
    </w:rPr>
  </w:style>
  <w:style w:type="paragraph" w:customStyle="1" w:styleId="heading0">
    <w:name w:val="heading"/>
    <w:basedOn w:val="Normal"/>
    <w:rsid w:val="0089152E"/>
    <w:pPr>
      <w:spacing w:before="100" w:beforeAutospacing="1" w:after="100" w:afterAutospacing="1"/>
    </w:pPr>
    <w:rPr>
      <w:rFonts w:ascii="Times New Roman" w:hAnsi="Times New Roman"/>
      <w:sz w:val="24"/>
      <w:lang w:eastAsia="en-AU"/>
    </w:rPr>
  </w:style>
  <w:style w:type="paragraph" w:customStyle="1" w:styleId="Default">
    <w:name w:val="Default"/>
    <w:rsid w:val="0094564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F161B"/>
    <w:rPr>
      <w:rFonts w:ascii="Trebuchet MS" w:hAnsi="Trebuchet M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8618">
      <w:bodyDiv w:val="1"/>
      <w:marLeft w:val="0"/>
      <w:marRight w:val="0"/>
      <w:marTop w:val="0"/>
      <w:marBottom w:val="0"/>
      <w:divBdr>
        <w:top w:val="none" w:sz="0" w:space="0" w:color="auto"/>
        <w:left w:val="none" w:sz="0" w:space="0" w:color="auto"/>
        <w:bottom w:val="none" w:sz="0" w:space="0" w:color="auto"/>
        <w:right w:val="none" w:sz="0" w:space="0" w:color="auto"/>
      </w:divBdr>
      <w:divsChild>
        <w:div w:id="1692800979">
          <w:marLeft w:val="0"/>
          <w:marRight w:val="0"/>
          <w:marTop w:val="0"/>
          <w:marBottom w:val="0"/>
          <w:divBdr>
            <w:top w:val="none" w:sz="0" w:space="0" w:color="auto"/>
            <w:left w:val="none" w:sz="0" w:space="0" w:color="auto"/>
            <w:bottom w:val="none" w:sz="0" w:space="0" w:color="auto"/>
            <w:right w:val="none" w:sz="0" w:space="0" w:color="auto"/>
          </w:divBdr>
          <w:divsChild>
            <w:div w:id="872423492">
              <w:marLeft w:val="0"/>
              <w:marRight w:val="0"/>
              <w:marTop w:val="0"/>
              <w:marBottom w:val="0"/>
              <w:divBdr>
                <w:top w:val="none" w:sz="0" w:space="0" w:color="auto"/>
                <w:left w:val="none" w:sz="0" w:space="0" w:color="auto"/>
                <w:bottom w:val="none" w:sz="0" w:space="0" w:color="auto"/>
                <w:right w:val="none" w:sz="0" w:space="0" w:color="auto"/>
              </w:divBdr>
              <w:divsChild>
                <w:div w:id="574515402">
                  <w:marLeft w:val="0"/>
                  <w:marRight w:val="0"/>
                  <w:marTop w:val="0"/>
                  <w:marBottom w:val="0"/>
                  <w:divBdr>
                    <w:top w:val="none" w:sz="0" w:space="0" w:color="auto"/>
                    <w:left w:val="none" w:sz="0" w:space="0" w:color="auto"/>
                    <w:bottom w:val="none" w:sz="0" w:space="0" w:color="auto"/>
                    <w:right w:val="none" w:sz="0" w:space="0" w:color="auto"/>
                  </w:divBdr>
                  <w:divsChild>
                    <w:div w:id="246308858">
                      <w:marLeft w:val="0"/>
                      <w:marRight w:val="0"/>
                      <w:marTop w:val="0"/>
                      <w:marBottom w:val="0"/>
                      <w:divBdr>
                        <w:top w:val="none" w:sz="0" w:space="0" w:color="auto"/>
                        <w:left w:val="none" w:sz="0" w:space="0" w:color="auto"/>
                        <w:bottom w:val="none" w:sz="0" w:space="0" w:color="auto"/>
                        <w:right w:val="none" w:sz="0" w:space="0" w:color="auto"/>
                      </w:divBdr>
                      <w:divsChild>
                        <w:div w:id="669286019">
                          <w:marLeft w:val="0"/>
                          <w:marRight w:val="0"/>
                          <w:marTop w:val="0"/>
                          <w:marBottom w:val="0"/>
                          <w:divBdr>
                            <w:top w:val="none" w:sz="0" w:space="0" w:color="auto"/>
                            <w:left w:val="none" w:sz="0" w:space="0" w:color="auto"/>
                            <w:bottom w:val="none" w:sz="0" w:space="0" w:color="auto"/>
                            <w:right w:val="none" w:sz="0" w:space="0" w:color="auto"/>
                          </w:divBdr>
                          <w:divsChild>
                            <w:div w:id="1820071742">
                              <w:marLeft w:val="0"/>
                              <w:marRight w:val="0"/>
                              <w:marTop w:val="0"/>
                              <w:marBottom w:val="0"/>
                              <w:divBdr>
                                <w:top w:val="none" w:sz="0" w:space="0" w:color="auto"/>
                                <w:left w:val="none" w:sz="0" w:space="0" w:color="auto"/>
                                <w:bottom w:val="none" w:sz="0" w:space="0" w:color="auto"/>
                                <w:right w:val="none" w:sz="0" w:space="0" w:color="auto"/>
                              </w:divBdr>
                              <w:divsChild>
                                <w:div w:id="1345395490">
                                  <w:marLeft w:val="0"/>
                                  <w:marRight w:val="0"/>
                                  <w:marTop w:val="0"/>
                                  <w:marBottom w:val="0"/>
                                  <w:divBdr>
                                    <w:top w:val="none" w:sz="0" w:space="0" w:color="auto"/>
                                    <w:left w:val="none" w:sz="0" w:space="0" w:color="auto"/>
                                    <w:bottom w:val="none" w:sz="0" w:space="0" w:color="auto"/>
                                    <w:right w:val="none" w:sz="0" w:space="0" w:color="auto"/>
                                  </w:divBdr>
                                  <w:divsChild>
                                    <w:div w:id="402532337">
                                      <w:marLeft w:val="0"/>
                                      <w:marRight w:val="0"/>
                                      <w:marTop w:val="0"/>
                                      <w:marBottom w:val="0"/>
                                      <w:divBdr>
                                        <w:top w:val="none" w:sz="0" w:space="0" w:color="auto"/>
                                        <w:left w:val="none" w:sz="0" w:space="0" w:color="auto"/>
                                        <w:bottom w:val="none" w:sz="0" w:space="0" w:color="auto"/>
                                        <w:right w:val="none" w:sz="0" w:space="0" w:color="auto"/>
                                      </w:divBdr>
                                      <w:divsChild>
                                        <w:div w:id="7606480">
                                          <w:marLeft w:val="0"/>
                                          <w:marRight w:val="0"/>
                                          <w:marTop w:val="0"/>
                                          <w:marBottom w:val="0"/>
                                          <w:divBdr>
                                            <w:top w:val="none" w:sz="0" w:space="0" w:color="auto"/>
                                            <w:left w:val="none" w:sz="0" w:space="0" w:color="auto"/>
                                            <w:bottom w:val="none" w:sz="0" w:space="0" w:color="auto"/>
                                            <w:right w:val="none" w:sz="0" w:space="0" w:color="auto"/>
                                          </w:divBdr>
                                          <w:divsChild>
                                            <w:div w:id="84111381">
                                              <w:marLeft w:val="0"/>
                                              <w:marRight w:val="0"/>
                                              <w:marTop w:val="0"/>
                                              <w:marBottom w:val="0"/>
                                              <w:divBdr>
                                                <w:top w:val="none" w:sz="0" w:space="0" w:color="auto"/>
                                                <w:left w:val="none" w:sz="0" w:space="0" w:color="auto"/>
                                                <w:bottom w:val="none" w:sz="0" w:space="0" w:color="auto"/>
                                                <w:right w:val="none" w:sz="0" w:space="0" w:color="auto"/>
                                              </w:divBdr>
                                              <w:divsChild>
                                                <w:div w:id="22443994">
                                                  <w:marLeft w:val="0"/>
                                                  <w:marRight w:val="0"/>
                                                  <w:marTop w:val="0"/>
                                                  <w:marBottom w:val="0"/>
                                                  <w:divBdr>
                                                    <w:top w:val="none" w:sz="0" w:space="0" w:color="auto"/>
                                                    <w:left w:val="none" w:sz="0" w:space="0" w:color="auto"/>
                                                    <w:bottom w:val="none" w:sz="0" w:space="0" w:color="auto"/>
                                                    <w:right w:val="none" w:sz="0" w:space="0" w:color="auto"/>
                                                  </w:divBdr>
                                                  <w:divsChild>
                                                    <w:div w:id="1718123832">
                                                      <w:marLeft w:val="0"/>
                                                      <w:marRight w:val="0"/>
                                                      <w:marTop w:val="0"/>
                                                      <w:marBottom w:val="0"/>
                                                      <w:divBdr>
                                                        <w:top w:val="none" w:sz="0" w:space="0" w:color="auto"/>
                                                        <w:left w:val="none" w:sz="0" w:space="0" w:color="auto"/>
                                                        <w:bottom w:val="none" w:sz="0" w:space="0" w:color="auto"/>
                                                        <w:right w:val="none" w:sz="0" w:space="0" w:color="auto"/>
                                                      </w:divBdr>
                                                      <w:divsChild>
                                                        <w:div w:id="12275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606669">
      <w:bodyDiv w:val="1"/>
      <w:marLeft w:val="0"/>
      <w:marRight w:val="0"/>
      <w:marTop w:val="0"/>
      <w:marBottom w:val="0"/>
      <w:divBdr>
        <w:top w:val="none" w:sz="0" w:space="0" w:color="auto"/>
        <w:left w:val="none" w:sz="0" w:space="0" w:color="auto"/>
        <w:bottom w:val="none" w:sz="0" w:space="0" w:color="auto"/>
        <w:right w:val="none" w:sz="0" w:space="0" w:color="auto"/>
      </w:divBdr>
    </w:div>
    <w:div w:id="347874167">
      <w:bodyDiv w:val="1"/>
      <w:marLeft w:val="0"/>
      <w:marRight w:val="0"/>
      <w:marTop w:val="0"/>
      <w:marBottom w:val="0"/>
      <w:divBdr>
        <w:top w:val="none" w:sz="0" w:space="0" w:color="auto"/>
        <w:left w:val="none" w:sz="0" w:space="0" w:color="auto"/>
        <w:bottom w:val="none" w:sz="0" w:space="0" w:color="auto"/>
        <w:right w:val="none" w:sz="0" w:space="0" w:color="auto"/>
      </w:divBdr>
    </w:div>
    <w:div w:id="597180025">
      <w:bodyDiv w:val="1"/>
      <w:marLeft w:val="0"/>
      <w:marRight w:val="0"/>
      <w:marTop w:val="0"/>
      <w:marBottom w:val="0"/>
      <w:divBdr>
        <w:top w:val="none" w:sz="0" w:space="0" w:color="auto"/>
        <w:left w:val="none" w:sz="0" w:space="0" w:color="auto"/>
        <w:bottom w:val="none" w:sz="0" w:space="0" w:color="auto"/>
        <w:right w:val="none" w:sz="0" w:space="0" w:color="auto"/>
      </w:divBdr>
      <w:divsChild>
        <w:div w:id="1885407877">
          <w:marLeft w:val="0"/>
          <w:marRight w:val="0"/>
          <w:marTop w:val="0"/>
          <w:marBottom w:val="0"/>
          <w:divBdr>
            <w:top w:val="none" w:sz="0" w:space="0" w:color="auto"/>
            <w:left w:val="none" w:sz="0" w:space="0" w:color="auto"/>
            <w:bottom w:val="none" w:sz="0" w:space="0" w:color="auto"/>
            <w:right w:val="none" w:sz="0" w:space="0" w:color="auto"/>
          </w:divBdr>
          <w:divsChild>
            <w:div w:id="1110009616">
              <w:marLeft w:val="0"/>
              <w:marRight w:val="0"/>
              <w:marTop w:val="0"/>
              <w:marBottom w:val="0"/>
              <w:divBdr>
                <w:top w:val="none" w:sz="0" w:space="0" w:color="auto"/>
                <w:left w:val="none" w:sz="0" w:space="0" w:color="auto"/>
                <w:bottom w:val="none" w:sz="0" w:space="0" w:color="auto"/>
                <w:right w:val="none" w:sz="0" w:space="0" w:color="auto"/>
              </w:divBdr>
              <w:divsChild>
                <w:div w:id="48460676">
                  <w:marLeft w:val="0"/>
                  <w:marRight w:val="0"/>
                  <w:marTop w:val="0"/>
                  <w:marBottom w:val="0"/>
                  <w:divBdr>
                    <w:top w:val="none" w:sz="0" w:space="0" w:color="auto"/>
                    <w:left w:val="none" w:sz="0" w:space="0" w:color="auto"/>
                    <w:bottom w:val="none" w:sz="0" w:space="0" w:color="auto"/>
                    <w:right w:val="none" w:sz="0" w:space="0" w:color="auto"/>
                  </w:divBdr>
                  <w:divsChild>
                    <w:div w:id="782919497">
                      <w:marLeft w:val="0"/>
                      <w:marRight w:val="0"/>
                      <w:marTop w:val="0"/>
                      <w:marBottom w:val="0"/>
                      <w:divBdr>
                        <w:top w:val="none" w:sz="0" w:space="0" w:color="auto"/>
                        <w:left w:val="none" w:sz="0" w:space="0" w:color="auto"/>
                        <w:bottom w:val="none" w:sz="0" w:space="0" w:color="auto"/>
                        <w:right w:val="none" w:sz="0" w:space="0" w:color="auto"/>
                      </w:divBdr>
                      <w:divsChild>
                        <w:div w:id="2118407882">
                          <w:marLeft w:val="0"/>
                          <w:marRight w:val="0"/>
                          <w:marTop w:val="0"/>
                          <w:marBottom w:val="0"/>
                          <w:divBdr>
                            <w:top w:val="none" w:sz="0" w:space="0" w:color="auto"/>
                            <w:left w:val="none" w:sz="0" w:space="0" w:color="auto"/>
                            <w:bottom w:val="none" w:sz="0" w:space="0" w:color="auto"/>
                            <w:right w:val="none" w:sz="0" w:space="0" w:color="auto"/>
                          </w:divBdr>
                          <w:divsChild>
                            <w:div w:id="2107849739">
                              <w:marLeft w:val="0"/>
                              <w:marRight w:val="0"/>
                              <w:marTop w:val="0"/>
                              <w:marBottom w:val="0"/>
                              <w:divBdr>
                                <w:top w:val="none" w:sz="0" w:space="0" w:color="auto"/>
                                <w:left w:val="none" w:sz="0" w:space="0" w:color="auto"/>
                                <w:bottom w:val="none" w:sz="0" w:space="0" w:color="auto"/>
                                <w:right w:val="none" w:sz="0" w:space="0" w:color="auto"/>
                              </w:divBdr>
                              <w:divsChild>
                                <w:div w:id="1085372838">
                                  <w:marLeft w:val="0"/>
                                  <w:marRight w:val="0"/>
                                  <w:marTop w:val="0"/>
                                  <w:marBottom w:val="0"/>
                                  <w:divBdr>
                                    <w:top w:val="none" w:sz="0" w:space="0" w:color="auto"/>
                                    <w:left w:val="none" w:sz="0" w:space="0" w:color="auto"/>
                                    <w:bottom w:val="none" w:sz="0" w:space="0" w:color="auto"/>
                                    <w:right w:val="none" w:sz="0" w:space="0" w:color="auto"/>
                                  </w:divBdr>
                                  <w:divsChild>
                                    <w:div w:id="775366547">
                                      <w:marLeft w:val="0"/>
                                      <w:marRight w:val="0"/>
                                      <w:marTop w:val="0"/>
                                      <w:marBottom w:val="0"/>
                                      <w:divBdr>
                                        <w:top w:val="none" w:sz="0" w:space="0" w:color="auto"/>
                                        <w:left w:val="none" w:sz="0" w:space="0" w:color="auto"/>
                                        <w:bottom w:val="none" w:sz="0" w:space="0" w:color="auto"/>
                                        <w:right w:val="none" w:sz="0" w:space="0" w:color="auto"/>
                                      </w:divBdr>
                                      <w:divsChild>
                                        <w:div w:id="1017275657">
                                          <w:marLeft w:val="0"/>
                                          <w:marRight w:val="0"/>
                                          <w:marTop w:val="0"/>
                                          <w:marBottom w:val="0"/>
                                          <w:divBdr>
                                            <w:top w:val="none" w:sz="0" w:space="0" w:color="auto"/>
                                            <w:left w:val="none" w:sz="0" w:space="0" w:color="auto"/>
                                            <w:bottom w:val="none" w:sz="0" w:space="0" w:color="auto"/>
                                            <w:right w:val="none" w:sz="0" w:space="0" w:color="auto"/>
                                          </w:divBdr>
                                          <w:divsChild>
                                            <w:div w:id="2134320339">
                                              <w:marLeft w:val="0"/>
                                              <w:marRight w:val="0"/>
                                              <w:marTop w:val="0"/>
                                              <w:marBottom w:val="0"/>
                                              <w:divBdr>
                                                <w:top w:val="none" w:sz="0" w:space="0" w:color="auto"/>
                                                <w:left w:val="none" w:sz="0" w:space="0" w:color="auto"/>
                                                <w:bottom w:val="none" w:sz="0" w:space="0" w:color="auto"/>
                                                <w:right w:val="none" w:sz="0" w:space="0" w:color="auto"/>
                                              </w:divBdr>
                                              <w:divsChild>
                                                <w:div w:id="2143036268">
                                                  <w:marLeft w:val="0"/>
                                                  <w:marRight w:val="0"/>
                                                  <w:marTop w:val="0"/>
                                                  <w:marBottom w:val="0"/>
                                                  <w:divBdr>
                                                    <w:top w:val="none" w:sz="0" w:space="0" w:color="auto"/>
                                                    <w:left w:val="none" w:sz="0" w:space="0" w:color="auto"/>
                                                    <w:bottom w:val="none" w:sz="0" w:space="0" w:color="auto"/>
                                                    <w:right w:val="none" w:sz="0" w:space="0" w:color="auto"/>
                                                  </w:divBdr>
                                                  <w:divsChild>
                                                    <w:div w:id="1932736706">
                                                      <w:marLeft w:val="0"/>
                                                      <w:marRight w:val="0"/>
                                                      <w:marTop w:val="0"/>
                                                      <w:marBottom w:val="0"/>
                                                      <w:divBdr>
                                                        <w:top w:val="none" w:sz="0" w:space="0" w:color="auto"/>
                                                        <w:left w:val="none" w:sz="0" w:space="0" w:color="auto"/>
                                                        <w:bottom w:val="none" w:sz="0" w:space="0" w:color="auto"/>
                                                        <w:right w:val="none" w:sz="0" w:space="0" w:color="auto"/>
                                                      </w:divBdr>
                                                      <w:divsChild>
                                                        <w:div w:id="15802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Sullivan, David</DisplayName>
        <AccountId>24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Banking Exemption 2020, Notification period</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2020-03-25T13:00:00+00:00</APRADate>
    <j163382b748246d3b6e7caae71dbeeb0 xmlns="814d62cb-2db6-4c25-ab62-b9075facbc11">
      <Terms xmlns="http://schemas.microsoft.com/office/infopath/2007/PartnerControls">
        <TermInfo xmlns="http://schemas.microsoft.com/office/infopath/2007/PartnerControls">
          <TermName>Final</TermName>
          <TermId>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229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(BEAR) determination No. 1 of 2020</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5JENXJJSCC7A-445999044-10997</_dlc_DocId>
    <_dlc_DocIdUrl xmlns="814d62cb-2db6-4c25-ab62-b9075facbc11">
      <Url>https://im/teams/LEGAL/_layouts/15/DocIdRedir.aspx?ID=5JENXJJSCC7A-445999044-10997</Url>
      <Description>5JENXJJSCC7A-445999044-10997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0C7BD05-50E7-49D6-8A98-BA308401296A}">
  <ds:schemaRef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6539C7C-3A2E-41B9-B331-D081D36FF538}">
  <ds:schemaRefs>
    <ds:schemaRef ds:uri="http://schemas.microsoft.com/sharepoint/v3/contenttype/forms"/>
  </ds:schemaRefs>
</ds:datastoreItem>
</file>

<file path=customXml/itemProps3.xml><?xml version="1.0" encoding="utf-8"?>
<ds:datastoreItem xmlns:ds="http://schemas.openxmlformats.org/officeDocument/2006/customXml" ds:itemID="{B841D230-228E-4FA7-9E2F-A7E25BE7B346}">
  <ds:schemaRefs>
    <ds:schemaRef ds:uri="http://schemas.microsoft.com/sharepoint/events"/>
  </ds:schemaRefs>
</ds:datastoreItem>
</file>

<file path=customXml/itemProps4.xml><?xml version="1.0" encoding="utf-8"?>
<ds:datastoreItem xmlns:ds="http://schemas.openxmlformats.org/officeDocument/2006/customXml" ds:itemID="{867A708A-F310-4030-A744-E1620A65CED6}">
  <ds:schemaRefs>
    <ds:schemaRef ds:uri="Microsoft.SharePoint.Taxonomy.ContentTypeSync"/>
  </ds:schemaRefs>
</ds:datastoreItem>
</file>

<file path=customXml/itemProps5.xml><?xml version="1.0" encoding="utf-8"?>
<ds:datastoreItem xmlns:ds="http://schemas.openxmlformats.org/officeDocument/2006/customXml" ds:itemID="{6C3450D4-6D6B-4433-9C3F-AE6AB2B01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EC0E37-67AB-4CBB-A731-D9CD1A16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4333</Characters>
  <Application>Microsoft Office Word</Application>
  <DocSecurity>0</DocSecurity>
  <Lines>98</Lines>
  <Paragraphs>36</Paragraphs>
  <ScaleCrop>false</ScaleCrop>
  <HeadingPairs>
    <vt:vector size="2" baseType="variant">
      <vt:variant>
        <vt:lpstr>Title</vt:lpstr>
      </vt:variant>
      <vt:variant>
        <vt:i4>1</vt:i4>
      </vt:variant>
    </vt:vector>
  </HeadingPairs>
  <TitlesOfParts>
    <vt:vector size="1" baseType="lpstr">
      <vt:lpstr>Explanatory Statement for Banking (BEAR) determination No1 of 2020</vt:lpstr>
    </vt:vector>
  </TitlesOfParts>
  <Company>APRA</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(BEAR) determination No. 1 of 2020</dc:title>
  <dc:creator>Jinasena, Oshini</dc:creator>
  <cp:keywords>[SEC=UNCLASSIFIED]</cp:keywords>
  <cp:lastModifiedBy>Toni Michalis</cp:lastModifiedBy>
  <cp:revision>2</cp:revision>
  <cp:lastPrinted>2018-08-31T01:14:00Z</cp:lastPrinted>
  <dcterms:created xsi:type="dcterms:W3CDTF">2020-03-26T08:26:00Z</dcterms:created>
  <dcterms:modified xsi:type="dcterms:W3CDTF">2020-03-26T08:26:00Z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932A4D8DEB30F49B5D888DC2081C7FEE0B1F315D</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984B3C4A5871FC29F55631E4410DAA9FDAC30E37</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119656F4938742F78557B90B3EDDC5D2</vt:lpwstr>
  </property>
  <property fmtid="{D5CDD505-2E9C-101B-9397-08002B2CF9AE}" pid="16" name="PM_OriginationTimeStamp">
    <vt:lpwstr>2018-08-13T06:34:42Z</vt:lpwstr>
  </property>
  <property fmtid="{D5CDD505-2E9C-101B-9397-08002B2CF9AE}" pid="17" name="PM_Hash_Version">
    <vt:lpwstr>2016.1</vt:lpwstr>
  </property>
  <property fmtid="{D5CDD505-2E9C-101B-9397-08002B2CF9AE}" pid="18" name="PM_Hash_Salt_Prev">
    <vt:lpwstr>5821A79DAA23FF5C6AD3206E2B5F3321</vt:lpwstr>
  </property>
  <property fmtid="{D5CDD505-2E9C-101B-9397-08002B2CF9AE}" pid="19" name="PM_Hash_Salt">
    <vt:lpwstr>5821A79DAA23FF5C6AD3206E2B5F3321</vt:lpwstr>
  </property>
  <property fmtid="{D5CDD505-2E9C-101B-9397-08002B2CF9AE}" pid="20" name="ContentTypeId">
    <vt:lpwstr>0x0101008CA7A4F8331B45C7B0D3158B4994D0CA0200577EC0F5A1FBFC498F9A8436B963F8A6</vt:lpwstr>
  </property>
  <property fmtid="{D5CDD505-2E9C-101B-9397-08002B2CF9AE}" pid="21" name="APRAExternalOrganisation">
    <vt:lpwstr/>
  </property>
  <property fmtid="{D5CDD505-2E9C-101B-9397-08002B2CF9AE}" pid="22" name="APRAIRTR">
    <vt:lpwstr/>
  </property>
  <property fmtid="{D5CDD505-2E9C-101B-9397-08002B2CF9AE}" pid="23" name="APRAPeriod">
    <vt:lpwstr/>
  </property>
  <property fmtid="{D5CDD505-2E9C-101B-9397-08002B2CF9AE}" pid="24"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5" name="IT system type">
    <vt:lpwstr/>
  </property>
  <property fmtid="{D5CDD505-2E9C-101B-9397-08002B2CF9AE}" pid="26" name="APRACategory">
    <vt:lpwstr/>
  </property>
  <property fmtid="{D5CDD505-2E9C-101B-9397-08002B2CF9AE}" pid="27" name="APRAPRSG">
    <vt:lpwstr/>
  </property>
  <property fmtid="{D5CDD505-2E9C-101B-9397-08002B2CF9AE}" pid="28" name="APRAStatus">
    <vt:lpwstr>19;#Final|84d6b2d0-8498-4d62-bf46-bab38babbe9e</vt:lpwstr>
  </property>
  <property fmtid="{D5CDD505-2E9C-101B-9397-08002B2CF9AE}" pid="29" name="APRADocumentType">
    <vt:lpwstr>234;#Explanatory statement|b22f2e2f-3f73-411b-9a7c-34264d26fa25</vt:lpwstr>
  </property>
  <property fmtid="{D5CDD505-2E9C-101B-9397-08002B2CF9AE}" pid="30" name="APRAActivity">
    <vt:lpwstr>10;#Registration|390476ce-d76d-4e8d-905f-28e32d2df127;#109;#Statutory instrument|fe68928c-5a9c-4caf-bc8c-6c18cedcb17f</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229;#2020|29ca90e3-c619-4296-b1bf-6e33e4d24a28</vt:lpwstr>
  </property>
  <property fmtid="{D5CDD505-2E9C-101B-9397-08002B2CF9AE}" pid="34" name="APRAIndustry">
    <vt:lpwstr/>
  </property>
  <property fmtid="{D5CDD505-2E9C-101B-9397-08002B2CF9AE}" pid="35" name="_dlc_DocIdItemGuid">
    <vt:lpwstr>9429bfa4-fa10-4050-8e91-7a4d245bc930</vt:lpwstr>
  </property>
  <property fmtid="{D5CDD505-2E9C-101B-9397-08002B2CF9AE}" pid="36" name="RecordPoint_WorkflowType">
    <vt:lpwstr>ActiveSubmitStub</vt:lpwstr>
  </property>
  <property fmtid="{D5CDD505-2E9C-101B-9397-08002B2CF9AE}" pid="37" name="RecordPoint_ActiveItemWebId">
    <vt:lpwstr>{75a71c27-8d66-4282-ae60-1bfc22a83be1}</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{9429bfa4-fa10-4050-8e91-7a4d245bc930}</vt:lpwstr>
  </property>
  <property fmtid="{D5CDD505-2E9C-101B-9397-08002B2CF9AE}" pid="41" name="RecordPoint_RecordNumberSubmitted">
    <vt:lpwstr>R0001053349</vt:lpwstr>
  </property>
  <property fmtid="{D5CDD505-2E9C-101B-9397-08002B2CF9AE}" pid="42" name="IsLocked">
    <vt:lpwstr>False</vt:lpwstr>
  </property>
  <property fmtid="{D5CDD505-2E9C-101B-9397-08002B2CF9AE}" pid="43" name="RecordPoint_SubmissionCompleted">
    <vt:lpwstr>2020-03-26T19:41:49.7527072+11:00</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ies>
</file>