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E0EEB" w14:textId="77777777" w:rsidR="00273E35" w:rsidRPr="00D951A5" w:rsidRDefault="00273E35">
      <w:pPr>
        <w:pStyle w:val="Title"/>
        <w:spacing w:after="240"/>
        <w:rPr>
          <w:b/>
          <w:bCs/>
        </w:rPr>
      </w:pPr>
      <w:bookmarkStart w:id="0" w:name="_GoBack"/>
      <w:bookmarkEnd w:id="0"/>
      <w:r w:rsidRPr="00D951A5">
        <w:rPr>
          <w:b/>
          <w:bCs/>
        </w:rPr>
        <w:t>EXPLANATORY STATEMENT</w:t>
      </w:r>
    </w:p>
    <w:p w14:paraId="68CF4195" w14:textId="77777777" w:rsidR="00273E35" w:rsidRPr="00D951A5" w:rsidRDefault="00273E35" w:rsidP="00C74A16">
      <w:pPr>
        <w:spacing w:before="120" w:after="120"/>
        <w:jc w:val="center"/>
        <w:rPr>
          <w:sz w:val="24"/>
        </w:rPr>
      </w:pPr>
      <w:r w:rsidRPr="00D951A5">
        <w:rPr>
          <w:sz w:val="24"/>
        </w:rPr>
        <w:t xml:space="preserve">Issued by the authority of the Minister for Finance </w:t>
      </w:r>
    </w:p>
    <w:p w14:paraId="7213E6D7" w14:textId="32AC751B" w:rsidR="00C74A16" w:rsidRPr="00F731A7" w:rsidRDefault="00F731A7" w:rsidP="00F731A7">
      <w:pPr>
        <w:spacing w:before="120" w:after="120"/>
        <w:jc w:val="center"/>
        <w:rPr>
          <w:i/>
          <w:sz w:val="24"/>
          <w:szCs w:val="24"/>
        </w:rPr>
      </w:pPr>
      <w:r w:rsidRPr="00F731A7">
        <w:rPr>
          <w:i/>
          <w:sz w:val="24"/>
          <w:szCs w:val="24"/>
        </w:rPr>
        <w:t>Coronavirus Economic Response Package Omnibus Act 2020</w:t>
      </w:r>
    </w:p>
    <w:p w14:paraId="008BADA9" w14:textId="0F8CB3F5" w:rsidR="00E82AAF" w:rsidRPr="00EC5DB0" w:rsidRDefault="00EC5DB0" w:rsidP="00883E3A">
      <w:pPr>
        <w:spacing w:before="120"/>
        <w:jc w:val="center"/>
        <w:rPr>
          <w:i/>
          <w:sz w:val="24"/>
          <w:szCs w:val="24"/>
        </w:rPr>
      </w:pPr>
      <w:bookmarkStart w:id="1" w:name="Determination_Title"/>
      <w:bookmarkStart w:id="2" w:name="Citation"/>
      <w:r w:rsidRPr="00EC5DB0">
        <w:rPr>
          <w:i/>
          <w:sz w:val="24"/>
          <w:szCs w:val="24"/>
        </w:rPr>
        <w:t>Coronavirus Economic Response Package (Deferral of Sunsetting –</w:t>
      </w:r>
      <w:r w:rsidR="00B76361">
        <w:rPr>
          <w:i/>
          <w:sz w:val="24"/>
          <w:szCs w:val="24"/>
        </w:rPr>
        <w:t xml:space="preserve"> </w:t>
      </w:r>
      <w:r w:rsidRPr="00EC5DB0">
        <w:rPr>
          <w:i/>
          <w:sz w:val="24"/>
          <w:szCs w:val="24"/>
        </w:rPr>
        <w:t>Financial Management and Accountability Determination 2010/02) Determination 2020</w:t>
      </w:r>
    </w:p>
    <w:bookmarkEnd w:id="1"/>
    <w:bookmarkEnd w:id="2"/>
    <w:p w14:paraId="0991E113" w14:textId="5E75C751" w:rsidR="00273E35" w:rsidRPr="006A75AF" w:rsidRDefault="00A02F5A" w:rsidP="006C7716">
      <w:pPr>
        <w:pStyle w:val="Heading3"/>
        <w:spacing w:before="360"/>
        <w:jc w:val="both"/>
        <w:rPr>
          <w:i/>
        </w:rPr>
      </w:pPr>
      <w:r>
        <w:rPr>
          <w:i/>
        </w:rPr>
        <w:t>Legislative Authority</w:t>
      </w:r>
    </w:p>
    <w:p w14:paraId="5CEB4127" w14:textId="173AF39C" w:rsidR="00B446D5" w:rsidRDefault="00A02F5A" w:rsidP="0060562B">
      <w:pPr>
        <w:pStyle w:val="BodyText"/>
        <w:spacing w:after="120"/>
        <w:jc w:val="both"/>
        <w:rPr>
          <w:i/>
        </w:rPr>
      </w:pPr>
      <w:r>
        <w:t xml:space="preserve">This determination is </w:t>
      </w:r>
      <w:r w:rsidR="00B446D5">
        <w:t>made under sub</w:t>
      </w:r>
      <w:r w:rsidR="00EC5DB0">
        <w:t>item</w:t>
      </w:r>
      <w:r w:rsidR="00B446D5" w:rsidRPr="00CE103E">
        <w:t> </w:t>
      </w:r>
      <w:r w:rsidR="00B446D5">
        <w:t xml:space="preserve">1(2) of Schedule 16 to the </w:t>
      </w:r>
      <w:r w:rsidR="00B446D5" w:rsidRPr="001853C9">
        <w:rPr>
          <w:i/>
        </w:rPr>
        <w:t xml:space="preserve">Coronavirus Economic Response Package Omnibus </w:t>
      </w:r>
      <w:r w:rsidR="00B446D5">
        <w:rPr>
          <w:i/>
        </w:rPr>
        <w:t>Act </w:t>
      </w:r>
      <w:r w:rsidR="00B446D5" w:rsidRPr="001853C9">
        <w:rPr>
          <w:i/>
        </w:rPr>
        <w:t>2020</w:t>
      </w:r>
      <w:r>
        <w:rPr>
          <w:i/>
        </w:rPr>
        <w:t xml:space="preserve">. </w:t>
      </w:r>
    </w:p>
    <w:p w14:paraId="78697F89" w14:textId="77777777" w:rsidR="001B2CC5" w:rsidRPr="00351F1B" w:rsidRDefault="001B2CC5" w:rsidP="001B2CC5">
      <w:pPr>
        <w:pStyle w:val="BodyText"/>
        <w:spacing w:after="120"/>
        <w:jc w:val="both"/>
      </w:pPr>
      <w:r w:rsidRPr="00351F1B">
        <w:t xml:space="preserve">Schedule 16 to </w:t>
      </w:r>
      <w:r>
        <w:t xml:space="preserve">the </w:t>
      </w:r>
      <w:r w:rsidRPr="00F731A7">
        <w:rPr>
          <w:i/>
          <w:szCs w:val="24"/>
        </w:rPr>
        <w:t>Coronavirus Economic Response Package Omnibus Act 2020</w:t>
      </w:r>
      <w:r>
        <w:t xml:space="preserve"> </w:t>
      </w:r>
      <w:r w:rsidRPr="00351F1B">
        <w:t xml:space="preserve">grants the relevant Minister the power to determine a new sunset day for </w:t>
      </w:r>
      <w:r>
        <w:t>Acts or legislative instruments</w:t>
      </w:r>
      <w:r w:rsidRPr="00351F1B">
        <w:t xml:space="preserve"> that </w:t>
      </w:r>
      <w:r>
        <w:t>are</w:t>
      </w:r>
      <w:r w:rsidRPr="00351F1B">
        <w:t xml:space="preserve"> due to sunset on or before 15 October 2020</w:t>
      </w:r>
      <w:r>
        <w:t>.</w:t>
      </w:r>
    </w:p>
    <w:p w14:paraId="43B81ABE" w14:textId="77777777" w:rsidR="00A02F5A" w:rsidRPr="006A75AF" w:rsidRDefault="00A02F5A" w:rsidP="00A02F5A">
      <w:pPr>
        <w:pStyle w:val="Heading3"/>
        <w:spacing w:before="360"/>
        <w:jc w:val="both"/>
        <w:rPr>
          <w:i/>
        </w:rPr>
      </w:pPr>
      <w:r w:rsidRPr="006A75AF">
        <w:rPr>
          <w:i/>
        </w:rPr>
        <w:t>Purpose of this determination</w:t>
      </w:r>
    </w:p>
    <w:p w14:paraId="47DAFF62" w14:textId="43DE4E79" w:rsidR="00D16D63" w:rsidRDefault="00A02F5A" w:rsidP="0060562B">
      <w:pPr>
        <w:pStyle w:val="BodyText"/>
        <w:spacing w:after="120"/>
        <w:jc w:val="both"/>
      </w:pPr>
      <w:r>
        <w:t xml:space="preserve">This </w:t>
      </w:r>
      <w:r w:rsidR="007B6E67">
        <w:t>d</w:t>
      </w:r>
      <w:r>
        <w:t xml:space="preserve">etermination defers </w:t>
      </w:r>
      <w:r w:rsidR="00A419C0">
        <w:t xml:space="preserve">the original sunset day of </w:t>
      </w:r>
      <w:r w:rsidR="007B6E67">
        <w:t xml:space="preserve">the </w:t>
      </w:r>
      <w:r w:rsidR="007B6E67" w:rsidRPr="00470FCE">
        <w:rPr>
          <w:i/>
        </w:rPr>
        <w:t>Financial Management and Accountability Determination 2010/02 – Services for Other Entities and Trust Moneys – Department of the Environment, Water, Heritage and the Arts Special Account Establishment 2010</w:t>
      </w:r>
      <w:r w:rsidR="007B6E67">
        <w:rPr>
          <w:i/>
        </w:rPr>
        <w:t xml:space="preserve"> </w:t>
      </w:r>
      <w:r w:rsidR="007B6E67" w:rsidRPr="007B6E67">
        <w:t>(</w:t>
      </w:r>
      <w:r w:rsidR="007B6E67" w:rsidRPr="007B6E67">
        <w:rPr>
          <w:b/>
        </w:rPr>
        <w:t>current SOETM instrument</w:t>
      </w:r>
      <w:r w:rsidR="007B6E67">
        <w:t>)</w:t>
      </w:r>
      <w:r w:rsidR="007B6E67" w:rsidRPr="00470FCE">
        <w:t>.</w:t>
      </w:r>
      <w:r w:rsidR="007B6E67">
        <w:t xml:space="preserve"> </w:t>
      </w:r>
      <w:r w:rsidR="00AB445A">
        <w:t>T</w:t>
      </w:r>
      <w:r w:rsidR="00351F1B">
        <w:t xml:space="preserve">he current SOETM instrument was </w:t>
      </w:r>
      <w:r w:rsidR="00AB445A">
        <w:t xml:space="preserve">originally scheduled to sunset on </w:t>
      </w:r>
      <w:r w:rsidR="00351F1B">
        <w:t>1</w:t>
      </w:r>
      <w:r w:rsidR="00AB445A">
        <w:t> </w:t>
      </w:r>
      <w:r w:rsidR="00351F1B">
        <w:t>April</w:t>
      </w:r>
      <w:r w:rsidR="00AB445A">
        <w:t> </w:t>
      </w:r>
      <w:r w:rsidR="00351F1B">
        <w:t xml:space="preserve">2020. </w:t>
      </w:r>
      <w:r w:rsidR="004B21B0">
        <w:t>‘SOETM’ is an abbreviation of the term ‘Services for Other Entities and Trust Moneys’.</w:t>
      </w:r>
    </w:p>
    <w:p w14:paraId="6AE8A7BB" w14:textId="0311929E" w:rsidR="0082606A" w:rsidRDefault="00D16D63" w:rsidP="0060562B">
      <w:pPr>
        <w:pStyle w:val="BodyText"/>
        <w:spacing w:after="120"/>
        <w:jc w:val="both"/>
      </w:pPr>
      <w:r>
        <w:t xml:space="preserve">On 18 February 2020 </w:t>
      </w:r>
      <w:r w:rsidR="001117B3">
        <w:t>t</w:t>
      </w:r>
      <w:r>
        <w:t xml:space="preserve">he Minister for Finance </w:t>
      </w:r>
      <w:r w:rsidR="001117B3">
        <w:t>made</w:t>
      </w:r>
      <w:r w:rsidR="00B76361">
        <w:t xml:space="preserve"> the</w:t>
      </w:r>
      <w:r w:rsidR="001117B3">
        <w:t xml:space="preserve"> </w:t>
      </w:r>
      <w:r w:rsidR="00B76361" w:rsidRPr="00146C74">
        <w:rPr>
          <w:i/>
        </w:rPr>
        <w:t xml:space="preserve">PGPA Act Determination (Environment SOETM </w:t>
      </w:r>
      <w:r w:rsidR="00B76361" w:rsidRPr="00976D79">
        <w:rPr>
          <w:i/>
        </w:rPr>
        <w:t>Special Account 2020)</w:t>
      </w:r>
      <w:r w:rsidR="00B76361">
        <w:rPr>
          <w:i/>
        </w:rPr>
        <w:t xml:space="preserve"> </w:t>
      </w:r>
      <w:r w:rsidR="00B76361" w:rsidRPr="006A75AF">
        <w:t>(</w:t>
      </w:r>
      <w:r w:rsidR="00B76361" w:rsidRPr="001117B3">
        <w:rPr>
          <w:b/>
        </w:rPr>
        <w:t>new SOETM instrument</w:t>
      </w:r>
      <w:r w:rsidR="00B76361" w:rsidRPr="006A75AF">
        <w:t>)</w:t>
      </w:r>
      <w:r w:rsidR="00B76361">
        <w:t>. The new SOETM instrument is</w:t>
      </w:r>
      <w:r w:rsidR="00B76361" w:rsidRPr="006A75AF">
        <w:t xml:space="preserve"> </w:t>
      </w:r>
      <w:r w:rsidR="001117B3">
        <w:t xml:space="preserve">a </w:t>
      </w:r>
      <w:r w:rsidRPr="006A75AF">
        <w:t>determination under subsection</w:t>
      </w:r>
      <w:r>
        <w:t>s</w:t>
      </w:r>
      <w:r w:rsidRPr="006A75AF">
        <w:t> 78(1)</w:t>
      </w:r>
      <w:r w:rsidR="004B21B0">
        <w:t xml:space="preserve"> and </w:t>
      </w:r>
      <w:r>
        <w:t>78(3)</w:t>
      </w:r>
      <w:r w:rsidRPr="006A75AF">
        <w:t xml:space="preserve"> of the </w:t>
      </w:r>
      <w:r w:rsidRPr="006A75AF">
        <w:rPr>
          <w:i/>
        </w:rPr>
        <w:t>Public Governance, Performance and Accountability Act 2013</w:t>
      </w:r>
      <w:r w:rsidRPr="006A75AF">
        <w:t xml:space="preserve"> (</w:t>
      </w:r>
      <w:r w:rsidRPr="00485D6D">
        <w:rPr>
          <w:b/>
        </w:rPr>
        <w:t>PGPA Act</w:t>
      </w:r>
      <w:r w:rsidRPr="006A75AF">
        <w:t xml:space="preserve">) to establish </w:t>
      </w:r>
      <w:r w:rsidRPr="006A75AF">
        <w:rPr>
          <w:szCs w:val="24"/>
        </w:rPr>
        <w:t xml:space="preserve">the </w:t>
      </w:r>
      <w:r w:rsidRPr="006A75AF">
        <w:rPr>
          <w:i/>
          <w:szCs w:val="24"/>
        </w:rPr>
        <w:t>Environment SOETM Special Account 2020</w:t>
      </w:r>
      <w:r w:rsidRPr="006A75AF">
        <w:t xml:space="preserve"> for the Department of Agriculture, Water and the Environment</w:t>
      </w:r>
      <w:r w:rsidR="001117B3">
        <w:t xml:space="preserve">. </w:t>
      </w:r>
    </w:p>
    <w:p w14:paraId="4A2B4B25" w14:textId="4882870C" w:rsidR="00AB445A" w:rsidRDefault="0082606A" w:rsidP="0060562B">
      <w:pPr>
        <w:pStyle w:val="BodyText"/>
        <w:spacing w:after="120"/>
        <w:jc w:val="both"/>
      </w:pPr>
      <w:r>
        <w:t xml:space="preserve">The new SOETM instrument was intended to replace the current SOETM instrument prior to its scheduled sunset day. The new SOETM instrument was </w:t>
      </w:r>
      <w:r w:rsidR="00541D42">
        <w:t>tabled in Parliament on 24 February 2020</w:t>
      </w:r>
      <w:r w:rsidR="005450CF">
        <w:t xml:space="preserve"> and had one day left to elapse on </w:t>
      </w:r>
      <w:r w:rsidR="00592394">
        <w:t>the</w:t>
      </w:r>
      <w:r w:rsidR="005450CF">
        <w:t xml:space="preserve"> disallowance period under paragraph 79(5)(a) of the </w:t>
      </w:r>
      <w:r w:rsidR="005450CF" w:rsidRPr="005A34CA">
        <w:t>PGPA Act</w:t>
      </w:r>
      <w:r>
        <w:t>. However</w:t>
      </w:r>
      <w:r w:rsidR="005450CF">
        <w:t>,</w:t>
      </w:r>
      <w:r>
        <w:t xml:space="preserve"> </w:t>
      </w:r>
      <w:r w:rsidR="00F34365">
        <w:t xml:space="preserve">as </w:t>
      </w:r>
      <w:r w:rsidR="000F716D">
        <w:t xml:space="preserve">the </w:t>
      </w:r>
      <w:r w:rsidR="005450CF">
        <w:t>Parliament</w:t>
      </w:r>
      <w:r w:rsidR="005F2342">
        <w:t xml:space="preserve"> is not scheduled to sit again until the Winter sittings in August 2020</w:t>
      </w:r>
      <w:r w:rsidR="005450CF" w:rsidRPr="005450CF">
        <w:t xml:space="preserve">, the new SOETM instrument will not commence before the current SOETM instrument sunsets on </w:t>
      </w:r>
      <w:r w:rsidR="005450CF">
        <w:t>1 April 2020.</w:t>
      </w:r>
    </w:p>
    <w:p w14:paraId="387B7DC7" w14:textId="722193B4" w:rsidR="00AB445A" w:rsidRDefault="00351F1B" w:rsidP="0060562B">
      <w:pPr>
        <w:pStyle w:val="BodyText"/>
        <w:spacing w:after="120"/>
        <w:jc w:val="both"/>
      </w:pPr>
      <w:r>
        <w:t>Th</w:t>
      </w:r>
      <w:r w:rsidR="00AB445A">
        <w:t>is determination ensures the current SOETM instrument will continue to operate until the earlier of</w:t>
      </w:r>
      <w:r w:rsidR="00592394">
        <w:t xml:space="preserve"> the following days</w:t>
      </w:r>
      <w:r w:rsidR="00AB445A">
        <w:t>:</w:t>
      </w:r>
    </w:p>
    <w:p w14:paraId="692A8098" w14:textId="77777777" w:rsidR="00592394" w:rsidRDefault="00AB445A" w:rsidP="00AB445A">
      <w:pPr>
        <w:pStyle w:val="BodyText"/>
        <w:numPr>
          <w:ilvl w:val="0"/>
          <w:numId w:val="38"/>
        </w:numPr>
        <w:spacing w:after="120"/>
        <w:jc w:val="both"/>
      </w:pPr>
      <w:r>
        <w:t>1 October 2020</w:t>
      </w:r>
      <w:r w:rsidR="00592394">
        <w:t xml:space="preserve">, or </w:t>
      </w:r>
    </w:p>
    <w:p w14:paraId="5FC22643" w14:textId="32C816E1" w:rsidR="007B6E67" w:rsidRDefault="00592394" w:rsidP="00AB445A">
      <w:pPr>
        <w:pStyle w:val="BodyText"/>
        <w:numPr>
          <w:ilvl w:val="0"/>
          <w:numId w:val="38"/>
        </w:numPr>
        <w:spacing w:after="120"/>
        <w:jc w:val="both"/>
      </w:pPr>
      <w:r>
        <w:t>the day the new SOETM instrument commences in accordance with paragraph 79(5)(a) of the PGPA Act.</w:t>
      </w:r>
      <w:r w:rsidR="00AB445A">
        <w:t xml:space="preserve"> </w:t>
      </w:r>
    </w:p>
    <w:p w14:paraId="1400A907" w14:textId="0EEEB535" w:rsidR="00541D42" w:rsidRDefault="00541D42" w:rsidP="00541D42">
      <w:pPr>
        <w:pStyle w:val="NumberList"/>
        <w:numPr>
          <w:ilvl w:val="0"/>
          <w:numId w:val="0"/>
        </w:numPr>
        <w:tabs>
          <w:tab w:val="clear" w:pos="1985"/>
          <w:tab w:val="left" w:pos="426"/>
        </w:tabs>
        <w:spacing w:before="0" w:after="120"/>
      </w:pPr>
      <w:r>
        <w:t>The extension of</w:t>
      </w:r>
      <w:r w:rsidR="00592394">
        <w:t xml:space="preserve"> the </w:t>
      </w:r>
      <w:r>
        <w:t xml:space="preserve">operation of the current SOETM instrument will enable the </w:t>
      </w:r>
      <w:r w:rsidR="00592394" w:rsidRPr="006A75AF">
        <w:t>Department of Agriculture, Water and the Environment</w:t>
      </w:r>
      <w:r w:rsidR="00592394">
        <w:t xml:space="preserve"> </w:t>
      </w:r>
      <w:r>
        <w:t xml:space="preserve">to continue to hold and expend amounts on behalf of persons other than the Commonwealth, as well as carry out joint activities with other entities and jurisdictions, such as continued work with the Victorian Environmental Protection Agency. </w:t>
      </w:r>
    </w:p>
    <w:p w14:paraId="76AA6B32" w14:textId="7D4760A7" w:rsidR="00883E3A" w:rsidRDefault="00883E3A" w:rsidP="00541D42">
      <w:pPr>
        <w:pStyle w:val="NumberList"/>
        <w:numPr>
          <w:ilvl w:val="0"/>
          <w:numId w:val="0"/>
        </w:numPr>
        <w:tabs>
          <w:tab w:val="clear" w:pos="1985"/>
          <w:tab w:val="left" w:pos="426"/>
        </w:tabs>
        <w:spacing w:before="0" w:after="120"/>
      </w:pPr>
    </w:p>
    <w:p w14:paraId="3653D0EB" w14:textId="77777777" w:rsidR="00883E3A" w:rsidRDefault="00883E3A" w:rsidP="00541D42">
      <w:pPr>
        <w:pStyle w:val="NumberList"/>
        <w:numPr>
          <w:ilvl w:val="0"/>
          <w:numId w:val="0"/>
        </w:numPr>
        <w:tabs>
          <w:tab w:val="clear" w:pos="1985"/>
          <w:tab w:val="left" w:pos="426"/>
        </w:tabs>
        <w:spacing w:before="0" w:after="120"/>
      </w:pPr>
    </w:p>
    <w:p w14:paraId="10BD372B" w14:textId="27FB147F" w:rsidR="00592394" w:rsidRPr="00592394" w:rsidRDefault="00592394" w:rsidP="00592394">
      <w:pPr>
        <w:pStyle w:val="Heading3"/>
        <w:spacing w:before="360"/>
        <w:jc w:val="both"/>
        <w:rPr>
          <w:i/>
          <w:iCs/>
        </w:rPr>
      </w:pPr>
      <w:r w:rsidRPr="00592394">
        <w:rPr>
          <w:i/>
          <w:iCs/>
        </w:rPr>
        <w:lastRenderedPageBreak/>
        <w:t xml:space="preserve">Relevant Minister </w:t>
      </w:r>
    </w:p>
    <w:p w14:paraId="473DCD3B" w14:textId="64A54BE8" w:rsidR="00EB3446" w:rsidRDefault="00EB3446" w:rsidP="00EB3446">
      <w:pPr>
        <w:pStyle w:val="BodyText"/>
        <w:spacing w:after="120"/>
        <w:jc w:val="both"/>
        <w:rPr>
          <w:i/>
        </w:rPr>
      </w:pPr>
      <w:r>
        <w:t>The Finance Minister is the “relevant Minister” for the purposes of subitem 1(5) in Sched</w:t>
      </w:r>
      <w:r w:rsidR="001767C7">
        <w:t>ule </w:t>
      </w:r>
      <w:r>
        <w:t xml:space="preserve">16 to the </w:t>
      </w:r>
      <w:r w:rsidRPr="001853C9">
        <w:rPr>
          <w:i/>
        </w:rPr>
        <w:t xml:space="preserve">Coronavirus Economic Response Package Omnibus </w:t>
      </w:r>
      <w:r>
        <w:rPr>
          <w:i/>
        </w:rPr>
        <w:t>Act </w:t>
      </w:r>
      <w:r w:rsidRPr="001853C9">
        <w:rPr>
          <w:i/>
        </w:rPr>
        <w:t>2020</w:t>
      </w:r>
      <w:r>
        <w:rPr>
          <w:i/>
        </w:rPr>
        <w:t xml:space="preserve">. </w:t>
      </w:r>
    </w:p>
    <w:p w14:paraId="1F07AE90" w14:textId="77777777" w:rsidR="00786FFA" w:rsidRDefault="00F50562" w:rsidP="001767C7">
      <w:pPr>
        <w:pStyle w:val="BodyText"/>
        <w:spacing w:after="120"/>
        <w:jc w:val="both"/>
        <w:rPr>
          <w:szCs w:val="24"/>
        </w:rPr>
      </w:pPr>
      <w:r w:rsidRPr="00F50562">
        <w:t xml:space="preserve">The current SOETM </w:t>
      </w:r>
      <w:r>
        <w:t xml:space="preserve">instrument was made </w:t>
      </w:r>
      <w:r w:rsidR="001767C7">
        <w:t xml:space="preserve">by the Finance Minister under </w:t>
      </w:r>
      <w:r w:rsidR="00EB3446">
        <w:t>subsection</w:t>
      </w:r>
      <w:r w:rsidR="001767C7">
        <w:t> </w:t>
      </w:r>
      <w:r w:rsidR="00EB3446">
        <w:t xml:space="preserve">20(1) </w:t>
      </w:r>
      <w:r w:rsidR="001767C7">
        <w:t xml:space="preserve">of </w:t>
      </w:r>
      <w:r>
        <w:t xml:space="preserve">the </w:t>
      </w:r>
      <w:r w:rsidRPr="00F50562">
        <w:rPr>
          <w:rFonts w:ascii="&amp;quot" w:hAnsi="&amp;quot"/>
          <w:i/>
          <w:iCs/>
          <w:color w:val="000000"/>
          <w:szCs w:val="24"/>
        </w:rPr>
        <w:t>Financial Management and Accountability Act 1997</w:t>
      </w:r>
      <w:r w:rsidR="00EB3446" w:rsidRPr="001767C7">
        <w:rPr>
          <w:rFonts w:ascii="&amp;quot" w:hAnsi="&amp;quot"/>
          <w:iCs/>
          <w:color w:val="000000"/>
          <w:szCs w:val="24"/>
        </w:rPr>
        <w:t xml:space="preserve">. </w:t>
      </w:r>
      <w:r w:rsidRPr="001767C7">
        <w:rPr>
          <w:rFonts w:ascii="&amp;quot" w:hAnsi="&amp;quot"/>
          <w:iCs/>
          <w:color w:val="000000"/>
          <w:szCs w:val="24"/>
        </w:rPr>
        <w:t xml:space="preserve">Under subitem 36(1) in Part 2 of Schedule 2 to the </w:t>
      </w:r>
      <w:r w:rsidR="00EB3446" w:rsidRPr="001767C7">
        <w:rPr>
          <w:i/>
          <w:szCs w:val="24"/>
        </w:rPr>
        <w:t>Public Governance, Performance and Accountability (Consequential and Transitional Provisions) Act 2014</w:t>
      </w:r>
      <w:r w:rsidR="00EB3446" w:rsidRPr="001767C7">
        <w:rPr>
          <w:szCs w:val="24"/>
        </w:rPr>
        <w:t>, the</w:t>
      </w:r>
      <w:r w:rsidR="00EB3446" w:rsidRPr="001767C7">
        <w:rPr>
          <w:i/>
          <w:szCs w:val="24"/>
        </w:rPr>
        <w:t xml:space="preserve"> </w:t>
      </w:r>
      <w:r w:rsidR="00EB3446" w:rsidRPr="001767C7">
        <w:rPr>
          <w:szCs w:val="24"/>
        </w:rPr>
        <w:t xml:space="preserve">current SOETM instrument </w:t>
      </w:r>
      <w:r w:rsidR="001767C7">
        <w:rPr>
          <w:szCs w:val="24"/>
        </w:rPr>
        <w:t xml:space="preserve">is taken </w:t>
      </w:r>
      <w:r w:rsidR="001767C7" w:rsidRPr="001767C7">
        <w:rPr>
          <w:szCs w:val="24"/>
        </w:rPr>
        <w:t xml:space="preserve">to </w:t>
      </w:r>
      <w:r w:rsidR="001767C7">
        <w:rPr>
          <w:szCs w:val="24"/>
        </w:rPr>
        <w:t>have been made under subsection </w:t>
      </w:r>
      <w:r w:rsidR="001767C7" w:rsidRPr="001767C7">
        <w:rPr>
          <w:szCs w:val="24"/>
        </w:rPr>
        <w:t>78(1) of the PGPA Act.</w:t>
      </w:r>
      <w:r w:rsidR="001767C7">
        <w:rPr>
          <w:szCs w:val="24"/>
        </w:rPr>
        <w:t xml:space="preserve"> </w:t>
      </w:r>
    </w:p>
    <w:p w14:paraId="41ABFF5B" w14:textId="124C6046" w:rsidR="001767C7" w:rsidRDefault="001767C7" w:rsidP="001767C7">
      <w:pPr>
        <w:pStyle w:val="BodyText"/>
        <w:spacing w:after="120"/>
        <w:jc w:val="both"/>
        <w:rPr>
          <w:szCs w:val="24"/>
        </w:rPr>
      </w:pPr>
      <w:r>
        <w:rPr>
          <w:szCs w:val="24"/>
        </w:rPr>
        <w:t xml:space="preserve">The Finance Minister administers the PGPA Act under the current Administrative Arrangements Order (Administrative Arrangements Order – </w:t>
      </w:r>
      <w:r w:rsidR="00B273AD">
        <w:rPr>
          <w:szCs w:val="24"/>
        </w:rPr>
        <w:t>5</w:t>
      </w:r>
      <w:r>
        <w:rPr>
          <w:szCs w:val="24"/>
        </w:rPr>
        <w:t>/</w:t>
      </w:r>
      <w:r w:rsidR="00B273AD">
        <w:rPr>
          <w:szCs w:val="24"/>
        </w:rPr>
        <w:t>1</w:t>
      </w:r>
      <w:r>
        <w:rPr>
          <w:szCs w:val="24"/>
        </w:rPr>
        <w:t>2/20</w:t>
      </w:r>
      <w:r w:rsidR="00B273AD">
        <w:rPr>
          <w:szCs w:val="24"/>
        </w:rPr>
        <w:t>19</w:t>
      </w:r>
      <w:r>
        <w:rPr>
          <w:szCs w:val="24"/>
        </w:rPr>
        <w:t>).</w:t>
      </w:r>
    </w:p>
    <w:p w14:paraId="575527BC" w14:textId="26DEF3B8" w:rsidR="007B6E67" w:rsidRPr="00592394" w:rsidRDefault="00541D42" w:rsidP="00592394">
      <w:pPr>
        <w:pStyle w:val="Heading3"/>
        <w:spacing w:before="360"/>
        <w:jc w:val="both"/>
        <w:rPr>
          <w:i/>
          <w:iCs/>
        </w:rPr>
      </w:pPr>
      <w:r w:rsidRPr="00592394">
        <w:rPr>
          <w:i/>
          <w:iCs/>
        </w:rPr>
        <w:t>Special Account Determinations – Disallowance period under PGPA Act</w:t>
      </w:r>
    </w:p>
    <w:p w14:paraId="2978156A" w14:textId="1CAFE933" w:rsidR="001767C7" w:rsidRDefault="001767C7" w:rsidP="00541D42">
      <w:pPr>
        <w:spacing w:before="120" w:after="120"/>
        <w:jc w:val="both"/>
        <w:rPr>
          <w:sz w:val="24"/>
          <w:szCs w:val="24"/>
        </w:rPr>
      </w:pPr>
      <w:r>
        <w:rPr>
          <w:sz w:val="24"/>
          <w:szCs w:val="24"/>
        </w:rPr>
        <w:t xml:space="preserve">The current SOETM instrument and the new SOETM instrument are </w:t>
      </w:r>
      <w:r w:rsidR="004B21B0">
        <w:rPr>
          <w:sz w:val="24"/>
          <w:szCs w:val="24"/>
        </w:rPr>
        <w:t xml:space="preserve">both </w:t>
      </w:r>
      <w:r>
        <w:rPr>
          <w:sz w:val="24"/>
          <w:szCs w:val="24"/>
        </w:rPr>
        <w:t xml:space="preserve">special account determinations for the purposes of </w:t>
      </w:r>
      <w:r w:rsidR="004B21B0">
        <w:rPr>
          <w:sz w:val="24"/>
          <w:szCs w:val="24"/>
        </w:rPr>
        <w:t xml:space="preserve">section 79 of </w:t>
      </w:r>
      <w:r>
        <w:rPr>
          <w:sz w:val="24"/>
          <w:szCs w:val="24"/>
        </w:rPr>
        <w:t>the PGPA Act</w:t>
      </w:r>
      <w:r w:rsidR="004B21B0">
        <w:rPr>
          <w:sz w:val="24"/>
          <w:szCs w:val="24"/>
        </w:rPr>
        <w:t xml:space="preserve">, which deals with </w:t>
      </w:r>
      <w:bookmarkStart w:id="3" w:name="_Toc491697471"/>
      <w:r w:rsidR="004B21B0">
        <w:rPr>
          <w:sz w:val="24"/>
          <w:szCs w:val="24"/>
        </w:rPr>
        <w:t>d</w:t>
      </w:r>
      <w:r w:rsidR="004B21B0" w:rsidRPr="004B21B0">
        <w:rPr>
          <w:sz w:val="24"/>
          <w:szCs w:val="24"/>
        </w:rPr>
        <w:t>isallowance of determinations relating to special accounts</w:t>
      </w:r>
      <w:bookmarkEnd w:id="3"/>
      <w:r w:rsidR="004B21B0">
        <w:rPr>
          <w:sz w:val="24"/>
          <w:szCs w:val="24"/>
        </w:rPr>
        <w:t>.</w:t>
      </w:r>
    </w:p>
    <w:p w14:paraId="5D922D6C" w14:textId="23E5298F" w:rsidR="00541D42" w:rsidRDefault="00541D42" w:rsidP="00541D42">
      <w:pPr>
        <w:spacing w:before="120" w:after="120"/>
        <w:jc w:val="both"/>
        <w:rPr>
          <w:sz w:val="24"/>
          <w:szCs w:val="24"/>
        </w:rPr>
      </w:pPr>
      <w:r w:rsidRPr="001D750E">
        <w:rPr>
          <w:sz w:val="24"/>
          <w:szCs w:val="24"/>
        </w:rPr>
        <w:t>In accordance with subsection</w:t>
      </w:r>
      <w:r>
        <w:rPr>
          <w:sz w:val="24"/>
          <w:szCs w:val="24"/>
        </w:rPr>
        <w:t> </w:t>
      </w:r>
      <w:r w:rsidRPr="001D750E">
        <w:rPr>
          <w:sz w:val="24"/>
          <w:szCs w:val="24"/>
        </w:rPr>
        <w:t xml:space="preserve">79(3) of the </w:t>
      </w:r>
      <w:r w:rsidRPr="001767C7">
        <w:rPr>
          <w:sz w:val="24"/>
          <w:szCs w:val="24"/>
        </w:rPr>
        <w:t>PGPA Act</w:t>
      </w:r>
      <w:r w:rsidRPr="001D750E">
        <w:rPr>
          <w:sz w:val="24"/>
          <w:szCs w:val="24"/>
        </w:rPr>
        <w:t>, the Finance Minister must table a copy of such determinations in each House of the Parliament. Subsection</w:t>
      </w:r>
      <w:r>
        <w:rPr>
          <w:sz w:val="24"/>
          <w:szCs w:val="24"/>
        </w:rPr>
        <w:t> </w:t>
      </w:r>
      <w:r w:rsidRPr="001D750E">
        <w:rPr>
          <w:sz w:val="24"/>
          <w:szCs w:val="24"/>
        </w:rPr>
        <w:t xml:space="preserve">79(4) of the PGPA Act provides that special account determinations are subject to disallowance by either House of the Parliament. </w:t>
      </w:r>
    </w:p>
    <w:p w14:paraId="4BE57C4C" w14:textId="77777777" w:rsidR="00541D42" w:rsidRPr="001D750E" w:rsidRDefault="00541D42" w:rsidP="00541D42">
      <w:pPr>
        <w:spacing w:before="120" w:after="120"/>
        <w:jc w:val="both"/>
        <w:rPr>
          <w:sz w:val="24"/>
          <w:szCs w:val="24"/>
        </w:rPr>
      </w:pPr>
      <w:r w:rsidRPr="001D750E">
        <w:rPr>
          <w:sz w:val="24"/>
          <w:szCs w:val="24"/>
        </w:rPr>
        <w:t>The disallowance period starts on the day a special account determination is tabled in the House and ends on the fifth sitting day</w:t>
      </w:r>
      <w:r>
        <w:rPr>
          <w:sz w:val="24"/>
          <w:szCs w:val="24"/>
        </w:rPr>
        <w:t xml:space="preserve"> of the House</w:t>
      </w:r>
      <w:r w:rsidRPr="001D750E">
        <w:rPr>
          <w:sz w:val="24"/>
          <w:szCs w:val="24"/>
        </w:rPr>
        <w:t xml:space="preserve"> after the determination was tabled in that House. </w:t>
      </w:r>
    </w:p>
    <w:p w14:paraId="646C8673" w14:textId="77777777" w:rsidR="00B273AD" w:rsidRPr="001D750E" w:rsidRDefault="00B273AD" w:rsidP="00B273AD">
      <w:pPr>
        <w:spacing w:before="120" w:after="120"/>
        <w:jc w:val="both"/>
        <w:rPr>
          <w:sz w:val="24"/>
          <w:szCs w:val="24"/>
        </w:rPr>
      </w:pPr>
      <w:r w:rsidRPr="001D750E">
        <w:rPr>
          <w:sz w:val="24"/>
          <w:szCs w:val="24"/>
        </w:rPr>
        <w:t>If neither House passes a resolution to disallow a special account determination, under subsection</w:t>
      </w:r>
      <w:r>
        <w:rPr>
          <w:sz w:val="24"/>
          <w:szCs w:val="24"/>
        </w:rPr>
        <w:t> </w:t>
      </w:r>
      <w:r w:rsidRPr="001D750E">
        <w:rPr>
          <w:sz w:val="24"/>
          <w:szCs w:val="24"/>
        </w:rPr>
        <w:t xml:space="preserve">79(5) </w:t>
      </w:r>
      <w:r>
        <w:rPr>
          <w:sz w:val="24"/>
          <w:szCs w:val="24"/>
        </w:rPr>
        <w:t>of the PGPA Act,</w:t>
      </w:r>
      <w:r w:rsidRPr="001D750E">
        <w:rPr>
          <w:sz w:val="24"/>
          <w:szCs w:val="24"/>
        </w:rPr>
        <w:t xml:space="preserve"> </w:t>
      </w:r>
      <w:r>
        <w:rPr>
          <w:sz w:val="24"/>
          <w:szCs w:val="24"/>
        </w:rPr>
        <w:t>the determination</w:t>
      </w:r>
      <w:r w:rsidRPr="001D750E">
        <w:rPr>
          <w:sz w:val="24"/>
          <w:szCs w:val="24"/>
        </w:rPr>
        <w:t xml:space="preserve"> </w:t>
      </w:r>
      <w:r>
        <w:rPr>
          <w:sz w:val="24"/>
          <w:szCs w:val="24"/>
        </w:rPr>
        <w:t>commences</w:t>
      </w:r>
      <w:r w:rsidRPr="001D750E">
        <w:rPr>
          <w:sz w:val="24"/>
          <w:szCs w:val="24"/>
        </w:rPr>
        <w:t xml:space="preserve"> on the day immediately after the last day on which it could have been disallowed, or on a later day if specified in the determination.</w:t>
      </w:r>
      <w:r>
        <w:rPr>
          <w:sz w:val="24"/>
          <w:szCs w:val="24"/>
        </w:rPr>
        <w:t xml:space="preserve"> The new SOETM instrument does not specify a later day, and provides that it will commence on the day immediately after the last day on which it could have been disallowed, pursuant to paragraph 79(5)(a) of the PGPA Act.</w:t>
      </w:r>
    </w:p>
    <w:p w14:paraId="1A86D192" w14:textId="134C4867" w:rsidR="004B21B0" w:rsidRPr="00786FFA" w:rsidRDefault="004B21B0" w:rsidP="00786FFA">
      <w:pPr>
        <w:pStyle w:val="Heading3"/>
        <w:spacing w:before="360"/>
        <w:jc w:val="both"/>
        <w:rPr>
          <w:i/>
          <w:iCs/>
          <w:szCs w:val="24"/>
        </w:rPr>
      </w:pPr>
      <w:r w:rsidRPr="00786FFA">
        <w:rPr>
          <w:i/>
          <w:iCs/>
          <w:szCs w:val="24"/>
        </w:rPr>
        <w:t xml:space="preserve">Regulatory impact analysis </w:t>
      </w:r>
    </w:p>
    <w:p w14:paraId="163D7BB3" w14:textId="3FE32E62" w:rsidR="003D6FDC" w:rsidRDefault="003D6FDC" w:rsidP="003D6FDC">
      <w:pPr>
        <w:spacing w:after="200"/>
        <w:rPr>
          <w:sz w:val="24"/>
          <w:szCs w:val="24"/>
        </w:rPr>
      </w:pPr>
      <w:r>
        <w:rPr>
          <w:rFonts w:eastAsia="Calibri"/>
          <w:sz w:val="24"/>
          <w:szCs w:val="24"/>
        </w:rPr>
        <w:t>The determination contains measures that are minor or machinery in nature.</w:t>
      </w:r>
      <w:r>
        <w:rPr>
          <w:sz w:val="24"/>
          <w:szCs w:val="24"/>
        </w:rPr>
        <w:t xml:space="preserve"> The Office of Best Practice Regulation (</w:t>
      </w:r>
      <w:r w:rsidRPr="00400B99">
        <w:rPr>
          <w:b/>
          <w:sz w:val="24"/>
          <w:szCs w:val="24"/>
        </w:rPr>
        <w:t>OBPR</w:t>
      </w:r>
      <w:r>
        <w:rPr>
          <w:sz w:val="24"/>
          <w:szCs w:val="24"/>
        </w:rPr>
        <w:t xml:space="preserve">) has advised that the deferral of sunsetting instruments under Schedule 16 to the </w:t>
      </w:r>
      <w:r>
        <w:rPr>
          <w:i/>
          <w:iCs/>
          <w:sz w:val="24"/>
          <w:szCs w:val="24"/>
        </w:rPr>
        <w:t>Coronavirus Economic Response Package Omnibus Act 2020</w:t>
      </w:r>
      <w:r>
        <w:rPr>
          <w:sz w:val="24"/>
          <w:szCs w:val="24"/>
        </w:rPr>
        <w:t xml:space="preserve"> is expected to have Nil regulatory impacts. A regulation impact statement (RIS) is not required.  </w:t>
      </w:r>
    </w:p>
    <w:p w14:paraId="4FBF3953" w14:textId="77777777" w:rsidR="003D6FDC" w:rsidRDefault="003D6FDC" w:rsidP="003D6FDC">
      <w:pPr>
        <w:spacing w:after="200"/>
        <w:rPr>
          <w:sz w:val="24"/>
          <w:szCs w:val="24"/>
        </w:rPr>
      </w:pPr>
      <w:r>
        <w:rPr>
          <w:sz w:val="24"/>
          <w:szCs w:val="24"/>
        </w:rPr>
        <w:t>OBPR ID Number: 26435</w:t>
      </w:r>
    </w:p>
    <w:p w14:paraId="562DEBB8" w14:textId="1FDB9C4B" w:rsidR="004B21B0" w:rsidRPr="00883E3A" w:rsidRDefault="00883E3A" w:rsidP="00883E3A">
      <w:pPr>
        <w:pStyle w:val="Heading3"/>
        <w:spacing w:before="360"/>
        <w:jc w:val="both"/>
        <w:rPr>
          <w:i/>
          <w:iCs/>
          <w:szCs w:val="24"/>
        </w:rPr>
      </w:pPr>
      <w:r w:rsidRPr="00883E3A">
        <w:rPr>
          <w:i/>
          <w:iCs/>
          <w:szCs w:val="24"/>
        </w:rPr>
        <w:t xml:space="preserve">Consultation </w:t>
      </w:r>
    </w:p>
    <w:p w14:paraId="3B53873B" w14:textId="23476BCD" w:rsidR="004B21B0" w:rsidRDefault="00883E3A" w:rsidP="0060562B">
      <w:pPr>
        <w:pStyle w:val="BodyText"/>
        <w:spacing w:after="120"/>
        <w:jc w:val="both"/>
      </w:pPr>
      <w:r>
        <w:t xml:space="preserve">The Administrative Law Section in the Attorney-General’s Department, the Office of Parliamentary Counsel and the </w:t>
      </w:r>
      <w:r w:rsidRPr="006A75AF">
        <w:t>Department of Agriculture, Water and the Environment</w:t>
      </w:r>
      <w:r>
        <w:t xml:space="preserve"> were consulted in the preparation of this determination. </w:t>
      </w:r>
    </w:p>
    <w:p w14:paraId="05FF6D58" w14:textId="4D19D8AC" w:rsidR="00883E3A" w:rsidRDefault="00883E3A">
      <w:pPr>
        <w:rPr>
          <w:sz w:val="24"/>
        </w:rPr>
      </w:pPr>
      <w:r>
        <w:br w:type="page"/>
      </w:r>
    </w:p>
    <w:p w14:paraId="08D8F846" w14:textId="77777777" w:rsidR="00883E3A" w:rsidRPr="00277756" w:rsidRDefault="00883E3A" w:rsidP="00883E3A">
      <w:pPr>
        <w:spacing w:before="360" w:after="120"/>
        <w:jc w:val="center"/>
        <w:rPr>
          <w:rFonts w:eastAsia="Calibri"/>
          <w:b/>
          <w:sz w:val="28"/>
          <w:szCs w:val="28"/>
        </w:rPr>
      </w:pPr>
      <w:r w:rsidRPr="00277756">
        <w:rPr>
          <w:rFonts w:eastAsia="Calibri"/>
          <w:b/>
          <w:sz w:val="28"/>
          <w:szCs w:val="28"/>
        </w:rPr>
        <w:t>Statement of Compatibility with Human Rights</w:t>
      </w:r>
    </w:p>
    <w:p w14:paraId="06B95D24" w14:textId="77777777" w:rsidR="00883E3A" w:rsidRPr="00277756" w:rsidRDefault="00883E3A" w:rsidP="00883E3A">
      <w:pPr>
        <w:spacing w:before="120" w:after="120"/>
        <w:jc w:val="center"/>
        <w:rPr>
          <w:rFonts w:eastAsia="Calibri"/>
          <w:sz w:val="24"/>
          <w:szCs w:val="24"/>
        </w:rPr>
      </w:pPr>
      <w:r w:rsidRPr="00B30FC1">
        <w:rPr>
          <w:rFonts w:eastAsia="Calibri"/>
          <w:sz w:val="24"/>
          <w:szCs w:val="24"/>
        </w:rPr>
        <w:t>Prepared in accordance with Part 3 of the</w:t>
      </w:r>
      <w:r w:rsidRPr="00277756">
        <w:rPr>
          <w:rFonts w:eastAsia="Calibri"/>
          <w:i/>
          <w:sz w:val="24"/>
          <w:szCs w:val="24"/>
        </w:rPr>
        <w:t xml:space="preserve"> Human Rights (Parliamentary Scrutiny) Act 2011</w:t>
      </w:r>
    </w:p>
    <w:p w14:paraId="1036DB0A" w14:textId="77777777" w:rsidR="00883E3A" w:rsidRPr="00277756" w:rsidRDefault="00883E3A" w:rsidP="00883E3A">
      <w:pPr>
        <w:spacing w:before="120" w:after="120"/>
        <w:jc w:val="center"/>
        <w:rPr>
          <w:rFonts w:eastAsia="Calibri"/>
          <w:sz w:val="24"/>
          <w:szCs w:val="24"/>
        </w:rPr>
      </w:pPr>
    </w:p>
    <w:p w14:paraId="18D47D99" w14:textId="0C8A423C" w:rsidR="001821A5" w:rsidRPr="001821A5" w:rsidRDefault="001821A5" w:rsidP="00883E3A">
      <w:pPr>
        <w:spacing w:before="120" w:after="120"/>
        <w:jc w:val="center"/>
        <w:rPr>
          <w:b/>
          <w:i/>
          <w:sz w:val="24"/>
          <w:lang w:eastAsia="en-AU"/>
        </w:rPr>
      </w:pPr>
      <w:r w:rsidRPr="001821A5">
        <w:rPr>
          <w:b/>
          <w:i/>
          <w:sz w:val="24"/>
          <w:lang w:eastAsia="en-AU"/>
        </w:rPr>
        <w:t>Coronavirus Economic Response Package (Deferral of Sunsetting –</w:t>
      </w:r>
      <w:r w:rsidR="00485D6D" w:rsidRPr="00485D6D">
        <w:rPr>
          <w:i/>
          <w:sz w:val="24"/>
          <w:lang w:eastAsia="en-AU"/>
        </w:rPr>
        <w:t xml:space="preserve"> </w:t>
      </w:r>
      <w:r w:rsidRPr="001821A5">
        <w:rPr>
          <w:b/>
          <w:i/>
          <w:sz w:val="24"/>
          <w:lang w:eastAsia="en-AU"/>
        </w:rPr>
        <w:t>Financial Management and Accountability Determination 2010/02) Determination 2020</w:t>
      </w:r>
    </w:p>
    <w:p w14:paraId="2A757EE1" w14:textId="77777777" w:rsidR="00883E3A" w:rsidRPr="00277756" w:rsidRDefault="00883E3A" w:rsidP="00883E3A">
      <w:pPr>
        <w:spacing w:before="120" w:after="120"/>
        <w:jc w:val="center"/>
        <w:rPr>
          <w:rFonts w:eastAsia="Calibri"/>
          <w:sz w:val="24"/>
          <w:szCs w:val="24"/>
        </w:rPr>
      </w:pPr>
      <w:r w:rsidRPr="00277756">
        <w:rPr>
          <w:rFonts w:eastAsia="Calibri"/>
          <w:sz w:val="24"/>
          <w:szCs w:val="24"/>
        </w:rPr>
        <w:t xml:space="preserve">This Legislative Instrument is compatible with the human rights and freedoms recognised or declared in the international instruments listed in section 3 of the </w:t>
      </w:r>
      <w:r w:rsidRPr="00277756">
        <w:rPr>
          <w:rFonts w:eastAsia="Calibri"/>
          <w:i/>
          <w:sz w:val="24"/>
          <w:szCs w:val="24"/>
        </w:rPr>
        <w:t>Human Rights (Parliamentary Scrutiny) Act 2011</w:t>
      </w:r>
      <w:r w:rsidRPr="00277756">
        <w:rPr>
          <w:rFonts w:eastAsia="Calibri"/>
          <w:sz w:val="24"/>
          <w:szCs w:val="24"/>
        </w:rPr>
        <w:t>.</w:t>
      </w:r>
    </w:p>
    <w:p w14:paraId="79F96486" w14:textId="77777777" w:rsidR="00883E3A" w:rsidRPr="00277756" w:rsidRDefault="00883E3A" w:rsidP="00883E3A">
      <w:pPr>
        <w:spacing w:before="120" w:after="120"/>
        <w:jc w:val="center"/>
        <w:rPr>
          <w:rFonts w:eastAsia="Calibri"/>
          <w:sz w:val="24"/>
          <w:szCs w:val="24"/>
        </w:rPr>
      </w:pPr>
    </w:p>
    <w:p w14:paraId="6F92509A" w14:textId="77777777" w:rsidR="00883E3A" w:rsidRPr="00277756" w:rsidRDefault="00883E3A" w:rsidP="00883E3A">
      <w:pPr>
        <w:spacing w:before="120" w:after="120"/>
        <w:jc w:val="both"/>
        <w:rPr>
          <w:rFonts w:eastAsia="Calibri"/>
          <w:b/>
          <w:sz w:val="24"/>
          <w:szCs w:val="24"/>
        </w:rPr>
      </w:pPr>
      <w:r w:rsidRPr="00277756">
        <w:rPr>
          <w:rFonts w:eastAsia="Calibri"/>
          <w:b/>
          <w:sz w:val="24"/>
          <w:szCs w:val="24"/>
        </w:rPr>
        <w:t>Overview of the Legislative Instrument</w:t>
      </w:r>
    </w:p>
    <w:p w14:paraId="6A5103BE" w14:textId="5BA82922" w:rsidR="00883E3A" w:rsidRDefault="00883E3A" w:rsidP="00883E3A">
      <w:pPr>
        <w:spacing w:before="120" w:after="120"/>
        <w:rPr>
          <w:sz w:val="24"/>
          <w:szCs w:val="24"/>
        </w:rPr>
      </w:pPr>
      <w:r w:rsidRPr="00277756">
        <w:rPr>
          <w:rFonts w:eastAsia="Calibri"/>
          <w:sz w:val="24"/>
          <w:szCs w:val="24"/>
        </w:rPr>
        <w:t xml:space="preserve">The </w:t>
      </w:r>
      <w:r w:rsidR="001821A5" w:rsidRPr="00EC5DB0">
        <w:rPr>
          <w:i/>
          <w:sz w:val="24"/>
          <w:szCs w:val="24"/>
        </w:rPr>
        <w:t>Coronavirus Economic Response Package (Deferral of Sunsetting –</w:t>
      </w:r>
      <w:r w:rsidR="00485D6D">
        <w:rPr>
          <w:i/>
          <w:sz w:val="24"/>
          <w:szCs w:val="24"/>
        </w:rPr>
        <w:t xml:space="preserve"> </w:t>
      </w:r>
      <w:r w:rsidR="001821A5" w:rsidRPr="00EC5DB0">
        <w:rPr>
          <w:i/>
          <w:sz w:val="24"/>
          <w:szCs w:val="24"/>
        </w:rPr>
        <w:t>Financial Management and Accountability Determination 2010/02) Determination 2020</w:t>
      </w:r>
      <w:r w:rsidR="001821A5" w:rsidRPr="001821A5">
        <w:rPr>
          <w:sz w:val="24"/>
          <w:szCs w:val="24"/>
        </w:rPr>
        <w:t xml:space="preserve"> defers</w:t>
      </w:r>
      <w:r w:rsidR="001821A5" w:rsidRPr="001821A5">
        <w:rPr>
          <w:i/>
          <w:sz w:val="24"/>
          <w:szCs w:val="24"/>
        </w:rPr>
        <w:t xml:space="preserve"> </w:t>
      </w:r>
      <w:r w:rsidR="001821A5" w:rsidRPr="001821A5">
        <w:rPr>
          <w:sz w:val="24"/>
          <w:szCs w:val="24"/>
        </w:rPr>
        <w:t xml:space="preserve">the original sunset day of the </w:t>
      </w:r>
      <w:r w:rsidR="001821A5" w:rsidRPr="001821A5">
        <w:rPr>
          <w:i/>
          <w:sz w:val="24"/>
          <w:szCs w:val="24"/>
        </w:rPr>
        <w:t>Financial Management and Accountability Determination 2010/02 – Services for Other Entities and Trust Moneys – Department of the Environment, Water, Heritage and the Arts Special Account Establishment 2010</w:t>
      </w:r>
      <w:r w:rsidR="00DC3B8F">
        <w:rPr>
          <w:i/>
          <w:sz w:val="24"/>
          <w:szCs w:val="24"/>
        </w:rPr>
        <w:t xml:space="preserve"> </w:t>
      </w:r>
      <w:r w:rsidR="00DC3B8F">
        <w:rPr>
          <w:sz w:val="24"/>
          <w:szCs w:val="24"/>
        </w:rPr>
        <w:t>(</w:t>
      </w:r>
      <w:r w:rsidR="00DC3B8F">
        <w:rPr>
          <w:b/>
          <w:i/>
          <w:sz w:val="24"/>
          <w:szCs w:val="24"/>
        </w:rPr>
        <w:t>current SOETM instrument</w:t>
      </w:r>
      <w:r w:rsidR="00DC3B8F">
        <w:rPr>
          <w:sz w:val="24"/>
          <w:szCs w:val="24"/>
        </w:rPr>
        <w:t>)</w:t>
      </w:r>
      <w:r w:rsidR="0079799D" w:rsidRPr="00CB295C">
        <w:rPr>
          <w:sz w:val="24"/>
          <w:szCs w:val="24"/>
        </w:rPr>
        <w:t>.</w:t>
      </w:r>
      <w:r w:rsidR="003D6FDC" w:rsidRPr="00CB295C">
        <w:rPr>
          <w:sz w:val="24"/>
          <w:szCs w:val="24"/>
        </w:rPr>
        <w:t xml:space="preserve"> </w:t>
      </w:r>
    </w:p>
    <w:p w14:paraId="4109801E" w14:textId="77777777" w:rsidR="00883E3A" w:rsidRPr="00277756" w:rsidRDefault="00883E3A" w:rsidP="00883E3A">
      <w:pPr>
        <w:spacing w:before="120" w:after="120"/>
        <w:rPr>
          <w:rFonts w:eastAsia="Calibri"/>
          <w:b/>
          <w:sz w:val="24"/>
          <w:szCs w:val="24"/>
        </w:rPr>
      </w:pPr>
      <w:r w:rsidRPr="00277756">
        <w:rPr>
          <w:rFonts w:eastAsia="Calibri"/>
          <w:b/>
          <w:sz w:val="24"/>
          <w:szCs w:val="24"/>
        </w:rPr>
        <w:t>Human rights implications</w:t>
      </w:r>
    </w:p>
    <w:p w14:paraId="4D7C072B" w14:textId="6BF335AA" w:rsidR="003D6FDC" w:rsidRPr="00505F36" w:rsidRDefault="00883E3A" w:rsidP="003D6FDC">
      <w:pPr>
        <w:spacing w:before="120" w:after="120"/>
        <w:rPr>
          <w:sz w:val="24"/>
          <w:szCs w:val="24"/>
        </w:rPr>
      </w:pPr>
      <w:r w:rsidRPr="00505F36">
        <w:rPr>
          <w:rFonts w:eastAsia="Calibri"/>
          <w:sz w:val="24"/>
          <w:szCs w:val="24"/>
        </w:rPr>
        <w:t xml:space="preserve">This </w:t>
      </w:r>
      <w:r w:rsidR="0079799D" w:rsidRPr="00505F36">
        <w:rPr>
          <w:rFonts w:eastAsia="Calibri"/>
          <w:sz w:val="24"/>
          <w:szCs w:val="24"/>
        </w:rPr>
        <w:t>Legislative Instrument</w:t>
      </w:r>
      <w:r w:rsidRPr="00505F36">
        <w:rPr>
          <w:rFonts w:eastAsia="Calibri"/>
          <w:sz w:val="24"/>
          <w:szCs w:val="24"/>
        </w:rPr>
        <w:t xml:space="preserve"> does not engage any of the applicable rights or freedoms</w:t>
      </w:r>
      <w:r w:rsidR="00CB295C" w:rsidRPr="00505F36">
        <w:rPr>
          <w:rFonts w:eastAsia="Calibri"/>
          <w:sz w:val="24"/>
          <w:szCs w:val="24"/>
        </w:rPr>
        <w:t xml:space="preserve"> </w:t>
      </w:r>
      <w:r w:rsidR="00CB295C" w:rsidRPr="00505F36">
        <w:rPr>
          <w:sz w:val="24"/>
          <w:szCs w:val="24"/>
        </w:rPr>
        <w:t xml:space="preserve">outlined in the </w:t>
      </w:r>
      <w:r w:rsidR="00CB295C" w:rsidRPr="00505F36">
        <w:rPr>
          <w:i/>
          <w:iCs/>
          <w:sz w:val="24"/>
          <w:szCs w:val="24"/>
        </w:rPr>
        <w:t>Human Rights (Parliamentary Scrutiny) Act 2011</w:t>
      </w:r>
      <w:r w:rsidR="00CB295C" w:rsidRPr="00505F36">
        <w:rPr>
          <w:sz w:val="24"/>
          <w:szCs w:val="24"/>
        </w:rPr>
        <w:t>.</w:t>
      </w:r>
    </w:p>
    <w:p w14:paraId="306C9168" w14:textId="4403C4FA" w:rsidR="003C14C2" w:rsidRPr="00505F36" w:rsidRDefault="003C14C2" w:rsidP="003C14C2">
      <w:pPr>
        <w:spacing w:before="120" w:after="120"/>
        <w:rPr>
          <w:rFonts w:eastAsia="Calibri"/>
          <w:sz w:val="24"/>
          <w:szCs w:val="24"/>
        </w:rPr>
      </w:pPr>
      <w:r w:rsidRPr="00505F36">
        <w:rPr>
          <w:rFonts w:eastAsia="Calibri"/>
          <w:sz w:val="24"/>
          <w:szCs w:val="24"/>
        </w:rPr>
        <w:t xml:space="preserve">This Legislative Instrument defers </w:t>
      </w:r>
      <w:r w:rsidRPr="00505F36">
        <w:rPr>
          <w:sz w:val="24"/>
          <w:szCs w:val="24"/>
        </w:rPr>
        <w:t>the original sunset day of</w:t>
      </w:r>
      <w:r w:rsidRPr="00505F36">
        <w:rPr>
          <w:rFonts w:eastAsia="Calibri"/>
          <w:sz w:val="24"/>
          <w:szCs w:val="24"/>
        </w:rPr>
        <w:t xml:space="preserve"> the current SOETM Instrument. </w:t>
      </w:r>
      <w:r w:rsidRPr="00505F36">
        <w:rPr>
          <w:sz w:val="24"/>
          <w:szCs w:val="24"/>
        </w:rPr>
        <w:t xml:space="preserve">A Statement of Compatibility with Human Rights is not required for the current SOETM instrument, </w:t>
      </w:r>
      <w:r w:rsidR="00B76361">
        <w:rPr>
          <w:sz w:val="24"/>
          <w:szCs w:val="24"/>
        </w:rPr>
        <w:t xml:space="preserve">as </w:t>
      </w:r>
      <w:r w:rsidRPr="00505F36">
        <w:rPr>
          <w:sz w:val="24"/>
          <w:szCs w:val="24"/>
        </w:rPr>
        <w:t xml:space="preserve">it </w:t>
      </w:r>
      <w:r w:rsidRPr="00505F36">
        <w:rPr>
          <w:rFonts w:eastAsia="Calibri"/>
          <w:sz w:val="24"/>
          <w:szCs w:val="24"/>
        </w:rPr>
        <w:t xml:space="preserve">does not engage any human rights. Therefore, by extension this Legislative Instrument does not raise any human rights issues. </w:t>
      </w:r>
    </w:p>
    <w:p w14:paraId="50130BB0" w14:textId="77777777" w:rsidR="003C14C2" w:rsidRPr="00505F36" w:rsidRDefault="003C14C2" w:rsidP="003C14C2">
      <w:pPr>
        <w:spacing w:before="120" w:after="120"/>
        <w:rPr>
          <w:sz w:val="24"/>
          <w:szCs w:val="24"/>
        </w:rPr>
      </w:pPr>
      <w:r w:rsidRPr="00505F36">
        <w:rPr>
          <w:sz w:val="24"/>
          <w:szCs w:val="24"/>
        </w:rPr>
        <w:t>Subsection 9(1) of the</w:t>
      </w:r>
      <w:r w:rsidRPr="00505F36">
        <w:rPr>
          <w:i/>
          <w:iCs/>
          <w:sz w:val="24"/>
          <w:szCs w:val="24"/>
        </w:rPr>
        <w:t xml:space="preserve"> Human Rights (Parliamentary Scrutiny) Act 2011 </w:t>
      </w:r>
      <w:r w:rsidRPr="00505F36">
        <w:rPr>
          <w:sz w:val="24"/>
          <w:szCs w:val="24"/>
        </w:rPr>
        <w:t>requires a Statement of Compatibility with Human Rights for all legislative instruments subject to disallowance under section 42 of the</w:t>
      </w:r>
      <w:r w:rsidRPr="00505F36">
        <w:rPr>
          <w:i/>
          <w:iCs/>
          <w:sz w:val="24"/>
          <w:szCs w:val="24"/>
        </w:rPr>
        <w:t xml:space="preserve"> Legislation Act 2003. </w:t>
      </w:r>
      <w:r w:rsidRPr="00505F36">
        <w:rPr>
          <w:iCs/>
          <w:sz w:val="24"/>
          <w:szCs w:val="24"/>
        </w:rPr>
        <w:t xml:space="preserve">While this Legislative Instrument </w:t>
      </w:r>
      <w:r w:rsidRPr="00505F36">
        <w:rPr>
          <w:color w:val="000000"/>
          <w:sz w:val="24"/>
          <w:szCs w:val="24"/>
          <w:shd w:val="clear" w:color="auto" w:fill="FFFFFF"/>
        </w:rPr>
        <w:t xml:space="preserve">is subject to section 42 (disallowance) of the </w:t>
      </w:r>
      <w:r w:rsidRPr="00505F36">
        <w:rPr>
          <w:rFonts w:ascii="&amp;quot" w:hAnsi="&amp;quot"/>
          <w:i/>
          <w:iCs/>
          <w:color w:val="000000"/>
          <w:sz w:val="24"/>
          <w:szCs w:val="24"/>
        </w:rPr>
        <w:t>Legislation Act 2003</w:t>
      </w:r>
      <w:r w:rsidRPr="00505F36">
        <w:rPr>
          <w:rFonts w:ascii="&amp;quot" w:hAnsi="&amp;quot"/>
          <w:iCs/>
          <w:color w:val="000000"/>
          <w:sz w:val="24"/>
          <w:szCs w:val="24"/>
        </w:rPr>
        <w:t>, the current SOETM instrument is not.</w:t>
      </w:r>
    </w:p>
    <w:p w14:paraId="05B42EAA" w14:textId="77777777" w:rsidR="003C14C2" w:rsidRPr="00505F36" w:rsidRDefault="003C14C2" w:rsidP="003C14C2">
      <w:pPr>
        <w:spacing w:before="120" w:after="120"/>
        <w:rPr>
          <w:sz w:val="24"/>
          <w:szCs w:val="24"/>
        </w:rPr>
      </w:pPr>
      <w:r w:rsidRPr="00505F36">
        <w:rPr>
          <w:sz w:val="24"/>
          <w:szCs w:val="24"/>
        </w:rPr>
        <w:t xml:space="preserve">The current SOETM instrument was made under subsection 20(1) of the </w:t>
      </w:r>
      <w:r w:rsidRPr="00505F36">
        <w:rPr>
          <w:rFonts w:ascii="&amp;quot" w:hAnsi="&amp;quot"/>
          <w:i/>
          <w:iCs/>
          <w:color w:val="000000"/>
          <w:sz w:val="24"/>
          <w:szCs w:val="24"/>
        </w:rPr>
        <w:t>Financial Management and Accountability Act 1997</w:t>
      </w:r>
      <w:r w:rsidRPr="00505F36">
        <w:rPr>
          <w:rFonts w:ascii="&amp;quot" w:hAnsi="&amp;quot"/>
          <w:iCs/>
          <w:color w:val="000000"/>
          <w:sz w:val="24"/>
          <w:szCs w:val="24"/>
        </w:rPr>
        <w:t xml:space="preserve">. Under subitem 36(1) in Part 2 of Schedule 2 to the </w:t>
      </w:r>
      <w:r w:rsidRPr="00505F36">
        <w:rPr>
          <w:i/>
          <w:sz w:val="24"/>
          <w:szCs w:val="24"/>
        </w:rPr>
        <w:t>Public Governance, Performance and Accountability (Consequential and Transitional Provisions) Act 2014</w:t>
      </w:r>
      <w:r w:rsidRPr="00505F36">
        <w:rPr>
          <w:sz w:val="24"/>
          <w:szCs w:val="24"/>
        </w:rPr>
        <w:t>, the</w:t>
      </w:r>
      <w:r w:rsidRPr="00505F36">
        <w:rPr>
          <w:i/>
          <w:sz w:val="24"/>
          <w:szCs w:val="24"/>
        </w:rPr>
        <w:t xml:space="preserve"> </w:t>
      </w:r>
      <w:r w:rsidRPr="00505F36">
        <w:rPr>
          <w:sz w:val="24"/>
          <w:szCs w:val="24"/>
        </w:rPr>
        <w:t xml:space="preserve">current SOETM instrument is taken to have been made under subsection 78(1) of the </w:t>
      </w:r>
      <w:r w:rsidRPr="00505F36">
        <w:rPr>
          <w:i/>
          <w:sz w:val="24"/>
          <w:szCs w:val="24"/>
        </w:rPr>
        <w:t>Public Governance, Performance and Accountability Act 2013</w:t>
      </w:r>
      <w:r w:rsidRPr="00505F36">
        <w:rPr>
          <w:sz w:val="24"/>
          <w:szCs w:val="24"/>
        </w:rPr>
        <w:t xml:space="preserve"> (</w:t>
      </w:r>
      <w:r w:rsidRPr="00505F36">
        <w:rPr>
          <w:b/>
          <w:sz w:val="24"/>
          <w:szCs w:val="24"/>
        </w:rPr>
        <w:t>PGPA Act</w:t>
      </w:r>
      <w:r w:rsidRPr="00505F36">
        <w:rPr>
          <w:sz w:val="24"/>
          <w:szCs w:val="24"/>
        </w:rPr>
        <w:t>).</w:t>
      </w:r>
    </w:p>
    <w:p w14:paraId="263CA112" w14:textId="6C6EED6C" w:rsidR="003D6FDC" w:rsidRPr="00CA6F3A" w:rsidRDefault="003C14C2" w:rsidP="003C14C2">
      <w:pPr>
        <w:spacing w:before="120" w:after="120"/>
        <w:rPr>
          <w:sz w:val="24"/>
          <w:szCs w:val="24"/>
        </w:rPr>
      </w:pPr>
      <w:r w:rsidRPr="00505F36">
        <w:rPr>
          <w:rFonts w:ascii="&amp;quot" w:hAnsi="&amp;quot"/>
          <w:iCs/>
          <w:color w:val="000000"/>
          <w:sz w:val="24"/>
          <w:szCs w:val="24"/>
        </w:rPr>
        <w:t>D</w:t>
      </w:r>
      <w:r w:rsidRPr="00505F36">
        <w:rPr>
          <w:sz w:val="24"/>
          <w:szCs w:val="24"/>
        </w:rPr>
        <w:t>eterminations made or varied under subsections 78(1) or 78(3) of the PGPA Act are subject to disallowance under section 79 of the PGPA Act. S</w:t>
      </w:r>
      <w:r w:rsidRPr="00505F36">
        <w:rPr>
          <w:iCs/>
          <w:sz w:val="24"/>
          <w:szCs w:val="24"/>
        </w:rPr>
        <w:t xml:space="preserve">ubsection 79(2) of the PGPA Act provides that </w:t>
      </w:r>
      <w:r w:rsidRPr="00505F36">
        <w:rPr>
          <w:sz w:val="24"/>
          <w:szCs w:val="24"/>
        </w:rPr>
        <w:t>they are</w:t>
      </w:r>
      <w:r w:rsidRPr="00CA6F3A">
        <w:rPr>
          <w:sz w:val="24"/>
          <w:szCs w:val="24"/>
        </w:rPr>
        <w:t xml:space="preserve"> not subject to disallowance under section 42 of the</w:t>
      </w:r>
      <w:r w:rsidRPr="00CA6F3A">
        <w:rPr>
          <w:i/>
          <w:iCs/>
          <w:sz w:val="24"/>
          <w:szCs w:val="24"/>
        </w:rPr>
        <w:t xml:space="preserve"> Legislation Act 2003</w:t>
      </w:r>
      <w:r w:rsidRPr="00CA6F3A">
        <w:rPr>
          <w:sz w:val="24"/>
          <w:szCs w:val="24"/>
        </w:rPr>
        <w:t>. </w:t>
      </w:r>
    </w:p>
    <w:p w14:paraId="66C10123" w14:textId="77777777" w:rsidR="00883E3A" w:rsidRPr="00277756" w:rsidRDefault="00883E3A" w:rsidP="00883E3A">
      <w:pPr>
        <w:spacing w:before="120" w:after="120"/>
        <w:rPr>
          <w:rFonts w:eastAsia="Calibri"/>
          <w:b/>
          <w:sz w:val="24"/>
          <w:szCs w:val="24"/>
        </w:rPr>
      </w:pPr>
      <w:r w:rsidRPr="00277756">
        <w:rPr>
          <w:rFonts w:eastAsia="Calibri"/>
          <w:b/>
          <w:sz w:val="24"/>
          <w:szCs w:val="24"/>
        </w:rPr>
        <w:t>Conclusion</w:t>
      </w:r>
    </w:p>
    <w:p w14:paraId="155583B8" w14:textId="1E78C958" w:rsidR="00883E3A" w:rsidRPr="00277756" w:rsidRDefault="00883E3A" w:rsidP="00883E3A">
      <w:pPr>
        <w:spacing w:before="120" w:after="120"/>
        <w:rPr>
          <w:rFonts w:eastAsia="Calibri"/>
          <w:sz w:val="24"/>
          <w:szCs w:val="24"/>
        </w:rPr>
      </w:pPr>
      <w:r w:rsidRPr="00277756">
        <w:rPr>
          <w:rFonts w:eastAsia="Calibri"/>
          <w:sz w:val="24"/>
          <w:szCs w:val="24"/>
        </w:rPr>
        <w:t xml:space="preserve">This </w:t>
      </w:r>
      <w:r w:rsidR="0079799D" w:rsidRPr="00277756">
        <w:rPr>
          <w:rFonts w:eastAsia="Calibri"/>
          <w:sz w:val="24"/>
          <w:szCs w:val="24"/>
        </w:rPr>
        <w:t>Legislative Instrument</w:t>
      </w:r>
      <w:r w:rsidR="0079799D">
        <w:rPr>
          <w:rFonts w:eastAsia="Calibri"/>
          <w:sz w:val="24"/>
          <w:szCs w:val="24"/>
        </w:rPr>
        <w:t xml:space="preserve"> </w:t>
      </w:r>
      <w:r w:rsidRPr="00277756">
        <w:rPr>
          <w:rFonts w:eastAsia="Calibri"/>
          <w:sz w:val="24"/>
          <w:szCs w:val="24"/>
        </w:rPr>
        <w:t>is compatible with human rights as it does not raise any human rights issues.</w:t>
      </w:r>
    </w:p>
    <w:p w14:paraId="0CAAE1D2" w14:textId="77777777" w:rsidR="00883E3A" w:rsidRPr="00277756" w:rsidRDefault="00883E3A" w:rsidP="00883E3A">
      <w:pPr>
        <w:spacing w:before="120" w:after="120"/>
        <w:jc w:val="center"/>
        <w:rPr>
          <w:rFonts w:eastAsia="Calibri"/>
          <w:sz w:val="24"/>
          <w:szCs w:val="24"/>
        </w:rPr>
      </w:pPr>
    </w:p>
    <w:p w14:paraId="12A5DCB4" w14:textId="2CC9BAB9" w:rsidR="00883E3A" w:rsidRPr="00277756" w:rsidRDefault="0079799D" w:rsidP="00883E3A">
      <w:pPr>
        <w:spacing w:before="120" w:after="120"/>
        <w:jc w:val="center"/>
        <w:rPr>
          <w:rFonts w:eastAsia="Calibri"/>
          <w:b/>
          <w:sz w:val="24"/>
          <w:szCs w:val="24"/>
        </w:rPr>
      </w:pPr>
      <w:r>
        <w:rPr>
          <w:rFonts w:eastAsia="Calibri"/>
          <w:b/>
          <w:sz w:val="24"/>
          <w:szCs w:val="24"/>
        </w:rPr>
        <w:t>Senator t</w:t>
      </w:r>
      <w:r w:rsidR="00883E3A" w:rsidRPr="00277756">
        <w:rPr>
          <w:rFonts w:eastAsia="Calibri"/>
          <w:b/>
          <w:sz w:val="24"/>
          <w:szCs w:val="24"/>
        </w:rPr>
        <w:t xml:space="preserve">he Hon </w:t>
      </w:r>
      <w:r>
        <w:rPr>
          <w:rFonts w:eastAsia="Calibri"/>
          <w:b/>
          <w:sz w:val="24"/>
          <w:szCs w:val="24"/>
        </w:rPr>
        <w:t>Mathias Cormann</w:t>
      </w:r>
      <w:r w:rsidR="00883E3A" w:rsidRPr="00277756">
        <w:rPr>
          <w:rFonts w:eastAsia="Calibri"/>
          <w:b/>
          <w:sz w:val="24"/>
          <w:szCs w:val="24"/>
        </w:rPr>
        <w:br/>
        <w:t xml:space="preserve">Minister </w:t>
      </w:r>
      <w:r>
        <w:rPr>
          <w:rFonts w:eastAsia="Calibri"/>
          <w:b/>
          <w:sz w:val="24"/>
          <w:szCs w:val="24"/>
        </w:rPr>
        <w:t>for Finance</w:t>
      </w:r>
    </w:p>
    <w:p w14:paraId="29945616" w14:textId="77777777" w:rsidR="003C14C2" w:rsidRPr="00DB05BA" w:rsidRDefault="00883E3A" w:rsidP="003C14C2">
      <w:pPr>
        <w:tabs>
          <w:tab w:val="right" w:pos="9072"/>
        </w:tabs>
        <w:ind w:right="91"/>
        <w:jc w:val="right"/>
        <w:rPr>
          <w:b/>
          <w:sz w:val="24"/>
          <w:szCs w:val="24"/>
          <w:u w:val="single"/>
          <w:lang w:eastAsia="en-AU"/>
        </w:rPr>
      </w:pPr>
      <w:r>
        <w:rPr>
          <w:b/>
          <w:u w:val="single"/>
          <w:lang w:eastAsia="en-AU"/>
        </w:rPr>
        <w:br w:type="page"/>
      </w:r>
      <w:r w:rsidR="003C14C2" w:rsidRPr="00DB05BA">
        <w:rPr>
          <w:b/>
          <w:sz w:val="24"/>
          <w:szCs w:val="24"/>
          <w:u w:val="single"/>
          <w:lang w:eastAsia="en-AU"/>
        </w:rPr>
        <w:t>ATTACHMENT A</w:t>
      </w:r>
    </w:p>
    <w:p w14:paraId="3AB748DC" w14:textId="77777777" w:rsidR="003C14C2" w:rsidRPr="00DB05BA" w:rsidRDefault="003C14C2" w:rsidP="003C14C2">
      <w:pPr>
        <w:tabs>
          <w:tab w:val="right" w:pos="9072"/>
        </w:tabs>
        <w:ind w:right="91"/>
        <w:rPr>
          <w:b/>
          <w:sz w:val="24"/>
          <w:szCs w:val="24"/>
          <w:u w:val="single"/>
          <w:lang w:eastAsia="en-AU"/>
        </w:rPr>
      </w:pPr>
    </w:p>
    <w:p w14:paraId="2472E29C" w14:textId="53A72E55" w:rsidR="003C14C2" w:rsidRPr="00AC4F44" w:rsidRDefault="003C14C2" w:rsidP="003C14C2">
      <w:pPr>
        <w:tabs>
          <w:tab w:val="right" w:pos="9072"/>
        </w:tabs>
        <w:ind w:right="91"/>
        <w:rPr>
          <w:b/>
          <w:sz w:val="24"/>
          <w:szCs w:val="24"/>
          <w:lang w:eastAsia="en-AU"/>
        </w:rPr>
      </w:pPr>
      <w:r w:rsidRPr="00AC4F44">
        <w:rPr>
          <w:b/>
          <w:sz w:val="24"/>
          <w:szCs w:val="24"/>
          <w:lang w:eastAsia="en-AU"/>
        </w:rPr>
        <w:t xml:space="preserve">Details of the </w:t>
      </w:r>
      <w:r w:rsidRPr="00AC4F44">
        <w:rPr>
          <w:b/>
          <w:i/>
          <w:sz w:val="24"/>
          <w:lang w:eastAsia="en-AU"/>
        </w:rPr>
        <w:t>Coronavirus Economic Response Package (Deferral of Sunsetting –</w:t>
      </w:r>
      <w:r w:rsidR="00485D6D">
        <w:rPr>
          <w:b/>
          <w:i/>
          <w:sz w:val="24"/>
          <w:lang w:eastAsia="en-AU"/>
        </w:rPr>
        <w:t xml:space="preserve"> </w:t>
      </w:r>
      <w:r w:rsidRPr="00AC4F44">
        <w:rPr>
          <w:b/>
          <w:i/>
          <w:sz w:val="24"/>
          <w:lang w:eastAsia="en-AU"/>
        </w:rPr>
        <w:t>Financial Management and Accountability Determination 2010/02) Determination 2020</w:t>
      </w:r>
      <w:r w:rsidRPr="00AC4F44">
        <w:rPr>
          <w:b/>
          <w:sz w:val="24"/>
          <w:szCs w:val="24"/>
          <w:lang w:eastAsia="en-AU"/>
        </w:rPr>
        <w:t xml:space="preserve"> (the </w:t>
      </w:r>
      <w:r>
        <w:rPr>
          <w:b/>
          <w:sz w:val="24"/>
          <w:szCs w:val="24"/>
          <w:lang w:eastAsia="en-AU"/>
        </w:rPr>
        <w:t>determination</w:t>
      </w:r>
      <w:r w:rsidRPr="00AC4F44">
        <w:rPr>
          <w:b/>
          <w:sz w:val="24"/>
          <w:szCs w:val="24"/>
          <w:lang w:eastAsia="en-AU"/>
        </w:rPr>
        <w:t>)</w:t>
      </w:r>
    </w:p>
    <w:p w14:paraId="666C4779" w14:textId="77777777" w:rsidR="003C14C2" w:rsidRPr="00DB05BA" w:rsidRDefault="003C14C2" w:rsidP="003C14C2">
      <w:pPr>
        <w:tabs>
          <w:tab w:val="right" w:pos="9072"/>
        </w:tabs>
        <w:spacing w:before="240"/>
        <w:ind w:right="91"/>
        <w:rPr>
          <w:sz w:val="24"/>
          <w:szCs w:val="24"/>
          <w:u w:val="single"/>
          <w:lang w:eastAsia="en-AU"/>
        </w:rPr>
      </w:pPr>
      <w:r w:rsidRPr="00DB05BA">
        <w:rPr>
          <w:sz w:val="24"/>
          <w:szCs w:val="24"/>
          <w:u w:val="single"/>
          <w:lang w:eastAsia="en-AU"/>
        </w:rPr>
        <w:t xml:space="preserve">Section 1 – Name </w:t>
      </w:r>
    </w:p>
    <w:p w14:paraId="62FECDC3" w14:textId="407B4096" w:rsidR="003C14C2" w:rsidRDefault="003C14C2" w:rsidP="003C14C2">
      <w:pPr>
        <w:pStyle w:val="ListParagraph"/>
        <w:numPr>
          <w:ilvl w:val="0"/>
          <w:numId w:val="42"/>
        </w:numPr>
        <w:tabs>
          <w:tab w:val="right" w:pos="9072"/>
        </w:tabs>
        <w:spacing w:before="240"/>
        <w:ind w:left="567" w:right="91" w:hanging="567"/>
        <w:contextualSpacing w:val="0"/>
        <w:rPr>
          <w:sz w:val="24"/>
          <w:szCs w:val="24"/>
          <w:lang w:eastAsia="en-AU"/>
        </w:rPr>
      </w:pPr>
      <w:r>
        <w:rPr>
          <w:sz w:val="24"/>
          <w:szCs w:val="24"/>
          <w:lang w:eastAsia="en-AU"/>
        </w:rPr>
        <w:t>This s</w:t>
      </w:r>
      <w:r w:rsidRPr="00DB05BA">
        <w:rPr>
          <w:sz w:val="24"/>
          <w:szCs w:val="24"/>
          <w:lang w:eastAsia="en-AU"/>
        </w:rPr>
        <w:t xml:space="preserve">ection provides that the title of the </w:t>
      </w:r>
      <w:r>
        <w:rPr>
          <w:sz w:val="24"/>
          <w:szCs w:val="24"/>
          <w:lang w:eastAsia="en-AU"/>
        </w:rPr>
        <w:t>determination</w:t>
      </w:r>
      <w:r w:rsidRPr="00DB05BA">
        <w:rPr>
          <w:sz w:val="24"/>
          <w:szCs w:val="24"/>
          <w:lang w:eastAsia="en-AU"/>
        </w:rPr>
        <w:t xml:space="preserve"> is </w:t>
      </w:r>
      <w:r w:rsidRPr="00AC4F44">
        <w:rPr>
          <w:sz w:val="24"/>
          <w:szCs w:val="24"/>
          <w:lang w:eastAsia="en-AU"/>
        </w:rPr>
        <w:t xml:space="preserve">the </w:t>
      </w:r>
      <w:r w:rsidRPr="00AC4F44">
        <w:rPr>
          <w:i/>
          <w:sz w:val="24"/>
          <w:lang w:eastAsia="en-AU"/>
        </w:rPr>
        <w:t>Coronavirus Economic Response Package (Deferral of Sunsetting –</w:t>
      </w:r>
      <w:r w:rsidR="00485D6D">
        <w:rPr>
          <w:i/>
          <w:sz w:val="24"/>
          <w:lang w:eastAsia="en-AU"/>
        </w:rPr>
        <w:t xml:space="preserve"> </w:t>
      </w:r>
      <w:r w:rsidRPr="00AC4F44">
        <w:rPr>
          <w:i/>
          <w:sz w:val="24"/>
          <w:lang w:eastAsia="en-AU"/>
        </w:rPr>
        <w:t>Financial Management and Accountability Determination 2010/02) Determination 2020</w:t>
      </w:r>
      <w:r w:rsidRPr="00AC4F44">
        <w:rPr>
          <w:sz w:val="24"/>
          <w:szCs w:val="24"/>
          <w:lang w:eastAsia="en-AU"/>
        </w:rPr>
        <w:t>.</w:t>
      </w:r>
    </w:p>
    <w:p w14:paraId="6428A5C1" w14:textId="77777777" w:rsidR="003C14C2" w:rsidRPr="00AC4F44" w:rsidRDefault="003C14C2" w:rsidP="003C14C2">
      <w:pPr>
        <w:tabs>
          <w:tab w:val="right" w:pos="9072"/>
        </w:tabs>
        <w:spacing w:before="240"/>
        <w:ind w:right="91"/>
        <w:rPr>
          <w:sz w:val="24"/>
          <w:szCs w:val="24"/>
          <w:u w:val="single"/>
          <w:lang w:eastAsia="en-AU"/>
        </w:rPr>
      </w:pPr>
      <w:r w:rsidRPr="00AC4F44">
        <w:rPr>
          <w:sz w:val="24"/>
          <w:szCs w:val="24"/>
          <w:u w:val="single"/>
          <w:lang w:eastAsia="en-AU"/>
        </w:rPr>
        <w:t>Section 2 – Commencement</w:t>
      </w:r>
    </w:p>
    <w:p w14:paraId="066BB6E2" w14:textId="77777777" w:rsidR="003C14C2" w:rsidRDefault="003C14C2" w:rsidP="003C14C2">
      <w:pPr>
        <w:pStyle w:val="ListParagraph"/>
        <w:numPr>
          <w:ilvl w:val="0"/>
          <w:numId w:val="42"/>
        </w:numPr>
        <w:tabs>
          <w:tab w:val="right" w:pos="9072"/>
        </w:tabs>
        <w:spacing w:before="240"/>
        <w:ind w:left="567" w:right="91" w:hanging="567"/>
        <w:contextualSpacing w:val="0"/>
        <w:rPr>
          <w:sz w:val="24"/>
          <w:szCs w:val="24"/>
          <w:lang w:eastAsia="en-AU"/>
        </w:rPr>
      </w:pPr>
      <w:r w:rsidRPr="00DB05BA">
        <w:rPr>
          <w:sz w:val="24"/>
          <w:szCs w:val="24"/>
          <w:lang w:eastAsia="en-AU"/>
        </w:rPr>
        <w:t>T</w:t>
      </w:r>
      <w:r>
        <w:rPr>
          <w:sz w:val="24"/>
          <w:szCs w:val="24"/>
          <w:lang w:eastAsia="en-AU"/>
        </w:rPr>
        <w:t>his s</w:t>
      </w:r>
      <w:r w:rsidRPr="00DB05BA">
        <w:rPr>
          <w:sz w:val="24"/>
          <w:szCs w:val="24"/>
          <w:lang w:eastAsia="en-AU"/>
        </w:rPr>
        <w:t xml:space="preserve">ection provides that the entire </w:t>
      </w:r>
      <w:r>
        <w:rPr>
          <w:sz w:val="24"/>
          <w:szCs w:val="24"/>
          <w:lang w:eastAsia="en-AU"/>
        </w:rPr>
        <w:t>determinat</w:t>
      </w:r>
      <w:r w:rsidRPr="00DB05BA">
        <w:rPr>
          <w:sz w:val="24"/>
          <w:szCs w:val="24"/>
          <w:lang w:eastAsia="en-AU"/>
        </w:rPr>
        <w:t>ion commences on the day after it is registered on the Federal Register of Legislation</w:t>
      </w:r>
      <w:r>
        <w:rPr>
          <w:sz w:val="24"/>
          <w:szCs w:val="24"/>
          <w:lang w:eastAsia="en-AU"/>
        </w:rPr>
        <w:t>.</w:t>
      </w:r>
    </w:p>
    <w:p w14:paraId="6D53A070" w14:textId="77777777" w:rsidR="003C14C2" w:rsidRPr="00AC4F44" w:rsidRDefault="003C14C2" w:rsidP="003C14C2">
      <w:pPr>
        <w:tabs>
          <w:tab w:val="right" w:pos="9072"/>
        </w:tabs>
        <w:spacing w:before="240"/>
        <w:ind w:right="91"/>
        <w:rPr>
          <w:sz w:val="24"/>
          <w:szCs w:val="24"/>
          <w:u w:val="single"/>
          <w:lang w:eastAsia="en-AU"/>
        </w:rPr>
      </w:pPr>
      <w:r w:rsidRPr="00AC4F44">
        <w:rPr>
          <w:sz w:val="24"/>
          <w:szCs w:val="24"/>
          <w:u w:val="single"/>
          <w:lang w:eastAsia="en-AU"/>
        </w:rPr>
        <w:t>Section 3 – Authority</w:t>
      </w:r>
    </w:p>
    <w:p w14:paraId="3C3EEC90" w14:textId="77777777" w:rsidR="003C14C2" w:rsidRDefault="003C14C2" w:rsidP="003C14C2">
      <w:pPr>
        <w:pStyle w:val="ListParagraph"/>
        <w:numPr>
          <w:ilvl w:val="0"/>
          <w:numId w:val="42"/>
        </w:numPr>
        <w:tabs>
          <w:tab w:val="right" w:pos="9072"/>
        </w:tabs>
        <w:spacing w:before="240"/>
        <w:ind w:left="567" w:right="91" w:hanging="567"/>
        <w:contextualSpacing w:val="0"/>
        <w:rPr>
          <w:sz w:val="24"/>
          <w:szCs w:val="24"/>
          <w:lang w:eastAsia="en-AU"/>
        </w:rPr>
      </w:pPr>
      <w:r w:rsidRPr="00DB05BA">
        <w:rPr>
          <w:sz w:val="24"/>
          <w:szCs w:val="24"/>
          <w:lang w:eastAsia="en-AU"/>
        </w:rPr>
        <w:t xml:space="preserve">This </w:t>
      </w:r>
      <w:r w:rsidRPr="00AC4F44">
        <w:rPr>
          <w:sz w:val="24"/>
          <w:szCs w:val="24"/>
          <w:lang w:eastAsia="en-AU"/>
        </w:rPr>
        <w:t xml:space="preserve">section provides that the </w:t>
      </w:r>
      <w:r>
        <w:rPr>
          <w:sz w:val="24"/>
          <w:szCs w:val="24"/>
          <w:lang w:eastAsia="en-AU"/>
        </w:rPr>
        <w:t xml:space="preserve">determination </w:t>
      </w:r>
      <w:r w:rsidRPr="00AC4F44">
        <w:rPr>
          <w:sz w:val="24"/>
          <w:szCs w:val="24"/>
        </w:rPr>
        <w:t xml:space="preserve">is made under subitem 1(2) of Schedule 16 to the </w:t>
      </w:r>
      <w:r w:rsidRPr="00AC4F44">
        <w:rPr>
          <w:i/>
          <w:sz w:val="24"/>
          <w:szCs w:val="24"/>
        </w:rPr>
        <w:t>Coronavirus Economic Response Package Omnibus Act 2020</w:t>
      </w:r>
      <w:r w:rsidRPr="00AC4F44">
        <w:rPr>
          <w:sz w:val="24"/>
          <w:szCs w:val="24"/>
        </w:rPr>
        <w:t>.</w:t>
      </w:r>
    </w:p>
    <w:p w14:paraId="55061E29" w14:textId="25E51B5D" w:rsidR="003C14C2" w:rsidRDefault="003C14C2" w:rsidP="003C14C2">
      <w:pPr>
        <w:pStyle w:val="ListParagraph"/>
        <w:numPr>
          <w:ilvl w:val="0"/>
          <w:numId w:val="42"/>
        </w:numPr>
        <w:tabs>
          <w:tab w:val="right" w:pos="9072"/>
        </w:tabs>
        <w:spacing w:before="240"/>
        <w:ind w:left="567" w:right="91" w:hanging="567"/>
        <w:contextualSpacing w:val="0"/>
        <w:rPr>
          <w:sz w:val="24"/>
          <w:szCs w:val="24"/>
          <w:lang w:eastAsia="en-AU"/>
        </w:rPr>
      </w:pPr>
      <w:r w:rsidRPr="00AC4F44">
        <w:rPr>
          <w:sz w:val="24"/>
          <w:szCs w:val="24"/>
          <w:lang w:eastAsia="en-AU"/>
        </w:rPr>
        <w:t>Schedule 16 to</w:t>
      </w:r>
      <w:r w:rsidRPr="00AC4F44">
        <w:rPr>
          <w:i/>
          <w:sz w:val="24"/>
          <w:szCs w:val="24"/>
          <w:lang w:eastAsia="en-AU"/>
        </w:rPr>
        <w:t xml:space="preserve"> Coronavirus Economic Response Package Omnibus Act 2020</w:t>
      </w:r>
      <w:r>
        <w:rPr>
          <w:sz w:val="24"/>
          <w:szCs w:val="24"/>
          <w:lang w:eastAsia="en-AU"/>
        </w:rPr>
        <w:t xml:space="preserve"> </w:t>
      </w:r>
      <w:r w:rsidRPr="00AC4F44">
        <w:rPr>
          <w:sz w:val="24"/>
          <w:szCs w:val="24"/>
          <w:lang w:eastAsia="en-AU"/>
        </w:rPr>
        <w:t xml:space="preserve">allows the relevant Minister for an Act or legislative instrument that is scheduled to sunset on or before 15 October 2020 to determine a new day on which the </w:t>
      </w:r>
      <w:r>
        <w:rPr>
          <w:sz w:val="24"/>
          <w:szCs w:val="24"/>
          <w:lang w:eastAsia="en-AU"/>
        </w:rPr>
        <w:t>Act or legislative instrument</w:t>
      </w:r>
      <w:r w:rsidRPr="00AC4F44">
        <w:rPr>
          <w:sz w:val="24"/>
          <w:szCs w:val="24"/>
          <w:lang w:eastAsia="en-AU"/>
        </w:rPr>
        <w:t xml:space="preserve"> sunsets. This new date must be no longer than six months after the original sunset date</w:t>
      </w:r>
      <w:r>
        <w:rPr>
          <w:sz w:val="24"/>
          <w:szCs w:val="24"/>
          <w:lang w:eastAsia="en-AU"/>
        </w:rPr>
        <w:t>.</w:t>
      </w:r>
    </w:p>
    <w:p w14:paraId="66C00088" w14:textId="77777777" w:rsidR="003C14C2" w:rsidRPr="00C202DC" w:rsidRDefault="003C14C2" w:rsidP="003C14C2">
      <w:pPr>
        <w:tabs>
          <w:tab w:val="right" w:pos="9072"/>
        </w:tabs>
        <w:spacing w:before="240"/>
        <w:ind w:right="91"/>
        <w:rPr>
          <w:sz w:val="24"/>
          <w:szCs w:val="24"/>
          <w:u w:val="single"/>
          <w:lang w:eastAsia="en-AU"/>
        </w:rPr>
      </w:pPr>
      <w:r w:rsidRPr="00C202DC">
        <w:rPr>
          <w:sz w:val="24"/>
          <w:szCs w:val="24"/>
          <w:u w:val="single"/>
          <w:lang w:eastAsia="en-AU"/>
        </w:rPr>
        <w:t xml:space="preserve">Section 4 – </w:t>
      </w:r>
      <w:r>
        <w:rPr>
          <w:sz w:val="24"/>
          <w:szCs w:val="24"/>
          <w:u w:val="single"/>
          <w:lang w:eastAsia="en-AU"/>
        </w:rPr>
        <w:t>Definitions</w:t>
      </w:r>
    </w:p>
    <w:p w14:paraId="6EE141FC" w14:textId="77777777" w:rsidR="003C14C2" w:rsidRDefault="003C14C2" w:rsidP="003C14C2">
      <w:pPr>
        <w:pStyle w:val="ListParagraph"/>
        <w:numPr>
          <w:ilvl w:val="0"/>
          <w:numId w:val="42"/>
        </w:numPr>
        <w:tabs>
          <w:tab w:val="right" w:pos="9072"/>
        </w:tabs>
        <w:spacing w:before="240"/>
        <w:ind w:left="567" w:right="91" w:hanging="567"/>
        <w:contextualSpacing w:val="0"/>
        <w:rPr>
          <w:sz w:val="24"/>
          <w:szCs w:val="24"/>
          <w:lang w:eastAsia="en-AU"/>
        </w:rPr>
      </w:pPr>
      <w:r>
        <w:rPr>
          <w:sz w:val="24"/>
          <w:szCs w:val="24"/>
          <w:lang w:eastAsia="en-AU"/>
        </w:rPr>
        <w:t xml:space="preserve">This section explains the defined terms used throughout the determination – namely “current SOETM instrument” and “new SOETM instrument”. </w:t>
      </w:r>
    </w:p>
    <w:p w14:paraId="52AD65EB" w14:textId="77777777" w:rsidR="003C14C2" w:rsidRPr="009726F1" w:rsidRDefault="003C14C2" w:rsidP="003C14C2">
      <w:pPr>
        <w:pStyle w:val="ListParagraph"/>
        <w:numPr>
          <w:ilvl w:val="0"/>
          <w:numId w:val="42"/>
        </w:numPr>
        <w:tabs>
          <w:tab w:val="right" w:pos="9072"/>
        </w:tabs>
        <w:spacing w:before="240"/>
        <w:ind w:left="567" w:right="91" w:hanging="567"/>
        <w:contextualSpacing w:val="0"/>
        <w:rPr>
          <w:sz w:val="24"/>
          <w:szCs w:val="24"/>
          <w:lang w:eastAsia="en-AU"/>
        </w:rPr>
      </w:pPr>
      <w:r>
        <w:rPr>
          <w:sz w:val="24"/>
          <w:szCs w:val="24"/>
          <w:lang w:eastAsia="en-AU"/>
        </w:rPr>
        <w:t xml:space="preserve">The note clarifies the acronym SOETM, which is short </w:t>
      </w:r>
      <w:r w:rsidRPr="009726F1">
        <w:rPr>
          <w:sz w:val="24"/>
          <w:szCs w:val="24"/>
          <w:lang w:eastAsia="en-AU"/>
        </w:rPr>
        <w:t xml:space="preserve">for </w:t>
      </w:r>
      <w:r w:rsidRPr="009726F1">
        <w:rPr>
          <w:sz w:val="24"/>
          <w:szCs w:val="24"/>
        </w:rPr>
        <w:t>‘Services for Other Entities and Trust Moneys’</w:t>
      </w:r>
      <w:r>
        <w:rPr>
          <w:sz w:val="24"/>
          <w:szCs w:val="24"/>
        </w:rPr>
        <w:t>.</w:t>
      </w:r>
    </w:p>
    <w:p w14:paraId="612BCE7F" w14:textId="77777777" w:rsidR="003C14C2" w:rsidRPr="00C202DC" w:rsidRDefault="003C14C2" w:rsidP="003C14C2">
      <w:pPr>
        <w:tabs>
          <w:tab w:val="right" w:pos="9072"/>
        </w:tabs>
        <w:spacing w:before="240"/>
        <w:ind w:right="91"/>
        <w:rPr>
          <w:sz w:val="24"/>
          <w:szCs w:val="24"/>
          <w:u w:val="single"/>
          <w:lang w:eastAsia="en-AU"/>
        </w:rPr>
      </w:pPr>
      <w:r w:rsidRPr="00C202DC">
        <w:rPr>
          <w:sz w:val="24"/>
          <w:szCs w:val="24"/>
          <w:u w:val="single"/>
          <w:lang w:eastAsia="en-AU"/>
        </w:rPr>
        <w:t xml:space="preserve">Section </w:t>
      </w:r>
      <w:r>
        <w:rPr>
          <w:sz w:val="24"/>
          <w:szCs w:val="24"/>
          <w:u w:val="single"/>
          <w:lang w:eastAsia="en-AU"/>
        </w:rPr>
        <w:t>5</w:t>
      </w:r>
      <w:r w:rsidRPr="00C202DC">
        <w:rPr>
          <w:sz w:val="24"/>
          <w:szCs w:val="24"/>
          <w:u w:val="single"/>
          <w:lang w:eastAsia="en-AU"/>
        </w:rPr>
        <w:t xml:space="preserve"> – Deferral of original sunset day</w:t>
      </w:r>
    </w:p>
    <w:p w14:paraId="689DCE14" w14:textId="77777777" w:rsidR="003C14C2" w:rsidRPr="00AC4F44" w:rsidRDefault="003C14C2" w:rsidP="003C14C2">
      <w:pPr>
        <w:pStyle w:val="ListParagraph"/>
        <w:numPr>
          <w:ilvl w:val="0"/>
          <w:numId w:val="42"/>
        </w:numPr>
        <w:tabs>
          <w:tab w:val="right" w:pos="9072"/>
        </w:tabs>
        <w:spacing w:before="240"/>
        <w:ind w:left="567" w:right="91" w:hanging="567"/>
        <w:contextualSpacing w:val="0"/>
        <w:rPr>
          <w:sz w:val="24"/>
          <w:szCs w:val="24"/>
          <w:lang w:eastAsia="en-AU"/>
        </w:rPr>
      </w:pPr>
      <w:r>
        <w:rPr>
          <w:sz w:val="24"/>
          <w:szCs w:val="24"/>
          <w:lang w:eastAsia="en-AU"/>
        </w:rPr>
        <w:t xml:space="preserve">This section ensures that the current SOETM instrument continues to operate until it is replaced by the new SOETM instrument. If Parliament does not sit again for a sufficient period or the new SOETM instrument does not commence for some other reason, the current SOETM instrument will cease at the start of 1 October 2020 – which is no longer than </w:t>
      </w:r>
      <w:r w:rsidRPr="00AC4F44">
        <w:rPr>
          <w:sz w:val="24"/>
          <w:szCs w:val="24"/>
          <w:lang w:eastAsia="en-AU"/>
        </w:rPr>
        <w:t>six months after the original sunset da</w:t>
      </w:r>
      <w:r>
        <w:rPr>
          <w:sz w:val="24"/>
          <w:szCs w:val="24"/>
          <w:lang w:eastAsia="en-AU"/>
        </w:rPr>
        <w:t xml:space="preserve">y. </w:t>
      </w:r>
    </w:p>
    <w:p w14:paraId="08F7BD58" w14:textId="77777777" w:rsidR="003C14C2" w:rsidRPr="00AC4F44" w:rsidRDefault="003C14C2" w:rsidP="003C14C2">
      <w:pPr>
        <w:tabs>
          <w:tab w:val="right" w:pos="9072"/>
        </w:tabs>
        <w:ind w:right="91"/>
        <w:rPr>
          <w:sz w:val="24"/>
          <w:szCs w:val="24"/>
          <w:lang w:eastAsia="en-AU"/>
        </w:rPr>
      </w:pPr>
    </w:p>
    <w:p w14:paraId="232797E9" w14:textId="77777777" w:rsidR="003C14C2" w:rsidRPr="00AC4F44" w:rsidRDefault="003C14C2" w:rsidP="003C14C2">
      <w:pPr>
        <w:tabs>
          <w:tab w:val="right" w:pos="9072"/>
        </w:tabs>
        <w:ind w:right="91"/>
        <w:rPr>
          <w:sz w:val="24"/>
          <w:szCs w:val="24"/>
          <w:lang w:eastAsia="en-AU"/>
        </w:rPr>
      </w:pPr>
    </w:p>
    <w:p w14:paraId="40FB8F4D" w14:textId="77777777" w:rsidR="003C14C2" w:rsidRPr="00AC4F44" w:rsidRDefault="003C14C2" w:rsidP="003C14C2">
      <w:pPr>
        <w:rPr>
          <w:lang w:eastAsia="en-AU"/>
        </w:rPr>
      </w:pPr>
    </w:p>
    <w:p w14:paraId="0010ADB3" w14:textId="77777777" w:rsidR="00883E3A" w:rsidRDefault="00883E3A" w:rsidP="00883E3A">
      <w:pPr>
        <w:rPr>
          <w:b/>
          <w:u w:val="single"/>
          <w:lang w:eastAsia="en-AU"/>
        </w:rPr>
      </w:pPr>
    </w:p>
    <w:sectPr w:rsidR="00883E3A" w:rsidSect="0098602D">
      <w:headerReference w:type="even" r:id="rId8"/>
      <w:footerReference w:type="default" r:id="rId9"/>
      <w:headerReference w:type="first" r:id="rId10"/>
      <w:type w:val="continuous"/>
      <w:pgSz w:w="11906" w:h="16838"/>
      <w:pgMar w:top="1276" w:right="1274" w:bottom="993" w:left="1276" w:header="720" w:footer="10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51CBF" w14:textId="77777777" w:rsidR="00090FB4" w:rsidRDefault="00090FB4">
      <w:r>
        <w:separator/>
      </w:r>
    </w:p>
  </w:endnote>
  <w:endnote w:type="continuationSeparator" w:id="0">
    <w:p w14:paraId="1D79CCF2" w14:textId="77777777" w:rsidR="00090FB4" w:rsidRDefault="00090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B3B06" w14:textId="77777777" w:rsidR="00CE0AB2" w:rsidRDefault="00CE0AB2" w:rsidP="00853F16">
    <w:pPr>
      <w:pStyle w:val="Footer"/>
      <w:pBdr>
        <w:top w:val="single" w:sz="4" w:space="1" w:color="auto"/>
      </w:pBdr>
      <w:jc w:val="center"/>
    </w:pPr>
  </w:p>
  <w:p w14:paraId="6BE40F06" w14:textId="6291E877" w:rsidR="00CE0AB2" w:rsidRPr="006D49FD" w:rsidRDefault="00EA592C" w:rsidP="006D49FD">
    <w:pPr>
      <w:pStyle w:val="Footer"/>
      <w:jc w:val="center"/>
    </w:pPr>
    <w:sdt>
      <w:sdtPr>
        <w:id w:val="265387395"/>
        <w:docPartObj>
          <w:docPartGallery w:val="Page Numbers (Bottom of Page)"/>
          <w:docPartUnique/>
        </w:docPartObj>
      </w:sdtPr>
      <w:sdtEndPr/>
      <w:sdtContent>
        <w:sdt>
          <w:sdtPr>
            <w:id w:val="565050477"/>
            <w:docPartObj>
              <w:docPartGallery w:val="Page Numbers (Top of Page)"/>
              <w:docPartUnique/>
            </w:docPartObj>
          </w:sdtPr>
          <w:sdtEndPr/>
          <w:sdtContent>
            <w:r w:rsidR="00CE0AB2">
              <w:t xml:space="preserve">Page </w:t>
            </w:r>
            <w:r w:rsidR="00CE0AB2">
              <w:rPr>
                <w:b/>
                <w:sz w:val="24"/>
                <w:szCs w:val="24"/>
              </w:rPr>
              <w:fldChar w:fldCharType="begin"/>
            </w:r>
            <w:r w:rsidR="00CE0AB2">
              <w:rPr>
                <w:b/>
              </w:rPr>
              <w:instrText xml:space="preserve"> PAGE </w:instrText>
            </w:r>
            <w:r w:rsidR="00CE0AB2">
              <w:rPr>
                <w:b/>
                <w:sz w:val="24"/>
                <w:szCs w:val="24"/>
              </w:rPr>
              <w:fldChar w:fldCharType="separate"/>
            </w:r>
            <w:r>
              <w:rPr>
                <w:b/>
                <w:noProof/>
              </w:rPr>
              <w:t>4</w:t>
            </w:r>
            <w:r w:rsidR="00CE0AB2">
              <w:rPr>
                <w:b/>
                <w:sz w:val="24"/>
                <w:szCs w:val="24"/>
              </w:rPr>
              <w:fldChar w:fldCharType="end"/>
            </w:r>
            <w:r w:rsidR="00CE0AB2">
              <w:t xml:space="preserve"> of </w:t>
            </w:r>
            <w:r w:rsidR="00CE0AB2">
              <w:rPr>
                <w:b/>
                <w:sz w:val="24"/>
                <w:szCs w:val="24"/>
              </w:rPr>
              <w:fldChar w:fldCharType="begin"/>
            </w:r>
            <w:r w:rsidR="00CE0AB2">
              <w:rPr>
                <w:b/>
              </w:rPr>
              <w:instrText xml:space="preserve"> NUMPAGES  </w:instrText>
            </w:r>
            <w:r w:rsidR="00CE0AB2">
              <w:rPr>
                <w:b/>
                <w:sz w:val="24"/>
                <w:szCs w:val="24"/>
              </w:rPr>
              <w:fldChar w:fldCharType="separate"/>
            </w:r>
            <w:r>
              <w:rPr>
                <w:b/>
                <w:noProof/>
              </w:rPr>
              <w:t>4</w:t>
            </w:r>
            <w:r w:rsidR="00CE0AB2">
              <w:rPr>
                <w:b/>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AC278" w14:textId="77777777" w:rsidR="00090FB4" w:rsidRDefault="00090FB4">
      <w:r>
        <w:separator/>
      </w:r>
    </w:p>
  </w:footnote>
  <w:footnote w:type="continuationSeparator" w:id="0">
    <w:p w14:paraId="0DB4E6A1" w14:textId="77777777" w:rsidR="00090FB4" w:rsidRDefault="00090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90A55" w14:textId="77777777" w:rsidR="00CE0AB2" w:rsidRDefault="00820D2F">
    <w:pPr>
      <w:pStyle w:val="Header"/>
    </w:pPr>
    <w:r>
      <w:rPr>
        <w:noProof/>
        <w:lang w:eastAsia="en-AU"/>
      </w:rPr>
      <mc:AlternateContent>
        <mc:Choice Requires="wps">
          <w:drawing>
            <wp:anchor distT="0" distB="0" distL="114300" distR="114300" simplePos="0" relativeHeight="251657216" behindDoc="1" locked="0" layoutInCell="0" allowOverlap="1" wp14:anchorId="4D43DFC9" wp14:editId="3FED0526">
              <wp:simplePos x="0" y="0"/>
              <wp:positionH relativeFrom="margin">
                <wp:align>center</wp:align>
              </wp:positionH>
              <wp:positionV relativeFrom="margin">
                <wp:align>center</wp:align>
              </wp:positionV>
              <wp:extent cx="7538085" cy="83756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38085" cy="837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17030E" w14:textId="77777777" w:rsidR="00CE0AB2" w:rsidRDefault="00CE0AB2" w:rsidP="00293C23">
                          <w:pPr>
                            <w:pStyle w:val="NormalWeb"/>
                            <w:spacing w:before="0" w:beforeAutospacing="0" w:after="0" w:afterAutospacing="0"/>
                            <w:jc w:val="center"/>
                          </w:pPr>
                          <w:r>
                            <w:rPr>
                              <w:color w:val="C0C0C0"/>
                              <w:sz w:val="2"/>
                              <w:szCs w:val="2"/>
                            </w:rPr>
                            <w:t>Draft 23 June 2015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43DFC9" id="_x0000_t202" coordsize="21600,21600" o:spt="202" path="m,l,21600r21600,l21600,xe">
              <v:stroke joinstyle="miter"/>
              <v:path gradientshapeok="t" o:connecttype="rect"/>
            </v:shapetype>
            <v:shape id="WordArt 2" o:spid="_x0000_s1026" type="#_x0000_t202" style="position:absolute;margin-left:0;margin-top:0;width:593.55pt;height:65.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" o:allowincell="f" filled="f" stroked="f">
              <v:stroke joinstyle="round"/>
              <o:lock v:ext="edit" shapetype="t"/>
              <v:textbox style="mso-fit-shape-to-text:t">
                <w:txbxContent>
                  <w:p w14:paraId="1C17030E" w14:textId="77777777" w:rsidR="00CE0AB2" w:rsidRDefault="00CE0AB2" w:rsidP="00293C23">
                    <w:pPr>
                      <w:pStyle w:val="NormalWeb"/>
                      <w:spacing w:before="0" w:beforeAutospacing="0" w:after="0" w:afterAutospacing="0"/>
                      <w:jc w:val="center"/>
                    </w:pPr>
                    <w:r>
                      <w:rPr>
                        <w:color w:val="C0C0C0"/>
                        <w:sz w:val="2"/>
                        <w:szCs w:val="2"/>
                      </w:rPr>
                      <w:t>Draft 23 June 2015</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C8990" w14:textId="2BCDBF38" w:rsidR="00CE0AB2" w:rsidRDefault="00CE0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42DD"/>
    <w:multiLevelType w:val="hybridMultilevel"/>
    <w:tmpl w:val="A8986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6F6C98"/>
    <w:multiLevelType w:val="singleLevel"/>
    <w:tmpl w:val="97727896"/>
    <w:lvl w:ilvl="0">
      <w:start w:val="1"/>
      <w:numFmt w:val="lowerLetter"/>
      <w:lvlText w:val="(%1)"/>
      <w:lvlJc w:val="left"/>
      <w:pPr>
        <w:tabs>
          <w:tab w:val="num" w:pos="720"/>
        </w:tabs>
        <w:ind w:left="720" w:hanging="720"/>
      </w:pPr>
      <w:rPr>
        <w:rFonts w:hint="default"/>
      </w:rPr>
    </w:lvl>
  </w:abstractNum>
  <w:abstractNum w:abstractNumId="2" w15:restartNumberingAfterBreak="0">
    <w:nsid w:val="1BCE643B"/>
    <w:multiLevelType w:val="hybridMultilevel"/>
    <w:tmpl w:val="F838110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45E27"/>
    <w:multiLevelType w:val="hybridMultilevel"/>
    <w:tmpl w:val="5FEEA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33A1E4C"/>
    <w:multiLevelType w:val="hybridMultilevel"/>
    <w:tmpl w:val="FC2CE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4336C5"/>
    <w:multiLevelType w:val="hybridMultilevel"/>
    <w:tmpl w:val="BF48A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944F95"/>
    <w:multiLevelType w:val="hybridMultilevel"/>
    <w:tmpl w:val="BCA81AC6"/>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8E054B"/>
    <w:multiLevelType w:val="hybridMultilevel"/>
    <w:tmpl w:val="D6FE6A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9C151A"/>
    <w:multiLevelType w:val="hybridMultilevel"/>
    <w:tmpl w:val="4F0CE7E8"/>
    <w:lvl w:ilvl="0" w:tplc="3150157E">
      <w:start w:val="1"/>
      <w:numFmt w:val="decimal"/>
      <w:lvlText w:val="(%1)"/>
      <w:lvlJc w:val="left"/>
      <w:pPr>
        <w:ind w:left="720" w:hanging="360"/>
      </w:pPr>
      <w:rPr>
        <w:rFonts w:hint="default"/>
        <w:b w:val="0"/>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971D6B"/>
    <w:multiLevelType w:val="hybridMultilevel"/>
    <w:tmpl w:val="872293C0"/>
    <w:lvl w:ilvl="0" w:tplc="D2964EC4">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951A0B"/>
    <w:multiLevelType w:val="hybridMultilevel"/>
    <w:tmpl w:val="F11AFA8E"/>
    <w:lvl w:ilvl="0" w:tplc="B442E3F0">
      <w:start w:val="1"/>
      <w:numFmt w:val="decimal"/>
      <w:lvlText w:val="%1."/>
      <w:lvlJc w:val="left"/>
      <w:pPr>
        <w:ind w:left="360" w:hanging="360"/>
      </w:pPr>
      <w:rPr>
        <w:rFonts w:ascii="Times New Roman" w:hAnsi="Times New Roman"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AAC292F"/>
    <w:multiLevelType w:val="hybridMultilevel"/>
    <w:tmpl w:val="6DD62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501B29"/>
    <w:multiLevelType w:val="hybridMultilevel"/>
    <w:tmpl w:val="3140E60A"/>
    <w:lvl w:ilvl="0" w:tplc="CA8E64D4">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18F4BB0"/>
    <w:multiLevelType w:val="hybridMultilevel"/>
    <w:tmpl w:val="BB32E4BA"/>
    <w:lvl w:ilvl="0" w:tplc="F33CDBF4">
      <w:start w:val="1"/>
      <w:numFmt w:val="lowerLetter"/>
      <w:lvlText w:val="(%1)"/>
      <w:lvlJc w:val="left"/>
      <w:pPr>
        <w:tabs>
          <w:tab w:val="num" w:pos="510"/>
        </w:tabs>
        <w:ind w:left="510" w:hanging="51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41C252B"/>
    <w:multiLevelType w:val="hybridMultilevel"/>
    <w:tmpl w:val="51185EA6"/>
    <w:lvl w:ilvl="0" w:tplc="CDD4D1D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D447931"/>
    <w:multiLevelType w:val="hybridMultilevel"/>
    <w:tmpl w:val="4C98D618"/>
    <w:lvl w:ilvl="0" w:tplc="03866CD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E0C6E3F"/>
    <w:multiLevelType w:val="hybridMultilevel"/>
    <w:tmpl w:val="74CE9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926434"/>
    <w:multiLevelType w:val="hybridMultilevel"/>
    <w:tmpl w:val="5D04ED60"/>
    <w:lvl w:ilvl="0" w:tplc="76C27498">
      <w:numFmt w:val="bullet"/>
      <w:lvlText w:val=""/>
      <w:lvlJc w:val="left"/>
      <w:pPr>
        <w:ind w:left="1080" w:hanging="7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976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4A450B4"/>
    <w:multiLevelType w:val="multilevel"/>
    <w:tmpl w:val="B7642F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7843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22" w15:restartNumberingAfterBreak="0">
    <w:nsid w:val="5BF63858"/>
    <w:multiLevelType w:val="hybridMultilevel"/>
    <w:tmpl w:val="84A6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E52F36"/>
    <w:multiLevelType w:val="hybridMultilevel"/>
    <w:tmpl w:val="B9323DA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072422F"/>
    <w:multiLevelType w:val="hybridMultilevel"/>
    <w:tmpl w:val="6D9EB5F2"/>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CB3C08"/>
    <w:multiLevelType w:val="hybridMultilevel"/>
    <w:tmpl w:val="78B0982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6139F0"/>
    <w:multiLevelType w:val="hybridMultilevel"/>
    <w:tmpl w:val="FB56CE5E"/>
    <w:lvl w:ilvl="0" w:tplc="CA8E64D4">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67C35E29"/>
    <w:multiLevelType w:val="hybridMultilevel"/>
    <w:tmpl w:val="9702A6EA"/>
    <w:lvl w:ilvl="0" w:tplc="32BCCDDA">
      <w:start w:val="2"/>
      <w:numFmt w:val="decimal"/>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69744BE0"/>
    <w:multiLevelType w:val="hybridMultilevel"/>
    <w:tmpl w:val="6FBC1F6C"/>
    <w:lvl w:ilvl="0" w:tplc="03866CD6">
      <w:start w:val="1"/>
      <w:numFmt w:val="lowerLetter"/>
      <w:lvlText w:val="(%1)"/>
      <w:lvlJc w:val="left"/>
      <w:pPr>
        <w:tabs>
          <w:tab w:val="num" w:pos="720"/>
        </w:tabs>
        <w:ind w:left="720" w:hanging="360"/>
      </w:pPr>
      <w:rPr>
        <w:rFonts w:hint="default"/>
      </w:rPr>
    </w:lvl>
    <w:lvl w:ilvl="1" w:tplc="CA8E64D4">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6A7E2E8A"/>
    <w:multiLevelType w:val="hybridMultilevel"/>
    <w:tmpl w:val="CCC2BB00"/>
    <w:lvl w:ilvl="0" w:tplc="15F0F6E2">
      <w:start w:val="1"/>
      <w:numFmt w:val="decimal"/>
      <w:lvlText w:val="%1."/>
      <w:lvlJc w:val="left"/>
      <w:pPr>
        <w:ind w:left="360" w:hanging="360"/>
      </w:pPr>
      <w:rPr>
        <w:rFonts w:hint="default"/>
        <w:b w:val="0"/>
        <w:color w:val="auto"/>
      </w:rPr>
    </w:lvl>
    <w:lvl w:ilvl="1" w:tplc="DECCF63E">
      <w:start w:val="1"/>
      <w:numFmt w:val="lowerLetter"/>
      <w:lvlText w:val="(%2)"/>
      <w:lvlJc w:val="left"/>
      <w:pPr>
        <w:ind w:left="1080" w:hanging="360"/>
      </w:pPr>
      <w:rPr>
        <w:rFonts w:hint="default"/>
      </w:rPr>
    </w:lvl>
    <w:lvl w:ilvl="2" w:tplc="3C12FFDC">
      <w:start w:val="1"/>
      <w:numFmt w:val="lowerRoman"/>
      <w:lvlText w:val="%3."/>
      <w:lvlJc w:val="right"/>
      <w:pPr>
        <w:ind w:left="1800" w:hanging="180"/>
      </w:pPr>
    </w:lvl>
    <w:lvl w:ilvl="3" w:tplc="3410CCC6" w:tentative="1">
      <w:start w:val="1"/>
      <w:numFmt w:val="decimal"/>
      <w:lvlText w:val="%4."/>
      <w:lvlJc w:val="left"/>
      <w:pPr>
        <w:ind w:left="2520" w:hanging="360"/>
      </w:pPr>
    </w:lvl>
    <w:lvl w:ilvl="4" w:tplc="763AF0AA" w:tentative="1">
      <w:start w:val="1"/>
      <w:numFmt w:val="lowerLetter"/>
      <w:lvlText w:val="%5."/>
      <w:lvlJc w:val="left"/>
      <w:pPr>
        <w:ind w:left="3240" w:hanging="360"/>
      </w:pPr>
    </w:lvl>
    <w:lvl w:ilvl="5" w:tplc="6B980A9E" w:tentative="1">
      <w:start w:val="1"/>
      <w:numFmt w:val="lowerRoman"/>
      <w:lvlText w:val="%6."/>
      <w:lvlJc w:val="right"/>
      <w:pPr>
        <w:ind w:left="3960" w:hanging="180"/>
      </w:pPr>
    </w:lvl>
    <w:lvl w:ilvl="6" w:tplc="C26A053E" w:tentative="1">
      <w:start w:val="1"/>
      <w:numFmt w:val="decimal"/>
      <w:lvlText w:val="%7."/>
      <w:lvlJc w:val="left"/>
      <w:pPr>
        <w:ind w:left="4680" w:hanging="360"/>
      </w:pPr>
    </w:lvl>
    <w:lvl w:ilvl="7" w:tplc="7DA00050" w:tentative="1">
      <w:start w:val="1"/>
      <w:numFmt w:val="lowerLetter"/>
      <w:lvlText w:val="%8."/>
      <w:lvlJc w:val="left"/>
      <w:pPr>
        <w:ind w:left="5400" w:hanging="360"/>
      </w:pPr>
    </w:lvl>
    <w:lvl w:ilvl="8" w:tplc="4F08478C" w:tentative="1">
      <w:start w:val="1"/>
      <w:numFmt w:val="lowerRoman"/>
      <w:lvlText w:val="%9."/>
      <w:lvlJc w:val="right"/>
      <w:pPr>
        <w:ind w:left="6120" w:hanging="180"/>
      </w:pPr>
    </w:lvl>
  </w:abstractNum>
  <w:abstractNum w:abstractNumId="30" w15:restartNumberingAfterBreak="0">
    <w:nsid w:val="6A812C7E"/>
    <w:multiLevelType w:val="hybridMultilevel"/>
    <w:tmpl w:val="3274DF54"/>
    <w:lvl w:ilvl="0" w:tplc="CA8E64D4">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6F294C09"/>
    <w:multiLevelType w:val="hybridMultilevel"/>
    <w:tmpl w:val="7E1467A6"/>
    <w:lvl w:ilvl="0" w:tplc="011257D2">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2F78C0"/>
    <w:multiLevelType w:val="hybridMultilevel"/>
    <w:tmpl w:val="20F26350"/>
    <w:lvl w:ilvl="0" w:tplc="8B4A0F6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0E6000D"/>
    <w:multiLevelType w:val="hybridMultilevel"/>
    <w:tmpl w:val="A792FF38"/>
    <w:lvl w:ilvl="0" w:tplc="B584251E">
      <w:start w:val="1"/>
      <w:numFmt w:val="decimal"/>
      <w:lvlText w:val="%1."/>
      <w:lvlJc w:val="left"/>
      <w:pPr>
        <w:ind w:left="1287" w:hanging="360"/>
      </w:pPr>
      <w:rPr>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74287633"/>
    <w:multiLevelType w:val="hybridMultilevel"/>
    <w:tmpl w:val="B5609DAA"/>
    <w:lvl w:ilvl="0" w:tplc="091851E2">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0A58D2"/>
    <w:multiLevelType w:val="hybridMultilevel"/>
    <w:tmpl w:val="67E417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8F92EC1"/>
    <w:multiLevelType w:val="hybridMultilevel"/>
    <w:tmpl w:val="B0C86362"/>
    <w:lvl w:ilvl="0" w:tplc="4740BF2C">
      <w:start w:val="1"/>
      <w:numFmt w:val="decimal"/>
      <w:lvlText w:val="(%1)"/>
      <w:lvlJc w:val="left"/>
      <w:pPr>
        <w:tabs>
          <w:tab w:val="num" w:pos="1386"/>
        </w:tabs>
        <w:ind w:left="1386" w:hanging="360"/>
      </w:pPr>
      <w:rPr>
        <w:rFonts w:hint="default"/>
      </w:rPr>
    </w:lvl>
    <w:lvl w:ilvl="1" w:tplc="0C090019" w:tentative="1">
      <w:start w:val="1"/>
      <w:numFmt w:val="lowerLetter"/>
      <w:lvlText w:val="%2."/>
      <w:lvlJc w:val="left"/>
      <w:pPr>
        <w:tabs>
          <w:tab w:val="num" w:pos="2106"/>
        </w:tabs>
        <w:ind w:left="2106" w:hanging="360"/>
      </w:pPr>
    </w:lvl>
    <w:lvl w:ilvl="2" w:tplc="0C09001B" w:tentative="1">
      <w:start w:val="1"/>
      <w:numFmt w:val="lowerRoman"/>
      <w:lvlText w:val="%3."/>
      <w:lvlJc w:val="right"/>
      <w:pPr>
        <w:tabs>
          <w:tab w:val="num" w:pos="2826"/>
        </w:tabs>
        <w:ind w:left="2826" w:hanging="180"/>
      </w:pPr>
    </w:lvl>
    <w:lvl w:ilvl="3" w:tplc="0C09000F" w:tentative="1">
      <w:start w:val="1"/>
      <w:numFmt w:val="decimal"/>
      <w:lvlText w:val="%4."/>
      <w:lvlJc w:val="left"/>
      <w:pPr>
        <w:tabs>
          <w:tab w:val="num" w:pos="3546"/>
        </w:tabs>
        <w:ind w:left="3546" w:hanging="360"/>
      </w:pPr>
    </w:lvl>
    <w:lvl w:ilvl="4" w:tplc="0C090019" w:tentative="1">
      <w:start w:val="1"/>
      <w:numFmt w:val="lowerLetter"/>
      <w:lvlText w:val="%5."/>
      <w:lvlJc w:val="left"/>
      <w:pPr>
        <w:tabs>
          <w:tab w:val="num" w:pos="4266"/>
        </w:tabs>
        <w:ind w:left="4266" w:hanging="360"/>
      </w:pPr>
    </w:lvl>
    <w:lvl w:ilvl="5" w:tplc="0C09001B" w:tentative="1">
      <w:start w:val="1"/>
      <w:numFmt w:val="lowerRoman"/>
      <w:lvlText w:val="%6."/>
      <w:lvlJc w:val="right"/>
      <w:pPr>
        <w:tabs>
          <w:tab w:val="num" w:pos="4986"/>
        </w:tabs>
        <w:ind w:left="4986" w:hanging="180"/>
      </w:pPr>
    </w:lvl>
    <w:lvl w:ilvl="6" w:tplc="0C09000F" w:tentative="1">
      <w:start w:val="1"/>
      <w:numFmt w:val="decimal"/>
      <w:lvlText w:val="%7."/>
      <w:lvlJc w:val="left"/>
      <w:pPr>
        <w:tabs>
          <w:tab w:val="num" w:pos="5706"/>
        </w:tabs>
        <w:ind w:left="5706" w:hanging="360"/>
      </w:pPr>
    </w:lvl>
    <w:lvl w:ilvl="7" w:tplc="0C090019" w:tentative="1">
      <w:start w:val="1"/>
      <w:numFmt w:val="lowerLetter"/>
      <w:lvlText w:val="%8."/>
      <w:lvlJc w:val="left"/>
      <w:pPr>
        <w:tabs>
          <w:tab w:val="num" w:pos="6426"/>
        </w:tabs>
        <w:ind w:left="6426" w:hanging="360"/>
      </w:pPr>
    </w:lvl>
    <w:lvl w:ilvl="8" w:tplc="0C09001B" w:tentative="1">
      <w:start w:val="1"/>
      <w:numFmt w:val="lowerRoman"/>
      <w:lvlText w:val="%9."/>
      <w:lvlJc w:val="right"/>
      <w:pPr>
        <w:tabs>
          <w:tab w:val="num" w:pos="7146"/>
        </w:tabs>
        <w:ind w:left="7146" w:hanging="180"/>
      </w:pPr>
    </w:lvl>
  </w:abstractNum>
  <w:abstractNum w:abstractNumId="37" w15:restartNumberingAfterBreak="0">
    <w:nsid w:val="79CD0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A9C0C6C"/>
    <w:multiLevelType w:val="hybridMultilevel"/>
    <w:tmpl w:val="3F54CC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4E2084"/>
    <w:multiLevelType w:val="hybridMultilevel"/>
    <w:tmpl w:val="8D186D1E"/>
    <w:lvl w:ilvl="0" w:tplc="B83AF96E">
      <w:start w:val="1"/>
      <w:numFmt w:val="lowerRoman"/>
      <w:lvlText w:val="(%1)"/>
      <w:lvlJc w:val="left"/>
      <w:pPr>
        <w:tabs>
          <w:tab w:val="num" w:pos="1635"/>
        </w:tabs>
        <w:ind w:left="1635" w:hanging="91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C6A42F0"/>
    <w:multiLevelType w:val="hybridMultilevel"/>
    <w:tmpl w:val="7D76A01E"/>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161A1E"/>
    <w:multiLevelType w:val="hybridMultilevel"/>
    <w:tmpl w:val="566CC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37"/>
  </w:num>
  <w:num w:numId="4">
    <w:abstractNumId w:val="18"/>
  </w:num>
  <w:num w:numId="5">
    <w:abstractNumId w:val="23"/>
  </w:num>
  <w:num w:numId="6">
    <w:abstractNumId w:val="2"/>
  </w:num>
  <w:num w:numId="7">
    <w:abstractNumId w:val="25"/>
  </w:num>
  <w:num w:numId="8">
    <w:abstractNumId w:val="39"/>
  </w:num>
  <w:num w:numId="9">
    <w:abstractNumId w:val="24"/>
  </w:num>
  <w:num w:numId="10">
    <w:abstractNumId w:val="40"/>
  </w:num>
  <w:num w:numId="11">
    <w:abstractNumId w:val="14"/>
  </w:num>
  <w:num w:numId="12">
    <w:abstractNumId w:val="13"/>
  </w:num>
  <w:num w:numId="13">
    <w:abstractNumId w:val="19"/>
  </w:num>
  <w:num w:numId="14">
    <w:abstractNumId w:val="6"/>
  </w:num>
  <w:num w:numId="15">
    <w:abstractNumId w:val="28"/>
  </w:num>
  <w:num w:numId="16">
    <w:abstractNumId w:val="15"/>
  </w:num>
  <w:num w:numId="17">
    <w:abstractNumId w:val="26"/>
  </w:num>
  <w:num w:numId="18">
    <w:abstractNumId w:val="12"/>
  </w:num>
  <w:num w:numId="19">
    <w:abstractNumId w:val="30"/>
  </w:num>
  <w:num w:numId="20">
    <w:abstractNumId w:val="36"/>
  </w:num>
  <w:num w:numId="21">
    <w:abstractNumId w:val="35"/>
  </w:num>
  <w:num w:numId="22">
    <w:abstractNumId w:val="21"/>
  </w:num>
  <w:num w:numId="23">
    <w:abstractNumId w:val="32"/>
  </w:num>
  <w:num w:numId="24">
    <w:abstractNumId w:val="33"/>
  </w:num>
  <w:num w:numId="25">
    <w:abstractNumId w:val="27"/>
  </w:num>
  <w:num w:numId="26">
    <w:abstractNumId w:val="8"/>
  </w:num>
  <w:num w:numId="27">
    <w:abstractNumId w:val="38"/>
  </w:num>
  <w:num w:numId="28">
    <w:abstractNumId w:val="9"/>
  </w:num>
  <w:num w:numId="29">
    <w:abstractNumId w:val="22"/>
  </w:num>
  <w:num w:numId="30">
    <w:abstractNumId w:val="31"/>
  </w:num>
  <w:num w:numId="31">
    <w:abstractNumId w:val="34"/>
  </w:num>
  <w:num w:numId="32">
    <w:abstractNumId w:val="4"/>
  </w:num>
  <w:num w:numId="33">
    <w:abstractNumId w:val="41"/>
  </w:num>
  <w:num w:numId="34">
    <w:abstractNumId w:val="17"/>
  </w:num>
  <w:num w:numId="35">
    <w:abstractNumId w:val="16"/>
  </w:num>
  <w:num w:numId="36">
    <w:abstractNumId w:val="0"/>
  </w:num>
  <w:num w:numId="37">
    <w:abstractNumId w:val="3"/>
  </w:num>
  <w:num w:numId="38">
    <w:abstractNumId w:val="11"/>
  </w:num>
  <w:num w:numId="39">
    <w:abstractNumId w:val="29"/>
  </w:num>
  <w:num w:numId="40">
    <w:abstractNumId w:val="5"/>
  </w:num>
  <w:num w:numId="41">
    <w:abstractNumId w:val="10"/>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0F"/>
    <w:rsid w:val="00000063"/>
    <w:rsid w:val="000017DB"/>
    <w:rsid w:val="00002A89"/>
    <w:rsid w:val="00003968"/>
    <w:rsid w:val="00007BA2"/>
    <w:rsid w:val="0001049D"/>
    <w:rsid w:val="00014965"/>
    <w:rsid w:val="00015B88"/>
    <w:rsid w:val="00020BAA"/>
    <w:rsid w:val="000257AE"/>
    <w:rsid w:val="000277BB"/>
    <w:rsid w:val="000333B0"/>
    <w:rsid w:val="000341FD"/>
    <w:rsid w:val="0003594A"/>
    <w:rsid w:val="00035C26"/>
    <w:rsid w:val="00037D41"/>
    <w:rsid w:val="00045797"/>
    <w:rsid w:val="00046C10"/>
    <w:rsid w:val="000518E0"/>
    <w:rsid w:val="00053754"/>
    <w:rsid w:val="000564D8"/>
    <w:rsid w:val="00057257"/>
    <w:rsid w:val="00060FD5"/>
    <w:rsid w:val="00063E56"/>
    <w:rsid w:val="000653BC"/>
    <w:rsid w:val="000667C8"/>
    <w:rsid w:val="00074FDA"/>
    <w:rsid w:val="00075FCD"/>
    <w:rsid w:val="00081C33"/>
    <w:rsid w:val="000852B7"/>
    <w:rsid w:val="000852E0"/>
    <w:rsid w:val="0008621E"/>
    <w:rsid w:val="000902DE"/>
    <w:rsid w:val="00090FB4"/>
    <w:rsid w:val="0009155A"/>
    <w:rsid w:val="00092275"/>
    <w:rsid w:val="00093979"/>
    <w:rsid w:val="00095051"/>
    <w:rsid w:val="000A6FF5"/>
    <w:rsid w:val="000B1EC4"/>
    <w:rsid w:val="000B2BB3"/>
    <w:rsid w:val="000C18CF"/>
    <w:rsid w:val="000C38D9"/>
    <w:rsid w:val="000C4135"/>
    <w:rsid w:val="000C420F"/>
    <w:rsid w:val="000C5287"/>
    <w:rsid w:val="000C61A9"/>
    <w:rsid w:val="000C7006"/>
    <w:rsid w:val="000D7656"/>
    <w:rsid w:val="000E0589"/>
    <w:rsid w:val="000E2E50"/>
    <w:rsid w:val="000E6C47"/>
    <w:rsid w:val="000F101F"/>
    <w:rsid w:val="000F29FA"/>
    <w:rsid w:val="000F3345"/>
    <w:rsid w:val="000F675C"/>
    <w:rsid w:val="000F716D"/>
    <w:rsid w:val="00100667"/>
    <w:rsid w:val="001020E8"/>
    <w:rsid w:val="00104D2F"/>
    <w:rsid w:val="00105514"/>
    <w:rsid w:val="0010633F"/>
    <w:rsid w:val="001117B3"/>
    <w:rsid w:val="0011280F"/>
    <w:rsid w:val="0011496B"/>
    <w:rsid w:val="00123EFB"/>
    <w:rsid w:val="001248A4"/>
    <w:rsid w:val="00124DFD"/>
    <w:rsid w:val="00125C71"/>
    <w:rsid w:val="00147D4B"/>
    <w:rsid w:val="001519DD"/>
    <w:rsid w:val="00151C38"/>
    <w:rsid w:val="00152D39"/>
    <w:rsid w:val="00152DAE"/>
    <w:rsid w:val="00153E56"/>
    <w:rsid w:val="001553A7"/>
    <w:rsid w:val="0015775E"/>
    <w:rsid w:val="001676F1"/>
    <w:rsid w:val="00171DF1"/>
    <w:rsid w:val="00175F10"/>
    <w:rsid w:val="001767C7"/>
    <w:rsid w:val="0017703D"/>
    <w:rsid w:val="00181305"/>
    <w:rsid w:val="001821A5"/>
    <w:rsid w:val="0018276C"/>
    <w:rsid w:val="001919E4"/>
    <w:rsid w:val="00193978"/>
    <w:rsid w:val="00196016"/>
    <w:rsid w:val="00197F7A"/>
    <w:rsid w:val="001A0A45"/>
    <w:rsid w:val="001A1223"/>
    <w:rsid w:val="001A3E6B"/>
    <w:rsid w:val="001A48BB"/>
    <w:rsid w:val="001A5C39"/>
    <w:rsid w:val="001B2CC5"/>
    <w:rsid w:val="001B2F6B"/>
    <w:rsid w:val="001B3D6B"/>
    <w:rsid w:val="001B5109"/>
    <w:rsid w:val="001B721B"/>
    <w:rsid w:val="001B7CB7"/>
    <w:rsid w:val="001C2471"/>
    <w:rsid w:val="001C2A77"/>
    <w:rsid w:val="001C45F8"/>
    <w:rsid w:val="001D0CF6"/>
    <w:rsid w:val="001D4657"/>
    <w:rsid w:val="001D52DF"/>
    <w:rsid w:val="001D5936"/>
    <w:rsid w:val="001D750E"/>
    <w:rsid w:val="001D782F"/>
    <w:rsid w:val="001E169C"/>
    <w:rsid w:val="001E1A9A"/>
    <w:rsid w:val="001E1F94"/>
    <w:rsid w:val="001E1FEC"/>
    <w:rsid w:val="001E3D16"/>
    <w:rsid w:val="001E6DF8"/>
    <w:rsid w:val="001E7E8F"/>
    <w:rsid w:val="001F2C32"/>
    <w:rsid w:val="00210897"/>
    <w:rsid w:val="00212DDB"/>
    <w:rsid w:val="002141C7"/>
    <w:rsid w:val="00214749"/>
    <w:rsid w:val="00221E7A"/>
    <w:rsid w:val="00225DFA"/>
    <w:rsid w:val="00227DA0"/>
    <w:rsid w:val="00232CBC"/>
    <w:rsid w:val="002356F3"/>
    <w:rsid w:val="00237261"/>
    <w:rsid w:val="00247366"/>
    <w:rsid w:val="00247C6B"/>
    <w:rsid w:val="00250380"/>
    <w:rsid w:val="00255E47"/>
    <w:rsid w:val="00262038"/>
    <w:rsid w:val="00263D76"/>
    <w:rsid w:val="00267FC1"/>
    <w:rsid w:val="00270610"/>
    <w:rsid w:val="00270EA8"/>
    <w:rsid w:val="00271770"/>
    <w:rsid w:val="00273E35"/>
    <w:rsid w:val="00282B13"/>
    <w:rsid w:val="00282B66"/>
    <w:rsid w:val="00283985"/>
    <w:rsid w:val="00290B74"/>
    <w:rsid w:val="00293C23"/>
    <w:rsid w:val="00294916"/>
    <w:rsid w:val="002974EA"/>
    <w:rsid w:val="00297A0E"/>
    <w:rsid w:val="002A2659"/>
    <w:rsid w:val="002A7FD7"/>
    <w:rsid w:val="002B2473"/>
    <w:rsid w:val="002C1B86"/>
    <w:rsid w:val="002C23F4"/>
    <w:rsid w:val="002C2C9C"/>
    <w:rsid w:val="002C5577"/>
    <w:rsid w:val="002C6468"/>
    <w:rsid w:val="002D4968"/>
    <w:rsid w:val="002D518F"/>
    <w:rsid w:val="002D53AA"/>
    <w:rsid w:val="002D5BDC"/>
    <w:rsid w:val="002D62EF"/>
    <w:rsid w:val="002E17B0"/>
    <w:rsid w:val="002E1D17"/>
    <w:rsid w:val="002E4876"/>
    <w:rsid w:val="002E4C0D"/>
    <w:rsid w:val="002E4FB2"/>
    <w:rsid w:val="002E7CD9"/>
    <w:rsid w:val="002F1896"/>
    <w:rsid w:val="002F1CCE"/>
    <w:rsid w:val="002F397C"/>
    <w:rsid w:val="002F3A18"/>
    <w:rsid w:val="002F6A68"/>
    <w:rsid w:val="002F71DB"/>
    <w:rsid w:val="0030497B"/>
    <w:rsid w:val="00305EDF"/>
    <w:rsid w:val="00312C16"/>
    <w:rsid w:val="00314342"/>
    <w:rsid w:val="0031738C"/>
    <w:rsid w:val="00320AEA"/>
    <w:rsid w:val="00320D91"/>
    <w:rsid w:val="003255CF"/>
    <w:rsid w:val="00325AE2"/>
    <w:rsid w:val="00325C98"/>
    <w:rsid w:val="00326C34"/>
    <w:rsid w:val="00327CCD"/>
    <w:rsid w:val="003300FB"/>
    <w:rsid w:val="003317F1"/>
    <w:rsid w:val="00335424"/>
    <w:rsid w:val="003432DA"/>
    <w:rsid w:val="00345E56"/>
    <w:rsid w:val="00346038"/>
    <w:rsid w:val="00351F1B"/>
    <w:rsid w:val="0035216B"/>
    <w:rsid w:val="00364593"/>
    <w:rsid w:val="00370479"/>
    <w:rsid w:val="00370E0A"/>
    <w:rsid w:val="00373BDA"/>
    <w:rsid w:val="003811B3"/>
    <w:rsid w:val="003878DE"/>
    <w:rsid w:val="00387B28"/>
    <w:rsid w:val="00387EF7"/>
    <w:rsid w:val="0039137F"/>
    <w:rsid w:val="0039731B"/>
    <w:rsid w:val="003A1D30"/>
    <w:rsid w:val="003A5972"/>
    <w:rsid w:val="003A5EAC"/>
    <w:rsid w:val="003A7F0E"/>
    <w:rsid w:val="003B43D3"/>
    <w:rsid w:val="003B59BB"/>
    <w:rsid w:val="003C14C2"/>
    <w:rsid w:val="003C2C49"/>
    <w:rsid w:val="003C4DCE"/>
    <w:rsid w:val="003D2902"/>
    <w:rsid w:val="003D3AE3"/>
    <w:rsid w:val="003D6FDC"/>
    <w:rsid w:val="003D702D"/>
    <w:rsid w:val="003D7F26"/>
    <w:rsid w:val="003E2BBB"/>
    <w:rsid w:val="003F6F38"/>
    <w:rsid w:val="003F7998"/>
    <w:rsid w:val="00400B99"/>
    <w:rsid w:val="0040171D"/>
    <w:rsid w:val="00402FD8"/>
    <w:rsid w:val="004077C4"/>
    <w:rsid w:val="00421747"/>
    <w:rsid w:val="00421DE2"/>
    <w:rsid w:val="00423BAD"/>
    <w:rsid w:val="004260F8"/>
    <w:rsid w:val="00426532"/>
    <w:rsid w:val="00430105"/>
    <w:rsid w:val="00434B14"/>
    <w:rsid w:val="004459DA"/>
    <w:rsid w:val="0045109E"/>
    <w:rsid w:val="004510A4"/>
    <w:rsid w:val="00453D35"/>
    <w:rsid w:val="0046173D"/>
    <w:rsid w:val="00461954"/>
    <w:rsid w:val="00463304"/>
    <w:rsid w:val="004641E6"/>
    <w:rsid w:val="0047260E"/>
    <w:rsid w:val="0048239C"/>
    <w:rsid w:val="00485D6D"/>
    <w:rsid w:val="00486C03"/>
    <w:rsid w:val="00487551"/>
    <w:rsid w:val="004876C4"/>
    <w:rsid w:val="004903B3"/>
    <w:rsid w:val="0049205A"/>
    <w:rsid w:val="004920D0"/>
    <w:rsid w:val="00492280"/>
    <w:rsid w:val="004A04AF"/>
    <w:rsid w:val="004A31B6"/>
    <w:rsid w:val="004B1F89"/>
    <w:rsid w:val="004B21B0"/>
    <w:rsid w:val="004B379B"/>
    <w:rsid w:val="004B4939"/>
    <w:rsid w:val="004C4218"/>
    <w:rsid w:val="004C599B"/>
    <w:rsid w:val="004C5C3C"/>
    <w:rsid w:val="004C6029"/>
    <w:rsid w:val="004D5DE2"/>
    <w:rsid w:val="004D6F68"/>
    <w:rsid w:val="004D795E"/>
    <w:rsid w:val="004E0AE7"/>
    <w:rsid w:val="004F2250"/>
    <w:rsid w:val="004F43E8"/>
    <w:rsid w:val="004F443E"/>
    <w:rsid w:val="004F69A4"/>
    <w:rsid w:val="005008DE"/>
    <w:rsid w:val="00504B6C"/>
    <w:rsid w:val="00505CD9"/>
    <w:rsid w:val="00505F36"/>
    <w:rsid w:val="005107F2"/>
    <w:rsid w:val="005107F5"/>
    <w:rsid w:val="0051082A"/>
    <w:rsid w:val="00510D5B"/>
    <w:rsid w:val="0051596E"/>
    <w:rsid w:val="00516E6A"/>
    <w:rsid w:val="0052621A"/>
    <w:rsid w:val="005311B5"/>
    <w:rsid w:val="00531708"/>
    <w:rsid w:val="005320E5"/>
    <w:rsid w:val="00535297"/>
    <w:rsid w:val="00536C1D"/>
    <w:rsid w:val="00541948"/>
    <w:rsid w:val="00541D42"/>
    <w:rsid w:val="005450CF"/>
    <w:rsid w:val="00546DD9"/>
    <w:rsid w:val="005508AE"/>
    <w:rsid w:val="00551C80"/>
    <w:rsid w:val="00555475"/>
    <w:rsid w:val="005568BE"/>
    <w:rsid w:val="00557DCE"/>
    <w:rsid w:val="005609CD"/>
    <w:rsid w:val="005624F4"/>
    <w:rsid w:val="0056336B"/>
    <w:rsid w:val="00563690"/>
    <w:rsid w:val="00565773"/>
    <w:rsid w:val="00565E43"/>
    <w:rsid w:val="00565FB7"/>
    <w:rsid w:val="005724A5"/>
    <w:rsid w:val="005751EC"/>
    <w:rsid w:val="00575DB0"/>
    <w:rsid w:val="00576C63"/>
    <w:rsid w:val="00577CF4"/>
    <w:rsid w:val="00581F7F"/>
    <w:rsid w:val="005820FF"/>
    <w:rsid w:val="00582E59"/>
    <w:rsid w:val="005863CD"/>
    <w:rsid w:val="00590036"/>
    <w:rsid w:val="00590182"/>
    <w:rsid w:val="00592394"/>
    <w:rsid w:val="00593A9F"/>
    <w:rsid w:val="00593DD1"/>
    <w:rsid w:val="00597360"/>
    <w:rsid w:val="005A201A"/>
    <w:rsid w:val="005A2E0A"/>
    <w:rsid w:val="005A34CA"/>
    <w:rsid w:val="005A660F"/>
    <w:rsid w:val="005A6C7F"/>
    <w:rsid w:val="005C00BF"/>
    <w:rsid w:val="005C053E"/>
    <w:rsid w:val="005C1F47"/>
    <w:rsid w:val="005C40EB"/>
    <w:rsid w:val="005C4D13"/>
    <w:rsid w:val="005C78C7"/>
    <w:rsid w:val="005D25BB"/>
    <w:rsid w:val="005D35C5"/>
    <w:rsid w:val="005D56CE"/>
    <w:rsid w:val="005D6039"/>
    <w:rsid w:val="005E65F4"/>
    <w:rsid w:val="005F1F58"/>
    <w:rsid w:val="005F2342"/>
    <w:rsid w:val="005F44C2"/>
    <w:rsid w:val="005F5322"/>
    <w:rsid w:val="00601B7F"/>
    <w:rsid w:val="00602BCE"/>
    <w:rsid w:val="00604E38"/>
    <w:rsid w:val="0060562B"/>
    <w:rsid w:val="0060592C"/>
    <w:rsid w:val="0060595D"/>
    <w:rsid w:val="00611251"/>
    <w:rsid w:val="00611606"/>
    <w:rsid w:val="00615013"/>
    <w:rsid w:val="006150CE"/>
    <w:rsid w:val="00621160"/>
    <w:rsid w:val="0062221B"/>
    <w:rsid w:val="006227EF"/>
    <w:rsid w:val="0062389F"/>
    <w:rsid w:val="006247ED"/>
    <w:rsid w:val="006260E2"/>
    <w:rsid w:val="00633F46"/>
    <w:rsid w:val="006340D1"/>
    <w:rsid w:val="0063485F"/>
    <w:rsid w:val="0063669E"/>
    <w:rsid w:val="00640BAC"/>
    <w:rsid w:val="006451B2"/>
    <w:rsid w:val="00645F5E"/>
    <w:rsid w:val="00647AE9"/>
    <w:rsid w:val="00651AB3"/>
    <w:rsid w:val="00652257"/>
    <w:rsid w:val="00654FB2"/>
    <w:rsid w:val="006554E9"/>
    <w:rsid w:val="0066293D"/>
    <w:rsid w:val="00665555"/>
    <w:rsid w:val="00665867"/>
    <w:rsid w:val="00666583"/>
    <w:rsid w:val="00666D9E"/>
    <w:rsid w:val="00670A86"/>
    <w:rsid w:val="006722E8"/>
    <w:rsid w:val="006735CE"/>
    <w:rsid w:val="00677C4D"/>
    <w:rsid w:val="00682E84"/>
    <w:rsid w:val="00683388"/>
    <w:rsid w:val="00683812"/>
    <w:rsid w:val="0068716F"/>
    <w:rsid w:val="00693C5D"/>
    <w:rsid w:val="006A1697"/>
    <w:rsid w:val="006A1A65"/>
    <w:rsid w:val="006A75AF"/>
    <w:rsid w:val="006B2496"/>
    <w:rsid w:val="006B4FDB"/>
    <w:rsid w:val="006B5D40"/>
    <w:rsid w:val="006B647A"/>
    <w:rsid w:val="006B6BF1"/>
    <w:rsid w:val="006C6B8C"/>
    <w:rsid w:val="006C6DA9"/>
    <w:rsid w:val="006C7716"/>
    <w:rsid w:val="006C7818"/>
    <w:rsid w:val="006D2586"/>
    <w:rsid w:val="006D4876"/>
    <w:rsid w:val="006D49FD"/>
    <w:rsid w:val="006D6CC0"/>
    <w:rsid w:val="006D790A"/>
    <w:rsid w:val="006E03CC"/>
    <w:rsid w:val="006E06F8"/>
    <w:rsid w:val="006E1590"/>
    <w:rsid w:val="006E1D77"/>
    <w:rsid w:val="006E4DC5"/>
    <w:rsid w:val="006E53C2"/>
    <w:rsid w:val="006E66E3"/>
    <w:rsid w:val="006E6A5B"/>
    <w:rsid w:val="006F05E5"/>
    <w:rsid w:val="006F0C9F"/>
    <w:rsid w:val="006F1A8D"/>
    <w:rsid w:val="006F1CBF"/>
    <w:rsid w:val="006F2902"/>
    <w:rsid w:val="00704AB6"/>
    <w:rsid w:val="00706B09"/>
    <w:rsid w:val="00710F9F"/>
    <w:rsid w:val="00712340"/>
    <w:rsid w:val="007139A4"/>
    <w:rsid w:val="0071716E"/>
    <w:rsid w:val="00717259"/>
    <w:rsid w:val="007241F1"/>
    <w:rsid w:val="007272F2"/>
    <w:rsid w:val="007361ED"/>
    <w:rsid w:val="00737093"/>
    <w:rsid w:val="007457F8"/>
    <w:rsid w:val="00745B88"/>
    <w:rsid w:val="00745D72"/>
    <w:rsid w:val="0075255C"/>
    <w:rsid w:val="007536F2"/>
    <w:rsid w:val="007538B3"/>
    <w:rsid w:val="007556B8"/>
    <w:rsid w:val="00761059"/>
    <w:rsid w:val="007645C5"/>
    <w:rsid w:val="0076491E"/>
    <w:rsid w:val="00765E95"/>
    <w:rsid w:val="00767335"/>
    <w:rsid w:val="00771543"/>
    <w:rsid w:val="00772A5B"/>
    <w:rsid w:val="00780275"/>
    <w:rsid w:val="0078288C"/>
    <w:rsid w:val="0078297B"/>
    <w:rsid w:val="007831CF"/>
    <w:rsid w:val="00786FFA"/>
    <w:rsid w:val="00791256"/>
    <w:rsid w:val="007924AD"/>
    <w:rsid w:val="00794701"/>
    <w:rsid w:val="0079799D"/>
    <w:rsid w:val="00797C3A"/>
    <w:rsid w:val="007A48F0"/>
    <w:rsid w:val="007A6852"/>
    <w:rsid w:val="007A6E74"/>
    <w:rsid w:val="007A78A9"/>
    <w:rsid w:val="007B54F4"/>
    <w:rsid w:val="007B5E05"/>
    <w:rsid w:val="007B5F0B"/>
    <w:rsid w:val="007B6E67"/>
    <w:rsid w:val="007C31AC"/>
    <w:rsid w:val="007C5812"/>
    <w:rsid w:val="007C7813"/>
    <w:rsid w:val="007D1764"/>
    <w:rsid w:val="007D18F8"/>
    <w:rsid w:val="007D4D34"/>
    <w:rsid w:val="007D555B"/>
    <w:rsid w:val="007F1B1E"/>
    <w:rsid w:val="007F29C6"/>
    <w:rsid w:val="007F5313"/>
    <w:rsid w:val="007F788A"/>
    <w:rsid w:val="0080100C"/>
    <w:rsid w:val="00801548"/>
    <w:rsid w:val="008027C0"/>
    <w:rsid w:val="00803E0A"/>
    <w:rsid w:val="00805FA7"/>
    <w:rsid w:val="00807A67"/>
    <w:rsid w:val="00810CF0"/>
    <w:rsid w:val="00811654"/>
    <w:rsid w:val="00815222"/>
    <w:rsid w:val="008163DF"/>
    <w:rsid w:val="00816C19"/>
    <w:rsid w:val="00820D2F"/>
    <w:rsid w:val="00823883"/>
    <w:rsid w:val="0082606A"/>
    <w:rsid w:val="00834ECE"/>
    <w:rsid w:val="0083578F"/>
    <w:rsid w:val="00836FDD"/>
    <w:rsid w:val="00842E36"/>
    <w:rsid w:val="00844922"/>
    <w:rsid w:val="00846C7A"/>
    <w:rsid w:val="00852595"/>
    <w:rsid w:val="008539B2"/>
    <w:rsid w:val="00853F16"/>
    <w:rsid w:val="00856EB2"/>
    <w:rsid w:val="00857800"/>
    <w:rsid w:val="008621F9"/>
    <w:rsid w:val="00863C4E"/>
    <w:rsid w:val="00864D07"/>
    <w:rsid w:val="0087039A"/>
    <w:rsid w:val="0087100D"/>
    <w:rsid w:val="00874186"/>
    <w:rsid w:val="008755D2"/>
    <w:rsid w:val="00875604"/>
    <w:rsid w:val="008775EC"/>
    <w:rsid w:val="00880322"/>
    <w:rsid w:val="00883E3A"/>
    <w:rsid w:val="00885BAC"/>
    <w:rsid w:val="0088745B"/>
    <w:rsid w:val="00887A0A"/>
    <w:rsid w:val="0089048F"/>
    <w:rsid w:val="00892D0D"/>
    <w:rsid w:val="00892D44"/>
    <w:rsid w:val="008961FF"/>
    <w:rsid w:val="008967D8"/>
    <w:rsid w:val="00896D11"/>
    <w:rsid w:val="008A05FA"/>
    <w:rsid w:val="008A26C4"/>
    <w:rsid w:val="008A7692"/>
    <w:rsid w:val="008B42FB"/>
    <w:rsid w:val="008B5907"/>
    <w:rsid w:val="008C0696"/>
    <w:rsid w:val="008C29C7"/>
    <w:rsid w:val="008C4A8C"/>
    <w:rsid w:val="008C5565"/>
    <w:rsid w:val="008C5A70"/>
    <w:rsid w:val="008D0E3E"/>
    <w:rsid w:val="008D675F"/>
    <w:rsid w:val="008D76FA"/>
    <w:rsid w:val="008F0A3F"/>
    <w:rsid w:val="008F24EC"/>
    <w:rsid w:val="008F2D62"/>
    <w:rsid w:val="008F3048"/>
    <w:rsid w:val="00915142"/>
    <w:rsid w:val="0091777C"/>
    <w:rsid w:val="00920EEF"/>
    <w:rsid w:val="00923041"/>
    <w:rsid w:val="00926270"/>
    <w:rsid w:val="00926610"/>
    <w:rsid w:val="00927F60"/>
    <w:rsid w:val="00930F6E"/>
    <w:rsid w:val="009328B8"/>
    <w:rsid w:val="009342B2"/>
    <w:rsid w:val="00936941"/>
    <w:rsid w:val="009402F5"/>
    <w:rsid w:val="00940B65"/>
    <w:rsid w:val="0094150B"/>
    <w:rsid w:val="00944671"/>
    <w:rsid w:val="0094571D"/>
    <w:rsid w:val="0094580B"/>
    <w:rsid w:val="00946EF7"/>
    <w:rsid w:val="00957A4C"/>
    <w:rsid w:val="009619A3"/>
    <w:rsid w:val="0096309B"/>
    <w:rsid w:val="009636CF"/>
    <w:rsid w:val="00976513"/>
    <w:rsid w:val="0098142E"/>
    <w:rsid w:val="0098265D"/>
    <w:rsid w:val="0098602D"/>
    <w:rsid w:val="00987F3B"/>
    <w:rsid w:val="00990148"/>
    <w:rsid w:val="00992D92"/>
    <w:rsid w:val="009940C6"/>
    <w:rsid w:val="00994359"/>
    <w:rsid w:val="009943E8"/>
    <w:rsid w:val="0099768D"/>
    <w:rsid w:val="00997986"/>
    <w:rsid w:val="009B14C2"/>
    <w:rsid w:val="009B1885"/>
    <w:rsid w:val="009B6B2F"/>
    <w:rsid w:val="009C1F3A"/>
    <w:rsid w:val="009C238A"/>
    <w:rsid w:val="009D0411"/>
    <w:rsid w:val="009D04D7"/>
    <w:rsid w:val="009D061B"/>
    <w:rsid w:val="009D3C54"/>
    <w:rsid w:val="009D4A26"/>
    <w:rsid w:val="009D5289"/>
    <w:rsid w:val="009D5612"/>
    <w:rsid w:val="009D7AEB"/>
    <w:rsid w:val="009E1598"/>
    <w:rsid w:val="009E2FC5"/>
    <w:rsid w:val="009E4274"/>
    <w:rsid w:val="009E70F6"/>
    <w:rsid w:val="009F02FC"/>
    <w:rsid w:val="009F5A36"/>
    <w:rsid w:val="009F5B95"/>
    <w:rsid w:val="009F6541"/>
    <w:rsid w:val="009F67B0"/>
    <w:rsid w:val="00A02740"/>
    <w:rsid w:val="00A02F5A"/>
    <w:rsid w:val="00A03078"/>
    <w:rsid w:val="00A042E1"/>
    <w:rsid w:val="00A06A0C"/>
    <w:rsid w:val="00A121F2"/>
    <w:rsid w:val="00A13142"/>
    <w:rsid w:val="00A15AD6"/>
    <w:rsid w:val="00A166B7"/>
    <w:rsid w:val="00A215BE"/>
    <w:rsid w:val="00A24ADC"/>
    <w:rsid w:val="00A35C0B"/>
    <w:rsid w:val="00A369D5"/>
    <w:rsid w:val="00A419C0"/>
    <w:rsid w:val="00A44E95"/>
    <w:rsid w:val="00A47645"/>
    <w:rsid w:val="00A5114A"/>
    <w:rsid w:val="00A51503"/>
    <w:rsid w:val="00A524C9"/>
    <w:rsid w:val="00A55946"/>
    <w:rsid w:val="00A55E86"/>
    <w:rsid w:val="00A57BEB"/>
    <w:rsid w:val="00A61B48"/>
    <w:rsid w:val="00A628A3"/>
    <w:rsid w:val="00A67C95"/>
    <w:rsid w:val="00A73A54"/>
    <w:rsid w:val="00A73E2E"/>
    <w:rsid w:val="00A74AE2"/>
    <w:rsid w:val="00A75951"/>
    <w:rsid w:val="00A8136C"/>
    <w:rsid w:val="00A819A9"/>
    <w:rsid w:val="00A81F6A"/>
    <w:rsid w:val="00A8563A"/>
    <w:rsid w:val="00A86C5E"/>
    <w:rsid w:val="00A921AA"/>
    <w:rsid w:val="00A92F6F"/>
    <w:rsid w:val="00AA0A87"/>
    <w:rsid w:val="00AA2B1D"/>
    <w:rsid w:val="00AA3A07"/>
    <w:rsid w:val="00AA4A0C"/>
    <w:rsid w:val="00AB445A"/>
    <w:rsid w:val="00AB55DD"/>
    <w:rsid w:val="00AB7EE8"/>
    <w:rsid w:val="00AC0D0B"/>
    <w:rsid w:val="00AC18B8"/>
    <w:rsid w:val="00AC4AE4"/>
    <w:rsid w:val="00AC59D0"/>
    <w:rsid w:val="00AC7640"/>
    <w:rsid w:val="00AD1F46"/>
    <w:rsid w:val="00AD2A5B"/>
    <w:rsid w:val="00AD336A"/>
    <w:rsid w:val="00AD48A5"/>
    <w:rsid w:val="00AD68A7"/>
    <w:rsid w:val="00AE1351"/>
    <w:rsid w:val="00AE7BD1"/>
    <w:rsid w:val="00AF0B56"/>
    <w:rsid w:val="00AF654A"/>
    <w:rsid w:val="00AF78BA"/>
    <w:rsid w:val="00B01169"/>
    <w:rsid w:val="00B03A6C"/>
    <w:rsid w:val="00B04F25"/>
    <w:rsid w:val="00B12A5F"/>
    <w:rsid w:val="00B13E0F"/>
    <w:rsid w:val="00B1511E"/>
    <w:rsid w:val="00B1584D"/>
    <w:rsid w:val="00B15B0B"/>
    <w:rsid w:val="00B23E57"/>
    <w:rsid w:val="00B2596B"/>
    <w:rsid w:val="00B2599A"/>
    <w:rsid w:val="00B26868"/>
    <w:rsid w:val="00B273AD"/>
    <w:rsid w:val="00B27B09"/>
    <w:rsid w:val="00B32C60"/>
    <w:rsid w:val="00B331E9"/>
    <w:rsid w:val="00B37AFA"/>
    <w:rsid w:val="00B43064"/>
    <w:rsid w:val="00B43397"/>
    <w:rsid w:val="00B446D5"/>
    <w:rsid w:val="00B4613A"/>
    <w:rsid w:val="00B47A0D"/>
    <w:rsid w:val="00B53522"/>
    <w:rsid w:val="00B745E0"/>
    <w:rsid w:val="00B75889"/>
    <w:rsid w:val="00B76361"/>
    <w:rsid w:val="00B766E7"/>
    <w:rsid w:val="00B828CD"/>
    <w:rsid w:val="00B833E9"/>
    <w:rsid w:val="00B8562B"/>
    <w:rsid w:val="00B948DF"/>
    <w:rsid w:val="00B96461"/>
    <w:rsid w:val="00BA0B8D"/>
    <w:rsid w:val="00BB0035"/>
    <w:rsid w:val="00BB3704"/>
    <w:rsid w:val="00BB62C6"/>
    <w:rsid w:val="00BB73CB"/>
    <w:rsid w:val="00BD0759"/>
    <w:rsid w:val="00BD0819"/>
    <w:rsid w:val="00BD2856"/>
    <w:rsid w:val="00BD376E"/>
    <w:rsid w:val="00BD66C3"/>
    <w:rsid w:val="00BE0A72"/>
    <w:rsid w:val="00BE62F5"/>
    <w:rsid w:val="00BF1ECF"/>
    <w:rsid w:val="00BF2411"/>
    <w:rsid w:val="00C0116D"/>
    <w:rsid w:val="00C03EB1"/>
    <w:rsid w:val="00C108EE"/>
    <w:rsid w:val="00C1168D"/>
    <w:rsid w:val="00C133EA"/>
    <w:rsid w:val="00C1586E"/>
    <w:rsid w:val="00C207F3"/>
    <w:rsid w:val="00C20806"/>
    <w:rsid w:val="00C22DF4"/>
    <w:rsid w:val="00C2574C"/>
    <w:rsid w:val="00C2613A"/>
    <w:rsid w:val="00C34235"/>
    <w:rsid w:val="00C3697B"/>
    <w:rsid w:val="00C43E9E"/>
    <w:rsid w:val="00C441D0"/>
    <w:rsid w:val="00C536EE"/>
    <w:rsid w:val="00C562EB"/>
    <w:rsid w:val="00C57C2C"/>
    <w:rsid w:val="00C655A3"/>
    <w:rsid w:val="00C6793A"/>
    <w:rsid w:val="00C73650"/>
    <w:rsid w:val="00C74A16"/>
    <w:rsid w:val="00C770BC"/>
    <w:rsid w:val="00C775C5"/>
    <w:rsid w:val="00C80E2C"/>
    <w:rsid w:val="00C82233"/>
    <w:rsid w:val="00C8365E"/>
    <w:rsid w:val="00C84220"/>
    <w:rsid w:val="00C92341"/>
    <w:rsid w:val="00C93D4D"/>
    <w:rsid w:val="00CA138D"/>
    <w:rsid w:val="00CA5542"/>
    <w:rsid w:val="00CA6F3A"/>
    <w:rsid w:val="00CB0645"/>
    <w:rsid w:val="00CB295C"/>
    <w:rsid w:val="00CB29EE"/>
    <w:rsid w:val="00CB3E92"/>
    <w:rsid w:val="00CB4087"/>
    <w:rsid w:val="00CC3BD5"/>
    <w:rsid w:val="00CC4508"/>
    <w:rsid w:val="00CD0AC8"/>
    <w:rsid w:val="00CD0D2F"/>
    <w:rsid w:val="00CD1BE0"/>
    <w:rsid w:val="00CD3B0E"/>
    <w:rsid w:val="00CD3E36"/>
    <w:rsid w:val="00CD49AF"/>
    <w:rsid w:val="00CD4CE7"/>
    <w:rsid w:val="00CD5561"/>
    <w:rsid w:val="00CD60E6"/>
    <w:rsid w:val="00CE00FE"/>
    <w:rsid w:val="00CE0AB2"/>
    <w:rsid w:val="00CE12EE"/>
    <w:rsid w:val="00CE25AA"/>
    <w:rsid w:val="00CE29D8"/>
    <w:rsid w:val="00CE4471"/>
    <w:rsid w:val="00CE695B"/>
    <w:rsid w:val="00CF11B0"/>
    <w:rsid w:val="00CF3530"/>
    <w:rsid w:val="00CF6C67"/>
    <w:rsid w:val="00D10360"/>
    <w:rsid w:val="00D147FB"/>
    <w:rsid w:val="00D149EF"/>
    <w:rsid w:val="00D1572B"/>
    <w:rsid w:val="00D16D63"/>
    <w:rsid w:val="00D16FBB"/>
    <w:rsid w:val="00D21590"/>
    <w:rsid w:val="00D22820"/>
    <w:rsid w:val="00D244C4"/>
    <w:rsid w:val="00D24AB2"/>
    <w:rsid w:val="00D24DEB"/>
    <w:rsid w:val="00D24E87"/>
    <w:rsid w:val="00D252D2"/>
    <w:rsid w:val="00D27837"/>
    <w:rsid w:val="00D3235E"/>
    <w:rsid w:val="00D35F07"/>
    <w:rsid w:val="00D45F8A"/>
    <w:rsid w:val="00D46EFE"/>
    <w:rsid w:val="00D47861"/>
    <w:rsid w:val="00D47B34"/>
    <w:rsid w:val="00D47FE4"/>
    <w:rsid w:val="00D5023A"/>
    <w:rsid w:val="00D50F0B"/>
    <w:rsid w:val="00D5114D"/>
    <w:rsid w:val="00D55CE5"/>
    <w:rsid w:val="00D63E96"/>
    <w:rsid w:val="00D676E6"/>
    <w:rsid w:val="00D72328"/>
    <w:rsid w:val="00D76603"/>
    <w:rsid w:val="00D77EC0"/>
    <w:rsid w:val="00D81DD0"/>
    <w:rsid w:val="00D84098"/>
    <w:rsid w:val="00D90778"/>
    <w:rsid w:val="00D919A6"/>
    <w:rsid w:val="00D91EB3"/>
    <w:rsid w:val="00D92000"/>
    <w:rsid w:val="00D93386"/>
    <w:rsid w:val="00D94BCE"/>
    <w:rsid w:val="00D951A5"/>
    <w:rsid w:val="00DA0B2F"/>
    <w:rsid w:val="00DA3F69"/>
    <w:rsid w:val="00DA4D78"/>
    <w:rsid w:val="00DA5EB8"/>
    <w:rsid w:val="00DA7583"/>
    <w:rsid w:val="00DB0CA9"/>
    <w:rsid w:val="00DB6D19"/>
    <w:rsid w:val="00DC085D"/>
    <w:rsid w:val="00DC157D"/>
    <w:rsid w:val="00DC3B8F"/>
    <w:rsid w:val="00DC3D53"/>
    <w:rsid w:val="00DC7FBA"/>
    <w:rsid w:val="00DD06F0"/>
    <w:rsid w:val="00DD41BA"/>
    <w:rsid w:val="00DD4DB2"/>
    <w:rsid w:val="00DE10FE"/>
    <w:rsid w:val="00DE499E"/>
    <w:rsid w:val="00DE5602"/>
    <w:rsid w:val="00DE6D96"/>
    <w:rsid w:val="00DE7001"/>
    <w:rsid w:val="00DF0059"/>
    <w:rsid w:val="00DF141D"/>
    <w:rsid w:val="00DF45AE"/>
    <w:rsid w:val="00E03326"/>
    <w:rsid w:val="00E10067"/>
    <w:rsid w:val="00E10086"/>
    <w:rsid w:val="00E10BA6"/>
    <w:rsid w:val="00E15C2C"/>
    <w:rsid w:val="00E1613C"/>
    <w:rsid w:val="00E27BA7"/>
    <w:rsid w:val="00E311B1"/>
    <w:rsid w:val="00E33397"/>
    <w:rsid w:val="00E36420"/>
    <w:rsid w:val="00E4683B"/>
    <w:rsid w:val="00E51E57"/>
    <w:rsid w:val="00E63B54"/>
    <w:rsid w:val="00E64871"/>
    <w:rsid w:val="00E6594B"/>
    <w:rsid w:val="00E67A1A"/>
    <w:rsid w:val="00E764D3"/>
    <w:rsid w:val="00E767FE"/>
    <w:rsid w:val="00E77909"/>
    <w:rsid w:val="00E8103D"/>
    <w:rsid w:val="00E82AAF"/>
    <w:rsid w:val="00E84816"/>
    <w:rsid w:val="00E86220"/>
    <w:rsid w:val="00E97340"/>
    <w:rsid w:val="00E97850"/>
    <w:rsid w:val="00EA2E8F"/>
    <w:rsid w:val="00EA39A5"/>
    <w:rsid w:val="00EA592C"/>
    <w:rsid w:val="00EA6E49"/>
    <w:rsid w:val="00EA784B"/>
    <w:rsid w:val="00EA7EEC"/>
    <w:rsid w:val="00EB0ADD"/>
    <w:rsid w:val="00EB3446"/>
    <w:rsid w:val="00EB501F"/>
    <w:rsid w:val="00EB7297"/>
    <w:rsid w:val="00EC1C0A"/>
    <w:rsid w:val="00EC50BA"/>
    <w:rsid w:val="00EC5DB0"/>
    <w:rsid w:val="00ED3447"/>
    <w:rsid w:val="00ED3DED"/>
    <w:rsid w:val="00EE0FAC"/>
    <w:rsid w:val="00EE1A1F"/>
    <w:rsid w:val="00EE53E0"/>
    <w:rsid w:val="00EE751B"/>
    <w:rsid w:val="00EF3EFC"/>
    <w:rsid w:val="00EF6C7D"/>
    <w:rsid w:val="00EF73D0"/>
    <w:rsid w:val="00F00DDB"/>
    <w:rsid w:val="00F01D0E"/>
    <w:rsid w:val="00F02323"/>
    <w:rsid w:val="00F03831"/>
    <w:rsid w:val="00F0530A"/>
    <w:rsid w:val="00F0563C"/>
    <w:rsid w:val="00F05955"/>
    <w:rsid w:val="00F06A76"/>
    <w:rsid w:val="00F076B6"/>
    <w:rsid w:val="00F1222A"/>
    <w:rsid w:val="00F15F3B"/>
    <w:rsid w:val="00F1729C"/>
    <w:rsid w:val="00F27DD2"/>
    <w:rsid w:val="00F34365"/>
    <w:rsid w:val="00F3518E"/>
    <w:rsid w:val="00F41325"/>
    <w:rsid w:val="00F50562"/>
    <w:rsid w:val="00F51CA7"/>
    <w:rsid w:val="00F52567"/>
    <w:rsid w:val="00F53549"/>
    <w:rsid w:val="00F53752"/>
    <w:rsid w:val="00F55541"/>
    <w:rsid w:val="00F567DF"/>
    <w:rsid w:val="00F57643"/>
    <w:rsid w:val="00F62EB3"/>
    <w:rsid w:val="00F64C93"/>
    <w:rsid w:val="00F653FD"/>
    <w:rsid w:val="00F66253"/>
    <w:rsid w:val="00F7075E"/>
    <w:rsid w:val="00F70CCF"/>
    <w:rsid w:val="00F71026"/>
    <w:rsid w:val="00F731A7"/>
    <w:rsid w:val="00F74650"/>
    <w:rsid w:val="00F74887"/>
    <w:rsid w:val="00F748AB"/>
    <w:rsid w:val="00F76553"/>
    <w:rsid w:val="00F82549"/>
    <w:rsid w:val="00F82E58"/>
    <w:rsid w:val="00F84087"/>
    <w:rsid w:val="00F869BC"/>
    <w:rsid w:val="00F86A8E"/>
    <w:rsid w:val="00F8778B"/>
    <w:rsid w:val="00F94F71"/>
    <w:rsid w:val="00FA62D0"/>
    <w:rsid w:val="00FB237C"/>
    <w:rsid w:val="00FB3B80"/>
    <w:rsid w:val="00FB49B0"/>
    <w:rsid w:val="00FB6A7C"/>
    <w:rsid w:val="00FB6D64"/>
    <w:rsid w:val="00FC195B"/>
    <w:rsid w:val="00FC5865"/>
    <w:rsid w:val="00FC6EE9"/>
    <w:rsid w:val="00FD5E7A"/>
    <w:rsid w:val="00FD6A09"/>
    <w:rsid w:val="00FE051A"/>
    <w:rsid w:val="00FF04DD"/>
    <w:rsid w:val="00FF7E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C647050"/>
  <w15:docId w15:val="{4AFF0CD9-2F63-453F-A808-68261C4E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1B"/>
    <w:rPr>
      <w:lang w:eastAsia="en-US"/>
    </w:rPr>
  </w:style>
  <w:style w:type="paragraph" w:styleId="Heading1">
    <w:name w:val="heading 1"/>
    <w:basedOn w:val="Normal"/>
    <w:next w:val="Normal"/>
    <w:qFormat/>
    <w:rsid w:val="009D061B"/>
    <w:pPr>
      <w:keepNext/>
      <w:jc w:val="center"/>
      <w:outlineLvl w:val="0"/>
    </w:pPr>
    <w:rPr>
      <w:i/>
      <w:sz w:val="24"/>
    </w:rPr>
  </w:style>
  <w:style w:type="paragraph" w:styleId="Heading2">
    <w:name w:val="heading 2"/>
    <w:basedOn w:val="Normal"/>
    <w:next w:val="Normal"/>
    <w:qFormat/>
    <w:rsid w:val="009D061B"/>
    <w:pPr>
      <w:keepNext/>
      <w:jc w:val="center"/>
      <w:outlineLvl w:val="1"/>
    </w:pPr>
    <w:rPr>
      <w:sz w:val="24"/>
    </w:rPr>
  </w:style>
  <w:style w:type="paragraph" w:styleId="Heading3">
    <w:name w:val="heading 3"/>
    <w:basedOn w:val="Normal"/>
    <w:next w:val="Normal"/>
    <w:link w:val="Heading3Char"/>
    <w:uiPriority w:val="99"/>
    <w:qFormat/>
    <w:rsid w:val="009D061B"/>
    <w:pPr>
      <w:keepNext/>
      <w:spacing w:before="120" w:after="120"/>
      <w:outlineLvl w:val="2"/>
    </w:pPr>
    <w:rPr>
      <w:b/>
      <w:bCs/>
      <w:sz w:val="24"/>
    </w:rPr>
  </w:style>
  <w:style w:type="paragraph" w:styleId="Heading4">
    <w:name w:val="heading 4"/>
    <w:basedOn w:val="Normal"/>
    <w:next w:val="Normal"/>
    <w:qFormat/>
    <w:rsid w:val="009D061B"/>
    <w:pPr>
      <w:keepNext/>
      <w:outlineLvl w:val="3"/>
    </w:pPr>
    <w:rPr>
      <w:b/>
      <w:bCs/>
      <w:i/>
      <w:iCs/>
      <w:sz w:val="24"/>
    </w:rPr>
  </w:style>
  <w:style w:type="paragraph" w:styleId="Heading5">
    <w:name w:val="heading 5"/>
    <w:basedOn w:val="Normal"/>
    <w:next w:val="Normal"/>
    <w:qFormat/>
    <w:rsid w:val="009D061B"/>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D061B"/>
    <w:pPr>
      <w:jc w:val="center"/>
    </w:pPr>
    <w:rPr>
      <w:sz w:val="24"/>
      <w:u w:val="single"/>
    </w:rPr>
  </w:style>
  <w:style w:type="paragraph" w:styleId="Subtitle">
    <w:name w:val="Subtitle"/>
    <w:basedOn w:val="Normal"/>
    <w:qFormat/>
    <w:rsid w:val="009D061B"/>
    <w:pPr>
      <w:jc w:val="center"/>
    </w:pPr>
    <w:rPr>
      <w:sz w:val="24"/>
    </w:rPr>
  </w:style>
  <w:style w:type="paragraph" w:styleId="Header">
    <w:name w:val="header"/>
    <w:basedOn w:val="Normal"/>
    <w:rsid w:val="009D061B"/>
    <w:pPr>
      <w:tabs>
        <w:tab w:val="center" w:pos="4153"/>
        <w:tab w:val="right" w:pos="8306"/>
      </w:tabs>
    </w:pPr>
  </w:style>
  <w:style w:type="paragraph" w:styleId="Footer">
    <w:name w:val="footer"/>
    <w:basedOn w:val="Normal"/>
    <w:link w:val="FooterChar"/>
    <w:uiPriority w:val="99"/>
    <w:rsid w:val="009D061B"/>
    <w:pPr>
      <w:tabs>
        <w:tab w:val="center" w:pos="4153"/>
        <w:tab w:val="right" w:pos="8306"/>
      </w:tabs>
    </w:pPr>
  </w:style>
  <w:style w:type="paragraph" w:styleId="BodyText">
    <w:name w:val="Body Text"/>
    <w:basedOn w:val="Normal"/>
    <w:link w:val="BodyTextChar"/>
    <w:uiPriority w:val="99"/>
    <w:rsid w:val="009D061B"/>
    <w:rPr>
      <w:sz w:val="24"/>
    </w:rPr>
  </w:style>
  <w:style w:type="paragraph" w:styleId="BodyText2">
    <w:name w:val="Body Text 2"/>
    <w:basedOn w:val="Normal"/>
    <w:rsid w:val="009D061B"/>
    <w:rPr>
      <w:i/>
      <w:iCs/>
      <w:sz w:val="24"/>
    </w:rPr>
  </w:style>
  <w:style w:type="paragraph" w:customStyle="1" w:styleId="StyleAfter6pt">
    <w:name w:val="Style After:  6 pt"/>
    <w:basedOn w:val="Normal"/>
    <w:rsid w:val="00C74A16"/>
    <w:pPr>
      <w:spacing w:before="120" w:after="120"/>
    </w:pPr>
    <w:rPr>
      <w:sz w:val="24"/>
    </w:rPr>
  </w:style>
  <w:style w:type="paragraph" w:styleId="BalloonText">
    <w:name w:val="Balloon Text"/>
    <w:basedOn w:val="Normal"/>
    <w:semiHidden/>
    <w:rsid w:val="0094580B"/>
    <w:rPr>
      <w:rFonts w:ascii="Tahoma" w:hAnsi="Tahoma" w:cs="Tahoma"/>
      <w:sz w:val="16"/>
      <w:szCs w:val="16"/>
    </w:rPr>
  </w:style>
  <w:style w:type="paragraph" w:customStyle="1" w:styleId="StyleLeft1cm">
    <w:name w:val="Style Left:  1 cm"/>
    <w:basedOn w:val="Normal"/>
    <w:rsid w:val="00C74A16"/>
    <w:pPr>
      <w:ind w:left="567"/>
    </w:pPr>
    <w:rPr>
      <w:sz w:val="24"/>
    </w:rPr>
  </w:style>
  <w:style w:type="character" w:styleId="CommentReference">
    <w:name w:val="annotation reference"/>
    <w:basedOn w:val="DefaultParagraphFont"/>
    <w:semiHidden/>
    <w:rsid w:val="0094580B"/>
    <w:rPr>
      <w:sz w:val="16"/>
      <w:szCs w:val="16"/>
    </w:rPr>
  </w:style>
  <w:style w:type="paragraph" w:styleId="CommentText">
    <w:name w:val="annotation text"/>
    <w:basedOn w:val="Normal"/>
    <w:semiHidden/>
    <w:rsid w:val="0094580B"/>
  </w:style>
  <w:style w:type="paragraph" w:styleId="CommentSubject">
    <w:name w:val="annotation subject"/>
    <w:basedOn w:val="CommentText"/>
    <w:next w:val="CommentText"/>
    <w:semiHidden/>
    <w:rsid w:val="0094580B"/>
    <w:rPr>
      <w:b/>
      <w:bCs/>
    </w:rPr>
  </w:style>
  <w:style w:type="paragraph" w:styleId="NormalWeb">
    <w:name w:val="Normal (Web)"/>
    <w:basedOn w:val="Normal"/>
    <w:uiPriority w:val="99"/>
    <w:rsid w:val="00621160"/>
    <w:pPr>
      <w:spacing w:before="100" w:beforeAutospacing="1" w:after="100" w:afterAutospacing="1"/>
    </w:pPr>
    <w:rPr>
      <w:sz w:val="24"/>
      <w:szCs w:val="24"/>
      <w:lang w:eastAsia="en-AU"/>
    </w:rPr>
  </w:style>
  <w:style w:type="character" w:customStyle="1" w:styleId="FooterChar">
    <w:name w:val="Footer Char"/>
    <w:basedOn w:val="DefaultParagraphFont"/>
    <w:link w:val="Footer"/>
    <w:uiPriority w:val="99"/>
    <w:rsid w:val="00C74A16"/>
    <w:rPr>
      <w:lang w:eastAsia="en-US"/>
    </w:rPr>
  </w:style>
  <w:style w:type="paragraph" w:customStyle="1" w:styleId="NumberList">
    <w:name w:val="Number List"/>
    <w:basedOn w:val="Normal"/>
    <w:rsid w:val="003A1D30"/>
    <w:pPr>
      <w:numPr>
        <w:numId w:val="22"/>
      </w:numPr>
      <w:tabs>
        <w:tab w:val="left" w:pos="1985"/>
      </w:tabs>
      <w:spacing w:before="240" w:line="240" w:lineRule="atLeast"/>
    </w:pPr>
    <w:rPr>
      <w:sz w:val="24"/>
      <w:szCs w:val="24"/>
    </w:rPr>
  </w:style>
  <w:style w:type="paragraph" w:customStyle="1" w:styleId="NumberListSub">
    <w:name w:val="Number List Sub"/>
    <w:basedOn w:val="NumberList"/>
    <w:rsid w:val="003A1D30"/>
    <w:pPr>
      <w:numPr>
        <w:ilvl w:val="1"/>
      </w:numPr>
      <w:tabs>
        <w:tab w:val="left" w:pos="2552"/>
      </w:tabs>
    </w:pPr>
  </w:style>
  <w:style w:type="character" w:customStyle="1" w:styleId="Heading3Char">
    <w:name w:val="Heading 3 Char"/>
    <w:basedOn w:val="DefaultParagraphFont"/>
    <w:link w:val="Heading3"/>
    <w:uiPriority w:val="99"/>
    <w:rsid w:val="00C20806"/>
    <w:rPr>
      <w:b/>
      <w:bCs/>
      <w:sz w:val="24"/>
      <w:lang w:eastAsia="en-US"/>
    </w:rPr>
  </w:style>
  <w:style w:type="character" w:customStyle="1" w:styleId="BodyTextChar">
    <w:name w:val="Body Text Char"/>
    <w:basedOn w:val="DefaultParagraphFont"/>
    <w:link w:val="BodyText"/>
    <w:uiPriority w:val="99"/>
    <w:rsid w:val="00C20806"/>
    <w:rPr>
      <w:sz w:val="24"/>
      <w:lang w:eastAsia="en-US"/>
    </w:rPr>
  </w:style>
  <w:style w:type="paragraph" w:styleId="ListParagraph">
    <w:name w:val="List Paragraph"/>
    <w:aliases w:val="NFP GP Bulleted List,List Paragraph1,Recommendation,List Paragraph11"/>
    <w:basedOn w:val="Normal"/>
    <w:link w:val="ListParagraphChar"/>
    <w:uiPriority w:val="34"/>
    <w:qFormat/>
    <w:rsid w:val="001F2C32"/>
    <w:pPr>
      <w:ind w:left="720"/>
      <w:contextualSpacing/>
    </w:pPr>
  </w:style>
  <w:style w:type="paragraph" w:customStyle="1" w:styleId="R2">
    <w:name w:val="R2"/>
    <w:aliases w:val="(2)"/>
    <w:basedOn w:val="Normal"/>
    <w:rsid w:val="00791256"/>
    <w:pPr>
      <w:keepLines/>
      <w:tabs>
        <w:tab w:val="right" w:pos="794"/>
      </w:tabs>
      <w:spacing w:before="180" w:line="260" w:lineRule="exact"/>
      <w:ind w:left="964" w:hanging="964"/>
      <w:jc w:val="both"/>
    </w:pPr>
    <w:rPr>
      <w:sz w:val="24"/>
      <w:szCs w:val="24"/>
      <w:lang w:eastAsia="en-AU"/>
    </w:rPr>
  </w:style>
  <w:style w:type="character" w:customStyle="1" w:styleId="CharSchNo">
    <w:name w:val="CharSchNo"/>
    <w:basedOn w:val="DefaultParagraphFont"/>
    <w:rsid w:val="00791256"/>
  </w:style>
  <w:style w:type="character" w:customStyle="1" w:styleId="CharSchText">
    <w:name w:val="CharSchText"/>
    <w:basedOn w:val="DefaultParagraphFont"/>
    <w:rsid w:val="00791256"/>
  </w:style>
  <w:style w:type="paragraph" w:customStyle="1" w:styleId="Schedulereference">
    <w:name w:val="Schedule reference"/>
    <w:basedOn w:val="Normal"/>
    <w:next w:val="Normal"/>
    <w:rsid w:val="00791256"/>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rsid w:val="00791256"/>
    <w:pPr>
      <w:keepNext/>
      <w:keepLines/>
      <w:spacing w:before="480"/>
      <w:ind w:left="2410" w:hanging="2410"/>
    </w:pPr>
    <w:rPr>
      <w:rFonts w:ascii="Arial" w:hAnsi="Arial"/>
      <w:b/>
      <w:sz w:val="32"/>
      <w:szCs w:val="24"/>
      <w:lang w:eastAsia="en-AU"/>
    </w:rPr>
  </w:style>
  <w:style w:type="paragraph" w:customStyle="1" w:styleId="TableText">
    <w:name w:val="TableText"/>
    <w:basedOn w:val="Normal"/>
    <w:rsid w:val="00791256"/>
    <w:pPr>
      <w:spacing w:before="60" w:after="60" w:line="240" w:lineRule="exact"/>
    </w:pPr>
    <w:rPr>
      <w:sz w:val="22"/>
      <w:szCs w:val="24"/>
      <w:lang w:eastAsia="en-AU"/>
    </w:rPr>
  </w:style>
  <w:style w:type="paragraph" w:styleId="Revision">
    <w:name w:val="Revision"/>
    <w:hidden/>
    <w:uiPriority w:val="99"/>
    <w:semiHidden/>
    <w:rsid w:val="00816C19"/>
    <w:rPr>
      <w:lang w:eastAsia="en-US"/>
    </w:rPr>
  </w:style>
  <w:style w:type="paragraph" w:customStyle="1" w:styleId="Default">
    <w:name w:val="Default"/>
    <w:rsid w:val="004B21B0"/>
    <w:pPr>
      <w:autoSpaceDE w:val="0"/>
      <w:autoSpaceDN w:val="0"/>
      <w:adjustRightInd w:val="0"/>
    </w:pPr>
    <w:rPr>
      <w:rFonts w:ascii="Arial" w:hAnsi="Arial" w:cs="Arial"/>
      <w:color w:val="000000"/>
      <w:sz w:val="24"/>
      <w:szCs w:val="24"/>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rsid w:val="003D6FD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52803">
      <w:bodyDiv w:val="1"/>
      <w:marLeft w:val="0"/>
      <w:marRight w:val="0"/>
      <w:marTop w:val="0"/>
      <w:marBottom w:val="0"/>
      <w:divBdr>
        <w:top w:val="none" w:sz="0" w:space="0" w:color="auto"/>
        <w:left w:val="none" w:sz="0" w:space="0" w:color="auto"/>
        <w:bottom w:val="none" w:sz="0" w:space="0" w:color="auto"/>
        <w:right w:val="none" w:sz="0" w:space="0" w:color="auto"/>
      </w:divBdr>
    </w:div>
    <w:div w:id="563414679">
      <w:bodyDiv w:val="1"/>
      <w:marLeft w:val="0"/>
      <w:marRight w:val="0"/>
      <w:marTop w:val="0"/>
      <w:marBottom w:val="0"/>
      <w:divBdr>
        <w:top w:val="none" w:sz="0" w:space="0" w:color="auto"/>
        <w:left w:val="none" w:sz="0" w:space="0" w:color="auto"/>
        <w:bottom w:val="none" w:sz="0" w:space="0" w:color="auto"/>
        <w:right w:val="none" w:sz="0" w:space="0" w:color="auto"/>
      </w:divBdr>
    </w:div>
    <w:div w:id="953558070">
      <w:bodyDiv w:val="1"/>
      <w:marLeft w:val="0"/>
      <w:marRight w:val="0"/>
      <w:marTop w:val="0"/>
      <w:marBottom w:val="0"/>
      <w:divBdr>
        <w:top w:val="none" w:sz="0" w:space="0" w:color="auto"/>
        <w:left w:val="none" w:sz="0" w:space="0" w:color="auto"/>
        <w:bottom w:val="none" w:sz="0" w:space="0" w:color="auto"/>
        <w:right w:val="none" w:sz="0" w:space="0" w:color="auto"/>
      </w:divBdr>
    </w:div>
    <w:div w:id="1298804196">
      <w:bodyDiv w:val="1"/>
      <w:marLeft w:val="0"/>
      <w:marRight w:val="0"/>
      <w:marTop w:val="0"/>
      <w:marBottom w:val="0"/>
      <w:divBdr>
        <w:top w:val="none" w:sz="0" w:space="0" w:color="auto"/>
        <w:left w:val="none" w:sz="0" w:space="0" w:color="auto"/>
        <w:bottom w:val="none" w:sz="0" w:space="0" w:color="auto"/>
        <w:right w:val="none" w:sz="0" w:space="0" w:color="auto"/>
      </w:divBdr>
    </w:div>
    <w:div w:id="1309822709">
      <w:bodyDiv w:val="1"/>
      <w:marLeft w:val="0"/>
      <w:marRight w:val="0"/>
      <w:marTop w:val="0"/>
      <w:marBottom w:val="0"/>
      <w:divBdr>
        <w:top w:val="none" w:sz="0" w:space="0" w:color="auto"/>
        <w:left w:val="none" w:sz="0" w:space="0" w:color="auto"/>
        <w:bottom w:val="none" w:sz="0" w:space="0" w:color="auto"/>
        <w:right w:val="none" w:sz="0" w:space="0" w:color="auto"/>
      </w:divBdr>
    </w:div>
    <w:div w:id="1465583477">
      <w:bodyDiv w:val="1"/>
      <w:marLeft w:val="0"/>
      <w:marRight w:val="0"/>
      <w:marTop w:val="0"/>
      <w:marBottom w:val="0"/>
      <w:divBdr>
        <w:top w:val="none" w:sz="0" w:space="0" w:color="auto"/>
        <w:left w:val="none" w:sz="0" w:space="0" w:color="auto"/>
        <w:bottom w:val="none" w:sz="0" w:space="0" w:color="auto"/>
        <w:right w:val="none" w:sz="0" w:space="0" w:color="auto"/>
      </w:divBdr>
      <w:divsChild>
        <w:div w:id="2122455171">
          <w:marLeft w:val="0"/>
          <w:marRight w:val="0"/>
          <w:marTop w:val="0"/>
          <w:marBottom w:val="0"/>
          <w:divBdr>
            <w:top w:val="none" w:sz="0" w:space="0" w:color="auto"/>
            <w:left w:val="none" w:sz="0" w:space="0" w:color="auto"/>
            <w:bottom w:val="none" w:sz="0" w:space="0" w:color="auto"/>
            <w:right w:val="none" w:sz="0" w:space="0" w:color="auto"/>
          </w:divBdr>
          <w:divsChild>
            <w:div w:id="533538138">
              <w:marLeft w:val="0"/>
              <w:marRight w:val="0"/>
              <w:marTop w:val="0"/>
              <w:marBottom w:val="0"/>
              <w:divBdr>
                <w:top w:val="none" w:sz="0" w:space="0" w:color="auto"/>
                <w:left w:val="none" w:sz="0" w:space="0" w:color="auto"/>
                <w:bottom w:val="none" w:sz="0" w:space="0" w:color="auto"/>
                <w:right w:val="none" w:sz="0" w:space="0" w:color="auto"/>
              </w:divBdr>
              <w:divsChild>
                <w:div w:id="1756054757">
                  <w:marLeft w:val="2820"/>
                  <w:marRight w:val="0"/>
                  <w:marTop w:val="0"/>
                  <w:marBottom w:val="0"/>
                  <w:divBdr>
                    <w:top w:val="none" w:sz="0" w:space="0" w:color="auto"/>
                    <w:left w:val="none" w:sz="0" w:space="0" w:color="auto"/>
                    <w:bottom w:val="none" w:sz="0" w:space="0" w:color="auto"/>
                    <w:right w:val="none" w:sz="0" w:space="0" w:color="auto"/>
                  </w:divBdr>
                  <w:divsChild>
                    <w:div w:id="18391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918113">
      <w:bodyDiv w:val="1"/>
      <w:marLeft w:val="0"/>
      <w:marRight w:val="0"/>
      <w:marTop w:val="0"/>
      <w:marBottom w:val="0"/>
      <w:divBdr>
        <w:top w:val="none" w:sz="0" w:space="0" w:color="auto"/>
        <w:left w:val="none" w:sz="0" w:space="0" w:color="auto"/>
        <w:bottom w:val="none" w:sz="0" w:space="0" w:color="auto"/>
        <w:right w:val="none" w:sz="0" w:space="0" w:color="auto"/>
      </w:divBdr>
    </w:div>
    <w:div w:id="1654405831">
      <w:bodyDiv w:val="1"/>
      <w:marLeft w:val="0"/>
      <w:marRight w:val="0"/>
      <w:marTop w:val="0"/>
      <w:marBottom w:val="0"/>
      <w:divBdr>
        <w:top w:val="none" w:sz="0" w:space="0" w:color="auto"/>
        <w:left w:val="none" w:sz="0" w:space="0" w:color="auto"/>
        <w:bottom w:val="none" w:sz="0" w:space="0" w:color="auto"/>
        <w:right w:val="none" w:sz="0" w:space="0" w:color="auto"/>
      </w:divBdr>
    </w:div>
    <w:div w:id="169988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E60BD6776122E74B80963C61431CF77A" ma:contentTypeVersion="62" ma:contentTypeDescription="Create a new document." ma:contentTypeScope="" ma:versionID="ac5439ae5e9b519a788c09735961bca7">
  <xsd:schema xmlns:xsd="http://www.w3.org/2001/XMLSchema" xmlns:xs="http://www.w3.org/2001/XMLSchema" xmlns:p="http://schemas.microsoft.com/office/2006/metadata/properties" xmlns:ns1="http://schemas.microsoft.com/sharepoint/v3" xmlns:ns2="82ff9d9b-d3fc-4aad-bc42-9949ee83b815" xmlns:ns3="67a709a9-7539-4d0f-aed5-94eb6312c732" targetNamespace="http://schemas.microsoft.com/office/2006/metadata/properties" ma:root="true" ma:fieldsID="90812e2a633edf75e7f2d30e7f537305" ns1:_="" ns2:_="" ns3:_="">
    <xsd:import namespace="http://schemas.microsoft.com/sharepoint/v3"/>
    <xsd:import namespace="82ff9d9b-d3fc-4aad-bc42-9949ee83b815"/>
    <xsd:import namespace="67a709a9-7539-4d0f-aed5-94eb6312c732"/>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UNCLASSIFIED" ma:description="Security Classification" ma:format="Dropdown" ma:internalName="SecClass" ma:readOnly="false">
      <xsd:simpleType>
        <xsd:restriction base="dms:Choice">
          <xsd:enumeration value="UNOFFICIAL"/>
          <xsd:enumeration value="UNCLASSIFIED"/>
          <xsd:enumeration value="UNCLASSIFIED - Sensitive: Personal"/>
          <xsd:enumeration value="UNCLASSIFIED - Sensitive: Legal"/>
          <xsd:enumeration value="UNCLASSIFIED - Sensitive"/>
          <xsd:enumeration value="For Official Use Only"/>
          <xsd:enumeration value="PROTECTED"/>
          <xsd:enumeration value="PROTECTED - Sensitive: Cabinet"/>
          <xsd:enumeration value="PROTECTED - Sensitive: Personal"/>
          <xsd:enumeration value="PROTECTED - Sensitive: Legal"/>
          <xsd:enumeration value="PROTECTED - Sensitive"/>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779774a-81c2-4628-9acf-756ad12964f4}" ma:internalName="TaxCatchAll" ma:showField="CatchAllData" ma:web="67a709a9-7539-4d0f-aed5-94eb6312c732">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779774a-81c2-4628-9acf-756ad12964f4}" ma:internalName="TaxCatchAllLabel" ma:readOnly="true" ma:showField="CatchAllDataLabel" ma:web="67a709a9-7539-4d0f-aed5-94eb6312c7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a709a9-7539-4d0f-aed5-94eb6312c732"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5fb5116-7131-45fb-9d92-926478776364" ContentTypeId="0x010100B321FEA60C5BA343A52BC94EC00ABC9E0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Admin and Public Law</TermName>
          <TermId xmlns="http://schemas.microsoft.com/office/infopath/2007/PartnerControls">5202c132-9c9f-436f-a5ca-abd69606100b</TermId>
        </TermInfo>
      </Terms>
    </iee44f6412bf40639855518abb1a08cc>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k90b8697a98d4606834ec03f7c33303a xmlns="82ff9d9b-d3fc-4aad-bc42-9949ee83b815">
      <Terms xmlns="http://schemas.microsoft.com/office/infopath/2007/PartnerControls"/>
    </k90b8697a98d4606834ec03f7c33303a>
    <SecClass xmlns="82ff9d9b-d3fc-4aad-bc42-9949ee83b815">UNCLASSIFIED</SecClass>
    <_dlc_DocId xmlns="67a709a9-7539-4d0f-aed5-94eb6312c732">FIN201933931-22883953-73662</_dlc_DocId>
    <TaxCatchAll xmlns="82ff9d9b-d3fc-4aad-bc42-9949ee83b815">
      <Value>2</Value>
      <Value>1</Value>
    </TaxCatchAll>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_dlc_DocIdUrl xmlns="67a709a9-7539-4d0f-aed5-94eb6312c732">
      <Url>https://f1.prdmgd.finance.gov.au/sites/50033931/_layouts/15/DocIdRedir.aspx?ID=FIN201933931-22883953-73662</Url>
      <Description>FIN201933931-22883953-73662</Description>
    </_dlc_DocIdUrl>
    <TaxKeywordTaxHTField xmlns="82ff9d9b-d3fc-4aad-bc42-9949ee83b815">
      <Terms xmlns="http://schemas.microsoft.com/office/infopath/2007/PartnerControls"/>
    </TaxKeywordTaxHTField>
    <LMName xmlns="82ff9d9b-d3fc-4aad-bc42-9949ee83b815" xsi:nil="true"/>
    <LastModDate xmlns="82ff9d9b-d3fc-4aad-bc42-9949ee83b815" xsi:nil="true"/>
    <RelatedItems xmlns="http://schemas.microsoft.com/sharepoint/v3" xsi:nil="true"/>
  </documentManagement>
</p:properties>
</file>

<file path=customXml/itemProps1.xml><?xml version="1.0" encoding="utf-8"?>
<ds:datastoreItem xmlns:ds="http://schemas.openxmlformats.org/officeDocument/2006/customXml" ds:itemID="{FC53751C-0D45-4D70-9274-3F34F4E6A1BC}">
  <ds:schemaRefs>
    <ds:schemaRef ds:uri="http://schemas.openxmlformats.org/officeDocument/2006/bibliography"/>
  </ds:schemaRefs>
</ds:datastoreItem>
</file>

<file path=customXml/itemProps2.xml><?xml version="1.0" encoding="utf-8"?>
<ds:datastoreItem xmlns:ds="http://schemas.openxmlformats.org/officeDocument/2006/customXml" ds:itemID="{5D4E4929-4D16-42F7-A76E-1E4DF2329CB0}"/>
</file>

<file path=customXml/itemProps3.xml><?xml version="1.0" encoding="utf-8"?>
<ds:datastoreItem xmlns:ds="http://schemas.openxmlformats.org/officeDocument/2006/customXml" ds:itemID="{45757988-2DD0-45A0-8A2A-0EB488AA53F9}"/>
</file>

<file path=customXml/itemProps4.xml><?xml version="1.0" encoding="utf-8"?>
<ds:datastoreItem xmlns:ds="http://schemas.openxmlformats.org/officeDocument/2006/customXml" ds:itemID="{89416ABC-EAFB-4B8E-A384-E6DDF7BD68B5}"/>
</file>

<file path=customXml/itemProps5.xml><?xml version="1.0" encoding="utf-8"?>
<ds:datastoreItem xmlns:ds="http://schemas.openxmlformats.org/officeDocument/2006/customXml" ds:itemID="{A182E625-3B6B-4BA7-9DDC-96BE7698304C}"/>
</file>

<file path=customXml/itemProps6.xml><?xml version="1.0" encoding="utf-8"?>
<ds:datastoreItem xmlns:ds="http://schemas.openxmlformats.org/officeDocument/2006/customXml" ds:itemID="{12657834-5300-459A-8522-11ED51941EE3}"/>
</file>

<file path=docProps/app.xml><?xml version="1.0" encoding="utf-8"?>
<Properties xmlns="http://schemas.openxmlformats.org/officeDocument/2006/extended-properties" xmlns:vt="http://schemas.openxmlformats.org/officeDocument/2006/docPropsVTypes">
  <Template>AD4EFD11</Template>
  <TotalTime>1</TotalTime>
  <Pages>4</Pages>
  <Words>1467</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ES - Establish</vt:lpstr>
    </vt:vector>
  </TitlesOfParts>
  <Company>Finance</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Establish</dc:title>
  <dc:creator>Ravendran, Sangita</dc:creator>
  <cp:lastModifiedBy>Pan, Melissa</cp:lastModifiedBy>
  <cp:revision>2</cp:revision>
  <cp:lastPrinted>2020-03-26T05:08:00Z</cp:lastPrinted>
  <dcterms:created xsi:type="dcterms:W3CDTF">2020-03-26T05:55:00Z</dcterms:created>
  <dcterms:modified xsi:type="dcterms:W3CDTF">2020-03-26T05:55:00Z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WSFooter">
    <vt:lpwstr>17606093</vt:lpwstr>
  </property>
  <property fmtid="{D5CDD505-2E9C-101B-9397-08002B2CF9AE}" pid="7" name="TaxKeyword">
    <vt:lpwstr/>
  </property>
  <property fmtid="{D5CDD505-2E9C-101B-9397-08002B2CF9AE}" pid="8" name="AbtEntity">
    <vt:lpwstr>1;#Department of Finance|fd660e8f-8f31-49bd-92a3-d31d4da31afe</vt:lpwstr>
  </property>
  <property fmtid="{D5CDD505-2E9C-101B-9397-08002B2CF9AE}" pid="9" name="ContentTypeId">
    <vt:lpwstr>0x010100B321FEA60C5BA343A52BC94EC00ABC9E0700E60BD6776122E74B80963C61431CF77A</vt:lpwstr>
  </property>
  <property fmtid="{D5CDD505-2E9C-101B-9397-08002B2CF9AE}" pid="10" name="OrgUnit">
    <vt:lpwstr>2;#Admin and Public Law|5202c132-9c9f-436f-a5ca-abd69606100b</vt:lpwstr>
  </property>
  <property fmtid="{D5CDD505-2E9C-101B-9397-08002B2CF9AE}" pid="11" name="_dlc_DocIdItemGuid">
    <vt:lpwstr>8239b5ac-a447-4a8c-9ec8-1f9fdafa4233</vt:lpwstr>
  </property>
  <property fmtid="{D5CDD505-2E9C-101B-9397-08002B2CF9AE}" pid="12" name="InitiatingEntity">
    <vt:lpwstr>1;#Department of Finance|fd660e8f-8f31-49bd-92a3-d31d4da31afe</vt:lpwstr>
  </property>
  <property fmtid="{D5CDD505-2E9C-101B-9397-08002B2CF9AE}" pid="13" name="Function and Activity">
    <vt:lpwstr/>
  </property>
</Properties>
</file>