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D4" w:rsidRPr="002707F1" w:rsidRDefault="004618D4"/>
    <w:p w:rsidR="004618D4" w:rsidRPr="00137A8B" w:rsidRDefault="004618D4">
      <w:pPr>
        <w:jc w:val="center"/>
        <w:rPr>
          <w:b/>
          <w:bCs/>
          <w:u w:val="single"/>
        </w:rPr>
      </w:pPr>
      <w:r w:rsidRPr="00137A8B">
        <w:rPr>
          <w:b/>
          <w:bCs/>
          <w:u w:val="single"/>
        </w:rPr>
        <w:t>EXPLANATORY STATEMENT</w:t>
      </w:r>
    </w:p>
    <w:p w:rsidR="004618D4" w:rsidRPr="00137A8B" w:rsidRDefault="004618D4">
      <w:pPr>
        <w:jc w:val="center"/>
        <w:rPr>
          <w:b/>
          <w:bCs/>
          <w:u w:val="single"/>
        </w:rPr>
      </w:pPr>
    </w:p>
    <w:p w:rsidR="004618D4" w:rsidRPr="00250773" w:rsidRDefault="004618D4">
      <w:pPr>
        <w:jc w:val="center"/>
        <w:rPr>
          <w:bCs/>
          <w:i/>
          <w:iCs/>
          <w:sz w:val="22"/>
          <w:szCs w:val="22"/>
        </w:rPr>
      </w:pPr>
      <w:r w:rsidRPr="00250773">
        <w:rPr>
          <w:bCs/>
          <w:i/>
          <w:iCs/>
          <w:sz w:val="22"/>
          <w:szCs w:val="22"/>
        </w:rPr>
        <w:t>Therapeutic Goods Act 1989</w:t>
      </w:r>
    </w:p>
    <w:p w:rsidR="004618D4" w:rsidRPr="00250773" w:rsidRDefault="004618D4">
      <w:pPr>
        <w:jc w:val="center"/>
        <w:rPr>
          <w:bCs/>
          <w:i/>
          <w:sz w:val="22"/>
          <w:szCs w:val="22"/>
          <w:u w:val="single"/>
        </w:rPr>
      </w:pPr>
    </w:p>
    <w:p w:rsidR="004618D4" w:rsidRPr="00250773" w:rsidRDefault="004618D4">
      <w:pPr>
        <w:jc w:val="center"/>
        <w:rPr>
          <w:i/>
          <w:sz w:val="22"/>
          <w:szCs w:val="22"/>
        </w:rPr>
      </w:pPr>
      <w:r w:rsidRPr="00250773">
        <w:rPr>
          <w:i/>
          <w:sz w:val="22"/>
          <w:szCs w:val="22"/>
        </w:rPr>
        <w:t xml:space="preserve">Therapeutic Goods </w:t>
      </w:r>
      <w:r w:rsidR="005F4371" w:rsidRPr="00250773">
        <w:rPr>
          <w:i/>
          <w:sz w:val="22"/>
          <w:szCs w:val="22"/>
        </w:rPr>
        <w:t>(</w:t>
      </w:r>
      <w:r w:rsidR="00706BBA" w:rsidRPr="00250773">
        <w:rPr>
          <w:i/>
          <w:sz w:val="22"/>
          <w:szCs w:val="22"/>
        </w:rPr>
        <w:t>Guidelines for Multi-Site Licences) Instrument</w:t>
      </w:r>
      <w:r w:rsidR="00230E12" w:rsidRPr="00250773">
        <w:rPr>
          <w:i/>
          <w:sz w:val="22"/>
          <w:szCs w:val="22"/>
        </w:rPr>
        <w:t> </w:t>
      </w:r>
      <w:r w:rsidR="00E7605D" w:rsidRPr="00250773">
        <w:rPr>
          <w:i/>
          <w:sz w:val="22"/>
          <w:szCs w:val="22"/>
        </w:rPr>
        <w:t>20</w:t>
      </w:r>
      <w:r w:rsidR="00411971" w:rsidRPr="00250773">
        <w:rPr>
          <w:i/>
          <w:sz w:val="22"/>
          <w:szCs w:val="22"/>
        </w:rPr>
        <w:t>20</w:t>
      </w:r>
    </w:p>
    <w:p w:rsidR="00230E12" w:rsidRPr="00250773" w:rsidRDefault="00230E12">
      <w:pPr>
        <w:jc w:val="center"/>
        <w:rPr>
          <w:sz w:val="22"/>
          <w:szCs w:val="22"/>
        </w:rPr>
      </w:pPr>
    </w:p>
    <w:p w:rsidR="008E7B96" w:rsidRPr="00250773" w:rsidRDefault="0085091A" w:rsidP="00001418">
      <w:pPr>
        <w:shd w:val="clear" w:color="auto" w:fill="FFFFFF"/>
        <w:rPr>
          <w:sz w:val="22"/>
          <w:szCs w:val="22"/>
        </w:rPr>
      </w:pPr>
      <w:r w:rsidRPr="00250773">
        <w:rPr>
          <w:sz w:val="22"/>
          <w:szCs w:val="22"/>
        </w:rPr>
        <w:t>T</w:t>
      </w:r>
      <w:r w:rsidR="00F90BC1" w:rsidRPr="00250773">
        <w:rPr>
          <w:sz w:val="22"/>
          <w:szCs w:val="22"/>
        </w:rPr>
        <w:t xml:space="preserve">he </w:t>
      </w:r>
      <w:r w:rsidR="00F90BC1" w:rsidRPr="00250773">
        <w:rPr>
          <w:i/>
          <w:sz w:val="22"/>
          <w:szCs w:val="22"/>
        </w:rPr>
        <w:t>Therapeutic Goods Act 1989</w:t>
      </w:r>
      <w:r w:rsidR="00F90BC1" w:rsidRPr="00250773">
        <w:rPr>
          <w:sz w:val="22"/>
          <w:szCs w:val="22"/>
        </w:rPr>
        <w:t xml:space="preserve"> (</w:t>
      </w:r>
      <w:r w:rsidR="00914EB4" w:rsidRPr="00250773">
        <w:rPr>
          <w:sz w:val="22"/>
          <w:szCs w:val="22"/>
        </w:rPr>
        <w:t>“</w:t>
      </w:r>
      <w:r w:rsidR="00F90BC1" w:rsidRPr="00250773">
        <w:rPr>
          <w:sz w:val="22"/>
          <w:szCs w:val="22"/>
        </w:rPr>
        <w:t>the Act</w:t>
      </w:r>
      <w:r w:rsidR="00914EB4" w:rsidRPr="00250773">
        <w:rPr>
          <w:sz w:val="22"/>
          <w:szCs w:val="22"/>
        </w:rPr>
        <w:t>”</w:t>
      </w:r>
      <w:r w:rsidR="00F90BC1" w:rsidRPr="00250773">
        <w:rPr>
          <w:sz w:val="22"/>
          <w:szCs w:val="22"/>
        </w:rPr>
        <w:t>) provides for the establishment and maintenance of a national system of controls for the quality, safety, efficacy and timely availability of therapeutic goods that are used</w:t>
      </w:r>
      <w:r w:rsidR="00BC7AF4" w:rsidRPr="00250773">
        <w:rPr>
          <w:sz w:val="22"/>
          <w:szCs w:val="22"/>
        </w:rPr>
        <w:t xml:space="preserve"> in</w:t>
      </w:r>
      <w:r w:rsidR="00F90BC1" w:rsidRPr="00250773">
        <w:rPr>
          <w:sz w:val="22"/>
          <w:szCs w:val="22"/>
        </w:rPr>
        <w:t>, or exported from, Australia.</w:t>
      </w:r>
      <w:r w:rsidR="008E7B96" w:rsidRPr="00250773">
        <w:rPr>
          <w:sz w:val="22"/>
          <w:szCs w:val="22"/>
        </w:rPr>
        <w:t xml:space="preserve"> The </w:t>
      </w:r>
      <w:proofErr w:type="gramStart"/>
      <w:r w:rsidR="00914EB4" w:rsidRPr="00250773">
        <w:rPr>
          <w:sz w:val="22"/>
          <w:szCs w:val="22"/>
        </w:rPr>
        <w:t xml:space="preserve">Act is administered by the </w:t>
      </w:r>
      <w:r w:rsidR="008E7B96" w:rsidRPr="00250773">
        <w:rPr>
          <w:sz w:val="22"/>
          <w:szCs w:val="22"/>
        </w:rPr>
        <w:t xml:space="preserve">Therapeutic Goods Administration (“the TGA”), </w:t>
      </w:r>
      <w:r w:rsidR="00914EB4" w:rsidRPr="00250773">
        <w:rPr>
          <w:sz w:val="22"/>
          <w:szCs w:val="22"/>
        </w:rPr>
        <w:t>within</w:t>
      </w:r>
      <w:r w:rsidR="008E7B96" w:rsidRPr="00250773">
        <w:rPr>
          <w:sz w:val="22"/>
          <w:szCs w:val="22"/>
        </w:rPr>
        <w:t xml:space="preserve"> the Department of Health</w:t>
      </w:r>
      <w:proofErr w:type="gramEnd"/>
      <w:r w:rsidR="008E7B96" w:rsidRPr="00250773">
        <w:rPr>
          <w:sz w:val="22"/>
          <w:szCs w:val="22"/>
        </w:rPr>
        <w:t>.</w:t>
      </w:r>
    </w:p>
    <w:p w:rsidR="00001418" w:rsidRPr="00250773" w:rsidRDefault="00001418" w:rsidP="00001418">
      <w:pPr>
        <w:shd w:val="clear" w:color="auto" w:fill="FFFFFF"/>
        <w:rPr>
          <w:sz w:val="22"/>
          <w:szCs w:val="22"/>
          <w:lang w:val="en-US"/>
        </w:rPr>
      </w:pPr>
    </w:p>
    <w:p w:rsidR="00706BBA" w:rsidRPr="00250773" w:rsidRDefault="00706BBA" w:rsidP="00001418">
      <w:pPr>
        <w:shd w:val="clear" w:color="auto" w:fill="FFFFFF"/>
        <w:rPr>
          <w:sz w:val="22"/>
          <w:szCs w:val="22"/>
        </w:rPr>
      </w:pPr>
      <w:r w:rsidRPr="00250773">
        <w:rPr>
          <w:sz w:val="22"/>
          <w:szCs w:val="22"/>
        </w:rPr>
        <w:t>Section 38A</w:t>
      </w:r>
      <w:r w:rsidR="008E7B96" w:rsidRPr="00250773">
        <w:rPr>
          <w:sz w:val="22"/>
          <w:szCs w:val="22"/>
        </w:rPr>
        <w:t xml:space="preserve"> of the Act </w:t>
      </w:r>
      <w:r w:rsidR="00B57F72" w:rsidRPr="00250773">
        <w:rPr>
          <w:sz w:val="22"/>
          <w:szCs w:val="22"/>
        </w:rPr>
        <w:t xml:space="preserve">provides </w:t>
      </w:r>
      <w:r w:rsidRPr="00250773">
        <w:rPr>
          <w:sz w:val="22"/>
          <w:szCs w:val="22"/>
        </w:rPr>
        <w:t>that the Secretary must, by legislative instrument, make guidelines setting out the circumstances in which a licence</w:t>
      </w:r>
      <w:r w:rsidR="00E91F8B" w:rsidRPr="00250773">
        <w:rPr>
          <w:sz w:val="22"/>
          <w:szCs w:val="22"/>
        </w:rPr>
        <w:t>,</w:t>
      </w:r>
      <w:r w:rsidRPr="00250773">
        <w:rPr>
          <w:sz w:val="22"/>
          <w:szCs w:val="22"/>
        </w:rPr>
        <w:t xml:space="preserve"> </w:t>
      </w:r>
      <w:r w:rsidR="007E1771" w:rsidRPr="00250773">
        <w:rPr>
          <w:sz w:val="22"/>
          <w:szCs w:val="22"/>
        </w:rPr>
        <w:t xml:space="preserve">issued under Part 3-3 of the </w:t>
      </w:r>
      <w:r w:rsidR="00254BB3" w:rsidRPr="00250773">
        <w:rPr>
          <w:sz w:val="22"/>
          <w:szCs w:val="22"/>
        </w:rPr>
        <w:t xml:space="preserve">Act </w:t>
      </w:r>
      <w:r w:rsidR="007E1771" w:rsidRPr="00250773">
        <w:rPr>
          <w:sz w:val="22"/>
          <w:szCs w:val="22"/>
        </w:rPr>
        <w:t xml:space="preserve">to manufacture therapeutic </w:t>
      </w:r>
      <w:r w:rsidR="00254BB3" w:rsidRPr="00250773">
        <w:rPr>
          <w:sz w:val="22"/>
          <w:szCs w:val="22"/>
        </w:rPr>
        <w:t xml:space="preserve">goods to which </w:t>
      </w:r>
      <w:r w:rsidR="001B3CD6" w:rsidRPr="00250773">
        <w:rPr>
          <w:sz w:val="22"/>
          <w:szCs w:val="22"/>
        </w:rPr>
        <w:t>that Part</w:t>
      </w:r>
      <w:r w:rsidR="00254BB3" w:rsidRPr="00250773">
        <w:rPr>
          <w:sz w:val="22"/>
          <w:szCs w:val="22"/>
        </w:rPr>
        <w:t xml:space="preserve"> applies</w:t>
      </w:r>
      <w:r w:rsidR="00E91F8B" w:rsidRPr="00250773">
        <w:rPr>
          <w:sz w:val="22"/>
          <w:szCs w:val="22"/>
        </w:rPr>
        <w:t>,</w:t>
      </w:r>
      <w:r w:rsidR="00254BB3" w:rsidRPr="00250773">
        <w:rPr>
          <w:sz w:val="22"/>
          <w:szCs w:val="22"/>
        </w:rPr>
        <w:t xml:space="preserve"> </w:t>
      </w:r>
      <w:r w:rsidRPr="00250773">
        <w:rPr>
          <w:sz w:val="22"/>
          <w:szCs w:val="22"/>
        </w:rPr>
        <w:t xml:space="preserve">may cover </w:t>
      </w:r>
      <w:r w:rsidR="00E91F8B" w:rsidRPr="00250773">
        <w:rPr>
          <w:sz w:val="22"/>
          <w:szCs w:val="22"/>
        </w:rPr>
        <w:t xml:space="preserve">two </w:t>
      </w:r>
      <w:r w:rsidRPr="00250773">
        <w:rPr>
          <w:sz w:val="22"/>
          <w:szCs w:val="22"/>
        </w:rPr>
        <w:t>or more manufacturing sites.</w:t>
      </w:r>
    </w:p>
    <w:p w:rsidR="00974983" w:rsidRPr="00250773" w:rsidRDefault="00974983" w:rsidP="00974983">
      <w:pPr>
        <w:shd w:val="clear" w:color="auto" w:fill="FFFFFF"/>
        <w:rPr>
          <w:sz w:val="22"/>
          <w:szCs w:val="22"/>
        </w:rPr>
      </w:pPr>
    </w:p>
    <w:p w:rsidR="00974983" w:rsidRPr="00250773" w:rsidRDefault="00974983" w:rsidP="00974983">
      <w:pPr>
        <w:shd w:val="clear" w:color="auto" w:fill="FFFFFF"/>
        <w:rPr>
          <w:sz w:val="22"/>
          <w:szCs w:val="22"/>
        </w:rPr>
      </w:pPr>
      <w:r w:rsidRPr="00250773">
        <w:rPr>
          <w:sz w:val="22"/>
          <w:szCs w:val="22"/>
        </w:rPr>
        <w:t xml:space="preserve">Relevantly, subsection 38(2A) of the Act </w:t>
      </w:r>
      <w:r w:rsidR="002D5C2C">
        <w:rPr>
          <w:sz w:val="22"/>
          <w:szCs w:val="22"/>
        </w:rPr>
        <w:t>provides</w:t>
      </w:r>
      <w:r w:rsidRPr="00250773">
        <w:rPr>
          <w:sz w:val="22"/>
          <w:szCs w:val="22"/>
        </w:rPr>
        <w:t xml:space="preserve"> that the Secretary must have regard to the guidelines under section 38A in granting a licence to a person who applies to carry out steps in the manufacture of therapeutic goods under section 38.</w:t>
      </w:r>
    </w:p>
    <w:p w:rsidR="00254BB3" w:rsidRPr="00250773" w:rsidRDefault="00254BB3" w:rsidP="00001418">
      <w:pPr>
        <w:shd w:val="clear" w:color="auto" w:fill="FFFFFF"/>
        <w:rPr>
          <w:sz w:val="22"/>
          <w:szCs w:val="22"/>
        </w:rPr>
      </w:pPr>
    </w:p>
    <w:p w:rsidR="00254BB3" w:rsidRPr="00250773" w:rsidRDefault="00254BB3" w:rsidP="00001418">
      <w:pPr>
        <w:shd w:val="clear" w:color="auto" w:fill="FFFFFF"/>
        <w:rPr>
          <w:sz w:val="22"/>
          <w:szCs w:val="22"/>
        </w:rPr>
      </w:pPr>
      <w:r w:rsidRPr="00250773">
        <w:rPr>
          <w:sz w:val="22"/>
          <w:szCs w:val="22"/>
        </w:rPr>
        <w:t xml:space="preserve">The </w:t>
      </w:r>
      <w:r w:rsidRPr="00250773">
        <w:rPr>
          <w:i/>
          <w:sz w:val="22"/>
          <w:szCs w:val="22"/>
        </w:rPr>
        <w:t>Therapeutic Goods (Guidelines for Multi-Site Licences) Instrument 2020</w:t>
      </w:r>
      <w:r w:rsidRPr="00250773">
        <w:rPr>
          <w:sz w:val="22"/>
          <w:szCs w:val="22"/>
        </w:rPr>
        <w:t xml:space="preserve"> (“the Instrument”) is an instrument made by a delegate of the Secretary</w:t>
      </w:r>
      <w:r w:rsidR="00230E12" w:rsidRPr="00250773">
        <w:rPr>
          <w:sz w:val="22"/>
          <w:szCs w:val="22"/>
        </w:rPr>
        <w:t xml:space="preserve"> </w:t>
      </w:r>
      <w:r w:rsidRPr="00250773">
        <w:rPr>
          <w:sz w:val="22"/>
          <w:szCs w:val="22"/>
        </w:rPr>
        <w:t xml:space="preserve">under section 38A of the Act for the purpose of setting out </w:t>
      </w:r>
      <w:r w:rsidR="00974983" w:rsidRPr="00250773">
        <w:rPr>
          <w:sz w:val="22"/>
          <w:szCs w:val="22"/>
        </w:rPr>
        <w:t xml:space="preserve">the circumstances in which a manufacturing licence may cover </w:t>
      </w:r>
      <w:r w:rsidR="00E91F8B" w:rsidRPr="00250773">
        <w:rPr>
          <w:sz w:val="22"/>
          <w:szCs w:val="22"/>
        </w:rPr>
        <w:t xml:space="preserve">two or more </w:t>
      </w:r>
      <w:r w:rsidRPr="00250773">
        <w:rPr>
          <w:sz w:val="22"/>
          <w:szCs w:val="22"/>
        </w:rPr>
        <w:t>manufacturing site</w:t>
      </w:r>
      <w:r w:rsidR="002817FB">
        <w:rPr>
          <w:sz w:val="22"/>
          <w:szCs w:val="22"/>
        </w:rPr>
        <w:t>s</w:t>
      </w:r>
      <w:bookmarkStart w:id="0" w:name="_GoBack"/>
      <w:bookmarkEnd w:id="0"/>
      <w:r w:rsidRPr="00250773">
        <w:rPr>
          <w:sz w:val="22"/>
          <w:szCs w:val="22"/>
        </w:rPr>
        <w:t>.</w:t>
      </w:r>
    </w:p>
    <w:p w:rsidR="00706BBA" w:rsidRPr="00250773" w:rsidRDefault="00706BBA" w:rsidP="00001418">
      <w:pPr>
        <w:shd w:val="clear" w:color="auto" w:fill="FFFFFF"/>
        <w:rPr>
          <w:sz w:val="22"/>
          <w:szCs w:val="22"/>
        </w:rPr>
      </w:pPr>
    </w:p>
    <w:p w:rsidR="00706BBA" w:rsidRPr="00250773" w:rsidRDefault="00254BB3" w:rsidP="00001418">
      <w:pPr>
        <w:shd w:val="clear" w:color="auto" w:fill="FFFFFF"/>
        <w:rPr>
          <w:sz w:val="22"/>
          <w:szCs w:val="22"/>
        </w:rPr>
      </w:pPr>
      <w:r w:rsidRPr="00250773">
        <w:rPr>
          <w:sz w:val="22"/>
          <w:szCs w:val="22"/>
        </w:rPr>
        <w:t>The Instrument also repeals and replaces the Therapeutic Goods (Multi-Site Manufacturing Licences) Guidelines of 2010</w:t>
      </w:r>
      <w:r w:rsidR="00FB4D5E" w:rsidRPr="00250773">
        <w:rPr>
          <w:sz w:val="22"/>
          <w:szCs w:val="22"/>
        </w:rPr>
        <w:t xml:space="preserve"> (“the former Guidelines</w:t>
      </w:r>
      <w:r w:rsidR="00C87EE1" w:rsidRPr="00250773">
        <w:rPr>
          <w:sz w:val="22"/>
          <w:szCs w:val="22"/>
        </w:rPr>
        <w:t>”</w:t>
      </w:r>
      <w:r w:rsidR="00FB4D5E" w:rsidRPr="00250773">
        <w:rPr>
          <w:sz w:val="22"/>
          <w:szCs w:val="22"/>
        </w:rPr>
        <w:t>)</w:t>
      </w:r>
      <w:r w:rsidRPr="00250773">
        <w:rPr>
          <w:sz w:val="22"/>
          <w:szCs w:val="22"/>
        </w:rPr>
        <w:t xml:space="preserve">, which was due to sunset on 1 April 2020 under </w:t>
      </w:r>
      <w:r w:rsidR="00F070EB" w:rsidRPr="00250773">
        <w:rPr>
          <w:sz w:val="22"/>
          <w:szCs w:val="22"/>
        </w:rPr>
        <w:t>Part 4</w:t>
      </w:r>
      <w:r w:rsidRPr="00250773">
        <w:rPr>
          <w:sz w:val="22"/>
          <w:szCs w:val="22"/>
        </w:rPr>
        <w:t xml:space="preserve"> of the </w:t>
      </w:r>
      <w:r w:rsidRPr="00250773">
        <w:rPr>
          <w:i/>
          <w:sz w:val="22"/>
          <w:szCs w:val="22"/>
        </w:rPr>
        <w:t>Legislation Act 2003</w:t>
      </w:r>
      <w:r w:rsidRPr="00250773">
        <w:rPr>
          <w:sz w:val="22"/>
          <w:szCs w:val="22"/>
        </w:rPr>
        <w:t>.</w:t>
      </w:r>
    </w:p>
    <w:p w:rsidR="00001418" w:rsidRPr="00250773" w:rsidRDefault="00001418" w:rsidP="00001418">
      <w:pPr>
        <w:rPr>
          <w:sz w:val="22"/>
          <w:szCs w:val="22"/>
        </w:rPr>
      </w:pPr>
    </w:p>
    <w:p w:rsidR="00F90BC1" w:rsidRPr="00250773" w:rsidRDefault="00812AFC" w:rsidP="00001418">
      <w:pPr>
        <w:rPr>
          <w:b/>
          <w:sz w:val="22"/>
          <w:szCs w:val="22"/>
        </w:rPr>
      </w:pPr>
      <w:r w:rsidRPr="00250773">
        <w:rPr>
          <w:b/>
          <w:sz w:val="22"/>
          <w:szCs w:val="22"/>
        </w:rPr>
        <w:t>B</w:t>
      </w:r>
      <w:r w:rsidR="00D013D6" w:rsidRPr="00250773">
        <w:rPr>
          <w:b/>
          <w:sz w:val="22"/>
          <w:szCs w:val="22"/>
        </w:rPr>
        <w:t>ackground</w:t>
      </w:r>
    </w:p>
    <w:p w:rsidR="00001418" w:rsidRPr="00250773" w:rsidRDefault="00001418" w:rsidP="00001418">
      <w:pPr>
        <w:rPr>
          <w:b/>
          <w:sz w:val="22"/>
          <w:szCs w:val="22"/>
        </w:rPr>
      </w:pPr>
    </w:p>
    <w:p w:rsidR="006C4202" w:rsidRPr="00250773" w:rsidRDefault="00E50153" w:rsidP="005073DA">
      <w:pPr>
        <w:rPr>
          <w:sz w:val="22"/>
          <w:szCs w:val="22"/>
        </w:rPr>
      </w:pPr>
      <w:r w:rsidRPr="00250773">
        <w:rPr>
          <w:sz w:val="22"/>
          <w:szCs w:val="22"/>
        </w:rPr>
        <w:t>Part 3-3 of the Act sets out requirements relating to the manufacture of therapeutic goods other than medical devices, Class 1 biologicals or goods or persons that are exempt from the operation of Part 3-3 by regulations made for the purposes of section 34 of the Act.</w:t>
      </w:r>
    </w:p>
    <w:p w:rsidR="00E50153" w:rsidRPr="00250773" w:rsidRDefault="00E50153" w:rsidP="005073DA">
      <w:pPr>
        <w:rPr>
          <w:sz w:val="22"/>
          <w:szCs w:val="22"/>
        </w:rPr>
      </w:pPr>
    </w:p>
    <w:p w:rsidR="00CE492E" w:rsidRPr="00250773" w:rsidRDefault="00067710" w:rsidP="005073DA">
      <w:pPr>
        <w:rPr>
          <w:sz w:val="22"/>
          <w:szCs w:val="22"/>
        </w:rPr>
      </w:pPr>
      <w:proofErr w:type="gramStart"/>
      <w:r w:rsidRPr="00250773">
        <w:rPr>
          <w:sz w:val="22"/>
          <w:szCs w:val="22"/>
        </w:rPr>
        <w:t xml:space="preserve">Part </w:t>
      </w:r>
      <w:r w:rsidR="00CE492E" w:rsidRPr="00250773">
        <w:rPr>
          <w:sz w:val="22"/>
          <w:szCs w:val="22"/>
        </w:rPr>
        <w:t xml:space="preserve">3-3 contains criminal offences and civil penalty provisions </w:t>
      </w:r>
      <w:r w:rsidR="00004260" w:rsidRPr="00250773">
        <w:rPr>
          <w:sz w:val="22"/>
          <w:szCs w:val="22"/>
        </w:rPr>
        <w:t xml:space="preserve">that apply where a person </w:t>
      </w:r>
      <w:r w:rsidR="00CE492E" w:rsidRPr="00250773">
        <w:rPr>
          <w:sz w:val="22"/>
          <w:szCs w:val="22"/>
        </w:rPr>
        <w:t>carri</w:t>
      </w:r>
      <w:r w:rsidR="00004260" w:rsidRPr="00250773">
        <w:rPr>
          <w:sz w:val="22"/>
          <w:szCs w:val="22"/>
        </w:rPr>
        <w:t>es</w:t>
      </w:r>
      <w:r w:rsidR="00CE492E" w:rsidRPr="00250773">
        <w:rPr>
          <w:sz w:val="22"/>
          <w:szCs w:val="22"/>
        </w:rPr>
        <w:t xml:space="preserve"> out</w:t>
      </w:r>
      <w:r w:rsidR="00004260" w:rsidRPr="00250773">
        <w:rPr>
          <w:sz w:val="22"/>
          <w:szCs w:val="22"/>
        </w:rPr>
        <w:t>,</w:t>
      </w:r>
      <w:r w:rsidR="00CE492E" w:rsidRPr="00250773">
        <w:rPr>
          <w:sz w:val="22"/>
          <w:szCs w:val="22"/>
        </w:rPr>
        <w:t xml:space="preserve"> at premises in Australia</w:t>
      </w:r>
      <w:r w:rsidR="00004260" w:rsidRPr="00250773">
        <w:rPr>
          <w:sz w:val="22"/>
          <w:szCs w:val="22"/>
        </w:rPr>
        <w:t>,</w:t>
      </w:r>
      <w:r w:rsidR="00CE492E" w:rsidRPr="00250773">
        <w:rPr>
          <w:sz w:val="22"/>
          <w:szCs w:val="22"/>
        </w:rPr>
        <w:t xml:space="preserve"> a step in the manufacture of therapeutic goods </w:t>
      </w:r>
      <w:r w:rsidR="00004260" w:rsidRPr="00250773">
        <w:rPr>
          <w:sz w:val="22"/>
          <w:szCs w:val="22"/>
        </w:rPr>
        <w:t>and the person</w:t>
      </w:r>
      <w:r w:rsidR="00CE492E" w:rsidRPr="00250773">
        <w:rPr>
          <w:sz w:val="22"/>
          <w:szCs w:val="22"/>
        </w:rPr>
        <w:t xml:space="preserve"> does not have a licence issued under Part 3-3 or the person, or the goods involved, are not exempt from the operation of </w:t>
      </w:r>
      <w:r w:rsidR="00004260" w:rsidRPr="00250773">
        <w:rPr>
          <w:sz w:val="22"/>
          <w:szCs w:val="22"/>
        </w:rPr>
        <w:t xml:space="preserve">that </w:t>
      </w:r>
      <w:r w:rsidR="00CE492E" w:rsidRPr="00250773">
        <w:rPr>
          <w:sz w:val="22"/>
          <w:szCs w:val="22"/>
        </w:rPr>
        <w:t>Part under section 34 of the Act.</w:t>
      </w:r>
      <w:proofErr w:type="gramEnd"/>
    </w:p>
    <w:p w:rsidR="00CE492E" w:rsidRPr="00250773" w:rsidRDefault="00CE492E" w:rsidP="005073DA">
      <w:pPr>
        <w:rPr>
          <w:sz w:val="22"/>
          <w:szCs w:val="22"/>
        </w:rPr>
      </w:pPr>
    </w:p>
    <w:p w:rsidR="00CE492E" w:rsidRPr="00250773" w:rsidRDefault="00CE492E" w:rsidP="005073DA">
      <w:pPr>
        <w:rPr>
          <w:sz w:val="22"/>
          <w:szCs w:val="22"/>
        </w:rPr>
      </w:pPr>
      <w:r w:rsidRPr="00250773">
        <w:rPr>
          <w:sz w:val="22"/>
          <w:szCs w:val="22"/>
        </w:rPr>
        <w:t xml:space="preserve">Section 37 of the Act sets out requirements for an application for a licence, </w:t>
      </w:r>
      <w:r w:rsidR="00004260" w:rsidRPr="00250773">
        <w:rPr>
          <w:sz w:val="22"/>
          <w:szCs w:val="22"/>
        </w:rPr>
        <w:t>including</w:t>
      </w:r>
      <w:r w:rsidRPr="00250773">
        <w:rPr>
          <w:sz w:val="22"/>
          <w:szCs w:val="22"/>
        </w:rPr>
        <w:t xml:space="preserve"> that the application </w:t>
      </w:r>
      <w:r w:rsidR="00786266" w:rsidRPr="00250773">
        <w:rPr>
          <w:sz w:val="22"/>
          <w:szCs w:val="22"/>
        </w:rPr>
        <w:t xml:space="preserve">be </w:t>
      </w:r>
      <w:r w:rsidRPr="00250773">
        <w:rPr>
          <w:sz w:val="22"/>
          <w:szCs w:val="22"/>
        </w:rPr>
        <w:t>in accordance with the form approved for that purpose by the Secretary and that the application identif</w:t>
      </w:r>
      <w:r w:rsidR="00786266" w:rsidRPr="00250773">
        <w:rPr>
          <w:sz w:val="22"/>
          <w:szCs w:val="22"/>
        </w:rPr>
        <w:t>y</w:t>
      </w:r>
      <w:r w:rsidRPr="00250773">
        <w:rPr>
          <w:sz w:val="22"/>
          <w:szCs w:val="22"/>
        </w:rPr>
        <w:t xml:space="preserve"> the therapeutic goods or classes of therapeutic goods proposed to be manufactured.</w:t>
      </w:r>
    </w:p>
    <w:p w:rsidR="00CE492E" w:rsidRPr="00250773" w:rsidRDefault="00CE492E" w:rsidP="005073DA">
      <w:pPr>
        <w:rPr>
          <w:sz w:val="22"/>
          <w:szCs w:val="22"/>
        </w:rPr>
      </w:pPr>
    </w:p>
    <w:p w:rsidR="002C2C24" w:rsidRPr="00250773" w:rsidRDefault="00CE492E" w:rsidP="005073DA">
      <w:pPr>
        <w:rPr>
          <w:sz w:val="22"/>
          <w:szCs w:val="22"/>
        </w:rPr>
      </w:pPr>
      <w:proofErr w:type="gramStart"/>
      <w:r w:rsidRPr="00250773">
        <w:rPr>
          <w:sz w:val="22"/>
          <w:szCs w:val="22"/>
        </w:rPr>
        <w:t xml:space="preserve">Section 38 of the Act </w:t>
      </w:r>
      <w:r w:rsidR="00786266" w:rsidRPr="00250773">
        <w:rPr>
          <w:sz w:val="22"/>
          <w:szCs w:val="22"/>
        </w:rPr>
        <w:t xml:space="preserve">provides </w:t>
      </w:r>
      <w:r w:rsidRPr="00250773">
        <w:rPr>
          <w:sz w:val="22"/>
          <w:szCs w:val="22"/>
        </w:rPr>
        <w:t>that where a person ha</w:t>
      </w:r>
      <w:r w:rsidR="002C2C24" w:rsidRPr="00250773">
        <w:rPr>
          <w:sz w:val="22"/>
          <w:szCs w:val="22"/>
        </w:rPr>
        <w:t xml:space="preserve">s made such an application, </w:t>
      </w:r>
      <w:r w:rsidRPr="00250773">
        <w:rPr>
          <w:sz w:val="22"/>
          <w:szCs w:val="22"/>
        </w:rPr>
        <w:t>paid the prescribed application and inspection fees</w:t>
      </w:r>
      <w:r w:rsidR="00004260" w:rsidRPr="00250773">
        <w:rPr>
          <w:sz w:val="22"/>
          <w:szCs w:val="22"/>
        </w:rPr>
        <w:t>,</w:t>
      </w:r>
      <w:r w:rsidRPr="00250773">
        <w:rPr>
          <w:sz w:val="22"/>
          <w:szCs w:val="22"/>
        </w:rPr>
        <w:t xml:space="preserve"> and complied with any requirements imposed by the Secretary under subsection 37(2) of the Act, the Secretary must grant the applicant a licence covering one or more manufacturing sites unless the Secretary is satisfied of </w:t>
      </w:r>
      <w:r w:rsidR="00786266" w:rsidRPr="00250773">
        <w:rPr>
          <w:sz w:val="22"/>
          <w:szCs w:val="22"/>
        </w:rPr>
        <w:t xml:space="preserve">a </w:t>
      </w:r>
      <w:r w:rsidRPr="00250773">
        <w:rPr>
          <w:sz w:val="22"/>
          <w:szCs w:val="22"/>
        </w:rPr>
        <w:t xml:space="preserve">matter listed in paragraphs 38(1)(e) </w:t>
      </w:r>
      <w:r w:rsidR="00004260" w:rsidRPr="00250773">
        <w:rPr>
          <w:sz w:val="22"/>
          <w:szCs w:val="22"/>
        </w:rPr>
        <w:t>to</w:t>
      </w:r>
      <w:r w:rsidRPr="00250773">
        <w:rPr>
          <w:sz w:val="22"/>
          <w:szCs w:val="22"/>
        </w:rPr>
        <w:t xml:space="preserve"> (h)</w:t>
      </w:r>
      <w:r w:rsidR="00786266" w:rsidRPr="00250773">
        <w:rPr>
          <w:sz w:val="22"/>
          <w:szCs w:val="22"/>
        </w:rPr>
        <w:t xml:space="preserve"> of the Act</w:t>
      </w:r>
      <w:r w:rsidR="002C2C24" w:rsidRPr="00250773">
        <w:rPr>
          <w:sz w:val="22"/>
          <w:szCs w:val="22"/>
        </w:rPr>
        <w:t>.</w:t>
      </w:r>
      <w:proofErr w:type="gramEnd"/>
    </w:p>
    <w:p w:rsidR="002C2C24" w:rsidRPr="00250773" w:rsidRDefault="002C2C24" w:rsidP="005073DA">
      <w:pPr>
        <w:rPr>
          <w:sz w:val="22"/>
          <w:szCs w:val="22"/>
        </w:rPr>
      </w:pPr>
    </w:p>
    <w:p w:rsidR="00E50153" w:rsidRPr="00250773" w:rsidRDefault="002C2C24" w:rsidP="005073DA">
      <w:pPr>
        <w:rPr>
          <w:sz w:val="22"/>
          <w:szCs w:val="22"/>
        </w:rPr>
      </w:pPr>
      <w:proofErr w:type="gramStart"/>
      <w:r w:rsidRPr="00250773">
        <w:rPr>
          <w:sz w:val="22"/>
          <w:szCs w:val="22"/>
        </w:rPr>
        <w:t>These</w:t>
      </w:r>
      <w:r w:rsidR="00004260" w:rsidRPr="00250773">
        <w:rPr>
          <w:sz w:val="22"/>
          <w:szCs w:val="22"/>
        </w:rPr>
        <w:t xml:space="preserve"> matters</w:t>
      </w:r>
      <w:r w:rsidRPr="00250773">
        <w:rPr>
          <w:sz w:val="22"/>
          <w:szCs w:val="22"/>
        </w:rPr>
        <w:t xml:space="preserve"> include</w:t>
      </w:r>
      <w:r w:rsidR="00CE492E" w:rsidRPr="00250773">
        <w:rPr>
          <w:sz w:val="22"/>
          <w:szCs w:val="22"/>
        </w:rPr>
        <w:t>, for example, that the</w:t>
      </w:r>
      <w:r w:rsidRPr="00250773">
        <w:rPr>
          <w:sz w:val="22"/>
          <w:szCs w:val="22"/>
        </w:rPr>
        <w:t xml:space="preserve"> </w:t>
      </w:r>
      <w:r w:rsidR="00E90838" w:rsidRPr="00250773">
        <w:rPr>
          <w:sz w:val="22"/>
          <w:szCs w:val="22"/>
        </w:rPr>
        <w:t>applicant will be unable to comply with the manufacturing principles (made by the Minister under section 36 of the Act) or that</w:t>
      </w:r>
      <w:r w:rsidR="00004260" w:rsidRPr="00250773">
        <w:rPr>
          <w:sz w:val="22"/>
          <w:szCs w:val="22"/>
        </w:rPr>
        <w:t xml:space="preserve"> the</w:t>
      </w:r>
      <w:r w:rsidR="00E90838" w:rsidRPr="00250773">
        <w:rPr>
          <w:sz w:val="22"/>
          <w:szCs w:val="22"/>
        </w:rPr>
        <w:t xml:space="preserve"> </w:t>
      </w:r>
      <w:r w:rsidRPr="00250773">
        <w:rPr>
          <w:sz w:val="22"/>
          <w:szCs w:val="22"/>
        </w:rPr>
        <w:t xml:space="preserve">applicant has, within the 10 years before the application, been convicted of an offence against the Act or a </w:t>
      </w:r>
      <w:r w:rsidRPr="00250773">
        <w:rPr>
          <w:sz w:val="22"/>
          <w:szCs w:val="22"/>
        </w:rPr>
        <w:lastRenderedPageBreak/>
        <w:t>corresponding State law</w:t>
      </w:r>
      <w:r w:rsidR="00004260" w:rsidRPr="00250773">
        <w:rPr>
          <w:sz w:val="22"/>
          <w:szCs w:val="22"/>
        </w:rPr>
        <w:t>,</w:t>
      </w:r>
      <w:r w:rsidRPr="00250773">
        <w:rPr>
          <w:sz w:val="22"/>
          <w:szCs w:val="22"/>
        </w:rPr>
        <w:t xml:space="preserve"> or a Commonwealth or State or Territory offence involving fraud or dishonesty.</w:t>
      </w:r>
      <w:proofErr w:type="gramEnd"/>
    </w:p>
    <w:p w:rsidR="002C2C24" w:rsidRPr="00250773" w:rsidRDefault="002C2C24" w:rsidP="005073DA">
      <w:pPr>
        <w:rPr>
          <w:sz w:val="22"/>
          <w:szCs w:val="22"/>
        </w:rPr>
      </w:pPr>
    </w:p>
    <w:p w:rsidR="00FB4D5E" w:rsidRPr="00250773" w:rsidRDefault="00E90838" w:rsidP="00E90838">
      <w:pPr>
        <w:rPr>
          <w:sz w:val="22"/>
          <w:szCs w:val="22"/>
        </w:rPr>
      </w:pPr>
      <w:r w:rsidRPr="00250773">
        <w:rPr>
          <w:sz w:val="22"/>
          <w:szCs w:val="22"/>
        </w:rPr>
        <w:t xml:space="preserve">In considering the </w:t>
      </w:r>
      <w:r w:rsidR="002D5C2C">
        <w:rPr>
          <w:sz w:val="22"/>
          <w:szCs w:val="22"/>
        </w:rPr>
        <w:t>matters</w:t>
      </w:r>
      <w:r w:rsidRPr="00250773">
        <w:rPr>
          <w:sz w:val="22"/>
          <w:szCs w:val="22"/>
        </w:rPr>
        <w:t xml:space="preserve"> listed in paragraphs 38(1</w:t>
      </w:r>
      <w:proofErr w:type="gramStart"/>
      <w:r w:rsidRPr="00250773">
        <w:rPr>
          <w:sz w:val="22"/>
          <w:szCs w:val="22"/>
        </w:rPr>
        <w:t>)(</w:t>
      </w:r>
      <w:proofErr w:type="gramEnd"/>
      <w:r w:rsidRPr="00250773">
        <w:rPr>
          <w:sz w:val="22"/>
          <w:szCs w:val="22"/>
        </w:rPr>
        <w:t xml:space="preserve">e) </w:t>
      </w:r>
      <w:r w:rsidR="008A42C9" w:rsidRPr="00250773">
        <w:rPr>
          <w:sz w:val="22"/>
          <w:szCs w:val="22"/>
        </w:rPr>
        <w:t>to</w:t>
      </w:r>
      <w:r w:rsidRPr="00250773">
        <w:rPr>
          <w:sz w:val="22"/>
          <w:szCs w:val="22"/>
        </w:rPr>
        <w:t xml:space="preserve"> (h)</w:t>
      </w:r>
      <w:r w:rsidR="00E91F8B" w:rsidRPr="00250773">
        <w:rPr>
          <w:sz w:val="22"/>
          <w:szCs w:val="22"/>
        </w:rPr>
        <w:t xml:space="preserve"> of the Act</w:t>
      </w:r>
      <w:r w:rsidR="00990F1C">
        <w:rPr>
          <w:sz w:val="22"/>
          <w:szCs w:val="22"/>
        </w:rPr>
        <w:t>, subsection 38(2A) of the Act </w:t>
      </w:r>
      <w:r w:rsidR="00AA3076" w:rsidRPr="00250773">
        <w:rPr>
          <w:sz w:val="22"/>
          <w:szCs w:val="22"/>
        </w:rPr>
        <w:t xml:space="preserve">provides </w:t>
      </w:r>
      <w:r w:rsidRPr="00250773">
        <w:rPr>
          <w:sz w:val="22"/>
          <w:szCs w:val="22"/>
        </w:rPr>
        <w:t>that the Secretary must have regard to the guidelines under section 38A of the Act in granting licences under section 38.</w:t>
      </w:r>
      <w:r w:rsidR="00990F1C">
        <w:rPr>
          <w:sz w:val="22"/>
          <w:szCs w:val="22"/>
        </w:rPr>
        <w:t xml:space="preserve"> </w:t>
      </w:r>
      <w:r w:rsidRPr="00250773">
        <w:rPr>
          <w:sz w:val="22"/>
          <w:szCs w:val="22"/>
        </w:rPr>
        <w:t xml:space="preserve">The effect of these provisions, taken together, is that a manufacturing licence </w:t>
      </w:r>
      <w:proofErr w:type="gramStart"/>
      <w:r w:rsidRPr="00250773">
        <w:rPr>
          <w:sz w:val="22"/>
          <w:szCs w:val="22"/>
        </w:rPr>
        <w:t>will</w:t>
      </w:r>
      <w:r w:rsidR="007407F7">
        <w:rPr>
          <w:sz w:val="22"/>
          <w:szCs w:val="22"/>
        </w:rPr>
        <w:t>,</w:t>
      </w:r>
      <w:r w:rsidRPr="00250773">
        <w:rPr>
          <w:sz w:val="22"/>
          <w:szCs w:val="22"/>
        </w:rPr>
        <w:t xml:space="preserve"> in most instances</w:t>
      </w:r>
      <w:r w:rsidR="007407F7">
        <w:rPr>
          <w:sz w:val="22"/>
          <w:szCs w:val="22"/>
        </w:rPr>
        <w:t>,</w:t>
      </w:r>
      <w:r w:rsidRPr="00250773">
        <w:rPr>
          <w:sz w:val="22"/>
          <w:szCs w:val="22"/>
        </w:rPr>
        <w:t xml:space="preserve"> cover</w:t>
      </w:r>
      <w:proofErr w:type="gramEnd"/>
      <w:r w:rsidRPr="00250773">
        <w:rPr>
          <w:sz w:val="22"/>
          <w:szCs w:val="22"/>
        </w:rPr>
        <w:t xml:space="preserve"> one manufacturing s</w:t>
      </w:r>
      <w:r w:rsidR="00FB4D5E" w:rsidRPr="00250773">
        <w:rPr>
          <w:sz w:val="22"/>
          <w:szCs w:val="22"/>
        </w:rPr>
        <w:t>ite, except as provided for</w:t>
      </w:r>
      <w:r w:rsidRPr="00250773">
        <w:rPr>
          <w:sz w:val="22"/>
          <w:szCs w:val="22"/>
        </w:rPr>
        <w:t xml:space="preserve"> </w:t>
      </w:r>
      <w:r w:rsidR="00990F1C">
        <w:rPr>
          <w:sz w:val="22"/>
          <w:szCs w:val="22"/>
        </w:rPr>
        <w:t>in </w:t>
      </w:r>
      <w:r w:rsidR="00FB4D5E" w:rsidRPr="00250773">
        <w:rPr>
          <w:sz w:val="22"/>
          <w:szCs w:val="22"/>
        </w:rPr>
        <w:t xml:space="preserve">the guidelines made under </w:t>
      </w:r>
      <w:r w:rsidRPr="00250773">
        <w:rPr>
          <w:sz w:val="22"/>
          <w:szCs w:val="22"/>
        </w:rPr>
        <w:t>section 38A of the Act</w:t>
      </w:r>
      <w:r w:rsidR="00FB4D5E" w:rsidRPr="00250773">
        <w:rPr>
          <w:sz w:val="22"/>
          <w:szCs w:val="22"/>
        </w:rPr>
        <w:t>.</w:t>
      </w:r>
    </w:p>
    <w:p w:rsidR="00FB4D5E" w:rsidRPr="00250773" w:rsidRDefault="00FB4D5E" w:rsidP="00E90838">
      <w:pPr>
        <w:rPr>
          <w:sz w:val="22"/>
          <w:szCs w:val="22"/>
        </w:rPr>
      </w:pPr>
    </w:p>
    <w:p w:rsidR="00FB4D5E" w:rsidRPr="00250773" w:rsidRDefault="00FB4D5E" w:rsidP="00E90838">
      <w:pPr>
        <w:rPr>
          <w:sz w:val="22"/>
          <w:szCs w:val="22"/>
        </w:rPr>
      </w:pPr>
      <w:r w:rsidRPr="00250773">
        <w:rPr>
          <w:sz w:val="22"/>
          <w:szCs w:val="22"/>
        </w:rPr>
        <w:t>The Instrument repeals and replaces the former Guidelines, with minor changes to improve clarity and consistency</w:t>
      </w:r>
      <w:r w:rsidR="00226B76" w:rsidRPr="00250773">
        <w:rPr>
          <w:sz w:val="22"/>
          <w:szCs w:val="22"/>
        </w:rPr>
        <w:t>. The Instrument does not</w:t>
      </w:r>
      <w:r w:rsidRPr="00250773">
        <w:rPr>
          <w:sz w:val="22"/>
          <w:szCs w:val="22"/>
        </w:rPr>
        <w:t xml:space="preserve"> introduc</w:t>
      </w:r>
      <w:r w:rsidR="00226B76" w:rsidRPr="00250773">
        <w:rPr>
          <w:sz w:val="22"/>
          <w:szCs w:val="22"/>
        </w:rPr>
        <w:t>e</w:t>
      </w:r>
      <w:r w:rsidRPr="00250773">
        <w:rPr>
          <w:sz w:val="22"/>
          <w:szCs w:val="22"/>
        </w:rPr>
        <w:t xml:space="preserve"> any new or substantive changes to the circumstances set out in the former Guidelines in which it </w:t>
      </w:r>
      <w:proofErr w:type="gramStart"/>
      <w:r w:rsidRPr="00250773">
        <w:rPr>
          <w:sz w:val="22"/>
          <w:szCs w:val="22"/>
        </w:rPr>
        <w:t>is considered</w:t>
      </w:r>
      <w:proofErr w:type="gramEnd"/>
      <w:r w:rsidRPr="00250773">
        <w:rPr>
          <w:sz w:val="22"/>
          <w:szCs w:val="22"/>
        </w:rPr>
        <w:t xml:space="preserve"> appropriate for a licence to cover more than one manufacturing site.</w:t>
      </w:r>
    </w:p>
    <w:p w:rsidR="00FB4D5E" w:rsidRPr="00250773" w:rsidRDefault="00FB4D5E" w:rsidP="00E90838">
      <w:pPr>
        <w:rPr>
          <w:sz w:val="22"/>
          <w:szCs w:val="22"/>
        </w:rPr>
      </w:pPr>
    </w:p>
    <w:p w:rsidR="00FE266A" w:rsidRDefault="00FB4D5E" w:rsidP="00E90838">
      <w:pPr>
        <w:rPr>
          <w:sz w:val="22"/>
          <w:szCs w:val="22"/>
        </w:rPr>
      </w:pPr>
      <w:r w:rsidRPr="00250773">
        <w:rPr>
          <w:sz w:val="22"/>
          <w:szCs w:val="22"/>
        </w:rPr>
        <w:t xml:space="preserve">In that regard, the Instrument </w:t>
      </w:r>
      <w:r w:rsidR="005F3D6B" w:rsidRPr="00250773">
        <w:rPr>
          <w:sz w:val="22"/>
          <w:szCs w:val="22"/>
        </w:rPr>
        <w:t xml:space="preserve">provides that, the circumstances in which a licence </w:t>
      </w:r>
      <w:r w:rsidR="00AA3076" w:rsidRPr="00250773">
        <w:rPr>
          <w:sz w:val="22"/>
          <w:szCs w:val="22"/>
        </w:rPr>
        <w:t xml:space="preserve">to manufacture therapeutic goods other than blood, blood components, haematopoietic progenitor cells or human tissue </w:t>
      </w:r>
      <w:r w:rsidR="005F3D6B" w:rsidRPr="00250773">
        <w:rPr>
          <w:sz w:val="22"/>
          <w:szCs w:val="22"/>
        </w:rPr>
        <w:t xml:space="preserve">may cover two or </w:t>
      </w:r>
      <w:r w:rsidR="00566412">
        <w:rPr>
          <w:sz w:val="22"/>
          <w:szCs w:val="22"/>
        </w:rPr>
        <w:t>more manufacturing sites are</w:t>
      </w:r>
      <w:r w:rsidR="005F3D6B" w:rsidRPr="00250773">
        <w:rPr>
          <w:sz w:val="22"/>
          <w:szCs w:val="22"/>
        </w:rPr>
        <w:t xml:space="preserve"> </w:t>
      </w:r>
      <w:r w:rsidR="00F97C08" w:rsidRPr="00250773">
        <w:rPr>
          <w:sz w:val="22"/>
          <w:szCs w:val="22"/>
        </w:rPr>
        <w:t>where</w:t>
      </w:r>
      <w:r w:rsidR="00FE266A" w:rsidRPr="00250773">
        <w:rPr>
          <w:sz w:val="22"/>
          <w:szCs w:val="22"/>
        </w:rPr>
        <w:t>:</w:t>
      </w:r>
    </w:p>
    <w:p w:rsidR="00250773" w:rsidRPr="00250773" w:rsidRDefault="00250773" w:rsidP="00E90838">
      <w:pPr>
        <w:rPr>
          <w:sz w:val="22"/>
          <w:szCs w:val="22"/>
        </w:rPr>
      </w:pPr>
    </w:p>
    <w:p w:rsidR="00FE266A" w:rsidRPr="00250773" w:rsidRDefault="00F97C08" w:rsidP="00FE266A">
      <w:pPr>
        <w:pStyle w:val="ListParagraph"/>
        <w:numPr>
          <w:ilvl w:val="0"/>
          <w:numId w:val="31"/>
        </w:numPr>
        <w:rPr>
          <w:sz w:val="22"/>
          <w:szCs w:val="22"/>
        </w:rPr>
      </w:pPr>
      <w:r w:rsidRPr="00250773">
        <w:rPr>
          <w:sz w:val="22"/>
          <w:szCs w:val="22"/>
        </w:rPr>
        <w:t xml:space="preserve">steps in the manufacture of the </w:t>
      </w:r>
      <w:r w:rsidR="00D90147" w:rsidRPr="00250773">
        <w:rPr>
          <w:sz w:val="22"/>
          <w:szCs w:val="22"/>
        </w:rPr>
        <w:t xml:space="preserve">therapeutic </w:t>
      </w:r>
      <w:r w:rsidRPr="00250773">
        <w:rPr>
          <w:sz w:val="22"/>
          <w:szCs w:val="22"/>
        </w:rPr>
        <w:t xml:space="preserve">goods are </w:t>
      </w:r>
      <w:r w:rsidR="00A2160D" w:rsidRPr="00250773">
        <w:rPr>
          <w:sz w:val="22"/>
          <w:szCs w:val="22"/>
        </w:rPr>
        <w:t xml:space="preserve">to be </w:t>
      </w:r>
      <w:r w:rsidR="00D90147" w:rsidRPr="00250773">
        <w:rPr>
          <w:sz w:val="22"/>
          <w:szCs w:val="22"/>
        </w:rPr>
        <w:t>carried out</w:t>
      </w:r>
      <w:r w:rsidRPr="00250773">
        <w:rPr>
          <w:sz w:val="22"/>
          <w:szCs w:val="22"/>
        </w:rPr>
        <w:t xml:space="preserve"> at one fixed site, </w:t>
      </w:r>
      <w:r w:rsidR="00D90147" w:rsidRPr="00250773">
        <w:rPr>
          <w:sz w:val="22"/>
          <w:szCs w:val="22"/>
        </w:rPr>
        <w:t xml:space="preserve">and any </w:t>
      </w:r>
      <w:r w:rsidRPr="00250773">
        <w:rPr>
          <w:sz w:val="22"/>
          <w:szCs w:val="22"/>
        </w:rPr>
        <w:t xml:space="preserve">additional </w:t>
      </w:r>
      <w:r w:rsidR="00D90147" w:rsidRPr="00250773">
        <w:rPr>
          <w:sz w:val="22"/>
          <w:szCs w:val="22"/>
        </w:rPr>
        <w:t xml:space="preserve">site or </w:t>
      </w:r>
      <w:r w:rsidRPr="00250773">
        <w:rPr>
          <w:sz w:val="22"/>
          <w:szCs w:val="22"/>
        </w:rPr>
        <w:t xml:space="preserve">sites </w:t>
      </w:r>
      <w:r w:rsidR="00D90147" w:rsidRPr="00250773">
        <w:rPr>
          <w:sz w:val="22"/>
          <w:szCs w:val="22"/>
        </w:rPr>
        <w:t xml:space="preserve">are </w:t>
      </w:r>
      <w:r w:rsidR="00A2160D" w:rsidRPr="00250773">
        <w:rPr>
          <w:sz w:val="22"/>
          <w:szCs w:val="22"/>
        </w:rPr>
        <w:t xml:space="preserve">to be </w:t>
      </w:r>
      <w:r w:rsidRPr="00250773">
        <w:rPr>
          <w:sz w:val="22"/>
          <w:szCs w:val="22"/>
        </w:rPr>
        <w:t xml:space="preserve">used for </w:t>
      </w:r>
      <w:r w:rsidR="00D90147" w:rsidRPr="00250773">
        <w:rPr>
          <w:sz w:val="22"/>
          <w:szCs w:val="22"/>
        </w:rPr>
        <w:t xml:space="preserve">the secondary packaging of the finished product, or the </w:t>
      </w:r>
      <w:r w:rsidRPr="00250773">
        <w:rPr>
          <w:sz w:val="22"/>
          <w:szCs w:val="22"/>
        </w:rPr>
        <w:t>storage</w:t>
      </w:r>
      <w:r w:rsidR="00A66F20" w:rsidRPr="00250773">
        <w:rPr>
          <w:sz w:val="22"/>
          <w:szCs w:val="22"/>
        </w:rPr>
        <w:t xml:space="preserve"> </w:t>
      </w:r>
      <w:r w:rsidR="00D90147" w:rsidRPr="00250773">
        <w:rPr>
          <w:sz w:val="22"/>
          <w:szCs w:val="22"/>
        </w:rPr>
        <w:t xml:space="preserve">or release for supply of the </w:t>
      </w:r>
      <w:r w:rsidR="00A66F20" w:rsidRPr="00250773">
        <w:rPr>
          <w:sz w:val="22"/>
          <w:szCs w:val="22"/>
        </w:rPr>
        <w:t>packaging materials, starting materi</w:t>
      </w:r>
      <w:r w:rsidR="00205644" w:rsidRPr="00250773">
        <w:rPr>
          <w:sz w:val="22"/>
          <w:szCs w:val="22"/>
        </w:rPr>
        <w:t>a</w:t>
      </w:r>
      <w:r w:rsidR="00A66F20" w:rsidRPr="00250773">
        <w:rPr>
          <w:sz w:val="22"/>
          <w:szCs w:val="22"/>
        </w:rPr>
        <w:t>ls</w:t>
      </w:r>
      <w:r w:rsidR="00D90147" w:rsidRPr="00250773">
        <w:rPr>
          <w:sz w:val="22"/>
          <w:szCs w:val="22"/>
        </w:rPr>
        <w:t xml:space="preserve">, </w:t>
      </w:r>
      <w:r w:rsidR="00A66F20" w:rsidRPr="00250773">
        <w:rPr>
          <w:sz w:val="22"/>
          <w:szCs w:val="22"/>
        </w:rPr>
        <w:t>in-process materials</w:t>
      </w:r>
      <w:r w:rsidR="00D90147" w:rsidRPr="00250773">
        <w:rPr>
          <w:sz w:val="22"/>
          <w:szCs w:val="22"/>
        </w:rPr>
        <w:t>, or the finished product</w:t>
      </w:r>
      <w:r w:rsidR="00AE7389" w:rsidRPr="00250773">
        <w:rPr>
          <w:sz w:val="22"/>
          <w:szCs w:val="22"/>
        </w:rPr>
        <w:t>; and</w:t>
      </w:r>
      <w:r w:rsidR="00A66F20" w:rsidRPr="00250773">
        <w:rPr>
          <w:sz w:val="22"/>
          <w:szCs w:val="22"/>
        </w:rPr>
        <w:t xml:space="preserve"> </w:t>
      </w:r>
    </w:p>
    <w:p w:rsidR="00AE7389" w:rsidRPr="00250773" w:rsidRDefault="00AE7389" w:rsidP="00AE7389">
      <w:pPr>
        <w:pStyle w:val="ListParagraph"/>
        <w:numPr>
          <w:ilvl w:val="0"/>
          <w:numId w:val="31"/>
        </w:numPr>
        <w:rPr>
          <w:sz w:val="22"/>
          <w:szCs w:val="22"/>
        </w:rPr>
      </w:pPr>
      <w:r w:rsidRPr="00250773">
        <w:rPr>
          <w:sz w:val="22"/>
          <w:szCs w:val="22"/>
        </w:rPr>
        <w:t xml:space="preserve">all of the steps in the manufacture of the goods are </w:t>
      </w:r>
      <w:r w:rsidR="00A2160D" w:rsidRPr="00250773">
        <w:rPr>
          <w:sz w:val="22"/>
          <w:szCs w:val="22"/>
        </w:rPr>
        <w:t xml:space="preserve">to be </w:t>
      </w:r>
      <w:r w:rsidRPr="00250773">
        <w:rPr>
          <w:sz w:val="22"/>
          <w:szCs w:val="22"/>
        </w:rPr>
        <w:t>covered by a single quality system; and</w:t>
      </w:r>
    </w:p>
    <w:p w:rsidR="00D90147" w:rsidRPr="00250773" w:rsidRDefault="00D90147" w:rsidP="00AE7389">
      <w:pPr>
        <w:pStyle w:val="ListParagraph"/>
        <w:numPr>
          <w:ilvl w:val="0"/>
          <w:numId w:val="31"/>
        </w:numPr>
        <w:rPr>
          <w:sz w:val="22"/>
          <w:szCs w:val="22"/>
        </w:rPr>
      </w:pPr>
      <w:r w:rsidRPr="00250773">
        <w:rPr>
          <w:sz w:val="22"/>
          <w:szCs w:val="22"/>
        </w:rPr>
        <w:t>all sites are capable of being inspected within the relevant period; and</w:t>
      </w:r>
    </w:p>
    <w:p w:rsidR="00AE7389" w:rsidRPr="00250773" w:rsidRDefault="00D90147" w:rsidP="00AE7389">
      <w:pPr>
        <w:pStyle w:val="ListParagraph"/>
        <w:numPr>
          <w:ilvl w:val="0"/>
          <w:numId w:val="31"/>
        </w:numPr>
        <w:rPr>
          <w:sz w:val="22"/>
          <w:szCs w:val="22"/>
        </w:rPr>
      </w:pPr>
      <w:proofErr w:type="gramStart"/>
      <w:r w:rsidRPr="00250773">
        <w:rPr>
          <w:sz w:val="22"/>
          <w:szCs w:val="22"/>
        </w:rPr>
        <w:t>all</w:t>
      </w:r>
      <w:proofErr w:type="gramEnd"/>
      <w:r w:rsidRPr="00250773">
        <w:rPr>
          <w:sz w:val="22"/>
          <w:szCs w:val="22"/>
        </w:rPr>
        <w:t xml:space="preserve"> sites are located with sufficient proximity such that the total travel time between the sites </w:t>
      </w:r>
      <w:r w:rsidR="00A2160D" w:rsidRPr="00250773">
        <w:rPr>
          <w:sz w:val="22"/>
          <w:szCs w:val="22"/>
        </w:rPr>
        <w:t xml:space="preserve">under inspection </w:t>
      </w:r>
      <w:r w:rsidR="00AE7389" w:rsidRPr="00250773">
        <w:rPr>
          <w:sz w:val="22"/>
          <w:szCs w:val="22"/>
        </w:rPr>
        <w:t>does not exceed 60 minutes.</w:t>
      </w:r>
    </w:p>
    <w:p w:rsidR="00A2160D" w:rsidRPr="00250773" w:rsidRDefault="00A2160D" w:rsidP="00A2160D">
      <w:pPr>
        <w:rPr>
          <w:sz w:val="22"/>
          <w:szCs w:val="22"/>
        </w:rPr>
      </w:pPr>
    </w:p>
    <w:p w:rsidR="00A2160D" w:rsidRPr="00250773" w:rsidRDefault="00A2160D" w:rsidP="00250773">
      <w:pPr>
        <w:rPr>
          <w:sz w:val="22"/>
          <w:szCs w:val="22"/>
        </w:rPr>
      </w:pPr>
      <w:r w:rsidRPr="00250773">
        <w:rPr>
          <w:sz w:val="22"/>
          <w:szCs w:val="22"/>
        </w:rPr>
        <w:t>The Instrument specifies similar circumstances in which a licence may cover two or more manufacturing sites in relation to</w:t>
      </w:r>
      <w:r w:rsidR="00F97C08" w:rsidRPr="00250773">
        <w:rPr>
          <w:sz w:val="22"/>
          <w:szCs w:val="22"/>
        </w:rPr>
        <w:t xml:space="preserve"> a licence to manufacture therapeutic goods that are blood, blood components, haematopoietic progenitor cells or human tissue</w:t>
      </w:r>
      <w:r w:rsidRPr="00250773">
        <w:rPr>
          <w:sz w:val="22"/>
          <w:szCs w:val="22"/>
        </w:rPr>
        <w:t>. In particular, those circumstances make provision in relation to mobile (non-fixed) sites for the collection of blood or blood components.</w:t>
      </w:r>
    </w:p>
    <w:p w:rsidR="00A2160D" w:rsidRPr="00250773" w:rsidRDefault="00A2160D" w:rsidP="00250773">
      <w:pPr>
        <w:rPr>
          <w:sz w:val="22"/>
          <w:szCs w:val="22"/>
        </w:rPr>
      </w:pPr>
    </w:p>
    <w:p w:rsidR="006348D2" w:rsidRPr="00250773" w:rsidRDefault="006348D2" w:rsidP="00001418">
      <w:pPr>
        <w:pStyle w:val="Heading3"/>
        <w:spacing w:before="0" w:after="0"/>
        <w:rPr>
          <w:rFonts w:ascii="Times New Roman" w:hAnsi="Times New Roman" w:cs="Times New Roman"/>
          <w:sz w:val="22"/>
          <w:szCs w:val="22"/>
        </w:rPr>
      </w:pPr>
      <w:r w:rsidRPr="00250773">
        <w:rPr>
          <w:rFonts w:ascii="Times New Roman" w:hAnsi="Times New Roman" w:cs="Times New Roman"/>
          <w:sz w:val="22"/>
          <w:szCs w:val="22"/>
        </w:rPr>
        <w:t>C</w:t>
      </w:r>
      <w:r w:rsidR="00390897" w:rsidRPr="00250773">
        <w:rPr>
          <w:rFonts w:ascii="Times New Roman" w:hAnsi="Times New Roman" w:cs="Times New Roman"/>
          <w:sz w:val="22"/>
          <w:szCs w:val="22"/>
        </w:rPr>
        <w:t>onsultation</w:t>
      </w:r>
    </w:p>
    <w:p w:rsidR="008A3285" w:rsidRPr="00250773" w:rsidRDefault="008A3285" w:rsidP="00001418">
      <w:pPr>
        <w:rPr>
          <w:sz w:val="22"/>
          <w:szCs w:val="22"/>
        </w:rPr>
      </w:pPr>
    </w:p>
    <w:p w:rsidR="00FE266A" w:rsidRPr="00250773" w:rsidRDefault="00A2160D" w:rsidP="002200DC">
      <w:pPr>
        <w:rPr>
          <w:sz w:val="22"/>
          <w:szCs w:val="22"/>
        </w:rPr>
      </w:pPr>
      <w:r w:rsidRPr="00250773">
        <w:rPr>
          <w:sz w:val="22"/>
          <w:szCs w:val="22"/>
        </w:rPr>
        <w:t xml:space="preserve">The </w:t>
      </w:r>
      <w:r w:rsidR="009A6A39" w:rsidRPr="00250773">
        <w:rPr>
          <w:sz w:val="22"/>
          <w:szCs w:val="22"/>
        </w:rPr>
        <w:t xml:space="preserve">TGA conducted </w:t>
      </w:r>
      <w:r w:rsidR="00704D5F" w:rsidRPr="00250773">
        <w:rPr>
          <w:sz w:val="22"/>
          <w:szCs w:val="22"/>
        </w:rPr>
        <w:t xml:space="preserve">a </w:t>
      </w:r>
      <w:r w:rsidR="009A6A39" w:rsidRPr="00250773">
        <w:rPr>
          <w:sz w:val="22"/>
          <w:szCs w:val="22"/>
        </w:rPr>
        <w:t xml:space="preserve">targeted </w:t>
      </w:r>
      <w:r w:rsidR="00CC1F10" w:rsidRPr="00250773">
        <w:rPr>
          <w:sz w:val="22"/>
          <w:szCs w:val="22"/>
        </w:rPr>
        <w:t xml:space="preserve">consultation </w:t>
      </w:r>
      <w:r w:rsidR="002200DC" w:rsidRPr="00250773">
        <w:rPr>
          <w:sz w:val="22"/>
          <w:szCs w:val="22"/>
        </w:rPr>
        <w:t xml:space="preserve">with </w:t>
      </w:r>
      <w:r w:rsidR="00FE266A" w:rsidRPr="00250773">
        <w:rPr>
          <w:sz w:val="22"/>
          <w:szCs w:val="22"/>
        </w:rPr>
        <w:t xml:space="preserve">industry representative bodies in </w:t>
      </w:r>
      <w:r w:rsidR="00704D5F" w:rsidRPr="00250773">
        <w:rPr>
          <w:sz w:val="22"/>
          <w:szCs w:val="22"/>
        </w:rPr>
        <w:t xml:space="preserve">January </w:t>
      </w:r>
      <w:r w:rsidR="00FE266A" w:rsidRPr="00250773">
        <w:rPr>
          <w:sz w:val="22"/>
          <w:szCs w:val="22"/>
        </w:rPr>
        <w:t>and February</w:t>
      </w:r>
      <w:r w:rsidR="002200DC" w:rsidRPr="00250773">
        <w:rPr>
          <w:sz w:val="22"/>
          <w:szCs w:val="22"/>
        </w:rPr>
        <w:t xml:space="preserve"> 2020 </w:t>
      </w:r>
      <w:r w:rsidR="00471C7E" w:rsidRPr="00250773">
        <w:rPr>
          <w:sz w:val="22"/>
          <w:szCs w:val="22"/>
        </w:rPr>
        <w:t xml:space="preserve">in relation to </w:t>
      </w:r>
      <w:r w:rsidR="009A6A39" w:rsidRPr="00250773">
        <w:rPr>
          <w:sz w:val="22"/>
          <w:szCs w:val="22"/>
        </w:rPr>
        <w:t xml:space="preserve">the </w:t>
      </w:r>
      <w:r w:rsidR="00FE266A" w:rsidRPr="00250773">
        <w:rPr>
          <w:sz w:val="22"/>
          <w:szCs w:val="22"/>
        </w:rPr>
        <w:t xml:space="preserve">continued </w:t>
      </w:r>
      <w:r w:rsidR="00CD6E09" w:rsidRPr="00250773">
        <w:rPr>
          <w:sz w:val="22"/>
          <w:szCs w:val="22"/>
        </w:rPr>
        <w:t xml:space="preserve">suitability </w:t>
      </w:r>
      <w:r w:rsidR="00FE266A" w:rsidRPr="00250773">
        <w:rPr>
          <w:sz w:val="22"/>
          <w:szCs w:val="22"/>
        </w:rPr>
        <w:t xml:space="preserve">and relevance of the former Guidelines, and </w:t>
      </w:r>
      <w:r w:rsidR="00CD6E09" w:rsidRPr="00250773">
        <w:rPr>
          <w:sz w:val="22"/>
          <w:szCs w:val="22"/>
        </w:rPr>
        <w:t xml:space="preserve">the continuation of the substantive effect of the former Guidelines in the </w:t>
      </w:r>
      <w:r w:rsidR="00B364B7" w:rsidRPr="00250773">
        <w:rPr>
          <w:sz w:val="22"/>
          <w:szCs w:val="22"/>
        </w:rPr>
        <w:t>proposed</w:t>
      </w:r>
      <w:r w:rsidR="00FE266A" w:rsidRPr="00250773">
        <w:rPr>
          <w:sz w:val="22"/>
          <w:szCs w:val="22"/>
        </w:rPr>
        <w:t xml:space="preserve"> making </w:t>
      </w:r>
      <w:r w:rsidR="00CD6E09" w:rsidRPr="00250773">
        <w:rPr>
          <w:sz w:val="22"/>
          <w:szCs w:val="22"/>
        </w:rPr>
        <w:t xml:space="preserve">of </w:t>
      </w:r>
      <w:r w:rsidR="00FE266A" w:rsidRPr="00250773">
        <w:rPr>
          <w:sz w:val="22"/>
          <w:szCs w:val="22"/>
        </w:rPr>
        <w:t>the Instrument.</w:t>
      </w:r>
    </w:p>
    <w:p w:rsidR="00FE266A" w:rsidRPr="00250773" w:rsidRDefault="00FE266A" w:rsidP="002200DC">
      <w:pPr>
        <w:rPr>
          <w:sz w:val="22"/>
          <w:szCs w:val="22"/>
        </w:rPr>
      </w:pPr>
    </w:p>
    <w:p w:rsidR="00CC1F10" w:rsidRPr="00250773" w:rsidRDefault="00FE266A" w:rsidP="002200DC">
      <w:pPr>
        <w:rPr>
          <w:sz w:val="22"/>
          <w:szCs w:val="22"/>
        </w:rPr>
      </w:pPr>
      <w:r w:rsidRPr="00250773">
        <w:rPr>
          <w:sz w:val="22"/>
          <w:szCs w:val="22"/>
        </w:rPr>
        <w:t xml:space="preserve">Feedback </w:t>
      </w:r>
      <w:proofErr w:type="gramStart"/>
      <w:r w:rsidRPr="00250773">
        <w:rPr>
          <w:sz w:val="22"/>
          <w:szCs w:val="22"/>
        </w:rPr>
        <w:t xml:space="preserve">was </w:t>
      </w:r>
      <w:r w:rsidR="00704D5F" w:rsidRPr="00250773">
        <w:rPr>
          <w:sz w:val="22"/>
          <w:szCs w:val="22"/>
        </w:rPr>
        <w:t>received</w:t>
      </w:r>
      <w:proofErr w:type="gramEnd"/>
      <w:r w:rsidR="00704D5F" w:rsidRPr="00250773">
        <w:rPr>
          <w:sz w:val="22"/>
          <w:szCs w:val="22"/>
        </w:rPr>
        <w:t xml:space="preserve"> from industry representative bodies for the pharmaceutical manufacturing sector as well as </w:t>
      </w:r>
      <w:r w:rsidR="00AE7389" w:rsidRPr="00250773">
        <w:rPr>
          <w:sz w:val="22"/>
          <w:szCs w:val="22"/>
        </w:rPr>
        <w:t xml:space="preserve">the </w:t>
      </w:r>
      <w:r w:rsidR="00704D5F" w:rsidRPr="00250773">
        <w:rPr>
          <w:sz w:val="22"/>
          <w:szCs w:val="22"/>
        </w:rPr>
        <w:t xml:space="preserve">blood and biological manufacturing sectors. The responses supported </w:t>
      </w:r>
      <w:r w:rsidR="00471C7E" w:rsidRPr="00250773">
        <w:rPr>
          <w:sz w:val="22"/>
          <w:szCs w:val="22"/>
        </w:rPr>
        <w:t>the making of</w:t>
      </w:r>
      <w:r w:rsidR="00704D5F" w:rsidRPr="00250773">
        <w:rPr>
          <w:sz w:val="22"/>
          <w:szCs w:val="22"/>
        </w:rPr>
        <w:t xml:space="preserve"> the </w:t>
      </w:r>
      <w:r w:rsidR="00731E69" w:rsidRPr="00250773">
        <w:rPr>
          <w:sz w:val="22"/>
          <w:szCs w:val="22"/>
        </w:rPr>
        <w:t>Instrument in accordance with the former Guidelines</w:t>
      </w:r>
      <w:r w:rsidR="00704D5F" w:rsidRPr="00250773">
        <w:rPr>
          <w:sz w:val="22"/>
          <w:szCs w:val="22"/>
        </w:rPr>
        <w:t xml:space="preserve"> </w:t>
      </w:r>
      <w:r w:rsidR="00AE7389" w:rsidRPr="00250773">
        <w:rPr>
          <w:sz w:val="22"/>
          <w:szCs w:val="22"/>
        </w:rPr>
        <w:t xml:space="preserve">without change, </w:t>
      </w:r>
      <w:r w:rsidR="00731E69" w:rsidRPr="00250773">
        <w:rPr>
          <w:sz w:val="22"/>
          <w:szCs w:val="22"/>
        </w:rPr>
        <w:t xml:space="preserve">thereby representing </w:t>
      </w:r>
      <w:r w:rsidR="00704D5F" w:rsidRPr="00250773">
        <w:rPr>
          <w:sz w:val="22"/>
          <w:szCs w:val="22"/>
        </w:rPr>
        <w:t xml:space="preserve">a continuation of </w:t>
      </w:r>
      <w:r w:rsidR="00A2160D" w:rsidRPr="00250773">
        <w:rPr>
          <w:sz w:val="22"/>
          <w:szCs w:val="22"/>
        </w:rPr>
        <w:t xml:space="preserve">existing </w:t>
      </w:r>
      <w:r w:rsidR="00704D5F" w:rsidRPr="00250773">
        <w:rPr>
          <w:sz w:val="22"/>
          <w:szCs w:val="22"/>
        </w:rPr>
        <w:t>regulation with no increase in regulatory burden.</w:t>
      </w:r>
    </w:p>
    <w:p w:rsidR="00B364B7" w:rsidRPr="00250773" w:rsidRDefault="00B364B7" w:rsidP="00B364B7">
      <w:pPr>
        <w:rPr>
          <w:sz w:val="22"/>
          <w:szCs w:val="22"/>
        </w:rPr>
      </w:pPr>
    </w:p>
    <w:p w:rsidR="00471C7E" w:rsidRPr="00250773" w:rsidRDefault="00471C7E" w:rsidP="00384827">
      <w:pPr>
        <w:rPr>
          <w:sz w:val="22"/>
          <w:szCs w:val="22"/>
        </w:rPr>
      </w:pPr>
      <w:r w:rsidRPr="00250773">
        <w:rPr>
          <w:sz w:val="22"/>
          <w:szCs w:val="22"/>
        </w:rPr>
        <w:t>The Office of Best Practice Regulation advised that a regulation impact statement was not required in relation to the Instrument (Office of Best Practice Regulation reference ID 24085).</w:t>
      </w:r>
    </w:p>
    <w:p w:rsidR="00471C7E" w:rsidRPr="00250773" w:rsidRDefault="00471C7E" w:rsidP="00384827">
      <w:pPr>
        <w:rPr>
          <w:sz w:val="22"/>
          <w:szCs w:val="22"/>
        </w:rPr>
      </w:pPr>
    </w:p>
    <w:p w:rsidR="00F90BC1" w:rsidRPr="00250773" w:rsidRDefault="006348D2" w:rsidP="00001418">
      <w:pPr>
        <w:rPr>
          <w:sz w:val="22"/>
          <w:szCs w:val="22"/>
        </w:rPr>
      </w:pPr>
      <w:r w:rsidRPr="00250773">
        <w:rPr>
          <w:sz w:val="22"/>
          <w:szCs w:val="22"/>
        </w:rPr>
        <w:t xml:space="preserve">Details of </w:t>
      </w:r>
      <w:r w:rsidR="00160E7C" w:rsidRPr="00250773">
        <w:rPr>
          <w:sz w:val="22"/>
          <w:szCs w:val="22"/>
        </w:rPr>
        <w:t>the</w:t>
      </w:r>
      <w:r w:rsidR="002B2D00" w:rsidRPr="00250773">
        <w:rPr>
          <w:sz w:val="22"/>
          <w:szCs w:val="22"/>
        </w:rPr>
        <w:t xml:space="preserve"> </w:t>
      </w:r>
      <w:r w:rsidR="002200DC" w:rsidRPr="00250773">
        <w:rPr>
          <w:sz w:val="22"/>
          <w:szCs w:val="22"/>
        </w:rPr>
        <w:t>Instrument</w:t>
      </w:r>
      <w:r w:rsidR="00761E3C" w:rsidRPr="00250773">
        <w:rPr>
          <w:sz w:val="22"/>
          <w:szCs w:val="22"/>
        </w:rPr>
        <w:t xml:space="preserve"> </w:t>
      </w:r>
      <w:r w:rsidRPr="00250773">
        <w:rPr>
          <w:sz w:val="22"/>
          <w:szCs w:val="22"/>
        </w:rPr>
        <w:t xml:space="preserve">are set out in </w:t>
      </w:r>
      <w:r w:rsidRPr="00250773">
        <w:rPr>
          <w:b/>
          <w:sz w:val="22"/>
          <w:szCs w:val="22"/>
        </w:rPr>
        <w:t>Attachment A</w:t>
      </w:r>
      <w:r w:rsidRPr="00250773">
        <w:rPr>
          <w:sz w:val="22"/>
          <w:szCs w:val="22"/>
        </w:rPr>
        <w:t>.</w:t>
      </w:r>
    </w:p>
    <w:p w:rsidR="00001418" w:rsidRPr="00250773" w:rsidRDefault="00001418" w:rsidP="00001418">
      <w:pPr>
        <w:rPr>
          <w:sz w:val="22"/>
          <w:szCs w:val="22"/>
        </w:rPr>
      </w:pPr>
    </w:p>
    <w:p w:rsidR="006348D2" w:rsidRPr="00250773" w:rsidRDefault="00160E7C" w:rsidP="00001418">
      <w:pPr>
        <w:rPr>
          <w:sz w:val="22"/>
          <w:szCs w:val="22"/>
        </w:rPr>
      </w:pPr>
      <w:r w:rsidRPr="00250773">
        <w:rPr>
          <w:sz w:val="22"/>
          <w:szCs w:val="22"/>
        </w:rPr>
        <w:t xml:space="preserve">The </w:t>
      </w:r>
      <w:r w:rsidR="002200DC" w:rsidRPr="00250773">
        <w:rPr>
          <w:sz w:val="22"/>
          <w:szCs w:val="22"/>
        </w:rPr>
        <w:t>Instrument</w:t>
      </w:r>
      <w:r w:rsidR="006348D2" w:rsidRPr="00250773">
        <w:rPr>
          <w:sz w:val="22"/>
          <w:szCs w:val="22"/>
        </w:rPr>
        <w:t xml:space="preserve"> is compatible with the human rights and freedoms recognised or declared under section 3 of the </w:t>
      </w:r>
      <w:r w:rsidR="006348D2" w:rsidRPr="00250773">
        <w:rPr>
          <w:i/>
          <w:sz w:val="22"/>
          <w:szCs w:val="22"/>
        </w:rPr>
        <w:t>Human Rights (Parliamentary Scrutiny) Act 2011</w:t>
      </w:r>
      <w:r w:rsidR="006348D2" w:rsidRPr="00250773">
        <w:rPr>
          <w:sz w:val="22"/>
          <w:szCs w:val="22"/>
        </w:rPr>
        <w:t xml:space="preserve">. A full statement of compatibility is set out in </w:t>
      </w:r>
      <w:r w:rsidR="006348D2" w:rsidRPr="00250773">
        <w:rPr>
          <w:b/>
          <w:sz w:val="22"/>
          <w:szCs w:val="22"/>
        </w:rPr>
        <w:t>Attachment B</w:t>
      </w:r>
      <w:r w:rsidR="006348D2" w:rsidRPr="00250773">
        <w:rPr>
          <w:sz w:val="22"/>
          <w:szCs w:val="22"/>
        </w:rPr>
        <w:t>.</w:t>
      </w:r>
    </w:p>
    <w:p w:rsidR="00001418" w:rsidRPr="00250773" w:rsidRDefault="00001418" w:rsidP="00001418">
      <w:pPr>
        <w:rPr>
          <w:sz w:val="22"/>
          <w:szCs w:val="22"/>
        </w:rPr>
      </w:pPr>
    </w:p>
    <w:p w:rsidR="00160E7C" w:rsidRPr="00250773" w:rsidRDefault="006348D2" w:rsidP="00001418">
      <w:pPr>
        <w:rPr>
          <w:sz w:val="22"/>
          <w:szCs w:val="22"/>
        </w:rPr>
      </w:pPr>
      <w:r w:rsidRPr="00250773">
        <w:rPr>
          <w:sz w:val="22"/>
          <w:szCs w:val="22"/>
        </w:rPr>
        <w:lastRenderedPageBreak/>
        <w:t>Th</w:t>
      </w:r>
      <w:r w:rsidR="00AC4EFB" w:rsidRPr="00250773">
        <w:rPr>
          <w:sz w:val="22"/>
          <w:szCs w:val="22"/>
        </w:rPr>
        <w:t>e</w:t>
      </w:r>
      <w:r w:rsidR="00FE266A" w:rsidRPr="00250773">
        <w:rPr>
          <w:sz w:val="22"/>
          <w:szCs w:val="22"/>
        </w:rPr>
        <w:t xml:space="preserve"> Instrument</w:t>
      </w:r>
      <w:r w:rsidRPr="00250773">
        <w:rPr>
          <w:sz w:val="22"/>
          <w:szCs w:val="22"/>
        </w:rPr>
        <w:t xml:space="preserve"> is a disallowable legislative instrument, and commences on</w:t>
      </w:r>
      <w:r w:rsidR="00C62967" w:rsidRPr="00250773">
        <w:rPr>
          <w:sz w:val="22"/>
          <w:szCs w:val="22"/>
        </w:rPr>
        <w:t xml:space="preserve"> the day following </w:t>
      </w:r>
      <w:r w:rsidR="00BA60AE" w:rsidRPr="00250773">
        <w:rPr>
          <w:sz w:val="22"/>
          <w:szCs w:val="22"/>
        </w:rPr>
        <w:t xml:space="preserve">its </w:t>
      </w:r>
      <w:r w:rsidR="00C62967" w:rsidRPr="00250773">
        <w:rPr>
          <w:sz w:val="22"/>
          <w:szCs w:val="22"/>
        </w:rPr>
        <w:t>registration</w:t>
      </w:r>
      <w:r w:rsidR="00BA60AE" w:rsidRPr="00250773">
        <w:rPr>
          <w:sz w:val="22"/>
          <w:szCs w:val="22"/>
        </w:rPr>
        <w:t xml:space="preserve"> on the Federal Register of Legislation.</w:t>
      </w:r>
    </w:p>
    <w:p w:rsidR="00FE266A" w:rsidRPr="00250773" w:rsidRDefault="00FE266A" w:rsidP="00001418">
      <w:pPr>
        <w:rPr>
          <w:sz w:val="22"/>
          <w:szCs w:val="22"/>
        </w:rPr>
      </w:pPr>
    </w:p>
    <w:p w:rsidR="004618D4" w:rsidRPr="00250773" w:rsidRDefault="004618D4" w:rsidP="00DB0E8D">
      <w:pPr>
        <w:pStyle w:val="Heading3"/>
        <w:spacing w:before="120" w:after="240"/>
        <w:jc w:val="right"/>
        <w:rPr>
          <w:rFonts w:ascii="Times New Roman" w:hAnsi="Times New Roman" w:cs="Times New Roman"/>
          <w:sz w:val="22"/>
          <w:szCs w:val="22"/>
        </w:rPr>
      </w:pPr>
      <w:r w:rsidRPr="00250773">
        <w:rPr>
          <w:rFonts w:ascii="Times New Roman" w:hAnsi="Times New Roman" w:cs="Times New Roman"/>
          <w:sz w:val="22"/>
          <w:szCs w:val="22"/>
        </w:rPr>
        <w:br w:type="page"/>
      </w:r>
      <w:r w:rsidR="00DB0E8D" w:rsidRPr="00250773">
        <w:rPr>
          <w:rFonts w:ascii="Times New Roman" w:hAnsi="Times New Roman" w:cs="Times New Roman"/>
          <w:sz w:val="22"/>
          <w:szCs w:val="22"/>
        </w:rPr>
        <w:lastRenderedPageBreak/>
        <w:t>A</w:t>
      </w:r>
      <w:r w:rsidR="00137A8B" w:rsidRPr="00250773">
        <w:rPr>
          <w:rFonts w:ascii="Times New Roman" w:hAnsi="Times New Roman" w:cs="Times New Roman"/>
          <w:sz w:val="22"/>
          <w:szCs w:val="22"/>
        </w:rPr>
        <w:t xml:space="preserve">ttachment </w:t>
      </w:r>
      <w:r w:rsidR="00C26FC5" w:rsidRPr="00250773">
        <w:rPr>
          <w:rFonts w:ascii="Times New Roman" w:hAnsi="Times New Roman" w:cs="Times New Roman"/>
          <w:sz w:val="22"/>
          <w:szCs w:val="22"/>
        </w:rPr>
        <w:t>A</w:t>
      </w:r>
    </w:p>
    <w:p w:rsidR="00827734" w:rsidRPr="00250773" w:rsidRDefault="00DB0E8D" w:rsidP="009A5F97">
      <w:pPr>
        <w:rPr>
          <w:b/>
          <w:i/>
          <w:sz w:val="22"/>
          <w:szCs w:val="22"/>
        </w:rPr>
      </w:pPr>
      <w:bookmarkStart w:id="1" w:name="_Toc199566624"/>
      <w:r w:rsidRPr="00250773">
        <w:rPr>
          <w:b/>
          <w:sz w:val="22"/>
          <w:szCs w:val="22"/>
        </w:rPr>
        <w:t>Details of</w:t>
      </w:r>
      <w:r w:rsidR="00445258" w:rsidRPr="00250773">
        <w:rPr>
          <w:b/>
          <w:sz w:val="22"/>
          <w:szCs w:val="22"/>
        </w:rPr>
        <w:t xml:space="preserve"> the</w:t>
      </w:r>
      <w:r w:rsidRPr="00250773">
        <w:rPr>
          <w:b/>
          <w:sz w:val="22"/>
          <w:szCs w:val="22"/>
        </w:rPr>
        <w:t xml:space="preserve"> </w:t>
      </w:r>
      <w:r w:rsidR="002200DC" w:rsidRPr="00250773">
        <w:rPr>
          <w:b/>
          <w:i/>
          <w:sz w:val="22"/>
          <w:szCs w:val="22"/>
        </w:rPr>
        <w:t>Therapeutic Goods (Guidelines for Multi-Site Licences) Instrument 2020</w:t>
      </w:r>
    </w:p>
    <w:p w:rsidR="00D71897" w:rsidRPr="00250773" w:rsidRDefault="004618D4" w:rsidP="0058797D">
      <w:pPr>
        <w:autoSpaceDE w:val="0"/>
        <w:autoSpaceDN w:val="0"/>
        <w:adjustRightInd w:val="0"/>
        <w:spacing w:before="240"/>
        <w:outlineLvl w:val="1"/>
        <w:rPr>
          <w:sz w:val="22"/>
          <w:szCs w:val="22"/>
        </w:rPr>
      </w:pPr>
      <w:r w:rsidRPr="00250773">
        <w:rPr>
          <w:b/>
          <w:sz w:val="22"/>
          <w:szCs w:val="22"/>
        </w:rPr>
        <w:t xml:space="preserve">Section </w:t>
      </w:r>
      <w:proofErr w:type="gramStart"/>
      <w:r w:rsidRPr="00250773">
        <w:rPr>
          <w:b/>
          <w:sz w:val="22"/>
          <w:szCs w:val="22"/>
        </w:rPr>
        <w:t>1</w:t>
      </w:r>
      <w:r w:rsidRPr="00250773">
        <w:rPr>
          <w:sz w:val="22"/>
          <w:szCs w:val="22"/>
        </w:rPr>
        <w:t xml:space="preserve"> </w:t>
      </w:r>
      <w:r w:rsidR="00445258" w:rsidRPr="00250773">
        <w:rPr>
          <w:sz w:val="22"/>
          <w:szCs w:val="22"/>
        </w:rPr>
        <w:t xml:space="preserve"> </w:t>
      </w:r>
      <w:r w:rsidR="00D71897" w:rsidRPr="00250773">
        <w:rPr>
          <w:b/>
          <w:sz w:val="22"/>
          <w:szCs w:val="22"/>
        </w:rPr>
        <w:t>Name</w:t>
      </w:r>
      <w:proofErr w:type="gramEnd"/>
    </w:p>
    <w:p w:rsidR="002707F1" w:rsidRPr="00250773" w:rsidRDefault="00D71897" w:rsidP="0058797D">
      <w:pPr>
        <w:spacing w:before="240"/>
        <w:rPr>
          <w:bCs/>
          <w:sz w:val="22"/>
          <w:szCs w:val="22"/>
        </w:rPr>
      </w:pPr>
      <w:r w:rsidRPr="00250773">
        <w:rPr>
          <w:sz w:val="22"/>
          <w:szCs w:val="22"/>
        </w:rPr>
        <w:t>This section provides</w:t>
      </w:r>
      <w:r w:rsidR="004618D4" w:rsidRPr="00250773">
        <w:rPr>
          <w:sz w:val="22"/>
          <w:szCs w:val="22"/>
        </w:rPr>
        <w:t xml:space="preserve"> that the name of th</w:t>
      </w:r>
      <w:r w:rsidR="00360C4E" w:rsidRPr="00250773">
        <w:rPr>
          <w:sz w:val="22"/>
          <w:szCs w:val="22"/>
        </w:rPr>
        <w:t xml:space="preserve">e </w:t>
      </w:r>
      <w:r w:rsidR="00FE1BB2" w:rsidRPr="00250773">
        <w:rPr>
          <w:sz w:val="22"/>
          <w:szCs w:val="22"/>
        </w:rPr>
        <w:t>instrument</w:t>
      </w:r>
      <w:r w:rsidR="004618D4" w:rsidRPr="00250773">
        <w:rPr>
          <w:sz w:val="22"/>
          <w:szCs w:val="22"/>
        </w:rPr>
        <w:t xml:space="preserve"> is </w:t>
      </w:r>
      <w:bookmarkEnd w:id="1"/>
      <w:r w:rsidR="00445258" w:rsidRPr="00250773">
        <w:rPr>
          <w:sz w:val="22"/>
          <w:szCs w:val="22"/>
        </w:rPr>
        <w:t xml:space="preserve">the </w:t>
      </w:r>
      <w:r w:rsidR="002200DC" w:rsidRPr="00250773">
        <w:rPr>
          <w:i/>
          <w:sz w:val="22"/>
          <w:szCs w:val="22"/>
        </w:rPr>
        <w:t>Therapeutic Goods (Guidelines for Multi-Site Licences) Instrument</w:t>
      </w:r>
      <w:r w:rsidR="009A5F97" w:rsidRPr="00250773">
        <w:rPr>
          <w:i/>
          <w:sz w:val="22"/>
          <w:szCs w:val="22"/>
        </w:rPr>
        <w:t xml:space="preserve"> 20</w:t>
      </w:r>
      <w:r w:rsidR="00B06A8E" w:rsidRPr="00250773">
        <w:rPr>
          <w:i/>
          <w:sz w:val="22"/>
          <w:szCs w:val="22"/>
        </w:rPr>
        <w:t>20</w:t>
      </w:r>
      <w:r w:rsidR="00F1557B" w:rsidRPr="00250773">
        <w:rPr>
          <w:i/>
          <w:sz w:val="22"/>
          <w:szCs w:val="22"/>
        </w:rPr>
        <w:t xml:space="preserve"> </w:t>
      </w:r>
      <w:r w:rsidR="002200DC" w:rsidRPr="00250773">
        <w:rPr>
          <w:sz w:val="22"/>
          <w:szCs w:val="22"/>
        </w:rPr>
        <w:t>(“the Instrument</w:t>
      </w:r>
      <w:r w:rsidR="00F1557B" w:rsidRPr="00250773">
        <w:rPr>
          <w:sz w:val="22"/>
          <w:szCs w:val="22"/>
        </w:rPr>
        <w:t>”)</w:t>
      </w:r>
      <w:r w:rsidR="00E97F47" w:rsidRPr="00250773">
        <w:rPr>
          <w:sz w:val="22"/>
          <w:szCs w:val="22"/>
        </w:rPr>
        <w:t>.</w:t>
      </w:r>
    </w:p>
    <w:p w:rsidR="00D71897" w:rsidRPr="00250773" w:rsidRDefault="004618D4" w:rsidP="0058797D">
      <w:pPr>
        <w:tabs>
          <w:tab w:val="left" w:pos="851"/>
        </w:tabs>
        <w:spacing w:before="240"/>
        <w:outlineLvl w:val="0"/>
        <w:rPr>
          <w:sz w:val="22"/>
          <w:szCs w:val="22"/>
        </w:rPr>
      </w:pPr>
      <w:bookmarkStart w:id="2" w:name="_Toc199566625"/>
      <w:r w:rsidRPr="00250773">
        <w:rPr>
          <w:b/>
          <w:sz w:val="22"/>
          <w:szCs w:val="22"/>
        </w:rPr>
        <w:t xml:space="preserve">Section </w:t>
      </w:r>
      <w:proofErr w:type="gramStart"/>
      <w:r w:rsidRPr="00250773">
        <w:rPr>
          <w:b/>
          <w:sz w:val="22"/>
          <w:szCs w:val="22"/>
        </w:rPr>
        <w:t xml:space="preserve">2 </w:t>
      </w:r>
      <w:r w:rsidR="00445258" w:rsidRPr="00250773">
        <w:rPr>
          <w:b/>
          <w:sz w:val="22"/>
          <w:szCs w:val="22"/>
        </w:rPr>
        <w:t xml:space="preserve"> </w:t>
      </w:r>
      <w:r w:rsidR="00D71897" w:rsidRPr="00250773">
        <w:rPr>
          <w:b/>
          <w:sz w:val="22"/>
          <w:szCs w:val="22"/>
        </w:rPr>
        <w:t>Commencement</w:t>
      </w:r>
      <w:proofErr w:type="gramEnd"/>
    </w:p>
    <w:p w:rsidR="004618D4" w:rsidRPr="00250773" w:rsidRDefault="00D71897" w:rsidP="0058797D">
      <w:pPr>
        <w:tabs>
          <w:tab w:val="left" w:pos="851"/>
        </w:tabs>
        <w:spacing w:before="240"/>
        <w:outlineLvl w:val="0"/>
        <w:rPr>
          <w:sz w:val="22"/>
          <w:szCs w:val="22"/>
        </w:rPr>
      </w:pPr>
      <w:r w:rsidRPr="00250773">
        <w:rPr>
          <w:sz w:val="22"/>
          <w:szCs w:val="22"/>
        </w:rPr>
        <w:t>This section provides</w:t>
      </w:r>
      <w:r w:rsidR="004618D4" w:rsidRPr="00250773">
        <w:rPr>
          <w:sz w:val="22"/>
          <w:szCs w:val="22"/>
        </w:rPr>
        <w:t xml:space="preserve"> that</w:t>
      </w:r>
      <w:bookmarkEnd w:id="2"/>
      <w:r w:rsidR="0088424C" w:rsidRPr="00250773">
        <w:rPr>
          <w:sz w:val="22"/>
          <w:szCs w:val="22"/>
        </w:rPr>
        <w:t xml:space="preserve"> th</w:t>
      </w:r>
      <w:r w:rsidR="002200DC" w:rsidRPr="00250773">
        <w:rPr>
          <w:sz w:val="22"/>
          <w:szCs w:val="22"/>
        </w:rPr>
        <w:t>e Instrument</w:t>
      </w:r>
      <w:r w:rsidR="0088424C" w:rsidRPr="00250773">
        <w:rPr>
          <w:sz w:val="22"/>
          <w:szCs w:val="22"/>
        </w:rPr>
        <w:t xml:space="preserve"> </w:t>
      </w:r>
      <w:proofErr w:type="gramStart"/>
      <w:r w:rsidR="0088424C" w:rsidRPr="00250773">
        <w:rPr>
          <w:sz w:val="22"/>
          <w:szCs w:val="22"/>
        </w:rPr>
        <w:t>commences</w:t>
      </w:r>
      <w:proofErr w:type="gramEnd"/>
      <w:r w:rsidR="0088424C" w:rsidRPr="00250773">
        <w:rPr>
          <w:sz w:val="22"/>
          <w:szCs w:val="22"/>
        </w:rPr>
        <w:t xml:space="preserve"> on</w:t>
      </w:r>
      <w:r w:rsidR="00DD29EE" w:rsidRPr="00250773">
        <w:rPr>
          <w:sz w:val="22"/>
          <w:szCs w:val="22"/>
        </w:rPr>
        <w:t xml:space="preserve"> </w:t>
      </w:r>
      <w:r w:rsidR="00C62967" w:rsidRPr="00250773">
        <w:rPr>
          <w:sz w:val="22"/>
          <w:szCs w:val="22"/>
        </w:rPr>
        <w:t>the day following its registration on the Federal Register of Legislation</w:t>
      </w:r>
      <w:r w:rsidR="004618D4" w:rsidRPr="00250773">
        <w:rPr>
          <w:sz w:val="22"/>
          <w:szCs w:val="22"/>
        </w:rPr>
        <w:t>.</w:t>
      </w:r>
    </w:p>
    <w:p w:rsidR="004618D4" w:rsidRPr="00250773" w:rsidRDefault="004618D4" w:rsidP="0058797D">
      <w:pPr>
        <w:tabs>
          <w:tab w:val="left" w:pos="851"/>
        </w:tabs>
        <w:spacing w:before="240"/>
        <w:outlineLvl w:val="0"/>
        <w:rPr>
          <w:b/>
          <w:sz w:val="22"/>
          <w:szCs w:val="22"/>
        </w:rPr>
      </w:pPr>
      <w:bookmarkStart w:id="3" w:name="_Toc199566627"/>
      <w:r w:rsidRPr="00250773">
        <w:rPr>
          <w:b/>
          <w:sz w:val="22"/>
          <w:szCs w:val="22"/>
        </w:rPr>
        <w:t xml:space="preserve">Section </w:t>
      </w:r>
      <w:proofErr w:type="gramStart"/>
      <w:r w:rsidRPr="00250773">
        <w:rPr>
          <w:b/>
          <w:sz w:val="22"/>
          <w:szCs w:val="22"/>
        </w:rPr>
        <w:t>3</w:t>
      </w:r>
      <w:bookmarkEnd w:id="3"/>
      <w:r w:rsidR="00D71897" w:rsidRPr="00250773">
        <w:rPr>
          <w:sz w:val="22"/>
          <w:szCs w:val="22"/>
        </w:rPr>
        <w:t xml:space="preserve"> </w:t>
      </w:r>
      <w:r w:rsidR="00445258" w:rsidRPr="00250773">
        <w:rPr>
          <w:sz w:val="22"/>
          <w:szCs w:val="22"/>
        </w:rPr>
        <w:t xml:space="preserve"> </w:t>
      </w:r>
      <w:r w:rsidR="00D71897" w:rsidRPr="00250773">
        <w:rPr>
          <w:b/>
          <w:sz w:val="22"/>
          <w:szCs w:val="22"/>
        </w:rPr>
        <w:t>Authority</w:t>
      </w:r>
      <w:proofErr w:type="gramEnd"/>
    </w:p>
    <w:p w:rsidR="00B64BD8" w:rsidRPr="00250773" w:rsidRDefault="00D71897" w:rsidP="0058797D">
      <w:pPr>
        <w:tabs>
          <w:tab w:val="left" w:pos="851"/>
        </w:tabs>
        <w:spacing w:before="240"/>
        <w:outlineLvl w:val="0"/>
        <w:rPr>
          <w:sz w:val="22"/>
          <w:szCs w:val="22"/>
        </w:rPr>
      </w:pPr>
      <w:r w:rsidRPr="00250773">
        <w:rPr>
          <w:sz w:val="22"/>
          <w:szCs w:val="22"/>
        </w:rPr>
        <w:t>This section provides that the legis</w:t>
      </w:r>
      <w:r w:rsidR="002200DC" w:rsidRPr="00250773">
        <w:rPr>
          <w:sz w:val="22"/>
          <w:szCs w:val="22"/>
        </w:rPr>
        <w:t xml:space="preserve">lative authority for making the Instrument is section 38A of the </w:t>
      </w:r>
      <w:r w:rsidR="002200DC" w:rsidRPr="00250773">
        <w:rPr>
          <w:i/>
          <w:sz w:val="22"/>
          <w:szCs w:val="22"/>
        </w:rPr>
        <w:t>Therapeutic Goods Act 1989</w:t>
      </w:r>
      <w:r w:rsidR="00B06A8E" w:rsidRPr="00250773">
        <w:rPr>
          <w:sz w:val="22"/>
          <w:szCs w:val="22"/>
        </w:rPr>
        <w:t>.</w:t>
      </w:r>
    </w:p>
    <w:p w:rsidR="00B64BD8" w:rsidRPr="00250773" w:rsidRDefault="00B64BD8" w:rsidP="004E0CF1">
      <w:pPr>
        <w:tabs>
          <w:tab w:val="left" w:pos="851"/>
        </w:tabs>
        <w:spacing w:before="240"/>
        <w:outlineLvl w:val="0"/>
        <w:rPr>
          <w:b/>
          <w:sz w:val="22"/>
          <w:szCs w:val="22"/>
        </w:rPr>
      </w:pPr>
      <w:bookmarkStart w:id="4" w:name="_Toc199566628"/>
      <w:r w:rsidRPr="00250773">
        <w:rPr>
          <w:b/>
          <w:sz w:val="22"/>
          <w:szCs w:val="22"/>
        </w:rPr>
        <w:t xml:space="preserve">Section </w:t>
      </w:r>
      <w:proofErr w:type="gramStart"/>
      <w:r w:rsidRPr="00250773">
        <w:rPr>
          <w:b/>
          <w:sz w:val="22"/>
          <w:szCs w:val="22"/>
        </w:rPr>
        <w:t>4  Definitions</w:t>
      </w:r>
      <w:proofErr w:type="gramEnd"/>
    </w:p>
    <w:p w:rsidR="00B64BD8" w:rsidRPr="00250773" w:rsidRDefault="00B64BD8" w:rsidP="004E0CF1">
      <w:pPr>
        <w:tabs>
          <w:tab w:val="left" w:pos="851"/>
        </w:tabs>
        <w:spacing w:before="240"/>
        <w:outlineLvl w:val="0"/>
        <w:rPr>
          <w:sz w:val="22"/>
          <w:szCs w:val="22"/>
        </w:rPr>
      </w:pPr>
      <w:r w:rsidRPr="00250773">
        <w:rPr>
          <w:sz w:val="22"/>
          <w:szCs w:val="22"/>
        </w:rPr>
        <w:t>This section provides the definitions of certain terms used in the Instrument. The section</w:t>
      </w:r>
      <w:r w:rsidRPr="00250773" w:rsidDel="00177BEC">
        <w:rPr>
          <w:sz w:val="22"/>
          <w:szCs w:val="22"/>
        </w:rPr>
        <w:t xml:space="preserve"> </w:t>
      </w:r>
      <w:r w:rsidRPr="00250773">
        <w:rPr>
          <w:sz w:val="22"/>
          <w:szCs w:val="22"/>
        </w:rPr>
        <w:t>notes that a number of terms have the meaning given in section 3 of the Act, including ‘licence’, ‘manufacture</w:t>
      </w:r>
      <w:r w:rsidR="00A2160D" w:rsidRPr="00250773">
        <w:rPr>
          <w:sz w:val="22"/>
          <w:szCs w:val="22"/>
        </w:rPr>
        <w:t>’</w:t>
      </w:r>
      <w:r w:rsidRPr="00250773">
        <w:rPr>
          <w:sz w:val="22"/>
          <w:szCs w:val="22"/>
        </w:rPr>
        <w:t xml:space="preserve">, and </w:t>
      </w:r>
      <w:r w:rsidR="00565C12" w:rsidRPr="00250773">
        <w:rPr>
          <w:sz w:val="22"/>
          <w:szCs w:val="22"/>
        </w:rPr>
        <w:t>‘</w:t>
      </w:r>
      <w:r w:rsidRPr="00250773">
        <w:rPr>
          <w:sz w:val="22"/>
          <w:szCs w:val="22"/>
        </w:rPr>
        <w:t>supply</w:t>
      </w:r>
      <w:r w:rsidR="00565C12" w:rsidRPr="00250773">
        <w:rPr>
          <w:sz w:val="22"/>
          <w:szCs w:val="22"/>
        </w:rPr>
        <w:t>’</w:t>
      </w:r>
      <w:r w:rsidRPr="00250773">
        <w:rPr>
          <w:sz w:val="22"/>
          <w:szCs w:val="22"/>
        </w:rPr>
        <w:t xml:space="preserve">. Other terms </w:t>
      </w:r>
      <w:proofErr w:type="gramStart"/>
      <w:r w:rsidRPr="00250773">
        <w:rPr>
          <w:sz w:val="22"/>
          <w:szCs w:val="22"/>
        </w:rPr>
        <w:t>have been defined</w:t>
      </w:r>
      <w:proofErr w:type="gramEnd"/>
      <w:r w:rsidRPr="00250773">
        <w:rPr>
          <w:sz w:val="22"/>
          <w:szCs w:val="22"/>
        </w:rPr>
        <w:t xml:space="preserve"> for the purposes of the Instrument, including </w:t>
      </w:r>
      <w:r w:rsidR="00DC24FC" w:rsidRPr="00250773">
        <w:rPr>
          <w:sz w:val="22"/>
          <w:szCs w:val="22"/>
        </w:rPr>
        <w:t xml:space="preserve">‘blood’, </w:t>
      </w:r>
      <w:r w:rsidRPr="00250773">
        <w:rPr>
          <w:sz w:val="22"/>
          <w:szCs w:val="22"/>
        </w:rPr>
        <w:t>‘</w:t>
      </w:r>
      <w:r w:rsidR="00DC24FC" w:rsidRPr="00250773">
        <w:rPr>
          <w:sz w:val="22"/>
          <w:szCs w:val="22"/>
        </w:rPr>
        <w:t>in-process material</w:t>
      </w:r>
      <w:r w:rsidRPr="00250773">
        <w:rPr>
          <w:sz w:val="22"/>
          <w:szCs w:val="22"/>
        </w:rPr>
        <w:t>’ and ‘</w:t>
      </w:r>
      <w:r w:rsidR="00DC24FC" w:rsidRPr="00250773">
        <w:rPr>
          <w:sz w:val="22"/>
          <w:szCs w:val="22"/>
        </w:rPr>
        <w:t>starting material</w:t>
      </w:r>
      <w:r w:rsidRPr="00250773">
        <w:rPr>
          <w:sz w:val="22"/>
          <w:szCs w:val="22"/>
        </w:rPr>
        <w:t>’.</w:t>
      </w:r>
    </w:p>
    <w:p w:rsidR="00A8641F" w:rsidRPr="00250773" w:rsidRDefault="00A8641F" w:rsidP="0058797D">
      <w:pPr>
        <w:tabs>
          <w:tab w:val="left" w:pos="851"/>
        </w:tabs>
        <w:spacing w:before="240"/>
        <w:outlineLvl w:val="0"/>
        <w:rPr>
          <w:b/>
          <w:sz w:val="22"/>
          <w:szCs w:val="22"/>
        </w:rPr>
      </w:pPr>
      <w:r w:rsidRPr="00250773">
        <w:rPr>
          <w:b/>
          <w:sz w:val="22"/>
          <w:szCs w:val="22"/>
        </w:rPr>
        <w:t xml:space="preserve">Section </w:t>
      </w:r>
      <w:proofErr w:type="gramStart"/>
      <w:r w:rsidRPr="00250773">
        <w:rPr>
          <w:b/>
          <w:sz w:val="22"/>
          <w:szCs w:val="22"/>
        </w:rPr>
        <w:t>5  Circumstances</w:t>
      </w:r>
      <w:proofErr w:type="gramEnd"/>
      <w:r w:rsidRPr="00250773">
        <w:rPr>
          <w:b/>
          <w:sz w:val="22"/>
          <w:szCs w:val="22"/>
        </w:rPr>
        <w:t xml:space="preserve"> for multi-site licence</w:t>
      </w:r>
      <w:r w:rsidR="0035205C" w:rsidRPr="00250773">
        <w:rPr>
          <w:b/>
          <w:sz w:val="22"/>
          <w:szCs w:val="22"/>
        </w:rPr>
        <w:t>—</w:t>
      </w:r>
      <w:r w:rsidRPr="00250773">
        <w:rPr>
          <w:b/>
          <w:sz w:val="22"/>
          <w:szCs w:val="22"/>
        </w:rPr>
        <w:t>manufacture of therapeutic goods other than blood, blood components, haematopoietic progenitor cells or human tissue</w:t>
      </w:r>
    </w:p>
    <w:p w:rsidR="00A8641F" w:rsidRPr="00250773" w:rsidRDefault="00A8641F" w:rsidP="0058797D">
      <w:pPr>
        <w:tabs>
          <w:tab w:val="left" w:pos="851"/>
        </w:tabs>
        <w:spacing w:before="240"/>
        <w:outlineLvl w:val="0"/>
        <w:rPr>
          <w:sz w:val="22"/>
          <w:szCs w:val="22"/>
        </w:rPr>
      </w:pPr>
      <w:r w:rsidRPr="00250773">
        <w:rPr>
          <w:sz w:val="22"/>
          <w:szCs w:val="22"/>
        </w:rPr>
        <w:t>This section sets out the circumstances in which a licence may cover more than one manufacturing site for the manufacture of therapeutic goods other than blood, blood components, haematopoietic progenitor cells or human tissue.</w:t>
      </w:r>
    </w:p>
    <w:p w:rsidR="00A8641F" w:rsidRPr="00250773" w:rsidRDefault="00A8641F" w:rsidP="0058797D">
      <w:pPr>
        <w:tabs>
          <w:tab w:val="left" w:pos="851"/>
        </w:tabs>
        <w:spacing w:before="240"/>
        <w:outlineLvl w:val="0"/>
        <w:rPr>
          <w:b/>
          <w:sz w:val="22"/>
          <w:szCs w:val="22"/>
        </w:rPr>
      </w:pPr>
      <w:r w:rsidRPr="00250773">
        <w:rPr>
          <w:b/>
          <w:sz w:val="22"/>
          <w:szCs w:val="22"/>
        </w:rPr>
        <w:t xml:space="preserve">Section </w:t>
      </w:r>
      <w:proofErr w:type="gramStart"/>
      <w:r w:rsidRPr="00250773">
        <w:rPr>
          <w:b/>
          <w:sz w:val="22"/>
          <w:szCs w:val="22"/>
        </w:rPr>
        <w:t>6  Circumstances</w:t>
      </w:r>
      <w:proofErr w:type="gramEnd"/>
      <w:r w:rsidRPr="00250773">
        <w:rPr>
          <w:b/>
          <w:sz w:val="22"/>
          <w:szCs w:val="22"/>
        </w:rPr>
        <w:t xml:space="preserve"> for multi-site licence</w:t>
      </w:r>
      <w:r w:rsidR="0035205C" w:rsidRPr="00250773">
        <w:rPr>
          <w:b/>
          <w:sz w:val="22"/>
          <w:szCs w:val="22"/>
        </w:rPr>
        <w:t>—</w:t>
      </w:r>
      <w:r w:rsidRPr="00250773">
        <w:rPr>
          <w:b/>
          <w:sz w:val="22"/>
          <w:szCs w:val="22"/>
        </w:rPr>
        <w:t>manufacture of therapeutic goods that are blood, blood components, haematopoietic progenitor cells or human tissue</w:t>
      </w:r>
    </w:p>
    <w:p w:rsidR="00A8641F" w:rsidRPr="00250773" w:rsidRDefault="00A8641F" w:rsidP="0058797D">
      <w:pPr>
        <w:tabs>
          <w:tab w:val="left" w:pos="851"/>
        </w:tabs>
        <w:spacing w:before="240"/>
        <w:outlineLvl w:val="0"/>
        <w:rPr>
          <w:sz w:val="22"/>
          <w:szCs w:val="22"/>
        </w:rPr>
      </w:pPr>
      <w:r w:rsidRPr="00250773">
        <w:rPr>
          <w:sz w:val="22"/>
          <w:szCs w:val="22"/>
        </w:rPr>
        <w:t>This section sets out the circumstances in which a licence may cover more than one manufacturing site for the manufacture of therapeutic goods that are blood, blood components, haematopoietic progenitor cells or human tissue.</w:t>
      </w:r>
    </w:p>
    <w:p w:rsidR="00D71897" w:rsidRPr="00250773" w:rsidRDefault="004618D4" w:rsidP="0058797D">
      <w:pPr>
        <w:tabs>
          <w:tab w:val="left" w:pos="851"/>
        </w:tabs>
        <w:spacing w:before="240"/>
        <w:outlineLvl w:val="0"/>
        <w:rPr>
          <w:sz w:val="22"/>
          <w:szCs w:val="22"/>
        </w:rPr>
      </w:pPr>
      <w:r w:rsidRPr="00250773">
        <w:rPr>
          <w:b/>
          <w:sz w:val="22"/>
          <w:szCs w:val="22"/>
        </w:rPr>
        <w:t xml:space="preserve">Section </w:t>
      </w:r>
      <w:proofErr w:type="gramStart"/>
      <w:r w:rsidR="002200DC" w:rsidRPr="00250773">
        <w:rPr>
          <w:b/>
          <w:sz w:val="22"/>
          <w:szCs w:val="22"/>
        </w:rPr>
        <w:t>7</w:t>
      </w:r>
      <w:r w:rsidRPr="00250773">
        <w:rPr>
          <w:sz w:val="22"/>
          <w:szCs w:val="22"/>
        </w:rPr>
        <w:t xml:space="preserve"> </w:t>
      </w:r>
      <w:r w:rsidR="00445258" w:rsidRPr="00250773">
        <w:rPr>
          <w:sz w:val="22"/>
          <w:szCs w:val="22"/>
        </w:rPr>
        <w:t xml:space="preserve"> </w:t>
      </w:r>
      <w:r w:rsidR="002200DC" w:rsidRPr="00250773">
        <w:rPr>
          <w:b/>
          <w:sz w:val="22"/>
          <w:szCs w:val="22"/>
        </w:rPr>
        <w:t>Repeals</w:t>
      </w:r>
      <w:proofErr w:type="gramEnd"/>
    </w:p>
    <w:p w:rsidR="00137A8B" w:rsidRPr="00250773" w:rsidRDefault="00DD29EE" w:rsidP="0058797D">
      <w:pPr>
        <w:pStyle w:val="Definition"/>
        <w:spacing w:before="240"/>
        <w:ind w:left="0"/>
      </w:pPr>
      <w:r w:rsidRPr="00250773">
        <w:t xml:space="preserve">This section </w:t>
      </w:r>
      <w:r w:rsidR="002D1AFB" w:rsidRPr="00250773">
        <w:t xml:space="preserve">provides </w:t>
      </w:r>
      <w:r w:rsidR="00360C4E" w:rsidRPr="00250773">
        <w:t>that each in</w:t>
      </w:r>
      <w:r w:rsidR="002200DC" w:rsidRPr="00250773">
        <w:t xml:space="preserve">strument that is specified in </w:t>
      </w:r>
      <w:r w:rsidR="00360C4E" w:rsidRPr="00250773">
        <w:t xml:space="preserve">Schedule </w:t>
      </w:r>
      <w:r w:rsidR="002200DC" w:rsidRPr="00250773">
        <w:t xml:space="preserve">1 </w:t>
      </w:r>
      <w:proofErr w:type="gramStart"/>
      <w:r w:rsidR="002200DC" w:rsidRPr="00250773">
        <w:t>is</w:t>
      </w:r>
      <w:proofErr w:type="gramEnd"/>
      <w:r w:rsidR="002200DC" w:rsidRPr="00250773">
        <w:t xml:space="preserve"> repealed as set out in the applicable items in that Schedule</w:t>
      </w:r>
      <w:r w:rsidR="00445258" w:rsidRPr="00250773">
        <w:t>.</w:t>
      </w:r>
    </w:p>
    <w:p w:rsidR="00A8641F" w:rsidRPr="00250773" w:rsidRDefault="00A8641F" w:rsidP="0058797D">
      <w:pPr>
        <w:pStyle w:val="Definition"/>
        <w:spacing w:before="240"/>
        <w:ind w:left="0"/>
        <w:rPr>
          <w:b/>
        </w:rPr>
      </w:pPr>
      <w:r w:rsidRPr="00250773">
        <w:rPr>
          <w:b/>
        </w:rPr>
        <w:t>Schedule 1 – Repeals</w:t>
      </w:r>
    </w:p>
    <w:p w:rsidR="00A8641F" w:rsidRPr="00250773" w:rsidRDefault="00A8641F" w:rsidP="0058797D">
      <w:pPr>
        <w:pStyle w:val="Definition"/>
        <w:spacing w:before="240"/>
        <w:ind w:left="0"/>
      </w:pPr>
      <w:r w:rsidRPr="00250773">
        <w:t>This Schedule repeals the Therapeutic Goods (Multi-Site Manufacturing Licences) Guidelines of 2010.</w:t>
      </w:r>
    </w:p>
    <w:p w:rsidR="004618D4" w:rsidRPr="00250773" w:rsidRDefault="002707F1" w:rsidP="00A532F7">
      <w:pPr>
        <w:pStyle w:val="smallpara"/>
        <w:spacing w:before="0" w:beforeAutospacing="0" w:after="0" w:afterAutospacing="0"/>
        <w:jc w:val="right"/>
        <w:rPr>
          <w:rFonts w:ascii="Times New Roman" w:hAnsi="Times New Roman" w:cs="Times New Roman"/>
          <w:b/>
          <w:sz w:val="22"/>
          <w:szCs w:val="22"/>
        </w:rPr>
      </w:pPr>
      <w:bookmarkStart w:id="5" w:name="_Toc518788307"/>
      <w:bookmarkStart w:id="6" w:name="_Toc98919887"/>
      <w:bookmarkStart w:id="7" w:name="_Toc121709903"/>
      <w:bookmarkEnd w:id="4"/>
      <w:r w:rsidRPr="00250773">
        <w:rPr>
          <w:rFonts w:ascii="Times New Roman" w:hAnsi="Times New Roman" w:cs="Times New Roman"/>
          <w:sz w:val="22"/>
          <w:szCs w:val="22"/>
        </w:rPr>
        <w:br w:type="page"/>
      </w:r>
      <w:r w:rsidR="00CD731C" w:rsidRPr="00250773">
        <w:rPr>
          <w:rFonts w:ascii="Times New Roman" w:hAnsi="Times New Roman" w:cs="Times New Roman"/>
          <w:b/>
          <w:sz w:val="22"/>
          <w:szCs w:val="22"/>
        </w:rPr>
        <w:lastRenderedPageBreak/>
        <w:t>A</w:t>
      </w:r>
      <w:r w:rsidR="00137A8B" w:rsidRPr="00250773">
        <w:rPr>
          <w:rFonts w:ascii="Times New Roman" w:hAnsi="Times New Roman" w:cs="Times New Roman"/>
          <w:b/>
          <w:sz w:val="22"/>
          <w:szCs w:val="22"/>
        </w:rPr>
        <w:t xml:space="preserve">ttachment </w:t>
      </w:r>
      <w:r w:rsidR="001A55E4" w:rsidRPr="00250773">
        <w:rPr>
          <w:rFonts w:ascii="Times New Roman" w:hAnsi="Times New Roman" w:cs="Times New Roman"/>
          <w:b/>
          <w:sz w:val="22"/>
          <w:szCs w:val="22"/>
        </w:rPr>
        <w:t>B</w:t>
      </w:r>
    </w:p>
    <w:bookmarkEnd w:id="5"/>
    <w:bookmarkEnd w:id="6"/>
    <w:bookmarkEnd w:id="7"/>
    <w:p w:rsidR="00A532F7" w:rsidRPr="00250773" w:rsidRDefault="00A532F7" w:rsidP="00A532F7">
      <w:pPr>
        <w:shd w:val="clear" w:color="auto" w:fill="FFFFFF"/>
        <w:jc w:val="center"/>
        <w:rPr>
          <w:b/>
          <w:bCs/>
          <w:sz w:val="22"/>
          <w:szCs w:val="22"/>
        </w:rPr>
      </w:pPr>
    </w:p>
    <w:p w:rsidR="00EA05A0" w:rsidRPr="00250773" w:rsidRDefault="00EA05A0" w:rsidP="00A532F7">
      <w:pPr>
        <w:shd w:val="clear" w:color="auto" w:fill="FFFFFF"/>
        <w:jc w:val="center"/>
        <w:rPr>
          <w:sz w:val="22"/>
          <w:szCs w:val="22"/>
          <w:lang w:val="en-US"/>
        </w:rPr>
      </w:pPr>
      <w:r w:rsidRPr="00250773">
        <w:rPr>
          <w:b/>
          <w:bCs/>
          <w:sz w:val="22"/>
          <w:szCs w:val="22"/>
        </w:rPr>
        <w:t>Statement of Compatibility with Human Rights</w:t>
      </w:r>
    </w:p>
    <w:p w:rsidR="00A532F7" w:rsidRPr="00250773" w:rsidRDefault="00A532F7" w:rsidP="00A532F7">
      <w:pPr>
        <w:shd w:val="clear" w:color="auto" w:fill="FFFFFF"/>
        <w:jc w:val="center"/>
        <w:rPr>
          <w:i/>
          <w:sz w:val="22"/>
          <w:szCs w:val="22"/>
        </w:rPr>
      </w:pPr>
    </w:p>
    <w:p w:rsidR="00EA05A0" w:rsidRPr="00250773" w:rsidRDefault="00EA05A0" w:rsidP="00A532F7">
      <w:pPr>
        <w:shd w:val="clear" w:color="auto" w:fill="FFFFFF"/>
        <w:jc w:val="center"/>
        <w:rPr>
          <w:i/>
          <w:sz w:val="22"/>
          <w:szCs w:val="22"/>
        </w:rPr>
      </w:pPr>
      <w:r w:rsidRPr="00250773">
        <w:rPr>
          <w:i/>
          <w:sz w:val="22"/>
          <w:szCs w:val="22"/>
        </w:rPr>
        <w:t>Prepared in accordance with Part 3 of the</w:t>
      </w:r>
      <w:r w:rsidRPr="00250773">
        <w:rPr>
          <w:i/>
          <w:iCs/>
          <w:sz w:val="22"/>
          <w:szCs w:val="22"/>
        </w:rPr>
        <w:t xml:space="preserve"> Human Rights (Parliamentary Scrutiny) Act 2011</w:t>
      </w:r>
      <w:r w:rsidRPr="00250773">
        <w:rPr>
          <w:i/>
          <w:sz w:val="22"/>
          <w:szCs w:val="22"/>
        </w:rPr>
        <w:t>.</w:t>
      </w:r>
    </w:p>
    <w:p w:rsidR="00A532F7" w:rsidRPr="00250773" w:rsidRDefault="00A532F7" w:rsidP="00A532F7">
      <w:pPr>
        <w:shd w:val="clear" w:color="auto" w:fill="FFFFFF"/>
        <w:jc w:val="center"/>
        <w:rPr>
          <w:b/>
          <w:i/>
          <w:sz w:val="22"/>
          <w:szCs w:val="22"/>
        </w:rPr>
      </w:pPr>
    </w:p>
    <w:p w:rsidR="001A55E4" w:rsidRPr="00250773" w:rsidRDefault="002200DC" w:rsidP="00A532F7">
      <w:pPr>
        <w:shd w:val="clear" w:color="auto" w:fill="FFFFFF"/>
        <w:jc w:val="center"/>
        <w:rPr>
          <w:b/>
          <w:i/>
          <w:sz w:val="22"/>
          <w:szCs w:val="22"/>
        </w:rPr>
      </w:pPr>
      <w:r w:rsidRPr="00250773">
        <w:rPr>
          <w:b/>
          <w:i/>
          <w:sz w:val="22"/>
          <w:szCs w:val="22"/>
        </w:rPr>
        <w:t>Therapeutic Goods</w:t>
      </w:r>
      <w:r w:rsidR="009A5F97" w:rsidRPr="00250773">
        <w:rPr>
          <w:b/>
          <w:i/>
          <w:sz w:val="22"/>
          <w:szCs w:val="22"/>
        </w:rPr>
        <w:t xml:space="preserve"> (</w:t>
      </w:r>
      <w:r w:rsidRPr="00250773">
        <w:rPr>
          <w:b/>
          <w:i/>
          <w:sz w:val="22"/>
          <w:szCs w:val="22"/>
        </w:rPr>
        <w:t>Guidelines for Multi-Site Licences) Instrument</w:t>
      </w:r>
      <w:r w:rsidR="009A5F97" w:rsidRPr="00250773">
        <w:rPr>
          <w:b/>
          <w:i/>
          <w:sz w:val="22"/>
          <w:szCs w:val="22"/>
        </w:rPr>
        <w:t> </w:t>
      </w:r>
      <w:r w:rsidR="0096747A" w:rsidRPr="00250773">
        <w:rPr>
          <w:b/>
          <w:i/>
          <w:sz w:val="22"/>
          <w:szCs w:val="22"/>
        </w:rPr>
        <w:t>2020</w:t>
      </w:r>
    </w:p>
    <w:p w:rsidR="00A532F7" w:rsidRPr="00250773" w:rsidRDefault="00A532F7" w:rsidP="00A532F7">
      <w:pPr>
        <w:shd w:val="clear" w:color="auto" w:fill="FFFFFF"/>
        <w:rPr>
          <w:sz w:val="22"/>
          <w:szCs w:val="22"/>
        </w:rPr>
      </w:pPr>
    </w:p>
    <w:p w:rsidR="00EA05A0" w:rsidRPr="00250773" w:rsidRDefault="00EA05A0" w:rsidP="00A532F7">
      <w:pPr>
        <w:shd w:val="clear" w:color="auto" w:fill="FFFFFF"/>
        <w:rPr>
          <w:sz w:val="22"/>
          <w:szCs w:val="22"/>
          <w:lang w:val="en-US"/>
        </w:rPr>
      </w:pPr>
      <w:r w:rsidRPr="00250773">
        <w:rPr>
          <w:sz w:val="22"/>
          <w:szCs w:val="22"/>
        </w:rPr>
        <w:t xml:space="preserve">This </w:t>
      </w:r>
      <w:r w:rsidR="001A55E4" w:rsidRPr="00250773">
        <w:rPr>
          <w:sz w:val="22"/>
          <w:szCs w:val="22"/>
        </w:rPr>
        <w:t xml:space="preserve">disallowable </w:t>
      </w:r>
      <w:r w:rsidRPr="00250773">
        <w:rPr>
          <w:sz w:val="22"/>
          <w:szCs w:val="22"/>
        </w:rPr>
        <w:t xml:space="preserve">legislative instrument is compatible with the human rights and freedoms recognised or declared in the international instruments listed in section 3 of the </w:t>
      </w:r>
      <w:r w:rsidRPr="00250773">
        <w:rPr>
          <w:i/>
          <w:iCs/>
          <w:sz w:val="22"/>
          <w:szCs w:val="22"/>
        </w:rPr>
        <w:t>Human Rights (Parliamentary Scrutiny) Act 2011</w:t>
      </w:r>
      <w:r w:rsidRPr="00250773">
        <w:rPr>
          <w:sz w:val="22"/>
          <w:szCs w:val="22"/>
        </w:rPr>
        <w:t>.</w:t>
      </w:r>
    </w:p>
    <w:p w:rsidR="00A532F7" w:rsidRPr="00250773" w:rsidRDefault="00A532F7" w:rsidP="00A532F7">
      <w:pPr>
        <w:shd w:val="clear" w:color="auto" w:fill="FFFFFF"/>
        <w:rPr>
          <w:b/>
          <w:bCs/>
          <w:sz w:val="22"/>
          <w:szCs w:val="22"/>
        </w:rPr>
      </w:pPr>
    </w:p>
    <w:p w:rsidR="00EA05A0" w:rsidRPr="00250773" w:rsidRDefault="00EA05A0" w:rsidP="00A532F7">
      <w:pPr>
        <w:shd w:val="clear" w:color="auto" w:fill="FFFFFF"/>
        <w:rPr>
          <w:sz w:val="22"/>
          <w:szCs w:val="22"/>
          <w:lang w:val="en-US"/>
        </w:rPr>
      </w:pPr>
      <w:r w:rsidRPr="00250773">
        <w:rPr>
          <w:b/>
          <w:bCs/>
          <w:sz w:val="22"/>
          <w:szCs w:val="22"/>
        </w:rPr>
        <w:t>Overview of the Legislative Instrument</w:t>
      </w:r>
    </w:p>
    <w:p w:rsidR="00A532F7" w:rsidRPr="00250773" w:rsidRDefault="00A532F7" w:rsidP="00A532F7">
      <w:pPr>
        <w:rPr>
          <w:sz w:val="22"/>
          <w:szCs w:val="22"/>
        </w:rPr>
      </w:pPr>
    </w:p>
    <w:p w:rsidR="0096747A" w:rsidRPr="00250773" w:rsidRDefault="0096747A" w:rsidP="00B62596">
      <w:pPr>
        <w:rPr>
          <w:sz w:val="22"/>
          <w:szCs w:val="22"/>
        </w:rPr>
      </w:pPr>
      <w:r w:rsidRPr="00250773">
        <w:rPr>
          <w:sz w:val="22"/>
          <w:szCs w:val="22"/>
        </w:rPr>
        <w:t xml:space="preserve">The </w:t>
      </w:r>
      <w:r w:rsidRPr="00250773">
        <w:rPr>
          <w:i/>
          <w:sz w:val="22"/>
          <w:szCs w:val="22"/>
        </w:rPr>
        <w:t>Therapeutic Goods (</w:t>
      </w:r>
      <w:r w:rsidR="002200DC" w:rsidRPr="00250773">
        <w:rPr>
          <w:i/>
          <w:sz w:val="22"/>
          <w:szCs w:val="22"/>
        </w:rPr>
        <w:t>Guidelines for Multi-Site Licences) Instrument 2020</w:t>
      </w:r>
      <w:r w:rsidR="002200DC" w:rsidRPr="00250773">
        <w:rPr>
          <w:sz w:val="22"/>
          <w:szCs w:val="22"/>
        </w:rPr>
        <w:t xml:space="preserve"> (“the instrument”) </w:t>
      </w:r>
      <w:proofErr w:type="gramStart"/>
      <w:r w:rsidR="002200DC" w:rsidRPr="00250773">
        <w:rPr>
          <w:sz w:val="22"/>
          <w:szCs w:val="22"/>
        </w:rPr>
        <w:t>is made</w:t>
      </w:r>
      <w:proofErr w:type="gramEnd"/>
      <w:r w:rsidR="002200DC" w:rsidRPr="00250773">
        <w:rPr>
          <w:sz w:val="22"/>
          <w:szCs w:val="22"/>
        </w:rPr>
        <w:t xml:space="preserve"> under section 38A</w:t>
      </w:r>
      <w:r w:rsidRPr="00250773">
        <w:rPr>
          <w:sz w:val="22"/>
          <w:szCs w:val="22"/>
        </w:rPr>
        <w:t xml:space="preserve"> of the</w:t>
      </w:r>
      <w:r w:rsidRPr="00250773">
        <w:rPr>
          <w:i/>
          <w:sz w:val="22"/>
          <w:szCs w:val="22"/>
        </w:rPr>
        <w:t xml:space="preserve"> Therapeutic Goods Act 1989</w:t>
      </w:r>
      <w:r w:rsidRPr="00250773">
        <w:rPr>
          <w:sz w:val="22"/>
          <w:szCs w:val="22"/>
        </w:rPr>
        <w:t xml:space="preserve"> (“the Act”). </w:t>
      </w:r>
    </w:p>
    <w:p w:rsidR="00A8641F" w:rsidRPr="00250773" w:rsidRDefault="00A8641F" w:rsidP="00B62596">
      <w:pPr>
        <w:rPr>
          <w:sz w:val="22"/>
          <w:szCs w:val="22"/>
        </w:rPr>
      </w:pPr>
    </w:p>
    <w:p w:rsidR="00A8641F" w:rsidRPr="00250773" w:rsidRDefault="00A8641F" w:rsidP="00B62596">
      <w:pPr>
        <w:rPr>
          <w:sz w:val="22"/>
          <w:szCs w:val="22"/>
        </w:rPr>
      </w:pPr>
      <w:r w:rsidRPr="00250773">
        <w:rPr>
          <w:sz w:val="22"/>
          <w:szCs w:val="22"/>
        </w:rPr>
        <w:t xml:space="preserve">Section 38A provides that the Secretary </w:t>
      </w:r>
      <w:proofErr w:type="gramStart"/>
      <w:r w:rsidRPr="00250773">
        <w:rPr>
          <w:sz w:val="22"/>
          <w:szCs w:val="22"/>
        </w:rPr>
        <w:t>must, by legislative instrument, make</w:t>
      </w:r>
      <w:proofErr w:type="gramEnd"/>
      <w:r w:rsidRPr="00250773">
        <w:rPr>
          <w:sz w:val="22"/>
          <w:szCs w:val="22"/>
        </w:rPr>
        <w:t xml:space="preserve"> guidelines setting out the circumstances in which a licence may cover two or more manufacturing sites.</w:t>
      </w:r>
    </w:p>
    <w:p w:rsidR="00B62596" w:rsidRPr="00250773" w:rsidRDefault="00B62596" w:rsidP="0058797D">
      <w:pPr>
        <w:rPr>
          <w:sz w:val="22"/>
          <w:szCs w:val="22"/>
        </w:rPr>
      </w:pPr>
    </w:p>
    <w:p w:rsidR="00A8641F" w:rsidRPr="00250773" w:rsidRDefault="00A532F7" w:rsidP="00A8641F">
      <w:pPr>
        <w:shd w:val="clear" w:color="auto" w:fill="FFFFFF"/>
        <w:rPr>
          <w:sz w:val="22"/>
          <w:szCs w:val="22"/>
        </w:rPr>
      </w:pPr>
      <w:r w:rsidRPr="00250773">
        <w:rPr>
          <w:sz w:val="22"/>
          <w:szCs w:val="22"/>
        </w:rPr>
        <w:t xml:space="preserve">The purpose of the </w:t>
      </w:r>
      <w:r w:rsidR="00DE5716" w:rsidRPr="00250773">
        <w:rPr>
          <w:sz w:val="22"/>
          <w:szCs w:val="22"/>
        </w:rPr>
        <w:t xml:space="preserve">instrument is </w:t>
      </w:r>
      <w:r w:rsidRPr="00250773">
        <w:rPr>
          <w:sz w:val="22"/>
          <w:szCs w:val="22"/>
        </w:rPr>
        <w:t>to</w:t>
      </w:r>
      <w:r w:rsidR="00A8641F" w:rsidRPr="00250773">
        <w:rPr>
          <w:sz w:val="22"/>
          <w:szCs w:val="22"/>
        </w:rPr>
        <w:t xml:space="preserve"> set out such guidelines, in relation to when it may be appropriate for a manufacturing licence to cover </w:t>
      </w:r>
      <w:r w:rsidR="000A4916" w:rsidRPr="00250773">
        <w:rPr>
          <w:sz w:val="22"/>
          <w:szCs w:val="22"/>
        </w:rPr>
        <w:t xml:space="preserve">two or more </w:t>
      </w:r>
      <w:r w:rsidR="00A8641F" w:rsidRPr="00250773">
        <w:rPr>
          <w:sz w:val="22"/>
          <w:szCs w:val="22"/>
        </w:rPr>
        <w:t>manufacturing site</w:t>
      </w:r>
      <w:r w:rsidR="000A4916" w:rsidRPr="00250773">
        <w:rPr>
          <w:sz w:val="22"/>
          <w:szCs w:val="22"/>
        </w:rPr>
        <w:t>s</w:t>
      </w:r>
      <w:r w:rsidR="00A8641F" w:rsidRPr="00250773">
        <w:rPr>
          <w:sz w:val="22"/>
          <w:szCs w:val="22"/>
        </w:rPr>
        <w:t>.</w:t>
      </w:r>
    </w:p>
    <w:p w:rsidR="00A8641F" w:rsidRPr="00250773" w:rsidRDefault="00A8641F" w:rsidP="00A8641F">
      <w:pPr>
        <w:shd w:val="clear" w:color="auto" w:fill="FFFFFF"/>
        <w:rPr>
          <w:sz w:val="22"/>
          <w:szCs w:val="22"/>
        </w:rPr>
      </w:pPr>
    </w:p>
    <w:p w:rsidR="00A8641F" w:rsidRPr="00250773" w:rsidRDefault="000A4916" w:rsidP="00A8641F">
      <w:pPr>
        <w:shd w:val="clear" w:color="auto" w:fill="FFFFFF"/>
        <w:rPr>
          <w:sz w:val="22"/>
          <w:szCs w:val="22"/>
        </w:rPr>
      </w:pPr>
      <w:r w:rsidRPr="00250773">
        <w:rPr>
          <w:sz w:val="22"/>
          <w:szCs w:val="22"/>
        </w:rPr>
        <w:t>Relevantly</w:t>
      </w:r>
      <w:r w:rsidR="00A8641F" w:rsidRPr="00250773">
        <w:rPr>
          <w:sz w:val="22"/>
          <w:szCs w:val="22"/>
        </w:rPr>
        <w:t xml:space="preserve">, subsection 38(2A) of the Act </w:t>
      </w:r>
      <w:r w:rsidR="00565C12" w:rsidRPr="00250773">
        <w:rPr>
          <w:sz w:val="22"/>
          <w:szCs w:val="22"/>
        </w:rPr>
        <w:t xml:space="preserve">provides </w:t>
      </w:r>
      <w:r w:rsidR="00A8641F" w:rsidRPr="00250773">
        <w:rPr>
          <w:sz w:val="22"/>
          <w:szCs w:val="22"/>
        </w:rPr>
        <w:t xml:space="preserve">that the Secretary must have regard to the guidelines under section 38A in granting </w:t>
      </w:r>
      <w:r w:rsidR="00237A2A" w:rsidRPr="00250773">
        <w:rPr>
          <w:sz w:val="22"/>
          <w:szCs w:val="22"/>
        </w:rPr>
        <w:t xml:space="preserve">a </w:t>
      </w:r>
      <w:r w:rsidR="00A8641F" w:rsidRPr="00250773">
        <w:rPr>
          <w:sz w:val="22"/>
          <w:szCs w:val="22"/>
        </w:rPr>
        <w:t xml:space="preserve">licence </w:t>
      </w:r>
      <w:r w:rsidR="00237A2A" w:rsidRPr="00250773">
        <w:rPr>
          <w:sz w:val="22"/>
          <w:szCs w:val="22"/>
        </w:rPr>
        <w:t xml:space="preserve">to a person who applies to carry out steps in the manufacture of therapeutic goods </w:t>
      </w:r>
      <w:r w:rsidR="00A8641F" w:rsidRPr="00250773">
        <w:rPr>
          <w:sz w:val="22"/>
          <w:szCs w:val="22"/>
        </w:rPr>
        <w:t>under section 38.</w:t>
      </w:r>
    </w:p>
    <w:p w:rsidR="00A8641F" w:rsidRPr="00250773" w:rsidRDefault="00A8641F" w:rsidP="00A8641F">
      <w:pPr>
        <w:shd w:val="clear" w:color="auto" w:fill="FFFFFF"/>
        <w:rPr>
          <w:sz w:val="22"/>
          <w:szCs w:val="22"/>
        </w:rPr>
      </w:pPr>
    </w:p>
    <w:p w:rsidR="00A8641F" w:rsidRPr="00250773" w:rsidRDefault="00C87EE1" w:rsidP="00A8641F">
      <w:pPr>
        <w:shd w:val="clear" w:color="auto" w:fill="FFFFFF"/>
        <w:rPr>
          <w:sz w:val="22"/>
          <w:szCs w:val="22"/>
        </w:rPr>
      </w:pPr>
      <w:r w:rsidRPr="00250773">
        <w:rPr>
          <w:sz w:val="22"/>
          <w:szCs w:val="22"/>
        </w:rPr>
        <w:t>The i</w:t>
      </w:r>
      <w:r w:rsidR="00A8641F" w:rsidRPr="00250773">
        <w:rPr>
          <w:sz w:val="22"/>
          <w:szCs w:val="22"/>
        </w:rPr>
        <w:t>nstrument also repeals and replaces the Therapeutic Goods (Multi-Site Manufacturing Licences) Guidelines of 2010 (“the forme</w:t>
      </w:r>
      <w:r w:rsidRPr="00250773">
        <w:rPr>
          <w:sz w:val="22"/>
          <w:szCs w:val="22"/>
        </w:rPr>
        <w:t>r instrument”</w:t>
      </w:r>
      <w:r w:rsidR="00A8641F" w:rsidRPr="00250773">
        <w:rPr>
          <w:sz w:val="22"/>
          <w:szCs w:val="22"/>
        </w:rPr>
        <w:t xml:space="preserve">), which was due to sunset on 1 April 2020 under </w:t>
      </w:r>
      <w:r w:rsidR="00237A2A" w:rsidRPr="00250773">
        <w:rPr>
          <w:sz w:val="22"/>
          <w:szCs w:val="22"/>
        </w:rPr>
        <w:t>Part 4</w:t>
      </w:r>
      <w:r w:rsidR="00A8641F" w:rsidRPr="00250773">
        <w:rPr>
          <w:sz w:val="22"/>
          <w:szCs w:val="22"/>
        </w:rPr>
        <w:t xml:space="preserve"> of the </w:t>
      </w:r>
      <w:r w:rsidR="00A8641F" w:rsidRPr="00250773">
        <w:rPr>
          <w:i/>
          <w:sz w:val="22"/>
          <w:szCs w:val="22"/>
        </w:rPr>
        <w:t>Legislation Act 2003</w:t>
      </w:r>
      <w:r w:rsidR="00A8641F" w:rsidRPr="00250773">
        <w:rPr>
          <w:sz w:val="22"/>
          <w:szCs w:val="22"/>
        </w:rPr>
        <w:t>.</w:t>
      </w:r>
    </w:p>
    <w:p w:rsidR="00DE5716" w:rsidRPr="00250773" w:rsidRDefault="00DE5716" w:rsidP="00A532F7">
      <w:pPr>
        <w:rPr>
          <w:sz w:val="22"/>
          <w:szCs w:val="22"/>
        </w:rPr>
      </w:pPr>
    </w:p>
    <w:p w:rsidR="00565C12" w:rsidRPr="00250773" w:rsidRDefault="00565C12" w:rsidP="00A532F7">
      <w:pPr>
        <w:rPr>
          <w:sz w:val="22"/>
          <w:szCs w:val="22"/>
        </w:rPr>
      </w:pPr>
      <w:r w:rsidRPr="00250773">
        <w:rPr>
          <w:sz w:val="22"/>
          <w:szCs w:val="22"/>
        </w:rPr>
        <w:t xml:space="preserve">The instrument repeals and replaces the former instrument, with minor changes to improve clarity and consistency. The instrument does not introduce any new or substantive changes to the circumstances set out in the former instrument in which it </w:t>
      </w:r>
      <w:proofErr w:type="gramStart"/>
      <w:r w:rsidRPr="00250773">
        <w:rPr>
          <w:sz w:val="22"/>
          <w:szCs w:val="22"/>
        </w:rPr>
        <w:t>is considered</w:t>
      </w:r>
      <w:proofErr w:type="gramEnd"/>
      <w:r w:rsidRPr="00250773">
        <w:rPr>
          <w:sz w:val="22"/>
          <w:szCs w:val="22"/>
        </w:rPr>
        <w:t xml:space="preserve"> appropriate for a licence to cover more than one manufacturing site.</w:t>
      </w:r>
    </w:p>
    <w:p w:rsidR="00565C12" w:rsidRPr="00250773" w:rsidRDefault="00565C12" w:rsidP="00565C12">
      <w:pPr>
        <w:rPr>
          <w:sz w:val="22"/>
          <w:szCs w:val="22"/>
        </w:rPr>
      </w:pPr>
    </w:p>
    <w:p w:rsidR="00565C12" w:rsidRDefault="00565C12" w:rsidP="00565C12">
      <w:pPr>
        <w:rPr>
          <w:sz w:val="22"/>
          <w:szCs w:val="22"/>
        </w:rPr>
      </w:pPr>
      <w:r w:rsidRPr="00250773">
        <w:rPr>
          <w:sz w:val="22"/>
          <w:szCs w:val="22"/>
        </w:rPr>
        <w:t xml:space="preserve">In that regard, the instrument provides that, the circumstances in which a licence to manufacture therapeutic goods other than blood, blood components, haematopoietic progenitor cells or human tissue may cover two or </w:t>
      </w:r>
      <w:r w:rsidR="00566412">
        <w:rPr>
          <w:sz w:val="22"/>
          <w:szCs w:val="22"/>
        </w:rPr>
        <w:t xml:space="preserve">more manufacturing sites are </w:t>
      </w:r>
      <w:r w:rsidRPr="00250773">
        <w:rPr>
          <w:sz w:val="22"/>
          <w:szCs w:val="22"/>
        </w:rPr>
        <w:t>where:</w:t>
      </w:r>
    </w:p>
    <w:p w:rsidR="00250773" w:rsidRPr="00250773" w:rsidRDefault="00250773" w:rsidP="00565C12">
      <w:pPr>
        <w:rPr>
          <w:sz w:val="22"/>
          <w:szCs w:val="22"/>
        </w:rPr>
      </w:pPr>
    </w:p>
    <w:p w:rsidR="00565C12" w:rsidRPr="00250773" w:rsidRDefault="00565C12" w:rsidP="00565C12">
      <w:pPr>
        <w:pStyle w:val="ListParagraph"/>
        <w:numPr>
          <w:ilvl w:val="0"/>
          <w:numId w:val="31"/>
        </w:numPr>
        <w:rPr>
          <w:sz w:val="22"/>
          <w:szCs w:val="22"/>
        </w:rPr>
      </w:pPr>
      <w:r w:rsidRPr="00250773">
        <w:rPr>
          <w:sz w:val="22"/>
          <w:szCs w:val="22"/>
        </w:rPr>
        <w:t>steps in the manufacture of the therapeutic goods are to be carried out at one fixed site, and any additional site or sites are to be used for the secondary packaging of the finished product, or the storage or release for supply of the packaging materials, starting materials, in-process materials, or the finished product; and</w:t>
      </w:r>
    </w:p>
    <w:p w:rsidR="00565C12" w:rsidRPr="00250773" w:rsidRDefault="00565C12" w:rsidP="00565C12">
      <w:pPr>
        <w:pStyle w:val="ListParagraph"/>
        <w:numPr>
          <w:ilvl w:val="0"/>
          <w:numId w:val="31"/>
        </w:numPr>
        <w:rPr>
          <w:sz w:val="22"/>
          <w:szCs w:val="22"/>
        </w:rPr>
      </w:pPr>
      <w:r w:rsidRPr="00250773">
        <w:rPr>
          <w:sz w:val="22"/>
          <w:szCs w:val="22"/>
        </w:rPr>
        <w:t>all of the steps in the manufacture of the goods are to be covered by a single quality system; and</w:t>
      </w:r>
    </w:p>
    <w:p w:rsidR="00565C12" w:rsidRPr="00250773" w:rsidRDefault="00565C12" w:rsidP="00565C12">
      <w:pPr>
        <w:pStyle w:val="ListParagraph"/>
        <w:numPr>
          <w:ilvl w:val="0"/>
          <w:numId w:val="31"/>
        </w:numPr>
        <w:rPr>
          <w:sz w:val="22"/>
          <w:szCs w:val="22"/>
        </w:rPr>
      </w:pPr>
      <w:r w:rsidRPr="00250773">
        <w:rPr>
          <w:sz w:val="22"/>
          <w:szCs w:val="22"/>
        </w:rPr>
        <w:t>all sites are capable of being inspected within the relevant period; and</w:t>
      </w:r>
    </w:p>
    <w:p w:rsidR="00565C12" w:rsidRPr="00250773" w:rsidRDefault="00565C12" w:rsidP="00565C12">
      <w:pPr>
        <w:pStyle w:val="ListParagraph"/>
        <w:numPr>
          <w:ilvl w:val="0"/>
          <w:numId w:val="31"/>
        </w:numPr>
        <w:rPr>
          <w:sz w:val="22"/>
          <w:szCs w:val="22"/>
        </w:rPr>
      </w:pPr>
      <w:proofErr w:type="gramStart"/>
      <w:r w:rsidRPr="00250773">
        <w:rPr>
          <w:sz w:val="22"/>
          <w:szCs w:val="22"/>
        </w:rPr>
        <w:t>all</w:t>
      </w:r>
      <w:proofErr w:type="gramEnd"/>
      <w:r w:rsidRPr="00250773">
        <w:rPr>
          <w:sz w:val="22"/>
          <w:szCs w:val="22"/>
        </w:rPr>
        <w:t xml:space="preserve"> sites are located with sufficient proximity such that the total travel time between the sites under inspection does not exceed 60 minutes.</w:t>
      </w:r>
    </w:p>
    <w:p w:rsidR="00565C12" w:rsidRPr="00250773" w:rsidRDefault="00565C12" w:rsidP="00565C12">
      <w:pPr>
        <w:rPr>
          <w:sz w:val="22"/>
          <w:szCs w:val="22"/>
        </w:rPr>
      </w:pPr>
    </w:p>
    <w:p w:rsidR="00565C12" w:rsidRPr="00250773" w:rsidRDefault="00565C12" w:rsidP="00565C12">
      <w:pPr>
        <w:rPr>
          <w:sz w:val="22"/>
          <w:szCs w:val="22"/>
        </w:rPr>
      </w:pPr>
      <w:r w:rsidRPr="00250773">
        <w:rPr>
          <w:sz w:val="22"/>
          <w:szCs w:val="22"/>
        </w:rPr>
        <w:t xml:space="preserve">The instrument specifies </w:t>
      </w:r>
      <w:r w:rsidR="008923BA" w:rsidRPr="00250773">
        <w:rPr>
          <w:sz w:val="22"/>
          <w:szCs w:val="22"/>
        </w:rPr>
        <w:t xml:space="preserve">similar </w:t>
      </w:r>
      <w:r w:rsidRPr="00250773">
        <w:rPr>
          <w:sz w:val="22"/>
          <w:szCs w:val="22"/>
        </w:rPr>
        <w:t>circumstances in which a licence may cover two or more manufacturing sites in relation to a licence to manufacture therapeutic goods that are blood, blood components, haematopoietic progenitor cells or human tissue. In particular, those circumstances make provision in relation to mobile (non-fixed) sites for the collection of blood or blood components.</w:t>
      </w:r>
    </w:p>
    <w:p w:rsidR="00A532F7" w:rsidRPr="00250773" w:rsidRDefault="00A532F7" w:rsidP="00A532F7">
      <w:pPr>
        <w:rPr>
          <w:sz w:val="22"/>
          <w:szCs w:val="22"/>
        </w:rPr>
      </w:pPr>
    </w:p>
    <w:p w:rsidR="00EA05A0" w:rsidRPr="00250773" w:rsidRDefault="00EA05A0" w:rsidP="0058797D">
      <w:pPr>
        <w:pStyle w:val="ListBullet"/>
        <w:numPr>
          <w:ilvl w:val="0"/>
          <w:numId w:val="0"/>
        </w:numPr>
        <w:tabs>
          <w:tab w:val="clear" w:pos="397"/>
          <w:tab w:val="left" w:pos="284"/>
        </w:tabs>
        <w:spacing w:after="0"/>
        <w:rPr>
          <w:sz w:val="22"/>
          <w:szCs w:val="22"/>
          <w:lang w:val="en-US"/>
        </w:rPr>
      </w:pPr>
      <w:r w:rsidRPr="00250773">
        <w:rPr>
          <w:b/>
          <w:bCs/>
          <w:sz w:val="22"/>
          <w:szCs w:val="22"/>
        </w:rPr>
        <w:lastRenderedPageBreak/>
        <w:t>Human rights implications</w:t>
      </w:r>
    </w:p>
    <w:p w:rsidR="00254055" w:rsidRPr="00250773" w:rsidRDefault="00254055" w:rsidP="0058797D">
      <w:pPr>
        <w:shd w:val="clear" w:color="auto" w:fill="FFFFFF"/>
        <w:rPr>
          <w:sz w:val="22"/>
          <w:szCs w:val="22"/>
        </w:rPr>
      </w:pPr>
    </w:p>
    <w:p w:rsidR="00824F07" w:rsidRPr="00250773" w:rsidRDefault="00254055" w:rsidP="0058797D">
      <w:pPr>
        <w:shd w:val="clear" w:color="auto" w:fill="FFFFFF"/>
        <w:spacing w:after="240"/>
        <w:rPr>
          <w:sz w:val="22"/>
          <w:szCs w:val="22"/>
        </w:rPr>
      </w:pPr>
      <w:r w:rsidRPr="00250773">
        <w:rPr>
          <w:bCs/>
          <w:sz w:val="22"/>
          <w:szCs w:val="22"/>
        </w:rPr>
        <w:t xml:space="preserve">The instrument engages 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w:t>
      </w:r>
      <w:proofErr w:type="gramStart"/>
      <w:r w:rsidRPr="00250773">
        <w:rPr>
          <w:bCs/>
          <w:sz w:val="22"/>
          <w:szCs w:val="22"/>
        </w:rPr>
        <w:t>to progressively secure</w:t>
      </w:r>
      <w:proofErr w:type="gramEnd"/>
      <w:r w:rsidRPr="00250773">
        <w:rPr>
          <w:bCs/>
          <w:sz w:val="22"/>
          <w:szCs w:val="22"/>
        </w:rPr>
        <w:t xml:space="preserve"> broader enjoyment of the right.</w:t>
      </w:r>
    </w:p>
    <w:p w:rsidR="00254055" w:rsidRPr="00250773" w:rsidRDefault="00254055" w:rsidP="0058797D">
      <w:pPr>
        <w:shd w:val="clear" w:color="auto" w:fill="FFFFFF"/>
        <w:spacing w:after="240"/>
        <w:rPr>
          <w:sz w:val="22"/>
          <w:szCs w:val="22"/>
        </w:rPr>
      </w:pPr>
      <w:proofErr w:type="gramStart"/>
      <w:r w:rsidRPr="00250773">
        <w:rPr>
          <w:sz w:val="22"/>
          <w:szCs w:val="22"/>
        </w:rPr>
        <w:t xml:space="preserve">In </w:t>
      </w:r>
      <w:r w:rsidRPr="00250773">
        <w:rPr>
          <w:i/>
          <w:iCs/>
          <w:sz w:val="22"/>
          <w:szCs w:val="22"/>
        </w:rPr>
        <w:t xml:space="preserve">General Comment No. 14: The Right to the Highest Attainable Standard of Health (Art. 12) </w:t>
      </w:r>
      <w:r w:rsidRPr="00250773">
        <w:rPr>
          <w:sz w:val="22"/>
          <w:szCs w:val="22"/>
        </w:rPr>
        <w:t>(2000), the United Nations Committee on Economic, Social and Cultural Rights states that health is a ‘</w:t>
      </w:r>
      <w:r w:rsidRPr="00250773">
        <w:rPr>
          <w:i/>
          <w:sz w:val="22"/>
          <w:szCs w:val="22"/>
        </w:rPr>
        <w:t>fundamental human right indispensable for the exercise of other human rights’</w:t>
      </w:r>
      <w:r w:rsidRPr="00250773">
        <w:rPr>
          <w:sz w:val="22"/>
          <w:szCs w:val="22"/>
        </w:rPr>
        <w:t>, and that the right to health is not to be understood as the right to be healthy, but includes the right to a system of health protection which provides equal opportunity for people to enjoy the highest attainable level of health.</w:t>
      </w:r>
      <w:proofErr w:type="gramEnd"/>
    </w:p>
    <w:p w:rsidR="00603C0F" w:rsidRPr="00250773" w:rsidRDefault="0058797D" w:rsidP="0058797D">
      <w:pPr>
        <w:shd w:val="clear" w:color="auto" w:fill="FFFFFF"/>
        <w:rPr>
          <w:sz w:val="22"/>
          <w:szCs w:val="22"/>
        </w:rPr>
      </w:pPr>
      <w:r w:rsidRPr="00250773">
        <w:rPr>
          <w:sz w:val="22"/>
          <w:szCs w:val="22"/>
        </w:rPr>
        <w:t>The instrument takes positive steps to promote the right to health by</w:t>
      </w:r>
      <w:r w:rsidR="00A8641F" w:rsidRPr="00250773">
        <w:rPr>
          <w:sz w:val="22"/>
          <w:szCs w:val="22"/>
        </w:rPr>
        <w:t xml:space="preserve"> </w:t>
      </w:r>
      <w:r w:rsidR="00603C0F" w:rsidRPr="00250773">
        <w:rPr>
          <w:sz w:val="22"/>
          <w:szCs w:val="22"/>
        </w:rPr>
        <w:t xml:space="preserve">ensuring that licences issued under Part 3-3 of the Act only cover more than one manufacturing site in circumstances where the safety and integrity of the steps in the manufacture of therapeutic goods performed at those sites </w:t>
      </w:r>
      <w:proofErr w:type="gramStart"/>
      <w:r w:rsidR="00603C0F" w:rsidRPr="00250773">
        <w:rPr>
          <w:sz w:val="22"/>
          <w:szCs w:val="22"/>
        </w:rPr>
        <w:t>can be adequately and appropriately assessed and verified</w:t>
      </w:r>
      <w:proofErr w:type="gramEnd"/>
      <w:r w:rsidRPr="00250773">
        <w:rPr>
          <w:sz w:val="22"/>
          <w:szCs w:val="22"/>
        </w:rPr>
        <w:t>.</w:t>
      </w:r>
    </w:p>
    <w:p w:rsidR="00603C0F" w:rsidRPr="00250773" w:rsidRDefault="00603C0F" w:rsidP="0058797D">
      <w:pPr>
        <w:shd w:val="clear" w:color="auto" w:fill="FFFFFF"/>
        <w:rPr>
          <w:sz w:val="22"/>
          <w:szCs w:val="22"/>
        </w:rPr>
      </w:pPr>
    </w:p>
    <w:p w:rsidR="00254055" w:rsidRPr="00250773" w:rsidRDefault="007450A7" w:rsidP="0058797D">
      <w:pPr>
        <w:shd w:val="clear" w:color="auto" w:fill="FFFFFF"/>
        <w:rPr>
          <w:sz w:val="22"/>
          <w:szCs w:val="22"/>
        </w:rPr>
      </w:pPr>
      <w:r w:rsidRPr="00250773">
        <w:rPr>
          <w:sz w:val="22"/>
          <w:szCs w:val="22"/>
        </w:rPr>
        <w:t xml:space="preserve">Such measures will assist to </w:t>
      </w:r>
      <w:r w:rsidR="00603C0F" w:rsidRPr="00250773">
        <w:rPr>
          <w:sz w:val="22"/>
          <w:szCs w:val="22"/>
        </w:rPr>
        <w:t xml:space="preserve">protect the safety of consumers who use therapeutic goods that </w:t>
      </w:r>
      <w:proofErr w:type="gramStart"/>
      <w:r w:rsidR="00603C0F" w:rsidRPr="00250773">
        <w:rPr>
          <w:sz w:val="22"/>
          <w:szCs w:val="22"/>
        </w:rPr>
        <w:t>are manufactured</w:t>
      </w:r>
      <w:proofErr w:type="gramEnd"/>
      <w:r w:rsidR="00603C0F" w:rsidRPr="00250773">
        <w:rPr>
          <w:sz w:val="22"/>
          <w:szCs w:val="22"/>
        </w:rPr>
        <w:t xml:space="preserve"> under licence in Australia.</w:t>
      </w:r>
    </w:p>
    <w:p w:rsidR="00254055" w:rsidRPr="00250773" w:rsidRDefault="00254055" w:rsidP="0058797D">
      <w:pPr>
        <w:shd w:val="clear" w:color="auto" w:fill="FFFFFF"/>
        <w:rPr>
          <w:b/>
          <w:bCs/>
          <w:sz w:val="22"/>
          <w:szCs w:val="22"/>
        </w:rPr>
      </w:pPr>
    </w:p>
    <w:p w:rsidR="00EA05A0" w:rsidRPr="00250773" w:rsidRDefault="00EA05A0" w:rsidP="0058797D">
      <w:pPr>
        <w:shd w:val="clear" w:color="auto" w:fill="FFFFFF"/>
        <w:rPr>
          <w:sz w:val="22"/>
          <w:szCs w:val="22"/>
          <w:lang w:val="en-US"/>
        </w:rPr>
      </w:pPr>
      <w:r w:rsidRPr="00250773">
        <w:rPr>
          <w:b/>
          <w:bCs/>
          <w:sz w:val="22"/>
          <w:szCs w:val="22"/>
        </w:rPr>
        <w:t>Conclusion</w:t>
      </w:r>
    </w:p>
    <w:p w:rsidR="00254055" w:rsidRPr="00250773" w:rsidRDefault="00254055" w:rsidP="0058797D">
      <w:pPr>
        <w:shd w:val="clear" w:color="auto" w:fill="FFFFFF"/>
        <w:rPr>
          <w:sz w:val="22"/>
          <w:szCs w:val="22"/>
        </w:rPr>
      </w:pPr>
    </w:p>
    <w:p w:rsidR="00EA05A0" w:rsidRPr="00250773" w:rsidRDefault="00EA05A0" w:rsidP="0058797D">
      <w:pPr>
        <w:spacing w:before="120" w:after="120"/>
        <w:rPr>
          <w:sz w:val="22"/>
          <w:szCs w:val="22"/>
        </w:rPr>
      </w:pPr>
      <w:r w:rsidRPr="00250773">
        <w:rPr>
          <w:sz w:val="22"/>
          <w:szCs w:val="22"/>
        </w:rPr>
        <w:t xml:space="preserve">This instrument is compatible with human rights </w:t>
      </w:r>
      <w:r w:rsidR="0058797D" w:rsidRPr="00250773">
        <w:rPr>
          <w:sz w:val="22"/>
          <w:szCs w:val="22"/>
        </w:rPr>
        <w:t>because it promotes the right to health in Article 12 of the ICESCR as outlined above, and otherwise does not raise any human rights issues.</w:t>
      </w:r>
    </w:p>
    <w:p w:rsidR="00496E14" w:rsidRPr="00250773" w:rsidRDefault="00496E14" w:rsidP="0058797D">
      <w:pPr>
        <w:shd w:val="clear" w:color="auto" w:fill="FFFFFF"/>
        <w:rPr>
          <w:sz w:val="22"/>
          <w:szCs w:val="22"/>
          <w:lang w:val="en-US"/>
        </w:rPr>
      </w:pPr>
    </w:p>
    <w:p w:rsidR="00EA05A0" w:rsidRPr="00250773" w:rsidRDefault="002200DC" w:rsidP="0058797D">
      <w:pPr>
        <w:shd w:val="clear" w:color="auto" w:fill="FFFFFF"/>
        <w:rPr>
          <w:sz w:val="22"/>
          <w:szCs w:val="22"/>
        </w:rPr>
      </w:pPr>
      <w:r w:rsidRPr="00250773">
        <w:rPr>
          <w:b/>
          <w:sz w:val="22"/>
          <w:szCs w:val="22"/>
          <w:lang w:val="en-US"/>
        </w:rPr>
        <w:t>Tracey Duffy</w:t>
      </w:r>
      <w:r w:rsidR="00EA05A0" w:rsidRPr="00250773">
        <w:rPr>
          <w:b/>
          <w:bCs/>
          <w:sz w:val="22"/>
          <w:szCs w:val="22"/>
        </w:rPr>
        <w:t>, delegate of the Minister for Health</w:t>
      </w:r>
    </w:p>
    <w:p w:rsidR="004618D4" w:rsidRPr="00250773" w:rsidRDefault="004618D4" w:rsidP="0058797D">
      <w:pPr>
        <w:autoSpaceDE w:val="0"/>
        <w:autoSpaceDN w:val="0"/>
        <w:adjustRightInd w:val="0"/>
        <w:rPr>
          <w:sz w:val="22"/>
          <w:szCs w:val="22"/>
        </w:rPr>
      </w:pPr>
    </w:p>
    <w:sectPr w:rsidR="004618D4" w:rsidRPr="00250773" w:rsidSect="007C1334">
      <w:footerReference w:type="default" r:id="rId8"/>
      <w:headerReference w:type="first" r:id="rId9"/>
      <w:footerReference w:type="firs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A86" w:rsidRDefault="00892A86">
      <w:r>
        <w:separator/>
      </w:r>
    </w:p>
  </w:endnote>
  <w:endnote w:type="continuationSeparator" w:id="0">
    <w:p w:rsidR="00892A86" w:rsidRDefault="0089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89" w:rsidRPr="00250773" w:rsidRDefault="00563089" w:rsidP="00250773">
    <w:pPr>
      <w:pStyle w:val="Footer"/>
      <w:jc w:val="right"/>
      <w:rPr>
        <w:sz w:val="22"/>
        <w:szCs w:val="22"/>
      </w:rPr>
    </w:pPr>
    <w:r w:rsidRPr="00250773">
      <w:rPr>
        <w:sz w:val="22"/>
        <w:szCs w:val="22"/>
      </w:rPr>
      <w:fldChar w:fldCharType="begin"/>
    </w:r>
    <w:r w:rsidRPr="00250773">
      <w:rPr>
        <w:sz w:val="22"/>
        <w:szCs w:val="22"/>
      </w:rPr>
      <w:instrText xml:space="preserve"> PAGE   \* MERGEFORMAT </w:instrText>
    </w:r>
    <w:r w:rsidRPr="00250773">
      <w:rPr>
        <w:sz w:val="22"/>
        <w:szCs w:val="22"/>
      </w:rPr>
      <w:fldChar w:fldCharType="separate"/>
    </w:r>
    <w:r w:rsidR="002817FB">
      <w:rPr>
        <w:noProof/>
        <w:sz w:val="22"/>
        <w:szCs w:val="22"/>
      </w:rPr>
      <w:t>6</w:t>
    </w:r>
    <w:r w:rsidRPr="00250773">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89" w:rsidRPr="00D616D0" w:rsidRDefault="0056308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A86" w:rsidRDefault="00892A86">
      <w:r>
        <w:separator/>
      </w:r>
    </w:p>
  </w:footnote>
  <w:footnote w:type="continuationSeparator" w:id="0">
    <w:p w:rsidR="00892A86" w:rsidRDefault="0089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89" w:rsidRDefault="0056308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 w15:restartNumberingAfterBreak="0">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3D4BE3"/>
    <w:multiLevelType w:val="hybridMultilevel"/>
    <w:tmpl w:val="1AF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BB327D"/>
    <w:multiLevelType w:val="hybridMultilevel"/>
    <w:tmpl w:val="316A3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9B4141"/>
    <w:multiLevelType w:val="hybridMultilevel"/>
    <w:tmpl w:val="4A9A6B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67D98"/>
    <w:multiLevelType w:val="hybridMultilevel"/>
    <w:tmpl w:val="EC3E85F8"/>
    <w:lvl w:ilvl="0" w:tplc="0B3AF97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2F03C4"/>
    <w:multiLevelType w:val="hybridMultilevel"/>
    <w:tmpl w:val="3DCAB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BC0079"/>
    <w:multiLevelType w:val="hybridMultilevel"/>
    <w:tmpl w:val="96A84D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6294AC9"/>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4" w15:restartNumberingAfterBreak="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5CD5CD4"/>
    <w:multiLevelType w:val="hybridMultilevel"/>
    <w:tmpl w:val="FF4C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D116D"/>
    <w:multiLevelType w:val="hybridMultilevel"/>
    <w:tmpl w:val="48D2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2" w15:restartNumberingAfterBreak="0">
    <w:nsid w:val="6D8F5855"/>
    <w:multiLevelType w:val="hybridMultilevel"/>
    <w:tmpl w:val="FF4C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5B2943"/>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5" w15:restartNumberingAfterBreak="0">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9"/>
  </w:num>
  <w:num w:numId="4">
    <w:abstractNumId w:val="1"/>
  </w:num>
  <w:num w:numId="5">
    <w:abstractNumId w:val="14"/>
  </w:num>
  <w:num w:numId="6">
    <w:abstractNumId w:val="25"/>
  </w:num>
  <w:num w:numId="7">
    <w:abstractNumId w:val="18"/>
  </w:num>
  <w:num w:numId="8">
    <w:abstractNumId w:val="19"/>
  </w:num>
  <w:num w:numId="9">
    <w:abstractNumId w:val="0"/>
  </w:num>
  <w:num w:numId="10">
    <w:abstractNumId w:val="23"/>
  </w:num>
  <w:num w:numId="11">
    <w:abstractNumId w:val="1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20"/>
  </w:num>
  <w:num w:numId="16">
    <w:abstractNumId w:val="22"/>
  </w:num>
  <w:num w:numId="17">
    <w:abstractNumId w:val="4"/>
  </w:num>
  <w:num w:numId="18">
    <w:abstractNumId w:val="10"/>
  </w:num>
  <w:num w:numId="19">
    <w:abstractNumId w:val="8"/>
  </w:num>
  <w:num w:numId="20">
    <w:abstractNumId w:val="21"/>
  </w:num>
  <w:num w:numId="21">
    <w:abstractNumId w:val="13"/>
  </w:num>
  <w:num w:numId="22">
    <w:abstractNumId w:val="24"/>
  </w:num>
  <w:num w:numId="23">
    <w:abstractNumId w:val="16"/>
  </w:num>
  <w:num w:numId="24">
    <w:abstractNumId w:val="12"/>
  </w:num>
  <w:num w:numId="25">
    <w:abstractNumId w:val="0"/>
  </w:num>
  <w:num w:numId="26">
    <w:abstractNumId w:val="0"/>
  </w:num>
  <w:num w:numId="27">
    <w:abstractNumId w:val="0"/>
  </w:num>
  <w:num w:numId="28">
    <w:abstractNumId w:val="0"/>
  </w:num>
  <w:num w:numId="29">
    <w:abstractNumId w:val="6"/>
  </w:num>
  <w:num w:numId="30">
    <w:abstractNumId w:val="6"/>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D4"/>
    <w:rsid w:val="00001418"/>
    <w:rsid w:val="00002122"/>
    <w:rsid w:val="00004260"/>
    <w:rsid w:val="000053E8"/>
    <w:rsid w:val="000056AF"/>
    <w:rsid w:val="000060D7"/>
    <w:rsid w:val="00007744"/>
    <w:rsid w:val="00011C02"/>
    <w:rsid w:val="00012B27"/>
    <w:rsid w:val="0002263C"/>
    <w:rsid w:val="00035CEC"/>
    <w:rsid w:val="00040501"/>
    <w:rsid w:val="00042FA3"/>
    <w:rsid w:val="00045048"/>
    <w:rsid w:val="000548DC"/>
    <w:rsid w:val="000553AC"/>
    <w:rsid w:val="00055568"/>
    <w:rsid w:val="000632FC"/>
    <w:rsid w:val="00067710"/>
    <w:rsid w:val="00097051"/>
    <w:rsid w:val="000A4916"/>
    <w:rsid w:val="000C62A3"/>
    <w:rsid w:val="000D71D9"/>
    <w:rsid w:val="00107AED"/>
    <w:rsid w:val="00116E87"/>
    <w:rsid w:val="00137A8B"/>
    <w:rsid w:val="001408E0"/>
    <w:rsid w:val="00143B96"/>
    <w:rsid w:val="00144697"/>
    <w:rsid w:val="00160E7C"/>
    <w:rsid w:val="00164A8A"/>
    <w:rsid w:val="00164FD7"/>
    <w:rsid w:val="00170EE5"/>
    <w:rsid w:val="001808E0"/>
    <w:rsid w:val="00190496"/>
    <w:rsid w:val="00192AD3"/>
    <w:rsid w:val="00193002"/>
    <w:rsid w:val="00194128"/>
    <w:rsid w:val="001A55E4"/>
    <w:rsid w:val="001B3CD6"/>
    <w:rsid w:val="001D53CB"/>
    <w:rsid w:val="001D6B54"/>
    <w:rsid w:val="001E321E"/>
    <w:rsid w:val="001E6C7E"/>
    <w:rsid w:val="001F6B7E"/>
    <w:rsid w:val="00203A1B"/>
    <w:rsid w:val="00205644"/>
    <w:rsid w:val="002063B4"/>
    <w:rsid w:val="0021230B"/>
    <w:rsid w:val="002200DC"/>
    <w:rsid w:val="00226B76"/>
    <w:rsid w:val="00230E12"/>
    <w:rsid w:val="00232963"/>
    <w:rsid w:val="00237A2A"/>
    <w:rsid w:val="00250773"/>
    <w:rsid w:val="00254055"/>
    <w:rsid w:val="00254BB3"/>
    <w:rsid w:val="002652D3"/>
    <w:rsid w:val="002707F1"/>
    <w:rsid w:val="00270BF5"/>
    <w:rsid w:val="002817FB"/>
    <w:rsid w:val="00295CB0"/>
    <w:rsid w:val="00295DA3"/>
    <w:rsid w:val="002A3F72"/>
    <w:rsid w:val="002A6858"/>
    <w:rsid w:val="002A6955"/>
    <w:rsid w:val="002B2D00"/>
    <w:rsid w:val="002C2C24"/>
    <w:rsid w:val="002D1AFB"/>
    <w:rsid w:val="002D5C2C"/>
    <w:rsid w:val="002E6195"/>
    <w:rsid w:val="002F2C85"/>
    <w:rsid w:val="003141FE"/>
    <w:rsid w:val="00330BC9"/>
    <w:rsid w:val="003354FB"/>
    <w:rsid w:val="0035205C"/>
    <w:rsid w:val="003530E6"/>
    <w:rsid w:val="00360C4E"/>
    <w:rsid w:val="00384827"/>
    <w:rsid w:val="0038491D"/>
    <w:rsid w:val="00390897"/>
    <w:rsid w:val="003965A6"/>
    <w:rsid w:val="003A3F46"/>
    <w:rsid w:val="003C1D5D"/>
    <w:rsid w:val="003C7816"/>
    <w:rsid w:val="003C79C9"/>
    <w:rsid w:val="003D68A7"/>
    <w:rsid w:val="0040710B"/>
    <w:rsid w:val="00411971"/>
    <w:rsid w:val="00445258"/>
    <w:rsid w:val="00445D20"/>
    <w:rsid w:val="00460527"/>
    <w:rsid w:val="004618D4"/>
    <w:rsid w:val="00470F97"/>
    <w:rsid w:val="00471C7E"/>
    <w:rsid w:val="004775A6"/>
    <w:rsid w:val="00496E14"/>
    <w:rsid w:val="004B3CBD"/>
    <w:rsid w:val="004C541F"/>
    <w:rsid w:val="004D04B7"/>
    <w:rsid w:val="004D67DB"/>
    <w:rsid w:val="004D719E"/>
    <w:rsid w:val="004E0CF1"/>
    <w:rsid w:val="004F6AEC"/>
    <w:rsid w:val="00500403"/>
    <w:rsid w:val="005073DA"/>
    <w:rsid w:val="00533698"/>
    <w:rsid w:val="005412FF"/>
    <w:rsid w:val="005437B0"/>
    <w:rsid w:val="00563089"/>
    <w:rsid w:val="00564105"/>
    <w:rsid w:val="005656E1"/>
    <w:rsid w:val="00565C12"/>
    <w:rsid w:val="00566412"/>
    <w:rsid w:val="0056705B"/>
    <w:rsid w:val="0057322A"/>
    <w:rsid w:val="00575B5F"/>
    <w:rsid w:val="005844D5"/>
    <w:rsid w:val="0058626D"/>
    <w:rsid w:val="00586E8A"/>
    <w:rsid w:val="0058797D"/>
    <w:rsid w:val="005A4073"/>
    <w:rsid w:val="005A7E96"/>
    <w:rsid w:val="005B1BE6"/>
    <w:rsid w:val="005C0864"/>
    <w:rsid w:val="005C1F6C"/>
    <w:rsid w:val="005D3F6D"/>
    <w:rsid w:val="005D4C55"/>
    <w:rsid w:val="005F275E"/>
    <w:rsid w:val="005F3D6B"/>
    <w:rsid w:val="005F4371"/>
    <w:rsid w:val="005F7646"/>
    <w:rsid w:val="00602C34"/>
    <w:rsid w:val="00603C0F"/>
    <w:rsid w:val="006179A9"/>
    <w:rsid w:val="006348D2"/>
    <w:rsid w:val="00637574"/>
    <w:rsid w:val="00643180"/>
    <w:rsid w:val="00650F3A"/>
    <w:rsid w:val="00660A60"/>
    <w:rsid w:val="006658C7"/>
    <w:rsid w:val="006C4202"/>
    <w:rsid w:val="006E4A2D"/>
    <w:rsid w:val="00704D5F"/>
    <w:rsid w:val="00706BBA"/>
    <w:rsid w:val="00731E69"/>
    <w:rsid w:val="00735C06"/>
    <w:rsid w:val="0073624D"/>
    <w:rsid w:val="00737625"/>
    <w:rsid w:val="007407F7"/>
    <w:rsid w:val="00740A53"/>
    <w:rsid w:val="007428DA"/>
    <w:rsid w:val="007450A7"/>
    <w:rsid w:val="00747990"/>
    <w:rsid w:val="00747C41"/>
    <w:rsid w:val="00761E3C"/>
    <w:rsid w:val="007663A6"/>
    <w:rsid w:val="00773FEA"/>
    <w:rsid w:val="00780B96"/>
    <w:rsid w:val="00783D87"/>
    <w:rsid w:val="00786266"/>
    <w:rsid w:val="0079242C"/>
    <w:rsid w:val="007B2686"/>
    <w:rsid w:val="007B4908"/>
    <w:rsid w:val="007C1334"/>
    <w:rsid w:val="007C51FF"/>
    <w:rsid w:val="007D6176"/>
    <w:rsid w:val="007E1771"/>
    <w:rsid w:val="007E184C"/>
    <w:rsid w:val="007F5989"/>
    <w:rsid w:val="00807834"/>
    <w:rsid w:val="00812AFC"/>
    <w:rsid w:val="00812B04"/>
    <w:rsid w:val="00813185"/>
    <w:rsid w:val="00817876"/>
    <w:rsid w:val="00823EF6"/>
    <w:rsid w:val="00824299"/>
    <w:rsid w:val="00824F07"/>
    <w:rsid w:val="00827734"/>
    <w:rsid w:val="0085091A"/>
    <w:rsid w:val="00851D2C"/>
    <w:rsid w:val="00862D7C"/>
    <w:rsid w:val="0088178F"/>
    <w:rsid w:val="0088424C"/>
    <w:rsid w:val="008846B8"/>
    <w:rsid w:val="008923BA"/>
    <w:rsid w:val="00892A86"/>
    <w:rsid w:val="008944B3"/>
    <w:rsid w:val="008A3285"/>
    <w:rsid w:val="008A42C9"/>
    <w:rsid w:val="008E07FC"/>
    <w:rsid w:val="008E7B96"/>
    <w:rsid w:val="008F3F81"/>
    <w:rsid w:val="0090567F"/>
    <w:rsid w:val="00907ABE"/>
    <w:rsid w:val="00913676"/>
    <w:rsid w:val="00914EB4"/>
    <w:rsid w:val="00916567"/>
    <w:rsid w:val="009231A6"/>
    <w:rsid w:val="00934448"/>
    <w:rsid w:val="00935DA7"/>
    <w:rsid w:val="009446AA"/>
    <w:rsid w:val="009452FC"/>
    <w:rsid w:val="00945C18"/>
    <w:rsid w:val="00946C54"/>
    <w:rsid w:val="00954D12"/>
    <w:rsid w:val="0095501F"/>
    <w:rsid w:val="0096747A"/>
    <w:rsid w:val="00974983"/>
    <w:rsid w:val="00974E5F"/>
    <w:rsid w:val="00981217"/>
    <w:rsid w:val="00984F05"/>
    <w:rsid w:val="009856FF"/>
    <w:rsid w:val="00987A69"/>
    <w:rsid w:val="00990E60"/>
    <w:rsid w:val="00990F1C"/>
    <w:rsid w:val="0099725E"/>
    <w:rsid w:val="00997EAF"/>
    <w:rsid w:val="009A2F2C"/>
    <w:rsid w:val="009A5ED0"/>
    <w:rsid w:val="009A5F97"/>
    <w:rsid w:val="009A6A39"/>
    <w:rsid w:val="009A7530"/>
    <w:rsid w:val="009B2F5F"/>
    <w:rsid w:val="009C6B89"/>
    <w:rsid w:val="009E66BA"/>
    <w:rsid w:val="00A05E23"/>
    <w:rsid w:val="00A141D6"/>
    <w:rsid w:val="00A2160D"/>
    <w:rsid w:val="00A230B1"/>
    <w:rsid w:val="00A27471"/>
    <w:rsid w:val="00A309E0"/>
    <w:rsid w:val="00A34A33"/>
    <w:rsid w:val="00A45523"/>
    <w:rsid w:val="00A532F7"/>
    <w:rsid w:val="00A63D21"/>
    <w:rsid w:val="00A66F20"/>
    <w:rsid w:val="00A676FE"/>
    <w:rsid w:val="00A7103D"/>
    <w:rsid w:val="00A8641F"/>
    <w:rsid w:val="00A939C1"/>
    <w:rsid w:val="00AA3076"/>
    <w:rsid w:val="00AA4FA5"/>
    <w:rsid w:val="00AA53D1"/>
    <w:rsid w:val="00AA6DC0"/>
    <w:rsid w:val="00AB7043"/>
    <w:rsid w:val="00AC1C63"/>
    <w:rsid w:val="00AC4EFB"/>
    <w:rsid w:val="00AD26FB"/>
    <w:rsid w:val="00AD2B30"/>
    <w:rsid w:val="00AE0EDC"/>
    <w:rsid w:val="00AE2332"/>
    <w:rsid w:val="00AE7389"/>
    <w:rsid w:val="00AF1F33"/>
    <w:rsid w:val="00AF4501"/>
    <w:rsid w:val="00AF5B02"/>
    <w:rsid w:val="00B06A8E"/>
    <w:rsid w:val="00B072E4"/>
    <w:rsid w:val="00B17C38"/>
    <w:rsid w:val="00B216AF"/>
    <w:rsid w:val="00B2332F"/>
    <w:rsid w:val="00B34F76"/>
    <w:rsid w:val="00B3568D"/>
    <w:rsid w:val="00B364B7"/>
    <w:rsid w:val="00B51627"/>
    <w:rsid w:val="00B57F72"/>
    <w:rsid w:val="00B60855"/>
    <w:rsid w:val="00B62596"/>
    <w:rsid w:val="00B64BD8"/>
    <w:rsid w:val="00B76001"/>
    <w:rsid w:val="00B918B9"/>
    <w:rsid w:val="00BA217B"/>
    <w:rsid w:val="00BA60AE"/>
    <w:rsid w:val="00BB403B"/>
    <w:rsid w:val="00BB7889"/>
    <w:rsid w:val="00BC09A7"/>
    <w:rsid w:val="00BC7AF4"/>
    <w:rsid w:val="00BE4203"/>
    <w:rsid w:val="00BE4BDC"/>
    <w:rsid w:val="00BE4E0C"/>
    <w:rsid w:val="00BE7815"/>
    <w:rsid w:val="00BF4E1A"/>
    <w:rsid w:val="00BF609B"/>
    <w:rsid w:val="00C004B0"/>
    <w:rsid w:val="00C039F2"/>
    <w:rsid w:val="00C168F3"/>
    <w:rsid w:val="00C26FC5"/>
    <w:rsid w:val="00C42016"/>
    <w:rsid w:val="00C547A0"/>
    <w:rsid w:val="00C62967"/>
    <w:rsid w:val="00C70325"/>
    <w:rsid w:val="00C72E72"/>
    <w:rsid w:val="00C73C95"/>
    <w:rsid w:val="00C77691"/>
    <w:rsid w:val="00C87EE1"/>
    <w:rsid w:val="00CA0B0F"/>
    <w:rsid w:val="00CA681C"/>
    <w:rsid w:val="00CA6FAE"/>
    <w:rsid w:val="00CB322C"/>
    <w:rsid w:val="00CB3603"/>
    <w:rsid w:val="00CC1F10"/>
    <w:rsid w:val="00CC3201"/>
    <w:rsid w:val="00CD557D"/>
    <w:rsid w:val="00CD6E09"/>
    <w:rsid w:val="00CD731C"/>
    <w:rsid w:val="00CE492E"/>
    <w:rsid w:val="00D013D6"/>
    <w:rsid w:val="00D029D9"/>
    <w:rsid w:val="00D034EA"/>
    <w:rsid w:val="00D04E88"/>
    <w:rsid w:val="00D132D4"/>
    <w:rsid w:val="00D16E1A"/>
    <w:rsid w:val="00D252E4"/>
    <w:rsid w:val="00D313DF"/>
    <w:rsid w:val="00D5121B"/>
    <w:rsid w:val="00D56038"/>
    <w:rsid w:val="00D64D25"/>
    <w:rsid w:val="00D64F25"/>
    <w:rsid w:val="00D71897"/>
    <w:rsid w:val="00D73808"/>
    <w:rsid w:val="00D800B9"/>
    <w:rsid w:val="00D81A87"/>
    <w:rsid w:val="00D8495C"/>
    <w:rsid w:val="00D8568C"/>
    <w:rsid w:val="00D90147"/>
    <w:rsid w:val="00D93D01"/>
    <w:rsid w:val="00D941BF"/>
    <w:rsid w:val="00DA291A"/>
    <w:rsid w:val="00DB0E8D"/>
    <w:rsid w:val="00DB5B09"/>
    <w:rsid w:val="00DC24FC"/>
    <w:rsid w:val="00DD29EE"/>
    <w:rsid w:val="00DD73B4"/>
    <w:rsid w:val="00DE1791"/>
    <w:rsid w:val="00DE5716"/>
    <w:rsid w:val="00E13059"/>
    <w:rsid w:val="00E26241"/>
    <w:rsid w:val="00E26B13"/>
    <w:rsid w:val="00E50153"/>
    <w:rsid w:val="00E52E69"/>
    <w:rsid w:val="00E5396E"/>
    <w:rsid w:val="00E56BA0"/>
    <w:rsid w:val="00E7005F"/>
    <w:rsid w:val="00E72561"/>
    <w:rsid w:val="00E74432"/>
    <w:rsid w:val="00E7605D"/>
    <w:rsid w:val="00E90838"/>
    <w:rsid w:val="00E91F8B"/>
    <w:rsid w:val="00E921AB"/>
    <w:rsid w:val="00E97F47"/>
    <w:rsid w:val="00EA05A0"/>
    <w:rsid w:val="00EA3482"/>
    <w:rsid w:val="00EA351E"/>
    <w:rsid w:val="00EA5ABE"/>
    <w:rsid w:val="00EB5281"/>
    <w:rsid w:val="00EC254E"/>
    <w:rsid w:val="00EC77D6"/>
    <w:rsid w:val="00EF375D"/>
    <w:rsid w:val="00EF57A9"/>
    <w:rsid w:val="00F05638"/>
    <w:rsid w:val="00F05EA2"/>
    <w:rsid w:val="00F070EB"/>
    <w:rsid w:val="00F1557B"/>
    <w:rsid w:val="00F16D83"/>
    <w:rsid w:val="00F34022"/>
    <w:rsid w:val="00F34527"/>
    <w:rsid w:val="00F3649D"/>
    <w:rsid w:val="00F623A9"/>
    <w:rsid w:val="00F87CA8"/>
    <w:rsid w:val="00F90BC1"/>
    <w:rsid w:val="00F95032"/>
    <w:rsid w:val="00F97C08"/>
    <w:rsid w:val="00FA40C3"/>
    <w:rsid w:val="00FA6A4A"/>
    <w:rsid w:val="00FB101B"/>
    <w:rsid w:val="00FB4D5E"/>
    <w:rsid w:val="00FC030E"/>
    <w:rsid w:val="00FC1C75"/>
    <w:rsid w:val="00FD0E1E"/>
    <w:rsid w:val="00FD4885"/>
    <w:rsid w:val="00FD7F25"/>
    <w:rsid w:val="00FE1BB2"/>
    <w:rsid w:val="00FE266A"/>
    <w:rsid w:val="00FE7677"/>
    <w:rsid w:val="00FF2011"/>
    <w:rsid w:val="00FF4C66"/>
    <w:rsid w:val="00FF6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A2C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F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741412537">
      <w:bodyDiv w:val="1"/>
      <w:marLeft w:val="0"/>
      <w:marRight w:val="0"/>
      <w:marTop w:val="0"/>
      <w:marBottom w:val="0"/>
      <w:divBdr>
        <w:top w:val="none" w:sz="0" w:space="0" w:color="auto"/>
        <w:left w:val="none" w:sz="0" w:space="0" w:color="auto"/>
        <w:bottom w:val="none" w:sz="0" w:space="0" w:color="auto"/>
        <w:right w:val="none" w:sz="0" w:space="0" w:color="auto"/>
      </w:divBdr>
    </w:div>
    <w:div w:id="825315929">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19256941">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1D3C-B1A7-4902-911D-8BA6765C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2081</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LinksUpToDate>false</LinksUpToDate>
  <CharactersWithSpaces>13431</CharactersWithSpaces>
  <SharedDoc>false</SharedDoc>
  <HLinks>
    <vt:vector size="6" baseType="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
  <cp:lastModifiedBy/>
  <cp:revision>1</cp:revision>
  <cp:lastPrinted>2008-08-15T05:06:00Z</cp:lastPrinted>
  <dcterms:created xsi:type="dcterms:W3CDTF">2020-03-31T01:02:00Z</dcterms:created>
  <dcterms:modified xsi:type="dcterms:W3CDTF">2020-03-31T03:28:00Z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