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0F02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DD9A24F" wp14:editId="313486D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A377F" w14:textId="77777777" w:rsidR="00715914" w:rsidRPr="00E500D4" w:rsidRDefault="00715914" w:rsidP="00715914">
      <w:pPr>
        <w:rPr>
          <w:sz w:val="19"/>
        </w:rPr>
      </w:pPr>
    </w:p>
    <w:p w14:paraId="592004D6" w14:textId="77777777" w:rsidR="00554826" w:rsidRPr="00E500D4" w:rsidRDefault="00B06FB9" w:rsidP="00554826">
      <w:pPr>
        <w:pStyle w:val="ShortT"/>
      </w:pPr>
      <w:r>
        <w:t>Therapeutic Goods</w:t>
      </w:r>
      <w:r w:rsidR="00554826" w:rsidRPr="00DA182D">
        <w:t xml:space="preserve"> </w:t>
      </w:r>
      <w:r w:rsidR="00554826">
        <w:t>(</w:t>
      </w:r>
      <w:r w:rsidR="008E27C4">
        <w:t xml:space="preserve">Guidelines for </w:t>
      </w:r>
      <w:r>
        <w:t>Multi-Site Licences</w:t>
      </w:r>
      <w:r w:rsidR="00554826">
        <w:t xml:space="preserve">) </w:t>
      </w:r>
      <w:r w:rsidR="008E27C4">
        <w:t>Instrument</w:t>
      </w:r>
      <w:r w:rsidR="0073246C">
        <w:t xml:space="preserve"> </w:t>
      </w:r>
      <w:r w:rsidR="00DD0156">
        <w:t>2020</w:t>
      </w:r>
    </w:p>
    <w:p w14:paraId="3C666FC4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24006">
        <w:rPr>
          <w:szCs w:val="22"/>
        </w:rPr>
        <w:t>Tracey Duffy, as delegate of the Secretary of the Department of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033831">
        <w:rPr>
          <w:szCs w:val="22"/>
        </w:rPr>
        <w:t>instrument</w:t>
      </w:r>
      <w:r w:rsidRPr="00DA182D">
        <w:rPr>
          <w:szCs w:val="22"/>
        </w:rPr>
        <w:t>.</w:t>
      </w:r>
    </w:p>
    <w:p w14:paraId="40DA8CDE" w14:textId="3C73FBB2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37C3D">
        <w:rPr>
          <w:szCs w:val="22"/>
        </w:rPr>
        <w:t xml:space="preserve"> 31 </w:t>
      </w:r>
      <w:r w:rsidR="00F01D71">
        <w:rPr>
          <w:szCs w:val="22"/>
        </w:rPr>
        <w:t>March 2020</w:t>
      </w:r>
    </w:p>
    <w:p w14:paraId="1B5AF23F" w14:textId="77777777" w:rsidR="00624006" w:rsidRPr="00624006" w:rsidRDefault="00624006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24006">
        <w:rPr>
          <w:szCs w:val="22"/>
        </w:rPr>
        <w:t>Tracey Duffy</w:t>
      </w:r>
    </w:p>
    <w:p w14:paraId="0B0C2D50" w14:textId="77777777" w:rsidR="00624006" w:rsidRPr="00624006" w:rsidRDefault="00624006" w:rsidP="00624006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24006">
        <w:rPr>
          <w:szCs w:val="22"/>
        </w:rPr>
        <w:t>First Assistant Secretary</w:t>
      </w:r>
    </w:p>
    <w:p w14:paraId="6D33020B" w14:textId="77777777" w:rsidR="00624006" w:rsidRPr="00624006" w:rsidRDefault="00624006" w:rsidP="00624006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24006">
        <w:rPr>
          <w:szCs w:val="22"/>
        </w:rPr>
        <w:t>Medical Devices and Product Quality Division</w:t>
      </w:r>
    </w:p>
    <w:p w14:paraId="58E251BC" w14:textId="77777777" w:rsidR="00554826" w:rsidRPr="00624006" w:rsidRDefault="00624006" w:rsidP="00624006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24006">
        <w:rPr>
          <w:szCs w:val="22"/>
        </w:rPr>
        <w:t>Health Products Regulation Group</w:t>
      </w:r>
      <w:r w:rsidR="00554826" w:rsidRPr="00624006">
        <w:rPr>
          <w:szCs w:val="22"/>
        </w:rPr>
        <w:t xml:space="preserve"> </w:t>
      </w:r>
    </w:p>
    <w:p w14:paraId="7D668F4E" w14:textId="77777777" w:rsidR="00554826" w:rsidRPr="008E0027" w:rsidRDefault="00624006" w:rsidP="00554826">
      <w:pPr>
        <w:pStyle w:val="SignCoverPageEnd"/>
        <w:ind w:right="91"/>
        <w:rPr>
          <w:sz w:val="22"/>
        </w:rPr>
      </w:pPr>
      <w:r w:rsidRPr="00624006">
        <w:rPr>
          <w:sz w:val="22"/>
        </w:rPr>
        <w:t>Department of Health</w:t>
      </w:r>
    </w:p>
    <w:p w14:paraId="6294A6C2" w14:textId="77777777" w:rsidR="00554826" w:rsidRDefault="00554826" w:rsidP="00554826"/>
    <w:p w14:paraId="7BCE5164" w14:textId="77777777" w:rsidR="00554826" w:rsidRPr="00ED79B6" w:rsidRDefault="00554826" w:rsidP="00554826"/>
    <w:p w14:paraId="35155F44" w14:textId="77777777" w:rsidR="00F6696E" w:rsidRDefault="00F6696E" w:rsidP="00F6696E"/>
    <w:p w14:paraId="0FF489F3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35CE560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DD87343" w14:textId="77777777" w:rsidR="0068273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8273A">
        <w:rPr>
          <w:noProof/>
        </w:rPr>
        <w:t>1  Name</w:t>
      </w:r>
      <w:r w:rsidR="0068273A">
        <w:rPr>
          <w:noProof/>
        </w:rPr>
        <w:tab/>
      </w:r>
      <w:r w:rsidR="0068273A">
        <w:rPr>
          <w:noProof/>
        </w:rPr>
        <w:fldChar w:fldCharType="begin"/>
      </w:r>
      <w:r w:rsidR="0068273A">
        <w:rPr>
          <w:noProof/>
        </w:rPr>
        <w:instrText xml:space="preserve"> PAGEREF _Toc35252397 \h </w:instrText>
      </w:r>
      <w:r w:rsidR="0068273A">
        <w:rPr>
          <w:noProof/>
        </w:rPr>
      </w:r>
      <w:r w:rsidR="0068273A">
        <w:rPr>
          <w:noProof/>
        </w:rPr>
        <w:fldChar w:fldCharType="separate"/>
      </w:r>
      <w:r w:rsidR="0068273A">
        <w:rPr>
          <w:noProof/>
        </w:rPr>
        <w:t>1</w:t>
      </w:r>
      <w:r w:rsidR="0068273A">
        <w:rPr>
          <w:noProof/>
        </w:rPr>
        <w:fldChar w:fldCharType="end"/>
      </w:r>
    </w:p>
    <w:p w14:paraId="43CA8D95" w14:textId="77777777" w:rsidR="0068273A" w:rsidRDefault="00682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_Toc35252398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CA66877" w14:textId="77777777" w:rsidR="0068273A" w:rsidRDefault="00682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_Toc35252399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702872E" w14:textId="77777777" w:rsidR="0068273A" w:rsidRDefault="00682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_Toc35252400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708C368" w14:textId="77777777" w:rsidR="0068273A" w:rsidRDefault="00682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Circumstances for multi-site licence—manufacture of therapeutic goods other than blood, blood components, plasma, haematopoietic progenitor cells or human tissue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_Toc35252401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63D4281" w14:textId="77777777" w:rsidR="0068273A" w:rsidRDefault="00682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Circumstances for multi-site licence—manufacture of blood, blood components, plasma, haematopoietic progenitor cells or human tissue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_Toc35252402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72CFA8C" w14:textId="77777777" w:rsidR="0068273A" w:rsidRDefault="00682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_Toc35252403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394A2BB" w14:textId="77777777" w:rsidR="0068273A" w:rsidRDefault="006827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_Toc35252404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833998E" w14:textId="77777777" w:rsidR="0068273A" w:rsidRDefault="006827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B7B76">
        <w:rPr>
          <w:i w:val="0"/>
          <w:noProof/>
        </w:rPr>
        <w:t>Therapeutic Goods (Multi-Site Manufacturing Licences) Guidelines of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_Toc35252405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A3E88B" w14:textId="77777777" w:rsidR="00F6696E" w:rsidRDefault="00B418CB" w:rsidP="00F6696E">
      <w:pPr>
        <w:outlineLvl w:val="0"/>
      </w:pPr>
      <w:r>
        <w:fldChar w:fldCharType="end"/>
      </w:r>
    </w:p>
    <w:p w14:paraId="041CF165" w14:textId="77777777" w:rsidR="00F6696E" w:rsidRPr="00A802BC" w:rsidRDefault="00F6696E" w:rsidP="00F6696E">
      <w:pPr>
        <w:outlineLvl w:val="0"/>
        <w:rPr>
          <w:sz w:val="20"/>
        </w:rPr>
      </w:pPr>
    </w:p>
    <w:p w14:paraId="65655B73" w14:textId="77777777" w:rsidR="00F6696E" w:rsidRDefault="00F6696E" w:rsidP="00F6696E">
      <w:pPr>
        <w:sectPr w:rsidR="00F6696E" w:rsidSect="00B06FB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C72279C" w14:textId="77777777" w:rsidR="00554826" w:rsidRPr="00554826" w:rsidRDefault="00554826" w:rsidP="00554826">
      <w:pPr>
        <w:pStyle w:val="ActHead5"/>
      </w:pPr>
      <w:bookmarkStart w:id="0" w:name="_Toc35252397"/>
      <w:proofErr w:type="gramStart"/>
      <w:r w:rsidRPr="00554826">
        <w:lastRenderedPageBreak/>
        <w:t>1  Name</w:t>
      </w:r>
      <w:bookmarkEnd w:id="0"/>
      <w:proofErr w:type="gramEnd"/>
    </w:p>
    <w:p w14:paraId="42668DE6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B06FB9">
        <w:t xml:space="preserve"> </w:t>
      </w:r>
      <w:r w:rsidR="00B06FB9" w:rsidRPr="00B06FB9">
        <w:rPr>
          <w:i/>
        </w:rPr>
        <w:t>Therapeutic Goods (</w:t>
      </w:r>
      <w:r w:rsidR="00033831">
        <w:rPr>
          <w:i/>
        </w:rPr>
        <w:t xml:space="preserve">Guidelines for </w:t>
      </w:r>
      <w:r w:rsidR="00B06FB9" w:rsidRPr="00B06FB9">
        <w:rPr>
          <w:i/>
        </w:rPr>
        <w:t xml:space="preserve">Multi-Site </w:t>
      </w:r>
      <w:r w:rsidR="00DD0156">
        <w:rPr>
          <w:i/>
        </w:rPr>
        <w:t xml:space="preserve">Licences) </w:t>
      </w:r>
      <w:r w:rsidR="00033831">
        <w:rPr>
          <w:i/>
        </w:rPr>
        <w:t>Instrument</w:t>
      </w:r>
      <w:r w:rsidR="0073246C">
        <w:rPr>
          <w:i/>
        </w:rPr>
        <w:t xml:space="preserve"> </w:t>
      </w:r>
      <w:r w:rsidR="00DD0156">
        <w:rPr>
          <w:i/>
        </w:rPr>
        <w:t>2020</w:t>
      </w:r>
      <w:r w:rsidRPr="009C2562">
        <w:t>.</w:t>
      </w:r>
    </w:p>
    <w:p w14:paraId="735E7EB4" w14:textId="77777777" w:rsidR="00554826" w:rsidRPr="00554826" w:rsidRDefault="00554826" w:rsidP="00554826">
      <w:pPr>
        <w:pStyle w:val="ActHead5"/>
      </w:pPr>
      <w:bookmarkStart w:id="1" w:name="_Toc35252398"/>
      <w:proofErr w:type="gramStart"/>
      <w:r w:rsidRPr="00554826">
        <w:t>2  Commencement</w:t>
      </w:r>
      <w:bookmarkEnd w:id="1"/>
      <w:proofErr w:type="gramEnd"/>
    </w:p>
    <w:p w14:paraId="0B2FAA8B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14:paraId="3EAE4062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23DB8460" w14:textId="77777777" w:rsidTr="00B06FB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DE8B7AF" w14:textId="77777777" w:rsidR="003767E2" w:rsidRPr="003422B4" w:rsidRDefault="003767E2" w:rsidP="00B06FB9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36EF7DCB" w14:textId="77777777" w:rsidTr="00B06FB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721B83" w14:textId="77777777" w:rsidR="003767E2" w:rsidRPr="003422B4" w:rsidRDefault="003767E2" w:rsidP="00B06FB9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632C1" w14:textId="77777777" w:rsidR="003767E2" w:rsidRPr="003422B4" w:rsidRDefault="003767E2" w:rsidP="00B06FB9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25D880" w14:textId="77777777" w:rsidR="003767E2" w:rsidRPr="003422B4" w:rsidRDefault="003767E2" w:rsidP="00B06FB9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53827C2E" w14:textId="77777777" w:rsidTr="00B06FB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B99FAD" w14:textId="77777777" w:rsidR="003767E2" w:rsidRPr="003422B4" w:rsidRDefault="003767E2" w:rsidP="00B06FB9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2F7BE7" w14:textId="77777777" w:rsidR="003767E2" w:rsidRPr="003422B4" w:rsidRDefault="003767E2" w:rsidP="00B06FB9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B10E67" w14:textId="77777777" w:rsidR="003767E2" w:rsidRPr="00624006" w:rsidRDefault="003767E2" w:rsidP="00B06FB9">
            <w:pPr>
              <w:pStyle w:val="TableHeading"/>
            </w:pPr>
            <w:r w:rsidRPr="00624006">
              <w:t>Date/Details</w:t>
            </w:r>
          </w:p>
        </w:tc>
      </w:tr>
      <w:tr w:rsidR="003767E2" w:rsidRPr="003422B4" w14:paraId="7D28AE36" w14:textId="77777777" w:rsidTr="00B06FB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E2C6CE" w14:textId="77777777" w:rsidR="003767E2" w:rsidRPr="00624006" w:rsidRDefault="003767E2" w:rsidP="00B06FB9">
            <w:pPr>
              <w:pStyle w:val="Tabletext"/>
            </w:pPr>
            <w:r w:rsidRPr="003422B4">
              <w:t xml:space="preserve">1.  </w:t>
            </w:r>
            <w:r w:rsidR="0062400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F19B5C" w14:textId="6D65FED8" w:rsidR="003767E2" w:rsidRPr="003A6229" w:rsidRDefault="00437C3D" w:rsidP="00624006">
            <w:pPr>
              <w:pStyle w:val="Tabletext"/>
              <w:rPr>
                <w:i/>
              </w:rPr>
            </w:pPr>
            <w:r>
              <w:t>The day after this instrument is registered</w:t>
            </w:r>
            <w:r w:rsidRPr="006C3A6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E2000C" w14:textId="7CEE9322" w:rsidR="003767E2" w:rsidRPr="00624006" w:rsidRDefault="00437C3D" w:rsidP="00B06FB9">
            <w:pPr>
              <w:pStyle w:val="Tabletext"/>
            </w:pPr>
            <w:r>
              <w:t>1 April</w:t>
            </w:r>
            <w:r w:rsidR="00624006" w:rsidRPr="00624006">
              <w:t xml:space="preserve"> 2020</w:t>
            </w:r>
          </w:p>
        </w:tc>
      </w:tr>
    </w:tbl>
    <w:p w14:paraId="1CB0565D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14:paraId="33EDF44B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14:paraId="4AC1B82A" w14:textId="77777777" w:rsidR="00554826" w:rsidRPr="00554826" w:rsidRDefault="00554826" w:rsidP="00554826">
      <w:pPr>
        <w:pStyle w:val="ActHead5"/>
      </w:pPr>
      <w:bookmarkStart w:id="2" w:name="_Toc35252399"/>
      <w:proofErr w:type="gramStart"/>
      <w:r w:rsidRPr="00554826">
        <w:t>3  Authority</w:t>
      </w:r>
      <w:bookmarkEnd w:id="2"/>
      <w:proofErr w:type="gramEnd"/>
    </w:p>
    <w:p w14:paraId="04C2F1B6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B06FB9">
        <w:t xml:space="preserve">section 38A of the </w:t>
      </w:r>
      <w:r w:rsidR="00B06FB9">
        <w:rPr>
          <w:i/>
        </w:rPr>
        <w:t xml:space="preserve">Therapeutic Goods Act </w:t>
      </w:r>
      <w:r w:rsidR="00B06FB9" w:rsidRPr="00B06FB9">
        <w:rPr>
          <w:i/>
        </w:rPr>
        <w:t>1989</w:t>
      </w:r>
      <w:r w:rsidR="00B06FB9">
        <w:t>.</w:t>
      </w:r>
    </w:p>
    <w:p w14:paraId="45BF8D69" w14:textId="77777777" w:rsidR="00554826" w:rsidRPr="00554826" w:rsidRDefault="00554826" w:rsidP="00554826">
      <w:pPr>
        <w:pStyle w:val="ActHead5"/>
      </w:pPr>
      <w:bookmarkStart w:id="3" w:name="_Toc35252400"/>
      <w:proofErr w:type="gramStart"/>
      <w:r w:rsidRPr="00554826">
        <w:t>4  Definitions</w:t>
      </w:r>
      <w:bookmarkEnd w:id="3"/>
      <w:proofErr w:type="gramEnd"/>
    </w:p>
    <w:p w14:paraId="60A0DB1F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</w:t>
      </w:r>
      <w:proofErr w:type="gramStart"/>
      <w:r w:rsidRPr="009C2562">
        <w:t>are defined</w:t>
      </w:r>
      <w:proofErr w:type="gramEnd"/>
      <w:r w:rsidRPr="009C2562">
        <w:t xml:space="preserve"> in </w:t>
      </w:r>
      <w:r w:rsidR="009F00B3">
        <w:t>sub</w:t>
      </w:r>
      <w:r w:rsidR="002C4134">
        <w:t>section 3</w:t>
      </w:r>
      <w:r w:rsidR="009F00B3">
        <w:t>(1)</w:t>
      </w:r>
      <w:r>
        <w:t xml:space="preserve"> of the Act</w:t>
      </w:r>
      <w:r w:rsidRPr="009C2562">
        <w:t>, including the following:</w:t>
      </w:r>
    </w:p>
    <w:p w14:paraId="16031645" w14:textId="77777777" w:rsidR="00033831" w:rsidRDefault="00554826" w:rsidP="002C4134">
      <w:pPr>
        <w:pStyle w:val="notepara"/>
      </w:pPr>
      <w:r w:rsidRPr="009C2562">
        <w:t>(a)</w:t>
      </w:r>
      <w:r w:rsidRPr="009C2562">
        <w:tab/>
      </w:r>
      <w:proofErr w:type="gramStart"/>
      <w:r w:rsidR="00033831">
        <w:t>licence</w:t>
      </w:r>
      <w:proofErr w:type="gramEnd"/>
      <w:r w:rsidR="00033831">
        <w:t>;</w:t>
      </w:r>
    </w:p>
    <w:p w14:paraId="0F7A1F06" w14:textId="08C0E974" w:rsidR="009F00B3" w:rsidRDefault="00033831" w:rsidP="002C4134">
      <w:pPr>
        <w:pStyle w:val="notepara"/>
      </w:pPr>
      <w:r>
        <w:t>(b)</w:t>
      </w:r>
      <w:r>
        <w:tab/>
      </w:r>
      <w:proofErr w:type="gramStart"/>
      <w:r w:rsidR="009F00B3">
        <w:t>manufacture</w:t>
      </w:r>
      <w:proofErr w:type="gramEnd"/>
      <w:r w:rsidR="00865A5B">
        <w:t>;</w:t>
      </w:r>
    </w:p>
    <w:p w14:paraId="5B04E75E" w14:textId="77777777" w:rsidR="002C4134" w:rsidRDefault="00865A5B" w:rsidP="00554826">
      <w:pPr>
        <w:pStyle w:val="notepara"/>
      </w:pPr>
      <w:r>
        <w:t>(</w:t>
      </w:r>
      <w:r w:rsidR="00033831">
        <w:t>c</w:t>
      </w:r>
      <w:r w:rsidR="00554826" w:rsidRPr="009C2562">
        <w:t>)</w:t>
      </w:r>
      <w:r w:rsidR="00554826" w:rsidRPr="009C2562">
        <w:tab/>
      </w:r>
      <w:proofErr w:type="gramStart"/>
      <w:r w:rsidR="002C4134">
        <w:t>medicine</w:t>
      </w:r>
      <w:proofErr w:type="gramEnd"/>
      <w:r w:rsidR="002C4134">
        <w:t>;</w:t>
      </w:r>
    </w:p>
    <w:p w14:paraId="662CF835" w14:textId="6BC8CD45" w:rsidR="002C4134" w:rsidRDefault="00865A5B" w:rsidP="001E0615">
      <w:pPr>
        <w:pStyle w:val="notepara"/>
      </w:pPr>
      <w:r>
        <w:t>(</w:t>
      </w:r>
      <w:r w:rsidR="00CE10F9">
        <w:t>d</w:t>
      </w:r>
      <w:r w:rsidR="002C4134">
        <w:t xml:space="preserve">) </w:t>
      </w:r>
      <w:r w:rsidR="002C4134">
        <w:tab/>
      </w:r>
      <w:proofErr w:type="gramStart"/>
      <w:r w:rsidR="002C4134">
        <w:t>supply</w:t>
      </w:r>
      <w:proofErr w:type="gramEnd"/>
      <w:r w:rsidR="002C4134">
        <w:t>;</w:t>
      </w:r>
      <w:r w:rsidR="001E0615" w:rsidRPr="001E0615">
        <w:t xml:space="preserve"> </w:t>
      </w:r>
      <w:r w:rsidR="001E0615">
        <w:t>and</w:t>
      </w:r>
    </w:p>
    <w:p w14:paraId="663AFB25" w14:textId="77777777" w:rsidR="00B06FB9" w:rsidRDefault="00865A5B" w:rsidP="009F00B3">
      <w:pPr>
        <w:pStyle w:val="notepara"/>
      </w:pPr>
      <w:r>
        <w:t>(</w:t>
      </w:r>
      <w:r w:rsidR="00CE10F9">
        <w:t>e</w:t>
      </w:r>
      <w:r w:rsidR="002C4134">
        <w:t>)</w:t>
      </w:r>
      <w:r w:rsidR="002C4134">
        <w:tab/>
      </w:r>
      <w:proofErr w:type="gramStart"/>
      <w:r w:rsidR="002C4134">
        <w:t>therapeutic</w:t>
      </w:r>
      <w:proofErr w:type="gramEnd"/>
      <w:r w:rsidR="002C4134">
        <w:t xml:space="preserve"> goods</w:t>
      </w:r>
      <w:r w:rsidR="00554826">
        <w:t>.</w:t>
      </w:r>
    </w:p>
    <w:p w14:paraId="7FC197E0" w14:textId="77777777" w:rsidR="00B06FB9" w:rsidRPr="00B06FB9" w:rsidRDefault="00B06FB9" w:rsidP="00B06FB9">
      <w:pPr>
        <w:pStyle w:val="subsection"/>
      </w:pPr>
      <w:r w:rsidRPr="00B06FB9">
        <w:tab/>
      </w:r>
      <w:r w:rsidR="00EC37A7">
        <w:tab/>
      </w:r>
      <w:r w:rsidRPr="00B06FB9">
        <w:t>In this instrument:</w:t>
      </w:r>
    </w:p>
    <w:p w14:paraId="40EC599F" w14:textId="77777777" w:rsidR="009E024E" w:rsidRPr="009C2562" w:rsidRDefault="00554826" w:rsidP="009E024E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B06FB9">
        <w:rPr>
          <w:i/>
        </w:rPr>
        <w:t>Therapeutic Goods Act 1989</w:t>
      </w:r>
      <w:r>
        <w:t>.</w:t>
      </w:r>
    </w:p>
    <w:p w14:paraId="4636FC4F" w14:textId="1177D0DF" w:rsidR="00C320E5" w:rsidRDefault="004B7D86" w:rsidP="00964912">
      <w:pPr>
        <w:pStyle w:val="Definition"/>
        <w:rPr>
          <w:szCs w:val="22"/>
        </w:rPr>
      </w:pPr>
      <w:proofErr w:type="gramStart"/>
      <w:r w:rsidRPr="00964912">
        <w:rPr>
          <w:b/>
          <w:i/>
          <w:szCs w:val="22"/>
        </w:rPr>
        <w:t>blood</w:t>
      </w:r>
      <w:proofErr w:type="gramEnd"/>
      <w:r w:rsidRPr="00964912">
        <w:rPr>
          <w:szCs w:val="22"/>
        </w:rPr>
        <w:t xml:space="preserve"> means whole blood collected from a single human donor and processed either for transfusion or further manufacturing.</w:t>
      </w:r>
    </w:p>
    <w:p w14:paraId="467A2A7B" w14:textId="77777777" w:rsidR="004B7D86" w:rsidRPr="00964912" w:rsidRDefault="004B7D86" w:rsidP="00964912">
      <w:pPr>
        <w:pStyle w:val="Definition"/>
        <w:rPr>
          <w:szCs w:val="22"/>
        </w:rPr>
      </w:pPr>
      <w:proofErr w:type="gramStart"/>
      <w:r w:rsidRPr="00964912">
        <w:rPr>
          <w:b/>
          <w:i/>
          <w:szCs w:val="22"/>
        </w:rPr>
        <w:t>blood</w:t>
      </w:r>
      <w:proofErr w:type="gramEnd"/>
      <w:r w:rsidRPr="00964912">
        <w:rPr>
          <w:b/>
          <w:i/>
          <w:szCs w:val="22"/>
        </w:rPr>
        <w:t xml:space="preserve"> components</w:t>
      </w:r>
      <w:r w:rsidRPr="00964912">
        <w:rPr>
          <w:szCs w:val="22"/>
        </w:rPr>
        <w:t xml:space="preserve"> means any of the following therapeutic components of blood that can be prepared by centrifugation, filtration or freezing using conventional methodologies in blood establishment:</w:t>
      </w:r>
    </w:p>
    <w:p w14:paraId="57BC8AF9" w14:textId="7364252F" w:rsidR="004B7D86" w:rsidRPr="00964912" w:rsidRDefault="00C320E5" w:rsidP="00964912">
      <w:pPr>
        <w:pStyle w:val="paragraph"/>
      </w:pPr>
      <w:r>
        <w:tab/>
      </w:r>
      <w:r w:rsidR="004B7D86" w:rsidRPr="00964912">
        <w:t>(a)</w:t>
      </w:r>
      <w:r>
        <w:tab/>
      </w:r>
      <w:proofErr w:type="gramStart"/>
      <w:r w:rsidR="004B7D86" w:rsidRPr="00964912">
        <w:t>red</w:t>
      </w:r>
      <w:proofErr w:type="gramEnd"/>
      <w:r w:rsidR="004B7D86" w:rsidRPr="00964912">
        <w:t xml:space="preserve"> cells;</w:t>
      </w:r>
    </w:p>
    <w:p w14:paraId="772C4793" w14:textId="41593D04" w:rsidR="004B7D86" w:rsidRPr="00964912" w:rsidRDefault="00C320E5" w:rsidP="00964912">
      <w:pPr>
        <w:pStyle w:val="paragraph"/>
      </w:pPr>
      <w:r>
        <w:tab/>
      </w:r>
      <w:r w:rsidR="004B7D86" w:rsidRPr="00964912">
        <w:t>(b)</w:t>
      </w:r>
      <w:r>
        <w:tab/>
      </w:r>
      <w:proofErr w:type="gramStart"/>
      <w:r w:rsidR="004B7D86" w:rsidRPr="00964912">
        <w:t>white</w:t>
      </w:r>
      <w:proofErr w:type="gramEnd"/>
      <w:r w:rsidR="004B7D86" w:rsidRPr="00964912">
        <w:t xml:space="preserve"> cells;</w:t>
      </w:r>
    </w:p>
    <w:p w14:paraId="78C2B96D" w14:textId="1654A5EA" w:rsidR="004B7D86" w:rsidRPr="00964912" w:rsidRDefault="0071725C" w:rsidP="00964912">
      <w:pPr>
        <w:pStyle w:val="paragraph"/>
      </w:pPr>
      <w:r>
        <w:tab/>
      </w:r>
      <w:r w:rsidR="004B7D86" w:rsidRPr="00964912">
        <w:t>(c)</w:t>
      </w:r>
      <w:r w:rsidR="00C320E5">
        <w:tab/>
      </w:r>
      <w:proofErr w:type="gramStart"/>
      <w:r w:rsidR="004B7D86" w:rsidRPr="00964912">
        <w:t>platelets</w:t>
      </w:r>
      <w:proofErr w:type="gramEnd"/>
      <w:r w:rsidR="004B7D86" w:rsidRPr="00964912">
        <w:t>;</w:t>
      </w:r>
    </w:p>
    <w:p w14:paraId="61508182" w14:textId="5A57FDC9" w:rsidR="004B7D86" w:rsidRPr="00964912" w:rsidRDefault="0071725C" w:rsidP="00964912">
      <w:pPr>
        <w:pStyle w:val="paragraph"/>
      </w:pPr>
      <w:r>
        <w:lastRenderedPageBreak/>
        <w:tab/>
      </w:r>
      <w:r w:rsidR="004B7D86" w:rsidRPr="00964912">
        <w:t>(d)</w:t>
      </w:r>
      <w:r>
        <w:tab/>
      </w:r>
      <w:proofErr w:type="gramStart"/>
      <w:r w:rsidR="004B7D86" w:rsidRPr="00964912">
        <w:t>plasma</w:t>
      </w:r>
      <w:proofErr w:type="gramEnd"/>
      <w:r w:rsidR="004B7D86" w:rsidRPr="00964912">
        <w:t>;</w:t>
      </w:r>
    </w:p>
    <w:p w14:paraId="68853C41" w14:textId="77777777" w:rsidR="004B7D86" w:rsidRPr="00964912" w:rsidRDefault="004B7D86" w:rsidP="00964912">
      <w:pPr>
        <w:pStyle w:val="subsection2"/>
      </w:pPr>
      <w:proofErr w:type="gramStart"/>
      <w:r w:rsidRPr="00964912">
        <w:t>but</w:t>
      </w:r>
      <w:proofErr w:type="gramEnd"/>
      <w:r w:rsidRPr="00964912">
        <w:t xml:space="preserve"> does not include haematopoietic progenitor cells.</w:t>
      </w:r>
    </w:p>
    <w:p w14:paraId="5A657642" w14:textId="7CAFF8B5" w:rsidR="00B6416F" w:rsidRPr="003C3FF5" w:rsidRDefault="00B6416F" w:rsidP="00B6416F">
      <w:pPr>
        <w:pStyle w:val="Definition"/>
        <w:rPr>
          <w:rStyle w:val="term"/>
          <w:szCs w:val="22"/>
          <w:lang w:val="en"/>
        </w:rPr>
      </w:pPr>
      <w:proofErr w:type="spellStart"/>
      <w:proofErr w:type="gramStart"/>
      <w:r>
        <w:rPr>
          <w:rStyle w:val="term"/>
          <w:b/>
          <w:i/>
          <w:szCs w:val="22"/>
          <w:lang w:val="en"/>
        </w:rPr>
        <w:t>haematopoietic</w:t>
      </w:r>
      <w:proofErr w:type="spellEnd"/>
      <w:proofErr w:type="gramEnd"/>
      <w:r>
        <w:rPr>
          <w:rStyle w:val="term"/>
          <w:b/>
          <w:i/>
          <w:szCs w:val="22"/>
          <w:lang w:val="en"/>
        </w:rPr>
        <w:t xml:space="preserve"> progenitor cells </w:t>
      </w:r>
      <w:r w:rsidRPr="0071725C">
        <w:rPr>
          <w:rStyle w:val="term"/>
          <w:szCs w:val="22"/>
          <w:lang w:val="en"/>
        </w:rPr>
        <w:t xml:space="preserve">means </w:t>
      </w:r>
      <w:r>
        <w:rPr>
          <w:rStyle w:val="term"/>
          <w:szCs w:val="22"/>
          <w:lang w:val="en"/>
        </w:rPr>
        <w:t xml:space="preserve">self-renewing or multi-potent stem cells, or both, capable of maturation into </w:t>
      </w:r>
      <w:proofErr w:type="spellStart"/>
      <w:r>
        <w:rPr>
          <w:rStyle w:val="term"/>
          <w:szCs w:val="22"/>
          <w:lang w:val="en"/>
        </w:rPr>
        <w:t>haematopoietic</w:t>
      </w:r>
      <w:proofErr w:type="spellEnd"/>
      <w:r>
        <w:rPr>
          <w:rStyle w:val="term"/>
          <w:szCs w:val="22"/>
          <w:lang w:val="en"/>
        </w:rPr>
        <w:t xml:space="preserve"> lineages, lineage-restricted </w:t>
      </w:r>
      <w:proofErr w:type="spellStart"/>
      <w:r>
        <w:rPr>
          <w:rStyle w:val="term"/>
          <w:szCs w:val="22"/>
          <w:lang w:val="en"/>
        </w:rPr>
        <w:t>pluri</w:t>
      </w:r>
      <w:proofErr w:type="spellEnd"/>
      <w:r>
        <w:rPr>
          <w:rStyle w:val="term"/>
          <w:szCs w:val="22"/>
          <w:lang w:val="en"/>
        </w:rPr>
        <w:t>-potent progenitor cells, or committed progenitor cells.</w:t>
      </w:r>
    </w:p>
    <w:p w14:paraId="0176AA5B" w14:textId="77777777" w:rsidR="00B6416F" w:rsidRPr="003C3FF5" w:rsidRDefault="00B6416F" w:rsidP="00B6416F">
      <w:pPr>
        <w:pStyle w:val="Definition"/>
        <w:rPr>
          <w:rStyle w:val="term"/>
          <w:szCs w:val="22"/>
          <w:lang w:val="en"/>
        </w:rPr>
      </w:pPr>
      <w:proofErr w:type="gramStart"/>
      <w:r w:rsidRPr="00EF173E">
        <w:rPr>
          <w:rStyle w:val="term"/>
          <w:b/>
          <w:i/>
          <w:szCs w:val="22"/>
          <w:lang w:val="en"/>
        </w:rPr>
        <w:t>in-process</w:t>
      </w:r>
      <w:proofErr w:type="gramEnd"/>
      <w:r w:rsidRPr="00EF173E">
        <w:rPr>
          <w:rStyle w:val="term"/>
          <w:b/>
          <w:i/>
          <w:szCs w:val="22"/>
          <w:lang w:val="en"/>
        </w:rPr>
        <w:t xml:space="preserve"> material</w:t>
      </w:r>
      <w:r w:rsidRPr="003C3FF5">
        <w:rPr>
          <w:rStyle w:val="term"/>
          <w:szCs w:val="22"/>
          <w:lang w:val="en"/>
        </w:rPr>
        <w:t xml:space="preserve"> </w:t>
      </w:r>
      <w:r w:rsidRPr="0071725C">
        <w:rPr>
          <w:rStyle w:val="term"/>
          <w:szCs w:val="22"/>
          <w:lang w:val="en"/>
        </w:rPr>
        <w:t xml:space="preserve">means </w:t>
      </w:r>
      <w:r w:rsidRPr="003C3FF5">
        <w:rPr>
          <w:rStyle w:val="term"/>
        </w:rPr>
        <w:t xml:space="preserve">partly processed starting material </w:t>
      </w:r>
      <w:r w:rsidR="003F3CA5">
        <w:rPr>
          <w:rStyle w:val="term"/>
        </w:rPr>
        <w:t xml:space="preserve">that </w:t>
      </w:r>
      <w:r w:rsidRPr="003C3FF5">
        <w:rPr>
          <w:rStyle w:val="term"/>
        </w:rPr>
        <w:t xml:space="preserve">must undergo further manufacturing before it becomes therapeutic </w:t>
      </w:r>
      <w:r>
        <w:rPr>
          <w:rStyle w:val="term"/>
        </w:rPr>
        <w:t>good</w:t>
      </w:r>
      <w:r w:rsidR="003F3CA5">
        <w:rPr>
          <w:rStyle w:val="term"/>
        </w:rPr>
        <w:t>s in final dosage form</w:t>
      </w:r>
      <w:r w:rsidRPr="003C3FF5">
        <w:rPr>
          <w:rStyle w:val="term"/>
          <w:szCs w:val="22"/>
          <w:lang w:val="en"/>
        </w:rPr>
        <w:t>.</w:t>
      </w:r>
    </w:p>
    <w:p w14:paraId="4051617C" w14:textId="25217048" w:rsidR="009E024E" w:rsidRPr="009C2562" w:rsidRDefault="00B06FB9" w:rsidP="009E024E">
      <w:pPr>
        <w:pStyle w:val="Definition"/>
      </w:pPr>
      <w:proofErr w:type="gramStart"/>
      <w:r w:rsidRPr="00B06FB9">
        <w:rPr>
          <w:rStyle w:val="term"/>
          <w:b/>
          <w:i/>
          <w:szCs w:val="22"/>
          <w:lang w:val="en"/>
        </w:rPr>
        <w:t>packaging</w:t>
      </w:r>
      <w:proofErr w:type="gramEnd"/>
      <w:r w:rsidRPr="00B06FB9">
        <w:rPr>
          <w:rStyle w:val="term"/>
          <w:b/>
          <w:i/>
          <w:szCs w:val="22"/>
          <w:lang w:val="en"/>
        </w:rPr>
        <w:t xml:space="preserve"> material</w:t>
      </w:r>
      <w:r w:rsidR="00EF173E">
        <w:rPr>
          <w:rStyle w:val="term"/>
          <w:szCs w:val="22"/>
          <w:lang w:val="en"/>
        </w:rPr>
        <w:t>, in relation to</w:t>
      </w:r>
      <w:r w:rsidR="008F5A48">
        <w:rPr>
          <w:rStyle w:val="term"/>
          <w:szCs w:val="22"/>
          <w:lang w:val="en"/>
        </w:rPr>
        <w:t xml:space="preserve"> </w:t>
      </w:r>
      <w:r w:rsidR="00465F97">
        <w:rPr>
          <w:rStyle w:val="term"/>
          <w:szCs w:val="22"/>
          <w:lang w:val="en"/>
        </w:rPr>
        <w:t>therapeutic goods</w:t>
      </w:r>
      <w:r w:rsidR="00EF173E" w:rsidRPr="00964912">
        <w:rPr>
          <w:rStyle w:val="term"/>
          <w:szCs w:val="22"/>
          <w:lang w:val="en"/>
        </w:rPr>
        <w:t>,</w:t>
      </w:r>
      <w:r w:rsidRPr="00B06FB9">
        <w:rPr>
          <w:rStyle w:val="term"/>
          <w:szCs w:val="22"/>
          <w:lang w:val="en"/>
        </w:rPr>
        <w:t xml:space="preserve"> means any material used in the packaging of </w:t>
      </w:r>
      <w:r w:rsidR="00EF173E">
        <w:rPr>
          <w:rStyle w:val="term"/>
          <w:szCs w:val="22"/>
          <w:lang w:val="en"/>
        </w:rPr>
        <w:t xml:space="preserve">the </w:t>
      </w:r>
      <w:r w:rsidR="00465F97">
        <w:rPr>
          <w:rStyle w:val="term"/>
          <w:szCs w:val="22"/>
          <w:lang w:val="en"/>
        </w:rPr>
        <w:t>therapeutic goods</w:t>
      </w:r>
      <w:r w:rsidRPr="00B06FB9">
        <w:rPr>
          <w:rStyle w:val="term"/>
          <w:szCs w:val="22"/>
          <w:lang w:val="en"/>
        </w:rPr>
        <w:t xml:space="preserve">, excluding any outer packaging or container required solely to transport the </w:t>
      </w:r>
      <w:r w:rsidR="00465F97">
        <w:rPr>
          <w:rStyle w:val="term"/>
          <w:szCs w:val="22"/>
          <w:lang w:val="en"/>
        </w:rPr>
        <w:t>therapeutic goods</w:t>
      </w:r>
      <w:r w:rsidRPr="00B06FB9">
        <w:rPr>
          <w:rStyle w:val="term"/>
          <w:szCs w:val="22"/>
          <w:lang w:val="en"/>
        </w:rPr>
        <w:t>.</w:t>
      </w:r>
    </w:p>
    <w:p w14:paraId="0D159D34" w14:textId="565A6F74" w:rsidR="009E024E" w:rsidRPr="009C2562" w:rsidRDefault="00B06FB9" w:rsidP="009E024E">
      <w:pPr>
        <w:pStyle w:val="Definition"/>
      </w:pPr>
      <w:proofErr w:type="gramStart"/>
      <w:r w:rsidRPr="00B06FB9">
        <w:rPr>
          <w:rStyle w:val="term"/>
          <w:b/>
          <w:i/>
          <w:szCs w:val="22"/>
          <w:lang w:val="en"/>
        </w:rPr>
        <w:t>plasma</w:t>
      </w:r>
      <w:proofErr w:type="gramEnd"/>
      <w:r w:rsidRPr="00B06FB9">
        <w:rPr>
          <w:szCs w:val="22"/>
          <w:lang w:val="en"/>
        </w:rPr>
        <w:t xml:space="preserve"> means plasma, separated from human donor blood, intended for a number of purposes including the</w:t>
      </w:r>
      <w:r w:rsidR="00A9204E">
        <w:rPr>
          <w:szCs w:val="22"/>
          <w:lang w:val="en"/>
        </w:rPr>
        <w:t xml:space="preserve"> manufacture</w:t>
      </w:r>
      <w:r w:rsidRPr="00B06FB9">
        <w:rPr>
          <w:szCs w:val="22"/>
          <w:lang w:val="en"/>
        </w:rPr>
        <w:t xml:space="preserve"> of further blood components</w:t>
      </w:r>
      <w:r w:rsidR="00090345">
        <w:rPr>
          <w:szCs w:val="22"/>
          <w:lang w:val="en"/>
        </w:rPr>
        <w:t>, the</w:t>
      </w:r>
      <w:r w:rsidR="00A9204E">
        <w:rPr>
          <w:szCs w:val="22"/>
          <w:lang w:val="en"/>
        </w:rPr>
        <w:t xml:space="preserve"> manufacture</w:t>
      </w:r>
      <w:r w:rsidR="00090345">
        <w:rPr>
          <w:szCs w:val="22"/>
          <w:lang w:val="en"/>
        </w:rPr>
        <w:t xml:space="preserve"> of which is</w:t>
      </w:r>
      <w:r w:rsidRPr="00B06FB9">
        <w:rPr>
          <w:szCs w:val="22"/>
          <w:lang w:val="en"/>
        </w:rPr>
        <w:t xml:space="preserve"> required to be licensed under Part 3-3 of the Act</w:t>
      </w:r>
      <w:r w:rsidR="00090345">
        <w:t>.</w:t>
      </w:r>
    </w:p>
    <w:p w14:paraId="113C8E7D" w14:textId="77777777" w:rsidR="009E024E" w:rsidRPr="009C2562" w:rsidRDefault="00B06FB9" w:rsidP="009E024E">
      <w:pPr>
        <w:pStyle w:val="Definition"/>
      </w:pPr>
      <w:proofErr w:type="gramStart"/>
      <w:r w:rsidRPr="00B06FB9">
        <w:rPr>
          <w:b/>
          <w:i/>
          <w:szCs w:val="22"/>
          <w:lang w:val="en"/>
        </w:rPr>
        <w:t>quality</w:t>
      </w:r>
      <w:proofErr w:type="gramEnd"/>
      <w:r w:rsidRPr="00B06FB9">
        <w:rPr>
          <w:b/>
          <w:i/>
          <w:szCs w:val="22"/>
          <w:lang w:val="en"/>
        </w:rPr>
        <w:t xml:space="preserve"> system </w:t>
      </w:r>
      <w:r w:rsidRPr="00B06FB9">
        <w:rPr>
          <w:szCs w:val="22"/>
          <w:lang w:val="en"/>
        </w:rPr>
        <w:t xml:space="preserve">means the </w:t>
      </w:r>
      <w:proofErr w:type="spellStart"/>
      <w:r w:rsidRPr="00B06FB9">
        <w:rPr>
          <w:szCs w:val="22"/>
          <w:lang w:val="en"/>
        </w:rPr>
        <w:t>organisational</w:t>
      </w:r>
      <w:proofErr w:type="spellEnd"/>
      <w:r w:rsidRPr="00B06FB9">
        <w:rPr>
          <w:szCs w:val="22"/>
          <w:lang w:val="en"/>
        </w:rPr>
        <w:t xml:space="preserve"> structure, responsibilities, procedures, instructions, processes and resources for implementing quality management</w:t>
      </w:r>
      <w:r w:rsidR="008C2E46">
        <w:rPr>
          <w:szCs w:val="22"/>
          <w:lang w:val="en"/>
        </w:rPr>
        <w:t>.</w:t>
      </w:r>
    </w:p>
    <w:p w14:paraId="280D018F" w14:textId="79BFC2E8" w:rsidR="00465F97" w:rsidRPr="00465B39" w:rsidRDefault="00465F97" w:rsidP="008C2E46">
      <w:pPr>
        <w:pStyle w:val="Definition"/>
        <w:rPr>
          <w:b/>
          <w:szCs w:val="22"/>
          <w:lang w:val="en"/>
        </w:rPr>
      </w:pPr>
      <w:proofErr w:type="gramStart"/>
      <w:r>
        <w:rPr>
          <w:b/>
          <w:i/>
          <w:szCs w:val="22"/>
          <w:lang w:val="en"/>
        </w:rPr>
        <w:t>secondary-packaging</w:t>
      </w:r>
      <w:proofErr w:type="gramEnd"/>
      <w:r w:rsidRPr="00465B39">
        <w:rPr>
          <w:szCs w:val="22"/>
          <w:lang w:val="en"/>
        </w:rPr>
        <w:t xml:space="preserve">, in relation to </w:t>
      </w:r>
      <w:r>
        <w:rPr>
          <w:szCs w:val="22"/>
          <w:lang w:val="en"/>
        </w:rPr>
        <w:t>therapeutic goods, means packaging that is not designed to be in direct contact with the goods.</w:t>
      </w:r>
    </w:p>
    <w:p w14:paraId="5B330688" w14:textId="66729951" w:rsidR="008C2E46" w:rsidRDefault="00B06FB9" w:rsidP="008C2E46">
      <w:pPr>
        <w:pStyle w:val="Definition"/>
        <w:rPr>
          <w:szCs w:val="24"/>
          <w:lang w:val="en"/>
        </w:rPr>
      </w:pPr>
      <w:proofErr w:type="gramStart"/>
      <w:r w:rsidRPr="00B06FB9">
        <w:rPr>
          <w:b/>
          <w:i/>
          <w:szCs w:val="22"/>
          <w:lang w:val="en"/>
        </w:rPr>
        <w:t>starting</w:t>
      </w:r>
      <w:proofErr w:type="gramEnd"/>
      <w:r w:rsidRPr="00B06FB9">
        <w:rPr>
          <w:b/>
          <w:i/>
          <w:szCs w:val="22"/>
          <w:lang w:val="en"/>
        </w:rPr>
        <w:t xml:space="preserve"> material</w:t>
      </w:r>
      <w:r w:rsidRPr="00B06FB9">
        <w:rPr>
          <w:szCs w:val="22"/>
          <w:lang w:val="en"/>
        </w:rPr>
        <w:t xml:space="preserve"> means:</w:t>
      </w:r>
    </w:p>
    <w:p w14:paraId="4F8E874A" w14:textId="5C9EE03C" w:rsidR="00B06FB9" w:rsidRPr="00DF6D04" w:rsidRDefault="008C2E46" w:rsidP="00DF6D04">
      <w:pPr>
        <w:pStyle w:val="paragraph"/>
      </w:pPr>
      <w:r>
        <w:tab/>
        <w:t>(a)</w:t>
      </w:r>
      <w:r>
        <w:tab/>
      </w:r>
      <w:proofErr w:type="gramStart"/>
      <w:r w:rsidR="00B06FB9" w:rsidRPr="00DF6D04">
        <w:t>in</w:t>
      </w:r>
      <w:proofErr w:type="gramEnd"/>
      <w:r w:rsidR="00B06FB9" w:rsidRPr="00DF6D04">
        <w:t xml:space="preserve"> </w:t>
      </w:r>
      <w:r w:rsidR="00B06FB9" w:rsidRPr="008C2E46">
        <w:t xml:space="preserve">relation to therapeutic goods other than blood, blood components, haematopoietic progenitor cells </w:t>
      </w:r>
      <w:r w:rsidR="00B06FB9" w:rsidRPr="0073246C">
        <w:rPr>
          <w:rFonts w:eastAsiaTheme="minorHAnsi" w:cstheme="minorBidi"/>
          <w:lang w:eastAsia="en-US"/>
        </w:rPr>
        <w:t>or</w:t>
      </w:r>
      <w:r w:rsidR="00B06FB9" w:rsidRPr="008C2E46">
        <w:t xml:space="preserve"> human tissue</w:t>
      </w:r>
      <w:r w:rsidR="003C1294">
        <w:t>—</w:t>
      </w:r>
      <w:r w:rsidR="00B06FB9" w:rsidRPr="008C2E46">
        <w:t xml:space="preserve">any </w:t>
      </w:r>
      <w:r w:rsidR="0010734B">
        <w:t>material</w:t>
      </w:r>
      <w:r w:rsidR="0010734B" w:rsidRPr="008C2E46">
        <w:t xml:space="preserve"> </w:t>
      </w:r>
      <w:r w:rsidR="00B06FB9" w:rsidRPr="008C2E46">
        <w:t xml:space="preserve">used in the </w:t>
      </w:r>
      <w:r w:rsidR="00F8526A">
        <w:t xml:space="preserve">manufacture </w:t>
      </w:r>
      <w:r w:rsidR="00B06FB9" w:rsidRPr="008C2E46">
        <w:t xml:space="preserve">of </w:t>
      </w:r>
      <w:r w:rsidR="00290413">
        <w:t>the</w:t>
      </w:r>
      <w:r w:rsidR="00B06FB9" w:rsidRPr="008C2E46">
        <w:t xml:space="preserve"> therapeutic good</w:t>
      </w:r>
      <w:r w:rsidR="00290413">
        <w:t>s</w:t>
      </w:r>
      <w:r w:rsidR="00B06FB9" w:rsidRPr="008C2E46">
        <w:t>, but excluding packaging material;</w:t>
      </w:r>
    </w:p>
    <w:p w14:paraId="29E913B3" w14:textId="517866D7" w:rsidR="00B06FB9" w:rsidRPr="00DF6D04" w:rsidRDefault="008C2E46" w:rsidP="00DF6D04">
      <w:pPr>
        <w:pStyle w:val="paragraph"/>
      </w:pPr>
      <w:r>
        <w:tab/>
        <w:t>(b)</w:t>
      </w:r>
      <w:r>
        <w:tab/>
      </w:r>
      <w:r w:rsidR="00B06FB9" w:rsidRPr="008C2E46">
        <w:t xml:space="preserve">in relation to </w:t>
      </w:r>
      <w:r w:rsidR="00CE10F9">
        <w:t xml:space="preserve">therapeutic goods that are </w:t>
      </w:r>
      <w:r w:rsidR="00B06FB9" w:rsidRPr="008C2E46">
        <w:t xml:space="preserve">blood, blood components, haematopoietic progenitor cells </w:t>
      </w:r>
      <w:r w:rsidR="00B06FB9" w:rsidRPr="0073246C">
        <w:rPr>
          <w:rFonts w:eastAsiaTheme="minorHAnsi" w:cstheme="minorBidi"/>
          <w:lang w:eastAsia="en-US"/>
        </w:rPr>
        <w:t>or</w:t>
      </w:r>
      <w:r w:rsidR="00B06FB9" w:rsidRPr="008C2E46">
        <w:t xml:space="preserve"> human tissue</w:t>
      </w:r>
      <w:r w:rsidR="003C1294">
        <w:t>—</w:t>
      </w:r>
      <w:r w:rsidR="00B06FB9" w:rsidRPr="0073246C">
        <w:rPr>
          <w:rFonts w:eastAsiaTheme="minorHAnsi" w:cstheme="minorBidi"/>
          <w:lang w:eastAsia="en-US"/>
        </w:rPr>
        <w:t>any material</w:t>
      </w:r>
      <w:r w:rsidR="00A9204E">
        <w:rPr>
          <w:rFonts w:eastAsiaTheme="minorHAnsi" w:cstheme="minorBidi"/>
          <w:lang w:eastAsia="en-US"/>
        </w:rPr>
        <w:t xml:space="preserve"> used</w:t>
      </w:r>
      <w:r w:rsidR="00B06FB9" w:rsidRPr="0073246C">
        <w:rPr>
          <w:rFonts w:eastAsiaTheme="minorHAnsi" w:cstheme="minorBidi"/>
          <w:lang w:eastAsia="en-US"/>
        </w:rPr>
        <w:t xml:space="preserve"> in the manufacture </w:t>
      </w:r>
      <w:r w:rsidR="006D5917">
        <w:rPr>
          <w:rFonts w:eastAsiaTheme="minorHAnsi" w:cstheme="minorBidi"/>
          <w:lang w:eastAsia="en-US"/>
        </w:rPr>
        <w:t xml:space="preserve">of the therapeutic goods </w:t>
      </w:r>
      <w:r w:rsidR="00F8526A">
        <w:rPr>
          <w:rFonts w:eastAsiaTheme="minorHAnsi" w:cstheme="minorBidi"/>
          <w:lang w:eastAsia="en-US"/>
        </w:rPr>
        <w:t xml:space="preserve">that </w:t>
      </w:r>
      <w:r w:rsidR="00B06FB9" w:rsidRPr="0073246C">
        <w:rPr>
          <w:rFonts w:eastAsiaTheme="minorHAnsi" w:cstheme="minorBidi"/>
          <w:lang w:eastAsia="en-US"/>
        </w:rPr>
        <w:t>may contact</w:t>
      </w:r>
      <w:r w:rsidR="00505A1A">
        <w:rPr>
          <w:rFonts w:eastAsiaTheme="minorHAnsi" w:cstheme="minorBidi"/>
          <w:lang w:eastAsia="en-US"/>
        </w:rPr>
        <w:t>,</w:t>
      </w:r>
      <w:r w:rsidR="00B06FB9" w:rsidRPr="0073246C">
        <w:rPr>
          <w:rFonts w:eastAsiaTheme="minorHAnsi" w:cstheme="minorBidi"/>
          <w:lang w:eastAsia="en-US"/>
        </w:rPr>
        <w:t xml:space="preserve"> or be included </w:t>
      </w:r>
      <w:r w:rsidR="00F8526A">
        <w:rPr>
          <w:rFonts w:eastAsiaTheme="minorHAnsi" w:cstheme="minorBidi"/>
          <w:lang w:eastAsia="en-US"/>
        </w:rPr>
        <w:t xml:space="preserve">as an ingredient or component </w:t>
      </w:r>
      <w:r w:rsidR="00B06FB9" w:rsidRPr="0073246C">
        <w:rPr>
          <w:rFonts w:eastAsiaTheme="minorHAnsi" w:cstheme="minorBidi"/>
          <w:lang w:eastAsia="en-US"/>
        </w:rPr>
        <w:t>in</w:t>
      </w:r>
      <w:r w:rsidR="00505A1A">
        <w:rPr>
          <w:rFonts w:eastAsiaTheme="minorHAnsi" w:cstheme="minorBidi"/>
          <w:lang w:eastAsia="en-US"/>
        </w:rPr>
        <w:t>,</w:t>
      </w:r>
      <w:r w:rsidR="00B06FB9" w:rsidRPr="0073246C">
        <w:rPr>
          <w:rFonts w:eastAsiaTheme="minorHAnsi" w:cstheme="minorBidi"/>
          <w:lang w:eastAsia="en-US"/>
        </w:rPr>
        <w:t xml:space="preserve"> the</w:t>
      </w:r>
      <w:r w:rsidR="00290413">
        <w:rPr>
          <w:rFonts w:eastAsiaTheme="minorHAnsi" w:cstheme="minorBidi"/>
          <w:lang w:eastAsia="en-US"/>
        </w:rPr>
        <w:t xml:space="preserve"> therapeutic</w:t>
      </w:r>
      <w:r w:rsidR="00B06FB9" w:rsidRPr="0073246C">
        <w:rPr>
          <w:rFonts w:eastAsiaTheme="minorHAnsi" w:cstheme="minorBidi"/>
          <w:lang w:eastAsia="en-US"/>
        </w:rPr>
        <w:t xml:space="preserve"> </w:t>
      </w:r>
      <w:r w:rsidR="00CE10F9">
        <w:rPr>
          <w:rFonts w:eastAsiaTheme="minorHAnsi" w:cstheme="minorBidi"/>
          <w:lang w:eastAsia="en-US"/>
        </w:rPr>
        <w:t>goods</w:t>
      </w:r>
      <w:r w:rsidR="003C1294">
        <w:t>.</w:t>
      </w:r>
    </w:p>
    <w:p w14:paraId="03A52325" w14:textId="19EB645C" w:rsidR="00554826" w:rsidRPr="00597C01" w:rsidRDefault="004F188C" w:rsidP="00597C01">
      <w:pPr>
        <w:pStyle w:val="ActHead5"/>
      </w:pPr>
      <w:bookmarkStart w:id="4" w:name="_Toc35252401"/>
      <w:proofErr w:type="gramStart"/>
      <w:r>
        <w:t>5</w:t>
      </w:r>
      <w:r w:rsidR="00554826" w:rsidRPr="00597C01">
        <w:t xml:space="preserve">  </w:t>
      </w:r>
      <w:r w:rsidR="006C4F40">
        <w:t>C</w:t>
      </w:r>
      <w:r w:rsidR="004F7193">
        <w:t>ircumstances</w:t>
      </w:r>
      <w:proofErr w:type="gramEnd"/>
      <w:r w:rsidR="004F7193">
        <w:t xml:space="preserve"> for </w:t>
      </w:r>
      <w:r w:rsidR="006C4F40">
        <w:t>multi-site licence—</w:t>
      </w:r>
      <w:r w:rsidR="004F7193">
        <w:t>m</w:t>
      </w:r>
      <w:r w:rsidR="00597C01" w:rsidRPr="00597C01">
        <w:t xml:space="preserve">anufacture of therapeutic </w:t>
      </w:r>
      <w:r w:rsidR="00E41CA9">
        <w:t>goods other than blood</w:t>
      </w:r>
      <w:r w:rsidR="004F7193">
        <w:t xml:space="preserve">, </w:t>
      </w:r>
      <w:r w:rsidR="00E41CA9">
        <w:t>blood components</w:t>
      </w:r>
      <w:r w:rsidR="004F7193">
        <w:t>, haematopoietic progenitor cells or human tissue</w:t>
      </w:r>
      <w:bookmarkEnd w:id="4"/>
    </w:p>
    <w:p w14:paraId="7141EF2C" w14:textId="4A207856" w:rsidR="001B0E70" w:rsidRPr="00DF6D04" w:rsidRDefault="00554826" w:rsidP="00597C01">
      <w:pPr>
        <w:pStyle w:val="subsection"/>
      </w:pPr>
      <w:r w:rsidRPr="00597C01">
        <w:tab/>
      </w:r>
      <w:r w:rsidR="001B0E70">
        <w:t>(1)</w:t>
      </w:r>
      <w:r w:rsidRPr="00597C01">
        <w:tab/>
      </w:r>
      <w:r w:rsidR="001B0E70">
        <w:t xml:space="preserve">This section applies </w:t>
      </w:r>
      <w:r w:rsidR="004A19DB">
        <w:t xml:space="preserve">to the manufacture of </w:t>
      </w:r>
      <w:r w:rsidR="004A19DB" w:rsidRPr="00DF6D04">
        <w:t xml:space="preserve">therapeutic goods other than blood, blood components, </w:t>
      </w:r>
      <w:r w:rsidR="004A19DB" w:rsidRPr="00C708A1">
        <w:t>haematopoietic</w:t>
      </w:r>
      <w:r w:rsidR="004A19DB" w:rsidRPr="00DF6D04">
        <w:t xml:space="preserve"> progenitor cells or human tissue</w:t>
      </w:r>
      <w:r w:rsidR="001B0E70" w:rsidRPr="00DF6D04">
        <w:t>.</w:t>
      </w:r>
    </w:p>
    <w:p w14:paraId="098155B0" w14:textId="04541CF6" w:rsidR="00597C01" w:rsidRPr="00DF6D04" w:rsidRDefault="001B0E70" w:rsidP="00597C01">
      <w:pPr>
        <w:pStyle w:val="subsection"/>
      </w:pPr>
      <w:r w:rsidRPr="00DF6D04">
        <w:tab/>
        <w:t>(2)</w:t>
      </w:r>
      <w:r w:rsidRPr="00DF6D04">
        <w:tab/>
      </w:r>
      <w:r w:rsidR="001939A7">
        <w:t>A</w:t>
      </w:r>
      <w:r w:rsidR="004F7193">
        <w:t xml:space="preserve"> licence may cover </w:t>
      </w:r>
      <w:r w:rsidR="00B31272">
        <w:t>two</w:t>
      </w:r>
      <w:r w:rsidR="004F7193">
        <w:t xml:space="preserve"> or more manufacturing sites</w:t>
      </w:r>
      <w:r w:rsidR="004F7193" w:rsidRPr="00DF6D04">
        <w:t xml:space="preserve"> </w:t>
      </w:r>
      <w:r w:rsidR="006E004B">
        <w:t>where</w:t>
      </w:r>
      <w:r w:rsidR="00405347">
        <w:t xml:space="preserve"> </w:t>
      </w:r>
      <w:r w:rsidR="008F4890" w:rsidRPr="00DF6D04">
        <w:t xml:space="preserve">all of the following </w:t>
      </w:r>
      <w:r w:rsidR="001939A7">
        <w:t xml:space="preserve">paragraphs </w:t>
      </w:r>
      <w:r w:rsidR="008F4890" w:rsidRPr="00DF6D04">
        <w:t>apply</w:t>
      </w:r>
      <w:r w:rsidR="00597C01" w:rsidRPr="00DF6D04">
        <w:t>:</w:t>
      </w:r>
    </w:p>
    <w:p w14:paraId="41C0E73A" w14:textId="399C22EB" w:rsidR="00E474B4" w:rsidRDefault="00597C01" w:rsidP="00FF1B9D">
      <w:pPr>
        <w:pStyle w:val="paragraph"/>
      </w:pPr>
      <w:r w:rsidRPr="00597C01">
        <w:tab/>
        <w:t>(a)</w:t>
      </w:r>
      <w:r w:rsidRPr="00597C01">
        <w:tab/>
      </w:r>
      <w:proofErr w:type="gramStart"/>
      <w:r w:rsidR="00220D70">
        <w:t>s</w:t>
      </w:r>
      <w:r w:rsidR="00272FBC" w:rsidRPr="008173D6">
        <w:t>teps</w:t>
      </w:r>
      <w:proofErr w:type="gramEnd"/>
      <w:r w:rsidR="00272FBC" w:rsidRPr="008173D6">
        <w:t xml:space="preserve"> in the manufacture of </w:t>
      </w:r>
      <w:r w:rsidR="00220D70">
        <w:t xml:space="preserve">the </w:t>
      </w:r>
      <w:r w:rsidR="00272FBC" w:rsidRPr="008173D6">
        <w:t>therapeutic good</w:t>
      </w:r>
      <w:r w:rsidR="00220D70">
        <w:t>s</w:t>
      </w:r>
      <w:r w:rsidR="00272FBC" w:rsidRPr="008173D6">
        <w:t xml:space="preserve"> </w:t>
      </w:r>
      <w:r w:rsidR="00F24260">
        <w:t xml:space="preserve">are </w:t>
      </w:r>
      <w:r w:rsidR="00405347">
        <w:t xml:space="preserve">to be </w:t>
      </w:r>
      <w:r w:rsidR="00C64C55">
        <w:t xml:space="preserve">carried out </w:t>
      </w:r>
      <w:r w:rsidR="00272FBC" w:rsidRPr="008173D6">
        <w:t>at one fixed site</w:t>
      </w:r>
      <w:r w:rsidR="00C12D15">
        <w:t xml:space="preserve">, </w:t>
      </w:r>
      <w:r w:rsidR="00962FF2">
        <w:t xml:space="preserve">and any additional site or sites are </w:t>
      </w:r>
      <w:r w:rsidR="00405347">
        <w:t xml:space="preserve">to be </w:t>
      </w:r>
      <w:r w:rsidR="00962FF2">
        <w:t>used for carrying out the following steps</w:t>
      </w:r>
      <w:r w:rsidR="00E474B4">
        <w:t>:</w:t>
      </w:r>
    </w:p>
    <w:p w14:paraId="20736EF1" w14:textId="4184736C" w:rsidR="008E38CD" w:rsidRDefault="001B0E70" w:rsidP="00DF6D04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E474B4">
        <w:t>the</w:t>
      </w:r>
      <w:proofErr w:type="gramEnd"/>
      <w:r w:rsidR="00E474B4">
        <w:t xml:space="preserve"> storage of </w:t>
      </w:r>
      <w:r w:rsidR="00F24260">
        <w:t xml:space="preserve">primary </w:t>
      </w:r>
      <w:r w:rsidR="00E474B4">
        <w:t>packaging materials, starting materials</w:t>
      </w:r>
      <w:r w:rsidR="00962FF2">
        <w:t xml:space="preserve">, </w:t>
      </w:r>
      <w:r w:rsidR="00E474B4">
        <w:t xml:space="preserve">in-process materials </w:t>
      </w:r>
      <w:r w:rsidR="00962FF2">
        <w:t>or finished product</w:t>
      </w:r>
      <w:r w:rsidR="00E474B4">
        <w:t>;</w:t>
      </w:r>
      <w:r w:rsidR="00747885">
        <w:t xml:space="preserve"> or</w:t>
      </w:r>
    </w:p>
    <w:p w14:paraId="04CBADFD" w14:textId="476EA34E" w:rsidR="00E474B4" w:rsidRDefault="001B0E70" w:rsidP="00DF6D04">
      <w:pPr>
        <w:pStyle w:val="paragraphsub"/>
      </w:pPr>
      <w:r>
        <w:tab/>
        <w:t>(ii)</w:t>
      </w:r>
      <w:r>
        <w:tab/>
      </w:r>
      <w:proofErr w:type="gramStart"/>
      <w:r w:rsidR="006E004B">
        <w:rPr>
          <w:szCs w:val="22"/>
        </w:rPr>
        <w:t>the</w:t>
      </w:r>
      <w:proofErr w:type="gramEnd"/>
      <w:r w:rsidR="006E004B">
        <w:rPr>
          <w:szCs w:val="22"/>
        </w:rPr>
        <w:t xml:space="preserve"> secondary packaging of </w:t>
      </w:r>
      <w:r w:rsidR="00465F97">
        <w:rPr>
          <w:szCs w:val="22"/>
        </w:rPr>
        <w:t>finished product</w:t>
      </w:r>
      <w:r w:rsidR="004C04D5" w:rsidRPr="00C12D15">
        <w:rPr>
          <w:szCs w:val="22"/>
        </w:rPr>
        <w:t>;</w:t>
      </w:r>
      <w:r w:rsidR="00747885">
        <w:rPr>
          <w:szCs w:val="22"/>
        </w:rPr>
        <w:t xml:space="preserve"> or</w:t>
      </w:r>
    </w:p>
    <w:p w14:paraId="14DE6E4C" w14:textId="7333E868" w:rsidR="00272FBC" w:rsidRDefault="001B0E70">
      <w:pPr>
        <w:pStyle w:val="paragraphsub"/>
      </w:pPr>
      <w:r>
        <w:tab/>
        <w:t>(i</w:t>
      </w:r>
      <w:r w:rsidR="00272FBC">
        <w:t>ii</w:t>
      </w:r>
      <w:r>
        <w:t>)</w:t>
      </w:r>
      <w:r>
        <w:tab/>
      </w:r>
      <w:proofErr w:type="gramStart"/>
      <w:r w:rsidR="00F24260">
        <w:t>the</w:t>
      </w:r>
      <w:proofErr w:type="gramEnd"/>
      <w:r w:rsidR="00F24260">
        <w:t xml:space="preserve"> release </w:t>
      </w:r>
      <w:r w:rsidR="00405347">
        <w:t xml:space="preserve">for supply </w:t>
      </w:r>
      <w:r w:rsidR="00F24260">
        <w:t xml:space="preserve">of </w:t>
      </w:r>
      <w:r w:rsidR="007630F8">
        <w:t xml:space="preserve">packaging materials, </w:t>
      </w:r>
      <w:r w:rsidR="00AC7E65">
        <w:t>starting materials</w:t>
      </w:r>
      <w:r w:rsidR="00465F97">
        <w:t xml:space="preserve">, </w:t>
      </w:r>
      <w:r w:rsidR="00AC7E65">
        <w:t>in-process materials</w:t>
      </w:r>
      <w:r w:rsidR="00176B53">
        <w:t>,</w:t>
      </w:r>
      <w:r w:rsidR="004C04D5" w:rsidRPr="004C04D5">
        <w:t xml:space="preserve"> </w:t>
      </w:r>
      <w:r w:rsidR="00405347">
        <w:t>or finished product</w:t>
      </w:r>
      <w:r w:rsidR="00C12D15">
        <w:t>;</w:t>
      </w:r>
      <w:r w:rsidR="004C04D5" w:rsidRPr="004C04D5">
        <w:t xml:space="preserve"> </w:t>
      </w:r>
      <w:r w:rsidR="0068273A">
        <w:t>and</w:t>
      </w:r>
    </w:p>
    <w:p w14:paraId="343A139B" w14:textId="0F1C0D87" w:rsidR="00597C01" w:rsidRPr="00284C15" w:rsidRDefault="00597C01" w:rsidP="00597C01">
      <w:pPr>
        <w:pStyle w:val="paragraph"/>
      </w:pPr>
      <w:r w:rsidRPr="00284C15">
        <w:lastRenderedPageBreak/>
        <w:tab/>
        <w:t>(b)</w:t>
      </w:r>
      <w:r w:rsidRPr="00284C15">
        <w:tab/>
      </w:r>
      <w:proofErr w:type="gramStart"/>
      <w:r w:rsidR="00E474B4">
        <w:t>all</w:t>
      </w:r>
      <w:proofErr w:type="gramEnd"/>
      <w:r w:rsidRPr="00284C15">
        <w:t xml:space="preserve"> </w:t>
      </w:r>
      <w:r w:rsidR="00E474B4">
        <w:t xml:space="preserve">steps in the </w:t>
      </w:r>
      <w:r w:rsidRPr="00284C15">
        <w:t>manufactur</w:t>
      </w:r>
      <w:r w:rsidR="00D76736">
        <w:t>e</w:t>
      </w:r>
      <w:r w:rsidRPr="00284C15">
        <w:t xml:space="preserve"> </w:t>
      </w:r>
      <w:r w:rsidR="00E474B4">
        <w:t xml:space="preserve">of the </w:t>
      </w:r>
      <w:r w:rsidR="007630F8">
        <w:t xml:space="preserve">therapeutic </w:t>
      </w:r>
      <w:r w:rsidR="00E474B4">
        <w:t xml:space="preserve">goods </w:t>
      </w:r>
      <w:r w:rsidR="00D76736">
        <w:t xml:space="preserve">are </w:t>
      </w:r>
      <w:r w:rsidR="00405347">
        <w:t xml:space="preserve">to be </w:t>
      </w:r>
      <w:r w:rsidR="00D76736">
        <w:t xml:space="preserve">covered by </w:t>
      </w:r>
      <w:r w:rsidRPr="00284C15">
        <w:t xml:space="preserve">a single quality system; </w:t>
      </w:r>
      <w:r w:rsidR="00D76736">
        <w:t>and</w:t>
      </w:r>
    </w:p>
    <w:p w14:paraId="330EEB6A" w14:textId="3205470B" w:rsidR="00D76736" w:rsidRDefault="00597C01" w:rsidP="00597C01">
      <w:pPr>
        <w:pStyle w:val="paragraph"/>
      </w:pPr>
      <w:r w:rsidRPr="00284C15">
        <w:tab/>
        <w:t>(c)</w:t>
      </w:r>
      <w:r w:rsidRPr="00284C15">
        <w:tab/>
      </w:r>
      <w:proofErr w:type="gramStart"/>
      <w:r w:rsidRPr="00284C15">
        <w:t>all</w:t>
      </w:r>
      <w:proofErr w:type="gramEnd"/>
      <w:r w:rsidRPr="00284C15">
        <w:t xml:space="preserve"> sites </w:t>
      </w:r>
      <w:r w:rsidR="00405347">
        <w:t xml:space="preserve">are capable of being </w:t>
      </w:r>
      <w:r w:rsidR="004C04D5">
        <w:t>inspect</w:t>
      </w:r>
      <w:r w:rsidRPr="00284C15">
        <w:t>ed within the</w:t>
      </w:r>
      <w:r w:rsidR="00A52F04">
        <w:t xml:space="preserve"> relevant</w:t>
      </w:r>
      <w:r w:rsidRPr="00284C15">
        <w:t xml:space="preserve"> </w:t>
      </w:r>
      <w:r w:rsidR="00965BC1">
        <w:t>period</w:t>
      </w:r>
      <w:r w:rsidR="00D76736">
        <w:t>;</w:t>
      </w:r>
      <w:r w:rsidR="00E421A4">
        <w:t xml:space="preserve"> </w:t>
      </w:r>
      <w:r w:rsidR="00D76736">
        <w:t>and</w:t>
      </w:r>
    </w:p>
    <w:p w14:paraId="5E6A0DA2" w14:textId="7E8D604C" w:rsidR="00554826" w:rsidRPr="00DF6D04" w:rsidRDefault="00D76736" w:rsidP="005F38E9">
      <w:pPr>
        <w:pStyle w:val="paragraph"/>
      </w:pPr>
      <w:r>
        <w:tab/>
      </w:r>
      <w:r w:rsidRPr="00505A1A">
        <w:t>(d)</w:t>
      </w:r>
      <w:r w:rsidRPr="00505A1A">
        <w:tab/>
      </w:r>
      <w:proofErr w:type="gramStart"/>
      <w:r w:rsidR="00405347" w:rsidRPr="00176B53">
        <w:t>all</w:t>
      </w:r>
      <w:proofErr w:type="gramEnd"/>
      <w:r w:rsidR="00405347" w:rsidRPr="00176B53">
        <w:t xml:space="preserve"> </w:t>
      </w:r>
      <w:r w:rsidR="007630F8" w:rsidRPr="00176B53">
        <w:t xml:space="preserve">sites </w:t>
      </w:r>
      <w:r w:rsidR="00405347" w:rsidRPr="00465B39">
        <w:t xml:space="preserve">are located with sufficient proximity such that the total travel time between the sites under inspection </w:t>
      </w:r>
      <w:r w:rsidRPr="00176B53">
        <w:t>does</w:t>
      </w:r>
      <w:r w:rsidR="00597C01" w:rsidRPr="00176B53">
        <w:t xml:space="preserve"> not exceed 60 minutes</w:t>
      </w:r>
      <w:r w:rsidR="00B33A82" w:rsidRPr="00176B53">
        <w:t>.</w:t>
      </w:r>
    </w:p>
    <w:p w14:paraId="2599EEAC" w14:textId="10B451C0" w:rsidR="00597C01" w:rsidRPr="00284C15" w:rsidRDefault="004F188C" w:rsidP="00134941">
      <w:pPr>
        <w:pStyle w:val="ActHead5"/>
      </w:pPr>
      <w:bookmarkStart w:id="5" w:name="_Toc35252402"/>
      <w:proofErr w:type="gramStart"/>
      <w:r>
        <w:t>6</w:t>
      </w:r>
      <w:r w:rsidR="00D222EB" w:rsidRPr="00284C15">
        <w:t xml:space="preserve">  </w:t>
      </w:r>
      <w:r w:rsidR="006C4F40">
        <w:t>C</w:t>
      </w:r>
      <w:r w:rsidR="00075913">
        <w:t>ircumstances</w:t>
      </w:r>
      <w:proofErr w:type="gramEnd"/>
      <w:r w:rsidR="00075913">
        <w:t xml:space="preserve"> for </w:t>
      </w:r>
      <w:r w:rsidR="006C4F40">
        <w:t>multi-site licence—</w:t>
      </w:r>
      <w:r w:rsidR="00075913">
        <w:t>m</w:t>
      </w:r>
      <w:r w:rsidR="00597C01" w:rsidRPr="00284C15">
        <w:t>anufacture of blood, blood components, haematopoietic progenitor cells or human tissue</w:t>
      </w:r>
      <w:bookmarkEnd w:id="5"/>
    </w:p>
    <w:p w14:paraId="1D6608C4" w14:textId="72AC3090" w:rsidR="008F4890" w:rsidRPr="00DF6D04" w:rsidRDefault="00554826" w:rsidP="00C708A1">
      <w:pPr>
        <w:pStyle w:val="subsection"/>
      </w:pPr>
      <w:r w:rsidRPr="00284C15">
        <w:tab/>
      </w:r>
      <w:r w:rsidR="008F4890">
        <w:t>(1)</w:t>
      </w:r>
      <w:r w:rsidRPr="00284C15">
        <w:tab/>
      </w:r>
      <w:r w:rsidR="008F4890">
        <w:t xml:space="preserve">This section applies to </w:t>
      </w:r>
      <w:r w:rsidR="00597C01" w:rsidRPr="00DF6D04">
        <w:t xml:space="preserve">the manufacture of </w:t>
      </w:r>
      <w:r w:rsidR="00075913" w:rsidRPr="00DF6D04">
        <w:t xml:space="preserve">therapeutic goods that are </w:t>
      </w:r>
      <w:r w:rsidR="00597C01" w:rsidRPr="00DF6D04">
        <w:t>blood, blood components, haematopoietic progenitor cells or human tissue</w:t>
      </w:r>
      <w:r w:rsidR="008F4890" w:rsidRPr="00DF6D04">
        <w:t>.</w:t>
      </w:r>
    </w:p>
    <w:p w14:paraId="6E6AF73B" w14:textId="0FC31F4B" w:rsidR="00554826" w:rsidRPr="00284C15" w:rsidRDefault="008F4890" w:rsidP="00C708A1">
      <w:pPr>
        <w:pStyle w:val="subsection"/>
      </w:pPr>
      <w:r w:rsidRPr="00DF6D04">
        <w:tab/>
        <w:t>(2)</w:t>
      </w:r>
      <w:r w:rsidRPr="00DF6D04">
        <w:tab/>
      </w:r>
      <w:r w:rsidR="00405347">
        <w:t xml:space="preserve">A </w:t>
      </w:r>
      <w:r>
        <w:t>licence may cover</w:t>
      </w:r>
      <w:r w:rsidR="001C266E">
        <w:t xml:space="preserve"> two</w:t>
      </w:r>
      <w:r>
        <w:t xml:space="preserve"> or more manufacturing sites</w:t>
      </w:r>
      <w:r w:rsidRPr="00DF6D04">
        <w:t xml:space="preserve"> </w:t>
      </w:r>
      <w:r w:rsidR="00597C01" w:rsidRPr="00DF6D04">
        <w:t xml:space="preserve">where all of the following </w:t>
      </w:r>
      <w:r w:rsidR="00405347">
        <w:t xml:space="preserve">paragraphs </w:t>
      </w:r>
      <w:r w:rsidRPr="00DF6D04">
        <w:t>apply</w:t>
      </w:r>
      <w:r w:rsidR="00597C01" w:rsidRPr="00DF6D04">
        <w:t>:</w:t>
      </w:r>
    </w:p>
    <w:p w14:paraId="189B7CD6" w14:textId="0223BAE7" w:rsidR="005A3C55" w:rsidRPr="00284C15" w:rsidRDefault="00554826" w:rsidP="00832E33">
      <w:pPr>
        <w:pStyle w:val="paragraph"/>
      </w:pPr>
      <w:r w:rsidRPr="00284C15">
        <w:tab/>
        <w:t>(a)</w:t>
      </w:r>
      <w:r w:rsidRPr="00284C15">
        <w:tab/>
      </w:r>
      <w:proofErr w:type="gramStart"/>
      <w:r w:rsidR="00B31272">
        <w:t>steps</w:t>
      </w:r>
      <w:proofErr w:type="gramEnd"/>
      <w:r w:rsidR="00B31272">
        <w:t xml:space="preserve"> </w:t>
      </w:r>
      <w:r w:rsidR="00272FBC" w:rsidRPr="008173D6">
        <w:t xml:space="preserve">in the manufacture of the </w:t>
      </w:r>
      <w:r w:rsidR="00C64C55">
        <w:t xml:space="preserve">therapeutic </w:t>
      </w:r>
      <w:r w:rsidR="00272FBC" w:rsidRPr="008173D6">
        <w:t>goods are</w:t>
      </w:r>
      <w:r w:rsidR="00405347">
        <w:t xml:space="preserve"> to be carried out </w:t>
      </w:r>
      <w:r w:rsidR="00272FBC" w:rsidRPr="008173D6">
        <w:t xml:space="preserve">at one fixed </w:t>
      </w:r>
      <w:r w:rsidR="001C266E" w:rsidRPr="008173D6">
        <w:t>site</w:t>
      </w:r>
      <w:r w:rsidR="001C266E">
        <w:t xml:space="preserve">, </w:t>
      </w:r>
      <w:r w:rsidR="00176B53">
        <w:t xml:space="preserve">and any </w:t>
      </w:r>
      <w:r w:rsidR="00BB4390" w:rsidRPr="00921E69">
        <w:t>additional</w:t>
      </w:r>
      <w:r w:rsidR="00BB4390" w:rsidRPr="00832E33">
        <w:t xml:space="preserve"> </w:t>
      </w:r>
      <w:r w:rsidR="00421542">
        <w:t>site</w:t>
      </w:r>
      <w:r w:rsidR="00176B53">
        <w:t xml:space="preserve"> or sites are to be used for carrying out the following steps</w:t>
      </w:r>
      <w:r w:rsidR="00C17FE8">
        <w:t>:</w:t>
      </w:r>
    </w:p>
    <w:p w14:paraId="2010CE86" w14:textId="1974BB51" w:rsidR="008E38CD" w:rsidRDefault="007148C7" w:rsidP="001C266E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176B53">
        <w:rPr>
          <w:szCs w:val="22"/>
        </w:rPr>
        <w:t>in</w:t>
      </w:r>
      <w:proofErr w:type="gramEnd"/>
      <w:r w:rsidR="00176B53">
        <w:rPr>
          <w:szCs w:val="22"/>
        </w:rPr>
        <w:t xml:space="preserve"> relation to </w:t>
      </w:r>
      <w:r w:rsidR="00617BCD">
        <w:t xml:space="preserve">a fixed site—the storage of </w:t>
      </w:r>
      <w:bookmarkStart w:id="6" w:name="_GoBack"/>
      <w:bookmarkEnd w:id="6"/>
      <w:r w:rsidR="00176B53">
        <w:t>packaging materials, starting materials, in-process materials, or finished product;</w:t>
      </w:r>
    </w:p>
    <w:p w14:paraId="3FCFA7AC" w14:textId="2DCC6A71" w:rsidR="00284C15" w:rsidRPr="00284C15" w:rsidRDefault="007148C7" w:rsidP="00832E33">
      <w:pPr>
        <w:pStyle w:val="paragraphsub"/>
      </w:pPr>
      <w:r>
        <w:tab/>
        <w:t>(ii)</w:t>
      </w:r>
      <w:r>
        <w:tab/>
      </w:r>
      <w:proofErr w:type="gramStart"/>
      <w:r w:rsidR="00176B53">
        <w:t>in</w:t>
      </w:r>
      <w:proofErr w:type="gramEnd"/>
      <w:r w:rsidR="00176B53">
        <w:t xml:space="preserve"> relation to a mobile (non-fixed) site—the collection of blood or blood components</w:t>
      </w:r>
      <w:r w:rsidR="00176B53" w:rsidRPr="00284C15">
        <w:t>;</w:t>
      </w:r>
      <w:r w:rsidR="00176B53">
        <w:t xml:space="preserve"> and</w:t>
      </w:r>
    </w:p>
    <w:p w14:paraId="1C6045C8" w14:textId="6971ADE3" w:rsidR="00597C01" w:rsidRPr="00284C15" w:rsidRDefault="00597C01" w:rsidP="00597C01">
      <w:pPr>
        <w:pStyle w:val="paragraph"/>
      </w:pPr>
      <w:r w:rsidRPr="00284C15">
        <w:tab/>
        <w:t>(</w:t>
      </w:r>
      <w:r w:rsidR="008E38CD">
        <w:t>b</w:t>
      </w:r>
      <w:r w:rsidRPr="00284C15">
        <w:t>)</w:t>
      </w:r>
      <w:r w:rsidRPr="00284C15">
        <w:tab/>
      </w:r>
      <w:proofErr w:type="gramStart"/>
      <w:r w:rsidR="008E38CD">
        <w:t>all</w:t>
      </w:r>
      <w:proofErr w:type="gramEnd"/>
      <w:r w:rsidR="008E38CD">
        <w:t xml:space="preserve"> steps in the manufacture of the </w:t>
      </w:r>
      <w:r w:rsidR="00176B53">
        <w:t xml:space="preserve">therapeutic </w:t>
      </w:r>
      <w:r w:rsidR="008E38CD">
        <w:t xml:space="preserve">goods </w:t>
      </w:r>
      <w:r w:rsidR="00176B53">
        <w:t xml:space="preserve">are </w:t>
      </w:r>
      <w:r w:rsidR="008E38CD">
        <w:t xml:space="preserve">to be covered </w:t>
      </w:r>
      <w:r w:rsidR="00740F1E">
        <w:t xml:space="preserve">by </w:t>
      </w:r>
      <w:r w:rsidR="00284C15" w:rsidRPr="00284C15">
        <w:t>a single quality system; and</w:t>
      </w:r>
    </w:p>
    <w:p w14:paraId="3461CA65" w14:textId="35870CEA" w:rsidR="008E38CD" w:rsidRDefault="00597C01" w:rsidP="00284C15">
      <w:pPr>
        <w:pStyle w:val="paragraph"/>
      </w:pPr>
      <w:r w:rsidRPr="00284C15">
        <w:tab/>
        <w:t>(</w:t>
      </w:r>
      <w:r w:rsidR="008E38CD">
        <w:t>c</w:t>
      </w:r>
      <w:r w:rsidRPr="00284C15">
        <w:t>)</w:t>
      </w:r>
      <w:r w:rsidRPr="00284C15">
        <w:tab/>
      </w:r>
      <w:proofErr w:type="gramStart"/>
      <w:r w:rsidR="00284C15" w:rsidRPr="00284C15">
        <w:t>all</w:t>
      </w:r>
      <w:proofErr w:type="gramEnd"/>
      <w:r w:rsidR="00A11FAA">
        <w:t xml:space="preserve"> </w:t>
      </w:r>
      <w:r w:rsidR="00284C15" w:rsidRPr="00284C15">
        <w:t xml:space="preserve">sites </w:t>
      </w:r>
      <w:r w:rsidR="008E38CD">
        <w:t xml:space="preserve">are </w:t>
      </w:r>
      <w:r w:rsidR="00176B53">
        <w:t xml:space="preserve">capable of being </w:t>
      </w:r>
      <w:r w:rsidR="004C04D5">
        <w:t>inspect</w:t>
      </w:r>
      <w:r w:rsidR="00284C15" w:rsidRPr="00284C15">
        <w:t xml:space="preserve">ed within the </w:t>
      </w:r>
      <w:r w:rsidR="00A52F04">
        <w:t xml:space="preserve">relevant </w:t>
      </w:r>
      <w:r w:rsidR="00965BC1">
        <w:t>period</w:t>
      </w:r>
      <w:r w:rsidR="008E38CD">
        <w:t>;</w:t>
      </w:r>
      <w:r w:rsidR="00284C15" w:rsidRPr="00284C15">
        <w:t xml:space="preserve"> and</w:t>
      </w:r>
    </w:p>
    <w:p w14:paraId="269E5C22" w14:textId="43229B1C" w:rsidR="00597C01" w:rsidRDefault="008E38CD" w:rsidP="00FF1B9D">
      <w:pPr>
        <w:pStyle w:val="paragraph"/>
      </w:pPr>
      <w:r>
        <w:tab/>
        <w:t>(d)</w:t>
      </w:r>
      <w:r>
        <w:tab/>
      </w:r>
      <w:proofErr w:type="gramStart"/>
      <w:r w:rsidR="00176B53" w:rsidRPr="00DE495B">
        <w:t>all</w:t>
      </w:r>
      <w:proofErr w:type="gramEnd"/>
      <w:r w:rsidR="00176B53" w:rsidRPr="00DE495B">
        <w:t xml:space="preserve"> sites are located with sufficient proximity such that the total travel time between the sites under inspection does not exceed 60 minutes.</w:t>
      </w:r>
    </w:p>
    <w:p w14:paraId="7AA1F127" w14:textId="77777777" w:rsidR="00CA5CE7" w:rsidRPr="00554826" w:rsidRDefault="00CA5CE7" w:rsidP="00CA5CE7">
      <w:pPr>
        <w:pStyle w:val="ActHead5"/>
      </w:pPr>
      <w:bookmarkStart w:id="7" w:name="_Toc35252403"/>
      <w:proofErr w:type="gramStart"/>
      <w:r>
        <w:t>7</w:t>
      </w:r>
      <w:r w:rsidRPr="00554826">
        <w:t xml:space="preserve">  </w:t>
      </w:r>
      <w:r>
        <w:t>Repeals</w:t>
      </w:r>
      <w:bookmarkEnd w:id="7"/>
      <w:proofErr w:type="gramEnd"/>
    </w:p>
    <w:p w14:paraId="31AD4DC5" w14:textId="77777777" w:rsidR="00CA5CE7" w:rsidRPr="00CF16CB" w:rsidRDefault="00CA5CE7" w:rsidP="00CA5CE7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Schedule </w:t>
      </w:r>
      <w:r>
        <w:t>1</w:t>
      </w:r>
      <w:r w:rsidR="00320FF1">
        <w:t xml:space="preserve"> </w:t>
      </w:r>
      <w:r w:rsidRPr="006065DA">
        <w:t>is repealed as set out in the applicable items in th</w:t>
      </w:r>
      <w:r w:rsidR="00320FF1">
        <w:t>at</w:t>
      </w:r>
      <w:r w:rsidRPr="006065DA">
        <w:t xml:space="preserve"> Schedule.</w:t>
      </w:r>
    </w:p>
    <w:p w14:paraId="3828BE96" w14:textId="77777777" w:rsidR="00284C15" w:rsidRDefault="00284C15" w:rsidP="00D6537E">
      <w:pPr>
        <w:pStyle w:val="ActHead6"/>
      </w:pPr>
      <w:r>
        <w:br w:type="page"/>
      </w:r>
    </w:p>
    <w:p w14:paraId="0E244907" w14:textId="77777777" w:rsidR="00D6537E" w:rsidRDefault="004E1307" w:rsidP="00D6537E">
      <w:pPr>
        <w:pStyle w:val="ActHead6"/>
      </w:pPr>
      <w:bookmarkStart w:id="8" w:name="_Toc35252404"/>
      <w:r>
        <w:lastRenderedPageBreak/>
        <w:t xml:space="preserve">Schedule </w:t>
      </w:r>
      <w:r w:rsidR="00D6537E" w:rsidRPr="004E1307">
        <w:t>1—Repeals</w:t>
      </w:r>
      <w:bookmarkEnd w:id="8"/>
    </w:p>
    <w:p w14:paraId="21123E6D" w14:textId="77777777" w:rsidR="00D6537E" w:rsidRPr="00DF6D04" w:rsidRDefault="00284C15" w:rsidP="00D6537E">
      <w:pPr>
        <w:pStyle w:val="ActHead9"/>
        <w:rPr>
          <w:i w:val="0"/>
        </w:rPr>
      </w:pPr>
      <w:bookmarkStart w:id="9" w:name="_Toc35252405"/>
      <w:r w:rsidRPr="00DF6D04">
        <w:rPr>
          <w:i w:val="0"/>
        </w:rPr>
        <w:t>Therapeutic Goods (Multi-Site Manufacturing Licences) Guidelines of 2010</w:t>
      </w:r>
      <w:bookmarkEnd w:id="9"/>
    </w:p>
    <w:p w14:paraId="53F1ADDE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79A8086B" w14:textId="77777777" w:rsidR="004E1307" w:rsidRDefault="00D6537E" w:rsidP="00D6537E">
      <w:pPr>
        <w:pStyle w:val="Item"/>
      </w:pPr>
      <w:r>
        <w:t>Repeal the instrument</w:t>
      </w:r>
      <w:r w:rsidR="00A9204E">
        <w:t>.</w:t>
      </w:r>
    </w:p>
    <w:p w14:paraId="3E57EADB" w14:textId="77777777" w:rsidR="00A75FE9" w:rsidRDefault="00A75FE9" w:rsidP="009E187E">
      <w:pPr>
        <w:spacing w:line="240" w:lineRule="auto"/>
      </w:pP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74D67" w14:textId="77777777" w:rsidR="009E29B0" w:rsidRDefault="009E29B0" w:rsidP="00715914">
      <w:pPr>
        <w:spacing w:line="240" w:lineRule="auto"/>
      </w:pPr>
      <w:r>
        <w:separator/>
      </w:r>
    </w:p>
  </w:endnote>
  <w:endnote w:type="continuationSeparator" w:id="0">
    <w:p w14:paraId="029A27F3" w14:textId="77777777" w:rsidR="009E29B0" w:rsidRDefault="009E29B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8875" w14:textId="77777777" w:rsidR="00597C01" w:rsidRPr="00E33C1C" w:rsidRDefault="00597C0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97C01" w14:paraId="616C3A9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08FA26" w14:textId="77777777" w:rsidR="00597C01" w:rsidRDefault="00597C0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715135" w14:textId="77777777" w:rsidR="00597C01" w:rsidRPr="004E1307" w:rsidRDefault="00597C0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B0E70">
            <w:rPr>
              <w:i/>
              <w:noProof/>
              <w:sz w:val="18"/>
            </w:rPr>
            <w:t>Therapeutic Goods (Guidelines for Multi-Site Manufacturing Licences) GuidelinesInstrument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452A14" w14:textId="77777777" w:rsidR="00597C01" w:rsidRDefault="00597C01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97C01" w14:paraId="4F665E0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0FF63E" w14:textId="77777777" w:rsidR="00597C01" w:rsidRDefault="00597C01" w:rsidP="00A369E3">
          <w:pPr>
            <w:jc w:val="right"/>
            <w:rPr>
              <w:sz w:val="18"/>
            </w:rPr>
          </w:pPr>
        </w:p>
      </w:tc>
    </w:tr>
  </w:tbl>
  <w:p w14:paraId="2531DA2F" w14:textId="77777777" w:rsidR="00597C01" w:rsidRPr="00ED79B6" w:rsidRDefault="00597C0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97D14" w14:textId="77777777" w:rsidR="00597C01" w:rsidRPr="00E33C1C" w:rsidRDefault="00597C0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97C01" w14:paraId="5E60F65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021A9" w14:textId="77777777" w:rsidR="00597C01" w:rsidRDefault="00597C0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782F7B" w14:textId="77777777" w:rsidR="00597C01" w:rsidRDefault="00597C0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B0E70">
            <w:rPr>
              <w:i/>
              <w:noProof/>
              <w:sz w:val="18"/>
            </w:rPr>
            <w:t>Therapeutic Goods (Guidelines for Multi-Site Manufacturing Licences) GuidelinesInstrument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C2486A" w14:textId="77777777" w:rsidR="00597C01" w:rsidRDefault="00597C0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97C01" w14:paraId="75E7D18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D6DCF7" w14:textId="77777777" w:rsidR="00597C01" w:rsidRDefault="00597C01" w:rsidP="00A369E3">
          <w:pPr>
            <w:rPr>
              <w:sz w:val="18"/>
            </w:rPr>
          </w:pPr>
        </w:p>
      </w:tc>
    </w:tr>
  </w:tbl>
  <w:p w14:paraId="595D6A00" w14:textId="77777777" w:rsidR="00597C01" w:rsidRPr="00ED79B6" w:rsidRDefault="00597C0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70F3" w14:textId="77777777" w:rsidR="00597C01" w:rsidRPr="00E33C1C" w:rsidRDefault="00597C01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97C01" w14:paraId="533DFEA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82CA29" w14:textId="77777777" w:rsidR="00597C01" w:rsidRDefault="00597C0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923CFE" w14:textId="77777777" w:rsidR="00597C01" w:rsidRDefault="00597C01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3ABBA8" w14:textId="77777777" w:rsidR="00597C01" w:rsidRDefault="00597C0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C5E8E8E" w14:textId="77777777" w:rsidR="00597C01" w:rsidRPr="00ED79B6" w:rsidRDefault="00597C0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F31B4" w14:textId="77777777" w:rsidR="00597C01" w:rsidRPr="002B0EA5" w:rsidRDefault="00597C01" w:rsidP="00B06FB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97C01" w14:paraId="01A263B5" w14:textId="77777777" w:rsidTr="00B06FB9">
      <w:tc>
        <w:tcPr>
          <w:tcW w:w="365" w:type="pct"/>
        </w:tcPr>
        <w:p w14:paraId="2D729405" w14:textId="77777777" w:rsidR="00597C01" w:rsidRDefault="00597C01" w:rsidP="00B06FB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FA53E30" w14:textId="77777777" w:rsidR="00597C01" w:rsidRDefault="00597C01" w:rsidP="00B06FB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B0E70">
            <w:rPr>
              <w:i/>
              <w:noProof/>
              <w:sz w:val="18"/>
            </w:rPr>
            <w:t>Therapeutic Goods (Guidelines for Multi-Site Manufacturing Licences) GuidelinesInstrument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14F7E06" w14:textId="77777777" w:rsidR="00597C01" w:rsidRDefault="00597C01" w:rsidP="00B06FB9">
          <w:pPr>
            <w:spacing w:line="0" w:lineRule="atLeast"/>
            <w:jc w:val="right"/>
            <w:rPr>
              <w:sz w:val="18"/>
            </w:rPr>
          </w:pPr>
        </w:p>
      </w:tc>
    </w:tr>
    <w:tr w:rsidR="00597C01" w14:paraId="682305E0" w14:textId="77777777" w:rsidTr="00B06FB9">
      <w:tc>
        <w:tcPr>
          <w:tcW w:w="5000" w:type="pct"/>
          <w:gridSpan w:val="3"/>
        </w:tcPr>
        <w:p w14:paraId="4DD7BAB8" w14:textId="77777777" w:rsidR="00597C01" w:rsidRDefault="00597C01" w:rsidP="00B06FB9">
          <w:pPr>
            <w:jc w:val="right"/>
            <w:rPr>
              <w:sz w:val="18"/>
            </w:rPr>
          </w:pPr>
        </w:p>
      </w:tc>
    </w:tr>
  </w:tbl>
  <w:p w14:paraId="22A5504C" w14:textId="77777777" w:rsidR="00597C01" w:rsidRPr="00ED79B6" w:rsidRDefault="00597C01" w:rsidP="00B06FB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549C1" w14:textId="77777777" w:rsidR="00597C01" w:rsidRPr="002B0EA5" w:rsidRDefault="00597C01" w:rsidP="00B06FB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7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131"/>
      <w:gridCol w:w="906"/>
      <w:gridCol w:w="296"/>
    </w:tblGrid>
    <w:tr w:rsidR="00597C01" w14:paraId="452EC303" w14:textId="77777777" w:rsidTr="00465B39">
      <w:trPr>
        <w:gridAfter w:val="1"/>
        <w:wAfter w:w="172" w:type="pct"/>
      </w:trPr>
      <w:tc>
        <w:tcPr>
          <w:tcW w:w="741" w:type="pct"/>
        </w:tcPr>
        <w:p w14:paraId="43AB5704" w14:textId="77777777" w:rsidR="00597C01" w:rsidRDefault="00597C01" w:rsidP="00B06FB9">
          <w:pPr>
            <w:spacing w:line="0" w:lineRule="atLeast"/>
            <w:rPr>
              <w:sz w:val="18"/>
            </w:rPr>
          </w:pPr>
        </w:p>
      </w:tc>
      <w:tc>
        <w:tcPr>
          <w:tcW w:w="3561" w:type="pct"/>
        </w:tcPr>
        <w:p w14:paraId="1F360F7E" w14:textId="1CED654D" w:rsidR="00597C01" w:rsidRDefault="00597C01" w:rsidP="00B06FB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7BCD">
            <w:rPr>
              <w:i/>
              <w:noProof/>
              <w:sz w:val="18"/>
            </w:rPr>
            <w:t>Therapeutic Goods (Guidelines for Multi-Site Licences)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26" w:type="pct"/>
        </w:tcPr>
        <w:p w14:paraId="77FD22D8" w14:textId="62A18FEB" w:rsidR="00597C01" w:rsidRDefault="00597C01" w:rsidP="00B06F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7BC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97C01" w14:paraId="3C267CB4" w14:textId="77777777" w:rsidTr="00465B39">
      <w:tc>
        <w:tcPr>
          <w:tcW w:w="5000" w:type="pct"/>
          <w:gridSpan w:val="4"/>
        </w:tcPr>
        <w:p w14:paraId="2DFC1E63" w14:textId="77777777" w:rsidR="00597C01" w:rsidRDefault="00597C01" w:rsidP="00B06FB9">
          <w:pPr>
            <w:rPr>
              <w:sz w:val="18"/>
            </w:rPr>
          </w:pPr>
        </w:p>
      </w:tc>
    </w:tr>
  </w:tbl>
  <w:p w14:paraId="2B8ADCD5" w14:textId="77777777" w:rsidR="00597C01" w:rsidRPr="00465B39" w:rsidRDefault="00597C01" w:rsidP="00465B39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9D99F" w14:textId="77777777" w:rsidR="00597C01" w:rsidRPr="002B0EA5" w:rsidRDefault="00597C01" w:rsidP="00B06FB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40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132"/>
      <w:gridCol w:w="1573"/>
    </w:tblGrid>
    <w:tr w:rsidR="00597C01" w14:paraId="232D680F" w14:textId="77777777" w:rsidTr="00465B39">
      <w:tc>
        <w:tcPr>
          <w:tcW w:w="710" w:type="pct"/>
        </w:tcPr>
        <w:p w14:paraId="1E0E9423" w14:textId="7DBDE1A1" w:rsidR="00597C01" w:rsidRDefault="00597C01" w:rsidP="00B06FB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7BC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413" w:type="pct"/>
        </w:tcPr>
        <w:p w14:paraId="3055C15B" w14:textId="429F40BC" w:rsidR="00597C01" w:rsidRDefault="00597C01" w:rsidP="00B06FB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7BCD">
            <w:rPr>
              <w:i/>
              <w:noProof/>
              <w:sz w:val="18"/>
            </w:rPr>
            <w:t>Therapeutic Goods (Guidelines for Multi-Site Licences)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76" w:type="pct"/>
        </w:tcPr>
        <w:p w14:paraId="64E79433" w14:textId="77777777" w:rsidR="00597C01" w:rsidRDefault="00597C01" w:rsidP="00B06FB9">
          <w:pPr>
            <w:spacing w:line="0" w:lineRule="atLeast"/>
            <w:jc w:val="right"/>
            <w:rPr>
              <w:sz w:val="18"/>
            </w:rPr>
          </w:pPr>
        </w:p>
      </w:tc>
    </w:tr>
    <w:tr w:rsidR="00597C01" w14:paraId="64D91DAE" w14:textId="77777777" w:rsidTr="00465B39">
      <w:tc>
        <w:tcPr>
          <w:tcW w:w="4998" w:type="pct"/>
          <w:gridSpan w:val="3"/>
        </w:tcPr>
        <w:p w14:paraId="1FFDC0C6" w14:textId="77777777" w:rsidR="00597C01" w:rsidRDefault="00597C01" w:rsidP="00B06FB9">
          <w:pPr>
            <w:jc w:val="right"/>
            <w:rPr>
              <w:sz w:val="18"/>
            </w:rPr>
          </w:pPr>
        </w:p>
      </w:tc>
    </w:tr>
  </w:tbl>
  <w:p w14:paraId="78548D6D" w14:textId="6C87035E" w:rsidR="00597C01" w:rsidRPr="00465B39" w:rsidRDefault="00597C01" w:rsidP="00465B39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0E41E" w14:textId="77777777" w:rsidR="00597C01" w:rsidRPr="002B0EA5" w:rsidRDefault="00597C01" w:rsidP="00B06FB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26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6132"/>
      <w:gridCol w:w="1048"/>
      <w:gridCol w:w="438"/>
    </w:tblGrid>
    <w:tr w:rsidR="00597C01" w14:paraId="4B49FE71" w14:textId="77777777" w:rsidTr="00465B39">
      <w:trPr>
        <w:gridAfter w:val="1"/>
        <w:wAfter w:w="250" w:type="pct"/>
      </w:trPr>
      <w:tc>
        <w:tcPr>
          <w:tcW w:w="647" w:type="pct"/>
        </w:tcPr>
        <w:p w14:paraId="19CC30DC" w14:textId="77777777" w:rsidR="00597C01" w:rsidRDefault="00597C01" w:rsidP="00B06FB9">
          <w:pPr>
            <w:spacing w:line="0" w:lineRule="atLeast"/>
            <w:rPr>
              <w:sz w:val="18"/>
            </w:rPr>
          </w:pPr>
        </w:p>
      </w:tc>
      <w:tc>
        <w:tcPr>
          <w:tcW w:w="3504" w:type="pct"/>
        </w:tcPr>
        <w:p w14:paraId="497B3938" w14:textId="56D50A06" w:rsidR="00597C01" w:rsidRDefault="00597C01" w:rsidP="00B06FB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7BCD">
            <w:rPr>
              <w:i/>
              <w:noProof/>
              <w:sz w:val="18"/>
            </w:rPr>
            <w:t>Therapeutic Goods (Guidelines for Multi-Site Licences)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99" w:type="pct"/>
        </w:tcPr>
        <w:p w14:paraId="174EF642" w14:textId="66865C3A" w:rsidR="00597C01" w:rsidRDefault="00597C01" w:rsidP="00B06F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7BC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97C01" w14:paraId="23AA8BD5" w14:textId="77777777" w:rsidTr="00465B39">
      <w:tc>
        <w:tcPr>
          <w:tcW w:w="5000" w:type="pct"/>
          <w:gridSpan w:val="4"/>
        </w:tcPr>
        <w:p w14:paraId="70B3254A" w14:textId="77777777" w:rsidR="00597C01" w:rsidRDefault="00597C01" w:rsidP="00B06FB9">
          <w:pPr>
            <w:rPr>
              <w:sz w:val="18"/>
            </w:rPr>
          </w:pPr>
        </w:p>
      </w:tc>
    </w:tr>
  </w:tbl>
  <w:p w14:paraId="60C33F45" w14:textId="77777777" w:rsidR="00597C01" w:rsidRPr="00465B39" w:rsidRDefault="00597C01" w:rsidP="00465B39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2A2B3" w14:textId="77777777" w:rsidR="009E29B0" w:rsidRDefault="009E29B0" w:rsidP="00715914">
      <w:pPr>
        <w:spacing w:line="240" w:lineRule="auto"/>
      </w:pPr>
      <w:r>
        <w:separator/>
      </w:r>
    </w:p>
  </w:footnote>
  <w:footnote w:type="continuationSeparator" w:id="0">
    <w:p w14:paraId="74E4DD51" w14:textId="77777777" w:rsidR="009E29B0" w:rsidRDefault="009E29B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14524" w14:textId="77777777" w:rsidR="00597C01" w:rsidRPr="005F1388" w:rsidRDefault="00597C0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78AE" w14:textId="77777777" w:rsidR="00597C01" w:rsidRPr="005F1388" w:rsidRDefault="00597C0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6E8AD" w14:textId="77777777" w:rsidR="00597C01" w:rsidRPr="00ED79B6" w:rsidRDefault="00597C01" w:rsidP="00B06FB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EC82" w14:textId="77777777" w:rsidR="00597C01" w:rsidRPr="00ED79B6" w:rsidRDefault="00597C01" w:rsidP="00B06FB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424B2" w14:textId="77777777" w:rsidR="00597C01" w:rsidRPr="00ED79B6" w:rsidRDefault="00597C01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A5F0F" w14:textId="77777777" w:rsidR="00597C01" w:rsidRDefault="00597C01" w:rsidP="00715914">
    <w:pPr>
      <w:rPr>
        <w:sz w:val="20"/>
      </w:rPr>
    </w:pPr>
  </w:p>
  <w:p w14:paraId="512D959E" w14:textId="77777777" w:rsidR="00597C01" w:rsidRDefault="00597C01" w:rsidP="00715914">
    <w:pPr>
      <w:rPr>
        <w:sz w:val="20"/>
      </w:rPr>
    </w:pPr>
  </w:p>
  <w:p w14:paraId="5CD1C010" w14:textId="77777777" w:rsidR="00597C01" w:rsidRPr="007A1328" w:rsidRDefault="00597C01" w:rsidP="00715914">
    <w:pPr>
      <w:rPr>
        <w:sz w:val="20"/>
      </w:rPr>
    </w:pPr>
  </w:p>
  <w:p w14:paraId="75C214B4" w14:textId="77777777" w:rsidR="00597C01" w:rsidRPr="007A1328" w:rsidRDefault="00597C01" w:rsidP="00715914">
    <w:pPr>
      <w:rPr>
        <w:b/>
        <w:sz w:val="24"/>
      </w:rPr>
    </w:pPr>
  </w:p>
  <w:p w14:paraId="31A13700" w14:textId="77777777" w:rsidR="00597C01" w:rsidRPr="007A1328" w:rsidRDefault="00597C01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D9AB5" w14:textId="77777777" w:rsidR="00597C01" w:rsidRPr="007A1328" w:rsidRDefault="00597C01" w:rsidP="00715914">
    <w:pPr>
      <w:jc w:val="right"/>
      <w:rPr>
        <w:sz w:val="20"/>
      </w:rPr>
    </w:pPr>
  </w:p>
  <w:p w14:paraId="76C5079D" w14:textId="77777777" w:rsidR="00597C01" w:rsidRPr="007A1328" w:rsidRDefault="00597C01" w:rsidP="00715914">
    <w:pPr>
      <w:jc w:val="right"/>
      <w:rPr>
        <w:sz w:val="20"/>
      </w:rPr>
    </w:pPr>
  </w:p>
  <w:p w14:paraId="7FC20785" w14:textId="77777777" w:rsidR="00597C01" w:rsidRPr="007A1328" w:rsidRDefault="00597C01" w:rsidP="00715914">
    <w:pPr>
      <w:jc w:val="right"/>
      <w:rPr>
        <w:sz w:val="20"/>
      </w:rPr>
    </w:pPr>
  </w:p>
  <w:p w14:paraId="51A77253" w14:textId="77777777" w:rsidR="00597C01" w:rsidRPr="007A1328" w:rsidRDefault="00597C01" w:rsidP="00715914">
    <w:pPr>
      <w:jc w:val="right"/>
      <w:rPr>
        <w:b/>
        <w:sz w:val="24"/>
      </w:rPr>
    </w:pPr>
  </w:p>
  <w:p w14:paraId="1FD9C17B" w14:textId="77777777" w:rsidR="00597C01" w:rsidRPr="007A1328" w:rsidRDefault="00597C01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727D4"/>
    <w:multiLevelType w:val="hybridMultilevel"/>
    <w:tmpl w:val="34DE7AF2"/>
    <w:lvl w:ilvl="0" w:tplc="4A088B3C">
      <w:start w:val="1"/>
      <w:numFmt w:val="lowerLetter"/>
      <w:lvlText w:val="(%1)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A71E39"/>
    <w:multiLevelType w:val="hybridMultilevel"/>
    <w:tmpl w:val="2F982CB0"/>
    <w:lvl w:ilvl="0" w:tplc="0C09000F">
      <w:start w:val="1"/>
      <w:numFmt w:val="decimal"/>
      <w:lvlText w:val="%1."/>
      <w:lvlJc w:val="left"/>
      <w:pPr>
        <w:ind w:left="2038" w:hanging="360"/>
      </w:pPr>
    </w:lvl>
    <w:lvl w:ilvl="1" w:tplc="0C090019" w:tentative="1">
      <w:start w:val="1"/>
      <w:numFmt w:val="lowerLetter"/>
      <w:lvlText w:val="%2."/>
      <w:lvlJc w:val="left"/>
      <w:pPr>
        <w:ind w:left="2758" w:hanging="360"/>
      </w:pPr>
    </w:lvl>
    <w:lvl w:ilvl="2" w:tplc="0C09001B" w:tentative="1">
      <w:start w:val="1"/>
      <w:numFmt w:val="lowerRoman"/>
      <w:lvlText w:val="%3."/>
      <w:lvlJc w:val="right"/>
      <w:pPr>
        <w:ind w:left="3478" w:hanging="180"/>
      </w:pPr>
    </w:lvl>
    <w:lvl w:ilvl="3" w:tplc="0C09000F" w:tentative="1">
      <w:start w:val="1"/>
      <w:numFmt w:val="decimal"/>
      <w:lvlText w:val="%4."/>
      <w:lvlJc w:val="left"/>
      <w:pPr>
        <w:ind w:left="4198" w:hanging="360"/>
      </w:pPr>
    </w:lvl>
    <w:lvl w:ilvl="4" w:tplc="0C090019" w:tentative="1">
      <w:start w:val="1"/>
      <w:numFmt w:val="lowerLetter"/>
      <w:lvlText w:val="%5."/>
      <w:lvlJc w:val="left"/>
      <w:pPr>
        <w:ind w:left="4918" w:hanging="360"/>
      </w:pPr>
    </w:lvl>
    <w:lvl w:ilvl="5" w:tplc="0C09001B" w:tentative="1">
      <w:start w:val="1"/>
      <w:numFmt w:val="lowerRoman"/>
      <w:lvlText w:val="%6."/>
      <w:lvlJc w:val="right"/>
      <w:pPr>
        <w:ind w:left="5638" w:hanging="180"/>
      </w:pPr>
    </w:lvl>
    <w:lvl w:ilvl="6" w:tplc="0C09000F" w:tentative="1">
      <w:start w:val="1"/>
      <w:numFmt w:val="decimal"/>
      <w:lvlText w:val="%7."/>
      <w:lvlJc w:val="left"/>
      <w:pPr>
        <w:ind w:left="6358" w:hanging="360"/>
      </w:pPr>
    </w:lvl>
    <w:lvl w:ilvl="7" w:tplc="0C090019" w:tentative="1">
      <w:start w:val="1"/>
      <w:numFmt w:val="lowerLetter"/>
      <w:lvlText w:val="%8."/>
      <w:lvlJc w:val="left"/>
      <w:pPr>
        <w:ind w:left="7078" w:hanging="360"/>
      </w:pPr>
    </w:lvl>
    <w:lvl w:ilvl="8" w:tplc="0C09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A7605C"/>
    <w:multiLevelType w:val="hybridMultilevel"/>
    <w:tmpl w:val="2228B412"/>
    <w:lvl w:ilvl="0" w:tplc="31447DF8">
      <w:start w:val="1"/>
      <w:numFmt w:val="lowerRoman"/>
      <w:lvlText w:val="(%1)"/>
      <w:lvlJc w:val="left"/>
      <w:pPr>
        <w:ind w:left="123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96" w:hanging="360"/>
      </w:pPr>
    </w:lvl>
    <w:lvl w:ilvl="2" w:tplc="0C09001B" w:tentative="1">
      <w:start w:val="1"/>
      <w:numFmt w:val="lowerRoman"/>
      <w:lvlText w:val="%3."/>
      <w:lvlJc w:val="right"/>
      <w:pPr>
        <w:ind w:left="2316" w:hanging="180"/>
      </w:pPr>
    </w:lvl>
    <w:lvl w:ilvl="3" w:tplc="0C09000F" w:tentative="1">
      <w:start w:val="1"/>
      <w:numFmt w:val="decimal"/>
      <w:lvlText w:val="%4."/>
      <w:lvlJc w:val="left"/>
      <w:pPr>
        <w:ind w:left="3036" w:hanging="360"/>
      </w:pPr>
    </w:lvl>
    <w:lvl w:ilvl="4" w:tplc="0C090019" w:tentative="1">
      <w:start w:val="1"/>
      <w:numFmt w:val="lowerLetter"/>
      <w:lvlText w:val="%5."/>
      <w:lvlJc w:val="left"/>
      <w:pPr>
        <w:ind w:left="3756" w:hanging="360"/>
      </w:pPr>
    </w:lvl>
    <w:lvl w:ilvl="5" w:tplc="0C09001B" w:tentative="1">
      <w:start w:val="1"/>
      <w:numFmt w:val="lowerRoman"/>
      <w:lvlText w:val="%6."/>
      <w:lvlJc w:val="right"/>
      <w:pPr>
        <w:ind w:left="4476" w:hanging="180"/>
      </w:pPr>
    </w:lvl>
    <w:lvl w:ilvl="6" w:tplc="0C09000F" w:tentative="1">
      <w:start w:val="1"/>
      <w:numFmt w:val="decimal"/>
      <w:lvlText w:val="%7."/>
      <w:lvlJc w:val="left"/>
      <w:pPr>
        <w:ind w:left="5196" w:hanging="360"/>
      </w:pPr>
    </w:lvl>
    <w:lvl w:ilvl="7" w:tplc="0C090019" w:tentative="1">
      <w:start w:val="1"/>
      <w:numFmt w:val="lowerLetter"/>
      <w:lvlText w:val="%8."/>
      <w:lvlJc w:val="left"/>
      <w:pPr>
        <w:ind w:left="5916" w:hanging="360"/>
      </w:pPr>
    </w:lvl>
    <w:lvl w:ilvl="8" w:tplc="0C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A915501"/>
    <w:multiLevelType w:val="hybridMultilevel"/>
    <w:tmpl w:val="B8BEEA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316EA"/>
    <w:multiLevelType w:val="hybridMultilevel"/>
    <w:tmpl w:val="789A4D58"/>
    <w:lvl w:ilvl="0" w:tplc="31447DF8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8BA2D65"/>
    <w:multiLevelType w:val="hybridMultilevel"/>
    <w:tmpl w:val="2AD22CD8"/>
    <w:lvl w:ilvl="0" w:tplc="31447DF8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14"/>
  </w:num>
  <w:num w:numId="18">
    <w:abstractNumId w:val="12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5E"/>
    <w:rsid w:val="00004174"/>
    <w:rsid w:val="00004470"/>
    <w:rsid w:val="00004D86"/>
    <w:rsid w:val="000136AF"/>
    <w:rsid w:val="000258B1"/>
    <w:rsid w:val="00033831"/>
    <w:rsid w:val="00040A89"/>
    <w:rsid w:val="000437C1"/>
    <w:rsid w:val="0004455A"/>
    <w:rsid w:val="0005365D"/>
    <w:rsid w:val="000614BF"/>
    <w:rsid w:val="0006709C"/>
    <w:rsid w:val="00074376"/>
    <w:rsid w:val="00075913"/>
    <w:rsid w:val="00090345"/>
    <w:rsid w:val="000951BC"/>
    <w:rsid w:val="000978F5"/>
    <w:rsid w:val="000B15CD"/>
    <w:rsid w:val="000B35EB"/>
    <w:rsid w:val="000D05EF"/>
    <w:rsid w:val="000E2261"/>
    <w:rsid w:val="000E78B7"/>
    <w:rsid w:val="000F21C1"/>
    <w:rsid w:val="0010734B"/>
    <w:rsid w:val="0010745C"/>
    <w:rsid w:val="00132CEB"/>
    <w:rsid w:val="001339B0"/>
    <w:rsid w:val="00134941"/>
    <w:rsid w:val="00142B62"/>
    <w:rsid w:val="001441B7"/>
    <w:rsid w:val="001516CB"/>
    <w:rsid w:val="00152336"/>
    <w:rsid w:val="00157B8B"/>
    <w:rsid w:val="00166C2F"/>
    <w:rsid w:val="00176B53"/>
    <w:rsid w:val="001809D7"/>
    <w:rsid w:val="001831DD"/>
    <w:rsid w:val="001939A7"/>
    <w:rsid w:val="001939E1"/>
    <w:rsid w:val="00194C3E"/>
    <w:rsid w:val="00195382"/>
    <w:rsid w:val="001B0E70"/>
    <w:rsid w:val="001B2CB6"/>
    <w:rsid w:val="001C266E"/>
    <w:rsid w:val="001C4837"/>
    <w:rsid w:val="001C61C5"/>
    <w:rsid w:val="001C69C4"/>
    <w:rsid w:val="001D37EF"/>
    <w:rsid w:val="001E0615"/>
    <w:rsid w:val="001E3590"/>
    <w:rsid w:val="001E7407"/>
    <w:rsid w:val="001F5D5E"/>
    <w:rsid w:val="001F6219"/>
    <w:rsid w:val="001F6CD4"/>
    <w:rsid w:val="00206704"/>
    <w:rsid w:val="00206C4D"/>
    <w:rsid w:val="00215AF1"/>
    <w:rsid w:val="00220D70"/>
    <w:rsid w:val="002321E8"/>
    <w:rsid w:val="00232984"/>
    <w:rsid w:val="0024010F"/>
    <w:rsid w:val="00240749"/>
    <w:rsid w:val="0024104B"/>
    <w:rsid w:val="00243018"/>
    <w:rsid w:val="00255152"/>
    <w:rsid w:val="002564A4"/>
    <w:rsid w:val="0026736C"/>
    <w:rsid w:val="00272FBC"/>
    <w:rsid w:val="00281308"/>
    <w:rsid w:val="00284719"/>
    <w:rsid w:val="00284C15"/>
    <w:rsid w:val="00290413"/>
    <w:rsid w:val="00297ECB"/>
    <w:rsid w:val="002A7BCF"/>
    <w:rsid w:val="002C3FD1"/>
    <w:rsid w:val="002C4134"/>
    <w:rsid w:val="002D043A"/>
    <w:rsid w:val="002D266B"/>
    <w:rsid w:val="002D6224"/>
    <w:rsid w:val="002E3E71"/>
    <w:rsid w:val="00304F8B"/>
    <w:rsid w:val="00320FF1"/>
    <w:rsid w:val="00335BC6"/>
    <w:rsid w:val="0033641B"/>
    <w:rsid w:val="003415D3"/>
    <w:rsid w:val="00343B05"/>
    <w:rsid w:val="00344338"/>
    <w:rsid w:val="00344701"/>
    <w:rsid w:val="00352B0F"/>
    <w:rsid w:val="00360459"/>
    <w:rsid w:val="0036434B"/>
    <w:rsid w:val="003767E2"/>
    <w:rsid w:val="0038049F"/>
    <w:rsid w:val="003C1294"/>
    <w:rsid w:val="003C6231"/>
    <w:rsid w:val="003D0BFE"/>
    <w:rsid w:val="003D5700"/>
    <w:rsid w:val="003E341B"/>
    <w:rsid w:val="003E4D00"/>
    <w:rsid w:val="003F1F88"/>
    <w:rsid w:val="003F3CA5"/>
    <w:rsid w:val="00405347"/>
    <w:rsid w:val="004116CD"/>
    <w:rsid w:val="00417EB9"/>
    <w:rsid w:val="00421542"/>
    <w:rsid w:val="00424CA9"/>
    <w:rsid w:val="004276DF"/>
    <w:rsid w:val="00431E9B"/>
    <w:rsid w:val="0043574C"/>
    <w:rsid w:val="004379E3"/>
    <w:rsid w:val="00437C3D"/>
    <w:rsid w:val="0044015E"/>
    <w:rsid w:val="0044291A"/>
    <w:rsid w:val="00453296"/>
    <w:rsid w:val="00465B39"/>
    <w:rsid w:val="00465F97"/>
    <w:rsid w:val="00467661"/>
    <w:rsid w:val="00472DBE"/>
    <w:rsid w:val="00474A19"/>
    <w:rsid w:val="00477830"/>
    <w:rsid w:val="00487764"/>
    <w:rsid w:val="00496F97"/>
    <w:rsid w:val="004A19DB"/>
    <w:rsid w:val="004B6C48"/>
    <w:rsid w:val="004B7D86"/>
    <w:rsid w:val="004C04D5"/>
    <w:rsid w:val="004C4E59"/>
    <w:rsid w:val="004C6809"/>
    <w:rsid w:val="004E063A"/>
    <w:rsid w:val="004E1307"/>
    <w:rsid w:val="004E7BEC"/>
    <w:rsid w:val="004F188C"/>
    <w:rsid w:val="004F7193"/>
    <w:rsid w:val="00505A1A"/>
    <w:rsid w:val="00505D3D"/>
    <w:rsid w:val="00506AF6"/>
    <w:rsid w:val="00516B8D"/>
    <w:rsid w:val="005303C8"/>
    <w:rsid w:val="00537FBC"/>
    <w:rsid w:val="00554826"/>
    <w:rsid w:val="00562877"/>
    <w:rsid w:val="0056588C"/>
    <w:rsid w:val="00566FF2"/>
    <w:rsid w:val="00584811"/>
    <w:rsid w:val="00585784"/>
    <w:rsid w:val="00593AA6"/>
    <w:rsid w:val="00594161"/>
    <w:rsid w:val="00594749"/>
    <w:rsid w:val="00597C01"/>
    <w:rsid w:val="005A3C55"/>
    <w:rsid w:val="005A4522"/>
    <w:rsid w:val="005A65D5"/>
    <w:rsid w:val="005B3C73"/>
    <w:rsid w:val="005B4067"/>
    <w:rsid w:val="005C3F41"/>
    <w:rsid w:val="005D1D92"/>
    <w:rsid w:val="005D2D09"/>
    <w:rsid w:val="005D7611"/>
    <w:rsid w:val="005F2901"/>
    <w:rsid w:val="005F38E9"/>
    <w:rsid w:val="00600219"/>
    <w:rsid w:val="00604F2A"/>
    <w:rsid w:val="00617BCD"/>
    <w:rsid w:val="00620076"/>
    <w:rsid w:val="00624006"/>
    <w:rsid w:val="00627E0A"/>
    <w:rsid w:val="0065488B"/>
    <w:rsid w:val="00670EA1"/>
    <w:rsid w:val="00677CC2"/>
    <w:rsid w:val="0068273A"/>
    <w:rsid w:val="0068744B"/>
    <w:rsid w:val="006905DE"/>
    <w:rsid w:val="0069207B"/>
    <w:rsid w:val="006A0E87"/>
    <w:rsid w:val="006A154F"/>
    <w:rsid w:val="006A437B"/>
    <w:rsid w:val="006A7D86"/>
    <w:rsid w:val="006B5789"/>
    <w:rsid w:val="006C30C5"/>
    <w:rsid w:val="006C4F40"/>
    <w:rsid w:val="006C7F8C"/>
    <w:rsid w:val="006D5917"/>
    <w:rsid w:val="006D6636"/>
    <w:rsid w:val="006D69A1"/>
    <w:rsid w:val="006E004B"/>
    <w:rsid w:val="006E2E1C"/>
    <w:rsid w:val="006E5361"/>
    <w:rsid w:val="006E6246"/>
    <w:rsid w:val="006E69C2"/>
    <w:rsid w:val="006E6DCC"/>
    <w:rsid w:val="006F318F"/>
    <w:rsid w:val="0070017E"/>
    <w:rsid w:val="00700B2C"/>
    <w:rsid w:val="007050A2"/>
    <w:rsid w:val="007117BA"/>
    <w:rsid w:val="00713084"/>
    <w:rsid w:val="007148C7"/>
    <w:rsid w:val="00714F20"/>
    <w:rsid w:val="0071590F"/>
    <w:rsid w:val="00715914"/>
    <w:rsid w:val="0071725C"/>
    <w:rsid w:val="0072097D"/>
    <w:rsid w:val="0072147A"/>
    <w:rsid w:val="00723791"/>
    <w:rsid w:val="00731E00"/>
    <w:rsid w:val="0073246C"/>
    <w:rsid w:val="00740F1E"/>
    <w:rsid w:val="007440B7"/>
    <w:rsid w:val="00747885"/>
    <w:rsid w:val="007500C8"/>
    <w:rsid w:val="00756272"/>
    <w:rsid w:val="00762D38"/>
    <w:rsid w:val="007630F8"/>
    <w:rsid w:val="007715C9"/>
    <w:rsid w:val="00771613"/>
    <w:rsid w:val="00774EDD"/>
    <w:rsid w:val="007757EC"/>
    <w:rsid w:val="00783E89"/>
    <w:rsid w:val="00793915"/>
    <w:rsid w:val="00795445"/>
    <w:rsid w:val="007A67BF"/>
    <w:rsid w:val="007C2253"/>
    <w:rsid w:val="007D3895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2E33"/>
    <w:rsid w:val="00854D0B"/>
    <w:rsid w:val="00856A31"/>
    <w:rsid w:val="00860B4E"/>
    <w:rsid w:val="00865A5B"/>
    <w:rsid w:val="0086785E"/>
    <w:rsid w:val="00867B37"/>
    <w:rsid w:val="00874CDC"/>
    <w:rsid w:val="008754D0"/>
    <w:rsid w:val="00875D13"/>
    <w:rsid w:val="008855C9"/>
    <w:rsid w:val="00886456"/>
    <w:rsid w:val="00892D7D"/>
    <w:rsid w:val="00896176"/>
    <w:rsid w:val="008A46E1"/>
    <w:rsid w:val="008A4F43"/>
    <w:rsid w:val="008B2706"/>
    <w:rsid w:val="008C2E46"/>
    <w:rsid w:val="008C2EAC"/>
    <w:rsid w:val="008D0EE0"/>
    <w:rsid w:val="008E0027"/>
    <w:rsid w:val="008E27C4"/>
    <w:rsid w:val="008E38CD"/>
    <w:rsid w:val="008E6067"/>
    <w:rsid w:val="008E611B"/>
    <w:rsid w:val="008F4890"/>
    <w:rsid w:val="008F54E7"/>
    <w:rsid w:val="008F5A48"/>
    <w:rsid w:val="00903422"/>
    <w:rsid w:val="00921E69"/>
    <w:rsid w:val="009254C3"/>
    <w:rsid w:val="00932377"/>
    <w:rsid w:val="00941236"/>
    <w:rsid w:val="00943FD5"/>
    <w:rsid w:val="00947D5A"/>
    <w:rsid w:val="009532A5"/>
    <w:rsid w:val="009545BD"/>
    <w:rsid w:val="00962FF2"/>
    <w:rsid w:val="00964912"/>
    <w:rsid w:val="00964CF0"/>
    <w:rsid w:val="00965BC1"/>
    <w:rsid w:val="00977806"/>
    <w:rsid w:val="00982242"/>
    <w:rsid w:val="009868E9"/>
    <w:rsid w:val="009900A3"/>
    <w:rsid w:val="009C1D66"/>
    <w:rsid w:val="009C3413"/>
    <w:rsid w:val="009E024E"/>
    <w:rsid w:val="009E187E"/>
    <w:rsid w:val="009E29B0"/>
    <w:rsid w:val="009E41FC"/>
    <w:rsid w:val="009F00B3"/>
    <w:rsid w:val="00A008F0"/>
    <w:rsid w:val="00A0441E"/>
    <w:rsid w:val="00A0771D"/>
    <w:rsid w:val="00A11FAA"/>
    <w:rsid w:val="00A12128"/>
    <w:rsid w:val="00A22C98"/>
    <w:rsid w:val="00A231E2"/>
    <w:rsid w:val="00A369E3"/>
    <w:rsid w:val="00A50F64"/>
    <w:rsid w:val="00A52F04"/>
    <w:rsid w:val="00A57600"/>
    <w:rsid w:val="00A64912"/>
    <w:rsid w:val="00A70A74"/>
    <w:rsid w:val="00A75FE9"/>
    <w:rsid w:val="00A9204E"/>
    <w:rsid w:val="00AA2B66"/>
    <w:rsid w:val="00AC7E65"/>
    <w:rsid w:val="00AD53CC"/>
    <w:rsid w:val="00AD5641"/>
    <w:rsid w:val="00AF06CF"/>
    <w:rsid w:val="00AF74E3"/>
    <w:rsid w:val="00B06FB9"/>
    <w:rsid w:val="00B07CDB"/>
    <w:rsid w:val="00B107BC"/>
    <w:rsid w:val="00B14E2F"/>
    <w:rsid w:val="00B16A31"/>
    <w:rsid w:val="00B17DFD"/>
    <w:rsid w:val="00B25306"/>
    <w:rsid w:val="00B27831"/>
    <w:rsid w:val="00B308FE"/>
    <w:rsid w:val="00B31272"/>
    <w:rsid w:val="00B33709"/>
    <w:rsid w:val="00B33A82"/>
    <w:rsid w:val="00B33B3C"/>
    <w:rsid w:val="00B36392"/>
    <w:rsid w:val="00B40F71"/>
    <w:rsid w:val="00B418CB"/>
    <w:rsid w:val="00B47444"/>
    <w:rsid w:val="00B50ADC"/>
    <w:rsid w:val="00B566B1"/>
    <w:rsid w:val="00B63834"/>
    <w:rsid w:val="00B6416F"/>
    <w:rsid w:val="00B80199"/>
    <w:rsid w:val="00B81CBC"/>
    <w:rsid w:val="00B83204"/>
    <w:rsid w:val="00B856E7"/>
    <w:rsid w:val="00BA220B"/>
    <w:rsid w:val="00BA3A57"/>
    <w:rsid w:val="00BB1533"/>
    <w:rsid w:val="00BB4390"/>
    <w:rsid w:val="00BB4E1A"/>
    <w:rsid w:val="00BC015E"/>
    <w:rsid w:val="00BC76AC"/>
    <w:rsid w:val="00BC7F4F"/>
    <w:rsid w:val="00BD0ECB"/>
    <w:rsid w:val="00BE2155"/>
    <w:rsid w:val="00BE719A"/>
    <w:rsid w:val="00BE720A"/>
    <w:rsid w:val="00BF0D73"/>
    <w:rsid w:val="00BF2465"/>
    <w:rsid w:val="00C12D15"/>
    <w:rsid w:val="00C145E2"/>
    <w:rsid w:val="00C16619"/>
    <w:rsid w:val="00C17FE8"/>
    <w:rsid w:val="00C25E7F"/>
    <w:rsid w:val="00C2746F"/>
    <w:rsid w:val="00C320E5"/>
    <w:rsid w:val="00C323D6"/>
    <w:rsid w:val="00C324A0"/>
    <w:rsid w:val="00C42BF8"/>
    <w:rsid w:val="00C50043"/>
    <w:rsid w:val="00C5289C"/>
    <w:rsid w:val="00C64C55"/>
    <w:rsid w:val="00C708A1"/>
    <w:rsid w:val="00C7573B"/>
    <w:rsid w:val="00C97A54"/>
    <w:rsid w:val="00CA5B23"/>
    <w:rsid w:val="00CA5CE7"/>
    <w:rsid w:val="00CB602E"/>
    <w:rsid w:val="00CB7E90"/>
    <w:rsid w:val="00CC48EF"/>
    <w:rsid w:val="00CD27BC"/>
    <w:rsid w:val="00CE051D"/>
    <w:rsid w:val="00CE10F9"/>
    <w:rsid w:val="00CE1335"/>
    <w:rsid w:val="00CE493D"/>
    <w:rsid w:val="00CF07FA"/>
    <w:rsid w:val="00CF0BB2"/>
    <w:rsid w:val="00CF16CB"/>
    <w:rsid w:val="00CF3EE8"/>
    <w:rsid w:val="00D13441"/>
    <w:rsid w:val="00D150E7"/>
    <w:rsid w:val="00D222EB"/>
    <w:rsid w:val="00D23972"/>
    <w:rsid w:val="00D30FFD"/>
    <w:rsid w:val="00D52DC2"/>
    <w:rsid w:val="00D53BCC"/>
    <w:rsid w:val="00D54C9E"/>
    <w:rsid w:val="00D6537E"/>
    <w:rsid w:val="00D70DFB"/>
    <w:rsid w:val="00D766DF"/>
    <w:rsid w:val="00D76736"/>
    <w:rsid w:val="00D8206C"/>
    <w:rsid w:val="00D91F10"/>
    <w:rsid w:val="00DA186E"/>
    <w:rsid w:val="00DA4116"/>
    <w:rsid w:val="00DA724A"/>
    <w:rsid w:val="00DB251C"/>
    <w:rsid w:val="00DB4630"/>
    <w:rsid w:val="00DC4F88"/>
    <w:rsid w:val="00DD0156"/>
    <w:rsid w:val="00DE107C"/>
    <w:rsid w:val="00DE1A48"/>
    <w:rsid w:val="00DF2388"/>
    <w:rsid w:val="00DF2B78"/>
    <w:rsid w:val="00DF6D04"/>
    <w:rsid w:val="00E05704"/>
    <w:rsid w:val="00E338EF"/>
    <w:rsid w:val="00E342C2"/>
    <w:rsid w:val="00E41CA9"/>
    <w:rsid w:val="00E421A4"/>
    <w:rsid w:val="00E450D9"/>
    <w:rsid w:val="00E474B4"/>
    <w:rsid w:val="00E544BB"/>
    <w:rsid w:val="00E74DC7"/>
    <w:rsid w:val="00E8075A"/>
    <w:rsid w:val="00E84A83"/>
    <w:rsid w:val="00E940D8"/>
    <w:rsid w:val="00E94D5E"/>
    <w:rsid w:val="00E95658"/>
    <w:rsid w:val="00EA2985"/>
    <w:rsid w:val="00EA7100"/>
    <w:rsid w:val="00EA7F9F"/>
    <w:rsid w:val="00EB1274"/>
    <w:rsid w:val="00EC37A7"/>
    <w:rsid w:val="00ED06DB"/>
    <w:rsid w:val="00ED2BB6"/>
    <w:rsid w:val="00ED34E1"/>
    <w:rsid w:val="00ED3B8D"/>
    <w:rsid w:val="00EE5E36"/>
    <w:rsid w:val="00EF173E"/>
    <w:rsid w:val="00EF2E3A"/>
    <w:rsid w:val="00F01D71"/>
    <w:rsid w:val="00F02C7C"/>
    <w:rsid w:val="00F072A7"/>
    <w:rsid w:val="00F078DC"/>
    <w:rsid w:val="00F07C2B"/>
    <w:rsid w:val="00F24260"/>
    <w:rsid w:val="00F32BA8"/>
    <w:rsid w:val="00F32EE0"/>
    <w:rsid w:val="00F349F1"/>
    <w:rsid w:val="00F3692A"/>
    <w:rsid w:val="00F4350D"/>
    <w:rsid w:val="00F479C4"/>
    <w:rsid w:val="00F523FF"/>
    <w:rsid w:val="00F567F7"/>
    <w:rsid w:val="00F6696E"/>
    <w:rsid w:val="00F67E18"/>
    <w:rsid w:val="00F73BD6"/>
    <w:rsid w:val="00F83989"/>
    <w:rsid w:val="00F85099"/>
    <w:rsid w:val="00F8526A"/>
    <w:rsid w:val="00F9379C"/>
    <w:rsid w:val="00F955EB"/>
    <w:rsid w:val="00F9632C"/>
    <w:rsid w:val="00FA1E52"/>
    <w:rsid w:val="00FA7D2E"/>
    <w:rsid w:val="00FB5A08"/>
    <w:rsid w:val="00FC6A80"/>
    <w:rsid w:val="00FE4688"/>
    <w:rsid w:val="00FE4BD3"/>
    <w:rsid w:val="00FF1B9D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50E082"/>
  <w15:docId w15:val="{FEEE37E2-162D-4F23-BC33-FE9BE37D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semiHidden/>
    <w:unhideWhenUsed/>
    <w:rsid w:val="00B06F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term">
    <w:name w:val="term"/>
    <w:basedOn w:val="DefaultParagraphFont"/>
    <w:rsid w:val="00B06FB9"/>
  </w:style>
  <w:style w:type="paragraph" w:customStyle="1" w:styleId="P1">
    <w:name w:val="P1"/>
    <w:aliases w:val="(a)"/>
    <w:basedOn w:val="Normal"/>
    <w:rsid w:val="00597C01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E4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1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1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1FC"/>
    <w:rPr>
      <w:b/>
      <w:bCs/>
    </w:rPr>
  </w:style>
  <w:style w:type="paragraph" w:styleId="Revision">
    <w:name w:val="Revision"/>
    <w:hidden/>
    <w:uiPriority w:val="99"/>
    <w:semiHidden/>
    <w:rsid w:val="00E474B4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8F4890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4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1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4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31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6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5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1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95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76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6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82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8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57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602D-6B9D-4144-9032-625A0E3C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Kular, Navreen</dc:creator>
  <cp:lastModifiedBy>Edlington, Mandy</cp:lastModifiedBy>
  <cp:revision>8</cp:revision>
  <cp:lastPrinted>2020-02-12T00:24:00Z</cp:lastPrinted>
  <dcterms:created xsi:type="dcterms:W3CDTF">2020-03-30T10:01:00Z</dcterms:created>
  <dcterms:modified xsi:type="dcterms:W3CDTF">2020-03-31T01:49:00Z</dcterms:modified>
</cp:coreProperties>
</file>