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60602" w14:textId="77777777" w:rsidR="003F0DCD" w:rsidRPr="008738D0" w:rsidRDefault="00337666" w:rsidP="008738D0">
      <w:pPr>
        <w:widowControl/>
        <w:autoSpaceDE/>
        <w:autoSpaceDN/>
        <w:jc w:val="center"/>
        <w:rPr>
          <w:b/>
          <w:bCs/>
          <w:sz w:val="24"/>
          <w:szCs w:val="24"/>
          <w:u w:val="single"/>
          <w:lang w:eastAsia="en-AU" w:bidi="ar-SA"/>
        </w:rPr>
      </w:pPr>
      <w:bookmarkStart w:id="0" w:name="Bookmarks"/>
      <w:bookmarkEnd w:id="0"/>
      <w:r w:rsidRPr="008738D0">
        <w:rPr>
          <w:b/>
          <w:bCs/>
          <w:sz w:val="24"/>
          <w:szCs w:val="24"/>
          <w:u w:val="single"/>
          <w:lang w:eastAsia="en-AU" w:bidi="ar-SA"/>
        </w:rPr>
        <w:t>EXPLANATORY STATEMENT</w:t>
      </w:r>
    </w:p>
    <w:p w14:paraId="32617948" w14:textId="77777777" w:rsidR="00A67F58" w:rsidRPr="008D4A06" w:rsidRDefault="00A67F58" w:rsidP="008D4A06">
      <w:pPr>
        <w:widowControl/>
        <w:tabs>
          <w:tab w:val="left" w:pos="2542"/>
        </w:tabs>
        <w:autoSpaceDE/>
        <w:autoSpaceDN/>
        <w:jc w:val="center"/>
        <w:rPr>
          <w:rFonts w:ascii="Tms Rmn" w:hAnsi="Tms Rmn"/>
          <w:lang w:eastAsia="en-AU" w:bidi="ar-SA"/>
        </w:rPr>
      </w:pPr>
    </w:p>
    <w:p w14:paraId="6076910D" w14:textId="77777777" w:rsidR="00A67F58" w:rsidRPr="008738D0" w:rsidRDefault="00337666" w:rsidP="008738D0">
      <w:pPr>
        <w:widowControl/>
        <w:autoSpaceDE/>
        <w:autoSpaceDN/>
        <w:jc w:val="center"/>
        <w:rPr>
          <w:bCs/>
          <w:i/>
          <w:iCs/>
          <w:lang w:eastAsia="en-AU" w:bidi="ar-SA"/>
        </w:rPr>
      </w:pPr>
      <w:r w:rsidRPr="008738D0">
        <w:rPr>
          <w:bCs/>
          <w:i/>
          <w:iCs/>
          <w:lang w:eastAsia="en-AU" w:bidi="ar-SA"/>
        </w:rPr>
        <w:t>Therapeutic Goods Act 1989</w:t>
      </w:r>
    </w:p>
    <w:p w14:paraId="3FA78E04" w14:textId="77777777" w:rsidR="00A67F58" w:rsidRPr="008D4A06" w:rsidRDefault="00A67F58" w:rsidP="008738D0">
      <w:pPr>
        <w:widowControl/>
        <w:autoSpaceDE/>
        <w:autoSpaceDN/>
        <w:jc w:val="center"/>
        <w:rPr>
          <w:bCs/>
          <w:i/>
          <w:iCs/>
          <w:lang w:eastAsia="en-AU" w:bidi="ar-SA"/>
        </w:rPr>
      </w:pPr>
    </w:p>
    <w:p w14:paraId="1A0017AE" w14:textId="77777777" w:rsidR="003F0DCD" w:rsidRDefault="00C30F09" w:rsidP="008738D0">
      <w:pPr>
        <w:widowControl/>
        <w:autoSpaceDE/>
        <w:autoSpaceDN/>
        <w:jc w:val="center"/>
        <w:rPr>
          <w:bCs/>
          <w:i/>
          <w:iCs/>
          <w:lang w:eastAsia="en-AU" w:bidi="ar-SA"/>
        </w:rPr>
      </w:pPr>
      <w:r w:rsidRPr="008738D0">
        <w:rPr>
          <w:bCs/>
          <w:i/>
          <w:iCs/>
          <w:lang w:eastAsia="en-AU" w:bidi="ar-SA"/>
        </w:rPr>
        <w:t xml:space="preserve">Poisons </w:t>
      </w:r>
      <w:r w:rsidR="00C60C38">
        <w:rPr>
          <w:bCs/>
          <w:i/>
          <w:iCs/>
          <w:lang w:eastAsia="en-AU" w:bidi="ar-SA"/>
        </w:rPr>
        <w:t>Standard Amendment (H</w:t>
      </w:r>
      <w:r w:rsidR="00B6323D">
        <w:rPr>
          <w:bCs/>
          <w:i/>
          <w:iCs/>
          <w:lang w:eastAsia="en-AU" w:bidi="ar-SA"/>
        </w:rPr>
        <w:t>ydroxychloroquine</w:t>
      </w:r>
      <w:r w:rsidRPr="008738D0">
        <w:rPr>
          <w:bCs/>
          <w:i/>
          <w:iCs/>
          <w:lang w:eastAsia="en-AU" w:bidi="ar-SA"/>
        </w:rPr>
        <w:t>) Instrument 2020</w:t>
      </w:r>
    </w:p>
    <w:p w14:paraId="10993B17" w14:textId="77777777" w:rsidR="00A67F58" w:rsidRPr="008D4A06" w:rsidRDefault="00A67F58" w:rsidP="008738D0">
      <w:pPr>
        <w:widowControl/>
        <w:autoSpaceDE/>
        <w:autoSpaceDN/>
        <w:jc w:val="center"/>
        <w:rPr>
          <w:bCs/>
          <w:i/>
          <w:iCs/>
          <w:lang w:eastAsia="en-AU" w:bidi="ar-SA"/>
        </w:rPr>
      </w:pPr>
    </w:p>
    <w:p w14:paraId="617CA2C4" w14:textId="5F3B7A40" w:rsidR="00C85419" w:rsidRDefault="00C85419" w:rsidP="00F37432">
      <w:pPr>
        <w:widowControl/>
        <w:adjustRightInd w:val="0"/>
        <w:rPr>
          <w:lang w:eastAsia="en-AU" w:bidi="ar-SA"/>
        </w:rPr>
      </w:pPr>
      <w:r>
        <w:rPr>
          <w:lang w:eastAsia="en-AU" w:bidi="ar-SA"/>
        </w:rPr>
        <w:t xml:space="preserve">The </w:t>
      </w:r>
      <w:r w:rsidRPr="008D4A06">
        <w:rPr>
          <w:i/>
          <w:lang w:eastAsia="en-AU" w:bidi="ar-SA"/>
        </w:rPr>
        <w:t>Therapeutic Goods Act 1989</w:t>
      </w:r>
      <w:r>
        <w:rPr>
          <w:lang w:eastAsia="en-AU" w:bidi="ar-SA"/>
        </w:rPr>
        <w:t xml:space="preserve"> (“the Act”) provides for the establishment and maintenance of a national system of controls for the quality, safety, efficacy and timely availability of therapeutic goods that are used in, or exported from, Australia. The Act also provides a framework for </w:t>
      </w:r>
      <w:r w:rsidR="000D237E">
        <w:rPr>
          <w:lang w:eastAsia="en-AU" w:bidi="ar-SA"/>
        </w:rPr>
        <w:t xml:space="preserve">the </w:t>
      </w:r>
      <w:r>
        <w:rPr>
          <w:lang w:eastAsia="en-AU" w:bidi="ar-SA"/>
        </w:rPr>
        <w:t>State</w:t>
      </w:r>
      <w:r w:rsidR="00E84C07">
        <w:rPr>
          <w:lang w:eastAsia="en-AU" w:bidi="ar-SA"/>
        </w:rPr>
        <w:t>s</w:t>
      </w:r>
      <w:r>
        <w:rPr>
          <w:lang w:eastAsia="en-AU" w:bidi="ar-SA"/>
        </w:rPr>
        <w:t xml:space="preserve"> and Territor</w:t>
      </w:r>
      <w:r w:rsidR="00E84C07">
        <w:rPr>
          <w:lang w:eastAsia="en-AU" w:bidi="ar-SA"/>
        </w:rPr>
        <w:t>ies</w:t>
      </w:r>
      <w:r>
        <w:rPr>
          <w:lang w:eastAsia="en-AU" w:bidi="ar-SA"/>
        </w:rPr>
        <w:t xml:space="preserve"> to adopt a uniform approach to control the availability and accessibility, and to ensure the safe handling, of medicines and poisons in Australia. The Act is administered by the Therapeutic Goods Administration (“the TGA”), within the Australian Government Department of Health.</w:t>
      </w:r>
    </w:p>
    <w:p w14:paraId="057D2900" w14:textId="77777777" w:rsidR="0063546A" w:rsidRDefault="0063546A" w:rsidP="00F37432">
      <w:pPr>
        <w:widowControl/>
        <w:adjustRightInd w:val="0"/>
        <w:rPr>
          <w:lang w:eastAsia="en-AU" w:bidi="ar-SA"/>
        </w:rPr>
      </w:pPr>
    </w:p>
    <w:p w14:paraId="2D9A98C7" w14:textId="21282CA8" w:rsidR="00C85419" w:rsidRDefault="00C85419" w:rsidP="00F37432">
      <w:pPr>
        <w:widowControl/>
        <w:adjustRightInd w:val="0"/>
        <w:rPr>
          <w:lang w:eastAsia="en-AU" w:bidi="ar-SA"/>
        </w:rPr>
      </w:pPr>
      <w:r>
        <w:rPr>
          <w:lang w:eastAsia="en-AU" w:bidi="ar-SA"/>
        </w:rPr>
        <w:t xml:space="preserve">Part 6-3 of the Act provides the basis for a uniform system of </w:t>
      </w:r>
      <w:r w:rsidR="00A95E48">
        <w:rPr>
          <w:lang w:eastAsia="en-AU" w:bidi="ar-SA"/>
        </w:rPr>
        <w:t xml:space="preserve">access </w:t>
      </w:r>
      <w:r>
        <w:rPr>
          <w:lang w:eastAsia="en-AU" w:bidi="ar-SA"/>
        </w:rPr>
        <w:t>controls for goods containing scheduled substances. The scheduling of substances allows restrictions to be placed on the</w:t>
      </w:r>
      <w:r w:rsidR="007171D3">
        <w:rPr>
          <w:lang w:eastAsia="en-AU" w:bidi="ar-SA"/>
        </w:rPr>
        <w:t xml:space="preserve"> </w:t>
      </w:r>
      <w:r>
        <w:rPr>
          <w:lang w:eastAsia="en-AU" w:bidi="ar-SA"/>
        </w:rPr>
        <w:t xml:space="preserve">supply </w:t>
      </w:r>
      <w:r w:rsidR="007171D3">
        <w:rPr>
          <w:lang w:eastAsia="en-AU" w:bidi="ar-SA"/>
        </w:rPr>
        <w:t xml:space="preserve">of those substances </w:t>
      </w:r>
      <w:r>
        <w:rPr>
          <w:lang w:eastAsia="en-AU" w:bidi="ar-SA"/>
        </w:rPr>
        <w:t>to the public, in the interests of public health and safety</w:t>
      </w:r>
      <w:r w:rsidR="000D237E">
        <w:rPr>
          <w:lang w:eastAsia="en-AU" w:bidi="ar-SA"/>
        </w:rPr>
        <w:t xml:space="preserve">, </w:t>
      </w:r>
      <w:r w:rsidR="00AE6698">
        <w:rPr>
          <w:lang w:eastAsia="en-AU" w:bidi="ar-SA"/>
        </w:rPr>
        <w:t xml:space="preserve">to minimise </w:t>
      </w:r>
      <w:r>
        <w:rPr>
          <w:lang w:eastAsia="en-AU" w:bidi="ar-SA"/>
        </w:rPr>
        <w:t>the risks of poisoning from, and the misuse or abuse of, scheduled substances.</w:t>
      </w:r>
    </w:p>
    <w:p w14:paraId="1EE3D17A" w14:textId="77777777" w:rsidR="0063546A" w:rsidRDefault="0063546A" w:rsidP="00F37432">
      <w:pPr>
        <w:widowControl/>
        <w:adjustRightInd w:val="0"/>
        <w:rPr>
          <w:lang w:eastAsia="en-AU" w:bidi="ar-SA"/>
        </w:rPr>
      </w:pPr>
    </w:p>
    <w:p w14:paraId="24E7FE3A" w14:textId="58356D49" w:rsidR="003830E8" w:rsidRDefault="00C85419" w:rsidP="003830E8">
      <w:pPr>
        <w:widowControl/>
        <w:adjustRightInd w:val="0"/>
        <w:rPr>
          <w:lang w:eastAsia="en-AU" w:bidi="ar-SA"/>
        </w:rPr>
      </w:pPr>
      <w:r>
        <w:rPr>
          <w:lang w:eastAsia="en-AU" w:bidi="ar-SA"/>
        </w:rPr>
        <w:t xml:space="preserve">Subsection 52D(2) of the Act </w:t>
      </w:r>
      <w:r w:rsidR="000D237E">
        <w:rPr>
          <w:lang w:eastAsia="en-AU" w:bidi="ar-SA"/>
        </w:rPr>
        <w:t xml:space="preserve">provides that </w:t>
      </w:r>
      <w:r>
        <w:rPr>
          <w:lang w:eastAsia="en-AU" w:bidi="ar-SA"/>
        </w:rPr>
        <w:t xml:space="preserve">the Secretary </w:t>
      </w:r>
      <w:r w:rsidR="000D237E">
        <w:rPr>
          <w:lang w:eastAsia="en-AU" w:bidi="ar-SA"/>
        </w:rPr>
        <w:t xml:space="preserve">may </w:t>
      </w:r>
      <w:r>
        <w:rPr>
          <w:lang w:eastAsia="en-AU" w:bidi="ar-SA"/>
        </w:rPr>
        <w:t>amend the current Poisons Standard or prepare a document (“a new Poisons Standard”) in substitution for the current Poisons Standard.</w:t>
      </w:r>
      <w:r w:rsidR="0063546A" w:rsidRPr="0063546A">
        <w:rPr>
          <w:lang w:eastAsia="en-AU" w:bidi="ar-SA"/>
        </w:rPr>
        <w:t xml:space="preserve"> </w:t>
      </w:r>
      <w:r w:rsidR="003830E8">
        <w:rPr>
          <w:lang w:eastAsia="en-AU" w:bidi="ar-SA"/>
        </w:rPr>
        <w:t>The current Poisons Standard classifies substances in a number of schedules, with each schedule signifying the degree of risk and the recommended controls for the availability of those substances to the public.</w:t>
      </w:r>
    </w:p>
    <w:p w14:paraId="65A73DC6" w14:textId="77777777" w:rsidR="0063546A" w:rsidRDefault="0063546A" w:rsidP="00F37432">
      <w:pPr>
        <w:widowControl/>
        <w:adjustRightInd w:val="0"/>
        <w:rPr>
          <w:lang w:eastAsia="en-AU" w:bidi="ar-SA"/>
        </w:rPr>
      </w:pPr>
    </w:p>
    <w:p w14:paraId="1786ECA7" w14:textId="24AEE61D" w:rsidR="00C85419" w:rsidRDefault="007171D3" w:rsidP="00F37432">
      <w:pPr>
        <w:widowControl/>
        <w:adjustRightInd w:val="0"/>
        <w:rPr>
          <w:lang w:eastAsia="en-AU" w:bidi="ar-SA"/>
        </w:rPr>
      </w:pPr>
      <w:r>
        <w:rPr>
          <w:lang w:eastAsia="en-AU" w:bidi="ar-SA"/>
        </w:rPr>
        <w:t>Section 52E of the Act specifies the matters the Secretary must take into account when exercising the power under subsection 52D(2)</w:t>
      </w:r>
      <w:r w:rsidR="00A95E48">
        <w:rPr>
          <w:lang w:eastAsia="en-AU" w:bidi="ar-SA"/>
        </w:rPr>
        <w:t xml:space="preserve"> of the Act</w:t>
      </w:r>
      <w:r>
        <w:rPr>
          <w:lang w:eastAsia="en-AU" w:bidi="ar-SA"/>
        </w:rPr>
        <w:t xml:space="preserve">. In accordance with subsection 52E(1), these matters include (among other matters), the risks and benefits of </w:t>
      </w:r>
      <w:r w:rsidR="003830E8">
        <w:rPr>
          <w:lang w:eastAsia="en-AU" w:bidi="ar-SA"/>
        </w:rPr>
        <w:t xml:space="preserve">the </w:t>
      </w:r>
      <w:r>
        <w:rPr>
          <w:lang w:eastAsia="en-AU" w:bidi="ar-SA"/>
        </w:rPr>
        <w:t xml:space="preserve">use of a substance, the purposes for which a substance is to be used and the extent of use of a substance, the toxicity of a substance, and the potential for abuse. In accordance with subsection 52E(3), the Secretary must also have regard to any recommendations of </w:t>
      </w:r>
      <w:r w:rsidR="00C85419">
        <w:rPr>
          <w:lang w:eastAsia="en-AU" w:bidi="ar-SA"/>
        </w:rPr>
        <w:t>the Advisory Committee on Medicines Scheduling (“</w:t>
      </w:r>
      <w:r w:rsidR="00D24753">
        <w:rPr>
          <w:lang w:eastAsia="en-AU" w:bidi="ar-SA"/>
        </w:rPr>
        <w:t xml:space="preserve">the </w:t>
      </w:r>
      <w:r w:rsidR="00C85419">
        <w:rPr>
          <w:lang w:eastAsia="en-AU" w:bidi="ar-SA"/>
        </w:rPr>
        <w:t>ACMS”) and the Advisory Committee on Chemicals Scheduling (“</w:t>
      </w:r>
      <w:r w:rsidR="00D24753">
        <w:rPr>
          <w:lang w:eastAsia="en-AU" w:bidi="ar-SA"/>
        </w:rPr>
        <w:t xml:space="preserve">the </w:t>
      </w:r>
      <w:r w:rsidR="00C85419">
        <w:rPr>
          <w:lang w:eastAsia="en-AU" w:bidi="ar-SA"/>
        </w:rPr>
        <w:t>ACCS”)</w:t>
      </w:r>
      <w:r>
        <w:rPr>
          <w:lang w:eastAsia="en-AU" w:bidi="ar-SA"/>
        </w:rPr>
        <w:t>, established under sections 52B and 52C of the Act respectively.</w:t>
      </w:r>
    </w:p>
    <w:p w14:paraId="2E317300" w14:textId="77777777" w:rsidR="003830E8" w:rsidRDefault="003830E8" w:rsidP="003830E8">
      <w:pPr>
        <w:widowControl/>
        <w:adjustRightInd w:val="0"/>
        <w:rPr>
          <w:lang w:eastAsia="en-AU" w:bidi="ar-SA"/>
        </w:rPr>
      </w:pPr>
    </w:p>
    <w:p w14:paraId="3A15808C" w14:textId="64BEA5B3" w:rsidR="003830E8" w:rsidRDefault="003830E8" w:rsidP="003830E8">
      <w:pPr>
        <w:widowControl/>
        <w:adjustRightInd w:val="0"/>
        <w:rPr>
          <w:lang w:eastAsia="en-AU" w:bidi="ar-SA"/>
        </w:rPr>
      </w:pPr>
      <w:r>
        <w:rPr>
          <w:lang w:eastAsia="en-AU" w:bidi="ar-SA"/>
        </w:rPr>
        <w:t>The Scheduling Policy Framework (“the SPF”) provides guidance on whether a decision concerning the scheduling of substances would benefit from the advice of the ACMS or ACCS. The SPF is available on the TGA website.</w:t>
      </w:r>
    </w:p>
    <w:p w14:paraId="75FB5067" w14:textId="77777777" w:rsidR="007171D3" w:rsidRDefault="007171D3" w:rsidP="00F37432">
      <w:pPr>
        <w:widowControl/>
        <w:adjustRightInd w:val="0"/>
        <w:rPr>
          <w:lang w:eastAsia="en-AU" w:bidi="ar-SA"/>
        </w:rPr>
      </w:pPr>
    </w:p>
    <w:p w14:paraId="0A79FB52" w14:textId="195397BB" w:rsidR="007171D3" w:rsidRDefault="00D24753" w:rsidP="00F37432">
      <w:pPr>
        <w:widowControl/>
        <w:adjustRightInd w:val="0"/>
        <w:rPr>
          <w:lang w:eastAsia="en-AU" w:bidi="ar-SA"/>
        </w:rPr>
      </w:pPr>
      <w:r>
        <w:rPr>
          <w:lang w:eastAsia="en-AU" w:bidi="ar-SA"/>
        </w:rPr>
        <w:t>State</w:t>
      </w:r>
      <w:r w:rsidR="00AB02C9">
        <w:rPr>
          <w:lang w:eastAsia="en-AU" w:bidi="ar-SA"/>
        </w:rPr>
        <w:t xml:space="preserve"> and Territories regulate the supply of medicines and poisons by</w:t>
      </w:r>
      <w:r w:rsidR="00FB6F92">
        <w:rPr>
          <w:lang w:eastAsia="en-AU" w:bidi="ar-SA"/>
        </w:rPr>
        <w:t xml:space="preserve"> </w:t>
      </w:r>
      <w:r w:rsidR="00AB02C9">
        <w:rPr>
          <w:lang w:eastAsia="en-AU" w:bidi="ar-SA"/>
        </w:rPr>
        <w:t>incorporating</w:t>
      </w:r>
      <w:r w:rsidR="00FB6F92">
        <w:rPr>
          <w:lang w:eastAsia="en-AU" w:bidi="ar-SA"/>
        </w:rPr>
        <w:t xml:space="preserve"> the s</w:t>
      </w:r>
      <w:r w:rsidR="00C85419">
        <w:rPr>
          <w:lang w:eastAsia="en-AU" w:bidi="ar-SA"/>
        </w:rPr>
        <w:t xml:space="preserve">chedules contained in the </w:t>
      </w:r>
      <w:r w:rsidR="0022009E">
        <w:rPr>
          <w:lang w:eastAsia="en-AU" w:bidi="ar-SA"/>
        </w:rPr>
        <w:t xml:space="preserve">current </w:t>
      </w:r>
      <w:r w:rsidR="00C85419">
        <w:rPr>
          <w:lang w:eastAsia="en-AU" w:bidi="ar-SA"/>
        </w:rPr>
        <w:t>Poisons Standard</w:t>
      </w:r>
      <w:r w:rsidR="00FB6F92">
        <w:rPr>
          <w:lang w:eastAsia="en-AU" w:bidi="ar-SA"/>
        </w:rPr>
        <w:t xml:space="preserve"> </w:t>
      </w:r>
      <w:r w:rsidR="00AB02C9">
        <w:rPr>
          <w:lang w:eastAsia="en-AU" w:bidi="ar-SA"/>
        </w:rPr>
        <w:t>in State and Territory laws</w:t>
      </w:r>
      <w:r w:rsidR="00C85419">
        <w:rPr>
          <w:lang w:eastAsia="en-AU" w:bidi="ar-SA"/>
        </w:rPr>
        <w:t xml:space="preserve">. This </w:t>
      </w:r>
      <w:r>
        <w:rPr>
          <w:lang w:eastAsia="en-AU" w:bidi="ar-SA"/>
        </w:rPr>
        <w:t xml:space="preserve">ensures </w:t>
      </w:r>
      <w:r w:rsidR="00FB6F92">
        <w:rPr>
          <w:lang w:eastAsia="en-AU" w:bidi="ar-SA"/>
        </w:rPr>
        <w:t xml:space="preserve">there is </w:t>
      </w:r>
      <w:r>
        <w:rPr>
          <w:lang w:eastAsia="en-AU" w:bidi="ar-SA"/>
        </w:rPr>
        <w:t xml:space="preserve">a uniform system of </w:t>
      </w:r>
      <w:r w:rsidR="00C85419">
        <w:rPr>
          <w:lang w:eastAsia="en-AU" w:bidi="ar-SA"/>
        </w:rPr>
        <w:t xml:space="preserve">restrictions </w:t>
      </w:r>
      <w:r w:rsidR="00FB6F92">
        <w:rPr>
          <w:lang w:eastAsia="en-AU" w:bidi="ar-SA"/>
        </w:rPr>
        <w:t>in</w:t>
      </w:r>
      <w:r>
        <w:rPr>
          <w:lang w:eastAsia="en-AU" w:bidi="ar-SA"/>
        </w:rPr>
        <w:t xml:space="preserve"> Australia </w:t>
      </w:r>
      <w:r w:rsidR="00C02FA6">
        <w:rPr>
          <w:lang w:eastAsia="en-AU" w:bidi="ar-SA"/>
        </w:rPr>
        <w:t>relating to</w:t>
      </w:r>
      <w:r>
        <w:rPr>
          <w:lang w:eastAsia="en-AU" w:bidi="ar-SA"/>
        </w:rPr>
        <w:t xml:space="preserve"> </w:t>
      </w:r>
      <w:r w:rsidR="00C85419">
        <w:rPr>
          <w:lang w:eastAsia="en-AU" w:bidi="ar-SA"/>
        </w:rPr>
        <w:t xml:space="preserve">the supply of scheduled substances, </w:t>
      </w:r>
      <w:r w:rsidR="00C02FA6">
        <w:rPr>
          <w:lang w:eastAsia="en-AU" w:bidi="ar-SA"/>
        </w:rPr>
        <w:t>based on</w:t>
      </w:r>
      <w:r w:rsidR="00C85419">
        <w:rPr>
          <w:lang w:eastAsia="en-AU" w:bidi="ar-SA"/>
        </w:rPr>
        <w:t xml:space="preserve"> </w:t>
      </w:r>
      <w:r w:rsidR="00AB02C9">
        <w:rPr>
          <w:lang w:eastAsia="en-AU" w:bidi="ar-SA"/>
        </w:rPr>
        <w:t xml:space="preserve">the </w:t>
      </w:r>
      <w:r w:rsidR="00C85419">
        <w:rPr>
          <w:lang w:eastAsia="en-AU" w:bidi="ar-SA"/>
        </w:rPr>
        <w:t>risk</w:t>
      </w:r>
      <w:r w:rsidR="00C02FA6">
        <w:rPr>
          <w:lang w:eastAsia="en-AU" w:bidi="ar-SA"/>
        </w:rPr>
        <w:t>s</w:t>
      </w:r>
      <w:r w:rsidR="007171D3">
        <w:rPr>
          <w:lang w:eastAsia="en-AU" w:bidi="ar-SA"/>
        </w:rPr>
        <w:t xml:space="preserve"> associated with use of </w:t>
      </w:r>
      <w:r w:rsidR="00AB02C9">
        <w:rPr>
          <w:lang w:eastAsia="en-AU" w:bidi="ar-SA"/>
        </w:rPr>
        <w:t>those</w:t>
      </w:r>
      <w:r w:rsidR="007171D3">
        <w:rPr>
          <w:lang w:eastAsia="en-AU" w:bidi="ar-SA"/>
        </w:rPr>
        <w:t xml:space="preserve"> substance</w:t>
      </w:r>
      <w:r w:rsidR="00AB02C9">
        <w:rPr>
          <w:lang w:eastAsia="en-AU" w:bidi="ar-SA"/>
        </w:rPr>
        <w:t>s</w:t>
      </w:r>
      <w:r w:rsidR="00C85419">
        <w:rPr>
          <w:lang w:eastAsia="en-AU" w:bidi="ar-SA"/>
        </w:rPr>
        <w:t xml:space="preserve"> and the </w:t>
      </w:r>
      <w:r w:rsidR="00AB02C9">
        <w:rPr>
          <w:lang w:eastAsia="en-AU" w:bidi="ar-SA"/>
        </w:rPr>
        <w:t xml:space="preserve">recommended </w:t>
      </w:r>
      <w:r w:rsidR="00C85419">
        <w:rPr>
          <w:lang w:eastAsia="en-AU" w:bidi="ar-SA"/>
        </w:rPr>
        <w:t>level of control</w:t>
      </w:r>
      <w:r w:rsidR="00C02FA6">
        <w:rPr>
          <w:lang w:eastAsia="en-AU" w:bidi="ar-SA"/>
        </w:rPr>
        <w:t>s</w:t>
      </w:r>
      <w:r w:rsidR="00C85419">
        <w:rPr>
          <w:lang w:eastAsia="en-AU" w:bidi="ar-SA"/>
        </w:rPr>
        <w:t xml:space="preserve"> over availability</w:t>
      </w:r>
      <w:r w:rsidR="00340DF0">
        <w:rPr>
          <w:lang w:eastAsia="en-AU" w:bidi="ar-SA"/>
        </w:rPr>
        <w:t>.</w:t>
      </w:r>
    </w:p>
    <w:p w14:paraId="2BDE816F" w14:textId="77777777" w:rsidR="00D141E0" w:rsidRDefault="00D141E0" w:rsidP="00F37432">
      <w:pPr>
        <w:widowControl/>
        <w:adjustRightInd w:val="0"/>
        <w:rPr>
          <w:lang w:eastAsia="en-AU" w:bidi="ar-SA"/>
        </w:rPr>
      </w:pPr>
    </w:p>
    <w:p w14:paraId="12185CC3" w14:textId="75216775" w:rsidR="00AB02C9" w:rsidRDefault="00470320" w:rsidP="00F37432">
      <w:pPr>
        <w:widowControl/>
        <w:adjustRightInd w:val="0"/>
        <w:rPr>
          <w:lang w:eastAsia="en-AU" w:bidi="ar-SA"/>
        </w:rPr>
      </w:pPr>
      <w:r w:rsidRPr="009A4740">
        <w:rPr>
          <w:lang w:eastAsia="en-AU" w:bidi="ar-SA"/>
        </w:rPr>
        <w:t>The purpose of th</w:t>
      </w:r>
      <w:r w:rsidR="00A35815" w:rsidRPr="009A4740">
        <w:rPr>
          <w:lang w:eastAsia="en-AU" w:bidi="ar-SA"/>
        </w:rPr>
        <w:t xml:space="preserve">e </w:t>
      </w:r>
      <w:r w:rsidR="00A35815" w:rsidRPr="008D4A06">
        <w:rPr>
          <w:i/>
          <w:lang w:eastAsia="en-AU" w:bidi="ar-SA"/>
        </w:rPr>
        <w:t xml:space="preserve">Poisons </w:t>
      </w:r>
      <w:r w:rsidR="00C60C38" w:rsidRPr="008D4A06">
        <w:rPr>
          <w:i/>
          <w:lang w:eastAsia="en-AU" w:bidi="ar-SA"/>
        </w:rPr>
        <w:t>Standard Amendment (Hydroxychloroq</w:t>
      </w:r>
      <w:r w:rsidR="00B6323D" w:rsidRPr="008D4A06">
        <w:rPr>
          <w:i/>
          <w:lang w:eastAsia="en-AU" w:bidi="ar-SA"/>
        </w:rPr>
        <w:t>uine</w:t>
      </w:r>
      <w:r w:rsidR="00A35815" w:rsidRPr="008D4A06">
        <w:rPr>
          <w:i/>
          <w:lang w:eastAsia="en-AU" w:bidi="ar-SA"/>
        </w:rPr>
        <w:t>) Instrument 2020</w:t>
      </w:r>
      <w:r w:rsidR="00A35815" w:rsidRPr="009A4740">
        <w:rPr>
          <w:lang w:eastAsia="en-AU" w:bidi="ar-SA"/>
        </w:rPr>
        <w:t xml:space="preserve"> (“the Amendment Instrument”) </w:t>
      </w:r>
      <w:r w:rsidRPr="009A4740">
        <w:rPr>
          <w:lang w:eastAsia="en-AU" w:bidi="ar-SA"/>
        </w:rPr>
        <w:t>is to amend</w:t>
      </w:r>
      <w:r w:rsidR="009F1ED8">
        <w:rPr>
          <w:lang w:eastAsia="en-AU" w:bidi="ar-SA"/>
        </w:rPr>
        <w:t xml:space="preserve"> </w:t>
      </w:r>
      <w:r w:rsidRPr="009A4740">
        <w:rPr>
          <w:lang w:eastAsia="en-AU" w:bidi="ar-SA"/>
        </w:rPr>
        <w:t xml:space="preserve">the </w:t>
      </w:r>
      <w:r w:rsidRPr="008D4A06">
        <w:rPr>
          <w:i/>
          <w:lang w:eastAsia="en-AU" w:bidi="ar-SA"/>
        </w:rPr>
        <w:t>Poisons Standard February 2020</w:t>
      </w:r>
      <w:r w:rsidR="00B6323D">
        <w:rPr>
          <w:lang w:eastAsia="en-AU" w:bidi="ar-SA"/>
        </w:rPr>
        <w:t xml:space="preserve"> in relation to the substance hydroxychloroquine</w:t>
      </w:r>
      <w:r w:rsidR="0022026B">
        <w:rPr>
          <w:lang w:eastAsia="en-AU" w:bidi="ar-SA"/>
        </w:rPr>
        <w:t>.</w:t>
      </w:r>
      <w:r w:rsidR="008871B5" w:rsidRPr="009A4740">
        <w:rPr>
          <w:lang w:eastAsia="en-AU" w:bidi="ar-SA"/>
        </w:rPr>
        <w:t xml:space="preserve"> </w:t>
      </w:r>
      <w:r w:rsidR="0022026B">
        <w:rPr>
          <w:lang w:eastAsia="en-AU" w:bidi="ar-SA"/>
        </w:rPr>
        <w:t xml:space="preserve">These amendments </w:t>
      </w:r>
      <w:r w:rsidR="008871B5" w:rsidRPr="009A4740">
        <w:rPr>
          <w:lang w:eastAsia="en-AU" w:bidi="ar-SA"/>
        </w:rPr>
        <w:t xml:space="preserve">principally </w:t>
      </w:r>
      <w:r w:rsidR="001D3412">
        <w:rPr>
          <w:lang w:eastAsia="en-AU" w:bidi="ar-SA"/>
        </w:rPr>
        <w:t>allow dental practitioners who are</w:t>
      </w:r>
      <w:r w:rsidR="00AB02C9">
        <w:rPr>
          <w:lang w:eastAsia="en-AU" w:bidi="ar-SA"/>
        </w:rPr>
        <w:t xml:space="preserve"> registered</w:t>
      </w:r>
      <w:r w:rsidR="001D3412">
        <w:rPr>
          <w:lang w:eastAsia="en-AU" w:bidi="ar-SA"/>
        </w:rPr>
        <w:t xml:space="preserve"> specialists in oral medicine to authorise the supply of hydroxychloroquine </w:t>
      </w:r>
      <w:r w:rsidR="00BD1F41">
        <w:rPr>
          <w:lang w:eastAsia="en-AU" w:bidi="ar-SA"/>
        </w:rPr>
        <w:t xml:space="preserve">in the treatment of </w:t>
      </w:r>
      <w:r w:rsidR="001D3412">
        <w:rPr>
          <w:lang w:eastAsia="en-AU" w:bidi="ar-SA"/>
        </w:rPr>
        <w:t>patients</w:t>
      </w:r>
      <w:r w:rsidR="00BD1F41">
        <w:rPr>
          <w:lang w:eastAsia="en-AU" w:bidi="ar-SA"/>
        </w:rPr>
        <w:t xml:space="preserve">. </w:t>
      </w:r>
      <w:r w:rsidR="00AB02C9">
        <w:rPr>
          <w:lang w:eastAsia="en-AU" w:bidi="ar-SA"/>
        </w:rPr>
        <w:t xml:space="preserve">This is in addition to the categories of specialist </w:t>
      </w:r>
      <w:r w:rsidR="00F96366">
        <w:rPr>
          <w:lang w:eastAsia="en-AU" w:bidi="ar-SA"/>
        </w:rPr>
        <w:t>medical</w:t>
      </w:r>
      <w:r w:rsidR="00AB02C9">
        <w:rPr>
          <w:lang w:eastAsia="en-AU" w:bidi="ar-SA"/>
        </w:rPr>
        <w:t xml:space="preserve"> practitioners </w:t>
      </w:r>
      <w:r w:rsidR="0097764A">
        <w:rPr>
          <w:lang w:eastAsia="en-AU" w:bidi="ar-SA"/>
        </w:rPr>
        <w:t xml:space="preserve">currently </w:t>
      </w:r>
      <w:r w:rsidR="00AB02C9">
        <w:rPr>
          <w:lang w:eastAsia="en-AU" w:bidi="ar-SA"/>
        </w:rPr>
        <w:t xml:space="preserve">permitted to authorise the supply of hydroxychloroquine </w:t>
      </w:r>
      <w:r w:rsidR="00F96366">
        <w:rPr>
          <w:lang w:eastAsia="en-AU" w:bidi="ar-SA"/>
        </w:rPr>
        <w:t>under</w:t>
      </w:r>
      <w:r w:rsidR="00AB02C9">
        <w:rPr>
          <w:lang w:eastAsia="en-AU" w:bidi="ar-SA"/>
        </w:rPr>
        <w:t xml:space="preserve"> the </w:t>
      </w:r>
      <w:r w:rsidR="00AB02C9" w:rsidRPr="00701C9A">
        <w:rPr>
          <w:i/>
          <w:lang w:eastAsia="en-AU" w:bidi="ar-SA"/>
        </w:rPr>
        <w:t>Poisons Standard February 2020</w:t>
      </w:r>
      <w:r w:rsidR="00411504">
        <w:rPr>
          <w:lang w:eastAsia="en-AU" w:bidi="ar-SA"/>
        </w:rPr>
        <w:t>.</w:t>
      </w:r>
    </w:p>
    <w:p w14:paraId="4BAB6BB9" w14:textId="77777777" w:rsidR="00AB02C9" w:rsidRDefault="00AB02C9" w:rsidP="00F37432">
      <w:pPr>
        <w:widowControl/>
        <w:adjustRightInd w:val="0"/>
        <w:rPr>
          <w:lang w:eastAsia="en-AU" w:bidi="ar-SA"/>
        </w:rPr>
      </w:pPr>
    </w:p>
    <w:p w14:paraId="0A506B9B" w14:textId="54AF7F56" w:rsidR="00F96366" w:rsidRDefault="00411504" w:rsidP="00411504">
      <w:pPr>
        <w:widowControl/>
        <w:adjustRightInd w:val="0"/>
        <w:rPr>
          <w:lang w:eastAsia="en-AU" w:bidi="ar-SA"/>
        </w:rPr>
      </w:pPr>
      <w:r w:rsidRPr="009A4740">
        <w:rPr>
          <w:lang w:eastAsia="en-AU" w:bidi="ar-SA"/>
        </w:rPr>
        <w:t xml:space="preserve">Hydroxychloroquine is a substance that has been used for the prevention and treatment of certain types of malaria, rheumatoid arthritis and other conditions. Recent studies have </w:t>
      </w:r>
      <w:r>
        <w:rPr>
          <w:lang w:eastAsia="en-AU" w:bidi="ar-SA"/>
        </w:rPr>
        <w:t>suggested</w:t>
      </w:r>
      <w:r w:rsidRPr="009A4740">
        <w:rPr>
          <w:lang w:eastAsia="en-AU" w:bidi="ar-SA"/>
        </w:rPr>
        <w:t xml:space="preserve"> that </w:t>
      </w:r>
      <w:r w:rsidRPr="009A4740">
        <w:rPr>
          <w:lang w:eastAsia="en-AU" w:bidi="ar-SA"/>
        </w:rPr>
        <w:lastRenderedPageBreak/>
        <w:t xml:space="preserve">hydroxychloroquine may have potential in the treatment of </w:t>
      </w:r>
      <w:r>
        <w:rPr>
          <w:lang w:eastAsia="en-AU" w:bidi="ar-SA"/>
        </w:rPr>
        <w:t>the disease known as coronavirus disease (</w:t>
      </w:r>
      <w:r w:rsidRPr="009A4740">
        <w:rPr>
          <w:lang w:eastAsia="en-AU" w:bidi="ar-SA"/>
        </w:rPr>
        <w:t>COVID-19</w:t>
      </w:r>
      <w:r>
        <w:rPr>
          <w:lang w:eastAsia="en-AU" w:bidi="ar-SA"/>
        </w:rPr>
        <w:t>)</w:t>
      </w:r>
      <w:r w:rsidRPr="009A4740">
        <w:rPr>
          <w:lang w:eastAsia="en-AU" w:bidi="ar-SA"/>
        </w:rPr>
        <w:t xml:space="preserve">. Recent reports of increased prescribing of medicines containing hydroxychloroquine </w:t>
      </w:r>
      <w:r>
        <w:rPr>
          <w:lang w:eastAsia="en-AU" w:bidi="ar-SA"/>
        </w:rPr>
        <w:t xml:space="preserve">in light of the </w:t>
      </w:r>
      <w:r w:rsidR="009F1ED8">
        <w:rPr>
          <w:lang w:eastAsia="en-AU" w:bidi="ar-SA"/>
        </w:rPr>
        <w:t>coronavirus disease</w:t>
      </w:r>
      <w:r>
        <w:rPr>
          <w:lang w:eastAsia="en-AU" w:bidi="ar-SA"/>
        </w:rPr>
        <w:t xml:space="preserve"> </w:t>
      </w:r>
      <w:r w:rsidR="009F1ED8">
        <w:rPr>
          <w:lang w:eastAsia="en-AU" w:bidi="ar-SA"/>
        </w:rPr>
        <w:t>(</w:t>
      </w:r>
      <w:r>
        <w:rPr>
          <w:lang w:eastAsia="en-AU" w:bidi="ar-SA"/>
        </w:rPr>
        <w:t>COVID-19</w:t>
      </w:r>
      <w:r w:rsidR="009F1ED8">
        <w:rPr>
          <w:lang w:eastAsia="en-AU" w:bidi="ar-SA"/>
        </w:rPr>
        <w:t xml:space="preserve">) </w:t>
      </w:r>
      <w:r w:rsidR="00C317DD">
        <w:rPr>
          <w:lang w:eastAsia="en-AU" w:bidi="ar-SA"/>
        </w:rPr>
        <w:t xml:space="preserve">emergency </w:t>
      </w:r>
      <w:r w:rsidRPr="009A4740">
        <w:rPr>
          <w:lang w:eastAsia="en-AU" w:bidi="ar-SA"/>
        </w:rPr>
        <w:t xml:space="preserve">have raised concerns </w:t>
      </w:r>
      <w:r>
        <w:rPr>
          <w:lang w:eastAsia="en-AU" w:bidi="ar-SA"/>
        </w:rPr>
        <w:t xml:space="preserve">regarding </w:t>
      </w:r>
      <w:r w:rsidRPr="009A4740">
        <w:rPr>
          <w:lang w:eastAsia="en-AU" w:bidi="ar-SA"/>
        </w:rPr>
        <w:t xml:space="preserve">a potential shortage of </w:t>
      </w:r>
      <w:r>
        <w:rPr>
          <w:lang w:eastAsia="en-AU" w:bidi="ar-SA"/>
        </w:rPr>
        <w:t xml:space="preserve">these medicines </w:t>
      </w:r>
      <w:r w:rsidR="00F96366">
        <w:rPr>
          <w:lang w:eastAsia="en-AU" w:bidi="ar-SA"/>
        </w:rPr>
        <w:t>in Australia.</w:t>
      </w:r>
    </w:p>
    <w:p w14:paraId="4A3CD327" w14:textId="77777777" w:rsidR="00F96366" w:rsidRDefault="00F96366" w:rsidP="00411504">
      <w:pPr>
        <w:widowControl/>
        <w:adjustRightInd w:val="0"/>
        <w:rPr>
          <w:lang w:eastAsia="en-AU" w:bidi="ar-SA"/>
        </w:rPr>
      </w:pPr>
    </w:p>
    <w:p w14:paraId="1A7D61B4" w14:textId="09121B8C" w:rsidR="009F1ED8" w:rsidRDefault="009F1ED8" w:rsidP="00A73F81">
      <w:pPr>
        <w:widowControl/>
        <w:adjustRightInd w:val="0"/>
      </w:pPr>
      <w:r>
        <w:t xml:space="preserve">The </w:t>
      </w:r>
      <w:r w:rsidRPr="001D3412">
        <w:rPr>
          <w:i/>
        </w:rPr>
        <w:t>Poisons Standard Amendment (Hydroxychloroquine and Salbutamol) Instrument 2020</w:t>
      </w:r>
      <w:r>
        <w:t xml:space="preserve"> (“the </w:t>
      </w:r>
      <w:r w:rsidR="00A73F81">
        <w:t>Former</w:t>
      </w:r>
      <w:r w:rsidR="0097764A">
        <w:t xml:space="preserve"> Amendment</w:t>
      </w:r>
      <w:r w:rsidR="00A73F81">
        <w:t xml:space="preserve"> </w:t>
      </w:r>
      <w:r>
        <w:t xml:space="preserve">Instrument”) </w:t>
      </w:r>
      <w:r w:rsidR="00A73F81">
        <w:t xml:space="preserve">commenced on 24 March 2020 and </w:t>
      </w:r>
      <w:r>
        <w:t xml:space="preserve">amended the </w:t>
      </w:r>
      <w:r w:rsidRPr="005E0157">
        <w:rPr>
          <w:i/>
        </w:rPr>
        <w:t>Poisons Standard February 2020</w:t>
      </w:r>
      <w:r>
        <w:t xml:space="preserve"> in relation to hydroxychloroquine and another substance, salbutamol, to address concerns relating to the availability of medicines containing such substances</w:t>
      </w:r>
      <w:r w:rsidR="0097764A">
        <w:t xml:space="preserve"> in light of the coronavirus disease (COVID-19) </w:t>
      </w:r>
      <w:r w:rsidR="00C317DD">
        <w:t>emergency</w:t>
      </w:r>
      <w:r>
        <w:t>.</w:t>
      </w:r>
    </w:p>
    <w:p w14:paraId="5719E465" w14:textId="77777777" w:rsidR="009F1ED8" w:rsidRDefault="009F1ED8" w:rsidP="009F1ED8">
      <w:pPr>
        <w:pStyle w:val="BodyText"/>
        <w:ind w:left="120" w:right="290"/>
      </w:pPr>
    </w:p>
    <w:p w14:paraId="175BE4C4" w14:textId="326A3290" w:rsidR="00A73F81" w:rsidRDefault="009F1ED8" w:rsidP="00A73F81">
      <w:pPr>
        <w:widowControl/>
        <w:adjustRightInd w:val="0"/>
      </w:pPr>
      <w:r>
        <w:t xml:space="preserve">The </w:t>
      </w:r>
      <w:r w:rsidR="00A73F81">
        <w:t>Former</w:t>
      </w:r>
      <w:r w:rsidR="0097764A">
        <w:t xml:space="preserve"> Amendment</w:t>
      </w:r>
      <w:r w:rsidR="00A73F81">
        <w:t xml:space="preserve"> </w:t>
      </w:r>
      <w:r>
        <w:t xml:space="preserve">Instrument addressed such concerns in relation to hydroxychloroquine by including </w:t>
      </w:r>
      <w:r w:rsidR="0097764A">
        <w:t>this substance</w:t>
      </w:r>
      <w:r>
        <w:t xml:space="preserve"> in Appendix D to the Poisons Standard</w:t>
      </w:r>
      <w:r w:rsidR="0097764A">
        <w:t>. Appendix D specifies additional controls on possession or supply of certain substances when included in Schedule 4 or 8 to the Poisons Standard. In particular, the amendments</w:t>
      </w:r>
      <w:r>
        <w:t xml:space="preserve"> specif</w:t>
      </w:r>
      <w:r w:rsidR="0097764A">
        <w:t>ied</w:t>
      </w:r>
      <w:r>
        <w:t xml:space="preserve"> that, in addition to the requirement to supply medicines containing </w:t>
      </w:r>
      <w:r w:rsidR="0097764A">
        <w:t>hydroxychloroquine</w:t>
      </w:r>
      <w:r>
        <w:t xml:space="preserve"> on prescription, a</w:t>
      </w:r>
      <w:r w:rsidR="009A30B9">
        <w:t xml:space="preserve"> medical practitioner</w:t>
      </w:r>
      <w:r>
        <w:t xml:space="preserve"> recognised </w:t>
      </w:r>
      <w:r w:rsidR="009A30B9">
        <w:t xml:space="preserve">under the Health Practitioner Regulation National Law as a </w:t>
      </w:r>
      <w:r>
        <w:t>specialist in dermatology,</w:t>
      </w:r>
      <w:r w:rsidR="009A30B9">
        <w:t xml:space="preserve"> emergency medicine,</w:t>
      </w:r>
      <w:r>
        <w:t xml:space="preserve"> intensive care medicine, paediatrics and child health</w:t>
      </w:r>
      <w:r w:rsidR="008F0152">
        <w:t>,</w:t>
      </w:r>
      <w:r w:rsidR="009A30B9">
        <w:t xml:space="preserve"> or</w:t>
      </w:r>
      <w:r>
        <w:t xml:space="preserve"> a physician </w:t>
      </w:r>
      <w:r w:rsidR="0097764A">
        <w:t xml:space="preserve">must </w:t>
      </w:r>
      <w:r>
        <w:t xml:space="preserve">authorise the supply of the substance in the initial treatment of a patient following the commencement of the </w:t>
      </w:r>
      <w:r w:rsidR="0022009E">
        <w:t xml:space="preserve">Former Amendment </w:t>
      </w:r>
      <w:r>
        <w:t>Instrument (on 24 March 2020).</w:t>
      </w:r>
    </w:p>
    <w:p w14:paraId="3B63E029" w14:textId="77777777" w:rsidR="009F1ED8" w:rsidRDefault="009F1ED8" w:rsidP="009F1ED8">
      <w:pPr>
        <w:pStyle w:val="BodyText"/>
        <w:ind w:left="120" w:right="290"/>
      </w:pPr>
    </w:p>
    <w:p w14:paraId="019B5E23" w14:textId="4D34B6EE" w:rsidR="00411504" w:rsidRPr="008D4A06" w:rsidRDefault="006F0012" w:rsidP="00411504">
      <w:pPr>
        <w:widowControl/>
        <w:adjustRightInd w:val="0"/>
        <w:rPr>
          <w:lang w:eastAsia="en-AU" w:bidi="ar-SA"/>
        </w:rPr>
      </w:pPr>
      <w:r>
        <w:rPr>
          <w:lang w:eastAsia="en-AU" w:bidi="ar-SA"/>
        </w:rPr>
        <w:t>F</w:t>
      </w:r>
      <w:r w:rsidR="00F96366">
        <w:rPr>
          <w:lang w:eastAsia="en-AU" w:bidi="ar-SA"/>
        </w:rPr>
        <w:t xml:space="preserve">ollowing authorisation </w:t>
      </w:r>
      <w:r w:rsidR="00781743">
        <w:rPr>
          <w:lang w:eastAsia="en-AU" w:bidi="ar-SA"/>
        </w:rPr>
        <w:t>of</w:t>
      </w:r>
      <w:r w:rsidR="00F96366">
        <w:rPr>
          <w:lang w:eastAsia="en-AU" w:bidi="ar-SA"/>
        </w:rPr>
        <w:t xml:space="preserve"> </w:t>
      </w:r>
      <w:r w:rsidR="00632F76">
        <w:rPr>
          <w:lang w:eastAsia="en-AU" w:bidi="ar-SA"/>
        </w:rPr>
        <w:t xml:space="preserve">the </w:t>
      </w:r>
      <w:r w:rsidR="00F96366">
        <w:rPr>
          <w:lang w:eastAsia="en-AU" w:bidi="ar-SA"/>
        </w:rPr>
        <w:t xml:space="preserve">initial treatment by </w:t>
      </w:r>
      <w:r w:rsidR="00781743">
        <w:rPr>
          <w:lang w:eastAsia="en-AU" w:bidi="ar-SA"/>
        </w:rPr>
        <w:t>a</w:t>
      </w:r>
      <w:r w:rsidR="00F96366">
        <w:rPr>
          <w:lang w:eastAsia="en-AU" w:bidi="ar-SA"/>
        </w:rPr>
        <w:t xml:space="preserve"> medical practitioner</w:t>
      </w:r>
      <w:r w:rsidR="00781743">
        <w:rPr>
          <w:lang w:eastAsia="en-AU" w:bidi="ar-SA"/>
        </w:rPr>
        <w:t xml:space="preserve"> recognised </w:t>
      </w:r>
      <w:r w:rsidR="00632F76">
        <w:rPr>
          <w:lang w:eastAsia="en-AU" w:bidi="ar-SA"/>
        </w:rPr>
        <w:t>in one of these specialtie</w:t>
      </w:r>
      <w:r w:rsidR="00781743">
        <w:rPr>
          <w:lang w:eastAsia="en-AU" w:bidi="ar-SA"/>
        </w:rPr>
        <w:t>s</w:t>
      </w:r>
      <w:r w:rsidR="00F96366">
        <w:rPr>
          <w:lang w:eastAsia="en-AU" w:bidi="ar-SA"/>
        </w:rPr>
        <w:t>, the ongoing supply of hydroxychloroquine for the treatment of the patient may be authorised by prescription of a general practitioner.</w:t>
      </w:r>
    </w:p>
    <w:p w14:paraId="40772501" w14:textId="77777777" w:rsidR="00F96366" w:rsidRDefault="00F96366" w:rsidP="00411504">
      <w:pPr>
        <w:widowControl/>
        <w:adjustRightInd w:val="0"/>
        <w:rPr>
          <w:lang w:eastAsia="en-AU" w:bidi="ar-SA"/>
        </w:rPr>
      </w:pPr>
    </w:p>
    <w:p w14:paraId="35D36B5C" w14:textId="6F8F0415" w:rsidR="007F33EE" w:rsidRPr="005722C4" w:rsidRDefault="00F96366" w:rsidP="008119BB">
      <w:pPr>
        <w:widowControl/>
        <w:adjustRightInd w:val="0"/>
        <w:rPr>
          <w:lang w:eastAsia="en-AU" w:bidi="ar-SA"/>
        </w:rPr>
      </w:pPr>
      <w:r>
        <w:rPr>
          <w:lang w:eastAsia="en-AU" w:bidi="ar-SA"/>
        </w:rPr>
        <w:t xml:space="preserve">The Amendment Instrument amends the </w:t>
      </w:r>
      <w:r w:rsidRPr="00701C9A">
        <w:rPr>
          <w:i/>
          <w:lang w:eastAsia="en-AU" w:bidi="ar-SA"/>
        </w:rPr>
        <w:t>Poisons Standard February 2020</w:t>
      </w:r>
      <w:r>
        <w:rPr>
          <w:i/>
          <w:lang w:eastAsia="en-AU" w:bidi="ar-SA"/>
        </w:rPr>
        <w:t xml:space="preserve"> </w:t>
      </w:r>
      <w:r>
        <w:rPr>
          <w:lang w:eastAsia="en-AU" w:bidi="ar-SA"/>
        </w:rPr>
        <w:t xml:space="preserve">to </w:t>
      </w:r>
      <w:r w:rsidR="008119BB">
        <w:rPr>
          <w:lang w:eastAsia="en-AU" w:bidi="ar-SA"/>
        </w:rPr>
        <w:t>specify an additional category of specialist health practitioner for the purpose of the authorisation of supply of hydroxychlor</w:t>
      </w:r>
      <w:r w:rsidR="00D9637C">
        <w:rPr>
          <w:lang w:eastAsia="en-AU" w:bidi="ar-SA"/>
        </w:rPr>
        <w:t>o</w:t>
      </w:r>
      <w:r w:rsidR="008119BB">
        <w:rPr>
          <w:lang w:eastAsia="en-AU" w:bidi="ar-SA"/>
        </w:rPr>
        <w:t xml:space="preserve">quine in the initial treatment of patients, namely, </w:t>
      </w:r>
      <w:r w:rsidR="008F0152">
        <w:rPr>
          <w:lang w:eastAsia="en-AU" w:bidi="ar-SA"/>
        </w:rPr>
        <w:t xml:space="preserve">a </w:t>
      </w:r>
      <w:r w:rsidR="008119BB">
        <w:rPr>
          <w:lang w:eastAsia="en-AU" w:bidi="ar-SA"/>
        </w:rPr>
        <w:t xml:space="preserve">dental practitioner registered under State or Territory legislation as a specialist in oral medicine. </w:t>
      </w:r>
      <w:r w:rsidR="007F33EE" w:rsidRPr="005722C4">
        <w:rPr>
          <w:lang w:eastAsia="en-AU" w:bidi="ar-SA"/>
        </w:rPr>
        <w:t xml:space="preserve">It is appropriate that these </w:t>
      </w:r>
      <w:r w:rsidR="008F0152" w:rsidRPr="005722C4">
        <w:rPr>
          <w:lang w:eastAsia="en-AU" w:bidi="ar-SA"/>
        </w:rPr>
        <w:t xml:space="preserve">specialists </w:t>
      </w:r>
      <w:r w:rsidR="007F33EE" w:rsidRPr="005722C4">
        <w:rPr>
          <w:lang w:eastAsia="en-AU" w:bidi="ar-SA"/>
        </w:rPr>
        <w:t xml:space="preserve">be able to continue to </w:t>
      </w:r>
      <w:r w:rsidR="007F33EE" w:rsidRPr="005722C4">
        <w:t>prescribe hydroxychloroquine in the treatment of patients</w:t>
      </w:r>
      <w:r w:rsidR="008F0152" w:rsidRPr="005722C4">
        <w:t xml:space="preserve"> </w:t>
      </w:r>
      <w:r w:rsidR="007F33EE" w:rsidRPr="005722C4">
        <w:t>with</w:t>
      </w:r>
      <w:r w:rsidR="008F0152" w:rsidRPr="005722C4">
        <w:t xml:space="preserve"> conditions such as</w:t>
      </w:r>
      <w:r w:rsidR="007F33EE" w:rsidRPr="005722C4">
        <w:t xml:space="preserve"> ulcerative oral lichen planus.</w:t>
      </w:r>
    </w:p>
    <w:p w14:paraId="0ACA7F1E" w14:textId="77777777" w:rsidR="007F33EE" w:rsidRDefault="007F33EE" w:rsidP="008119BB">
      <w:pPr>
        <w:widowControl/>
        <w:adjustRightInd w:val="0"/>
        <w:rPr>
          <w:lang w:eastAsia="en-AU" w:bidi="ar-SA"/>
        </w:rPr>
      </w:pPr>
    </w:p>
    <w:p w14:paraId="3899F665" w14:textId="177CD73B" w:rsidR="00CF109D" w:rsidRDefault="008119BB" w:rsidP="008119BB">
      <w:pPr>
        <w:widowControl/>
        <w:adjustRightInd w:val="0"/>
        <w:rPr>
          <w:lang w:eastAsia="en-AU" w:bidi="ar-SA"/>
        </w:rPr>
      </w:pPr>
      <w:r>
        <w:rPr>
          <w:lang w:eastAsia="en-AU" w:bidi="ar-SA"/>
        </w:rPr>
        <w:t xml:space="preserve">By restricting the supply of hydroxychloroquine </w:t>
      </w:r>
      <w:r w:rsidR="00CF109D">
        <w:rPr>
          <w:lang w:eastAsia="en-AU" w:bidi="ar-SA"/>
        </w:rPr>
        <w:t xml:space="preserve">for the initial treatment of a patient </w:t>
      </w:r>
      <w:r>
        <w:rPr>
          <w:lang w:eastAsia="en-AU" w:bidi="ar-SA"/>
        </w:rPr>
        <w:t xml:space="preserve">to authorisation by </w:t>
      </w:r>
      <w:r w:rsidR="00CF109D">
        <w:rPr>
          <w:lang w:eastAsia="en-AU" w:bidi="ar-SA"/>
        </w:rPr>
        <w:t>a dental practitioner registered as an</w:t>
      </w:r>
      <w:r>
        <w:rPr>
          <w:lang w:eastAsia="en-AU" w:bidi="ar-SA"/>
        </w:rPr>
        <w:t xml:space="preserve"> oral medicine specialist</w:t>
      </w:r>
      <w:r w:rsidR="00CF109D">
        <w:rPr>
          <w:lang w:eastAsia="en-AU" w:bidi="ar-SA"/>
        </w:rPr>
        <w:t xml:space="preserve"> under State and Territory legislation</w:t>
      </w:r>
      <w:r>
        <w:rPr>
          <w:lang w:eastAsia="en-AU" w:bidi="ar-SA"/>
        </w:rPr>
        <w:t xml:space="preserve">, the Amendment Instrument </w:t>
      </w:r>
      <w:r w:rsidR="00CF109D">
        <w:rPr>
          <w:lang w:eastAsia="en-AU" w:bidi="ar-SA"/>
        </w:rPr>
        <w:t xml:space="preserve">seeks to </w:t>
      </w:r>
      <w:r w:rsidR="00D9637C">
        <w:rPr>
          <w:lang w:eastAsia="en-AU" w:bidi="ar-SA"/>
        </w:rPr>
        <w:t xml:space="preserve">support </w:t>
      </w:r>
      <w:r w:rsidRPr="009A4740">
        <w:rPr>
          <w:lang w:eastAsia="en-AU" w:bidi="ar-SA"/>
        </w:rPr>
        <w:t xml:space="preserve">the continued availability of </w:t>
      </w:r>
      <w:r>
        <w:rPr>
          <w:lang w:eastAsia="en-AU" w:bidi="ar-SA"/>
        </w:rPr>
        <w:t>medicines containing this substance</w:t>
      </w:r>
      <w:r w:rsidRPr="009A4740">
        <w:rPr>
          <w:lang w:eastAsia="en-AU" w:bidi="ar-SA"/>
        </w:rPr>
        <w:t xml:space="preserve"> during the public health emergency caused by the </w:t>
      </w:r>
      <w:r w:rsidR="00CF109D">
        <w:rPr>
          <w:lang w:eastAsia="en-AU" w:bidi="ar-SA"/>
        </w:rPr>
        <w:t xml:space="preserve">COVID-19 </w:t>
      </w:r>
      <w:r w:rsidR="00D9637C">
        <w:rPr>
          <w:lang w:eastAsia="en-AU" w:bidi="ar-SA"/>
        </w:rPr>
        <w:t xml:space="preserve">emergency </w:t>
      </w:r>
      <w:r w:rsidR="00CF109D">
        <w:rPr>
          <w:lang w:eastAsia="en-AU" w:bidi="ar-SA"/>
        </w:rPr>
        <w:t>and to prevent its inappropriate use in Australia.</w:t>
      </w:r>
    </w:p>
    <w:p w14:paraId="058E46E7" w14:textId="77777777" w:rsidR="00CF109D" w:rsidRDefault="00CF109D" w:rsidP="008119BB">
      <w:pPr>
        <w:widowControl/>
        <w:adjustRightInd w:val="0"/>
        <w:rPr>
          <w:lang w:eastAsia="en-AU" w:bidi="ar-SA"/>
        </w:rPr>
      </w:pPr>
    </w:p>
    <w:p w14:paraId="3E42C6F6" w14:textId="2B4206B7" w:rsidR="007F33EE" w:rsidRPr="008D4A06" w:rsidRDefault="007F33EE" w:rsidP="007F33EE">
      <w:pPr>
        <w:widowControl/>
        <w:adjustRightInd w:val="0"/>
        <w:rPr>
          <w:lang w:eastAsia="en-AU" w:bidi="ar-SA"/>
        </w:rPr>
      </w:pPr>
      <w:r>
        <w:rPr>
          <w:lang w:eastAsia="en-AU" w:bidi="ar-SA"/>
        </w:rPr>
        <w:t>The Amendment Instrument also makes minor editorial amendment</w:t>
      </w:r>
      <w:r w:rsidR="009C3F4D">
        <w:rPr>
          <w:lang w:eastAsia="en-AU" w:bidi="ar-SA"/>
        </w:rPr>
        <w:t>s</w:t>
      </w:r>
      <w:r>
        <w:rPr>
          <w:lang w:eastAsia="en-AU" w:bidi="ar-SA"/>
        </w:rPr>
        <w:t xml:space="preserve"> </w:t>
      </w:r>
      <w:r w:rsidR="009C3F4D">
        <w:rPr>
          <w:lang w:eastAsia="en-AU" w:bidi="ar-SA"/>
        </w:rPr>
        <w:t xml:space="preserve">to item 8 of Appendix of the </w:t>
      </w:r>
      <w:r w:rsidR="009C3F4D">
        <w:rPr>
          <w:i/>
          <w:lang w:eastAsia="en-AU" w:bidi="ar-SA"/>
        </w:rPr>
        <w:t xml:space="preserve">Poisons Standard February </w:t>
      </w:r>
      <w:r w:rsidR="009C3F4D" w:rsidRPr="009C3F4D">
        <w:rPr>
          <w:lang w:eastAsia="en-AU" w:bidi="ar-SA"/>
        </w:rPr>
        <w:t>2020</w:t>
      </w:r>
      <w:r w:rsidR="009C3F4D">
        <w:rPr>
          <w:lang w:eastAsia="en-AU" w:bidi="ar-SA"/>
        </w:rPr>
        <w:t xml:space="preserve">, principally to clarify that the medical practitioners mentioned in that item must be </w:t>
      </w:r>
      <w:r>
        <w:rPr>
          <w:lang w:eastAsia="en-AU" w:bidi="ar-SA"/>
        </w:rPr>
        <w:t xml:space="preserve">registered </w:t>
      </w:r>
      <w:r w:rsidR="0022009E">
        <w:rPr>
          <w:lang w:eastAsia="en-AU" w:bidi="ar-SA"/>
        </w:rPr>
        <w:t xml:space="preserve">in certain recognised specialties </w:t>
      </w:r>
      <w:r>
        <w:rPr>
          <w:lang w:eastAsia="en-AU" w:bidi="ar-SA"/>
        </w:rPr>
        <w:t>under State or Territory legislation that forms part of the Health Practitioner Regulation National Law</w:t>
      </w:r>
      <w:r w:rsidR="0022009E">
        <w:rPr>
          <w:lang w:eastAsia="en-AU" w:bidi="ar-SA"/>
        </w:rPr>
        <w:t xml:space="preserve"> (“</w:t>
      </w:r>
      <w:bookmarkStart w:id="1" w:name="_GoBack"/>
      <w:bookmarkEnd w:id="1"/>
      <w:r w:rsidR="0022009E">
        <w:rPr>
          <w:lang w:eastAsia="en-AU" w:bidi="ar-SA"/>
        </w:rPr>
        <w:t>the National Law”)</w:t>
      </w:r>
      <w:r>
        <w:rPr>
          <w:lang w:eastAsia="en-AU" w:bidi="ar-SA"/>
        </w:rPr>
        <w:t>.</w:t>
      </w:r>
      <w:r w:rsidR="0022009E">
        <w:rPr>
          <w:lang w:eastAsia="en-AU" w:bidi="ar-SA"/>
        </w:rPr>
        <w:t xml:space="preserve"> The </w:t>
      </w:r>
      <w:r w:rsidR="009C3F4D">
        <w:rPr>
          <w:lang w:eastAsia="en-AU" w:bidi="ar-SA"/>
        </w:rPr>
        <w:t>A</w:t>
      </w:r>
      <w:r w:rsidR="0022009E">
        <w:rPr>
          <w:lang w:eastAsia="en-AU" w:bidi="ar-SA"/>
        </w:rPr>
        <w:t xml:space="preserve">mendment </w:t>
      </w:r>
      <w:r w:rsidR="009C3F4D">
        <w:rPr>
          <w:lang w:eastAsia="en-AU" w:bidi="ar-SA"/>
        </w:rPr>
        <w:t xml:space="preserve">Instrument thereby </w:t>
      </w:r>
      <w:r w:rsidR="0022009E">
        <w:rPr>
          <w:lang w:eastAsia="en-AU" w:bidi="ar-SA"/>
        </w:rPr>
        <w:t xml:space="preserve">ensures consistency with the </w:t>
      </w:r>
      <w:r w:rsidR="00C317DD">
        <w:rPr>
          <w:lang w:eastAsia="en-AU" w:bidi="ar-SA"/>
        </w:rPr>
        <w:t xml:space="preserve">references to specialist registration </w:t>
      </w:r>
      <w:r w:rsidR="0022009E">
        <w:rPr>
          <w:lang w:eastAsia="en-AU" w:bidi="ar-SA"/>
        </w:rPr>
        <w:t>in section 270 of the National Law.</w:t>
      </w:r>
    </w:p>
    <w:p w14:paraId="22D7AA4E" w14:textId="77777777" w:rsidR="007F33EE" w:rsidRDefault="007F33EE" w:rsidP="007F33EE">
      <w:pPr>
        <w:widowControl/>
        <w:adjustRightInd w:val="0"/>
        <w:rPr>
          <w:lang w:eastAsia="en-AU" w:bidi="ar-SA"/>
        </w:rPr>
      </w:pPr>
    </w:p>
    <w:p w14:paraId="498A59F2" w14:textId="329C2AE6" w:rsidR="003F0DCD" w:rsidRDefault="00A74600" w:rsidP="00F37432">
      <w:pPr>
        <w:widowControl/>
        <w:adjustRightInd w:val="0"/>
        <w:rPr>
          <w:lang w:eastAsia="en-AU" w:bidi="ar-SA"/>
        </w:rPr>
      </w:pPr>
      <w:r>
        <w:rPr>
          <w:lang w:eastAsia="en-AU" w:bidi="ar-SA"/>
        </w:rPr>
        <w:t>Th</w:t>
      </w:r>
      <w:r w:rsidR="008D4A06">
        <w:rPr>
          <w:lang w:eastAsia="en-AU" w:bidi="ar-SA"/>
        </w:rPr>
        <w:t xml:space="preserve">e Amendment Instrument </w:t>
      </w:r>
      <w:r w:rsidR="005722C4">
        <w:rPr>
          <w:lang w:eastAsia="en-AU" w:bidi="ar-SA"/>
        </w:rPr>
        <w:t>reflects a</w:t>
      </w:r>
      <w:r w:rsidR="00B52CD0">
        <w:rPr>
          <w:lang w:eastAsia="en-AU" w:bidi="ar-SA"/>
        </w:rPr>
        <w:t xml:space="preserve"> </w:t>
      </w:r>
      <w:r w:rsidR="00337666">
        <w:rPr>
          <w:lang w:eastAsia="en-AU" w:bidi="ar-SA"/>
        </w:rPr>
        <w:t xml:space="preserve">decision </w:t>
      </w:r>
      <w:r w:rsidR="005722C4">
        <w:rPr>
          <w:lang w:eastAsia="en-AU" w:bidi="ar-SA"/>
        </w:rPr>
        <w:t xml:space="preserve">to amend the current Poisons Standard by a delegate of Secretary on their own initiative and </w:t>
      </w:r>
      <w:r>
        <w:rPr>
          <w:lang w:eastAsia="en-AU" w:bidi="ar-SA"/>
        </w:rPr>
        <w:t>was</w:t>
      </w:r>
      <w:r w:rsidR="00BC3D2A">
        <w:rPr>
          <w:lang w:eastAsia="en-AU" w:bidi="ar-SA"/>
        </w:rPr>
        <w:t xml:space="preserve"> </w:t>
      </w:r>
      <w:r w:rsidR="00337666">
        <w:rPr>
          <w:lang w:eastAsia="en-AU" w:bidi="ar-SA"/>
        </w:rPr>
        <w:t>not</w:t>
      </w:r>
      <w:r w:rsidR="003C3083">
        <w:rPr>
          <w:lang w:eastAsia="en-AU" w:bidi="ar-SA"/>
        </w:rPr>
        <w:t xml:space="preserve"> open to public consultation</w:t>
      </w:r>
      <w:r w:rsidR="000560F4">
        <w:rPr>
          <w:lang w:eastAsia="en-AU" w:bidi="ar-SA"/>
        </w:rPr>
        <w:t>. However</w:t>
      </w:r>
      <w:r w:rsidR="003C3083">
        <w:rPr>
          <w:lang w:eastAsia="en-AU" w:bidi="ar-SA"/>
        </w:rPr>
        <w:t>, the ACMS (including State and Territory representative members) w</w:t>
      </w:r>
      <w:r>
        <w:rPr>
          <w:lang w:eastAsia="en-AU" w:bidi="ar-SA"/>
        </w:rPr>
        <w:t xml:space="preserve">as consulted and supported </w:t>
      </w:r>
      <w:r w:rsidR="008D4A06">
        <w:rPr>
          <w:lang w:eastAsia="en-AU" w:bidi="ar-SA"/>
        </w:rPr>
        <w:t xml:space="preserve">the </w:t>
      </w:r>
      <w:r>
        <w:rPr>
          <w:lang w:eastAsia="en-AU" w:bidi="ar-SA"/>
        </w:rPr>
        <w:t>amendment</w:t>
      </w:r>
      <w:r w:rsidR="00337666">
        <w:rPr>
          <w:lang w:eastAsia="en-AU" w:bidi="ar-SA"/>
        </w:rPr>
        <w:t>.</w:t>
      </w:r>
      <w:r w:rsidR="003C3083">
        <w:rPr>
          <w:lang w:eastAsia="en-AU" w:bidi="ar-SA"/>
        </w:rPr>
        <w:t xml:space="preserve"> </w:t>
      </w:r>
      <w:r w:rsidR="000560F4">
        <w:rPr>
          <w:lang w:eastAsia="en-AU" w:bidi="ar-SA"/>
        </w:rPr>
        <w:t xml:space="preserve">Further, it </w:t>
      </w:r>
      <w:r w:rsidR="003C3083">
        <w:rPr>
          <w:lang w:eastAsia="en-AU" w:bidi="ar-SA"/>
        </w:rPr>
        <w:t xml:space="preserve">was </w:t>
      </w:r>
      <w:r w:rsidR="00F03B97">
        <w:rPr>
          <w:lang w:eastAsia="en-AU" w:bidi="ar-SA"/>
        </w:rPr>
        <w:t xml:space="preserve">considered necessary to </w:t>
      </w:r>
      <w:r w:rsidR="008D4A06">
        <w:rPr>
          <w:lang w:eastAsia="en-AU" w:bidi="ar-SA"/>
        </w:rPr>
        <w:t>make the Amendment Instrument</w:t>
      </w:r>
      <w:r w:rsidR="00F03B97">
        <w:rPr>
          <w:lang w:eastAsia="en-AU" w:bidi="ar-SA"/>
        </w:rPr>
        <w:t xml:space="preserve"> urgently in order to support the </w:t>
      </w:r>
      <w:r w:rsidR="00DA57E9">
        <w:rPr>
          <w:lang w:eastAsia="en-AU" w:bidi="ar-SA"/>
        </w:rPr>
        <w:t xml:space="preserve">continued </w:t>
      </w:r>
      <w:r w:rsidR="00F03B97">
        <w:rPr>
          <w:lang w:eastAsia="en-AU" w:bidi="ar-SA"/>
        </w:rPr>
        <w:t xml:space="preserve">availability of medicines </w:t>
      </w:r>
      <w:r w:rsidR="008D4A06">
        <w:rPr>
          <w:lang w:eastAsia="en-AU" w:bidi="ar-SA"/>
        </w:rPr>
        <w:t xml:space="preserve">containing hydroxychloroquine </w:t>
      </w:r>
      <w:r w:rsidR="00F03B97">
        <w:rPr>
          <w:lang w:eastAsia="en-AU" w:bidi="ar-SA"/>
        </w:rPr>
        <w:t>for Australian</w:t>
      </w:r>
      <w:r w:rsidR="0030729B">
        <w:rPr>
          <w:lang w:eastAsia="en-AU" w:bidi="ar-SA"/>
        </w:rPr>
        <w:t xml:space="preserve"> patient</w:t>
      </w:r>
      <w:r w:rsidR="00F03B97">
        <w:rPr>
          <w:lang w:eastAsia="en-AU" w:bidi="ar-SA"/>
        </w:rPr>
        <w:t xml:space="preserve">s and to support </w:t>
      </w:r>
      <w:r w:rsidR="008D4A06">
        <w:rPr>
          <w:lang w:eastAsia="en-AU" w:bidi="ar-SA"/>
        </w:rPr>
        <w:t xml:space="preserve">the Australian Government’s </w:t>
      </w:r>
      <w:r w:rsidR="00F03B97">
        <w:rPr>
          <w:lang w:eastAsia="en-AU" w:bidi="ar-SA"/>
        </w:rPr>
        <w:t>response to the COVID-19 public health emergency.</w:t>
      </w:r>
    </w:p>
    <w:p w14:paraId="5BA963B1" w14:textId="77777777" w:rsidR="00D141E0" w:rsidRDefault="00D141E0" w:rsidP="00F37432">
      <w:pPr>
        <w:widowControl/>
        <w:adjustRightInd w:val="0"/>
        <w:rPr>
          <w:lang w:eastAsia="en-AU" w:bidi="ar-SA"/>
        </w:rPr>
      </w:pPr>
    </w:p>
    <w:p w14:paraId="0C6261C8" w14:textId="2C2688AE" w:rsidR="003F0DCD" w:rsidRDefault="00337666" w:rsidP="00F37432">
      <w:pPr>
        <w:widowControl/>
        <w:adjustRightInd w:val="0"/>
        <w:rPr>
          <w:lang w:eastAsia="en-AU" w:bidi="ar-SA"/>
        </w:rPr>
      </w:pPr>
      <w:r>
        <w:rPr>
          <w:lang w:eastAsia="en-AU" w:bidi="ar-SA"/>
        </w:rPr>
        <w:lastRenderedPageBreak/>
        <w:t>Th</w:t>
      </w:r>
      <w:r w:rsidR="00A35815">
        <w:rPr>
          <w:lang w:eastAsia="en-AU" w:bidi="ar-SA"/>
        </w:rPr>
        <w:t>e</w:t>
      </w:r>
      <w:r w:rsidR="00262C4C">
        <w:rPr>
          <w:lang w:eastAsia="en-AU" w:bidi="ar-SA"/>
        </w:rPr>
        <w:t xml:space="preserve"> </w:t>
      </w:r>
      <w:r w:rsidR="00A35815">
        <w:rPr>
          <w:lang w:eastAsia="en-AU" w:bidi="ar-SA"/>
        </w:rPr>
        <w:t>Amendment I</w:t>
      </w:r>
      <w:r w:rsidR="00262C4C">
        <w:rPr>
          <w:lang w:eastAsia="en-AU" w:bidi="ar-SA"/>
        </w:rPr>
        <w:t xml:space="preserve">nstrument </w:t>
      </w:r>
      <w:r>
        <w:rPr>
          <w:lang w:eastAsia="en-AU" w:bidi="ar-SA"/>
        </w:rPr>
        <w:t xml:space="preserve">is a legislative instrument for the purposes of the </w:t>
      </w:r>
      <w:r w:rsidRPr="00F722BC">
        <w:rPr>
          <w:i/>
          <w:lang w:eastAsia="en-AU" w:bidi="ar-SA"/>
        </w:rPr>
        <w:t>Legislation Act 2003</w:t>
      </w:r>
      <w:r>
        <w:rPr>
          <w:lang w:eastAsia="en-AU" w:bidi="ar-SA"/>
        </w:rPr>
        <w:t xml:space="preserve">. However, section 42 of the </w:t>
      </w:r>
      <w:r w:rsidR="000560F4" w:rsidRPr="00F722BC">
        <w:rPr>
          <w:i/>
          <w:lang w:eastAsia="en-AU" w:bidi="ar-SA"/>
        </w:rPr>
        <w:t>Legislation Act 2003</w:t>
      </w:r>
      <w:r w:rsidR="000560F4" w:rsidRPr="00F37432">
        <w:rPr>
          <w:lang w:eastAsia="en-AU" w:bidi="ar-SA"/>
        </w:rPr>
        <w:t xml:space="preserve"> </w:t>
      </w:r>
      <w:r w:rsidR="00E045BB">
        <w:rPr>
          <w:lang w:eastAsia="en-AU" w:bidi="ar-SA"/>
        </w:rPr>
        <w:t xml:space="preserve">relating to disallowance </w:t>
      </w:r>
      <w:r>
        <w:rPr>
          <w:lang w:eastAsia="en-AU" w:bidi="ar-SA"/>
        </w:rPr>
        <w:t>does not apply (subsection 52D(4A)</w:t>
      </w:r>
      <w:r w:rsidR="000560F4">
        <w:rPr>
          <w:lang w:eastAsia="en-AU" w:bidi="ar-SA"/>
        </w:rPr>
        <w:t xml:space="preserve"> of the </w:t>
      </w:r>
      <w:r w:rsidR="008D4A06">
        <w:rPr>
          <w:lang w:eastAsia="en-AU" w:bidi="ar-SA"/>
        </w:rPr>
        <w:t>Act</w:t>
      </w:r>
      <w:r w:rsidR="000560F4" w:rsidRPr="00F37432">
        <w:rPr>
          <w:lang w:eastAsia="en-AU" w:bidi="ar-SA"/>
        </w:rPr>
        <w:t xml:space="preserve"> </w:t>
      </w:r>
      <w:r w:rsidR="000560F4">
        <w:rPr>
          <w:lang w:eastAsia="en-AU" w:bidi="ar-SA"/>
        </w:rPr>
        <w:t>refers</w:t>
      </w:r>
      <w:r>
        <w:rPr>
          <w:lang w:eastAsia="en-AU" w:bidi="ar-SA"/>
        </w:rPr>
        <w:t xml:space="preserve">). As </w:t>
      </w:r>
      <w:r w:rsidR="000560F4">
        <w:rPr>
          <w:lang w:eastAsia="en-AU" w:bidi="ar-SA"/>
        </w:rPr>
        <w:t xml:space="preserve">the Amendment Instrument is </w:t>
      </w:r>
      <w:r>
        <w:rPr>
          <w:lang w:eastAsia="en-AU" w:bidi="ar-SA"/>
        </w:rPr>
        <w:t xml:space="preserve">not disallowable, subsection 9(1) of the </w:t>
      </w:r>
      <w:r w:rsidRPr="00F722BC">
        <w:rPr>
          <w:i/>
          <w:lang w:eastAsia="en-AU" w:bidi="ar-SA"/>
        </w:rPr>
        <w:t>Human Rights (Parliamentary Scrutiny) Act 2011</w:t>
      </w:r>
      <w:r w:rsidRPr="009A4740">
        <w:rPr>
          <w:lang w:eastAsia="en-AU" w:bidi="ar-SA"/>
        </w:rPr>
        <w:t xml:space="preserve"> </w:t>
      </w:r>
      <w:r>
        <w:rPr>
          <w:lang w:eastAsia="en-AU" w:bidi="ar-SA"/>
        </w:rPr>
        <w:t xml:space="preserve">does not require the instrument </w:t>
      </w:r>
      <w:r w:rsidR="000560F4">
        <w:rPr>
          <w:lang w:eastAsia="en-AU" w:bidi="ar-SA"/>
        </w:rPr>
        <w:t xml:space="preserve">to </w:t>
      </w:r>
      <w:r>
        <w:rPr>
          <w:lang w:eastAsia="en-AU" w:bidi="ar-SA"/>
        </w:rPr>
        <w:t>be accompanied by a statement of compatibility with the human rights recognised under that Act.</w:t>
      </w:r>
    </w:p>
    <w:p w14:paraId="354DFF63" w14:textId="77777777" w:rsidR="00D141E0" w:rsidRDefault="00D141E0" w:rsidP="00F37432">
      <w:pPr>
        <w:widowControl/>
        <w:adjustRightInd w:val="0"/>
        <w:rPr>
          <w:lang w:eastAsia="en-AU" w:bidi="ar-SA"/>
        </w:rPr>
      </w:pPr>
    </w:p>
    <w:p w14:paraId="0C4B489E" w14:textId="77777777" w:rsidR="003F0DCD" w:rsidRDefault="00337666" w:rsidP="00F37432">
      <w:pPr>
        <w:widowControl/>
        <w:adjustRightInd w:val="0"/>
        <w:rPr>
          <w:lang w:eastAsia="en-AU" w:bidi="ar-SA"/>
        </w:rPr>
      </w:pPr>
      <w:r>
        <w:rPr>
          <w:lang w:eastAsia="en-AU" w:bidi="ar-SA"/>
        </w:rPr>
        <w:t>Th</w:t>
      </w:r>
      <w:r w:rsidR="00A35815">
        <w:rPr>
          <w:lang w:eastAsia="en-AU" w:bidi="ar-SA"/>
        </w:rPr>
        <w:t>e</w:t>
      </w:r>
      <w:r w:rsidR="00262C4C">
        <w:rPr>
          <w:lang w:eastAsia="en-AU" w:bidi="ar-SA"/>
        </w:rPr>
        <w:t xml:space="preserve"> </w:t>
      </w:r>
      <w:r w:rsidR="00A35815">
        <w:rPr>
          <w:lang w:eastAsia="en-AU" w:bidi="ar-SA"/>
        </w:rPr>
        <w:t>Amendment I</w:t>
      </w:r>
      <w:r w:rsidR="00262C4C">
        <w:rPr>
          <w:lang w:eastAsia="en-AU" w:bidi="ar-SA"/>
        </w:rPr>
        <w:t xml:space="preserve">nstrument commences on </w:t>
      </w:r>
      <w:r w:rsidR="00C60C38">
        <w:rPr>
          <w:lang w:eastAsia="en-AU" w:bidi="ar-SA"/>
        </w:rPr>
        <w:t>the day after it is reg</w:t>
      </w:r>
      <w:r w:rsidR="00B52CD0">
        <w:rPr>
          <w:lang w:eastAsia="en-AU" w:bidi="ar-SA"/>
        </w:rPr>
        <w:t>is</w:t>
      </w:r>
      <w:r w:rsidR="00C60C38">
        <w:rPr>
          <w:lang w:eastAsia="en-AU" w:bidi="ar-SA"/>
        </w:rPr>
        <w:t>tered</w:t>
      </w:r>
      <w:r w:rsidR="005D3A75" w:rsidRPr="00BE0DB9">
        <w:rPr>
          <w:lang w:eastAsia="en-AU" w:bidi="ar-SA"/>
        </w:rPr>
        <w:t>.</w:t>
      </w:r>
    </w:p>
    <w:sectPr w:rsidR="003F0DCD" w:rsidSect="00094A76">
      <w:headerReference w:type="even" r:id="rId7"/>
      <w:headerReference w:type="default" r:id="rId8"/>
      <w:footerReference w:type="even" r:id="rId9"/>
      <w:footerReference w:type="default" r:id="rId10"/>
      <w:headerReference w:type="first" r:id="rId11"/>
      <w:footerReference w:type="first" r:id="rId12"/>
      <w:type w:val="continuous"/>
      <w:pgSz w:w="11910" w:h="16840"/>
      <w:pgMar w:top="1340" w:right="1680" w:bottom="1702" w:left="1680" w:header="0"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6354F" w14:textId="77777777" w:rsidR="00DE6B0F" w:rsidRDefault="00DE6B0F">
      <w:r>
        <w:separator/>
      </w:r>
    </w:p>
  </w:endnote>
  <w:endnote w:type="continuationSeparator" w:id="0">
    <w:p w14:paraId="359AFF90" w14:textId="77777777" w:rsidR="00DE6B0F" w:rsidRDefault="00DE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2499" w14:textId="77777777" w:rsidR="00094A76" w:rsidRDefault="00094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07356"/>
      <w:docPartObj>
        <w:docPartGallery w:val="Page Numbers (Bottom of Page)"/>
        <w:docPartUnique/>
      </w:docPartObj>
    </w:sdtPr>
    <w:sdtEndPr>
      <w:rPr>
        <w:noProof/>
      </w:rPr>
    </w:sdtEndPr>
    <w:sdtContent>
      <w:p w14:paraId="56D58E3F" w14:textId="383E7114" w:rsidR="008D0CDA" w:rsidRDefault="008D0CDA" w:rsidP="00340DF0">
        <w:pPr>
          <w:pStyle w:val="Footer"/>
          <w:jc w:val="right"/>
        </w:pPr>
        <w:r>
          <w:fldChar w:fldCharType="begin"/>
        </w:r>
        <w:r>
          <w:instrText xml:space="preserve"> PAGE   \* MERGEFORMAT </w:instrText>
        </w:r>
        <w:r>
          <w:fldChar w:fldCharType="separate"/>
        </w:r>
        <w:r w:rsidR="009C3F4D">
          <w:rPr>
            <w:noProof/>
          </w:rPr>
          <w:t>3</w:t>
        </w:r>
        <w:r>
          <w:rPr>
            <w:noProof/>
          </w:rPr>
          <w:fldChar w:fldCharType="end"/>
        </w:r>
      </w:p>
    </w:sdtContent>
  </w:sdt>
  <w:p w14:paraId="59BEF149" w14:textId="77777777" w:rsidR="003123F1" w:rsidRDefault="003123F1">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E4935" w14:textId="77777777" w:rsidR="00094A76" w:rsidRDefault="00094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7F8DB" w14:textId="77777777" w:rsidR="00DE6B0F" w:rsidRDefault="00DE6B0F">
      <w:r>
        <w:separator/>
      </w:r>
    </w:p>
  </w:footnote>
  <w:footnote w:type="continuationSeparator" w:id="0">
    <w:p w14:paraId="163A8C2B" w14:textId="77777777" w:rsidR="00DE6B0F" w:rsidRDefault="00DE6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89467" w14:textId="77777777" w:rsidR="00094A76" w:rsidRDefault="00094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5602B" w14:textId="77777777" w:rsidR="00094A76" w:rsidRDefault="00094A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7F8A0" w14:textId="77777777" w:rsidR="00094A76" w:rsidRDefault="00094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647E5"/>
    <w:multiLevelType w:val="hybridMultilevel"/>
    <w:tmpl w:val="DEB4457C"/>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1" w15:restartNumberingAfterBreak="0">
    <w:nsid w:val="79341140"/>
    <w:multiLevelType w:val="hybridMultilevel"/>
    <w:tmpl w:val="E40C5D50"/>
    <w:lvl w:ilvl="0" w:tplc="3FF60E1C">
      <w:numFmt w:val="bullet"/>
      <w:lvlText w:val=""/>
      <w:lvlJc w:val="left"/>
      <w:pPr>
        <w:ind w:left="547" w:hanging="360"/>
      </w:pPr>
      <w:rPr>
        <w:rFonts w:ascii="Symbol" w:eastAsia="Symbol" w:hAnsi="Symbol" w:cs="Symbol" w:hint="default"/>
        <w:w w:val="100"/>
        <w:sz w:val="24"/>
        <w:szCs w:val="24"/>
        <w:lang w:val="en-US" w:eastAsia="en-US" w:bidi="en-US"/>
      </w:rPr>
    </w:lvl>
    <w:lvl w:ilvl="1" w:tplc="9C783980">
      <w:numFmt w:val="bullet"/>
      <w:lvlText w:val="•"/>
      <w:lvlJc w:val="left"/>
      <w:pPr>
        <w:ind w:left="1340" w:hanging="360"/>
      </w:pPr>
      <w:rPr>
        <w:rFonts w:hint="default"/>
        <w:lang w:val="en-US" w:eastAsia="en-US" w:bidi="en-US"/>
      </w:rPr>
    </w:lvl>
    <w:lvl w:ilvl="2" w:tplc="58F2B66E">
      <w:numFmt w:val="bullet"/>
      <w:lvlText w:val="•"/>
      <w:lvlJc w:val="left"/>
      <w:pPr>
        <w:ind w:left="2141" w:hanging="360"/>
      </w:pPr>
      <w:rPr>
        <w:rFonts w:hint="default"/>
        <w:lang w:val="en-US" w:eastAsia="en-US" w:bidi="en-US"/>
      </w:rPr>
    </w:lvl>
    <w:lvl w:ilvl="3" w:tplc="52C49958">
      <w:numFmt w:val="bullet"/>
      <w:lvlText w:val="•"/>
      <w:lvlJc w:val="left"/>
      <w:pPr>
        <w:ind w:left="2941" w:hanging="360"/>
      </w:pPr>
      <w:rPr>
        <w:rFonts w:hint="default"/>
        <w:lang w:val="en-US" w:eastAsia="en-US" w:bidi="en-US"/>
      </w:rPr>
    </w:lvl>
    <w:lvl w:ilvl="4" w:tplc="53B81C04">
      <w:numFmt w:val="bullet"/>
      <w:lvlText w:val="•"/>
      <w:lvlJc w:val="left"/>
      <w:pPr>
        <w:ind w:left="3742" w:hanging="360"/>
      </w:pPr>
      <w:rPr>
        <w:rFonts w:hint="default"/>
        <w:lang w:val="en-US" w:eastAsia="en-US" w:bidi="en-US"/>
      </w:rPr>
    </w:lvl>
    <w:lvl w:ilvl="5" w:tplc="0EEE4064">
      <w:numFmt w:val="bullet"/>
      <w:lvlText w:val="•"/>
      <w:lvlJc w:val="left"/>
      <w:pPr>
        <w:ind w:left="4543" w:hanging="360"/>
      </w:pPr>
      <w:rPr>
        <w:rFonts w:hint="default"/>
        <w:lang w:val="en-US" w:eastAsia="en-US" w:bidi="en-US"/>
      </w:rPr>
    </w:lvl>
    <w:lvl w:ilvl="6" w:tplc="AAB469A4">
      <w:numFmt w:val="bullet"/>
      <w:lvlText w:val="•"/>
      <w:lvlJc w:val="left"/>
      <w:pPr>
        <w:ind w:left="5343" w:hanging="360"/>
      </w:pPr>
      <w:rPr>
        <w:rFonts w:hint="default"/>
        <w:lang w:val="en-US" w:eastAsia="en-US" w:bidi="en-US"/>
      </w:rPr>
    </w:lvl>
    <w:lvl w:ilvl="7" w:tplc="1A1601DC">
      <w:numFmt w:val="bullet"/>
      <w:lvlText w:val="•"/>
      <w:lvlJc w:val="left"/>
      <w:pPr>
        <w:ind w:left="6144" w:hanging="360"/>
      </w:pPr>
      <w:rPr>
        <w:rFonts w:hint="default"/>
        <w:lang w:val="en-US" w:eastAsia="en-US" w:bidi="en-US"/>
      </w:rPr>
    </w:lvl>
    <w:lvl w:ilvl="8" w:tplc="AB7C3AFE">
      <w:numFmt w:val="bullet"/>
      <w:lvlText w:val="•"/>
      <w:lvlJc w:val="left"/>
      <w:pPr>
        <w:ind w:left="6945"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DCD"/>
    <w:rsid w:val="000346AD"/>
    <w:rsid w:val="000560F4"/>
    <w:rsid w:val="00094A76"/>
    <w:rsid w:val="000A32DF"/>
    <w:rsid w:val="000A42C3"/>
    <w:rsid w:val="000D237E"/>
    <w:rsid w:val="000D5873"/>
    <w:rsid w:val="001153F8"/>
    <w:rsid w:val="001956B6"/>
    <w:rsid w:val="001B4D68"/>
    <w:rsid w:val="001D3412"/>
    <w:rsid w:val="001E2C36"/>
    <w:rsid w:val="0022009E"/>
    <w:rsid w:val="0022026B"/>
    <w:rsid w:val="00240C7A"/>
    <w:rsid w:val="00262C4C"/>
    <w:rsid w:val="002C425A"/>
    <w:rsid w:val="002E37CA"/>
    <w:rsid w:val="0030729B"/>
    <w:rsid w:val="003123F1"/>
    <w:rsid w:val="00337666"/>
    <w:rsid w:val="00340DF0"/>
    <w:rsid w:val="003830E8"/>
    <w:rsid w:val="003C3083"/>
    <w:rsid w:val="003F0DCD"/>
    <w:rsid w:val="00400C34"/>
    <w:rsid w:val="00411504"/>
    <w:rsid w:val="0045230A"/>
    <w:rsid w:val="00470320"/>
    <w:rsid w:val="004A7DAD"/>
    <w:rsid w:val="004D7961"/>
    <w:rsid w:val="004E72FF"/>
    <w:rsid w:val="005664A0"/>
    <w:rsid w:val="005722C4"/>
    <w:rsid w:val="0058060B"/>
    <w:rsid w:val="005C1787"/>
    <w:rsid w:val="005D3A75"/>
    <w:rsid w:val="005E0157"/>
    <w:rsid w:val="005E0B32"/>
    <w:rsid w:val="00614DD4"/>
    <w:rsid w:val="00632F76"/>
    <w:rsid w:val="00635130"/>
    <w:rsid w:val="0063546A"/>
    <w:rsid w:val="00635E9F"/>
    <w:rsid w:val="00695140"/>
    <w:rsid w:val="006D4A53"/>
    <w:rsid w:val="006F0012"/>
    <w:rsid w:val="007171D3"/>
    <w:rsid w:val="00734274"/>
    <w:rsid w:val="00781743"/>
    <w:rsid w:val="007D2A48"/>
    <w:rsid w:val="007E20B7"/>
    <w:rsid w:val="007E77F6"/>
    <w:rsid w:val="007F33EE"/>
    <w:rsid w:val="008119BB"/>
    <w:rsid w:val="00846E3D"/>
    <w:rsid w:val="008738D0"/>
    <w:rsid w:val="00881D02"/>
    <w:rsid w:val="008871B5"/>
    <w:rsid w:val="008A199E"/>
    <w:rsid w:val="008D0CDA"/>
    <w:rsid w:val="008D4A06"/>
    <w:rsid w:val="008F0152"/>
    <w:rsid w:val="00935751"/>
    <w:rsid w:val="0096285F"/>
    <w:rsid w:val="00976BAA"/>
    <w:rsid w:val="0097764A"/>
    <w:rsid w:val="00980C05"/>
    <w:rsid w:val="009A30B9"/>
    <w:rsid w:val="009A4740"/>
    <w:rsid w:val="009C3F4D"/>
    <w:rsid w:val="009E3ACB"/>
    <w:rsid w:val="009F1ED8"/>
    <w:rsid w:val="00A22CD2"/>
    <w:rsid w:val="00A35815"/>
    <w:rsid w:val="00A604D3"/>
    <w:rsid w:val="00A67F58"/>
    <w:rsid w:val="00A73F81"/>
    <w:rsid w:val="00A74600"/>
    <w:rsid w:val="00A95E48"/>
    <w:rsid w:val="00AB02C9"/>
    <w:rsid w:val="00AE6698"/>
    <w:rsid w:val="00B52CD0"/>
    <w:rsid w:val="00B6323D"/>
    <w:rsid w:val="00B81969"/>
    <w:rsid w:val="00BA6A93"/>
    <w:rsid w:val="00BB5DF0"/>
    <w:rsid w:val="00BC3D2A"/>
    <w:rsid w:val="00BD1F41"/>
    <w:rsid w:val="00BE0DB9"/>
    <w:rsid w:val="00C02FA6"/>
    <w:rsid w:val="00C30F09"/>
    <w:rsid w:val="00C317DD"/>
    <w:rsid w:val="00C4691C"/>
    <w:rsid w:val="00C60C38"/>
    <w:rsid w:val="00C60D3D"/>
    <w:rsid w:val="00C85419"/>
    <w:rsid w:val="00CA00A1"/>
    <w:rsid w:val="00CC2CD3"/>
    <w:rsid w:val="00CD042D"/>
    <w:rsid w:val="00CF109D"/>
    <w:rsid w:val="00D11D3D"/>
    <w:rsid w:val="00D136CB"/>
    <w:rsid w:val="00D141E0"/>
    <w:rsid w:val="00D24753"/>
    <w:rsid w:val="00D24A14"/>
    <w:rsid w:val="00D94864"/>
    <w:rsid w:val="00D9637C"/>
    <w:rsid w:val="00DA57E9"/>
    <w:rsid w:val="00DB5C36"/>
    <w:rsid w:val="00DE1E48"/>
    <w:rsid w:val="00DE6B0F"/>
    <w:rsid w:val="00DF59BA"/>
    <w:rsid w:val="00E045BB"/>
    <w:rsid w:val="00E23986"/>
    <w:rsid w:val="00E63650"/>
    <w:rsid w:val="00E64D57"/>
    <w:rsid w:val="00E84C07"/>
    <w:rsid w:val="00E86E17"/>
    <w:rsid w:val="00ED57A1"/>
    <w:rsid w:val="00EE45D8"/>
    <w:rsid w:val="00F03B97"/>
    <w:rsid w:val="00F36816"/>
    <w:rsid w:val="00F37432"/>
    <w:rsid w:val="00F722BC"/>
    <w:rsid w:val="00F96366"/>
    <w:rsid w:val="00FB6F92"/>
    <w:rsid w:val="00FC14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3216E3"/>
  <w15:docId w15:val="{DAC5FF95-DE70-4C0C-A257-0D07653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AU"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0C34"/>
    <w:pPr>
      <w:tabs>
        <w:tab w:val="center" w:pos="4513"/>
        <w:tab w:val="right" w:pos="9026"/>
      </w:tabs>
    </w:pPr>
  </w:style>
  <w:style w:type="character" w:customStyle="1" w:styleId="HeaderChar">
    <w:name w:val="Header Char"/>
    <w:basedOn w:val="DefaultParagraphFont"/>
    <w:link w:val="Header"/>
    <w:uiPriority w:val="99"/>
    <w:rsid w:val="00400C34"/>
    <w:rPr>
      <w:rFonts w:ascii="Times New Roman" w:eastAsia="Times New Roman" w:hAnsi="Times New Roman" w:cs="Times New Roman"/>
      <w:lang w:bidi="en-US"/>
    </w:rPr>
  </w:style>
  <w:style w:type="paragraph" w:styleId="Footer">
    <w:name w:val="footer"/>
    <w:basedOn w:val="Normal"/>
    <w:link w:val="FooterChar"/>
    <w:uiPriority w:val="99"/>
    <w:unhideWhenUsed/>
    <w:rsid w:val="00400C34"/>
    <w:pPr>
      <w:tabs>
        <w:tab w:val="center" w:pos="4513"/>
        <w:tab w:val="right" w:pos="9026"/>
      </w:tabs>
    </w:pPr>
  </w:style>
  <w:style w:type="character" w:customStyle="1" w:styleId="FooterChar">
    <w:name w:val="Footer Char"/>
    <w:basedOn w:val="DefaultParagraphFont"/>
    <w:link w:val="Footer"/>
    <w:uiPriority w:val="99"/>
    <w:rsid w:val="00400C34"/>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4703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320"/>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5D3A75"/>
    <w:rPr>
      <w:sz w:val="16"/>
      <w:szCs w:val="16"/>
    </w:rPr>
  </w:style>
  <w:style w:type="paragraph" w:styleId="CommentText">
    <w:name w:val="annotation text"/>
    <w:basedOn w:val="Normal"/>
    <w:link w:val="CommentTextChar"/>
    <w:uiPriority w:val="99"/>
    <w:semiHidden/>
    <w:unhideWhenUsed/>
    <w:rsid w:val="005D3A75"/>
    <w:rPr>
      <w:sz w:val="20"/>
      <w:szCs w:val="20"/>
    </w:rPr>
  </w:style>
  <w:style w:type="character" w:customStyle="1" w:styleId="CommentTextChar">
    <w:name w:val="Comment Text Char"/>
    <w:basedOn w:val="DefaultParagraphFont"/>
    <w:link w:val="CommentText"/>
    <w:uiPriority w:val="99"/>
    <w:semiHidden/>
    <w:rsid w:val="005D3A7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5D3A75"/>
    <w:rPr>
      <w:b/>
      <w:bCs/>
    </w:rPr>
  </w:style>
  <w:style w:type="character" w:customStyle="1" w:styleId="CommentSubjectChar">
    <w:name w:val="Comment Subject Char"/>
    <w:basedOn w:val="CommentTextChar"/>
    <w:link w:val="CommentSubject"/>
    <w:uiPriority w:val="99"/>
    <w:semiHidden/>
    <w:rsid w:val="005D3A75"/>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E23986"/>
    <w:rPr>
      <w:color w:val="0000FF" w:themeColor="hyperlink"/>
      <w:u w:val="single"/>
    </w:rPr>
  </w:style>
  <w:style w:type="character" w:styleId="FollowedHyperlink">
    <w:name w:val="FollowedHyperlink"/>
    <w:basedOn w:val="DefaultParagraphFont"/>
    <w:uiPriority w:val="99"/>
    <w:semiHidden/>
    <w:unhideWhenUsed/>
    <w:rsid w:val="00D94864"/>
    <w:rPr>
      <w:color w:val="800080" w:themeColor="followedHyperlink"/>
      <w:u w:val="single"/>
    </w:rPr>
  </w:style>
  <w:style w:type="paragraph" w:styleId="Revision">
    <w:name w:val="Revision"/>
    <w:hidden/>
    <w:uiPriority w:val="99"/>
    <w:semiHidden/>
    <w:rsid w:val="008D4A06"/>
    <w:pPr>
      <w:widowControl/>
      <w:autoSpaceDE/>
      <w:autoSpaceDN/>
    </w:pPr>
    <w:rPr>
      <w:rFonts w:ascii="Times New Roman" w:eastAsia="Times New Roman" w:hAnsi="Times New Roman" w:cs="Times New Roman"/>
      <w:lang w:val="en-A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21091">
      <w:bodyDiv w:val="1"/>
      <w:marLeft w:val="0"/>
      <w:marRight w:val="0"/>
      <w:marTop w:val="0"/>
      <w:marBottom w:val="0"/>
      <w:divBdr>
        <w:top w:val="none" w:sz="0" w:space="0" w:color="auto"/>
        <w:left w:val="none" w:sz="0" w:space="0" w:color="auto"/>
        <w:bottom w:val="none" w:sz="0" w:space="0" w:color="auto"/>
        <w:right w:val="none" w:sz="0" w:space="0" w:color="auto"/>
      </w:divBdr>
      <w:divsChild>
        <w:div w:id="174345705">
          <w:marLeft w:val="0"/>
          <w:marRight w:val="0"/>
          <w:marTop w:val="0"/>
          <w:marBottom w:val="0"/>
          <w:divBdr>
            <w:top w:val="none" w:sz="0" w:space="0" w:color="auto"/>
            <w:left w:val="none" w:sz="0" w:space="0" w:color="auto"/>
            <w:bottom w:val="none" w:sz="0" w:space="0" w:color="auto"/>
            <w:right w:val="none" w:sz="0" w:space="0" w:color="auto"/>
          </w:divBdr>
          <w:divsChild>
            <w:div w:id="420882455">
              <w:marLeft w:val="0"/>
              <w:marRight w:val="0"/>
              <w:marTop w:val="0"/>
              <w:marBottom w:val="0"/>
              <w:divBdr>
                <w:top w:val="none" w:sz="0" w:space="0" w:color="auto"/>
                <w:left w:val="none" w:sz="0" w:space="0" w:color="auto"/>
                <w:bottom w:val="none" w:sz="0" w:space="0" w:color="auto"/>
                <w:right w:val="none" w:sz="0" w:space="0" w:color="auto"/>
              </w:divBdr>
              <w:divsChild>
                <w:div w:id="191116883">
                  <w:marLeft w:val="0"/>
                  <w:marRight w:val="0"/>
                  <w:marTop w:val="0"/>
                  <w:marBottom w:val="0"/>
                  <w:divBdr>
                    <w:top w:val="none" w:sz="0" w:space="0" w:color="auto"/>
                    <w:left w:val="none" w:sz="0" w:space="0" w:color="auto"/>
                    <w:bottom w:val="none" w:sz="0" w:space="0" w:color="auto"/>
                    <w:right w:val="none" w:sz="0" w:space="0" w:color="auto"/>
                  </w:divBdr>
                  <w:divsChild>
                    <w:div w:id="669481539">
                      <w:marLeft w:val="0"/>
                      <w:marRight w:val="0"/>
                      <w:marTop w:val="0"/>
                      <w:marBottom w:val="0"/>
                      <w:divBdr>
                        <w:top w:val="none" w:sz="0" w:space="0" w:color="auto"/>
                        <w:left w:val="none" w:sz="0" w:space="0" w:color="auto"/>
                        <w:bottom w:val="none" w:sz="0" w:space="0" w:color="auto"/>
                        <w:right w:val="none" w:sz="0" w:space="0" w:color="auto"/>
                      </w:divBdr>
                      <w:divsChild>
                        <w:div w:id="2091736115">
                          <w:marLeft w:val="0"/>
                          <w:marRight w:val="0"/>
                          <w:marTop w:val="0"/>
                          <w:marBottom w:val="0"/>
                          <w:divBdr>
                            <w:top w:val="none" w:sz="0" w:space="0" w:color="auto"/>
                            <w:left w:val="none" w:sz="0" w:space="0" w:color="auto"/>
                            <w:bottom w:val="none" w:sz="0" w:space="0" w:color="auto"/>
                            <w:right w:val="none" w:sz="0" w:space="0" w:color="auto"/>
                          </w:divBdr>
                          <w:divsChild>
                            <w:div w:id="681051013">
                              <w:marLeft w:val="0"/>
                              <w:marRight w:val="0"/>
                              <w:marTop w:val="0"/>
                              <w:marBottom w:val="0"/>
                              <w:divBdr>
                                <w:top w:val="none" w:sz="0" w:space="0" w:color="auto"/>
                                <w:left w:val="none" w:sz="0" w:space="0" w:color="auto"/>
                                <w:bottom w:val="none" w:sz="0" w:space="0" w:color="auto"/>
                                <w:right w:val="none" w:sz="0" w:space="0" w:color="auto"/>
                              </w:divBdr>
                              <w:divsChild>
                                <w:div w:id="1935045391">
                                  <w:marLeft w:val="0"/>
                                  <w:marRight w:val="0"/>
                                  <w:marTop w:val="0"/>
                                  <w:marBottom w:val="0"/>
                                  <w:divBdr>
                                    <w:top w:val="none" w:sz="0" w:space="0" w:color="auto"/>
                                    <w:left w:val="none" w:sz="0" w:space="0" w:color="auto"/>
                                    <w:bottom w:val="none" w:sz="0" w:space="0" w:color="auto"/>
                                    <w:right w:val="none" w:sz="0" w:space="0" w:color="auto"/>
                                  </w:divBdr>
                                  <w:divsChild>
                                    <w:div w:id="934170379">
                                      <w:marLeft w:val="0"/>
                                      <w:marRight w:val="0"/>
                                      <w:marTop w:val="0"/>
                                      <w:marBottom w:val="0"/>
                                      <w:divBdr>
                                        <w:top w:val="none" w:sz="0" w:space="0" w:color="auto"/>
                                        <w:left w:val="none" w:sz="0" w:space="0" w:color="auto"/>
                                        <w:bottom w:val="none" w:sz="0" w:space="0" w:color="auto"/>
                                        <w:right w:val="none" w:sz="0" w:space="0" w:color="auto"/>
                                      </w:divBdr>
                                      <w:divsChild>
                                        <w:div w:id="241915221">
                                          <w:marLeft w:val="0"/>
                                          <w:marRight w:val="0"/>
                                          <w:marTop w:val="0"/>
                                          <w:marBottom w:val="0"/>
                                          <w:divBdr>
                                            <w:top w:val="none" w:sz="0" w:space="0" w:color="auto"/>
                                            <w:left w:val="none" w:sz="0" w:space="0" w:color="auto"/>
                                            <w:bottom w:val="none" w:sz="0" w:space="0" w:color="auto"/>
                                            <w:right w:val="none" w:sz="0" w:space="0" w:color="auto"/>
                                          </w:divBdr>
                                          <w:divsChild>
                                            <w:div w:id="1967540653">
                                              <w:marLeft w:val="0"/>
                                              <w:marRight w:val="0"/>
                                              <w:marTop w:val="0"/>
                                              <w:marBottom w:val="0"/>
                                              <w:divBdr>
                                                <w:top w:val="none" w:sz="0" w:space="0" w:color="auto"/>
                                                <w:left w:val="none" w:sz="0" w:space="0" w:color="auto"/>
                                                <w:bottom w:val="none" w:sz="0" w:space="0" w:color="auto"/>
                                                <w:right w:val="none" w:sz="0" w:space="0" w:color="auto"/>
                                              </w:divBdr>
                                              <w:divsChild>
                                                <w:div w:id="1175727163">
                                                  <w:marLeft w:val="0"/>
                                                  <w:marRight w:val="0"/>
                                                  <w:marTop w:val="0"/>
                                                  <w:marBottom w:val="0"/>
                                                  <w:divBdr>
                                                    <w:top w:val="none" w:sz="0" w:space="0" w:color="auto"/>
                                                    <w:left w:val="none" w:sz="0" w:space="0" w:color="auto"/>
                                                    <w:bottom w:val="none" w:sz="0" w:space="0" w:color="auto"/>
                                                    <w:right w:val="none" w:sz="0" w:space="0" w:color="auto"/>
                                                  </w:divBdr>
                                                  <w:divsChild>
                                                    <w:div w:id="921138039">
                                                      <w:marLeft w:val="0"/>
                                                      <w:marRight w:val="0"/>
                                                      <w:marTop w:val="0"/>
                                                      <w:marBottom w:val="0"/>
                                                      <w:divBdr>
                                                        <w:top w:val="none" w:sz="0" w:space="0" w:color="auto"/>
                                                        <w:left w:val="none" w:sz="0" w:space="0" w:color="auto"/>
                                                        <w:bottom w:val="none" w:sz="0" w:space="0" w:color="auto"/>
                                                        <w:right w:val="none" w:sz="0" w:space="0" w:color="auto"/>
                                                      </w:divBdr>
                                                      <w:divsChild>
                                                        <w:div w:id="6750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Rachel</dc:creator>
  <cp:lastModifiedBy>Edlington, Mandy</cp:lastModifiedBy>
  <cp:revision>2</cp:revision>
  <cp:lastPrinted>2020-01-22T01:07:00Z</cp:lastPrinted>
  <dcterms:created xsi:type="dcterms:W3CDTF">2020-04-02T04:32:00Z</dcterms:created>
  <dcterms:modified xsi:type="dcterms:W3CDTF">2020-04-02T04:32:00Z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2020-01-09T00:00:00Z</vt:filetime>
  </property>
  <property fmtid="{D5CDD505-2E9C-101B-9397-08002B2CF9AE}" pid="3" name="Creator">
    <vt:lpwstr>Microsoft® Word 2010</vt:lpwstr>
  </property>
  <property fmtid="{D5CDD505-2E9C-101B-9397-08002B2CF9AE}" pid="4" name="LastSaved">
    <vt:filetime>2020-01-20T00:00:00Z</vt:filetime>
  </property>
</Properties>
</file>