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17B35" w14:textId="77777777" w:rsidR="00BF52A2" w:rsidRPr="005F1388" w:rsidRDefault="00BF52A2" w:rsidP="00BF52A2">
      <w:pPr>
        <w:rPr>
          <w:sz w:val="28"/>
        </w:rPr>
      </w:pPr>
      <w:r>
        <w:rPr>
          <w:noProof/>
          <w:lang w:eastAsia="en-AU"/>
        </w:rPr>
        <w:drawing>
          <wp:inline distT="0" distB="0" distL="0" distR="0" wp14:anchorId="58BDDA19" wp14:editId="0664E4C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A2082DC" w14:textId="77777777" w:rsidR="00BF52A2" w:rsidRPr="00E500D4" w:rsidRDefault="00BF52A2" w:rsidP="00BF52A2">
      <w:pPr>
        <w:rPr>
          <w:sz w:val="19"/>
        </w:rPr>
      </w:pPr>
    </w:p>
    <w:p w14:paraId="2C490D43" w14:textId="77777777" w:rsidR="00BF52A2" w:rsidRPr="00E500D4" w:rsidRDefault="00BF52A2" w:rsidP="00BF52A2">
      <w:pPr>
        <w:pStyle w:val="ShortT"/>
      </w:pPr>
      <w:r>
        <w:t xml:space="preserve">Road Vehicle Standards Amendment (2020 Measures No. 1) Rules 2020 </w:t>
      </w:r>
    </w:p>
    <w:p w14:paraId="098E86EE" w14:textId="77777777" w:rsidR="00BF52A2" w:rsidRPr="00BC5754" w:rsidRDefault="00BF52A2" w:rsidP="00BF52A2">
      <w:pPr>
        <w:pStyle w:val="SignCoverPageStart"/>
        <w:spacing w:before="240"/>
        <w:rPr>
          <w:szCs w:val="22"/>
        </w:rPr>
      </w:pPr>
      <w:r>
        <w:rPr>
          <w:color w:val="000000"/>
          <w:szCs w:val="22"/>
          <w:shd w:val="clear" w:color="auto" w:fill="FFFFFF"/>
        </w:rPr>
        <w:t>I, Michael McCormack, Deputy Prime Minister and Minister for Infrastructure, Transport and Regional Development, make the following rules.</w:t>
      </w:r>
    </w:p>
    <w:p w14:paraId="3BDB05CB" w14:textId="0083E414" w:rsidR="00BF52A2" w:rsidRPr="00BC5754" w:rsidRDefault="00BF52A2" w:rsidP="00BF52A2">
      <w:pPr>
        <w:keepNext/>
        <w:spacing w:before="720" w:line="240" w:lineRule="atLeast"/>
        <w:ind w:right="397"/>
        <w:jc w:val="both"/>
        <w:rPr>
          <w:szCs w:val="22"/>
        </w:rPr>
      </w:pPr>
      <w:r w:rsidRPr="00BC5754">
        <w:rPr>
          <w:szCs w:val="22"/>
        </w:rPr>
        <w:t xml:space="preserve">Dated </w:t>
      </w:r>
      <w:r w:rsidRPr="00BC5754">
        <w:rPr>
          <w:szCs w:val="22"/>
        </w:rPr>
        <w:tab/>
      </w:r>
      <w:r w:rsidR="00FF3166">
        <w:rPr>
          <w:szCs w:val="22"/>
        </w:rPr>
        <w:t xml:space="preserve">26 March </w:t>
      </w:r>
      <w:r>
        <w:rPr>
          <w:szCs w:val="22"/>
        </w:rPr>
        <w:t>2020</w:t>
      </w:r>
    </w:p>
    <w:p w14:paraId="5C7A1276" w14:textId="77777777" w:rsidR="00BF52A2" w:rsidRDefault="00BF52A2" w:rsidP="00BF52A2">
      <w:pPr>
        <w:keepNext/>
        <w:tabs>
          <w:tab w:val="left" w:pos="3402"/>
        </w:tabs>
        <w:spacing w:before="480" w:line="300" w:lineRule="atLeast"/>
        <w:ind w:right="397"/>
        <w:rPr>
          <w:color w:val="000000"/>
          <w:szCs w:val="22"/>
          <w:shd w:val="clear" w:color="auto" w:fill="FFFFFF"/>
        </w:rPr>
      </w:pPr>
      <w:bookmarkStart w:id="0" w:name="_GoBack"/>
      <w:bookmarkEnd w:id="0"/>
    </w:p>
    <w:p w14:paraId="52233147" w14:textId="77777777" w:rsidR="00BF52A2" w:rsidRPr="00BC5754" w:rsidRDefault="00BF52A2" w:rsidP="00BF52A2">
      <w:pPr>
        <w:keepNext/>
        <w:tabs>
          <w:tab w:val="left" w:pos="3402"/>
        </w:tabs>
        <w:spacing w:before="480" w:line="300" w:lineRule="atLeast"/>
        <w:ind w:right="397"/>
        <w:rPr>
          <w:szCs w:val="22"/>
        </w:rPr>
      </w:pPr>
      <w:r>
        <w:rPr>
          <w:color w:val="000000"/>
          <w:szCs w:val="22"/>
          <w:shd w:val="clear" w:color="auto" w:fill="FFFFFF"/>
        </w:rPr>
        <w:t>Michael McCormack</w:t>
      </w:r>
      <w:r w:rsidRPr="00E426F7">
        <w:rPr>
          <w:b/>
          <w:szCs w:val="22"/>
          <w:highlight w:val="lightGray"/>
        </w:rPr>
        <w:t xml:space="preserve"> </w:t>
      </w:r>
    </w:p>
    <w:p w14:paraId="2B2646AA" w14:textId="77777777" w:rsidR="00BF52A2" w:rsidRPr="00BC5754" w:rsidRDefault="00BF52A2" w:rsidP="00BF52A2">
      <w:pPr>
        <w:pStyle w:val="SignCoverPageEnd"/>
        <w:rPr>
          <w:szCs w:val="22"/>
        </w:rPr>
      </w:pPr>
      <w:r w:rsidRPr="00E15E07">
        <w:rPr>
          <w:szCs w:val="22"/>
        </w:rPr>
        <w:t>Deputy Prime Minister and Minister for Infrastructure, Transport and Regional Development</w:t>
      </w:r>
    </w:p>
    <w:p w14:paraId="7671A160" w14:textId="77777777" w:rsidR="00BF52A2" w:rsidRPr="00BC5754" w:rsidRDefault="00BF52A2" w:rsidP="00BF52A2">
      <w:pPr>
        <w:rPr>
          <w:rStyle w:val="CharAmSchNo"/>
        </w:rPr>
      </w:pPr>
    </w:p>
    <w:p w14:paraId="0048D3DE" w14:textId="77777777" w:rsidR="00BF52A2" w:rsidRPr="00ED79B6" w:rsidRDefault="00BF52A2" w:rsidP="00BF52A2">
      <w:pPr>
        <w:pStyle w:val="Header"/>
        <w:tabs>
          <w:tab w:val="clear" w:pos="4150"/>
          <w:tab w:val="clear" w:pos="8307"/>
        </w:tabs>
      </w:pPr>
      <w:r w:rsidRPr="00ED79B6">
        <w:rPr>
          <w:rStyle w:val="CharChapNo"/>
        </w:rPr>
        <w:t xml:space="preserve"> </w:t>
      </w:r>
      <w:r w:rsidRPr="00ED79B6">
        <w:rPr>
          <w:rStyle w:val="CharChapText"/>
        </w:rPr>
        <w:t xml:space="preserve"> </w:t>
      </w:r>
    </w:p>
    <w:p w14:paraId="04F4A606" w14:textId="77777777" w:rsidR="00BF52A2" w:rsidRPr="00ED79B6" w:rsidRDefault="00BF52A2" w:rsidP="00BF52A2">
      <w:pPr>
        <w:pStyle w:val="Header"/>
        <w:tabs>
          <w:tab w:val="clear" w:pos="4150"/>
          <w:tab w:val="clear" w:pos="8307"/>
        </w:tabs>
      </w:pPr>
      <w:r w:rsidRPr="00ED79B6">
        <w:rPr>
          <w:rStyle w:val="CharPartNo"/>
        </w:rPr>
        <w:t xml:space="preserve"> </w:t>
      </w:r>
      <w:r w:rsidRPr="00ED79B6">
        <w:rPr>
          <w:rStyle w:val="CharPartText"/>
        </w:rPr>
        <w:t xml:space="preserve"> </w:t>
      </w:r>
    </w:p>
    <w:p w14:paraId="3891D467" w14:textId="77777777" w:rsidR="00BF52A2" w:rsidRDefault="00BF52A2" w:rsidP="00BF52A2">
      <w:pPr>
        <w:pStyle w:val="Header"/>
        <w:tabs>
          <w:tab w:val="clear" w:pos="4150"/>
          <w:tab w:val="clear" w:pos="8307"/>
        </w:tabs>
      </w:pPr>
      <w:r w:rsidRPr="00ED79B6">
        <w:rPr>
          <w:rStyle w:val="CharDivNo"/>
        </w:rPr>
        <w:t xml:space="preserve"> </w:t>
      </w:r>
      <w:r w:rsidRPr="00ED79B6">
        <w:rPr>
          <w:rStyle w:val="CharDivText"/>
        </w:rPr>
        <w:t xml:space="preserve"> </w:t>
      </w:r>
    </w:p>
    <w:p w14:paraId="4D8E3950" w14:textId="77777777" w:rsidR="00BF52A2" w:rsidRPr="00167F03" w:rsidRDefault="00BF52A2" w:rsidP="00BF52A2">
      <w:pPr>
        <w:rPr>
          <w:lang w:eastAsia="en-AU"/>
        </w:rPr>
      </w:pPr>
    </w:p>
    <w:p w14:paraId="6439871B" w14:textId="77777777" w:rsidR="00BF52A2" w:rsidRPr="00167F03" w:rsidRDefault="00BF52A2" w:rsidP="00BF52A2">
      <w:pPr>
        <w:rPr>
          <w:lang w:eastAsia="en-AU"/>
        </w:rPr>
      </w:pPr>
    </w:p>
    <w:p w14:paraId="0E00F6DF" w14:textId="77777777" w:rsidR="00BF52A2" w:rsidRPr="00167F03" w:rsidRDefault="00BF52A2" w:rsidP="00BF52A2">
      <w:pPr>
        <w:rPr>
          <w:lang w:eastAsia="en-AU"/>
        </w:rPr>
      </w:pPr>
    </w:p>
    <w:p w14:paraId="195D99AF" w14:textId="77777777" w:rsidR="0048364F" w:rsidRDefault="0048364F" w:rsidP="0048364F">
      <w:pPr>
        <w:sectPr w:rsidR="0048364F" w:rsidSect="00E97334">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36DD959B" w14:textId="77777777" w:rsidR="00BF52A2" w:rsidRDefault="00BF52A2" w:rsidP="00BF52A2">
      <w:pPr>
        <w:pStyle w:val="ActHead5"/>
      </w:pPr>
      <w:r w:rsidRPr="00C2746F">
        <w:rPr>
          <w:rStyle w:val="CharSectno"/>
        </w:rPr>
        <w:lastRenderedPageBreak/>
        <w:t>1</w:t>
      </w:r>
      <w:r>
        <w:t xml:space="preserve">  Name</w:t>
      </w:r>
    </w:p>
    <w:p w14:paraId="6DC13CA3" w14:textId="77777777" w:rsidR="00BF52A2" w:rsidRPr="009A038B" w:rsidRDefault="00BF52A2" w:rsidP="00BF52A2">
      <w:pPr>
        <w:pStyle w:val="subsection"/>
      </w:pPr>
      <w:r w:rsidRPr="009A038B">
        <w:tab/>
      </w:r>
      <w:r w:rsidRPr="009A038B">
        <w:tab/>
      </w:r>
      <w:r>
        <w:t xml:space="preserve">This instrument is the </w:t>
      </w:r>
      <w:r w:rsidRPr="00CB6A0B">
        <w:rPr>
          <w:i/>
          <w:noProof/>
        </w:rPr>
        <w:t>Road Vehicle Standards Amendment</w:t>
      </w:r>
      <w:r>
        <w:rPr>
          <w:i/>
          <w:noProof/>
        </w:rPr>
        <w:t xml:space="preserve"> (2020 Measures No. 1) </w:t>
      </w:r>
      <w:r w:rsidRPr="00CB6A0B">
        <w:rPr>
          <w:i/>
          <w:noProof/>
        </w:rPr>
        <w:t xml:space="preserve">Rules </w:t>
      </w:r>
      <w:r>
        <w:rPr>
          <w:i/>
          <w:noProof/>
        </w:rPr>
        <w:t xml:space="preserve">2020. </w:t>
      </w:r>
    </w:p>
    <w:p w14:paraId="2940378C" w14:textId="77777777" w:rsidR="00BF52A2" w:rsidRDefault="00BF52A2" w:rsidP="00BF52A2">
      <w:pPr>
        <w:pStyle w:val="ActHead5"/>
      </w:pPr>
      <w:bookmarkStart w:id="1" w:name="_Toc489540550"/>
      <w:bookmarkStart w:id="2" w:name="_Toc21511323"/>
      <w:bookmarkStart w:id="3" w:name="_Toc27647408"/>
      <w:r w:rsidRPr="009A038B">
        <w:rPr>
          <w:rStyle w:val="CharSectno"/>
        </w:rPr>
        <w:t>2</w:t>
      </w:r>
      <w:r w:rsidRPr="009A038B">
        <w:t xml:space="preserve">  Commencement</w:t>
      </w:r>
      <w:bookmarkEnd w:id="1"/>
      <w:bookmarkEnd w:id="2"/>
      <w:bookmarkEnd w:id="3"/>
    </w:p>
    <w:p w14:paraId="1F9FB2EE" w14:textId="77777777" w:rsidR="00BF52A2" w:rsidRDefault="00BF52A2" w:rsidP="00BF52A2">
      <w:pPr>
        <w:pStyle w:val="subsection"/>
      </w:pPr>
      <w:r>
        <w:tab/>
      </w:r>
      <w:r>
        <w:tab/>
        <w:t xml:space="preserve">This instrument commences on the day after it is registered. </w:t>
      </w:r>
    </w:p>
    <w:p w14:paraId="4CA0095C" w14:textId="77777777" w:rsidR="00BF52A2" w:rsidRDefault="00BF52A2" w:rsidP="00BF52A2">
      <w:pPr>
        <w:pStyle w:val="ActHead5"/>
      </w:pPr>
      <w:bookmarkStart w:id="4" w:name="_Toc489540551"/>
      <w:bookmarkStart w:id="5" w:name="_Toc21511324"/>
      <w:bookmarkStart w:id="6" w:name="_Toc27647409"/>
      <w:r w:rsidRPr="00C2746F">
        <w:rPr>
          <w:rStyle w:val="CharSectno"/>
        </w:rPr>
        <w:t>3</w:t>
      </w:r>
      <w:r>
        <w:t xml:space="preserve">  Authority</w:t>
      </w:r>
      <w:bookmarkEnd w:id="4"/>
      <w:bookmarkEnd w:id="5"/>
      <w:bookmarkEnd w:id="6"/>
    </w:p>
    <w:p w14:paraId="3293F167" w14:textId="77777777" w:rsidR="00BF52A2" w:rsidRPr="00A26E7E" w:rsidRDefault="00BF52A2" w:rsidP="00BF52A2">
      <w:pPr>
        <w:pStyle w:val="subsection"/>
      </w:pPr>
      <w:r>
        <w:tab/>
      </w:r>
      <w:r>
        <w:tab/>
      </w:r>
      <w:r w:rsidRPr="00A26E7E">
        <w:t xml:space="preserve">This instrument is made under the </w:t>
      </w:r>
      <w:r w:rsidRPr="00A26E7E">
        <w:rPr>
          <w:i/>
        </w:rPr>
        <w:t>Road Vehicle Standards Act 2018.</w:t>
      </w:r>
    </w:p>
    <w:p w14:paraId="70A0D43B" w14:textId="77777777" w:rsidR="00557C7A" w:rsidRDefault="00BF6650" w:rsidP="00557C7A">
      <w:pPr>
        <w:pStyle w:val="ActHead5"/>
      </w:pPr>
      <w:bookmarkStart w:id="7" w:name="_Toc27647410"/>
      <w:r>
        <w:t>4</w:t>
      </w:r>
      <w:r w:rsidR="00557C7A">
        <w:t xml:space="preserve">  </w:t>
      </w:r>
      <w:r w:rsidR="00083F48">
        <w:t>Schedules</w:t>
      </w:r>
      <w:bookmarkEnd w:id="7"/>
    </w:p>
    <w:p w14:paraId="64FAD723" w14:textId="77777777" w:rsidR="00B461F6" w:rsidRDefault="00557C7A" w:rsidP="00557C7A">
      <w:pPr>
        <w:pStyle w:val="subsection"/>
      </w:pPr>
      <w:r>
        <w:tab/>
      </w:r>
      <w:r>
        <w:tab/>
      </w:r>
      <w:r w:rsidR="00083F48">
        <w:t xml:space="preserve">Each </w:t>
      </w:r>
      <w:r w:rsidR="00160BD7">
        <w:t>instrument</w:t>
      </w:r>
      <w:r w:rsidR="00083F48">
        <w:t xml:space="preserve"> that is specified in a Schedule to this</w:t>
      </w:r>
      <w:r w:rsidR="00160BD7">
        <w:t xml:space="preserve"> </w:t>
      </w:r>
      <w:r w:rsidR="00195CA6">
        <w:t>instrument</w:t>
      </w:r>
      <w:r w:rsidR="00083F48">
        <w:t xml:space="preserve"> is amended or repealed as set out in the applicable items </w:t>
      </w:r>
      <w:r w:rsidR="00083F48" w:rsidRPr="00083F48">
        <w:t xml:space="preserve">in the Schedule concerned, and any other item in a Schedule to this </w:t>
      </w:r>
      <w:r w:rsidR="00195CA6">
        <w:t>instrument</w:t>
      </w:r>
      <w:r w:rsidR="00083F48" w:rsidRPr="00083F48">
        <w:t xml:space="preserve"> has effect according to its terms.</w:t>
      </w:r>
    </w:p>
    <w:p w14:paraId="7DD9BBF7" w14:textId="77777777" w:rsidR="00187C96" w:rsidRDefault="00187C96" w:rsidP="00640BA0">
      <w:pPr>
        <w:pStyle w:val="ActHead6"/>
        <w:rPr>
          <w:rStyle w:val="CharAmSchNo"/>
        </w:rPr>
        <w:sectPr w:rsidR="00187C96" w:rsidSect="00187C96">
          <w:headerReference w:type="even" r:id="rId18"/>
          <w:headerReference w:type="default" r:id="rId19"/>
          <w:footerReference w:type="even" r:id="rId20"/>
          <w:footerReference w:type="default" r:id="rId21"/>
          <w:headerReference w:type="first" r:id="rId22"/>
          <w:footerReference w:type="first" r:id="rId23"/>
          <w:type w:val="evenPage"/>
          <w:pgSz w:w="11907" w:h="16839"/>
          <w:pgMar w:top="1675" w:right="1797" w:bottom="1440" w:left="1797" w:header="720" w:footer="709" w:gutter="0"/>
          <w:pgNumType w:start="1"/>
          <w:cols w:space="708"/>
          <w:docGrid w:linePitch="360"/>
        </w:sectPr>
      </w:pPr>
      <w:bookmarkStart w:id="8" w:name="_Toc21511326"/>
      <w:bookmarkStart w:id="9" w:name="_Toc27647411"/>
    </w:p>
    <w:p w14:paraId="250CDBB5" w14:textId="77777777" w:rsidR="00640BA0" w:rsidRPr="00DD791D" w:rsidRDefault="00640BA0" w:rsidP="00640BA0">
      <w:pPr>
        <w:pStyle w:val="ActHead6"/>
      </w:pPr>
      <w:r w:rsidRPr="00291167">
        <w:rPr>
          <w:rStyle w:val="CharAmSchNo"/>
        </w:rPr>
        <w:lastRenderedPageBreak/>
        <w:t>Schedule 1</w:t>
      </w:r>
      <w:r>
        <w:t>—</w:t>
      </w:r>
      <w:r w:rsidRPr="00940CEC">
        <w:rPr>
          <w:rStyle w:val="CharAmSchText"/>
        </w:rPr>
        <w:t>Amendments</w:t>
      </w:r>
      <w:bookmarkEnd w:id="8"/>
      <w:bookmarkEnd w:id="9"/>
    </w:p>
    <w:p w14:paraId="795574A9" w14:textId="77777777" w:rsidR="00640BA0" w:rsidRDefault="00640BA0" w:rsidP="00640BA0">
      <w:pPr>
        <w:pStyle w:val="ActHead9"/>
        <w:spacing w:after="240"/>
      </w:pPr>
      <w:bookmarkStart w:id="10" w:name="_Toc21511327"/>
      <w:bookmarkStart w:id="11" w:name="_Toc27647412"/>
      <w:r>
        <w:t>Road Vehicle Standards Rules 201</w:t>
      </w:r>
      <w:bookmarkEnd w:id="10"/>
      <w:r w:rsidR="00AE7BF8">
        <w:t>9</w:t>
      </w:r>
      <w:bookmarkEnd w:id="11"/>
      <w:r>
        <w:t xml:space="preserve">  </w:t>
      </w:r>
    </w:p>
    <w:p w14:paraId="5E69634A" w14:textId="77777777" w:rsidR="0084172C" w:rsidRDefault="008C0497" w:rsidP="008C0497">
      <w:pPr>
        <w:pStyle w:val="ItemHead"/>
      </w:pPr>
      <w:r>
        <w:t xml:space="preserve">1  </w:t>
      </w:r>
      <w:r w:rsidR="00640BA0">
        <w:t>Section 2</w:t>
      </w:r>
    </w:p>
    <w:p w14:paraId="0C12FD4E" w14:textId="77777777" w:rsidR="008C0497" w:rsidRDefault="00640BA0" w:rsidP="008C0497">
      <w:pPr>
        <w:pStyle w:val="Item"/>
      </w:pPr>
      <w:r w:rsidRPr="00AE38AB">
        <w:t xml:space="preserve">Repeal the </w:t>
      </w:r>
      <w:r w:rsidR="00205722">
        <w:t>section</w:t>
      </w:r>
      <w:r w:rsidRPr="00AE38AB">
        <w:t>, substitute:</w:t>
      </w:r>
    </w:p>
    <w:p w14:paraId="4F8C50A2" w14:textId="77777777" w:rsidR="00431AB5" w:rsidRPr="00431AB5" w:rsidRDefault="00431AB5" w:rsidP="00431AB5">
      <w:pPr>
        <w:pStyle w:val="ActHead5"/>
      </w:pPr>
      <w:bookmarkStart w:id="12" w:name="_Toc27647413"/>
      <w:r w:rsidRPr="009A038B">
        <w:rPr>
          <w:rStyle w:val="CharSectno"/>
        </w:rPr>
        <w:t>2</w:t>
      </w:r>
      <w:r w:rsidRPr="009A038B">
        <w:t xml:space="preserve">  Commencement</w:t>
      </w:r>
      <w:bookmarkEnd w:id="12"/>
    </w:p>
    <w:p w14:paraId="54FE32A3" w14:textId="77777777" w:rsidR="00205722" w:rsidRDefault="00205722" w:rsidP="00205722">
      <w:pPr>
        <w:pStyle w:val="subsection"/>
      </w:pPr>
      <w:r w:rsidRPr="00676843">
        <w:tab/>
        <w:t>(1)</w:t>
      </w:r>
      <w:r w:rsidRPr="00676843">
        <w:tab/>
        <w:t>Each provision of this instrument specified in column 1 of the table commences, or is taken to have commenced, in accordance with column 2 of the table. Any other statement in column 2 has effect according to its terms.</w:t>
      </w:r>
    </w:p>
    <w:p w14:paraId="36E9849C" w14:textId="77777777" w:rsidR="00205722" w:rsidRPr="00676843" w:rsidRDefault="00205722" w:rsidP="00205722">
      <w:pPr>
        <w:pStyle w:val="Tabletext"/>
      </w:pPr>
    </w:p>
    <w:tbl>
      <w:tblPr>
        <w:tblW w:w="8364"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205722" w:rsidRPr="00AA2EBC" w14:paraId="58D19C54" w14:textId="77777777" w:rsidTr="00BC22F7">
        <w:trPr>
          <w:tblHeader/>
        </w:trPr>
        <w:tc>
          <w:tcPr>
            <w:tcW w:w="8364" w:type="dxa"/>
            <w:gridSpan w:val="3"/>
            <w:tcBorders>
              <w:top w:val="single" w:sz="12" w:space="0" w:color="auto"/>
              <w:bottom w:val="single" w:sz="2" w:space="0" w:color="auto"/>
            </w:tcBorders>
            <w:shd w:val="clear" w:color="auto" w:fill="auto"/>
            <w:hideMark/>
          </w:tcPr>
          <w:p w14:paraId="37913601" w14:textId="77777777" w:rsidR="00205722" w:rsidRPr="00676843" w:rsidRDefault="00205722" w:rsidP="00BC22F7">
            <w:pPr>
              <w:pStyle w:val="TableHeading"/>
            </w:pPr>
            <w:r w:rsidRPr="00676843">
              <w:t>Commencement information</w:t>
            </w:r>
          </w:p>
        </w:tc>
      </w:tr>
      <w:tr w:rsidR="00205722" w:rsidRPr="00AA2EBC" w14:paraId="14E85AEE" w14:textId="77777777" w:rsidTr="00BC22F7">
        <w:trPr>
          <w:tblHeader/>
        </w:trPr>
        <w:tc>
          <w:tcPr>
            <w:tcW w:w="2127" w:type="dxa"/>
            <w:tcBorders>
              <w:top w:val="single" w:sz="2" w:space="0" w:color="auto"/>
              <w:bottom w:val="single" w:sz="2" w:space="0" w:color="auto"/>
            </w:tcBorders>
            <w:shd w:val="clear" w:color="auto" w:fill="auto"/>
            <w:hideMark/>
          </w:tcPr>
          <w:p w14:paraId="7C6725CB" w14:textId="77777777" w:rsidR="00205722" w:rsidRPr="00676843" w:rsidRDefault="00205722" w:rsidP="00BC22F7">
            <w:pPr>
              <w:pStyle w:val="TableHeading"/>
            </w:pPr>
            <w:r w:rsidRPr="00676843">
              <w:t>Column 1</w:t>
            </w:r>
          </w:p>
        </w:tc>
        <w:tc>
          <w:tcPr>
            <w:tcW w:w="4394" w:type="dxa"/>
            <w:tcBorders>
              <w:top w:val="single" w:sz="2" w:space="0" w:color="auto"/>
              <w:bottom w:val="single" w:sz="2" w:space="0" w:color="auto"/>
            </w:tcBorders>
            <w:shd w:val="clear" w:color="auto" w:fill="auto"/>
            <w:hideMark/>
          </w:tcPr>
          <w:p w14:paraId="1C21D070" w14:textId="77777777" w:rsidR="00205722" w:rsidRPr="00676843" w:rsidRDefault="00205722" w:rsidP="00BC22F7">
            <w:pPr>
              <w:pStyle w:val="TableHeading"/>
            </w:pPr>
            <w:r w:rsidRPr="00676843">
              <w:t>Column 2</w:t>
            </w:r>
          </w:p>
        </w:tc>
        <w:tc>
          <w:tcPr>
            <w:tcW w:w="1843" w:type="dxa"/>
            <w:tcBorders>
              <w:top w:val="single" w:sz="2" w:space="0" w:color="auto"/>
              <w:bottom w:val="single" w:sz="2" w:space="0" w:color="auto"/>
            </w:tcBorders>
            <w:shd w:val="clear" w:color="auto" w:fill="auto"/>
            <w:hideMark/>
          </w:tcPr>
          <w:p w14:paraId="58461D8C" w14:textId="77777777" w:rsidR="00205722" w:rsidRPr="00676843" w:rsidRDefault="00205722" w:rsidP="00BC22F7">
            <w:pPr>
              <w:pStyle w:val="TableHeading"/>
            </w:pPr>
            <w:r w:rsidRPr="00676843">
              <w:t>Column 3</w:t>
            </w:r>
          </w:p>
        </w:tc>
      </w:tr>
      <w:tr w:rsidR="00205722" w:rsidRPr="00AA2EBC" w14:paraId="125CB22F" w14:textId="77777777" w:rsidTr="00BC22F7">
        <w:trPr>
          <w:tblHeader/>
        </w:trPr>
        <w:tc>
          <w:tcPr>
            <w:tcW w:w="2127" w:type="dxa"/>
            <w:tcBorders>
              <w:top w:val="single" w:sz="2" w:space="0" w:color="auto"/>
              <w:bottom w:val="single" w:sz="12" w:space="0" w:color="auto"/>
            </w:tcBorders>
            <w:shd w:val="clear" w:color="auto" w:fill="auto"/>
            <w:hideMark/>
          </w:tcPr>
          <w:p w14:paraId="30F5127C" w14:textId="77777777" w:rsidR="00205722" w:rsidRPr="00676843" w:rsidRDefault="00205722" w:rsidP="00BC22F7">
            <w:pPr>
              <w:pStyle w:val="TableHeading"/>
            </w:pPr>
            <w:r w:rsidRPr="00676843">
              <w:t>Provisions</w:t>
            </w:r>
          </w:p>
        </w:tc>
        <w:tc>
          <w:tcPr>
            <w:tcW w:w="4394" w:type="dxa"/>
            <w:tcBorders>
              <w:top w:val="single" w:sz="2" w:space="0" w:color="auto"/>
              <w:bottom w:val="single" w:sz="12" w:space="0" w:color="auto"/>
            </w:tcBorders>
            <w:shd w:val="clear" w:color="auto" w:fill="auto"/>
            <w:hideMark/>
          </w:tcPr>
          <w:p w14:paraId="44D2F776" w14:textId="77777777" w:rsidR="00205722" w:rsidRPr="00676843" w:rsidRDefault="00205722" w:rsidP="00BC22F7">
            <w:pPr>
              <w:pStyle w:val="TableHeading"/>
            </w:pPr>
            <w:r w:rsidRPr="00676843">
              <w:t>Commencement</w:t>
            </w:r>
          </w:p>
        </w:tc>
        <w:tc>
          <w:tcPr>
            <w:tcW w:w="1843" w:type="dxa"/>
            <w:tcBorders>
              <w:top w:val="single" w:sz="2" w:space="0" w:color="auto"/>
              <w:bottom w:val="single" w:sz="12" w:space="0" w:color="auto"/>
            </w:tcBorders>
            <w:shd w:val="clear" w:color="auto" w:fill="auto"/>
            <w:hideMark/>
          </w:tcPr>
          <w:p w14:paraId="6C6C5097" w14:textId="77777777" w:rsidR="00205722" w:rsidRPr="00676843" w:rsidRDefault="00205722" w:rsidP="00BC22F7">
            <w:pPr>
              <w:pStyle w:val="TableHeading"/>
            </w:pPr>
            <w:r w:rsidRPr="00676843">
              <w:t>Date/Details</w:t>
            </w:r>
          </w:p>
        </w:tc>
      </w:tr>
      <w:tr w:rsidR="00205722" w:rsidRPr="00AA2EBC" w14:paraId="64A323E2" w14:textId="77777777" w:rsidTr="00BC22F7">
        <w:trPr>
          <w:trHeight w:val="426"/>
        </w:trPr>
        <w:tc>
          <w:tcPr>
            <w:tcW w:w="2127" w:type="dxa"/>
            <w:tcBorders>
              <w:top w:val="single" w:sz="4" w:space="0" w:color="auto"/>
              <w:bottom w:val="single" w:sz="4" w:space="0" w:color="auto"/>
            </w:tcBorders>
            <w:shd w:val="clear" w:color="auto" w:fill="auto"/>
          </w:tcPr>
          <w:p w14:paraId="092C7C56" w14:textId="77777777" w:rsidR="00205722" w:rsidRDefault="00205722" w:rsidP="004577D4">
            <w:pPr>
              <w:pStyle w:val="Tabletext"/>
            </w:pPr>
            <w:r>
              <w:t>1. Sections 1 to 3</w:t>
            </w:r>
            <w:r w:rsidR="00A00CDF">
              <w:t>, and anything in this instrument not elsewhere covered by this table</w:t>
            </w:r>
          </w:p>
        </w:tc>
        <w:tc>
          <w:tcPr>
            <w:tcW w:w="4394" w:type="dxa"/>
            <w:tcBorders>
              <w:top w:val="single" w:sz="12" w:space="0" w:color="auto"/>
              <w:bottom w:val="single" w:sz="4" w:space="0" w:color="auto"/>
            </w:tcBorders>
            <w:shd w:val="clear" w:color="auto" w:fill="auto"/>
          </w:tcPr>
          <w:p w14:paraId="0AAA98C2" w14:textId="77777777" w:rsidR="00205722" w:rsidRDefault="00205722" w:rsidP="00BC22F7">
            <w:pPr>
              <w:pStyle w:val="Tabletext"/>
            </w:pPr>
            <w:r>
              <w:t>The day after this instrument is registered.</w:t>
            </w:r>
          </w:p>
        </w:tc>
        <w:tc>
          <w:tcPr>
            <w:tcW w:w="1843" w:type="dxa"/>
            <w:tcBorders>
              <w:top w:val="single" w:sz="12" w:space="0" w:color="auto"/>
              <w:bottom w:val="single" w:sz="4" w:space="0" w:color="auto"/>
            </w:tcBorders>
            <w:shd w:val="clear" w:color="auto" w:fill="auto"/>
          </w:tcPr>
          <w:p w14:paraId="4DB2EFB7" w14:textId="77777777" w:rsidR="00205722" w:rsidRPr="00676843" w:rsidRDefault="002E1D03" w:rsidP="00BC22F7">
            <w:pPr>
              <w:pStyle w:val="Tabletext"/>
            </w:pPr>
            <w:r>
              <w:t>27 February 2019</w:t>
            </w:r>
          </w:p>
        </w:tc>
      </w:tr>
      <w:tr w:rsidR="00A00CDF" w:rsidRPr="00AA2EBC" w14:paraId="128297C0" w14:textId="77777777" w:rsidTr="00A00CDF">
        <w:trPr>
          <w:trHeight w:val="426"/>
        </w:trPr>
        <w:tc>
          <w:tcPr>
            <w:tcW w:w="2127" w:type="dxa"/>
            <w:tcBorders>
              <w:top w:val="single" w:sz="4" w:space="0" w:color="auto"/>
              <w:bottom w:val="single" w:sz="4" w:space="0" w:color="auto"/>
            </w:tcBorders>
            <w:shd w:val="clear" w:color="auto" w:fill="auto"/>
          </w:tcPr>
          <w:p w14:paraId="61A47E39" w14:textId="77777777" w:rsidR="00A00CDF" w:rsidRDefault="00FD0A49" w:rsidP="005F5497">
            <w:pPr>
              <w:pStyle w:val="Tabletext"/>
            </w:pPr>
            <w:r>
              <w:t xml:space="preserve">2. </w:t>
            </w:r>
            <w:r w:rsidR="00A00CDF">
              <w:t xml:space="preserve">Sections 4 </w:t>
            </w:r>
            <w:r w:rsidR="005F5497">
              <w:t>and</w:t>
            </w:r>
            <w:r w:rsidR="00A00CDF">
              <w:t xml:space="preserve"> 5</w:t>
            </w:r>
          </w:p>
        </w:tc>
        <w:tc>
          <w:tcPr>
            <w:tcW w:w="4394" w:type="dxa"/>
            <w:tcBorders>
              <w:top w:val="single" w:sz="4" w:space="0" w:color="auto"/>
              <w:bottom w:val="single" w:sz="4" w:space="0" w:color="auto"/>
            </w:tcBorders>
            <w:shd w:val="clear" w:color="auto" w:fill="auto"/>
          </w:tcPr>
          <w:p w14:paraId="7E8B4AD6" w14:textId="77777777" w:rsidR="00A00CDF" w:rsidRDefault="00A00CDF" w:rsidP="00BC22F7">
            <w:pPr>
              <w:pStyle w:val="Tabletext"/>
            </w:pPr>
            <w:r>
              <w:t xml:space="preserve">The day after the </w:t>
            </w:r>
            <w:r w:rsidRPr="004C0F55">
              <w:rPr>
                <w:i/>
              </w:rPr>
              <w:t>Road Vehicle Standards Amendment (2020 Measures No. 1) Rules 2020</w:t>
            </w:r>
            <w:r>
              <w:rPr>
                <w:i/>
              </w:rPr>
              <w:t xml:space="preserve"> </w:t>
            </w:r>
            <w:r>
              <w:t>are registered.</w:t>
            </w:r>
          </w:p>
        </w:tc>
        <w:tc>
          <w:tcPr>
            <w:tcW w:w="1843" w:type="dxa"/>
            <w:tcBorders>
              <w:top w:val="single" w:sz="4" w:space="0" w:color="auto"/>
              <w:bottom w:val="single" w:sz="4" w:space="0" w:color="auto"/>
            </w:tcBorders>
            <w:shd w:val="clear" w:color="auto" w:fill="auto"/>
          </w:tcPr>
          <w:p w14:paraId="40C2F6CB" w14:textId="77777777" w:rsidR="00A00CDF" w:rsidRDefault="00A00CDF" w:rsidP="00BC22F7">
            <w:pPr>
              <w:pStyle w:val="Tabletext"/>
            </w:pPr>
          </w:p>
        </w:tc>
      </w:tr>
      <w:tr w:rsidR="00A00CDF" w:rsidRPr="00AA2EBC" w14:paraId="034849DD" w14:textId="77777777" w:rsidTr="00A00CDF">
        <w:trPr>
          <w:trHeight w:val="426"/>
        </w:trPr>
        <w:tc>
          <w:tcPr>
            <w:tcW w:w="2127" w:type="dxa"/>
            <w:tcBorders>
              <w:top w:val="single" w:sz="4" w:space="0" w:color="auto"/>
              <w:bottom w:val="single" w:sz="4" w:space="0" w:color="auto"/>
            </w:tcBorders>
            <w:shd w:val="clear" w:color="auto" w:fill="auto"/>
          </w:tcPr>
          <w:p w14:paraId="37045799" w14:textId="77777777" w:rsidR="00A00CDF" w:rsidRDefault="00FD0A49" w:rsidP="00776643">
            <w:pPr>
              <w:pStyle w:val="Tabletext"/>
            </w:pPr>
            <w:r>
              <w:t xml:space="preserve">3. </w:t>
            </w:r>
            <w:r w:rsidR="00776643">
              <w:t>Sections 6 to 52</w:t>
            </w:r>
          </w:p>
        </w:tc>
        <w:tc>
          <w:tcPr>
            <w:tcW w:w="4394" w:type="dxa"/>
            <w:tcBorders>
              <w:top w:val="single" w:sz="4" w:space="0" w:color="auto"/>
              <w:bottom w:val="single" w:sz="4" w:space="0" w:color="auto"/>
            </w:tcBorders>
            <w:shd w:val="clear" w:color="auto" w:fill="auto"/>
          </w:tcPr>
          <w:p w14:paraId="3CA160EC" w14:textId="77777777" w:rsidR="00A00CDF" w:rsidRDefault="00A00CDF" w:rsidP="00BC22F7">
            <w:pPr>
              <w:pStyle w:val="Tabletext"/>
            </w:pPr>
            <w:r>
              <w:t xml:space="preserve">At the same time as </w:t>
            </w:r>
            <w:r w:rsidRPr="00515113">
              <w:t xml:space="preserve">section </w:t>
            </w:r>
            <w:r>
              <w:t xml:space="preserve">15 of the </w:t>
            </w:r>
            <w:r w:rsidRPr="008F3BC1">
              <w:rPr>
                <w:i/>
              </w:rPr>
              <w:t>Road Vehicle Standards Act 2018</w:t>
            </w:r>
            <w:r>
              <w:rPr>
                <w:i/>
              </w:rPr>
              <w:t>.</w:t>
            </w:r>
          </w:p>
        </w:tc>
        <w:tc>
          <w:tcPr>
            <w:tcW w:w="1843" w:type="dxa"/>
            <w:tcBorders>
              <w:top w:val="single" w:sz="4" w:space="0" w:color="auto"/>
              <w:bottom w:val="single" w:sz="4" w:space="0" w:color="auto"/>
            </w:tcBorders>
            <w:shd w:val="clear" w:color="auto" w:fill="auto"/>
          </w:tcPr>
          <w:p w14:paraId="16101D7F" w14:textId="77777777" w:rsidR="00A00CDF" w:rsidRDefault="00A00CDF" w:rsidP="00BC22F7">
            <w:pPr>
              <w:pStyle w:val="Tabletext"/>
            </w:pPr>
          </w:p>
        </w:tc>
      </w:tr>
      <w:tr w:rsidR="00367905" w:rsidRPr="00AA2EBC" w14:paraId="75FB9CFB" w14:textId="77777777" w:rsidTr="00A00CDF">
        <w:trPr>
          <w:trHeight w:val="426"/>
        </w:trPr>
        <w:tc>
          <w:tcPr>
            <w:tcW w:w="2127" w:type="dxa"/>
            <w:tcBorders>
              <w:top w:val="single" w:sz="4" w:space="0" w:color="auto"/>
              <w:bottom w:val="single" w:sz="4" w:space="0" w:color="auto"/>
            </w:tcBorders>
            <w:shd w:val="clear" w:color="auto" w:fill="auto"/>
          </w:tcPr>
          <w:p w14:paraId="074643A8" w14:textId="77777777" w:rsidR="00367905" w:rsidRDefault="0019737B" w:rsidP="00A00CDF">
            <w:pPr>
              <w:pStyle w:val="Tabletext"/>
            </w:pPr>
            <w:r>
              <w:t>4</w:t>
            </w:r>
            <w:r w:rsidR="00FD0A49">
              <w:t xml:space="preserve">. </w:t>
            </w:r>
            <w:r w:rsidR="00367905">
              <w:t>Sections 53 to 54</w:t>
            </w:r>
          </w:p>
        </w:tc>
        <w:tc>
          <w:tcPr>
            <w:tcW w:w="4394" w:type="dxa"/>
            <w:tcBorders>
              <w:top w:val="single" w:sz="4" w:space="0" w:color="auto"/>
              <w:bottom w:val="single" w:sz="4" w:space="0" w:color="auto"/>
            </w:tcBorders>
            <w:shd w:val="clear" w:color="auto" w:fill="auto"/>
          </w:tcPr>
          <w:p w14:paraId="2D9E497E" w14:textId="77777777" w:rsidR="00367905" w:rsidRDefault="00367905" w:rsidP="00367905">
            <w:pPr>
              <w:pStyle w:val="Tabletext"/>
            </w:pPr>
            <w:r>
              <w:t>A</w:t>
            </w:r>
            <w:r w:rsidRPr="008F3BC1">
              <w:t xml:space="preserve"> day or days to be fixed by the Minister by notifiable instrument</w:t>
            </w:r>
            <w:r>
              <w:t xml:space="preserve">. A commencement instrument must not specify a day before 1 March 2020. </w:t>
            </w:r>
          </w:p>
          <w:p w14:paraId="2C763FDB" w14:textId="77777777" w:rsidR="00367905" w:rsidRDefault="00367905" w:rsidP="00367905">
            <w:pPr>
              <w:pStyle w:val="Tabletext"/>
            </w:pPr>
            <w:r>
              <w:t xml:space="preserve">However, if any of the provisions do not commence before the commencement of </w:t>
            </w:r>
            <w:r w:rsidRPr="00515113">
              <w:t xml:space="preserve">section </w:t>
            </w:r>
            <w:r>
              <w:t xml:space="preserve">15 of the </w:t>
            </w:r>
            <w:r w:rsidRPr="008F3BC1">
              <w:rPr>
                <w:i/>
              </w:rPr>
              <w:t>Road Vehicle Standards Act 2018</w:t>
            </w:r>
            <w:r>
              <w:rPr>
                <w:i/>
              </w:rPr>
              <w:t xml:space="preserve">, </w:t>
            </w:r>
            <w:r>
              <w:t xml:space="preserve">they commence at the same time as that </w:t>
            </w:r>
            <w:r w:rsidRPr="00515113">
              <w:t>section</w:t>
            </w:r>
            <w:r>
              <w:t>.</w:t>
            </w:r>
          </w:p>
        </w:tc>
        <w:tc>
          <w:tcPr>
            <w:tcW w:w="1843" w:type="dxa"/>
            <w:tcBorders>
              <w:top w:val="single" w:sz="4" w:space="0" w:color="auto"/>
              <w:bottom w:val="single" w:sz="4" w:space="0" w:color="auto"/>
            </w:tcBorders>
            <w:shd w:val="clear" w:color="auto" w:fill="auto"/>
          </w:tcPr>
          <w:p w14:paraId="4F7C7E06" w14:textId="77777777" w:rsidR="00367905" w:rsidRDefault="00367905" w:rsidP="00BC22F7">
            <w:pPr>
              <w:pStyle w:val="Tabletext"/>
            </w:pPr>
          </w:p>
        </w:tc>
      </w:tr>
      <w:tr w:rsidR="00367905" w:rsidRPr="00AA2EBC" w14:paraId="6B31420E" w14:textId="77777777" w:rsidTr="00A00CDF">
        <w:trPr>
          <w:trHeight w:val="426"/>
        </w:trPr>
        <w:tc>
          <w:tcPr>
            <w:tcW w:w="2127" w:type="dxa"/>
            <w:tcBorders>
              <w:top w:val="single" w:sz="4" w:space="0" w:color="auto"/>
              <w:bottom w:val="single" w:sz="4" w:space="0" w:color="auto"/>
            </w:tcBorders>
            <w:shd w:val="clear" w:color="auto" w:fill="auto"/>
          </w:tcPr>
          <w:p w14:paraId="50C247D0" w14:textId="77777777" w:rsidR="00367905" w:rsidRDefault="0019737B" w:rsidP="00A00CDF">
            <w:pPr>
              <w:pStyle w:val="Tabletext"/>
            </w:pPr>
            <w:r>
              <w:t>5</w:t>
            </w:r>
            <w:r w:rsidR="00FD0A49">
              <w:t xml:space="preserve">. </w:t>
            </w:r>
            <w:r w:rsidR="00367905">
              <w:t>Sections 55 to 87</w:t>
            </w:r>
          </w:p>
        </w:tc>
        <w:tc>
          <w:tcPr>
            <w:tcW w:w="4394" w:type="dxa"/>
            <w:tcBorders>
              <w:top w:val="single" w:sz="4" w:space="0" w:color="auto"/>
              <w:bottom w:val="single" w:sz="4" w:space="0" w:color="auto"/>
            </w:tcBorders>
            <w:shd w:val="clear" w:color="auto" w:fill="auto"/>
          </w:tcPr>
          <w:p w14:paraId="4849CF81" w14:textId="77777777" w:rsidR="00367905" w:rsidRDefault="00367905" w:rsidP="00BC22F7">
            <w:pPr>
              <w:pStyle w:val="Tabletext"/>
            </w:pPr>
            <w:r>
              <w:t xml:space="preserve">At the same time as </w:t>
            </w:r>
            <w:r w:rsidRPr="00515113">
              <w:t xml:space="preserve">section </w:t>
            </w:r>
            <w:r>
              <w:t xml:space="preserve">15 of the </w:t>
            </w:r>
            <w:r w:rsidRPr="008F3BC1">
              <w:rPr>
                <w:i/>
              </w:rPr>
              <w:t>Road Vehicle Standards Act 2018</w:t>
            </w:r>
            <w:r>
              <w:rPr>
                <w:i/>
              </w:rPr>
              <w:t>.</w:t>
            </w:r>
          </w:p>
        </w:tc>
        <w:tc>
          <w:tcPr>
            <w:tcW w:w="1843" w:type="dxa"/>
            <w:tcBorders>
              <w:top w:val="single" w:sz="4" w:space="0" w:color="auto"/>
              <w:bottom w:val="single" w:sz="4" w:space="0" w:color="auto"/>
            </w:tcBorders>
            <w:shd w:val="clear" w:color="auto" w:fill="auto"/>
          </w:tcPr>
          <w:p w14:paraId="52AA52A4" w14:textId="77777777" w:rsidR="00367905" w:rsidRDefault="00367905" w:rsidP="00BC22F7">
            <w:pPr>
              <w:pStyle w:val="Tabletext"/>
            </w:pPr>
          </w:p>
        </w:tc>
      </w:tr>
      <w:tr w:rsidR="00367905" w:rsidRPr="00AA2EBC" w14:paraId="3D17B385" w14:textId="77777777" w:rsidTr="00A00CDF">
        <w:trPr>
          <w:trHeight w:val="426"/>
        </w:trPr>
        <w:tc>
          <w:tcPr>
            <w:tcW w:w="2127" w:type="dxa"/>
            <w:tcBorders>
              <w:top w:val="single" w:sz="4" w:space="0" w:color="auto"/>
              <w:bottom w:val="single" w:sz="4" w:space="0" w:color="auto"/>
            </w:tcBorders>
            <w:shd w:val="clear" w:color="auto" w:fill="auto"/>
          </w:tcPr>
          <w:p w14:paraId="5BC0032D" w14:textId="77777777" w:rsidR="00367905" w:rsidRDefault="0019737B" w:rsidP="00AD03B8">
            <w:pPr>
              <w:pStyle w:val="Tabletext"/>
            </w:pPr>
            <w:r>
              <w:t>6</w:t>
            </w:r>
            <w:r w:rsidR="00FD0A49">
              <w:t xml:space="preserve">. </w:t>
            </w:r>
            <w:r w:rsidR="00367905">
              <w:t xml:space="preserve">Sections </w:t>
            </w:r>
            <w:r w:rsidR="00AD03B8">
              <w:t>88 to 107</w:t>
            </w:r>
          </w:p>
        </w:tc>
        <w:tc>
          <w:tcPr>
            <w:tcW w:w="4394" w:type="dxa"/>
            <w:tcBorders>
              <w:top w:val="single" w:sz="4" w:space="0" w:color="auto"/>
              <w:bottom w:val="single" w:sz="4" w:space="0" w:color="auto"/>
            </w:tcBorders>
            <w:shd w:val="clear" w:color="auto" w:fill="auto"/>
          </w:tcPr>
          <w:p w14:paraId="7046CB5B" w14:textId="77777777" w:rsidR="00367905" w:rsidRDefault="00367905" w:rsidP="00367905">
            <w:pPr>
              <w:pStyle w:val="Tabletext"/>
            </w:pPr>
            <w:r>
              <w:t>A</w:t>
            </w:r>
            <w:r w:rsidRPr="008F3BC1">
              <w:t xml:space="preserve"> day or days to be fixed by the Minister by notifiable instrument</w:t>
            </w:r>
            <w:r>
              <w:t>. A commencement instrument must not specify a day before 1 December 2020.</w:t>
            </w:r>
          </w:p>
          <w:p w14:paraId="66F4657B" w14:textId="77777777" w:rsidR="00367905" w:rsidRDefault="00367905" w:rsidP="00367905">
            <w:pPr>
              <w:pStyle w:val="Tabletext"/>
            </w:pPr>
            <w:r>
              <w:t xml:space="preserve">However, if any of the provisions do not commence before the commencement of </w:t>
            </w:r>
            <w:r w:rsidRPr="00515113">
              <w:t xml:space="preserve">section </w:t>
            </w:r>
            <w:r>
              <w:t xml:space="preserve">15 of the </w:t>
            </w:r>
            <w:r w:rsidRPr="008F3BC1">
              <w:rPr>
                <w:i/>
              </w:rPr>
              <w:t>Road Vehicle Standards Act 2018</w:t>
            </w:r>
            <w:r>
              <w:rPr>
                <w:i/>
              </w:rPr>
              <w:t xml:space="preserve">, </w:t>
            </w:r>
            <w:r>
              <w:t xml:space="preserve">they commence at the same time as that </w:t>
            </w:r>
            <w:r w:rsidRPr="00515113">
              <w:t>section</w:t>
            </w:r>
            <w:r w:rsidR="00AD03B8">
              <w:t>.</w:t>
            </w:r>
          </w:p>
        </w:tc>
        <w:tc>
          <w:tcPr>
            <w:tcW w:w="1843" w:type="dxa"/>
            <w:tcBorders>
              <w:top w:val="single" w:sz="4" w:space="0" w:color="auto"/>
              <w:bottom w:val="single" w:sz="4" w:space="0" w:color="auto"/>
            </w:tcBorders>
            <w:shd w:val="clear" w:color="auto" w:fill="auto"/>
          </w:tcPr>
          <w:p w14:paraId="48E6109A" w14:textId="77777777" w:rsidR="00367905" w:rsidRDefault="00367905" w:rsidP="00367905">
            <w:pPr>
              <w:pStyle w:val="Tabletext"/>
            </w:pPr>
          </w:p>
        </w:tc>
      </w:tr>
      <w:tr w:rsidR="00367905" w:rsidRPr="00AA2EBC" w14:paraId="249A75E8" w14:textId="77777777" w:rsidTr="00A00CDF">
        <w:trPr>
          <w:trHeight w:val="426"/>
        </w:trPr>
        <w:tc>
          <w:tcPr>
            <w:tcW w:w="2127" w:type="dxa"/>
            <w:tcBorders>
              <w:top w:val="single" w:sz="4" w:space="0" w:color="auto"/>
              <w:bottom w:val="single" w:sz="4" w:space="0" w:color="auto"/>
            </w:tcBorders>
            <w:shd w:val="clear" w:color="auto" w:fill="auto"/>
          </w:tcPr>
          <w:p w14:paraId="514ECB69" w14:textId="77777777" w:rsidR="00367905" w:rsidRDefault="0019737B" w:rsidP="006121D5">
            <w:pPr>
              <w:pStyle w:val="Tabletext"/>
            </w:pPr>
            <w:r>
              <w:t>7</w:t>
            </w:r>
            <w:r w:rsidR="00FD0A49">
              <w:t xml:space="preserve">. </w:t>
            </w:r>
            <w:r w:rsidR="00367905">
              <w:t xml:space="preserve">Sections 108 to </w:t>
            </w:r>
            <w:r w:rsidR="006121D5">
              <w:t>124</w:t>
            </w:r>
          </w:p>
        </w:tc>
        <w:tc>
          <w:tcPr>
            <w:tcW w:w="4394" w:type="dxa"/>
            <w:tcBorders>
              <w:top w:val="single" w:sz="4" w:space="0" w:color="auto"/>
              <w:bottom w:val="single" w:sz="4" w:space="0" w:color="auto"/>
            </w:tcBorders>
            <w:shd w:val="clear" w:color="auto" w:fill="auto"/>
          </w:tcPr>
          <w:p w14:paraId="56DE49AB" w14:textId="77777777" w:rsidR="006121D5" w:rsidRDefault="006121D5" w:rsidP="006121D5">
            <w:pPr>
              <w:pStyle w:val="Tabletext"/>
            </w:pPr>
            <w:r>
              <w:t>A</w:t>
            </w:r>
            <w:r w:rsidRPr="008F3BC1">
              <w:t xml:space="preserve"> day or days to be fixed by the Minister by notifiable instrument</w:t>
            </w:r>
            <w:r>
              <w:t xml:space="preserve">. A commencement instrument must not specify a day before 1 March 2020. </w:t>
            </w:r>
          </w:p>
          <w:p w14:paraId="28BD0CC0" w14:textId="77777777" w:rsidR="00367905" w:rsidRDefault="006121D5" w:rsidP="006121D5">
            <w:pPr>
              <w:pStyle w:val="Tabletext"/>
            </w:pPr>
            <w:r>
              <w:t xml:space="preserve">However, if any of the provisions do not commence before the commencement of </w:t>
            </w:r>
            <w:r w:rsidRPr="00515113">
              <w:t xml:space="preserve">section </w:t>
            </w:r>
            <w:r>
              <w:t xml:space="preserve">15 of the </w:t>
            </w:r>
            <w:r w:rsidRPr="008F3BC1">
              <w:rPr>
                <w:i/>
              </w:rPr>
              <w:t>Road Vehicle Standards Act 2018</w:t>
            </w:r>
            <w:r>
              <w:rPr>
                <w:i/>
              </w:rPr>
              <w:t xml:space="preserve">, </w:t>
            </w:r>
            <w:r>
              <w:t xml:space="preserve">they commence </w:t>
            </w:r>
            <w:r>
              <w:lastRenderedPageBreak/>
              <w:t xml:space="preserve">at the same time as that </w:t>
            </w:r>
            <w:r w:rsidRPr="00515113">
              <w:t>section</w:t>
            </w:r>
            <w:r>
              <w:t>.</w:t>
            </w:r>
          </w:p>
        </w:tc>
        <w:tc>
          <w:tcPr>
            <w:tcW w:w="1843" w:type="dxa"/>
            <w:tcBorders>
              <w:top w:val="single" w:sz="4" w:space="0" w:color="auto"/>
              <w:bottom w:val="single" w:sz="4" w:space="0" w:color="auto"/>
            </w:tcBorders>
            <w:shd w:val="clear" w:color="auto" w:fill="auto"/>
          </w:tcPr>
          <w:p w14:paraId="779EDD3D" w14:textId="77777777" w:rsidR="00367905" w:rsidRDefault="00367905" w:rsidP="00367905">
            <w:pPr>
              <w:pStyle w:val="Tabletext"/>
            </w:pPr>
          </w:p>
        </w:tc>
      </w:tr>
      <w:tr w:rsidR="006121D5" w:rsidRPr="00AA2EBC" w14:paraId="5F0422CE" w14:textId="77777777" w:rsidTr="00A00CDF">
        <w:trPr>
          <w:trHeight w:val="426"/>
        </w:trPr>
        <w:tc>
          <w:tcPr>
            <w:tcW w:w="2127" w:type="dxa"/>
            <w:tcBorders>
              <w:top w:val="single" w:sz="4" w:space="0" w:color="auto"/>
              <w:bottom w:val="single" w:sz="4" w:space="0" w:color="auto"/>
            </w:tcBorders>
            <w:shd w:val="clear" w:color="auto" w:fill="auto"/>
          </w:tcPr>
          <w:p w14:paraId="54AA0BCA" w14:textId="77777777" w:rsidR="006121D5" w:rsidRDefault="0019737B" w:rsidP="00506455">
            <w:pPr>
              <w:pStyle w:val="Tabletext"/>
            </w:pPr>
            <w:r>
              <w:t>8</w:t>
            </w:r>
            <w:r w:rsidR="00FD0A49">
              <w:t xml:space="preserve">. </w:t>
            </w:r>
            <w:r w:rsidR="00506455">
              <w:t>Sections 125 to 143</w:t>
            </w:r>
          </w:p>
        </w:tc>
        <w:tc>
          <w:tcPr>
            <w:tcW w:w="4394" w:type="dxa"/>
            <w:tcBorders>
              <w:top w:val="single" w:sz="4" w:space="0" w:color="auto"/>
              <w:bottom w:val="single" w:sz="4" w:space="0" w:color="auto"/>
            </w:tcBorders>
            <w:shd w:val="clear" w:color="auto" w:fill="auto"/>
          </w:tcPr>
          <w:p w14:paraId="1A931B4D" w14:textId="77777777" w:rsidR="006121D5" w:rsidRDefault="006121D5" w:rsidP="006121D5">
            <w:pPr>
              <w:pStyle w:val="Tabletext"/>
            </w:pPr>
            <w:r>
              <w:t>A</w:t>
            </w:r>
            <w:r w:rsidRPr="008F3BC1">
              <w:t xml:space="preserve"> day or days to be fixed by the Minister by notifiable instrument</w:t>
            </w:r>
            <w:r>
              <w:t>. A commencement instrument must not specify a day before 1 December 2020.</w:t>
            </w:r>
          </w:p>
          <w:p w14:paraId="188B276D" w14:textId="77777777" w:rsidR="006121D5" w:rsidRDefault="006121D5" w:rsidP="006121D5">
            <w:pPr>
              <w:pStyle w:val="Tabletext"/>
            </w:pPr>
            <w:r>
              <w:t xml:space="preserve">However, if any of the provisions do not commence before the commencement of </w:t>
            </w:r>
            <w:r w:rsidRPr="00515113">
              <w:t xml:space="preserve">section </w:t>
            </w:r>
            <w:r>
              <w:t xml:space="preserve">15 of the </w:t>
            </w:r>
            <w:r w:rsidRPr="008F3BC1">
              <w:rPr>
                <w:i/>
              </w:rPr>
              <w:t>Road Vehicle Standards Act 2018</w:t>
            </w:r>
            <w:r>
              <w:rPr>
                <w:i/>
              </w:rPr>
              <w:t xml:space="preserve">, </w:t>
            </w:r>
            <w:r>
              <w:t xml:space="preserve">they commence at the same time as that </w:t>
            </w:r>
            <w:r w:rsidRPr="00515113">
              <w:t>section</w:t>
            </w:r>
            <w:r>
              <w:t>.</w:t>
            </w:r>
          </w:p>
        </w:tc>
        <w:tc>
          <w:tcPr>
            <w:tcW w:w="1843" w:type="dxa"/>
            <w:tcBorders>
              <w:top w:val="single" w:sz="4" w:space="0" w:color="auto"/>
              <w:bottom w:val="single" w:sz="4" w:space="0" w:color="auto"/>
            </w:tcBorders>
            <w:shd w:val="clear" w:color="auto" w:fill="auto"/>
          </w:tcPr>
          <w:p w14:paraId="2D743AE5" w14:textId="77777777" w:rsidR="006121D5" w:rsidRDefault="006121D5" w:rsidP="00367905">
            <w:pPr>
              <w:pStyle w:val="Tabletext"/>
            </w:pPr>
          </w:p>
        </w:tc>
      </w:tr>
      <w:tr w:rsidR="00367905" w:rsidRPr="00AA2EBC" w14:paraId="3C71E73B" w14:textId="77777777" w:rsidTr="00A00CDF">
        <w:trPr>
          <w:trHeight w:val="426"/>
        </w:trPr>
        <w:tc>
          <w:tcPr>
            <w:tcW w:w="2127" w:type="dxa"/>
            <w:tcBorders>
              <w:top w:val="single" w:sz="4" w:space="0" w:color="auto"/>
              <w:bottom w:val="single" w:sz="4" w:space="0" w:color="auto"/>
            </w:tcBorders>
            <w:shd w:val="clear" w:color="auto" w:fill="auto"/>
          </w:tcPr>
          <w:p w14:paraId="3CB81AD8" w14:textId="77777777" w:rsidR="00367905" w:rsidRDefault="0019737B" w:rsidP="00367905">
            <w:pPr>
              <w:pStyle w:val="Tabletext"/>
            </w:pPr>
            <w:r>
              <w:t>9</w:t>
            </w:r>
            <w:r w:rsidR="00FD0A49">
              <w:t xml:space="preserve">. </w:t>
            </w:r>
            <w:r w:rsidR="00E62E5E">
              <w:t xml:space="preserve">Sections 144 to 171 </w:t>
            </w:r>
          </w:p>
        </w:tc>
        <w:tc>
          <w:tcPr>
            <w:tcW w:w="4394" w:type="dxa"/>
            <w:tcBorders>
              <w:top w:val="single" w:sz="4" w:space="0" w:color="auto"/>
              <w:bottom w:val="single" w:sz="4" w:space="0" w:color="auto"/>
            </w:tcBorders>
            <w:shd w:val="clear" w:color="auto" w:fill="auto"/>
          </w:tcPr>
          <w:p w14:paraId="7DEA9A6B" w14:textId="77777777" w:rsidR="00367905" w:rsidRDefault="00E62E5E" w:rsidP="00367905">
            <w:pPr>
              <w:pStyle w:val="Tabletext"/>
            </w:pPr>
            <w:r>
              <w:t xml:space="preserve">At the same time as </w:t>
            </w:r>
            <w:r w:rsidRPr="00515113">
              <w:t xml:space="preserve">section </w:t>
            </w:r>
            <w:r>
              <w:t xml:space="preserve">15 of the </w:t>
            </w:r>
            <w:r w:rsidRPr="008F3BC1">
              <w:rPr>
                <w:i/>
              </w:rPr>
              <w:t>Road Vehicle Standards Act 2018</w:t>
            </w:r>
            <w:r>
              <w:rPr>
                <w:i/>
              </w:rPr>
              <w:t>.</w:t>
            </w:r>
          </w:p>
        </w:tc>
        <w:tc>
          <w:tcPr>
            <w:tcW w:w="1843" w:type="dxa"/>
            <w:tcBorders>
              <w:top w:val="single" w:sz="4" w:space="0" w:color="auto"/>
              <w:bottom w:val="single" w:sz="4" w:space="0" w:color="auto"/>
            </w:tcBorders>
            <w:shd w:val="clear" w:color="auto" w:fill="auto"/>
          </w:tcPr>
          <w:p w14:paraId="2C3305CA" w14:textId="77777777" w:rsidR="00367905" w:rsidRDefault="00367905" w:rsidP="00367905">
            <w:pPr>
              <w:pStyle w:val="Tabletext"/>
            </w:pPr>
          </w:p>
        </w:tc>
      </w:tr>
      <w:tr w:rsidR="00E62E5E" w:rsidRPr="00AA2EBC" w14:paraId="3D5642E4" w14:textId="77777777" w:rsidTr="00A00CDF">
        <w:trPr>
          <w:trHeight w:val="426"/>
        </w:trPr>
        <w:tc>
          <w:tcPr>
            <w:tcW w:w="2127" w:type="dxa"/>
            <w:tcBorders>
              <w:top w:val="single" w:sz="4" w:space="0" w:color="auto"/>
              <w:bottom w:val="single" w:sz="4" w:space="0" w:color="auto"/>
            </w:tcBorders>
            <w:shd w:val="clear" w:color="auto" w:fill="auto"/>
          </w:tcPr>
          <w:p w14:paraId="78C09BE5" w14:textId="77777777" w:rsidR="00E62E5E" w:rsidRDefault="00FD0A49" w:rsidP="0019737B">
            <w:pPr>
              <w:pStyle w:val="Tabletext"/>
            </w:pPr>
            <w:r>
              <w:t>1</w:t>
            </w:r>
            <w:r w:rsidR="0019737B">
              <w:t>0</w:t>
            </w:r>
            <w:r>
              <w:t xml:space="preserve">. </w:t>
            </w:r>
            <w:r w:rsidR="00E62E5E">
              <w:t>Sections 172 to 188</w:t>
            </w:r>
          </w:p>
        </w:tc>
        <w:tc>
          <w:tcPr>
            <w:tcW w:w="4394" w:type="dxa"/>
            <w:tcBorders>
              <w:top w:val="single" w:sz="4" w:space="0" w:color="auto"/>
              <w:bottom w:val="single" w:sz="4" w:space="0" w:color="auto"/>
            </w:tcBorders>
            <w:shd w:val="clear" w:color="auto" w:fill="auto"/>
          </w:tcPr>
          <w:p w14:paraId="10299BC0" w14:textId="77777777" w:rsidR="00E62E5E" w:rsidRDefault="00E62E5E" w:rsidP="00E62E5E">
            <w:pPr>
              <w:pStyle w:val="Tabletext"/>
            </w:pPr>
            <w:r>
              <w:t>A</w:t>
            </w:r>
            <w:r w:rsidRPr="008F3BC1">
              <w:t xml:space="preserve"> day or days to be fixed by the Minister by notifiable instrument</w:t>
            </w:r>
            <w:r>
              <w:t>. A commencement instrument must not specify a day before 1 June 2020.</w:t>
            </w:r>
          </w:p>
          <w:p w14:paraId="2748DC75" w14:textId="77777777" w:rsidR="00E62E5E" w:rsidRDefault="00E62E5E" w:rsidP="00E62E5E">
            <w:pPr>
              <w:pStyle w:val="Tabletext"/>
            </w:pPr>
            <w:r>
              <w:t xml:space="preserve">However, if any of the provisions do not commence before the commencement of </w:t>
            </w:r>
            <w:r w:rsidRPr="00515113">
              <w:t xml:space="preserve">section </w:t>
            </w:r>
            <w:r>
              <w:t xml:space="preserve">15 of the </w:t>
            </w:r>
            <w:r w:rsidRPr="008F3BC1">
              <w:rPr>
                <w:i/>
              </w:rPr>
              <w:t>Road Vehicle Standards Act 2018</w:t>
            </w:r>
            <w:r>
              <w:rPr>
                <w:i/>
              </w:rPr>
              <w:t xml:space="preserve">, </w:t>
            </w:r>
            <w:r>
              <w:t xml:space="preserve">they commence at the same time as that </w:t>
            </w:r>
            <w:r w:rsidRPr="00515113">
              <w:t>section</w:t>
            </w:r>
            <w:r>
              <w:t>.</w:t>
            </w:r>
          </w:p>
        </w:tc>
        <w:tc>
          <w:tcPr>
            <w:tcW w:w="1843" w:type="dxa"/>
            <w:tcBorders>
              <w:top w:val="single" w:sz="4" w:space="0" w:color="auto"/>
              <w:bottom w:val="single" w:sz="4" w:space="0" w:color="auto"/>
            </w:tcBorders>
            <w:shd w:val="clear" w:color="auto" w:fill="auto"/>
          </w:tcPr>
          <w:p w14:paraId="313E47D3" w14:textId="77777777" w:rsidR="00E62E5E" w:rsidRDefault="00E62E5E" w:rsidP="00E62E5E">
            <w:pPr>
              <w:pStyle w:val="Tabletext"/>
            </w:pPr>
          </w:p>
        </w:tc>
      </w:tr>
      <w:tr w:rsidR="00E62E5E" w:rsidRPr="00AA2EBC" w14:paraId="1A3AE167" w14:textId="77777777" w:rsidTr="00A00CDF">
        <w:trPr>
          <w:trHeight w:val="426"/>
        </w:trPr>
        <w:tc>
          <w:tcPr>
            <w:tcW w:w="2127" w:type="dxa"/>
            <w:tcBorders>
              <w:top w:val="single" w:sz="4" w:space="0" w:color="auto"/>
              <w:bottom w:val="single" w:sz="4" w:space="0" w:color="auto"/>
            </w:tcBorders>
            <w:shd w:val="clear" w:color="auto" w:fill="auto"/>
          </w:tcPr>
          <w:p w14:paraId="31510B7B" w14:textId="77777777" w:rsidR="00E62E5E" w:rsidRDefault="00FD0A49" w:rsidP="0019737B">
            <w:pPr>
              <w:pStyle w:val="Tabletext"/>
            </w:pPr>
            <w:r>
              <w:t>1</w:t>
            </w:r>
            <w:r w:rsidR="0019737B">
              <w:t>1</w:t>
            </w:r>
            <w:r>
              <w:t xml:space="preserve">. </w:t>
            </w:r>
            <w:r w:rsidR="00E62E5E">
              <w:t>Sections 189 to 202</w:t>
            </w:r>
          </w:p>
        </w:tc>
        <w:tc>
          <w:tcPr>
            <w:tcW w:w="4394" w:type="dxa"/>
            <w:tcBorders>
              <w:top w:val="single" w:sz="4" w:space="0" w:color="auto"/>
              <w:bottom w:val="single" w:sz="4" w:space="0" w:color="auto"/>
            </w:tcBorders>
            <w:shd w:val="clear" w:color="auto" w:fill="auto"/>
          </w:tcPr>
          <w:p w14:paraId="0D3241AE" w14:textId="77777777" w:rsidR="00E62E5E" w:rsidRDefault="00E62E5E" w:rsidP="00E62E5E">
            <w:pPr>
              <w:pStyle w:val="Tabletext"/>
            </w:pPr>
            <w:r>
              <w:t>A</w:t>
            </w:r>
            <w:r w:rsidRPr="008F3BC1">
              <w:t xml:space="preserve"> day or days to be fixed by the Minister by notifiable instrument</w:t>
            </w:r>
            <w:r>
              <w:t xml:space="preserve">. A commencement instrument must not specify a day before 1 March 2020. </w:t>
            </w:r>
          </w:p>
          <w:p w14:paraId="5C0E7B70" w14:textId="77777777" w:rsidR="00E62E5E" w:rsidRDefault="00E62E5E" w:rsidP="00E62E5E">
            <w:pPr>
              <w:pStyle w:val="Tabletext"/>
            </w:pPr>
            <w:r>
              <w:t xml:space="preserve">However, if any of the provisions do not commence before the commencement of </w:t>
            </w:r>
            <w:r w:rsidRPr="00515113">
              <w:t xml:space="preserve">section </w:t>
            </w:r>
            <w:r>
              <w:t xml:space="preserve">15 of the </w:t>
            </w:r>
            <w:r w:rsidRPr="008F3BC1">
              <w:rPr>
                <w:i/>
              </w:rPr>
              <w:t>Road Vehicle Standards Act 2018</w:t>
            </w:r>
            <w:r>
              <w:rPr>
                <w:i/>
              </w:rPr>
              <w:t xml:space="preserve">, </w:t>
            </w:r>
            <w:r>
              <w:t xml:space="preserve">they commence at the same time as that </w:t>
            </w:r>
            <w:r w:rsidRPr="00515113">
              <w:t>section</w:t>
            </w:r>
            <w:r>
              <w:t>.</w:t>
            </w:r>
          </w:p>
        </w:tc>
        <w:tc>
          <w:tcPr>
            <w:tcW w:w="1843" w:type="dxa"/>
            <w:tcBorders>
              <w:top w:val="single" w:sz="4" w:space="0" w:color="auto"/>
              <w:bottom w:val="single" w:sz="4" w:space="0" w:color="auto"/>
            </w:tcBorders>
            <w:shd w:val="clear" w:color="auto" w:fill="auto"/>
          </w:tcPr>
          <w:p w14:paraId="32A25F9D" w14:textId="77777777" w:rsidR="00E62E5E" w:rsidRDefault="00E62E5E" w:rsidP="00E62E5E">
            <w:pPr>
              <w:pStyle w:val="Tabletext"/>
            </w:pPr>
          </w:p>
        </w:tc>
      </w:tr>
      <w:tr w:rsidR="00E62E5E" w:rsidRPr="00AA2EBC" w14:paraId="4D5BB565" w14:textId="77777777" w:rsidTr="00A00CDF">
        <w:trPr>
          <w:trHeight w:val="426"/>
        </w:trPr>
        <w:tc>
          <w:tcPr>
            <w:tcW w:w="2127" w:type="dxa"/>
            <w:tcBorders>
              <w:top w:val="single" w:sz="4" w:space="0" w:color="auto"/>
              <w:bottom w:val="single" w:sz="4" w:space="0" w:color="auto"/>
            </w:tcBorders>
            <w:shd w:val="clear" w:color="auto" w:fill="auto"/>
          </w:tcPr>
          <w:p w14:paraId="5FE5FE50" w14:textId="77777777" w:rsidR="00E62E5E" w:rsidRDefault="0019737B" w:rsidP="00D2559E">
            <w:pPr>
              <w:pStyle w:val="Tabletext"/>
            </w:pPr>
            <w:r>
              <w:t>12</w:t>
            </w:r>
            <w:r w:rsidR="00FD0A49">
              <w:t xml:space="preserve">. </w:t>
            </w:r>
            <w:r w:rsidR="003D2C57">
              <w:t xml:space="preserve">Sections 203 to </w:t>
            </w:r>
            <w:r w:rsidR="00043F5C">
              <w:t xml:space="preserve">220 </w:t>
            </w:r>
          </w:p>
        </w:tc>
        <w:tc>
          <w:tcPr>
            <w:tcW w:w="4394" w:type="dxa"/>
            <w:tcBorders>
              <w:top w:val="single" w:sz="4" w:space="0" w:color="auto"/>
              <w:bottom w:val="single" w:sz="4" w:space="0" w:color="auto"/>
            </w:tcBorders>
            <w:shd w:val="clear" w:color="auto" w:fill="auto"/>
          </w:tcPr>
          <w:p w14:paraId="155A315C" w14:textId="77777777" w:rsidR="00E62E5E" w:rsidRDefault="00043F5C" w:rsidP="00E62E5E">
            <w:pPr>
              <w:pStyle w:val="Tabletext"/>
            </w:pPr>
            <w:r>
              <w:t xml:space="preserve">At the same time as </w:t>
            </w:r>
            <w:r w:rsidRPr="00515113">
              <w:t xml:space="preserve">section </w:t>
            </w:r>
            <w:r>
              <w:t xml:space="preserve">15 of the </w:t>
            </w:r>
            <w:r w:rsidRPr="008F3BC1">
              <w:rPr>
                <w:i/>
              </w:rPr>
              <w:t>Road Vehicle Standards Act 2018</w:t>
            </w:r>
            <w:r>
              <w:rPr>
                <w:i/>
              </w:rPr>
              <w:t>.</w:t>
            </w:r>
          </w:p>
        </w:tc>
        <w:tc>
          <w:tcPr>
            <w:tcW w:w="1843" w:type="dxa"/>
            <w:tcBorders>
              <w:top w:val="single" w:sz="4" w:space="0" w:color="auto"/>
              <w:bottom w:val="single" w:sz="4" w:space="0" w:color="auto"/>
            </w:tcBorders>
            <w:shd w:val="clear" w:color="auto" w:fill="auto"/>
          </w:tcPr>
          <w:p w14:paraId="40245849" w14:textId="77777777" w:rsidR="00E62E5E" w:rsidRDefault="00E62E5E" w:rsidP="00E62E5E">
            <w:pPr>
              <w:pStyle w:val="Tabletext"/>
            </w:pPr>
          </w:p>
        </w:tc>
      </w:tr>
      <w:tr w:rsidR="00E62E5E" w:rsidRPr="00AA2EBC" w14:paraId="67773D5C" w14:textId="77777777" w:rsidTr="00A00CDF">
        <w:trPr>
          <w:trHeight w:val="426"/>
        </w:trPr>
        <w:tc>
          <w:tcPr>
            <w:tcW w:w="2127" w:type="dxa"/>
            <w:tcBorders>
              <w:top w:val="single" w:sz="4" w:space="0" w:color="auto"/>
              <w:bottom w:val="single" w:sz="4" w:space="0" w:color="auto"/>
            </w:tcBorders>
            <w:shd w:val="clear" w:color="auto" w:fill="auto"/>
          </w:tcPr>
          <w:p w14:paraId="524ACB77" w14:textId="77777777" w:rsidR="00E62E5E" w:rsidRDefault="0019737B" w:rsidP="00900023">
            <w:pPr>
              <w:pStyle w:val="Tabletext"/>
            </w:pPr>
            <w:r>
              <w:t>13</w:t>
            </w:r>
            <w:r w:rsidR="00FD0A49">
              <w:t xml:space="preserve">. </w:t>
            </w:r>
            <w:r w:rsidR="00043F5C">
              <w:t xml:space="preserve">Sections </w:t>
            </w:r>
            <w:r w:rsidR="00FD0A49">
              <w:t>22</w:t>
            </w:r>
            <w:r w:rsidR="00900023">
              <w:t>1</w:t>
            </w:r>
            <w:r w:rsidR="00FD0A49">
              <w:t xml:space="preserve"> to </w:t>
            </w:r>
            <w:r w:rsidR="00B41243">
              <w:t>232</w:t>
            </w:r>
          </w:p>
        </w:tc>
        <w:tc>
          <w:tcPr>
            <w:tcW w:w="4394" w:type="dxa"/>
            <w:tcBorders>
              <w:top w:val="single" w:sz="4" w:space="0" w:color="auto"/>
              <w:bottom w:val="single" w:sz="4" w:space="0" w:color="auto"/>
            </w:tcBorders>
            <w:shd w:val="clear" w:color="auto" w:fill="auto"/>
          </w:tcPr>
          <w:p w14:paraId="1A6C8407" w14:textId="77777777" w:rsidR="00043F5C" w:rsidRDefault="00043F5C" w:rsidP="00043F5C">
            <w:pPr>
              <w:pStyle w:val="Tabletext"/>
            </w:pPr>
            <w:r>
              <w:t>A</w:t>
            </w:r>
            <w:r w:rsidRPr="008F3BC1">
              <w:t xml:space="preserve"> day or days to be fixed by the Minister by notifiable instrument</w:t>
            </w:r>
            <w:r>
              <w:t xml:space="preserve">. A commencement instrument must not specify a day before 1 March 2020. </w:t>
            </w:r>
          </w:p>
          <w:p w14:paraId="5011B451" w14:textId="77777777" w:rsidR="00506455" w:rsidRDefault="00043F5C" w:rsidP="00B41243">
            <w:pPr>
              <w:pStyle w:val="Tabletext"/>
            </w:pPr>
            <w:r>
              <w:t xml:space="preserve">However, if any of the provisions do not commence before the commencement of </w:t>
            </w:r>
            <w:r w:rsidRPr="00515113">
              <w:t xml:space="preserve">section </w:t>
            </w:r>
            <w:r>
              <w:t xml:space="preserve">15 of the </w:t>
            </w:r>
            <w:r w:rsidRPr="008F3BC1">
              <w:rPr>
                <w:i/>
              </w:rPr>
              <w:t>Road Vehicle Standards Act 2018</w:t>
            </w:r>
            <w:r>
              <w:rPr>
                <w:i/>
              </w:rPr>
              <w:t xml:space="preserve">, </w:t>
            </w:r>
            <w:r>
              <w:t xml:space="preserve">they commence at the same time as that </w:t>
            </w:r>
            <w:r w:rsidRPr="00515113">
              <w:t>section</w:t>
            </w:r>
            <w:r>
              <w:t>.</w:t>
            </w:r>
          </w:p>
        </w:tc>
        <w:tc>
          <w:tcPr>
            <w:tcW w:w="1843" w:type="dxa"/>
            <w:tcBorders>
              <w:top w:val="single" w:sz="4" w:space="0" w:color="auto"/>
              <w:bottom w:val="single" w:sz="4" w:space="0" w:color="auto"/>
            </w:tcBorders>
            <w:shd w:val="clear" w:color="auto" w:fill="auto"/>
          </w:tcPr>
          <w:p w14:paraId="523F74F8" w14:textId="77777777" w:rsidR="00E62E5E" w:rsidRDefault="00E62E5E" w:rsidP="00E62E5E">
            <w:pPr>
              <w:pStyle w:val="Tabletext"/>
            </w:pPr>
          </w:p>
        </w:tc>
      </w:tr>
      <w:tr w:rsidR="00586B12" w:rsidRPr="00AA2EBC" w14:paraId="4EBDAD5A" w14:textId="77777777" w:rsidTr="00A00CDF">
        <w:trPr>
          <w:trHeight w:val="426"/>
        </w:trPr>
        <w:tc>
          <w:tcPr>
            <w:tcW w:w="2127" w:type="dxa"/>
            <w:tcBorders>
              <w:top w:val="single" w:sz="4" w:space="0" w:color="auto"/>
              <w:bottom w:val="single" w:sz="4" w:space="0" w:color="auto"/>
            </w:tcBorders>
            <w:shd w:val="clear" w:color="auto" w:fill="auto"/>
          </w:tcPr>
          <w:p w14:paraId="6479E882" w14:textId="77777777" w:rsidR="00586B12" w:rsidRDefault="0019737B" w:rsidP="00043F5C">
            <w:pPr>
              <w:pStyle w:val="Tabletext"/>
            </w:pPr>
            <w:r>
              <w:t>14</w:t>
            </w:r>
            <w:r w:rsidR="00586B12">
              <w:t>. Section 233</w:t>
            </w:r>
          </w:p>
        </w:tc>
        <w:tc>
          <w:tcPr>
            <w:tcW w:w="4394" w:type="dxa"/>
            <w:tcBorders>
              <w:top w:val="single" w:sz="4" w:space="0" w:color="auto"/>
              <w:bottom w:val="single" w:sz="4" w:space="0" w:color="auto"/>
            </w:tcBorders>
            <w:shd w:val="clear" w:color="auto" w:fill="auto"/>
          </w:tcPr>
          <w:p w14:paraId="33D9A742" w14:textId="77777777" w:rsidR="00586B12" w:rsidRDefault="00586B12" w:rsidP="00043F5C">
            <w:pPr>
              <w:pStyle w:val="Tabletext"/>
            </w:pPr>
            <w:r>
              <w:t xml:space="preserve">At the same time as </w:t>
            </w:r>
            <w:r w:rsidRPr="00515113">
              <w:t xml:space="preserve">section </w:t>
            </w:r>
            <w:r>
              <w:t xml:space="preserve">15 of the </w:t>
            </w:r>
            <w:r w:rsidRPr="008F3BC1">
              <w:rPr>
                <w:i/>
              </w:rPr>
              <w:t>Road Vehicle Standards Act 2018</w:t>
            </w:r>
            <w:r>
              <w:rPr>
                <w:i/>
              </w:rPr>
              <w:t>.</w:t>
            </w:r>
          </w:p>
        </w:tc>
        <w:tc>
          <w:tcPr>
            <w:tcW w:w="1843" w:type="dxa"/>
            <w:tcBorders>
              <w:top w:val="single" w:sz="4" w:space="0" w:color="auto"/>
              <w:bottom w:val="single" w:sz="4" w:space="0" w:color="auto"/>
            </w:tcBorders>
            <w:shd w:val="clear" w:color="auto" w:fill="auto"/>
          </w:tcPr>
          <w:p w14:paraId="3FF25542" w14:textId="77777777" w:rsidR="00586B12" w:rsidRDefault="00586B12" w:rsidP="00E62E5E">
            <w:pPr>
              <w:pStyle w:val="Tabletext"/>
            </w:pPr>
          </w:p>
        </w:tc>
      </w:tr>
      <w:tr w:rsidR="00043F5C" w:rsidRPr="00AA2EBC" w14:paraId="64162C57" w14:textId="77777777" w:rsidTr="00043F5C">
        <w:trPr>
          <w:trHeight w:val="426"/>
        </w:trPr>
        <w:tc>
          <w:tcPr>
            <w:tcW w:w="2127" w:type="dxa"/>
            <w:tcBorders>
              <w:top w:val="single" w:sz="4" w:space="0" w:color="auto"/>
              <w:bottom w:val="single" w:sz="12" w:space="0" w:color="auto"/>
            </w:tcBorders>
            <w:shd w:val="clear" w:color="auto" w:fill="auto"/>
          </w:tcPr>
          <w:p w14:paraId="5DB03082" w14:textId="77777777" w:rsidR="00043F5C" w:rsidRDefault="0019737B" w:rsidP="00325D3E">
            <w:pPr>
              <w:pStyle w:val="Tabletext"/>
            </w:pPr>
            <w:r>
              <w:t>15</w:t>
            </w:r>
            <w:r w:rsidR="00FD0A49">
              <w:t xml:space="preserve">. </w:t>
            </w:r>
            <w:r w:rsidR="00586B12">
              <w:t>Sections 2</w:t>
            </w:r>
            <w:r w:rsidR="005F5497">
              <w:t>3</w:t>
            </w:r>
            <w:r w:rsidR="00586B12">
              <w:t>4</w:t>
            </w:r>
            <w:r w:rsidR="00043F5C">
              <w:t xml:space="preserve"> to </w:t>
            </w:r>
            <w:r w:rsidR="00900023">
              <w:t>25</w:t>
            </w:r>
            <w:r w:rsidR="00325D3E">
              <w:t>3</w:t>
            </w:r>
          </w:p>
        </w:tc>
        <w:tc>
          <w:tcPr>
            <w:tcW w:w="4394" w:type="dxa"/>
            <w:tcBorders>
              <w:top w:val="single" w:sz="4" w:space="0" w:color="auto"/>
              <w:bottom w:val="single" w:sz="12" w:space="0" w:color="auto"/>
            </w:tcBorders>
            <w:shd w:val="clear" w:color="auto" w:fill="auto"/>
          </w:tcPr>
          <w:p w14:paraId="4B41CAC3" w14:textId="77777777" w:rsidR="00B41243" w:rsidRDefault="00B41243" w:rsidP="00B41243">
            <w:pPr>
              <w:pStyle w:val="Tabletext"/>
            </w:pPr>
            <w:r>
              <w:t>A</w:t>
            </w:r>
            <w:r w:rsidRPr="008F3BC1">
              <w:t xml:space="preserve"> day or days to be fixed by the Minister by notifiable instrument</w:t>
            </w:r>
            <w:r>
              <w:t xml:space="preserve">. A commencement instrument must not specify a day before 1 March 2020. </w:t>
            </w:r>
          </w:p>
          <w:p w14:paraId="360C6505" w14:textId="77777777" w:rsidR="00B41243" w:rsidRDefault="00B41243" w:rsidP="00B41243">
            <w:pPr>
              <w:pStyle w:val="Tabletext"/>
            </w:pPr>
            <w:r>
              <w:t xml:space="preserve">However, if any of the provisions do not commence before the commencement of </w:t>
            </w:r>
            <w:r w:rsidRPr="00515113">
              <w:t xml:space="preserve">section </w:t>
            </w:r>
            <w:r>
              <w:t xml:space="preserve">15 of the </w:t>
            </w:r>
            <w:r w:rsidRPr="008F3BC1">
              <w:rPr>
                <w:i/>
              </w:rPr>
              <w:t>Road Vehicle Standards Act 2018</w:t>
            </w:r>
            <w:r>
              <w:rPr>
                <w:i/>
              </w:rPr>
              <w:t xml:space="preserve">, </w:t>
            </w:r>
            <w:r>
              <w:t xml:space="preserve">they commence at the same time as that </w:t>
            </w:r>
            <w:r w:rsidRPr="00515113">
              <w:t>section</w:t>
            </w:r>
            <w:r>
              <w:t>.</w:t>
            </w:r>
          </w:p>
        </w:tc>
        <w:tc>
          <w:tcPr>
            <w:tcW w:w="1843" w:type="dxa"/>
            <w:tcBorders>
              <w:top w:val="single" w:sz="4" w:space="0" w:color="auto"/>
              <w:bottom w:val="single" w:sz="12" w:space="0" w:color="auto"/>
            </w:tcBorders>
            <w:shd w:val="clear" w:color="auto" w:fill="auto"/>
          </w:tcPr>
          <w:p w14:paraId="148C43EA" w14:textId="77777777" w:rsidR="00043F5C" w:rsidRDefault="00043F5C" w:rsidP="00E62E5E">
            <w:pPr>
              <w:pStyle w:val="Tabletext"/>
            </w:pPr>
          </w:p>
        </w:tc>
      </w:tr>
    </w:tbl>
    <w:p w14:paraId="41AFF89F" w14:textId="77777777" w:rsidR="00205722" w:rsidRPr="00676843" w:rsidRDefault="00205722" w:rsidP="00205722">
      <w:pPr>
        <w:pStyle w:val="notetext"/>
      </w:pPr>
      <w:r w:rsidRPr="00676843">
        <w:rPr>
          <w:snapToGrid w:val="0"/>
          <w:lang w:eastAsia="en-US"/>
        </w:rPr>
        <w:t>Note:</w:t>
      </w:r>
      <w:r w:rsidRPr="00676843">
        <w:rPr>
          <w:snapToGrid w:val="0"/>
          <w:lang w:eastAsia="en-US"/>
        </w:rPr>
        <w:tab/>
        <w:t xml:space="preserve">This table relates only to the provisions of this </w:t>
      </w:r>
      <w:r w:rsidRPr="00676843">
        <w:t xml:space="preserve">instrument </w:t>
      </w:r>
      <w:r w:rsidRPr="00676843">
        <w:rPr>
          <w:snapToGrid w:val="0"/>
          <w:lang w:eastAsia="en-US"/>
        </w:rPr>
        <w:t xml:space="preserve">as originally </w:t>
      </w:r>
      <w:r w:rsidR="00A1290A">
        <w:rPr>
          <w:snapToGrid w:val="0"/>
          <w:lang w:eastAsia="en-US"/>
        </w:rPr>
        <w:t>commenced</w:t>
      </w:r>
      <w:r w:rsidRPr="00676843">
        <w:rPr>
          <w:snapToGrid w:val="0"/>
          <w:lang w:eastAsia="en-US"/>
        </w:rPr>
        <w:t xml:space="preserve">. It will not be amended to deal with any later amendments of this </w:t>
      </w:r>
      <w:r w:rsidRPr="00676843">
        <w:t>instrument</w:t>
      </w:r>
      <w:r w:rsidRPr="00676843">
        <w:rPr>
          <w:snapToGrid w:val="0"/>
          <w:lang w:eastAsia="en-US"/>
        </w:rPr>
        <w:t>.</w:t>
      </w:r>
    </w:p>
    <w:p w14:paraId="16E1BEA3" w14:textId="77777777" w:rsidR="00205722" w:rsidRPr="00676843" w:rsidRDefault="00205722" w:rsidP="00205722">
      <w:pPr>
        <w:pStyle w:val="subsection"/>
      </w:pPr>
      <w:r w:rsidRPr="00676843">
        <w:lastRenderedPageBreak/>
        <w:tab/>
        <w:t>(2)</w:t>
      </w:r>
      <w:r w:rsidRPr="00676843">
        <w:tab/>
        <w:t>Any information in column 3 of the table is not part of this instrument. Information may be inserted in this column, or information in it may be edited, in any published version of this instrument.</w:t>
      </w:r>
    </w:p>
    <w:p w14:paraId="6D5B22A4" w14:textId="77777777" w:rsidR="00C81CA5" w:rsidRPr="003558BE" w:rsidRDefault="00C81CA5" w:rsidP="00C81CA5">
      <w:pPr>
        <w:pStyle w:val="ItemHead"/>
      </w:pPr>
      <w:r>
        <w:t xml:space="preserve">2  Section 5 (definition of </w:t>
      </w:r>
      <w:r>
        <w:rPr>
          <w:i/>
        </w:rPr>
        <w:t>damage or corrosion threshold</w:t>
      </w:r>
      <w:r>
        <w:t>)</w:t>
      </w:r>
    </w:p>
    <w:p w14:paraId="5C4CECF4" w14:textId="77777777" w:rsidR="00C81CA5" w:rsidRDefault="00C81CA5" w:rsidP="00C81CA5">
      <w:pPr>
        <w:pStyle w:val="Item"/>
      </w:pPr>
      <w:r>
        <w:t xml:space="preserve">Repeal the definition, </w:t>
      </w:r>
      <w:r w:rsidR="005F1129">
        <w:t>substitute</w:t>
      </w:r>
      <w:r>
        <w:t>:</w:t>
      </w:r>
    </w:p>
    <w:p w14:paraId="0E2B44C1" w14:textId="77777777" w:rsidR="00C81CA5" w:rsidRPr="00EA3C9C" w:rsidRDefault="00C81CA5" w:rsidP="00C81CA5">
      <w:pPr>
        <w:pStyle w:val="Definition"/>
      </w:pPr>
      <w:r>
        <w:rPr>
          <w:b/>
          <w:i/>
        </w:rPr>
        <w:t xml:space="preserve">damage or corrosion limit </w:t>
      </w:r>
      <w:r>
        <w:t xml:space="preserve">means the limit determined by the Minister under section 107. </w:t>
      </w:r>
    </w:p>
    <w:p w14:paraId="2CF95A1C" w14:textId="77777777" w:rsidR="00C81CA5" w:rsidRDefault="00C81CA5" w:rsidP="00C81CA5">
      <w:pPr>
        <w:pStyle w:val="ItemHead"/>
      </w:pPr>
      <w:r>
        <w:t>3  Subsection 11(1)</w:t>
      </w:r>
      <w:r w:rsidR="00F543F3">
        <w:t xml:space="preserve"> (note 2)</w:t>
      </w:r>
    </w:p>
    <w:p w14:paraId="7502AE46" w14:textId="77777777" w:rsidR="00C81CA5" w:rsidRPr="006574E8" w:rsidRDefault="00F543F3" w:rsidP="00C81CA5">
      <w:pPr>
        <w:pStyle w:val="Item"/>
      </w:pPr>
      <w:r>
        <w:t>Repeal the note</w:t>
      </w:r>
      <w:r w:rsidR="00C81CA5">
        <w:t xml:space="preserve">, </w:t>
      </w:r>
      <w:r w:rsidR="005F1129">
        <w:t>substitute</w:t>
      </w:r>
      <w:r w:rsidR="00C81CA5">
        <w:t>:</w:t>
      </w:r>
    </w:p>
    <w:p w14:paraId="02E4A5ED" w14:textId="77777777" w:rsidR="00C81CA5" w:rsidRDefault="00C81CA5" w:rsidP="00C81CA5">
      <w:pPr>
        <w:pStyle w:val="notetext"/>
        <w:rPr>
          <w:shd w:val="clear" w:color="auto" w:fill="FFFFFF"/>
        </w:rPr>
      </w:pPr>
      <w:r>
        <w:rPr>
          <w:shd w:val="clear" w:color="auto" w:fill="FFFFFF"/>
        </w:rPr>
        <w:t>Note 2:</w:t>
      </w:r>
      <w:r>
        <w:rPr>
          <w:shd w:val="clear" w:color="auto" w:fill="FFFFFF"/>
        </w:rPr>
        <w:tab/>
        <w:t>An approval that enables a person to enter information on the RAV is subject to a condition that the holder of the approval notify the Secretary if the holder becomes aware of an error in information entered on the RAV (see sections 28 and 105).</w:t>
      </w:r>
    </w:p>
    <w:p w14:paraId="18BE1731" w14:textId="77777777" w:rsidR="00C81CA5" w:rsidRDefault="00C81CA5" w:rsidP="00C81CA5">
      <w:pPr>
        <w:pStyle w:val="ItemHead"/>
      </w:pPr>
      <w:r>
        <w:t>4  Subparagraph 29(e)(iii)</w:t>
      </w:r>
    </w:p>
    <w:p w14:paraId="4F8C7F14" w14:textId="77777777" w:rsidR="00C81CA5" w:rsidRPr="009B4B36" w:rsidRDefault="00431AB5" w:rsidP="00C81CA5">
      <w:pPr>
        <w:pStyle w:val="Item"/>
      </w:pPr>
      <w:r>
        <w:t xml:space="preserve">Omit ‘components’, substitute </w:t>
      </w:r>
      <w:r w:rsidR="00C81CA5">
        <w:t xml:space="preserve">‘componentry’. </w:t>
      </w:r>
    </w:p>
    <w:p w14:paraId="5BF40FA9" w14:textId="77777777" w:rsidR="00851298" w:rsidRDefault="0071126A" w:rsidP="00851298">
      <w:pPr>
        <w:pStyle w:val="ItemHead"/>
      </w:pPr>
      <w:r>
        <w:t>5</w:t>
      </w:r>
      <w:r w:rsidR="00851298">
        <w:t xml:space="preserve">  Paragraph 32(1)(c)</w:t>
      </w:r>
    </w:p>
    <w:p w14:paraId="3D09A7BA" w14:textId="77777777" w:rsidR="00851298" w:rsidRDefault="00851298" w:rsidP="00851298">
      <w:pPr>
        <w:pStyle w:val="Item"/>
      </w:pPr>
      <w:r>
        <w:t xml:space="preserve">Omit ‘that satisfies the special purpose vehicle criterion’, substitute ‘that is a special purpose vehicle’. </w:t>
      </w:r>
    </w:p>
    <w:p w14:paraId="36746289" w14:textId="77777777" w:rsidR="001D6F33" w:rsidRDefault="001D6F33" w:rsidP="001D6F33">
      <w:pPr>
        <w:pStyle w:val="ItemHead"/>
      </w:pPr>
      <w:r>
        <w:t>6  Section 35</w:t>
      </w:r>
    </w:p>
    <w:p w14:paraId="29F5050D" w14:textId="77777777" w:rsidR="001D6F33" w:rsidRDefault="001D6F33" w:rsidP="001D6F33">
      <w:pPr>
        <w:pStyle w:val="Item"/>
      </w:pPr>
      <w:r>
        <w:t>Repeal the section, substitute:</w:t>
      </w:r>
    </w:p>
    <w:p w14:paraId="37CF910D" w14:textId="77777777" w:rsidR="003E582F" w:rsidRPr="00431AB5" w:rsidRDefault="003E582F" w:rsidP="003E582F">
      <w:pPr>
        <w:pStyle w:val="ActHead5"/>
      </w:pPr>
      <w:r>
        <w:t>35</w:t>
      </w:r>
      <w:r w:rsidRPr="002978FE">
        <w:t xml:space="preserve"> </w:t>
      </w:r>
      <w:r>
        <w:t xml:space="preserve"> Criteria for deciding application </w:t>
      </w:r>
    </w:p>
    <w:p w14:paraId="30FC6495" w14:textId="77777777" w:rsidR="00390042" w:rsidRPr="001D6F33" w:rsidRDefault="0071126A" w:rsidP="001D0119">
      <w:pPr>
        <w:pStyle w:val="subsection"/>
      </w:pPr>
      <w:r>
        <w:tab/>
      </w:r>
      <w:r>
        <w:tab/>
        <w:t xml:space="preserve">If </w:t>
      </w:r>
      <w:r w:rsidRPr="0071126A">
        <w:t xml:space="preserve">a person applies for a concessional RAV entry approval in respect of a road vehicle, the Minister may grant the approval if </w:t>
      </w:r>
      <w:r w:rsidR="00A262B0">
        <w:t>an</w:t>
      </w:r>
      <w:r w:rsidRPr="0071126A">
        <w:t xml:space="preserve"> eligibility criterion</w:t>
      </w:r>
      <w:r w:rsidR="00A262B0" w:rsidRPr="00A262B0">
        <w:t xml:space="preserve"> </w:t>
      </w:r>
      <w:r w:rsidR="00A262B0" w:rsidRPr="0071126A">
        <w:t>in section 36, 37, 38, 39, 40 or 41</w:t>
      </w:r>
      <w:r w:rsidRPr="0071126A">
        <w:t xml:space="preserve"> is satisfied in respect of the vehicle.</w:t>
      </w:r>
      <w:r w:rsidR="001D6F33">
        <w:rPr>
          <w:shd w:val="clear" w:color="auto" w:fill="FFFFFF"/>
        </w:rPr>
        <w:tab/>
      </w:r>
    </w:p>
    <w:p w14:paraId="5DAB7F32" w14:textId="77777777" w:rsidR="00C81CA5" w:rsidRDefault="0024742C" w:rsidP="00C81CA5">
      <w:pPr>
        <w:pStyle w:val="ItemHead"/>
      </w:pPr>
      <w:r>
        <w:t>7</w:t>
      </w:r>
      <w:r w:rsidR="00C81CA5">
        <w:t xml:space="preserve">  Subparagraph 37(a)(iii)</w:t>
      </w:r>
    </w:p>
    <w:p w14:paraId="173B7D8E" w14:textId="77777777" w:rsidR="00C81CA5" w:rsidRDefault="00C81CA5" w:rsidP="00C81CA5">
      <w:pPr>
        <w:pStyle w:val="Item"/>
      </w:pPr>
      <w:r>
        <w:t xml:space="preserve">Repeal the subparagraph, </w:t>
      </w:r>
      <w:r w:rsidR="005F1129">
        <w:t>substitute</w:t>
      </w:r>
      <w:r>
        <w:t xml:space="preserve">:  </w:t>
      </w:r>
    </w:p>
    <w:p w14:paraId="604C62A3" w14:textId="77777777" w:rsidR="00C81CA5" w:rsidRPr="002F4E67" w:rsidRDefault="00C81CA5" w:rsidP="00C81CA5">
      <w:pPr>
        <w:pStyle w:val="paragraphsub"/>
        <w:rPr>
          <w:shd w:val="clear" w:color="auto" w:fill="FFFFFF"/>
        </w:rPr>
      </w:pPr>
      <w:r w:rsidRPr="002F4E67">
        <w:rPr>
          <w:shd w:val="clear" w:color="auto" w:fill="FFFFFF"/>
        </w:rPr>
        <w:tab/>
        <w:t>(iii)</w:t>
      </w:r>
      <w:r w:rsidRPr="002F4E67">
        <w:rPr>
          <w:shd w:val="clear" w:color="auto" w:fill="FFFFFF"/>
        </w:rPr>
        <w:tab/>
        <w:t>a road vehicle that:</w:t>
      </w:r>
    </w:p>
    <w:p w14:paraId="6D70EDF0" w14:textId="77777777" w:rsidR="00C81CA5" w:rsidRPr="002F4E67" w:rsidRDefault="00C81CA5" w:rsidP="00C81CA5">
      <w:pPr>
        <w:pStyle w:val="paragraphsub-sub"/>
        <w:rPr>
          <w:shd w:val="clear" w:color="auto" w:fill="FFFFFF"/>
        </w:rPr>
      </w:pPr>
      <w:r w:rsidRPr="002F4E67">
        <w:rPr>
          <w:shd w:val="clear" w:color="auto" w:fill="FFFFFF"/>
        </w:rPr>
        <w:tab/>
        <w:t>(A)</w:t>
      </w:r>
      <w:r w:rsidRPr="002F4E67">
        <w:rPr>
          <w:shd w:val="clear" w:color="auto" w:fill="FFFFFF"/>
        </w:rPr>
        <w:tab/>
        <w:t>is entered on the RAV via the type approval pathway; and</w:t>
      </w:r>
    </w:p>
    <w:p w14:paraId="20651184" w14:textId="77777777" w:rsidR="00C81CA5" w:rsidRPr="002F4E67" w:rsidRDefault="00C81CA5" w:rsidP="00C81CA5">
      <w:pPr>
        <w:pStyle w:val="paragraphsub-sub"/>
        <w:rPr>
          <w:shd w:val="clear" w:color="auto" w:fill="FFFFFF"/>
        </w:rPr>
      </w:pPr>
      <w:r w:rsidRPr="002F4E67">
        <w:rPr>
          <w:shd w:val="clear" w:color="auto" w:fill="FFFFFF"/>
        </w:rPr>
        <w:tab/>
        <w:t>(B)</w:t>
      </w:r>
      <w:r w:rsidRPr="002F4E67">
        <w:rPr>
          <w:shd w:val="clear" w:color="auto" w:fill="FFFFFF"/>
        </w:rPr>
        <w:tab/>
        <w:t xml:space="preserve">has not been provided to a consumer for the first time in Australia; and </w:t>
      </w:r>
    </w:p>
    <w:p w14:paraId="605DBC35" w14:textId="77777777" w:rsidR="00C81CA5" w:rsidRDefault="00C81CA5" w:rsidP="00C81CA5">
      <w:pPr>
        <w:pStyle w:val="paragraphsub-sub"/>
        <w:rPr>
          <w:shd w:val="clear" w:color="auto" w:fill="FFFFFF"/>
        </w:rPr>
      </w:pPr>
      <w:r w:rsidRPr="002F4E67">
        <w:rPr>
          <w:shd w:val="clear" w:color="auto" w:fill="FFFFFF"/>
        </w:rPr>
        <w:tab/>
        <w:t>(C)</w:t>
      </w:r>
      <w:r w:rsidRPr="002F4E67">
        <w:rPr>
          <w:shd w:val="clear" w:color="auto" w:fill="FFFFFF"/>
        </w:rPr>
        <w:tab/>
        <w:t>has been, is currently undergoing or will be subject to second stage of manufacture before being so provided;</w:t>
      </w:r>
      <w:r>
        <w:rPr>
          <w:shd w:val="clear" w:color="auto" w:fill="FFFFFF"/>
        </w:rPr>
        <w:t xml:space="preserve"> and</w:t>
      </w:r>
    </w:p>
    <w:p w14:paraId="070A337F" w14:textId="77777777" w:rsidR="00C81CA5" w:rsidRDefault="0024742C" w:rsidP="00C81CA5">
      <w:pPr>
        <w:pStyle w:val="ItemHead"/>
      </w:pPr>
      <w:r>
        <w:t>8</w:t>
      </w:r>
      <w:r w:rsidR="00C81CA5">
        <w:t xml:space="preserve">  Subparagraph 65(2)(a)(ii)</w:t>
      </w:r>
    </w:p>
    <w:p w14:paraId="2D663461" w14:textId="77777777" w:rsidR="00C81CA5" w:rsidRDefault="00431AB5" w:rsidP="00C81CA5">
      <w:pPr>
        <w:pStyle w:val="Item"/>
      </w:pPr>
      <w:r>
        <w:t xml:space="preserve">Omit ‘model report’, substitute </w:t>
      </w:r>
      <w:r w:rsidR="00C81CA5">
        <w:t>‘Model Report’.</w:t>
      </w:r>
    </w:p>
    <w:p w14:paraId="44F42B47" w14:textId="77777777" w:rsidR="00C81CA5" w:rsidRDefault="0024742C" w:rsidP="00C81CA5">
      <w:pPr>
        <w:pStyle w:val="ItemHead"/>
      </w:pPr>
      <w:r>
        <w:t>9</w:t>
      </w:r>
      <w:r w:rsidR="00C81CA5">
        <w:t xml:space="preserve">  Subsections 65(4) and (5)</w:t>
      </w:r>
    </w:p>
    <w:p w14:paraId="662D2BEA" w14:textId="77777777" w:rsidR="00C81CA5" w:rsidRDefault="00C81CA5" w:rsidP="00C81CA5">
      <w:pPr>
        <w:pStyle w:val="Item"/>
      </w:pPr>
      <w:r>
        <w:t xml:space="preserve">Repeal </w:t>
      </w:r>
      <w:r w:rsidR="000E011B">
        <w:t>the subsections</w:t>
      </w:r>
      <w:r>
        <w:t xml:space="preserve">, </w:t>
      </w:r>
      <w:r w:rsidR="009F3678">
        <w:t xml:space="preserve">substitute: </w:t>
      </w:r>
    </w:p>
    <w:p w14:paraId="6DFAAA23" w14:textId="77777777" w:rsidR="00C81CA5" w:rsidRPr="00EA3C9C" w:rsidRDefault="00C81CA5" w:rsidP="00C81CA5">
      <w:pPr>
        <w:pStyle w:val="subsection"/>
        <w:rPr>
          <w:lang w:val="en-GB"/>
        </w:rPr>
      </w:pPr>
      <w:r>
        <w:tab/>
        <w:t>(4)</w:t>
      </w:r>
      <w:r>
        <w:tab/>
      </w:r>
      <w:r w:rsidRPr="00EA3C9C">
        <w:t>This subsection applies where:</w:t>
      </w:r>
    </w:p>
    <w:p w14:paraId="445E03C4" w14:textId="77777777" w:rsidR="00C81CA5" w:rsidRPr="00EA3C9C" w:rsidRDefault="00C81CA5" w:rsidP="00C81CA5">
      <w:pPr>
        <w:pStyle w:val="paragraph"/>
        <w:rPr>
          <w:lang w:val="en-GB"/>
        </w:rPr>
      </w:pPr>
      <w:r>
        <w:tab/>
      </w:r>
      <w:r w:rsidRPr="00EA3C9C">
        <w:t>(a)</w:t>
      </w:r>
      <w:r>
        <w:tab/>
      </w:r>
      <w:r w:rsidRPr="00EA3C9C">
        <w:t xml:space="preserve">a damage or corrosion </w:t>
      </w:r>
      <w:r>
        <w:t>limit</w:t>
      </w:r>
      <w:r w:rsidRPr="00EA3C9C">
        <w:t xml:space="preserve"> has been determined under section 107; and</w:t>
      </w:r>
    </w:p>
    <w:p w14:paraId="65C34434" w14:textId="77777777" w:rsidR="00C81CA5" w:rsidRPr="00EA3C9C" w:rsidRDefault="00C81CA5" w:rsidP="00C81CA5">
      <w:pPr>
        <w:pStyle w:val="paragraph"/>
        <w:rPr>
          <w:lang w:val="en-GB"/>
        </w:rPr>
      </w:pPr>
      <w:r>
        <w:lastRenderedPageBreak/>
        <w:tab/>
        <w:t>(b)</w:t>
      </w:r>
      <w:r>
        <w:tab/>
      </w:r>
      <w:r w:rsidRPr="00EA3C9C">
        <w:t xml:space="preserve">the road vehicle, upon the inspection mentioned in paragraph (3)(a), is found to have a level of damage or corrosion that exceeds that </w:t>
      </w:r>
      <w:r>
        <w:t>limit</w:t>
      </w:r>
      <w:r w:rsidRPr="00EA3C9C">
        <w:t>.</w:t>
      </w:r>
    </w:p>
    <w:p w14:paraId="0F1C5C1B" w14:textId="77777777" w:rsidR="00C81CA5" w:rsidRPr="00EA3C9C" w:rsidRDefault="00C81CA5" w:rsidP="00C81CA5">
      <w:pPr>
        <w:pStyle w:val="subsection"/>
        <w:rPr>
          <w:lang w:val="en-GB"/>
        </w:rPr>
      </w:pPr>
      <w:r>
        <w:tab/>
        <w:t>(5)</w:t>
      </w:r>
      <w:r>
        <w:tab/>
      </w:r>
      <w:r w:rsidRPr="00EA3C9C">
        <w:t>This subsection applies where:</w:t>
      </w:r>
    </w:p>
    <w:p w14:paraId="4E0629C9" w14:textId="77777777" w:rsidR="00C81CA5" w:rsidRPr="00EA3C9C" w:rsidRDefault="00C81CA5" w:rsidP="00C81CA5">
      <w:pPr>
        <w:pStyle w:val="paragraph"/>
        <w:rPr>
          <w:lang w:val="en-GB"/>
        </w:rPr>
      </w:pPr>
      <w:r>
        <w:tab/>
        <w:t>(a)</w:t>
      </w:r>
      <w:r>
        <w:tab/>
      </w:r>
      <w:r w:rsidRPr="00EA3C9C">
        <w:t xml:space="preserve">no damage or corrosion </w:t>
      </w:r>
      <w:r>
        <w:t>limit</w:t>
      </w:r>
      <w:r w:rsidRPr="00EA3C9C">
        <w:t xml:space="preserve"> has been determined under section 107; and</w:t>
      </w:r>
    </w:p>
    <w:p w14:paraId="5D7DE3C7" w14:textId="77777777" w:rsidR="00C81CA5" w:rsidRPr="00EA3C9C" w:rsidRDefault="00C81CA5" w:rsidP="00C81CA5">
      <w:pPr>
        <w:pStyle w:val="paragraph"/>
        <w:rPr>
          <w:lang w:val="en-GB"/>
        </w:rPr>
      </w:pPr>
      <w:r>
        <w:tab/>
        <w:t>(b)</w:t>
      </w:r>
      <w:r>
        <w:tab/>
      </w:r>
      <w:r w:rsidRPr="00EA3C9C">
        <w:t>the road vehicle’s structural integrity is, upon the inspection mentioned in paragraph (3)(a), found to have been reduced by damage or corrosion.</w:t>
      </w:r>
    </w:p>
    <w:p w14:paraId="41982861" w14:textId="77777777" w:rsidR="00C81CA5" w:rsidRPr="00EA3C9C" w:rsidRDefault="00C81CA5" w:rsidP="00C81CA5">
      <w:pPr>
        <w:pStyle w:val="notetext"/>
        <w:rPr>
          <w:lang w:val="en-GB"/>
        </w:rPr>
      </w:pPr>
      <w:r w:rsidRPr="00EA3C9C">
        <w:t>Note</w:t>
      </w:r>
      <w:r>
        <w:t>:</w:t>
      </w:r>
      <w:r>
        <w:tab/>
      </w:r>
      <w:r w:rsidRPr="00EA3C9C">
        <w:t xml:space="preserve">The holder of an AVV approval must generally not verify a road vehicle, or modifications of a road vehicle, unless satisfied that the level of any damage or corrosion on the vehicle does not exceed the damage or corrosion </w:t>
      </w:r>
      <w:r>
        <w:t>limit</w:t>
      </w:r>
      <w:r w:rsidRPr="00EA3C9C">
        <w:t xml:space="preserve"> determined under section 107. If no damage or corrosion </w:t>
      </w:r>
      <w:r>
        <w:t>limit</w:t>
      </w:r>
      <w:r w:rsidRPr="00EA3C9C">
        <w:t xml:space="preserve"> has been determined, the </w:t>
      </w:r>
      <w:r w:rsidR="00B302F4">
        <w:t>holder of the approval</w:t>
      </w:r>
      <w:r w:rsidRPr="00EA3C9C">
        <w:t xml:space="preserve"> must not verify the vehicle or modifications unless satisfied that the vehicle’s structural integrity has not been reduced by damage </w:t>
      </w:r>
      <w:r w:rsidR="0069212B">
        <w:t>or corrosion (see subparagraphs </w:t>
      </w:r>
      <w:r w:rsidRPr="00EA3C9C">
        <w:t>100(1)(b)(ii) to (iii)).</w:t>
      </w:r>
    </w:p>
    <w:p w14:paraId="0551D7F9" w14:textId="77777777" w:rsidR="00C81CA5" w:rsidRDefault="0024742C" w:rsidP="00C81CA5">
      <w:pPr>
        <w:pStyle w:val="ItemHead"/>
      </w:pPr>
      <w:r>
        <w:t>10</w:t>
      </w:r>
      <w:r w:rsidR="00C81CA5">
        <w:t xml:space="preserve">  Paragraph 68(2)(b)</w:t>
      </w:r>
    </w:p>
    <w:p w14:paraId="2FD730EB" w14:textId="77777777" w:rsidR="00C81CA5" w:rsidRDefault="00C81CA5" w:rsidP="00C81CA5">
      <w:pPr>
        <w:pStyle w:val="Item"/>
      </w:pPr>
      <w:r>
        <w:t xml:space="preserve">Repeal the paragraph, </w:t>
      </w:r>
      <w:r w:rsidR="00717EA5">
        <w:t>substitute</w:t>
      </w:r>
      <w:r>
        <w:t xml:space="preserve">: </w:t>
      </w:r>
    </w:p>
    <w:p w14:paraId="6D7C6975" w14:textId="77777777" w:rsidR="00C81CA5" w:rsidRDefault="00C81CA5" w:rsidP="00C81CA5">
      <w:pPr>
        <w:pStyle w:val="paragraph"/>
      </w:pPr>
      <w:r>
        <w:t xml:space="preserve">  </w:t>
      </w:r>
      <w:r>
        <w:tab/>
        <w:t>(b)</w:t>
      </w:r>
      <w:r>
        <w:tab/>
        <w:t>be accompanied by:</w:t>
      </w:r>
    </w:p>
    <w:p w14:paraId="58E68F49" w14:textId="77777777" w:rsidR="00C81CA5" w:rsidRDefault="00C81CA5" w:rsidP="00C81CA5">
      <w:pPr>
        <w:pStyle w:val="paragraphsub"/>
      </w:pPr>
      <w:r>
        <w:tab/>
        <w:t>(i)</w:t>
      </w:r>
      <w:r>
        <w:tab/>
        <w:t>such documents as are required by the form; and</w:t>
      </w:r>
    </w:p>
    <w:p w14:paraId="2013BF02" w14:textId="77777777" w:rsidR="00C81CA5" w:rsidRDefault="00C81CA5" w:rsidP="00C81CA5">
      <w:pPr>
        <w:pStyle w:val="paragraphsub"/>
      </w:pPr>
      <w:r>
        <w:tab/>
        <w:t>(ii)</w:t>
      </w:r>
      <w:r>
        <w:tab/>
        <w:t>the application fee; and</w:t>
      </w:r>
    </w:p>
    <w:p w14:paraId="30938140" w14:textId="77777777" w:rsidR="00C81CA5" w:rsidRDefault="0024742C" w:rsidP="00C81CA5">
      <w:pPr>
        <w:pStyle w:val="ItemHead"/>
      </w:pPr>
      <w:r>
        <w:t>11</w:t>
      </w:r>
      <w:r w:rsidR="00C81CA5">
        <w:t xml:space="preserve">  Subparagraphs 100(1)(b)(ii) and (iii)</w:t>
      </w:r>
    </w:p>
    <w:p w14:paraId="25D23FB4" w14:textId="77777777" w:rsidR="00C81CA5" w:rsidRDefault="00C81CA5" w:rsidP="00C81CA5">
      <w:pPr>
        <w:pStyle w:val="Item"/>
      </w:pPr>
      <w:r>
        <w:t xml:space="preserve">Repeal </w:t>
      </w:r>
      <w:r w:rsidR="006B5836">
        <w:t xml:space="preserve">the </w:t>
      </w:r>
      <w:r>
        <w:t xml:space="preserve">subparagraphs, </w:t>
      </w:r>
      <w:r w:rsidR="00717EA5">
        <w:t>substitute</w:t>
      </w:r>
      <w:r>
        <w:t>:</w:t>
      </w:r>
    </w:p>
    <w:p w14:paraId="0DE2B2DC" w14:textId="77777777" w:rsidR="00C81CA5" w:rsidRDefault="00C81CA5" w:rsidP="00C81CA5">
      <w:pPr>
        <w:pStyle w:val="paragraphsub"/>
      </w:pPr>
      <w:r>
        <w:tab/>
        <w:t>(ii)</w:t>
      </w:r>
      <w:r>
        <w:tab/>
        <w:t>if there is a determination in force under section 107 specifying a damage or corrosion limit—the level of damage or corrosion on the vehicle does not exceed that limit; and</w:t>
      </w:r>
    </w:p>
    <w:p w14:paraId="4CF46CED" w14:textId="77777777" w:rsidR="00C81CA5" w:rsidRDefault="00C81CA5" w:rsidP="00C81CA5">
      <w:pPr>
        <w:pStyle w:val="paragraphsub"/>
      </w:pPr>
      <w:r>
        <w:tab/>
        <w:t>(iii)</w:t>
      </w:r>
      <w:r>
        <w:tab/>
        <w:t>if there is no determination in force under section 107 specifying a damage or corrosion limit—the vehicle’s structural integrity has not been reduced by damage or corrosion; and</w:t>
      </w:r>
    </w:p>
    <w:p w14:paraId="5803931E" w14:textId="77777777" w:rsidR="00C81CA5" w:rsidRDefault="00C81CA5" w:rsidP="00C81CA5">
      <w:pPr>
        <w:pStyle w:val="ItemHead"/>
      </w:pPr>
      <w:r>
        <w:t>1</w:t>
      </w:r>
      <w:r w:rsidR="0024742C">
        <w:t>2</w:t>
      </w:r>
      <w:r>
        <w:t xml:space="preserve">  Section 107</w:t>
      </w:r>
    </w:p>
    <w:p w14:paraId="1C2FC9A1" w14:textId="77777777" w:rsidR="00C81CA5" w:rsidRDefault="00C81CA5" w:rsidP="00C81CA5">
      <w:pPr>
        <w:pStyle w:val="Item"/>
      </w:pPr>
      <w:r>
        <w:t xml:space="preserve">Repeal the section, </w:t>
      </w:r>
      <w:r w:rsidR="00717EA5">
        <w:t xml:space="preserve">substitute: </w:t>
      </w:r>
    </w:p>
    <w:p w14:paraId="7056F642" w14:textId="77777777" w:rsidR="000E011B" w:rsidRPr="00431AB5" w:rsidRDefault="000E011B" w:rsidP="000E011B">
      <w:pPr>
        <w:pStyle w:val="ActHead5"/>
      </w:pPr>
      <w:bookmarkStart w:id="13" w:name="_Toc27647414"/>
      <w:r w:rsidRPr="002978FE">
        <w:t xml:space="preserve">107 </w:t>
      </w:r>
      <w:r>
        <w:t xml:space="preserve"> Determination relating to damage or corrosion</w:t>
      </w:r>
      <w:bookmarkEnd w:id="13"/>
    </w:p>
    <w:p w14:paraId="53323AD6" w14:textId="77777777" w:rsidR="00C81CA5" w:rsidRPr="00CE79DD" w:rsidRDefault="00C81CA5" w:rsidP="00C81CA5">
      <w:pPr>
        <w:pStyle w:val="subsection"/>
        <w:rPr>
          <w:lang w:val="en-GB"/>
        </w:rPr>
      </w:pPr>
      <w:r>
        <w:tab/>
      </w:r>
      <w:r>
        <w:tab/>
      </w:r>
      <w:r w:rsidRPr="00CE79DD">
        <w:t xml:space="preserve">The Minister may, by legislative instrument, determine the extent or types of damage or corrosion that </w:t>
      </w:r>
      <w:r w:rsidR="00B405E1">
        <w:t>will</w:t>
      </w:r>
      <w:r w:rsidR="00B405E1" w:rsidRPr="00CE79DD">
        <w:t xml:space="preserve"> </w:t>
      </w:r>
      <w:r w:rsidRPr="00CE79DD">
        <w:t>not prevent the holder of an AVV approval from verifying a road vehicle, or modifications of a road v</w:t>
      </w:r>
      <w:r>
        <w:t xml:space="preserve">ehicle, under the approval (the </w:t>
      </w:r>
      <w:r w:rsidRPr="00CE79DD">
        <w:rPr>
          <w:b/>
          <w:bCs/>
          <w:i/>
          <w:iCs/>
        </w:rPr>
        <w:t xml:space="preserve">damage or corrosion </w:t>
      </w:r>
      <w:r>
        <w:rPr>
          <w:b/>
          <w:bCs/>
          <w:i/>
          <w:iCs/>
        </w:rPr>
        <w:t>limit</w:t>
      </w:r>
      <w:r w:rsidRPr="00CE79DD">
        <w:t>).</w:t>
      </w:r>
    </w:p>
    <w:p w14:paraId="4907FD22" w14:textId="77777777" w:rsidR="00C81CA5" w:rsidRPr="00CE79DD" w:rsidRDefault="00C81CA5" w:rsidP="00C81CA5">
      <w:pPr>
        <w:pStyle w:val="notetext"/>
        <w:rPr>
          <w:lang w:val="en-GB"/>
        </w:rPr>
      </w:pPr>
      <w:r w:rsidRPr="00CE79DD">
        <w:t>Note 1</w:t>
      </w:r>
      <w:r>
        <w:t>:</w:t>
      </w:r>
      <w:r>
        <w:tab/>
      </w:r>
      <w:r w:rsidRPr="00CE79DD">
        <w:t xml:space="preserve">If the Minister determines a </w:t>
      </w:r>
      <w:r>
        <w:t>limit</w:t>
      </w:r>
      <w:r w:rsidRPr="00CE79DD">
        <w:t xml:space="preserve"> under this section, the holder of an AVV approval must not verify a road vehicle, or modifications to a road vehicle, unless satisfied that the level of any damage or corrosion on the vehicle does not exceed that </w:t>
      </w:r>
      <w:r>
        <w:t>limit</w:t>
      </w:r>
      <w:r w:rsidRPr="00CE79DD">
        <w:t xml:space="preserve"> (see subparagraph 100(</w:t>
      </w:r>
      <w:r>
        <w:t>1</w:t>
      </w:r>
      <w:r w:rsidRPr="00CE79DD">
        <w:t>)(b)(ii)).</w:t>
      </w:r>
    </w:p>
    <w:p w14:paraId="5286CF93" w14:textId="77777777" w:rsidR="00C81CA5" w:rsidRPr="00CE79DD" w:rsidRDefault="00C81CA5" w:rsidP="00C81CA5">
      <w:pPr>
        <w:pStyle w:val="notetext"/>
        <w:rPr>
          <w:lang w:val="en-GB"/>
        </w:rPr>
      </w:pPr>
      <w:r w:rsidRPr="00CE79DD">
        <w:t>Note 2</w:t>
      </w:r>
      <w:r>
        <w:t>:</w:t>
      </w:r>
      <w:r>
        <w:tab/>
      </w:r>
      <w:r w:rsidRPr="00CE79DD">
        <w:t>Under subsection 65(3), the holder of a RAW approval must notify the Secretary, and must not continue to work on a vehicle or declare that it has been modified in accordance with an approved Model Report, if the vehicle, upon inspection, is found to have a level of damage or corrosion that exceeds any damage or corrosion</w:t>
      </w:r>
      <w:r>
        <w:t xml:space="preserve"> limit</w:t>
      </w:r>
      <w:r w:rsidRPr="00CE79DD">
        <w:t xml:space="preserve"> determined under section 107.</w:t>
      </w:r>
    </w:p>
    <w:p w14:paraId="18D62C85" w14:textId="77777777" w:rsidR="00C81CA5" w:rsidRDefault="00C81CA5" w:rsidP="00C81CA5">
      <w:pPr>
        <w:pStyle w:val="ItemHead"/>
      </w:pPr>
      <w:r>
        <w:t>1</w:t>
      </w:r>
      <w:r w:rsidR="0024742C">
        <w:t>3</w:t>
      </w:r>
      <w:r>
        <w:t xml:space="preserve">  Subparagraph 133(c)(v)</w:t>
      </w:r>
    </w:p>
    <w:p w14:paraId="6B76B64B" w14:textId="77777777" w:rsidR="00C81CA5" w:rsidRDefault="00D037D9" w:rsidP="00C81CA5">
      <w:pPr>
        <w:pStyle w:val="Item"/>
      </w:pPr>
      <w:r>
        <w:t>Omit ‘(NC);’, substitute</w:t>
      </w:r>
      <w:r w:rsidR="00C81CA5">
        <w:t xml:space="preserve"> ‘(NC).’</w:t>
      </w:r>
    </w:p>
    <w:p w14:paraId="443C3C21" w14:textId="77777777" w:rsidR="00C81CA5" w:rsidRDefault="00C81CA5" w:rsidP="007934A8">
      <w:pPr>
        <w:pStyle w:val="ItemHead"/>
      </w:pPr>
      <w:r>
        <w:lastRenderedPageBreak/>
        <w:t>1</w:t>
      </w:r>
      <w:r w:rsidR="0024742C">
        <w:t>4</w:t>
      </w:r>
      <w:r>
        <w:t xml:space="preserve">  Section 144 </w:t>
      </w:r>
    </w:p>
    <w:p w14:paraId="55DB9295" w14:textId="77777777" w:rsidR="00685FF4" w:rsidRDefault="000F51CE" w:rsidP="00C81CA5">
      <w:pPr>
        <w:pStyle w:val="Item"/>
      </w:pPr>
      <w:r>
        <w:t>Omit</w:t>
      </w:r>
      <w:r w:rsidR="00685FF4">
        <w:t>:</w:t>
      </w:r>
    </w:p>
    <w:p w14:paraId="63933ABD" w14:textId="77777777" w:rsidR="00685FF4" w:rsidRPr="00676843" w:rsidRDefault="00685FF4" w:rsidP="00685FF4">
      <w:pPr>
        <w:pStyle w:val="SOText"/>
      </w:pPr>
      <w:r w:rsidRPr="00685FF4">
        <w:t>Division 5 provides for the allocation of vehicle identification numbers for certain vehicles that do not already have them. It also permits the importation of vehicles imported in accordance with the requirements of an intergovernmental agreement, or reimported by after use by the Australian Defence Force in its overseas activities.</w:t>
      </w:r>
    </w:p>
    <w:p w14:paraId="224151FC" w14:textId="77777777" w:rsidR="00C81CA5" w:rsidRPr="006574E8" w:rsidRDefault="00685FF4" w:rsidP="00C81CA5">
      <w:pPr>
        <w:pStyle w:val="Item"/>
      </w:pPr>
      <w:r>
        <w:t>s</w:t>
      </w:r>
      <w:r w:rsidR="000F51CE">
        <w:t>ubstitute</w:t>
      </w:r>
      <w:r w:rsidR="00C81CA5">
        <w:t>:</w:t>
      </w:r>
    </w:p>
    <w:p w14:paraId="3EF2E48C" w14:textId="77777777" w:rsidR="00C81CA5" w:rsidRPr="00676843" w:rsidRDefault="00C81CA5" w:rsidP="00C81CA5">
      <w:pPr>
        <w:pStyle w:val="SOText"/>
      </w:pPr>
      <w:r>
        <w:t xml:space="preserve">Division 5 provides for the allocation of vehicle identification numbers for certain vehicles that do not already have them. </w:t>
      </w:r>
      <w:r w:rsidR="0049647A" w:rsidRPr="00685FF4">
        <w:t xml:space="preserve">It also permits the importation of vehicles imported in accordance with the requirements of </w:t>
      </w:r>
      <w:r w:rsidR="0049647A">
        <w:t>certain</w:t>
      </w:r>
      <w:r w:rsidR="0049647A" w:rsidRPr="00685FF4">
        <w:t xml:space="preserve"> intergovernmental agreement</w:t>
      </w:r>
      <w:r w:rsidR="0049647A">
        <w:t>s</w:t>
      </w:r>
      <w:r w:rsidR="0049647A" w:rsidRPr="00685FF4">
        <w:t>, or reimported by after use by the Australian Defence Force in its overseas activities.</w:t>
      </w:r>
    </w:p>
    <w:p w14:paraId="0736AAF3" w14:textId="77777777" w:rsidR="00C81CA5" w:rsidRDefault="00C81CA5" w:rsidP="00C81CA5">
      <w:pPr>
        <w:pStyle w:val="ItemHead"/>
      </w:pPr>
      <w:r>
        <w:t>1</w:t>
      </w:r>
      <w:r w:rsidR="0024742C">
        <w:t>5</w:t>
      </w:r>
      <w:r>
        <w:t xml:space="preserve">  Paragraph 155(2)(b)</w:t>
      </w:r>
    </w:p>
    <w:p w14:paraId="5748E8D1" w14:textId="77777777" w:rsidR="00C81CA5" w:rsidRDefault="00944794" w:rsidP="00C81CA5">
      <w:pPr>
        <w:pStyle w:val="Item"/>
      </w:pPr>
      <w:r>
        <w:t xml:space="preserve">Omit ‘each road vehicle’, substitute </w:t>
      </w:r>
      <w:r w:rsidR="00C81CA5">
        <w:t xml:space="preserve">‘the road vehicle’. </w:t>
      </w:r>
    </w:p>
    <w:p w14:paraId="23189124" w14:textId="77777777" w:rsidR="00C81CA5" w:rsidRDefault="00C81CA5" w:rsidP="00C81CA5">
      <w:pPr>
        <w:pStyle w:val="ItemHead"/>
      </w:pPr>
      <w:r>
        <w:t>1</w:t>
      </w:r>
      <w:r w:rsidR="0024742C">
        <w:t>6</w:t>
      </w:r>
      <w:r>
        <w:t xml:space="preserve">  Subparagraph 158(a)(ii)</w:t>
      </w:r>
    </w:p>
    <w:p w14:paraId="0084C52F" w14:textId="77777777" w:rsidR="00C81CA5" w:rsidRPr="006574E8" w:rsidRDefault="00944794" w:rsidP="00C81CA5">
      <w:pPr>
        <w:pStyle w:val="Item"/>
      </w:pPr>
      <w:r>
        <w:t xml:space="preserve">Omit ‘vehicles’, substitute </w:t>
      </w:r>
      <w:r w:rsidR="00C81CA5">
        <w:t xml:space="preserve">‘the road vehicle’. </w:t>
      </w:r>
    </w:p>
    <w:p w14:paraId="008D4AE9" w14:textId="77777777" w:rsidR="00C81CA5" w:rsidRDefault="00C81CA5" w:rsidP="00C81CA5">
      <w:pPr>
        <w:pStyle w:val="ItemHead"/>
      </w:pPr>
      <w:r>
        <w:t>1</w:t>
      </w:r>
      <w:r w:rsidR="0024742C">
        <w:t>7</w:t>
      </w:r>
      <w:r>
        <w:t xml:space="preserve">  Paragraph 158(b)</w:t>
      </w:r>
    </w:p>
    <w:p w14:paraId="477F6DEA" w14:textId="77777777" w:rsidR="00C81CA5" w:rsidRPr="006574E8" w:rsidRDefault="00944794" w:rsidP="00C81CA5">
      <w:pPr>
        <w:pStyle w:val="Item"/>
      </w:pPr>
      <w:r>
        <w:t>Omit</w:t>
      </w:r>
      <w:r w:rsidR="00C81CA5">
        <w:t xml:space="preserve"> ‘road ve</w:t>
      </w:r>
      <w:r>
        <w:t xml:space="preserve">hicles covered by the approval’, substitute </w:t>
      </w:r>
      <w:r w:rsidR="00C81CA5">
        <w:t xml:space="preserve">‘the road vehicle to which the approval applies’. </w:t>
      </w:r>
    </w:p>
    <w:p w14:paraId="7EA881DB" w14:textId="77777777" w:rsidR="00C81CA5" w:rsidRDefault="00C81CA5" w:rsidP="00C81CA5">
      <w:pPr>
        <w:pStyle w:val="ItemHead"/>
      </w:pPr>
      <w:r>
        <w:t>1</w:t>
      </w:r>
      <w:r w:rsidR="0024742C">
        <w:t>8</w:t>
      </w:r>
      <w:r>
        <w:t xml:space="preserve">  Paragraph 176(b)</w:t>
      </w:r>
    </w:p>
    <w:p w14:paraId="218AA9F8" w14:textId="77777777" w:rsidR="00C81CA5" w:rsidRDefault="00944794" w:rsidP="00C81CA5">
      <w:pPr>
        <w:pStyle w:val="Item"/>
      </w:pPr>
      <w:r>
        <w:t xml:space="preserve">Omit ‘request is made’, substitute </w:t>
      </w:r>
      <w:r w:rsidR="00C81CA5">
        <w:t xml:space="preserve">‘request made’. </w:t>
      </w:r>
    </w:p>
    <w:p w14:paraId="5FA748DD" w14:textId="77777777" w:rsidR="00C81CA5" w:rsidRDefault="00C81CA5" w:rsidP="00C81CA5">
      <w:pPr>
        <w:pStyle w:val="ItemHead"/>
      </w:pPr>
      <w:r>
        <w:t>1</w:t>
      </w:r>
      <w:r w:rsidR="0024742C">
        <w:t>9</w:t>
      </w:r>
      <w:r>
        <w:t xml:space="preserve">  Subsection 195(4)</w:t>
      </w:r>
    </w:p>
    <w:p w14:paraId="2FA321D9" w14:textId="77777777" w:rsidR="00C81CA5" w:rsidRDefault="000B26AE" w:rsidP="00C81CA5">
      <w:pPr>
        <w:pStyle w:val="Item"/>
      </w:pPr>
      <w:r>
        <w:t xml:space="preserve">Omit ‘Secretary’, substitute </w:t>
      </w:r>
      <w:r w:rsidR="00C81CA5">
        <w:t>‘Minister or Secretary’.</w:t>
      </w:r>
    </w:p>
    <w:p w14:paraId="20565A53" w14:textId="77777777" w:rsidR="007E3737" w:rsidRDefault="0024742C" w:rsidP="007E3737">
      <w:pPr>
        <w:pStyle w:val="ItemHead"/>
      </w:pPr>
      <w:r>
        <w:t>20</w:t>
      </w:r>
      <w:r w:rsidR="007E3737">
        <w:t xml:space="preserve">  </w:t>
      </w:r>
      <w:r w:rsidR="00EA157D">
        <w:t>At the end of p</w:t>
      </w:r>
      <w:r w:rsidR="007E3737">
        <w:t>aragraph 230(zk)</w:t>
      </w:r>
    </w:p>
    <w:p w14:paraId="2BD3E97C" w14:textId="77777777" w:rsidR="007E3737" w:rsidRDefault="00EA157D" w:rsidP="007E3737">
      <w:pPr>
        <w:pStyle w:val="Item"/>
      </w:pPr>
      <w:r>
        <w:t>Add</w:t>
      </w:r>
      <w:r w:rsidR="007E3737">
        <w:t xml:space="preserve"> ‘that a specified thing is not a road vehicle’.</w:t>
      </w:r>
    </w:p>
    <w:p w14:paraId="7BB110E3" w14:textId="77777777" w:rsidR="00055ED1" w:rsidRDefault="0024742C" w:rsidP="00055ED1">
      <w:pPr>
        <w:pStyle w:val="ItemHead"/>
      </w:pPr>
      <w:r>
        <w:t>21</w:t>
      </w:r>
      <w:r w:rsidR="00055ED1">
        <w:t xml:space="preserve">  Paragraph 230(zl)</w:t>
      </w:r>
    </w:p>
    <w:p w14:paraId="52E1C24F" w14:textId="77777777" w:rsidR="00055ED1" w:rsidRDefault="00055ED1" w:rsidP="00055ED1">
      <w:pPr>
        <w:pStyle w:val="Item"/>
      </w:pPr>
      <w:r>
        <w:t>Repeal the paragraph, insert:</w:t>
      </w:r>
    </w:p>
    <w:p w14:paraId="39E835A1" w14:textId="77777777" w:rsidR="00055ED1" w:rsidRPr="00055ED1" w:rsidRDefault="00055ED1" w:rsidP="00055ED1">
      <w:pPr>
        <w:pStyle w:val="paragraph"/>
      </w:pPr>
      <w:r>
        <w:tab/>
        <w:t>(zl)</w:t>
      </w:r>
      <w:r>
        <w:tab/>
      </w:r>
      <w:r w:rsidRPr="00055ED1">
        <w:t>a decision to refuse to issue an advisory notice that a specif</w:t>
      </w:r>
      <w:r>
        <w:t xml:space="preserve">ied thing is not a road vehicle; </w:t>
      </w:r>
    </w:p>
    <w:p w14:paraId="1C5E2EAB" w14:textId="77777777" w:rsidR="0061586B" w:rsidRDefault="00055ED1" w:rsidP="00055ED1">
      <w:pPr>
        <w:pStyle w:val="paragraph"/>
      </w:pPr>
      <w:r>
        <w:tab/>
        <w:t>(zm)</w:t>
      </w:r>
      <w:r>
        <w:tab/>
      </w:r>
      <w:r w:rsidR="0061586B">
        <w:t xml:space="preserve">a decision under </w:t>
      </w:r>
      <w:r w:rsidR="00512A66">
        <w:t>the table in section 241</w:t>
      </w:r>
      <w:r w:rsidR="0061586B">
        <w:t>;</w:t>
      </w:r>
    </w:p>
    <w:p w14:paraId="64310D0B" w14:textId="77777777" w:rsidR="00055ED1" w:rsidRPr="00055ED1" w:rsidRDefault="0061586B" w:rsidP="00055ED1">
      <w:pPr>
        <w:pStyle w:val="paragraph"/>
      </w:pPr>
      <w:r>
        <w:tab/>
        <w:t>(zn)</w:t>
      </w:r>
      <w:r>
        <w:tab/>
      </w:r>
      <w:r w:rsidR="00055ED1">
        <w:t xml:space="preserve">a decision to </w:t>
      </w:r>
      <w:r w:rsidR="00ED4BB4">
        <w:t xml:space="preserve">refuse to </w:t>
      </w:r>
      <w:r w:rsidR="00781551">
        <w:t>refund an amount</w:t>
      </w:r>
      <w:r w:rsidR="00055ED1">
        <w:t xml:space="preserve"> under </w:t>
      </w:r>
      <w:r w:rsidR="00781551">
        <w:t>sub</w:t>
      </w:r>
      <w:r w:rsidR="00055ED1">
        <w:t>section 253</w:t>
      </w:r>
      <w:r w:rsidR="00781551">
        <w:t>(1)</w:t>
      </w:r>
      <w:r w:rsidR="00055ED1">
        <w:t>.</w:t>
      </w:r>
    </w:p>
    <w:p w14:paraId="48CE3E4E" w14:textId="77777777" w:rsidR="00A412C9" w:rsidRDefault="0024742C" w:rsidP="00A412C9">
      <w:pPr>
        <w:pStyle w:val="ItemHead"/>
      </w:pPr>
      <w:r>
        <w:t>22</w:t>
      </w:r>
      <w:r w:rsidR="00A412C9">
        <w:t xml:space="preserve">  Paragraph 234(3)(f)</w:t>
      </w:r>
    </w:p>
    <w:p w14:paraId="2B3911FA" w14:textId="77777777" w:rsidR="00A412C9" w:rsidRDefault="00A412C9" w:rsidP="00A412C9">
      <w:pPr>
        <w:pStyle w:val="Item"/>
      </w:pPr>
      <w:r>
        <w:t>Omit ‘threshold’, substitute</w:t>
      </w:r>
      <w:r w:rsidR="00A1290A">
        <w:t xml:space="preserve"> </w:t>
      </w:r>
      <w:r>
        <w:t>‘limit’.</w:t>
      </w:r>
    </w:p>
    <w:p w14:paraId="47735CEA" w14:textId="77777777" w:rsidR="002E1D03" w:rsidRDefault="006B7906" w:rsidP="002E1D03">
      <w:pPr>
        <w:pStyle w:val="ItemHead"/>
      </w:pPr>
      <w:r>
        <w:lastRenderedPageBreak/>
        <w:t>23</w:t>
      </w:r>
      <w:r w:rsidR="002E1D03">
        <w:t xml:space="preserve">  </w:t>
      </w:r>
      <w:r w:rsidR="00A1290A">
        <w:t>At the end of the instrument</w:t>
      </w:r>
    </w:p>
    <w:p w14:paraId="2FC06695" w14:textId="77777777" w:rsidR="002E1D03" w:rsidRDefault="00A1290A" w:rsidP="002E1D03">
      <w:pPr>
        <w:pStyle w:val="Item"/>
      </w:pPr>
      <w:r>
        <w:t>Add</w:t>
      </w:r>
      <w:r w:rsidR="00D542D6">
        <w:t>:</w:t>
      </w:r>
    </w:p>
    <w:p w14:paraId="032C3959" w14:textId="77777777" w:rsidR="00D542D6" w:rsidRDefault="00FF7125" w:rsidP="00D542D6">
      <w:pPr>
        <w:pStyle w:val="ActHead2"/>
        <w:rPr>
          <w:rStyle w:val="CharDivText"/>
        </w:rPr>
      </w:pPr>
      <w:bookmarkStart w:id="14" w:name="_Toc436303438"/>
      <w:r>
        <w:rPr>
          <w:rStyle w:val="CharPartNo"/>
        </w:rPr>
        <w:t xml:space="preserve">Part </w:t>
      </w:r>
      <w:r w:rsidR="00D54009">
        <w:rPr>
          <w:rStyle w:val="CharPartNo"/>
        </w:rPr>
        <w:t>10</w:t>
      </w:r>
      <w:r w:rsidR="00D542D6" w:rsidRPr="002E0CD2">
        <w:t>—</w:t>
      </w:r>
      <w:bookmarkEnd w:id="14"/>
      <w:r w:rsidR="00FD0A49">
        <w:rPr>
          <w:rStyle w:val="CharPartText"/>
        </w:rPr>
        <w:t xml:space="preserve">Cost Recovery </w:t>
      </w:r>
      <w:r w:rsidR="00D542D6">
        <w:rPr>
          <w:rStyle w:val="CharDivText"/>
        </w:rPr>
        <w:t xml:space="preserve"> </w:t>
      </w:r>
    </w:p>
    <w:p w14:paraId="52A0CF4B" w14:textId="77777777" w:rsidR="00D542D6" w:rsidRDefault="00D542D6" w:rsidP="00D542D6">
      <w:pPr>
        <w:pStyle w:val="ActHead3"/>
        <w:rPr>
          <w:rStyle w:val="CharDivText"/>
        </w:rPr>
      </w:pPr>
      <w:r w:rsidRPr="003842A0">
        <w:rPr>
          <w:rStyle w:val="CharDivNo"/>
        </w:rPr>
        <w:t>Division 1</w:t>
      </w:r>
      <w:r w:rsidRPr="002E0CD2">
        <w:t>—</w:t>
      </w:r>
      <w:r w:rsidR="005C5555">
        <w:rPr>
          <w:rStyle w:val="CharDivText"/>
        </w:rPr>
        <w:t>Introduction</w:t>
      </w:r>
      <w:r>
        <w:rPr>
          <w:rStyle w:val="CharDivText"/>
        </w:rPr>
        <w:t xml:space="preserve"> </w:t>
      </w:r>
    </w:p>
    <w:p w14:paraId="7E3D406B" w14:textId="77777777" w:rsidR="00D542D6" w:rsidRPr="00852867" w:rsidRDefault="00D54009" w:rsidP="00D542D6">
      <w:pPr>
        <w:pStyle w:val="ActHead5"/>
      </w:pPr>
      <w:bookmarkStart w:id="15" w:name="_Toc517850939"/>
      <w:bookmarkStart w:id="16" w:name="_Toc27580645"/>
      <w:bookmarkStart w:id="17" w:name="_Toc27647415"/>
      <w:r>
        <w:rPr>
          <w:rStyle w:val="CharSectno"/>
        </w:rPr>
        <w:t>237</w:t>
      </w:r>
      <w:r w:rsidRPr="00852867">
        <w:t xml:space="preserve">  </w:t>
      </w:r>
      <w:r w:rsidR="00D542D6" w:rsidRPr="00852867">
        <w:t>Simplified outline of this Part</w:t>
      </w:r>
      <w:bookmarkEnd w:id="15"/>
      <w:bookmarkEnd w:id="16"/>
      <w:bookmarkEnd w:id="17"/>
    </w:p>
    <w:p w14:paraId="0EDD475A" w14:textId="77777777" w:rsidR="005C5555" w:rsidRPr="00852867" w:rsidRDefault="00F36B69" w:rsidP="00FF7125">
      <w:pPr>
        <w:pBdr>
          <w:top w:val="single" w:sz="6" w:space="5" w:color="auto"/>
          <w:left w:val="single" w:sz="6" w:space="5" w:color="auto"/>
          <w:bottom w:val="single" w:sz="6" w:space="5" w:color="auto"/>
          <w:right w:val="single" w:sz="6" w:space="5" w:color="auto"/>
        </w:pBdr>
        <w:spacing w:before="240" w:line="240" w:lineRule="auto"/>
        <w:ind w:left="1134"/>
      </w:pPr>
      <w:r>
        <w:t xml:space="preserve">This Part provides for the charging of fees </w:t>
      </w:r>
      <w:r w:rsidR="00287D59">
        <w:t>in re</w:t>
      </w:r>
      <w:r w:rsidR="001E4249">
        <w:t>spect of fee-bearing activities.</w:t>
      </w:r>
    </w:p>
    <w:p w14:paraId="5A07128C" w14:textId="77777777" w:rsidR="004E4D36" w:rsidRDefault="00D54009" w:rsidP="00332008">
      <w:pPr>
        <w:pStyle w:val="Blank"/>
        <w:rPr>
          <w:rStyle w:val="CharSectno"/>
        </w:rPr>
      </w:pPr>
      <w:bookmarkStart w:id="18" w:name="_Toc27580646"/>
      <w:bookmarkStart w:id="19" w:name="_Toc27647416"/>
      <w:r>
        <w:rPr>
          <w:rStyle w:val="CharSectno"/>
        </w:rPr>
        <w:t xml:space="preserve">238  </w:t>
      </w:r>
      <w:r w:rsidR="004E4D36">
        <w:rPr>
          <w:rStyle w:val="CharSectno"/>
        </w:rPr>
        <w:t>Purpose of this Part</w:t>
      </w:r>
      <w:bookmarkEnd w:id="18"/>
      <w:bookmarkEnd w:id="19"/>
      <w:r w:rsidR="004E4D36">
        <w:rPr>
          <w:rStyle w:val="CharSectno"/>
        </w:rPr>
        <w:t xml:space="preserve"> </w:t>
      </w:r>
    </w:p>
    <w:p w14:paraId="5C5F704E" w14:textId="77777777" w:rsidR="004E4D36" w:rsidRPr="004E4D36" w:rsidRDefault="004E4D36" w:rsidP="004E4D36">
      <w:pPr>
        <w:pStyle w:val="subsection"/>
      </w:pPr>
      <w:r>
        <w:tab/>
      </w:r>
      <w:r>
        <w:tab/>
        <w:t xml:space="preserve">For the purposes of </w:t>
      </w:r>
      <w:r w:rsidR="00221A39">
        <w:t xml:space="preserve">Division 4 of </w:t>
      </w:r>
      <w:r>
        <w:t xml:space="preserve">Part 5 of the Act, this Part provides for and in relation to the fees that may be charged in relation to fee-bearing activities.  </w:t>
      </w:r>
    </w:p>
    <w:p w14:paraId="54644C4F" w14:textId="77777777" w:rsidR="005C5555" w:rsidRPr="00852867" w:rsidRDefault="00D54009" w:rsidP="005C5555">
      <w:pPr>
        <w:pStyle w:val="ActHead5"/>
      </w:pPr>
      <w:bookmarkStart w:id="20" w:name="_Toc27580647"/>
      <w:bookmarkStart w:id="21" w:name="_Toc27647417"/>
      <w:r>
        <w:rPr>
          <w:rStyle w:val="CharSectno"/>
        </w:rPr>
        <w:t>239</w:t>
      </w:r>
      <w:r w:rsidRPr="00852867">
        <w:t xml:space="preserve">  </w:t>
      </w:r>
      <w:r w:rsidR="005C5555">
        <w:t>Definitions</w:t>
      </w:r>
      <w:bookmarkEnd w:id="20"/>
      <w:bookmarkEnd w:id="21"/>
      <w:r w:rsidR="005C5555">
        <w:t xml:space="preserve"> </w:t>
      </w:r>
    </w:p>
    <w:p w14:paraId="26D042B9" w14:textId="77777777" w:rsidR="005C5555" w:rsidRDefault="005C5555" w:rsidP="005C5555">
      <w:pPr>
        <w:pStyle w:val="subsection"/>
        <w:rPr>
          <w:shd w:val="clear" w:color="auto" w:fill="FFFFFF"/>
        </w:rPr>
      </w:pPr>
      <w:r>
        <w:rPr>
          <w:shd w:val="clear" w:color="auto" w:fill="FFFFFF"/>
        </w:rPr>
        <w:tab/>
      </w:r>
      <w:r>
        <w:rPr>
          <w:shd w:val="clear" w:color="auto" w:fill="FFFFFF"/>
        </w:rPr>
        <w:tab/>
        <w:t>In this Part</w:t>
      </w:r>
      <w:r w:rsidR="00D07DD2">
        <w:rPr>
          <w:shd w:val="clear" w:color="auto" w:fill="FFFFFF"/>
        </w:rPr>
        <w:t xml:space="preserve">: </w:t>
      </w:r>
      <w:r>
        <w:rPr>
          <w:shd w:val="clear" w:color="auto" w:fill="FFFFFF"/>
        </w:rPr>
        <w:t xml:space="preserve"> </w:t>
      </w:r>
    </w:p>
    <w:p w14:paraId="1E9C8CC0" w14:textId="77777777" w:rsidR="005E37BA" w:rsidRDefault="005E37BA" w:rsidP="00590889">
      <w:pPr>
        <w:pStyle w:val="subsection"/>
      </w:pPr>
      <w:r>
        <w:tab/>
      </w:r>
      <w:r>
        <w:tab/>
      </w:r>
      <w:r w:rsidR="00B132A2">
        <w:rPr>
          <w:b/>
          <w:i/>
        </w:rPr>
        <w:t xml:space="preserve">IWVTA </w:t>
      </w:r>
      <w:r w:rsidR="00B132A2">
        <w:t xml:space="preserve">means an International Whole Vehicle Type Approval granted under the framework of the 1958 Agreement. </w:t>
      </w:r>
    </w:p>
    <w:p w14:paraId="76D0578C" w14:textId="77777777" w:rsidR="00F56F67" w:rsidRDefault="00F56F67" w:rsidP="00F56F67">
      <w:pPr>
        <w:pStyle w:val="Definition"/>
      </w:pPr>
      <w:r>
        <w:rPr>
          <w:b/>
          <w:i/>
        </w:rPr>
        <w:t xml:space="preserve">road vehicle type </w:t>
      </w:r>
      <w:r w:rsidRPr="001E0E5E">
        <w:rPr>
          <w:b/>
          <w:i/>
        </w:rPr>
        <w:t>approval—IWVTA</w:t>
      </w:r>
      <w:r w:rsidR="00AD7A82">
        <w:rPr>
          <w:b/>
          <w:i/>
        </w:rPr>
        <w:t xml:space="preserve"> based</w:t>
      </w:r>
      <w:r>
        <w:rPr>
          <w:b/>
          <w:i/>
        </w:rPr>
        <w:t xml:space="preserve"> </w:t>
      </w:r>
      <w:r>
        <w:t xml:space="preserve">means a road vehicle type approval </w:t>
      </w:r>
      <w:r w:rsidR="00111CF7">
        <w:t>that applies to a type of vehicle that:</w:t>
      </w:r>
    </w:p>
    <w:p w14:paraId="31BB7FBC" w14:textId="77777777" w:rsidR="00111CF7" w:rsidRDefault="00111CF7" w:rsidP="00111CF7">
      <w:pPr>
        <w:pStyle w:val="paragraph"/>
      </w:pPr>
      <w:r>
        <w:tab/>
        <w:t>(a)</w:t>
      </w:r>
      <w:r>
        <w:tab/>
        <w:t>meets the requirement in subparagraph 19(1)(a)(i) or paragraph 19(3)(a) (compliance or substantial compliance with the applicable national road vehicle standards); and</w:t>
      </w:r>
    </w:p>
    <w:p w14:paraId="01201C1A" w14:textId="77777777" w:rsidR="00111CF7" w:rsidRDefault="00111CF7" w:rsidP="00111CF7">
      <w:pPr>
        <w:pStyle w:val="paragraph"/>
      </w:pPr>
      <w:r>
        <w:tab/>
        <w:t>(b)</w:t>
      </w:r>
      <w:r>
        <w:tab/>
        <w:t>does so on the basis of an IWVTA that:</w:t>
      </w:r>
    </w:p>
    <w:p w14:paraId="47E2CBE4" w14:textId="77777777" w:rsidR="00111CF7" w:rsidRDefault="00111CF7" w:rsidP="00111CF7">
      <w:pPr>
        <w:pStyle w:val="paragraphsub"/>
      </w:pPr>
      <w:r>
        <w:tab/>
        <w:t>(i)</w:t>
      </w:r>
      <w:r>
        <w:tab/>
        <w:t>demonstrates that the type of vehicle complies, or substantially complies, with all applicable national road vehicle standards; or</w:t>
      </w:r>
    </w:p>
    <w:p w14:paraId="62B4B761" w14:textId="77777777" w:rsidR="00C46B5C" w:rsidRDefault="00C46B5C" w:rsidP="00111CF7">
      <w:pPr>
        <w:pStyle w:val="paragraphsub"/>
      </w:pPr>
      <w:r>
        <w:tab/>
        <w:t>(ii)</w:t>
      </w:r>
      <w:r>
        <w:tab/>
        <w:t xml:space="preserve">demonstrates that the type of vehicle complies, or substantially complies, with all applicable national road vehicle standards with which an IWVTA is capable of demonstrating compliance. </w:t>
      </w:r>
    </w:p>
    <w:p w14:paraId="49EBE977" w14:textId="77777777" w:rsidR="00711B40" w:rsidRDefault="00711B40" w:rsidP="00711B40">
      <w:pPr>
        <w:pStyle w:val="notetext"/>
      </w:pPr>
      <w:r>
        <w:t>Note 1:</w:t>
      </w:r>
      <w:r>
        <w:tab/>
        <w:t>Paragraph 19(2)(b) permits the Secretary to have regard to certain approvals and other documents issued by the governments or competent authorities of contracting parties to the 1958 Agreement in determining whether a type of vehicle meets</w:t>
      </w:r>
      <w:r w:rsidRPr="00313C65">
        <w:t xml:space="preserve"> the requirements of subparagraph 19(1)(a)(i) or paragraph 19(3)(a)</w:t>
      </w:r>
      <w:r>
        <w:t xml:space="preserve">. An IWVTA is one such approval. </w:t>
      </w:r>
    </w:p>
    <w:p w14:paraId="7A686347" w14:textId="77777777" w:rsidR="00711B40" w:rsidRDefault="00711B40" w:rsidP="00711B40">
      <w:pPr>
        <w:pStyle w:val="notetext"/>
      </w:pPr>
      <w:r>
        <w:t>Note 2:</w:t>
      </w:r>
      <w:r>
        <w:tab/>
        <w:t xml:space="preserve">Subparagraph 19(1)(a)(i) and paragraph 19(3)(a) relate to establishing compliance with the applicable national road vehicle standards. In some cases, an IWVTA may be sufficient to establish that the type of vehicle complies with all relevant standards. Paragraph (b)(i) </w:t>
      </w:r>
      <w:r w:rsidR="00FF5F4D">
        <w:t xml:space="preserve">of the definition </w:t>
      </w:r>
      <w:r>
        <w:t xml:space="preserve">applies in these circumstances.  </w:t>
      </w:r>
    </w:p>
    <w:p w14:paraId="11B58DF6" w14:textId="77777777" w:rsidR="00C46B5C" w:rsidRDefault="00711B40" w:rsidP="004E597D">
      <w:pPr>
        <w:pStyle w:val="notetext"/>
        <w:ind w:firstLine="0"/>
      </w:pPr>
      <w:r>
        <w:t xml:space="preserve">However, not all applicable national road vehicle standards will necessarily be capable of being covered by an IWVTA. In those cases, it will not be possible to establish that the type of vehicle meets the requirement in subparagraph 19(1)(a)(i) or paragraph 19(3)(a) wholly by reference to the IWVTA. Paragraph (b)(ii) of the definition applies where the IWVTA is used to establish compliance with the applicable national road vehicle standards to the maximum extent possible. </w:t>
      </w:r>
    </w:p>
    <w:p w14:paraId="7D13D0E2" w14:textId="77777777" w:rsidR="005C5555" w:rsidRDefault="005C5555" w:rsidP="005C5555">
      <w:pPr>
        <w:pStyle w:val="Definition"/>
      </w:pPr>
      <w:r w:rsidRPr="009D5865">
        <w:rPr>
          <w:b/>
          <w:i/>
        </w:rPr>
        <w:lastRenderedPageBreak/>
        <w:t>road vehicle type approval—non-IWVTA</w:t>
      </w:r>
      <w:r w:rsidR="00AD7A82">
        <w:rPr>
          <w:b/>
          <w:i/>
        </w:rPr>
        <w:t xml:space="preserve"> based</w:t>
      </w:r>
      <w:r w:rsidRPr="009D5865">
        <w:rPr>
          <w:b/>
          <w:i/>
        </w:rPr>
        <w:t xml:space="preserve">: 2 or 3 wheeled vehicle </w:t>
      </w:r>
      <w:r>
        <w:t xml:space="preserve">means a road vehicle type approval (other than a </w:t>
      </w:r>
      <w:r w:rsidRPr="005772F4">
        <w:t>road vehicle type approval—IWVTA</w:t>
      </w:r>
      <w:r w:rsidR="00BE6AAA">
        <w:t xml:space="preserve"> based</w:t>
      </w:r>
      <w:r>
        <w:t xml:space="preserve">) that applies to a type of 2-wheeled vehicle or 3-wheeled vehicle.  </w:t>
      </w:r>
    </w:p>
    <w:p w14:paraId="7C4168FB" w14:textId="77777777" w:rsidR="00064BB2" w:rsidRDefault="00064BB2" w:rsidP="00064BB2">
      <w:pPr>
        <w:pStyle w:val="Definition"/>
      </w:pPr>
      <w:r w:rsidRPr="009D5865">
        <w:rPr>
          <w:b/>
          <w:i/>
        </w:rPr>
        <w:t>road vehicle type approval—non-IWVTA</w:t>
      </w:r>
      <w:r w:rsidR="00AD7A82">
        <w:rPr>
          <w:b/>
          <w:i/>
        </w:rPr>
        <w:t xml:space="preserve"> based</w:t>
      </w:r>
      <w:r w:rsidRPr="009D5865">
        <w:rPr>
          <w:b/>
          <w:i/>
        </w:rPr>
        <w:t xml:space="preserve">: </w:t>
      </w:r>
      <w:r>
        <w:rPr>
          <w:b/>
          <w:i/>
        </w:rPr>
        <w:t>bus</w:t>
      </w:r>
      <w:r w:rsidRPr="009D5865">
        <w:rPr>
          <w:b/>
          <w:i/>
        </w:rPr>
        <w:t xml:space="preserve"> </w:t>
      </w:r>
      <w:r>
        <w:t xml:space="preserve">means a road vehicle type approval (other than a </w:t>
      </w:r>
      <w:r w:rsidRPr="005772F4">
        <w:t>road vehicle type approval—IWVTA</w:t>
      </w:r>
      <w:r w:rsidR="00BE6AAA">
        <w:t xml:space="preserve"> based</w:t>
      </w:r>
      <w:r>
        <w:t>) that applies to a type of</w:t>
      </w:r>
      <w:r w:rsidR="00AC4ED7">
        <w:t>:</w:t>
      </w:r>
    </w:p>
    <w:p w14:paraId="74656130" w14:textId="77777777" w:rsidR="00AC4ED7" w:rsidRDefault="00AC4ED7" w:rsidP="00172AE7">
      <w:pPr>
        <w:pStyle w:val="paragraph"/>
      </w:pPr>
      <w:r>
        <w:tab/>
        <w:t>(a)</w:t>
      </w:r>
      <w:r>
        <w:tab/>
        <w:t>light omnibus (MD); or</w:t>
      </w:r>
    </w:p>
    <w:p w14:paraId="704E5FF4" w14:textId="77777777" w:rsidR="00AC4ED7" w:rsidRDefault="00AC4ED7" w:rsidP="00172AE7">
      <w:pPr>
        <w:pStyle w:val="paragraph"/>
      </w:pPr>
      <w:r>
        <w:tab/>
        <w:t>(b)</w:t>
      </w:r>
      <w:r>
        <w:tab/>
        <w:t xml:space="preserve">heavy omnibus (ME). </w:t>
      </w:r>
    </w:p>
    <w:p w14:paraId="09C3F4AD" w14:textId="77777777" w:rsidR="00172AE7" w:rsidRDefault="00172AE7" w:rsidP="00172AE7">
      <w:pPr>
        <w:pStyle w:val="notetext"/>
      </w:pPr>
      <w:r>
        <w:t>Note:</w:t>
      </w:r>
      <w:r>
        <w:tab/>
        <w:t xml:space="preserve">These vehicle categories are set out in the </w:t>
      </w:r>
      <w:r w:rsidRPr="003D615B">
        <w:rPr>
          <w:i/>
        </w:rPr>
        <w:t>Vehicle Standard (Australian Design Rul</w:t>
      </w:r>
      <w:r>
        <w:rPr>
          <w:i/>
        </w:rPr>
        <w:t>e—D</w:t>
      </w:r>
      <w:r w:rsidRPr="003D615B">
        <w:rPr>
          <w:i/>
        </w:rPr>
        <w:t>efinitions and Vehicle Categories) 2005</w:t>
      </w:r>
      <w:r>
        <w:t>.</w:t>
      </w:r>
    </w:p>
    <w:p w14:paraId="3D8E4D04" w14:textId="77777777" w:rsidR="005C5555" w:rsidRDefault="005C5555" w:rsidP="005C5555">
      <w:pPr>
        <w:pStyle w:val="Definition"/>
      </w:pPr>
      <w:r w:rsidRPr="009D5865">
        <w:rPr>
          <w:b/>
          <w:i/>
        </w:rPr>
        <w:t>road vehicle type approval—non-IWVTA</w:t>
      </w:r>
      <w:r w:rsidR="00AD7A82">
        <w:rPr>
          <w:b/>
          <w:i/>
        </w:rPr>
        <w:t xml:space="preserve"> based</w:t>
      </w:r>
      <w:r w:rsidRPr="009D5865">
        <w:rPr>
          <w:b/>
          <w:i/>
        </w:rPr>
        <w:t xml:space="preserve">: </w:t>
      </w:r>
      <w:r>
        <w:rPr>
          <w:b/>
          <w:i/>
        </w:rPr>
        <w:t xml:space="preserve">goods </w:t>
      </w:r>
      <w:r w:rsidRPr="009D5865">
        <w:rPr>
          <w:b/>
          <w:i/>
        </w:rPr>
        <w:t xml:space="preserve">vehicle </w:t>
      </w:r>
      <w:r>
        <w:t xml:space="preserve">means a road vehicle type approval (other than a </w:t>
      </w:r>
      <w:r w:rsidRPr="005772F4">
        <w:t>road vehicle type approval—IWVTA</w:t>
      </w:r>
      <w:r w:rsidR="00BE6AAA">
        <w:t xml:space="preserve"> based</w:t>
      </w:r>
      <w:r>
        <w:t>) that applies to a type of:</w:t>
      </w:r>
    </w:p>
    <w:p w14:paraId="172D66D3" w14:textId="77777777" w:rsidR="005C5555" w:rsidRDefault="005C5555" w:rsidP="005C5555">
      <w:pPr>
        <w:pStyle w:val="paragraph"/>
      </w:pPr>
      <w:r>
        <w:tab/>
        <w:t>(a)</w:t>
      </w:r>
      <w:r>
        <w:tab/>
        <w:t>Light Goods Vehicle (NA); or</w:t>
      </w:r>
    </w:p>
    <w:p w14:paraId="43CE745C" w14:textId="77777777" w:rsidR="005C5555" w:rsidRDefault="005C5555" w:rsidP="005C5555">
      <w:pPr>
        <w:pStyle w:val="paragraph"/>
      </w:pPr>
      <w:r>
        <w:tab/>
        <w:t>(b)</w:t>
      </w:r>
      <w:r>
        <w:tab/>
        <w:t>Medium Goods Vehicle (NB); or</w:t>
      </w:r>
    </w:p>
    <w:p w14:paraId="6252C0BE" w14:textId="77777777" w:rsidR="005C5555" w:rsidRDefault="005C5555" w:rsidP="00795114">
      <w:pPr>
        <w:pStyle w:val="paragraph"/>
      </w:pPr>
      <w:r>
        <w:tab/>
        <w:t>(c)</w:t>
      </w:r>
      <w:r>
        <w:tab/>
        <w:t>Heavy Goods Vehicle (NC).</w:t>
      </w:r>
    </w:p>
    <w:p w14:paraId="1BB91244" w14:textId="77777777" w:rsidR="003D615B" w:rsidRDefault="003D615B" w:rsidP="003D615B">
      <w:pPr>
        <w:pStyle w:val="notetext"/>
      </w:pPr>
      <w:r>
        <w:t>Note:</w:t>
      </w:r>
      <w:r>
        <w:tab/>
        <w:t xml:space="preserve">These vehicle categories are set out in the </w:t>
      </w:r>
      <w:r w:rsidRPr="003D615B">
        <w:rPr>
          <w:i/>
        </w:rPr>
        <w:t>Vehicle Standard (Australian Design Rul</w:t>
      </w:r>
      <w:r w:rsidR="00C27DE9">
        <w:rPr>
          <w:i/>
        </w:rPr>
        <w:t>e—</w:t>
      </w:r>
      <w:r w:rsidR="003413EF">
        <w:rPr>
          <w:i/>
        </w:rPr>
        <w:t>D</w:t>
      </w:r>
      <w:r w:rsidRPr="003D615B">
        <w:rPr>
          <w:i/>
        </w:rPr>
        <w:t>efinitions and Vehicle Categories) 2005</w:t>
      </w:r>
      <w:r>
        <w:t>.</w:t>
      </w:r>
    </w:p>
    <w:p w14:paraId="25FE7AFE" w14:textId="77777777" w:rsidR="00066BB0" w:rsidRDefault="00066BB0" w:rsidP="00066BB0">
      <w:pPr>
        <w:pStyle w:val="subsection"/>
      </w:pPr>
      <w:r>
        <w:tab/>
      </w:r>
      <w:r>
        <w:tab/>
      </w:r>
      <w:r w:rsidRPr="009D5865">
        <w:rPr>
          <w:b/>
          <w:i/>
        </w:rPr>
        <w:t>road vehicle type approval—non-IWVTA</w:t>
      </w:r>
      <w:r w:rsidR="00AD7A82">
        <w:rPr>
          <w:b/>
          <w:i/>
        </w:rPr>
        <w:t xml:space="preserve"> based</w:t>
      </w:r>
      <w:r w:rsidRPr="009D5865">
        <w:rPr>
          <w:b/>
          <w:i/>
        </w:rPr>
        <w:t xml:space="preserve">: </w:t>
      </w:r>
      <w:r>
        <w:rPr>
          <w:b/>
          <w:i/>
        </w:rPr>
        <w:t xml:space="preserve">heavy trailer (with Model Report) </w:t>
      </w:r>
      <w:r>
        <w:t>means a road vehicle type approval that applies to a type of trailer that:</w:t>
      </w:r>
    </w:p>
    <w:p w14:paraId="2EC13645" w14:textId="77777777" w:rsidR="00066BB0" w:rsidRDefault="00066BB0" w:rsidP="00066BB0">
      <w:pPr>
        <w:pStyle w:val="paragraph"/>
      </w:pPr>
      <w:r>
        <w:tab/>
        <w:t>(a)</w:t>
      </w:r>
      <w:r>
        <w:tab/>
        <w:t>has an aggregate trailer mass of more than 4.5 tonnes; and</w:t>
      </w:r>
    </w:p>
    <w:p w14:paraId="454BC04B" w14:textId="77777777" w:rsidR="00066BB0" w:rsidRDefault="00066BB0" w:rsidP="00066BB0">
      <w:pPr>
        <w:pStyle w:val="paragraph"/>
      </w:pPr>
      <w:r>
        <w:tab/>
        <w:t>(b)</w:t>
      </w:r>
      <w:r>
        <w:tab/>
      </w:r>
      <w:r w:rsidR="00836F7A">
        <w:t xml:space="preserve">meets </w:t>
      </w:r>
      <w:r>
        <w:t xml:space="preserve">the requirement in subparagraph 19(1)(a)(i) or paragraph 19(3)(a) </w:t>
      </w:r>
      <w:r w:rsidRPr="000D395C">
        <w:t>wholly</w:t>
      </w:r>
      <w:r>
        <w:t xml:space="preserve"> on </w:t>
      </w:r>
      <w:r w:rsidR="007A0ACE">
        <w:t xml:space="preserve">the basis of </w:t>
      </w:r>
      <w:r>
        <w:t>an approved Mode</w:t>
      </w:r>
      <w:r w:rsidR="008656FE">
        <w:t>l Report mentioned in paragraph </w:t>
      </w:r>
      <w:r>
        <w:t>19(2)(e).</w:t>
      </w:r>
    </w:p>
    <w:p w14:paraId="061CE52D" w14:textId="77777777" w:rsidR="005C5555" w:rsidRDefault="005C5555" w:rsidP="005C5555">
      <w:pPr>
        <w:pStyle w:val="Definition"/>
      </w:pPr>
      <w:r w:rsidRPr="009D5865">
        <w:rPr>
          <w:b/>
          <w:i/>
        </w:rPr>
        <w:t>road vehicle type approval—non-IWVTA</w:t>
      </w:r>
      <w:r w:rsidR="00AD7A82">
        <w:rPr>
          <w:b/>
          <w:i/>
        </w:rPr>
        <w:t xml:space="preserve"> based</w:t>
      </w:r>
      <w:r w:rsidRPr="009D5865">
        <w:rPr>
          <w:b/>
          <w:i/>
        </w:rPr>
        <w:t xml:space="preserve">: </w:t>
      </w:r>
      <w:r>
        <w:rPr>
          <w:b/>
          <w:i/>
        </w:rPr>
        <w:t>heavy trailer (without Model Report)</w:t>
      </w:r>
      <w:r>
        <w:t xml:space="preserve"> means a road vehicle type approval that applies to a type of trailer with an aggregate trailer mass of more than 4.5 tonnes, other than:</w:t>
      </w:r>
    </w:p>
    <w:p w14:paraId="1D90A05A" w14:textId="77777777" w:rsidR="005C5555" w:rsidRDefault="005C5555" w:rsidP="005C5555">
      <w:pPr>
        <w:pStyle w:val="paragraph"/>
      </w:pPr>
      <w:r>
        <w:tab/>
        <w:t>(a)</w:t>
      </w:r>
      <w:r>
        <w:tab/>
        <w:t xml:space="preserve">a </w:t>
      </w:r>
      <w:r w:rsidRPr="005772F4">
        <w:t>road vehicle type approval—IWVTA</w:t>
      </w:r>
      <w:r w:rsidR="00BE6AAA">
        <w:t xml:space="preserve"> based</w:t>
      </w:r>
      <w:r>
        <w:t>; or</w:t>
      </w:r>
    </w:p>
    <w:p w14:paraId="50646E97" w14:textId="77777777" w:rsidR="005C5555" w:rsidRDefault="005C5555" w:rsidP="005C5555">
      <w:pPr>
        <w:pStyle w:val="paragraph"/>
      </w:pPr>
      <w:r>
        <w:tab/>
        <w:t>(b)</w:t>
      </w:r>
      <w:r>
        <w:tab/>
        <w:t xml:space="preserve">a </w:t>
      </w:r>
      <w:r w:rsidRPr="004759DA">
        <w:t>road vehicle type approval—non-IWVTA</w:t>
      </w:r>
      <w:r w:rsidR="00BE6AAA">
        <w:t xml:space="preserve"> based</w:t>
      </w:r>
      <w:r w:rsidRPr="004759DA">
        <w:t>: heavy trailer (with Model Report)</w:t>
      </w:r>
      <w:r>
        <w:t>.</w:t>
      </w:r>
    </w:p>
    <w:p w14:paraId="37F38527" w14:textId="77777777" w:rsidR="005C5555" w:rsidRDefault="005C5555" w:rsidP="005C5555">
      <w:pPr>
        <w:pStyle w:val="Definition"/>
      </w:pPr>
      <w:r w:rsidRPr="009D5865">
        <w:rPr>
          <w:b/>
          <w:i/>
        </w:rPr>
        <w:t>road vehicle type approval—non-IWVTA</w:t>
      </w:r>
      <w:r w:rsidR="00AD7A82">
        <w:rPr>
          <w:b/>
          <w:i/>
        </w:rPr>
        <w:t xml:space="preserve"> based</w:t>
      </w:r>
      <w:r w:rsidRPr="009D5865">
        <w:rPr>
          <w:b/>
          <w:i/>
        </w:rPr>
        <w:t xml:space="preserve">: </w:t>
      </w:r>
      <w:r>
        <w:rPr>
          <w:b/>
          <w:i/>
        </w:rPr>
        <w:t>light trailer</w:t>
      </w:r>
      <w:r w:rsidRPr="009D5865">
        <w:rPr>
          <w:b/>
          <w:i/>
        </w:rPr>
        <w:t xml:space="preserve"> </w:t>
      </w:r>
      <w:r>
        <w:t xml:space="preserve">means a road vehicle type approval (other than a </w:t>
      </w:r>
      <w:r w:rsidRPr="005772F4">
        <w:t>road vehicle type approval—IWVTA</w:t>
      </w:r>
      <w:r w:rsidR="00BE6AAA">
        <w:t xml:space="preserve"> based</w:t>
      </w:r>
      <w:r>
        <w:t xml:space="preserve">) that applies to a type of trailer with an aggregate trailer mass of 4.5 tonnes or less.  </w:t>
      </w:r>
    </w:p>
    <w:p w14:paraId="1447EB08" w14:textId="77777777" w:rsidR="003D615B" w:rsidRDefault="00DB5658" w:rsidP="003D615B">
      <w:pPr>
        <w:pStyle w:val="Definition"/>
      </w:pPr>
      <w:r w:rsidRPr="00DB5658">
        <w:rPr>
          <w:b/>
          <w:i/>
        </w:rPr>
        <w:t>road vehicle type approval—non-IWVTA</w:t>
      </w:r>
      <w:r w:rsidR="00AD7A82">
        <w:rPr>
          <w:b/>
          <w:i/>
        </w:rPr>
        <w:t xml:space="preserve"> based</w:t>
      </w:r>
      <w:r w:rsidRPr="00DB5658">
        <w:rPr>
          <w:b/>
          <w:i/>
        </w:rPr>
        <w:t>: passenger vehicle</w:t>
      </w:r>
      <w:r w:rsidRPr="00DB5658">
        <w:t xml:space="preserve"> </w:t>
      </w:r>
      <w:r>
        <w:t xml:space="preserve">means a road vehicle type approval (other than a </w:t>
      </w:r>
      <w:r w:rsidRPr="005772F4">
        <w:t>road vehicle type approval—IWVTA</w:t>
      </w:r>
      <w:r w:rsidR="00BE6AAA">
        <w:t xml:space="preserve"> based</w:t>
      </w:r>
      <w:r>
        <w:t>) that applies to a type of</w:t>
      </w:r>
      <w:r w:rsidR="003D615B">
        <w:t>:</w:t>
      </w:r>
    </w:p>
    <w:p w14:paraId="26105EC9" w14:textId="77777777" w:rsidR="003D615B" w:rsidRDefault="003D615B" w:rsidP="003D615B">
      <w:pPr>
        <w:pStyle w:val="paragraph"/>
      </w:pPr>
      <w:r>
        <w:tab/>
        <w:t>(a)</w:t>
      </w:r>
      <w:r>
        <w:tab/>
        <w:t>Passenger Car (MA); or</w:t>
      </w:r>
    </w:p>
    <w:p w14:paraId="5D11066E" w14:textId="77777777" w:rsidR="003D615B" w:rsidRDefault="003D615B" w:rsidP="003D615B">
      <w:pPr>
        <w:pStyle w:val="paragraph"/>
      </w:pPr>
      <w:r>
        <w:tab/>
        <w:t>(b)</w:t>
      </w:r>
      <w:r>
        <w:tab/>
        <w:t>Forward-control Passenger Vehicle (MB); or</w:t>
      </w:r>
    </w:p>
    <w:p w14:paraId="713099C0" w14:textId="77777777" w:rsidR="003D615B" w:rsidRDefault="003D615B" w:rsidP="003D615B">
      <w:pPr>
        <w:pStyle w:val="paragraph"/>
      </w:pPr>
      <w:r>
        <w:tab/>
        <w:t>(c)</w:t>
      </w:r>
      <w:r>
        <w:tab/>
        <w:t>Off-road Passenger Vehicle (MC).</w:t>
      </w:r>
    </w:p>
    <w:p w14:paraId="70875B40" w14:textId="77777777" w:rsidR="003D615B" w:rsidRDefault="003D615B" w:rsidP="003D615B">
      <w:pPr>
        <w:pStyle w:val="notetext"/>
      </w:pPr>
      <w:r>
        <w:t>Note:</w:t>
      </w:r>
      <w:r>
        <w:tab/>
        <w:t xml:space="preserve">These vehicle categories are set out in the </w:t>
      </w:r>
      <w:r w:rsidRPr="003D615B">
        <w:rPr>
          <w:i/>
        </w:rPr>
        <w:t>Vehicle Standard (Australian Design Rule</w:t>
      </w:r>
      <w:r w:rsidR="00C27DE9">
        <w:rPr>
          <w:i/>
        </w:rPr>
        <w:t>—</w:t>
      </w:r>
      <w:r w:rsidRPr="003D615B">
        <w:rPr>
          <w:i/>
        </w:rPr>
        <w:t>Definitions and Vehicle Categories) 2005</w:t>
      </w:r>
      <w:r>
        <w:t>.</w:t>
      </w:r>
    </w:p>
    <w:p w14:paraId="13C493E0" w14:textId="77777777" w:rsidR="00FF7125" w:rsidRPr="007E5C14" w:rsidRDefault="00FF7125" w:rsidP="00FF7125">
      <w:pPr>
        <w:pStyle w:val="ActHead3"/>
      </w:pPr>
      <w:r w:rsidRPr="003842A0">
        <w:rPr>
          <w:rStyle w:val="CharDivNo"/>
        </w:rPr>
        <w:lastRenderedPageBreak/>
        <w:t>Division 2</w:t>
      </w:r>
      <w:r w:rsidRPr="002E0CD2">
        <w:t>—</w:t>
      </w:r>
      <w:r w:rsidR="003E4E0E">
        <w:rPr>
          <w:rStyle w:val="CharDivText"/>
        </w:rPr>
        <w:t>Fees</w:t>
      </w:r>
      <w:r w:rsidR="00414955">
        <w:rPr>
          <w:rStyle w:val="CharDivText"/>
        </w:rPr>
        <w:t xml:space="preserve">: </w:t>
      </w:r>
      <w:r w:rsidR="0024333B">
        <w:rPr>
          <w:rStyle w:val="CharDivText"/>
        </w:rPr>
        <w:t xml:space="preserve">road vehicle </w:t>
      </w:r>
      <w:r>
        <w:rPr>
          <w:rStyle w:val="CharDivText"/>
        </w:rPr>
        <w:t>type approvals</w:t>
      </w:r>
      <w:r w:rsidRPr="004759F8">
        <w:rPr>
          <w:rStyle w:val="CharDivText"/>
        </w:rPr>
        <w:t xml:space="preserve"> </w:t>
      </w:r>
    </w:p>
    <w:p w14:paraId="7769A1F5" w14:textId="77777777" w:rsidR="00FF7125" w:rsidRDefault="00D54009" w:rsidP="00FF7125">
      <w:pPr>
        <w:pStyle w:val="ActHead5"/>
      </w:pPr>
      <w:bookmarkStart w:id="22" w:name="_Toc27580648"/>
      <w:bookmarkStart w:id="23" w:name="_Toc27647418"/>
      <w:r>
        <w:rPr>
          <w:rStyle w:val="CharSectno"/>
        </w:rPr>
        <w:t>240</w:t>
      </w:r>
      <w:r w:rsidRPr="002E0CD2">
        <w:t xml:space="preserve">  </w:t>
      </w:r>
      <w:r w:rsidR="0024333B">
        <w:t>Road vehicle t</w:t>
      </w:r>
      <w:r w:rsidR="003825DF">
        <w:t>ype approvals</w:t>
      </w:r>
      <w:r w:rsidR="00FF7125">
        <w:t>—</w:t>
      </w:r>
      <w:r w:rsidR="003825DF">
        <w:t>when fees are payable</w:t>
      </w:r>
      <w:bookmarkEnd w:id="22"/>
      <w:bookmarkEnd w:id="23"/>
      <w:r w:rsidR="00FF7125">
        <w:t xml:space="preserve"> </w:t>
      </w:r>
    </w:p>
    <w:p w14:paraId="2A772CF1" w14:textId="77777777" w:rsidR="00D542D6" w:rsidRDefault="00FA5010" w:rsidP="00FA5010">
      <w:pPr>
        <w:pStyle w:val="subsection"/>
      </w:pPr>
      <w:r>
        <w:tab/>
      </w:r>
      <w:r w:rsidR="000E4A92">
        <w:t>(1)</w:t>
      </w:r>
      <w:r>
        <w:tab/>
        <w:t>T</w:t>
      </w:r>
      <w:r w:rsidR="001901CE" w:rsidRPr="00FA5010">
        <w:t>he person mentioned in column 1 of the following table must pay a fee</w:t>
      </w:r>
      <w:r w:rsidR="00AE1EC9">
        <w:t xml:space="preserve"> to the Commonwealth</w:t>
      </w:r>
      <w:r w:rsidR="001901CE" w:rsidRPr="00FA5010">
        <w:t xml:space="preserve"> in accordance with column 2 of the table</w:t>
      </w:r>
      <w:r w:rsidR="007D65FE" w:rsidRPr="00FA5010">
        <w:t xml:space="preserve">. </w:t>
      </w:r>
    </w:p>
    <w:p w14:paraId="3903D39F" w14:textId="77777777" w:rsidR="00710B6E" w:rsidRPr="00710B6E" w:rsidRDefault="000E4A92" w:rsidP="00FA5010">
      <w:pPr>
        <w:pStyle w:val="subsection"/>
        <w:rPr>
          <w:i/>
        </w:rPr>
      </w:pPr>
      <w:r>
        <w:tab/>
        <w:t>(2)</w:t>
      </w:r>
      <w:r>
        <w:tab/>
        <w:t xml:space="preserve">The fee is </w:t>
      </w:r>
      <w:r w:rsidR="00FD0A49">
        <w:t xml:space="preserve">due and payable </w:t>
      </w:r>
      <w:r>
        <w:t xml:space="preserve">at the time the application </w:t>
      </w:r>
      <w:r w:rsidR="001B60DE">
        <w:t xml:space="preserve">mentioned in column 1 </w:t>
      </w:r>
      <w:r>
        <w:t xml:space="preserve">is made. </w:t>
      </w:r>
      <w:r w:rsidR="00710B6E">
        <w:tab/>
      </w:r>
      <w:r w:rsidR="00710B6E" w:rsidRPr="00935A7A">
        <w:t xml:space="preserve"> </w:t>
      </w:r>
    </w:p>
    <w:p w14:paraId="62DA4BD5" w14:textId="77777777" w:rsidR="000E4A92" w:rsidRDefault="006D106B" w:rsidP="00EA3ACE">
      <w:pPr>
        <w:pStyle w:val="notetext"/>
      </w:pPr>
      <w:r>
        <w:t>Note:</w:t>
      </w:r>
      <w:r>
        <w:tab/>
        <w:t>Subparagraph 16(2)(b)(i</w:t>
      </w:r>
      <w:r w:rsidR="00510B31">
        <w:t>i</w:t>
      </w:r>
      <w:r>
        <w:t xml:space="preserve">) </w:t>
      </w:r>
      <w:r w:rsidR="00410F1D">
        <w:t xml:space="preserve">requires </w:t>
      </w:r>
      <w:r w:rsidR="00EA3ACE">
        <w:t xml:space="preserve">an </w:t>
      </w:r>
      <w:r w:rsidR="00410F1D">
        <w:t xml:space="preserve">application </w:t>
      </w:r>
      <w:r w:rsidR="00EA3ACE">
        <w:t xml:space="preserve">for a road vehicle type approval </w:t>
      </w:r>
      <w:r w:rsidR="00410F1D">
        <w:t xml:space="preserve">to be accompanied by the application fee. The Secretary may refuse to consider the application if the person does not pay the fee (see paragraph 18(a)). </w:t>
      </w:r>
    </w:p>
    <w:p w14:paraId="6B9C18BF" w14:textId="77777777" w:rsidR="00510B31" w:rsidRPr="00FA5010" w:rsidRDefault="00510B31" w:rsidP="00EA3ACE">
      <w:pPr>
        <w:pStyle w:val="not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817"/>
        <w:gridCol w:w="3851"/>
      </w:tblGrid>
      <w:tr w:rsidR="001901CE" w:rsidRPr="00905BBB" w14:paraId="47968AE2" w14:textId="77777777" w:rsidTr="0024333B">
        <w:trPr>
          <w:tblHeader/>
        </w:trPr>
        <w:tc>
          <w:tcPr>
            <w:tcW w:w="8382" w:type="dxa"/>
            <w:gridSpan w:val="3"/>
            <w:tcBorders>
              <w:top w:val="single" w:sz="12" w:space="0" w:color="auto"/>
              <w:bottom w:val="single" w:sz="2" w:space="0" w:color="auto"/>
            </w:tcBorders>
            <w:shd w:val="clear" w:color="auto" w:fill="auto"/>
          </w:tcPr>
          <w:p w14:paraId="5E6E4694" w14:textId="77777777" w:rsidR="001901CE" w:rsidRPr="00905BBB" w:rsidRDefault="0024333B" w:rsidP="007D65FE">
            <w:pPr>
              <w:pStyle w:val="TableHeading"/>
            </w:pPr>
            <w:r>
              <w:t>Road vehicle t</w:t>
            </w:r>
            <w:r w:rsidR="007D65FE">
              <w:t>ype approval applications—w</w:t>
            </w:r>
            <w:r w:rsidR="001901CE" w:rsidRPr="00905BBB">
              <w:t>hen fees are payable</w:t>
            </w:r>
            <w:r w:rsidR="007D65FE">
              <w:t xml:space="preserve"> </w:t>
            </w:r>
          </w:p>
        </w:tc>
      </w:tr>
      <w:tr w:rsidR="001901CE" w:rsidRPr="00905BBB" w14:paraId="14EAF087" w14:textId="77777777" w:rsidTr="00AD7A82">
        <w:trPr>
          <w:tblHeader/>
        </w:trPr>
        <w:tc>
          <w:tcPr>
            <w:tcW w:w="714" w:type="dxa"/>
            <w:tcBorders>
              <w:top w:val="single" w:sz="2" w:space="0" w:color="auto"/>
              <w:bottom w:val="single" w:sz="12" w:space="0" w:color="auto"/>
            </w:tcBorders>
            <w:shd w:val="clear" w:color="auto" w:fill="auto"/>
          </w:tcPr>
          <w:p w14:paraId="755AE840" w14:textId="77777777" w:rsidR="001901CE" w:rsidRPr="00905BBB" w:rsidRDefault="001901CE" w:rsidP="00BC22F7">
            <w:pPr>
              <w:pStyle w:val="TableHeading"/>
            </w:pPr>
            <w:r w:rsidRPr="00905BBB">
              <w:t>Item</w:t>
            </w:r>
          </w:p>
        </w:tc>
        <w:tc>
          <w:tcPr>
            <w:tcW w:w="3817" w:type="dxa"/>
            <w:tcBorders>
              <w:top w:val="single" w:sz="2" w:space="0" w:color="auto"/>
              <w:bottom w:val="single" w:sz="12" w:space="0" w:color="auto"/>
            </w:tcBorders>
            <w:shd w:val="clear" w:color="auto" w:fill="auto"/>
          </w:tcPr>
          <w:p w14:paraId="3B8CCB86" w14:textId="77777777" w:rsidR="001901CE" w:rsidRPr="00905BBB" w:rsidRDefault="001901CE" w:rsidP="00BC22F7">
            <w:pPr>
              <w:pStyle w:val="TableHeading"/>
            </w:pPr>
            <w:r w:rsidRPr="00905BBB">
              <w:t>Column 1</w:t>
            </w:r>
          </w:p>
          <w:p w14:paraId="2368994A" w14:textId="77777777" w:rsidR="001901CE" w:rsidRPr="00905BBB" w:rsidRDefault="001901CE" w:rsidP="00BC22F7">
            <w:pPr>
              <w:pStyle w:val="TableHeading"/>
            </w:pPr>
            <w:r w:rsidRPr="00905BBB">
              <w:t>This person …</w:t>
            </w:r>
          </w:p>
        </w:tc>
        <w:tc>
          <w:tcPr>
            <w:tcW w:w="3851" w:type="dxa"/>
            <w:tcBorders>
              <w:top w:val="single" w:sz="2" w:space="0" w:color="auto"/>
              <w:bottom w:val="single" w:sz="12" w:space="0" w:color="auto"/>
            </w:tcBorders>
            <w:shd w:val="clear" w:color="auto" w:fill="auto"/>
          </w:tcPr>
          <w:p w14:paraId="7ECD7BE7" w14:textId="77777777" w:rsidR="001901CE" w:rsidRPr="00905BBB" w:rsidRDefault="001901CE" w:rsidP="00BC22F7">
            <w:pPr>
              <w:pStyle w:val="TableHeading"/>
            </w:pPr>
            <w:r w:rsidRPr="00905BBB">
              <w:t>Column 2</w:t>
            </w:r>
          </w:p>
          <w:p w14:paraId="2C174CD2" w14:textId="77777777" w:rsidR="001901CE" w:rsidRPr="00905BBB" w:rsidRDefault="001901CE" w:rsidP="007D65FE">
            <w:pPr>
              <w:pStyle w:val="TableHeading"/>
            </w:pPr>
            <w:r w:rsidRPr="00905BBB">
              <w:t xml:space="preserve">must pay </w:t>
            </w:r>
            <w:r w:rsidR="007D65FE">
              <w:t>the following</w:t>
            </w:r>
            <w:r w:rsidRPr="00905BBB">
              <w:t xml:space="preserve"> fee …</w:t>
            </w:r>
          </w:p>
        </w:tc>
      </w:tr>
      <w:tr w:rsidR="002A4967" w:rsidRPr="00905BBB" w14:paraId="7AAAEA72" w14:textId="77777777" w:rsidTr="00AD7A82">
        <w:tc>
          <w:tcPr>
            <w:tcW w:w="714" w:type="dxa"/>
            <w:tcBorders>
              <w:top w:val="single" w:sz="12" w:space="0" w:color="auto"/>
            </w:tcBorders>
            <w:shd w:val="clear" w:color="auto" w:fill="auto"/>
          </w:tcPr>
          <w:p w14:paraId="141A3586" w14:textId="77777777" w:rsidR="002A4967" w:rsidRPr="00905BBB" w:rsidRDefault="002A4967" w:rsidP="002A4967">
            <w:pPr>
              <w:pStyle w:val="Tabletext"/>
            </w:pPr>
            <w:r w:rsidRPr="00905BBB">
              <w:t>1</w:t>
            </w:r>
          </w:p>
        </w:tc>
        <w:tc>
          <w:tcPr>
            <w:tcW w:w="3817" w:type="dxa"/>
            <w:tcBorders>
              <w:top w:val="single" w:sz="12" w:space="0" w:color="auto"/>
            </w:tcBorders>
            <w:shd w:val="clear" w:color="auto" w:fill="auto"/>
          </w:tcPr>
          <w:p w14:paraId="4C841E49" w14:textId="77777777" w:rsidR="002A4967" w:rsidRPr="00905BBB" w:rsidRDefault="002A4967" w:rsidP="002A4967">
            <w:pPr>
              <w:pStyle w:val="Tabletext"/>
            </w:pPr>
            <w:r w:rsidRPr="00905BBB">
              <w:t>a person who applies for</w:t>
            </w:r>
            <w:r>
              <w:t xml:space="preserve"> a road vehicle type approval—IWVTA </w:t>
            </w:r>
            <w:r w:rsidR="00AD7A82">
              <w:t>based</w:t>
            </w:r>
          </w:p>
        </w:tc>
        <w:tc>
          <w:tcPr>
            <w:tcW w:w="3851" w:type="dxa"/>
            <w:tcBorders>
              <w:top w:val="single" w:sz="12" w:space="0" w:color="auto"/>
            </w:tcBorders>
            <w:shd w:val="clear" w:color="auto" w:fill="auto"/>
          </w:tcPr>
          <w:p w14:paraId="038AB0BD" w14:textId="77777777" w:rsidR="002A4967" w:rsidRPr="00905BBB" w:rsidRDefault="002A4967" w:rsidP="002A4967">
            <w:pPr>
              <w:pStyle w:val="Tablea"/>
            </w:pPr>
            <w:r>
              <w:t>$650</w:t>
            </w:r>
          </w:p>
        </w:tc>
      </w:tr>
      <w:tr w:rsidR="002A4967" w:rsidRPr="00905BBB" w14:paraId="7F58ECA3" w14:textId="77777777" w:rsidTr="00AD7A82">
        <w:tc>
          <w:tcPr>
            <w:tcW w:w="714" w:type="dxa"/>
            <w:shd w:val="clear" w:color="auto" w:fill="auto"/>
          </w:tcPr>
          <w:p w14:paraId="09F10291" w14:textId="77777777" w:rsidR="002A4967" w:rsidRPr="00905BBB" w:rsidRDefault="002A4967" w:rsidP="002A4967">
            <w:pPr>
              <w:pStyle w:val="Tabletext"/>
            </w:pPr>
            <w:r w:rsidRPr="00905BBB">
              <w:t>2</w:t>
            </w:r>
          </w:p>
        </w:tc>
        <w:tc>
          <w:tcPr>
            <w:tcW w:w="3817" w:type="dxa"/>
            <w:shd w:val="clear" w:color="auto" w:fill="auto"/>
          </w:tcPr>
          <w:p w14:paraId="7DFC1E8F" w14:textId="77777777" w:rsidR="002A4967" w:rsidRPr="00905BBB" w:rsidRDefault="002A4967" w:rsidP="002A4967">
            <w:pPr>
              <w:pStyle w:val="Tabletext"/>
            </w:pPr>
            <w:r w:rsidRPr="00905BBB">
              <w:t xml:space="preserve">a person who applies for </w:t>
            </w:r>
            <w:r>
              <w:t>a road vehicle type approval—non-IWVTA</w:t>
            </w:r>
            <w:r w:rsidR="00AD7A82">
              <w:t xml:space="preserve"> based</w:t>
            </w:r>
            <w:r>
              <w:t>: passenger vehicle</w:t>
            </w:r>
          </w:p>
        </w:tc>
        <w:tc>
          <w:tcPr>
            <w:tcW w:w="3851" w:type="dxa"/>
            <w:shd w:val="clear" w:color="auto" w:fill="auto"/>
          </w:tcPr>
          <w:p w14:paraId="4C2D4265" w14:textId="77777777" w:rsidR="002A4967" w:rsidRPr="00905BBB" w:rsidRDefault="002A4967" w:rsidP="002A4967">
            <w:pPr>
              <w:pStyle w:val="Tabletext"/>
            </w:pPr>
            <w:r>
              <w:t>$950</w:t>
            </w:r>
          </w:p>
        </w:tc>
      </w:tr>
      <w:tr w:rsidR="002A4967" w:rsidRPr="00905BBB" w14:paraId="29C412CE" w14:textId="77777777" w:rsidTr="00AD7A82">
        <w:tc>
          <w:tcPr>
            <w:tcW w:w="714" w:type="dxa"/>
            <w:shd w:val="clear" w:color="auto" w:fill="auto"/>
          </w:tcPr>
          <w:p w14:paraId="117B2227" w14:textId="77777777" w:rsidR="002A4967" w:rsidRPr="00905BBB" w:rsidRDefault="002A4967" w:rsidP="002A4967">
            <w:pPr>
              <w:pStyle w:val="Tabletext"/>
            </w:pPr>
            <w:r w:rsidRPr="00905BBB">
              <w:t>3</w:t>
            </w:r>
          </w:p>
        </w:tc>
        <w:tc>
          <w:tcPr>
            <w:tcW w:w="3817" w:type="dxa"/>
            <w:shd w:val="clear" w:color="auto" w:fill="auto"/>
          </w:tcPr>
          <w:p w14:paraId="3BD9EC3D" w14:textId="77777777" w:rsidR="002A4967" w:rsidRPr="00905BBB" w:rsidRDefault="002A4967" w:rsidP="002A4967">
            <w:pPr>
              <w:pStyle w:val="Tabletext"/>
            </w:pPr>
            <w:r w:rsidRPr="00905BBB">
              <w:t xml:space="preserve">a person who applies for </w:t>
            </w:r>
            <w:r>
              <w:t>a road vehicle type approval—non-IWVTA</w:t>
            </w:r>
            <w:r w:rsidR="00AD7A82">
              <w:t xml:space="preserve"> based</w:t>
            </w:r>
            <w:r>
              <w:t>: 2 or 3-wheeled vehicle</w:t>
            </w:r>
          </w:p>
        </w:tc>
        <w:tc>
          <w:tcPr>
            <w:tcW w:w="3851" w:type="dxa"/>
            <w:shd w:val="clear" w:color="auto" w:fill="auto"/>
          </w:tcPr>
          <w:p w14:paraId="3248B13C" w14:textId="77777777" w:rsidR="002A4967" w:rsidRPr="00905BBB" w:rsidRDefault="002A4967" w:rsidP="002A4967">
            <w:pPr>
              <w:pStyle w:val="Tabletext"/>
            </w:pPr>
            <w:r>
              <w:t>$440</w:t>
            </w:r>
          </w:p>
        </w:tc>
      </w:tr>
      <w:tr w:rsidR="002A4967" w:rsidRPr="00905BBB" w14:paraId="288B931A" w14:textId="77777777" w:rsidTr="00AD7A82">
        <w:tc>
          <w:tcPr>
            <w:tcW w:w="714" w:type="dxa"/>
            <w:shd w:val="clear" w:color="auto" w:fill="auto"/>
          </w:tcPr>
          <w:p w14:paraId="621231AA" w14:textId="77777777" w:rsidR="002A4967" w:rsidRPr="00905BBB" w:rsidRDefault="002A4967" w:rsidP="002A4967">
            <w:pPr>
              <w:pStyle w:val="Tabletext"/>
            </w:pPr>
            <w:r w:rsidRPr="00905BBB">
              <w:t>4</w:t>
            </w:r>
          </w:p>
        </w:tc>
        <w:tc>
          <w:tcPr>
            <w:tcW w:w="3817" w:type="dxa"/>
            <w:shd w:val="clear" w:color="auto" w:fill="auto"/>
          </w:tcPr>
          <w:p w14:paraId="6F0835E0" w14:textId="77777777" w:rsidR="002A4967" w:rsidRPr="00905BBB" w:rsidRDefault="002A4967" w:rsidP="002A4967">
            <w:pPr>
              <w:pStyle w:val="Tabletext"/>
            </w:pPr>
            <w:r w:rsidRPr="00905BBB">
              <w:t xml:space="preserve">a person who applies for </w:t>
            </w:r>
            <w:r>
              <w:t>a road vehicle type approval—non-IWVTA</w:t>
            </w:r>
            <w:r w:rsidR="00AD7A82">
              <w:t xml:space="preserve"> based</w:t>
            </w:r>
            <w:r>
              <w:t>: goods vehicle</w:t>
            </w:r>
          </w:p>
        </w:tc>
        <w:tc>
          <w:tcPr>
            <w:tcW w:w="3851" w:type="dxa"/>
            <w:shd w:val="clear" w:color="auto" w:fill="auto"/>
          </w:tcPr>
          <w:p w14:paraId="2907BA87" w14:textId="77777777" w:rsidR="002A4967" w:rsidRPr="00905BBB" w:rsidRDefault="002A4967" w:rsidP="002A4967">
            <w:pPr>
              <w:pStyle w:val="Tabletext"/>
            </w:pPr>
            <w:r>
              <w:t>$330</w:t>
            </w:r>
          </w:p>
        </w:tc>
      </w:tr>
      <w:tr w:rsidR="002A4967" w:rsidRPr="00905BBB" w14:paraId="11DE61CB" w14:textId="77777777" w:rsidTr="00AD7A82">
        <w:tc>
          <w:tcPr>
            <w:tcW w:w="714" w:type="dxa"/>
            <w:shd w:val="clear" w:color="auto" w:fill="auto"/>
          </w:tcPr>
          <w:p w14:paraId="0D971FEB" w14:textId="77777777" w:rsidR="002A4967" w:rsidRPr="00905BBB" w:rsidRDefault="002A4967" w:rsidP="002A4967">
            <w:pPr>
              <w:pStyle w:val="Tabletext"/>
            </w:pPr>
            <w:r>
              <w:t>5</w:t>
            </w:r>
          </w:p>
        </w:tc>
        <w:tc>
          <w:tcPr>
            <w:tcW w:w="3817" w:type="dxa"/>
            <w:shd w:val="clear" w:color="auto" w:fill="auto"/>
          </w:tcPr>
          <w:p w14:paraId="79B03B2E" w14:textId="77777777" w:rsidR="002A4967" w:rsidRPr="00905BBB" w:rsidRDefault="002A4967" w:rsidP="002A4967">
            <w:pPr>
              <w:pStyle w:val="Tabletext"/>
            </w:pPr>
            <w:r>
              <w:t xml:space="preserve">a person who applies for a </w:t>
            </w:r>
            <w:r w:rsidRPr="00A2366C">
              <w:t>road vehicle type approval—non-IWVTA</w:t>
            </w:r>
            <w:r w:rsidR="00AD7A82">
              <w:t xml:space="preserve"> based</w:t>
            </w:r>
            <w:r w:rsidRPr="00A2366C">
              <w:t>: bus</w:t>
            </w:r>
          </w:p>
        </w:tc>
        <w:tc>
          <w:tcPr>
            <w:tcW w:w="3851" w:type="dxa"/>
            <w:shd w:val="clear" w:color="auto" w:fill="auto"/>
          </w:tcPr>
          <w:p w14:paraId="78DB587B" w14:textId="77777777" w:rsidR="002A4967" w:rsidRPr="00905BBB" w:rsidRDefault="002A4967" w:rsidP="002A4967">
            <w:pPr>
              <w:pStyle w:val="Tabletext"/>
            </w:pPr>
            <w:r>
              <w:t>$330</w:t>
            </w:r>
          </w:p>
        </w:tc>
      </w:tr>
      <w:tr w:rsidR="002A4967" w:rsidRPr="00905BBB" w14:paraId="08BEBE36" w14:textId="77777777" w:rsidTr="00AD7A82">
        <w:tc>
          <w:tcPr>
            <w:tcW w:w="714" w:type="dxa"/>
            <w:tcBorders>
              <w:bottom w:val="single" w:sz="4" w:space="0" w:color="auto"/>
            </w:tcBorders>
            <w:shd w:val="clear" w:color="auto" w:fill="auto"/>
          </w:tcPr>
          <w:p w14:paraId="1B5A6D02" w14:textId="77777777" w:rsidR="002A4967" w:rsidRPr="00905BBB" w:rsidRDefault="002A4967" w:rsidP="002A4967">
            <w:pPr>
              <w:pStyle w:val="Tabletext"/>
            </w:pPr>
            <w:r>
              <w:t>6</w:t>
            </w:r>
          </w:p>
        </w:tc>
        <w:tc>
          <w:tcPr>
            <w:tcW w:w="3817" w:type="dxa"/>
            <w:tcBorders>
              <w:bottom w:val="single" w:sz="4" w:space="0" w:color="auto"/>
            </w:tcBorders>
            <w:shd w:val="clear" w:color="auto" w:fill="auto"/>
          </w:tcPr>
          <w:p w14:paraId="7714AB68" w14:textId="77777777" w:rsidR="002A4967" w:rsidRPr="00905BBB" w:rsidRDefault="002A4967" w:rsidP="002A4967">
            <w:pPr>
              <w:pStyle w:val="Tabletext"/>
            </w:pPr>
            <w:r w:rsidRPr="00905BBB">
              <w:t xml:space="preserve">a person who applies for </w:t>
            </w:r>
            <w:r>
              <w:t>a road vehicle type approval—non-IWVTA</w:t>
            </w:r>
            <w:r w:rsidR="00AD7A82">
              <w:t xml:space="preserve"> based</w:t>
            </w:r>
            <w:r>
              <w:t>: heavy trailer (with Model Report)</w:t>
            </w:r>
          </w:p>
        </w:tc>
        <w:tc>
          <w:tcPr>
            <w:tcW w:w="3851" w:type="dxa"/>
            <w:tcBorders>
              <w:bottom w:val="single" w:sz="4" w:space="0" w:color="auto"/>
            </w:tcBorders>
            <w:shd w:val="clear" w:color="auto" w:fill="auto"/>
          </w:tcPr>
          <w:p w14:paraId="6F00B222" w14:textId="77777777" w:rsidR="002A4967" w:rsidRPr="00905BBB" w:rsidRDefault="002A4967" w:rsidP="002A4967">
            <w:pPr>
              <w:pStyle w:val="Tabletext"/>
            </w:pPr>
            <w:r>
              <w:t>$25</w:t>
            </w:r>
          </w:p>
        </w:tc>
      </w:tr>
      <w:tr w:rsidR="002A4967" w:rsidRPr="00905BBB" w14:paraId="6FF3CB80" w14:textId="77777777" w:rsidTr="00AD7A82">
        <w:tc>
          <w:tcPr>
            <w:tcW w:w="714" w:type="dxa"/>
            <w:shd w:val="clear" w:color="auto" w:fill="auto"/>
          </w:tcPr>
          <w:p w14:paraId="1893DAD6" w14:textId="77777777" w:rsidR="002A4967" w:rsidRPr="00905BBB" w:rsidRDefault="002A4967" w:rsidP="002A4967">
            <w:pPr>
              <w:pStyle w:val="Tabletext"/>
            </w:pPr>
            <w:r>
              <w:t>7</w:t>
            </w:r>
          </w:p>
        </w:tc>
        <w:tc>
          <w:tcPr>
            <w:tcW w:w="3817" w:type="dxa"/>
            <w:shd w:val="clear" w:color="auto" w:fill="auto"/>
          </w:tcPr>
          <w:p w14:paraId="7B3F0693" w14:textId="77777777" w:rsidR="002A4967" w:rsidRPr="00905BBB" w:rsidRDefault="002A4967" w:rsidP="002A4967">
            <w:pPr>
              <w:pStyle w:val="Tabletext"/>
            </w:pPr>
            <w:r w:rsidRPr="00905BBB">
              <w:t xml:space="preserve">a person who applies for </w:t>
            </w:r>
            <w:r>
              <w:t>a road vehicle type approval—non-IWVTA</w:t>
            </w:r>
            <w:r w:rsidR="00AD7A82">
              <w:t xml:space="preserve"> based</w:t>
            </w:r>
            <w:r>
              <w:t>: heavy trailer (without Model Report)</w:t>
            </w:r>
          </w:p>
        </w:tc>
        <w:tc>
          <w:tcPr>
            <w:tcW w:w="3851" w:type="dxa"/>
            <w:shd w:val="clear" w:color="auto" w:fill="auto"/>
          </w:tcPr>
          <w:p w14:paraId="3BEC3681" w14:textId="77777777" w:rsidR="002A4967" w:rsidRPr="00905BBB" w:rsidRDefault="002A4967" w:rsidP="002A4967">
            <w:pPr>
              <w:pStyle w:val="Tabletext"/>
            </w:pPr>
            <w:r>
              <w:t>$370</w:t>
            </w:r>
          </w:p>
        </w:tc>
      </w:tr>
      <w:tr w:rsidR="002A4967" w:rsidRPr="00905BBB" w14:paraId="60BD1766" w14:textId="77777777" w:rsidTr="00AD7A82">
        <w:tc>
          <w:tcPr>
            <w:tcW w:w="714" w:type="dxa"/>
            <w:tcBorders>
              <w:bottom w:val="single" w:sz="12" w:space="0" w:color="auto"/>
            </w:tcBorders>
            <w:shd w:val="clear" w:color="auto" w:fill="auto"/>
          </w:tcPr>
          <w:p w14:paraId="76D2E921" w14:textId="77777777" w:rsidR="002A4967" w:rsidRPr="00905BBB" w:rsidRDefault="002A4967" w:rsidP="002A4967">
            <w:pPr>
              <w:pStyle w:val="Tabletext"/>
            </w:pPr>
            <w:r>
              <w:t>8</w:t>
            </w:r>
          </w:p>
        </w:tc>
        <w:tc>
          <w:tcPr>
            <w:tcW w:w="3817" w:type="dxa"/>
            <w:tcBorders>
              <w:bottom w:val="single" w:sz="12" w:space="0" w:color="auto"/>
            </w:tcBorders>
            <w:shd w:val="clear" w:color="auto" w:fill="auto"/>
          </w:tcPr>
          <w:p w14:paraId="14468C1B" w14:textId="77777777" w:rsidR="002A4967" w:rsidRPr="00905BBB" w:rsidRDefault="002A4967" w:rsidP="002A4967">
            <w:pPr>
              <w:pStyle w:val="Tabletext"/>
            </w:pPr>
            <w:r w:rsidRPr="00905BBB">
              <w:t xml:space="preserve">a person who applies for </w:t>
            </w:r>
            <w:r>
              <w:t>a road vehicle type approval—non-IWVTA</w:t>
            </w:r>
            <w:r w:rsidR="00AD7A82">
              <w:t xml:space="preserve"> based</w:t>
            </w:r>
            <w:r>
              <w:t>: light trailer</w:t>
            </w:r>
          </w:p>
        </w:tc>
        <w:tc>
          <w:tcPr>
            <w:tcW w:w="3851" w:type="dxa"/>
            <w:tcBorders>
              <w:bottom w:val="single" w:sz="12" w:space="0" w:color="auto"/>
            </w:tcBorders>
            <w:shd w:val="clear" w:color="auto" w:fill="auto"/>
          </w:tcPr>
          <w:p w14:paraId="717997AF" w14:textId="77777777" w:rsidR="002A4967" w:rsidRPr="00905BBB" w:rsidRDefault="002A4967" w:rsidP="002A4967">
            <w:pPr>
              <w:pStyle w:val="Tabletext"/>
            </w:pPr>
            <w:r>
              <w:t>$50</w:t>
            </w:r>
          </w:p>
        </w:tc>
      </w:tr>
    </w:tbl>
    <w:p w14:paraId="51378396" w14:textId="77777777" w:rsidR="00414955" w:rsidRPr="007E5C14" w:rsidRDefault="00414955" w:rsidP="00414955">
      <w:pPr>
        <w:pStyle w:val="ActHead3"/>
      </w:pPr>
      <w:r w:rsidRPr="003842A0">
        <w:rPr>
          <w:rStyle w:val="CharDivNo"/>
        </w:rPr>
        <w:t xml:space="preserve">Division </w:t>
      </w:r>
      <w:r>
        <w:rPr>
          <w:rStyle w:val="CharDivNo"/>
        </w:rPr>
        <w:t>3</w:t>
      </w:r>
      <w:r w:rsidRPr="002E0CD2">
        <w:t>—</w:t>
      </w:r>
      <w:r w:rsidR="003E4E0E">
        <w:rPr>
          <w:rStyle w:val="CharDivText"/>
        </w:rPr>
        <w:t>Fees</w:t>
      </w:r>
      <w:r>
        <w:rPr>
          <w:rStyle w:val="CharDivText"/>
        </w:rPr>
        <w:t>: concessional RAV entry approvals</w:t>
      </w:r>
      <w:r w:rsidRPr="004759F8">
        <w:rPr>
          <w:rStyle w:val="CharDivText"/>
        </w:rPr>
        <w:t xml:space="preserve"> </w:t>
      </w:r>
    </w:p>
    <w:p w14:paraId="59C00209" w14:textId="77777777" w:rsidR="00414955" w:rsidRDefault="00D54009" w:rsidP="00414955">
      <w:pPr>
        <w:pStyle w:val="ActHead5"/>
      </w:pPr>
      <w:bookmarkStart w:id="24" w:name="_Toc27580649"/>
      <w:bookmarkStart w:id="25" w:name="_Toc27647419"/>
      <w:r>
        <w:rPr>
          <w:rStyle w:val="CharSectno"/>
        </w:rPr>
        <w:t>241</w:t>
      </w:r>
      <w:r w:rsidRPr="002E0CD2">
        <w:t xml:space="preserve">  </w:t>
      </w:r>
      <w:r w:rsidR="00373F9B">
        <w:t>Concessional RAV entry approvals</w:t>
      </w:r>
      <w:r w:rsidR="00414955">
        <w:t>—when fees are payable</w:t>
      </w:r>
      <w:bookmarkEnd w:id="24"/>
      <w:bookmarkEnd w:id="25"/>
      <w:r w:rsidR="00414955">
        <w:t xml:space="preserve"> </w:t>
      </w:r>
    </w:p>
    <w:p w14:paraId="361AE65E" w14:textId="77777777" w:rsidR="00510B31" w:rsidRDefault="00CF6CFB" w:rsidP="00414955">
      <w:pPr>
        <w:pStyle w:val="subsection"/>
        <w:rPr>
          <w:shd w:val="clear" w:color="auto" w:fill="FFFFFF"/>
        </w:rPr>
      </w:pPr>
      <w:r>
        <w:rPr>
          <w:shd w:val="clear" w:color="auto" w:fill="FFFFFF"/>
        </w:rPr>
        <w:tab/>
      </w:r>
      <w:r w:rsidR="00510B31">
        <w:rPr>
          <w:shd w:val="clear" w:color="auto" w:fill="FFFFFF"/>
        </w:rPr>
        <w:t>(1)</w:t>
      </w:r>
      <w:r>
        <w:rPr>
          <w:shd w:val="clear" w:color="auto" w:fill="FFFFFF"/>
        </w:rPr>
        <w:tab/>
      </w:r>
      <w:r w:rsidR="00414955">
        <w:rPr>
          <w:shd w:val="clear" w:color="auto" w:fill="FFFFFF"/>
        </w:rPr>
        <w:t xml:space="preserve">The person mentioned in column 1 of the following table must pay a fee </w:t>
      </w:r>
      <w:r w:rsidR="00AE1EC9">
        <w:rPr>
          <w:shd w:val="clear" w:color="auto" w:fill="FFFFFF"/>
        </w:rPr>
        <w:t xml:space="preserve">to the Commonwealth </w:t>
      </w:r>
      <w:r w:rsidR="00414955">
        <w:rPr>
          <w:shd w:val="clear" w:color="auto" w:fill="FFFFFF"/>
        </w:rPr>
        <w:t>in accordance with column 2 of the table</w:t>
      </w:r>
      <w:r w:rsidR="00510B31">
        <w:rPr>
          <w:shd w:val="clear" w:color="auto" w:fill="FFFFFF"/>
        </w:rPr>
        <w:t>.</w:t>
      </w:r>
    </w:p>
    <w:p w14:paraId="4104687C" w14:textId="77777777" w:rsidR="001B60DE" w:rsidRDefault="001B60DE" w:rsidP="001B60DE">
      <w:pPr>
        <w:pStyle w:val="subsection"/>
      </w:pPr>
      <w:r>
        <w:tab/>
      </w:r>
      <w:r w:rsidR="00856D1B">
        <w:t>(2</w:t>
      </w:r>
      <w:r>
        <w:t>)</w:t>
      </w:r>
      <w:r>
        <w:tab/>
        <w:t xml:space="preserve">The fee is due and payable at the time the application mentioned in column 1 is made. </w:t>
      </w:r>
    </w:p>
    <w:p w14:paraId="612929B2" w14:textId="77777777" w:rsidR="00510B31" w:rsidRDefault="00510B31" w:rsidP="00510B31">
      <w:pPr>
        <w:pStyle w:val="notetext"/>
      </w:pPr>
      <w:r>
        <w:t>Note:</w:t>
      </w:r>
      <w:r>
        <w:tab/>
        <w:t xml:space="preserve">Subparagraph 32(2)(b)(ii) requires an application for a concessional RAV entry approval to be accompanied by the application fee. The Minister may refuse to consider the application if the person does not pay the fee (see paragraph 34(a)). </w:t>
      </w:r>
    </w:p>
    <w:p w14:paraId="03318AE7" w14:textId="77777777" w:rsidR="004B1E49" w:rsidRDefault="004B1E49" w:rsidP="00510B31">
      <w:pPr>
        <w:pStyle w:val="not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699"/>
        <w:gridCol w:w="3969"/>
      </w:tblGrid>
      <w:tr w:rsidR="00FA5010" w:rsidRPr="00905BBB" w14:paraId="0B7E825A" w14:textId="77777777" w:rsidTr="00BC22F7">
        <w:trPr>
          <w:tblHeader/>
        </w:trPr>
        <w:tc>
          <w:tcPr>
            <w:tcW w:w="8382" w:type="dxa"/>
            <w:gridSpan w:val="3"/>
            <w:tcBorders>
              <w:top w:val="single" w:sz="12" w:space="0" w:color="auto"/>
              <w:bottom w:val="single" w:sz="2" w:space="0" w:color="auto"/>
            </w:tcBorders>
            <w:shd w:val="clear" w:color="auto" w:fill="auto"/>
          </w:tcPr>
          <w:p w14:paraId="1EAA6F5A" w14:textId="77777777" w:rsidR="00FA5010" w:rsidRPr="00905BBB" w:rsidRDefault="006341CE" w:rsidP="006341CE">
            <w:pPr>
              <w:pStyle w:val="TableHeading"/>
            </w:pPr>
            <w:r>
              <w:t xml:space="preserve">Concessional RAV entry </w:t>
            </w:r>
            <w:r w:rsidR="00FA5010">
              <w:t>approval applications—w</w:t>
            </w:r>
            <w:r w:rsidR="00FA5010" w:rsidRPr="00905BBB">
              <w:t>hen fees are payable</w:t>
            </w:r>
            <w:r w:rsidR="00FA5010">
              <w:t xml:space="preserve"> </w:t>
            </w:r>
          </w:p>
        </w:tc>
      </w:tr>
      <w:tr w:rsidR="00FA5010" w:rsidRPr="00905BBB" w14:paraId="545B921F" w14:textId="77777777" w:rsidTr="00BC22F7">
        <w:trPr>
          <w:tblHeader/>
        </w:trPr>
        <w:tc>
          <w:tcPr>
            <w:tcW w:w="714" w:type="dxa"/>
            <w:tcBorders>
              <w:top w:val="single" w:sz="2" w:space="0" w:color="auto"/>
              <w:bottom w:val="single" w:sz="12" w:space="0" w:color="auto"/>
            </w:tcBorders>
            <w:shd w:val="clear" w:color="auto" w:fill="auto"/>
          </w:tcPr>
          <w:p w14:paraId="0F5B7916" w14:textId="77777777" w:rsidR="00FA5010" w:rsidRPr="00905BBB" w:rsidRDefault="00FA5010" w:rsidP="00BC22F7">
            <w:pPr>
              <w:pStyle w:val="TableHeading"/>
            </w:pPr>
            <w:r w:rsidRPr="00905BBB">
              <w:t>Item</w:t>
            </w:r>
          </w:p>
        </w:tc>
        <w:tc>
          <w:tcPr>
            <w:tcW w:w="3699" w:type="dxa"/>
            <w:tcBorders>
              <w:top w:val="single" w:sz="2" w:space="0" w:color="auto"/>
              <w:bottom w:val="single" w:sz="12" w:space="0" w:color="auto"/>
            </w:tcBorders>
            <w:shd w:val="clear" w:color="auto" w:fill="auto"/>
          </w:tcPr>
          <w:p w14:paraId="4340F1EC" w14:textId="77777777" w:rsidR="00FA5010" w:rsidRPr="00905BBB" w:rsidRDefault="00FA5010" w:rsidP="00BC22F7">
            <w:pPr>
              <w:pStyle w:val="TableHeading"/>
            </w:pPr>
            <w:r w:rsidRPr="00905BBB">
              <w:t>Column 1</w:t>
            </w:r>
          </w:p>
          <w:p w14:paraId="2D8DB5AA" w14:textId="77777777" w:rsidR="00FA5010" w:rsidRPr="00905BBB" w:rsidRDefault="00FA5010" w:rsidP="00BC22F7">
            <w:pPr>
              <w:pStyle w:val="TableHeading"/>
            </w:pPr>
            <w:r w:rsidRPr="00905BBB">
              <w:t>This person …</w:t>
            </w:r>
          </w:p>
        </w:tc>
        <w:tc>
          <w:tcPr>
            <w:tcW w:w="3969" w:type="dxa"/>
            <w:tcBorders>
              <w:top w:val="single" w:sz="2" w:space="0" w:color="auto"/>
              <w:bottom w:val="single" w:sz="12" w:space="0" w:color="auto"/>
            </w:tcBorders>
            <w:shd w:val="clear" w:color="auto" w:fill="auto"/>
          </w:tcPr>
          <w:p w14:paraId="307F06D0" w14:textId="77777777" w:rsidR="00FA5010" w:rsidRPr="00905BBB" w:rsidRDefault="00FA5010" w:rsidP="00BC22F7">
            <w:pPr>
              <w:pStyle w:val="TableHeading"/>
            </w:pPr>
            <w:r w:rsidRPr="00905BBB">
              <w:t>Column 2</w:t>
            </w:r>
          </w:p>
          <w:p w14:paraId="14351B0E" w14:textId="77777777" w:rsidR="00FA5010" w:rsidRPr="00905BBB" w:rsidRDefault="00FA5010" w:rsidP="00BC22F7">
            <w:pPr>
              <w:pStyle w:val="TableHeading"/>
            </w:pPr>
            <w:r w:rsidRPr="00905BBB">
              <w:t xml:space="preserve">must pay </w:t>
            </w:r>
            <w:r>
              <w:t>the following</w:t>
            </w:r>
            <w:r w:rsidRPr="00905BBB">
              <w:t xml:space="preserve"> fee …</w:t>
            </w:r>
          </w:p>
        </w:tc>
      </w:tr>
      <w:tr w:rsidR="002A4967" w:rsidRPr="00905BBB" w14:paraId="65F3CB1B" w14:textId="77777777" w:rsidTr="00BC22F7">
        <w:tc>
          <w:tcPr>
            <w:tcW w:w="714" w:type="dxa"/>
            <w:tcBorders>
              <w:top w:val="single" w:sz="12" w:space="0" w:color="auto"/>
            </w:tcBorders>
            <w:shd w:val="clear" w:color="auto" w:fill="auto"/>
          </w:tcPr>
          <w:p w14:paraId="58018547" w14:textId="77777777" w:rsidR="002A4967" w:rsidRPr="00905BBB" w:rsidRDefault="002A4967" w:rsidP="002A4967">
            <w:pPr>
              <w:pStyle w:val="Tabletext"/>
            </w:pPr>
            <w:r w:rsidRPr="00905BBB">
              <w:t>1</w:t>
            </w:r>
          </w:p>
        </w:tc>
        <w:tc>
          <w:tcPr>
            <w:tcW w:w="3699" w:type="dxa"/>
            <w:tcBorders>
              <w:top w:val="single" w:sz="12" w:space="0" w:color="auto"/>
            </w:tcBorders>
            <w:shd w:val="clear" w:color="auto" w:fill="auto"/>
          </w:tcPr>
          <w:p w14:paraId="4D62E2B6" w14:textId="77777777" w:rsidR="002A4967" w:rsidRDefault="00856D1B" w:rsidP="00856D1B">
            <w:pPr>
              <w:pStyle w:val="Tablea"/>
            </w:pPr>
            <w:r>
              <w:t xml:space="preserve">(a) </w:t>
            </w:r>
            <w:r w:rsidR="002A4967">
              <w:t>a person who applies for a concessional RAV entry approval in respect of a road vehicle that is an older vehicle</w:t>
            </w:r>
            <w:r>
              <w:t>; or</w:t>
            </w:r>
          </w:p>
          <w:p w14:paraId="65A04BDD" w14:textId="77777777" w:rsidR="00856D1B" w:rsidRPr="00905BBB" w:rsidRDefault="00856D1B" w:rsidP="008B6426">
            <w:pPr>
              <w:pStyle w:val="Tablea"/>
            </w:pPr>
            <w:r>
              <w:t>(b) a person who applies for a concessional</w:t>
            </w:r>
            <w:r w:rsidR="00206390">
              <w:t xml:space="preserve"> RAV entry approval in respect of a road vehicle on the grounds that the vehicle is suitable for entry on the RAV, where the Minister decides that the </w:t>
            </w:r>
            <w:r w:rsidR="00241DFF">
              <w:t>consideration</w:t>
            </w:r>
            <w:r w:rsidR="00206390">
              <w:t xml:space="preserve"> required for the application is more similar to the </w:t>
            </w:r>
            <w:r w:rsidR="00241DFF">
              <w:t>consideration</w:t>
            </w:r>
            <w:r w:rsidR="00206390">
              <w:t xml:space="preserve"> required for an application mentioned in paragraph (a) than an application mentioned elsewhere in this table. </w:t>
            </w:r>
            <w:r>
              <w:t xml:space="preserve"> </w:t>
            </w:r>
          </w:p>
        </w:tc>
        <w:tc>
          <w:tcPr>
            <w:tcW w:w="3969" w:type="dxa"/>
            <w:tcBorders>
              <w:top w:val="single" w:sz="12" w:space="0" w:color="auto"/>
            </w:tcBorders>
            <w:shd w:val="clear" w:color="auto" w:fill="auto"/>
          </w:tcPr>
          <w:p w14:paraId="518B3EC4" w14:textId="77777777" w:rsidR="002A4967" w:rsidRPr="00905BBB" w:rsidRDefault="002A4967" w:rsidP="002A4967">
            <w:pPr>
              <w:pStyle w:val="Tablea"/>
            </w:pPr>
            <w:r>
              <w:t>$35</w:t>
            </w:r>
          </w:p>
        </w:tc>
      </w:tr>
      <w:tr w:rsidR="002A4967" w:rsidRPr="00905BBB" w14:paraId="6D1CD9FE" w14:textId="77777777" w:rsidTr="00BC22F7">
        <w:tc>
          <w:tcPr>
            <w:tcW w:w="714" w:type="dxa"/>
            <w:shd w:val="clear" w:color="auto" w:fill="auto"/>
          </w:tcPr>
          <w:p w14:paraId="54C3A5D8" w14:textId="77777777" w:rsidR="002A4967" w:rsidRPr="00905BBB" w:rsidRDefault="002A4967" w:rsidP="002A4967">
            <w:pPr>
              <w:pStyle w:val="Tabletext"/>
            </w:pPr>
            <w:r w:rsidRPr="00905BBB">
              <w:t>2</w:t>
            </w:r>
          </w:p>
        </w:tc>
        <w:tc>
          <w:tcPr>
            <w:tcW w:w="3699" w:type="dxa"/>
            <w:shd w:val="clear" w:color="auto" w:fill="auto"/>
          </w:tcPr>
          <w:p w14:paraId="70BE43E8" w14:textId="77777777" w:rsidR="002A4967" w:rsidRDefault="002B4238" w:rsidP="002B4238">
            <w:pPr>
              <w:pStyle w:val="Tablea"/>
            </w:pPr>
            <w:r>
              <w:t xml:space="preserve">(a) </w:t>
            </w:r>
            <w:r w:rsidR="002A4967">
              <w:t>a person who applies for a concessional RAV entry approval in respect of a road vehicle that is to be modified by the holder of a RAW approval</w:t>
            </w:r>
            <w:r>
              <w:t>; or</w:t>
            </w:r>
          </w:p>
          <w:p w14:paraId="4E3FFF76" w14:textId="77777777" w:rsidR="002B4238" w:rsidRPr="00905BBB" w:rsidRDefault="002B4238" w:rsidP="008B6426">
            <w:pPr>
              <w:pStyle w:val="Tablea"/>
            </w:pPr>
            <w:r>
              <w:t xml:space="preserve">(b) a person who applies for a concessional RAV entry approval in respect of a road vehicle on the grounds that the vehicle is suitable for entry on the RAV, where the Minister decides that the </w:t>
            </w:r>
            <w:r w:rsidR="00241DFF">
              <w:t>consideration</w:t>
            </w:r>
            <w:r>
              <w:t xml:space="preserve"> required for the application is more similar to the </w:t>
            </w:r>
            <w:r w:rsidR="00241DFF">
              <w:t>consideration</w:t>
            </w:r>
            <w:r>
              <w:t xml:space="preserve"> required for an application mentioned in paragraph (a) than an application mentioned elsewhere in this table.  </w:t>
            </w:r>
          </w:p>
        </w:tc>
        <w:tc>
          <w:tcPr>
            <w:tcW w:w="3969" w:type="dxa"/>
            <w:shd w:val="clear" w:color="auto" w:fill="auto"/>
          </w:tcPr>
          <w:p w14:paraId="0838262A" w14:textId="77777777" w:rsidR="002A4967" w:rsidRPr="00905BBB" w:rsidRDefault="002A4967" w:rsidP="002A4967">
            <w:pPr>
              <w:pStyle w:val="Tabletext"/>
            </w:pPr>
            <w:r>
              <w:t>$95</w:t>
            </w:r>
          </w:p>
        </w:tc>
      </w:tr>
      <w:tr w:rsidR="002A4967" w:rsidRPr="00905BBB" w14:paraId="7D2DE16F" w14:textId="77777777" w:rsidTr="00BC22F7">
        <w:tc>
          <w:tcPr>
            <w:tcW w:w="714" w:type="dxa"/>
            <w:shd w:val="clear" w:color="auto" w:fill="auto"/>
          </w:tcPr>
          <w:p w14:paraId="06E3E315" w14:textId="77777777" w:rsidR="002A4967" w:rsidRPr="00905BBB" w:rsidRDefault="002A4967" w:rsidP="002A4967">
            <w:pPr>
              <w:pStyle w:val="Tabletext"/>
            </w:pPr>
            <w:r w:rsidRPr="00905BBB">
              <w:t>3</w:t>
            </w:r>
          </w:p>
        </w:tc>
        <w:tc>
          <w:tcPr>
            <w:tcW w:w="3699" w:type="dxa"/>
            <w:shd w:val="clear" w:color="auto" w:fill="auto"/>
          </w:tcPr>
          <w:p w14:paraId="6F8B4F34" w14:textId="77777777" w:rsidR="002A4967" w:rsidRDefault="002B4238" w:rsidP="00856D1B">
            <w:pPr>
              <w:pStyle w:val="Tablea"/>
            </w:pPr>
            <w:r>
              <w:t xml:space="preserve">(a) </w:t>
            </w:r>
            <w:r w:rsidR="002A4967">
              <w:t>a person who applies for a concessional RAV entry approval in respect of a road vehicle that is a special purpose vehicle</w:t>
            </w:r>
            <w:r>
              <w:t>; or</w:t>
            </w:r>
          </w:p>
          <w:p w14:paraId="4E6A6F08" w14:textId="77777777" w:rsidR="002B4238" w:rsidRPr="00905BBB" w:rsidRDefault="002B4238" w:rsidP="008B6426">
            <w:pPr>
              <w:pStyle w:val="Tablea"/>
            </w:pPr>
            <w:r>
              <w:t xml:space="preserve">(b) a person who applies for a concessional RAV entry approval in respect of a road vehicle on the grounds that the vehicle is suitable for entry on the RAV, where the Minister decides that the </w:t>
            </w:r>
            <w:r w:rsidR="00241DFF">
              <w:t>consideration</w:t>
            </w:r>
            <w:r>
              <w:t xml:space="preserve"> required for the application is more similar to the </w:t>
            </w:r>
            <w:r w:rsidR="00241DFF">
              <w:t>consideration</w:t>
            </w:r>
            <w:r>
              <w:t xml:space="preserve"> required for an application mentioned in paragraph (a) than an application mentioned elsewhere in this table.  </w:t>
            </w:r>
          </w:p>
        </w:tc>
        <w:tc>
          <w:tcPr>
            <w:tcW w:w="3969" w:type="dxa"/>
            <w:shd w:val="clear" w:color="auto" w:fill="auto"/>
          </w:tcPr>
          <w:p w14:paraId="64326A88" w14:textId="77777777" w:rsidR="002A4967" w:rsidRPr="00905BBB" w:rsidRDefault="002A4967" w:rsidP="002A4967">
            <w:pPr>
              <w:pStyle w:val="Tabletext"/>
            </w:pPr>
            <w:r>
              <w:t>$450</w:t>
            </w:r>
          </w:p>
        </w:tc>
      </w:tr>
      <w:tr w:rsidR="002A4967" w:rsidRPr="00905BBB" w14:paraId="13BCF858" w14:textId="77777777" w:rsidTr="00BC22F7">
        <w:tc>
          <w:tcPr>
            <w:tcW w:w="714" w:type="dxa"/>
            <w:shd w:val="clear" w:color="auto" w:fill="auto"/>
          </w:tcPr>
          <w:p w14:paraId="642E4D18" w14:textId="77777777" w:rsidR="002A4967" w:rsidRPr="00905BBB" w:rsidRDefault="002A4967" w:rsidP="002A4967">
            <w:pPr>
              <w:pStyle w:val="Tabletext"/>
            </w:pPr>
            <w:r w:rsidRPr="00905BBB">
              <w:t>4</w:t>
            </w:r>
          </w:p>
        </w:tc>
        <w:tc>
          <w:tcPr>
            <w:tcW w:w="3699" w:type="dxa"/>
            <w:shd w:val="clear" w:color="auto" w:fill="auto"/>
          </w:tcPr>
          <w:p w14:paraId="5F506F9A" w14:textId="77777777" w:rsidR="002A4967" w:rsidRDefault="002B4238" w:rsidP="00856D1B">
            <w:pPr>
              <w:pStyle w:val="Tablea"/>
            </w:pPr>
            <w:r>
              <w:t xml:space="preserve">(a) </w:t>
            </w:r>
            <w:r w:rsidR="002A4967">
              <w:t>a person who applies for a concessional RAV entry approval in respect of a road vehicle that is to be imported as part of the person’s personal effects</w:t>
            </w:r>
            <w:r>
              <w:t>; or</w:t>
            </w:r>
          </w:p>
          <w:p w14:paraId="2BD657A4" w14:textId="77777777" w:rsidR="002B4238" w:rsidRPr="00905BBB" w:rsidRDefault="002B4238" w:rsidP="008B6426">
            <w:pPr>
              <w:pStyle w:val="Tablea"/>
            </w:pPr>
            <w:r>
              <w:t xml:space="preserve">(b) a person who applies for a concessional </w:t>
            </w:r>
            <w:r>
              <w:lastRenderedPageBreak/>
              <w:t xml:space="preserve">RAV entry approval in respect of a road vehicle on the grounds that the vehicle is suitable for entry on the RAV, where the Minister decides that the </w:t>
            </w:r>
            <w:r w:rsidR="00241DFF">
              <w:t>consideration</w:t>
            </w:r>
            <w:r>
              <w:t xml:space="preserve"> required for the application is more similar to the </w:t>
            </w:r>
            <w:r w:rsidR="00241DFF">
              <w:t>consideration</w:t>
            </w:r>
            <w:r>
              <w:t xml:space="preserve"> required for an application mentioned in paragraph (a) than an application mentioned elsewhere in this table.  </w:t>
            </w:r>
          </w:p>
        </w:tc>
        <w:tc>
          <w:tcPr>
            <w:tcW w:w="3969" w:type="dxa"/>
            <w:shd w:val="clear" w:color="auto" w:fill="auto"/>
          </w:tcPr>
          <w:p w14:paraId="58ECE93F" w14:textId="77777777" w:rsidR="002A4967" w:rsidRPr="00905BBB" w:rsidRDefault="002A4967" w:rsidP="002A4967">
            <w:pPr>
              <w:pStyle w:val="Tabletext"/>
            </w:pPr>
            <w:r>
              <w:lastRenderedPageBreak/>
              <w:t>$50</w:t>
            </w:r>
          </w:p>
        </w:tc>
      </w:tr>
      <w:tr w:rsidR="002A4967" w:rsidRPr="00905BBB" w14:paraId="13AE8A72" w14:textId="77777777" w:rsidTr="00BC22F7">
        <w:tc>
          <w:tcPr>
            <w:tcW w:w="714" w:type="dxa"/>
            <w:tcBorders>
              <w:bottom w:val="single" w:sz="4" w:space="0" w:color="auto"/>
            </w:tcBorders>
            <w:shd w:val="clear" w:color="auto" w:fill="auto"/>
          </w:tcPr>
          <w:p w14:paraId="5390155E" w14:textId="77777777" w:rsidR="002A4967" w:rsidRPr="00905BBB" w:rsidRDefault="002A4967" w:rsidP="002A4967">
            <w:pPr>
              <w:pStyle w:val="Tabletext"/>
            </w:pPr>
            <w:r w:rsidRPr="00905BBB">
              <w:t>5</w:t>
            </w:r>
          </w:p>
        </w:tc>
        <w:tc>
          <w:tcPr>
            <w:tcW w:w="3699" w:type="dxa"/>
            <w:tcBorders>
              <w:bottom w:val="single" w:sz="4" w:space="0" w:color="auto"/>
            </w:tcBorders>
            <w:shd w:val="clear" w:color="auto" w:fill="auto"/>
          </w:tcPr>
          <w:p w14:paraId="5990A957" w14:textId="77777777" w:rsidR="002A4967" w:rsidRDefault="002B4238" w:rsidP="00856D1B">
            <w:pPr>
              <w:pStyle w:val="Tablea"/>
            </w:pPr>
            <w:r>
              <w:t xml:space="preserve">(a) </w:t>
            </w:r>
            <w:r w:rsidR="002A4967">
              <w:t>a person who applies for a concessional RAV entry approval in respect of a road vehicle that is a trailer with an aggregate trailer mass of more than 4.5 tonnes</w:t>
            </w:r>
            <w:r>
              <w:t xml:space="preserve">; or </w:t>
            </w:r>
          </w:p>
          <w:p w14:paraId="1DBD418E" w14:textId="77777777" w:rsidR="002B4238" w:rsidRPr="00905BBB" w:rsidRDefault="002B4238" w:rsidP="008B6426">
            <w:pPr>
              <w:pStyle w:val="Tablea"/>
            </w:pPr>
            <w:r>
              <w:t xml:space="preserve">(b) a person who applies for a concessional RAV entry approval in respect of a road vehicle on the grounds that the vehicle is suitable for entry on the RAV, where the Minister decides that the </w:t>
            </w:r>
            <w:r w:rsidR="00241DFF">
              <w:t>consideration</w:t>
            </w:r>
            <w:r>
              <w:t xml:space="preserve"> required for the application is more similar to the </w:t>
            </w:r>
            <w:r w:rsidR="00241DFF">
              <w:t>consideration</w:t>
            </w:r>
            <w:r>
              <w:t xml:space="preserve"> required for an application mentioned in paragraph (a) than an application mentioned elsewhere in this table.  </w:t>
            </w:r>
          </w:p>
        </w:tc>
        <w:tc>
          <w:tcPr>
            <w:tcW w:w="3969" w:type="dxa"/>
            <w:tcBorders>
              <w:bottom w:val="single" w:sz="4" w:space="0" w:color="auto"/>
            </w:tcBorders>
            <w:shd w:val="clear" w:color="auto" w:fill="auto"/>
          </w:tcPr>
          <w:p w14:paraId="00889AFD" w14:textId="77777777" w:rsidR="002A4967" w:rsidRPr="00905BBB" w:rsidRDefault="002A4967" w:rsidP="002A4967">
            <w:pPr>
              <w:pStyle w:val="Tabletext"/>
            </w:pPr>
            <w:r>
              <w:t>$45</w:t>
            </w:r>
          </w:p>
        </w:tc>
      </w:tr>
      <w:tr w:rsidR="003E200B" w:rsidRPr="00905BBB" w14:paraId="6F723EF4" w14:textId="77777777" w:rsidTr="00BC22F7">
        <w:tc>
          <w:tcPr>
            <w:tcW w:w="714" w:type="dxa"/>
            <w:tcBorders>
              <w:bottom w:val="single" w:sz="12" w:space="0" w:color="auto"/>
            </w:tcBorders>
            <w:shd w:val="clear" w:color="auto" w:fill="auto"/>
          </w:tcPr>
          <w:p w14:paraId="2A01E32D" w14:textId="77777777" w:rsidR="003E200B" w:rsidRPr="00905BBB" w:rsidRDefault="003E200B" w:rsidP="003E200B">
            <w:pPr>
              <w:pStyle w:val="Tabletext"/>
            </w:pPr>
            <w:r w:rsidRPr="00905BBB">
              <w:t>6</w:t>
            </w:r>
          </w:p>
        </w:tc>
        <w:tc>
          <w:tcPr>
            <w:tcW w:w="3699" w:type="dxa"/>
            <w:tcBorders>
              <w:bottom w:val="single" w:sz="12" w:space="0" w:color="auto"/>
            </w:tcBorders>
            <w:shd w:val="clear" w:color="auto" w:fill="auto"/>
          </w:tcPr>
          <w:p w14:paraId="2574F753" w14:textId="77777777" w:rsidR="002B4238" w:rsidRDefault="002B4238" w:rsidP="00856D1B">
            <w:pPr>
              <w:pStyle w:val="Tablea"/>
            </w:pPr>
            <w:r>
              <w:t xml:space="preserve">(a) </w:t>
            </w:r>
            <w:r w:rsidR="003E200B">
              <w:t>a person who applies for a concessional RAV entry approval in respect of a road vehicle that is a trailer with an aggregate trailer mass of 4.5 tonnes or less</w:t>
            </w:r>
            <w:r>
              <w:t xml:space="preserve">; or </w:t>
            </w:r>
          </w:p>
          <w:p w14:paraId="1340EF4D" w14:textId="77777777" w:rsidR="003E200B" w:rsidRPr="00905BBB" w:rsidRDefault="002B4238" w:rsidP="008B6426">
            <w:pPr>
              <w:pStyle w:val="Tablea"/>
            </w:pPr>
            <w:r>
              <w:t xml:space="preserve">(b) a person who applies for a concessional RAV entry approval in respect of a road vehicle on the grounds that the vehicle is suitable for entry on the RAV, where the Minister decides that the </w:t>
            </w:r>
            <w:r w:rsidR="00241DFF">
              <w:t>consideration</w:t>
            </w:r>
            <w:r>
              <w:t xml:space="preserve"> required for the application is more similar to the </w:t>
            </w:r>
            <w:r w:rsidR="00241DFF">
              <w:t>consideration</w:t>
            </w:r>
            <w:r>
              <w:t xml:space="preserve"> required for an application mentioned in paragraph (a) than an application mentioned elsewhere in this table.  </w:t>
            </w:r>
          </w:p>
        </w:tc>
        <w:tc>
          <w:tcPr>
            <w:tcW w:w="3969" w:type="dxa"/>
            <w:tcBorders>
              <w:bottom w:val="single" w:sz="12" w:space="0" w:color="auto"/>
            </w:tcBorders>
            <w:shd w:val="clear" w:color="auto" w:fill="auto"/>
          </w:tcPr>
          <w:p w14:paraId="3D292B63" w14:textId="77777777" w:rsidR="003E200B" w:rsidRPr="00905BBB" w:rsidRDefault="003E200B" w:rsidP="003E200B">
            <w:pPr>
              <w:pStyle w:val="Tabletext"/>
            </w:pPr>
            <w:r>
              <w:t>$30</w:t>
            </w:r>
          </w:p>
        </w:tc>
      </w:tr>
    </w:tbl>
    <w:p w14:paraId="0CE611D4" w14:textId="77777777" w:rsidR="00D91693" w:rsidRPr="007E5C14" w:rsidRDefault="00D91693" w:rsidP="00D91693">
      <w:pPr>
        <w:pStyle w:val="ActHead3"/>
      </w:pPr>
      <w:r w:rsidRPr="003842A0">
        <w:rPr>
          <w:rStyle w:val="CharDivNo"/>
        </w:rPr>
        <w:t xml:space="preserve">Division </w:t>
      </w:r>
      <w:r>
        <w:rPr>
          <w:rStyle w:val="CharDivNo"/>
        </w:rPr>
        <w:t>4</w:t>
      </w:r>
      <w:r w:rsidRPr="002E0CD2">
        <w:t>—</w:t>
      </w:r>
      <w:r w:rsidR="003E4E0E">
        <w:rPr>
          <w:rStyle w:val="CharDivText"/>
        </w:rPr>
        <w:t>Fees</w:t>
      </w:r>
      <w:r>
        <w:rPr>
          <w:rStyle w:val="CharDivText"/>
        </w:rPr>
        <w:t>: RAW approvals</w:t>
      </w:r>
      <w:r w:rsidRPr="004759F8">
        <w:rPr>
          <w:rStyle w:val="CharDivText"/>
        </w:rPr>
        <w:t xml:space="preserve"> </w:t>
      </w:r>
    </w:p>
    <w:p w14:paraId="714696CE" w14:textId="77777777" w:rsidR="00D91693" w:rsidRDefault="00900023" w:rsidP="00D91693">
      <w:pPr>
        <w:pStyle w:val="ActHead5"/>
      </w:pPr>
      <w:bookmarkStart w:id="26" w:name="_Toc27580650"/>
      <w:bookmarkStart w:id="27" w:name="_Toc27647420"/>
      <w:r>
        <w:rPr>
          <w:rStyle w:val="CharSectno"/>
        </w:rPr>
        <w:t>242</w:t>
      </w:r>
      <w:r w:rsidR="00D91693" w:rsidRPr="002E0CD2">
        <w:t xml:space="preserve">  </w:t>
      </w:r>
      <w:r w:rsidR="00D91693">
        <w:t>RAW approvals—when fees are payable</w:t>
      </w:r>
      <w:bookmarkEnd w:id="26"/>
      <w:bookmarkEnd w:id="27"/>
      <w:r w:rsidR="00D91693">
        <w:t xml:space="preserve"> </w:t>
      </w:r>
    </w:p>
    <w:p w14:paraId="3C143DCB" w14:textId="77777777" w:rsidR="00731C6C" w:rsidRDefault="00731C6C" w:rsidP="00731C6C">
      <w:pPr>
        <w:pStyle w:val="subsection"/>
        <w:rPr>
          <w:shd w:val="clear" w:color="auto" w:fill="FFFFFF"/>
        </w:rPr>
      </w:pPr>
      <w:r>
        <w:rPr>
          <w:shd w:val="clear" w:color="auto" w:fill="FFFFFF"/>
        </w:rPr>
        <w:tab/>
        <w:t>(1)</w:t>
      </w:r>
      <w:r>
        <w:rPr>
          <w:shd w:val="clear" w:color="auto" w:fill="FFFFFF"/>
        </w:rPr>
        <w:tab/>
        <w:t xml:space="preserve">The person mentioned in column 1 of the following table must pay a fee </w:t>
      </w:r>
      <w:r w:rsidR="00AE1EC9">
        <w:rPr>
          <w:shd w:val="clear" w:color="auto" w:fill="FFFFFF"/>
        </w:rPr>
        <w:t xml:space="preserve">to the Commonwealth </w:t>
      </w:r>
      <w:r>
        <w:rPr>
          <w:shd w:val="clear" w:color="auto" w:fill="FFFFFF"/>
        </w:rPr>
        <w:t>in accordance with column 2 of the table.</w:t>
      </w:r>
    </w:p>
    <w:p w14:paraId="6F937061" w14:textId="77777777" w:rsidR="004842C7" w:rsidRDefault="004842C7" w:rsidP="004842C7">
      <w:pPr>
        <w:pStyle w:val="subsection"/>
      </w:pPr>
      <w:r>
        <w:lastRenderedPageBreak/>
        <w:tab/>
        <w:t>(2)</w:t>
      </w:r>
      <w:r>
        <w:tab/>
        <w:t xml:space="preserve">The fee is due and payable at the time the application mentioned in column 1 is made. </w:t>
      </w:r>
    </w:p>
    <w:p w14:paraId="064B3F10" w14:textId="77777777" w:rsidR="00731C6C" w:rsidRDefault="00731C6C" w:rsidP="00731C6C">
      <w:pPr>
        <w:pStyle w:val="notetext"/>
      </w:pPr>
      <w:r>
        <w:t>Note:</w:t>
      </w:r>
      <w:r>
        <w:tab/>
        <w:t xml:space="preserve">Subparagraph 55(2)(b)(ii) requires an application for a RAW approval to be accompanied by the application fee. The Secretary may refuse to consider the application if the </w:t>
      </w:r>
      <w:r w:rsidR="00C70828">
        <w:t>corporation</w:t>
      </w:r>
      <w:r>
        <w:t xml:space="preserve"> does not pay the fee (see paragraph 57(a)). </w:t>
      </w:r>
    </w:p>
    <w:p w14:paraId="0FBF0C2D" w14:textId="77777777" w:rsidR="00FA5010" w:rsidRDefault="00FA5010" w:rsidP="00FA5010">
      <w:pPr>
        <w:pStyle w:val="Item"/>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699"/>
        <w:gridCol w:w="3969"/>
      </w:tblGrid>
      <w:tr w:rsidR="00D91693" w:rsidRPr="00905BBB" w14:paraId="3290F5CC" w14:textId="77777777" w:rsidTr="0010212B">
        <w:trPr>
          <w:tblHeader/>
        </w:trPr>
        <w:tc>
          <w:tcPr>
            <w:tcW w:w="8382" w:type="dxa"/>
            <w:gridSpan w:val="3"/>
            <w:tcBorders>
              <w:top w:val="single" w:sz="12" w:space="0" w:color="auto"/>
              <w:bottom w:val="single" w:sz="2" w:space="0" w:color="auto"/>
            </w:tcBorders>
            <w:shd w:val="clear" w:color="auto" w:fill="auto"/>
          </w:tcPr>
          <w:p w14:paraId="2F42D924" w14:textId="77777777" w:rsidR="00D91693" w:rsidRPr="00905BBB" w:rsidRDefault="004827F2" w:rsidP="0010212B">
            <w:pPr>
              <w:pStyle w:val="TableHeading"/>
            </w:pPr>
            <w:r>
              <w:t>RAW</w:t>
            </w:r>
            <w:r w:rsidR="00D91693">
              <w:t xml:space="preserve"> approval applications—w</w:t>
            </w:r>
            <w:r w:rsidR="00D91693" w:rsidRPr="00905BBB">
              <w:t>hen fees are payable</w:t>
            </w:r>
            <w:r w:rsidR="00D91693">
              <w:t xml:space="preserve"> </w:t>
            </w:r>
          </w:p>
        </w:tc>
      </w:tr>
      <w:tr w:rsidR="00D91693" w:rsidRPr="00905BBB" w14:paraId="4443C611" w14:textId="77777777" w:rsidTr="0010212B">
        <w:trPr>
          <w:tblHeader/>
        </w:trPr>
        <w:tc>
          <w:tcPr>
            <w:tcW w:w="714" w:type="dxa"/>
            <w:tcBorders>
              <w:top w:val="single" w:sz="2" w:space="0" w:color="auto"/>
              <w:bottom w:val="single" w:sz="12" w:space="0" w:color="auto"/>
            </w:tcBorders>
            <w:shd w:val="clear" w:color="auto" w:fill="auto"/>
          </w:tcPr>
          <w:p w14:paraId="7E326407" w14:textId="77777777" w:rsidR="00D91693" w:rsidRPr="00905BBB" w:rsidRDefault="00D91693" w:rsidP="0010212B">
            <w:pPr>
              <w:pStyle w:val="TableHeading"/>
            </w:pPr>
            <w:r w:rsidRPr="00905BBB">
              <w:t>Item</w:t>
            </w:r>
          </w:p>
        </w:tc>
        <w:tc>
          <w:tcPr>
            <w:tcW w:w="3699" w:type="dxa"/>
            <w:tcBorders>
              <w:top w:val="single" w:sz="2" w:space="0" w:color="auto"/>
              <w:bottom w:val="single" w:sz="12" w:space="0" w:color="auto"/>
            </w:tcBorders>
            <w:shd w:val="clear" w:color="auto" w:fill="auto"/>
          </w:tcPr>
          <w:p w14:paraId="6E346756" w14:textId="77777777" w:rsidR="00D91693" w:rsidRPr="00905BBB" w:rsidRDefault="00D91693" w:rsidP="0010212B">
            <w:pPr>
              <w:pStyle w:val="TableHeading"/>
            </w:pPr>
            <w:r w:rsidRPr="00905BBB">
              <w:t>Column 1</w:t>
            </w:r>
          </w:p>
          <w:p w14:paraId="6B6D45C0" w14:textId="77777777" w:rsidR="00D91693" w:rsidRPr="00905BBB" w:rsidRDefault="00D91693" w:rsidP="0010212B">
            <w:pPr>
              <w:pStyle w:val="TableHeading"/>
            </w:pPr>
            <w:r w:rsidRPr="00905BBB">
              <w:t>This person …</w:t>
            </w:r>
          </w:p>
        </w:tc>
        <w:tc>
          <w:tcPr>
            <w:tcW w:w="3969" w:type="dxa"/>
            <w:tcBorders>
              <w:top w:val="single" w:sz="2" w:space="0" w:color="auto"/>
              <w:bottom w:val="single" w:sz="12" w:space="0" w:color="auto"/>
            </w:tcBorders>
            <w:shd w:val="clear" w:color="auto" w:fill="auto"/>
          </w:tcPr>
          <w:p w14:paraId="5A19CC29" w14:textId="77777777" w:rsidR="00D91693" w:rsidRPr="00905BBB" w:rsidRDefault="00D91693" w:rsidP="0010212B">
            <w:pPr>
              <w:pStyle w:val="TableHeading"/>
            </w:pPr>
            <w:r w:rsidRPr="00905BBB">
              <w:t>Column 2</w:t>
            </w:r>
          </w:p>
          <w:p w14:paraId="2ABA3303" w14:textId="77777777" w:rsidR="00D91693" w:rsidRPr="00905BBB" w:rsidRDefault="00D91693" w:rsidP="0010212B">
            <w:pPr>
              <w:pStyle w:val="TableHeading"/>
            </w:pPr>
            <w:r w:rsidRPr="00905BBB">
              <w:t xml:space="preserve">must pay </w:t>
            </w:r>
            <w:r>
              <w:t>the following</w:t>
            </w:r>
            <w:r w:rsidRPr="00905BBB">
              <w:t xml:space="preserve"> fee …</w:t>
            </w:r>
          </w:p>
        </w:tc>
      </w:tr>
      <w:tr w:rsidR="00D91693" w:rsidRPr="00905BBB" w14:paraId="207D72BE" w14:textId="77777777" w:rsidTr="0010212B">
        <w:tc>
          <w:tcPr>
            <w:tcW w:w="714" w:type="dxa"/>
            <w:tcBorders>
              <w:bottom w:val="single" w:sz="12" w:space="0" w:color="auto"/>
            </w:tcBorders>
            <w:shd w:val="clear" w:color="auto" w:fill="auto"/>
          </w:tcPr>
          <w:p w14:paraId="77125B0E" w14:textId="77777777" w:rsidR="00D91693" w:rsidRPr="00905BBB" w:rsidRDefault="00D91693" w:rsidP="0010212B">
            <w:pPr>
              <w:pStyle w:val="Tabletext"/>
            </w:pPr>
            <w:r>
              <w:t>1</w:t>
            </w:r>
          </w:p>
        </w:tc>
        <w:tc>
          <w:tcPr>
            <w:tcW w:w="3699" w:type="dxa"/>
            <w:tcBorders>
              <w:bottom w:val="single" w:sz="12" w:space="0" w:color="auto"/>
            </w:tcBorders>
            <w:shd w:val="clear" w:color="auto" w:fill="auto"/>
          </w:tcPr>
          <w:p w14:paraId="163C22F9" w14:textId="77777777" w:rsidR="00D91693" w:rsidRPr="00905BBB" w:rsidRDefault="00D91693" w:rsidP="00791055">
            <w:pPr>
              <w:pStyle w:val="Tabletext"/>
            </w:pPr>
            <w:r>
              <w:t xml:space="preserve">a </w:t>
            </w:r>
            <w:r w:rsidR="00791055">
              <w:t xml:space="preserve">corporation that </w:t>
            </w:r>
            <w:r>
              <w:t>applies for a RAW approval</w:t>
            </w:r>
          </w:p>
        </w:tc>
        <w:tc>
          <w:tcPr>
            <w:tcW w:w="3969" w:type="dxa"/>
            <w:tcBorders>
              <w:bottom w:val="single" w:sz="12" w:space="0" w:color="auto"/>
            </w:tcBorders>
            <w:shd w:val="clear" w:color="auto" w:fill="auto"/>
          </w:tcPr>
          <w:p w14:paraId="1C1659BD" w14:textId="77777777" w:rsidR="00D91693" w:rsidRPr="00905BBB" w:rsidRDefault="002A4967" w:rsidP="0010212B">
            <w:pPr>
              <w:pStyle w:val="Tabletext"/>
            </w:pPr>
            <w:r>
              <w:t>$110</w:t>
            </w:r>
          </w:p>
        </w:tc>
      </w:tr>
    </w:tbl>
    <w:p w14:paraId="07A796A7" w14:textId="77777777" w:rsidR="004827F2" w:rsidRPr="007E5C14" w:rsidRDefault="004827F2" w:rsidP="004827F2">
      <w:pPr>
        <w:pStyle w:val="ActHead3"/>
      </w:pPr>
      <w:r w:rsidRPr="003842A0">
        <w:rPr>
          <w:rStyle w:val="CharDivNo"/>
        </w:rPr>
        <w:t xml:space="preserve">Division </w:t>
      </w:r>
      <w:r>
        <w:rPr>
          <w:rStyle w:val="CharDivNo"/>
        </w:rPr>
        <w:t>5</w:t>
      </w:r>
      <w:r w:rsidRPr="002E0CD2">
        <w:t>—</w:t>
      </w:r>
      <w:r w:rsidR="003E4E0E">
        <w:rPr>
          <w:rStyle w:val="CharDivText"/>
        </w:rPr>
        <w:t>Fees</w:t>
      </w:r>
      <w:r>
        <w:rPr>
          <w:rStyle w:val="CharDivText"/>
        </w:rPr>
        <w:t>: M</w:t>
      </w:r>
      <w:r w:rsidR="00ED0B4E">
        <w:rPr>
          <w:rStyle w:val="CharDivText"/>
        </w:rPr>
        <w:t>odel Report</w:t>
      </w:r>
      <w:r w:rsidR="005942C8">
        <w:rPr>
          <w:rStyle w:val="CharDivText"/>
        </w:rPr>
        <w:t>s</w:t>
      </w:r>
    </w:p>
    <w:p w14:paraId="434B3DEA" w14:textId="77777777" w:rsidR="004827F2" w:rsidRDefault="004827F2" w:rsidP="004827F2">
      <w:pPr>
        <w:pStyle w:val="ActHead5"/>
      </w:pPr>
      <w:bookmarkStart w:id="28" w:name="_Toc27580651"/>
      <w:bookmarkStart w:id="29" w:name="_Toc27647421"/>
      <w:r>
        <w:rPr>
          <w:rStyle w:val="CharSectno"/>
        </w:rPr>
        <w:t>2</w:t>
      </w:r>
      <w:r w:rsidR="00900023">
        <w:rPr>
          <w:rStyle w:val="CharSectno"/>
        </w:rPr>
        <w:t>43</w:t>
      </w:r>
      <w:r w:rsidRPr="002E0CD2">
        <w:t xml:space="preserve">  </w:t>
      </w:r>
      <w:r>
        <w:t>Model Report approvals—when fees are payable</w:t>
      </w:r>
      <w:bookmarkEnd w:id="28"/>
      <w:bookmarkEnd w:id="29"/>
      <w:r>
        <w:t xml:space="preserve"> </w:t>
      </w:r>
    </w:p>
    <w:p w14:paraId="38930B28" w14:textId="77777777" w:rsidR="00731C6C" w:rsidRDefault="00731C6C" w:rsidP="00731C6C">
      <w:pPr>
        <w:pStyle w:val="subsection"/>
        <w:rPr>
          <w:shd w:val="clear" w:color="auto" w:fill="FFFFFF"/>
        </w:rPr>
      </w:pPr>
      <w:r>
        <w:rPr>
          <w:shd w:val="clear" w:color="auto" w:fill="FFFFFF"/>
        </w:rPr>
        <w:tab/>
        <w:t>(1)</w:t>
      </w:r>
      <w:r>
        <w:rPr>
          <w:shd w:val="clear" w:color="auto" w:fill="FFFFFF"/>
        </w:rPr>
        <w:tab/>
        <w:t>The person mentioned in column 1 of the following table must pay a fee</w:t>
      </w:r>
      <w:r w:rsidR="00AE1EC9">
        <w:rPr>
          <w:shd w:val="clear" w:color="auto" w:fill="FFFFFF"/>
        </w:rPr>
        <w:t xml:space="preserve"> to the Commonwealth</w:t>
      </w:r>
      <w:r>
        <w:rPr>
          <w:shd w:val="clear" w:color="auto" w:fill="FFFFFF"/>
        </w:rPr>
        <w:t xml:space="preserve"> in accordance with column 2 of the table.</w:t>
      </w:r>
    </w:p>
    <w:p w14:paraId="7C1FCC81" w14:textId="77777777" w:rsidR="004C502D" w:rsidRDefault="004C502D" w:rsidP="004C502D">
      <w:pPr>
        <w:pStyle w:val="subsection"/>
      </w:pPr>
      <w:r>
        <w:tab/>
        <w:t>(2)</w:t>
      </w:r>
      <w:r>
        <w:tab/>
        <w:t xml:space="preserve">The fee is due and payable at the time the application mentioned in column 1 is made. </w:t>
      </w:r>
    </w:p>
    <w:p w14:paraId="6AF55BEF" w14:textId="77777777" w:rsidR="00731C6C" w:rsidRDefault="00731C6C" w:rsidP="00731C6C">
      <w:pPr>
        <w:pStyle w:val="notetext"/>
      </w:pPr>
      <w:r>
        <w:t>Note:</w:t>
      </w:r>
      <w:r>
        <w:tab/>
      </w:r>
      <w:r w:rsidR="002F4E67">
        <w:t>Subp</w:t>
      </w:r>
      <w:r>
        <w:t xml:space="preserve">aragraph </w:t>
      </w:r>
      <w:r w:rsidR="00FC0A92">
        <w:t>68(2)(b)</w:t>
      </w:r>
      <w:r w:rsidR="002F4E67">
        <w:t>(ii)</w:t>
      </w:r>
      <w:r>
        <w:t xml:space="preserve"> requires an application for a </w:t>
      </w:r>
      <w:r w:rsidR="00FC0A92">
        <w:t xml:space="preserve">Model Report </w:t>
      </w:r>
      <w:r>
        <w:t xml:space="preserve">approval to be accompanied by the application fee. The Secretary may refuse to consider the application if the person does not pay the fee (see paragraph </w:t>
      </w:r>
      <w:r w:rsidR="00FC0A92">
        <w:t>70</w:t>
      </w:r>
      <w:r>
        <w:t xml:space="preserve">(a)). </w:t>
      </w:r>
    </w:p>
    <w:p w14:paraId="61D4CF64" w14:textId="77777777" w:rsidR="004827F2" w:rsidRDefault="004827F2" w:rsidP="004827F2">
      <w:pPr>
        <w:pStyle w:val="Item"/>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699"/>
        <w:gridCol w:w="3969"/>
      </w:tblGrid>
      <w:tr w:rsidR="000C37D3" w:rsidRPr="00905BBB" w14:paraId="7689A983" w14:textId="77777777" w:rsidTr="0010212B">
        <w:trPr>
          <w:tblHeader/>
        </w:trPr>
        <w:tc>
          <w:tcPr>
            <w:tcW w:w="8382" w:type="dxa"/>
            <w:gridSpan w:val="3"/>
            <w:tcBorders>
              <w:top w:val="single" w:sz="12" w:space="0" w:color="auto"/>
              <w:bottom w:val="single" w:sz="2" w:space="0" w:color="auto"/>
            </w:tcBorders>
            <w:shd w:val="clear" w:color="auto" w:fill="auto"/>
          </w:tcPr>
          <w:p w14:paraId="3C251B00" w14:textId="77777777" w:rsidR="000C37D3" w:rsidRPr="00905BBB" w:rsidRDefault="000C37D3" w:rsidP="000C37D3">
            <w:pPr>
              <w:pStyle w:val="TableHeading"/>
            </w:pPr>
            <w:r>
              <w:t>Model Report approval applications—w</w:t>
            </w:r>
            <w:r w:rsidRPr="00905BBB">
              <w:t>hen fees are payable</w:t>
            </w:r>
            <w:r>
              <w:t xml:space="preserve"> </w:t>
            </w:r>
          </w:p>
        </w:tc>
      </w:tr>
      <w:tr w:rsidR="000C37D3" w:rsidRPr="00905BBB" w14:paraId="7E81CDFF" w14:textId="77777777" w:rsidTr="0010212B">
        <w:trPr>
          <w:tblHeader/>
        </w:trPr>
        <w:tc>
          <w:tcPr>
            <w:tcW w:w="714" w:type="dxa"/>
            <w:tcBorders>
              <w:top w:val="single" w:sz="2" w:space="0" w:color="auto"/>
              <w:bottom w:val="single" w:sz="12" w:space="0" w:color="auto"/>
            </w:tcBorders>
            <w:shd w:val="clear" w:color="auto" w:fill="auto"/>
          </w:tcPr>
          <w:p w14:paraId="1A38F09E" w14:textId="77777777" w:rsidR="000C37D3" w:rsidRPr="00905BBB" w:rsidRDefault="000C37D3" w:rsidP="0010212B">
            <w:pPr>
              <w:pStyle w:val="TableHeading"/>
            </w:pPr>
            <w:r w:rsidRPr="00905BBB">
              <w:t>Item</w:t>
            </w:r>
          </w:p>
        </w:tc>
        <w:tc>
          <w:tcPr>
            <w:tcW w:w="3699" w:type="dxa"/>
            <w:tcBorders>
              <w:top w:val="single" w:sz="2" w:space="0" w:color="auto"/>
              <w:bottom w:val="single" w:sz="12" w:space="0" w:color="auto"/>
            </w:tcBorders>
            <w:shd w:val="clear" w:color="auto" w:fill="auto"/>
          </w:tcPr>
          <w:p w14:paraId="157391C7" w14:textId="77777777" w:rsidR="000C37D3" w:rsidRPr="00905BBB" w:rsidRDefault="000C37D3" w:rsidP="0010212B">
            <w:pPr>
              <w:pStyle w:val="TableHeading"/>
            </w:pPr>
            <w:r w:rsidRPr="00905BBB">
              <w:t>Column 1</w:t>
            </w:r>
          </w:p>
          <w:p w14:paraId="0DAC3180" w14:textId="77777777" w:rsidR="000C37D3" w:rsidRPr="00905BBB" w:rsidRDefault="000C37D3" w:rsidP="0010212B">
            <w:pPr>
              <w:pStyle w:val="TableHeading"/>
            </w:pPr>
            <w:r w:rsidRPr="00905BBB">
              <w:t>This person …</w:t>
            </w:r>
          </w:p>
        </w:tc>
        <w:tc>
          <w:tcPr>
            <w:tcW w:w="3969" w:type="dxa"/>
            <w:tcBorders>
              <w:top w:val="single" w:sz="2" w:space="0" w:color="auto"/>
              <w:bottom w:val="single" w:sz="12" w:space="0" w:color="auto"/>
            </w:tcBorders>
            <w:shd w:val="clear" w:color="auto" w:fill="auto"/>
          </w:tcPr>
          <w:p w14:paraId="21F3A370" w14:textId="77777777" w:rsidR="000C37D3" w:rsidRPr="00905BBB" w:rsidRDefault="000C37D3" w:rsidP="0010212B">
            <w:pPr>
              <w:pStyle w:val="TableHeading"/>
            </w:pPr>
            <w:r w:rsidRPr="00905BBB">
              <w:t>Column 2</w:t>
            </w:r>
          </w:p>
          <w:p w14:paraId="1AD1D269" w14:textId="77777777" w:rsidR="000C37D3" w:rsidRPr="00905BBB" w:rsidRDefault="000C37D3" w:rsidP="0010212B">
            <w:pPr>
              <w:pStyle w:val="TableHeading"/>
            </w:pPr>
            <w:r w:rsidRPr="00905BBB">
              <w:t xml:space="preserve">must pay </w:t>
            </w:r>
            <w:r>
              <w:t>the following</w:t>
            </w:r>
            <w:r w:rsidRPr="00905BBB">
              <w:t xml:space="preserve"> fee …</w:t>
            </w:r>
          </w:p>
        </w:tc>
      </w:tr>
      <w:tr w:rsidR="002A4967" w:rsidRPr="00905BBB" w14:paraId="6CBD7AA7" w14:textId="77777777" w:rsidTr="0010212B">
        <w:tc>
          <w:tcPr>
            <w:tcW w:w="714" w:type="dxa"/>
            <w:tcBorders>
              <w:top w:val="single" w:sz="12" w:space="0" w:color="auto"/>
            </w:tcBorders>
            <w:shd w:val="clear" w:color="auto" w:fill="auto"/>
          </w:tcPr>
          <w:p w14:paraId="54C8B742" w14:textId="77777777" w:rsidR="002A4967" w:rsidRPr="00905BBB" w:rsidRDefault="002A4967" w:rsidP="002A4967">
            <w:pPr>
              <w:pStyle w:val="Tabletext"/>
            </w:pPr>
            <w:r w:rsidRPr="00905BBB">
              <w:t>1</w:t>
            </w:r>
          </w:p>
        </w:tc>
        <w:tc>
          <w:tcPr>
            <w:tcW w:w="3699" w:type="dxa"/>
            <w:tcBorders>
              <w:top w:val="single" w:sz="12" w:space="0" w:color="auto"/>
            </w:tcBorders>
            <w:shd w:val="clear" w:color="auto" w:fill="auto"/>
          </w:tcPr>
          <w:p w14:paraId="332B3020" w14:textId="77777777" w:rsidR="002A4967" w:rsidRPr="00905BBB" w:rsidRDefault="002A4967" w:rsidP="002A4967">
            <w:pPr>
              <w:pStyle w:val="Tabletext"/>
            </w:pPr>
            <w:r>
              <w:t xml:space="preserve">a person who applies for approval of a Model Report that applies to a model, or one or more variants, of a road vehicle that is entered on the SEVs Register </w:t>
            </w:r>
          </w:p>
        </w:tc>
        <w:tc>
          <w:tcPr>
            <w:tcW w:w="3969" w:type="dxa"/>
            <w:tcBorders>
              <w:top w:val="single" w:sz="12" w:space="0" w:color="auto"/>
            </w:tcBorders>
            <w:shd w:val="clear" w:color="auto" w:fill="auto"/>
          </w:tcPr>
          <w:p w14:paraId="1AE20A9A" w14:textId="77777777" w:rsidR="002A4967" w:rsidRPr="00905BBB" w:rsidRDefault="002A4967" w:rsidP="002A4967">
            <w:pPr>
              <w:pStyle w:val="Tablea"/>
            </w:pPr>
            <w:r>
              <w:t>$900</w:t>
            </w:r>
          </w:p>
        </w:tc>
      </w:tr>
      <w:tr w:rsidR="002A4967" w:rsidRPr="00905BBB" w14:paraId="146352BE" w14:textId="77777777" w:rsidTr="0010212B">
        <w:tc>
          <w:tcPr>
            <w:tcW w:w="714" w:type="dxa"/>
            <w:shd w:val="clear" w:color="auto" w:fill="auto"/>
          </w:tcPr>
          <w:p w14:paraId="3C174829" w14:textId="77777777" w:rsidR="002A4967" w:rsidRPr="00905BBB" w:rsidRDefault="002A4967" w:rsidP="002A4967">
            <w:pPr>
              <w:pStyle w:val="Tabletext"/>
            </w:pPr>
            <w:r w:rsidRPr="00905BBB">
              <w:t>2</w:t>
            </w:r>
          </w:p>
        </w:tc>
        <w:tc>
          <w:tcPr>
            <w:tcW w:w="3699" w:type="dxa"/>
            <w:shd w:val="clear" w:color="auto" w:fill="auto"/>
          </w:tcPr>
          <w:p w14:paraId="64383185" w14:textId="77777777" w:rsidR="002A4967" w:rsidRPr="00905BBB" w:rsidRDefault="002A4967" w:rsidP="002A4967">
            <w:pPr>
              <w:pStyle w:val="Tabletext"/>
            </w:pPr>
            <w:r>
              <w:t xml:space="preserve">a person who applies for approval of a Model Report that applies to a model, or one or more variants, of a </w:t>
            </w:r>
            <w:r w:rsidRPr="00D61C30">
              <w:t>used two‑wheeled vehicle or a used three‑wheeled vehicle that is not entered on the SEVs Register</w:t>
            </w:r>
          </w:p>
        </w:tc>
        <w:tc>
          <w:tcPr>
            <w:tcW w:w="3969" w:type="dxa"/>
            <w:shd w:val="clear" w:color="auto" w:fill="auto"/>
          </w:tcPr>
          <w:p w14:paraId="5AD0B958" w14:textId="77777777" w:rsidR="002A4967" w:rsidRPr="00905BBB" w:rsidRDefault="002A4967" w:rsidP="002A4967">
            <w:pPr>
              <w:pStyle w:val="Tabletext"/>
            </w:pPr>
            <w:r>
              <w:t>$575</w:t>
            </w:r>
          </w:p>
        </w:tc>
      </w:tr>
      <w:tr w:rsidR="002A4967" w:rsidRPr="00905BBB" w14:paraId="401FA6D9" w14:textId="77777777" w:rsidTr="0010212B">
        <w:tc>
          <w:tcPr>
            <w:tcW w:w="714" w:type="dxa"/>
            <w:shd w:val="clear" w:color="auto" w:fill="auto"/>
          </w:tcPr>
          <w:p w14:paraId="4169FA78" w14:textId="77777777" w:rsidR="002A4967" w:rsidRPr="00905BBB" w:rsidRDefault="002A4967" w:rsidP="002A4967">
            <w:pPr>
              <w:pStyle w:val="Tabletext"/>
            </w:pPr>
            <w:r w:rsidRPr="00905BBB">
              <w:t>3</w:t>
            </w:r>
          </w:p>
        </w:tc>
        <w:tc>
          <w:tcPr>
            <w:tcW w:w="3699" w:type="dxa"/>
            <w:shd w:val="clear" w:color="auto" w:fill="auto"/>
          </w:tcPr>
          <w:p w14:paraId="19BAB752" w14:textId="77777777" w:rsidR="002A4967" w:rsidRPr="00905BBB" w:rsidRDefault="002A4967" w:rsidP="002A4967">
            <w:pPr>
              <w:pStyle w:val="Tabletext"/>
            </w:pPr>
            <w:r>
              <w:t xml:space="preserve">a person who applies for approval of a Model Report that applies to a model, or one or more variants, of a </w:t>
            </w:r>
            <w:r w:rsidRPr="004D4468">
              <w:t>trailer with an aggregate trailer mass of more than 4.5 ton</w:t>
            </w:r>
            <w:r>
              <w:t>nes</w:t>
            </w:r>
          </w:p>
        </w:tc>
        <w:tc>
          <w:tcPr>
            <w:tcW w:w="3969" w:type="dxa"/>
            <w:shd w:val="clear" w:color="auto" w:fill="auto"/>
          </w:tcPr>
          <w:p w14:paraId="2B178395" w14:textId="77777777" w:rsidR="002A4967" w:rsidRPr="00905BBB" w:rsidRDefault="002A4967" w:rsidP="002A4967">
            <w:pPr>
              <w:pStyle w:val="Tabletext"/>
            </w:pPr>
            <w:r>
              <w:t>$500</w:t>
            </w:r>
          </w:p>
        </w:tc>
      </w:tr>
      <w:tr w:rsidR="002A4967" w:rsidRPr="00905BBB" w14:paraId="6D39065F" w14:textId="77777777" w:rsidTr="00ED0B4E">
        <w:tc>
          <w:tcPr>
            <w:tcW w:w="714" w:type="dxa"/>
            <w:tcBorders>
              <w:bottom w:val="single" w:sz="12" w:space="0" w:color="auto"/>
            </w:tcBorders>
            <w:shd w:val="clear" w:color="auto" w:fill="auto"/>
          </w:tcPr>
          <w:p w14:paraId="1950A3C2" w14:textId="77777777" w:rsidR="002A4967" w:rsidRPr="00905BBB" w:rsidRDefault="002A4967" w:rsidP="002A4967">
            <w:pPr>
              <w:pStyle w:val="Tabletext"/>
            </w:pPr>
            <w:r w:rsidRPr="00905BBB">
              <w:t>4</w:t>
            </w:r>
          </w:p>
        </w:tc>
        <w:tc>
          <w:tcPr>
            <w:tcW w:w="3699" w:type="dxa"/>
            <w:tcBorders>
              <w:bottom w:val="single" w:sz="12" w:space="0" w:color="auto"/>
            </w:tcBorders>
            <w:shd w:val="clear" w:color="auto" w:fill="auto"/>
          </w:tcPr>
          <w:p w14:paraId="45A7038C" w14:textId="77777777" w:rsidR="002A4967" w:rsidRDefault="002A4967" w:rsidP="002A4967">
            <w:pPr>
              <w:pStyle w:val="Tabletext"/>
            </w:pPr>
            <w:r>
              <w:t>a person who applies for approval of a Model Report that applies to a model, or one or more variants, of a road vehicle that:</w:t>
            </w:r>
          </w:p>
          <w:p w14:paraId="333FE2EF" w14:textId="77777777" w:rsidR="002A4967" w:rsidRDefault="002A4967" w:rsidP="002A4967">
            <w:pPr>
              <w:pStyle w:val="Tablea"/>
              <w:rPr>
                <w:color w:val="000000"/>
                <w:szCs w:val="22"/>
                <w:lang w:eastAsia="en-GB"/>
              </w:rPr>
            </w:pPr>
            <w:r>
              <w:t xml:space="preserve">(a) </w:t>
            </w:r>
            <w:r w:rsidRPr="00C8328D">
              <w:rPr>
                <w:color w:val="000000"/>
                <w:szCs w:val="22"/>
                <w:lang w:eastAsia="en-GB"/>
              </w:rPr>
              <w:t>is entered on the RAV via the type approval pathway; and</w:t>
            </w:r>
          </w:p>
          <w:p w14:paraId="34F1B2D5" w14:textId="77777777" w:rsidR="002A4967" w:rsidRPr="00905BBB" w:rsidRDefault="002A4967" w:rsidP="002A4967">
            <w:pPr>
              <w:pStyle w:val="Tablea"/>
            </w:pPr>
            <w:r>
              <w:rPr>
                <w:color w:val="000000"/>
                <w:szCs w:val="22"/>
                <w:lang w:eastAsia="en-GB"/>
              </w:rPr>
              <w:lastRenderedPageBreak/>
              <w:t xml:space="preserve">(b) </w:t>
            </w:r>
            <w:r w:rsidRPr="00C8328D">
              <w:rPr>
                <w:color w:val="000000"/>
                <w:szCs w:val="22"/>
                <w:lang w:eastAsia="en-GB"/>
              </w:rPr>
              <w:t>will be subject to second stage of manufacture.</w:t>
            </w:r>
          </w:p>
        </w:tc>
        <w:tc>
          <w:tcPr>
            <w:tcW w:w="3969" w:type="dxa"/>
            <w:tcBorders>
              <w:bottom w:val="single" w:sz="12" w:space="0" w:color="auto"/>
            </w:tcBorders>
            <w:shd w:val="clear" w:color="auto" w:fill="auto"/>
          </w:tcPr>
          <w:p w14:paraId="37665E36" w14:textId="77777777" w:rsidR="002A4967" w:rsidRPr="00905BBB" w:rsidRDefault="002A4967" w:rsidP="002A4967">
            <w:pPr>
              <w:pStyle w:val="Tabletext"/>
            </w:pPr>
            <w:r>
              <w:lastRenderedPageBreak/>
              <w:t>$480</w:t>
            </w:r>
          </w:p>
        </w:tc>
      </w:tr>
    </w:tbl>
    <w:p w14:paraId="3FB652AA" w14:textId="77777777" w:rsidR="00ED0B4E" w:rsidRDefault="00ED0B4E" w:rsidP="00ED0B4E">
      <w:pPr>
        <w:pStyle w:val="ActHead5"/>
      </w:pPr>
      <w:bookmarkStart w:id="30" w:name="_Toc27580652"/>
      <w:bookmarkStart w:id="31" w:name="_Toc27647422"/>
      <w:r>
        <w:rPr>
          <w:rStyle w:val="CharSectno"/>
        </w:rPr>
        <w:t>2</w:t>
      </w:r>
      <w:r w:rsidR="00900023">
        <w:rPr>
          <w:rStyle w:val="CharSectno"/>
        </w:rPr>
        <w:t>44</w:t>
      </w:r>
      <w:r w:rsidRPr="002E0CD2">
        <w:t xml:space="preserve">  </w:t>
      </w:r>
      <w:r w:rsidR="0000583C">
        <w:t>V</w:t>
      </w:r>
      <w:r>
        <w:t xml:space="preserve">ariation of </w:t>
      </w:r>
      <w:r w:rsidR="0000583C">
        <w:t xml:space="preserve">approved </w:t>
      </w:r>
      <w:r>
        <w:t>Model Report—when fees are payable</w:t>
      </w:r>
      <w:bookmarkEnd w:id="30"/>
      <w:bookmarkEnd w:id="31"/>
      <w:r>
        <w:t xml:space="preserve"> </w:t>
      </w:r>
    </w:p>
    <w:p w14:paraId="508E09D1" w14:textId="77777777" w:rsidR="00ED0B4E" w:rsidRDefault="00ED0B4E" w:rsidP="00ED0B4E">
      <w:pPr>
        <w:pStyle w:val="subsection"/>
        <w:rPr>
          <w:shd w:val="clear" w:color="auto" w:fill="FFFFFF"/>
        </w:rPr>
      </w:pPr>
      <w:r>
        <w:rPr>
          <w:shd w:val="clear" w:color="auto" w:fill="FFFFFF"/>
        </w:rPr>
        <w:tab/>
      </w:r>
      <w:r w:rsidR="003832A0">
        <w:rPr>
          <w:shd w:val="clear" w:color="auto" w:fill="FFFFFF"/>
        </w:rPr>
        <w:t>(1)</w:t>
      </w:r>
      <w:r>
        <w:rPr>
          <w:shd w:val="clear" w:color="auto" w:fill="FFFFFF"/>
        </w:rPr>
        <w:tab/>
      </w:r>
      <w:r w:rsidR="003832A0">
        <w:rPr>
          <w:shd w:val="clear" w:color="auto" w:fill="FFFFFF"/>
        </w:rPr>
        <w:t>Subject to subsection (</w:t>
      </w:r>
      <w:r w:rsidR="009D572F">
        <w:rPr>
          <w:shd w:val="clear" w:color="auto" w:fill="FFFFFF"/>
        </w:rPr>
        <w:t>3</w:t>
      </w:r>
      <w:r w:rsidR="003832A0">
        <w:rPr>
          <w:shd w:val="clear" w:color="auto" w:fill="FFFFFF"/>
        </w:rPr>
        <w:t>), t</w:t>
      </w:r>
      <w:r>
        <w:rPr>
          <w:shd w:val="clear" w:color="auto" w:fill="FFFFFF"/>
        </w:rPr>
        <w:t xml:space="preserve">he person mentioned in column 1 of the following table must pay a fee </w:t>
      </w:r>
      <w:r w:rsidR="00AE1EC9">
        <w:rPr>
          <w:shd w:val="clear" w:color="auto" w:fill="FFFFFF"/>
        </w:rPr>
        <w:t xml:space="preserve">to the Commonwealth </w:t>
      </w:r>
      <w:r>
        <w:rPr>
          <w:shd w:val="clear" w:color="auto" w:fill="FFFFFF"/>
        </w:rPr>
        <w:t>in accordance with column 2 of the table</w:t>
      </w:r>
      <w:r w:rsidR="009D572F">
        <w:rPr>
          <w:shd w:val="clear" w:color="auto" w:fill="FFFFFF"/>
        </w:rPr>
        <w:t>.</w:t>
      </w:r>
      <w:r>
        <w:rPr>
          <w:shd w:val="clear" w:color="auto" w:fill="FFFFFF"/>
        </w:rPr>
        <w:t xml:space="preserve"> </w:t>
      </w:r>
    </w:p>
    <w:p w14:paraId="741B6A65" w14:textId="77777777" w:rsidR="001D0E41" w:rsidRDefault="001D0E41" w:rsidP="001D0E41">
      <w:pPr>
        <w:pStyle w:val="subsection"/>
      </w:pPr>
      <w:r>
        <w:tab/>
        <w:t>(2)</w:t>
      </w:r>
      <w:r>
        <w:tab/>
        <w:t xml:space="preserve">The fee is due and payable at the time the application mentioned in column 1 is made. </w:t>
      </w:r>
    </w:p>
    <w:p w14:paraId="5ACD8BDE" w14:textId="77777777" w:rsidR="001E0E5E" w:rsidRDefault="009D572F" w:rsidP="009D572F">
      <w:pPr>
        <w:pStyle w:val="notetext"/>
      </w:pPr>
      <w:r>
        <w:t>Note:</w:t>
      </w:r>
      <w:r>
        <w:tab/>
        <w:t>Paragraph 87(2)(c) requires an application for approval of a variation to a</w:t>
      </w:r>
      <w:r w:rsidR="00DC63D0">
        <w:t xml:space="preserve">n approved </w:t>
      </w:r>
      <w:r>
        <w:t>Model Report to be accompanied by the application fee. The Secretary may refuse to consider the application if the person does not pay the fee (see paragraph 70(a)</w:t>
      </w:r>
      <w:r w:rsidR="0029306C">
        <w:t>, which applies to such applications as a result of subsection 87(3)</w:t>
      </w:r>
      <w:r>
        <w:t xml:space="preserve">). </w:t>
      </w:r>
    </w:p>
    <w:p w14:paraId="1A7BA223" w14:textId="77777777" w:rsidR="009D572F" w:rsidRDefault="009D572F" w:rsidP="009D572F">
      <w:pPr>
        <w:pStyle w:val="not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699"/>
        <w:gridCol w:w="3969"/>
      </w:tblGrid>
      <w:tr w:rsidR="00A03F4E" w:rsidRPr="00905BBB" w14:paraId="0A79223E" w14:textId="77777777" w:rsidTr="0010212B">
        <w:trPr>
          <w:tblHeader/>
        </w:trPr>
        <w:tc>
          <w:tcPr>
            <w:tcW w:w="8382" w:type="dxa"/>
            <w:gridSpan w:val="3"/>
            <w:tcBorders>
              <w:top w:val="single" w:sz="12" w:space="0" w:color="auto"/>
              <w:bottom w:val="single" w:sz="2" w:space="0" w:color="auto"/>
            </w:tcBorders>
            <w:shd w:val="clear" w:color="auto" w:fill="auto"/>
          </w:tcPr>
          <w:p w14:paraId="1407CE11" w14:textId="77777777" w:rsidR="00A03F4E" w:rsidRPr="00905BBB" w:rsidRDefault="00A03F4E" w:rsidP="0068395A">
            <w:pPr>
              <w:pStyle w:val="TableHeading"/>
            </w:pPr>
            <w:r>
              <w:t>Application</w:t>
            </w:r>
            <w:r w:rsidR="003128E6">
              <w:t>s</w:t>
            </w:r>
            <w:r>
              <w:t xml:space="preserve"> for variation of </w:t>
            </w:r>
            <w:r w:rsidR="008224FB">
              <w:t xml:space="preserve">approved </w:t>
            </w:r>
            <w:r>
              <w:t>Model Report—w</w:t>
            </w:r>
            <w:r w:rsidRPr="00905BBB">
              <w:t>hen fees are payable</w:t>
            </w:r>
            <w:r>
              <w:t xml:space="preserve"> </w:t>
            </w:r>
          </w:p>
        </w:tc>
      </w:tr>
      <w:tr w:rsidR="00A03F4E" w:rsidRPr="00905BBB" w14:paraId="2CA1CF73" w14:textId="77777777" w:rsidTr="0010212B">
        <w:trPr>
          <w:tblHeader/>
        </w:trPr>
        <w:tc>
          <w:tcPr>
            <w:tcW w:w="714" w:type="dxa"/>
            <w:tcBorders>
              <w:top w:val="single" w:sz="2" w:space="0" w:color="auto"/>
              <w:bottom w:val="single" w:sz="12" w:space="0" w:color="auto"/>
            </w:tcBorders>
            <w:shd w:val="clear" w:color="auto" w:fill="auto"/>
          </w:tcPr>
          <w:p w14:paraId="6423639C" w14:textId="77777777" w:rsidR="00A03F4E" w:rsidRPr="00905BBB" w:rsidRDefault="00A03F4E" w:rsidP="0010212B">
            <w:pPr>
              <w:pStyle w:val="TableHeading"/>
            </w:pPr>
            <w:r w:rsidRPr="00905BBB">
              <w:t>Item</w:t>
            </w:r>
          </w:p>
        </w:tc>
        <w:tc>
          <w:tcPr>
            <w:tcW w:w="3699" w:type="dxa"/>
            <w:tcBorders>
              <w:top w:val="single" w:sz="2" w:space="0" w:color="auto"/>
              <w:bottom w:val="single" w:sz="12" w:space="0" w:color="auto"/>
            </w:tcBorders>
            <w:shd w:val="clear" w:color="auto" w:fill="auto"/>
          </w:tcPr>
          <w:p w14:paraId="3CB155A0" w14:textId="77777777" w:rsidR="00A03F4E" w:rsidRPr="00905BBB" w:rsidRDefault="00A03F4E" w:rsidP="0010212B">
            <w:pPr>
              <w:pStyle w:val="TableHeading"/>
            </w:pPr>
            <w:r w:rsidRPr="00905BBB">
              <w:t>Column 1</w:t>
            </w:r>
          </w:p>
          <w:p w14:paraId="7A2EC1EC" w14:textId="77777777" w:rsidR="00A03F4E" w:rsidRPr="00905BBB" w:rsidRDefault="00A03F4E" w:rsidP="0010212B">
            <w:pPr>
              <w:pStyle w:val="TableHeading"/>
            </w:pPr>
            <w:r w:rsidRPr="00905BBB">
              <w:t>This person …</w:t>
            </w:r>
          </w:p>
        </w:tc>
        <w:tc>
          <w:tcPr>
            <w:tcW w:w="3969" w:type="dxa"/>
            <w:tcBorders>
              <w:top w:val="single" w:sz="2" w:space="0" w:color="auto"/>
              <w:bottom w:val="single" w:sz="12" w:space="0" w:color="auto"/>
            </w:tcBorders>
            <w:shd w:val="clear" w:color="auto" w:fill="auto"/>
          </w:tcPr>
          <w:p w14:paraId="6ED28307" w14:textId="77777777" w:rsidR="00A03F4E" w:rsidRPr="00905BBB" w:rsidRDefault="00A03F4E" w:rsidP="0010212B">
            <w:pPr>
              <w:pStyle w:val="TableHeading"/>
            </w:pPr>
            <w:r w:rsidRPr="00905BBB">
              <w:t>Column 2</w:t>
            </w:r>
          </w:p>
          <w:p w14:paraId="1CF98CF8" w14:textId="77777777" w:rsidR="00A03F4E" w:rsidRPr="00905BBB" w:rsidRDefault="00A03F4E" w:rsidP="0010212B">
            <w:pPr>
              <w:pStyle w:val="TableHeading"/>
            </w:pPr>
            <w:r w:rsidRPr="00905BBB">
              <w:t xml:space="preserve">must pay </w:t>
            </w:r>
            <w:r>
              <w:t>the following</w:t>
            </w:r>
            <w:r w:rsidRPr="00905BBB">
              <w:t xml:space="preserve"> fee …</w:t>
            </w:r>
          </w:p>
        </w:tc>
      </w:tr>
      <w:tr w:rsidR="002A4967" w:rsidRPr="00905BBB" w14:paraId="5CBC34A3" w14:textId="77777777" w:rsidTr="0010212B">
        <w:tc>
          <w:tcPr>
            <w:tcW w:w="714" w:type="dxa"/>
            <w:tcBorders>
              <w:top w:val="single" w:sz="12" w:space="0" w:color="auto"/>
            </w:tcBorders>
            <w:shd w:val="clear" w:color="auto" w:fill="auto"/>
          </w:tcPr>
          <w:p w14:paraId="56A041F2" w14:textId="77777777" w:rsidR="002A4967" w:rsidRPr="00905BBB" w:rsidRDefault="002A4967" w:rsidP="002A4967">
            <w:pPr>
              <w:pStyle w:val="Tabletext"/>
            </w:pPr>
            <w:r w:rsidRPr="00905BBB">
              <w:t>1</w:t>
            </w:r>
          </w:p>
        </w:tc>
        <w:tc>
          <w:tcPr>
            <w:tcW w:w="3699" w:type="dxa"/>
            <w:tcBorders>
              <w:top w:val="single" w:sz="12" w:space="0" w:color="auto"/>
            </w:tcBorders>
            <w:shd w:val="clear" w:color="auto" w:fill="auto"/>
          </w:tcPr>
          <w:p w14:paraId="5D0ED294" w14:textId="77777777" w:rsidR="002A4967" w:rsidRPr="00905BBB" w:rsidRDefault="002A4967" w:rsidP="002A4967">
            <w:pPr>
              <w:pStyle w:val="Tabletext"/>
            </w:pPr>
            <w:r>
              <w:t xml:space="preserve">a person who applies for approval of a variation of an approved Model Report that applies to a model, or one or more variants, of a road vehicle that is entered on the SEVs Register </w:t>
            </w:r>
          </w:p>
        </w:tc>
        <w:tc>
          <w:tcPr>
            <w:tcW w:w="3969" w:type="dxa"/>
            <w:tcBorders>
              <w:top w:val="single" w:sz="12" w:space="0" w:color="auto"/>
            </w:tcBorders>
            <w:shd w:val="clear" w:color="auto" w:fill="auto"/>
          </w:tcPr>
          <w:p w14:paraId="1CB166A9" w14:textId="77777777" w:rsidR="002A4967" w:rsidRPr="00905BBB" w:rsidRDefault="002A4967" w:rsidP="002A4967">
            <w:pPr>
              <w:pStyle w:val="Tablea"/>
            </w:pPr>
            <w:r>
              <w:t>$40</w:t>
            </w:r>
          </w:p>
        </w:tc>
      </w:tr>
      <w:tr w:rsidR="002A4967" w:rsidRPr="00905BBB" w14:paraId="700BC635" w14:textId="77777777" w:rsidTr="0010212B">
        <w:tc>
          <w:tcPr>
            <w:tcW w:w="714" w:type="dxa"/>
            <w:shd w:val="clear" w:color="auto" w:fill="auto"/>
          </w:tcPr>
          <w:p w14:paraId="3B3C49DA" w14:textId="77777777" w:rsidR="002A4967" w:rsidRPr="00905BBB" w:rsidRDefault="002A4967" w:rsidP="002A4967">
            <w:pPr>
              <w:pStyle w:val="Tabletext"/>
            </w:pPr>
            <w:r w:rsidRPr="00905BBB">
              <w:t>2</w:t>
            </w:r>
          </w:p>
        </w:tc>
        <w:tc>
          <w:tcPr>
            <w:tcW w:w="3699" w:type="dxa"/>
            <w:shd w:val="clear" w:color="auto" w:fill="auto"/>
          </w:tcPr>
          <w:p w14:paraId="12E9F49C" w14:textId="77777777" w:rsidR="002A4967" w:rsidRPr="00905BBB" w:rsidRDefault="002A4967" w:rsidP="002A4967">
            <w:pPr>
              <w:pStyle w:val="Tabletext"/>
            </w:pPr>
            <w:r>
              <w:t xml:space="preserve">a person who applies for approval of a variation of an approved Model Report that applies to a model, or one or more variants, of a </w:t>
            </w:r>
            <w:r w:rsidRPr="00D61C30">
              <w:t>used two‑wheeled vehicle or a used three‑wheeled vehicle that is not entered on the SEVs Register</w:t>
            </w:r>
          </w:p>
        </w:tc>
        <w:tc>
          <w:tcPr>
            <w:tcW w:w="3969" w:type="dxa"/>
            <w:shd w:val="clear" w:color="auto" w:fill="auto"/>
          </w:tcPr>
          <w:p w14:paraId="3459B1EE" w14:textId="77777777" w:rsidR="002A4967" w:rsidRPr="00905BBB" w:rsidRDefault="002A4967" w:rsidP="002A4967">
            <w:pPr>
              <w:pStyle w:val="Tabletext"/>
            </w:pPr>
            <w:r>
              <w:t>$40</w:t>
            </w:r>
          </w:p>
        </w:tc>
      </w:tr>
      <w:tr w:rsidR="002A4967" w:rsidRPr="00905BBB" w14:paraId="6AE07AE1" w14:textId="77777777" w:rsidTr="0010212B">
        <w:tc>
          <w:tcPr>
            <w:tcW w:w="714" w:type="dxa"/>
            <w:shd w:val="clear" w:color="auto" w:fill="auto"/>
          </w:tcPr>
          <w:p w14:paraId="0EBFDBCA" w14:textId="77777777" w:rsidR="002A4967" w:rsidRPr="00905BBB" w:rsidRDefault="002A4967" w:rsidP="002A4967">
            <w:pPr>
              <w:pStyle w:val="Tabletext"/>
            </w:pPr>
            <w:r w:rsidRPr="00905BBB">
              <w:t>3</w:t>
            </w:r>
          </w:p>
        </w:tc>
        <w:tc>
          <w:tcPr>
            <w:tcW w:w="3699" w:type="dxa"/>
            <w:shd w:val="clear" w:color="auto" w:fill="auto"/>
          </w:tcPr>
          <w:p w14:paraId="715F83A9" w14:textId="77777777" w:rsidR="002A4967" w:rsidRPr="00905BBB" w:rsidRDefault="002A4967" w:rsidP="002A4967">
            <w:pPr>
              <w:pStyle w:val="Tabletext"/>
            </w:pPr>
            <w:r>
              <w:t xml:space="preserve">a person who applies for approval of a variation of an approved Model Report that applies to a model, or one or more variants, of a </w:t>
            </w:r>
            <w:r w:rsidRPr="004D4468">
              <w:t>trailer with an aggregate trailer mass of more than 4.5 ton</w:t>
            </w:r>
            <w:r>
              <w:t>nes</w:t>
            </w:r>
          </w:p>
        </w:tc>
        <w:tc>
          <w:tcPr>
            <w:tcW w:w="3969" w:type="dxa"/>
            <w:shd w:val="clear" w:color="auto" w:fill="auto"/>
          </w:tcPr>
          <w:p w14:paraId="784ADBD5" w14:textId="77777777" w:rsidR="002A4967" w:rsidRPr="00905BBB" w:rsidRDefault="002A4967" w:rsidP="002A4967">
            <w:pPr>
              <w:pStyle w:val="Tabletext"/>
            </w:pPr>
            <w:r>
              <w:t>$40</w:t>
            </w:r>
          </w:p>
        </w:tc>
      </w:tr>
      <w:tr w:rsidR="002A4967" w:rsidRPr="00905BBB" w14:paraId="261B2BB1" w14:textId="77777777" w:rsidTr="0010212B">
        <w:tc>
          <w:tcPr>
            <w:tcW w:w="714" w:type="dxa"/>
            <w:tcBorders>
              <w:bottom w:val="single" w:sz="12" w:space="0" w:color="auto"/>
            </w:tcBorders>
            <w:shd w:val="clear" w:color="auto" w:fill="auto"/>
          </w:tcPr>
          <w:p w14:paraId="40D6F75C" w14:textId="77777777" w:rsidR="002A4967" w:rsidRPr="00905BBB" w:rsidRDefault="002A4967" w:rsidP="002A4967">
            <w:pPr>
              <w:pStyle w:val="Tabletext"/>
            </w:pPr>
            <w:r w:rsidRPr="00905BBB">
              <w:t>4</w:t>
            </w:r>
          </w:p>
        </w:tc>
        <w:tc>
          <w:tcPr>
            <w:tcW w:w="3699" w:type="dxa"/>
            <w:tcBorders>
              <w:bottom w:val="single" w:sz="12" w:space="0" w:color="auto"/>
            </w:tcBorders>
            <w:shd w:val="clear" w:color="auto" w:fill="auto"/>
          </w:tcPr>
          <w:p w14:paraId="11DC5460" w14:textId="77777777" w:rsidR="002A4967" w:rsidRDefault="002A4967" w:rsidP="002A4967">
            <w:pPr>
              <w:pStyle w:val="Tabletext"/>
            </w:pPr>
            <w:r>
              <w:t>a person who applies for approval of a variation of an approved Model Report that applies to a model, or one or more variants, of a road vehicle that:</w:t>
            </w:r>
          </w:p>
          <w:p w14:paraId="4C9D9315" w14:textId="77777777" w:rsidR="002A4967" w:rsidRDefault="002A4967" w:rsidP="002A4967">
            <w:pPr>
              <w:pStyle w:val="Tablea"/>
              <w:rPr>
                <w:color w:val="000000"/>
                <w:szCs w:val="22"/>
                <w:lang w:eastAsia="en-GB"/>
              </w:rPr>
            </w:pPr>
            <w:r>
              <w:t xml:space="preserve">(a) </w:t>
            </w:r>
            <w:r w:rsidRPr="00C8328D">
              <w:rPr>
                <w:color w:val="000000"/>
                <w:szCs w:val="22"/>
                <w:lang w:eastAsia="en-GB"/>
              </w:rPr>
              <w:t>is entered on the RAV via the type approval pathway; and</w:t>
            </w:r>
          </w:p>
          <w:p w14:paraId="54206CE9" w14:textId="77777777" w:rsidR="002A4967" w:rsidRPr="00905BBB" w:rsidRDefault="002A4967" w:rsidP="002A4967">
            <w:pPr>
              <w:pStyle w:val="Tablea"/>
            </w:pPr>
            <w:r>
              <w:rPr>
                <w:color w:val="000000"/>
                <w:szCs w:val="22"/>
                <w:lang w:eastAsia="en-GB"/>
              </w:rPr>
              <w:t xml:space="preserve">(b) </w:t>
            </w:r>
            <w:r w:rsidRPr="00C8328D">
              <w:rPr>
                <w:color w:val="000000"/>
                <w:szCs w:val="22"/>
                <w:lang w:eastAsia="en-GB"/>
              </w:rPr>
              <w:t>will be subject to second stage of manufacture.</w:t>
            </w:r>
          </w:p>
        </w:tc>
        <w:tc>
          <w:tcPr>
            <w:tcW w:w="3969" w:type="dxa"/>
            <w:tcBorders>
              <w:bottom w:val="single" w:sz="12" w:space="0" w:color="auto"/>
            </w:tcBorders>
            <w:shd w:val="clear" w:color="auto" w:fill="auto"/>
          </w:tcPr>
          <w:p w14:paraId="7AFF1024" w14:textId="77777777" w:rsidR="002A4967" w:rsidRPr="00905BBB" w:rsidRDefault="002A4967" w:rsidP="002A4967">
            <w:pPr>
              <w:pStyle w:val="Tabletext"/>
            </w:pPr>
            <w:r>
              <w:t>$40</w:t>
            </w:r>
          </w:p>
        </w:tc>
      </w:tr>
    </w:tbl>
    <w:p w14:paraId="7B67ED74" w14:textId="77777777" w:rsidR="003832A0" w:rsidRDefault="003832A0" w:rsidP="003832A0">
      <w:pPr>
        <w:pStyle w:val="subsection"/>
      </w:pPr>
      <w:r>
        <w:tab/>
        <w:t>(</w:t>
      </w:r>
      <w:r w:rsidR="00874EB9">
        <w:t>3</w:t>
      </w:r>
      <w:r>
        <w:t>)</w:t>
      </w:r>
      <w:r>
        <w:tab/>
        <w:t>A fee is not payable under subsection (1) where:</w:t>
      </w:r>
    </w:p>
    <w:p w14:paraId="5D0D7845" w14:textId="77777777" w:rsidR="003832A0" w:rsidRDefault="003832A0" w:rsidP="003832A0">
      <w:pPr>
        <w:pStyle w:val="paragraph"/>
      </w:pPr>
      <w:r>
        <w:tab/>
        <w:t>(a)</w:t>
      </w:r>
      <w:r>
        <w:tab/>
        <w:t>the variation would reduce the number of variants to which the Model Report applies; or</w:t>
      </w:r>
    </w:p>
    <w:p w14:paraId="68CBD617" w14:textId="77777777" w:rsidR="003832A0" w:rsidRDefault="003832A0" w:rsidP="003832A0">
      <w:pPr>
        <w:pStyle w:val="paragraph"/>
      </w:pPr>
      <w:r>
        <w:lastRenderedPageBreak/>
        <w:tab/>
        <w:t>(b)</w:t>
      </w:r>
      <w:r>
        <w:tab/>
      </w:r>
      <w:r w:rsidR="005B1433">
        <w:t xml:space="preserve">the person seeks the variation in order to comply with </w:t>
      </w:r>
      <w:r w:rsidR="00323783">
        <w:t>section 82</w:t>
      </w:r>
      <w:r>
        <w:t>; or</w:t>
      </w:r>
    </w:p>
    <w:p w14:paraId="6EE12730" w14:textId="77777777" w:rsidR="00361342" w:rsidRDefault="003832A0" w:rsidP="00510B31">
      <w:pPr>
        <w:pStyle w:val="paragraph"/>
      </w:pPr>
      <w:r>
        <w:tab/>
        <w:t>(c)</w:t>
      </w:r>
      <w:r>
        <w:tab/>
      </w:r>
      <w:r w:rsidR="00FD6051" w:rsidRPr="00896128">
        <w:t xml:space="preserve">the person seeks the variation </w:t>
      </w:r>
      <w:r w:rsidR="00C9756F" w:rsidRPr="00896128">
        <w:t>in response to</w:t>
      </w:r>
      <w:r w:rsidR="00F023DA">
        <w:t>:</w:t>
      </w:r>
    </w:p>
    <w:p w14:paraId="4EA95FC9" w14:textId="77777777" w:rsidR="00361342" w:rsidRDefault="00361342" w:rsidP="00361342">
      <w:pPr>
        <w:pStyle w:val="paragraphsub"/>
      </w:pPr>
      <w:r>
        <w:tab/>
        <w:t>(i)</w:t>
      </w:r>
      <w:r>
        <w:tab/>
      </w:r>
      <w:r w:rsidR="00E7300A">
        <w:t>a voluntary recall notified under this instrument; or</w:t>
      </w:r>
    </w:p>
    <w:p w14:paraId="52CC8BE4" w14:textId="77777777" w:rsidR="00E7300A" w:rsidRDefault="00E7300A" w:rsidP="00361342">
      <w:pPr>
        <w:pStyle w:val="paragraphsub"/>
      </w:pPr>
      <w:r>
        <w:tab/>
        <w:t>(ii)</w:t>
      </w:r>
      <w:r>
        <w:tab/>
        <w:t xml:space="preserve">a recall </w:t>
      </w:r>
      <w:r w:rsidR="00145F37">
        <w:t xml:space="preserve">notice </w:t>
      </w:r>
      <w:r>
        <w:t xml:space="preserve">issued under this instrument; or </w:t>
      </w:r>
    </w:p>
    <w:p w14:paraId="0C1F9CEC" w14:textId="77777777" w:rsidR="00ED0B4E" w:rsidRDefault="00361342" w:rsidP="00361342">
      <w:pPr>
        <w:pStyle w:val="paragraphsub"/>
      </w:pPr>
      <w:r>
        <w:tab/>
        <w:t>(</w:t>
      </w:r>
      <w:r w:rsidR="00E7300A">
        <w:t>i</w:t>
      </w:r>
      <w:r>
        <w:t>ii)</w:t>
      </w:r>
      <w:r>
        <w:tab/>
      </w:r>
      <w:r w:rsidR="00145F37">
        <w:t xml:space="preserve">a voluntary or compulsory recall issued in </w:t>
      </w:r>
      <w:r w:rsidR="00145F37" w:rsidRPr="00361342">
        <w:t>the market</w:t>
      </w:r>
      <w:r w:rsidR="00145F37">
        <w:t xml:space="preserve"> for which the vehicle was originally manufactured</w:t>
      </w:r>
      <w:r w:rsidR="003832A0">
        <w:t xml:space="preserve">. </w:t>
      </w:r>
    </w:p>
    <w:p w14:paraId="33D3BD36" w14:textId="77777777" w:rsidR="00323783" w:rsidRDefault="00323783" w:rsidP="00323783">
      <w:pPr>
        <w:pStyle w:val="notetext"/>
      </w:pPr>
      <w:r>
        <w:t>Note:</w:t>
      </w:r>
      <w:r>
        <w:tab/>
        <w:t>Section 82</w:t>
      </w:r>
      <w:r w:rsidR="005B1433">
        <w:t xml:space="preserve">, in broad terms, requires the holder of a Model Report approval </w:t>
      </w:r>
      <w:r w:rsidR="00BA6BFD">
        <w:t xml:space="preserve">to </w:t>
      </w:r>
      <w:r>
        <w:t xml:space="preserve">keep the Model Report accurate and up to date.  </w:t>
      </w:r>
    </w:p>
    <w:p w14:paraId="5D0E924A" w14:textId="77777777" w:rsidR="00D22DD9" w:rsidRPr="00F023DA" w:rsidRDefault="00D22DD9" w:rsidP="00D22DD9">
      <w:pPr>
        <w:pStyle w:val="notetext"/>
      </w:pPr>
      <w:r w:rsidRPr="00F023DA">
        <w:t>Example:</w:t>
      </w:r>
      <w:r w:rsidRPr="00F023DA">
        <w:tab/>
        <w:t xml:space="preserve">A vehicle is manufactured in Japan, but designed to be sold in the Australian market. In these circumstances, Australia </w:t>
      </w:r>
      <w:r w:rsidR="0052399E" w:rsidRPr="00F023DA">
        <w:t xml:space="preserve">is the </w:t>
      </w:r>
      <w:r w:rsidR="003C0F66" w:rsidRPr="00F023DA">
        <w:t xml:space="preserve">market for which the vehicle was originally manufactured. </w:t>
      </w:r>
    </w:p>
    <w:p w14:paraId="130EFA46" w14:textId="77777777" w:rsidR="008224FB" w:rsidRPr="007E5C14" w:rsidRDefault="008224FB" w:rsidP="008224FB">
      <w:pPr>
        <w:pStyle w:val="ActHead3"/>
      </w:pPr>
      <w:r w:rsidRPr="003842A0">
        <w:rPr>
          <w:rStyle w:val="CharDivNo"/>
        </w:rPr>
        <w:t xml:space="preserve">Division </w:t>
      </w:r>
      <w:r>
        <w:rPr>
          <w:rStyle w:val="CharDivNo"/>
        </w:rPr>
        <w:t>6</w:t>
      </w:r>
      <w:r w:rsidRPr="002E0CD2">
        <w:t>—</w:t>
      </w:r>
      <w:r w:rsidR="003E4E0E">
        <w:rPr>
          <w:rStyle w:val="CharDivText"/>
        </w:rPr>
        <w:t>Fees</w:t>
      </w:r>
      <w:r>
        <w:rPr>
          <w:rStyle w:val="CharDivText"/>
        </w:rPr>
        <w:t>: AVV approvals</w:t>
      </w:r>
    </w:p>
    <w:p w14:paraId="40A41DA8" w14:textId="77777777" w:rsidR="008224FB" w:rsidRDefault="00900023" w:rsidP="008224FB">
      <w:pPr>
        <w:pStyle w:val="ActHead5"/>
      </w:pPr>
      <w:bookmarkStart w:id="32" w:name="_Toc27580653"/>
      <w:bookmarkStart w:id="33" w:name="_Toc27647423"/>
      <w:r>
        <w:rPr>
          <w:rStyle w:val="CharSectno"/>
        </w:rPr>
        <w:t>245</w:t>
      </w:r>
      <w:r w:rsidR="008224FB" w:rsidRPr="002E0CD2">
        <w:t xml:space="preserve">  </w:t>
      </w:r>
      <w:r w:rsidR="008224FB">
        <w:t>AVV approvals—when fees are payable</w:t>
      </w:r>
      <w:bookmarkEnd w:id="32"/>
      <w:bookmarkEnd w:id="33"/>
      <w:r w:rsidR="008224FB">
        <w:t xml:space="preserve"> </w:t>
      </w:r>
    </w:p>
    <w:p w14:paraId="731281C8" w14:textId="77777777" w:rsidR="002A212C" w:rsidRDefault="002A212C" w:rsidP="002A212C">
      <w:pPr>
        <w:pStyle w:val="subsection"/>
        <w:rPr>
          <w:shd w:val="clear" w:color="auto" w:fill="FFFFFF"/>
        </w:rPr>
      </w:pPr>
      <w:r>
        <w:rPr>
          <w:shd w:val="clear" w:color="auto" w:fill="FFFFFF"/>
        </w:rPr>
        <w:tab/>
        <w:t>(1)</w:t>
      </w:r>
      <w:r>
        <w:rPr>
          <w:shd w:val="clear" w:color="auto" w:fill="FFFFFF"/>
        </w:rPr>
        <w:tab/>
        <w:t xml:space="preserve">The person mentioned in column 1 of the following table must pay a fee </w:t>
      </w:r>
      <w:r w:rsidR="00AE1EC9">
        <w:rPr>
          <w:shd w:val="clear" w:color="auto" w:fill="FFFFFF"/>
        </w:rPr>
        <w:t xml:space="preserve">to the Commonwealth </w:t>
      </w:r>
      <w:r>
        <w:rPr>
          <w:shd w:val="clear" w:color="auto" w:fill="FFFFFF"/>
        </w:rPr>
        <w:t>in accordance with column 2 of the table.</w:t>
      </w:r>
    </w:p>
    <w:p w14:paraId="2809C800" w14:textId="77777777" w:rsidR="001D0E41" w:rsidRDefault="001D0E41" w:rsidP="001D0E41">
      <w:pPr>
        <w:pStyle w:val="subsection"/>
      </w:pPr>
      <w:r>
        <w:tab/>
        <w:t>(2)</w:t>
      </w:r>
      <w:r>
        <w:tab/>
        <w:t xml:space="preserve">The fee is due and payable at the time the application mentioned in column 1 is made. </w:t>
      </w:r>
    </w:p>
    <w:p w14:paraId="1A4A62AC" w14:textId="77777777" w:rsidR="002A212C" w:rsidRDefault="002A212C" w:rsidP="002A212C">
      <w:pPr>
        <w:pStyle w:val="notetext"/>
      </w:pPr>
      <w:r>
        <w:t>Note:</w:t>
      </w:r>
      <w:r>
        <w:tab/>
        <w:t xml:space="preserve">Subparagraph 90(2)(b)(ii) requires an application for an AVV approval to be accompanied by the application fee. The Secretary may refuse to consider the application if the </w:t>
      </w:r>
      <w:r w:rsidR="00AA7C1B">
        <w:t>corporation</w:t>
      </w:r>
      <w:r>
        <w:t xml:space="preserve"> does not pay the fee (see paragraph </w:t>
      </w:r>
      <w:r w:rsidR="00AA7C1B">
        <w:t>92</w:t>
      </w:r>
      <w:r>
        <w:t xml:space="preserve">(a)). </w:t>
      </w:r>
    </w:p>
    <w:p w14:paraId="32B81C94" w14:textId="77777777" w:rsidR="008224FB" w:rsidRDefault="008224FB" w:rsidP="008224FB">
      <w:pPr>
        <w:pStyle w:val="Item"/>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699"/>
        <w:gridCol w:w="3969"/>
      </w:tblGrid>
      <w:tr w:rsidR="005C54C7" w:rsidRPr="00905BBB" w14:paraId="4B446873" w14:textId="77777777" w:rsidTr="0010212B">
        <w:trPr>
          <w:tblHeader/>
        </w:trPr>
        <w:tc>
          <w:tcPr>
            <w:tcW w:w="8382" w:type="dxa"/>
            <w:gridSpan w:val="3"/>
            <w:tcBorders>
              <w:top w:val="single" w:sz="12" w:space="0" w:color="auto"/>
              <w:bottom w:val="single" w:sz="2" w:space="0" w:color="auto"/>
            </w:tcBorders>
            <w:shd w:val="clear" w:color="auto" w:fill="auto"/>
          </w:tcPr>
          <w:p w14:paraId="5C2D272A" w14:textId="77777777" w:rsidR="005C54C7" w:rsidRPr="00905BBB" w:rsidRDefault="005C54C7" w:rsidP="0010212B">
            <w:pPr>
              <w:pStyle w:val="TableHeading"/>
            </w:pPr>
            <w:r>
              <w:t>AVV approval applications—w</w:t>
            </w:r>
            <w:r w:rsidRPr="00905BBB">
              <w:t>hen fees are payable</w:t>
            </w:r>
            <w:r>
              <w:t xml:space="preserve"> </w:t>
            </w:r>
          </w:p>
        </w:tc>
      </w:tr>
      <w:tr w:rsidR="005C54C7" w:rsidRPr="00905BBB" w14:paraId="50E81CE3" w14:textId="77777777" w:rsidTr="0010212B">
        <w:trPr>
          <w:tblHeader/>
        </w:trPr>
        <w:tc>
          <w:tcPr>
            <w:tcW w:w="714" w:type="dxa"/>
            <w:tcBorders>
              <w:top w:val="single" w:sz="2" w:space="0" w:color="auto"/>
              <w:bottom w:val="single" w:sz="12" w:space="0" w:color="auto"/>
            </w:tcBorders>
            <w:shd w:val="clear" w:color="auto" w:fill="auto"/>
          </w:tcPr>
          <w:p w14:paraId="1A67D6BA" w14:textId="77777777" w:rsidR="005C54C7" w:rsidRPr="00905BBB" w:rsidRDefault="005C54C7" w:rsidP="0010212B">
            <w:pPr>
              <w:pStyle w:val="TableHeading"/>
            </w:pPr>
            <w:r w:rsidRPr="00905BBB">
              <w:t>Item</w:t>
            </w:r>
          </w:p>
        </w:tc>
        <w:tc>
          <w:tcPr>
            <w:tcW w:w="3699" w:type="dxa"/>
            <w:tcBorders>
              <w:top w:val="single" w:sz="2" w:space="0" w:color="auto"/>
              <w:bottom w:val="single" w:sz="12" w:space="0" w:color="auto"/>
            </w:tcBorders>
            <w:shd w:val="clear" w:color="auto" w:fill="auto"/>
          </w:tcPr>
          <w:p w14:paraId="1CA553F9" w14:textId="77777777" w:rsidR="005C54C7" w:rsidRPr="00905BBB" w:rsidRDefault="005C54C7" w:rsidP="0010212B">
            <w:pPr>
              <w:pStyle w:val="TableHeading"/>
            </w:pPr>
            <w:r w:rsidRPr="00905BBB">
              <w:t>Column 1</w:t>
            </w:r>
          </w:p>
          <w:p w14:paraId="0D9325FE" w14:textId="77777777" w:rsidR="005C54C7" w:rsidRPr="00905BBB" w:rsidRDefault="005C54C7" w:rsidP="0010212B">
            <w:pPr>
              <w:pStyle w:val="TableHeading"/>
            </w:pPr>
            <w:r w:rsidRPr="00905BBB">
              <w:t>This person …</w:t>
            </w:r>
          </w:p>
        </w:tc>
        <w:tc>
          <w:tcPr>
            <w:tcW w:w="3969" w:type="dxa"/>
            <w:tcBorders>
              <w:top w:val="single" w:sz="2" w:space="0" w:color="auto"/>
              <w:bottom w:val="single" w:sz="12" w:space="0" w:color="auto"/>
            </w:tcBorders>
            <w:shd w:val="clear" w:color="auto" w:fill="auto"/>
          </w:tcPr>
          <w:p w14:paraId="61252D08" w14:textId="77777777" w:rsidR="005C54C7" w:rsidRPr="00905BBB" w:rsidRDefault="005C54C7" w:rsidP="0010212B">
            <w:pPr>
              <w:pStyle w:val="TableHeading"/>
            </w:pPr>
            <w:r w:rsidRPr="00905BBB">
              <w:t>Column 2</w:t>
            </w:r>
          </w:p>
          <w:p w14:paraId="6A3D68BD" w14:textId="77777777" w:rsidR="005C54C7" w:rsidRPr="00905BBB" w:rsidRDefault="005C54C7" w:rsidP="0010212B">
            <w:pPr>
              <w:pStyle w:val="TableHeading"/>
            </w:pPr>
            <w:r w:rsidRPr="00905BBB">
              <w:t xml:space="preserve">must pay </w:t>
            </w:r>
            <w:r>
              <w:t>the following</w:t>
            </w:r>
            <w:r w:rsidRPr="00905BBB">
              <w:t xml:space="preserve"> fee …</w:t>
            </w:r>
          </w:p>
        </w:tc>
      </w:tr>
      <w:tr w:rsidR="005C54C7" w:rsidRPr="00905BBB" w14:paraId="45B7DF16" w14:textId="77777777" w:rsidTr="0010212B">
        <w:tc>
          <w:tcPr>
            <w:tcW w:w="714" w:type="dxa"/>
            <w:tcBorders>
              <w:bottom w:val="single" w:sz="12" w:space="0" w:color="auto"/>
            </w:tcBorders>
            <w:shd w:val="clear" w:color="auto" w:fill="auto"/>
          </w:tcPr>
          <w:p w14:paraId="73A8FE76" w14:textId="77777777" w:rsidR="005C54C7" w:rsidRPr="00905BBB" w:rsidRDefault="005C54C7" w:rsidP="0010212B">
            <w:pPr>
              <w:pStyle w:val="Tabletext"/>
            </w:pPr>
            <w:r>
              <w:t>1</w:t>
            </w:r>
          </w:p>
        </w:tc>
        <w:tc>
          <w:tcPr>
            <w:tcW w:w="3699" w:type="dxa"/>
            <w:tcBorders>
              <w:bottom w:val="single" w:sz="12" w:space="0" w:color="auto"/>
            </w:tcBorders>
            <w:shd w:val="clear" w:color="auto" w:fill="auto"/>
          </w:tcPr>
          <w:p w14:paraId="3536F871" w14:textId="77777777" w:rsidR="005C54C7" w:rsidRPr="00905BBB" w:rsidRDefault="005C54C7" w:rsidP="00791055">
            <w:pPr>
              <w:pStyle w:val="Tabletext"/>
            </w:pPr>
            <w:r>
              <w:t xml:space="preserve">a </w:t>
            </w:r>
            <w:r w:rsidR="002A212C">
              <w:t xml:space="preserve">corporation </w:t>
            </w:r>
            <w:r w:rsidR="00791055">
              <w:t>that</w:t>
            </w:r>
            <w:r>
              <w:t xml:space="preserve"> applies for an AVV approval</w:t>
            </w:r>
          </w:p>
        </w:tc>
        <w:tc>
          <w:tcPr>
            <w:tcW w:w="3969" w:type="dxa"/>
            <w:tcBorders>
              <w:bottom w:val="single" w:sz="12" w:space="0" w:color="auto"/>
            </w:tcBorders>
            <w:shd w:val="clear" w:color="auto" w:fill="auto"/>
          </w:tcPr>
          <w:p w14:paraId="18E5DF65" w14:textId="77777777" w:rsidR="005C54C7" w:rsidRPr="00905BBB" w:rsidRDefault="002A4967" w:rsidP="0010212B">
            <w:pPr>
              <w:pStyle w:val="Tabletext"/>
            </w:pPr>
            <w:r>
              <w:t>$380</w:t>
            </w:r>
          </w:p>
        </w:tc>
      </w:tr>
    </w:tbl>
    <w:p w14:paraId="39F62E14" w14:textId="77777777" w:rsidR="005E3594" w:rsidRPr="007E5C14" w:rsidRDefault="005E3594" w:rsidP="005E3594">
      <w:pPr>
        <w:pStyle w:val="ActHead3"/>
      </w:pPr>
      <w:r w:rsidRPr="003842A0">
        <w:rPr>
          <w:rStyle w:val="CharDivNo"/>
        </w:rPr>
        <w:t xml:space="preserve">Division </w:t>
      </w:r>
      <w:r>
        <w:rPr>
          <w:rStyle w:val="CharDivNo"/>
        </w:rPr>
        <w:t>7</w:t>
      </w:r>
      <w:r w:rsidRPr="002E0CD2">
        <w:t>—</w:t>
      </w:r>
      <w:r w:rsidR="003E4E0E">
        <w:rPr>
          <w:rStyle w:val="CharDivText"/>
        </w:rPr>
        <w:t>Fees</w:t>
      </w:r>
      <w:r>
        <w:rPr>
          <w:rStyle w:val="CharDivText"/>
        </w:rPr>
        <w:t>: testing facility approvals</w:t>
      </w:r>
    </w:p>
    <w:p w14:paraId="34527C00" w14:textId="77777777" w:rsidR="005E3594" w:rsidRDefault="00900023" w:rsidP="005E3594">
      <w:pPr>
        <w:pStyle w:val="ActHead5"/>
      </w:pPr>
      <w:bookmarkStart w:id="34" w:name="_Toc27580654"/>
      <w:bookmarkStart w:id="35" w:name="_Toc27647424"/>
      <w:r>
        <w:rPr>
          <w:rStyle w:val="CharSectno"/>
        </w:rPr>
        <w:t>246</w:t>
      </w:r>
      <w:r w:rsidRPr="002E0CD2">
        <w:t xml:space="preserve">  </w:t>
      </w:r>
      <w:r w:rsidR="005E3594">
        <w:t>Testing facility approvals—when fees are payable</w:t>
      </w:r>
      <w:bookmarkEnd w:id="34"/>
      <w:bookmarkEnd w:id="35"/>
      <w:r w:rsidR="005E3594">
        <w:t xml:space="preserve"> </w:t>
      </w:r>
    </w:p>
    <w:p w14:paraId="5B6BD175" w14:textId="77777777" w:rsidR="00DC63D0" w:rsidRDefault="00DC63D0" w:rsidP="00DC63D0">
      <w:pPr>
        <w:pStyle w:val="subsection"/>
        <w:rPr>
          <w:shd w:val="clear" w:color="auto" w:fill="FFFFFF"/>
        </w:rPr>
      </w:pPr>
      <w:r>
        <w:rPr>
          <w:shd w:val="clear" w:color="auto" w:fill="FFFFFF"/>
        </w:rPr>
        <w:tab/>
        <w:t>(1)</w:t>
      </w:r>
      <w:r>
        <w:rPr>
          <w:shd w:val="clear" w:color="auto" w:fill="FFFFFF"/>
        </w:rPr>
        <w:tab/>
        <w:t xml:space="preserve">The person mentioned in column 1 of the following table must pay a fee </w:t>
      </w:r>
      <w:r w:rsidR="00AE1EC9">
        <w:rPr>
          <w:shd w:val="clear" w:color="auto" w:fill="FFFFFF"/>
        </w:rPr>
        <w:t xml:space="preserve">to the Commonwealth </w:t>
      </w:r>
      <w:r>
        <w:rPr>
          <w:shd w:val="clear" w:color="auto" w:fill="FFFFFF"/>
        </w:rPr>
        <w:t>in accordance with column 2 of the table.</w:t>
      </w:r>
    </w:p>
    <w:p w14:paraId="524F5DF4" w14:textId="77777777" w:rsidR="001D0E41" w:rsidRDefault="001D0E41" w:rsidP="001D0E41">
      <w:pPr>
        <w:pStyle w:val="subsection"/>
      </w:pPr>
      <w:r>
        <w:tab/>
        <w:t>(2)</w:t>
      </w:r>
      <w:r>
        <w:tab/>
        <w:t xml:space="preserve">The fee is due and payable at the time the application mentioned in column 1 is made. </w:t>
      </w:r>
    </w:p>
    <w:p w14:paraId="49D43B6C" w14:textId="77777777" w:rsidR="00DC63D0" w:rsidRDefault="00DC63D0" w:rsidP="00DC63D0">
      <w:pPr>
        <w:pStyle w:val="notetext"/>
      </w:pPr>
      <w:r>
        <w:t>Note:</w:t>
      </w:r>
      <w:r>
        <w:tab/>
        <w:t xml:space="preserve">Subparagraph 108(2)(b)(ii) requires an application for a testing facility approval to be accompanied by the application fee. The Secretary may refuse to consider the application if the person does not pay the fee (see paragraph </w:t>
      </w:r>
      <w:r w:rsidR="00136EBF">
        <w:t>110</w:t>
      </w:r>
      <w:r>
        <w:t xml:space="preserve">(a)). </w:t>
      </w:r>
    </w:p>
    <w:p w14:paraId="6DF879A5" w14:textId="77777777" w:rsidR="005E3594" w:rsidRDefault="005E3594" w:rsidP="005E3594">
      <w:pPr>
        <w:pStyle w:val="Item"/>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699"/>
        <w:gridCol w:w="3969"/>
      </w:tblGrid>
      <w:tr w:rsidR="005E3594" w:rsidRPr="00905BBB" w14:paraId="1F848A93" w14:textId="77777777" w:rsidTr="0010212B">
        <w:trPr>
          <w:tblHeader/>
        </w:trPr>
        <w:tc>
          <w:tcPr>
            <w:tcW w:w="8382" w:type="dxa"/>
            <w:gridSpan w:val="3"/>
            <w:tcBorders>
              <w:top w:val="single" w:sz="12" w:space="0" w:color="auto"/>
              <w:bottom w:val="single" w:sz="2" w:space="0" w:color="auto"/>
            </w:tcBorders>
            <w:shd w:val="clear" w:color="auto" w:fill="auto"/>
          </w:tcPr>
          <w:p w14:paraId="705F9FDB" w14:textId="77777777" w:rsidR="005E3594" w:rsidRPr="00905BBB" w:rsidRDefault="006476B5" w:rsidP="006476B5">
            <w:pPr>
              <w:pStyle w:val="TableHeading"/>
            </w:pPr>
            <w:r>
              <w:t xml:space="preserve">Testing facility </w:t>
            </w:r>
            <w:r w:rsidR="005E3594">
              <w:t>approval applications—w</w:t>
            </w:r>
            <w:r w:rsidR="005E3594" w:rsidRPr="00905BBB">
              <w:t>hen fees are payable</w:t>
            </w:r>
            <w:r w:rsidR="005E3594">
              <w:t xml:space="preserve"> </w:t>
            </w:r>
          </w:p>
        </w:tc>
      </w:tr>
      <w:tr w:rsidR="005E3594" w:rsidRPr="00905BBB" w14:paraId="0B532D44" w14:textId="77777777" w:rsidTr="0010212B">
        <w:trPr>
          <w:tblHeader/>
        </w:trPr>
        <w:tc>
          <w:tcPr>
            <w:tcW w:w="714" w:type="dxa"/>
            <w:tcBorders>
              <w:top w:val="single" w:sz="2" w:space="0" w:color="auto"/>
              <w:bottom w:val="single" w:sz="12" w:space="0" w:color="auto"/>
            </w:tcBorders>
            <w:shd w:val="clear" w:color="auto" w:fill="auto"/>
          </w:tcPr>
          <w:p w14:paraId="3AC4E02D" w14:textId="77777777" w:rsidR="005E3594" w:rsidRPr="00905BBB" w:rsidRDefault="005E3594" w:rsidP="0010212B">
            <w:pPr>
              <w:pStyle w:val="TableHeading"/>
            </w:pPr>
            <w:r w:rsidRPr="00905BBB">
              <w:t>Item</w:t>
            </w:r>
          </w:p>
        </w:tc>
        <w:tc>
          <w:tcPr>
            <w:tcW w:w="3699" w:type="dxa"/>
            <w:tcBorders>
              <w:top w:val="single" w:sz="2" w:space="0" w:color="auto"/>
              <w:bottom w:val="single" w:sz="12" w:space="0" w:color="auto"/>
            </w:tcBorders>
            <w:shd w:val="clear" w:color="auto" w:fill="auto"/>
          </w:tcPr>
          <w:p w14:paraId="2DD8EFB9" w14:textId="77777777" w:rsidR="005E3594" w:rsidRPr="00905BBB" w:rsidRDefault="005E3594" w:rsidP="0010212B">
            <w:pPr>
              <w:pStyle w:val="TableHeading"/>
            </w:pPr>
            <w:r w:rsidRPr="00905BBB">
              <w:t>Column 1</w:t>
            </w:r>
          </w:p>
          <w:p w14:paraId="767149B8" w14:textId="77777777" w:rsidR="005E3594" w:rsidRPr="00905BBB" w:rsidRDefault="005E3594" w:rsidP="0010212B">
            <w:pPr>
              <w:pStyle w:val="TableHeading"/>
            </w:pPr>
            <w:r w:rsidRPr="00905BBB">
              <w:t>This person …</w:t>
            </w:r>
          </w:p>
        </w:tc>
        <w:tc>
          <w:tcPr>
            <w:tcW w:w="3969" w:type="dxa"/>
            <w:tcBorders>
              <w:top w:val="single" w:sz="2" w:space="0" w:color="auto"/>
              <w:bottom w:val="single" w:sz="12" w:space="0" w:color="auto"/>
            </w:tcBorders>
            <w:shd w:val="clear" w:color="auto" w:fill="auto"/>
          </w:tcPr>
          <w:p w14:paraId="73261CEA" w14:textId="77777777" w:rsidR="005E3594" w:rsidRPr="00905BBB" w:rsidRDefault="005E3594" w:rsidP="0010212B">
            <w:pPr>
              <w:pStyle w:val="TableHeading"/>
            </w:pPr>
            <w:r w:rsidRPr="00905BBB">
              <w:t>Column 2</w:t>
            </w:r>
          </w:p>
          <w:p w14:paraId="18302DA1" w14:textId="77777777" w:rsidR="005E3594" w:rsidRPr="00905BBB" w:rsidRDefault="005E3594" w:rsidP="0010212B">
            <w:pPr>
              <w:pStyle w:val="TableHeading"/>
            </w:pPr>
            <w:r w:rsidRPr="00905BBB">
              <w:t xml:space="preserve">must pay </w:t>
            </w:r>
            <w:r>
              <w:t>the following</w:t>
            </w:r>
            <w:r w:rsidRPr="00905BBB">
              <w:t xml:space="preserve"> fee …</w:t>
            </w:r>
          </w:p>
        </w:tc>
      </w:tr>
      <w:tr w:rsidR="005E3594" w:rsidRPr="00905BBB" w14:paraId="3336C2D4" w14:textId="77777777" w:rsidTr="0010212B">
        <w:tc>
          <w:tcPr>
            <w:tcW w:w="714" w:type="dxa"/>
            <w:tcBorders>
              <w:bottom w:val="single" w:sz="12" w:space="0" w:color="auto"/>
            </w:tcBorders>
            <w:shd w:val="clear" w:color="auto" w:fill="auto"/>
          </w:tcPr>
          <w:p w14:paraId="10FC50E3" w14:textId="77777777" w:rsidR="005E3594" w:rsidRPr="00905BBB" w:rsidRDefault="005E3594" w:rsidP="0010212B">
            <w:pPr>
              <w:pStyle w:val="Tabletext"/>
            </w:pPr>
            <w:r>
              <w:t>1</w:t>
            </w:r>
          </w:p>
        </w:tc>
        <w:tc>
          <w:tcPr>
            <w:tcW w:w="3699" w:type="dxa"/>
            <w:tcBorders>
              <w:bottom w:val="single" w:sz="12" w:space="0" w:color="auto"/>
            </w:tcBorders>
            <w:shd w:val="clear" w:color="auto" w:fill="auto"/>
          </w:tcPr>
          <w:p w14:paraId="3AB7DD5F" w14:textId="77777777" w:rsidR="005E3594" w:rsidRPr="00905BBB" w:rsidRDefault="005E3594" w:rsidP="00B37464">
            <w:pPr>
              <w:pStyle w:val="Tabletext"/>
            </w:pPr>
            <w:r>
              <w:t>a person who applies for a</w:t>
            </w:r>
            <w:r w:rsidR="00B37464">
              <w:t xml:space="preserve"> testing facility </w:t>
            </w:r>
            <w:r>
              <w:lastRenderedPageBreak/>
              <w:t>approval</w:t>
            </w:r>
          </w:p>
        </w:tc>
        <w:tc>
          <w:tcPr>
            <w:tcW w:w="3969" w:type="dxa"/>
            <w:tcBorders>
              <w:bottom w:val="single" w:sz="12" w:space="0" w:color="auto"/>
            </w:tcBorders>
            <w:shd w:val="clear" w:color="auto" w:fill="auto"/>
          </w:tcPr>
          <w:p w14:paraId="3AB4553C" w14:textId="77777777" w:rsidR="005E3594" w:rsidRPr="00905BBB" w:rsidRDefault="002A4967" w:rsidP="0010212B">
            <w:pPr>
              <w:pStyle w:val="Tabletext"/>
            </w:pPr>
            <w:r>
              <w:lastRenderedPageBreak/>
              <w:t>$370</w:t>
            </w:r>
          </w:p>
        </w:tc>
      </w:tr>
    </w:tbl>
    <w:p w14:paraId="56DD054C" w14:textId="77777777" w:rsidR="00A8291E" w:rsidRPr="007E5C14" w:rsidRDefault="00A8291E" w:rsidP="00A8291E">
      <w:pPr>
        <w:pStyle w:val="ActHead3"/>
      </w:pPr>
      <w:r w:rsidRPr="003842A0">
        <w:rPr>
          <w:rStyle w:val="CharDivNo"/>
        </w:rPr>
        <w:t xml:space="preserve">Division </w:t>
      </w:r>
      <w:r w:rsidR="001D637C">
        <w:rPr>
          <w:rStyle w:val="CharDivNo"/>
        </w:rPr>
        <w:t>8</w:t>
      </w:r>
      <w:r w:rsidRPr="002E0CD2">
        <w:t>—</w:t>
      </w:r>
      <w:r>
        <w:rPr>
          <w:rStyle w:val="CharDivText"/>
        </w:rPr>
        <w:t xml:space="preserve">Fees: </w:t>
      </w:r>
      <w:r w:rsidR="00227BDB">
        <w:rPr>
          <w:rStyle w:val="CharDivText"/>
        </w:rPr>
        <w:t xml:space="preserve">application for </w:t>
      </w:r>
      <w:r>
        <w:rPr>
          <w:rStyle w:val="CharDivText"/>
        </w:rPr>
        <w:t>entry on SEVs register</w:t>
      </w:r>
    </w:p>
    <w:p w14:paraId="78211CFB" w14:textId="77777777" w:rsidR="00A8291E" w:rsidRDefault="00900023" w:rsidP="00A8291E">
      <w:pPr>
        <w:pStyle w:val="ActHead5"/>
      </w:pPr>
      <w:bookmarkStart w:id="36" w:name="_Toc27580655"/>
      <w:bookmarkStart w:id="37" w:name="_Toc27647425"/>
      <w:r>
        <w:rPr>
          <w:rStyle w:val="CharSectno"/>
        </w:rPr>
        <w:t>247</w:t>
      </w:r>
      <w:r w:rsidRPr="002E0CD2">
        <w:t xml:space="preserve">  </w:t>
      </w:r>
      <w:r w:rsidR="00806FA9">
        <w:t>Application for e</w:t>
      </w:r>
      <w:r w:rsidR="001340AA">
        <w:t>ntry on SEVs register</w:t>
      </w:r>
      <w:r w:rsidR="00A8291E">
        <w:t>—when fees are payable</w:t>
      </w:r>
      <w:bookmarkEnd w:id="36"/>
      <w:bookmarkEnd w:id="37"/>
      <w:r w:rsidR="00A8291E">
        <w:t xml:space="preserve"> </w:t>
      </w:r>
    </w:p>
    <w:p w14:paraId="2961CA5D" w14:textId="77777777" w:rsidR="00136EBF" w:rsidRDefault="00136EBF" w:rsidP="00136EBF">
      <w:pPr>
        <w:pStyle w:val="subsection"/>
        <w:rPr>
          <w:shd w:val="clear" w:color="auto" w:fill="FFFFFF"/>
        </w:rPr>
      </w:pPr>
      <w:r>
        <w:rPr>
          <w:shd w:val="clear" w:color="auto" w:fill="FFFFFF"/>
        </w:rPr>
        <w:tab/>
        <w:t>(1)</w:t>
      </w:r>
      <w:r>
        <w:rPr>
          <w:shd w:val="clear" w:color="auto" w:fill="FFFFFF"/>
        </w:rPr>
        <w:tab/>
        <w:t xml:space="preserve">The person mentioned in column 1 of the following table must pay a fee </w:t>
      </w:r>
      <w:r w:rsidR="00AE1EC9">
        <w:rPr>
          <w:shd w:val="clear" w:color="auto" w:fill="FFFFFF"/>
        </w:rPr>
        <w:t xml:space="preserve">to the Commonwealth </w:t>
      </w:r>
      <w:r>
        <w:rPr>
          <w:shd w:val="clear" w:color="auto" w:fill="FFFFFF"/>
        </w:rPr>
        <w:t>in accordance with column 2 of the table.</w:t>
      </w:r>
    </w:p>
    <w:p w14:paraId="279D0AF5" w14:textId="77777777" w:rsidR="001D0E41" w:rsidRDefault="001D0E41" w:rsidP="001D0E41">
      <w:pPr>
        <w:pStyle w:val="subsection"/>
      </w:pPr>
      <w:r>
        <w:tab/>
        <w:t>(2)</w:t>
      </w:r>
      <w:r>
        <w:tab/>
        <w:t xml:space="preserve">The fee is due and payable at the time the application mentioned in column 1 is made. </w:t>
      </w:r>
    </w:p>
    <w:p w14:paraId="4EBA232F" w14:textId="77777777" w:rsidR="00136EBF" w:rsidRDefault="00136EBF" w:rsidP="00136EBF">
      <w:pPr>
        <w:pStyle w:val="notetext"/>
      </w:pPr>
      <w:r>
        <w:t>Note:</w:t>
      </w:r>
      <w:r>
        <w:tab/>
        <w:t xml:space="preserve">Subparagraph 125(2)(b)(ii) requires an application for entry on the SEVs Register to be accompanied by the application fee. The Secretary may refuse to consider the application if the person does not pay the fee (see paragraph 127(a)). </w:t>
      </w:r>
    </w:p>
    <w:p w14:paraId="55E4952B" w14:textId="77777777" w:rsidR="00A8291E" w:rsidRDefault="00A8291E" w:rsidP="00A8291E">
      <w:pPr>
        <w:pStyle w:val="Item"/>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699"/>
        <w:gridCol w:w="3969"/>
      </w:tblGrid>
      <w:tr w:rsidR="00A8291E" w:rsidRPr="00905BBB" w14:paraId="2E437F71" w14:textId="77777777" w:rsidTr="0010212B">
        <w:trPr>
          <w:tblHeader/>
        </w:trPr>
        <w:tc>
          <w:tcPr>
            <w:tcW w:w="8382" w:type="dxa"/>
            <w:gridSpan w:val="3"/>
            <w:tcBorders>
              <w:top w:val="single" w:sz="12" w:space="0" w:color="auto"/>
              <w:bottom w:val="single" w:sz="2" w:space="0" w:color="auto"/>
            </w:tcBorders>
            <w:shd w:val="clear" w:color="auto" w:fill="auto"/>
          </w:tcPr>
          <w:p w14:paraId="3D3B7D52" w14:textId="77777777" w:rsidR="00A8291E" w:rsidRPr="00905BBB" w:rsidRDefault="001340AA" w:rsidP="0010212B">
            <w:pPr>
              <w:pStyle w:val="TableHeading"/>
            </w:pPr>
            <w:r>
              <w:t>Application for entry on SEVs Register</w:t>
            </w:r>
            <w:r w:rsidR="00A8291E">
              <w:t>—w</w:t>
            </w:r>
            <w:r w:rsidR="00A8291E" w:rsidRPr="00905BBB">
              <w:t>hen fees are payable</w:t>
            </w:r>
            <w:r w:rsidR="00A8291E">
              <w:t xml:space="preserve"> </w:t>
            </w:r>
          </w:p>
        </w:tc>
      </w:tr>
      <w:tr w:rsidR="00A8291E" w:rsidRPr="00905BBB" w14:paraId="535BC8FD" w14:textId="77777777" w:rsidTr="0010212B">
        <w:trPr>
          <w:tblHeader/>
        </w:trPr>
        <w:tc>
          <w:tcPr>
            <w:tcW w:w="714" w:type="dxa"/>
            <w:tcBorders>
              <w:top w:val="single" w:sz="2" w:space="0" w:color="auto"/>
              <w:bottom w:val="single" w:sz="12" w:space="0" w:color="auto"/>
            </w:tcBorders>
            <w:shd w:val="clear" w:color="auto" w:fill="auto"/>
          </w:tcPr>
          <w:p w14:paraId="6E7CE4EB" w14:textId="77777777" w:rsidR="00A8291E" w:rsidRPr="00905BBB" w:rsidRDefault="00A8291E" w:rsidP="0010212B">
            <w:pPr>
              <w:pStyle w:val="TableHeading"/>
            </w:pPr>
            <w:r w:rsidRPr="00905BBB">
              <w:t>Item</w:t>
            </w:r>
          </w:p>
        </w:tc>
        <w:tc>
          <w:tcPr>
            <w:tcW w:w="3699" w:type="dxa"/>
            <w:tcBorders>
              <w:top w:val="single" w:sz="2" w:space="0" w:color="auto"/>
              <w:bottom w:val="single" w:sz="12" w:space="0" w:color="auto"/>
            </w:tcBorders>
            <w:shd w:val="clear" w:color="auto" w:fill="auto"/>
          </w:tcPr>
          <w:p w14:paraId="48670787" w14:textId="77777777" w:rsidR="00A8291E" w:rsidRPr="00905BBB" w:rsidRDefault="00A8291E" w:rsidP="0010212B">
            <w:pPr>
              <w:pStyle w:val="TableHeading"/>
            </w:pPr>
            <w:r w:rsidRPr="00905BBB">
              <w:t>Column 1</w:t>
            </w:r>
          </w:p>
          <w:p w14:paraId="33989F22" w14:textId="77777777" w:rsidR="00A8291E" w:rsidRPr="00905BBB" w:rsidRDefault="00A8291E" w:rsidP="0010212B">
            <w:pPr>
              <w:pStyle w:val="TableHeading"/>
            </w:pPr>
            <w:r w:rsidRPr="00905BBB">
              <w:t>This person …</w:t>
            </w:r>
          </w:p>
        </w:tc>
        <w:tc>
          <w:tcPr>
            <w:tcW w:w="3969" w:type="dxa"/>
            <w:tcBorders>
              <w:top w:val="single" w:sz="2" w:space="0" w:color="auto"/>
              <w:bottom w:val="single" w:sz="12" w:space="0" w:color="auto"/>
            </w:tcBorders>
            <w:shd w:val="clear" w:color="auto" w:fill="auto"/>
          </w:tcPr>
          <w:p w14:paraId="011DB412" w14:textId="77777777" w:rsidR="00A8291E" w:rsidRPr="00905BBB" w:rsidRDefault="00A8291E" w:rsidP="0010212B">
            <w:pPr>
              <w:pStyle w:val="TableHeading"/>
            </w:pPr>
            <w:r w:rsidRPr="00905BBB">
              <w:t>Column 2</w:t>
            </w:r>
          </w:p>
          <w:p w14:paraId="6B91CC69" w14:textId="77777777" w:rsidR="00A8291E" w:rsidRPr="00905BBB" w:rsidRDefault="00A8291E" w:rsidP="0010212B">
            <w:pPr>
              <w:pStyle w:val="TableHeading"/>
            </w:pPr>
            <w:r w:rsidRPr="00905BBB">
              <w:t xml:space="preserve">must pay </w:t>
            </w:r>
            <w:r>
              <w:t>the following</w:t>
            </w:r>
            <w:r w:rsidRPr="00905BBB">
              <w:t xml:space="preserve"> fee …</w:t>
            </w:r>
          </w:p>
        </w:tc>
      </w:tr>
      <w:tr w:rsidR="00A8291E" w:rsidRPr="00905BBB" w14:paraId="5F179DF1" w14:textId="77777777" w:rsidTr="0010212B">
        <w:tc>
          <w:tcPr>
            <w:tcW w:w="714" w:type="dxa"/>
            <w:tcBorders>
              <w:bottom w:val="single" w:sz="12" w:space="0" w:color="auto"/>
            </w:tcBorders>
            <w:shd w:val="clear" w:color="auto" w:fill="auto"/>
          </w:tcPr>
          <w:p w14:paraId="033A660F" w14:textId="77777777" w:rsidR="00A8291E" w:rsidRPr="00905BBB" w:rsidRDefault="00A8291E" w:rsidP="0010212B">
            <w:pPr>
              <w:pStyle w:val="Tabletext"/>
            </w:pPr>
            <w:r>
              <w:t>1</w:t>
            </w:r>
          </w:p>
        </w:tc>
        <w:tc>
          <w:tcPr>
            <w:tcW w:w="3699" w:type="dxa"/>
            <w:tcBorders>
              <w:bottom w:val="single" w:sz="12" w:space="0" w:color="auto"/>
            </w:tcBorders>
            <w:shd w:val="clear" w:color="auto" w:fill="auto"/>
          </w:tcPr>
          <w:p w14:paraId="726A003F" w14:textId="77777777" w:rsidR="00A8291E" w:rsidRPr="00905BBB" w:rsidRDefault="00A8291E" w:rsidP="0098447D">
            <w:pPr>
              <w:pStyle w:val="Tabletext"/>
            </w:pPr>
            <w:r>
              <w:t xml:space="preserve">a person who </w:t>
            </w:r>
            <w:r w:rsidR="0098447D">
              <w:t>applies for a variant of a model, or a make and model, of a road vehicle to be entered on the SEVs Register</w:t>
            </w:r>
          </w:p>
        </w:tc>
        <w:tc>
          <w:tcPr>
            <w:tcW w:w="3969" w:type="dxa"/>
            <w:tcBorders>
              <w:bottom w:val="single" w:sz="12" w:space="0" w:color="auto"/>
            </w:tcBorders>
            <w:shd w:val="clear" w:color="auto" w:fill="auto"/>
          </w:tcPr>
          <w:p w14:paraId="679876EF" w14:textId="77777777" w:rsidR="00A8291E" w:rsidRPr="00905BBB" w:rsidRDefault="002A4967" w:rsidP="0010212B">
            <w:pPr>
              <w:pStyle w:val="Tabletext"/>
            </w:pPr>
            <w:r>
              <w:t>$230</w:t>
            </w:r>
          </w:p>
        </w:tc>
      </w:tr>
    </w:tbl>
    <w:p w14:paraId="28130EB4" w14:textId="77777777" w:rsidR="00806FA9" w:rsidRPr="007E5C14" w:rsidRDefault="00806FA9" w:rsidP="00806FA9">
      <w:pPr>
        <w:pStyle w:val="ActHead3"/>
      </w:pPr>
      <w:r w:rsidRPr="003842A0">
        <w:rPr>
          <w:rStyle w:val="CharDivNo"/>
        </w:rPr>
        <w:t>Division</w:t>
      </w:r>
      <w:r w:rsidR="001D637C">
        <w:rPr>
          <w:rStyle w:val="CharDivNo"/>
        </w:rPr>
        <w:t xml:space="preserve"> 9</w:t>
      </w:r>
      <w:r w:rsidRPr="002E0CD2">
        <w:t>—</w:t>
      </w:r>
      <w:r>
        <w:rPr>
          <w:rStyle w:val="CharDivText"/>
        </w:rPr>
        <w:t xml:space="preserve">Fees: </w:t>
      </w:r>
      <w:r w:rsidR="00E068DD">
        <w:rPr>
          <w:rStyle w:val="CharDivText"/>
        </w:rPr>
        <w:t xml:space="preserve">non-RAV entry </w:t>
      </w:r>
      <w:r w:rsidR="00D45607">
        <w:rPr>
          <w:rStyle w:val="CharDivText"/>
        </w:rPr>
        <w:t xml:space="preserve">import </w:t>
      </w:r>
      <w:r w:rsidR="00E068DD">
        <w:rPr>
          <w:rStyle w:val="CharDivText"/>
        </w:rPr>
        <w:t>approvals</w:t>
      </w:r>
    </w:p>
    <w:p w14:paraId="7E27D54C" w14:textId="77777777" w:rsidR="00806FA9" w:rsidRDefault="00900023" w:rsidP="00806FA9">
      <w:pPr>
        <w:pStyle w:val="ActHead5"/>
      </w:pPr>
      <w:bookmarkStart w:id="38" w:name="_Toc27580656"/>
      <w:bookmarkStart w:id="39" w:name="_Toc27647426"/>
      <w:r>
        <w:rPr>
          <w:rStyle w:val="CharSectno"/>
        </w:rPr>
        <w:t>248</w:t>
      </w:r>
      <w:r w:rsidRPr="002E0CD2">
        <w:t xml:space="preserve">  </w:t>
      </w:r>
      <w:r w:rsidR="00806FA9">
        <w:t>Non-RAV entry</w:t>
      </w:r>
      <w:r w:rsidR="00D45607">
        <w:t xml:space="preserve"> import</w:t>
      </w:r>
      <w:r w:rsidR="00806FA9">
        <w:t xml:space="preserve"> approvals—when fees are payable</w:t>
      </w:r>
      <w:bookmarkEnd w:id="38"/>
      <w:bookmarkEnd w:id="39"/>
      <w:r w:rsidR="00806FA9">
        <w:t xml:space="preserve"> </w:t>
      </w:r>
    </w:p>
    <w:p w14:paraId="592EB081" w14:textId="77777777" w:rsidR="00B01FB1" w:rsidRDefault="00B01FB1" w:rsidP="00B01FB1">
      <w:pPr>
        <w:pStyle w:val="subsection"/>
        <w:rPr>
          <w:shd w:val="clear" w:color="auto" w:fill="FFFFFF"/>
        </w:rPr>
      </w:pPr>
      <w:r>
        <w:rPr>
          <w:shd w:val="clear" w:color="auto" w:fill="FFFFFF"/>
        </w:rPr>
        <w:tab/>
        <w:t>(1)</w:t>
      </w:r>
      <w:r>
        <w:rPr>
          <w:shd w:val="clear" w:color="auto" w:fill="FFFFFF"/>
        </w:rPr>
        <w:tab/>
        <w:t xml:space="preserve">The person mentioned in column 1 of the following table must pay a fee </w:t>
      </w:r>
      <w:r w:rsidR="00AE1EC9">
        <w:rPr>
          <w:shd w:val="clear" w:color="auto" w:fill="FFFFFF"/>
        </w:rPr>
        <w:t xml:space="preserve">to the Commonwealth </w:t>
      </w:r>
      <w:r>
        <w:rPr>
          <w:shd w:val="clear" w:color="auto" w:fill="FFFFFF"/>
        </w:rPr>
        <w:t>in accordance with column 2 of the table.</w:t>
      </w:r>
    </w:p>
    <w:p w14:paraId="6F363447" w14:textId="77777777" w:rsidR="001D0E41" w:rsidRDefault="001D0E41" w:rsidP="001D0E41">
      <w:pPr>
        <w:pStyle w:val="subsection"/>
      </w:pPr>
      <w:r>
        <w:tab/>
        <w:t>(2)</w:t>
      </w:r>
      <w:r>
        <w:tab/>
        <w:t xml:space="preserve">The fee is due and payable at the time the application mentioned in column 1 is made. </w:t>
      </w:r>
    </w:p>
    <w:p w14:paraId="0D808BD2" w14:textId="77777777" w:rsidR="00B01FB1" w:rsidRDefault="00B01FB1" w:rsidP="00B01FB1">
      <w:pPr>
        <w:pStyle w:val="notetext"/>
      </w:pPr>
      <w:r>
        <w:t>Note:</w:t>
      </w:r>
      <w:r>
        <w:tab/>
        <w:t xml:space="preserve">Subparagraph 147(2)(b)(ii) requires an application for a non-RAV entry import approval to be accompanied by the application fee. The Minister may refuse to consider the application if the person does not pay the fee (see paragraph 149(a)). </w:t>
      </w:r>
    </w:p>
    <w:p w14:paraId="1780ACDE" w14:textId="77777777" w:rsidR="00806FA9" w:rsidRDefault="00806FA9" w:rsidP="00806FA9">
      <w:pPr>
        <w:pStyle w:val="Item"/>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699"/>
        <w:gridCol w:w="3969"/>
      </w:tblGrid>
      <w:tr w:rsidR="00806FA9" w:rsidRPr="00905BBB" w14:paraId="13DCE9B5" w14:textId="77777777" w:rsidTr="0010212B">
        <w:trPr>
          <w:tblHeader/>
        </w:trPr>
        <w:tc>
          <w:tcPr>
            <w:tcW w:w="8382" w:type="dxa"/>
            <w:gridSpan w:val="3"/>
            <w:tcBorders>
              <w:top w:val="single" w:sz="12" w:space="0" w:color="auto"/>
              <w:bottom w:val="single" w:sz="2" w:space="0" w:color="auto"/>
            </w:tcBorders>
            <w:shd w:val="clear" w:color="auto" w:fill="auto"/>
          </w:tcPr>
          <w:p w14:paraId="3E746F41" w14:textId="77777777" w:rsidR="00806FA9" w:rsidRPr="00905BBB" w:rsidRDefault="00492BAD" w:rsidP="00492BAD">
            <w:pPr>
              <w:pStyle w:val="TableHeading"/>
            </w:pPr>
            <w:r>
              <w:t>Non-RAV entry import approval applications</w:t>
            </w:r>
            <w:r w:rsidR="00806FA9">
              <w:t>—w</w:t>
            </w:r>
            <w:r w:rsidR="00806FA9" w:rsidRPr="00905BBB">
              <w:t>hen fees are payable</w:t>
            </w:r>
            <w:r w:rsidR="00806FA9">
              <w:t xml:space="preserve"> </w:t>
            </w:r>
          </w:p>
        </w:tc>
      </w:tr>
      <w:tr w:rsidR="00806FA9" w:rsidRPr="00905BBB" w14:paraId="0A58AC08" w14:textId="77777777" w:rsidTr="0010212B">
        <w:trPr>
          <w:tblHeader/>
        </w:trPr>
        <w:tc>
          <w:tcPr>
            <w:tcW w:w="714" w:type="dxa"/>
            <w:tcBorders>
              <w:top w:val="single" w:sz="2" w:space="0" w:color="auto"/>
              <w:bottom w:val="single" w:sz="12" w:space="0" w:color="auto"/>
            </w:tcBorders>
            <w:shd w:val="clear" w:color="auto" w:fill="auto"/>
          </w:tcPr>
          <w:p w14:paraId="1CFE771C" w14:textId="77777777" w:rsidR="00806FA9" w:rsidRPr="00905BBB" w:rsidRDefault="00806FA9" w:rsidP="0010212B">
            <w:pPr>
              <w:pStyle w:val="TableHeading"/>
            </w:pPr>
            <w:r w:rsidRPr="00905BBB">
              <w:t>Item</w:t>
            </w:r>
          </w:p>
        </w:tc>
        <w:tc>
          <w:tcPr>
            <w:tcW w:w="3699" w:type="dxa"/>
            <w:tcBorders>
              <w:top w:val="single" w:sz="2" w:space="0" w:color="auto"/>
              <w:bottom w:val="single" w:sz="12" w:space="0" w:color="auto"/>
            </w:tcBorders>
            <w:shd w:val="clear" w:color="auto" w:fill="auto"/>
          </w:tcPr>
          <w:p w14:paraId="692C230B" w14:textId="77777777" w:rsidR="00806FA9" w:rsidRPr="00905BBB" w:rsidRDefault="00806FA9" w:rsidP="0010212B">
            <w:pPr>
              <w:pStyle w:val="TableHeading"/>
            </w:pPr>
            <w:r w:rsidRPr="00905BBB">
              <w:t>Column 1</w:t>
            </w:r>
          </w:p>
          <w:p w14:paraId="5D494DD6" w14:textId="77777777" w:rsidR="00806FA9" w:rsidRPr="00905BBB" w:rsidRDefault="00806FA9" w:rsidP="0010212B">
            <w:pPr>
              <w:pStyle w:val="TableHeading"/>
            </w:pPr>
            <w:r w:rsidRPr="00905BBB">
              <w:t>This person …</w:t>
            </w:r>
          </w:p>
        </w:tc>
        <w:tc>
          <w:tcPr>
            <w:tcW w:w="3969" w:type="dxa"/>
            <w:tcBorders>
              <w:top w:val="single" w:sz="2" w:space="0" w:color="auto"/>
              <w:bottom w:val="single" w:sz="12" w:space="0" w:color="auto"/>
            </w:tcBorders>
            <w:shd w:val="clear" w:color="auto" w:fill="auto"/>
          </w:tcPr>
          <w:p w14:paraId="603BF9B6" w14:textId="77777777" w:rsidR="00806FA9" w:rsidRPr="00905BBB" w:rsidRDefault="00806FA9" w:rsidP="0010212B">
            <w:pPr>
              <w:pStyle w:val="TableHeading"/>
            </w:pPr>
            <w:r w:rsidRPr="00905BBB">
              <w:t>Column 2</w:t>
            </w:r>
          </w:p>
          <w:p w14:paraId="77E79554" w14:textId="77777777" w:rsidR="00806FA9" w:rsidRPr="00905BBB" w:rsidRDefault="00806FA9" w:rsidP="0010212B">
            <w:pPr>
              <w:pStyle w:val="TableHeading"/>
            </w:pPr>
            <w:r w:rsidRPr="00905BBB">
              <w:t xml:space="preserve">must pay </w:t>
            </w:r>
            <w:r>
              <w:t>the following</w:t>
            </w:r>
            <w:r w:rsidRPr="00905BBB">
              <w:t xml:space="preserve"> fee …</w:t>
            </w:r>
          </w:p>
        </w:tc>
      </w:tr>
      <w:tr w:rsidR="00806FA9" w:rsidRPr="00905BBB" w14:paraId="50F666A1" w14:textId="77777777" w:rsidTr="0010212B">
        <w:tc>
          <w:tcPr>
            <w:tcW w:w="714" w:type="dxa"/>
            <w:tcBorders>
              <w:bottom w:val="single" w:sz="12" w:space="0" w:color="auto"/>
            </w:tcBorders>
            <w:shd w:val="clear" w:color="auto" w:fill="auto"/>
          </w:tcPr>
          <w:p w14:paraId="06CC73C5" w14:textId="77777777" w:rsidR="00806FA9" w:rsidRPr="00905BBB" w:rsidRDefault="00806FA9" w:rsidP="0010212B">
            <w:pPr>
              <w:pStyle w:val="Tabletext"/>
            </w:pPr>
            <w:r>
              <w:t>1</w:t>
            </w:r>
          </w:p>
        </w:tc>
        <w:tc>
          <w:tcPr>
            <w:tcW w:w="3699" w:type="dxa"/>
            <w:tcBorders>
              <w:bottom w:val="single" w:sz="12" w:space="0" w:color="auto"/>
            </w:tcBorders>
            <w:shd w:val="clear" w:color="auto" w:fill="auto"/>
          </w:tcPr>
          <w:p w14:paraId="6C81FD44" w14:textId="77777777" w:rsidR="00806FA9" w:rsidRPr="00905BBB" w:rsidRDefault="00806FA9" w:rsidP="007E3737">
            <w:pPr>
              <w:pStyle w:val="Tabletext"/>
            </w:pPr>
            <w:r>
              <w:t xml:space="preserve">a person who </w:t>
            </w:r>
            <w:r w:rsidR="007E3737">
              <w:t>applies for a non-RAV entry import approval</w:t>
            </w:r>
          </w:p>
        </w:tc>
        <w:tc>
          <w:tcPr>
            <w:tcW w:w="3969" w:type="dxa"/>
            <w:tcBorders>
              <w:bottom w:val="single" w:sz="12" w:space="0" w:color="auto"/>
            </w:tcBorders>
            <w:shd w:val="clear" w:color="auto" w:fill="auto"/>
          </w:tcPr>
          <w:p w14:paraId="51DE1C74" w14:textId="77777777" w:rsidR="00806FA9" w:rsidRPr="00905BBB" w:rsidRDefault="002A4967" w:rsidP="0010212B">
            <w:pPr>
              <w:pStyle w:val="Tabletext"/>
            </w:pPr>
            <w:r>
              <w:t>$60</w:t>
            </w:r>
          </w:p>
        </w:tc>
      </w:tr>
    </w:tbl>
    <w:p w14:paraId="17CC1C30" w14:textId="77777777" w:rsidR="003E059C" w:rsidRPr="007E5C14" w:rsidRDefault="003E059C" w:rsidP="003E059C">
      <w:pPr>
        <w:pStyle w:val="ActHead3"/>
      </w:pPr>
      <w:r w:rsidRPr="003842A0">
        <w:rPr>
          <w:rStyle w:val="CharDivNo"/>
        </w:rPr>
        <w:lastRenderedPageBreak/>
        <w:t>Division</w:t>
      </w:r>
      <w:r>
        <w:rPr>
          <w:rStyle w:val="CharDivNo"/>
        </w:rPr>
        <w:t xml:space="preserve"> 10</w:t>
      </w:r>
      <w:r w:rsidRPr="002E0CD2">
        <w:t>—</w:t>
      </w:r>
      <w:r>
        <w:rPr>
          <w:rStyle w:val="CharDivText"/>
        </w:rPr>
        <w:t>Fees: reimportation import approvals</w:t>
      </w:r>
    </w:p>
    <w:p w14:paraId="0C620DEB" w14:textId="77777777" w:rsidR="003E059C" w:rsidRDefault="00900023" w:rsidP="003E059C">
      <w:pPr>
        <w:pStyle w:val="ActHead5"/>
      </w:pPr>
      <w:bookmarkStart w:id="40" w:name="_Toc27580657"/>
      <w:bookmarkStart w:id="41" w:name="_Toc27647427"/>
      <w:r>
        <w:rPr>
          <w:rStyle w:val="CharSectno"/>
        </w:rPr>
        <w:t>249</w:t>
      </w:r>
      <w:r w:rsidR="003E059C" w:rsidRPr="002E0CD2">
        <w:t xml:space="preserve">  </w:t>
      </w:r>
      <w:r w:rsidR="003E059C">
        <w:t>Reimportation import approvals—when fees are payable</w:t>
      </w:r>
      <w:bookmarkEnd w:id="40"/>
      <w:bookmarkEnd w:id="41"/>
      <w:r w:rsidR="003E059C">
        <w:t xml:space="preserve"> </w:t>
      </w:r>
    </w:p>
    <w:p w14:paraId="28BCB7DB" w14:textId="77777777" w:rsidR="008F7123" w:rsidRDefault="008F7123" w:rsidP="008F7123">
      <w:pPr>
        <w:pStyle w:val="subsection"/>
        <w:rPr>
          <w:shd w:val="clear" w:color="auto" w:fill="FFFFFF"/>
        </w:rPr>
      </w:pPr>
      <w:r>
        <w:rPr>
          <w:shd w:val="clear" w:color="auto" w:fill="FFFFFF"/>
        </w:rPr>
        <w:tab/>
        <w:t>(1)</w:t>
      </w:r>
      <w:r>
        <w:rPr>
          <w:shd w:val="clear" w:color="auto" w:fill="FFFFFF"/>
        </w:rPr>
        <w:tab/>
        <w:t xml:space="preserve">The person mentioned in column 1 of the following table must pay a fee </w:t>
      </w:r>
      <w:r w:rsidR="00AE1EC9">
        <w:rPr>
          <w:shd w:val="clear" w:color="auto" w:fill="FFFFFF"/>
        </w:rPr>
        <w:t xml:space="preserve">to the Commonwealth </w:t>
      </w:r>
      <w:r>
        <w:rPr>
          <w:shd w:val="clear" w:color="auto" w:fill="FFFFFF"/>
        </w:rPr>
        <w:t>in accordance with column 2 of the table.</w:t>
      </w:r>
    </w:p>
    <w:p w14:paraId="6AE60AF9" w14:textId="77777777" w:rsidR="001D0E41" w:rsidRDefault="001D0E41" w:rsidP="001D0E41">
      <w:pPr>
        <w:pStyle w:val="subsection"/>
      </w:pPr>
      <w:r>
        <w:tab/>
        <w:t>(2)</w:t>
      </w:r>
      <w:r>
        <w:tab/>
        <w:t xml:space="preserve">The fee is due and payable at the time the application mentioned in column 1 is made. </w:t>
      </w:r>
    </w:p>
    <w:p w14:paraId="163FD810" w14:textId="77777777" w:rsidR="008F7123" w:rsidRDefault="008F7123" w:rsidP="008F7123">
      <w:pPr>
        <w:pStyle w:val="notetext"/>
      </w:pPr>
      <w:r>
        <w:t>Note:</w:t>
      </w:r>
      <w:r>
        <w:tab/>
        <w:t xml:space="preserve">Subparagraph 159(2)(b)(ii) requires an application for a reimportation import approval to be accompanied by the application fee. The Secretary may refuse to consider the application if the person does not pay the fee (see paragraph 161(a)). </w:t>
      </w:r>
    </w:p>
    <w:p w14:paraId="2A509CFB" w14:textId="77777777" w:rsidR="003E059C" w:rsidRDefault="003E059C" w:rsidP="003E059C">
      <w:pPr>
        <w:pStyle w:val="Item"/>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699"/>
        <w:gridCol w:w="3969"/>
      </w:tblGrid>
      <w:tr w:rsidR="003E059C" w:rsidRPr="00905BBB" w14:paraId="1578C8EC" w14:textId="77777777" w:rsidTr="0010212B">
        <w:trPr>
          <w:tblHeader/>
        </w:trPr>
        <w:tc>
          <w:tcPr>
            <w:tcW w:w="8382" w:type="dxa"/>
            <w:gridSpan w:val="3"/>
            <w:tcBorders>
              <w:top w:val="single" w:sz="12" w:space="0" w:color="auto"/>
              <w:bottom w:val="single" w:sz="2" w:space="0" w:color="auto"/>
            </w:tcBorders>
            <w:shd w:val="clear" w:color="auto" w:fill="auto"/>
          </w:tcPr>
          <w:p w14:paraId="71A30161" w14:textId="77777777" w:rsidR="003E059C" w:rsidRPr="00905BBB" w:rsidRDefault="00BD638B" w:rsidP="00BD638B">
            <w:pPr>
              <w:pStyle w:val="TableHeading"/>
            </w:pPr>
            <w:r>
              <w:t xml:space="preserve">Reimportation </w:t>
            </w:r>
            <w:r w:rsidR="003E059C">
              <w:t>import approval applications—w</w:t>
            </w:r>
            <w:r w:rsidR="003E059C" w:rsidRPr="00905BBB">
              <w:t>hen fees are payable</w:t>
            </w:r>
            <w:r w:rsidR="003E059C">
              <w:t xml:space="preserve"> </w:t>
            </w:r>
          </w:p>
        </w:tc>
      </w:tr>
      <w:tr w:rsidR="003E059C" w:rsidRPr="00905BBB" w14:paraId="1F08DF55" w14:textId="77777777" w:rsidTr="0010212B">
        <w:trPr>
          <w:tblHeader/>
        </w:trPr>
        <w:tc>
          <w:tcPr>
            <w:tcW w:w="714" w:type="dxa"/>
            <w:tcBorders>
              <w:top w:val="single" w:sz="2" w:space="0" w:color="auto"/>
              <w:bottom w:val="single" w:sz="12" w:space="0" w:color="auto"/>
            </w:tcBorders>
            <w:shd w:val="clear" w:color="auto" w:fill="auto"/>
          </w:tcPr>
          <w:p w14:paraId="55C0C1C0" w14:textId="77777777" w:rsidR="003E059C" w:rsidRPr="00905BBB" w:rsidRDefault="003E059C" w:rsidP="0010212B">
            <w:pPr>
              <w:pStyle w:val="TableHeading"/>
            </w:pPr>
            <w:r w:rsidRPr="00905BBB">
              <w:t>Item</w:t>
            </w:r>
          </w:p>
        </w:tc>
        <w:tc>
          <w:tcPr>
            <w:tcW w:w="3699" w:type="dxa"/>
            <w:tcBorders>
              <w:top w:val="single" w:sz="2" w:space="0" w:color="auto"/>
              <w:bottom w:val="single" w:sz="12" w:space="0" w:color="auto"/>
            </w:tcBorders>
            <w:shd w:val="clear" w:color="auto" w:fill="auto"/>
          </w:tcPr>
          <w:p w14:paraId="5ED5CF8B" w14:textId="77777777" w:rsidR="003E059C" w:rsidRPr="00905BBB" w:rsidRDefault="003E059C" w:rsidP="0010212B">
            <w:pPr>
              <w:pStyle w:val="TableHeading"/>
            </w:pPr>
            <w:r w:rsidRPr="00905BBB">
              <w:t>Column 1</w:t>
            </w:r>
          </w:p>
          <w:p w14:paraId="4B87FDCF" w14:textId="77777777" w:rsidR="003E059C" w:rsidRPr="00905BBB" w:rsidRDefault="003E059C" w:rsidP="0010212B">
            <w:pPr>
              <w:pStyle w:val="TableHeading"/>
            </w:pPr>
            <w:r w:rsidRPr="00905BBB">
              <w:t>This person …</w:t>
            </w:r>
          </w:p>
        </w:tc>
        <w:tc>
          <w:tcPr>
            <w:tcW w:w="3969" w:type="dxa"/>
            <w:tcBorders>
              <w:top w:val="single" w:sz="2" w:space="0" w:color="auto"/>
              <w:bottom w:val="single" w:sz="12" w:space="0" w:color="auto"/>
            </w:tcBorders>
            <w:shd w:val="clear" w:color="auto" w:fill="auto"/>
          </w:tcPr>
          <w:p w14:paraId="3B20C0C5" w14:textId="77777777" w:rsidR="003E059C" w:rsidRPr="00905BBB" w:rsidRDefault="003E059C" w:rsidP="0010212B">
            <w:pPr>
              <w:pStyle w:val="TableHeading"/>
            </w:pPr>
            <w:r w:rsidRPr="00905BBB">
              <w:t>Column 2</w:t>
            </w:r>
          </w:p>
          <w:p w14:paraId="729025D9" w14:textId="77777777" w:rsidR="003E059C" w:rsidRPr="00905BBB" w:rsidRDefault="003E059C" w:rsidP="0010212B">
            <w:pPr>
              <w:pStyle w:val="TableHeading"/>
            </w:pPr>
            <w:r w:rsidRPr="00905BBB">
              <w:t xml:space="preserve">must pay </w:t>
            </w:r>
            <w:r>
              <w:t>the following</w:t>
            </w:r>
            <w:r w:rsidRPr="00905BBB">
              <w:t xml:space="preserve"> fee …</w:t>
            </w:r>
          </w:p>
        </w:tc>
      </w:tr>
      <w:tr w:rsidR="003E059C" w:rsidRPr="00905BBB" w14:paraId="56E3E23D" w14:textId="77777777" w:rsidTr="0010212B">
        <w:tc>
          <w:tcPr>
            <w:tcW w:w="714" w:type="dxa"/>
            <w:tcBorders>
              <w:bottom w:val="single" w:sz="12" w:space="0" w:color="auto"/>
            </w:tcBorders>
            <w:shd w:val="clear" w:color="auto" w:fill="auto"/>
          </w:tcPr>
          <w:p w14:paraId="326C9021" w14:textId="77777777" w:rsidR="003E059C" w:rsidRPr="00905BBB" w:rsidRDefault="003E059C" w:rsidP="0010212B">
            <w:pPr>
              <w:pStyle w:val="Tabletext"/>
            </w:pPr>
            <w:r>
              <w:t>1</w:t>
            </w:r>
          </w:p>
        </w:tc>
        <w:tc>
          <w:tcPr>
            <w:tcW w:w="3699" w:type="dxa"/>
            <w:tcBorders>
              <w:bottom w:val="single" w:sz="12" w:space="0" w:color="auto"/>
            </w:tcBorders>
            <w:shd w:val="clear" w:color="auto" w:fill="auto"/>
          </w:tcPr>
          <w:p w14:paraId="09E20A13" w14:textId="77777777" w:rsidR="003E059C" w:rsidRPr="00905BBB" w:rsidRDefault="003E059C" w:rsidP="007E3737">
            <w:pPr>
              <w:pStyle w:val="Tabletext"/>
            </w:pPr>
            <w:r>
              <w:t xml:space="preserve">a person who </w:t>
            </w:r>
            <w:r w:rsidR="007E3737">
              <w:t>applies</w:t>
            </w:r>
            <w:r>
              <w:t xml:space="preserve"> for </w:t>
            </w:r>
            <w:r w:rsidR="007E3737">
              <w:t xml:space="preserve">a </w:t>
            </w:r>
            <w:r w:rsidR="00BD638B">
              <w:t xml:space="preserve">reimportation </w:t>
            </w:r>
            <w:r>
              <w:t>import approval</w:t>
            </w:r>
          </w:p>
        </w:tc>
        <w:tc>
          <w:tcPr>
            <w:tcW w:w="3969" w:type="dxa"/>
            <w:tcBorders>
              <w:bottom w:val="single" w:sz="12" w:space="0" w:color="auto"/>
            </w:tcBorders>
            <w:shd w:val="clear" w:color="auto" w:fill="auto"/>
          </w:tcPr>
          <w:p w14:paraId="3FA92457" w14:textId="77777777" w:rsidR="003E059C" w:rsidRPr="00905BBB" w:rsidRDefault="002A4967" w:rsidP="0010212B">
            <w:pPr>
              <w:pStyle w:val="Tabletext"/>
            </w:pPr>
            <w:r>
              <w:t>$40</w:t>
            </w:r>
          </w:p>
        </w:tc>
      </w:tr>
    </w:tbl>
    <w:p w14:paraId="7F6B26AE" w14:textId="77777777" w:rsidR="00A5327B" w:rsidRPr="007E5C14" w:rsidRDefault="00A5327B" w:rsidP="00A5327B">
      <w:pPr>
        <w:pStyle w:val="ActHead3"/>
      </w:pPr>
      <w:r w:rsidRPr="003842A0">
        <w:rPr>
          <w:rStyle w:val="CharDivNo"/>
        </w:rPr>
        <w:t>Division</w:t>
      </w:r>
      <w:r>
        <w:rPr>
          <w:rStyle w:val="CharDivNo"/>
        </w:rPr>
        <w:t xml:space="preserve"> 11</w:t>
      </w:r>
      <w:r w:rsidRPr="002E0CD2">
        <w:t>—</w:t>
      </w:r>
      <w:r>
        <w:rPr>
          <w:rStyle w:val="CharDivText"/>
        </w:rPr>
        <w:t>Fees: road vehicle component type approvals</w:t>
      </w:r>
    </w:p>
    <w:p w14:paraId="4CB7F053" w14:textId="77777777" w:rsidR="00A5327B" w:rsidRDefault="00900023" w:rsidP="00A5327B">
      <w:pPr>
        <w:pStyle w:val="ActHead5"/>
      </w:pPr>
      <w:bookmarkStart w:id="42" w:name="_Toc27580658"/>
      <w:bookmarkStart w:id="43" w:name="_Toc27647428"/>
      <w:r>
        <w:rPr>
          <w:rStyle w:val="CharSectno"/>
        </w:rPr>
        <w:t>250</w:t>
      </w:r>
      <w:r w:rsidRPr="002E0CD2">
        <w:t xml:space="preserve">  </w:t>
      </w:r>
      <w:r w:rsidR="00A5327B">
        <w:t>Road vehicle component type approvals—when fees are payable</w:t>
      </w:r>
      <w:bookmarkEnd w:id="42"/>
      <w:bookmarkEnd w:id="43"/>
      <w:r w:rsidR="00A5327B">
        <w:t xml:space="preserve"> </w:t>
      </w:r>
    </w:p>
    <w:p w14:paraId="478B7798" w14:textId="77777777" w:rsidR="0040352E" w:rsidRDefault="0040352E" w:rsidP="0040352E">
      <w:pPr>
        <w:pStyle w:val="subsection"/>
        <w:rPr>
          <w:shd w:val="clear" w:color="auto" w:fill="FFFFFF"/>
        </w:rPr>
      </w:pPr>
      <w:r>
        <w:rPr>
          <w:shd w:val="clear" w:color="auto" w:fill="FFFFFF"/>
        </w:rPr>
        <w:tab/>
        <w:t>(1)</w:t>
      </w:r>
      <w:r>
        <w:rPr>
          <w:shd w:val="clear" w:color="auto" w:fill="FFFFFF"/>
        </w:rPr>
        <w:tab/>
        <w:t xml:space="preserve">The person mentioned in column 1 of the following table must pay a fee </w:t>
      </w:r>
      <w:r w:rsidR="00AE1EC9">
        <w:rPr>
          <w:shd w:val="clear" w:color="auto" w:fill="FFFFFF"/>
        </w:rPr>
        <w:t xml:space="preserve">to the Commonwealth </w:t>
      </w:r>
      <w:r>
        <w:rPr>
          <w:shd w:val="clear" w:color="auto" w:fill="FFFFFF"/>
        </w:rPr>
        <w:t>in accordance with column 2 of the table.</w:t>
      </w:r>
    </w:p>
    <w:p w14:paraId="4C77DB15" w14:textId="77777777" w:rsidR="001D0E41" w:rsidRDefault="001D0E41" w:rsidP="001D0E41">
      <w:pPr>
        <w:pStyle w:val="subsection"/>
      </w:pPr>
      <w:r>
        <w:tab/>
        <w:t>(2)</w:t>
      </w:r>
      <w:r>
        <w:tab/>
        <w:t xml:space="preserve">The fee is due and payable at the time the application mentioned in column 1 is made. </w:t>
      </w:r>
    </w:p>
    <w:p w14:paraId="2D1C9ECE" w14:textId="77777777" w:rsidR="0040352E" w:rsidRDefault="0040352E" w:rsidP="0040352E">
      <w:pPr>
        <w:pStyle w:val="notetext"/>
      </w:pPr>
      <w:r>
        <w:t>Note:</w:t>
      </w:r>
      <w:r>
        <w:tab/>
        <w:t xml:space="preserve">Subparagraph 174(2)(b)(ii) requires an application for a road vehicle component type approval to be accompanied by the application fee. The Secretary may refuse to consider the application if the person does not pay the fee (see paragraph 176(a)). </w:t>
      </w:r>
    </w:p>
    <w:p w14:paraId="3E050713" w14:textId="77777777" w:rsidR="00A5327B" w:rsidRDefault="00A5327B" w:rsidP="00A5327B">
      <w:pPr>
        <w:pStyle w:val="Item"/>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699"/>
        <w:gridCol w:w="3969"/>
      </w:tblGrid>
      <w:tr w:rsidR="00A5327B" w:rsidRPr="00905BBB" w14:paraId="62EE1025" w14:textId="77777777" w:rsidTr="0010212B">
        <w:trPr>
          <w:tblHeader/>
        </w:trPr>
        <w:tc>
          <w:tcPr>
            <w:tcW w:w="8382" w:type="dxa"/>
            <w:gridSpan w:val="3"/>
            <w:tcBorders>
              <w:top w:val="single" w:sz="12" w:space="0" w:color="auto"/>
              <w:bottom w:val="single" w:sz="2" w:space="0" w:color="auto"/>
            </w:tcBorders>
            <w:shd w:val="clear" w:color="auto" w:fill="auto"/>
          </w:tcPr>
          <w:p w14:paraId="61ED2D41" w14:textId="77777777" w:rsidR="00A5327B" w:rsidRPr="00905BBB" w:rsidRDefault="00A5327B" w:rsidP="0010212B">
            <w:pPr>
              <w:pStyle w:val="TableHeading"/>
            </w:pPr>
            <w:r>
              <w:t>Road vehicle component type approval applications—w</w:t>
            </w:r>
            <w:r w:rsidRPr="00905BBB">
              <w:t>hen fees are payable</w:t>
            </w:r>
            <w:r>
              <w:t xml:space="preserve"> </w:t>
            </w:r>
          </w:p>
        </w:tc>
      </w:tr>
      <w:tr w:rsidR="00A5327B" w:rsidRPr="00905BBB" w14:paraId="63FB44E8" w14:textId="77777777" w:rsidTr="0010212B">
        <w:trPr>
          <w:tblHeader/>
        </w:trPr>
        <w:tc>
          <w:tcPr>
            <w:tcW w:w="714" w:type="dxa"/>
            <w:tcBorders>
              <w:top w:val="single" w:sz="2" w:space="0" w:color="auto"/>
              <w:bottom w:val="single" w:sz="12" w:space="0" w:color="auto"/>
            </w:tcBorders>
            <w:shd w:val="clear" w:color="auto" w:fill="auto"/>
          </w:tcPr>
          <w:p w14:paraId="61EE4D1B" w14:textId="77777777" w:rsidR="00A5327B" w:rsidRPr="00905BBB" w:rsidRDefault="00A5327B" w:rsidP="0010212B">
            <w:pPr>
              <w:pStyle w:val="TableHeading"/>
            </w:pPr>
            <w:r w:rsidRPr="00905BBB">
              <w:t>Item</w:t>
            </w:r>
          </w:p>
        </w:tc>
        <w:tc>
          <w:tcPr>
            <w:tcW w:w="3699" w:type="dxa"/>
            <w:tcBorders>
              <w:top w:val="single" w:sz="2" w:space="0" w:color="auto"/>
              <w:bottom w:val="single" w:sz="12" w:space="0" w:color="auto"/>
            </w:tcBorders>
            <w:shd w:val="clear" w:color="auto" w:fill="auto"/>
          </w:tcPr>
          <w:p w14:paraId="0E10F3B5" w14:textId="77777777" w:rsidR="00A5327B" w:rsidRPr="00905BBB" w:rsidRDefault="00A5327B" w:rsidP="0010212B">
            <w:pPr>
              <w:pStyle w:val="TableHeading"/>
            </w:pPr>
            <w:r w:rsidRPr="00905BBB">
              <w:t>Column 1</w:t>
            </w:r>
          </w:p>
          <w:p w14:paraId="3B6213A3" w14:textId="77777777" w:rsidR="00A5327B" w:rsidRPr="00905BBB" w:rsidRDefault="00A5327B" w:rsidP="0010212B">
            <w:pPr>
              <w:pStyle w:val="TableHeading"/>
            </w:pPr>
            <w:r w:rsidRPr="00905BBB">
              <w:t>This person …</w:t>
            </w:r>
          </w:p>
        </w:tc>
        <w:tc>
          <w:tcPr>
            <w:tcW w:w="3969" w:type="dxa"/>
            <w:tcBorders>
              <w:top w:val="single" w:sz="2" w:space="0" w:color="auto"/>
              <w:bottom w:val="single" w:sz="12" w:space="0" w:color="auto"/>
            </w:tcBorders>
            <w:shd w:val="clear" w:color="auto" w:fill="auto"/>
          </w:tcPr>
          <w:p w14:paraId="3C98267D" w14:textId="77777777" w:rsidR="00A5327B" w:rsidRPr="00905BBB" w:rsidRDefault="00A5327B" w:rsidP="0010212B">
            <w:pPr>
              <w:pStyle w:val="TableHeading"/>
            </w:pPr>
            <w:r w:rsidRPr="00905BBB">
              <w:t>Column 2</w:t>
            </w:r>
          </w:p>
          <w:p w14:paraId="34094DD2" w14:textId="77777777" w:rsidR="00A5327B" w:rsidRPr="00905BBB" w:rsidRDefault="00A5327B" w:rsidP="0010212B">
            <w:pPr>
              <w:pStyle w:val="TableHeading"/>
            </w:pPr>
            <w:r w:rsidRPr="00905BBB">
              <w:t xml:space="preserve">must pay </w:t>
            </w:r>
            <w:r>
              <w:t>the following</w:t>
            </w:r>
            <w:r w:rsidRPr="00905BBB">
              <w:t xml:space="preserve"> fee …</w:t>
            </w:r>
          </w:p>
        </w:tc>
      </w:tr>
      <w:tr w:rsidR="00A5327B" w:rsidRPr="00905BBB" w14:paraId="42311803" w14:textId="77777777" w:rsidTr="0010212B">
        <w:tc>
          <w:tcPr>
            <w:tcW w:w="714" w:type="dxa"/>
            <w:tcBorders>
              <w:bottom w:val="single" w:sz="12" w:space="0" w:color="auto"/>
            </w:tcBorders>
            <w:shd w:val="clear" w:color="auto" w:fill="auto"/>
          </w:tcPr>
          <w:p w14:paraId="398F6D65" w14:textId="77777777" w:rsidR="00A5327B" w:rsidRPr="00905BBB" w:rsidRDefault="00A5327B" w:rsidP="0010212B">
            <w:pPr>
              <w:pStyle w:val="Tabletext"/>
            </w:pPr>
            <w:r>
              <w:t>1</w:t>
            </w:r>
          </w:p>
        </w:tc>
        <w:tc>
          <w:tcPr>
            <w:tcW w:w="3699" w:type="dxa"/>
            <w:tcBorders>
              <w:bottom w:val="single" w:sz="12" w:space="0" w:color="auto"/>
            </w:tcBorders>
            <w:shd w:val="clear" w:color="auto" w:fill="auto"/>
          </w:tcPr>
          <w:p w14:paraId="4E6491DC" w14:textId="77777777" w:rsidR="00A5327B" w:rsidRPr="00905BBB" w:rsidRDefault="00A5327B" w:rsidP="0040352E">
            <w:pPr>
              <w:pStyle w:val="Tabletext"/>
            </w:pPr>
            <w:r>
              <w:t xml:space="preserve">a person who </w:t>
            </w:r>
            <w:r w:rsidR="0040352E">
              <w:t xml:space="preserve">applies </w:t>
            </w:r>
            <w:r>
              <w:t xml:space="preserve">for </w:t>
            </w:r>
            <w:r w:rsidR="0040352E">
              <w:t xml:space="preserve">a </w:t>
            </w:r>
            <w:r>
              <w:t xml:space="preserve">road </w:t>
            </w:r>
            <w:r w:rsidR="0040352E">
              <w:t>vehicle component type approval</w:t>
            </w:r>
            <w:r w:rsidR="00416F37">
              <w:t xml:space="preserve"> </w:t>
            </w:r>
          </w:p>
        </w:tc>
        <w:tc>
          <w:tcPr>
            <w:tcW w:w="3969" w:type="dxa"/>
            <w:tcBorders>
              <w:bottom w:val="single" w:sz="12" w:space="0" w:color="auto"/>
            </w:tcBorders>
            <w:shd w:val="clear" w:color="auto" w:fill="auto"/>
          </w:tcPr>
          <w:p w14:paraId="033C7A6B" w14:textId="77777777" w:rsidR="00A5327B" w:rsidRPr="00905BBB" w:rsidRDefault="002A4967" w:rsidP="0010212B">
            <w:pPr>
              <w:pStyle w:val="Tabletext"/>
            </w:pPr>
            <w:r>
              <w:t>$35</w:t>
            </w:r>
          </w:p>
        </w:tc>
      </w:tr>
    </w:tbl>
    <w:p w14:paraId="70730D52" w14:textId="77777777" w:rsidR="008331A1" w:rsidRPr="007E5C14" w:rsidRDefault="008331A1" w:rsidP="008331A1">
      <w:pPr>
        <w:pStyle w:val="ActHead3"/>
      </w:pPr>
      <w:r w:rsidRPr="003842A0">
        <w:rPr>
          <w:rStyle w:val="CharDivNo"/>
        </w:rPr>
        <w:t>Division</w:t>
      </w:r>
      <w:r>
        <w:rPr>
          <w:rStyle w:val="CharDivNo"/>
        </w:rPr>
        <w:t xml:space="preserve"> 12</w:t>
      </w:r>
      <w:r w:rsidRPr="002E0CD2">
        <w:t>—</w:t>
      </w:r>
      <w:r>
        <w:rPr>
          <w:rStyle w:val="CharDivText"/>
        </w:rPr>
        <w:t xml:space="preserve">Fees: </w:t>
      </w:r>
      <w:r w:rsidR="00275D2A">
        <w:rPr>
          <w:rStyle w:val="CharDivText"/>
        </w:rPr>
        <w:t xml:space="preserve">application for </w:t>
      </w:r>
      <w:r>
        <w:rPr>
          <w:rStyle w:val="CharDivText"/>
        </w:rPr>
        <w:t>a</w:t>
      </w:r>
      <w:r w:rsidR="00275D2A">
        <w:rPr>
          <w:rStyle w:val="CharDivText"/>
        </w:rPr>
        <w:t>dvisory notice</w:t>
      </w:r>
    </w:p>
    <w:p w14:paraId="08D2F8A8" w14:textId="77777777" w:rsidR="008331A1" w:rsidRDefault="00900023" w:rsidP="008331A1">
      <w:pPr>
        <w:pStyle w:val="ActHead5"/>
      </w:pPr>
      <w:bookmarkStart w:id="44" w:name="_Toc27580659"/>
      <w:bookmarkStart w:id="45" w:name="_Toc27647429"/>
      <w:r>
        <w:rPr>
          <w:rStyle w:val="CharSectno"/>
        </w:rPr>
        <w:t>251</w:t>
      </w:r>
      <w:r w:rsidRPr="002E0CD2">
        <w:t xml:space="preserve">  </w:t>
      </w:r>
      <w:r w:rsidR="008331A1">
        <w:t>Advisory notices—when fees are payable</w:t>
      </w:r>
      <w:bookmarkEnd w:id="44"/>
      <w:bookmarkEnd w:id="45"/>
      <w:r w:rsidR="008331A1">
        <w:t xml:space="preserve"> </w:t>
      </w:r>
    </w:p>
    <w:p w14:paraId="2099EDDF" w14:textId="77777777" w:rsidR="00B9608F" w:rsidRDefault="00B9608F" w:rsidP="00B9608F">
      <w:pPr>
        <w:pStyle w:val="subsection"/>
        <w:rPr>
          <w:shd w:val="clear" w:color="auto" w:fill="FFFFFF"/>
        </w:rPr>
      </w:pPr>
      <w:r>
        <w:rPr>
          <w:shd w:val="clear" w:color="auto" w:fill="FFFFFF"/>
        </w:rPr>
        <w:tab/>
        <w:t>(1)</w:t>
      </w:r>
      <w:r>
        <w:rPr>
          <w:shd w:val="clear" w:color="auto" w:fill="FFFFFF"/>
        </w:rPr>
        <w:tab/>
        <w:t xml:space="preserve">The person mentioned in column 1 of the following table must pay a fee </w:t>
      </w:r>
      <w:r w:rsidR="00AE1EC9">
        <w:rPr>
          <w:shd w:val="clear" w:color="auto" w:fill="FFFFFF"/>
        </w:rPr>
        <w:t xml:space="preserve">to the Commonwealth </w:t>
      </w:r>
      <w:r>
        <w:rPr>
          <w:shd w:val="clear" w:color="auto" w:fill="FFFFFF"/>
        </w:rPr>
        <w:t>in accordance with column 2 of the table.</w:t>
      </w:r>
    </w:p>
    <w:p w14:paraId="4C473743" w14:textId="77777777" w:rsidR="001D0E41" w:rsidRDefault="001D0E41" w:rsidP="001D0E41">
      <w:pPr>
        <w:pStyle w:val="subsection"/>
      </w:pPr>
      <w:r>
        <w:tab/>
        <w:t>(2)</w:t>
      </w:r>
      <w:r>
        <w:tab/>
        <w:t xml:space="preserve">The fee is due and payable at the time the application mentioned in column 1 is made. </w:t>
      </w:r>
    </w:p>
    <w:p w14:paraId="631FE878" w14:textId="77777777" w:rsidR="00B9608F" w:rsidRDefault="00B9608F" w:rsidP="00B9608F">
      <w:pPr>
        <w:pStyle w:val="notetext"/>
      </w:pPr>
      <w:r>
        <w:lastRenderedPageBreak/>
        <w:t>Note:</w:t>
      </w:r>
      <w:r>
        <w:tab/>
        <w:t>Subparagraph 233(2)(b)(ii) requires an application for an advisory notice to be accompanied by the application fee. The Secretary may refuse to consider the application if the person does not pay the fee (see subsection 233(4)</w:t>
      </w:r>
      <w:r w:rsidR="00282F4E">
        <w:t>).</w:t>
      </w:r>
    </w:p>
    <w:p w14:paraId="5A262958" w14:textId="77777777" w:rsidR="008331A1" w:rsidRDefault="008331A1" w:rsidP="008331A1">
      <w:pPr>
        <w:pStyle w:val="Item"/>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699"/>
        <w:gridCol w:w="3969"/>
      </w:tblGrid>
      <w:tr w:rsidR="008331A1" w:rsidRPr="00905BBB" w14:paraId="600960A4" w14:textId="77777777" w:rsidTr="0010212B">
        <w:trPr>
          <w:tblHeader/>
        </w:trPr>
        <w:tc>
          <w:tcPr>
            <w:tcW w:w="8382" w:type="dxa"/>
            <w:gridSpan w:val="3"/>
            <w:tcBorders>
              <w:top w:val="single" w:sz="12" w:space="0" w:color="auto"/>
              <w:bottom w:val="single" w:sz="2" w:space="0" w:color="auto"/>
            </w:tcBorders>
            <w:shd w:val="clear" w:color="auto" w:fill="auto"/>
          </w:tcPr>
          <w:p w14:paraId="050D0870" w14:textId="77777777" w:rsidR="008331A1" w:rsidRPr="00905BBB" w:rsidRDefault="00275D2A" w:rsidP="0010212B">
            <w:pPr>
              <w:pStyle w:val="TableHeading"/>
            </w:pPr>
            <w:r>
              <w:t>Applications for advisory notices</w:t>
            </w:r>
            <w:r w:rsidR="008331A1">
              <w:t>—w</w:t>
            </w:r>
            <w:r w:rsidR="008331A1" w:rsidRPr="00905BBB">
              <w:t>hen fees are payable</w:t>
            </w:r>
            <w:r w:rsidR="008331A1">
              <w:t xml:space="preserve"> </w:t>
            </w:r>
          </w:p>
        </w:tc>
      </w:tr>
      <w:tr w:rsidR="008331A1" w:rsidRPr="00905BBB" w14:paraId="056BF2DA" w14:textId="77777777" w:rsidTr="0010212B">
        <w:trPr>
          <w:tblHeader/>
        </w:trPr>
        <w:tc>
          <w:tcPr>
            <w:tcW w:w="714" w:type="dxa"/>
            <w:tcBorders>
              <w:top w:val="single" w:sz="2" w:space="0" w:color="auto"/>
              <w:bottom w:val="single" w:sz="12" w:space="0" w:color="auto"/>
            </w:tcBorders>
            <w:shd w:val="clear" w:color="auto" w:fill="auto"/>
          </w:tcPr>
          <w:p w14:paraId="62CD5702" w14:textId="77777777" w:rsidR="008331A1" w:rsidRPr="00905BBB" w:rsidRDefault="008331A1" w:rsidP="0010212B">
            <w:pPr>
              <w:pStyle w:val="TableHeading"/>
            </w:pPr>
            <w:r w:rsidRPr="00905BBB">
              <w:t>Item</w:t>
            </w:r>
          </w:p>
        </w:tc>
        <w:tc>
          <w:tcPr>
            <w:tcW w:w="3699" w:type="dxa"/>
            <w:tcBorders>
              <w:top w:val="single" w:sz="2" w:space="0" w:color="auto"/>
              <w:bottom w:val="single" w:sz="12" w:space="0" w:color="auto"/>
            </w:tcBorders>
            <w:shd w:val="clear" w:color="auto" w:fill="auto"/>
          </w:tcPr>
          <w:p w14:paraId="7A8FC2FC" w14:textId="77777777" w:rsidR="008331A1" w:rsidRPr="00905BBB" w:rsidRDefault="008331A1" w:rsidP="0010212B">
            <w:pPr>
              <w:pStyle w:val="TableHeading"/>
            </w:pPr>
            <w:r w:rsidRPr="00905BBB">
              <w:t>Column 1</w:t>
            </w:r>
          </w:p>
          <w:p w14:paraId="783846E3" w14:textId="77777777" w:rsidR="008331A1" w:rsidRPr="00905BBB" w:rsidRDefault="008331A1" w:rsidP="0010212B">
            <w:pPr>
              <w:pStyle w:val="TableHeading"/>
            </w:pPr>
            <w:r w:rsidRPr="00905BBB">
              <w:t>This person …</w:t>
            </w:r>
          </w:p>
        </w:tc>
        <w:tc>
          <w:tcPr>
            <w:tcW w:w="3969" w:type="dxa"/>
            <w:tcBorders>
              <w:top w:val="single" w:sz="2" w:space="0" w:color="auto"/>
              <w:bottom w:val="single" w:sz="12" w:space="0" w:color="auto"/>
            </w:tcBorders>
            <w:shd w:val="clear" w:color="auto" w:fill="auto"/>
          </w:tcPr>
          <w:p w14:paraId="220470B9" w14:textId="77777777" w:rsidR="008331A1" w:rsidRPr="00905BBB" w:rsidRDefault="008331A1" w:rsidP="0010212B">
            <w:pPr>
              <w:pStyle w:val="TableHeading"/>
            </w:pPr>
            <w:r w:rsidRPr="00905BBB">
              <w:t>Column 2</w:t>
            </w:r>
          </w:p>
          <w:p w14:paraId="1F651F3C" w14:textId="77777777" w:rsidR="008331A1" w:rsidRPr="00905BBB" w:rsidRDefault="008331A1" w:rsidP="0010212B">
            <w:pPr>
              <w:pStyle w:val="TableHeading"/>
            </w:pPr>
            <w:r w:rsidRPr="00905BBB">
              <w:t xml:space="preserve">must pay </w:t>
            </w:r>
            <w:r>
              <w:t>the following</w:t>
            </w:r>
            <w:r w:rsidRPr="00905BBB">
              <w:t xml:space="preserve"> fee …</w:t>
            </w:r>
          </w:p>
        </w:tc>
      </w:tr>
      <w:tr w:rsidR="008331A1" w:rsidRPr="00905BBB" w14:paraId="3A8EE9D6" w14:textId="77777777" w:rsidTr="0010212B">
        <w:tc>
          <w:tcPr>
            <w:tcW w:w="714" w:type="dxa"/>
            <w:tcBorders>
              <w:bottom w:val="single" w:sz="12" w:space="0" w:color="auto"/>
            </w:tcBorders>
            <w:shd w:val="clear" w:color="auto" w:fill="auto"/>
          </w:tcPr>
          <w:p w14:paraId="19505590" w14:textId="77777777" w:rsidR="008331A1" w:rsidRPr="00905BBB" w:rsidRDefault="008331A1" w:rsidP="0010212B">
            <w:pPr>
              <w:pStyle w:val="Tabletext"/>
            </w:pPr>
            <w:r>
              <w:t>1</w:t>
            </w:r>
          </w:p>
        </w:tc>
        <w:tc>
          <w:tcPr>
            <w:tcW w:w="3699" w:type="dxa"/>
            <w:tcBorders>
              <w:bottom w:val="single" w:sz="12" w:space="0" w:color="auto"/>
            </w:tcBorders>
            <w:shd w:val="clear" w:color="auto" w:fill="auto"/>
          </w:tcPr>
          <w:p w14:paraId="39EF29EA" w14:textId="77777777" w:rsidR="008331A1" w:rsidRPr="00905BBB" w:rsidRDefault="008331A1" w:rsidP="00B25E15">
            <w:pPr>
              <w:pStyle w:val="Tabletext"/>
            </w:pPr>
            <w:r>
              <w:t xml:space="preserve">a person </w:t>
            </w:r>
            <w:r w:rsidR="00434741">
              <w:t xml:space="preserve">who </w:t>
            </w:r>
            <w:r w:rsidR="00B25E15">
              <w:t>applies for an advisory notice that a specified thing is not a road vehicle</w:t>
            </w:r>
          </w:p>
        </w:tc>
        <w:tc>
          <w:tcPr>
            <w:tcW w:w="3969" w:type="dxa"/>
            <w:tcBorders>
              <w:bottom w:val="single" w:sz="12" w:space="0" w:color="auto"/>
            </w:tcBorders>
            <w:shd w:val="clear" w:color="auto" w:fill="auto"/>
          </w:tcPr>
          <w:p w14:paraId="2727BD1E" w14:textId="77777777" w:rsidR="008331A1" w:rsidRPr="00905BBB" w:rsidRDefault="002A4967" w:rsidP="0010212B">
            <w:pPr>
              <w:pStyle w:val="Tabletext"/>
            </w:pPr>
            <w:r>
              <w:t>$55</w:t>
            </w:r>
          </w:p>
        </w:tc>
      </w:tr>
    </w:tbl>
    <w:p w14:paraId="17AD8A97" w14:textId="77777777" w:rsidR="00ED481B" w:rsidRPr="007E5C14" w:rsidRDefault="00ED481B" w:rsidP="00ED481B">
      <w:pPr>
        <w:pStyle w:val="ActHead3"/>
      </w:pPr>
      <w:r w:rsidRPr="003842A0">
        <w:rPr>
          <w:rStyle w:val="CharDivNo"/>
        </w:rPr>
        <w:t>Division</w:t>
      </w:r>
      <w:r>
        <w:rPr>
          <w:rStyle w:val="CharDivNo"/>
        </w:rPr>
        <w:t xml:space="preserve"> 1</w:t>
      </w:r>
      <w:r w:rsidR="008331A1">
        <w:rPr>
          <w:rStyle w:val="CharDivNo"/>
        </w:rPr>
        <w:t>3</w:t>
      </w:r>
      <w:r w:rsidRPr="002E0CD2">
        <w:t>—</w:t>
      </w:r>
      <w:r>
        <w:rPr>
          <w:rStyle w:val="CharDivText"/>
        </w:rPr>
        <w:t xml:space="preserve">Fees: </w:t>
      </w:r>
      <w:r w:rsidR="008B0219">
        <w:rPr>
          <w:rStyle w:val="CharDivText"/>
        </w:rPr>
        <w:t xml:space="preserve">variation of </w:t>
      </w:r>
      <w:r>
        <w:rPr>
          <w:rStyle w:val="CharDivText"/>
        </w:rPr>
        <w:t>approvals</w:t>
      </w:r>
    </w:p>
    <w:p w14:paraId="77AA8025" w14:textId="77777777" w:rsidR="00ED481B" w:rsidRDefault="00900023" w:rsidP="00ED481B">
      <w:pPr>
        <w:pStyle w:val="ActHead5"/>
      </w:pPr>
      <w:bookmarkStart w:id="46" w:name="_Toc27580660"/>
      <w:bookmarkStart w:id="47" w:name="_Toc27647430"/>
      <w:r>
        <w:rPr>
          <w:rStyle w:val="CharSectno"/>
        </w:rPr>
        <w:t>252</w:t>
      </w:r>
      <w:r w:rsidRPr="002E0CD2">
        <w:t xml:space="preserve">  </w:t>
      </w:r>
      <w:r w:rsidR="008B0219">
        <w:t>Variation of</w:t>
      </w:r>
      <w:r w:rsidR="00ED481B">
        <w:t xml:space="preserve"> approvals—when fees are payable</w:t>
      </w:r>
      <w:bookmarkEnd w:id="46"/>
      <w:bookmarkEnd w:id="47"/>
      <w:r w:rsidR="00ED481B">
        <w:t xml:space="preserve"> </w:t>
      </w:r>
    </w:p>
    <w:p w14:paraId="6302FB9B" w14:textId="77777777" w:rsidR="00ED481B" w:rsidRPr="00065D48" w:rsidRDefault="00ED481B" w:rsidP="00ED481B">
      <w:pPr>
        <w:pStyle w:val="subsection"/>
        <w:rPr>
          <w:shd w:val="clear" w:color="auto" w:fill="FFFFFF"/>
        </w:rPr>
      </w:pPr>
      <w:r>
        <w:rPr>
          <w:shd w:val="clear" w:color="auto" w:fill="FFFFFF"/>
        </w:rPr>
        <w:tab/>
      </w:r>
      <w:r w:rsidR="00D45607">
        <w:rPr>
          <w:shd w:val="clear" w:color="auto" w:fill="FFFFFF"/>
        </w:rPr>
        <w:t>(1)</w:t>
      </w:r>
      <w:r>
        <w:rPr>
          <w:shd w:val="clear" w:color="auto" w:fill="FFFFFF"/>
        </w:rPr>
        <w:tab/>
        <w:t xml:space="preserve">The person mentioned in column 1 of the following table must pay a fee </w:t>
      </w:r>
      <w:r w:rsidR="00AE1EC9">
        <w:rPr>
          <w:shd w:val="clear" w:color="auto" w:fill="FFFFFF"/>
        </w:rPr>
        <w:t xml:space="preserve">to the Commonwealth </w:t>
      </w:r>
      <w:r>
        <w:rPr>
          <w:shd w:val="clear" w:color="auto" w:fill="FFFFFF"/>
        </w:rPr>
        <w:t xml:space="preserve">in </w:t>
      </w:r>
      <w:r w:rsidRPr="00065D48">
        <w:rPr>
          <w:shd w:val="clear" w:color="auto" w:fill="FFFFFF"/>
        </w:rPr>
        <w:t xml:space="preserve">accordance with column 2 of the table </w:t>
      </w:r>
      <w:r w:rsidR="00212DD9" w:rsidRPr="00065D48">
        <w:rPr>
          <w:shd w:val="clear" w:color="auto" w:fill="FFFFFF"/>
        </w:rPr>
        <w:t>in relation to an application</w:t>
      </w:r>
      <w:r w:rsidR="00065D48" w:rsidRPr="00065D48">
        <w:rPr>
          <w:shd w:val="clear" w:color="auto" w:fill="FFFFFF"/>
        </w:rPr>
        <w:t xml:space="preserve"> under section 195 </w:t>
      </w:r>
      <w:r w:rsidR="00212DD9" w:rsidRPr="00065D48">
        <w:rPr>
          <w:shd w:val="clear" w:color="auto" w:fill="FFFFFF"/>
        </w:rPr>
        <w:t>for the variation of an approval</w:t>
      </w:r>
      <w:r w:rsidR="007D3341" w:rsidRPr="00065D48">
        <w:rPr>
          <w:shd w:val="clear" w:color="auto" w:fill="FFFFFF"/>
        </w:rPr>
        <w:t>, where</w:t>
      </w:r>
      <w:r w:rsidR="00212DD9" w:rsidRPr="00065D48">
        <w:rPr>
          <w:shd w:val="clear" w:color="auto" w:fill="FFFFFF"/>
        </w:rPr>
        <w:t xml:space="preserve"> the variation would</w:t>
      </w:r>
      <w:r w:rsidR="007D3341" w:rsidRPr="00065D48">
        <w:rPr>
          <w:shd w:val="clear" w:color="auto" w:fill="FFFFFF"/>
        </w:rPr>
        <w:t>:</w:t>
      </w:r>
    </w:p>
    <w:p w14:paraId="047B665E" w14:textId="77777777" w:rsidR="007D3341" w:rsidRPr="00065D48" w:rsidRDefault="007D3341" w:rsidP="007D3341">
      <w:pPr>
        <w:pStyle w:val="paragraph"/>
        <w:rPr>
          <w:shd w:val="clear" w:color="auto" w:fill="FFFFFF"/>
        </w:rPr>
      </w:pPr>
      <w:r w:rsidRPr="00065D48">
        <w:rPr>
          <w:shd w:val="clear" w:color="auto" w:fill="FFFFFF"/>
        </w:rPr>
        <w:tab/>
        <w:t>(a)</w:t>
      </w:r>
      <w:r w:rsidRPr="00065D48">
        <w:rPr>
          <w:shd w:val="clear" w:color="auto" w:fill="FFFFFF"/>
        </w:rPr>
        <w:tab/>
      </w:r>
      <w:r w:rsidR="0021290B">
        <w:rPr>
          <w:shd w:val="clear" w:color="auto" w:fill="FFFFFF"/>
        </w:rPr>
        <w:t>change</w:t>
      </w:r>
      <w:r w:rsidR="00212DD9" w:rsidRPr="00065D48">
        <w:rPr>
          <w:shd w:val="clear" w:color="auto" w:fill="FFFFFF"/>
        </w:rPr>
        <w:t xml:space="preserve"> the scope of the approva</w:t>
      </w:r>
      <w:r w:rsidR="00447BBE">
        <w:rPr>
          <w:shd w:val="clear" w:color="auto" w:fill="FFFFFF"/>
        </w:rPr>
        <w:t xml:space="preserve">l, </w:t>
      </w:r>
      <w:r w:rsidR="00722C5A">
        <w:rPr>
          <w:shd w:val="clear" w:color="auto" w:fill="FFFFFF"/>
        </w:rPr>
        <w:t xml:space="preserve">except where </w:t>
      </w:r>
      <w:r w:rsidR="00447BBE">
        <w:rPr>
          <w:shd w:val="clear" w:color="auto" w:fill="FFFFFF"/>
        </w:rPr>
        <w:t xml:space="preserve">the variation would </w:t>
      </w:r>
      <w:r w:rsidR="00A341C2">
        <w:rPr>
          <w:shd w:val="clear" w:color="auto" w:fill="FFFFFF"/>
        </w:rPr>
        <w:t xml:space="preserve">only reduce </w:t>
      </w:r>
      <w:r w:rsidR="00722C5A">
        <w:rPr>
          <w:shd w:val="clear" w:color="auto" w:fill="FFFFFF"/>
        </w:rPr>
        <w:t xml:space="preserve">the </w:t>
      </w:r>
      <w:r w:rsidR="00447BBE">
        <w:rPr>
          <w:shd w:val="clear" w:color="auto" w:fill="FFFFFF"/>
        </w:rPr>
        <w:t>scope</w:t>
      </w:r>
      <w:r w:rsidR="00722C5A">
        <w:rPr>
          <w:shd w:val="clear" w:color="auto" w:fill="FFFFFF"/>
        </w:rPr>
        <w:t xml:space="preserve"> of the approval</w:t>
      </w:r>
      <w:r w:rsidR="00212DD9" w:rsidRPr="00065D48">
        <w:rPr>
          <w:shd w:val="clear" w:color="auto" w:fill="FFFFFF"/>
        </w:rPr>
        <w:t>; or</w:t>
      </w:r>
      <w:r w:rsidR="00C47C3B" w:rsidRPr="00065D48">
        <w:rPr>
          <w:shd w:val="clear" w:color="auto" w:fill="FFFFFF"/>
        </w:rPr>
        <w:t xml:space="preserve"> </w:t>
      </w:r>
    </w:p>
    <w:p w14:paraId="0D12DDB2" w14:textId="77777777" w:rsidR="00212DD9" w:rsidRPr="00065D48" w:rsidRDefault="00212DD9" w:rsidP="007D3341">
      <w:pPr>
        <w:pStyle w:val="paragraph"/>
        <w:rPr>
          <w:shd w:val="clear" w:color="auto" w:fill="FFFFFF"/>
        </w:rPr>
      </w:pPr>
      <w:r w:rsidRPr="00065D48">
        <w:rPr>
          <w:shd w:val="clear" w:color="auto" w:fill="FFFFFF"/>
        </w:rPr>
        <w:tab/>
        <w:t>(b)</w:t>
      </w:r>
      <w:r w:rsidRPr="00065D48">
        <w:rPr>
          <w:shd w:val="clear" w:color="auto" w:fill="FFFFFF"/>
        </w:rPr>
        <w:tab/>
      </w:r>
      <w:r w:rsidR="00EA1211" w:rsidRPr="00002AA4">
        <w:rPr>
          <w:shd w:val="clear" w:color="auto" w:fill="FFFFFF"/>
        </w:rPr>
        <w:t xml:space="preserve">reduce </w:t>
      </w:r>
      <w:r w:rsidRPr="00002AA4">
        <w:rPr>
          <w:shd w:val="clear" w:color="auto" w:fill="FFFFFF"/>
        </w:rPr>
        <w:t>or</w:t>
      </w:r>
      <w:r w:rsidRPr="00065D48">
        <w:rPr>
          <w:shd w:val="clear" w:color="auto" w:fill="FFFFFF"/>
        </w:rPr>
        <w:t xml:space="preserve"> remove a restriction imposed</w:t>
      </w:r>
      <w:r w:rsidR="002073D0" w:rsidRPr="00065D48">
        <w:rPr>
          <w:shd w:val="clear" w:color="auto" w:fill="FFFFFF"/>
        </w:rPr>
        <w:t xml:space="preserve"> by a condition to which the approval is subject. </w:t>
      </w:r>
    </w:p>
    <w:p w14:paraId="27CFBC53" w14:textId="77777777" w:rsidR="00896128" w:rsidRDefault="002073D0" w:rsidP="002073D0">
      <w:pPr>
        <w:pStyle w:val="notetext"/>
        <w:rPr>
          <w:shd w:val="clear" w:color="auto" w:fill="FFFFFF"/>
        </w:rPr>
      </w:pPr>
      <w:r w:rsidRPr="00065D48">
        <w:rPr>
          <w:shd w:val="clear" w:color="auto" w:fill="FFFFFF"/>
        </w:rPr>
        <w:t>Example</w:t>
      </w:r>
      <w:r w:rsidR="00896128">
        <w:rPr>
          <w:shd w:val="clear" w:color="auto" w:fill="FFFFFF"/>
        </w:rPr>
        <w:t xml:space="preserve"> 1</w:t>
      </w:r>
      <w:r w:rsidRPr="00065D48">
        <w:rPr>
          <w:shd w:val="clear" w:color="auto" w:fill="FFFFFF"/>
        </w:rPr>
        <w:t>:</w:t>
      </w:r>
      <w:r w:rsidRPr="00065D48">
        <w:rPr>
          <w:shd w:val="clear" w:color="auto" w:fill="FFFFFF"/>
        </w:rPr>
        <w:tab/>
        <w:t xml:space="preserve">A variation would </w:t>
      </w:r>
      <w:r w:rsidR="008954A2">
        <w:rPr>
          <w:shd w:val="clear" w:color="auto" w:fill="FFFFFF"/>
        </w:rPr>
        <w:t>change</w:t>
      </w:r>
      <w:r w:rsidR="0023622D">
        <w:rPr>
          <w:shd w:val="clear" w:color="auto" w:fill="FFFFFF"/>
        </w:rPr>
        <w:t xml:space="preserve"> </w:t>
      </w:r>
      <w:r w:rsidRPr="00065D48">
        <w:rPr>
          <w:shd w:val="clear" w:color="auto" w:fill="FFFFFF"/>
        </w:rPr>
        <w:t xml:space="preserve">the scope of the approval </w:t>
      </w:r>
      <w:r w:rsidR="006040AC">
        <w:rPr>
          <w:shd w:val="clear" w:color="auto" w:fill="FFFFFF"/>
        </w:rPr>
        <w:t xml:space="preserve">(other than by reducing it) </w:t>
      </w:r>
      <w:r w:rsidRPr="00065D48">
        <w:rPr>
          <w:shd w:val="clear" w:color="auto" w:fill="FFFFFF"/>
        </w:rPr>
        <w:t>where, for instance, it added a variant to a road vehicle type approval</w:t>
      </w:r>
      <w:r w:rsidR="00896128">
        <w:rPr>
          <w:shd w:val="clear" w:color="auto" w:fill="FFFFFF"/>
        </w:rPr>
        <w:t xml:space="preserve">, or allowed the holder of a testing facility approval to conduct an additional kind of testing </w:t>
      </w:r>
      <w:r w:rsidR="00B54837">
        <w:rPr>
          <w:shd w:val="clear" w:color="auto" w:fill="FFFFFF"/>
        </w:rPr>
        <w:t>that is n</w:t>
      </w:r>
      <w:r w:rsidR="00896128">
        <w:rPr>
          <w:shd w:val="clear" w:color="auto" w:fill="FFFFFF"/>
        </w:rPr>
        <w:t>ot covered by the existing approval.</w:t>
      </w:r>
    </w:p>
    <w:p w14:paraId="67787AA4" w14:textId="77777777" w:rsidR="00B302F4" w:rsidRDefault="00B302F4" w:rsidP="002073D0">
      <w:pPr>
        <w:pStyle w:val="notetext"/>
        <w:rPr>
          <w:shd w:val="clear" w:color="auto" w:fill="FFFFFF"/>
        </w:rPr>
      </w:pPr>
      <w:r>
        <w:rPr>
          <w:shd w:val="clear" w:color="auto" w:fill="FFFFFF"/>
        </w:rPr>
        <w:t>Example 2:</w:t>
      </w:r>
      <w:r>
        <w:rPr>
          <w:shd w:val="clear" w:color="auto" w:fill="FFFFFF"/>
        </w:rPr>
        <w:tab/>
        <w:t xml:space="preserve">A variation would not change the scope of the approval where its only effect would be to update the contact details of the holder of the approval. </w:t>
      </w:r>
    </w:p>
    <w:p w14:paraId="1405D227" w14:textId="77777777" w:rsidR="001D0E41" w:rsidRDefault="001D0E41" w:rsidP="001D0E41">
      <w:pPr>
        <w:pStyle w:val="subsection"/>
      </w:pPr>
      <w:r>
        <w:tab/>
        <w:t>(2)</w:t>
      </w:r>
      <w:r>
        <w:tab/>
        <w:t xml:space="preserve">The fee is due and payable at the time the application mentioned in column 1 is made. </w:t>
      </w:r>
    </w:p>
    <w:p w14:paraId="3E5BDD36" w14:textId="77777777" w:rsidR="00F314EF" w:rsidRDefault="00F314EF" w:rsidP="00F314EF">
      <w:pPr>
        <w:pStyle w:val="notetext"/>
      </w:pPr>
      <w:r w:rsidRPr="0023622D">
        <w:t>Note:</w:t>
      </w:r>
      <w:r w:rsidRPr="0023622D">
        <w:tab/>
        <w:t>Subparagraph</w:t>
      </w:r>
      <w:r w:rsidR="00CE1891" w:rsidRPr="0023622D">
        <w:t xml:space="preserve"> 195</w:t>
      </w:r>
      <w:r w:rsidRPr="0023622D">
        <w:t>(</w:t>
      </w:r>
      <w:r w:rsidR="00CE1891" w:rsidRPr="0023622D">
        <w:t>3</w:t>
      </w:r>
      <w:r w:rsidRPr="0023622D">
        <w:t xml:space="preserve">)(b)(ii) requires an application </w:t>
      </w:r>
      <w:r w:rsidR="00CE1891" w:rsidRPr="0023622D">
        <w:t xml:space="preserve">for variation </w:t>
      </w:r>
      <w:r w:rsidR="00CE1891">
        <w:t xml:space="preserve">of an approval </w:t>
      </w:r>
      <w:r>
        <w:t>to be accompanied by the application fee. The</w:t>
      </w:r>
      <w:r w:rsidR="00CE1891">
        <w:t xml:space="preserve"> Minister or </w:t>
      </w:r>
      <w:r>
        <w:t>Secretary</w:t>
      </w:r>
      <w:r w:rsidR="00CE1891">
        <w:t xml:space="preserve">, as applicable, </w:t>
      </w:r>
      <w:r>
        <w:t xml:space="preserve">may refuse to consider the application if the person does not pay the fee (see </w:t>
      </w:r>
      <w:r w:rsidR="004302DA">
        <w:t>subsection </w:t>
      </w:r>
      <w:r w:rsidR="004E5F23">
        <w:t>195(4)).</w:t>
      </w:r>
      <w:r>
        <w:t xml:space="preserve"> </w:t>
      </w:r>
    </w:p>
    <w:p w14:paraId="65423F8D" w14:textId="77777777" w:rsidR="00ED481B" w:rsidRDefault="00ED481B" w:rsidP="00ED481B">
      <w:pPr>
        <w:pStyle w:val="Item"/>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699"/>
        <w:gridCol w:w="3969"/>
      </w:tblGrid>
      <w:tr w:rsidR="00BF088C" w:rsidRPr="00905BBB" w14:paraId="6CFBF44D" w14:textId="77777777" w:rsidTr="0010212B">
        <w:trPr>
          <w:tblHeader/>
        </w:trPr>
        <w:tc>
          <w:tcPr>
            <w:tcW w:w="8382" w:type="dxa"/>
            <w:gridSpan w:val="3"/>
            <w:tcBorders>
              <w:top w:val="single" w:sz="12" w:space="0" w:color="auto"/>
              <w:bottom w:val="single" w:sz="2" w:space="0" w:color="auto"/>
            </w:tcBorders>
            <w:shd w:val="clear" w:color="auto" w:fill="auto"/>
          </w:tcPr>
          <w:p w14:paraId="398CE362" w14:textId="77777777" w:rsidR="00BF088C" w:rsidRPr="00905BBB" w:rsidRDefault="00BF088C" w:rsidP="00BF088C">
            <w:pPr>
              <w:pStyle w:val="TableHeading"/>
            </w:pPr>
            <w:r>
              <w:t>Applications for variation of approvals—w</w:t>
            </w:r>
            <w:r w:rsidRPr="00905BBB">
              <w:t>hen fees are payable</w:t>
            </w:r>
            <w:r>
              <w:t xml:space="preserve"> </w:t>
            </w:r>
          </w:p>
        </w:tc>
      </w:tr>
      <w:tr w:rsidR="00BF088C" w:rsidRPr="00905BBB" w14:paraId="745E4A41" w14:textId="77777777" w:rsidTr="0010212B">
        <w:trPr>
          <w:tblHeader/>
        </w:trPr>
        <w:tc>
          <w:tcPr>
            <w:tcW w:w="714" w:type="dxa"/>
            <w:tcBorders>
              <w:top w:val="single" w:sz="2" w:space="0" w:color="auto"/>
              <w:bottom w:val="single" w:sz="12" w:space="0" w:color="auto"/>
            </w:tcBorders>
            <w:shd w:val="clear" w:color="auto" w:fill="auto"/>
          </w:tcPr>
          <w:p w14:paraId="18D815AD" w14:textId="77777777" w:rsidR="00BF088C" w:rsidRPr="00905BBB" w:rsidRDefault="00BF088C" w:rsidP="0010212B">
            <w:pPr>
              <w:pStyle w:val="TableHeading"/>
            </w:pPr>
            <w:r w:rsidRPr="00905BBB">
              <w:t>Item</w:t>
            </w:r>
          </w:p>
        </w:tc>
        <w:tc>
          <w:tcPr>
            <w:tcW w:w="3699" w:type="dxa"/>
            <w:tcBorders>
              <w:top w:val="single" w:sz="2" w:space="0" w:color="auto"/>
              <w:bottom w:val="single" w:sz="12" w:space="0" w:color="auto"/>
            </w:tcBorders>
            <w:shd w:val="clear" w:color="auto" w:fill="auto"/>
          </w:tcPr>
          <w:p w14:paraId="34C4504F" w14:textId="77777777" w:rsidR="00BF088C" w:rsidRPr="00905BBB" w:rsidRDefault="00BF088C" w:rsidP="0010212B">
            <w:pPr>
              <w:pStyle w:val="TableHeading"/>
            </w:pPr>
            <w:r w:rsidRPr="00905BBB">
              <w:t>Column 1</w:t>
            </w:r>
          </w:p>
          <w:p w14:paraId="6A49C4F5" w14:textId="77777777" w:rsidR="00BF088C" w:rsidRPr="00905BBB" w:rsidRDefault="00BF088C" w:rsidP="0010212B">
            <w:pPr>
              <w:pStyle w:val="TableHeading"/>
            </w:pPr>
            <w:r w:rsidRPr="00905BBB">
              <w:t>This person …</w:t>
            </w:r>
          </w:p>
        </w:tc>
        <w:tc>
          <w:tcPr>
            <w:tcW w:w="3969" w:type="dxa"/>
            <w:tcBorders>
              <w:top w:val="single" w:sz="2" w:space="0" w:color="auto"/>
              <w:bottom w:val="single" w:sz="12" w:space="0" w:color="auto"/>
            </w:tcBorders>
            <w:shd w:val="clear" w:color="auto" w:fill="auto"/>
          </w:tcPr>
          <w:p w14:paraId="2B15D82D" w14:textId="77777777" w:rsidR="00BF088C" w:rsidRPr="00905BBB" w:rsidRDefault="00BF088C" w:rsidP="0010212B">
            <w:pPr>
              <w:pStyle w:val="TableHeading"/>
            </w:pPr>
            <w:r w:rsidRPr="00905BBB">
              <w:t>Column 2</w:t>
            </w:r>
          </w:p>
          <w:p w14:paraId="001302C7" w14:textId="77777777" w:rsidR="00BF088C" w:rsidRPr="00905BBB" w:rsidRDefault="00BF088C" w:rsidP="0010212B">
            <w:pPr>
              <w:pStyle w:val="TableHeading"/>
            </w:pPr>
            <w:r w:rsidRPr="00905BBB">
              <w:t xml:space="preserve">must pay </w:t>
            </w:r>
            <w:r>
              <w:t>the following</w:t>
            </w:r>
            <w:r w:rsidRPr="00905BBB">
              <w:t xml:space="preserve"> fee …</w:t>
            </w:r>
          </w:p>
        </w:tc>
      </w:tr>
      <w:tr w:rsidR="00BF088C" w:rsidRPr="00905BBB" w14:paraId="42A08512" w14:textId="77777777" w:rsidTr="0010212B">
        <w:tc>
          <w:tcPr>
            <w:tcW w:w="714" w:type="dxa"/>
            <w:tcBorders>
              <w:top w:val="single" w:sz="12" w:space="0" w:color="auto"/>
            </w:tcBorders>
            <w:shd w:val="clear" w:color="auto" w:fill="auto"/>
          </w:tcPr>
          <w:p w14:paraId="6053A822" w14:textId="77777777" w:rsidR="00BF088C" w:rsidRPr="00905BBB" w:rsidRDefault="00BF088C" w:rsidP="0010212B">
            <w:pPr>
              <w:pStyle w:val="Tabletext"/>
            </w:pPr>
            <w:r w:rsidRPr="00905BBB">
              <w:t>1</w:t>
            </w:r>
          </w:p>
        </w:tc>
        <w:tc>
          <w:tcPr>
            <w:tcW w:w="3699" w:type="dxa"/>
            <w:tcBorders>
              <w:top w:val="single" w:sz="12" w:space="0" w:color="auto"/>
            </w:tcBorders>
            <w:shd w:val="clear" w:color="auto" w:fill="auto"/>
          </w:tcPr>
          <w:p w14:paraId="04660609" w14:textId="77777777" w:rsidR="00BF088C" w:rsidRPr="00905BBB" w:rsidRDefault="00BC2F67" w:rsidP="0010212B">
            <w:pPr>
              <w:pStyle w:val="Tabletext"/>
            </w:pPr>
            <w:r>
              <w:t xml:space="preserve">a person who applies for the variation of a </w:t>
            </w:r>
            <w:r w:rsidRPr="00BC2F67">
              <w:t>road vehicle type approval—IWVTA</w:t>
            </w:r>
            <w:r w:rsidR="00AD7A82">
              <w:t xml:space="preserve"> based</w:t>
            </w:r>
          </w:p>
        </w:tc>
        <w:tc>
          <w:tcPr>
            <w:tcW w:w="3969" w:type="dxa"/>
            <w:tcBorders>
              <w:top w:val="single" w:sz="12" w:space="0" w:color="auto"/>
            </w:tcBorders>
            <w:shd w:val="clear" w:color="auto" w:fill="auto"/>
          </w:tcPr>
          <w:p w14:paraId="5902270A" w14:textId="77777777" w:rsidR="00BF088C" w:rsidRPr="00905BBB" w:rsidRDefault="00BC2F67" w:rsidP="0010212B">
            <w:pPr>
              <w:pStyle w:val="Tablea"/>
            </w:pPr>
            <w:r>
              <w:t>$0</w:t>
            </w:r>
          </w:p>
        </w:tc>
      </w:tr>
      <w:tr w:rsidR="002A4967" w:rsidRPr="00905BBB" w14:paraId="131AEDF1" w14:textId="77777777" w:rsidTr="0010212B">
        <w:tc>
          <w:tcPr>
            <w:tcW w:w="714" w:type="dxa"/>
            <w:shd w:val="clear" w:color="auto" w:fill="auto"/>
          </w:tcPr>
          <w:p w14:paraId="231DE699" w14:textId="77777777" w:rsidR="002A4967" w:rsidRPr="00905BBB" w:rsidRDefault="002A4967" w:rsidP="002A4967">
            <w:pPr>
              <w:pStyle w:val="Tabletext"/>
            </w:pPr>
            <w:r w:rsidRPr="00905BBB">
              <w:t>2</w:t>
            </w:r>
          </w:p>
        </w:tc>
        <w:tc>
          <w:tcPr>
            <w:tcW w:w="3699" w:type="dxa"/>
            <w:shd w:val="clear" w:color="auto" w:fill="auto"/>
          </w:tcPr>
          <w:p w14:paraId="4D243401" w14:textId="77777777" w:rsidR="002A4967" w:rsidRDefault="002A4967" w:rsidP="002A4967">
            <w:pPr>
              <w:pStyle w:val="Tabletext"/>
            </w:pPr>
            <w:r>
              <w:t>a person who applies for the variation of a:</w:t>
            </w:r>
          </w:p>
          <w:p w14:paraId="00EBDB97" w14:textId="77777777" w:rsidR="002A4967" w:rsidRDefault="002A4967" w:rsidP="002A4967">
            <w:pPr>
              <w:pStyle w:val="Tablea"/>
            </w:pPr>
            <w:r>
              <w:t>(a) road vehicle type approval—non-IWVTA</w:t>
            </w:r>
            <w:r w:rsidR="00AD7A82">
              <w:t xml:space="preserve"> based</w:t>
            </w:r>
            <w:r>
              <w:t>: passenger vehicle; or</w:t>
            </w:r>
          </w:p>
          <w:p w14:paraId="7353DF6F" w14:textId="77777777" w:rsidR="002A4967" w:rsidRDefault="002A4967" w:rsidP="002A4967">
            <w:pPr>
              <w:pStyle w:val="Tablea"/>
            </w:pPr>
            <w:r>
              <w:t>(b) road vehicle type approval—non-IWVTA</w:t>
            </w:r>
            <w:r w:rsidR="00AD7A82">
              <w:t xml:space="preserve"> based</w:t>
            </w:r>
            <w:r>
              <w:t>: 2 or 3-wheeled vehicle; or</w:t>
            </w:r>
          </w:p>
          <w:p w14:paraId="73AF8C46" w14:textId="77777777" w:rsidR="002A4967" w:rsidRDefault="002A4967" w:rsidP="002A4967">
            <w:pPr>
              <w:pStyle w:val="Tablea"/>
            </w:pPr>
            <w:r>
              <w:t>(c) road vehicle type approval—non-</w:t>
            </w:r>
            <w:r>
              <w:lastRenderedPageBreak/>
              <w:t>IWVTA</w:t>
            </w:r>
            <w:r w:rsidR="00AD7A82">
              <w:t xml:space="preserve"> based</w:t>
            </w:r>
            <w:r>
              <w:t>: goods vehicle; or</w:t>
            </w:r>
          </w:p>
          <w:p w14:paraId="30A554D6" w14:textId="77777777" w:rsidR="002A4967" w:rsidRPr="00905BBB" w:rsidRDefault="002A4967" w:rsidP="002A4967">
            <w:pPr>
              <w:pStyle w:val="Tablea"/>
            </w:pPr>
            <w:r>
              <w:t xml:space="preserve">(d) </w:t>
            </w:r>
            <w:r w:rsidRPr="00D879DF">
              <w:t>road vehicle type approval—non-IWVTA</w:t>
            </w:r>
            <w:r w:rsidR="00AD7A82">
              <w:t xml:space="preserve"> based</w:t>
            </w:r>
            <w:r w:rsidRPr="00D879DF">
              <w:t>: bus</w:t>
            </w:r>
            <w:r>
              <w:t>.</w:t>
            </w:r>
          </w:p>
        </w:tc>
        <w:tc>
          <w:tcPr>
            <w:tcW w:w="3969" w:type="dxa"/>
            <w:shd w:val="clear" w:color="auto" w:fill="auto"/>
          </w:tcPr>
          <w:p w14:paraId="51B475E0" w14:textId="77777777" w:rsidR="002A4967" w:rsidRPr="00905BBB" w:rsidRDefault="002A4967" w:rsidP="002A4967">
            <w:pPr>
              <w:pStyle w:val="Tabletext"/>
            </w:pPr>
            <w:r>
              <w:lastRenderedPageBreak/>
              <w:t>$140</w:t>
            </w:r>
          </w:p>
        </w:tc>
      </w:tr>
      <w:tr w:rsidR="002A4967" w:rsidRPr="00905BBB" w14:paraId="73177735" w14:textId="77777777" w:rsidTr="0010212B">
        <w:tc>
          <w:tcPr>
            <w:tcW w:w="714" w:type="dxa"/>
            <w:shd w:val="clear" w:color="auto" w:fill="auto"/>
          </w:tcPr>
          <w:p w14:paraId="0B26E8AE" w14:textId="77777777" w:rsidR="002A4967" w:rsidRPr="00905BBB" w:rsidRDefault="002A4967" w:rsidP="002A4967">
            <w:pPr>
              <w:pStyle w:val="Tabletext"/>
            </w:pPr>
            <w:r w:rsidRPr="00905BBB">
              <w:t>3</w:t>
            </w:r>
          </w:p>
        </w:tc>
        <w:tc>
          <w:tcPr>
            <w:tcW w:w="3699" w:type="dxa"/>
            <w:shd w:val="clear" w:color="auto" w:fill="auto"/>
          </w:tcPr>
          <w:p w14:paraId="6EB9228A" w14:textId="77777777" w:rsidR="002A4967" w:rsidRDefault="002A4967" w:rsidP="002A4967">
            <w:pPr>
              <w:pStyle w:val="Tabletext"/>
            </w:pPr>
            <w:r>
              <w:t>a person who applies for the variation of a:</w:t>
            </w:r>
          </w:p>
          <w:p w14:paraId="4F6F0556" w14:textId="77777777" w:rsidR="002A4967" w:rsidRDefault="002A4967" w:rsidP="002A4967">
            <w:pPr>
              <w:pStyle w:val="Tablea"/>
            </w:pPr>
            <w:r>
              <w:t>(a) road vehicle type approval—non-IWVTA</w:t>
            </w:r>
            <w:r w:rsidR="00AD7A82">
              <w:t xml:space="preserve"> based</w:t>
            </w:r>
            <w:r>
              <w:t xml:space="preserve">: heavy trailer (with Model Report); or </w:t>
            </w:r>
          </w:p>
          <w:p w14:paraId="712CA229" w14:textId="77777777" w:rsidR="002A4967" w:rsidRPr="00905BBB" w:rsidRDefault="002A4967" w:rsidP="002A4967">
            <w:pPr>
              <w:pStyle w:val="Tablea"/>
            </w:pPr>
            <w:r>
              <w:t>(b) road vehicle type approval—non-IWVTA</w:t>
            </w:r>
            <w:r w:rsidR="00BE6AAA">
              <w:t xml:space="preserve"> based</w:t>
            </w:r>
            <w:r>
              <w:t>: heavy trailer (without Model Report).</w:t>
            </w:r>
          </w:p>
        </w:tc>
        <w:tc>
          <w:tcPr>
            <w:tcW w:w="3969" w:type="dxa"/>
            <w:shd w:val="clear" w:color="auto" w:fill="auto"/>
          </w:tcPr>
          <w:p w14:paraId="5855EAA4" w14:textId="77777777" w:rsidR="002A4967" w:rsidRPr="00905BBB" w:rsidRDefault="002A4967" w:rsidP="002A4967">
            <w:pPr>
              <w:pStyle w:val="Tabletext"/>
            </w:pPr>
            <w:r>
              <w:t>$85</w:t>
            </w:r>
          </w:p>
        </w:tc>
      </w:tr>
      <w:tr w:rsidR="002A4967" w:rsidRPr="00905BBB" w14:paraId="3D0EA436" w14:textId="77777777" w:rsidTr="0010212B">
        <w:tc>
          <w:tcPr>
            <w:tcW w:w="714" w:type="dxa"/>
            <w:shd w:val="clear" w:color="auto" w:fill="auto"/>
          </w:tcPr>
          <w:p w14:paraId="66452017" w14:textId="77777777" w:rsidR="002A4967" w:rsidRPr="00905BBB" w:rsidRDefault="002A4967" w:rsidP="002A4967">
            <w:pPr>
              <w:pStyle w:val="Tabletext"/>
            </w:pPr>
            <w:r>
              <w:t>4</w:t>
            </w:r>
          </w:p>
        </w:tc>
        <w:tc>
          <w:tcPr>
            <w:tcW w:w="3699" w:type="dxa"/>
            <w:shd w:val="clear" w:color="auto" w:fill="auto"/>
          </w:tcPr>
          <w:p w14:paraId="04ED0BAB" w14:textId="77777777" w:rsidR="002A4967" w:rsidRPr="00905BBB" w:rsidRDefault="002A4967" w:rsidP="002A4967">
            <w:pPr>
              <w:pStyle w:val="Tabletext"/>
            </w:pPr>
            <w:r>
              <w:t>a person who applies for the variation of a road vehicle type approval—non-IWVTA</w:t>
            </w:r>
            <w:r w:rsidR="00BE6AAA">
              <w:t xml:space="preserve"> based</w:t>
            </w:r>
            <w:r>
              <w:t>: light trailer</w:t>
            </w:r>
          </w:p>
        </w:tc>
        <w:tc>
          <w:tcPr>
            <w:tcW w:w="3969" w:type="dxa"/>
            <w:shd w:val="clear" w:color="auto" w:fill="auto"/>
          </w:tcPr>
          <w:p w14:paraId="14E55586" w14:textId="77777777" w:rsidR="002A4967" w:rsidRPr="00905BBB" w:rsidRDefault="002A4967" w:rsidP="002A4967">
            <w:pPr>
              <w:pStyle w:val="Tabletext"/>
            </w:pPr>
            <w:r>
              <w:t>$50</w:t>
            </w:r>
          </w:p>
        </w:tc>
      </w:tr>
      <w:tr w:rsidR="00C64CC4" w:rsidRPr="00905BBB" w14:paraId="22E6D9E0" w14:textId="77777777" w:rsidTr="0010212B">
        <w:tc>
          <w:tcPr>
            <w:tcW w:w="714" w:type="dxa"/>
            <w:shd w:val="clear" w:color="auto" w:fill="auto"/>
          </w:tcPr>
          <w:p w14:paraId="75BE7DBC" w14:textId="77777777" w:rsidR="00C64CC4" w:rsidRPr="00905BBB" w:rsidRDefault="00CB2F39" w:rsidP="0010212B">
            <w:pPr>
              <w:pStyle w:val="Tabletext"/>
            </w:pPr>
            <w:r>
              <w:t>5</w:t>
            </w:r>
          </w:p>
        </w:tc>
        <w:tc>
          <w:tcPr>
            <w:tcW w:w="3699" w:type="dxa"/>
            <w:shd w:val="clear" w:color="auto" w:fill="auto"/>
          </w:tcPr>
          <w:p w14:paraId="27EA9880" w14:textId="77777777" w:rsidR="00C64CC4" w:rsidRPr="00905BBB" w:rsidRDefault="00C64CC4" w:rsidP="0010212B">
            <w:pPr>
              <w:pStyle w:val="Tabletext"/>
            </w:pPr>
            <w:r>
              <w:t>a person who applies for the variation of a</w:t>
            </w:r>
            <w:r w:rsidR="00635B54">
              <w:t xml:space="preserve"> concessional RAV entry approval</w:t>
            </w:r>
          </w:p>
        </w:tc>
        <w:tc>
          <w:tcPr>
            <w:tcW w:w="3969" w:type="dxa"/>
            <w:shd w:val="clear" w:color="auto" w:fill="auto"/>
          </w:tcPr>
          <w:p w14:paraId="6DE91C12" w14:textId="77777777" w:rsidR="00C64CC4" w:rsidRPr="00905BBB" w:rsidRDefault="00635B54" w:rsidP="0010212B">
            <w:pPr>
              <w:pStyle w:val="Tabletext"/>
            </w:pPr>
            <w:r>
              <w:t>$0</w:t>
            </w:r>
          </w:p>
        </w:tc>
      </w:tr>
      <w:tr w:rsidR="002A4967" w:rsidRPr="00905BBB" w14:paraId="60F08B3C" w14:textId="77777777" w:rsidTr="0010212B">
        <w:tc>
          <w:tcPr>
            <w:tcW w:w="714" w:type="dxa"/>
            <w:shd w:val="clear" w:color="auto" w:fill="auto"/>
          </w:tcPr>
          <w:p w14:paraId="0D411941" w14:textId="77777777" w:rsidR="002A4967" w:rsidRPr="00905BBB" w:rsidRDefault="002A4967" w:rsidP="002A4967">
            <w:pPr>
              <w:pStyle w:val="Tabletext"/>
            </w:pPr>
            <w:r>
              <w:t>6</w:t>
            </w:r>
          </w:p>
        </w:tc>
        <w:tc>
          <w:tcPr>
            <w:tcW w:w="3699" w:type="dxa"/>
            <w:shd w:val="clear" w:color="auto" w:fill="auto"/>
          </w:tcPr>
          <w:p w14:paraId="157292E8" w14:textId="77777777" w:rsidR="002A4967" w:rsidRPr="00905BBB" w:rsidRDefault="002A4967" w:rsidP="002A4967">
            <w:pPr>
              <w:pStyle w:val="Tabletext"/>
            </w:pPr>
            <w:r>
              <w:t>a person who applies for the variation of a testing facility approval</w:t>
            </w:r>
          </w:p>
        </w:tc>
        <w:tc>
          <w:tcPr>
            <w:tcW w:w="3969" w:type="dxa"/>
            <w:shd w:val="clear" w:color="auto" w:fill="auto"/>
          </w:tcPr>
          <w:p w14:paraId="677A7BE9" w14:textId="77777777" w:rsidR="002A4967" w:rsidRPr="00905BBB" w:rsidRDefault="002A4967" w:rsidP="002A4967">
            <w:pPr>
              <w:pStyle w:val="Tabletext"/>
            </w:pPr>
            <w:r>
              <w:t>$75</w:t>
            </w:r>
          </w:p>
        </w:tc>
      </w:tr>
      <w:tr w:rsidR="002A4967" w:rsidRPr="00905BBB" w14:paraId="05C42AE8" w14:textId="77777777" w:rsidTr="0010212B">
        <w:tc>
          <w:tcPr>
            <w:tcW w:w="714" w:type="dxa"/>
            <w:shd w:val="clear" w:color="auto" w:fill="auto"/>
          </w:tcPr>
          <w:p w14:paraId="071A64BA" w14:textId="77777777" w:rsidR="002A4967" w:rsidRPr="00905BBB" w:rsidRDefault="002A4967" w:rsidP="002A4967">
            <w:pPr>
              <w:pStyle w:val="Tabletext"/>
            </w:pPr>
            <w:r>
              <w:t>7</w:t>
            </w:r>
          </w:p>
        </w:tc>
        <w:tc>
          <w:tcPr>
            <w:tcW w:w="3699" w:type="dxa"/>
            <w:shd w:val="clear" w:color="auto" w:fill="auto"/>
          </w:tcPr>
          <w:p w14:paraId="1A96E493" w14:textId="77777777" w:rsidR="002A4967" w:rsidRPr="00905BBB" w:rsidRDefault="002A4967" w:rsidP="002A4967">
            <w:pPr>
              <w:pStyle w:val="Tabletext"/>
            </w:pPr>
            <w:r>
              <w:t xml:space="preserve">a corporation that applies for the variation of a RAW approval </w:t>
            </w:r>
          </w:p>
        </w:tc>
        <w:tc>
          <w:tcPr>
            <w:tcW w:w="3969" w:type="dxa"/>
            <w:shd w:val="clear" w:color="auto" w:fill="auto"/>
          </w:tcPr>
          <w:p w14:paraId="29CBAD4D" w14:textId="77777777" w:rsidR="002A4967" w:rsidRPr="00905BBB" w:rsidRDefault="002A4967" w:rsidP="002A4967">
            <w:pPr>
              <w:pStyle w:val="Tabletext"/>
            </w:pPr>
            <w:r>
              <w:t>$55</w:t>
            </w:r>
          </w:p>
        </w:tc>
      </w:tr>
      <w:tr w:rsidR="002A4967" w:rsidRPr="00905BBB" w14:paraId="1BD89353" w14:textId="77777777" w:rsidTr="0010212B">
        <w:tc>
          <w:tcPr>
            <w:tcW w:w="714" w:type="dxa"/>
            <w:shd w:val="clear" w:color="auto" w:fill="auto"/>
          </w:tcPr>
          <w:p w14:paraId="51AEC824" w14:textId="77777777" w:rsidR="002A4967" w:rsidRPr="00905BBB" w:rsidRDefault="002A4967" w:rsidP="002A4967">
            <w:pPr>
              <w:pStyle w:val="Tabletext"/>
            </w:pPr>
            <w:r>
              <w:t>8</w:t>
            </w:r>
          </w:p>
        </w:tc>
        <w:tc>
          <w:tcPr>
            <w:tcW w:w="3699" w:type="dxa"/>
            <w:shd w:val="clear" w:color="auto" w:fill="auto"/>
          </w:tcPr>
          <w:p w14:paraId="39410052" w14:textId="77777777" w:rsidR="002A4967" w:rsidRPr="00905BBB" w:rsidRDefault="002A4967" w:rsidP="002A4967">
            <w:pPr>
              <w:pStyle w:val="Tabletext"/>
            </w:pPr>
            <w:r>
              <w:t>a corporation that applies for the variation of an AVV approval</w:t>
            </w:r>
          </w:p>
        </w:tc>
        <w:tc>
          <w:tcPr>
            <w:tcW w:w="3969" w:type="dxa"/>
            <w:shd w:val="clear" w:color="auto" w:fill="auto"/>
          </w:tcPr>
          <w:p w14:paraId="0DB60B34" w14:textId="77777777" w:rsidR="002A4967" w:rsidRPr="00905BBB" w:rsidRDefault="002A4967" w:rsidP="002A4967">
            <w:pPr>
              <w:pStyle w:val="Tabletext"/>
            </w:pPr>
            <w:r>
              <w:t>$60</w:t>
            </w:r>
          </w:p>
        </w:tc>
      </w:tr>
      <w:tr w:rsidR="00BF088C" w:rsidRPr="00905BBB" w14:paraId="3759F98E" w14:textId="77777777" w:rsidTr="00635B54">
        <w:tc>
          <w:tcPr>
            <w:tcW w:w="714" w:type="dxa"/>
            <w:shd w:val="clear" w:color="auto" w:fill="auto"/>
          </w:tcPr>
          <w:p w14:paraId="5E988AED" w14:textId="77777777" w:rsidR="00BF088C" w:rsidRPr="00905BBB" w:rsidRDefault="00CB2F39" w:rsidP="0010212B">
            <w:pPr>
              <w:pStyle w:val="Tabletext"/>
            </w:pPr>
            <w:r>
              <w:t>9</w:t>
            </w:r>
          </w:p>
        </w:tc>
        <w:tc>
          <w:tcPr>
            <w:tcW w:w="3699" w:type="dxa"/>
            <w:shd w:val="clear" w:color="auto" w:fill="auto"/>
          </w:tcPr>
          <w:p w14:paraId="1D1693A5" w14:textId="77777777" w:rsidR="00BF088C" w:rsidRPr="00905BBB" w:rsidRDefault="00635B54" w:rsidP="00635B54">
            <w:pPr>
              <w:pStyle w:val="Tabletext"/>
            </w:pPr>
            <w:r>
              <w:t>a person who applies for the variation of a non-RAV entry import approval</w:t>
            </w:r>
          </w:p>
        </w:tc>
        <w:tc>
          <w:tcPr>
            <w:tcW w:w="3969" w:type="dxa"/>
            <w:shd w:val="clear" w:color="auto" w:fill="auto"/>
          </w:tcPr>
          <w:p w14:paraId="062AE9DA" w14:textId="77777777" w:rsidR="00BF088C" w:rsidRPr="00905BBB" w:rsidRDefault="00635B54" w:rsidP="0010212B">
            <w:pPr>
              <w:pStyle w:val="Tabletext"/>
            </w:pPr>
            <w:r>
              <w:t>$0</w:t>
            </w:r>
          </w:p>
        </w:tc>
      </w:tr>
      <w:tr w:rsidR="00635B54" w:rsidRPr="00905BBB" w14:paraId="74F9EF4D" w14:textId="77777777" w:rsidTr="00635B54">
        <w:tc>
          <w:tcPr>
            <w:tcW w:w="714" w:type="dxa"/>
            <w:shd w:val="clear" w:color="auto" w:fill="auto"/>
          </w:tcPr>
          <w:p w14:paraId="11C7A09E" w14:textId="77777777" w:rsidR="00635B54" w:rsidRDefault="00635B54" w:rsidP="0010212B">
            <w:pPr>
              <w:pStyle w:val="Tabletext"/>
            </w:pPr>
            <w:r>
              <w:t>10</w:t>
            </w:r>
          </w:p>
        </w:tc>
        <w:tc>
          <w:tcPr>
            <w:tcW w:w="3699" w:type="dxa"/>
            <w:shd w:val="clear" w:color="auto" w:fill="auto"/>
          </w:tcPr>
          <w:p w14:paraId="326993AF" w14:textId="77777777" w:rsidR="00635B54" w:rsidRPr="00905BBB" w:rsidRDefault="00635B54" w:rsidP="00635B54">
            <w:pPr>
              <w:pStyle w:val="Tabletext"/>
            </w:pPr>
            <w:r>
              <w:t xml:space="preserve">a person who applies for the variation of a reimportation import approval </w:t>
            </w:r>
          </w:p>
        </w:tc>
        <w:tc>
          <w:tcPr>
            <w:tcW w:w="3969" w:type="dxa"/>
            <w:shd w:val="clear" w:color="auto" w:fill="auto"/>
          </w:tcPr>
          <w:p w14:paraId="17536297" w14:textId="77777777" w:rsidR="00635B54" w:rsidRPr="00905BBB" w:rsidRDefault="003727A9" w:rsidP="0010212B">
            <w:pPr>
              <w:pStyle w:val="Tabletext"/>
            </w:pPr>
            <w:r>
              <w:t>$0</w:t>
            </w:r>
          </w:p>
        </w:tc>
      </w:tr>
      <w:tr w:rsidR="00635B54" w:rsidRPr="00905BBB" w14:paraId="60D56EC7" w14:textId="77777777" w:rsidTr="00635B54">
        <w:tc>
          <w:tcPr>
            <w:tcW w:w="714" w:type="dxa"/>
            <w:shd w:val="clear" w:color="auto" w:fill="auto"/>
          </w:tcPr>
          <w:p w14:paraId="335E62DF" w14:textId="77777777" w:rsidR="00635B54" w:rsidRDefault="00635B54" w:rsidP="0010212B">
            <w:pPr>
              <w:pStyle w:val="Tabletext"/>
            </w:pPr>
            <w:r>
              <w:t>11</w:t>
            </w:r>
          </w:p>
        </w:tc>
        <w:tc>
          <w:tcPr>
            <w:tcW w:w="3699" w:type="dxa"/>
            <w:shd w:val="clear" w:color="auto" w:fill="auto"/>
          </w:tcPr>
          <w:p w14:paraId="4703CF44" w14:textId="77777777" w:rsidR="00635B54" w:rsidRPr="00905BBB" w:rsidRDefault="001E1806" w:rsidP="00635B54">
            <w:pPr>
              <w:pStyle w:val="Tabletext"/>
            </w:pPr>
            <w:r>
              <w:t xml:space="preserve">a person who applies for the variation of a </w:t>
            </w:r>
            <w:r w:rsidR="009D6292">
              <w:t xml:space="preserve">road vehicle </w:t>
            </w:r>
            <w:r>
              <w:t>component type approval</w:t>
            </w:r>
          </w:p>
        </w:tc>
        <w:tc>
          <w:tcPr>
            <w:tcW w:w="3969" w:type="dxa"/>
            <w:shd w:val="clear" w:color="auto" w:fill="auto"/>
          </w:tcPr>
          <w:p w14:paraId="78333DC4" w14:textId="77777777" w:rsidR="00635B54" w:rsidRPr="00905BBB" w:rsidRDefault="003727A9" w:rsidP="0010212B">
            <w:pPr>
              <w:pStyle w:val="Tabletext"/>
            </w:pPr>
            <w:r>
              <w:t>$0</w:t>
            </w:r>
          </w:p>
        </w:tc>
      </w:tr>
      <w:tr w:rsidR="003727A9" w:rsidRPr="00905BBB" w14:paraId="41F71BAF" w14:textId="77777777" w:rsidTr="0010212B">
        <w:tc>
          <w:tcPr>
            <w:tcW w:w="714" w:type="dxa"/>
            <w:tcBorders>
              <w:bottom w:val="single" w:sz="12" w:space="0" w:color="auto"/>
            </w:tcBorders>
            <w:shd w:val="clear" w:color="auto" w:fill="auto"/>
          </w:tcPr>
          <w:p w14:paraId="7707BBC1" w14:textId="77777777" w:rsidR="003727A9" w:rsidRDefault="003727A9" w:rsidP="003727A9">
            <w:pPr>
              <w:pStyle w:val="Tabletext"/>
            </w:pPr>
            <w:r>
              <w:t>12</w:t>
            </w:r>
          </w:p>
        </w:tc>
        <w:tc>
          <w:tcPr>
            <w:tcW w:w="3699" w:type="dxa"/>
            <w:tcBorders>
              <w:bottom w:val="single" w:sz="12" w:space="0" w:color="auto"/>
            </w:tcBorders>
            <w:shd w:val="clear" w:color="auto" w:fill="auto"/>
          </w:tcPr>
          <w:p w14:paraId="7EBAD7CA" w14:textId="77777777" w:rsidR="003727A9" w:rsidRPr="00905BBB" w:rsidRDefault="003727A9" w:rsidP="007C0613">
            <w:pPr>
              <w:pStyle w:val="Tabletext"/>
            </w:pPr>
            <w:r>
              <w:t xml:space="preserve">a person who applies for the variation of </w:t>
            </w:r>
            <w:r w:rsidR="007C0613">
              <w:t>an</w:t>
            </w:r>
            <w:r w:rsidR="006A2703">
              <w:t xml:space="preserve"> approval of a </w:t>
            </w:r>
            <w:r>
              <w:t xml:space="preserve">Model Report </w:t>
            </w:r>
          </w:p>
        </w:tc>
        <w:tc>
          <w:tcPr>
            <w:tcW w:w="3969" w:type="dxa"/>
            <w:tcBorders>
              <w:bottom w:val="single" w:sz="12" w:space="0" w:color="auto"/>
            </w:tcBorders>
            <w:shd w:val="clear" w:color="auto" w:fill="auto"/>
          </w:tcPr>
          <w:p w14:paraId="60F56A2D" w14:textId="77777777" w:rsidR="003727A9" w:rsidRPr="00905BBB" w:rsidRDefault="003727A9" w:rsidP="003727A9">
            <w:pPr>
              <w:pStyle w:val="Tabletext"/>
            </w:pPr>
            <w:r>
              <w:t>$0</w:t>
            </w:r>
          </w:p>
        </w:tc>
      </w:tr>
    </w:tbl>
    <w:p w14:paraId="3FEDF286" w14:textId="77777777" w:rsidR="007C4D81" w:rsidRDefault="007C4D81" w:rsidP="007C4D81">
      <w:pPr>
        <w:pStyle w:val="ActHead3"/>
        <w:rPr>
          <w:rStyle w:val="CharDivText"/>
        </w:rPr>
      </w:pPr>
      <w:r w:rsidRPr="003842A0">
        <w:rPr>
          <w:rStyle w:val="CharDivNo"/>
        </w:rPr>
        <w:t>Division</w:t>
      </w:r>
      <w:r>
        <w:rPr>
          <w:rStyle w:val="CharDivNo"/>
        </w:rPr>
        <w:t xml:space="preserve"> 14</w:t>
      </w:r>
      <w:r w:rsidRPr="002E0CD2">
        <w:t>—</w:t>
      </w:r>
      <w:r>
        <w:rPr>
          <w:rStyle w:val="CharDivText"/>
        </w:rPr>
        <w:t>Refund of fees</w:t>
      </w:r>
    </w:p>
    <w:p w14:paraId="267DD260" w14:textId="77777777" w:rsidR="008677A1" w:rsidRDefault="008677A1" w:rsidP="008677A1">
      <w:pPr>
        <w:pStyle w:val="ActHead5"/>
      </w:pPr>
      <w:r>
        <w:rPr>
          <w:rStyle w:val="CharSectno"/>
        </w:rPr>
        <w:t>253</w:t>
      </w:r>
      <w:r w:rsidRPr="002E0CD2">
        <w:t xml:space="preserve">  </w:t>
      </w:r>
      <w:r>
        <w:t xml:space="preserve">Refund of fees </w:t>
      </w:r>
    </w:p>
    <w:p w14:paraId="43FC8298" w14:textId="77777777" w:rsidR="00036DF8" w:rsidRDefault="008677A1" w:rsidP="00722623">
      <w:pPr>
        <w:pStyle w:val="subsection"/>
        <w:rPr>
          <w:shd w:val="clear" w:color="auto" w:fill="FFFFFF"/>
        </w:rPr>
      </w:pPr>
      <w:r>
        <w:rPr>
          <w:shd w:val="clear" w:color="auto" w:fill="FFFFFF"/>
        </w:rPr>
        <w:tab/>
      </w:r>
      <w:r w:rsidR="00036DF8">
        <w:rPr>
          <w:shd w:val="clear" w:color="auto" w:fill="FFFFFF"/>
        </w:rPr>
        <w:t>(1)</w:t>
      </w:r>
      <w:r>
        <w:rPr>
          <w:shd w:val="clear" w:color="auto" w:fill="FFFFFF"/>
        </w:rPr>
        <w:tab/>
      </w:r>
      <w:r w:rsidR="00732D1B">
        <w:rPr>
          <w:shd w:val="clear" w:color="auto" w:fill="FFFFFF"/>
        </w:rPr>
        <w:t xml:space="preserve">Where </w:t>
      </w:r>
      <w:r w:rsidR="00722623">
        <w:rPr>
          <w:shd w:val="clear" w:color="auto" w:fill="FFFFFF"/>
        </w:rPr>
        <w:t xml:space="preserve">a person has overpaid a fee prescribed under this Part, the </w:t>
      </w:r>
      <w:r w:rsidR="00E80CD1">
        <w:rPr>
          <w:shd w:val="clear" w:color="auto" w:fill="FFFFFF"/>
        </w:rPr>
        <w:t xml:space="preserve">Secretary </w:t>
      </w:r>
      <w:r w:rsidR="00D21737">
        <w:rPr>
          <w:shd w:val="clear" w:color="auto" w:fill="FFFFFF"/>
        </w:rPr>
        <w:t>is to</w:t>
      </w:r>
      <w:r w:rsidR="009B6FF7">
        <w:rPr>
          <w:shd w:val="clear" w:color="auto" w:fill="FFFFFF"/>
        </w:rPr>
        <w:t xml:space="preserve"> </w:t>
      </w:r>
      <w:r w:rsidR="00722623">
        <w:rPr>
          <w:shd w:val="clear" w:color="auto" w:fill="FFFFFF"/>
        </w:rPr>
        <w:t xml:space="preserve">refund the </w:t>
      </w:r>
      <w:r w:rsidR="00EE0CF2">
        <w:rPr>
          <w:shd w:val="clear" w:color="auto" w:fill="FFFFFF"/>
        </w:rPr>
        <w:t>amount by which the fee was overpaid</w:t>
      </w:r>
      <w:r w:rsidR="00722623">
        <w:rPr>
          <w:shd w:val="clear" w:color="auto" w:fill="FFFFFF"/>
        </w:rPr>
        <w:t xml:space="preserve">. </w:t>
      </w:r>
    </w:p>
    <w:p w14:paraId="492AD344" w14:textId="77777777" w:rsidR="00036DF8" w:rsidRDefault="005D739C" w:rsidP="005D739C">
      <w:pPr>
        <w:pStyle w:val="subsection"/>
      </w:pPr>
      <w:r>
        <w:tab/>
      </w:r>
      <w:r w:rsidR="00036DF8" w:rsidRPr="001335BA">
        <w:t>(2)</w:t>
      </w:r>
      <w:r>
        <w:tab/>
      </w:r>
      <w:r w:rsidR="00036DF8" w:rsidRPr="001335BA">
        <w:t xml:space="preserve">The Secretary may do so on his or her own initiative or on written application by </w:t>
      </w:r>
      <w:r w:rsidR="00DB702A">
        <w:t>the</w:t>
      </w:r>
      <w:r w:rsidR="00036DF8" w:rsidRPr="001335BA">
        <w:t xml:space="preserve"> person.</w:t>
      </w:r>
    </w:p>
    <w:p w14:paraId="0AF7AD93" w14:textId="77777777" w:rsidR="00884601" w:rsidRPr="00884601" w:rsidRDefault="00884601" w:rsidP="00884601">
      <w:pPr>
        <w:pStyle w:val="notetext"/>
        <w:rPr>
          <w:i/>
          <w:lang w:val="en-GB"/>
        </w:rPr>
      </w:pPr>
      <w:r>
        <w:rPr>
          <w:lang w:val="en-GB"/>
        </w:rPr>
        <w:t>Note:</w:t>
      </w:r>
      <w:r>
        <w:rPr>
          <w:lang w:val="en-GB"/>
        </w:rPr>
        <w:tab/>
        <w:t xml:space="preserve">Section 72 of the Act also permits the Secretary to remit or refund the whole or part of a cost-recovery charge that is payable or paid to the Commonwealth if the Secretary is satisfied that there are circumstances that justify doing so. </w:t>
      </w:r>
    </w:p>
    <w:p w14:paraId="5ACA9A05" w14:textId="77777777" w:rsidR="00DF71F8" w:rsidRPr="00DF71F8" w:rsidRDefault="00DF71F8" w:rsidP="00B302F4">
      <w:pPr>
        <w:pStyle w:val="notedraft"/>
        <w:rPr>
          <w:shd w:val="clear" w:color="auto" w:fill="FFFFFF"/>
        </w:rPr>
      </w:pPr>
    </w:p>
    <w:p w14:paraId="2983A5CF" w14:textId="77777777" w:rsidR="00EA3C9C" w:rsidRPr="00640BA0" w:rsidRDefault="00EA3C9C" w:rsidP="00A61394">
      <w:pPr>
        <w:pStyle w:val="paragraphsub"/>
      </w:pPr>
    </w:p>
    <w:sectPr w:rsidR="00EA3C9C" w:rsidRPr="00640BA0" w:rsidSect="00187C96">
      <w:headerReference w:type="even" r:id="rId24"/>
      <w:pgSz w:w="11907" w:h="16839"/>
      <w:pgMar w:top="167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307A1" w14:textId="77777777" w:rsidR="001E0ECE" w:rsidRDefault="001E0ECE" w:rsidP="0048364F">
      <w:pPr>
        <w:spacing w:line="240" w:lineRule="auto"/>
      </w:pPr>
      <w:r>
        <w:separator/>
      </w:r>
    </w:p>
  </w:endnote>
  <w:endnote w:type="continuationSeparator" w:id="0">
    <w:p w14:paraId="35E861E3" w14:textId="77777777" w:rsidR="001E0ECE" w:rsidRDefault="001E0EC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96C6F" w14:textId="7085D92A" w:rsidR="00AD7A82" w:rsidRPr="005F1388" w:rsidRDefault="00AD7A82" w:rsidP="00685F42">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58752" behindDoc="1" locked="0" layoutInCell="1" allowOverlap="1" wp14:anchorId="577E64E6" wp14:editId="26F1BBA6">
              <wp:simplePos x="0" y="0"/>
              <wp:positionH relativeFrom="column">
                <wp:align>center</wp:align>
              </wp:positionH>
              <wp:positionV relativeFrom="page">
                <wp:posOffset>10079990</wp:posOffset>
              </wp:positionV>
              <wp:extent cx="4410075" cy="4000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7928B387" w14:textId="77777777" w:rsidR="00AD7A82" w:rsidRPr="00581211" w:rsidRDefault="00AD7A82"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E64E6" id="_x0000_t202" coordsize="21600,21600" o:spt="202" path="m,l,21600r21600,l21600,xe">
              <v:stroke joinstyle="miter"/>
              <v:path gradientshapeok="t" o:connecttype="rect"/>
            </v:shapetype>
            <v:shape id="Text Box 21" o:spid="_x0000_s1027" type="#_x0000_t202" style="position:absolute;left:0;text-align:left;margin-left:0;margin-top:793.7pt;width:347.25pt;height:3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" stroked="f">
              <v:stroke joinstyle="round"/>
              <v:path arrowok="t"/>
              <v:textbox>
                <w:txbxContent>
                  <w:p w14:paraId="7928B387" w14:textId="77777777" w:rsidR="00AD7A82" w:rsidRPr="00581211" w:rsidRDefault="00AD7A82"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r w:rsidRPr="005F1388">
      <w:rPr>
        <w:i/>
        <w:sz w:val="18"/>
      </w:rPr>
      <w:fldChar w:fldCharType="begin"/>
    </w:r>
    <w:r w:rsidRPr="005F1388">
      <w:rPr>
        <w:i/>
        <w:sz w:val="18"/>
      </w:rPr>
      <w:instrText xml:space="preserve"> FILENAME \p </w:instrText>
    </w:r>
    <w:r w:rsidRPr="005F1388">
      <w:rPr>
        <w:i/>
        <w:sz w:val="18"/>
      </w:rPr>
      <w:fldChar w:fldCharType="separate"/>
    </w:r>
    <w:r>
      <w:rPr>
        <w:i/>
        <w:noProof/>
        <w:sz w:val="18"/>
      </w:rPr>
      <w:t>C:\NRPortbl\Documents\MOYSSH\36291056_1.docx</w:t>
    </w:r>
    <w:r w:rsidRPr="005F1388">
      <w:rPr>
        <w:i/>
        <w:sz w:val="18"/>
      </w:rPr>
      <w:fldChar w:fldCharType="end"/>
    </w:r>
    <w:r w:rsidRPr="005F1388">
      <w:rPr>
        <w:i/>
        <w:sz w:val="18"/>
      </w:rPr>
      <w:t xml:space="preserve"> </w:t>
    </w:r>
    <w:r w:rsidRPr="005F1388">
      <w:rPr>
        <w:i/>
        <w:sz w:val="18"/>
      </w:rPr>
      <w:fldChar w:fldCharType="begin"/>
    </w:r>
    <w:r w:rsidRPr="005F1388">
      <w:rPr>
        <w:i/>
        <w:sz w:val="18"/>
      </w:rPr>
      <w:instrText xml:space="preserve"> TIME \@ "d/M/yyyy h:mm AM/PM" </w:instrText>
    </w:r>
    <w:r w:rsidRPr="005F1388">
      <w:rPr>
        <w:i/>
        <w:sz w:val="18"/>
      </w:rPr>
      <w:fldChar w:fldCharType="separate"/>
    </w:r>
    <w:r w:rsidR="00FF3166">
      <w:rPr>
        <w:i/>
        <w:noProof/>
        <w:sz w:val="18"/>
      </w:rPr>
      <w:t>2/4/2020 3:38 PM</w:t>
    </w:r>
    <w:r w:rsidRPr="005F138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D2092" w14:textId="77777777" w:rsidR="00AD7A82" w:rsidRDefault="00AD7A82" w:rsidP="00E97334"/>
  <w:p w14:paraId="72C740BA" w14:textId="77777777" w:rsidR="00AD7A82" w:rsidRDefault="00AD7A82" w:rsidP="00E97334"/>
  <w:p w14:paraId="610B088B" w14:textId="77777777" w:rsidR="00AD7A82" w:rsidRPr="005F5497" w:rsidRDefault="00AD7A82" w:rsidP="005F5497">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96D29" w14:textId="77777777" w:rsidR="00AD7A82" w:rsidRPr="00ED79B6" w:rsidRDefault="00AD7A82"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05D3" w14:textId="77777777" w:rsidR="00AD7A82" w:rsidRPr="00E33C1C" w:rsidRDefault="00AD7A8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D7A82" w14:paraId="4798D4E7" w14:textId="77777777" w:rsidTr="00304EE9">
      <w:tc>
        <w:tcPr>
          <w:tcW w:w="709" w:type="dxa"/>
          <w:tcBorders>
            <w:top w:val="nil"/>
            <w:left w:val="nil"/>
            <w:bottom w:val="nil"/>
            <w:right w:val="nil"/>
          </w:tcBorders>
        </w:tcPr>
        <w:p w14:paraId="7A165900" w14:textId="5A1FD10D" w:rsidR="00AD7A82" w:rsidRDefault="00AD7A82" w:rsidP="00BC22F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F3166">
            <w:rPr>
              <w:i/>
              <w:noProof/>
              <w:sz w:val="18"/>
            </w:rPr>
            <w:t>2</w:t>
          </w:r>
          <w:r w:rsidRPr="00ED79B6">
            <w:rPr>
              <w:i/>
              <w:sz w:val="18"/>
            </w:rPr>
            <w:fldChar w:fldCharType="end"/>
          </w:r>
        </w:p>
      </w:tc>
      <w:tc>
        <w:tcPr>
          <w:tcW w:w="6379" w:type="dxa"/>
          <w:tcBorders>
            <w:top w:val="nil"/>
            <w:left w:val="nil"/>
            <w:bottom w:val="nil"/>
            <w:right w:val="nil"/>
          </w:tcBorders>
        </w:tcPr>
        <w:p w14:paraId="46613DAD" w14:textId="559626FF" w:rsidR="00AD7A82" w:rsidRDefault="00AD7A82" w:rsidP="00BC22F7">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FF3166">
            <w:rPr>
              <w:i/>
              <w:noProof/>
              <w:sz w:val="18"/>
            </w:rPr>
            <w:t>Road Vehicle Standards Amendment (2020 Measures No. 1) Rules 2020</w:t>
          </w:r>
          <w:r>
            <w:rPr>
              <w:i/>
              <w:sz w:val="18"/>
            </w:rPr>
            <w:fldChar w:fldCharType="end"/>
          </w:r>
        </w:p>
      </w:tc>
      <w:tc>
        <w:tcPr>
          <w:tcW w:w="1384" w:type="dxa"/>
          <w:tcBorders>
            <w:top w:val="nil"/>
            <w:left w:val="nil"/>
            <w:bottom w:val="nil"/>
            <w:right w:val="nil"/>
          </w:tcBorders>
        </w:tcPr>
        <w:p w14:paraId="1B87E640" w14:textId="77777777" w:rsidR="00AD7A82" w:rsidRDefault="00AD7A82" w:rsidP="00BC22F7">
          <w:pPr>
            <w:spacing w:line="0" w:lineRule="atLeast"/>
            <w:jc w:val="right"/>
            <w:rPr>
              <w:sz w:val="18"/>
            </w:rPr>
          </w:pPr>
        </w:p>
      </w:tc>
    </w:tr>
  </w:tbl>
  <w:p w14:paraId="4D2C8FD6" w14:textId="77777777" w:rsidR="00AD7A82" w:rsidRPr="00ED79B6" w:rsidRDefault="00AD7A82"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4CCE4" w14:textId="77777777" w:rsidR="00AD7A82" w:rsidRPr="00E33C1C" w:rsidRDefault="00AD7A8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D7A82" w14:paraId="173BE797" w14:textId="77777777" w:rsidTr="00BC22F7">
      <w:tc>
        <w:tcPr>
          <w:tcW w:w="1384" w:type="dxa"/>
          <w:tcBorders>
            <w:top w:val="nil"/>
            <w:left w:val="nil"/>
            <w:bottom w:val="nil"/>
            <w:right w:val="nil"/>
          </w:tcBorders>
        </w:tcPr>
        <w:p w14:paraId="25852CBC" w14:textId="77777777" w:rsidR="00AD7A82" w:rsidRDefault="00AD7A82" w:rsidP="00BC22F7">
          <w:pPr>
            <w:spacing w:line="0" w:lineRule="atLeast"/>
            <w:rPr>
              <w:sz w:val="18"/>
            </w:rPr>
          </w:pPr>
        </w:p>
      </w:tc>
      <w:tc>
        <w:tcPr>
          <w:tcW w:w="6379" w:type="dxa"/>
          <w:tcBorders>
            <w:top w:val="nil"/>
            <w:left w:val="nil"/>
            <w:bottom w:val="nil"/>
            <w:right w:val="nil"/>
          </w:tcBorders>
        </w:tcPr>
        <w:p w14:paraId="0111DCFA" w14:textId="7F485FB4" w:rsidR="00AD7A82" w:rsidRDefault="00AD7A82" w:rsidP="00BC22F7">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FF3166">
            <w:rPr>
              <w:i/>
              <w:noProof/>
              <w:sz w:val="18"/>
            </w:rPr>
            <w:t>Road Vehicle Standards Amendment (2020 Measures No. 1) Rules 2020</w:t>
          </w:r>
          <w:r>
            <w:rPr>
              <w:i/>
              <w:sz w:val="18"/>
            </w:rPr>
            <w:fldChar w:fldCharType="end"/>
          </w:r>
        </w:p>
      </w:tc>
      <w:tc>
        <w:tcPr>
          <w:tcW w:w="709" w:type="dxa"/>
          <w:tcBorders>
            <w:top w:val="nil"/>
            <w:left w:val="nil"/>
            <w:bottom w:val="nil"/>
            <w:right w:val="nil"/>
          </w:tcBorders>
        </w:tcPr>
        <w:p w14:paraId="25570A89" w14:textId="285DB07B" w:rsidR="00AD7A82" w:rsidRDefault="00AD7A82" w:rsidP="00BC22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F3166">
            <w:rPr>
              <w:i/>
              <w:noProof/>
              <w:sz w:val="18"/>
            </w:rPr>
            <w:t>15</w:t>
          </w:r>
          <w:r w:rsidRPr="00ED79B6">
            <w:rPr>
              <w:i/>
              <w:sz w:val="18"/>
            </w:rPr>
            <w:fldChar w:fldCharType="end"/>
          </w:r>
        </w:p>
      </w:tc>
    </w:tr>
  </w:tbl>
  <w:p w14:paraId="70304536" w14:textId="77777777" w:rsidR="00AD7A82" w:rsidRDefault="00AD7A82" w:rsidP="007A6863">
    <w:pPr>
      <w:rPr>
        <w:i/>
        <w:sz w:val="18"/>
      </w:rPr>
    </w:pPr>
  </w:p>
  <w:p w14:paraId="06DC1767" w14:textId="77777777" w:rsidR="00AD7A82" w:rsidRDefault="00AD7A82"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CFF28" w14:textId="77777777" w:rsidR="00AD7A82" w:rsidRPr="00E33C1C" w:rsidRDefault="00AD7A82"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D7A82" w14:paraId="302C6FE3" w14:textId="77777777" w:rsidTr="007A6863">
      <w:tc>
        <w:tcPr>
          <w:tcW w:w="1384" w:type="dxa"/>
          <w:tcBorders>
            <w:top w:val="nil"/>
            <w:left w:val="nil"/>
            <w:bottom w:val="nil"/>
            <w:right w:val="nil"/>
          </w:tcBorders>
        </w:tcPr>
        <w:p w14:paraId="3EF576BA" w14:textId="77777777" w:rsidR="00AD7A82" w:rsidRDefault="00AD7A82" w:rsidP="00BC22F7">
          <w:pPr>
            <w:spacing w:line="0" w:lineRule="atLeast"/>
            <w:rPr>
              <w:sz w:val="18"/>
            </w:rPr>
          </w:pPr>
        </w:p>
      </w:tc>
      <w:tc>
        <w:tcPr>
          <w:tcW w:w="6379" w:type="dxa"/>
          <w:tcBorders>
            <w:top w:val="nil"/>
            <w:left w:val="nil"/>
            <w:bottom w:val="nil"/>
            <w:right w:val="nil"/>
          </w:tcBorders>
        </w:tcPr>
        <w:p w14:paraId="69D88533" w14:textId="77777777" w:rsidR="00AD7A82" w:rsidRDefault="00AD7A82" w:rsidP="00BC22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[title] Amendment [type] 2017</w:t>
          </w:r>
          <w:r w:rsidRPr="007A1328">
            <w:rPr>
              <w:i/>
              <w:sz w:val="18"/>
            </w:rPr>
            <w:fldChar w:fldCharType="end"/>
          </w:r>
        </w:p>
      </w:tc>
      <w:tc>
        <w:tcPr>
          <w:tcW w:w="709" w:type="dxa"/>
          <w:tcBorders>
            <w:top w:val="nil"/>
            <w:left w:val="nil"/>
            <w:bottom w:val="nil"/>
            <w:right w:val="nil"/>
          </w:tcBorders>
        </w:tcPr>
        <w:p w14:paraId="327AE83E" w14:textId="77777777" w:rsidR="00AD7A82" w:rsidRDefault="00AD7A82" w:rsidP="00BC22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AD7A82" w14:paraId="5E06BBC1"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3CD1761" w14:textId="08AC659B" w:rsidR="00AD7A82" w:rsidRDefault="00AD7A82" w:rsidP="00BC22F7">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C:\NRPortbl\Documents\MOYSSH\36291056_1.docx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FF3166">
            <w:rPr>
              <w:i/>
              <w:noProof/>
              <w:sz w:val="18"/>
            </w:rPr>
            <w:t>2/4/2020 3:38 PM</w:t>
          </w:r>
          <w:r w:rsidRPr="00ED79B6">
            <w:rPr>
              <w:i/>
              <w:sz w:val="18"/>
            </w:rPr>
            <w:fldChar w:fldCharType="end"/>
          </w:r>
        </w:p>
      </w:tc>
    </w:tr>
  </w:tbl>
  <w:p w14:paraId="435DBAF2" w14:textId="77777777" w:rsidR="00AD7A82" w:rsidRPr="00ED79B6" w:rsidRDefault="00AD7A82"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23859" w14:textId="77777777" w:rsidR="001E0ECE" w:rsidRDefault="001E0ECE" w:rsidP="0048364F">
      <w:pPr>
        <w:spacing w:line="240" w:lineRule="auto"/>
      </w:pPr>
      <w:r>
        <w:separator/>
      </w:r>
    </w:p>
  </w:footnote>
  <w:footnote w:type="continuationSeparator" w:id="0">
    <w:p w14:paraId="23A8A086" w14:textId="77777777" w:rsidR="001E0ECE" w:rsidRDefault="001E0EC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A6223" w14:textId="77777777" w:rsidR="00AD7A82" w:rsidRPr="005F1388" w:rsidRDefault="00AD7A82" w:rsidP="0048364F">
    <w:pPr>
      <w:pStyle w:val="Header"/>
      <w:tabs>
        <w:tab w:val="clear" w:pos="4150"/>
        <w:tab w:val="clear" w:pos="8307"/>
      </w:tabs>
    </w:pPr>
    <w:r>
      <w:rPr>
        <w:noProof/>
      </w:rPr>
      <mc:AlternateContent>
        <mc:Choice Requires="wps">
          <w:drawing>
            <wp:anchor distT="0" distB="0" distL="114300" distR="114300" simplePos="0" relativeHeight="251660288" behindDoc="1" locked="0" layoutInCell="1" allowOverlap="1" wp14:anchorId="1FA18233" wp14:editId="120C8EC9">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0369B548" w14:textId="77777777" w:rsidR="00AD7A82" w:rsidRPr="00581211" w:rsidRDefault="00AD7A82"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18233" id="_x0000_t202" coordsize="21600,21600" o:spt="202" path="m,l,21600r21600,l21600,xe">
              <v:stroke joinstyle="miter"/>
              <v:path gradientshapeok="t" o:connecttype="rect"/>
            </v:shapetype>
            <v:shape id="Text Box 15" o:spid="_x0000_s1026" type="#_x0000_t202" style="position:absolute;margin-left:0;margin-top:11.3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" stroked="f">
              <v:stroke joinstyle="round"/>
              <v:path arrowok="t"/>
              <v:textbox>
                <w:txbxContent>
                  <w:p w14:paraId="0369B548" w14:textId="77777777" w:rsidR="00AD7A82" w:rsidRPr="00581211" w:rsidRDefault="00AD7A82"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2AE0B" w14:textId="77777777" w:rsidR="00AD7A82" w:rsidRPr="005F1388" w:rsidRDefault="00AD7A82"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E531A" w14:textId="77777777" w:rsidR="00AD7A82" w:rsidRPr="005F1388" w:rsidRDefault="00AD7A8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1654A" w14:textId="77777777" w:rsidR="00AD7A82" w:rsidRDefault="00AD7A82" w:rsidP="0048364F">
    <w:pPr>
      <w:rPr>
        <w:b/>
        <w:sz w:val="20"/>
      </w:rPr>
    </w:pPr>
  </w:p>
  <w:p w14:paraId="1E677B83" w14:textId="62997F86" w:rsidR="00AD7A82" w:rsidRDefault="00AD7A82" w:rsidP="0048364F">
    <w:pPr>
      <w:rPr>
        <w:sz w:val="20"/>
      </w:rPr>
    </w:pPr>
    <w:r>
      <w:rPr>
        <w:b/>
        <w:sz w:val="20"/>
      </w:rPr>
      <w:fldChar w:fldCharType="begin"/>
    </w:r>
    <w:r>
      <w:rPr>
        <w:b/>
        <w:sz w:val="20"/>
      </w:rPr>
      <w:instrText xml:space="preserve"> STYLEREF CharAmSchNo </w:instrText>
    </w:r>
    <w:r>
      <w:rPr>
        <w:b/>
        <w:sz w:val="20"/>
      </w:rPr>
      <w:fldChar w:fldCharType="end"/>
    </w:r>
    <w:r>
      <w:rPr>
        <w:sz w:val="20"/>
      </w:rPr>
      <w:t xml:space="preserve"> </w:t>
    </w:r>
  </w:p>
  <w:p w14:paraId="02FA09D7" w14:textId="77777777" w:rsidR="00AD7A82" w:rsidRPr="00A961C4" w:rsidRDefault="00AD7A82" w:rsidP="0048364F">
    <w:pPr>
      <w:rPr>
        <w:b/>
        <w:sz w:val="20"/>
      </w:rPr>
    </w:pPr>
  </w:p>
  <w:p w14:paraId="4D5827E4" w14:textId="77777777" w:rsidR="00AD7A82" w:rsidRPr="00A961C4" w:rsidRDefault="00AD7A82"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3CE8C" w14:textId="44D885B3" w:rsidR="00AD7A82" w:rsidRDefault="00AD7A82" w:rsidP="0048364F">
    <w:pPr>
      <w:jc w:val="right"/>
      <w:rPr>
        <w:b/>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FF3166">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FF3166">
      <w:rPr>
        <w:b/>
        <w:noProof/>
        <w:sz w:val="20"/>
      </w:rPr>
      <w:t>Schedule 1</w:t>
    </w:r>
    <w:r>
      <w:rPr>
        <w:b/>
        <w:sz w:val="20"/>
      </w:rPr>
      <w:fldChar w:fldCharType="end"/>
    </w:r>
  </w:p>
  <w:p w14:paraId="4A87B749" w14:textId="77777777" w:rsidR="00AD7A82" w:rsidRPr="00A961C4" w:rsidRDefault="00AD7A82" w:rsidP="0048364F">
    <w:pPr>
      <w:jc w:val="right"/>
      <w:rPr>
        <w:sz w:val="20"/>
      </w:rPr>
    </w:pPr>
  </w:p>
  <w:p w14:paraId="538F50F9" w14:textId="77777777" w:rsidR="00AD7A82" w:rsidRPr="00A961C4" w:rsidRDefault="00AD7A82" w:rsidP="0048364F">
    <w:pPr>
      <w:jc w:val="right"/>
      <w:rPr>
        <w:b/>
        <w:sz w:val="20"/>
      </w:rPr>
    </w:pPr>
  </w:p>
  <w:p w14:paraId="3C22380C" w14:textId="77777777" w:rsidR="00AD7A82" w:rsidRPr="00A961C4" w:rsidRDefault="00AD7A82" w:rsidP="007F48ED">
    <w:pPr>
      <w:pBdr>
        <w:bottom w:val="single" w:sz="6" w:space="1" w:color="auto"/>
      </w:pBdr>
      <w:spacing w:after="12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2C7FC" w14:textId="77777777" w:rsidR="00AD7A82" w:rsidRPr="00A961C4" w:rsidRDefault="00AD7A82" w:rsidP="0048364F"/>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979F" w14:textId="77777777" w:rsidR="00AD7A82" w:rsidRDefault="00AD7A82" w:rsidP="0048364F">
    <w:pPr>
      <w:rPr>
        <w:b/>
        <w:sz w:val="20"/>
      </w:rPr>
    </w:pPr>
  </w:p>
  <w:p w14:paraId="655B8CA5" w14:textId="0B9179EB" w:rsidR="00AD7A82" w:rsidRDefault="00AD7A82" w:rsidP="0048364F">
    <w:pPr>
      <w:rPr>
        <w:sz w:val="20"/>
      </w:rPr>
    </w:pPr>
    <w:r>
      <w:rPr>
        <w:b/>
        <w:sz w:val="20"/>
      </w:rPr>
      <w:fldChar w:fldCharType="begin"/>
    </w:r>
    <w:r>
      <w:rPr>
        <w:b/>
        <w:sz w:val="20"/>
      </w:rPr>
      <w:instrText xml:space="preserve"> STYLEREF CharAmSchNo </w:instrText>
    </w:r>
    <w:r>
      <w:rPr>
        <w:b/>
        <w:sz w:val="20"/>
      </w:rPr>
      <w:fldChar w:fldCharType="separate"/>
    </w:r>
    <w:r w:rsidR="00FF3166">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 MERGEFORMAT </w:instrText>
    </w:r>
    <w:r>
      <w:rPr>
        <w:sz w:val="20"/>
      </w:rPr>
      <w:fldChar w:fldCharType="separate"/>
    </w:r>
    <w:r w:rsidR="00FF3166">
      <w:rPr>
        <w:noProof/>
        <w:sz w:val="20"/>
      </w:rPr>
      <w:t>Amendments</w:t>
    </w:r>
    <w:r>
      <w:rPr>
        <w:sz w:val="20"/>
      </w:rPr>
      <w:fldChar w:fldCharType="end"/>
    </w:r>
  </w:p>
  <w:p w14:paraId="042F86A3" w14:textId="77777777" w:rsidR="00AD7A82" w:rsidRDefault="00AD7A82" w:rsidP="0048364F">
    <w:pPr>
      <w:rPr>
        <w:sz w:val="20"/>
      </w:rPr>
    </w:pPr>
  </w:p>
  <w:p w14:paraId="2E4CD5E3" w14:textId="77777777" w:rsidR="00AD7A82" w:rsidRPr="00A961C4" w:rsidRDefault="00AD7A82" w:rsidP="0048364F">
    <w:pPr>
      <w:rPr>
        <w:b/>
        <w:sz w:val="20"/>
      </w:rPr>
    </w:pPr>
  </w:p>
  <w:p w14:paraId="54B6218E" w14:textId="77777777" w:rsidR="00AD7A82" w:rsidRPr="00A961C4" w:rsidRDefault="00AD7A82" w:rsidP="007F48ED">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24AE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A8F6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E004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EEB3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8632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5C74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684B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5AF5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64F5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69A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976D9"/>
    <w:multiLevelType w:val="hybridMultilevel"/>
    <w:tmpl w:val="DF76471E"/>
    <w:lvl w:ilvl="0" w:tplc="93F6BE94">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DD5410"/>
    <w:multiLevelType w:val="hybridMultilevel"/>
    <w:tmpl w:val="642209B2"/>
    <w:lvl w:ilvl="0" w:tplc="D9F05D44">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336560"/>
    <w:multiLevelType w:val="hybridMultilevel"/>
    <w:tmpl w:val="43EC13D4"/>
    <w:lvl w:ilvl="0" w:tplc="1D162C1A">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F770E8"/>
    <w:multiLevelType w:val="hybridMultilevel"/>
    <w:tmpl w:val="B316E2DC"/>
    <w:lvl w:ilvl="0" w:tplc="3D264A66">
      <w:start w:val="1"/>
      <w:numFmt w:val="bullet"/>
      <w:lvlText w:val="-"/>
      <w:lvlJc w:val="left"/>
      <w:pPr>
        <w:ind w:left="1494" w:hanging="360"/>
      </w:pPr>
      <w:rPr>
        <w:rFonts w:ascii="Times New Roman" w:eastAsia="Times New Roman" w:hAnsi="Times New Roman" w:cs="Times New Roman"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C426054"/>
    <w:multiLevelType w:val="hybridMultilevel"/>
    <w:tmpl w:val="EE3AE816"/>
    <w:lvl w:ilvl="0" w:tplc="11B2467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C63072"/>
    <w:multiLevelType w:val="hybridMultilevel"/>
    <w:tmpl w:val="2160D44E"/>
    <w:lvl w:ilvl="0" w:tplc="C36CBF2A">
      <w:start w:val="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634798"/>
    <w:multiLevelType w:val="hybridMultilevel"/>
    <w:tmpl w:val="B080BA00"/>
    <w:lvl w:ilvl="0" w:tplc="24B8F37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8"/>
  </w:num>
  <w:num w:numId="14">
    <w:abstractNumId w:val="17"/>
  </w:num>
  <w:num w:numId="15">
    <w:abstractNumId w:val="14"/>
  </w:num>
  <w:num w:numId="16">
    <w:abstractNumId w:val="10"/>
  </w:num>
  <w:num w:numId="17">
    <w:abstractNumId w:val="11"/>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A2"/>
    <w:rsid w:val="00000263"/>
    <w:rsid w:val="000010CE"/>
    <w:rsid w:val="00002AA4"/>
    <w:rsid w:val="0000333F"/>
    <w:rsid w:val="0000583C"/>
    <w:rsid w:val="00005969"/>
    <w:rsid w:val="000113BC"/>
    <w:rsid w:val="00012493"/>
    <w:rsid w:val="000136AF"/>
    <w:rsid w:val="000142DE"/>
    <w:rsid w:val="00016C4C"/>
    <w:rsid w:val="00017D4C"/>
    <w:rsid w:val="000233B6"/>
    <w:rsid w:val="000235FB"/>
    <w:rsid w:val="000246A5"/>
    <w:rsid w:val="00025FC9"/>
    <w:rsid w:val="00033897"/>
    <w:rsid w:val="00036962"/>
    <w:rsid w:val="00036DF8"/>
    <w:rsid w:val="00037359"/>
    <w:rsid w:val="0004044E"/>
    <w:rsid w:val="000424CC"/>
    <w:rsid w:val="0004374E"/>
    <w:rsid w:val="00043F5C"/>
    <w:rsid w:val="0004545A"/>
    <w:rsid w:val="000454F6"/>
    <w:rsid w:val="0005120E"/>
    <w:rsid w:val="00052E05"/>
    <w:rsid w:val="00053BF3"/>
    <w:rsid w:val="00054577"/>
    <w:rsid w:val="00054914"/>
    <w:rsid w:val="00054CE9"/>
    <w:rsid w:val="00055ED1"/>
    <w:rsid w:val="00056269"/>
    <w:rsid w:val="000569C2"/>
    <w:rsid w:val="00060F64"/>
    <w:rsid w:val="000614BF"/>
    <w:rsid w:val="00062E76"/>
    <w:rsid w:val="00064BB2"/>
    <w:rsid w:val="00065D48"/>
    <w:rsid w:val="00066BB0"/>
    <w:rsid w:val="00071446"/>
    <w:rsid w:val="0007169C"/>
    <w:rsid w:val="00071E02"/>
    <w:rsid w:val="00077593"/>
    <w:rsid w:val="00083F48"/>
    <w:rsid w:val="00085DC8"/>
    <w:rsid w:val="00085FB0"/>
    <w:rsid w:val="00086E46"/>
    <w:rsid w:val="00091EE5"/>
    <w:rsid w:val="0009202A"/>
    <w:rsid w:val="000A682E"/>
    <w:rsid w:val="000A7DF9"/>
    <w:rsid w:val="000B26AE"/>
    <w:rsid w:val="000C18F3"/>
    <w:rsid w:val="000C2768"/>
    <w:rsid w:val="000C31C9"/>
    <w:rsid w:val="000C37D3"/>
    <w:rsid w:val="000C5F3E"/>
    <w:rsid w:val="000D05EF"/>
    <w:rsid w:val="000D06EA"/>
    <w:rsid w:val="000D14C0"/>
    <w:rsid w:val="000D395C"/>
    <w:rsid w:val="000D40AC"/>
    <w:rsid w:val="000D5466"/>
    <w:rsid w:val="000D5485"/>
    <w:rsid w:val="000D565A"/>
    <w:rsid w:val="000D6D8C"/>
    <w:rsid w:val="000D78E7"/>
    <w:rsid w:val="000D7D6E"/>
    <w:rsid w:val="000E011B"/>
    <w:rsid w:val="000E273F"/>
    <w:rsid w:val="000E3BD7"/>
    <w:rsid w:val="000E4A92"/>
    <w:rsid w:val="000E6194"/>
    <w:rsid w:val="000E6C67"/>
    <w:rsid w:val="000F0B5F"/>
    <w:rsid w:val="000F0CC9"/>
    <w:rsid w:val="000F21C1"/>
    <w:rsid w:val="000F51CE"/>
    <w:rsid w:val="000F66DE"/>
    <w:rsid w:val="000F74B8"/>
    <w:rsid w:val="001006DA"/>
    <w:rsid w:val="00101A1D"/>
    <w:rsid w:val="0010212B"/>
    <w:rsid w:val="001041BC"/>
    <w:rsid w:val="00104C22"/>
    <w:rsid w:val="00104EB7"/>
    <w:rsid w:val="00105BDD"/>
    <w:rsid w:val="00105D72"/>
    <w:rsid w:val="0010745C"/>
    <w:rsid w:val="00111CF7"/>
    <w:rsid w:val="00113663"/>
    <w:rsid w:val="001151D5"/>
    <w:rsid w:val="001166BC"/>
    <w:rsid w:val="00117277"/>
    <w:rsid w:val="001233AC"/>
    <w:rsid w:val="001241CF"/>
    <w:rsid w:val="0012438D"/>
    <w:rsid w:val="0012560D"/>
    <w:rsid w:val="001269C7"/>
    <w:rsid w:val="00130557"/>
    <w:rsid w:val="00131997"/>
    <w:rsid w:val="00132844"/>
    <w:rsid w:val="001340AA"/>
    <w:rsid w:val="00135436"/>
    <w:rsid w:val="00136EBF"/>
    <w:rsid w:val="001421E1"/>
    <w:rsid w:val="00145F37"/>
    <w:rsid w:val="00147AB7"/>
    <w:rsid w:val="0015000D"/>
    <w:rsid w:val="00160BD7"/>
    <w:rsid w:val="001643C9"/>
    <w:rsid w:val="00165568"/>
    <w:rsid w:val="00166082"/>
    <w:rsid w:val="001664C5"/>
    <w:rsid w:val="00166C2F"/>
    <w:rsid w:val="001716C9"/>
    <w:rsid w:val="00172AE7"/>
    <w:rsid w:val="00174B9E"/>
    <w:rsid w:val="00175CFE"/>
    <w:rsid w:val="00177510"/>
    <w:rsid w:val="00184261"/>
    <w:rsid w:val="00187C96"/>
    <w:rsid w:val="001901CE"/>
    <w:rsid w:val="00190EA0"/>
    <w:rsid w:val="001922C2"/>
    <w:rsid w:val="00193437"/>
    <w:rsid w:val="00193461"/>
    <w:rsid w:val="001939E1"/>
    <w:rsid w:val="00195382"/>
    <w:rsid w:val="00195CA6"/>
    <w:rsid w:val="00196DE0"/>
    <w:rsid w:val="0019737B"/>
    <w:rsid w:val="001A09E6"/>
    <w:rsid w:val="001A3B9F"/>
    <w:rsid w:val="001A65C0"/>
    <w:rsid w:val="001B4297"/>
    <w:rsid w:val="001B60DE"/>
    <w:rsid w:val="001B6456"/>
    <w:rsid w:val="001B7A5D"/>
    <w:rsid w:val="001C5CA5"/>
    <w:rsid w:val="001C69C4"/>
    <w:rsid w:val="001C6A78"/>
    <w:rsid w:val="001C6F37"/>
    <w:rsid w:val="001D0119"/>
    <w:rsid w:val="001D0244"/>
    <w:rsid w:val="001D0E41"/>
    <w:rsid w:val="001D6066"/>
    <w:rsid w:val="001D637C"/>
    <w:rsid w:val="001D6F33"/>
    <w:rsid w:val="001E0A8D"/>
    <w:rsid w:val="001E0E5E"/>
    <w:rsid w:val="001E0ECE"/>
    <w:rsid w:val="001E1806"/>
    <w:rsid w:val="001E3590"/>
    <w:rsid w:val="001E4249"/>
    <w:rsid w:val="001E63C6"/>
    <w:rsid w:val="001E661D"/>
    <w:rsid w:val="001E7407"/>
    <w:rsid w:val="0020122D"/>
    <w:rsid w:val="00201D27"/>
    <w:rsid w:val="0020300C"/>
    <w:rsid w:val="00205722"/>
    <w:rsid w:val="00206390"/>
    <w:rsid w:val="00206647"/>
    <w:rsid w:val="002073D0"/>
    <w:rsid w:val="002102C7"/>
    <w:rsid w:val="0021290B"/>
    <w:rsid w:val="00212DD9"/>
    <w:rsid w:val="00216BEF"/>
    <w:rsid w:val="00216CF5"/>
    <w:rsid w:val="002178C0"/>
    <w:rsid w:val="00220A0C"/>
    <w:rsid w:val="00221A39"/>
    <w:rsid w:val="00223E4A"/>
    <w:rsid w:val="00227BDB"/>
    <w:rsid w:val="00227D61"/>
    <w:rsid w:val="002302EA"/>
    <w:rsid w:val="00230FD6"/>
    <w:rsid w:val="002317C5"/>
    <w:rsid w:val="002344BA"/>
    <w:rsid w:val="00235455"/>
    <w:rsid w:val="0023622D"/>
    <w:rsid w:val="00240749"/>
    <w:rsid w:val="00241DFF"/>
    <w:rsid w:val="0024333B"/>
    <w:rsid w:val="00243969"/>
    <w:rsid w:val="00244E56"/>
    <w:rsid w:val="002468D7"/>
    <w:rsid w:val="0024742C"/>
    <w:rsid w:val="002514C3"/>
    <w:rsid w:val="00252298"/>
    <w:rsid w:val="00253260"/>
    <w:rsid w:val="00254627"/>
    <w:rsid w:val="00256315"/>
    <w:rsid w:val="002563DE"/>
    <w:rsid w:val="002601D5"/>
    <w:rsid w:val="0026089F"/>
    <w:rsid w:val="00264896"/>
    <w:rsid w:val="00265DB4"/>
    <w:rsid w:val="00267428"/>
    <w:rsid w:val="0026742D"/>
    <w:rsid w:val="002755EF"/>
    <w:rsid w:val="00275D2A"/>
    <w:rsid w:val="00275F3E"/>
    <w:rsid w:val="00277E5D"/>
    <w:rsid w:val="002815CA"/>
    <w:rsid w:val="00282F4E"/>
    <w:rsid w:val="00285CDD"/>
    <w:rsid w:val="00286452"/>
    <w:rsid w:val="00287D59"/>
    <w:rsid w:val="00291167"/>
    <w:rsid w:val="0029306C"/>
    <w:rsid w:val="00293879"/>
    <w:rsid w:val="00293E31"/>
    <w:rsid w:val="00297223"/>
    <w:rsid w:val="002977C9"/>
    <w:rsid w:val="002978FE"/>
    <w:rsid w:val="00297ECB"/>
    <w:rsid w:val="002A212C"/>
    <w:rsid w:val="002A4869"/>
    <w:rsid w:val="002A4967"/>
    <w:rsid w:val="002B0782"/>
    <w:rsid w:val="002B1D1A"/>
    <w:rsid w:val="002B4238"/>
    <w:rsid w:val="002C152A"/>
    <w:rsid w:val="002D0299"/>
    <w:rsid w:val="002D043A"/>
    <w:rsid w:val="002D160F"/>
    <w:rsid w:val="002D230C"/>
    <w:rsid w:val="002E1D03"/>
    <w:rsid w:val="002F00D4"/>
    <w:rsid w:val="002F3EC8"/>
    <w:rsid w:val="002F4E67"/>
    <w:rsid w:val="002F61C0"/>
    <w:rsid w:val="002F7475"/>
    <w:rsid w:val="00300366"/>
    <w:rsid w:val="00304EE9"/>
    <w:rsid w:val="003103A7"/>
    <w:rsid w:val="003128E6"/>
    <w:rsid w:val="00312A11"/>
    <w:rsid w:val="00313C65"/>
    <w:rsid w:val="0031605A"/>
    <w:rsid w:val="0031713F"/>
    <w:rsid w:val="0032018F"/>
    <w:rsid w:val="00321913"/>
    <w:rsid w:val="00321BA6"/>
    <w:rsid w:val="00322D40"/>
    <w:rsid w:val="00323783"/>
    <w:rsid w:val="003252F5"/>
    <w:rsid w:val="00325D3E"/>
    <w:rsid w:val="00326BDA"/>
    <w:rsid w:val="003316DC"/>
    <w:rsid w:val="00332008"/>
    <w:rsid w:val="00332E0D"/>
    <w:rsid w:val="00334C28"/>
    <w:rsid w:val="003412E6"/>
    <w:rsid w:val="003413EF"/>
    <w:rsid w:val="003415D3"/>
    <w:rsid w:val="00344A09"/>
    <w:rsid w:val="003455F2"/>
    <w:rsid w:val="00346335"/>
    <w:rsid w:val="00351E34"/>
    <w:rsid w:val="00352B0F"/>
    <w:rsid w:val="003561B0"/>
    <w:rsid w:val="0036092F"/>
    <w:rsid w:val="00361342"/>
    <w:rsid w:val="0036578F"/>
    <w:rsid w:val="00367905"/>
    <w:rsid w:val="00367960"/>
    <w:rsid w:val="003727A9"/>
    <w:rsid w:val="00373F9B"/>
    <w:rsid w:val="00375A5C"/>
    <w:rsid w:val="003825DF"/>
    <w:rsid w:val="00382CC6"/>
    <w:rsid w:val="003832A0"/>
    <w:rsid w:val="00383FF0"/>
    <w:rsid w:val="0038631B"/>
    <w:rsid w:val="0038671E"/>
    <w:rsid w:val="00386C23"/>
    <w:rsid w:val="00386D7F"/>
    <w:rsid w:val="00390042"/>
    <w:rsid w:val="003979C7"/>
    <w:rsid w:val="00397D8B"/>
    <w:rsid w:val="003A15AC"/>
    <w:rsid w:val="003A1A0C"/>
    <w:rsid w:val="003A2258"/>
    <w:rsid w:val="003A32B4"/>
    <w:rsid w:val="003A38DD"/>
    <w:rsid w:val="003A56EB"/>
    <w:rsid w:val="003B0627"/>
    <w:rsid w:val="003B3CEA"/>
    <w:rsid w:val="003B5710"/>
    <w:rsid w:val="003C0F66"/>
    <w:rsid w:val="003C2026"/>
    <w:rsid w:val="003C2C75"/>
    <w:rsid w:val="003C5F2B"/>
    <w:rsid w:val="003C79BC"/>
    <w:rsid w:val="003C7FB1"/>
    <w:rsid w:val="003D0BFE"/>
    <w:rsid w:val="003D1AA8"/>
    <w:rsid w:val="003D2C57"/>
    <w:rsid w:val="003D369A"/>
    <w:rsid w:val="003D4654"/>
    <w:rsid w:val="003D5700"/>
    <w:rsid w:val="003D5AF9"/>
    <w:rsid w:val="003D615B"/>
    <w:rsid w:val="003D721B"/>
    <w:rsid w:val="003E059C"/>
    <w:rsid w:val="003E13AE"/>
    <w:rsid w:val="003E1659"/>
    <w:rsid w:val="003E200B"/>
    <w:rsid w:val="003E4E0E"/>
    <w:rsid w:val="003E582F"/>
    <w:rsid w:val="003E591F"/>
    <w:rsid w:val="003F0F5A"/>
    <w:rsid w:val="003F2251"/>
    <w:rsid w:val="003F50CD"/>
    <w:rsid w:val="00400A30"/>
    <w:rsid w:val="004022CA"/>
    <w:rsid w:val="00402A55"/>
    <w:rsid w:val="00402C0D"/>
    <w:rsid w:val="00403034"/>
    <w:rsid w:val="0040352E"/>
    <w:rsid w:val="00405A5B"/>
    <w:rsid w:val="00410F1D"/>
    <w:rsid w:val="004116CD"/>
    <w:rsid w:val="00414955"/>
    <w:rsid w:val="00414ADE"/>
    <w:rsid w:val="00416F37"/>
    <w:rsid w:val="00417293"/>
    <w:rsid w:val="004200B0"/>
    <w:rsid w:val="00424CA9"/>
    <w:rsid w:val="00424F0D"/>
    <w:rsid w:val="004257BB"/>
    <w:rsid w:val="004261D9"/>
    <w:rsid w:val="004273C6"/>
    <w:rsid w:val="004302DA"/>
    <w:rsid w:val="00431151"/>
    <w:rsid w:val="00431AB5"/>
    <w:rsid w:val="00432AD1"/>
    <w:rsid w:val="00434741"/>
    <w:rsid w:val="0044291A"/>
    <w:rsid w:val="00444D75"/>
    <w:rsid w:val="00446BA3"/>
    <w:rsid w:val="00447BBE"/>
    <w:rsid w:val="0045026F"/>
    <w:rsid w:val="0045345C"/>
    <w:rsid w:val="00456FD3"/>
    <w:rsid w:val="00457486"/>
    <w:rsid w:val="004577D4"/>
    <w:rsid w:val="00460499"/>
    <w:rsid w:val="00460792"/>
    <w:rsid w:val="00462AD4"/>
    <w:rsid w:val="00464352"/>
    <w:rsid w:val="00465250"/>
    <w:rsid w:val="00466F1F"/>
    <w:rsid w:val="004677A3"/>
    <w:rsid w:val="00474835"/>
    <w:rsid w:val="004759DA"/>
    <w:rsid w:val="00480470"/>
    <w:rsid w:val="0048176A"/>
    <w:rsid w:val="004819C7"/>
    <w:rsid w:val="004827F2"/>
    <w:rsid w:val="0048364F"/>
    <w:rsid w:val="004840A6"/>
    <w:rsid w:val="004842C7"/>
    <w:rsid w:val="004843BE"/>
    <w:rsid w:val="00490F2E"/>
    <w:rsid w:val="00492BAD"/>
    <w:rsid w:val="0049647A"/>
    <w:rsid w:val="00496DB3"/>
    <w:rsid w:val="00496F97"/>
    <w:rsid w:val="004A3E12"/>
    <w:rsid w:val="004A53EA"/>
    <w:rsid w:val="004A7115"/>
    <w:rsid w:val="004B1E49"/>
    <w:rsid w:val="004B45E1"/>
    <w:rsid w:val="004B5513"/>
    <w:rsid w:val="004C0455"/>
    <w:rsid w:val="004C0F55"/>
    <w:rsid w:val="004C502D"/>
    <w:rsid w:val="004D380D"/>
    <w:rsid w:val="004D4468"/>
    <w:rsid w:val="004D643E"/>
    <w:rsid w:val="004E1C3B"/>
    <w:rsid w:val="004E2A4D"/>
    <w:rsid w:val="004E4D36"/>
    <w:rsid w:val="004E52F3"/>
    <w:rsid w:val="004E597D"/>
    <w:rsid w:val="004E5F23"/>
    <w:rsid w:val="004F19AB"/>
    <w:rsid w:val="004F1FAC"/>
    <w:rsid w:val="004F4301"/>
    <w:rsid w:val="004F5A58"/>
    <w:rsid w:val="004F676E"/>
    <w:rsid w:val="00501CF5"/>
    <w:rsid w:val="00506455"/>
    <w:rsid w:val="00510B31"/>
    <w:rsid w:val="00511735"/>
    <w:rsid w:val="00512A66"/>
    <w:rsid w:val="005134A2"/>
    <w:rsid w:val="00516B8D"/>
    <w:rsid w:val="00517E00"/>
    <w:rsid w:val="0052003E"/>
    <w:rsid w:val="00522261"/>
    <w:rsid w:val="005224F7"/>
    <w:rsid w:val="0052399E"/>
    <w:rsid w:val="0052574B"/>
    <w:rsid w:val="0052686F"/>
    <w:rsid w:val="00527188"/>
    <w:rsid w:val="0052756C"/>
    <w:rsid w:val="00530230"/>
    <w:rsid w:val="00530CC9"/>
    <w:rsid w:val="00537FBC"/>
    <w:rsid w:val="00541869"/>
    <w:rsid w:val="00541D73"/>
    <w:rsid w:val="00543469"/>
    <w:rsid w:val="00544350"/>
    <w:rsid w:val="005452CC"/>
    <w:rsid w:val="00546FA3"/>
    <w:rsid w:val="005507F8"/>
    <w:rsid w:val="00551ADF"/>
    <w:rsid w:val="00554243"/>
    <w:rsid w:val="00555C7A"/>
    <w:rsid w:val="00555E33"/>
    <w:rsid w:val="00557C7A"/>
    <w:rsid w:val="00560E67"/>
    <w:rsid w:val="00561D24"/>
    <w:rsid w:val="00562A58"/>
    <w:rsid w:val="00563F8B"/>
    <w:rsid w:val="00571765"/>
    <w:rsid w:val="00574387"/>
    <w:rsid w:val="005772F4"/>
    <w:rsid w:val="00581211"/>
    <w:rsid w:val="00581CA5"/>
    <w:rsid w:val="00584811"/>
    <w:rsid w:val="005849B6"/>
    <w:rsid w:val="00586162"/>
    <w:rsid w:val="00586B12"/>
    <w:rsid w:val="00590889"/>
    <w:rsid w:val="00593AA6"/>
    <w:rsid w:val="00594161"/>
    <w:rsid w:val="005942C8"/>
    <w:rsid w:val="00594749"/>
    <w:rsid w:val="005A3552"/>
    <w:rsid w:val="005A482B"/>
    <w:rsid w:val="005B1433"/>
    <w:rsid w:val="005B4067"/>
    <w:rsid w:val="005C1D7B"/>
    <w:rsid w:val="005C2894"/>
    <w:rsid w:val="005C36E0"/>
    <w:rsid w:val="005C3EAF"/>
    <w:rsid w:val="005C3F41"/>
    <w:rsid w:val="005C54C7"/>
    <w:rsid w:val="005C5555"/>
    <w:rsid w:val="005C7E2E"/>
    <w:rsid w:val="005D0AEE"/>
    <w:rsid w:val="005D168D"/>
    <w:rsid w:val="005D5EA1"/>
    <w:rsid w:val="005D5F5E"/>
    <w:rsid w:val="005D739C"/>
    <w:rsid w:val="005E1841"/>
    <w:rsid w:val="005E3594"/>
    <w:rsid w:val="005E37BA"/>
    <w:rsid w:val="005E513F"/>
    <w:rsid w:val="005E61D3"/>
    <w:rsid w:val="005E6D53"/>
    <w:rsid w:val="005E7810"/>
    <w:rsid w:val="005F1129"/>
    <w:rsid w:val="005F3C58"/>
    <w:rsid w:val="005F49F5"/>
    <w:rsid w:val="005F5497"/>
    <w:rsid w:val="005F6C9F"/>
    <w:rsid w:val="005F7738"/>
    <w:rsid w:val="00600219"/>
    <w:rsid w:val="006040AC"/>
    <w:rsid w:val="00605AA1"/>
    <w:rsid w:val="00606127"/>
    <w:rsid w:val="00611E24"/>
    <w:rsid w:val="006121D5"/>
    <w:rsid w:val="00613EAD"/>
    <w:rsid w:val="0061586B"/>
    <w:rsid w:val="006158AC"/>
    <w:rsid w:val="006207C2"/>
    <w:rsid w:val="00622973"/>
    <w:rsid w:val="006305B9"/>
    <w:rsid w:val="00632DD2"/>
    <w:rsid w:val="006341CE"/>
    <w:rsid w:val="00634FEC"/>
    <w:rsid w:val="00635B54"/>
    <w:rsid w:val="00637CDE"/>
    <w:rsid w:val="00640402"/>
    <w:rsid w:val="00640BA0"/>
    <w:rsid w:val="00640F78"/>
    <w:rsid w:val="0064577E"/>
    <w:rsid w:val="00646E7B"/>
    <w:rsid w:val="006476B5"/>
    <w:rsid w:val="00650A8E"/>
    <w:rsid w:val="00653B09"/>
    <w:rsid w:val="006543F0"/>
    <w:rsid w:val="00655D6A"/>
    <w:rsid w:val="00656DE9"/>
    <w:rsid w:val="006574E8"/>
    <w:rsid w:val="0066564D"/>
    <w:rsid w:val="00666BEE"/>
    <w:rsid w:val="00670164"/>
    <w:rsid w:val="006710A8"/>
    <w:rsid w:val="006733A2"/>
    <w:rsid w:val="006733BD"/>
    <w:rsid w:val="00675241"/>
    <w:rsid w:val="00676A6F"/>
    <w:rsid w:val="00677CC2"/>
    <w:rsid w:val="00681063"/>
    <w:rsid w:val="0068395A"/>
    <w:rsid w:val="00684E0C"/>
    <w:rsid w:val="00685F42"/>
    <w:rsid w:val="00685FF4"/>
    <w:rsid w:val="006866A1"/>
    <w:rsid w:val="0068736E"/>
    <w:rsid w:val="00690D2F"/>
    <w:rsid w:val="0069207B"/>
    <w:rsid w:val="0069212B"/>
    <w:rsid w:val="00692150"/>
    <w:rsid w:val="00695061"/>
    <w:rsid w:val="006953AA"/>
    <w:rsid w:val="006A1555"/>
    <w:rsid w:val="006A2703"/>
    <w:rsid w:val="006A4309"/>
    <w:rsid w:val="006B0431"/>
    <w:rsid w:val="006B1523"/>
    <w:rsid w:val="006B5836"/>
    <w:rsid w:val="006B7006"/>
    <w:rsid w:val="006B7906"/>
    <w:rsid w:val="006C20C1"/>
    <w:rsid w:val="006C7F8C"/>
    <w:rsid w:val="006D106B"/>
    <w:rsid w:val="006D296E"/>
    <w:rsid w:val="006D35DE"/>
    <w:rsid w:val="006D441B"/>
    <w:rsid w:val="006D7AB9"/>
    <w:rsid w:val="006E1E1C"/>
    <w:rsid w:val="006E4AC0"/>
    <w:rsid w:val="006E4B55"/>
    <w:rsid w:val="00700B2C"/>
    <w:rsid w:val="00702EA7"/>
    <w:rsid w:val="00710B6E"/>
    <w:rsid w:val="0071126A"/>
    <w:rsid w:val="00711B40"/>
    <w:rsid w:val="00713084"/>
    <w:rsid w:val="00717395"/>
    <w:rsid w:val="00717EA5"/>
    <w:rsid w:val="00720E56"/>
    <w:rsid w:val="00720FC2"/>
    <w:rsid w:val="00721F3C"/>
    <w:rsid w:val="00722623"/>
    <w:rsid w:val="00722C5A"/>
    <w:rsid w:val="00731C6C"/>
    <w:rsid w:val="00731E00"/>
    <w:rsid w:val="00732D1B"/>
    <w:rsid w:val="00732E9D"/>
    <w:rsid w:val="0073491A"/>
    <w:rsid w:val="00735BA6"/>
    <w:rsid w:val="00735CBC"/>
    <w:rsid w:val="00743CB2"/>
    <w:rsid w:val="007440B7"/>
    <w:rsid w:val="00744C87"/>
    <w:rsid w:val="00745400"/>
    <w:rsid w:val="00747993"/>
    <w:rsid w:val="00751C00"/>
    <w:rsid w:val="00754D99"/>
    <w:rsid w:val="007634AD"/>
    <w:rsid w:val="00764573"/>
    <w:rsid w:val="00765CAA"/>
    <w:rsid w:val="007715C9"/>
    <w:rsid w:val="00774224"/>
    <w:rsid w:val="00774EDD"/>
    <w:rsid w:val="007757EC"/>
    <w:rsid w:val="00776439"/>
    <w:rsid w:val="00776643"/>
    <w:rsid w:val="0077669D"/>
    <w:rsid w:val="0077766E"/>
    <w:rsid w:val="00781551"/>
    <w:rsid w:val="007833B0"/>
    <w:rsid w:val="00787A2C"/>
    <w:rsid w:val="00791055"/>
    <w:rsid w:val="00792CA5"/>
    <w:rsid w:val="007934A8"/>
    <w:rsid w:val="00795114"/>
    <w:rsid w:val="007A0ACE"/>
    <w:rsid w:val="007A1E12"/>
    <w:rsid w:val="007A2D59"/>
    <w:rsid w:val="007A35E6"/>
    <w:rsid w:val="007A53B3"/>
    <w:rsid w:val="007A6863"/>
    <w:rsid w:val="007B5943"/>
    <w:rsid w:val="007B71D8"/>
    <w:rsid w:val="007C0613"/>
    <w:rsid w:val="007C1904"/>
    <w:rsid w:val="007C4D81"/>
    <w:rsid w:val="007C5383"/>
    <w:rsid w:val="007D2D6A"/>
    <w:rsid w:val="007D3341"/>
    <w:rsid w:val="007D45C1"/>
    <w:rsid w:val="007D65FE"/>
    <w:rsid w:val="007E3737"/>
    <w:rsid w:val="007E7D4A"/>
    <w:rsid w:val="007F2D21"/>
    <w:rsid w:val="007F48ED"/>
    <w:rsid w:val="007F7947"/>
    <w:rsid w:val="00806FA9"/>
    <w:rsid w:val="008112E5"/>
    <w:rsid w:val="00811BE0"/>
    <w:rsid w:val="00812F45"/>
    <w:rsid w:val="00817621"/>
    <w:rsid w:val="00820613"/>
    <w:rsid w:val="008224FB"/>
    <w:rsid w:val="0082718B"/>
    <w:rsid w:val="008331A1"/>
    <w:rsid w:val="00834C72"/>
    <w:rsid w:val="00836F7A"/>
    <w:rsid w:val="00836FE8"/>
    <w:rsid w:val="0084172C"/>
    <w:rsid w:val="00842AF8"/>
    <w:rsid w:val="00845F38"/>
    <w:rsid w:val="00846BFD"/>
    <w:rsid w:val="00851298"/>
    <w:rsid w:val="00853070"/>
    <w:rsid w:val="00855EEB"/>
    <w:rsid w:val="00856A31"/>
    <w:rsid w:val="00856D1B"/>
    <w:rsid w:val="008656FE"/>
    <w:rsid w:val="008677A1"/>
    <w:rsid w:val="00874DF5"/>
    <w:rsid w:val="00874EB9"/>
    <w:rsid w:val="008754D0"/>
    <w:rsid w:val="00877D48"/>
    <w:rsid w:val="00880363"/>
    <w:rsid w:val="00881BDA"/>
    <w:rsid w:val="0088345B"/>
    <w:rsid w:val="00884601"/>
    <w:rsid w:val="00884787"/>
    <w:rsid w:val="008954A2"/>
    <w:rsid w:val="00896128"/>
    <w:rsid w:val="008A0DC0"/>
    <w:rsid w:val="008A16A5"/>
    <w:rsid w:val="008A479A"/>
    <w:rsid w:val="008B0219"/>
    <w:rsid w:val="008B11F3"/>
    <w:rsid w:val="008B393C"/>
    <w:rsid w:val="008B4A2D"/>
    <w:rsid w:val="008B4B6D"/>
    <w:rsid w:val="008B6426"/>
    <w:rsid w:val="008B7BB8"/>
    <w:rsid w:val="008C0497"/>
    <w:rsid w:val="008C1C7F"/>
    <w:rsid w:val="008C2B5D"/>
    <w:rsid w:val="008C3D81"/>
    <w:rsid w:val="008C64E2"/>
    <w:rsid w:val="008D0EE0"/>
    <w:rsid w:val="008D2D7F"/>
    <w:rsid w:val="008D5B99"/>
    <w:rsid w:val="008D691D"/>
    <w:rsid w:val="008D7A27"/>
    <w:rsid w:val="008D7B97"/>
    <w:rsid w:val="008E1168"/>
    <w:rsid w:val="008E4702"/>
    <w:rsid w:val="008E69AA"/>
    <w:rsid w:val="008F4F1C"/>
    <w:rsid w:val="008F6118"/>
    <w:rsid w:val="008F7123"/>
    <w:rsid w:val="008F7DA7"/>
    <w:rsid w:val="00900023"/>
    <w:rsid w:val="00922764"/>
    <w:rsid w:val="00931071"/>
    <w:rsid w:val="00932377"/>
    <w:rsid w:val="00934D01"/>
    <w:rsid w:val="00935A7A"/>
    <w:rsid w:val="00936675"/>
    <w:rsid w:val="00943102"/>
    <w:rsid w:val="00944794"/>
    <w:rsid w:val="0094523D"/>
    <w:rsid w:val="0094684F"/>
    <w:rsid w:val="009510CA"/>
    <w:rsid w:val="0095249F"/>
    <w:rsid w:val="009537CF"/>
    <w:rsid w:val="009559E6"/>
    <w:rsid w:val="0095677C"/>
    <w:rsid w:val="00957826"/>
    <w:rsid w:val="009602A2"/>
    <w:rsid w:val="0096039E"/>
    <w:rsid w:val="009643D0"/>
    <w:rsid w:val="00974ED9"/>
    <w:rsid w:val="009760BF"/>
    <w:rsid w:val="00976A63"/>
    <w:rsid w:val="009814C0"/>
    <w:rsid w:val="00983419"/>
    <w:rsid w:val="0098447D"/>
    <w:rsid w:val="009938F4"/>
    <w:rsid w:val="00995834"/>
    <w:rsid w:val="009A19F9"/>
    <w:rsid w:val="009A1C8F"/>
    <w:rsid w:val="009A3EC2"/>
    <w:rsid w:val="009B4B36"/>
    <w:rsid w:val="009B6F1B"/>
    <w:rsid w:val="009B6FF7"/>
    <w:rsid w:val="009C24C9"/>
    <w:rsid w:val="009C3431"/>
    <w:rsid w:val="009C5989"/>
    <w:rsid w:val="009D08DA"/>
    <w:rsid w:val="009D572F"/>
    <w:rsid w:val="009D5865"/>
    <w:rsid w:val="009D6292"/>
    <w:rsid w:val="009D733E"/>
    <w:rsid w:val="009E10E8"/>
    <w:rsid w:val="009E1559"/>
    <w:rsid w:val="009E2EF6"/>
    <w:rsid w:val="009E31EF"/>
    <w:rsid w:val="009E4FB7"/>
    <w:rsid w:val="009E79C8"/>
    <w:rsid w:val="009E7E07"/>
    <w:rsid w:val="009F0E99"/>
    <w:rsid w:val="009F279A"/>
    <w:rsid w:val="009F282E"/>
    <w:rsid w:val="009F3678"/>
    <w:rsid w:val="009F5EDD"/>
    <w:rsid w:val="009F63C6"/>
    <w:rsid w:val="009F7B18"/>
    <w:rsid w:val="00A00CDF"/>
    <w:rsid w:val="00A03F4E"/>
    <w:rsid w:val="00A056EA"/>
    <w:rsid w:val="00A06860"/>
    <w:rsid w:val="00A07D1B"/>
    <w:rsid w:val="00A11036"/>
    <w:rsid w:val="00A1290A"/>
    <w:rsid w:val="00A136F5"/>
    <w:rsid w:val="00A14C10"/>
    <w:rsid w:val="00A172C9"/>
    <w:rsid w:val="00A225C0"/>
    <w:rsid w:val="00A22865"/>
    <w:rsid w:val="00A231E2"/>
    <w:rsid w:val="00A232E0"/>
    <w:rsid w:val="00A2366C"/>
    <w:rsid w:val="00A24027"/>
    <w:rsid w:val="00A2550D"/>
    <w:rsid w:val="00A262B0"/>
    <w:rsid w:val="00A3099F"/>
    <w:rsid w:val="00A30E0A"/>
    <w:rsid w:val="00A341C2"/>
    <w:rsid w:val="00A412C9"/>
    <w:rsid w:val="00A4169B"/>
    <w:rsid w:val="00A445F2"/>
    <w:rsid w:val="00A45833"/>
    <w:rsid w:val="00A462F8"/>
    <w:rsid w:val="00A50D55"/>
    <w:rsid w:val="00A5165B"/>
    <w:rsid w:val="00A52AA8"/>
    <w:rsid w:val="00A52FDA"/>
    <w:rsid w:val="00A5327B"/>
    <w:rsid w:val="00A53730"/>
    <w:rsid w:val="00A574DB"/>
    <w:rsid w:val="00A61394"/>
    <w:rsid w:val="00A61A19"/>
    <w:rsid w:val="00A63417"/>
    <w:rsid w:val="00A645AF"/>
    <w:rsid w:val="00A64912"/>
    <w:rsid w:val="00A64BD5"/>
    <w:rsid w:val="00A70A74"/>
    <w:rsid w:val="00A713F4"/>
    <w:rsid w:val="00A763E9"/>
    <w:rsid w:val="00A76406"/>
    <w:rsid w:val="00A76FA4"/>
    <w:rsid w:val="00A8291E"/>
    <w:rsid w:val="00A83BED"/>
    <w:rsid w:val="00A91988"/>
    <w:rsid w:val="00A9541B"/>
    <w:rsid w:val="00A95737"/>
    <w:rsid w:val="00AA0343"/>
    <w:rsid w:val="00AA0479"/>
    <w:rsid w:val="00AA149E"/>
    <w:rsid w:val="00AA2A5C"/>
    <w:rsid w:val="00AA2CC4"/>
    <w:rsid w:val="00AA4C72"/>
    <w:rsid w:val="00AA7C1B"/>
    <w:rsid w:val="00AB3800"/>
    <w:rsid w:val="00AB5CD9"/>
    <w:rsid w:val="00AB78E9"/>
    <w:rsid w:val="00AC2647"/>
    <w:rsid w:val="00AC4ED7"/>
    <w:rsid w:val="00AC53C0"/>
    <w:rsid w:val="00AC6ADC"/>
    <w:rsid w:val="00AD03B8"/>
    <w:rsid w:val="00AD3467"/>
    <w:rsid w:val="00AD5641"/>
    <w:rsid w:val="00AD7A82"/>
    <w:rsid w:val="00AE0F9B"/>
    <w:rsid w:val="00AE1777"/>
    <w:rsid w:val="00AE1EC9"/>
    <w:rsid w:val="00AE38AB"/>
    <w:rsid w:val="00AE7436"/>
    <w:rsid w:val="00AE7BF8"/>
    <w:rsid w:val="00AF3587"/>
    <w:rsid w:val="00AF55FF"/>
    <w:rsid w:val="00B01077"/>
    <w:rsid w:val="00B01FB1"/>
    <w:rsid w:val="00B02133"/>
    <w:rsid w:val="00B032D8"/>
    <w:rsid w:val="00B037CF"/>
    <w:rsid w:val="00B03A8D"/>
    <w:rsid w:val="00B132A2"/>
    <w:rsid w:val="00B13815"/>
    <w:rsid w:val="00B1444C"/>
    <w:rsid w:val="00B16A87"/>
    <w:rsid w:val="00B20EAF"/>
    <w:rsid w:val="00B22514"/>
    <w:rsid w:val="00B2579D"/>
    <w:rsid w:val="00B25E15"/>
    <w:rsid w:val="00B2684F"/>
    <w:rsid w:val="00B26F93"/>
    <w:rsid w:val="00B27402"/>
    <w:rsid w:val="00B27D14"/>
    <w:rsid w:val="00B302F4"/>
    <w:rsid w:val="00B33618"/>
    <w:rsid w:val="00B33B3C"/>
    <w:rsid w:val="00B33F74"/>
    <w:rsid w:val="00B35174"/>
    <w:rsid w:val="00B37464"/>
    <w:rsid w:val="00B405E1"/>
    <w:rsid w:val="00B40D74"/>
    <w:rsid w:val="00B41243"/>
    <w:rsid w:val="00B440C1"/>
    <w:rsid w:val="00B461F6"/>
    <w:rsid w:val="00B52663"/>
    <w:rsid w:val="00B5481A"/>
    <w:rsid w:val="00B54837"/>
    <w:rsid w:val="00B54A05"/>
    <w:rsid w:val="00B54FF5"/>
    <w:rsid w:val="00B552F1"/>
    <w:rsid w:val="00B55B4A"/>
    <w:rsid w:val="00B56DCB"/>
    <w:rsid w:val="00B5791B"/>
    <w:rsid w:val="00B620E3"/>
    <w:rsid w:val="00B63501"/>
    <w:rsid w:val="00B63FB1"/>
    <w:rsid w:val="00B64A6C"/>
    <w:rsid w:val="00B728C8"/>
    <w:rsid w:val="00B736F3"/>
    <w:rsid w:val="00B76F1B"/>
    <w:rsid w:val="00B770D2"/>
    <w:rsid w:val="00B81CCF"/>
    <w:rsid w:val="00B84405"/>
    <w:rsid w:val="00B853DB"/>
    <w:rsid w:val="00B9474F"/>
    <w:rsid w:val="00B9608F"/>
    <w:rsid w:val="00B97C82"/>
    <w:rsid w:val="00BA47A3"/>
    <w:rsid w:val="00BA5026"/>
    <w:rsid w:val="00BA6BFD"/>
    <w:rsid w:val="00BB19FB"/>
    <w:rsid w:val="00BB1FA0"/>
    <w:rsid w:val="00BB2C6A"/>
    <w:rsid w:val="00BB30D9"/>
    <w:rsid w:val="00BB4731"/>
    <w:rsid w:val="00BB6E79"/>
    <w:rsid w:val="00BC22F7"/>
    <w:rsid w:val="00BC2F67"/>
    <w:rsid w:val="00BD06A9"/>
    <w:rsid w:val="00BD3B1E"/>
    <w:rsid w:val="00BD3CDE"/>
    <w:rsid w:val="00BD3DEC"/>
    <w:rsid w:val="00BD490F"/>
    <w:rsid w:val="00BD638B"/>
    <w:rsid w:val="00BD649D"/>
    <w:rsid w:val="00BE0AAA"/>
    <w:rsid w:val="00BE3279"/>
    <w:rsid w:val="00BE3B31"/>
    <w:rsid w:val="00BE57DB"/>
    <w:rsid w:val="00BE61EF"/>
    <w:rsid w:val="00BE6A56"/>
    <w:rsid w:val="00BE6AAA"/>
    <w:rsid w:val="00BE719A"/>
    <w:rsid w:val="00BE720A"/>
    <w:rsid w:val="00BF088C"/>
    <w:rsid w:val="00BF2322"/>
    <w:rsid w:val="00BF346F"/>
    <w:rsid w:val="00BF52A2"/>
    <w:rsid w:val="00BF5650"/>
    <w:rsid w:val="00BF6650"/>
    <w:rsid w:val="00C0237F"/>
    <w:rsid w:val="00C031A7"/>
    <w:rsid w:val="00C06563"/>
    <w:rsid w:val="00C067E5"/>
    <w:rsid w:val="00C164CA"/>
    <w:rsid w:val="00C168B4"/>
    <w:rsid w:val="00C170BF"/>
    <w:rsid w:val="00C22956"/>
    <w:rsid w:val="00C230C7"/>
    <w:rsid w:val="00C234C9"/>
    <w:rsid w:val="00C27DE9"/>
    <w:rsid w:val="00C308DF"/>
    <w:rsid w:val="00C31DD9"/>
    <w:rsid w:val="00C3389D"/>
    <w:rsid w:val="00C3445B"/>
    <w:rsid w:val="00C35150"/>
    <w:rsid w:val="00C42BF8"/>
    <w:rsid w:val="00C4530F"/>
    <w:rsid w:val="00C460AE"/>
    <w:rsid w:val="00C468D7"/>
    <w:rsid w:val="00C46B5C"/>
    <w:rsid w:val="00C47181"/>
    <w:rsid w:val="00C47C3B"/>
    <w:rsid w:val="00C50043"/>
    <w:rsid w:val="00C50A0F"/>
    <w:rsid w:val="00C5463E"/>
    <w:rsid w:val="00C57146"/>
    <w:rsid w:val="00C63822"/>
    <w:rsid w:val="00C64CC4"/>
    <w:rsid w:val="00C70828"/>
    <w:rsid w:val="00C7573B"/>
    <w:rsid w:val="00C76CF3"/>
    <w:rsid w:val="00C81CA5"/>
    <w:rsid w:val="00C8242E"/>
    <w:rsid w:val="00C8328D"/>
    <w:rsid w:val="00C860A9"/>
    <w:rsid w:val="00C8729A"/>
    <w:rsid w:val="00C87970"/>
    <w:rsid w:val="00C911C4"/>
    <w:rsid w:val="00C9756F"/>
    <w:rsid w:val="00CA0830"/>
    <w:rsid w:val="00CA0F79"/>
    <w:rsid w:val="00CA7844"/>
    <w:rsid w:val="00CB15B1"/>
    <w:rsid w:val="00CB20CA"/>
    <w:rsid w:val="00CB2F39"/>
    <w:rsid w:val="00CB3030"/>
    <w:rsid w:val="00CB38DE"/>
    <w:rsid w:val="00CB4E03"/>
    <w:rsid w:val="00CB58EF"/>
    <w:rsid w:val="00CB5D0A"/>
    <w:rsid w:val="00CB5D7E"/>
    <w:rsid w:val="00CB73E4"/>
    <w:rsid w:val="00CB7DF2"/>
    <w:rsid w:val="00CC1CE1"/>
    <w:rsid w:val="00CC2D7F"/>
    <w:rsid w:val="00CC2F4D"/>
    <w:rsid w:val="00CC572D"/>
    <w:rsid w:val="00CD0A2C"/>
    <w:rsid w:val="00CD0E65"/>
    <w:rsid w:val="00CD5EE5"/>
    <w:rsid w:val="00CE1891"/>
    <w:rsid w:val="00CE1FA0"/>
    <w:rsid w:val="00CE24E0"/>
    <w:rsid w:val="00CE2712"/>
    <w:rsid w:val="00CE310D"/>
    <w:rsid w:val="00CE778B"/>
    <w:rsid w:val="00CE79DD"/>
    <w:rsid w:val="00CE7D64"/>
    <w:rsid w:val="00CF0BB2"/>
    <w:rsid w:val="00CF3B65"/>
    <w:rsid w:val="00CF6CD5"/>
    <w:rsid w:val="00CF6CFB"/>
    <w:rsid w:val="00D005EB"/>
    <w:rsid w:val="00D00D74"/>
    <w:rsid w:val="00D037A3"/>
    <w:rsid w:val="00D037D9"/>
    <w:rsid w:val="00D05205"/>
    <w:rsid w:val="00D07DD2"/>
    <w:rsid w:val="00D13441"/>
    <w:rsid w:val="00D14A27"/>
    <w:rsid w:val="00D15AE9"/>
    <w:rsid w:val="00D20EE2"/>
    <w:rsid w:val="00D21737"/>
    <w:rsid w:val="00D22DD9"/>
    <w:rsid w:val="00D23923"/>
    <w:rsid w:val="00D243A3"/>
    <w:rsid w:val="00D2559E"/>
    <w:rsid w:val="00D3200B"/>
    <w:rsid w:val="00D33440"/>
    <w:rsid w:val="00D34A19"/>
    <w:rsid w:val="00D35B34"/>
    <w:rsid w:val="00D41DEA"/>
    <w:rsid w:val="00D45607"/>
    <w:rsid w:val="00D51735"/>
    <w:rsid w:val="00D526A6"/>
    <w:rsid w:val="00D52EFE"/>
    <w:rsid w:val="00D54009"/>
    <w:rsid w:val="00D54040"/>
    <w:rsid w:val="00D542D6"/>
    <w:rsid w:val="00D54755"/>
    <w:rsid w:val="00D5561B"/>
    <w:rsid w:val="00D56A0D"/>
    <w:rsid w:val="00D56E90"/>
    <w:rsid w:val="00D56FC2"/>
    <w:rsid w:val="00D6158C"/>
    <w:rsid w:val="00D61C30"/>
    <w:rsid w:val="00D63672"/>
    <w:rsid w:val="00D63EF6"/>
    <w:rsid w:val="00D66518"/>
    <w:rsid w:val="00D70DFB"/>
    <w:rsid w:val="00D71EEA"/>
    <w:rsid w:val="00D735CD"/>
    <w:rsid w:val="00D753D3"/>
    <w:rsid w:val="00D766DF"/>
    <w:rsid w:val="00D879DF"/>
    <w:rsid w:val="00D91693"/>
    <w:rsid w:val="00D91DCF"/>
    <w:rsid w:val="00D95891"/>
    <w:rsid w:val="00D97792"/>
    <w:rsid w:val="00DA282D"/>
    <w:rsid w:val="00DA70FC"/>
    <w:rsid w:val="00DB2B11"/>
    <w:rsid w:val="00DB2E7F"/>
    <w:rsid w:val="00DB5658"/>
    <w:rsid w:val="00DB5CB4"/>
    <w:rsid w:val="00DB702A"/>
    <w:rsid w:val="00DB713E"/>
    <w:rsid w:val="00DC017D"/>
    <w:rsid w:val="00DC1C9E"/>
    <w:rsid w:val="00DC2C93"/>
    <w:rsid w:val="00DC4988"/>
    <w:rsid w:val="00DC5A2B"/>
    <w:rsid w:val="00DC5B88"/>
    <w:rsid w:val="00DC63D0"/>
    <w:rsid w:val="00DD067F"/>
    <w:rsid w:val="00DE0FA1"/>
    <w:rsid w:val="00DE149E"/>
    <w:rsid w:val="00DE155A"/>
    <w:rsid w:val="00DE1ED7"/>
    <w:rsid w:val="00DE4751"/>
    <w:rsid w:val="00DE4BDB"/>
    <w:rsid w:val="00DE5F7B"/>
    <w:rsid w:val="00DF71EF"/>
    <w:rsid w:val="00DF71F8"/>
    <w:rsid w:val="00E05704"/>
    <w:rsid w:val="00E0654C"/>
    <w:rsid w:val="00E068DD"/>
    <w:rsid w:val="00E07AFF"/>
    <w:rsid w:val="00E07BBB"/>
    <w:rsid w:val="00E129CF"/>
    <w:rsid w:val="00E12F1A"/>
    <w:rsid w:val="00E1615E"/>
    <w:rsid w:val="00E17088"/>
    <w:rsid w:val="00E21CFB"/>
    <w:rsid w:val="00E22935"/>
    <w:rsid w:val="00E262AD"/>
    <w:rsid w:val="00E54292"/>
    <w:rsid w:val="00E56541"/>
    <w:rsid w:val="00E60191"/>
    <w:rsid w:val="00E61846"/>
    <w:rsid w:val="00E62E5E"/>
    <w:rsid w:val="00E659EB"/>
    <w:rsid w:val="00E65A44"/>
    <w:rsid w:val="00E662AB"/>
    <w:rsid w:val="00E67A43"/>
    <w:rsid w:val="00E7300A"/>
    <w:rsid w:val="00E74DC7"/>
    <w:rsid w:val="00E80CD1"/>
    <w:rsid w:val="00E8576C"/>
    <w:rsid w:val="00E874FB"/>
    <w:rsid w:val="00E87699"/>
    <w:rsid w:val="00E92E27"/>
    <w:rsid w:val="00E9586B"/>
    <w:rsid w:val="00E95F38"/>
    <w:rsid w:val="00E97334"/>
    <w:rsid w:val="00EA0D36"/>
    <w:rsid w:val="00EA1211"/>
    <w:rsid w:val="00EA157D"/>
    <w:rsid w:val="00EA2850"/>
    <w:rsid w:val="00EA3ACE"/>
    <w:rsid w:val="00EA3C9C"/>
    <w:rsid w:val="00EA7AFF"/>
    <w:rsid w:val="00EB047D"/>
    <w:rsid w:val="00EB109E"/>
    <w:rsid w:val="00EB2132"/>
    <w:rsid w:val="00EB22A1"/>
    <w:rsid w:val="00EB46D8"/>
    <w:rsid w:val="00EB59A7"/>
    <w:rsid w:val="00ED03E2"/>
    <w:rsid w:val="00ED0B4E"/>
    <w:rsid w:val="00ED23E8"/>
    <w:rsid w:val="00ED481B"/>
    <w:rsid w:val="00ED4928"/>
    <w:rsid w:val="00ED4BB4"/>
    <w:rsid w:val="00EE0CF2"/>
    <w:rsid w:val="00EE4E48"/>
    <w:rsid w:val="00EE6190"/>
    <w:rsid w:val="00EE69C0"/>
    <w:rsid w:val="00EF182B"/>
    <w:rsid w:val="00EF2E3A"/>
    <w:rsid w:val="00EF438B"/>
    <w:rsid w:val="00EF6402"/>
    <w:rsid w:val="00EF6F61"/>
    <w:rsid w:val="00EF793B"/>
    <w:rsid w:val="00F023DA"/>
    <w:rsid w:val="00F047E2"/>
    <w:rsid w:val="00F04D57"/>
    <w:rsid w:val="00F078DC"/>
    <w:rsid w:val="00F07A9F"/>
    <w:rsid w:val="00F11596"/>
    <w:rsid w:val="00F115E4"/>
    <w:rsid w:val="00F13E86"/>
    <w:rsid w:val="00F17852"/>
    <w:rsid w:val="00F20651"/>
    <w:rsid w:val="00F2216B"/>
    <w:rsid w:val="00F22B38"/>
    <w:rsid w:val="00F24CDA"/>
    <w:rsid w:val="00F25F98"/>
    <w:rsid w:val="00F2711F"/>
    <w:rsid w:val="00F30554"/>
    <w:rsid w:val="00F30977"/>
    <w:rsid w:val="00F30B5F"/>
    <w:rsid w:val="00F314EF"/>
    <w:rsid w:val="00F32FCB"/>
    <w:rsid w:val="00F36B69"/>
    <w:rsid w:val="00F4045C"/>
    <w:rsid w:val="00F4108D"/>
    <w:rsid w:val="00F42311"/>
    <w:rsid w:val="00F45B9D"/>
    <w:rsid w:val="00F4716A"/>
    <w:rsid w:val="00F543F3"/>
    <w:rsid w:val="00F56F67"/>
    <w:rsid w:val="00F61550"/>
    <w:rsid w:val="00F615FC"/>
    <w:rsid w:val="00F6509E"/>
    <w:rsid w:val="00F650E8"/>
    <w:rsid w:val="00F6709F"/>
    <w:rsid w:val="00F677A9"/>
    <w:rsid w:val="00F70758"/>
    <w:rsid w:val="00F732EA"/>
    <w:rsid w:val="00F7345E"/>
    <w:rsid w:val="00F745DA"/>
    <w:rsid w:val="00F77DA6"/>
    <w:rsid w:val="00F818C5"/>
    <w:rsid w:val="00F84CF5"/>
    <w:rsid w:val="00F8612E"/>
    <w:rsid w:val="00F906AD"/>
    <w:rsid w:val="00F90CF5"/>
    <w:rsid w:val="00F94FDE"/>
    <w:rsid w:val="00F97574"/>
    <w:rsid w:val="00FA2078"/>
    <w:rsid w:val="00FA420B"/>
    <w:rsid w:val="00FA5010"/>
    <w:rsid w:val="00FA6F74"/>
    <w:rsid w:val="00FA7741"/>
    <w:rsid w:val="00FA78E8"/>
    <w:rsid w:val="00FB2962"/>
    <w:rsid w:val="00FB2B43"/>
    <w:rsid w:val="00FB3A6F"/>
    <w:rsid w:val="00FB3B10"/>
    <w:rsid w:val="00FB415B"/>
    <w:rsid w:val="00FC0A92"/>
    <w:rsid w:val="00FC2123"/>
    <w:rsid w:val="00FC244A"/>
    <w:rsid w:val="00FC5692"/>
    <w:rsid w:val="00FD088E"/>
    <w:rsid w:val="00FD0A49"/>
    <w:rsid w:val="00FD6051"/>
    <w:rsid w:val="00FE0781"/>
    <w:rsid w:val="00FE2098"/>
    <w:rsid w:val="00FE2B4C"/>
    <w:rsid w:val="00FE5F22"/>
    <w:rsid w:val="00FE7B77"/>
    <w:rsid w:val="00FF3166"/>
    <w:rsid w:val="00FF39DE"/>
    <w:rsid w:val="00FF4613"/>
    <w:rsid w:val="00FF5F4D"/>
    <w:rsid w:val="00FF6797"/>
    <w:rsid w:val="00FF6A63"/>
    <w:rsid w:val="00FF71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9F4A93"/>
  <w15:docId w15:val="{0B3D4505-AE96-4A40-BB0F-2113C30A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5452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52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52C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452C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452C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452C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452C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452C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452C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qFormat/>
    <w:rsid w:val="00A231E2"/>
  </w:style>
  <w:style w:type="character" w:customStyle="1" w:styleId="CharAmPartText">
    <w:name w:val="CharAmPartText"/>
    <w:basedOn w:val="OPCCharBase"/>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semiHidden/>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7483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52686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E0F9B"/>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CE7D6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E7D64"/>
    <w:rPr>
      <w:sz w:val="22"/>
    </w:rPr>
  </w:style>
  <w:style w:type="paragraph" w:customStyle="1" w:styleId="SOTextNote">
    <w:name w:val="SO TextNote"/>
    <w:aliases w:val="sont"/>
    <w:basedOn w:val="SOText"/>
    <w:qFormat/>
    <w:rsid w:val="00D95891"/>
    <w:pPr>
      <w:spacing w:before="122" w:line="198" w:lineRule="exact"/>
      <w:ind w:left="1843" w:hanging="709"/>
    </w:pPr>
    <w:rPr>
      <w:sz w:val="18"/>
    </w:rPr>
  </w:style>
  <w:style w:type="paragraph" w:customStyle="1" w:styleId="SOPara">
    <w:name w:val="SO Para"/>
    <w:aliases w:val="soa"/>
    <w:basedOn w:val="SOText"/>
    <w:link w:val="SOParaChar"/>
    <w:qFormat/>
    <w:rsid w:val="007A35E6"/>
    <w:pPr>
      <w:tabs>
        <w:tab w:val="right" w:pos="1786"/>
      </w:tabs>
      <w:spacing w:before="40"/>
      <w:ind w:left="2070" w:hanging="936"/>
    </w:pPr>
  </w:style>
  <w:style w:type="character" w:customStyle="1" w:styleId="SOParaChar">
    <w:name w:val="SO Para Char"/>
    <w:aliases w:val="soa Char"/>
    <w:basedOn w:val="DefaultParagraphFont"/>
    <w:link w:val="SOPara"/>
    <w:rsid w:val="007A35E6"/>
    <w:rPr>
      <w:sz w:val="22"/>
    </w:rPr>
  </w:style>
  <w:style w:type="paragraph" w:customStyle="1" w:styleId="FileName">
    <w:name w:val="FileName"/>
    <w:basedOn w:val="Normal"/>
    <w:rsid w:val="00117277"/>
  </w:style>
  <w:style w:type="paragraph" w:customStyle="1" w:styleId="TableHeading">
    <w:name w:val="TableHeading"/>
    <w:aliases w:val="th"/>
    <w:basedOn w:val="OPCParaBase"/>
    <w:next w:val="Tabletext"/>
    <w:rsid w:val="00A5165B"/>
    <w:pPr>
      <w:keepNext/>
      <w:spacing w:before="60" w:line="240" w:lineRule="atLeast"/>
    </w:pPr>
    <w:rPr>
      <w:b/>
      <w:sz w:val="20"/>
    </w:rPr>
  </w:style>
  <w:style w:type="paragraph" w:customStyle="1" w:styleId="SOHeadBold">
    <w:name w:val="SO HeadBold"/>
    <w:aliases w:val="sohb"/>
    <w:basedOn w:val="SOText"/>
    <w:next w:val="SOText"/>
    <w:link w:val="SOHeadBoldChar"/>
    <w:qFormat/>
    <w:rsid w:val="008D5B99"/>
    <w:rPr>
      <w:b/>
    </w:rPr>
  </w:style>
  <w:style w:type="character" w:customStyle="1" w:styleId="SOHeadBoldChar">
    <w:name w:val="SO HeadBold Char"/>
    <w:aliases w:val="sohb Char"/>
    <w:basedOn w:val="DefaultParagraphFont"/>
    <w:link w:val="SOHeadBold"/>
    <w:rsid w:val="008D5B99"/>
    <w:rPr>
      <w:b/>
      <w:sz w:val="22"/>
    </w:rPr>
  </w:style>
  <w:style w:type="paragraph" w:customStyle="1" w:styleId="SOHeadItalic">
    <w:name w:val="SO HeadItalic"/>
    <w:aliases w:val="sohi"/>
    <w:basedOn w:val="SOText"/>
    <w:next w:val="SOText"/>
    <w:link w:val="SOHeadItalicChar"/>
    <w:qFormat/>
    <w:rsid w:val="00983419"/>
    <w:rPr>
      <w:i/>
    </w:rPr>
  </w:style>
  <w:style w:type="character" w:customStyle="1" w:styleId="SOHeadItalicChar">
    <w:name w:val="SO HeadItalic Char"/>
    <w:aliases w:val="sohi Char"/>
    <w:basedOn w:val="DefaultParagraphFont"/>
    <w:link w:val="SOHeadItalic"/>
    <w:rsid w:val="00983419"/>
    <w:rPr>
      <w:i/>
      <w:sz w:val="22"/>
    </w:rPr>
  </w:style>
  <w:style w:type="paragraph" w:customStyle="1" w:styleId="SOBullet">
    <w:name w:val="SO Bullet"/>
    <w:aliases w:val="sotb"/>
    <w:basedOn w:val="SOText"/>
    <w:link w:val="SOBulletChar"/>
    <w:qFormat/>
    <w:rsid w:val="003F0F5A"/>
    <w:pPr>
      <w:ind w:left="1559" w:hanging="425"/>
    </w:pPr>
  </w:style>
  <w:style w:type="character" w:customStyle="1" w:styleId="SOBulletChar">
    <w:name w:val="SO Bullet Char"/>
    <w:aliases w:val="sotb Char"/>
    <w:basedOn w:val="DefaultParagraphFont"/>
    <w:link w:val="SOBullet"/>
    <w:rsid w:val="003F0F5A"/>
    <w:rPr>
      <w:sz w:val="22"/>
    </w:rPr>
  </w:style>
  <w:style w:type="paragraph" w:customStyle="1" w:styleId="SOBulletNote">
    <w:name w:val="SO BulletNote"/>
    <w:aliases w:val="sonb"/>
    <w:basedOn w:val="SOTextNote"/>
    <w:link w:val="SOBulletNoteChar"/>
    <w:qFormat/>
    <w:rsid w:val="00DB5CB4"/>
    <w:pPr>
      <w:tabs>
        <w:tab w:val="left" w:pos="1560"/>
      </w:tabs>
      <w:ind w:left="2268" w:hanging="1134"/>
    </w:pPr>
  </w:style>
  <w:style w:type="character" w:customStyle="1" w:styleId="SOBulletNoteChar">
    <w:name w:val="SO BulletNote Char"/>
    <w:aliases w:val="sonb Char"/>
    <w:basedOn w:val="DefaultParagraphFont"/>
    <w:link w:val="SOBulletNote"/>
    <w:rsid w:val="00DB5CB4"/>
    <w:rPr>
      <w:sz w:val="18"/>
    </w:rPr>
  </w:style>
  <w:style w:type="paragraph" w:customStyle="1" w:styleId="SOText2">
    <w:name w:val="SO Text2"/>
    <w:aliases w:val="sot2"/>
    <w:basedOn w:val="Normal"/>
    <w:next w:val="SOText"/>
    <w:link w:val="SOText2Char"/>
    <w:rsid w:val="00332E0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32E0D"/>
    <w:rPr>
      <w:sz w:val="22"/>
    </w:rPr>
  </w:style>
  <w:style w:type="paragraph" w:customStyle="1" w:styleId="SubPartCASA">
    <w:name w:val="SubPart(CASA)"/>
    <w:aliases w:val="csp"/>
    <w:basedOn w:val="OPCParaBase"/>
    <w:next w:val="ActHead3"/>
    <w:rsid w:val="004261D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452CC"/>
    <w:rPr>
      <w:rFonts w:eastAsia="Times New Roman" w:cs="Times New Roman"/>
      <w:sz w:val="22"/>
      <w:lang w:eastAsia="en-AU"/>
    </w:rPr>
  </w:style>
  <w:style w:type="character" w:customStyle="1" w:styleId="notetextChar">
    <w:name w:val="note(text) Char"/>
    <w:aliases w:val="n Char"/>
    <w:basedOn w:val="DefaultParagraphFont"/>
    <w:link w:val="notetext"/>
    <w:rsid w:val="005452CC"/>
    <w:rPr>
      <w:rFonts w:eastAsia="Times New Roman" w:cs="Times New Roman"/>
      <w:sz w:val="18"/>
      <w:lang w:eastAsia="en-AU"/>
    </w:rPr>
  </w:style>
  <w:style w:type="character" w:customStyle="1" w:styleId="Heading1Char">
    <w:name w:val="Heading 1 Char"/>
    <w:basedOn w:val="DefaultParagraphFont"/>
    <w:link w:val="Heading1"/>
    <w:uiPriority w:val="9"/>
    <w:rsid w:val="005452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452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452C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452C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452C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452C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452C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452C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452CC"/>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205722"/>
    <w:rPr>
      <w:sz w:val="16"/>
      <w:szCs w:val="16"/>
    </w:rPr>
  </w:style>
  <w:style w:type="paragraph" w:styleId="CommentText">
    <w:name w:val="annotation text"/>
    <w:basedOn w:val="Normal"/>
    <w:link w:val="CommentTextChar"/>
    <w:uiPriority w:val="99"/>
    <w:unhideWhenUsed/>
    <w:rsid w:val="00205722"/>
    <w:pPr>
      <w:spacing w:line="240" w:lineRule="auto"/>
    </w:pPr>
    <w:rPr>
      <w:sz w:val="20"/>
    </w:rPr>
  </w:style>
  <w:style w:type="character" w:customStyle="1" w:styleId="CommentTextChar">
    <w:name w:val="Comment Text Char"/>
    <w:basedOn w:val="DefaultParagraphFont"/>
    <w:link w:val="CommentText"/>
    <w:uiPriority w:val="99"/>
    <w:rsid w:val="00205722"/>
  </w:style>
  <w:style w:type="paragraph" w:styleId="CommentSubject">
    <w:name w:val="annotation subject"/>
    <w:basedOn w:val="CommentText"/>
    <w:next w:val="CommentText"/>
    <w:link w:val="CommentSubjectChar"/>
    <w:uiPriority w:val="99"/>
    <w:semiHidden/>
    <w:unhideWhenUsed/>
    <w:rsid w:val="00205722"/>
    <w:rPr>
      <w:b/>
      <w:bCs/>
    </w:rPr>
  </w:style>
  <w:style w:type="character" w:customStyle="1" w:styleId="CommentSubjectChar">
    <w:name w:val="Comment Subject Char"/>
    <w:basedOn w:val="CommentTextChar"/>
    <w:link w:val="CommentSubject"/>
    <w:uiPriority w:val="99"/>
    <w:semiHidden/>
    <w:rsid w:val="00205722"/>
    <w:rPr>
      <w:b/>
      <w:bCs/>
    </w:rPr>
  </w:style>
  <w:style w:type="character" w:customStyle="1" w:styleId="ActHead5Char">
    <w:name w:val="ActHead 5 Char"/>
    <w:aliases w:val="s Char"/>
    <w:basedOn w:val="DefaultParagraphFont"/>
    <w:link w:val="ActHead5"/>
    <w:rsid w:val="00D542D6"/>
    <w:rPr>
      <w:rFonts w:eastAsia="Times New Roman" w:cs="Times New Roman"/>
      <w:b/>
      <w:kern w:val="28"/>
      <w:sz w:val="24"/>
      <w:lang w:eastAsia="en-AU"/>
    </w:rPr>
  </w:style>
  <w:style w:type="paragraph" w:customStyle="1" w:styleId="acthead50">
    <w:name w:val="acthead5"/>
    <w:basedOn w:val="Normal"/>
    <w:rsid w:val="003825DF"/>
    <w:pPr>
      <w:spacing w:before="100" w:beforeAutospacing="1" w:after="100" w:afterAutospacing="1" w:line="240" w:lineRule="auto"/>
    </w:pPr>
    <w:rPr>
      <w:rFonts w:eastAsia="Times New Roman" w:cs="Times New Roman"/>
      <w:sz w:val="24"/>
      <w:szCs w:val="24"/>
      <w:lang w:val="en-GB" w:eastAsia="en-GB"/>
    </w:rPr>
  </w:style>
  <w:style w:type="character" w:customStyle="1" w:styleId="charsectno0">
    <w:name w:val="charsectno"/>
    <w:basedOn w:val="DefaultParagraphFont"/>
    <w:rsid w:val="003825DF"/>
  </w:style>
  <w:style w:type="paragraph" w:customStyle="1" w:styleId="notetext0">
    <w:name w:val="notetext"/>
    <w:basedOn w:val="Normal"/>
    <w:rsid w:val="003825DF"/>
    <w:pPr>
      <w:spacing w:before="100" w:beforeAutospacing="1" w:after="100" w:afterAutospacing="1" w:line="240" w:lineRule="auto"/>
    </w:pPr>
    <w:rPr>
      <w:rFonts w:eastAsia="Times New Roman" w:cs="Times New Roman"/>
      <w:sz w:val="24"/>
      <w:szCs w:val="24"/>
      <w:lang w:val="en-GB" w:eastAsia="en-GB"/>
    </w:rPr>
  </w:style>
  <w:style w:type="paragraph" w:customStyle="1" w:styleId="paragraphsub0">
    <w:name w:val="paragraphsub"/>
    <w:basedOn w:val="Normal"/>
    <w:rsid w:val="005772F4"/>
    <w:pPr>
      <w:spacing w:before="100" w:beforeAutospacing="1" w:after="100" w:afterAutospacing="1" w:line="240" w:lineRule="auto"/>
    </w:pPr>
    <w:rPr>
      <w:rFonts w:eastAsia="Times New Roman" w:cs="Times New Roman"/>
      <w:sz w:val="24"/>
      <w:szCs w:val="24"/>
      <w:lang w:val="en-GB" w:eastAsia="en-GB"/>
    </w:rPr>
  </w:style>
  <w:style w:type="paragraph" w:styleId="ListParagraph">
    <w:name w:val="List Paragraph"/>
    <w:basedOn w:val="Normal"/>
    <w:uiPriority w:val="34"/>
    <w:qFormat/>
    <w:rsid w:val="00637CDE"/>
    <w:pPr>
      <w:ind w:left="720"/>
      <w:contextualSpacing/>
    </w:pPr>
  </w:style>
  <w:style w:type="character" w:styleId="Hyperlink">
    <w:name w:val="Hyperlink"/>
    <w:basedOn w:val="DefaultParagraphFont"/>
    <w:uiPriority w:val="99"/>
    <w:unhideWhenUsed/>
    <w:rsid w:val="003D1AA8"/>
    <w:rPr>
      <w:color w:val="0000FF" w:themeColor="hyperlink"/>
      <w:u w:val="single"/>
    </w:rPr>
  </w:style>
  <w:style w:type="character" w:customStyle="1" w:styleId="ius-text-highlight">
    <w:name w:val="ius-text-highlight"/>
    <w:basedOn w:val="DefaultParagraphFont"/>
    <w:rsid w:val="00836FE8"/>
  </w:style>
  <w:style w:type="paragraph" w:customStyle="1" w:styleId="Blank">
    <w:name w:val="Blank"/>
    <w:basedOn w:val="ActHead5"/>
    <w:rsid w:val="00332008"/>
  </w:style>
  <w:style w:type="paragraph" w:customStyle="1" w:styleId="tabletext0">
    <w:name w:val="tabletext"/>
    <w:basedOn w:val="Normal"/>
    <w:rsid w:val="0049647A"/>
    <w:pPr>
      <w:spacing w:before="100" w:beforeAutospacing="1" w:after="100" w:afterAutospacing="1" w:line="240" w:lineRule="auto"/>
    </w:pPr>
    <w:rPr>
      <w:rFonts w:eastAsia="Times New Roman" w:cs="Times New Roman"/>
      <w:sz w:val="24"/>
      <w:szCs w:val="24"/>
      <w:lang w:val="en-GB" w:eastAsia="en-GB"/>
    </w:rPr>
  </w:style>
  <w:style w:type="paragraph" w:styleId="Revision">
    <w:name w:val="Revision"/>
    <w:hidden/>
    <w:uiPriority w:val="99"/>
    <w:semiHidden/>
    <w:rsid w:val="008656F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377111">
      <w:bodyDiv w:val="1"/>
      <w:marLeft w:val="0"/>
      <w:marRight w:val="0"/>
      <w:marTop w:val="0"/>
      <w:marBottom w:val="0"/>
      <w:divBdr>
        <w:top w:val="none" w:sz="0" w:space="0" w:color="auto"/>
        <w:left w:val="none" w:sz="0" w:space="0" w:color="auto"/>
        <w:bottom w:val="none" w:sz="0" w:space="0" w:color="auto"/>
        <w:right w:val="none" w:sz="0" w:space="0" w:color="auto"/>
      </w:divBdr>
    </w:div>
    <w:div w:id="888733783">
      <w:bodyDiv w:val="1"/>
      <w:marLeft w:val="0"/>
      <w:marRight w:val="0"/>
      <w:marTop w:val="0"/>
      <w:marBottom w:val="0"/>
      <w:divBdr>
        <w:top w:val="none" w:sz="0" w:space="0" w:color="auto"/>
        <w:left w:val="none" w:sz="0" w:space="0" w:color="auto"/>
        <w:bottom w:val="none" w:sz="0" w:space="0" w:color="auto"/>
        <w:right w:val="none" w:sz="0" w:space="0" w:color="auto"/>
      </w:divBdr>
    </w:div>
    <w:div w:id="1192181623">
      <w:bodyDiv w:val="1"/>
      <w:marLeft w:val="0"/>
      <w:marRight w:val="0"/>
      <w:marTop w:val="0"/>
      <w:marBottom w:val="0"/>
      <w:divBdr>
        <w:top w:val="none" w:sz="0" w:space="0" w:color="auto"/>
        <w:left w:val="none" w:sz="0" w:space="0" w:color="auto"/>
        <w:bottom w:val="none" w:sz="0" w:space="0" w:color="auto"/>
        <w:right w:val="none" w:sz="0" w:space="0" w:color="auto"/>
      </w:divBdr>
    </w:div>
    <w:div w:id="1559709773">
      <w:bodyDiv w:val="1"/>
      <w:marLeft w:val="0"/>
      <w:marRight w:val="0"/>
      <w:marTop w:val="0"/>
      <w:marBottom w:val="0"/>
      <w:divBdr>
        <w:top w:val="none" w:sz="0" w:space="0" w:color="auto"/>
        <w:left w:val="none" w:sz="0" w:space="0" w:color="auto"/>
        <w:bottom w:val="none" w:sz="0" w:space="0" w:color="auto"/>
        <w:right w:val="none" w:sz="0" w:space="0" w:color="auto"/>
      </w:divBdr>
    </w:div>
    <w:div w:id="1618877017">
      <w:bodyDiv w:val="1"/>
      <w:marLeft w:val="0"/>
      <w:marRight w:val="0"/>
      <w:marTop w:val="0"/>
      <w:marBottom w:val="0"/>
      <w:divBdr>
        <w:top w:val="none" w:sz="0" w:space="0" w:color="auto"/>
        <w:left w:val="none" w:sz="0" w:space="0" w:color="auto"/>
        <w:bottom w:val="none" w:sz="0" w:space="0" w:color="auto"/>
        <w:right w:val="none" w:sz="0" w:space="0" w:color="auto"/>
      </w:divBdr>
    </w:div>
    <w:div w:id="1786803563">
      <w:bodyDiv w:val="1"/>
      <w:marLeft w:val="0"/>
      <w:marRight w:val="0"/>
      <w:marTop w:val="0"/>
      <w:marBottom w:val="0"/>
      <w:divBdr>
        <w:top w:val="none" w:sz="0" w:space="0" w:color="auto"/>
        <w:left w:val="none" w:sz="0" w:space="0" w:color="auto"/>
        <w:bottom w:val="none" w:sz="0" w:space="0" w:color="auto"/>
        <w:right w:val="none" w:sz="0" w:space="0" w:color="auto"/>
      </w:divBdr>
    </w:div>
    <w:div w:id="1917979136">
      <w:bodyDiv w:val="1"/>
      <w:marLeft w:val="0"/>
      <w:marRight w:val="0"/>
      <w:marTop w:val="0"/>
      <w:marBottom w:val="0"/>
      <w:divBdr>
        <w:top w:val="none" w:sz="0" w:space="0" w:color="auto"/>
        <w:left w:val="none" w:sz="0" w:space="0" w:color="auto"/>
        <w:bottom w:val="none" w:sz="0" w:space="0" w:color="auto"/>
        <w:right w:val="none" w:sz="0" w:space="0" w:color="auto"/>
      </w:divBdr>
    </w:div>
    <w:div w:id="1923490902">
      <w:bodyDiv w:val="1"/>
      <w:marLeft w:val="0"/>
      <w:marRight w:val="0"/>
      <w:marTop w:val="0"/>
      <w:marBottom w:val="0"/>
      <w:divBdr>
        <w:top w:val="none" w:sz="0" w:space="0" w:color="auto"/>
        <w:left w:val="none" w:sz="0" w:space="0" w:color="auto"/>
        <w:bottom w:val="none" w:sz="0" w:space="0" w:color="auto"/>
        <w:right w:val="none" w:sz="0" w:space="0" w:color="auto"/>
      </w:divBdr>
    </w:div>
    <w:div w:id="2036422653">
      <w:bodyDiv w:val="1"/>
      <w:marLeft w:val="0"/>
      <w:marRight w:val="0"/>
      <w:marTop w:val="0"/>
      <w:marBottom w:val="0"/>
      <w:divBdr>
        <w:top w:val="none" w:sz="0" w:space="0" w:color="auto"/>
        <w:left w:val="none" w:sz="0" w:space="0" w:color="auto"/>
        <w:bottom w:val="none" w:sz="0" w:space="0" w:color="auto"/>
        <w:right w:val="none" w:sz="0" w:space="0" w:color="auto"/>
      </w:divBdr>
    </w:div>
    <w:div w:id="2083983820">
      <w:bodyDiv w:val="1"/>
      <w:marLeft w:val="0"/>
      <w:marRight w:val="0"/>
      <w:marTop w:val="0"/>
      <w:marBottom w:val="0"/>
      <w:divBdr>
        <w:top w:val="none" w:sz="0" w:space="0" w:color="auto"/>
        <w:left w:val="none" w:sz="0" w:space="0" w:color="auto"/>
        <w:bottom w:val="none" w:sz="0" w:space="0" w:color="auto"/>
        <w:right w:val="none" w:sz="0" w:space="0" w:color="auto"/>
      </w:divBdr>
    </w:div>
    <w:div w:id="209571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yssh\AppData\Local\Temp\1\Temp2_External%20Drafters.zip\Document%20Templates\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1E6DE13155C224FA4A370B15D4B9079" ma:contentTypeVersion="" ma:contentTypeDescription="PDMS Document Site Content Type" ma:contentTypeScope="" ma:versionID="fcebec13379fec5dfc177a4799d4156e">
  <xsd:schema xmlns:xsd="http://www.w3.org/2001/XMLSchema" xmlns:xs="http://www.w3.org/2001/XMLSchema" xmlns:p="http://schemas.microsoft.com/office/2006/metadata/properties" xmlns:ns2="1819CC59-67D7-4AF0-90AE-DE14A3EA2FF7" targetNamespace="http://schemas.microsoft.com/office/2006/metadata/properties" ma:root="true" ma:fieldsID="28c3d896a81ad15dcc1e1c3910031732" ns2:_="">
    <xsd:import namespace="1819CC59-67D7-4AF0-90AE-DE14A3EA2FF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9CC59-67D7-4AF0-90AE-DE14A3EA2FF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819CC59-67D7-4AF0-90AE-DE14A3EA2F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8CB23-CC99-44BF-850A-731B707AA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9CC59-67D7-4AF0-90AE-DE14A3EA2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DFDE9-5DA2-48AF-9529-29CA99D00DF8}">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1819CC59-67D7-4AF0-90AE-DE14A3EA2FF7"/>
    <ds:schemaRef ds:uri="http://www.w3.org/XML/1998/namespace"/>
    <ds:schemaRef ds:uri="http://purl.org/dc/terms/"/>
  </ds:schemaRefs>
</ds:datastoreItem>
</file>

<file path=customXml/itemProps3.xml><?xml version="1.0" encoding="utf-8"?>
<ds:datastoreItem xmlns:ds="http://schemas.openxmlformats.org/officeDocument/2006/customXml" ds:itemID="{E35818C9-C540-41CE-BDDE-54309EF481CB}">
  <ds:schemaRefs>
    <ds:schemaRef ds:uri="http://schemas.microsoft.com/sharepoint/v3/contenttype/forms"/>
  </ds:schemaRefs>
</ds:datastoreItem>
</file>

<file path=customXml/itemProps4.xml><?xml version="1.0" encoding="utf-8"?>
<ds:datastoreItem xmlns:ds="http://schemas.openxmlformats.org/officeDocument/2006/customXml" ds:itemID="{3DAF713E-9642-4069-9823-18D17221B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1</TotalTime>
  <Pages>19</Pages>
  <Words>5197</Words>
  <Characters>29629</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AGS</dc:creator>
  <cp:lastModifiedBy>JONES Phoebe</cp:lastModifiedBy>
  <cp:revision>2</cp:revision>
  <cp:lastPrinted>2020-03-01T21:19:00Z</cp:lastPrinted>
  <dcterms:created xsi:type="dcterms:W3CDTF">2020-04-02T04:39:00Z</dcterms:created>
  <dcterms:modified xsi:type="dcterms:W3CDTF">2020-04-02T04:39:00Z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Amendment [type] 2017</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2017</vt:lpwstr>
  </property>
  <property fmtid="{D5CDD505-2E9C-101B-9397-08002B2CF9AE}" pid="10" name="ID">
    <vt:lpwstr> </vt:lpwstr>
  </property>
  <property fmtid="{D5CDD505-2E9C-101B-9397-08002B2CF9AE}" pid="11" name="Classification">
    <vt:lpwstr>UNCLASSIFIED</vt:lpwstr>
  </property>
  <property fmtid="{D5CDD505-2E9C-101B-9397-08002B2CF9AE}" pid="12" name="DLM">
    <vt:lpwstr>Sensitive: Legal</vt:lpwstr>
  </property>
  <property fmtid="{D5CDD505-2E9C-101B-9397-08002B2CF9AE}" pid="13" name="CheckForSharePointFields">
    <vt:lpwstr>False</vt:lpwstr>
  </property>
  <property fmtid="{D5CDD505-2E9C-101B-9397-08002B2CF9AE}" pid="14" name="Template Filename">
    <vt:lpwstr/>
  </property>
  <property fmtid="{D5CDD505-2E9C-101B-9397-08002B2CF9AE}" pid="15" name="ObjectiveRef">
    <vt:lpwstr>Removed</vt:lpwstr>
  </property>
  <property fmtid="{D5CDD505-2E9C-101B-9397-08002B2CF9AE}" pid="16" name="LeadingLawyers">
    <vt:lpwstr>Removed</vt:lpwstr>
  </property>
  <property fmtid="{D5CDD505-2E9C-101B-9397-08002B2CF9AE}" pid="17" name="WSFooter">
    <vt:lpwstr>36291056</vt:lpwstr>
  </property>
  <property fmtid="{D5CDD505-2E9C-101B-9397-08002B2CF9AE}" pid="18" name="ContentTypeId">
    <vt:lpwstr>0x010100266966F133664895A6EE3632470D45F50051E6DE13155C224FA4A370B15D4B9079</vt:lpwstr>
  </property>
</Properties>
</file>