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6F329" w14:textId="0C4F3195" w:rsidR="009A6866" w:rsidRPr="009A6866" w:rsidRDefault="009A6866" w:rsidP="009A6866">
      <w:pPr>
        <w:pStyle w:val="Heading6"/>
      </w:pPr>
      <w:bookmarkStart w:id="0" w:name="_GoBack"/>
      <w:bookmarkEnd w:id="0"/>
      <w:r>
        <w:t>Defence Determination, Conditions of service Amendment (</w:t>
      </w:r>
      <w:r w:rsidR="00264D64">
        <w:t>COVID-19</w:t>
      </w:r>
      <w:r w:rsidR="0D27BA7F">
        <w:t xml:space="preserve"> response</w:t>
      </w:r>
      <w:r>
        <w:t>) Determination 20</w:t>
      </w:r>
      <w:r w:rsidR="656F631E">
        <w:t>20</w:t>
      </w:r>
      <w:r>
        <w:t xml:space="preserve"> (No. </w:t>
      </w:r>
      <w:r w:rsidR="00E058F7">
        <w:t>8</w:t>
      </w:r>
      <w:r>
        <w:t>)</w:t>
      </w:r>
    </w:p>
    <w:p w14:paraId="383649D3" w14:textId="22E5AA35" w:rsidR="001E51FE" w:rsidRDefault="001E51FE" w:rsidP="00EC45EE">
      <w:pPr>
        <w:pStyle w:val="Sectiontext"/>
        <w:tabs>
          <w:tab w:val="left" w:pos="7380"/>
        </w:tabs>
      </w:pPr>
      <w:r w:rsidRPr="000D4FC9">
        <w:t>This Determination a</w:t>
      </w:r>
      <w:r>
        <w:t>mends Defence Determination 2016/19</w:t>
      </w:r>
      <w:r w:rsidRPr="000D4FC9">
        <w:t xml:space="preserve">, </w:t>
      </w:r>
      <w:r w:rsidRPr="009B1754">
        <w:rPr>
          <w:i/>
        </w:rPr>
        <w:t>Conditions of service</w:t>
      </w:r>
      <w:r w:rsidRPr="000D4FC9">
        <w:t xml:space="preserve"> (the Principal Determination), made under section 58B of the </w:t>
      </w:r>
      <w:r w:rsidRPr="00D84477">
        <w:rPr>
          <w:i/>
        </w:rPr>
        <w:t>Defence Act 1903</w:t>
      </w:r>
      <w:r w:rsidR="00FA083A">
        <w:t xml:space="preserve"> </w:t>
      </w:r>
      <w:r w:rsidR="00500451">
        <w:t xml:space="preserve">(the Defence Act) </w:t>
      </w:r>
      <w:r w:rsidRPr="000D4FC9">
        <w:t xml:space="preserve">and in accordance with subsection 33(3) of the </w:t>
      </w:r>
      <w:r w:rsidRPr="00D84477">
        <w:rPr>
          <w:i/>
        </w:rPr>
        <w:t>Acts Interpretation Act 1901</w:t>
      </w:r>
      <w:r w:rsidRPr="000D4FC9">
        <w:t xml:space="preserve"> (AI Act). </w:t>
      </w:r>
    </w:p>
    <w:p w14:paraId="15BAF105" w14:textId="1645AB4A" w:rsidR="001E51FE" w:rsidRDefault="001E51FE" w:rsidP="001E51FE">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t>. These instruments</w:t>
      </w:r>
      <w:r w:rsidRPr="000D4FC9">
        <w:t xml:space="preserve"> are </w:t>
      </w:r>
      <w:r>
        <w:t xml:space="preserve">also </w:t>
      </w:r>
      <w:r w:rsidRPr="000D4FC9">
        <w:t>subject to the interpret</w:t>
      </w:r>
      <w:r>
        <w:t>ation principles in the AI Act</w:t>
      </w:r>
      <w:r w:rsidRPr="000D4FC9">
        <w:t xml:space="preserve">. </w:t>
      </w:r>
    </w:p>
    <w:p w14:paraId="02E46952" w14:textId="675E2A3C" w:rsidR="007952E9" w:rsidRPr="00264D64" w:rsidRDefault="007952E9" w:rsidP="00DB3BDF">
      <w:pPr>
        <w:spacing w:after="200"/>
        <w:rPr>
          <w:rFonts w:ascii="Arial" w:hAnsi="Arial" w:cs="Arial"/>
          <w:sz w:val="20"/>
        </w:rPr>
      </w:pPr>
      <w:r w:rsidRPr="00264D64">
        <w:rPr>
          <w:rFonts w:ascii="Arial" w:hAnsi="Arial" w:cs="Arial"/>
          <w:sz w:val="20"/>
        </w:rPr>
        <w:t>This Determination amends the following Chapters of the Principal Determination for members of the Australian Defence Force (ADF).</w:t>
      </w:r>
    </w:p>
    <w:p w14:paraId="0FA91322" w14:textId="7EFFDCB8" w:rsidR="007952E9" w:rsidRPr="00264D64" w:rsidRDefault="00264D64" w:rsidP="007952E9">
      <w:pPr>
        <w:pStyle w:val="Sectiontext"/>
        <w:numPr>
          <w:ilvl w:val="0"/>
          <w:numId w:val="15"/>
        </w:numPr>
      </w:pPr>
      <w:r w:rsidRPr="00264D64">
        <w:rPr>
          <w:snapToGrid w:val="0"/>
        </w:rPr>
        <w:t>Chapter 4 sets out provisions dealing with allowances and reimbursements.</w:t>
      </w:r>
    </w:p>
    <w:p w14:paraId="7F99DAAA" w14:textId="77777777" w:rsidR="00446921" w:rsidRDefault="00446921" w:rsidP="00446921">
      <w:pPr>
        <w:pStyle w:val="Sectiontext"/>
        <w:numPr>
          <w:ilvl w:val="0"/>
          <w:numId w:val="15"/>
        </w:numPr>
      </w:pPr>
      <w:r>
        <w:rPr>
          <w:snapToGrid w:val="0"/>
        </w:rPr>
        <w:t>Chapter 5 sets out provisions dealing with leave</w:t>
      </w:r>
      <w:r>
        <w:t>.</w:t>
      </w:r>
    </w:p>
    <w:p w14:paraId="3A65DE03" w14:textId="7102F6E6" w:rsidR="00446921" w:rsidRPr="00446921" w:rsidRDefault="00446921" w:rsidP="00446921">
      <w:pPr>
        <w:pStyle w:val="Sectiontext"/>
        <w:numPr>
          <w:ilvl w:val="0"/>
          <w:numId w:val="15"/>
        </w:numPr>
      </w:pPr>
      <w:r>
        <w:rPr>
          <w:snapToGrid w:val="0"/>
        </w:rPr>
        <w:t>Chapter 7 sets out provisions relating to housing, including related housing benefits for members who live away from their families.</w:t>
      </w:r>
    </w:p>
    <w:p w14:paraId="38C386FD" w14:textId="08017157" w:rsidR="00264D64" w:rsidRPr="00264D64" w:rsidRDefault="00264D64" w:rsidP="00446921">
      <w:pPr>
        <w:pStyle w:val="Sectiontext"/>
        <w:numPr>
          <w:ilvl w:val="0"/>
          <w:numId w:val="15"/>
        </w:numPr>
      </w:pPr>
      <w:r w:rsidRPr="00446921">
        <w:rPr>
          <w:snapToGrid w:val="0"/>
        </w:rPr>
        <w:t>Chapter 14</w:t>
      </w:r>
      <w:r w:rsidR="00E058F7" w:rsidRPr="00446921">
        <w:rPr>
          <w:snapToGrid w:val="0"/>
        </w:rPr>
        <w:t>A</w:t>
      </w:r>
      <w:r w:rsidRPr="00446921">
        <w:rPr>
          <w:snapToGrid w:val="0"/>
        </w:rPr>
        <w:t xml:space="preserve"> sets out provisions dealing with </w:t>
      </w:r>
      <w:r w:rsidR="00E058F7" w:rsidRPr="00446921">
        <w:rPr>
          <w:snapToGrid w:val="0"/>
        </w:rPr>
        <w:t>evacuation from an overseas location in response to COVID-19</w:t>
      </w:r>
      <w:r w:rsidRPr="00446921">
        <w:rPr>
          <w:snapToGrid w:val="0"/>
        </w:rPr>
        <w:t>.</w:t>
      </w:r>
    </w:p>
    <w:p w14:paraId="6257C337" w14:textId="5FEB5FFC" w:rsidR="00446921" w:rsidRDefault="00264D64" w:rsidP="00DB3BDF">
      <w:pPr>
        <w:pStyle w:val="Sectiontext"/>
        <w:ind w:left="28"/>
      </w:pPr>
      <w:r w:rsidRPr="00446921">
        <w:rPr>
          <w:snapToGrid w:val="0"/>
        </w:rPr>
        <w:t>The purpose of this Determination is to enable the ADF to respond to the Coronavirus (COVID-19)</w:t>
      </w:r>
      <w:r w:rsidR="0320D577" w:rsidRPr="00446921">
        <w:rPr>
          <w:snapToGrid w:val="0"/>
        </w:rPr>
        <w:t xml:space="preserve"> pandemic</w:t>
      </w:r>
      <w:r w:rsidR="00446921" w:rsidRPr="00446921">
        <w:rPr>
          <w:snapToGrid w:val="0"/>
        </w:rPr>
        <w:t xml:space="preserve">. It </w:t>
      </w:r>
      <w:r w:rsidR="00446921">
        <w:rPr>
          <w:snapToGrid w:val="0"/>
        </w:rPr>
        <w:t>does the following:</w:t>
      </w:r>
    </w:p>
    <w:p w14:paraId="6703E6AD" w14:textId="5D0E4894" w:rsidR="00DB3BDF" w:rsidRDefault="33CDB993" w:rsidP="68CB4BAD">
      <w:pPr>
        <w:pStyle w:val="Sectiontext"/>
        <w:numPr>
          <w:ilvl w:val="0"/>
          <w:numId w:val="18"/>
        </w:numPr>
      </w:pPr>
      <w:r>
        <w:rPr>
          <w:snapToGrid w:val="0"/>
        </w:rPr>
        <w:t>a</w:t>
      </w:r>
      <w:r w:rsidR="00DB3BDF" w:rsidRPr="00446921">
        <w:rPr>
          <w:snapToGrid w:val="0"/>
        </w:rPr>
        <w:t xml:space="preserve">mends provisions </w:t>
      </w:r>
      <w:r w:rsidR="00446921" w:rsidRPr="00446921">
        <w:rPr>
          <w:snapToGrid w:val="0"/>
        </w:rPr>
        <w:t>relating to the availability of short absence from duty that relate to C</w:t>
      </w:r>
      <w:r w:rsidR="4359DAB8" w:rsidRPr="00446921">
        <w:rPr>
          <w:snapToGrid w:val="0"/>
        </w:rPr>
        <w:t>O</w:t>
      </w:r>
      <w:r w:rsidR="00446921" w:rsidRPr="00446921">
        <w:rPr>
          <w:snapToGrid w:val="0"/>
        </w:rPr>
        <w:t>V</w:t>
      </w:r>
      <w:r w:rsidR="4347BC0F" w:rsidRPr="00446921">
        <w:rPr>
          <w:snapToGrid w:val="0"/>
        </w:rPr>
        <w:t>I</w:t>
      </w:r>
      <w:r w:rsidR="00446921" w:rsidRPr="00446921">
        <w:rPr>
          <w:snapToGrid w:val="0"/>
        </w:rPr>
        <w:t>D-19 and the provision of food allowance. The amendments bring the provisions in line with general community standards, while also noting the uniqueness of military service.</w:t>
      </w:r>
      <w:r w:rsidR="0CB5574D">
        <w:t xml:space="preserve"> </w:t>
      </w:r>
    </w:p>
    <w:p w14:paraId="52B67FBC" w14:textId="1FFB3A64" w:rsidR="00DB3BDF" w:rsidRDefault="0CB5574D" w:rsidP="68CB4BAD">
      <w:pPr>
        <w:pStyle w:val="Sectiontext"/>
        <w:numPr>
          <w:ilvl w:val="0"/>
          <w:numId w:val="18"/>
        </w:numPr>
      </w:pPr>
      <w:r>
        <w:t>amends benefits provided to ADF members and their families being evacuated from overseas posting locations and places of duty in response to change</w:t>
      </w:r>
      <w:r w:rsidR="558CCB3F">
        <w:t>s</w:t>
      </w:r>
      <w:r>
        <w:t xml:space="preserve"> made by the Department of Foreign Affairs and Trade.</w:t>
      </w:r>
    </w:p>
    <w:p w14:paraId="670294B9" w14:textId="6CB8895F" w:rsidR="00446921" w:rsidRPr="00446921" w:rsidRDefault="00E104D0" w:rsidP="00446921">
      <w:pPr>
        <w:pStyle w:val="Sectiontext"/>
        <w:numPr>
          <w:ilvl w:val="0"/>
          <w:numId w:val="18"/>
        </w:numPr>
      </w:pPr>
      <w:r>
        <w:rPr>
          <w:snapToGrid w:val="0"/>
        </w:rPr>
        <w:t>m</w:t>
      </w:r>
      <w:r w:rsidR="00446921">
        <w:rPr>
          <w:snapToGrid w:val="0"/>
        </w:rPr>
        <w:t>ake</w:t>
      </w:r>
      <w:r w:rsidR="27F0151E">
        <w:rPr>
          <w:snapToGrid w:val="0"/>
        </w:rPr>
        <w:t>s</w:t>
      </w:r>
      <w:r w:rsidR="00446921">
        <w:rPr>
          <w:snapToGrid w:val="0"/>
        </w:rPr>
        <w:t xml:space="preserve"> minor technical amendments.</w:t>
      </w:r>
    </w:p>
    <w:p w14:paraId="72CBBB6B" w14:textId="77777777" w:rsidR="001E51FE" w:rsidRDefault="001E51FE" w:rsidP="001E51FE">
      <w:pPr>
        <w:pStyle w:val="Sectiontext"/>
        <w:rPr>
          <w:snapToGrid w:val="0"/>
        </w:rPr>
      </w:pPr>
      <w:r>
        <w:rPr>
          <w:snapToGrid w:val="0"/>
        </w:rPr>
        <w:t>Section 1 of this Determination sets out the manner in which this Determination may be cited.</w:t>
      </w:r>
    </w:p>
    <w:p w14:paraId="0CE1DE3A" w14:textId="68554B8F" w:rsidR="001E51FE" w:rsidRDefault="001E51FE" w:rsidP="001E51FE">
      <w:pPr>
        <w:pStyle w:val="Sectiontext"/>
      </w:pPr>
      <w:r>
        <w:t xml:space="preserve">Section 2 provides that this instrument commences </w:t>
      </w:r>
      <w:r w:rsidRPr="00264D64">
        <w:t xml:space="preserve">on </w:t>
      </w:r>
      <w:r w:rsidR="00264D64" w:rsidRPr="00264D64">
        <w:t>the day after registration</w:t>
      </w:r>
      <w:r w:rsidRPr="008C4CC5">
        <w:t>.</w:t>
      </w:r>
    </w:p>
    <w:p w14:paraId="66C3A9CC" w14:textId="42E6939A" w:rsidR="001E51FE" w:rsidRPr="00A575F1" w:rsidRDefault="001E51FE" w:rsidP="001E51FE">
      <w:pPr>
        <w:pStyle w:val="Sectiontext"/>
        <w:rPr>
          <w:snapToGrid w:val="0"/>
        </w:rPr>
      </w:pPr>
      <w:r>
        <w:rPr>
          <w:snapToGrid w:val="0"/>
        </w:rPr>
        <w:t xml:space="preserve">Section 3 provides that this instrument has authority under section 58B of the </w:t>
      </w:r>
      <w:r w:rsidRPr="00FA083A">
        <w:rPr>
          <w:snapToGrid w:val="0"/>
        </w:rPr>
        <w:t>Defence Act</w:t>
      </w:r>
      <w:r>
        <w:rPr>
          <w:snapToGrid w:val="0"/>
        </w:rPr>
        <w:t>.</w:t>
      </w:r>
    </w:p>
    <w:p w14:paraId="7B55DD4F" w14:textId="77777777" w:rsidR="001E51FE" w:rsidRDefault="001E51FE" w:rsidP="001E51FE">
      <w:pPr>
        <w:pStyle w:val="Sectiontext"/>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522AD3C0" w14:textId="16BD50CE" w:rsidR="009A6866" w:rsidRPr="00310FDB" w:rsidRDefault="009A6866" w:rsidP="00FA083A">
      <w:pPr>
        <w:pStyle w:val="Sectiontext"/>
        <w:rPr>
          <w:i/>
          <w:snapToGrid w:val="0"/>
          <w:color w:val="000000" w:themeColor="text1"/>
          <w:u w:val="single"/>
        </w:rPr>
      </w:pPr>
      <w:r w:rsidRPr="00310FDB">
        <w:rPr>
          <w:i/>
          <w:snapToGrid w:val="0"/>
          <w:color w:val="000000" w:themeColor="text1"/>
          <w:u w:val="single"/>
        </w:rPr>
        <w:t>Schedule 1</w:t>
      </w:r>
      <w:r w:rsidRPr="00310FDB">
        <w:rPr>
          <w:rFonts w:cs="Arial"/>
          <w:i/>
          <w:snapToGrid w:val="0"/>
          <w:color w:val="000000" w:themeColor="text1"/>
          <w:u w:val="single"/>
        </w:rPr>
        <w:t>—</w:t>
      </w:r>
      <w:r w:rsidR="00446921" w:rsidRPr="00310FDB">
        <w:rPr>
          <w:i/>
          <w:snapToGrid w:val="0"/>
          <w:color w:val="000000" w:themeColor="text1"/>
          <w:u w:val="single"/>
        </w:rPr>
        <w:t>Domestic</w:t>
      </w:r>
      <w:r w:rsidR="00B14FC5" w:rsidRPr="00310FDB">
        <w:rPr>
          <w:i/>
          <w:snapToGrid w:val="0"/>
          <w:color w:val="000000" w:themeColor="text1"/>
          <w:u w:val="single"/>
        </w:rPr>
        <w:t xml:space="preserve"> conditions </w:t>
      </w:r>
      <w:r w:rsidRPr="00310FDB">
        <w:rPr>
          <w:i/>
          <w:snapToGrid w:val="0"/>
          <w:color w:val="000000" w:themeColor="text1"/>
          <w:u w:val="single"/>
        </w:rPr>
        <w:t>amendments</w:t>
      </w:r>
    </w:p>
    <w:p w14:paraId="294957FB" w14:textId="65755CA1" w:rsidR="00446921" w:rsidRPr="00310FDB" w:rsidRDefault="00446921" w:rsidP="00FA083A">
      <w:pPr>
        <w:pStyle w:val="Sectiontext"/>
        <w:rPr>
          <w:snapToGrid w:val="0"/>
          <w:color w:val="000000" w:themeColor="text1"/>
        </w:rPr>
      </w:pPr>
      <w:r w:rsidRPr="00310FDB">
        <w:rPr>
          <w:snapToGrid w:val="0"/>
          <w:color w:val="000000" w:themeColor="text1"/>
        </w:rPr>
        <w:t xml:space="preserve">Section 1 amends section 4.9.20 </w:t>
      </w:r>
      <w:r w:rsidR="00310FDB" w:rsidRPr="00310FDB">
        <w:rPr>
          <w:snapToGrid w:val="0"/>
          <w:color w:val="000000" w:themeColor="text1"/>
        </w:rPr>
        <w:t xml:space="preserve">of </w:t>
      </w:r>
      <w:r w:rsidR="00310FDB" w:rsidRPr="00310FDB">
        <w:rPr>
          <w:rFonts w:cs="Arial"/>
          <w:color w:val="000000" w:themeColor="text1"/>
        </w:rPr>
        <w:t xml:space="preserve">the Principal Determination </w:t>
      </w:r>
      <w:r w:rsidR="00364651" w:rsidRPr="00310FDB">
        <w:rPr>
          <w:snapToGrid w:val="0"/>
          <w:color w:val="000000" w:themeColor="text1"/>
        </w:rPr>
        <w:t>which sets t</w:t>
      </w:r>
      <w:r w:rsidR="56D5EDDA" w:rsidRPr="00310FDB">
        <w:rPr>
          <w:snapToGrid w:val="0"/>
          <w:color w:val="000000" w:themeColor="text1"/>
        </w:rPr>
        <w:t xml:space="preserve">he </w:t>
      </w:r>
      <w:r w:rsidR="00364651" w:rsidRPr="00310FDB">
        <w:rPr>
          <w:snapToGrid w:val="0"/>
          <w:color w:val="000000" w:themeColor="text1"/>
        </w:rPr>
        <w:t>rate of Reserve service payment for periods of isolation associated with military service. The amendment means that Reserve allowance is included when determining the rate of Reserve service allowance that would be payable to the member.</w:t>
      </w:r>
    </w:p>
    <w:p w14:paraId="023525F6" w14:textId="4CDFB459" w:rsidR="00364651" w:rsidRPr="00310FDB" w:rsidRDefault="00364651" w:rsidP="00FA083A">
      <w:pPr>
        <w:pStyle w:val="Sectiontext"/>
        <w:rPr>
          <w:snapToGrid w:val="0"/>
          <w:color w:val="000000" w:themeColor="text1"/>
        </w:rPr>
      </w:pPr>
      <w:r w:rsidRPr="00310FDB">
        <w:rPr>
          <w:snapToGrid w:val="0"/>
          <w:color w:val="000000" w:themeColor="text1"/>
        </w:rPr>
        <w:t xml:space="preserve">Section 2 amends the heading of Chapter 5 Part 11 Division 4 </w:t>
      </w:r>
      <w:r w:rsidR="00310FDB" w:rsidRPr="00310FDB">
        <w:rPr>
          <w:snapToGrid w:val="0"/>
          <w:color w:val="000000" w:themeColor="text1"/>
        </w:rPr>
        <w:t xml:space="preserve">of </w:t>
      </w:r>
      <w:r w:rsidR="00310FDB" w:rsidRPr="00310FDB">
        <w:rPr>
          <w:rFonts w:cs="Arial"/>
          <w:color w:val="000000" w:themeColor="text1"/>
        </w:rPr>
        <w:t xml:space="preserve">the Principal Determination </w:t>
      </w:r>
      <w:r w:rsidRPr="00310FDB">
        <w:rPr>
          <w:snapToGrid w:val="0"/>
          <w:color w:val="000000" w:themeColor="text1"/>
        </w:rPr>
        <w:t>to better reflect the content of the Division as a consequence of this Determination.</w:t>
      </w:r>
    </w:p>
    <w:p w14:paraId="55C01D96" w14:textId="29920761" w:rsidR="00364651" w:rsidRPr="00310FDB" w:rsidRDefault="00364651" w:rsidP="00364651">
      <w:pPr>
        <w:pStyle w:val="Sectiontext"/>
        <w:rPr>
          <w:snapToGrid w:val="0"/>
          <w:color w:val="000000" w:themeColor="text1"/>
        </w:rPr>
      </w:pPr>
      <w:r w:rsidRPr="00310FDB">
        <w:rPr>
          <w:snapToGrid w:val="0"/>
          <w:color w:val="000000" w:themeColor="text1"/>
        </w:rPr>
        <w:t>Section 3 amends section 5.11.16</w:t>
      </w:r>
      <w:r w:rsidR="00310FDB" w:rsidRPr="00310FDB">
        <w:rPr>
          <w:snapToGrid w:val="0"/>
          <w:color w:val="000000" w:themeColor="text1"/>
        </w:rPr>
        <w:t xml:space="preserve"> of </w:t>
      </w:r>
      <w:r w:rsidR="00310FDB" w:rsidRPr="00310FDB">
        <w:rPr>
          <w:rFonts w:cs="Arial"/>
          <w:color w:val="000000" w:themeColor="text1"/>
        </w:rPr>
        <w:t>the Principal Determination</w:t>
      </w:r>
      <w:r w:rsidRPr="00310FDB">
        <w:rPr>
          <w:snapToGrid w:val="0"/>
          <w:color w:val="000000" w:themeColor="text1"/>
        </w:rPr>
        <w:t xml:space="preserve"> which states the purpose of </w:t>
      </w:r>
      <w:r w:rsidRPr="00310FDB">
        <w:rPr>
          <w:color w:val="000000" w:themeColor="text1"/>
        </w:rPr>
        <w:t xml:space="preserve">Chapter 5 Part 11 Division 4. The amendment has broadened the scope of the purpose </w:t>
      </w:r>
      <w:r w:rsidRPr="00310FDB">
        <w:rPr>
          <w:snapToGrid w:val="0"/>
          <w:color w:val="000000" w:themeColor="text1"/>
        </w:rPr>
        <w:t>to better reflect the content of the Division as a consequence of this Determination.</w:t>
      </w:r>
    </w:p>
    <w:p w14:paraId="6FD95FEC" w14:textId="2BE13C7B" w:rsidR="00364651" w:rsidRPr="00310FDB" w:rsidRDefault="00364651" w:rsidP="00364651">
      <w:pPr>
        <w:pStyle w:val="Sectiontext"/>
        <w:rPr>
          <w:snapToGrid w:val="0"/>
          <w:color w:val="000000" w:themeColor="text1"/>
        </w:rPr>
      </w:pPr>
      <w:r w:rsidRPr="00310FDB">
        <w:rPr>
          <w:snapToGrid w:val="0"/>
          <w:color w:val="000000" w:themeColor="text1"/>
        </w:rPr>
        <w:lastRenderedPageBreak/>
        <w:t>Section 4 inserts a new section after section 5.11.16</w:t>
      </w:r>
      <w:r w:rsidR="00310FDB" w:rsidRPr="00310FDB">
        <w:rPr>
          <w:snapToGrid w:val="0"/>
          <w:color w:val="000000" w:themeColor="text1"/>
        </w:rPr>
        <w:t xml:space="preserve"> of </w:t>
      </w:r>
      <w:r w:rsidR="00310FDB" w:rsidRPr="00310FDB">
        <w:rPr>
          <w:rFonts w:cs="Arial"/>
          <w:color w:val="000000" w:themeColor="text1"/>
        </w:rPr>
        <w:t>the Principal Determination</w:t>
      </w:r>
      <w:r w:rsidRPr="00310FDB">
        <w:rPr>
          <w:snapToGrid w:val="0"/>
          <w:color w:val="000000" w:themeColor="text1"/>
        </w:rPr>
        <w:t xml:space="preserve">. The new section defines ‘COVID-19 control measure’, which is used throughout the Division as a consequence of this amendment. </w:t>
      </w:r>
    </w:p>
    <w:p w14:paraId="38116453" w14:textId="1838CE0C" w:rsidR="00364651" w:rsidRPr="00310FDB" w:rsidRDefault="00364651" w:rsidP="00364651">
      <w:pPr>
        <w:pStyle w:val="Sectiontext"/>
        <w:rPr>
          <w:snapToGrid w:val="0"/>
          <w:color w:val="000000" w:themeColor="text1"/>
        </w:rPr>
      </w:pPr>
      <w:r w:rsidRPr="00310FDB">
        <w:rPr>
          <w:snapToGrid w:val="0"/>
          <w:color w:val="000000" w:themeColor="text1"/>
        </w:rPr>
        <w:t>Section 5 amends the heading of section 5.11.18</w:t>
      </w:r>
      <w:r w:rsidR="00310FDB" w:rsidRPr="00310FDB">
        <w:rPr>
          <w:snapToGrid w:val="0"/>
          <w:color w:val="000000" w:themeColor="text1"/>
        </w:rPr>
        <w:t xml:space="preserve"> of </w:t>
      </w:r>
      <w:r w:rsidR="00310FDB" w:rsidRPr="00310FDB">
        <w:rPr>
          <w:rFonts w:cs="Arial"/>
          <w:color w:val="000000" w:themeColor="text1"/>
        </w:rPr>
        <w:t>the Principal Determination</w:t>
      </w:r>
      <w:r w:rsidRPr="00310FDB">
        <w:rPr>
          <w:snapToGrid w:val="0"/>
          <w:color w:val="000000" w:themeColor="text1"/>
        </w:rPr>
        <w:t>. The amendment is made to better reflect the content of the Division as a consequence of this Determination.</w:t>
      </w:r>
    </w:p>
    <w:p w14:paraId="729C3BC9" w14:textId="2C094E70" w:rsidR="00364651" w:rsidRPr="00310FDB" w:rsidRDefault="00364651" w:rsidP="00364651">
      <w:pPr>
        <w:pStyle w:val="Sectiontext"/>
        <w:rPr>
          <w:snapToGrid w:val="0"/>
          <w:color w:val="000000" w:themeColor="text1"/>
        </w:rPr>
      </w:pPr>
      <w:r w:rsidRPr="00310FDB">
        <w:rPr>
          <w:snapToGrid w:val="0"/>
          <w:color w:val="000000" w:themeColor="text1"/>
        </w:rPr>
        <w:t>Section</w:t>
      </w:r>
      <w:r w:rsidR="00F64113" w:rsidRPr="00310FDB">
        <w:rPr>
          <w:snapToGrid w:val="0"/>
          <w:color w:val="000000" w:themeColor="text1"/>
        </w:rPr>
        <w:t xml:space="preserve">s 6 and 7 </w:t>
      </w:r>
      <w:r w:rsidRPr="00310FDB">
        <w:rPr>
          <w:snapToGrid w:val="0"/>
          <w:color w:val="000000" w:themeColor="text1"/>
        </w:rPr>
        <w:t>amend section 5.11.18</w:t>
      </w:r>
      <w:r w:rsidR="00310FDB" w:rsidRPr="00310FDB">
        <w:rPr>
          <w:snapToGrid w:val="0"/>
          <w:color w:val="000000" w:themeColor="text1"/>
        </w:rPr>
        <w:t xml:space="preserve"> of </w:t>
      </w:r>
      <w:r w:rsidR="00310FDB" w:rsidRPr="00310FDB">
        <w:rPr>
          <w:rFonts w:cs="Arial"/>
          <w:color w:val="000000" w:themeColor="text1"/>
        </w:rPr>
        <w:t>the Principal Determination</w:t>
      </w:r>
      <w:r w:rsidRPr="00310FDB">
        <w:rPr>
          <w:snapToGrid w:val="0"/>
          <w:color w:val="000000" w:themeColor="text1"/>
        </w:rPr>
        <w:t xml:space="preserve"> which sets out when sh</w:t>
      </w:r>
      <w:r w:rsidR="0D95B56E" w:rsidRPr="00310FDB">
        <w:rPr>
          <w:snapToGrid w:val="0"/>
          <w:color w:val="000000" w:themeColor="text1"/>
        </w:rPr>
        <w:t>o</w:t>
      </w:r>
      <w:r w:rsidRPr="00310FDB">
        <w:rPr>
          <w:snapToGrid w:val="0"/>
          <w:color w:val="000000" w:themeColor="text1"/>
        </w:rPr>
        <w:t xml:space="preserve">rt absence from duty is available because </w:t>
      </w:r>
      <w:r w:rsidR="22137137" w:rsidRPr="00310FDB">
        <w:rPr>
          <w:snapToGrid w:val="0"/>
          <w:color w:val="000000" w:themeColor="text1"/>
        </w:rPr>
        <w:t xml:space="preserve">of </w:t>
      </w:r>
      <w:r w:rsidRPr="00310FDB">
        <w:rPr>
          <w:snapToGrid w:val="0"/>
          <w:color w:val="000000" w:themeColor="text1"/>
        </w:rPr>
        <w:t xml:space="preserve">COVID-19 related school closures. The amendment </w:t>
      </w:r>
      <w:r w:rsidR="00F64113" w:rsidRPr="00310FDB">
        <w:rPr>
          <w:snapToGrid w:val="0"/>
          <w:color w:val="000000" w:themeColor="text1"/>
        </w:rPr>
        <w:t>broadens the availability of the</w:t>
      </w:r>
      <w:r w:rsidR="00584DC0">
        <w:rPr>
          <w:snapToGrid w:val="0"/>
          <w:color w:val="000000" w:themeColor="text1"/>
        </w:rPr>
        <w:t xml:space="preserve"> short absence</w:t>
      </w:r>
      <w:r w:rsidR="00F64113" w:rsidRPr="00310FDB">
        <w:rPr>
          <w:snapToGrid w:val="0"/>
          <w:color w:val="000000" w:themeColor="text1"/>
        </w:rPr>
        <w:t xml:space="preserve"> to include circumstances where a child cannot attend school </w:t>
      </w:r>
      <w:r w:rsidR="0D6F7AC6" w:rsidRPr="00310FDB">
        <w:rPr>
          <w:snapToGrid w:val="0"/>
          <w:color w:val="000000" w:themeColor="text1"/>
        </w:rPr>
        <w:t xml:space="preserve">or child care provider </w:t>
      </w:r>
      <w:r w:rsidR="00F64113" w:rsidRPr="00310FDB">
        <w:rPr>
          <w:snapToGrid w:val="0"/>
          <w:color w:val="000000" w:themeColor="text1"/>
        </w:rPr>
        <w:t>because of a COVID-19 control measure, but the school remains open. This is in response to the changing circumstances relating to schools during the coronavirus pandemic.</w:t>
      </w:r>
    </w:p>
    <w:p w14:paraId="1A98FD90" w14:textId="72E46289" w:rsidR="00F64113" w:rsidRPr="00310FDB" w:rsidRDefault="00F64113" w:rsidP="00364651">
      <w:pPr>
        <w:pStyle w:val="Sectiontext"/>
        <w:rPr>
          <w:snapToGrid w:val="0"/>
          <w:color w:val="000000" w:themeColor="text1"/>
        </w:rPr>
      </w:pPr>
      <w:r w:rsidRPr="00310FDB">
        <w:rPr>
          <w:snapToGrid w:val="0"/>
          <w:color w:val="000000" w:themeColor="text1"/>
        </w:rPr>
        <w:t>Section 8 also amends section 5.11.18</w:t>
      </w:r>
      <w:r w:rsidR="00310FDB" w:rsidRPr="00310FDB">
        <w:rPr>
          <w:snapToGrid w:val="0"/>
          <w:color w:val="000000" w:themeColor="text1"/>
        </w:rPr>
        <w:t xml:space="preserve"> of </w:t>
      </w:r>
      <w:r w:rsidR="00310FDB" w:rsidRPr="00310FDB">
        <w:rPr>
          <w:rFonts w:cs="Arial"/>
          <w:color w:val="000000" w:themeColor="text1"/>
        </w:rPr>
        <w:t>the Principal Determination</w:t>
      </w:r>
      <w:r w:rsidRPr="00310FDB">
        <w:rPr>
          <w:snapToGrid w:val="0"/>
          <w:color w:val="000000" w:themeColor="text1"/>
        </w:rPr>
        <w:t xml:space="preserve"> to expand the authority of a member’s supervisor to approve u</w:t>
      </w:r>
      <w:r w:rsidR="0065F071" w:rsidRPr="00310FDB">
        <w:rPr>
          <w:snapToGrid w:val="0"/>
          <w:color w:val="000000" w:themeColor="text1"/>
        </w:rPr>
        <w:t xml:space="preserve">p </w:t>
      </w:r>
      <w:r w:rsidRPr="00310FDB">
        <w:rPr>
          <w:snapToGrid w:val="0"/>
          <w:color w:val="000000" w:themeColor="text1"/>
        </w:rPr>
        <w:t>to 28 days short absence from duty at a time rather than a cumulative total of 28 days.</w:t>
      </w:r>
    </w:p>
    <w:p w14:paraId="621CF08D" w14:textId="39E8B8B7" w:rsidR="00F64113" w:rsidRPr="00310FDB" w:rsidRDefault="00F64113" w:rsidP="00364651">
      <w:pPr>
        <w:pStyle w:val="Sectiontext"/>
        <w:rPr>
          <w:snapToGrid w:val="0"/>
          <w:color w:val="000000" w:themeColor="text1"/>
        </w:rPr>
      </w:pPr>
      <w:r w:rsidRPr="00310FDB">
        <w:rPr>
          <w:snapToGrid w:val="0"/>
          <w:color w:val="000000" w:themeColor="text1"/>
        </w:rPr>
        <w:t>Section 9 amends section 7.9.11</w:t>
      </w:r>
      <w:r w:rsidR="00310FDB" w:rsidRPr="00310FDB">
        <w:rPr>
          <w:snapToGrid w:val="0"/>
          <w:color w:val="000000" w:themeColor="text1"/>
        </w:rPr>
        <w:t xml:space="preserve"> of </w:t>
      </w:r>
      <w:r w:rsidR="00310FDB" w:rsidRPr="00310FDB">
        <w:rPr>
          <w:rFonts w:cs="Arial"/>
          <w:color w:val="000000" w:themeColor="text1"/>
        </w:rPr>
        <w:t>the Principal Determination</w:t>
      </w:r>
      <w:r w:rsidRPr="00310FDB">
        <w:rPr>
          <w:snapToGrid w:val="0"/>
          <w:color w:val="000000" w:themeColor="text1"/>
        </w:rPr>
        <w:t xml:space="preserve"> which sets out when a member is not eligible to receive food allowance. A new paragraph has been inserted to cover circumstances where a member has returned to their family and does not return to their posting location</w:t>
      </w:r>
      <w:r w:rsidR="0071022D" w:rsidRPr="00310FDB">
        <w:rPr>
          <w:snapToGrid w:val="0"/>
          <w:color w:val="000000" w:themeColor="text1"/>
        </w:rPr>
        <w:t xml:space="preserve"> before the end of the </w:t>
      </w:r>
      <w:r w:rsidR="6F333F8E" w:rsidRPr="00310FDB">
        <w:rPr>
          <w:snapToGrid w:val="0"/>
          <w:color w:val="000000" w:themeColor="text1"/>
        </w:rPr>
        <w:t>14</w:t>
      </w:r>
      <w:r w:rsidR="0071022D" w:rsidRPr="00310FDB">
        <w:rPr>
          <w:snapToGrid w:val="0"/>
          <w:color w:val="000000" w:themeColor="text1"/>
          <w:vertAlign w:val="superscript"/>
        </w:rPr>
        <w:t>th</w:t>
      </w:r>
      <w:r w:rsidR="0071022D" w:rsidRPr="00310FDB">
        <w:rPr>
          <w:snapToGrid w:val="0"/>
          <w:color w:val="000000" w:themeColor="text1"/>
        </w:rPr>
        <w:t xml:space="preserve"> day. A transitional provision is provided in Schedule 3 of this Determination which means a member will continue to receive food allowance for </w:t>
      </w:r>
      <w:r w:rsidR="0E5C19F1" w:rsidRPr="00310FDB">
        <w:rPr>
          <w:snapToGrid w:val="0"/>
          <w:color w:val="000000" w:themeColor="text1"/>
        </w:rPr>
        <w:t>14</w:t>
      </w:r>
      <w:r w:rsidR="0071022D" w:rsidRPr="00310FDB">
        <w:rPr>
          <w:snapToGrid w:val="0"/>
          <w:color w:val="000000" w:themeColor="text1"/>
        </w:rPr>
        <w:t xml:space="preserve"> days after the commencement of this Determination.</w:t>
      </w:r>
    </w:p>
    <w:p w14:paraId="139F9B25" w14:textId="3E1CE8EB" w:rsidR="0071022D" w:rsidRPr="00310FDB" w:rsidRDefault="0071022D" w:rsidP="0071022D">
      <w:pPr>
        <w:pStyle w:val="Sectiontext"/>
        <w:rPr>
          <w:i/>
          <w:snapToGrid w:val="0"/>
          <w:color w:val="000000" w:themeColor="text1"/>
          <w:u w:val="single"/>
        </w:rPr>
      </w:pPr>
      <w:r w:rsidRPr="00310FDB">
        <w:rPr>
          <w:i/>
          <w:snapToGrid w:val="0"/>
          <w:color w:val="000000" w:themeColor="text1"/>
          <w:u w:val="single"/>
        </w:rPr>
        <w:t xml:space="preserve">Schedule </w:t>
      </w:r>
      <w:r w:rsidR="00BD4C4B" w:rsidRPr="00310FDB">
        <w:rPr>
          <w:i/>
          <w:snapToGrid w:val="0"/>
          <w:color w:val="000000" w:themeColor="text1"/>
          <w:u w:val="single"/>
        </w:rPr>
        <w:t>2</w:t>
      </w:r>
      <w:r w:rsidRPr="00310FDB">
        <w:rPr>
          <w:rFonts w:cs="Arial"/>
          <w:i/>
          <w:snapToGrid w:val="0"/>
          <w:color w:val="000000" w:themeColor="text1"/>
          <w:u w:val="single"/>
        </w:rPr>
        <w:t>—</w:t>
      </w:r>
      <w:r w:rsidR="00BD4C4B" w:rsidRPr="00310FDB">
        <w:rPr>
          <w:i/>
          <w:snapToGrid w:val="0"/>
          <w:color w:val="000000" w:themeColor="text1"/>
          <w:u w:val="single"/>
        </w:rPr>
        <w:t>Overseas</w:t>
      </w:r>
      <w:r w:rsidRPr="00310FDB">
        <w:rPr>
          <w:i/>
          <w:snapToGrid w:val="0"/>
          <w:color w:val="000000" w:themeColor="text1"/>
          <w:u w:val="single"/>
        </w:rPr>
        <w:t xml:space="preserve"> conditions amendments</w:t>
      </w:r>
    </w:p>
    <w:p w14:paraId="3677A179" w14:textId="43319C4C" w:rsidR="0071022D" w:rsidRPr="00310FDB" w:rsidRDefault="0071022D" w:rsidP="0071022D">
      <w:pPr>
        <w:pStyle w:val="Sectiontext"/>
        <w:rPr>
          <w:snapToGrid w:val="0"/>
          <w:color w:val="000000" w:themeColor="text1"/>
        </w:rPr>
      </w:pPr>
      <w:r w:rsidRPr="00310FDB">
        <w:rPr>
          <w:snapToGrid w:val="0"/>
          <w:color w:val="000000" w:themeColor="text1"/>
        </w:rPr>
        <w:t>Section 1 amends the definition of ‘required to isolate’ in section 14A.1.2</w:t>
      </w:r>
      <w:r w:rsidR="00310FDB" w:rsidRPr="00310FDB">
        <w:rPr>
          <w:snapToGrid w:val="0"/>
          <w:color w:val="000000" w:themeColor="text1"/>
        </w:rPr>
        <w:t xml:space="preserve"> of </w:t>
      </w:r>
      <w:r w:rsidR="00310FDB" w:rsidRPr="00310FDB">
        <w:rPr>
          <w:rFonts w:cs="Arial"/>
          <w:color w:val="000000" w:themeColor="text1"/>
        </w:rPr>
        <w:t>the Principal Determination</w:t>
      </w:r>
      <w:r w:rsidR="008E4A9F">
        <w:rPr>
          <w:snapToGrid w:val="0"/>
          <w:color w:val="000000" w:themeColor="text1"/>
        </w:rPr>
        <w:t xml:space="preserve">. </w:t>
      </w:r>
      <w:r w:rsidRPr="00310FDB">
        <w:rPr>
          <w:snapToGrid w:val="0"/>
          <w:color w:val="000000" w:themeColor="text1"/>
        </w:rPr>
        <w:t>The amendment is made in response to the changes made by State and Territory governments to implement</w:t>
      </w:r>
      <w:r w:rsidR="4680683C" w:rsidRPr="00310FDB">
        <w:rPr>
          <w:snapToGrid w:val="0"/>
          <w:color w:val="000000" w:themeColor="text1"/>
        </w:rPr>
        <w:t xml:space="preserve"> a</w:t>
      </w:r>
      <w:r w:rsidRPr="00310FDB">
        <w:rPr>
          <w:snapToGrid w:val="0"/>
          <w:color w:val="000000" w:themeColor="text1"/>
        </w:rPr>
        <w:t xml:space="preserve"> mandatory isolation period on return to Australia.</w:t>
      </w:r>
      <w:r w:rsidR="009B37B7" w:rsidRPr="00310FDB">
        <w:rPr>
          <w:snapToGrid w:val="0"/>
          <w:color w:val="000000" w:themeColor="text1"/>
        </w:rPr>
        <w:t xml:space="preserve"> The requirement may be imposed under a law of a State or Territory, including through a public health order, or directive, however described.</w:t>
      </w:r>
    </w:p>
    <w:p w14:paraId="3BC381CF" w14:textId="48F785E8" w:rsidR="0071022D" w:rsidRPr="00310FDB" w:rsidRDefault="0071022D" w:rsidP="0071022D">
      <w:pPr>
        <w:pStyle w:val="Sectiontext"/>
        <w:rPr>
          <w:snapToGrid w:val="0"/>
          <w:color w:val="000000" w:themeColor="text1"/>
        </w:rPr>
      </w:pPr>
      <w:r w:rsidRPr="00310FDB">
        <w:rPr>
          <w:snapToGrid w:val="0"/>
          <w:color w:val="000000" w:themeColor="text1"/>
        </w:rPr>
        <w:t>Section 2</w:t>
      </w:r>
      <w:r w:rsidR="00872331" w:rsidRPr="00310FDB">
        <w:rPr>
          <w:snapToGrid w:val="0"/>
          <w:color w:val="000000" w:themeColor="text1"/>
        </w:rPr>
        <w:t xml:space="preserve"> amends section 14A.1.4 </w:t>
      </w:r>
      <w:r w:rsidR="00310FDB" w:rsidRPr="00310FDB">
        <w:rPr>
          <w:snapToGrid w:val="0"/>
          <w:color w:val="000000" w:themeColor="text1"/>
        </w:rPr>
        <w:t xml:space="preserve">of </w:t>
      </w:r>
      <w:r w:rsidR="00310FDB" w:rsidRPr="00310FDB">
        <w:rPr>
          <w:rFonts w:cs="Arial"/>
          <w:color w:val="000000" w:themeColor="text1"/>
        </w:rPr>
        <w:t xml:space="preserve">the Principal Determination </w:t>
      </w:r>
      <w:r w:rsidR="00872331" w:rsidRPr="00310FDB">
        <w:rPr>
          <w:snapToGrid w:val="0"/>
          <w:color w:val="000000" w:themeColor="text1"/>
        </w:rPr>
        <w:t xml:space="preserve">which provides for evacuation flights </w:t>
      </w:r>
      <w:r w:rsidR="2C907EEF" w:rsidRPr="00310FDB">
        <w:rPr>
          <w:snapToGrid w:val="0"/>
          <w:color w:val="000000" w:themeColor="text1"/>
        </w:rPr>
        <w:t>f</w:t>
      </w:r>
      <w:r w:rsidR="00872331" w:rsidRPr="00310FDB">
        <w:rPr>
          <w:snapToGrid w:val="0"/>
          <w:color w:val="000000" w:themeColor="text1"/>
        </w:rPr>
        <w:t xml:space="preserve">or members and their dependants to Australia. The amendment is made </w:t>
      </w:r>
      <w:r w:rsidR="2B2F8AD9" w:rsidRPr="00310FDB">
        <w:rPr>
          <w:snapToGrid w:val="0"/>
          <w:color w:val="000000" w:themeColor="text1"/>
        </w:rPr>
        <w:t xml:space="preserve">for </w:t>
      </w:r>
      <w:r w:rsidR="00872331" w:rsidRPr="00310FDB">
        <w:rPr>
          <w:snapToGrid w:val="0"/>
          <w:color w:val="000000" w:themeColor="text1"/>
        </w:rPr>
        <w:t>operational purposes and enables people to return to locations in Australia other than a capital city.</w:t>
      </w:r>
      <w:r w:rsidR="009B37B7" w:rsidRPr="00310FDB">
        <w:rPr>
          <w:snapToGrid w:val="0"/>
          <w:color w:val="000000" w:themeColor="text1"/>
        </w:rPr>
        <w:t xml:space="preserve"> A new subsection 1A is also inserted which enables the changes to subsection 1 to apply to members who were evacuated on or after 27 March 2020. This amendment is retrospective in effect but is not detrimental to a person other than the Commonwealth; it reflects an expansion of the previous benefits provided.</w:t>
      </w:r>
    </w:p>
    <w:p w14:paraId="5657C22E" w14:textId="21404A1B" w:rsidR="0071022D" w:rsidRPr="00310FDB" w:rsidRDefault="0071022D" w:rsidP="0071022D">
      <w:pPr>
        <w:pStyle w:val="Sectiontext"/>
        <w:rPr>
          <w:snapToGrid w:val="0"/>
          <w:color w:val="000000" w:themeColor="text1"/>
        </w:rPr>
      </w:pPr>
      <w:r w:rsidRPr="00310FDB">
        <w:rPr>
          <w:snapToGrid w:val="0"/>
          <w:color w:val="000000" w:themeColor="text1"/>
        </w:rPr>
        <w:t>Section 3</w:t>
      </w:r>
      <w:r w:rsidR="00872331" w:rsidRPr="00310FDB">
        <w:rPr>
          <w:snapToGrid w:val="0"/>
          <w:color w:val="000000" w:themeColor="text1"/>
        </w:rPr>
        <w:t xml:space="preserve"> amends the heading of section 14A.1.7 </w:t>
      </w:r>
      <w:r w:rsidR="00310FDB" w:rsidRPr="00310FDB">
        <w:rPr>
          <w:snapToGrid w:val="0"/>
          <w:color w:val="000000" w:themeColor="text1"/>
        </w:rPr>
        <w:t xml:space="preserve">of </w:t>
      </w:r>
      <w:r w:rsidR="00310FDB" w:rsidRPr="00310FDB">
        <w:rPr>
          <w:rFonts w:cs="Arial"/>
          <w:color w:val="000000" w:themeColor="text1"/>
        </w:rPr>
        <w:t xml:space="preserve">the Principal Determination </w:t>
      </w:r>
      <w:r w:rsidR="00872331" w:rsidRPr="00310FDB">
        <w:rPr>
          <w:snapToGrid w:val="0"/>
          <w:color w:val="000000" w:themeColor="text1"/>
        </w:rPr>
        <w:t>to better reflect its content as a consequence of amendments made by sections 4, 5, and 6 of this Schedule.</w:t>
      </w:r>
    </w:p>
    <w:p w14:paraId="28AB0A8C" w14:textId="3555857F" w:rsidR="0071022D" w:rsidRPr="00310FDB" w:rsidRDefault="0071022D" w:rsidP="4A17E427">
      <w:pPr>
        <w:pStyle w:val="Sectiontext"/>
        <w:rPr>
          <w:color w:val="000000" w:themeColor="text1"/>
        </w:rPr>
      </w:pPr>
      <w:r w:rsidRPr="00310FDB">
        <w:rPr>
          <w:snapToGrid w:val="0"/>
          <w:color w:val="000000" w:themeColor="text1"/>
        </w:rPr>
        <w:t>Section</w:t>
      </w:r>
      <w:r w:rsidR="00872331" w:rsidRPr="00310FDB">
        <w:rPr>
          <w:snapToGrid w:val="0"/>
          <w:color w:val="000000" w:themeColor="text1"/>
        </w:rPr>
        <w:t>s</w:t>
      </w:r>
      <w:r w:rsidRPr="00310FDB">
        <w:rPr>
          <w:snapToGrid w:val="0"/>
          <w:color w:val="000000" w:themeColor="text1"/>
        </w:rPr>
        <w:t xml:space="preserve"> 4</w:t>
      </w:r>
      <w:r w:rsidR="00BD4C4B" w:rsidRPr="00310FDB">
        <w:rPr>
          <w:snapToGrid w:val="0"/>
          <w:color w:val="000000" w:themeColor="text1"/>
        </w:rPr>
        <w:t>,</w:t>
      </w:r>
      <w:r w:rsidR="00872331" w:rsidRPr="00310FDB">
        <w:rPr>
          <w:snapToGrid w:val="0"/>
          <w:color w:val="000000" w:themeColor="text1"/>
        </w:rPr>
        <w:t xml:space="preserve"> 5 and 6 amend section 14A.1.7 </w:t>
      </w:r>
      <w:r w:rsidR="00310FDB" w:rsidRPr="00310FDB">
        <w:rPr>
          <w:snapToGrid w:val="0"/>
          <w:color w:val="000000" w:themeColor="text1"/>
        </w:rPr>
        <w:t xml:space="preserve">of </w:t>
      </w:r>
      <w:r w:rsidR="00310FDB" w:rsidRPr="00310FDB">
        <w:rPr>
          <w:rFonts w:cs="Arial"/>
          <w:color w:val="000000" w:themeColor="text1"/>
        </w:rPr>
        <w:t xml:space="preserve">the Principal Determination </w:t>
      </w:r>
      <w:r w:rsidR="00872331" w:rsidRPr="00310FDB">
        <w:rPr>
          <w:snapToGrid w:val="0"/>
          <w:color w:val="000000" w:themeColor="text1"/>
        </w:rPr>
        <w:t xml:space="preserve">which provides accommodation to members and their dependants who are required to self-isolate on return to Australia. </w:t>
      </w:r>
    </w:p>
    <w:p w14:paraId="6EF95A74" w14:textId="6D34114A" w:rsidR="0071022D" w:rsidRPr="00310FDB" w:rsidRDefault="00872331" w:rsidP="4A17E427">
      <w:pPr>
        <w:pStyle w:val="Sectiontext"/>
        <w:numPr>
          <w:ilvl w:val="0"/>
          <w:numId w:val="1"/>
        </w:numPr>
        <w:rPr>
          <w:color w:val="000000" w:themeColor="text1"/>
        </w:rPr>
      </w:pPr>
      <w:r w:rsidRPr="00310FDB">
        <w:rPr>
          <w:snapToGrid w:val="0"/>
          <w:color w:val="000000" w:themeColor="text1"/>
        </w:rPr>
        <w:t xml:space="preserve">Section 4 expands the section to include accommodation for up to 28 days after the person arrives in Australia, negating the need for section 14A.1.8 of the Principal Determination, and removes the link to a self-isolation period. </w:t>
      </w:r>
    </w:p>
    <w:p w14:paraId="1882CBAE" w14:textId="3A67ABA0" w:rsidR="0071022D" w:rsidRPr="00310FDB" w:rsidRDefault="00872331" w:rsidP="4A17E427">
      <w:pPr>
        <w:pStyle w:val="Sectiontext"/>
        <w:numPr>
          <w:ilvl w:val="0"/>
          <w:numId w:val="1"/>
        </w:numPr>
        <w:rPr>
          <w:color w:val="000000" w:themeColor="text1"/>
        </w:rPr>
      </w:pPr>
      <w:r w:rsidRPr="00310FDB">
        <w:rPr>
          <w:snapToGrid w:val="0"/>
          <w:color w:val="000000" w:themeColor="text1"/>
        </w:rPr>
        <w:t xml:space="preserve">Section 5 sets the standard of accommodation, while also excluding a period of </w:t>
      </w:r>
      <w:r w:rsidR="005C1101" w:rsidRPr="00310FDB">
        <w:rPr>
          <w:snapToGrid w:val="0"/>
          <w:color w:val="000000" w:themeColor="text1"/>
        </w:rPr>
        <w:t>isolation for which accommodation is provided by a State of Territory government.</w:t>
      </w:r>
      <w:r w:rsidR="00FC4816" w:rsidRPr="00310FDB">
        <w:rPr>
          <w:snapToGrid w:val="0"/>
          <w:color w:val="000000" w:themeColor="text1"/>
        </w:rPr>
        <w:t xml:space="preserve"> </w:t>
      </w:r>
    </w:p>
    <w:p w14:paraId="137B6880" w14:textId="0B88B203" w:rsidR="0071022D" w:rsidRPr="00310FDB" w:rsidRDefault="0071022D" w:rsidP="4A17E427">
      <w:pPr>
        <w:pStyle w:val="Sectiontext"/>
        <w:numPr>
          <w:ilvl w:val="0"/>
          <w:numId w:val="1"/>
        </w:numPr>
        <w:rPr>
          <w:snapToGrid w:val="0"/>
          <w:color w:val="000000" w:themeColor="text1"/>
        </w:rPr>
      </w:pPr>
      <w:r w:rsidRPr="00310FDB">
        <w:rPr>
          <w:snapToGrid w:val="0"/>
          <w:color w:val="000000" w:themeColor="text1"/>
        </w:rPr>
        <w:t>Section 6</w:t>
      </w:r>
      <w:r w:rsidR="00FC4816" w:rsidRPr="00310FDB">
        <w:rPr>
          <w:snapToGrid w:val="0"/>
          <w:color w:val="000000" w:themeColor="text1"/>
        </w:rPr>
        <w:t xml:space="preserve"> ensures that </w:t>
      </w:r>
      <w:r w:rsidR="23EB56B5" w:rsidRPr="00310FDB">
        <w:rPr>
          <w:snapToGrid w:val="0"/>
          <w:color w:val="000000" w:themeColor="text1"/>
        </w:rPr>
        <w:t>a</w:t>
      </w:r>
      <w:r w:rsidR="00FC4816" w:rsidRPr="00310FDB">
        <w:rPr>
          <w:snapToGrid w:val="0"/>
          <w:color w:val="000000" w:themeColor="text1"/>
        </w:rPr>
        <w:t xml:space="preserve"> person who was eligible for meal supplement allowance until a specified day </w:t>
      </w:r>
      <w:r w:rsidR="00BD4C4B" w:rsidRPr="00310FDB">
        <w:rPr>
          <w:snapToGrid w:val="0"/>
          <w:color w:val="000000" w:themeColor="text1"/>
        </w:rPr>
        <w:t>before</w:t>
      </w:r>
      <w:r w:rsidR="00FC4816" w:rsidRPr="00310FDB">
        <w:rPr>
          <w:snapToGrid w:val="0"/>
          <w:color w:val="000000" w:themeColor="text1"/>
        </w:rPr>
        <w:t xml:space="preserve"> to the commencement of this Determination will continue to be eligible for that allowance as previously stated.</w:t>
      </w:r>
    </w:p>
    <w:p w14:paraId="0064B4FF" w14:textId="56C6A127" w:rsidR="0071022D" w:rsidRPr="00310FDB" w:rsidRDefault="0071022D" w:rsidP="0071022D">
      <w:pPr>
        <w:pStyle w:val="Sectiontext"/>
        <w:rPr>
          <w:snapToGrid w:val="0"/>
          <w:color w:val="000000" w:themeColor="text1"/>
        </w:rPr>
      </w:pPr>
      <w:r w:rsidRPr="00310FDB">
        <w:rPr>
          <w:snapToGrid w:val="0"/>
          <w:color w:val="000000" w:themeColor="text1"/>
        </w:rPr>
        <w:t>Section 7</w:t>
      </w:r>
      <w:r w:rsidR="00D307CD" w:rsidRPr="00310FDB">
        <w:rPr>
          <w:snapToGrid w:val="0"/>
          <w:color w:val="000000" w:themeColor="text1"/>
        </w:rPr>
        <w:t xml:space="preserve"> inserts a note under subsection 14A.1.</w:t>
      </w:r>
      <w:r w:rsidR="004B542B" w:rsidRPr="00310FDB">
        <w:rPr>
          <w:snapToGrid w:val="0"/>
          <w:color w:val="000000" w:themeColor="text1"/>
        </w:rPr>
        <w:t>8.1</w:t>
      </w:r>
      <w:r w:rsidR="00310FDB" w:rsidRPr="00310FDB">
        <w:rPr>
          <w:snapToGrid w:val="0"/>
          <w:color w:val="000000" w:themeColor="text1"/>
        </w:rPr>
        <w:t xml:space="preserve"> of </w:t>
      </w:r>
      <w:r w:rsidR="00310FDB" w:rsidRPr="00310FDB">
        <w:rPr>
          <w:rFonts w:cs="Arial"/>
          <w:color w:val="000000" w:themeColor="text1"/>
        </w:rPr>
        <w:t>the Principal Determination</w:t>
      </w:r>
      <w:r w:rsidR="00D307CD" w:rsidRPr="00310FDB">
        <w:rPr>
          <w:snapToGrid w:val="0"/>
          <w:color w:val="000000" w:themeColor="text1"/>
        </w:rPr>
        <w:t xml:space="preserve"> which specifies when meal supplement allowance is payable. The note states that a </w:t>
      </w:r>
      <w:r w:rsidR="004B542B" w:rsidRPr="00310FDB">
        <w:rPr>
          <w:snapToGrid w:val="0"/>
          <w:color w:val="000000" w:themeColor="text1"/>
        </w:rPr>
        <w:t>person</w:t>
      </w:r>
      <w:r w:rsidR="00D307CD" w:rsidRPr="00310FDB">
        <w:rPr>
          <w:snapToGrid w:val="0"/>
          <w:color w:val="000000" w:themeColor="text1"/>
        </w:rPr>
        <w:t xml:space="preserve"> is not eligible to receive the allowance </w:t>
      </w:r>
      <w:r w:rsidR="00D307CD" w:rsidRPr="00310FDB">
        <w:rPr>
          <w:rFonts w:cs="Arial"/>
          <w:color w:val="000000" w:themeColor="text1"/>
        </w:rPr>
        <w:t xml:space="preserve">while they are in </w:t>
      </w:r>
      <w:r w:rsidR="00D307CD" w:rsidRPr="00310FDB">
        <w:rPr>
          <w:color w:val="000000" w:themeColor="text1"/>
        </w:rPr>
        <w:t xml:space="preserve">accommodation provided by the State or Territory. The note is not a rule </w:t>
      </w:r>
      <w:r w:rsidR="7E7B960A" w:rsidRPr="00310FDB">
        <w:rPr>
          <w:color w:val="000000" w:themeColor="text1"/>
        </w:rPr>
        <w:t>but</w:t>
      </w:r>
      <w:r w:rsidR="00D307CD" w:rsidRPr="00310FDB">
        <w:rPr>
          <w:color w:val="000000" w:themeColor="text1"/>
        </w:rPr>
        <w:t xml:space="preserve"> clarifies the interrelationship between section</w:t>
      </w:r>
      <w:r w:rsidR="6076BAC0" w:rsidRPr="00310FDB">
        <w:rPr>
          <w:color w:val="000000" w:themeColor="text1"/>
        </w:rPr>
        <w:t>s</w:t>
      </w:r>
      <w:r w:rsidR="004B542B" w:rsidRPr="00310FDB">
        <w:rPr>
          <w:color w:val="000000" w:themeColor="text1"/>
        </w:rPr>
        <w:t xml:space="preserve"> 14A.1.7 and 14A.1.8</w:t>
      </w:r>
      <w:r w:rsidR="00310FDB" w:rsidRPr="00310FDB">
        <w:rPr>
          <w:snapToGrid w:val="0"/>
          <w:color w:val="000000" w:themeColor="text1"/>
        </w:rPr>
        <w:t xml:space="preserve"> of </w:t>
      </w:r>
      <w:r w:rsidR="00310FDB" w:rsidRPr="00310FDB">
        <w:rPr>
          <w:rFonts w:cs="Arial"/>
          <w:color w:val="000000" w:themeColor="text1"/>
        </w:rPr>
        <w:t>the Principal Determination</w:t>
      </w:r>
      <w:r w:rsidR="004B542B" w:rsidRPr="00310FDB">
        <w:rPr>
          <w:color w:val="000000" w:themeColor="text1"/>
        </w:rPr>
        <w:t>.</w:t>
      </w:r>
    </w:p>
    <w:p w14:paraId="32803A7B" w14:textId="536257FC" w:rsidR="0071022D" w:rsidRPr="00310FDB" w:rsidRDefault="0071022D" w:rsidP="0071022D">
      <w:pPr>
        <w:pStyle w:val="Sectiontext"/>
        <w:rPr>
          <w:snapToGrid w:val="0"/>
          <w:color w:val="000000" w:themeColor="text1"/>
        </w:rPr>
      </w:pPr>
      <w:r w:rsidRPr="00310FDB">
        <w:rPr>
          <w:snapToGrid w:val="0"/>
          <w:color w:val="000000" w:themeColor="text1"/>
        </w:rPr>
        <w:t>Section 8</w:t>
      </w:r>
      <w:r w:rsidR="00D307CD" w:rsidRPr="00310FDB">
        <w:rPr>
          <w:snapToGrid w:val="0"/>
          <w:color w:val="000000" w:themeColor="text1"/>
        </w:rPr>
        <w:t xml:space="preserve"> omits section 14A.1.8</w:t>
      </w:r>
      <w:r w:rsidR="77965CB0" w:rsidRPr="00310FDB">
        <w:rPr>
          <w:snapToGrid w:val="0"/>
          <w:color w:val="000000" w:themeColor="text1"/>
        </w:rPr>
        <w:t>A</w:t>
      </w:r>
      <w:r w:rsidR="00D307CD" w:rsidRPr="00310FDB">
        <w:rPr>
          <w:snapToGrid w:val="0"/>
          <w:color w:val="000000" w:themeColor="text1"/>
        </w:rPr>
        <w:t xml:space="preserve"> </w:t>
      </w:r>
      <w:r w:rsidR="00310FDB" w:rsidRPr="00310FDB">
        <w:rPr>
          <w:snapToGrid w:val="0"/>
          <w:color w:val="000000" w:themeColor="text1"/>
        </w:rPr>
        <w:t xml:space="preserve">of </w:t>
      </w:r>
      <w:r w:rsidR="00310FDB" w:rsidRPr="00310FDB">
        <w:rPr>
          <w:rFonts w:cs="Arial"/>
          <w:color w:val="000000" w:themeColor="text1"/>
        </w:rPr>
        <w:t xml:space="preserve">the Principal Determination </w:t>
      </w:r>
      <w:r w:rsidR="00D307CD" w:rsidRPr="00310FDB">
        <w:rPr>
          <w:snapToGrid w:val="0"/>
          <w:color w:val="000000" w:themeColor="text1"/>
        </w:rPr>
        <w:t xml:space="preserve">which provides for additional accommodation for members and their dependants who have been evacuated from an overseas posting location. The amendment has been made as a consequence of section 4 of this Schedule, which incorporates the additional accommodation into that provision. </w:t>
      </w:r>
    </w:p>
    <w:p w14:paraId="7C506217" w14:textId="6319ADB0" w:rsidR="0071022D" w:rsidRPr="00310FDB" w:rsidRDefault="0071022D" w:rsidP="0071022D">
      <w:pPr>
        <w:pStyle w:val="Sectiontext"/>
        <w:rPr>
          <w:snapToGrid w:val="0"/>
          <w:color w:val="000000" w:themeColor="text1"/>
        </w:rPr>
      </w:pPr>
      <w:r w:rsidRPr="00310FDB">
        <w:rPr>
          <w:snapToGrid w:val="0"/>
          <w:color w:val="000000" w:themeColor="text1"/>
        </w:rPr>
        <w:lastRenderedPageBreak/>
        <w:t>Section 9</w:t>
      </w:r>
      <w:r w:rsidR="00D307CD" w:rsidRPr="00310FDB">
        <w:rPr>
          <w:snapToGrid w:val="0"/>
          <w:color w:val="000000" w:themeColor="text1"/>
        </w:rPr>
        <w:t xml:space="preserve"> amends the heading of section 14A.1.16 </w:t>
      </w:r>
      <w:r w:rsidR="00310FDB" w:rsidRPr="00310FDB">
        <w:rPr>
          <w:snapToGrid w:val="0"/>
          <w:color w:val="000000" w:themeColor="text1"/>
        </w:rPr>
        <w:t xml:space="preserve">of </w:t>
      </w:r>
      <w:r w:rsidR="00310FDB" w:rsidRPr="00310FDB">
        <w:rPr>
          <w:rFonts w:cs="Arial"/>
          <w:color w:val="000000" w:themeColor="text1"/>
        </w:rPr>
        <w:t xml:space="preserve">the Principal Determination </w:t>
      </w:r>
      <w:r w:rsidR="00D307CD" w:rsidRPr="00310FDB">
        <w:rPr>
          <w:snapToGrid w:val="0"/>
          <w:color w:val="000000" w:themeColor="text1"/>
        </w:rPr>
        <w:t>to better reflect its content as a consequence of amendments made by section 10 of this Schedule.</w:t>
      </w:r>
    </w:p>
    <w:p w14:paraId="0F9A277B" w14:textId="54496479" w:rsidR="0071022D" w:rsidRPr="00310FDB" w:rsidRDefault="0071022D" w:rsidP="0071022D">
      <w:pPr>
        <w:pStyle w:val="Sectiontext"/>
        <w:rPr>
          <w:snapToGrid w:val="0"/>
          <w:color w:val="000000" w:themeColor="text1"/>
        </w:rPr>
      </w:pPr>
      <w:r w:rsidRPr="00310FDB">
        <w:rPr>
          <w:snapToGrid w:val="0"/>
          <w:color w:val="000000" w:themeColor="text1"/>
        </w:rPr>
        <w:t>Section 10</w:t>
      </w:r>
      <w:r w:rsidR="00D307CD" w:rsidRPr="00310FDB">
        <w:rPr>
          <w:snapToGrid w:val="0"/>
          <w:color w:val="000000" w:themeColor="text1"/>
        </w:rPr>
        <w:t xml:space="preserve"> amends section 14A.1.16 </w:t>
      </w:r>
      <w:r w:rsidR="00310FDB" w:rsidRPr="00310FDB">
        <w:rPr>
          <w:snapToGrid w:val="0"/>
          <w:color w:val="000000" w:themeColor="text1"/>
        </w:rPr>
        <w:t xml:space="preserve">of </w:t>
      </w:r>
      <w:r w:rsidR="00310FDB" w:rsidRPr="00310FDB">
        <w:rPr>
          <w:rFonts w:cs="Arial"/>
          <w:color w:val="000000" w:themeColor="text1"/>
        </w:rPr>
        <w:t xml:space="preserve">the Principal Determination </w:t>
      </w:r>
      <w:r w:rsidR="00D307CD" w:rsidRPr="00310FDB">
        <w:rPr>
          <w:snapToGrid w:val="0"/>
          <w:color w:val="000000" w:themeColor="text1"/>
        </w:rPr>
        <w:t xml:space="preserve">which enables a member’s overseas living allowances to be ceased. The amendments enable the decision maker to </w:t>
      </w:r>
      <w:r w:rsidR="00CF72FE">
        <w:rPr>
          <w:snapToGrid w:val="0"/>
          <w:color w:val="000000" w:themeColor="text1"/>
        </w:rPr>
        <w:t xml:space="preserve">also </w:t>
      </w:r>
      <w:r w:rsidR="00D307CD" w:rsidRPr="00310FDB">
        <w:rPr>
          <w:snapToGrid w:val="0"/>
          <w:color w:val="000000" w:themeColor="text1"/>
        </w:rPr>
        <w:t>reduce the rate of an allowance from the accompanied rate to the unaccompanied rate</w:t>
      </w:r>
      <w:r w:rsidR="00CF72FE">
        <w:rPr>
          <w:snapToGrid w:val="0"/>
          <w:color w:val="000000" w:themeColor="text1"/>
        </w:rPr>
        <w:t xml:space="preserve"> and to cease an allowance that is paid at a single rate.</w:t>
      </w:r>
      <w:r w:rsidR="00D307CD" w:rsidRPr="00310FDB">
        <w:rPr>
          <w:snapToGrid w:val="0"/>
          <w:color w:val="000000" w:themeColor="text1"/>
        </w:rPr>
        <w:t xml:space="preserve"> This is consistent with the change in conditions of employment applied by the Department of Foreign Affairs and Trade.</w:t>
      </w:r>
    </w:p>
    <w:p w14:paraId="46FCB452" w14:textId="503C8227" w:rsidR="00CF72FE" w:rsidRPr="00310FDB" w:rsidRDefault="00CF72FE" w:rsidP="00CF72FE">
      <w:pPr>
        <w:pStyle w:val="Sectiontext"/>
        <w:rPr>
          <w:snapToGrid w:val="0"/>
          <w:color w:val="000000" w:themeColor="text1"/>
        </w:rPr>
      </w:pPr>
      <w:r w:rsidRPr="00310FDB">
        <w:rPr>
          <w:snapToGrid w:val="0"/>
          <w:color w:val="000000" w:themeColor="text1"/>
        </w:rPr>
        <w:t xml:space="preserve">Section </w:t>
      </w:r>
      <w:r>
        <w:rPr>
          <w:snapToGrid w:val="0"/>
          <w:color w:val="000000" w:themeColor="text1"/>
        </w:rPr>
        <w:t>11</w:t>
      </w:r>
      <w:r w:rsidRPr="00310FDB">
        <w:rPr>
          <w:snapToGrid w:val="0"/>
          <w:color w:val="000000" w:themeColor="text1"/>
        </w:rPr>
        <w:t xml:space="preserve"> amends the heading of section 14A.1.1</w:t>
      </w:r>
      <w:r>
        <w:rPr>
          <w:snapToGrid w:val="0"/>
          <w:color w:val="000000" w:themeColor="text1"/>
        </w:rPr>
        <w:t>7</w:t>
      </w:r>
      <w:r w:rsidRPr="00310FDB">
        <w:rPr>
          <w:snapToGrid w:val="0"/>
          <w:color w:val="000000" w:themeColor="text1"/>
        </w:rPr>
        <w:t xml:space="preserve"> of </w:t>
      </w:r>
      <w:r w:rsidRPr="00310FDB">
        <w:rPr>
          <w:rFonts w:cs="Arial"/>
          <w:color w:val="000000" w:themeColor="text1"/>
        </w:rPr>
        <w:t xml:space="preserve">the Principal Determination </w:t>
      </w:r>
      <w:r w:rsidRPr="00310FDB">
        <w:rPr>
          <w:snapToGrid w:val="0"/>
          <w:color w:val="000000" w:themeColor="text1"/>
        </w:rPr>
        <w:t>to better reflect its content as a consequence of amendments made by section 1</w:t>
      </w:r>
      <w:r>
        <w:rPr>
          <w:snapToGrid w:val="0"/>
          <w:color w:val="000000" w:themeColor="text1"/>
        </w:rPr>
        <w:t>2</w:t>
      </w:r>
      <w:r w:rsidRPr="00310FDB">
        <w:rPr>
          <w:snapToGrid w:val="0"/>
          <w:color w:val="000000" w:themeColor="text1"/>
        </w:rPr>
        <w:t xml:space="preserve"> of this Schedule.</w:t>
      </w:r>
    </w:p>
    <w:p w14:paraId="679E8EE5" w14:textId="62A90694" w:rsidR="00CF72FE" w:rsidRPr="00310FDB" w:rsidRDefault="00CF72FE" w:rsidP="00CF72FE">
      <w:pPr>
        <w:pStyle w:val="Sectiontext"/>
        <w:rPr>
          <w:snapToGrid w:val="0"/>
          <w:color w:val="000000" w:themeColor="text1"/>
        </w:rPr>
      </w:pPr>
      <w:r w:rsidRPr="00310FDB">
        <w:rPr>
          <w:snapToGrid w:val="0"/>
          <w:color w:val="000000" w:themeColor="text1"/>
        </w:rPr>
        <w:t>Section 1</w:t>
      </w:r>
      <w:r>
        <w:rPr>
          <w:snapToGrid w:val="0"/>
          <w:color w:val="000000" w:themeColor="text1"/>
        </w:rPr>
        <w:t>2</w:t>
      </w:r>
      <w:r w:rsidRPr="00310FDB">
        <w:rPr>
          <w:snapToGrid w:val="0"/>
          <w:color w:val="000000" w:themeColor="text1"/>
        </w:rPr>
        <w:t xml:space="preserve"> amends section 14A.1.1</w:t>
      </w:r>
      <w:r>
        <w:rPr>
          <w:snapToGrid w:val="0"/>
          <w:color w:val="000000" w:themeColor="text1"/>
        </w:rPr>
        <w:t>7</w:t>
      </w:r>
      <w:r w:rsidRPr="00310FDB">
        <w:rPr>
          <w:snapToGrid w:val="0"/>
          <w:color w:val="000000" w:themeColor="text1"/>
        </w:rPr>
        <w:t xml:space="preserve"> of </w:t>
      </w:r>
      <w:r w:rsidRPr="00310FDB">
        <w:rPr>
          <w:rFonts w:cs="Arial"/>
          <w:color w:val="000000" w:themeColor="text1"/>
        </w:rPr>
        <w:t xml:space="preserve">the Principal Determination </w:t>
      </w:r>
      <w:r w:rsidRPr="00310FDB">
        <w:rPr>
          <w:snapToGrid w:val="0"/>
          <w:color w:val="000000" w:themeColor="text1"/>
        </w:rPr>
        <w:t xml:space="preserve">which enables a member’s </w:t>
      </w:r>
      <w:r>
        <w:rPr>
          <w:snapToGrid w:val="0"/>
          <w:color w:val="000000" w:themeColor="text1"/>
        </w:rPr>
        <w:t>hardship or location</w:t>
      </w:r>
      <w:r w:rsidRPr="00310FDB">
        <w:rPr>
          <w:snapToGrid w:val="0"/>
          <w:color w:val="000000" w:themeColor="text1"/>
        </w:rPr>
        <w:t xml:space="preserve"> allowances to be ceased. The amendments enable the decision maker to </w:t>
      </w:r>
      <w:r>
        <w:rPr>
          <w:snapToGrid w:val="0"/>
          <w:color w:val="000000" w:themeColor="text1"/>
        </w:rPr>
        <w:t xml:space="preserve">also </w:t>
      </w:r>
      <w:r w:rsidRPr="00310FDB">
        <w:rPr>
          <w:snapToGrid w:val="0"/>
          <w:color w:val="000000" w:themeColor="text1"/>
        </w:rPr>
        <w:t>reduce the rate of an allowance from the accompanied rate to the unaccompanied rate. This is consistent with the change in conditions of employment applied by the Department of Foreign Affairs and Trade.</w:t>
      </w:r>
    </w:p>
    <w:p w14:paraId="27E947FE" w14:textId="7137D4DB" w:rsidR="0071022D" w:rsidRPr="00310FDB" w:rsidRDefault="0071022D" w:rsidP="0071022D">
      <w:pPr>
        <w:pStyle w:val="Sectiontext"/>
        <w:rPr>
          <w:snapToGrid w:val="0"/>
          <w:color w:val="000000" w:themeColor="text1"/>
        </w:rPr>
      </w:pPr>
      <w:r w:rsidRPr="00310FDB">
        <w:rPr>
          <w:snapToGrid w:val="0"/>
          <w:color w:val="000000" w:themeColor="text1"/>
        </w:rPr>
        <w:t>Section 1</w:t>
      </w:r>
      <w:r w:rsidR="00CF72FE">
        <w:rPr>
          <w:snapToGrid w:val="0"/>
          <w:color w:val="000000" w:themeColor="text1"/>
        </w:rPr>
        <w:t>3</w:t>
      </w:r>
      <w:r w:rsidRPr="00310FDB">
        <w:rPr>
          <w:snapToGrid w:val="0"/>
          <w:color w:val="000000" w:themeColor="text1"/>
        </w:rPr>
        <w:t xml:space="preserve"> inserts </w:t>
      </w:r>
      <w:r w:rsidR="3A33A29D" w:rsidRPr="00310FDB">
        <w:rPr>
          <w:snapToGrid w:val="0"/>
          <w:color w:val="000000" w:themeColor="text1"/>
        </w:rPr>
        <w:t xml:space="preserve">a new section </w:t>
      </w:r>
      <w:r w:rsidRPr="00310FDB">
        <w:rPr>
          <w:snapToGrid w:val="0"/>
          <w:color w:val="000000" w:themeColor="text1"/>
        </w:rPr>
        <w:t xml:space="preserve">after section 14A.1.19 </w:t>
      </w:r>
      <w:r w:rsidR="00310FDB" w:rsidRPr="00310FDB">
        <w:rPr>
          <w:snapToGrid w:val="0"/>
          <w:color w:val="000000" w:themeColor="text1"/>
        </w:rPr>
        <w:t xml:space="preserve">of </w:t>
      </w:r>
      <w:r w:rsidR="00310FDB" w:rsidRPr="00310FDB">
        <w:rPr>
          <w:rFonts w:cs="Arial"/>
          <w:color w:val="000000" w:themeColor="text1"/>
        </w:rPr>
        <w:t>the Principal Determination</w:t>
      </w:r>
      <w:r w:rsidR="22880382" w:rsidRPr="00310FDB">
        <w:rPr>
          <w:rFonts w:cs="Arial"/>
          <w:color w:val="000000" w:themeColor="text1"/>
        </w:rPr>
        <w:t>. T</w:t>
      </w:r>
      <w:r w:rsidR="1B0964A5" w:rsidRPr="00310FDB">
        <w:rPr>
          <w:rFonts w:cs="Arial"/>
          <w:color w:val="000000" w:themeColor="text1"/>
        </w:rPr>
        <w:t>he new sect</w:t>
      </w:r>
      <w:r w:rsidR="5DFA6F94" w:rsidRPr="00310FDB">
        <w:rPr>
          <w:rFonts w:cs="Arial"/>
          <w:color w:val="000000" w:themeColor="text1"/>
        </w:rPr>
        <w:t>i</w:t>
      </w:r>
      <w:r w:rsidR="1B0964A5" w:rsidRPr="00310FDB">
        <w:rPr>
          <w:rFonts w:cs="Arial"/>
          <w:color w:val="000000" w:themeColor="text1"/>
        </w:rPr>
        <w:t>on</w:t>
      </w:r>
      <w:r w:rsidRPr="00310FDB">
        <w:rPr>
          <w:snapToGrid w:val="0"/>
          <w:color w:val="000000" w:themeColor="text1"/>
        </w:rPr>
        <w:t xml:space="preserve"> makes available </w:t>
      </w:r>
      <w:r w:rsidR="00D307CD" w:rsidRPr="00310FDB">
        <w:rPr>
          <w:snapToGrid w:val="0"/>
          <w:color w:val="000000" w:themeColor="text1"/>
        </w:rPr>
        <w:t>domestic travel provisions to members who have been evacuated from their posting location overseas but remain on a long-ter</w:t>
      </w:r>
      <w:r w:rsidR="7935D91D" w:rsidRPr="00310FDB">
        <w:rPr>
          <w:snapToGrid w:val="0"/>
          <w:color w:val="000000" w:themeColor="text1"/>
        </w:rPr>
        <w:t xml:space="preserve">m </w:t>
      </w:r>
      <w:r w:rsidR="00D307CD" w:rsidRPr="00310FDB">
        <w:rPr>
          <w:snapToGrid w:val="0"/>
          <w:color w:val="000000" w:themeColor="text1"/>
        </w:rPr>
        <w:t>posting overseas.</w:t>
      </w:r>
    </w:p>
    <w:p w14:paraId="6D0FA3CB" w14:textId="0B881B32" w:rsidR="0071022D" w:rsidRPr="00310FDB" w:rsidRDefault="0071022D" w:rsidP="0071022D">
      <w:pPr>
        <w:pStyle w:val="Sectiontext"/>
        <w:rPr>
          <w:i/>
          <w:snapToGrid w:val="0"/>
          <w:color w:val="000000" w:themeColor="text1"/>
          <w:u w:val="single"/>
        </w:rPr>
      </w:pPr>
      <w:r w:rsidRPr="00310FDB">
        <w:rPr>
          <w:i/>
          <w:snapToGrid w:val="0"/>
          <w:color w:val="000000" w:themeColor="text1"/>
          <w:u w:val="single"/>
        </w:rPr>
        <w:t>Schedule 3</w:t>
      </w:r>
      <w:r w:rsidRPr="00310FDB">
        <w:rPr>
          <w:rFonts w:cs="Arial"/>
          <w:i/>
          <w:snapToGrid w:val="0"/>
          <w:color w:val="000000" w:themeColor="text1"/>
          <w:u w:val="single"/>
        </w:rPr>
        <w:t>—</w:t>
      </w:r>
      <w:r w:rsidRPr="00310FDB">
        <w:rPr>
          <w:i/>
          <w:snapToGrid w:val="0"/>
          <w:color w:val="000000" w:themeColor="text1"/>
          <w:u w:val="single"/>
        </w:rPr>
        <w:t>Transitional</w:t>
      </w:r>
    </w:p>
    <w:p w14:paraId="40D6BD5E" w14:textId="046174BB" w:rsidR="0071022D" w:rsidRPr="00310FDB" w:rsidRDefault="0071022D" w:rsidP="0071022D">
      <w:pPr>
        <w:pStyle w:val="Sectiontext"/>
        <w:rPr>
          <w:snapToGrid w:val="0"/>
          <w:color w:val="000000" w:themeColor="text1"/>
        </w:rPr>
      </w:pPr>
      <w:r w:rsidRPr="00310FDB">
        <w:rPr>
          <w:snapToGrid w:val="0"/>
          <w:color w:val="000000" w:themeColor="text1"/>
        </w:rPr>
        <w:t xml:space="preserve">Section 1 provides a transitional provision as a consequence of amendments made by section 9 of Schedule 1 of this Determination. The provision ensures a member whose food allowance would end under the new paragraph 7.9.11.1.d will continue to be paid the allowance for </w:t>
      </w:r>
      <w:r w:rsidR="6957D905" w:rsidRPr="00310FDB">
        <w:rPr>
          <w:snapToGrid w:val="0"/>
          <w:color w:val="000000" w:themeColor="text1"/>
        </w:rPr>
        <w:t>14</w:t>
      </w:r>
      <w:r w:rsidRPr="00310FDB">
        <w:rPr>
          <w:snapToGrid w:val="0"/>
          <w:color w:val="000000" w:themeColor="text1"/>
        </w:rPr>
        <w:t xml:space="preserve"> days after the commencement of this Determination.</w:t>
      </w:r>
    </w:p>
    <w:p w14:paraId="76A049BB" w14:textId="3E0912E2" w:rsidR="001E51FE" w:rsidRPr="00310FDB" w:rsidRDefault="001E51FE" w:rsidP="008417DF">
      <w:pPr>
        <w:spacing w:after="200" w:line="240" w:lineRule="auto"/>
        <w:rPr>
          <w:rFonts w:ascii="Arial" w:hAnsi="Arial" w:cs="Arial"/>
          <w:color w:val="000000" w:themeColor="text1"/>
          <w:sz w:val="20"/>
        </w:rPr>
      </w:pPr>
      <w:r w:rsidRPr="00310FDB">
        <w:rPr>
          <w:rFonts w:ascii="Arial" w:hAnsi="Arial" w:cs="Arial"/>
          <w:color w:val="000000" w:themeColor="text1"/>
          <w:sz w:val="20"/>
        </w:rPr>
        <w:t>Criteria are provided for the exercise of discretion under the Principal Determination, as amended by this Determination. Adverse decisions may be subject to inquiry under the ADF redress of grievance system</w:t>
      </w:r>
      <w:r w:rsidR="0021243D" w:rsidRPr="00310FDB">
        <w:rPr>
          <w:rFonts w:ascii="Arial" w:hAnsi="Arial" w:cs="Arial"/>
          <w:color w:val="000000" w:themeColor="text1"/>
          <w:sz w:val="20"/>
        </w:rPr>
        <w:t xml:space="preserve"> provided under Part 7 of the </w:t>
      </w:r>
      <w:r w:rsidR="0021243D" w:rsidRPr="00310FDB">
        <w:rPr>
          <w:rFonts w:ascii="Arial" w:hAnsi="Arial" w:cs="Arial"/>
          <w:i/>
          <w:color w:val="000000" w:themeColor="text1"/>
          <w:sz w:val="20"/>
        </w:rPr>
        <w:t>Defence Regulation 2016</w:t>
      </w:r>
      <w:r w:rsidRPr="00310FDB">
        <w:rPr>
          <w:rFonts w:ascii="Arial" w:hAnsi="Arial" w:cs="Arial"/>
          <w:color w:val="000000" w:themeColor="text1"/>
          <w:sz w:val="20"/>
        </w:rPr>
        <w:t>. A</w:t>
      </w:r>
      <w:r w:rsidR="0021243D" w:rsidRPr="00310FDB">
        <w:rPr>
          <w:rFonts w:ascii="Arial" w:hAnsi="Arial" w:cs="Arial"/>
          <w:color w:val="000000" w:themeColor="text1"/>
          <w:sz w:val="20"/>
        </w:rPr>
        <w:t>lso, a</w:t>
      </w:r>
      <w:r w:rsidRPr="00310FDB">
        <w:rPr>
          <w:rFonts w:ascii="Arial" w:hAnsi="Arial" w:cs="Arial"/>
          <w:color w:val="000000" w:themeColor="text1"/>
          <w:sz w:val="20"/>
        </w:rPr>
        <w:t xml:space="preserve"> person may make a complaint to the Defence Force Ombudsman. </w:t>
      </w:r>
    </w:p>
    <w:p w14:paraId="7E3990D4" w14:textId="77777777" w:rsidR="001E51FE" w:rsidRPr="00310FDB" w:rsidRDefault="001E51FE" w:rsidP="001E51FE">
      <w:pPr>
        <w:pStyle w:val="Sectiontext"/>
        <w:jc w:val="center"/>
        <w:rPr>
          <w:rFonts w:cs="Arial"/>
          <w:snapToGrid w:val="0"/>
          <w:color w:val="000000" w:themeColor="text1"/>
        </w:rPr>
      </w:pPr>
      <w:r w:rsidRPr="00310FDB">
        <w:rPr>
          <w:rFonts w:cs="Arial"/>
          <w:b/>
          <w:color w:val="000000" w:themeColor="text1"/>
        </w:rPr>
        <w:t>Consultation</w:t>
      </w:r>
    </w:p>
    <w:p w14:paraId="6DEC97EA" w14:textId="79D83404" w:rsidR="00BD4C4B" w:rsidRDefault="00BD4C4B" w:rsidP="00BD4C4B">
      <w:pPr>
        <w:pStyle w:val="sectiontext0"/>
        <w:spacing w:before="0" w:beforeAutospacing="0" w:after="200" w:afterAutospacing="0"/>
        <w:rPr>
          <w:rFonts w:ascii="Arial" w:hAnsi="Arial" w:cs="Arial"/>
          <w:color w:val="000000"/>
          <w:sz w:val="20"/>
          <w:szCs w:val="20"/>
        </w:rPr>
      </w:pPr>
      <w:r>
        <w:rPr>
          <w:rFonts w:ascii="Arial" w:hAnsi="Arial" w:cs="Arial"/>
          <w:color w:val="000000"/>
          <w:sz w:val="20"/>
          <w:szCs w:val="20"/>
        </w:rPr>
        <w:t>Before this Determination was made, consultation was undertaken with the Department of Foreign Affairs and Trade, the Services, and the Directorate of Attaché and Overseas Management in the Strategic Policy and Intelligence Group in the Department of Defence.</w:t>
      </w:r>
    </w:p>
    <w:p w14:paraId="288CCF97" w14:textId="77777777" w:rsidR="00BD4C4B" w:rsidRDefault="00BD4C4B" w:rsidP="00BD4C4B">
      <w:pPr>
        <w:pStyle w:val="sectiontext0"/>
        <w:spacing w:before="0" w:beforeAutospacing="0" w:after="200" w:afterAutospacing="0"/>
        <w:rPr>
          <w:rFonts w:ascii="Arial" w:hAnsi="Arial" w:cs="Arial"/>
          <w:color w:val="000000"/>
          <w:sz w:val="20"/>
          <w:szCs w:val="20"/>
        </w:rPr>
      </w:pPr>
      <w:r>
        <w:rPr>
          <w:rFonts w:ascii="Arial" w:hAnsi="Arial" w:cs="Arial"/>
          <w:color w:val="000000"/>
          <w:sz w:val="20"/>
          <w:szCs w:val="20"/>
        </w:rPr>
        <w:t>The rule maker was satisfied that further external consultation was not required.</w:t>
      </w:r>
    </w:p>
    <w:p w14:paraId="7B7CB0E8" w14:textId="77777777" w:rsidR="001E51FE" w:rsidRPr="00CA5BE0" w:rsidRDefault="001E51FE" w:rsidP="001E51FE">
      <w:pPr>
        <w:autoSpaceDE w:val="0"/>
        <w:autoSpaceDN w:val="0"/>
        <w:adjustRightInd w:val="0"/>
        <w:rPr>
          <w:snapToGrid w:val="0"/>
          <w:sz w:val="20"/>
        </w:rPr>
      </w:pPr>
    </w:p>
    <w:p w14:paraId="799BB920" w14:textId="77777777" w:rsidR="001E51FE" w:rsidRDefault="001E51FE" w:rsidP="001E51FE">
      <w:pPr>
        <w:pStyle w:val="Sectiontext"/>
      </w:pPr>
    </w:p>
    <w:p w14:paraId="661A02C6" w14:textId="77777777" w:rsidR="001E51FE" w:rsidRDefault="001E51FE" w:rsidP="001E51FE">
      <w:pPr>
        <w:pStyle w:val="Sectiontext"/>
        <w:jc w:val="right"/>
      </w:pPr>
      <w:r>
        <w:rPr>
          <w:b/>
        </w:rPr>
        <w:t>Authority:</w:t>
      </w:r>
      <w:r>
        <w:t xml:space="preserve">  Section 58B of the </w:t>
      </w:r>
      <w:r>
        <w:br/>
      </w:r>
      <w:r>
        <w:rPr>
          <w:i/>
        </w:rPr>
        <w:t>Defence Act 1903</w:t>
      </w:r>
    </w:p>
    <w:p w14:paraId="0EE95367" w14:textId="77777777" w:rsidR="001E51FE" w:rsidRPr="00370A0E" w:rsidRDefault="001E51FE" w:rsidP="001E51FE">
      <w:pPr>
        <w:pStyle w:val="Sectiontext"/>
        <w:jc w:val="center"/>
        <w:rPr>
          <w:b/>
          <w:color w:val="FF0000"/>
        </w:rPr>
      </w:pPr>
    </w:p>
    <w:p w14:paraId="2831585B" w14:textId="77777777" w:rsidR="001E51FE" w:rsidRDefault="001E51FE" w:rsidP="001E51FE">
      <w:pPr>
        <w:pStyle w:val="Sectiontext"/>
        <w:jc w:val="center"/>
        <w:rPr>
          <w:b/>
        </w:rPr>
        <w:sectPr w:rsidR="001E51FE" w:rsidSect="008417DF">
          <w:headerReference w:type="default" r:id="rId11"/>
          <w:footerReference w:type="default" r:id="rId12"/>
          <w:headerReference w:type="first" r:id="rId13"/>
          <w:footerReference w:type="first" r:id="rId14"/>
          <w:pgSz w:w="11907" w:h="16839"/>
          <w:pgMar w:top="1134" w:right="1134" w:bottom="992" w:left="1418" w:header="720" w:footer="709" w:gutter="0"/>
          <w:pgNumType w:start="1"/>
          <w:cols w:space="708"/>
          <w:titlePg/>
          <w:docGrid w:linePitch="360"/>
        </w:sectPr>
      </w:pPr>
    </w:p>
    <w:p w14:paraId="08176EE8" w14:textId="77777777" w:rsidR="001E51FE" w:rsidRPr="00A575F1" w:rsidRDefault="001E51FE" w:rsidP="00A575F1">
      <w:pPr>
        <w:pStyle w:val="Sectiontext"/>
      </w:pPr>
      <w:r w:rsidRPr="00A575F1">
        <w:rPr>
          <w:snapToGrid w:val="0"/>
        </w:rPr>
        <w:lastRenderedPageBreak/>
        <w:t xml:space="preserve">This Determination is compatible with the human rights and freedoms recognised or declared in the international instruments listed in section 3 of the </w:t>
      </w:r>
      <w:r w:rsidRPr="4A17E427">
        <w:rPr>
          <w:i/>
          <w:iCs/>
          <w:snapToGrid w:val="0"/>
        </w:rPr>
        <w:t>Human Rights (Parliamentary Scrutiny) Act 2011</w:t>
      </w:r>
      <w:r w:rsidRPr="00A575F1">
        <w:rPr>
          <w:snapToGrid w:val="0"/>
        </w:rPr>
        <w:t>.</w:t>
      </w:r>
    </w:p>
    <w:p w14:paraId="46B21FBF" w14:textId="77777777" w:rsidR="00BD4C4B" w:rsidRDefault="00BD4C4B" w:rsidP="00BD4C4B">
      <w:pPr>
        <w:pStyle w:val="Sectiontext"/>
        <w:ind w:left="28"/>
        <w:rPr>
          <w:snapToGrid w:val="0"/>
        </w:rPr>
      </w:pPr>
      <w:r w:rsidRPr="00446921">
        <w:rPr>
          <w:snapToGrid w:val="0"/>
        </w:rPr>
        <w:t xml:space="preserve">The purpose of this Determination is to enable the ADF to respond to the Coronavirus (COVID-19). It </w:t>
      </w:r>
      <w:r>
        <w:rPr>
          <w:snapToGrid w:val="0"/>
        </w:rPr>
        <w:t>does the following:</w:t>
      </w:r>
    </w:p>
    <w:p w14:paraId="7BA0C6B3" w14:textId="1E4F88EC" w:rsidR="00BD4C4B" w:rsidRDefault="108A163C" w:rsidP="68CB4BAD">
      <w:pPr>
        <w:pStyle w:val="Sectiontext"/>
        <w:numPr>
          <w:ilvl w:val="0"/>
          <w:numId w:val="18"/>
        </w:numPr>
      </w:pPr>
      <w:r>
        <w:t xml:space="preserve">amends provisions relating to the availability of short absence from duty that relate to CIVOD-19 and the provision of food allowance. The amendments bring the provisions in line with general community standards, while also noting the uniqueness of military service. </w:t>
      </w:r>
    </w:p>
    <w:p w14:paraId="3A78AD51" w14:textId="543D3DE7" w:rsidR="00BD4C4B" w:rsidRDefault="52C17429" w:rsidP="00BD4C4B">
      <w:pPr>
        <w:pStyle w:val="Sectiontext"/>
        <w:numPr>
          <w:ilvl w:val="0"/>
          <w:numId w:val="18"/>
        </w:numPr>
      </w:pPr>
      <w:r>
        <w:rPr>
          <w:snapToGrid w:val="0"/>
        </w:rPr>
        <w:t>a</w:t>
      </w:r>
      <w:r w:rsidR="00BD4C4B">
        <w:rPr>
          <w:snapToGrid w:val="0"/>
        </w:rPr>
        <w:t xml:space="preserve">mends </w:t>
      </w:r>
      <w:r w:rsidR="00BD4C4B" w:rsidRPr="00446921">
        <w:rPr>
          <w:snapToGrid w:val="0"/>
        </w:rPr>
        <w:t>benefits provided to ADF members and their families being evacuated from overseas posting locations and places of duty in response to change made by the Department of Foreign Affairs and Trade.</w:t>
      </w:r>
    </w:p>
    <w:p w14:paraId="38FFFAF4" w14:textId="2FF8AB9A" w:rsidR="001E51FE" w:rsidRDefault="001E51FE" w:rsidP="001E51FE">
      <w:pPr>
        <w:spacing w:after="200"/>
        <w:rPr>
          <w:rFonts w:ascii="Arial" w:hAnsi="Arial" w:cs="Arial"/>
          <w:b/>
          <w:sz w:val="20"/>
        </w:rPr>
      </w:pPr>
      <w:r w:rsidRPr="0021243D">
        <w:rPr>
          <w:rFonts w:ascii="Arial" w:hAnsi="Arial" w:cs="Arial"/>
          <w:b/>
          <w:sz w:val="20"/>
        </w:rPr>
        <w:t>Human rights implications</w:t>
      </w:r>
    </w:p>
    <w:p w14:paraId="0C3DE53E" w14:textId="77777777" w:rsidR="00264D64" w:rsidRPr="0021243D" w:rsidRDefault="00264D64" w:rsidP="00264D64">
      <w:pPr>
        <w:spacing w:after="200"/>
        <w:rPr>
          <w:rFonts w:ascii="Arial" w:hAnsi="Arial" w:cs="Arial"/>
          <w:sz w:val="24"/>
          <w:szCs w:val="24"/>
        </w:rPr>
      </w:pPr>
      <w:r w:rsidRPr="0021243D">
        <w:rPr>
          <w:rFonts w:ascii="Arial" w:hAnsi="Arial" w:cs="Arial"/>
          <w:i/>
          <w:sz w:val="20"/>
        </w:rPr>
        <w:t>Right to the enjoyment of just and favourable conditions of work</w:t>
      </w:r>
    </w:p>
    <w:p w14:paraId="4B0CB4BD" w14:textId="77777777" w:rsidR="00BD4C4B" w:rsidRDefault="00BD4C4B" w:rsidP="00BD4C4B">
      <w:pPr>
        <w:pStyle w:val="sectiontext0"/>
        <w:spacing w:before="0" w:beforeAutospacing="0" w:after="200" w:afterAutospacing="0"/>
        <w:rPr>
          <w:rFonts w:ascii="Arial" w:hAnsi="Arial" w:cs="Arial"/>
          <w:color w:val="000000"/>
          <w:sz w:val="20"/>
          <w:szCs w:val="20"/>
        </w:rPr>
      </w:pPr>
      <w:r>
        <w:rPr>
          <w:rFonts w:ascii="Arial" w:hAnsi="Arial" w:cs="Arial"/>
          <w:color w:val="000000"/>
          <w:sz w:val="20"/>
          <w:szCs w:val="20"/>
        </w:rPr>
        <w:t>The protection of a person's right to just and favourable conditions of work engages Article 7 of the International Covenant on Economic, Social and Cultural Rights. Article 7 recognises the right of everyone to just and favourable conditions of work including remuneration, safe and healthy working conditions, equal opportunity for promotion, and rest, leisure and reasonable limitation of working hours.</w:t>
      </w:r>
    </w:p>
    <w:p w14:paraId="447EDA77" w14:textId="7CD84119" w:rsidR="00310FDB" w:rsidRDefault="00BD4C4B" w:rsidP="00BD4C4B">
      <w:pPr>
        <w:pStyle w:val="sectiontext0"/>
        <w:spacing w:before="0" w:beforeAutospacing="0" w:after="200" w:afterAutospacing="0"/>
        <w:rPr>
          <w:rFonts w:ascii="Arial" w:hAnsi="Arial" w:cs="Arial"/>
          <w:color w:val="000000"/>
          <w:sz w:val="20"/>
          <w:szCs w:val="20"/>
        </w:rPr>
      </w:pPr>
      <w:r>
        <w:rPr>
          <w:rFonts w:ascii="Arial" w:hAnsi="Arial" w:cs="Arial"/>
          <w:color w:val="000000"/>
          <w:sz w:val="20"/>
          <w:szCs w:val="20"/>
        </w:rPr>
        <w:t xml:space="preserve">The </w:t>
      </w:r>
      <w:r w:rsidR="00310FDB">
        <w:rPr>
          <w:rFonts w:ascii="Arial" w:hAnsi="Arial" w:cs="Arial"/>
          <w:color w:val="000000"/>
          <w:sz w:val="20"/>
          <w:szCs w:val="20"/>
        </w:rPr>
        <w:t>D</w:t>
      </w:r>
      <w:r>
        <w:rPr>
          <w:rFonts w:ascii="Arial" w:hAnsi="Arial" w:cs="Arial"/>
          <w:color w:val="000000"/>
          <w:sz w:val="20"/>
          <w:szCs w:val="20"/>
        </w:rPr>
        <w:t xml:space="preserve">etermination </w:t>
      </w:r>
      <w:r w:rsidR="00310FDB">
        <w:rPr>
          <w:rFonts w:ascii="Arial" w:hAnsi="Arial" w:cs="Arial"/>
          <w:color w:val="000000"/>
          <w:sz w:val="20"/>
          <w:szCs w:val="20"/>
        </w:rPr>
        <w:t>amends domestic provisions to provide clarity and reflect the changing Whole of Government response to COVID-19. While the Determination limits existing rules (inserted by Defence Determination, Conditions of service Amendment (COVID-19 response) Determination 2020 No. 7 on 28 March 2020), benefits in the Principal Determination continue to beneficial to members and promote human rights, in particular just and favourable work conditions.</w:t>
      </w:r>
    </w:p>
    <w:p w14:paraId="3085A425" w14:textId="08692360" w:rsidR="00BD4C4B" w:rsidRDefault="00BD4C4B" w:rsidP="00BD4C4B">
      <w:pPr>
        <w:pStyle w:val="sectiontext0"/>
        <w:spacing w:before="0" w:beforeAutospacing="0" w:after="200" w:afterAutospacing="0"/>
        <w:rPr>
          <w:rFonts w:ascii="Arial" w:hAnsi="Arial" w:cs="Arial"/>
          <w:color w:val="000000"/>
          <w:sz w:val="20"/>
          <w:szCs w:val="20"/>
        </w:rPr>
      </w:pPr>
      <w:r>
        <w:rPr>
          <w:rFonts w:ascii="Arial" w:hAnsi="Arial" w:cs="Arial"/>
          <w:color w:val="000000"/>
          <w:sz w:val="20"/>
          <w:szCs w:val="20"/>
        </w:rPr>
        <w:t>The Determination also amends provisions for people who are required to evacuate to allow the benefits to be provided to people who are permitted to evacuate or are unable to return to the posting location overseas due to COVID-19.</w:t>
      </w:r>
    </w:p>
    <w:p w14:paraId="494DEA52" w14:textId="77777777" w:rsidR="001E51FE" w:rsidRPr="0021243D" w:rsidRDefault="001E51FE" w:rsidP="001E51FE">
      <w:pPr>
        <w:spacing w:after="200"/>
        <w:rPr>
          <w:rFonts w:ascii="Arial" w:hAnsi="Arial" w:cs="Arial"/>
          <w:b/>
          <w:sz w:val="20"/>
        </w:rPr>
      </w:pPr>
      <w:r w:rsidRPr="0021243D">
        <w:rPr>
          <w:rFonts w:ascii="Arial" w:hAnsi="Arial" w:cs="Arial"/>
          <w:b/>
          <w:sz w:val="20"/>
        </w:rPr>
        <w:t>Conclusion</w:t>
      </w:r>
    </w:p>
    <w:p w14:paraId="1D77FC50" w14:textId="77777777" w:rsidR="001E51FE" w:rsidRPr="00A575F1" w:rsidRDefault="001E51FE" w:rsidP="00A575F1">
      <w:pPr>
        <w:pStyle w:val="Sectiontext"/>
        <w:rPr>
          <w:snapToGrid w:val="0"/>
        </w:rPr>
      </w:pPr>
      <w:r w:rsidRPr="00A575F1">
        <w:rPr>
          <w:snapToGrid w:val="0"/>
        </w:rPr>
        <w:t>This Determination is compatible with human rights because it advances the protection of human rights.</w:t>
      </w:r>
    </w:p>
    <w:p w14:paraId="1B4769FF" w14:textId="77777777" w:rsidR="001E51FE" w:rsidRPr="00A575F1" w:rsidRDefault="001E51FE" w:rsidP="00A575F1">
      <w:pPr>
        <w:pStyle w:val="Sectiontext"/>
        <w:rPr>
          <w:snapToGrid w:val="0"/>
        </w:rPr>
      </w:pPr>
    </w:p>
    <w:p w14:paraId="1DBA1602" w14:textId="77777777" w:rsidR="001E51FE" w:rsidRPr="0021243D" w:rsidRDefault="001E51FE" w:rsidP="68CB4BAD">
      <w:pPr>
        <w:spacing w:after="200"/>
        <w:jc w:val="center"/>
        <w:rPr>
          <w:rFonts w:ascii="Arial" w:hAnsi="Arial" w:cs="Arial"/>
          <w:sz w:val="20"/>
        </w:rPr>
      </w:pPr>
      <w:r w:rsidRPr="68CB4BAD">
        <w:rPr>
          <w:rFonts w:ascii="Arial" w:hAnsi="Arial" w:cs="Arial"/>
          <w:sz w:val="20"/>
        </w:rPr>
        <w:t>Fiona Louise McSpeerin, Assistant Secretary People Policy and Employment Conditions</w:t>
      </w:r>
    </w:p>
    <w:p w14:paraId="06EB1150" w14:textId="77777777" w:rsidR="001E51FE" w:rsidRDefault="001E51FE" w:rsidP="001E51FE">
      <w:pPr>
        <w:pStyle w:val="Sectiontext"/>
      </w:pPr>
    </w:p>
    <w:p w14:paraId="0303E197" w14:textId="77777777" w:rsidR="001E51FE" w:rsidRDefault="001E51FE" w:rsidP="001E51FE">
      <w:pPr>
        <w:pStyle w:val="Sectiontext"/>
      </w:pPr>
    </w:p>
    <w:p w14:paraId="46F201D2" w14:textId="77777777" w:rsidR="001E51FE" w:rsidRDefault="001E51FE" w:rsidP="001E51FE"/>
    <w:p w14:paraId="4D3CB653" w14:textId="77777777" w:rsidR="001E51FE" w:rsidRPr="00D15A4D" w:rsidRDefault="001E51FE" w:rsidP="006065DA">
      <w:pPr>
        <w:pStyle w:val="subsection"/>
      </w:pPr>
    </w:p>
    <w:sectPr w:rsidR="001E51FE" w:rsidRPr="00D15A4D" w:rsidSect="008417DF">
      <w:headerReference w:type="default" r:id="rId15"/>
      <w:headerReference w:type="first" r:id="rId16"/>
      <w:pgSz w:w="11907" w:h="16839"/>
      <w:pgMar w:top="1134" w:right="1134" w:bottom="992" w:left="1418"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594B3" w14:textId="77777777" w:rsidR="00632C92" w:rsidRDefault="00632C92" w:rsidP="0048364F">
      <w:pPr>
        <w:spacing w:line="240" w:lineRule="auto"/>
      </w:pPr>
      <w:r>
        <w:separator/>
      </w:r>
    </w:p>
  </w:endnote>
  <w:endnote w:type="continuationSeparator" w:id="0">
    <w:p w14:paraId="76F0A739" w14:textId="77777777" w:rsidR="00632C92" w:rsidRDefault="00632C9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5031AA1A" w:rsidR="00310FDB" w:rsidRDefault="00310FDB">
        <w:pPr>
          <w:pStyle w:val="Footer"/>
          <w:jc w:val="right"/>
        </w:pPr>
        <w:r w:rsidRPr="008E4A9F">
          <w:rPr>
            <w:sz w:val="18"/>
            <w:szCs w:val="18"/>
          </w:rPr>
          <w:fldChar w:fldCharType="begin"/>
        </w:r>
        <w:r w:rsidRPr="008E4A9F">
          <w:rPr>
            <w:sz w:val="18"/>
            <w:szCs w:val="18"/>
          </w:rPr>
          <w:instrText xml:space="preserve"> PAGE   \* MERGEFORMAT </w:instrText>
        </w:r>
        <w:r w:rsidRPr="008E4A9F">
          <w:rPr>
            <w:sz w:val="18"/>
            <w:szCs w:val="18"/>
          </w:rPr>
          <w:fldChar w:fldCharType="separate"/>
        </w:r>
        <w:r w:rsidR="00C22CB7">
          <w:rPr>
            <w:noProof/>
            <w:sz w:val="18"/>
            <w:szCs w:val="18"/>
          </w:rPr>
          <w:t>2</w:t>
        </w:r>
        <w:r w:rsidRPr="008E4A9F">
          <w:rPr>
            <w:noProof/>
            <w:sz w:val="18"/>
            <w:szCs w:val="18"/>
          </w:rPr>
          <w:fldChar w:fldCharType="end"/>
        </w:r>
      </w:p>
    </w:sdtContent>
  </w:sdt>
  <w:p w14:paraId="080BA358" w14:textId="77777777" w:rsidR="00310FDB" w:rsidRPr="00ED79B6" w:rsidRDefault="00310FDB"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rPr>
    </w:sdtEndPr>
    <w:sdtContent>
      <w:p w14:paraId="15A37926" w14:textId="42909018" w:rsidR="00310FDB" w:rsidRDefault="00310FDB">
        <w:pPr>
          <w:pStyle w:val="Footer"/>
          <w:jc w:val="right"/>
        </w:pPr>
        <w:r>
          <w:fldChar w:fldCharType="begin"/>
        </w:r>
        <w:r>
          <w:instrText xml:space="preserve"> PAGE   \* MERGEFORMAT </w:instrText>
        </w:r>
        <w:r>
          <w:fldChar w:fldCharType="separate"/>
        </w:r>
        <w:r w:rsidR="00C22CB7">
          <w:rPr>
            <w:noProof/>
          </w:rPr>
          <w:t>1</w:t>
        </w:r>
        <w:r>
          <w:rPr>
            <w:noProof/>
          </w:rPr>
          <w:fldChar w:fldCharType="end"/>
        </w:r>
      </w:p>
    </w:sdtContent>
  </w:sdt>
  <w:p w14:paraId="53A836F1" w14:textId="77777777" w:rsidR="00310FDB" w:rsidRPr="00ED79B6" w:rsidRDefault="00310FDB"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E8D3A" w14:textId="77777777" w:rsidR="00632C92" w:rsidRDefault="00632C92" w:rsidP="0048364F">
      <w:pPr>
        <w:spacing w:line="240" w:lineRule="auto"/>
      </w:pPr>
      <w:r>
        <w:separator/>
      </w:r>
    </w:p>
  </w:footnote>
  <w:footnote w:type="continuationSeparator" w:id="0">
    <w:p w14:paraId="269EFF16" w14:textId="77777777" w:rsidR="00632C92" w:rsidRDefault="00632C9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8"/>
      <w:gridCol w:w="3118"/>
      <w:gridCol w:w="3118"/>
    </w:tblGrid>
    <w:tr w:rsidR="68CB4BAD" w14:paraId="29D700A9" w14:textId="77777777" w:rsidTr="68CB4BAD">
      <w:tc>
        <w:tcPr>
          <w:tcW w:w="3118" w:type="dxa"/>
        </w:tcPr>
        <w:p w14:paraId="59E8C86F" w14:textId="79DEE921" w:rsidR="68CB4BAD" w:rsidRDefault="68CB4BAD" w:rsidP="68CB4BAD">
          <w:pPr>
            <w:pStyle w:val="Header"/>
            <w:ind w:left="-115"/>
          </w:pPr>
        </w:p>
      </w:tc>
      <w:tc>
        <w:tcPr>
          <w:tcW w:w="3118" w:type="dxa"/>
        </w:tcPr>
        <w:p w14:paraId="5326EB69" w14:textId="2EDAD54F" w:rsidR="68CB4BAD" w:rsidRDefault="68CB4BAD" w:rsidP="68CB4BAD">
          <w:pPr>
            <w:pStyle w:val="Header"/>
            <w:jc w:val="center"/>
          </w:pPr>
        </w:p>
      </w:tc>
      <w:tc>
        <w:tcPr>
          <w:tcW w:w="3118" w:type="dxa"/>
        </w:tcPr>
        <w:p w14:paraId="74B30266" w14:textId="700BD5AF" w:rsidR="68CB4BAD" w:rsidRDefault="68CB4BAD" w:rsidP="68CB4BAD">
          <w:pPr>
            <w:pStyle w:val="Header"/>
            <w:ind w:right="-115"/>
            <w:jc w:val="right"/>
          </w:pPr>
        </w:p>
      </w:tc>
    </w:tr>
  </w:tbl>
  <w:p w14:paraId="28A85DA8" w14:textId="5811C54D" w:rsidR="68CB4BAD" w:rsidRDefault="68CB4BAD" w:rsidP="68CB4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56A41" w14:textId="07A1C136" w:rsidR="00310FDB" w:rsidRPr="009A6866" w:rsidRDefault="00310FDB" w:rsidP="009A6866">
    <w:pPr>
      <w:pStyle w:val="ActHead6"/>
    </w:pPr>
    <w:r>
      <w:t>EXPLANATORY STATEMENT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8"/>
      <w:gridCol w:w="3118"/>
      <w:gridCol w:w="3118"/>
    </w:tblGrid>
    <w:tr w:rsidR="68CB4BAD" w14:paraId="0EEE39F0" w14:textId="77777777" w:rsidTr="68CB4BAD">
      <w:tc>
        <w:tcPr>
          <w:tcW w:w="3118" w:type="dxa"/>
        </w:tcPr>
        <w:p w14:paraId="025BC128" w14:textId="6AD8B1FD" w:rsidR="68CB4BAD" w:rsidRDefault="68CB4BAD" w:rsidP="68CB4BAD">
          <w:pPr>
            <w:pStyle w:val="Header"/>
            <w:ind w:left="-115"/>
          </w:pPr>
        </w:p>
      </w:tc>
      <w:tc>
        <w:tcPr>
          <w:tcW w:w="3118" w:type="dxa"/>
        </w:tcPr>
        <w:p w14:paraId="0AAE25EE" w14:textId="7D92AF4F" w:rsidR="68CB4BAD" w:rsidRDefault="68CB4BAD" w:rsidP="68CB4BAD">
          <w:pPr>
            <w:pStyle w:val="Header"/>
            <w:jc w:val="center"/>
          </w:pPr>
        </w:p>
      </w:tc>
      <w:tc>
        <w:tcPr>
          <w:tcW w:w="3118" w:type="dxa"/>
        </w:tcPr>
        <w:p w14:paraId="11F860F6" w14:textId="570B935A" w:rsidR="68CB4BAD" w:rsidRDefault="68CB4BAD" w:rsidP="68CB4BAD">
          <w:pPr>
            <w:pStyle w:val="Header"/>
            <w:ind w:right="-115"/>
            <w:jc w:val="right"/>
          </w:pPr>
        </w:p>
      </w:tc>
    </w:tr>
  </w:tbl>
  <w:p w14:paraId="5AF20E97" w14:textId="16E91FB5" w:rsidR="68CB4BAD" w:rsidRDefault="68CB4BAD" w:rsidP="68CB4B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D855B" w14:textId="77777777" w:rsidR="00310FDB" w:rsidRPr="00B4022B" w:rsidRDefault="00310FDB" w:rsidP="001E51FE">
    <w:pPr>
      <w:pStyle w:val="Sectiontext"/>
      <w:jc w:val="center"/>
      <w:rPr>
        <w:b/>
        <w:snapToGrid w:val="0"/>
        <w:sz w:val="30"/>
        <w:szCs w:val="30"/>
      </w:rPr>
    </w:pPr>
    <w:r w:rsidRPr="00B4022B">
      <w:rPr>
        <w:b/>
        <w:snapToGrid w:val="0"/>
        <w:sz w:val="30"/>
        <w:szCs w:val="30"/>
      </w:rPr>
      <w:t>Statement of Compatibility with Human Rights</w:t>
    </w:r>
  </w:p>
  <w:p w14:paraId="2091DD2F" w14:textId="77777777" w:rsidR="00310FDB" w:rsidRDefault="00310FDB" w:rsidP="001E51FE">
    <w:pPr>
      <w:pStyle w:val="Sectiontext"/>
      <w:jc w:val="center"/>
      <w:rPr>
        <w:i/>
        <w:snapToGrid w:val="0"/>
      </w:rPr>
    </w:pPr>
    <w:r>
      <w:rPr>
        <w:i/>
        <w:snapToGrid w:val="0"/>
      </w:rPr>
      <w:t>Prepared in accordance with Part 3 of the Human Rights (Parliamentary Scrutiny) Act 2011</w:t>
    </w:r>
  </w:p>
  <w:p w14:paraId="16DF27EC" w14:textId="0C82F333" w:rsidR="00310FDB" w:rsidRPr="009A6866" w:rsidRDefault="00310FDB" w:rsidP="00BC00AA">
    <w:pPr>
      <w:pStyle w:val="BlockText-Plain"/>
      <w:jc w:val="center"/>
      <w:rPr>
        <w:b/>
        <w:i/>
        <w:snapToGrid w:val="0"/>
      </w:rPr>
    </w:pPr>
    <w:r w:rsidRPr="009A6866">
      <w:rPr>
        <w:b/>
        <w:i/>
        <w:snapToGrid w:val="0"/>
      </w:rPr>
      <w:fldChar w:fldCharType="begin"/>
    </w:r>
    <w:r w:rsidRPr="009A6866">
      <w:rPr>
        <w:b/>
        <w:i/>
        <w:snapToGrid w:val="0"/>
      </w:rPr>
      <w:instrText xml:space="preserve"> STYLEREF  "Heading 6,ES-HRS Title"  \* MERGEFORMAT </w:instrText>
    </w:r>
    <w:r w:rsidRPr="009A6866">
      <w:rPr>
        <w:b/>
        <w:i/>
        <w:snapToGrid w:val="0"/>
      </w:rPr>
      <w:fldChar w:fldCharType="separate"/>
    </w:r>
    <w:r w:rsidR="00C22CB7" w:rsidRPr="00C22CB7">
      <w:rPr>
        <w:b/>
        <w:bCs/>
        <w:i/>
        <w:noProof/>
        <w:snapToGrid w:val="0"/>
        <w:lang w:val="en-US"/>
      </w:rPr>
      <w:t>Defence Determination, Conditions of service Amendment (COVID-19 response</w:t>
    </w:r>
    <w:r w:rsidR="00C22CB7">
      <w:rPr>
        <w:b/>
        <w:i/>
        <w:noProof/>
        <w:snapToGrid w:val="0"/>
      </w:rPr>
      <w:t>) Determination 2020 (No. 8)</w:t>
    </w:r>
    <w:r w:rsidRPr="009A6866">
      <w:rPr>
        <w:b/>
        <w:i/>
        <w:snapToGrid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795FAC"/>
    <w:multiLevelType w:val="hybridMultilevel"/>
    <w:tmpl w:val="17268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4541BF"/>
    <w:multiLevelType w:val="hybridMultilevel"/>
    <w:tmpl w:val="2278A776"/>
    <w:lvl w:ilvl="0" w:tplc="05D87A92">
      <w:start w:val="1"/>
      <w:numFmt w:val="bullet"/>
      <w:lvlText w:val=""/>
      <w:lvlJc w:val="left"/>
      <w:pPr>
        <w:ind w:left="720" w:hanging="360"/>
      </w:pPr>
      <w:rPr>
        <w:rFonts w:ascii="Symbol" w:hAnsi="Symbol" w:hint="default"/>
      </w:rPr>
    </w:lvl>
    <w:lvl w:ilvl="1" w:tplc="D83AA354">
      <w:start w:val="1"/>
      <w:numFmt w:val="bullet"/>
      <w:lvlText w:val="o"/>
      <w:lvlJc w:val="left"/>
      <w:pPr>
        <w:ind w:left="1440" w:hanging="360"/>
      </w:pPr>
      <w:rPr>
        <w:rFonts w:ascii="Courier New" w:hAnsi="Courier New" w:hint="default"/>
      </w:rPr>
    </w:lvl>
    <w:lvl w:ilvl="2" w:tplc="5950BFF8">
      <w:start w:val="1"/>
      <w:numFmt w:val="bullet"/>
      <w:lvlText w:val=""/>
      <w:lvlJc w:val="left"/>
      <w:pPr>
        <w:ind w:left="2160" w:hanging="360"/>
      </w:pPr>
      <w:rPr>
        <w:rFonts w:ascii="Wingdings" w:hAnsi="Wingdings" w:hint="default"/>
      </w:rPr>
    </w:lvl>
    <w:lvl w:ilvl="3" w:tplc="2FBC9CA6">
      <w:start w:val="1"/>
      <w:numFmt w:val="bullet"/>
      <w:lvlText w:val=""/>
      <w:lvlJc w:val="left"/>
      <w:pPr>
        <w:ind w:left="2880" w:hanging="360"/>
      </w:pPr>
      <w:rPr>
        <w:rFonts w:ascii="Symbol" w:hAnsi="Symbol" w:hint="default"/>
      </w:rPr>
    </w:lvl>
    <w:lvl w:ilvl="4" w:tplc="FA2ADFFA">
      <w:start w:val="1"/>
      <w:numFmt w:val="bullet"/>
      <w:lvlText w:val="o"/>
      <w:lvlJc w:val="left"/>
      <w:pPr>
        <w:ind w:left="3600" w:hanging="360"/>
      </w:pPr>
      <w:rPr>
        <w:rFonts w:ascii="Courier New" w:hAnsi="Courier New" w:hint="default"/>
      </w:rPr>
    </w:lvl>
    <w:lvl w:ilvl="5" w:tplc="FE3E2958">
      <w:start w:val="1"/>
      <w:numFmt w:val="bullet"/>
      <w:lvlText w:val=""/>
      <w:lvlJc w:val="left"/>
      <w:pPr>
        <w:ind w:left="4320" w:hanging="360"/>
      </w:pPr>
      <w:rPr>
        <w:rFonts w:ascii="Wingdings" w:hAnsi="Wingdings" w:hint="default"/>
      </w:rPr>
    </w:lvl>
    <w:lvl w:ilvl="6" w:tplc="87A06744">
      <w:start w:val="1"/>
      <w:numFmt w:val="bullet"/>
      <w:lvlText w:val=""/>
      <w:lvlJc w:val="left"/>
      <w:pPr>
        <w:ind w:left="5040" w:hanging="360"/>
      </w:pPr>
      <w:rPr>
        <w:rFonts w:ascii="Symbol" w:hAnsi="Symbol" w:hint="default"/>
      </w:rPr>
    </w:lvl>
    <w:lvl w:ilvl="7" w:tplc="19566384">
      <w:start w:val="1"/>
      <w:numFmt w:val="bullet"/>
      <w:lvlText w:val="o"/>
      <w:lvlJc w:val="left"/>
      <w:pPr>
        <w:ind w:left="5760" w:hanging="360"/>
      </w:pPr>
      <w:rPr>
        <w:rFonts w:ascii="Courier New" w:hAnsi="Courier New" w:hint="default"/>
      </w:rPr>
    </w:lvl>
    <w:lvl w:ilvl="8" w:tplc="17DA68DC">
      <w:start w:val="1"/>
      <w:numFmt w:val="bullet"/>
      <w:lvlText w:val=""/>
      <w:lvlJc w:val="left"/>
      <w:pPr>
        <w:ind w:left="6480" w:hanging="360"/>
      </w:pPr>
      <w:rPr>
        <w:rFonts w:ascii="Wingdings" w:hAnsi="Wingding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ED821AC"/>
    <w:multiLevelType w:val="hybridMultilevel"/>
    <w:tmpl w:val="918AD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E814C2"/>
    <w:multiLevelType w:val="hybridMultilevel"/>
    <w:tmpl w:val="F6B2A4E0"/>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7" w15:restartNumberingAfterBreak="0">
    <w:nsid w:val="72A31662"/>
    <w:multiLevelType w:val="hybridMultilevel"/>
    <w:tmpl w:val="DB444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0"/>
  </w:num>
  <w:num w:numId="14">
    <w:abstractNumId w:val="12"/>
  </w:num>
  <w:num w:numId="15">
    <w:abstractNumId w:val="15"/>
  </w:num>
  <w:num w:numId="16">
    <w:abstractNumId w:val="11"/>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4420"/>
    <w:rsid w:val="0004044E"/>
    <w:rsid w:val="0005120E"/>
    <w:rsid w:val="00054577"/>
    <w:rsid w:val="000614BF"/>
    <w:rsid w:val="0007169C"/>
    <w:rsid w:val="00077593"/>
    <w:rsid w:val="00083F48"/>
    <w:rsid w:val="000A479A"/>
    <w:rsid w:val="000A7DF9"/>
    <w:rsid w:val="000C696D"/>
    <w:rsid w:val="000D05EF"/>
    <w:rsid w:val="000D3FB9"/>
    <w:rsid w:val="000D5485"/>
    <w:rsid w:val="000E598E"/>
    <w:rsid w:val="000E5A3D"/>
    <w:rsid w:val="000F0ADA"/>
    <w:rsid w:val="000F21C1"/>
    <w:rsid w:val="00104FF2"/>
    <w:rsid w:val="0010745C"/>
    <w:rsid w:val="001122FF"/>
    <w:rsid w:val="00116410"/>
    <w:rsid w:val="00160BD7"/>
    <w:rsid w:val="001643C9"/>
    <w:rsid w:val="00164901"/>
    <w:rsid w:val="00165568"/>
    <w:rsid w:val="00166082"/>
    <w:rsid w:val="00166C2F"/>
    <w:rsid w:val="001716C9"/>
    <w:rsid w:val="00184261"/>
    <w:rsid w:val="00193461"/>
    <w:rsid w:val="001939E1"/>
    <w:rsid w:val="0019452E"/>
    <w:rsid w:val="00195382"/>
    <w:rsid w:val="001A3B9F"/>
    <w:rsid w:val="001A5520"/>
    <w:rsid w:val="001A65C0"/>
    <w:rsid w:val="001B7A5D"/>
    <w:rsid w:val="001C6368"/>
    <w:rsid w:val="001C69C4"/>
    <w:rsid w:val="001D5493"/>
    <w:rsid w:val="001D6B30"/>
    <w:rsid w:val="001D75D3"/>
    <w:rsid w:val="001E0A8D"/>
    <w:rsid w:val="001E3590"/>
    <w:rsid w:val="001E51FE"/>
    <w:rsid w:val="001E7407"/>
    <w:rsid w:val="001F1A46"/>
    <w:rsid w:val="00201D27"/>
    <w:rsid w:val="0021153A"/>
    <w:rsid w:val="0021243D"/>
    <w:rsid w:val="0022229F"/>
    <w:rsid w:val="002245A6"/>
    <w:rsid w:val="002302EA"/>
    <w:rsid w:val="00237614"/>
    <w:rsid w:val="00240749"/>
    <w:rsid w:val="002468D7"/>
    <w:rsid w:val="00247E97"/>
    <w:rsid w:val="00255C57"/>
    <w:rsid w:val="00256C81"/>
    <w:rsid w:val="00264D64"/>
    <w:rsid w:val="00285CDD"/>
    <w:rsid w:val="00291167"/>
    <w:rsid w:val="0029489E"/>
    <w:rsid w:val="00297ECB"/>
    <w:rsid w:val="002A3EC7"/>
    <w:rsid w:val="002B1B7A"/>
    <w:rsid w:val="002C152A"/>
    <w:rsid w:val="002C71AE"/>
    <w:rsid w:val="002D043A"/>
    <w:rsid w:val="00310FDB"/>
    <w:rsid w:val="0031713F"/>
    <w:rsid w:val="003222D1"/>
    <w:rsid w:val="0032750F"/>
    <w:rsid w:val="00334584"/>
    <w:rsid w:val="003415D3"/>
    <w:rsid w:val="003442F6"/>
    <w:rsid w:val="00346335"/>
    <w:rsid w:val="00352B0F"/>
    <w:rsid w:val="003561B0"/>
    <w:rsid w:val="00364651"/>
    <w:rsid w:val="00397893"/>
    <w:rsid w:val="003A15AC"/>
    <w:rsid w:val="003B0627"/>
    <w:rsid w:val="003C5F2B"/>
    <w:rsid w:val="003C7D35"/>
    <w:rsid w:val="003D0BFE"/>
    <w:rsid w:val="003D5700"/>
    <w:rsid w:val="003F506B"/>
    <w:rsid w:val="003F6F52"/>
    <w:rsid w:val="004022CA"/>
    <w:rsid w:val="004116CD"/>
    <w:rsid w:val="00414ADE"/>
    <w:rsid w:val="00424CA9"/>
    <w:rsid w:val="004257BB"/>
    <w:rsid w:val="0044291A"/>
    <w:rsid w:val="00446921"/>
    <w:rsid w:val="004600B0"/>
    <w:rsid w:val="00460499"/>
    <w:rsid w:val="00460FBA"/>
    <w:rsid w:val="00474835"/>
    <w:rsid w:val="0047F17F"/>
    <w:rsid w:val="004819C7"/>
    <w:rsid w:val="0048364F"/>
    <w:rsid w:val="004877FC"/>
    <w:rsid w:val="00490F2E"/>
    <w:rsid w:val="00496F97"/>
    <w:rsid w:val="004A53EA"/>
    <w:rsid w:val="004B35E7"/>
    <w:rsid w:val="004B542B"/>
    <w:rsid w:val="004C5A5D"/>
    <w:rsid w:val="004E41D4"/>
    <w:rsid w:val="004F1FAC"/>
    <w:rsid w:val="004F676E"/>
    <w:rsid w:val="004F71C0"/>
    <w:rsid w:val="00500451"/>
    <w:rsid w:val="00506A01"/>
    <w:rsid w:val="00516B8D"/>
    <w:rsid w:val="00516D3D"/>
    <w:rsid w:val="0052756C"/>
    <w:rsid w:val="00530230"/>
    <w:rsid w:val="00530CC9"/>
    <w:rsid w:val="00531B46"/>
    <w:rsid w:val="00537FBC"/>
    <w:rsid w:val="00541D73"/>
    <w:rsid w:val="00543469"/>
    <w:rsid w:val="00546FA3"/>
    <w:rsid w:val="00557C7A"/>
    <w:rsid w:val="00561063"/>
    <w:rsid w:val="00562A58"/>
    <w:rsid w:val="0056541A"/>
    <w:rsid w:val="005803CD"/>
    <w:rsid w:val="00581211"/>
    <w:rsid w:val="00584811"/>
    <w:rsid w:val="00584DC0"/>
    <w:rsid w:val="00593AA6"/>
    <w:rsid w:val="00594161"/>
    <w:rsid w:val="00594749"/>
    <w:rsid w:val="00594956"/>
    <w:rsid w:val="005B1555"/>
    <w:rsid w:val="005B4067"/>
    <w:rsid w:val="005C1101"/>
    <w:rsid w:val="005C3F41"/>
    <w:rsid w:val="005C4EF0"/>
    <w:rsid w:val="005D1A20"/>
    <w:rsid w:val="005D5EA1"/>
    <w:rsid w:val="005E098C"/>
    <w:rsid w:val="005E1F8D"/>
    <w:rsid w:val="005E317F"/>
    <w:rsid w:val="005E61D3"/>
    <w:rsid w:val="00600219"/>
    <w:rsid w:val="006065DA"/>
    <w:rsid w:val="00606AA4"/>
    <w:rsid w:val="0061058B"/>
    <w:rsid w:val="00632C92"/>
    <w:rsid w:val="006376C5"/>
    <w:rsid w:val="00640402"/>
    <w:rsid w:val="00640F78"/>
    <w:rsid w:val="00655D6A"/>
    <w:rsid w:val="00656DE9"/>
    <w:rsid w:val="0065F071"/>
    <w:rsid w:val="00672876"/>
    <w:rsid w:val="00677CC2"/>
    <w:rsid w:val="00685F42"/>
    <w:rsid w:val="0069207B"/>
    <w:rsid w:val="00697CB2"/>
    <w:rsid w:val="006A297B"/>
    <w:rsid w:val="006A304E"/>
    <w:rsid w:val="006B7006"/>
    <w:rsid w:val="006C7F8C"/>
    <w:rsid w:val="006D7AB9"/>
    <w:rsid w:val="00700B2C"/>
    <w:rsid w:val="0070196E"/>
    <w:rsid w:val="0071022D"/>
    <w:rsid w:val="00713084"/>
    <w:rsid w:val="00717463"/>
    <w:rsid w:val="00720FC2"/>
    <w:rsid w:val="00722E89"/>
    <w:rsid w:val="00731E00"/>
    <w:rsid w:val="007339C7"/>
    <w:rsid w:val="007440B7"/>
    <w:rsid w:val="00747993"/>
    <w:rsid w:val="007634AD"/>
    <w:rsid w:val="007715C9"/>
    <w:rsid w:val="00774EDD"/>
    <w:rsid w:val="007757EC"/>
    <w:rsid w:val="007952E9"/>
    <w:rsid w:val="007A6863"/>
    <w:rsid w:val="007B7A5C"/>
    <w:rsid w:val="007B7E65"/>
    <w:rsid w:val="007C78B4"/>
    <w:rsid w:val="007E0853"/>
    <w:rsid w:val="007E32B6"/>
    <w:rsid w:val="007E3976"/>
    <w:rsid w:val="007E486B"/>
    <w:rsid w:val="007E7D4A"/>
    <w:rsid w:val="007F48ED"/>
    <w:rsid w:val="007F5E3F"/>
    <w:rsid w:val="00812F45"/>
    <w:rsid w:val="00836FE9"/>
    <w:rsid w:val="0084172C"/>
    <w:rsid w:val="008417DF"/>
    <w:rsid w:val="0085175E"/>
    <w:rsid w:val="00856A31"/>
    <w:rsid w:val="00864A66"/>
    <w:rsid w:val="00872331"/>
    <w:rsid w:val="008754D0"/>
    <w:rsid w:val="00877C69"/>
    <w:rsid w:val="00877D48"/>
    <w:rsid w:val="0088345B"/>
    <w:rsid w:val="008A16A5"/>
    <w:rsid w:val="008A5C57"/>
    <w:rsid w:val="008C0629"/>
    <w:rsid w:val="008D0EE0"/>
    <w:rsid w:val="008D7A27"/>
    <w:rsid w:val="008E4702"/>
    <w:rsid w:val="008E4A9F"/>
    <w:rsid w:val="008E69AA"/>
    <w:rsid w:val="008F4F1C"/>
    <w:rsid w:val="009069AD"/>
    <w:rsid w:val="00910E64"/>
    <w:rsid w:val="00922764"/>
    <w:rsid w:val="0092428A"/>
    <w:rsid w:val="009278C1"/>
    <w:rsid w:val="00932377"/>
    <w:rsid w:val="009346E3"/>
    <w:rsid w:val="0094523D"/>
    <w:rsid w:val="00976A63"/>
    <w:rsid w:val="00991733"/>
    <w:rsid w:val="009A6866"/>
    <w:rsid w:val="009B1754"/>
    <w:rsid w:val="009B2490"/>
    <w:rsid w:val="009B37B7"/>
    <w:rsid w:val="009B50E5"/>
    <w:rsid w:val="009C3431"/>
    <w:rsid w:val="009C5989"/>
    <w:rsid w:val="009C6A32"/>
    <w:rsid w:val="009D08DA"/>
    <w:rsid w:val="009F1229"/>
    <w:rsid w:val="00A003BB"/>
    <w:rsid w:val="00A06860"/>
    <w:rsid w:val="00A07DDE"/>
    <w:rsid w:val="00A136F5"/>
    <w:rsid w:val="00A231E2"/>
    <w:rsid w:val="00A2550D"/>
    <w:rsid w:val="00A379BB"/>
    <w:rsid w:val="00A4169B"/>
    <w:rsid w:val="00A47CBF"/>
    <w:rsid w:val="00A50D55"/>
    <w:rsid w:val="00A52FDA"/>
    <w:rsid w:val="00A575F1"/>
    <w:rsid w:val="00A6282F"/>
    <w:rsid w:val="00A64912"/>
    <w:rsid w:val="00A70A74"/>
    <w:rsid w:val="00A9231A"/>
    <w:rsid w:val="00A93CFA"/>
    <w:rsid w:val="00A95BC7"/>
    <w:rsid w:val="00AA0343"/>
    <w:rsid w:val="00AA78CE"/>
    <w:rsid w:val="00AA7B26"/>
    <w:rsid w:val="00AC767C"/>
    <w:rsid w:val="00AD3467"/>
    <w:rsid w:val="00AD5641"/>
    <w:rsid w:val="00AF33DB"/>
    <w:rsid w:val="00AF6E41"/>
    <w:rsid w:val="00B02AB4"/>
    <w:rsid w:val="00B032D8"/>
    <w:rsid w:val="00B039C8"/>
    <w:rsid w:val="00B05D72"/>
    <w:rsid w:val="00B14FC5"/>
    <w:rsid w:val="00B16FD5"/>
    <w:rsid w:val="00B20990"/>
    <w:rsid w:val="00B23FAF"/>
    <w:rsid w:val="00B33B3C"/>
    <w:rsid w:val="00B40D74"/>
    <w:rsid w:val="00B42649"/>
    <w:rsid w:val="00B46467"/>
    <w:rsid w:val="00B52663"/>
    <w:rsid w:val="00B56DCB"/>
    <w:rsid w:val="00B61728"/>
    <w:rsid w:val="00B770D2"/>
    <w:rsid w:val="00B93516"/>
    <w:rsid w:val="00B96776"/>
    <w:rsid w:val="00B973E5"/>
    <w:rsid w:val="00BA0F45"/>
    <w:rsid w:val="00BA47A3"/>
    <w:rsid w:val="00BA5026"/>
    <w:rsid w:val="00BA7B5B"/>
    <w:rsid w:val="00BB6E79"/>
    <w:rsid w:val="00BC00AA"/>
    <w:rsid w:val="00BD4C4B"/>
    <w:rsid w:val="00BE42C5"/>
    <w:rsid w:val="00BE719A"/>
    <w:rsid w:val="00BE720A"/>
    <w:rsid w:val="00BF0723"/>
    <w:rsid w:val="00BF6650"/>
    <w:rsid w:val="00C067E5"/>
    <w:rsid w:val="00C164CA"/>
    <w:rsid w:val="00C22CB7"/>
    <w:rsid w:val="00C26051"/>
    <w:rsid w:val="00C42BF8"/>
    <w:rsid w:val="00C460AE"/>
    <w:rsid w:val="00C50043"/>
    <w:rsid w:val="00C5015F"/>
    <w:rsid w:val="00C50A0F"/>
    <w:rsid w:val="00C50F4A"/>
    <w:rsid w:val="00C72D10"/>
    <w:rsid w:val="00C7573B"/>
    <w:rsid w:val="00C76CF3"/>
    <w:rsid w:val="00C93205"/>
    <w:rsid w:val="00C945DC"/>
    <w:rsid w:val="00CA7844"/>
    <w:rsid w:val="00CB5822"/>
    <w:rsid w:val="00CB58EF"/>
    <w:rsid w:val="00CC3872"/>
    <w:rsid w:val="00CE0A93"/>
    <w:rsid w:val="00CF0BB2"/>
    <w:rsid w:val="00CF72FE"/>
    <w:rsid w:val="00D12B0D"/>
    <w:rsid w:val="00D13441"/>
    <w:rsid w:val="00D15A4D"/>
    <w:rsid w:val="00D243A3"/>
    <w:rsid w:val="00D2C0AE"/>
    <w:rsid w:val="00D307CD"/>
    <w:rsid w:val="00D33440"/>
    <w:rsid w:val="00D52EFE"/>
    <w:rsid w:val="00D55AEE"/>
    <w:rsid w:val="00D567A2"/>
    <w:rsid w:val="00D56A0D"/>
    <w:rsid w:val="00D63EF6"/>
    <w:rsid w:val="00D66518"/>
    <w:rsid w:val="00D70DFB"/>
    <w:rsid w:val="00D71EEA"/>
    <w:rsid w:val="00D735CD"/>
    <w:rsid w:val="00D766DF"/>
    <w:rsid w:val="00D84477"/>
    <w:rsid w:val="00D90841"/>
    <w:rsid w:val="00D94896"/>
    <w:rsid w:val="00D954D8"/>
    <w:rsid w:val="00DA2439"/>
    <w:rsid w:val="00DA6F05"/>
    <w:rsid w:val="00DB3BDF"/>
    <w:rsid w:val="00DB64FC"/>
    <w:rsid w:val="00DE149E"/>
    <w:rsid w:val="00E034DB"/>
    <w:rsid w:val="00E05704"/>
    <w:rsid w:val="00E058F7"/>
    <w:rsid w:val="00E104D0"/>
    <w:rsid w:val="00E12F1A"/>
    <w:rsid w:val="00E22935"/>
    <w:rsid w:val="00E232C6"/>
    <w:rsid w:val="00E54292"/>
    <w:rsid w:val="00E54D2B"/>
    <w:rsid w:val="00E60191"/>
    <w:rsid w:val="00E74DC7"/>
    <w:rsid w:val="00E86DED"/>
    <w:rsid w:val="00E87699"/>
    <w:rsid w:val="00E92E27"/>
    <w:rsid w:val="00E9586B"/>
    <w:rsid w:val="00E97334"/>
    <w:rsid w:val="00EB3A99"/>
    <w:rsid w:val="00EB65F8"/>
    <w:rsid w:val="00EC45EE"/>
    <w:rsid w:val="00ED4928"/>
    <w:rsid w:val="00EE3FFE"/>
    <w:rsid w:val="00EE57E8"/>
    <w:rsid w:val="00EE6190"/>
    <w:rsid w:val="00EF2E3A"/>
    <w:rsid w:val="00EF6402"/>
    <w:rsid w:val="00F047E2"/>
    <w:rsid w:val="00F04D57"/>
    <w:rsid w:val="00F078DC"/>
    <w:rsid w:val="00F13E86"/>
    <w:rsid w:val="00F20B52"/>
    <w:rsid w:val="00F32FCB"/>
    <w:rsid w:val="00F33523"/>
    <w:rsid w:val="00F64113"/>
    <w:rsid w:val="00F677A9"/>
    <w:rsid w:val="00F8121C"/>
    <w:rsid w:val="00F84CF5"/>
    <w:rsid w:val="00F8612E"/>
    <w:rsid w:val="00F94583"/>
    <w:rsid w:val="00FA083A"/>
    <w:rsid w:val="00FA420B"/>
    <w:rsid w:val="00FB6AEE"/>
    <w:rsid w:val="00FC3EAC"/>
    <w:rsid w:val="00FC4816"/>
    <w:rsid w:val="00FE4866"/>
    <w:rsid w:val="00FF39DE"/>
    <w:rsid w:val="0320D577"/>
    <w:rsid w:val="0843250C"/>
    <w:rsid w:val="08EE8A5E"/>
    <w:rsid w:val="0AD35F34"/>
    <w:rsid w:val="0C9402A6"/>
    <w:rsid w:val="0CB5574D"/>
    <w:rsid w:val="0D27BA7F"/>
    <w:rsid w:val="0D6F7AC6"/>
    <w:rsid w:val="0D95B56E"/>
    <w:rsid w:val="0E5C19F1"/>
    <w:rsid w:val="108A163C"/>
    <w:rsid w:val="15298D15"/>
    <w:rsid w:val="172F9A9F"/>
    <w:rsid w:val="1B0964A5"/>
    <w:rsid w:val="22137137"/>
    <w:rsid w:val="22880382"/>
    <w:rsid w:val="23EB56B5"/>
    <w:rsid w:val="27F0151E"/>
    <w:rsid w:val="2B2F8AD9"/>
    <w:rsid w:val="2C907EEF"/>
    <w:rsid w:val="2D0B7973"/>
    <w:rsid w:val="33CDB993"/>
    <w:rsid w:val="3A33A29D"/>
    <w:rsid w:val="3ACB7A44"/>
    <w:rsid w:val="3BD8D562"/>
    <w:rsid w:val="4347BC0F"/>
    <w:rsid w:val="4359DAB8"/>
    <w:rsid w:val="4680683C"/>
    <w:rsid w:val="4873A65B"/>
    <w:rsid w:val="4A17E427"/>
    <w:rsid w:val="4D640919"/>
    <w:rsid w:val="52C17429"/>
    <w:rsid w:val="558CCB3F"/>
    <w:rsid w:val="56D5EDDA"/>
    <w:rsid w:val="583989E1"/>
    <w:rsid w:val="584F468D"/>
    <w:rsid w:val="59857992"/>
    <w:rsid w:val="5D043B14"/>
    <w:rsid w:val="5D7A9957"/>
    <w:rsid w:val="5DFA6F94"/>
    <w:rsid w:val="6076BAC0"/>
    <w:rsid w:val="611BDDCF"/>
    <w:rsid w:val="61C1B020"/>
    <w:rsid w:val="62AC1358"/>
    <w:rsid w:val="656F631E"/>
    <w:rsid w:val="68CB4BAD"/>
    <w:rsid w:val="6957D905"/>
    <w:rsid w:val="6ADA6BF2"/>
    <w:rsid w:val="6F333F8E"/>
    <w:rsid w:val="714F0E0D"/>
    <w:rsid w:val="77965CB0"/>
    <w:rsid w:val="7935D91D"/>
    <w:rsid w:val="7B501558"/>
    <w:rsid w:val="7E7B960A"/>
    <w:rsid w:val="7FCC0F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4"/>
      </w:numPr>
      <w:spacing w:before="240" w:line="240" w:lineRule="auto"/>
    </w:pPr>
    <w:rPr>
      <w:sz w:val="24"/>
    </w:rPr>
  </w:style>
  <w:style w:type="paragraph" w:customStyle="1" w:styleId="BodyPara">
    <w:name w:val="BodyPara"/>
    <w:aliases w:val="ba"/>
    <w:basedOn w:val="OPCParaBase"/>
    <w:rsid w:val="006065DA"/>
    <w:pPr>
      <w:numPr>
        <w:ilvl w:val="1"/>
        <w:numId w:val="14"/>
      </w:numPr>
      <w:spacing w:before="240" w:line="240" w:lineRule="auto"/>
    </w:pPr>
    <w:rPr>
      <w:sz w:val="24"/>
    </w:rPr>
  </w:style>
  <w:style w:type="numbering" w:customStyle="1" w:styleId="OPCBodyList">
    <w:name w:val="OPCBodyList"/>
    <w:uiPriority w:val="99"/>
    <w:rsid w:val="006065DA"/>
    <w:pPr>
      <w:numPr>
        <w:numId w:val="14"/>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customStyle="1" w:styleId="sectiontext0">
    <w:name w:val="sectiontext"/>
    <w:basedOn w:val="Normal"/>
    <w:rsid w:val="00BD4C4B"/>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BD4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36679">
      <w:bodyDiv w:val="1"/>
      <w:marLeft w:val="0"/>
      <w:marRight w:val="0"/>
      <w:marTop w:val="0"/>
      <w:marBottom w:val="0"/>
      <w:divBdr>
        <w:top w:val="none" w:sz="0" w:space="0" w:color="auto"/>
        <w:left w:val="none" w:sz="0" w:space="0" w:color="auto"/>
        <w:bottom w:val="none" w:sz="0" w:space="0" w:color="auto"/>
        <w:right w:val="none" w:sz="0" w:space="0" w:color="auto"/>
      </w:divBdr>
    </w:div>
    <w:div w:id="1305740530">
      <w:bodyDiv w:val="1"/>
      <w:marLeft w:val="0"/>
      <w:marRight w:val="0"/>
      <w:marTop w:val="0"/>
      <w:marBottom w:val="0"/>
      <w:divBdr>
        <w:top w:val="none" w:sz="0" w:space="0" w:color="auto"/>
        <w:left w:val="none" w:sz="0" w:space="0" w:color="auto"/>
        <w:bottom w:val="none" w:sz="0" w:space="0" w:color="auto"/>
        <w:right w:val="none" w:sz="0" w:space="0" w:color="auto"/>
      </w:divBdr>
    </w:div>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0650B1"/>
    <w:rsid w:val="000650B1"/>
    <w:rsid w:val="004C4A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0" ma:contentTypeDescription="Create a new document." ma:contentTypeScope="" ma:versionID="7c3e336eb64f564d3225bd652e627a12">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1bd166b7673ef8ede995b538ca3611ac"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57C10-ADF1-47D6-8D27-73A88C0F0E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4ADCB5-AA08-478F-BAB5-BCAEB8442BC0}">
  <ds:schemaRefs>
    <ds:schemaRef ds:uri="http://schemas.microsoft.com/sharepoint/v3/contenttype/forms"/>
  </ds:schemaRefs>
</ds:datastoreItem>
</file>

<file path=customXml/itemProps3.xml><?xml version="1.0" encoding="utf-8"?>
<ds:datastoreItem xmlns:ds="http://schemas.openxmlformats.org/officeDocument/2006/customXml" ds:itemID="{68C655BF-57A4-49CF-B9F5-2FA6D6E6F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DF1A07-2A4F-4A79-A508-29A792E5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Template>
  <TotalTime>1</TotalTime>
  <Pages>4</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Urbani, Karen MS</cp:lastModifiedBy>
  <cp:revision>2</cp:revision>
  <cp:lastPrinted>2020-04-05T22:53:00Z</cp:lastPrinted>
  <dcterms:created xsi:type="dcterms:W3CDTF">2020-04-08T03:48:00Z</dcterms:created>
  <dcterms:modified xsi:type="dcterms:W3CDTF">2020-04-08T03:48:00Z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BN14770336</vt:lpwstr>
  </property>
  <property fmtid="{D5CDD505-2E9C-101B-9397-08002B2CF9AE}" pid="4" name="Objective-Title">
    <vt:lpwstr>covid v3 ES</vt:lpwstr>
  </property>
  <property fmtid="{D5CDD505-2E9C-101B-9397-08002B2CF9AE}" pid="5" name="Objective-Comment">
    <vt:lpwstr/>
  </property>
  <property fmtid="{D5CDD505-2E9C-101B-9397-08002B2CF9AE}" pid="6" name="Objective-CreationStamp">
    <vt:filetime>2020-03-22T23:18:17Z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2020-03-23T01:54:14Z</vt:filetime>
  </property>
  <property fmtid="{D5CDD505-2E9C-101B-9397-08002B2CF9AE}" pid="11" name="Objective-Owner">
    <vt:lpwstr>Urbani, Karen Ms</vt:lpwstr>
  </property>
  <property fmtid="{D5CDD505-2E9C-101B-9397-08002B2CF9AE}" pid="12" name="Objective-Path">
    <vt:lpwstr>Objective Global Folder - PROD:Defence Business Units:Chief Operating Officer Group:Defence People Group:People Policy &amp; Culture:PPEC : Personnel Policy and Employment Conditions:20 - Directorates:20 Engagement, Priorities and Drafting:02. Legislative Dra</vt:lpwstr>
  </property>
  <property fmtid="{D5CDD505-2E9C-101B-9397-08002B2CF9AE}" pid="13" name="Objective-Parent">
    <vt:lpwstr>02. Determination</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i4>3</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ies>
</file>