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0DE4" w14:textId="77777777" w:rsidR="001F2A16" w:rsidRPr="007E0A01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bookmarkStart w:id="0" w:name="FDocName"/>
      <w:r w:rsidRPr="007E0A01">
        <w:rPr>
          <w:rFonts w:ascii="Arial" w:hAnsi="Arial" w:cs="Arial"/>
          <w:sz w:val="34"/>
          <w:szCs w:val="34"/>
        </w:rPr>
        <w:t>Explanatory Statement</w:t>
      </w:r>
    </w:p>
    <w:p w14:paraId="6E4F0DE5" w14:textId="77777777" w:rsidR="001F2A16" w:rsidRPr="007E0A01" w:rsidRDefault="001F2A16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6E4F0DE6" w14:textId="14B5C725" w:rsidR="0099555F" w:rsidRPr="007E0A01" w:rsidRDefault="00E52DDB" w:rsidP="00AF4CAF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Income Tax (Effective Life of Depreciating Assets) Amendment Determination 20</w:t>
      </w:r>
      <w:r w:rsidR="006065AE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 xml:space="preserve"> </w:t>
      </w:r>
    </w:p>
    <w:p w14:paraId="6E4F0DE7" w14:textId="77777777" w:rsidR="0099555F" w:rsidRDefault="0099555F" w:rsidP="0099555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Cs w:val="24"/>
        </w:rPr>
      </w:pPr>
    </w:p>
    <w:p w14:paraId="6E4F0DE9" w14:textId="77777777" w:rsidR="00486653" w:rsidRPr="007E0A01" w:rsidRDefault="00486653" w:rsidP="007C5C8E">
      <w:pPr>
        <w:pStyle w:val="Heading2"/>
        <w:spacing w:after="0"/>
        <w:rPr>
          <w:rFonts w:cs="Arial"/>
          <w:sz w:val="24"/>
          <w:szCs w:val="24"/>
        </w:rPr>
      </w:pPr>
      <w:bookmarkStart w:id="1" w:name="EDisclaimer"/>
      <w:bookmarkStart w:id="2" w:name="HBody"/>
      <w:bookmarkStart w:id="3" w:name="LReferences"/>
      <w:bookmarkStart w:id="4" w:name="NRulingRef"/>
      <w:bookmarkStart w:id="5" w:name="OSubjectRef"/>
      <w:bookmarkStart w:id="6" w:name="PLegrefText"/>
      <w:bookmarkStart w:id="7" w:name="QLegref"/>
      <w:bookmarkStart w:id="8" w:name="RCaseRefText"/>
      <w:bookmarkStart w:id="9" w:name="SCaseRef"/>
      <w:bookmarkStart w:id="10" w:name="VISSN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E0A01">
        <w:rPr>
          <w:rFonts w:cs="Arial"/>
          <w:sz w:val="24"/>
          <w:szCs w:val="24"/>
        </w:rPr>
        <w:t>General Outline of Instrument</w:t>
      </w:r>
    </w:p>
    <w:p w14:paraId="6E4F0DEA" w14:textId="77777777" w:rsidR="00486653" w:rsidRPr="007E0A01" w:rsidRDefault="00486653" w:rsidP="007C5C8E">
      <w:pPr>
        <w:rPr>
          <w:rFonts w:ascii="Arial" w:hAnsi="Arial" w:cs="Arial"/>
        </w:rPr>
      </w:pPr>
    </w:p>
    <w:p w14:paraId="09B59923" w14:textId="1D824E3F" w:rsidR="0016784F" w:rsidRPr="00561107" w:rsidRDefault="00486653" w:rsidP="004F3DA4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bookmarkStart w:id="11" w:name="IComments"/>
      <w:r w:rsidRPr="007E0A01">
        <w:rPr>
          <w:rFonts w:ascii="Arial" w:hAnsi="Arial" w:cs="Arial"/>
          <w:sz w:val="22"/>
          <w:szCs w:val="22"/>
        </w:rPr>
        <w:t>Th</w:t>
      </w:r>
      <w:r w:rsidR="00E52DDB">
        <w:rPr>
          <w:rFonts w:ascii="Arial" w:hAnsi="Arial" w:cs="Arial"/>
          <w:sz w:val="22"/>
          <w:szCs w:val="22"/>
        </w:rPr>
        <w:t xml:space="preserve">e authority for making an effective life determination is provided by subsection 40-100(1) of the </w:t>
      </w:r>
      <w:r w:rsidR="00E52DDB">
        <w:rPr>
          <w:rFonts w:ascii="Arial" w:hAnsi="Arial" w:cs="Arial"/>
          <w:i/>
          <w:sz w:val="22"/>
          <w:szCs w:val="22"/>
        </w:rPr>
        <w:t>Income Tax Assessment Act 1997</w:t>
      </w:r>
      <w:r w:rsidR="00E52DDB">
        <w:rPr>
          <w:rFonts w:ascii="Arial" w:hAnsi="Arial" w:cs="Arial"/>
          <w:sz w:val="22"/>
          <w:szCs w:val="22"/>
        </w:rPr>
        <w:t xml:space="preserve"> (ITAA 1997)</w:t>
      </w:r>
      <w:r w:rsidR="00E52DDB">
        <w:rPr>
          <w:rFonts w:ascii="Arial" w:hAnsi="Arial" w:cs="Arial"/>
          <w:i/>
          <w:sz w:val="22"/>
          <w:szCs w:val="22"/>
        </w:rPr>
        <w:t>.</w:t>
      </w:r>
      <w:r w:rsidRPr="007E0A01">
        <w:rPr>
          <w:rFonts w:ascii="Arial" w:hAnsi="Arial" w:cs="Arial"/>
          <w:sz w:val="22"/>
          <w:szCs w:val="22"/>
        </w:rPr>
        <w:t xml:space="preserve"> </w:t>
      </w:r>
    </w:p>
    <w:p w14:paraId="358BC16E" w14:textId="77777777" w:rsidR="00E52DDB" w:rsidRPr="007E0A01" w:rsidRDefault="00E52DDB" w:rsidP="004F3DA4">
      <w:pPr>
        <w:rPr>
          <w:rFonts w:ascii="Arial" w:hAnsi="Arial" w:cs="Arial"/>
          <w:sz w:val="22"/>
          <w:szCs w:val="22"/>
        </w:rPr>
      </w:pPr>
    </w:p>
    <w:p w14:paraId="6E4F0DF3" w14:textId="5E7C2A43" w:rsidR="008C66CC" w:rsidRDefault="00E52DDB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</w:t>
      </w:r>
      <w:r w:rsidRPr="003E2540">
        <w:rPr>
          <w:rFonts w:ascii="Arial" w:hAnsi="Arial" w:cs="Arial"/>
          <w:sz w:val="22"/>
          <w:szCs w:val="22"/>
        </w:rPr>
        <w:t xml:space="preserve">legislative instrument for the purposes of the </w:t>
      </w:r>
      <w:r w:rsidRPr="003E2540">
        <w:rPr>
          <w:rFonts w:ascii="Arial" w:hAnsi="Arial" w:cs="Arial"/>
          <w:i/>
          <w:sz w:val="22"/>
          <w:szCs w:val="22"/>
        </w:rPr>
        <w:t>Legislation Act 2003</w:t>
      </w:r>
      <w:r w:rsidRPr="003E2540">
        <w:rPr>
          <w:rFonts w:ascii="Arial" w:hAnsi="Arial" w:cs="Arial"/>
          <w:sz w:val="22"/>
          <w:szCs w:val="22"/>
        </w:rPr>
        <w:t>.</w:t>
      </w:r>
      <w:r w:rsidR="0016784F">
        <w:rPr>
          <w:rFonts w:ascii="Arial" w:hAnsi="Arial" w:cs="Arial"/>
          <w:sz w:val="22"/>
          <w:szCs w:val="22"/>
        </w:rPr>
        <w:t xml:space="preserve"> </w:t>
      </w:r>
    </w:p>
    <w:p w14:paraId="38181B60" w14:textId="77777777" w:rsidR="00561107" w:rsidRDefault="00561107" w:rsidP="004F3DA4">
      <w:pPr>
        <w:ind w:left="357"/>
        <w:rPr>
          <w:rFonts w:ascii="Arial" w:hAnsi="Arial" w:cs="Arial"/>
          <w:sz w:val="22"/>
          <w:szCs w:val="22"/>
        </w:rPr>
      </w:pPr>
    </w:p>
    <w:p w14:paraId="61958686" w14:textId="35F2A105" w:rsidR="00561107" w:rsidRPr="00561107" w:rsidRDefault="00561107" w:rsidP="00561107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 w:rsidRPr="009929D6">
        <w:rPr>
          <w:rFonts w:ascii="Arial" w:hAnsi="Arial" w:cs="Arial"/>
          <w:sz w:val="22"/>
          <w:szCs w:val="22"/>
        </w:rPr>
        <w:t xml:space="preserve">This instrument corrects the previous </w:t>
      </w:r>
      <w:r>
        <w:rPr>
          <w:rFonts w:ascii="Arial" w:hAnsi="Arial" w:cs="Arial"/>
          <w:sz w:val="22"/>
          <w:szCs w:val="22"/>
        </w:rPr>
        <w:t xml:space="preserve">legislative </w:t>
      </w:r>
      <w:r w:rsidRPr="009929D6">
        <w:rPr>
          <w:rFonts w:ascii="Arial" w:hAnsi="Arial" w:cs="Arial"/>
          <w:sz w:val="22"/>
          <w:szCs w:val="22"/>
        </w:rPr>
        <w:t>instrument</w:t>
      </w:r>
      <w:r>
        <w:rPr>
          <w:rFonts w:ascii="Arial" w:hAnsi="Arial" w:cs="Arial"/>
          <w:sz w:val="22"/>
          <w:szCs w:val="22"/>
        </w:rPr>
        <w:t xml:space="preserve">, FRL number, </w:t>
      </w:r>
      <w:r w:rsidRPr="00FE318E">
        <w:rPr>
          <w:rFonts w:ascii="Arial" w:hAnsi="Arial" w:cs="Arial"/>
          <w:sz w:val="22"/>
          <w:szCs w:val="22"/>
        </w:rPr>
        <w:t xml:space="preserve">F2019L00833, </w:t>
      </w:r>
      <w:r w:rsidRPr="00413E6D">
        <w:rPr>
          <w:rFonts w:ascii="Arial" w:hAnsi="Arial" w:cs="Arial"/>
          <w:i/>
          <w:sz w:val="22"/>
          <w:szCs w:val="22"/>
        </w:rPr>
        <w:t>Income Tax (Effective Life of Depreciating Assets) Amendment Determination 2019 (No 1)</w:t>
      </w:r>
      <w:r>
        <w:rPr>
          <w:rFonts w:ascii="Arial" w:hAnsi="Arial" w:cs="Arial"/>
          <w:sz w:val="22"/>
          <w:szCs w:val="22"/>
        </w:rPr>
        <w:t>, registered 17 June 2019 (the previous instrument)</w:t>
      </w:r>
      <w:r w:rsidRPr="009929D6">
        <w:rPr>
          <w:rFonts w:ascii="Arial" w:hAnsi="Arial" w:cs="Arial"/>
          <w:sz w:val="22"/>
          <w:szCs w:val="22"/>
        </w:rPr>
        <w:t>.</w:t>
      </w:r>
    </w:p>
    <w:p w14:paraId="539C7EB1" w14:textId="77777777" w:rsidR="00263E1B" w:rsidRDefault="00263E1B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4547A93A" w14:textId="22FDC690" w:rsidR="00E52DDB" w:rsidRPr="00E52DDB" w:rsidRDefault="00E52DDB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  <w:r w:rsidRPr="00E52DDB">
        <w:rPr>
          <w:rFonts w:ascii="Arial" w:hAnsi="Arial" w:cs="Arial"/>
        </w:rPr>
        <w:t xml:space="preserve">Under </w:t>
      </w:r>
      <w:r w:rsidRPr="00E52DDB">
        <w:rPr>
          <w:rFonts w:ascii="Arial" w:eastAsia="Times New Roman" w:hAnsi="Arial" w:cs="Arial"/>
          <w:lang w:eastAsia="en-AU"/>
        </w:rPr>
        <w:t xml:space="preserve">subsection 33(3) of the </w:t>
      </w:r>
      <w:r w:rsidRPr="00413E6D">
        <w:rPr>
          <w:rFonts w:ascii="Arial" w:eastAsia="Times New Roman" w:hAnsi="Arial" w:cs="Arial"/>
          <w:i/>
          <w:lang w:eastAsia="en-AU"/>
        </w:rPr>
        <w:t>Acts Interpretation Act 1901</w:t>
      </w:r>
      <w:r w:rsidRPr="00E52DDB">
        <w:rPr>
          <w:rFonts w:ascii="Arial" w:eastAsia="Times New Roman" w:hAnsi="Arial" w:cs="Arial"/>
          <w:lang w:eastAsia="en-AU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>
        <w:rPr>
          <w:rFonts w:ascii="Arial" w:eastAsia="Times New Roman" w:hAnsi="Arial" w:cs="Arial"/>
          <w:lang w:eastAsia="en-AU"/>
        </w:rPr>
        <w:t>.</w:t>
      </w:r>
    </w:p>
    <w:p w14:paraId="6E4F0DF5" w14:textId="77777777" w:rsidR="00486653" w:rsidRDefault="00486653" w:rsidP="007C5C8E">
      <w:pPr>
        <w:rPr>
          <w:rFonts w:ascii="Arial" w:hAnsi="Arial" w:cs="Arial"/>
          <w:sz w:val="22"/>
          <w:szCs w:val="22"/>
        </w:rPr>
      </w:pPr>
    </w:p>
    <w:p w14:paraId="43DAF9B3" w14:textId="77777777" w:rsidR="000D4F6F" w:rsidRPr="007E0A01" w:rsidRDefault="000D4F6F" w:rsidP="007C5C8E">
      <w:pPr>
        <w:rPr>
          <w:rFonts w:ascii="Arial" w:hAnsi="Arial" w:cs="Arial"/>
          <w:sz w:val="22"/>
          <w:szCs w:val="22"/>
        </w:rPr>
      </w:pPr>
    </w:p>
    <w:bookmarkEnd w:id="11"/>
    <w:p w14:paraId="6E4F0DF6" w14:textId="77777777" w:rsidR="00486653" w:rsidRPr="007E0A01" w:rsidRDefault="00486653" w:rsidP="00413E6D">
      <w:pPr>
        <w:pStyle w:val="Heading2"/>
        <w:spacing w:before="120"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Date of effect</w:t>
      </w:r>
    </w:p>
    <w:p w14:paraId="6E4F0DF7" w14:textId="77777777" w:rsidR="00486653" w:rsidRPr="007E0A01" w:rsidRDefault="00486653" w:rsidP="007C5C8E">
      <w:pPr>
        <w:ind w:left="771"/>
        <w:rPr>
          <w:rFonts w:ascii="Arial" w:hAnsi="Arial" w:cs="Arial"/>
          <w:sz w:val="22"/>
          <w:szCs w:val="22"/>
        </w:rPr>
      </w:pPr>
    </w:p>
    <w:p w14:paraId="157DA7CF" w14:textId="7AB8880D" w:rsidR="00B116D2" w:rsidRPr="00413E6D" w:rsidRDefault="00380CC4" w:rsidP="00B135AF">
      <w:pPr>
        <w:numPr>
          <w:ilvl w:val="0"/>
          <w:numId w:val="16"/>
        </w:numPr>
        <w:tabs>
          <w:tab w:val="clear" w:pos="107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t xml:space="preserve">The instrument </w:t>
      </w:r>
      <w:r w:rsidR="00F37BBB" w:rsidRPr="007E0A01">
        <w:rPr>
          <w:rFonts w:ascii="Arial" w:hAnsi="Arial" w:cs="Arial"/>
          <w:sz w:val="22"/>
          <w:szCs w:val="22"/>
        </w:rPr>
        <w:t>commence</w:t>
      </w:r>
      <w:r w:rsidR="00F37BBB">
        <w:rPr>
          <w:rFonts w:ascii="Arial" w:hAnsi="Arial" w:cs="Arial"/>
          <w:sz w:val="22"/>
          <w:szCs w:val="22"/>
        </w:rPr>
        <w:t>s</w:t>
      </w:r>
      <w:r w:rsidR="00F37BBB" w:rsidRPr="007E0A01">
        <w:rPr>
          <w:rFonts w:ascii="Arial" w:hAnsi="Arial" w:cs="Arial"/>
          <w:sz w:val="22"/>
          <w:szCs w:val="22"/>
        </w:rPr>
        <w:t xml:space="preserve"> </w:t>
      </w:r>
      <w:r w:rsidR="00E52DDB" w:rsidRPr="000761BD">
        <w:rPr>
          <w:rFonts w:ascii="Arial" w:hAnsi="Arial" w:cs="Arial"/>
          <w:sz w:val="22"/>
          <w:szCs w:val="22"/>
        </w:rPr>
        <w:t>on</w:t>
      </w:r>
      <w:r w:rsidR="00FE318E">
        <w:rPr>
          <w:rFonts w:ascii="Arial" w:hAnsi="Arial" w:cs="Arial"/>
          <w:sz w:val="22"/>
          <w:szCs w:val="22"/>
        </w:rPr>
        <w:t xml:space="preserve"> 1 July 2019. </w:t>
      </w:r>
    </w:p>
    <w:p w14:paraId="33D5F1D3" w14:textId="77777777" w:rsidR="00B116D2" w:rsidRPr="00413E6D" w:rsidRDefault="00B116D2" w:rsidP="00B135AF">
      <w:pPr>
        <w:ind w:left="10"/>
        <w:rPr>
          <w:rFonts w:ascii="Arial" w:hAnsi="Arial" w:cs="Arial"/>
          <w:color w:val="000000"/>
          <w:sz w:val="22"/>
          <w:szCs w:val="22"/>
        </w:rPr>
      </w:pPr>
    </w:p>
    <w:p w14:paraId="36599B77" w14:textId="16BB3AB3" w:rsidR="00FE318E" w:rsidRPr="00413E6D" w:rsidRDefault="00FE318E" w:rsidP="00B135AF">
      <w:pPr>
        <w:numPr>
          <w:ilvl w:val="0"/>
          <w:numId w:val="16"/>
        </w:numPr>
        <w:tabs>
          <w:tab w:val="clear" w:pos="1070"/>
          <w:tab w:val="num" w:pos="360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retrospective commencement date is necessary to </w:t>
      </w:r>
      <w:r w:rsidR="00170874">
        <w:rPr>
          <w:rFonts w:ascii="Arial" w:hAnsi="Arial" w:cs="Arial"/>
          <w:sz w:val="22"/>
          <w:szCs w:val="22"/>
        </w:rPr>
        <w:t xml:space="preserve">correct </w:t>
      </w:r>
      <w:r w:rsidR="00206825">
        <w:rPr>
          <w:rFonts w:ascii="Arial" w:hAnsi="Arial" w:cs="Arial"/>
          <w:sz w:val="22"/>
          <w:szCs w:val="22"/>
        </w:rPr>
        <w:t>entr</w:t>
      </w:r>
      <w:r w:rsidR="009B221D">
        <w:rPr>
          <w:rFonts w:ascii="Arial" w:hAnsi="Arial" w:cs="Arial"/>
          <w:sz w:val="22"/>
          <w:szCs w:val="22"/>
        </w:rPr>
        <w:t>ies</w:t>
      </w:r>
      <w:r w:rsidR="00206825">
        <w:rPr>
          <w:rFonts w:ascii="Arial" w:hAnsi="Arial" w:cs="Arial"/>
          <w:sz w:val="22"/>
          <w:szCs w:val="22"/>
        </w:rPr>
        <w:t xml:space="preserve"> </w:t>
      </w:r>
      <w:r w:rsidR="00B135AF">
        <w:rPr>
          <w:rFonts w:ascii="Arial" w:hAnsi="Arial" w:cs="Arial"/>
          <w:sz w:val="22"/>
          <w:szCs w:val="22"/>
        </w:rPr>
        <w:t xml:space="preserve">in </w:t>
      </w:r>
      <w:r w:rsidR="0020682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previous instrument</w:t>
      </w:r>
      <w:r w:rsidR="00206825">
        <w:rPr>
          <w:rFonts w:ascii="Arial" w:hAnsi="Arial" w:cs="Arial"/>
          <w:sz w:val="22"/>
          <w:szCs w:val="22"/>
        </w:rPr>
        <w:t>. This will ensure that affected taxp</w:t>
      </w:r>
      <w:r w:rsidR="0047002B">
        <w:rPr>
          <w:rFonts w:ascii="Arial" w:hAnsi="Arial" w:cs="Arial"/>
          <w:sz w:val="22"/>
          <w:szCs w:val="22"/>
        </w:rPr>
        <w:t xml:space="preserve">ayers can continue to apply the effective life determined by the </w:t>
      </w:r>
      <w:r w:rsidR="008B3670">
        <w:rPr>
          <w:rFonts w:ascii="Arial" w:hAnsi="Arial" w:cs="Arial"/>
          <w:sz w:val="22"/>
          <w:szCs w:val="22"/>
        </w:rPr>
        <w:t>Commissioner</w:t>
      </w:r>
      <w:r w:rsidR="0047002B">
        <w:rPr>
          <w:rFonts w:ascii="Arial" w:hAnsi="Arial" w:cs="Arial"/>
          <w:sz w:val="22"/>
          <w:szCs w:val="22"/>
        </w:rPr>
        <w:t xml:space="preserve"> for </w:t>
      </w:r>
      <w:r w:rsidR="006F231E">
        <w:rPr>
          <w:rFonts w:ascii="Arial" w:hAnsi="Arial" w:cs="Arial"/>
          <w:sz w:val="22"/>
          <w:szCs w:val="22"/>
        </w:rPr>
        <w:t xml:space="preserve">these </w:t>
      </w:r>
      <w:proofErr w:type="gramStart"/>
      <w:r w:rsidR="009F1CF2">
        <w:rPr>
          <w:rFonts w:ascii="Arial" w:hAnsi="Arial" w:cs="Arial"/>
          <w:sz w:val="22"/>
          <w:szCs w:val="22"/>
        </w:rPr>
        <w:t>particular</w:t>
      </w:r>
      <w:r w:rsidR="0047002B">
        <w:rPr>
          <w:rFonts w:ascii="Arial" w:hAnsi="Arial" w:cs="Arial"/>
          <w:sz w:val="22"/>
          <w:szCs w:val="22"/>
        </w:rPr>
        <w:t xml:space="preserve"> deprec</w:t>
      </w:r>
      <w:r w:rsidR="00AA6866">
        <w:rPr>
          <w:rFonts w:ascii="Arial" w:hAnsi="Arial" w:cs="Arial"/>
          <w:sz w:val="22"/>
          <w:szCs w:val="22"/>
        </w:rPr>
        <w:t>i</w:t>
      </w:r>
      <w:r w:rsidR="0047002B">
        <w:rPr>
          <w:rFonts w:ascii="Arial" w:hAnsi="Arial" w:cs="Arial"/>
          <w:sz w:val="22"/>
          <w:szCs w:val="22"/>
        </w:rPr>
        <w:t>ating</w:t>
      </w:r>
      <w:proofErr w:type="gramEnd"/>
      <w:r w:rsidR="0047002B">
        <w:rPr>
          <w:rFonts w:ascii="Arial" w:hAnsi="Arial" w:cs="Arial"/>
          <w:sz w:val="22"/>
          <w:szCs w:val="22"/>
        </w:rPr>
        <w:t xml:space="preserve"> asset</w:t>
      </w:r>
      <w:r w:rsidR="006F231E">
        <w:rPr>
          <w:rFonts w:ascii="Arial" w:hAnsi="Arial" w:cs="Arial"/>
          <w:sz w:val="22"/>
          <w:szCs w:val="22"/>
        </w:rPr>
        <w:t>s</w:t>
      </w:r>
      <w:r w:rsidR="0047002B">
        <w:rPr>
          <w:rFonts w:ascii="Arial" w:hAnsi="Arial" w:cs="Arial"/>
          <w:sz w:val="22"/>
          <w:szCs w:val="22"/>
        </w:rPr>
        <w:t xml:space="preserve"> </w:t>
      </w:r>
      <w:r w:rsidR="00AC64B4">
        <w:rPr>
          <w:rFonts w:ascii="Arial" w:hAnsi="Arial" w:cs="Arial"/>
          <w:sz w:val="22"/>
          <w:szCs w:val="22"/>
        </w:rPr>
        <w:t>in the same way as they did</w:t>
      </w:r>
      <w:r w:rsidR="00AA6866">
        <w:rPr>
          <w:rFonts w:ascii="Arial" w:hAnsi="Arial" w:cs="Arial"/>
          <w:sz w:val="22"/>
          <w:szCs w:val="22"/>
        </w:rPr>
        <w:t xml:space="preserve"> in earlier years</w:t>
      </w:r>
      <w:r w:rsidR="0047002B">
        <w:rPr>
          <w:rFonts w:ascii="Arial" w:hAnsi="Arial" w:cs="Arial"/>
          <w:sz w:val="22"/>
          <w:szCs w:val="22"/>
        </w:rPr>
        <w:t xml:space="preserve">. The retrospective commencement date does not </w:t>
      </w:r>
      <w:r w:rsidR="00986E74">
        <w:rPr>
          <w:rFonts w:ascii="Arial" w:hAnsi="Arial" w:cs="Arial"/>
          <w:sz w:val="22"/>
          <w:szCs w:val="22"/>
        </w:rPr>
        <w:t xml:space="preserve">disadvantage </w:t>
      </w:r>
      <w:r w:rsidR="00D27ABA">
        <w:rPr>
          <w:rFonts w:ascii="Arial" w:hAnsi="Arial" w:cs="Arial"/>
          <w:sz w:val="22"/>
          <w:szCs w:val="22"/>
        </w:rPr>
        <w:t>a taxpayer</w:t>
      </w:r>
      <w:r w:rsidR="00986E74">
        <w:rPr>
          <w:rFonts w:ascii="Arial" w:hAnsi="Arial" w:cs="Arial"/>
          <w:sz w:val="22"/>
          <w:szCs w:val="22"/>
        </w:rPr>
        <w:t xml:space="preserve"> or impose a liability on </w:t>
      </w:r>
      <w:r w:rsidR="00D27ABA">
        <w:rPr>
          <w:rFonts w:ascii="Arial" w:hAnsi="Arial" w:cs="Arial"/>
          <w:sz w:val="22"/>
          <w:szCs w:val="22"/>
        </w:rPr>
        <w:t>a taxpayer</w:t>
      </w:r>
      <w:r w:rsidR="00986E74">
        <w:rPr>
          <w:rFonts w:ascii="Arial" w:hAnsi="Arial" w:cs="Arial"/>
          <w:sz w:val="22"/>
          <w:szCs w:val="22"/>
        </w:rPr>
        <w:t xml:space="preserve">. </w:t>
      </w:r>
    </w:p>
    <w:p w14:paraId="6E4F0DF8" w14:textId="00EAC07E" w:rsidR="00380CC4" w:rsidRDefault="00380CC4" w:rsidP="00413E6D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7ADCA527" w14:textId="77777777" w:rsidR="000D4F6F" w:rsidRPr="00413E6D" w:rsidRDefault="000D4F6F" w:rsidP="00413E6D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52DC0144" w14:textId="77777777" w:rsidR="00285C45" w:rsidRDefault="00285C45" w:rsidP="00413E6D">
      <w:pPr>
        <w:spacing w:before="120"/>
        <w:rPr>
          <w:rFonts w:ascii="Arial" w:hAnsi="Arial" w:cs="Arial"/>
          <w:b/>
          <w:szCs w:val="24"/>
        </w:rPr>
      </w:pPr>
      <w:r w:rsidRPr="00EF4D48">
        <w:rPr>
          <w:rFonts w:ascii="Arial" w:hAnsi="Arial" w:cs="Arial"/>
          <w:b/>
          <w:szCs w:val="24"/>
        </w:rPr>
        <w:t xml:space="preserve">What is this instrument </w:t>
      </w:r>
      <w:proofErr w:type="gramStart"/>
      <w:r w:rsidRPr="00EF4D48">
        <w:rPr>
          <w:rFonts w:ascii="Arial" w:hAnsi="Arial" w:cs="Arial"/>
          <w:b/>
          <w:szCs w:val="24"/>
        </w:rPr>
        <w:t>about</w:t>
      </w:r>
      <w:proofErr w:type="gramEnd"/>
    </w:p>
    <w:p w14:paraId="5D295C9A" w14:textId="77777777" w:rsidR="00285C45" w:rsidRDefault="00285C45" w:rsidP="00285C45">
      <w:pPr>
        <w:ind w:left="714" w:hanging="357"/>
        <w:rPr>
          <w:rFonts w:ascii="Arial" w:hAnsi="Arial" w:cs="Arial"/>
          <w:b/>
          <w:szCs w:val="24"/>
        </w:rPr>
      </w:pPr>
    </w:p>
    <w:p w14:paraId="16D2640D" w14:textId="6098BD21" w:rsidR="00285C45" w:rsidRPr="00B135AF" w:rsidRDefault="009929D6" w:rsidP="00B135AF">
      <w:pPr>
        <w:numPr>
          <w:ilvl w:val="0"/>
          <w:numId w:val="16"/>
        </w:numPr>
        <w:tabs>
          <w:tab w:val="clear" w:pos="107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135AF">
        <w:rPr>
          <w:rFonts w:ascii="Arial" w:hAnsi="Arial" w:cs="Arial"/>
          <w:sz w:val="22"/>
          <w:szCs w:val="22"/>
        </w:rPr>
        <w:t>This instrument restores the previous description of certain depreciating assets in the oil and gas industry after feedback was received by the Commissioner</w:t>
      </w:r>
      <w:r w:rsidR="00090694" w:rsidRPr="00B135AF">
        <w:rPr>
          <w:rFonts w:ascii="Arial" w:hAnsi="Arial" w:cs="Arial"/>
          <w:sz w:val="22"/>
          <w:szCs w:val="22"/>
        </w:rPr>
        <w:t xml:space="preserve"> from industry. </w:t>
      </w:r>
    </w:p>
    <w:p w14:paraId="271E4076" w14:textId="77777777" w:rsidR="000D4F6F" w:rsidRDefault="000D4F6F" w:rsidP="00413E6D">
      <w:pPr>
        <w:spacing w:before="120"/>
        <w:rPr>
          <w:rFonts w:ascii="Arial" w:hAnsi="Arial" w:cs="Arial"/>
          <w:b/>
          <w:color w:val="000000"/>
        </w:rPr>
      </w:pPr>
    </w:p>
    <w:p w14:paraId="7AEC1BB5" w14:textId="77777777" w:rsidR="00285C45" w:rsidRDefault="00285C45" w:rsidP="00413E6D">
      <w:pPr>
        <w:spacing w:before="120"/>
        <w:rPr>
          <w:rFonts w:ascii="Arial" w:hAnsi="Arial" w:cs="Arial"/>
          <w:b/>
          <w:color w:val="000000"/>
        </w:rPr>
      </w:pPr>
      <w:r w:rsidRPr="009A2908">
        <w:rPr>
          <w:rFonts w:ascii="Arial" w:hAnsi="Arial" w:cs="Arial"/>
          <w:b/>
          <w:color w:val="000000"/>
        </w:rPr>
        <w:t xml:space="preserve">What </w:t>
      </w:r>
      <w:r>
        <w:rPr>
          <w:rFonts w:ascii="Arial" w:hAnsi="Arial" w:cs="Arial"/>
          <w:b/>
          <w:color w:val="000000"/>
        </w:rPr>
        <w:t xml:space="preserve">is </w:t>
      </w:r>
      <w:r w:rsidRPr="009A2908">
        <w:rPr>
          <w:rFonts w:ascii="Arial" w:hAnsi="Arial" w:cs="Arial"/>
          <w:b/>
          <w:color w:val="000000"/>
        </w:rPr>
        <w:t xml:space="preserve">the effect of this </w:t>
      </w:r>
      <w:proofErr w:type="gramStart"/>
      <w:r w:rsidRPr="009A2908">
        <w:rPr>
          <w:rFonts w:ascii="Arial" w:hAnsi="Arial" w:cs="Arial"/>
          <w:b/>
          <w:color w:val="000000"/>
        </w:rPr>
        <w:t>instrument</w:t>
      </w:r>
      <w:proofErr w:type="gramEnd"/>
    </w:p>
    <w:p w14:paraId="4EEFF04E" w14:textId="77777777" w:rsidR="00285C45" w:rsidRDefault="00285C45" w:rsidP="00285C45">
      <w:pPr>
        <w:rPr>
          <w:rFonts w:ascii="Arial" w:hAnsi="Arial" w:cs="Arial"/>
          <w:color w:val="000000"/>
        </w:rPr>
      </w:pPr>
    </w:p>
    <w:p w14:paraId="65E2BC6C" w14:textId="49D7BB56" w:rsidR="00285C45" w:rsidRDefault="00285C45" w:rsidP="00B135AF">
      <w:pPr>
        <w:pStyle w:val="ListParagraph"/>
        <w:numPr>
          <w:ilvl w:val="0"/>
          <w:numId w:val="16"/>
        </w:numPr>
        <w:tabs>
          <w:tab w:val="clear" w:pos="1070"/>
          <w:tab w:val="num" w:pos="360"/>
        </w:tabs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Compliance cost impact: Minor. The instrument will affect only a small </w:t>
      </w:r>
      <w:r w:rsidR="00090694">
        <w:rPr>
          <w:rFonts w:ascii="Arial" w:hAnsi="Arial" w:cs="Arial"/>
          <w:color w:val="000000"/>
        </w:rPr>
        <w:t xml:space="preserve">number </w:t>
      </w:r>
      <w:r>
        <w:rPr>
          <w:rFonts w:ascii="Arial" w:hAnsi="Arial" w:cs="Arial"/>
          <w:color w:val="000000"/>
        </w:rPr>
        <w:t xml:space="preserve">of businesses </w:t>
      </w:r>
      <w:r w:rsidR="00BE6857">
        <w:rPr>
          <w:rFonts w:ascii="Arial" w:hAnsi="Arial" w:cs="Arial"/>
          <w:color w:val="000000"/>
        </w:rPr>
        <w:t>in the oil and g</w:t>
      </w:r>
      <w:r w:rsidR="00090694">
        <w:rPr>
          <w:rFonts w:ascii="Arial" w:hAnsi="Arial" w:cs="Arial"/>
          <w:color w:val="000000"/>
        </w:rPr>
        <w:t xml:space="preserve">as industry </w:t>
      </w:r>
      <w:r>
        <w:rPr>
          <w:rFonts w:ascii="Arial" w:hAnsi="Arial" w:cs="Arial"/>
          <w:color w:val="000000"/>
        </w:rPr>
        <w:t xml:space="preserve">and confirms existing practice. </w:t>
      </w:r>
      <w:r w:rsidR="00BE6857" w:rsidRPr="00324192">
        <w:rPr>
          <w:rFonts w:ascii="Arial" w:hAnsi="Arial" w:cs="Arial"/>
          <w:color w:val="000000"/>
        </w:rPr>
        <w:t xml:space="preserve">The legislative instrument is minor or machinery in </w:t>
      </w:r>
      <w:r w:rsidR="00AA55EF" w:rsidRPr="00324192">
        <w:rPr>
          <w:rFonts w:ascii="Arial" w:hAnsi="Arial" w:cs="Arial"/>
          <w:color w:val="000000"/>
        </w:rPr>
        <w:t>nature.</w:t>
      </w:r>
      <w:r w:rsidR="00AA55EF">
        <w:rPr>
          <w:rFonts w:ascii="Arial" w:hAnsi="Arial" w:cs="Arial"/>
          <w:color w:val="000000"/>
        </w:rPr>
        <w:t xml:space="preserve"> </w:t>
      </w:r>
      <w:proofErr w:type="gramStart"/>
      <w:r w:rsidR="00AA55EF">
        <w:rPr>
          <w:rFonts w:ascii="Arial" w:hAnsi="Arial" w:cs="Arial"/>
          <w:color w:val="000000"/>
        </w:rPr>
        <w:t>Therefore</w:t>
      </w:r>
      <w:proofErr w:type="gramEnd"/>
      <w:r w:rsidR="00BE6857">
        <w:rPr>
          <w:rFonts w:ascii="Arial" w:hAnsi="Arial" w:cs="Arial"/>
          <w:color w:val="000000"/>
        </w:rPr>
        <w:t xml:space="preserve"> there</w:t>
      </w:r>
      <w:r>
        <w:rPr>
          <w:rFonts w:ascii="Arial" w:hAnsi="Arial" w:cs="Arial"/>
          <w:color w:val="000000"/>
        </w:rPr>
        <w:t xml:space="preserve"> will be </w:t>
      </w:r>
      <w:r w:rsidRPr="00820204">
        <w:rPr>
          <w:rFonts w:ascii="Arial" w:hAnsi="Arial" w:cs="Arial"/>
          <w:color w:val="000000"/>
        </w:rPr>
        <w:t>no or minimal impacts for both implementation and ongoing compliance costs</w:t>
      </w:r>
      <w:r>
        <w:rPr>
          <w:rFonts w:ascii="Arial" w:hAnsi="Arial" w:cs="Arial"/>
          <w:color w:val="000000"/>
        </w:rPr>
        <w:t>.</w:t>
      </w:r>
      <w:r w:rsidRPr="00A90777">
        <w:t xml:space="preserve"> </w:t>
      </w:r>
    </w:p>
    <w:p w14:paraId="46635E24" w14:textId="77777777" w:rsidR="00285C45" w:rsidRPr="009A2908" w:rsidRDefault="00285C45" w:rsidP="00B135AF">
      <w:pPr>
        <w:rPr>
          <w:rFonts w:ascii="Arial" w:hAnsi="Arial" w:cs="Arial"/>
          <w:color w:val="000000"/>
        </w:rPr>
      </w:pPr>
    </w:p>
    <w:p w14:paraId="6D1F5BEC" w14:textId="3F054BE4" w:rsidR="00285C45" w:rsidRDefault="00285C45" w:rsidP="00B135AF">
      <w:pPr>
        <w:pStyle w:val="ListParagraph"/>
        <w:numPr>
          <w:ilvl w:val="0"/>
          <w:numId w:val="16"/>
        </w:numPr>
        <w:tabs>
          <w:tab w:val="clear" w:pos="1070"/>
          <w:tab w:val="num" w:pos="360"/>
        </w:tabs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Taxpayers are provided with a choice under the ITAA 1997 when measuring the decline in value (depreciation) of a depreciating asset. A taxpayer can either use an effective life determined by the </w:t>
      </w:r>
      <w:proofErr w:type="gramStart"/>
      <w:r>
        <w:rPr>
          <w:rFonts w:ascii="Arial" w:hAnsi="Arial" w:cs="Arial"/>
          <w:color w:val="000000"/>
        </w:rPr>
        <w:t>Commissioner, or</w:t>
      </w:r>
      <w:proofErr w:type="gramEnd"/>
      <w:r>
        <w:rPr>
          <w:rFonts w:ascii="Arial" w:hAnsi="Arial" w:cs="Arial"/>
          <w:color w:val="000000"/>
        </w:rPr>
        <w:t xml:space="preserve"> work out their own effective life of a depreciating asset in accordance with section 40-105 of the ITAA 1997. </w:t>
      </w:r>
    </w:p>
    <w:p w14:paraId="67166C8F" w14:textId="77777777" w:rsidR="00285C45" w:rsidRPr="009A2908" w:rsidRDefault="00285C45" w:rsidP="00B135AF">
      <w:pPr>
        <w:rPr>
          <w:rFonts w:ascii="Arial" w:hAnsi="Arial" w:cs="Arial"/>
          <w:color w:val="000000"/>
        </w:rPr>
      </w:pPr>
    </w:p>
    <w:p w14:paraId="624FA581" w14:textId="08D1B6E5" w:rsidR="00285C45" w:rsidRDefault="00285C45" w:rsidP="00B135AF">
      <w:pPr>
        <w:pStyle w:val="ListParagraph"/>
        <w:numPr>
          <w:ilvl w:val="0"/>
          <w:numId w:val="16"/>
        </w:numPr>
        <w:tabs>
          <w:tab w:val="clear" w:pos="1070"/>
          <w:tab w:val="num" w:pos="360"/>
        </w:tabs>
        <w:spacing w:after="0" w:line="24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Effective lives determined by the Commissioner provide what is referred to as a ‘safe harbour’ for taxpayers as they have certainty</w:t>
      </w:r>
      <w:r w:rsidR="00F8090D">
        <w:rPr>
          <w:rFonts w:ascii="Arial" w:hAnsi="Arial" w:cs="Arial"/>
          <w:color w:val="000000"/>
        </w:rPr>
        <w:t xml:space="preserve"> that</w:t>
      </w:r>
      <w:r>
        <w:rPr>
          <w:rFonts w:ascii="Arial" w:hAnsi="Arial" w:cs="Arial"/>
          <w:color w:val="000000"/>
        </w:rPr>
        <w:t xml:space="preserve"> these lives will be accepted by the Commissioner. </w:t>
      </w:r>
    </w:p>
    <w:p w14:paraId="6E4F0E02" w14:textId="77777777" w:rsidR="00486653" w:rsidRDefault="00486653" w:rsidP="00285C45">
      <w:pPr>
        <w:keepNext/>
        <w:keepLines/>
        <w:rPr>
          <w:rFonts w:ascii="Arial" w:hAnsi="Arial" w:cs="Arial"/>
          <w:sz w:val="22"/>
          <w:szCs w:val="22"/>
        </w:rPr>
      </w:pPr>
    </w:p>
    <w:p w14:paraId="34EF94D0" w14:textId="77777777" w:rsidR="000D4F6F" w:rsidRDefault="000D4F6F" w:rsidP="00285C45">
      <w:pPr>
        <w:keepNext/>
        <w:keepLines/>
        <w:rPr>
          <w:rFonts w:ascii="Arial" w:hAnsi="Arial" w:cs="Arial"/>
          <w:sz w:val="22"/>
          <w:szCs w:val="22"/>
        </w:rPr>
      </w:pPr>
    </w:p>
    <w:p w14:paraId="47EFD8C9" w14:textId="77777777" w:rsidR="00285C45" w:rsidRPr="007E0A01" w:rsidRDefault="00285C45" w:rsidP="00413E6D">
      <w:pPr>
        <w:pStyle w:val="Heading2"/>
        <w:spacing w:before="120"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Background</w:t>
      </w:r>
    </w:p>
    <w:p w14:paraId="575C6F36" w14:textId="77777777" w:rsidR="00285C45" w:rsidRPr="007E0A01" w:rsidRDefault="00285C45" w:rsidP="00285C45">
      <w:pPr>
        <w:keepNext/>
        <w:keepLines/>
        <w:rPr>
          <w:rFonts w:ascii="Arial" w:hAnsi="Arial" w:cs="Arial"/>
          <w:b/>
        </w:rPr>
      </w:pPr>
    </w:p>
    <w:p w14:paraId="10233C71" w14:textId="77777777" w:rsidR="00285C45" w:rsidRDefault="00285C45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>The policy of effective life deprec</w:t>
      </w:r>
      <w:r>
        <w:rPr>
          <w:rFonts w:ascii="Arial" w:hAnsi="Arial" w:cs="Arial"/>
          <w:sz w:val="22"/>
          <w:szCs w:val="22"/>
        </w:rPr>
        <w:t>i</w:t>
      </w:r>
      <w:r w:rsidRPr="001642C9">
        <w:rPr>
          <w:rFonts w:ascii="Arial" w:hAnsi="Arial" w:cs="Arial"/>
          <w:sz w:val="22"/>
          <w:szCs w:val="22"/>
        </w:rPr>
        <w:t xml:space="preserve">ation came into effect on 1 July 1991. </w:t>
      </w:r>
    </w:p>
    <w:p w14:paraId="32D27C04" w14:textId="77777777" w:rsidR="00285C45" w:rsidRDefault="00285C45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4FEC6B6F" w14:textId="77777777" w:rsidR="00285C45" w:rsidRPr="00F616D7" w:rsidRDefault="00285C45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</w:rPr>
      </w:pPr>
      <w:r w:rsidRPr="001642C9">
        <w:rPr>
          <w:rFonts w:ascii="Arial" w:hAnsi="Arial" w:cs="Arial"/>
          <w:sz w:val="22"/>
          <w:szCs w:val="22"/>
        </w:rPr>
        <w:t>On 21 September 1999, accelerated depreciation was remove</w:t>
      </w:r>
      <w:r w:rsidRPr="00F616D7">
        <w:rPr>
          <w:rFonts w:ascii="Arial" w:hAnsi="Arial" w:cs="Arial"/>
          <w:sz w:val="22"/>
          <w:szCs w:val="22"/>
        </w:rPr>
        <w:t xml:space="preserve">d. As part of that policy, the Government also endorsed the Review of Business Taxation’s recommendation that the Commissioner institute an ongoing revision of the effective life schedule (Recommendation 8.5 of </w:t>
      </w:r>
      <w:r w:rsidRPr="00F616D7">
        <w:rPr>
          <w:rFonts w:ascii="Arial" w:hAnsi="Arial" w:cs="Arial"/>
          <w:i/>
          <w:sz w:val="22"/>
          <w:szCs w:val="22"/>
        </w:rPr>
        <w:t>A Tax System Redesigned</w:t>
      </w:r>
      <w:r w:rsidRPr="00F616D7">
        <w:rPr>
          <w:rFonts w:ascii="Arial" w:hAnsi="Arial" w:cs="Arial"/>
          <w:sz w:val="22"/>
          <w:szCs w:val="22"/>
        </w:rPr>
        <w:t xml:space="preserve">). </w:t>
      </w:r>
    </w:p>
    <w:p w14:paraId="3BE27431" w14:textId="77777777" w:rsidR="00285C45" w:rsidRPr="001642C9" w:rsidRDefault="00285C45" w:rsidP="00B135AF">
      <w:pPr>
        <w:pStyle w:val="ListParagraph"/>
        <w:spacing w:after="0" w:line="240" w:lineRule="auto"/>
        <w:ind w:left="357" w:hanging="357"/>
        <w:rPr>
          <w:rFonts w:ascii="Arial" w:hAnsi="Arial" w:cs="Arial"/>
        </w:rPr>
      </w:pPr>
    </w:p>
    <w:p w14:paraId="799040BB" w14:textId="77777777" w:rsidR="00285C45" w:rsidRPr="001642C9" w:rsidRDefault="00285C45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hAnsi="Arial" w:cs="Arial"/>
        </w:rPr>
      </w:pPr>
      <w:r w:rsidRPr="001642C9">
        <w:rPr>
          <w:rFonts w:ascii="Arial" w:hAnsi="Arial" w:cs="Arial"/>
        </w:rPr>
        <w:t xml:space="preserve">As a result, the ATO has been undertaking ongoing annual reviews of the Commissioner’s determinations of effective life. In doing so, the Commissioner consults with </w:t>
      </w:r>
      <w:proofErr w:type="gramStart"/>
      <w:r w:rsidRPr="001642C9">
        <w:rPr>
          <w:rFonts w:ascii="Arial" w:hAnsi="Arial" w:cs="Arial"/>
        </w:rPr>
        <w:t>a number of</w:t>
      </w:r>
      <w:proofErr w:type="gramEnd"/>
      <w:r w:rsidRPr="001642C9">
        <w:rPr>
          <w:rFonts w:ascii="Arial" w:hAnsi="Arial" w:cs="Arial"/>
        </w:rPr>
        <w:t xml:space="preserve"> key stakeholders, including users of the assets, industry associations, manufacturers and suppliers of the assets and, when necessary, industry consultants. </w:t>
      </w:r>
    </w:p>
    <w:p w14:paraId="2E104A55" w14:textId="77777777" w:rsidR="00285C45" w:rsidRPr="001642C9" w:rsidRDefault="00285C45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42007738" w14:textId="77777777" w:rsidR="00285C45" w:rsidRDefault="00285C45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hAnsi="Arial" w:cs="Arial"/>
        </w:rPr>
      </w:pPr>
      <w:r w:rsidRPr="001642C9">
        <w:rPr>
          <w:rFonts w:ascii="Arial" w:hAnsi="Arial" w:cs="Arial"/>
        </w:rPr>
        <w:t xml:space="preserve">The reviews are comprehensive in terms of the information gathered and the consideration given to different factors. </w:t>
      </w:r>
    </w:p>
    <w:p w14:paraId="26EA7F1B" w14:textId="77777777" w:rsidR="00285C45" w:rsidRPr="001642C9" w:rsidRDefault="00285C45" w:rsidP="00B135AF">
      <w:pPr>
        <w:ind w:left="357" w:hanging="357"/>
        <w:rPr>
          <w:rFonts w:ascii="Arial" w:hAnsi="Arial" w:cs="Arial"/>
        </w:rPr>
      </w:pPr>
    </w:p>
    <w:p w14:paraId="0D1AE788" w14:textId="084A85ED" w:rsidR="00285C45" w:rsidRPr="001642C9" w:rsidRDefault="00285C45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 xml:space="preserve">Taxation Ruling </w:t>
      </w:r>
      <w:r w:rsidR="0074486B">
        <w:rPr>
          <w:rFonts w:ascii="Arial" w:hAnsi="Arial" w:cs="Arial"/>
          <w:sz w:val="22"/>
          <w:szCs w:val="22"/>
        </w:rPr>
        <w:t xml:space="preserve">TR </w:t>
      </w:r>
      <w:r w:rsidRPr="001642C9">
        <w:rPr>
          <w:rFonts w:ascii="Arial" w:hAnsi="Arial" w:cs="Arial"/>
          <w:sz w:val="22"/>
          <w:szCs w:val="22"/>
        </w:rPr>
        <w:t>2019/</w:t>
      </w:r>
      <w:r>
        <w:rPr>
          <w:rFonts w:ascii="Arial" w:hAnsi="Arial" w:cs="Arial"/>
          <w:sz w:val="22"/>
          <w:szCs w:val="22"/>
        </w:rPr>
        <w:t>5</w:t>
      </w:r>
      <w:r w:rsidRPr="001642C9">
        <w:rPr>
          <w:rFonts w:ascii="Arial" w:hAnsi="Arial" w:cs="Arial"/>
          <w:sz w:val="22"/>
          <w:szCs w:val="22"/>
        </w:rPr>
        <w:t xml:space="preserve"> explains the factors the Com</w:t>
      </w:r>
      <w:r>
        <w:rPr>
          <w:rFonts w:ascii="Arial" w:hAnsi="Arial" w:cs="Arial"/>
          <w:sz w:val="22"/>
          <w:szCs w:val="22"/>
        </w:rPr>
        <w:t>m</w:t>
      </w:r>
      <w:r w:rsidRPr="001642C9">
        <w:rPr>
          <w:rFonts w:ascii="Arial" w:hAnsi="Arial" w:cs="Arial"/>
          <w:sz w:val="22"/>
          <w:szCs w:val="22"/>
        </w:rPr>
        <w:t xml:space="preserve">issioner </w:t>
      </w:r>
      <w:proofErr w:type="gramStart"/>
      <w:r w:rsidRPr="001642C9">
        <w:rPr>
          <w:rFonts w:ascii="Arial" w:hAnsi="Arial" w:cs="Arial"/>
          <w:sz w:val="22"/>
          <w:szCs w:val="22"/>
        </w:rPr>
        <w:t>takes into account</w:t>
      </w:r>
      <w:proofErr w:type="gramEnd"/>
      <w:r w:rsidRPr="001642C9">
        <w:rPr>
          <w:rFonts w:ascii="Arial" w:hAnsi="Arial" w:cs="Arial"/>
          <w:sz w:val="22"/>
          <w:szCs w:val="22"/>
        </w:rPr>
        <w:t xml:space="preserve"> when making effective life determinations. Those factors include commercial and technical obsolescence</w:t>
      </w:r>
      <w:r>
        <w:rPr>
          <w:rFonts w:ascii="Arial" w:hAnsi="Arial" w:cs="Arial"/>
          <w:sz w:val="22"/>
          <w:szCs w:val="22"/>
        </w:rPr>
        <w:t>,</w:t>
      </w:r>
      <w:r w:rsidRPr="001642C9">
        <w:rPr>
          <w:rFonts w:ascii="Arial" w:hAnsi="Arial" w:cs="Arial"/>
          <w:sz w:val="22"/>
          <w:szCs w:val="22"/>
        </w:rPr>
        <w:t xml:space="preserve"> to the extent </w:t>
      </w:r>
      <w:r>
        <w:rPr>
          <w:rFonts w:ascii="Arial" w:hAnsi="Arial" w:cs="Arial"/>
          <w:sz w:val="22"/>
          <w:szCs w:val="22"/>
        </w:rPr>
        <w:t>this can be</w:t>
      </w:r>
      <w:r w:rsidRPr="001642C9">
        <w:rPr>
          <w:rFonts w:ascii="Arial" w:hAnsi="Arial" w:cs="Arial"/>
          <w:sz w:val="22"/>
          <w:szCs w:val="22"/>
        </w:rPr>
        <w:t xml:space="preserve"> predict</w:t>
      </w:r>
      <w:r>
        <w:rPr>
          <w:rFonts w:ascii="Arial" w:hAnsi="Arial" w:cs="Arial"/>
          <w:sz w:val="22"/>
          <w:szCs w:val="22"/>
        </w:rPr>
        <w:t>ed</w:t>
      </w:r>
      <w:r w:rsidRPr="001642C9">
        <w:rPr>
          <w:rFonts w:ascii="Arial" w:hAnsi="Arial" w:cs="Arial"/>
          <w:sz w:val="22"/>
          <w:szCs w:val="22"/>
        </w:rPr>
        <w:t xml:space="preserve">. The review </w:t>
      </w:r>
      <w:r>
        <w:rPr>
          <w:rFonts w:ascii="Arial" w:hAnsi="Arial" w:cs="Arial"/>
          <w:sz w:val="22"/>
          <w:szCs w:val="22"/>
        </w:rPr>
        <w:t>does</w:t>
      </w:r>
      <w:r w:rsidRPr="001642C9">
        <w:rPr>
          <w:rFonts w:ascii="Arial" w:hAnsi="Arial" w:cs="Arial"/>
          <w:sz w:val="22"/>
          <w:szCs w:val="22"/>
        </w:rPr>
        <w:t xml:space="preserve"> not focus on the physical life of assets to the exclusion of economic influences on </w:t>
      </w:r>
      <w:r>
        <w:rPr>
          <w:rFonts w:ascii="Arial" w:hAnsi="Arial" w:cs="Arial"/>
          <w:sz w:val="22"/>
          <w:szCs w:val="22"/>
        </w:rPr>
        <w:t xml:space="preserve">its </w:t>
      </w:r>
      <w:r w:rsidRPr="001642C9">
        <w:rPr>
          <w:rFonts w:ascii="Arial" w:hAnsi="Arial" w:cs="Arial"/>
          <w:sz w:val="22"/>
          <w:szCs w:val="22"/>
        </w:rPr>
        <w:t>effective life.</w:t>
      </w:r>
    </w:p>
    <w:p w14:paraId="5C311323" w14:textId="77777777" w:rsidR="00285C45" w:rsidRPr="001642C9" w:rsidRDefault="00285C45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61B81189" w14:textId="77777777" w:rsidR="00285C45" w:rsidRPr="001642C9" w:rsidRDefault="00285C45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 w:rsidRPr="001642C9">
        <w:rPr>
          <w:rFonts w:ascii="Arial" w:hAnsi="Arial" w:cs="Arial"/>
          <w:sz w:val="22"/>
          <w:szCs w:val="22"/>
        </w:rPr>
        <w:t xml:space="preserve">Ultimately, the Commissioner’s determinations must satisfy the question of how long the depreciating asset can be used by any entity for </w:t>
      </w:r>
      <w:r>
        <w:rPr>
          <w:rFonts w:ascii="Arial" w:hAnsi="Arial" w:cs="Arial"/>
          <w:sz w:val="22"/>
          <w:szCs w:val="22"/>
        </w:rPr>
        <w:t>one or more</w:t>
      </w:r>
      <w:r w:rsidRPr="001642C9">
        <w:rPr>
          <w:rFonts w:ascii="Arial" w:hAnsi="Arial" w:cs="Arial"/>
          <w:sz w:val="22"/>
          <w:szCs w:val="22"/>
        </w:rPr>
        <w:t xml:space="preserve"> specified purpose</w:t>
      </w:r>
      <w:r>
        <w:rPr>
          <w:rFonts w:ascii="Arial" w:hAnsi="Arial" w:cs="Arial"/>
          <w:sz w:val="22"/>
          <w:szCs w:val="22"/>
        </w:rPr>
        <w:t>s</w:t>
      </w:r>
      <w:r w:rsidRPr="001642C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including</w:t>
      </w:r>
      <w:r w:rsidRPr="001642C9">
        <w:rPr>
          <w:rFonts w:ascii="Arial" w:hAnsi="Arial" w:cs="Arial"/>
          <w:sz w:val="22"/>
          <w:szCs w:val="22"/>
        </w:rPr>
        <w:t xml:space="preserve"> a taxable purpose.</w:t>
      </w:r>
    </w:p>
    <w:p w14:paraId="6D859D38" w14:textId="77777777" w:rsidR="00285C45" w:rsidRPr="001642C9" w:rsidRDefault="00285C45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7C6A1B05" w14:textId="1A0F60FF" w:rsidR="00476F71" w:rsidRDefault="00E37887" w:rsidP="00FB629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 w:rsidRPr="006075B1">
        <w:rPr>
          <w:rFonts w:ascii="Arial" w:hAnsi="Arial" w:cs="Arial"/>
          <w:sz w:val="22"/>
          <w:szCs w:val="22"/>
        </w:rPr>
        <w:t>T</w:t>
      </w:r>
      <w:r w:rsidR="00C00A45" w:rsidRPr="006075B1">
        <w:rPr>
          <w:rFonts w:ascii="Arial" w:hAnsi="Arial" w:cs="Arial"/>
          <w:sz w:val="22"/>
          <w:szCs w:val="22"/>
        </w:rPr>
        <w:t xml:space="preserve">he ATO </w:t>
      </w:r>
      <w:r w:rsidR="00286EA5">
        <w:rPr>
          <w:rFonts w:ascii="Arial" w:hAnsi="Arial" w:cs="Arial"/>
          <w:sz w:val="22"/>
          <w:szCs w:val="22"/>
        </w:rPr>
        <w:t xml:space="preserve">also </w:t>
      </w:r>
      <w:r w:rsidR="00C00A45" w:rsidRPr="006075B1">
        <w:rPr>
          <w:rFonts w:ascii="Arial" w:hAnsi="Arial" w:cs="Arial"/>
          <w:sz w:val="22"/>
          <w:szCs w:val="22"/>
        </w:rPr>
        <w:t>undertake</w:t>
      </w:r>
      <w:r w:rsidR="00267B90" w:rsidRPr="006075B1">
        <w:rPr>
          <w:rFonts w:ascii="Arial" w:hAnsi="Arial" w:cs="Arial"/>
          <w:sz w:val="22"/>
          <w:szCs w:val="22"/>
        </w:rPr>
        <w:t>s</w:t>
      </w:r>
      <w:r w:rsidR="00C00A45" w:rsidRPr="006075B1">
        <w:rPr>
          <w:rFonts w:ascii="Arial" w:hAnsi="Arial" w:cs="Arial"/>
          <w:sz w:val="22"/>
          <w:szCs w:val="22"/>
        </w:rPr>
        <w:t xml:space="preserve"> continuous improvement to the </w:t>
      </w:r>
      <w:r w:rsidR="008B3670" w:rsidRPr="006075B1">
        <w:rPr>
          <w:rFonts w:ascii="Arial" w:hAnsi="Arial" w:cs="Arial"/>
          <w:sz w:val="22"/>
          <w:szCs w:val="22"/>
        </w:rPr>
        <w:t>instrument</w:t>
      </w:r>
      <w:r w:rsidR="00267B90" w:rsidRPr="006075B1">
        <w:rPr>
          <w:rFonts w:ascii="Arial" w:hAnsi="Arial" w:cs="Arial"/>
          <w:sz w:val="22"/>
          <w:szCs w:val="22"/>
        </w:rPr>
        <w:t xml:space="preserve">. </w:t>
      </w:r>
      <w:r w:rsidR="00267B90" w:rsidRPr="00B135AF">
        <w:rPr>
          <w:rFonts w:ascii="Arial" w:hAnsi="Arial" w:cs="Arial"/>
          <w:sz w:val="22"/>
          <w:szCs w:val="22"/>
        </w:rPr>
        <w:t xml:space="preserve">A change was made </w:t>
      </w:r>
      <w:r w:rsidR="002A2851" w:rsidRPr="00B135AF">
        <w:rPr>
          <w:rFonts w:ascii="Arial" w:hAnsi="Arial" w:cs="Arial"/>
          <w:sz w:val="22"/>
          <w:szCs w:val="22"/>
        </w:rPr>
        <w:t xml:space="preserve">in the previous instrument </w:t>
      </w:r>
      <w:r w:rsidR="00D14FFE" w:rsidRPr="00B135AF">
        <w:rPr>
          <w:rFonts w:ascii="Arial" w:hAnsi="Arial" w:cs="Arial"/>
          <w:sz w:val="22"/>
          <w:szCs w:val="22"/>
        </w:rPr>
        <w:t xml:space="preserve">to </w:t>
      </w:r>
      <w:r w:rsidR="00476F71">
        <w:rPr>
          <w:rFonts w:ascii="Arial" w:hAnsi="Arial" w:cs="Arial"/>
          <w:sz w:val="22"/>
          <w:szCs w:val="22"/>
        </w:rPr>
        <w:t xml:space="preserve">substitute </w:t>
      </w:r>
      <w:r w:rsidR="00476F71" w:rsidRPr="00476F71">
        <w:rPr>
          <w:rFonts w:ascii="Arial" w:hAnsi="Arial" w:cs="Arial"/>
          <w:sz w:val="22"/>
          <w:szCs w:val="22"/>
        </w:rPr>
        <w:t>the description of</w:t>
      </w:r>
      <w:r w:rsidR="00476F71">
        <w:rPr>
          <w:rFonts w:ascii="Arial" w:hAnsi="Arial" w:cs="Arial"/>
          <w:sz w:val="22"/>
          <w:szCs w:val="22"/>
        </w:rPr>
        <w:t>:</w:t>
      </w:r>
    </w:p>
    <w:p w14:paraId="21B10A76" w14:textId="77777777" w:rsidR="00476F71" w:rsidRPr="00FB629F" w:rsidRDefault="00476F71" w:rsidP="00FB629F">
      <w:pPr>
        <w:rPr>
          <w:rFonts w:ascii="Arial" w:hAnsi="Arial" w:cs="Arial"/>
        </w:rPr>
      </w:pPr>
    </w:p>
    <w:p w14:paraId="6B29771D" w14:textId="6F7F30EC" w:rsidR="00476F71" w:rsidRDefault="00476F71" w:rsidP="0074486B">
      <w:pPr>
        <w:numPr>
          <w:ilvl w:val="1"/>
          <w:numId w:val="16"/>
        </w:numPr>
        <w:tabs>
          <w:tab w:val="clear" w:pos="1440"/>
          <w:tab w:val="left" w:pos="993"/>
        </w:tabs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="00724A55" w:rsidRPr="00476F71">
        <w:rPr>
          <w:rFonts w:ascii="Arial" w:hAnsi="Arial" w:cs="Arial"/>
          <w:sz w:val="22"/>
          <w:szCs w:val="22"/>
        </w:rPr>
        <w:t>floating production storage and offloading (</w:t>
      </w:r>
      <w:r w:rsidR="00267B90" w:rsidRPr="00476F71">
        <w:rPr>
          <w:rFonts w:ascii="Arial" w:hAnsi="Arial" w:cs="Arial"/>
          <w:sz w:val="22"/>
          <w:szCs w:val="22"/>
        </w:rPr>
        <w:t>FPSO</w:t>
      </w:r>
      <w:r w:rsidR="00724A55" w:rsidRPr="00476F71">
        <w:rPr>
          <w:rFonts w:ascii="Arial" w:hAnsi="Arial" w:cs="Arial"/>
          <w:sz w:val="22"/>
          <w:szCs w:val="22"/>
        </w:rPr>
        <w:t>)</w:t>
      </w:r>
      <w:r w:rsidR="00267B90" w:rsidRPr="00476F71">
        <w:rPr>
          <w:rFonts w:ascii="Arial" w:hAnsi="Arial" w:cs="Arial"/>
          <w:sz w:val="22"/>
          <w:szCs w:val="22"/>
        </w:rPr>
        <w:t xml:space="preserve"> vessel</w:t>
      </w:r>
      <w:r w:rsidR="00CC7E82">
        <w:rPr>
          <w:rFonts w:ascii="Arial" w:hAnsi="Arial" w:cs="Arial"/>
          <w:sz w:val="22"/>
          <w:szCs w:val="22"/>
        </w:rPr>
        <w:t>s’</w:t>
      </w:r>
      <w:r>
        <w:rPr>
          <w:rFonts w:ascii="Arial" w:hAnsi="Arial" w:cs="Arial"/>
          <w:sz w:val="22"/>
          <w:szCs w:val="22"/>
        </w:rPr>
        <w:t xml:space="preserve"> with ‘self-propelled </w:t>
      </w:r>
      <w:r w:rsidR="0074486B" w:rsidRPr="00476F71">
        <w:rPr>
          <w:rFonts w:ascii="Arial" w:hAnsi="Arial" w:cs="Arial"/>
          <w:sz w:val="22"/>
          <w:szCs w:val="22"/>
        </w:rPr>
        <w:t>floating production storage and offloading (FPSO)</w:t>
      </w:r>
      <w:r w:rsidR="0074486B">
        <w:rPr>
          <w:rFonts w:ascii="Arial" w:hAnsi="Arial" w:cs="Arial"/>
          <w:sz w:val="22"/>
          <w:szCs w:val="22"/>
        </w:rPr>
        <w:t xml:space="preserve"> ships’, </w:t>
      </w:r>
      <w:r w:rsidR="00267B90" w:rsidRPr="0074486B">
        <w:rPr>
          <w:rFonts w:ascii="Arial" w:hAnsi="Arial" w:cs="Arial"/>
          <w:sz w:val="22"/>
          <w:szCs w:val="22"/>
        </w:rPr>
        <w:t xml:space="preserve">and </w:t>
      </w:r>
    </w:p>
    <w:p w14:paraId="3FEFF698" w14:textId="77777777" w:rsidR="0074486B" w:rsidRPr="0074486B" w:rsidRDefault="0074486B" w:rsidP="0074486B">
      <w:pPr>
        <w:tabs>
          <w:tab w:val="left" w:pos="993"/>
        </w:tabs>
        <w:ind w:left="993"/>
        <w:rPr>
          <w:rFonts w:ascii="Arial" w:hAnsi="Arial" w:cs="Arial"/>
          <w:sz w:val="22"/>
          <w:szCs w:val="22"/>
        </w:rPr>
      </w:pPr>
    </w:p>
    <w:p w14:paraId="7F7371DA" w14:textId="75119E39" w:rsidR="00476F71" w:rsidRDefault="00476F71" w:rsidP="00FB629F">
      <w:pPr>
        <w:numPr>
          <w:ilvl w:val="1"/>
          <w:numId w:val="16"/>
        </w:numPr>
        <w:tabs>
          <w:tab w:val="clear" w:pos="1440"/>
          <w:tab w:val="left" w:pos="993"/>
        </w:tabs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="00724A55" w:rsidRPr="00476F71">
        <w:rPr>
          <w:rFonts w:ascii="Arial" w:hAnsi="Arial" w:cs="Arial"/>
          <w:sz w:val="22"/>
          <w:szCs w:val="22"/>
        </w:rPr>
        <w:t>floating storage and offloading (</w:t>
      </w:r>
      <w:r w:rsidR="00267B90" w:rsidRPr="00476F71">
        <w:rPr>
          <w:rFonts w:ascii="Arial" w:hAnsi="Arial" w:cs="Arial"/>
          <w:sz w:val="22"/>
          <w:szCs w:val="22"/>
        </w:rPr>
        <w:t>FSO</w:t>
      </w:r>
      <w:r w:rsidR="00724A55" w:rsidRPr="00476F71">
        <w:rPr>
          <w:rFonts w:ascii="Arial" w:hAnsi="Arial" w:cs="Arial"/>
          <w:sz w:val="22"/>
          <w:szCs w:val="22"/>
        </w:rPr>
        <w:t>)</w:t>
      </w:r>
      <w:r w:rsidR="00267B90" w:rsidRPr="00476F71">
        <w:rPr>
          <w:rFonts w:ascii="Arial" w:hAnsi="Arial" w:cs="Arial"/>
          <w:sz w:val="22"/>
          <w:szCs w:val="22"/>
        </w:rPr>
        <w:t xml:space="preserve"> vess</w:t>
      </w:r>
      <w:r w:rsidR="00C23907" w:rsidRPr="00476F71">
        <w:rPr>
          <w:rFonts w:ascii="Arial" w:hAnsi="Arial" w:cs="Arial"/>
          <w:sz w:val="22"/>
          <w:szCs w:val="22"/>
        </w:rPr>
        <w:t>e</w:t>
      </w:r>
      <w:r w:rsidR="00267B90" w:rsidRPr="00476F7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s’</w:t>
      </w:r>
      <w:r w:rsidR="00267B90" w:rsidRPr="00476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‘</w:t>
      </w:r>
      <w:r w:rsidRPr="00A03230">
        <w:rPr>
          <w:rFonts w:ascii="Arial" w:hAnsi="Arial" w:cs="Arial"/>
          <w:sz w:val="22"/>
          <w:szCs w:val="22"/>
        </w:rPr>
        <w:t xml:space="preserve">self-propelled </w:t>
      </w:r>
      <w:r w:rsidR="0074486B" w:rsidRPr="00476F71">
        <w:rPr>
          <w:rFonts w:ascii="Arial" w:hAnsi="Arial" w:cs="Arial"/>
          <w:sz w:val="22"/>
          <w:szCs w:val="22"/>
        </w:rPr>
        <w:t>floating storage and offloading (FSO)</w:t>
      </w:r>
      <w:r w:rsidR="007448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ships’</w:t>
      </w:r>
      <w:r w:rsidRPr="00476F71">
        <w:rPr>
          <w:rFonts w:ascii="Arial" w:hAnsi="Arial" w:cs="Arial"/>
          <w:sz w:val="22"/>
          <w:szCs w:val="22"/>
        </w:rPr>
        <w:t xml:space="preserve"> </w:t>
      </w:r>
    </w:p>
    <w:p w14:paraId="73D3EF9F" w14:textId="77777777" w:rsidR="0074486B" w:rsidRDefault="0074486B" w:rsidP="0074486B">
      <w:pPr>
        <w:tabs>
          <w:tab w:val="left" w:pos="993"/>
        </w:tabs>
        <w:ind w:left="567"/>
        <w:rPr>
          <w:rFonts w:ascii="Arial" w:hAnsi="Arial" w:cs="Arial"/>
          <w:sz w:val="22"/>
          <w:szCs w:val="22"/>
        </w:rPr>
      </w:pPr>
    </w:p>
    <w:p w14:paraId="775C414F" w14:textId="1B40A9B6" w:rsidR="00643E98" w:rsidRPr="00476F71" w:rsidRDefault="00267B90" w:rsidP="0074486B">
      <w:pPr>
        <w:tabs>
          <w:tab w:val="left" w:pos="993"/>
        </w:tabs>
        <w:ind w:left="567"/>
        <w:rPr>
          <w:rFonts w:ascii="Arial" w:hAnsi="Arial" w:cs="Arial"/>
          <w:sz w:val="22"/>
          <w:szCs w:val="22"/>
        </w:rPr>
      </w:pPr>
      <w:r w:rsidRPr="00476F71">
        <w:rPr>
          <w:rFonts w:ascii="Arial" w:hAnsi="Arial" w:cs="Arial"/>
          <w:sz w:val="22"/>
          <w:szCs w:val="22"/>
        </w:rPr>
        <w:t>within the category of depreciating assets</w:t>
      </w:r>
      <w:r w:rsidR="00187621">
        <w:rPr>
          <w:rFonts w:ascii="Arial" w:hAnsi="Arial" w:cs="Arial"/>
          <w:sz w:val="22"/>
          <w:szCs w:val="22"/>
        </w:rPr>
        <w:t xml:space="preserve"> </w:t>
      </w:r>
      <w:r w:rsidR="00FB629F">
        <w:rPr>
          <w:rFonts w:ascii="Arial" w:hAnsi="Arial" w:cs="Arial"/>
          <w:sz w:val="22"/>
          <w:szCs w:val="22"/>
        </w:rPr>
        <w:t xml:space="preserve">listed </w:t>
      </w:r>
      <w:r w:rsidR="00187621">
        <w:rPr>
          <w:rFonts w:ascii="Arial" w:hAnsi="Arial" w:cs="Arial"/>
          <w:sz w:val="22"/>
          <w:szCs w:val="22"/>
        </w:rPr>
        <w:t>in the mining industry (oil and gas extraction)</w:t>
      </w:r>
      <w:r w:rsidRPr="00476F71">
        <w:rPr>
          <w:rFonts w:ascii="Arial" w:hAnsi="Arial" w:cs="Arial"/>
          <w:sz w:val="22"/>
          <w:szCs w:val="22"/>
        </w:rPr>
        <w:t>.</w:t>
      </w:r>
      <w:r w:rsidR="000078E0" w:rsidRPr="00476F71">
        <w:rPr>
          <w:rFonts w:ascii="Arial" w:hAnsi="Arial" w:cs="Arial"/>
          <w:sz w:val="22"/>
          <w:szCs w:val="22"/>
        </w:rPr>
        <w:t xml:space="preserve"> </w:t>
      </w:r>
    </w:p>
    <w:p w14:paraId="320AB119" w14:textId="77777777" w:rsidR="002B378E" w:rsidRPr="00AA55EF" w:rsidRDefault="002B378E" w:rsidP="00AA55EF">
      <w:pPr>
        <w:rPr>
          <w:rFonts w:ascii="Arial" w:hAnsi="Arial" w:cs="Arial"/>
        </w:rPr>
      </w:pPr>
    </w:p>
    <w:p w14:paraId="03E4CB00" w14:textId="7AD116A2" w:rsidR="002B378E" w:rsidRPr="00BE6857" w:rsidRDefault="002B378E" w:rsidP="00AA55EF">
      <w:pPr>
        <w:numPr>
          <w:ilvl w:val="0"/>
          <w:numId w:val="16"/>
        </w:numPr>
        <w:tabs>
          <w:tab w:val="clear" w:pos="1070"/>
          <w:tab w:val="num" w:pos="362"/>
        </w:tabs>
        <w:ind w:left="357" w:hanging="357"/>
        <w:rPr>
          <w:rFonts w:ascii="Arial" w:hAnsi="Arial" w:cs="Arial"/>
          <w:sz w:val="22"/>
          <w:szCs w:val="22"/>
        </w:rPr>
      </w:pPr>
      <w:r w:rsidRPr="00BE6857">
        <w:rPr>
          <w:rFonts w:ascii="Arial" w:hAnsi="Arial" w:cs="Arial"/>
          <w:sz w:val="22"/>
          <w:szCs w:val="22"/>
        </w:rPr>
        <w:t xml:space="preserve">These changes </w:t>
      </w:r>
      <w:r w:rsidRPr="00B135AF">
        <w:rPr>
          <w:rFonts w:ascii="Arial" w:hAnsi="Arial" w:cs="Arial"/>
          <w:sz w:val="22"/>
          <w:szCs w:val="22"/>
        </w:rPr>
        <w:t xml:space="preserve">were only intended to provide a clearer description of these depreciating assets. </w:t>
      </w:r>
      <w:r w:rsidR="00BE6857">
        <w:rPr>
          <w:rFonts w:ascii="Arial" w:hAnsi="Arial" w:cs="Arial"/>
          <w:sz w:val="22"/>
          <w:szCs w:val="22"/>
        </w:rPr>
        <w:t xml:space="preserve">However, </w:t>
      </w:r>
      <w:r>
        <w:rPr>
          <w:rFonts w:ascii="Arial" w:hAnsi="Arial" w:cs="Arial"/>
          <w:sz w:val="22"/>
          <w:szCs w:val="22"/>
        </w:rPr>
        <w:t xml:space="preserve">for </w:t>
      </w:r>
      <w:r w:rsidRPr="002B378E">
        <w:rPr>
          <w:rFonts w:ascii="Arial" w:hAnsi="Arial" w:cs="Arial"/>
          <w:sz w:val="22"/>
          <w:szCs w:val="22"/>
        </w:rPr>
        <w:t xml:space="preserve">some types of oil and gas assets, the ATO's determination of effective life is capped by statute. </w:t>
      </w:r>
      <w:r>
        <w:rPr>
          <w:rFonts w:ascii="Arial" w:hAnsi="Arial" w:cs="Arial"/>
          <w:sz w:val="22"/>
          <w:szCs w:val="22"/>
        </w:rPr>
        <w:t>To</w:t>
      </w:r>
      <w:r w:rsidRPr="002B378E">
        <w:rPr>
          <w:rFonts w:ascii="Arial" w:hAnsi="Arial" w:cs="Arial"/>
          <w:sz w:val="22"/>
          <w:szCs w:val="22"/>
        </w:rPr>
        <w:t xml:space="preserve"> access this capped life </w:t>
      </w:r>
      <w:r>
        <w:rPr>
          <w:rFonts w:ascii="Arial" w:hAnsi="Arial" w:cs="Arial"/>
          <w:sz w:val="22"/>
          <w:szCs w:val="22"/>
        </w:rPr>
        <w:t xml:space="preserve">taxpayers </w:t>
      </w:r>
      <w:r w:rsidRPr="002B378E">
        <w:rPr>
          <w:rFonts w:ascii="Arial" w:hAnsi="Arial" w:cs="Arial"/>
          <w:sz w:val="22"/>
          <w:szCs w:val="22"/>
        </w:rPr>
        <w:t xml:space="preserve">must choose to use the effective life determined by the Commissioner that is in force at the time of </w:t>
      </w:r>
      <w:r>
        <w:rPr>
          <w:rFonts w:ascii="Arial" w:hAnsi="Arial" w:cs="Arial"/>
          <w:sz w:val="22"/>
          <w:szCs w:val="22"/>
        </w:rPr>
        <w:t>their</w:t>
      </w:r>
      <w:r w:rsidRPr="002B378E">
        <w:rPr>
          <w:rFonts w:ascii="Arial" w:hAnsi="Arial" w:cs="Arial"/>
          <w:sz w:val="22"/>
          <w:szCs w:val="22"/>
        </w:rPr>
        <w:t xml:space="preserve"> choice.</w:t>
      </w:r>
    </w:p>
    <w:p w14:paraId="598DF346" w14:textId="77777777" w:rsidR="002B378E" w:rsidRDefault="002B378E" w:rsidP="00AA55EF">
      <w:pPr>
        <w:ind w:left="357"/>
        <w:rPr>
          <w:rFonts w:ascii="Arial" w:hAnsi="Arial" w:cs="Arial"/>
          <w:sz w:val="22"/>
          <w:szCs w:val="22"/>
        </w:rPr>
      </w:pPr>
    </w:p>
    <w:p w14:paraId="125233AA" w14:textId="5FE4AA41" w:rsidR="002B378E" w:rsidRPr="002B378E" w:rsidRDefault="002B378E" w:rsidP="00AA55E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F231E" w:rsidRPr="00B135AF">
        <w:rPr>
          <w:rFonts w:ascii="Arial" w:hAnsi="Arial" w:cs="Arial"/>
          <w:sz w:val="22"/>
          <w:szCs w:val="22"/>
        </w:rPr>
        <w:t xml:space="preserve">pon release of </w:t>
      </w:r>
      <w:r w:rsidR="00AA71EE" w:rsidRPr="002B378E">
        <w:rPr>
          <w:rFonts w:ascii="Arial" w:hAnsi="Arial" w:cs="Arial"/>
          <w:i/>
          <w:sz w:val="22"/>
          <w:szCs w:val="22"/>
        </w:rPr>
        <w:t>Income Tax (Effective Life of Depreciating Assets) Amendment Determination 2019 (No 1)</w:t>
      </w:r>
      <w:r w:rsidR="00BE6857" w:rsidRPr="002B378E">
        <w:rPr>
          <w:rFonts w:ascii="Arial" w:hAnsi="Arial" w:cs="Arial"/>
          <w:sz w:val="22"/>
          <w:szCs w:val="22"/>
        </w:rPr>
        <w:t>,</w:t>
      </w:r>
      <w:r w:rsidR="00AA71EE" w:rsidRPr="00B135AF">
        <w:rPr>
          <w:rFonts w:ascii="Arial" w:hAnsi="Arial" w:cs="Arial"/>
          <w:sz w:val="22"/>
          <w:szCs w:val="22"/>
        </w:rPr>
        <w:t xml:space="preserve"> </w:t>
      </w:r>
      <w:r w:rsidR="0064245F" w:rsidRPr="00B135AF">
        <w:rPr>
          <w:rFonts w:ascii="Arial" w:hAnsi="Arial" w:cs="Arial"/>
          <w:sz w:val="22"/>
          <w:szCs w:val="22"/>
        </w:rPr>
        <w:t xml:space="preserve">the ATO received </w:t>
      </w:r>
      <w:r w:rsidR="00B135AF">
        <w:rPr>
          <w:rFonts w:ascii="Arial" w:hAnsi="Arial" w:cs="Arial"/>
          <w:sz w:val="22"/>
          <w:szCs w:val="22"/>
        </w:rPr>
        <w:t xml:space="preserve">industry </w:t>
      </w:r>
      <w:r w:rsidR="0064245F" w:rsidRPr="00B135AF">
        <w:rPr>
          <w:rFonts w:ascii="Arial" w:hAnsi="Arial" w:cs="Arial"/>
          <w:sz w:val="22"/>
          <w:szCs w:val="22"/>
        </w:rPr>
        <w:t>feedback</w:t>
      </w:r>
      <w:r w:rsidR="00B135AF">
        <w:rPr>
          <w:rFonts w:ascii="Arial" w:hAnsi="Arial" w:cs="Arial"/>
          <w:sz w:val="22"/>
          <w:szCs w:val="22"/>
        </w:rPr>
        <w:t xml:space="preserve"> that</w:t>
      </w:r>
      <w:r w:rsidR="0064245F" w:rsidRPr="00B135AF">
        <w:rPr>
          <w:rFonts w:ascii="Arial" w:hAnsi="Arial" w:cs="Arial"/>
          <w:sz w:val="22"/>
          <w:szCs w:val="22"/>
        </w:rPr>
        <w:t xml:space="preserve"> </w:t>
      </w:r>
      <w:r w:rsidR="00BE6857">
        <w:rPr>
          <w:rFonts w:ascii="Arial" w:hAnsi="Arial" w:cs="Arial"/>
          <w:sz w:val="22"/>
          <w:szCs w:val="22"/>
        </w:rPr>
        <w:t>the</w:t>
      </w:r>
      <w:r w:rsidR="006642B0" w:rsidRPr="00B135AF">
        <w:rPr>
          <w:rFonts w:ascii="Arial" w:hAnsi="Arial" w:cs="Arial"/>
          <w:sz w:val="22"/>
          <w:szCs w:val="22"/>
        </w:rPr>
        <w:t xml:space="preserve"> change </w:t>
      </w:r>
      <w:r w:rsidR="004F3DA4">
        <w:rPr>
          <w:rFonts w:ascii="Arial" w:hAnsi="Arial" w:cs="Arial"/>
          <w:sz w:val="22"/>
          <w:szCs w:val="22"/>
        </w:rPr>
        <w:t>in</w:t>
      </w:r>
      <w:r w:rsidR="006642B0" w:rsidRPr="00B135AF">
        <w:rPr>
          <w:rFonts w:ascii="Arial" w:hAnsi="Arial" w:cs="Arial"/>
          <w:sz w:val="22"/>
          <w:szCs w:val="22"/>
        </w:rPr>
        <w:t xml:space="preserve"> wording </w:t>
      </w:r>
      <w:r w:rsidR="0048408C" w:rsidRPr="00B135AF">
        <w:rPr>
          <w:rFonts w:ascii="Arial" w:hAnsi="Arial" w:cs="Arial"/>
          <w:sz w:val="22"/>
          <w:szCs w:val="22"/>
        </w:rPr>
        <w:t xml:space="preserve">meant </w:t>
      </w:r>
      <w:r w:rsidR="006642B0" w:rsidRPr="00B135AF">
        <w:rPr>
          <w:rFonts w:ascii="Arial" w:hAnsi="Arial" w:cs="Arial"/>
          <w:sz w:val="22"/>
          <w:szCs w:val="22"/>
        </w:rPr>
        <w:t xml:space="preserve">that </w:t>
      </w:r>
      <w:r w:rsidR="0048408C" w:rsidRPr="00B135AF">
        <w:rPr>
          <w:rFonts w:ascii="Arial" w:hAnsi="Arial" w:cs="Arial"/>
          <w:sz w:val="22"/>
          <w:szCs w:val="22"/>
        </w:rPr>
        <w:t xml:space="preserve">the taxpayer (and other taxpayers in the industry) may </w:t>
      </w:r>
      <w:r w:rsidR="00E52926" w:rsidRPr="00B135AF">
        <w:rPr>
          <w:rFonts w:ascii="Arial" w:hAnsi="Arial" w:cs="Arial"/>
          <w:sz w:val="22"/>
          <w:szCs w:val="22"/>
        </w:rPr>
        <w:t xml:space="preserve">be </w:t>
      </w:r>
      <w:r w:rsidR="00D66893" w:rsidRPr="00B135AF">
        <w:rPr>
          <w:rFonts w:ascii="Arial" w:hAnsi="Arial" w:cs="Arial"/>
          <w:sz w:val="22"/>
          <w:szCs w:val="22"/>
        </w:rPr>
        <w:t>un</w:t>
      </w:r>
      <w:r w:rsidR="006642B0" w:rsidRPr="00B135AF">
        <w:rPr>
          <w:rFonts w:ascii="Arial" w:hAnsi="Arial" w:cs="Arial"/>
          <w:sz w:val="22"/>
          <w:szCs w:val="22"/>
        </w:rPr>
        <w:t xml:space="preserve">able to use the statutory capped life available </w:t>
      </w:r>
      <w:r w:rsidR="00D66893" w:rsidRPr="002B378E">
        <w:rPr>
          <w:rFonts w:ascii="Arial" w:hAnsi="Arial" w:cs="Arial"/>
          <w:sz w:val="22"/>
          <w:szCs w:val="22"/>
        </w:rPr>
        <w:t>in</w:t>
      </w:r>
      <w:r w:rsidR="006642B0" w:rsidRPr="002B378E">
        <w:rPr>
          <w:rFonts w:ascii="Arial" w:hAnsi="Arial" w:cs="Arial"/>
          <w:sz w:val="22"/>
          <w:szCs w:val="22"/>
        </w:rPr>
        <w:t xml:space="preserve"> section 40-102 of the ITAA 1997 </w:t>
      </w:r>
      <w:r w:rsidR="0048408C" w:rsidRPr="002B378E">
        <w:rPr>
          <w:rFonts w:ascii="Arial" w:hAnsi="Arial" w:cs="Arial"/>
          <w:sz w:val="22"/>
          <w:szCs w:val="22"/>
        </w:rPr>
        <w:t xml:space="preserve">for </w:t>
      </w:r>
      <w:r w:rsidR="00027788" w:rsidRPr="002B378E">
        <w:rPr>
          <w:rFonts w:ascii="Arial" w:hAnsi="Arial" w:cs="Arial"/>
          <w:sz w:val="22"/>
          <w:szCs w:val="22"/>
        </w:rPr>
        <w:t xml:space="preserve">non-self-propelled </w:t>
      </w:r>
      <w:r w:rsidR="0048408C" w:rsidRPr="002B378E">
        <w:rPr>
          <w:rFonts w:ascii="Arial" w:hAnsi="Arial" w:cs="Arial"/>
          <w:sz w:val="22"/>
          <w:szCs w:val="22"/>
        </w:rPr>
        <w:t xml:space="preserve">FPSO </w:t>
      </w:r>
      <w:r w:rsidR="00027788" w:rsidRPr="002B378E">
        <w:rPr>
          <w:rFonts w:ascii="Arial" w:hAnsi="Arial" w:cs="Arial"/>
          <w:sz w:val="22"/>
          <w:szCs w:val="22"/>
        </w:rPr>
        <w:t xml:space="preserve">and FSO vessels </w:t>
      </w:r>
      <w:r w:rsidR="0048408C" w:rsidRPr="002B378E">
        <w:rPr>
          <w:rFonts w:ascii="Arial" w:hAnsi="Arial" w:cs="Arial"/>
          <w:sz w:val="22"/>
          <w:szCs w:val="22"/>
        </w:rPr>
        <w:t xml:space="preserve">coming online in the future. </w:t>
      </w:r>
    </w:p>
    <w:p w14:paraId="2EEE8C66" w14:textId="77777777" w:rsidR="006642B0" w:rsidRPr="005D5897" w:rsidRDefault="006642B0" w:rsidP="00B135AF">
      <w:pPr>
        <w:rPr>
          <w:rFonts w:ascii="Arial" w:hAnsi="Arial" w:cs="Arial"/>
        </w:rPr>
      </w:pPr>
    </w:p>
    <w:p w14:paraId="367FB92A" w14:textId="1305C5CC" w:rsidR="00F51169" w:rsidRPr="00D47751" w:rsidRDefault="0016784F" w:rsidP="00B135AF">
      <w:pPr>
        <w:numPr>
          <w:ilvl w:val="0"/>
          <w:numId w:val="16"/>
        </w:numPr>
        <w:tabs>
          <w:tab w:val="clear" w:pos="1070"/>
          <w:tab w:val="num" w:pos="362"/>
        </w:tabs>
        <w:ind w:left="35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instrument restores the </w:t>
      </w:r>
      <w:r w:rsidR="00027788">
        <w:rPr>
          <w:rFonts w:ascii="Arial" w:hAnsi="Arial" w:cs="Arial"/>
          <w:sz w:val="22"/>
          <w:szCs w:val="22"/>
        </w:rPr>
        <w:t xml:space="preserve">original </w:t>
      </w:r>
      <w:r>
        <w:rPr>
          <w:rFonts w:ascii="Arial" w:hAnsi="Arial" w:cs="Arial"/>
          <w:sz w:val="22"/>
          <w:szCs w:val="22"/>
        </w:rPr>
        <w:t xml:space="preserve">wording </w:t>
      </w:r>
      <w:r w:rsidR="006642B0">
        <w:rPr>
          <w:rFonts w:ascii="Arial" w:hAnsi="Arial" w:cs="Arial"/>
          <w:sz w:val="22"/>
          <w:szCs w:val="22"/>
        </w:rPr>
        <w:t>for the de</w:t>
      </w:r>
      <w:r w:rsidR="004656B1">
        <w:rPr>
          <w:rFonts w:ascii="Arial" w:hAnsi="Arial" w:cs="Arial"/>
          <w:sz w:val="22"/>
          <w:szCs w:val="22"/>
        </w:rPr>
        <w:t>s</w:t>
      </w:r>
      <w:r w:rsidR="006642B0">
        <w:rPr>
          <w:rFonts w:ascii="Arial" w:hAnsi="Arial" w:cs="Arial"/>
          <w:sz w:val="22"/>
          <w:szCs w:val="22"/>
        </w:rPr>
        <w:t xml:space="preserve">cription </w:t>
      </w:r>
      <w:r>
        <w:rPr>
          <w:rFonts w:ascii="Arial" w:hAnsi="Arial" w:cs="Arial"/>
          <w:sz w:val="22"/>
          <w:szCs w:val="22"/>
        </w:rPr>
        <w:t>of these depreciating assets</w:t>
      </w:r>
      <w:r w:rsidR="00027788">
        <w:rPr>
          <w:rFonts w:ascii="Arial" w:hAnsi="Arial" w:cs="Arial"/>
          <w:sz w:val="22"/>
          <w:szCs w:val="22"/>
        </w:rPr>
        <w:t xml:space="preserve"> to re</w:t>
      </w:r>
      <w:r w:rsidR="004656B1">
        <w:rPr>
          <w:rFonts w:ascii="Arial" w:hAnsi="Arial" w:cs="Arial"/>
          <w:sz w:val="22"/>
          <w:szCs w:val="22"/>
        </w:rPr>
        <w:t>c</w:t>
      </w:r>
      <w:r w:rsidR="00027788">
        <w:rPr>
          <w:rFonts w:ascii="Arial" w:hAnsi="Arial" w:cs="Arial"/>
          <w:sz w:val="22"/>
          <w:szCs w:val="22"/>
        </w:rPr>
        <w:t>tify the issue raised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5B0B72" w14:textId="77777777" w:rsidR="00D14FFE" w:rsidRDefault="00D14FFE" w:rsidP="00B135AF">
      <w:pPr>
        <w:pStyle w:val="ListParagraph"/>
        <w:spacing w:after="0" w:line="240" w:lineRule="auto"/>
        <w:ind w:left="358" w:hanging="357"/>
        <w:rPr>
          <w:rFonts w:ascii="Arial" w:hAnsi="Arial" w:cs="Arial"/>
        </w:rPr>
      </w:pPr>
    </w:p>
    <w:p w14:paraId="191C53B8" w14:textId="7EEA098E" w:rsidR="006075B1" w:rsidRPr="006075B1" w:rsidRDefault="008B3670" w:rsidP="00B135AF">
      <w:pPr>
        <w:pStyle w:val="ListParagraph"/>
        <w:numPr>
          <w:ilvl w:val="0"/>
          <w:numId w:val="16"/>
        </w:numPr>
        <w:tabs>
          <w:tab w:val="clear" w:pos="1070"/>
          <w:tab w:val="num" w:pos="362"/>
        </w:tabs>
        <w:spacing w:after="0" w:line="240" w:lineRule="auto"/>
        <w:ind w:left="358" w:hanging="357"/>
        <w:rPr>
          <w:rFonts w:ascii="Arial" w:eastAsia="Times New Roman" w:hAnsi="Arial" w:cs="Arial"/>
          <w:lang w:eastAsia="en-AU"/>
        </w:rPr>
      </w:pPr>
      <w:r w:rsidRPr="006075B1">
        <w:rPr>
          <w:rFonts w:ascii="Arial" w:eastAsia="Times New Roman" w:hAnsi="Arial" w:cs="Arial"/>
          <w:lang w:eastAsia="en-AU"/>
        </w:rPr>
        <w:t>The amendments</w:t>
      </w:r>
      <w:r w:rsidR="006075B1" w:rsidRPr="006075B1">
        <w:rPr>
          <w:rFonts w:ascii="Arial" w:eastAsia="Times New Roman" w:hAnsi="Arial" w:cs="Arial"/>
          <w:lang w:eastAsia="en-AU"/>
        </w:rPr>
        <w:t xml:space="preserve"> do not represent any change in policy. They </w:t>
      </w:r>
      <w:r w:rsidR="00BE6857">
        <w:rPr>
          <w:rFonts w:ascii="Arial" w:eastAsia="Times New Roman" w:hAnsi="Arial" w:cs="Arial"/>
          <w:lang w:eastAsia="en-AU"/>
        </w:rPr>
        <w:t xml:space="preserve">reflect correct </w:t>
      </w:r>
      <w:r w:rsidR="006075B1" w:rsidRPr="006075B1">
        <w:rPr>
          <w:rFonts w:ascii="Arial" w:eastAsia="Times New Roman" w:hAnsi="Arial" w:cs="Arial"/>
          <w:lang w:eastAsia="en-AU"/>
        </w:rPr>
        <w:t>administration of the law.</w:t>
      </w:r>
    </w:p>
    <w:p w14:paraId="7DB8C878" w14:textId="77777777" w:rsidR="000D4F6F" w:rsidRPr="00F616D7" w:rsidRDefault="000D4F6F" w:rsidP="00413E6D">
      <w:pPr>
        <w:spacing w:after="120"/>
        <w:rPr>
          <w:rFonts w:ascii="Arial" w:hAnsi="Arial" w:cs="Arial"/>
        </w:rPr>
      </w:pPr>
    </w:p>
    <w:p w14:paraId="04E2FB97" w14:textId="737D8106" w:rsidR="00285C45" w:rsidRPr="007E0A01" w:rsidRDefault="00285C45" w:rsidP="00285C45">
      <w:pPr>
        <w:pStyle w:val="Heading2"/>
        <w:spacing w:after="0"/>
        <w:rPr>
          <w:rFonts w:cs="Arial"/>
          <w:sz w:val="24"/>
          <w:szCs w:val="24"/>
        </w:rPr>
      </w:pPr>
      <w:r w:rsidRPr="007E0A01">
        <w:rPr>
          <w:rFonts w:cs="Arial"/>
          <w:sz w:val="24"/>
          <w:szCs w:val="24"/>
        </w:rPr>
        <w:t>Consultation</w:t>
      </w:r>
    </w:p>
    <w:p w14:paraId="12DA8FB3" w14:textId="77777777" w:rsidR="00285C45" w:rsidRPr="007E0A01" w:rsidRDefault="00285C45" w:rsidP="00285C45">
      <w:pPr>
        <w:keepNext/>
        <w:keepLines/>
        <w:rPr>
          <w:rFonts w:ascii="Arial" w:hAnsi="Arial" w:cs="Arial"/>
          <w:color w:val="000000"/>
        </w:rPr>
      </w:pPr>
    </w:p>
    <w:p w14:paraId="2CD8EDCC" w14:textId="094CD663" w:rsidR="002546E9" w:rsidRDefault="0016666D" w:rsidP="00B135AF">
      <w:pPr>
        <w:numPr>
          <w:ilvl w:val="0"/>
          <w:numId w:val="16"/>
        </w:numPr>
        <w:tabs>
          <w:tab w:val="clear" w:pos="1070"/>
          <w:tab w:val="num" w:pos="361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</w:t>
      </w:r>
      <w:r w:rsidR="0005537D">
        <w:rPr>
          <w:rFonts w:ascii="Arial" w:hAnsi="Arial" w:cs="Arial"/>
          <w:sz w:val="22"/>
          <w:szCs w:val="22"/>
        </w:rPr>
        <w:t xml:space="preserve">the </w:t>
      </w:r>
      <w:r w:rsidR="008B3670">
        <w:rPr>
          <w:rFonts w:ascii="Arial" w:hAnsi="Arial" w:cs="Arial"/>
          <w:sz w:val="22"/>
          <w:szCs w:val="22"/>
        </w:rPr>
        <w:t>Commissioner</w:t>
      </w:r>
      <w:r w:rsidR="0005537D">
        <w:rPr>
          <w:rFonts w:ascii="Arial" w:hAnsi="Arial" w:cs="Arial"/>
          <w:sz w:val="22"/>
          <w:szCs w:val="22"/>
        </w:rPr>
        <w:t xml:space="preserve"> makes</w:t>
      </w:r>
      <w:r>
        <w:rPr>
          <w:rFonts w:ascii="Arial" w:hAnsi="Arial" w:cs="Arial"/>
          <w:sz w:val="22"/>
          <w:szCs w:val="22"/>
        </w:rPr>
        <w:t xml:space="preserve"> a legislative instrument that include</w:t>
      </w:r>
      <w:r w:rsidR="0000604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new effective life determinations</w:t>
      </w:r>
      <w:r w:rsidR="002546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significant consultation process </w:t>
      </w:r>
      <w:r w:rsidR="00FE141A">
        <w:rPr>
          <w:rFonts w:ascii="Arial" w:hAnsi="Arial" w:cs="Arial"/>
          <w:sz w:val="22"/>
          <w:szCs w:val="22"/>
        </w:rPr>
        <w:t>is</w:t>
      </w:r>
      <w:r w:rsidR="000553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undertaken. This </w:t>
      </w:r>
      <w:r w:rsidR="0005537D">
        <w:rPr>
          <w:rFonts w:ascii="Arial" w:hAnsi="Arial" w:cs="Arial"/>
          <w:sz w:val="22"/>
          <w:szCs w:val="22"/>
        </w:rPr>
        <w:t xml:space="preserve">typically </w:t>
      </w:r>
      <w:r>
        <w:rPr>
          <w:rFonts w:ascii="Arial" w:hAnsi="Arial" w:cs="Arial"/>
          <w:sz w:val="22"/>
          <w:szCs w:val="22"/>
        </w:rPr>
        <w:t>includes publication of n</w:t>
      </w:r>
      <w:r w:rsidRPr="0016666D">
        <w:rPr>
          <w:rFonts w:ascii="Arial" w:hAnsi="Arial" w:cs="Arial"/>
          <w:sz w:val="22"/>
          <w:szCs w:val="22"/>
        </w:rPr>
        <w:t>otifications of the various rev</w:t>
      </w:r>
      <w:r>
        <w:rPr>
          <w:rFonts w:ascii="Arial" w:hAnsi="Arial" w:cs="Arial"/>
          <w:sz w:val="22"/>
          <w:szCs w:val="22"/>
        </w:rPr>
        <w:t xml:space="preserve">iews being conducted </w:t>
      </w:r>
      <w:r w:rsidRPr="0016666D">
        <w:rPr>
          <w:rFonts w:ascii="Arial" w:hAnsi="Arial" w:cs="Arial"/>
          <w:sz w:val="22"/>
          <w:szCs w:val="22"/>
        </w:rPr>
        <w:t>on the ATO website with an invitation to participate in the reviews</w:t>
      </w:r>
      <w:r>
        <w:rPr>
          <w:rFonts w:ascii="Arial" w:hAnsi="Arial" w:cs="Arial"/>
          <w:sz w:val="22"/>
          <w:szCs w:val="22"/>
        </w:rPr>
        <w:t xml:space="preserve">; publication of draft effective </w:t>
      </w:r>
      <w:r w:rsidR="008B3670">
        <w:rPr>
          <w:rFonts w:ascii="Arial" w:hAnsi="Arial" w:cs="Arial"/>
          <w:sz w:val="22"/>
          <w:szCs w:val="22"/>
        </w:rPr>
        <w:t>lives</w:t>
      </w:r>
      <w:r w:rsidR="00006044" w:rsidRPr="00006044">
        <w:rPr>
          <w:rFonts w:ascii="Arial" w:hAnsi="Arial" w:cs="Arial"/>
          <w:sz w:val="22"/>
          <w:szCs w:val="22"/>
        </w:rPr>
        <w:t xml:space="preserve"> along with requests for feedback</w:t>
      </w:r>
      <w:r w:rsidR="00006044">
        <w:rPr>
          <w:rFonts w:ascii="Arial" w:hAnsi="Arial" w:cs="Arial"/>
          <w:sz w:val="22"/>
          <w:szCs w:val="22"/>
        </w:rPr>
        <w:t xml:space="preserve">; and </w:t>
      </w:r>
      <w:r>
        <w:rPr>
          <w:rFonts w:ascii="Arial" w:hAnsi="Arial" w:cs="Arial"/>
          <w:sz w:val="22"/>
          <w:szCs w:val="22"/>
        </w:rPr>
        <w:t xml:space="preserve">sending the draft to </w:t>
      </w:r>
      <w:r w:rsidRPr="0016666D">
        <w:rPr>
          <w:rFonts w:ascii="Arial" w:hAnsi="Arial" w:cs="Arial"/>
          <w:sz w:val="22"/>
          <w:szCs w:val="22"/>
        </w:rPr>
        <w:t>key stakeholders, including industry participants and associations</w:t>
      </w:r>
      <w:r w:rsidR="0005537D">
        <w:rPr>
          <w:rFonts w:ascii="Arial" w:hAnsi="Arial" w:cs="Arial"/>
          <w:sz w:val="22"/>
          <w:szCs w:val="22"/>
        </w:rPr>
        <w:t xml:space="preserve">, </w:t>
      </w:r>
      <w:r w:rsidRPr="0016666D">
        <w:rPr>
          <w:rFonts w:ascii="Arial" w:hAnsi="Arial" w:cs="Arial"/>
          <w:sz w:val="22"/>
          <w:szCs w:val="22"/>
        </w:rPr>
        <w:t>for</w:t>
      </w:r>
      <w:r w:rsidR="00006044">
        <w:rPr>
          <w:rFonts w:ascii="Arial" w:hAnsi="Arial" w:cs="Arial"/>
          <w:sz w:val="22"/>
          <w:szCs w:val="22"/>
        </w:rPr>
        <w:t xml:space="preserve"> comment</w:t>
      </w:r>
      <w:r>
        <w:rPr>
          <w:rFonts w:ascii="Arial" w:hAnsi="Arial" w:cs="Arial"/>
          <w:sz w:val="22"/>
          <w:szCs w:val="22"/>
        </w:rPr>
        <w:t xml:space="preserve">. </w:t>
      </w:r>
      <w:r w:rsidR="00006044">
        <w:rPr>
          <w:rFonts w:ascii="Arial" w:hAnsi="Arial" w:cs="Arial"/>
          <w:sz w:val="22"/>
          <w:szCs w:val="22"/>
        </w:rPr>
        <w:t>A</w:t>
      </w:r>
      <w:r w:rsidR="00006044" w:rsidRPr="00006044">
        <w:rPr>
          <w:rFonts w:ascii="Arial" w:hAnsi="Arial" w:cs="Arial"/>
          <w:sz w:val="22"/>
          <w:szCs w:val="22"/>
        </w:rPr>
        <w:t xml:space="preserve">n </w:t>
      </w:r>
      <w:r w:rsidR="008B3670" w:rsidRPr="00006044">
        <w:rPr>
          <w:rFonts w:ascii="Arial" w:hAnsi="Arial" w:cs="Arial"/>
          <w:sz w:val="22"/>
          <w:szCs w:val="22"/>
        </w:rPr>
        <w:t>independent</w:t>
      </w:r>
      <w:r w:rsidR="00006044" w:rsidRPr="00006044">
        <w:rPr>
          <w:rFonts w:ascii="Arial" w:hAnsi="Arial" w:cs="Arial"/>
          <w:sz w:val="22"/>
          <w:szCs w:val="22"/>
        </w:rPr>
        <w:t xml:space="preserve"> Review Panel </w:t>
      </w:r>
      <w:r w:rsidR="00006044">
        <w:rPr>
          <w:rFonts w:ascii="Arial" w:hAnsi="Arial" w:cs="Arial"/>
          <w:sz w:val="22"/>
          <w:szCs w:val="22"/>
        </w:rPr>
        <w:t>is also involved to ensure that appropriate</w:t>
      </w:r>
      <w:r w:rsidR="00006044" w:rsidRPr="00006044">
        <w:rPr>
          <w:rFonts w:ascii="Arial" w:hAnsi="Arial" w:cs="Arial"/>
          <w:sz w:val="22"/>
          <w:szCs w:val="22"/>
        </w:rPr>
        <w:t xml:space="preserve"> level of consultations</w:t>
      </w:r>
      <w:r w:rsidR="00006044">
        <w:rPr>
          <w:rFonts w:ascii="Arial" w:hAnsi="Arial" w:cs="Arial"/>
          <w:sz w:val="22"/>
          <w:szCs w:val="22"/>
        </w:rPr>
        <w:t xml:space="preserve"> has been carried out</w:t>
      </w:r>
      <w:r w:rsidR="00006044" w:rsidRPr="00006044">
        <w:rPr>
          <w:rFonts w:ascii="Arial" w:hAnsi="Arial" w:cs="Arial"/>
          <w:sz w:val="22"/>
          <w:szCs w:val="22"/>
        </w:rPr>
        <w:t>.</w:t>
      </w:r>
    </w:p>
    <w:p w14:paraId="6170B8FC" w14:textId="77777777" w:rsidR="00006044" w:rsidRDefault="00006044" w:rsidP="00B135AF">
      <w:pPr>
        <w:ind w:left="357" w:hanging="357"/>
        <w:rPr>
          <w:rFonts w:ascii="Arial" w:hAnsi="Arial" w:cs="Arial"/>
          <w:sz w:val="22"/>
          <w:szCs w:val="22"/>
        </w:rPr>
      </w:pPr>
    </w:p>
    <w:p w14:paraId="586475CE" w14:textId="53B94B8D" w:rsidR="00C23907" w:rsidRPr="00AA55EF" w:rsidRDefault="00F678D0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However, </w:t>
      </w:r>
      <w:r w:rsidR="008B3670">
        <w:rPr>
          <w:rFonts w:ascii="Arial" w:eastAsia="Times New Roman" w:hAnsi="Arial" w:cs="Arial"/>
          <w:lang w:eastAsia="en-AU"/>
        </w:rPr>
        <w:t>c</w:t>
      </w:r>
      <w:r w:rsidR="008B3670" w:rsidRPr="00846531">
        <w:rPr>
          <w:rFonts w:ascii="Arial" w:eastAsia="Times New Roman" w:hAnsi="Arial" w:cs="Arial"/>
          <w:lang w:eastAsia="en-AU"/>
        </w:rPr>
        <w:t>ons</w:t>
      </w:r>
      <w:r w:rsidR="008B3670">
        <w:rPr>
          <w:rFonts w:ascii="Arial" w:eastAsia="Times New Roman" w:hAnsi="Arial" w:cs="Arial"/>
          <w:lang w:eastAsia="en-AU"/>
        </w:rPr>
        <w:t>ultation</w:t>
      </w:r>
      <w:r w:rsidR="00846531">
        <w:rPr>
          <w:rFonts w:ascii="Arial" w:eastAsia="Times New Roman" w:hAnsi="Arial" w:cs="Arial"/>
          <w:lang w:eastAsia="en-AU"/>
        </w:rPr>
        <w:t xml:space="preserve"> </w:t>
      </w:r>
      <w:r w:rsidR="007C27E0">
        <w:rPr>
          <w:rFonts w:ascii="Arial" w:eastAsia="Times New Roman" w:hAnsi="Arial" w:cs="Arial"/>
          <w:lang w:eastAsia="en-AU"/>
        </w:rPr>
        <w:t>for th</w:t>
      </w:r>
      <w:r w:rsidR="009561A9">
        <w:rPr>
          <w:rFonts w:ascii="Arial" w:eastAsia="Times New Roman" w:hAnsi="Arial" w:cs="Arial"/>
          <w:lang w:eastAsia="en-AU"/>
        </w:rPr>
        <w:t>e amendments in this instrument</w:t>
      </w:r>
      <w:r w:rsidR="007C27E0">
        <w:rPr>
          <w:rFonts w:ascii="Arial" w:eastAsia="Times New Roman" w:hAnsi="Arial" w:cs="Arial"/>
          <w:lang w:eastAsia="en-AU"/>
        </w:rPr>
        <w:t xml:space="preserve"> </w:t>
      </w:r>
      <w:r w:rsidR="00846531">
        <w:rPr>
          <w:rFonts w:ascii="Arial" w:eastAsia="Times New Roman" w:hAnsi="Arial" w:cs="Arial"/>
          <w:lang w:eastAsia="en-AU"/>
        </w:rPr>
        <w:t xml:space="preserve">is </w:t>
      </w:r>
      <w:r w:rsidR="007C27E0">
        <w:rPr>
          <w:rFonts w:ascii="Arial" w:eastAsia="Times New Roman" w:hAnsi="Arial" w:cs="Arial"/>
          <w:lang w:eastAsia="en-AU"/>
        </w:rPr>
        <w:t>not considered</w:t>
      </w:r>
      <w:r w:rsidR="00FE141A">
        <w:rPr>
          <w:rFonts w:ascii="Arial" w:eastAsia="Times New Roman" w:hAnsi="Arial" w:cs="Arial"/>
          <w:lang w:eastAsia="en-AU"/>
        </w:rPr>
        <w:t xml:space="preserve"> necessary</w:t>
      </w:r>
      <w:r w:rsidR="009561A9">
        <w:rPr>
          <w:rFonts w:ascii="Arial" w:eastAsia="Times New Roman" w:hAnsi="Arial" w:cs="Arial"/>
          <w:lang w:eastAsia="en-AU"/>
        </w:rPr>
        <w:t>.</w:t>
      </w:r>
      <w:r w:rsidR="00BE6857">
        <w:rPr>
          <w:rFonts w:ascii="Arial" w:eastAsia="Times New Roman" w:hAnsi="Arial" w:cs="Arial"/>
          <w:lang w:eastAsia="en-AU"/>
        </w:rPr>
        <w:t xml:space="preserve"> </w:t>
      </w:r>
      <w:r w:rsidR="00724A55" w:rsidRPr="00AA55EF">
        <w:rPr>
          <w:rFonts w:ascii="Arial" w:eastAsia="Times New Roman" w:hAnsi="Arial" w:cs="Arial"/>
          <w:lang w:eastAsia="en-AU"/>
        </w:rPr>
        <w:t>The</w:t>
      </w:r>
      <w:r w:rsidR="0080088F" w:rsidRPr="00AA55EF">
        <w:rPr>
          <w:rFonts w:ascii="Arial" w:eastAsia="Times New Roman" w:hAnsi="Arial" w:cs="Arial"/>
          <w:lang w:eastAsia="en-AU"/>
        </w:rPr>
        <w:t>se</w:t>
      </w:r>
      <w:r w:rsidR="006A6008" w:rsidRPr="00AA55EF">
        <w:rPr>
          <w:rFonts w:ascii="Arial" w:eastAsia="Times New Roman" w:hAnsi="Arial" w:cs="Arial"/>
          <w:lang w:eastAsia="en-AU"/>
        </w:rPr>
        <w:t xml:space="preserve"> </w:t>
      </w:r>
      <w:proofErr w:type="gramStart"/>
      <w:r w:rsidR="006A6008" w:rsidRPr="00AA55EF">
        <w:rPr>
          <w:rFonts w:ascii="Arial" w:eastAsia="Times New Roman" w:hAnsi="Arial" w:cs="Arial"/>
          <w:lang w:eastAsia="en-AU"/>
        </w:rPr>
        <w:t>particular</w:t>
      </w:r>
      <w:r w:rsidR="00724A55" w:rsidRPr="00AA55EF">
        <w:rPr>
          <w:rFonts w:ascii="Arial" w:eastAsia="Times New Roman" w:hAnsi="Arial" w:cs="Arial"/>
          <w:lang w:eastAsia="en-AU"/>
        </w:rPr>
        <w:t xml:space="preserve"> amendment</w:t>
      </w:r>
      <w:r w:rsidR="0080088F" w:rsidRPr="00AA55EF">
        <w:rPr>
          <w:rFonts w:ascii="Arial" w:eastAsia="Times New Roman" w:hAnsi="Arial" w:cs="Arial"/>
          <w:lang w:eastAsia="en-AU"/>
        </w:rPr>
        <w:t>s</w:t>
      </w:r>
      <w:proofErr w:type="gramEnd"/>
      <w:r w:rsidR="005B453B" w:rsidRPr="00AA55EF">
        <w:rPr>
          <w:rFonts w:ascii="Arial" w:eastAsia="Times New Roman" w:hAnsi="Arial" w:cs="Arial"/>
          <w:lang w:eastAsia="en-AU"/>
        </w:rPr>
        <w:t xml:space="preserve"> </w:t>
      </w:r>
      <w:r w:rsidR="00724A55" w:rsidRPr="00AA55EF">
        <w:rPr>
          <w:rFonts w:ascii="Arial" w:eastAsia="Times New Roman" w:hAnsi="Arial" w:cs="Arial"/>
          <w:lang w:eastAsia="en-AU"/>
        </w:rPr>
        <w:t xml:space="preserve">will have </w:t>
      </w:r>
      <w:r w:rsidR="00AE1D3B">
        <w:rPr>
          <w:rFonts w:ascii="Arial" w:eastAsia="Times New Roman" w:hAnsi="Arial" w:cs="Arial"/>
          <w:lang w:eastAsia="en-AU"/>
        </w:rPr>
        <w:t xml:space="preserve">little or no </w:t>
      </w:r>
      <w:r w:rsidR="00724A55" w:rsidRPr="00AA55EF">
        <w:rPr>
          <w:rFonts w:ascii="Arial" w:eastAsia="Times New Roman" w:hAnsi="Arial" w:cs="Arial"/>
          <w:lang w:eastAsia="en-AU"/>
        </w:rPr>
        <w:t xml:space="preserve">impact on the oil and gas extraction industry as </w:t>
      </w:r>
      <w:r w:rsidR="0080088F" w:rsidRPr="00AA55EF">
        <w:rPr>
          <w:rFonts w:ascii="Arial" w:eastAsia="Times New Roman" w:hAnsi="Arial" w:cs="Arial"/>
          <w:lang w:eastAsia="en-AU"/>
        </w:rPr>
        <w:t>t</w:t>
      </w:r>
      <w:r w:rsidR="003D0233">
        <w:rPr>
          <w:rFonts w:ascii="Arial" w:eastAsia="Times New Roman" w:hAnsi="Arial" w:cs="Arial"/>
          <w:lang w:eastAsia="en-AU"/>
        </w:rPr>
        <w:t>axpayers</w:t>
      </w:r>
      <w:r w:rsidR="00724A55" w:rsidRPr="00AA55EF">
        <w:rPr>
          <w:rFonts w:ascii="Arial" w:eastAsia="Times New Roman" w:hAnsi="Arial" w:cs="Arial"/>
          <w:lang w:eastAsia="en-AU"/>
        </w:rPr>
        <w:t xml:space="preserve"> </w:t>
      </w:r>
      <w:r w:rsidR="006A6008" w:rsidRPr="00AA55EF">
        <w:rPr>
          <w:rFonts w:ascii="Arial" w:eastAsia="Times New Roman" w:hAnsi="Arial" w:cs="Arial"/>
          <w:lang w:eastAsia="en-AU"/>
        </w:rPr>
        <w:t xml:space="preserve">will </w:t>
      </w:r>
      <w:r w:rsidR="00891D53">
        <w:rPr>
          <w:rFonts w:ascii="Arial" w:eastAsia="Times New Roman" w:hAnsi="Arial" w:cs="Arial"/>
          <w:lang w:eastAsia="en-AU"/>
        </w:rPr>
        <w:t xml:space="preserve">be able to rely on </w:t>
      </w:r>
      <w:r w:rsidR="006A6008" w:rsidRPr="00AA55EF">
        <w:rPr>
          <w:rFonts w:ascii="Arial" w:eastAsia="Times New Roman" w:hAnsi="Arial" w:cs="Arial"/>
          <w:lang w:eastAsia="en-AU"/>
        </w:rPr>
        <w:t xml:space="preserve">the longstanding </w:t>
      </w:r>
      <w:r w:rsidR="00724A55" w:rsidRPr="00AA55EF">
        <w:rPr>
          <w:rFonts w:ascii="Arial" w:eastAsia="Times New Roman" w:hAnsi="Arial" w:cs="Arial"/>
          <w:lang w:eastAsia="en-AU"/>
        </w:rPr>
        <w:t xml:space="preserve">wording </w:t>
      </w:r>
      <w:r w:rsidR="00BE6857">
        <w:rPr>
          <w:rFonts w:ascii="Arial" w:eastAsia="Times New Roman" w:hAnsi="Arial" w:cs="Arial"/>
          <w:lang w:eastAsia="en-AU"/>
        </w:rPr>
        <w:t>that</w:t>
      </w:r>
      <w:r w:rsidR="00BE6857" w:rsidRPr="00AA55EF">
        <w:rPr>
          <w:rFonts w:ascii="Arial" w:eastAsia="Times New Roman" w:hAnsi="Arial" w:cs="Arial"/>
          <w:lang w:eastAsia="en-AU"/>
        </w:rPr>
        <w:t xml:space="preserve"> </w:t>
      </w:r>
      <w:r w:rsidR="00724A55" w:rsidRPr="00AA55EF">
        <w:rPr>
          <w:rFonts w:ascii="Arial" w:eastAsia="Times New Roman" w:hAnsi="Arial" w:cs="Arial"/>
          <w:lang w:eastAsia="en-AU"/>
        </w:rPr>
        <w:t xml:space="preserve">has been </w:t>
      </w:r>
      <w:r w:rsidR="008B3670" w:rsidRPr="00AA55EF">
        <w:rPr>
          <w:rFonts w:ascii="Arial" w:eastAsia="Times New Roman" w:hAnsi="Arial" w:cs="Arial"/>
          <w:lang w:eastAsia="en-AU"/>
        </w:rPr>
        <w:t>extensively</w:t>
      </w:r>
      <w:r w:rsidR="0080088F" w:rsidRPr="00AA55EF">
        <w:rPr>
          <w:rFonts w:ascii="Arial" w:eastAsia="Times New Roman" w:hAnsi="Arial" w:cs="Arial"/>
          <w:lang w:eastAsia="en-AU"/>
        </w:rPr>
        <w:t xml:space="preserve"> </w:t>
      </w:r>
      <w:r w:rsidR="008B3670" w:rsidRPr="00AA55EF">
        <w:rPr>
          <w:rFonts w:ascii="Arial" w:eastAsia="Times New Roman" w:hAnsi="Arial" w:cs="Arial"/>
          <w:lang w:eastAsia="en-AU"/>
        </w:rPr>
        <w:t>consulted</w:t>
      </w:r>
      <w:r w:rsidR="0080088F" w:rsidRPr="00AA55EF">
        <w:rPr>
          <w:rFonts w:ascii="Arial" w:eastAsia="Times New Roman" w:hAnsi="Arial" w:cs="Arial"/>
          <w:lang w:eastAsia="en-AU"/>
        </w:rPr>
        <w:t xml:space="preserve"> on in the past. The amendments</w:t>
      </w:r>
      <w:r w:rsidR="00724A55" w:rsidRPr="00AA55EF">
        <w:rPr>
          <w:rFonts w:ascii="Arial" w:eastAsia="Times New Roman" w:hAnsi="Arial" w:cs="Arial"/>
          <w:lang w:eastAsia="en-AU"/>
        </w:rPr>
        <w:t xml:space="preserve"> provide </w:t>
      </w:r>
      <w:r w:rsidR="008B3670" w:rsidRPr="00AA55EF">
        <w:rPr>
          <w:rFonts w:ascii="Arial" w:eastAsia="Times New Roman" w:hAnsi="Arial" w:cs="Arial"/>
          <w:lang w:eastAsia="en-AU"/>
        </w:rPr>
        <w:t>certainty</w:t>
      </w:r>
      <w:r w:rsidR="00724A55" w:rsidRPr="00AA55EF">
        <w:rPr>
          <w:rFonts w:ascii="Arial" w:eastAsia="Times New Roman" w:hAnsi="Arial" w:cs="Arial"/>
          <w:lang w:eastAsia="en-AU"/>
        </w:rPr>
        <w:t xml:space="preserve"> for the taxpayer</w:t>
      </w:r>
      <w:r w:rsidR="006A6008" w:rsidRPr="00AA55EF">
        <w:rPr>
          <w:rFonts w:ascii="Arial" w:eastAsia="Times New Roman" w:hAnsi="Arial" w:cs="Arial"/>
          <w:lang w:eastAsia="en-AU"/>
        </w:rPr>
        <w:t>s</w:t>
      </w:r>
      <w:r w:rsidR="00724A55" w:rsidRPr="00AA55EF">
        <w:rPr>
          <w:rFonts w:ascii="Arial" w:eastAsia="Times New Roman" w:hAnsi="Arial" w:cs="Arial"/>
          <w:lang w:eastAsia="en-AU"/>
        </w:rPr>
        <w:t xml:space="preserve"> who have relied on </w:t>
      </w:r>
      <w:r w:rsidR="00FE141A" w:rsidRPr="00AA55EF">
        <w:rPr>
          <w:rFonts w:ascii="Arial" w:eastAsia="Times New Roman" w:hAnsi="Arial" w:cs="Arial"/>
          <w:lang w:eastAsia="en-AU"/>
        </w:rPr>
        <w:t xml:space="preserve">the </w:t>
      </w:r>
      <w:r w:rsidR="006A6008" w:rsidRPr="00AA55EF">
        <w:rPr>
          <w:rFonts w:ascii="Arial" w:eastAsia="Times New Roman" w:hAnsi="Arial" w:cs="Arial"/>
          <w:lang w:eastAsia="en-AU"/>
        </w:rPr>
        <w:t>original</w:t>
      </w:r>
      <w:r w:rsidR="00724A55" w:rsidRPr="00AA55EF">
        <w:rPr>
          <w:rFonts w:ascii="Arial" w:eastAsia="Times New Roman" w:hAnsi="Arial" w:cs="Arial"/>
          <w:lang w:eastAsia="en-AU"/>
        </w:rPr>
        <w:t xml:space="preserve"> </w:t>
      </w:r>
      <w:r w:rsidR="00BE6857">
        <w:rPr>
          <w:rFonts w:ascii="Arial" w:eastAsia="Times New Roman" w:hAnsi="Arial" w:cs="Arial"/>
          <w:lang w:eastAsia="en-AU"/>
        </w:rPr>
        <w:t>wording in</w:t>
      </w:r>
      <w:r w:rsidR="006A6008" w:rsidRPr="00AA55EF">
        <w:rPr>
          <w:rFonts w:ascii="Arial" w:eastAsia="Times New Roman" w:hAnsi="Arial" w:cs="Arial"/>
          <w:lang w:eastAsia="en-AU"/>
        </w:rPr>
        <w:t xml:space="preserve"> the determination </w:t>
      </w:r>
      <w:r w:rsidR="00724A55" w:rsidRPr="00AA55EF">
        <w:rPr>
          <w:rFonts w:ascii="Arial" w:eastAsia="Times New Roman" w:hAnsi="Arial" w:cs="Arial"/>
          <w:lang w:eastAsia="en-AU"/>
        </w:rPr>
        <w:t>in previous years.</w:t>
      </w:r>
    </w:p>
    <w:p w14:paraId="553A40C4" w14:textId="77777777" w:rsidR="00C23907" w:rsidRPr="00413E6D" w:rsidRDefault="00C23907" w:rsidP="00B135AF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</w:p>
    <w:p w14:paraId="271701B5" w14:textId="55591872" w:rsidR="009561A9" w:rsidRDefault="00BE0812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T</w:t>
      </w:r>
      <w:r w:rsidRPr="00BE0812">
        <w:rPr>
          <w:rFonts w:ascii="Arial" w:eastAsia="Times New Roman" w:hAnsi="Arial" w:cs="Arial"/>
          <w:lang w:eastAsia="en-AU"/>
        </w:rPr>
        <w:t xml:space="preserve">he </w:t>
      </w:r>
      <w:r>
        <w:rPr>
          <w:rFonts w:ascii="Arial" w:eastAsia="Times New Roman" w:hAnsi="Arial" w:cs="Arial"/>
          <w:lang w:eastAsia="en-AU"/>
        </w:rPr>
        <w:t>amendment</w:t>
      </w:r>
      <w:r w:rsidR="00724A55">
        <w:rPr>
          <w:rFonts w:ascii="Arial" w:eastAsia="Times New Roman" w:hAnsi="Arial" w:cs="Arial"/>
          <w:lang w:eastAsia="en-AU"/>
        </w:rPr>
        <w:t>s</w:t>
      </w:r>
      <w:r w:rsidRPr="00BE0812">
        <w:rPr>
          <w:rFonts w:ascii="Arial" w:eastAsia="Times New Roman" w:hAnsi="Arial" w:cs="Arial"/>
          <w:lang w:eastAsia="en-AU"/>
        </w:rPr>
        <w:t xml:space="preserve"> </w:t>
      </w:r>
      <w:r w:rsidR="00724A55">
        <w:rPr>
          <w:rFonts w:ascii="Arial" w:eastAsia="Times New Roman" w:hAnsi="Arial" w:cs="Arial"/>
          <w:lang w:eastAsia="en-AU"/>
        </w:rPr>
        <w:t>are</w:t>
      </w:r>
      <w:r w:rsidRPr="00BE0812">
        <w:rPr>
          <w:rFonts w:ascii="Arial" w:eastAsia="Times New Roman" w:hAnsi="Arial" w:cs="Arial"/>
          <w:lang w:eastAsia="en-AU"/>
        </w:rPr>
        <w:t xml:space="preserve"> not expected to have any revenue impact. </w:t>
      </w:r>
      <w:r w:rsidR="00027788" w:rsidRPr="00027788">
        <w:rPr>
          <w:rFonts w:ascii="Arial" w:eastAsia="Times New Roman" w:hAnsi="Arial" w:cs="Arial"/>
          <w:lang w:eastAsia="en-AU"/>
        </w:rPr>
        <w:t>Th</w:t>
      </w:r>
      <w:r w:rsidR="00027788">
        <w:rPr>
          <w:rFonts w:ascii="Arial" w:eastAsia="Times New Roman" w:hAnsi="Arial" w:cs="Arial"/>
          <w:lang w:eastAsia="en-AU"/>
        </w:rPr>
        <w:t>e</w:t>
      </w:r>
      <w:r w:rsidR="00F03ED3">
        <w:rPr>
          <w:rFonts w:ascii="Arial" w:eastAsia="Times New Roman" w:hAnsi="Arial" w:cs="Arial"/>
          <w:lang w:eastAsia="en-AU"/>
        </w:rPr>
        <w:t>y</w:t>
      </w:r>
      <w:r w:rsidR="00027788" w:rsidRPr="00027788">
        <w:rPr>
          <w:rFonts w:ascii="Arial" w:eastAsia="Times New Roman" w:hAnsi="Arial" w:cs="Arial"/>
          <w:lang w:eastAsia="en-AU"/>
        </w:rPr>
        <w:t xml:space="preserve"> </w:t>
      </w:r>
      <w:r w:rsidR="00F03ED3">
        <w:rPr>
          <w:rFonts w:ascii="Arial" w:eastAsia="Times New Roman" w:hAnsi="Arial" w:cs="Arial"/>
          <w:lang w:eastAsia="en-AU"/>
        </w:rPr>
        <w:t>allow</w:t>
      </w:r>
      <w:r w:rsidR="00027788" w:rsidRPr="00027788">
        <w:rPr>
          <w:rFonts w:ascii="Arial" w:eastAsia="Times New Roman" w:hAnsi="Arial" w:cs="Arial"/>
          <w:lang w:eastAsia="en-AU"/>
        </w:rPr>
        <w:t xml:space="preserve"> taxpayers </w:t>
      </w:r>
      <w:r w:rsidR="00027788">
        <w:rPr>
          <w:rFonts w:ascii="Arial" w:eastAsia="Times New Roman" w:hAnsi="Arial" w:cs="Arial"/>
          <w:lang w:eastAsia="en-AU"/>
        </w:rPr>
        <w:t>to</w:t>
      </w:r>
      <w:r w:rsidR="00027788" w:rsidRPr="00027788">
        <w:rPr>
          <w:rFonts w:ascii="Arial" w:eastAsia="Times New Roman" w:hAnsi="Arial" w:cs="Arial"/>
          <w:lang w:eastAsia="en-AU"/>
        </w:rPr>
        <w:t xml:space="preserve"> apply the effective life determined by the Commissioner for these </w:t>
      </w:r>
      <w:proofErr w:type="gramStart"/>
      <w:r w:rsidR="00027788" w:rsidRPr="00027788">
        <w:rPr>
          <w:rFonts w:ascii="Arial" w:eastAsia="Times New Roman" w:hAnsi="Arial" w:cs="Arial"/>
          <w:lang w:eastAsia="en-AU"/>
        </w:rPr>
        <w:t>particular deprec</w:t>
      </w:r>
      <w:r w:rsidR="00561107">
        <w:rPr>
          <w:rFonts w:ascii="Arial" w:eastAsia="Times New Roman" w:hAnsi="Arial" w:cs="Arial"/>
          <w:lang w:eastAsia="en-AU"/>
        </w:rPr>
        <w:t>i</w:t>
      </w:r>
      <w:r w:rsidR="00027788" w:rsidRPr="00027788">
        <w:rPr>
          <w:rFonts w:ascii="Arial" w:eastAsia="Times New Roman" w:hAnsi="Arial" w:cs="Arial"/>
          <w:lang w:eastAsia="en-AU"/>
        </w:rPr>
        <w:t>ating</w:t>
      </w:r>
      <w:proofErr w:type="gramEnd"/>
      <w:r w:rsidR="00027788" w:rsidRPr="00027788">
        <w:rPr>
          <w:rFonts w:ascii="Arial" w:eastAsia="Times New Roman" w:hAnsi="Arial" w:cs="Arial"/>
          <w:lang w:eastAsia="en-AU"/>
        </w:rPr>
        <w:t xml:space="preserve"> assets in the same way as they </w:t>
      </w:r>
      <w:r w:rsidR="00891D53">
        <w:rPr>
          <w:rFonts w:ascii="Arial" w:eastAsia="Times New Roman" w:hAnsi="Arial" w:cs="Arial"/>
          <w:lang w:eastAsia="en-AU"/>
        </w:rPr>
        <w:t xml:space="preserve">did </w:t>
      </w:r>
      <w:r w:rsidR="00027788" w:rsidRPr="00027788">
        <w:rPr>
          <w:rFonts w:ascii="Arial" w:eastAsia="Times New Roman" w:hAnsi="Arial" w:cs="Arial"/>
          <w:lang w:eastAsia="en-AU"/>
        </w:rPr>
        <w:t>previously</w:t>
      </w:r>
      <w:r w:rsidRPr="00BE0812">
        <w:rPr>
          <w:rFonts w:ascii="Arial" w:eastAsia="Times New Roman" w:hAnsi="Arial" w:cs="Arial"/>
          <w:lang w:eastAsia="en-AU"/>
        </w:rPr>
        <w:t>.</w:t>
      </w:r>
    </w:p>
    <w:p w14:paraId="455B5749" w14:textId="77777777" w:rsidR="00C23907" w:rsidRPr="00413E6D" w:rsidRDefault="00C23907" w:rsidP="00B135AF">
      <w:pPr>
        <w:pStyle w:val="ListParagraph"/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</w:p>
    <w:p w14:paraId="2F1C9CA5" w14:textId="09754999" w:rsidR="00F678D0" w:rsidRPr="00F678D0" w:rsidRDefault="005B453B" w:rsidP="00B135AF">
      <w:pPr>
        <w:pStyle w:val="ListParagraph"/>
        <w:numPr>
          <w:ilvl w:val="0"/>
          <w:numId w:val="16"/>
        </w:numPr>
        <w:tabs>
          <w:tab w:val="clear" w:pos="1070"/>
          <w:tab w:val="num" w:pos="361"/>
        </w:tabs>
        <w:spacing w:after="0" w:line="240" w:lineRule="auto"/>
        <w:ind w:left="357" w:hanging="357"/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t>T</w:t>
      </w:r>
      <w:r w:rsidR="006A6008" w:rsidRPr="00F678D0">
        <w:rPr>
          <w:rFonts w:ascii="Arial" w:hAnsi="Arial" w:cs="Arial"/>
        </w:rPr>
        <w:t>he ATO has an open</w:t>
      </w:r>
      <w:r w:rsidR="00F678D0" w:rsidRPr="00F678D0">
        <w:rPr>
          <w:rFonts w:ascii="Arial" w:hAnsi="Arial" w:cs="Arial"/>
        </w:rPr>
        <w:t xml:space="preserve"> and ongoing consultation</w:t>
      </w:r>
      <w:r w:rsidR="006A6008" w:rsidRPr="00F678D0">
        <w:rPr>
          <w:rFonts w:ascii="Arial" w:hAnsi="Arial" w:cs="Arial"/>
        </w:rPr>
        <w:t xml:space="preserve"> </w:t>
      </w:r>
      <w:r w:rsidR="008B3670" w:rsidRPr="00F678D0">
        <w:rPr>
          <w:rFonts w:ascii="Arial" w:hAnsi="Arial" w:cs="Arial"/>
        </w:rPr>
        <w:t>process in</w:t>
      </w:r>
      <w:r w:rsidR="006A6008" w:rsidRPr="00F678D0">
        <w:rPr>
          <w:rFonts w:ascii="Arial" w:hAnsi="Arial" w:cs="Arial"/>
        </w:rPr>
        <w:t xml:space="preserve"> relation to the </w:t>
      </w:r>
      <w:r w:rsidR="0080088F">
        <w:rPr>
          <w:rFonts w:ascii="Arial" w:hAnsi="Arial" w:cs="Arial"/>
        </w:rPr>
        <w:t xml:space="preserve">Commissioner’s determinations of </w:t>
      </w:r>
      <w:r w:rsidR="006A6008" w:rsidRPr="00F678D0">
        <w:rPr>
          <w:rFonts w:ascii="Arial" w:hAnsi="Arial" w:cs="Arial"/>
        </w:rPr>
        <w:t>effective life</w:t>
      </w:r>
      <w:r w:rsidR="00F678D0">
        <w:rPr>
          <w:rFonts w:ascii="Arial" w:hAnsi="Arial" w:cs="Arial"/>
        </w:rPr>
        <w:t xml:space="preserve">. </w:t>
      </w:r>
      <w:r w:rsidR="00F678D0">
        <w:rPr>
          <w:rFonts w:ascii="Arial" w:eastAsia="Times New Roman" w:hAnsi="Arial" w:cs="Arial"/>
          <w:lang w:eastAsia="en-AU"/>
        </w:rPr>
        <w:t>T</w:t>
      </w:r>
      <w:r w:rsidR="00F678D0" w:rsidRPr="00F678D0">
        <w:rPr>
          <w:rFonts w:ascii="Arial" w:eastAsia="Times New Roman" w:hAnsi="Arial" w:cs="Arial"/>
          <w:lang w:eastAsia="en-AU"/>
        </w:rPr>
        <w:t>axpayers can raise matter</w:t>
      </w:r>
      <w:r w:rsidR="00F678D0">
        <w:rPr>
          <w:rFonts w:ascii="Arial" w:eastAsia="Times New Roman" w:hAnsi="Arial" w:cs="Arial"/>
          <w:lang w:eastAsia="en-AU"/>
        </w:rPr>
        <w:t>s</w:t>
      </w:r>
      <w:r w:rsidR="00F678D0" w:rsidRPr="00F678D0">
        <w:rPr>
          <w:rFonts w:ascii="Arial" w:eastAsia="Times New Roman" w:hAnsi="Arial" w:cs="Arial"/>
          <w:lang w:eastAsia="en-AU"/>
        </w:rPr>
        <w:t xml:space="preserve"> with </w:t>
      </w:r>
      <w:r w:rsidR="00F678D0">
        <w:rPr>
          <w:rFonts w:ascii="Arial" w:eastAsia="Times New Roman" w:hAnsi="Arial" w:cs="Arial"/>
          <w:lang w:eastAsia="en-AU"/>
        </w:rPr>
        <w:t xml:space="preserve">the </w:t>
      </w:r>
      <w:r w:rsidR="008B3670">
        <w:rPr>
          <w:rFonts w:ascii="Arial" w:eastAsia="Times New Roman" w:hAnsi="Arial" w:cs="Arial"/>
          <w:lang w:eastAsia="en-AU"/>
        </w:rPr>
        <w:t xml:space="preserve">ATO </w:t>
      </w:r>
      <w:r w:rsidR="008B3670" w:rsidRPr="00F678D0">
        <w:rPr>
          <w:rFonts w:ascii="Arial" w:eastAsia="Times New Roman" w:hAnsi="Arial" w:cs="Arial"/>
          <w:lang w:eastAsia="en-AU"/>
        </w:rPr>
        <w:t>at</w:t>
      </w:r>
      <w:r w:rsidR="00F678D0" w:rsidRPr="00F678D0">
        <w:rPr>
          <w:rFonts w:ascii="Arial" w:eastAsia="Times New Roman" w:hAnsi="Arial" w:cs="Arial"/>
          <w:lang w:eastAsia="en-AU"/>
        </w:rPr>
        <w:t xml:space="preserve"> any time </w:t>
      </w:r>
      <w:r w:rsidR="00F678D0">
        <w:rPr>
          <w:rFonts w:ascii="Arial" w:eastAsia="Times New Roman" w:hAnsi="Arial" w:cs="Arial"/>
          <w:lang w:eastAsia="en-AU"/>
        </w:rPr>
        <w:t xml:space="preserve">regarding </w:t>
      </w:r>
      <w:r w:rsidR="0005537D">
        <w:rPr>
          <w:rFonts w:ascii="Arial" w:eastAsia="Times New Roman" w:hAnsi="Arial" w:cs="Arial"/>
          <w:lang w:eastAsia="en-AU"/>
        </w:rPr>
        <w:t>the effective life</w:t>
      </w:r>
      <w:r w:rsidR="00F678D0">
        <w:rPr>
          <w:rFonts w:ascii="Arial" w:eastAsia="Times New Roman" w:hAnsi="Arial" w:cs="Arial"/>
          <w:lang w:eastAsia="en-AU"/>
        </w:rPr>
        <w:t xml:space="preserve"> determinations</w:t>
      </w:r>
      <w:r w:rsidR="00F678D0" w:rsidRPr="00F678D0">
        <w:rPr>
          <w:rFonts w:ascii="Arial" w:eastAsia="Times New Roman" w:hAnsi="Arial" w:cs="Arial"/>
          <w:lang w:eastAsia="en-AU"/>
        </w:rPr>
        <w:t xml:space="preserve">. </w:t>
      </w:r>
    </w:p>
    <w:p w14:paraId="27EF5BE6" w14:textId="77777777" w:rsidR="0048408C" w:rsidRDefault="0048408C" w:rsidP="00285C45">
      <w:pPr>
        <w:keepNext/>
        <w:keepLines/>
        <w:rPr>
          <w:rFonts w:ascii="Arial" w:hAnsi="Arial" w:cs="Arial"/>
          <w:color w:val="000000"/>
        </w:rPr>
      </w:pPr>
    </w:p>
    <w:p w14:paraId="24A55994" w14:textId="77777777" w:rsidR="0048408C" w:rsidRDefault="0048408C" w:rsidP="00285C45">
      <w:pPr>
        <w:keepNext/>
        <w:keepLines/>
        <w:rPr>
          <w:rFonts w:ascii="Arial" w:hAnsi="Arial" w:cs="Arial"/>
          <w:color w:val="000000"/>
        </w:rPr>
      </w:pPr>
    </w:p>
    <w:p w14:paraId="047D35B8" w14:textId="77777777" w:rsidR="00285C45" w:rsidRDefault="00285C45" w:rsidP="00285C45">
      <w:pPr>
        <w:spacing w:after="6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Legislative references:</w:t>
      </w:r>
    </w:p>
    <w:p w14:paraId="528276FC" w14:textId="77777777" w:rsidR="00285C45" w:rsidRPr="007D427A" w:rsidRDefault="00285C45" w:rsidP="00285C45">
      <w:pPr>
        <w:numPr>
          <w:ilvl w:val="0"/>
          <w:numId w:val="38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Acts Interpretation Act 1901</w:t>
      </w:r>
    </w:p>
    <w:p w14:paraId="721B82A7" w14:textId="77777777" w:rsidR="00285C45" w:rsidRPr="00770BEE" w:rsidRDefault="00285C45" w:rsidP="00285C45">
      <w:pPr>
        <w:numPr>
          <w:ilvl w:val="0"/>
          <w:numId w:val="38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Human Rights (Parliamentary Scrutiny) Act 2011</w:t>
      </w:r>
    </w:p>
    <w:p w14:paraId="24702A18" w14:textId="77777777" w:rsidR="00285C45" w:rsidRDefault="00285C45" w:rsidP="00285C45">
      <w:pPr>
        <w:numPr>
          <w:ilvl w:val="0"/>
          <w:numId w:val="38"/>
        </w:numPr>
        <w:tabs>
          <w:tab w:val="clear" w:pos="360"/>
        </w:tabs>
        <w:ind w:left="284" w:hanging="284"/>
        <w:rPr>
          <w:rFonts w:ascii="Arial" w:hAnsi="Arial" w:cs="Arial"/>
          <w:color w:val="000000"/>
          <w:sz w:val="20"/>
        </w:rPr>
      </w:pPr>
      <w:r w:rsidRPr="00770BEE">
        <w:rPr>
          <w:rFonts w:ascii="Arial" w:hAnsi="Arial" w:cs="Arial"/>
          <w:i/>
          <w:color w:val="000000"/>
          <w:sz w:val="20"/>
        </w:rPr>
        <w:t xml:space="preserve">Income Tax Assessment Act 1997 </w:t>
      </w:r>
    </w:p>
    <w:p w14:paraId="7E0BA412" w14:textId="7000FF3E" w:rsidR="00285C45" w:rsidRPr="00A1162E" w:rsidRDefault="00285C45" w:rsidP="00285C45">
      <w:pPr>
        <w:numPr>
          <w:ilvl w:val="0"/>
          <w:numId w:val="38"/>
        </w:numPr>
        <w:tabs>
          <w:tab w:val="clear" w:pos="360"/>
        </w:tabs>
        <w:ind w:left="284" w:hanging="284"/>
        <w:rPr>
          <w:rFonts w:ascii="Arial" w:hAnsi="Arial" w:cs="Arial"/>
          <w:i/>
          <w:sz w:val="20"/>
        </w:rPr>
      </w:pPr>
      <w:r w:rsidRPr="00A1162E">
        <w:rPr>
          <w:rFonts w:ascii="Arial" w:hAnsi="Arial" w:cs="Arial"/>
          <w:i/>
          <w:color w:val="000000"/>
          <w:sz w:val="20"/>
        </w:rPr>
        <w:t xml:space="preserve">Income Tax (Effective </w:t>
      </w:r>
      <w:r>
        <w:rPr>
          <w:rFonts w:ascii="Arial" w:hAnsi="Arial" w:cs="Arial"/>
          <w:i/>
          <w:color w:val="000000"/>
          <w:sz w:val="20"/>
        </w:rPr>
        <w:t>L</w:t>
      </w:r>
      <w:r w:rsidRPr="00A1162E">
        <w:rPr>
          <w:rFonts w:ascii="Arial" w:hAnsi="Arial" w:cs="Arial"/>
          <w:i/>
          <w:color w:val="000000"/>
          <w:sz w:val="20"/>
        </w:rPr>
        <w:t>ife of Depreciating Assets) Determination</w:t>
      </w:r>
      <w:r>
        <w:rPr>
          <w:rFonts w:ascii="Arial" w:hAnsi="Arial" w:cs="Arial"/>
          <w:i/>
          <w:color w:val="000000"/>
          <w:sz w:val="20"/>
        </w:rPr>
        <w:t xml:space="preserve"> 2015</w:t>
      </w:r>
      <w:r w:rsidRPr="00A1162E">
        <w:rPr>
          <w:rFonts w:ascii="Arial" w:hAnsi="Arial" w:cs="Arial"/>
          <w:i/>
          <w:color w:val="000000"/>
          <w:sz w:val="20"/>
        </w:rPr>
        <w:t xml:space="preserve"> </w:t>
      </w:r>
      <w:r w:rsidR="005E62AA">
        <w:rPr>
          <w:rFonts w:ascii="Arial" w:hAnsi="Arial" w:cs="Arial"/>
          <w:i/>
          <w:color w:val="000000"/>
          <w:sz w:val="20"/>
        </w:rPr>
        <w:t>(F2015L00798)</w:t>
      </w:r>
    </w:p>
    <w:p w14:paraId="1FA24013" w14:textId="77777777" w:rsidR="00285C45" w:rsidRPr="00770BEE" w:rsidRDefault="00285C45" w:rsidP="00285C45">
      <w:pPr>
        <w:numPr>
          <w:ilvl w:val="0"/>
          <w:numId w:val="38"/>
        </w:numPr>
        <w:tabs>
          <w:tab w:val="clear" w:pos="360"/>
        </w:tabs>
        <w:ind w:left="284" w:hanging="284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sz w:val="20"/>
        </w:rPr>
        <w:t>Legislation</w:t>
      </w:r>
      <w:r w:rsidRPr="005E4AE6">
        <w:rPr>
          <w:rFonts w:ascii="Arial" w:hAnsi="Arial" w:cs="Arial"/>
          <w:i/>
          <w:sz w:val="20"/>
        </w:rPr>
        <w:t xml:space="preserve"> Act 2003</w:t>
      </w:r>
    </w:p>
    <w:p w14:paraId="2E80E435" w14:textId="77777777" w:rsidR="00285C45" w:rsidRDefault="00285C45" w:rsidP="00285C45">
      <w:pPr>
        <w:rPr>
          <w:rFonts w:ascii="Arial" w:hAnsi="Arial" w:cs="Arial"/>
          <w:sz w:val="22"/>
          <w:szCs w:val="22"/>
        </w:rPr>
      </w:pPr>
    </w:p>
    <w:p w14:paraId="21BF8DC9" w14:textId="77777777" w:rsidR="00285C45" w:rsidRPr="005E4AE6" w:rsidRDefault="00285C45" w:rsidP="00285C45">
      <w:pPr>
        <w:spacing w:after="60"/>
        <w:rPr>
          <w:rFonts w:ascii="Arial" w:hAnsi="Arial" w:cs="Arial"/>
          <w:i/>
          <w:sz w:val="20"/>
        </w:rPr>
      </w:pPr>
      <w:r w:rsidRPr="005E4AE6">
        <w:rPr>
          <w:rFonts w:ascii="Arial" w:hAnsi="Arial" w:cs="Arial"/>
          <w:i/>
          <w:sz w:val="20"/>
        </w:rPr>
        <w:t xml:space="preserve">Other References </w:t>
      </w:r>
    </w:p>
    <w:p w14:paraId="4CAF2B44" w14:textId="04DEDDC6" w:rsidR="00285C45" w:rsidRPr="005E4AE6" w:rsidRDefault="00285C45" w:rsidP="00285C45">
      <w:pPr>
        <w:numPr>
          <w:ilvl w:val="0"/>
          <w:numId w:val="38"/>
        </w:numPr>
        <w:rPr>
          <w:rFonts w:ascii="Arial" w:hAnsi="Arial" w:cs="Arial"/>
          <w:sz w:val="20"/>
        </w:rPr>
      </w:pPr>
      <w:r w:rsidRPr="005E4AE6">
        <w:rPr>
          <w:rFonts w:ascii="Arial" w:hAnsi="Arial" w:cs="Arial"/>
          <w:sz w:val="20"/>
        </w:rPr>
        <w:lastRenderedPageBreak/>
        <w:t xml:space="preserve">Recommendation 8.5 of The Review of Business Taxation Report: </w:t>
      </w:r>
      <w:r w:rsidRPr="005E4AE6">
        <w:rPr>
          <w:rFonts w:ascii="Arial" w:hAnsi="Arial" w:cs="Arial"/>
          <w:i/>
          <w:sz w:val="20"/>
        </w:rPr>
        <w:t>A Tax System Redesigned</w:t>
      </w:r>
    </w:p>
    <w:p w14:paraId="0939D0D0" w14:textId="77777777" w:rsidR="00C71CDF" w:rsidRDefault="00C71CDF" w:rsidP="00285C45">
      <w:pPr>
        <w:keepNext/>
        <w:keepLines/>
        <w:rPr>
          <w:rFonts w:ascii="Arial" w:hAnsi="Arial" w:cs="Arial"/>
          <w:sz w:val="22"/>
          <w:szCs w:val="22"/>
        </w:rPr>
      </w:pPr>
    </w:p>
    <w:p w14:paraId="48274B84" w14:textId="49767EA8" w:rsidR="00333567" w:rsidRDefault="00333567" w:rsidP="00333567">
      <w:pPr>
        <w:rPr>
          <w:rFonts w:ascii="Arial" w:hAnsi="Arial" w:cs="Arial"/>
        </w:rPr>
      </w:pPr>
    </w:p>
    <w:p w14:paraId="61E5D496" w14:textId="49196B5D" w:rsidR="00DE510A" w:rsidRDefault="00DE510A" w:rsidP="00333567">
      <w:pPr>
        <w:rPr>
          <w:rFonts w:ascii="Arial" w:hAnsi="Arial" w:cs="Arial"/>
        </w:rPr>
      </w:pPr>
    </w:p>
    <w:p w14:paraId="6F38A5B3" w14:textId="6B39B8D7" w:rsidR="00DE510A" w:rsidRDefault="00DE510A" w:rsidP="00333567">
      <w:pPr>
        <w:rPr>
          <w:rFonts w:ascii="Arial" w:hAnsi="Arial" w:cs="Arial"/>
        </w:rPr>
      </w:pPr>
    </w:p>
    <w:p w14:paraId="2074F0D7" w14:textId="41482EC3" w:rsidR="00DE510A" w:rsidRDefault="00DE510A" w:rsidP="00333567">
      <w:pPr>
        <w:rPr>
          <w:rFonts w:ascii="Arial" w:hAnsi="Arial" w:cs="Arial"/>
        </w:rPr>
      </w:pPr>
    </w:p>
    <w:p w14:paraId="0936D3B2" w14:textId="176419E0" w:rsidR="00DE510A" w:rsidRDefault="00DE510A" w:rsidP="00333567">
      <w:pPr>
        <w:rPr>
          <w:rFonts w:ascii="Arial" w:hAnsi="Arial" w:cs="Arial"/>
        </w:rPr>
      </w:pPr>
    </w:p>
    <w:p w14:paraId="7641616A" w14:textId="454324CE" w:rsidR="00DE510A" w:rsidRDefault="00DE510A" w:rsidP="00333567">
      <w:pPr>
        <w:rPr>
          <w:rFonts w:ascii="Arial" w:hAnsi="Arial" w:cs="Arial"/>
        </w:rPr>
      </w:pPr>
    </w:p>
    <w:p w14:paraId="3BE7D212" w14:textId="4772D135" w:rsidR="00DE510A" w:rsidRDefault="00DE510A" w:rsidP="00333567">
      <w:pPr>
        <w:rPr>
          <w:rFonts w:ascii="Arial" w:hAnsi="Arial" w:cs="Arial"/>
        </w:rPr>
      </w:pPr>
    </w:p>
    <w:p w14:paraId="1AD0C1D6" w14:textId="55A8F194" w:rsidR="00DE510A" w:rsidRDefault="00DE510A" w:rsidP="00333567">
      <w:pPr>
        <w:rPr>
          <w:rFonts w:ascii="Arial" w:hAnsi="Arial" w:cs="Arial"/>
        </w:rPr>
      </w:pPr>
    </w:p>
    <w:p w14:paraId="4D489581" w14:textId="749C4E6D" w:rsidR="00DE510A" w:rsidRDefault="00DE510A" w:rsidP="00333567">
      <w:pPr>
        <w:rPr>
          <w:rFonts w:ascii="Arial" w:hAnsi="Arial" w:cs="Arial"/>
        </w:rPr>
      </w:pPr>
    </w:p>
    <w:p w14:paraId="2B79A043" w14:textId="7405FD22" w:rsidR="00DE510A" w:rsidRDefault="00DE510A" w:rsidP="00333567">
      <w:pPr>
        <w:rPr>
          <w:rFonts w:ascii="Arial" w:hAnsi="Arial" w:cs="Arial"/>
        </w:rPr>
      </w:pPr>
    </w:p>
    <w:p w14:paraId="24CCF68B" w14:textId="661AE944" w:rsidR="00DE510A" w:rsidRDefault="00DE510A" w:rsidP="00333567">
      <w:pPr>
        <w:rPr>
          <w:rFonts w:ascii="Arial" w:hAnsi="Arial" w:cs="Arial"/>
        </w:rPr>
      </w:pPr>
    </w:p>
    <w:p w14:paraId="3173CD71" w14:textId="429D2591" w:rsidR="00DE510A" w:rsidRDefault="00DE510A" w:rsidP="00333567">
      <w:pPr>
        <w:rPr>
          <w:rFonts w:ascii="Arial" w:hAnsi="Arial" w:cs="Arial"/>
        </w:rPr>
      </w:pPr>
    </w:p>
    <w:p w14:paraId="21B70A63" w14:textId="06164239" w:rsidR="00DE510A" w:rsidRDefault="00DE510A" w:rsidP="00333567">
      <w:pPr>
        <w:rPr>
          <w:rFonts w:ascii="Arial" w:hAnsi="Arial" w:cs="Arial"/>
        </w:rPr>
      </w:pPr>
    </w:p>
    <w:p w14:paraId="1EF73869" w14:textId="0D3BD45D" w:rsidR="00DE510A" w:rsidRDefault="00DE510A" w:rsidP="00333567">
      <w:pPr>
        <w:rPr>
          <w:rFonts w:ascii="Arial" w:hAnsi="Arial" w:cs="Arial"/>
        </w:rPr>
      </w:pPr>
    </w:p>
    <w:p w14:paraId="4B4E9A73" w14:textId="2187FD21" w:rsidR="00DE510A" w:rsidRDefault="00DE510A" w:rsidP="00333567">
      <w:pPr>
        <w:rPr>
          <w:rFonts w:ascii="Arial" w:hAnsi="Arial" w:cs="Arial"/>
        </w:rPr>
      </w:pPr>
    </w:p>
    <w:p w14:paraId="79069C2C" w14:textId="0DA2453D" w:rsidR="00DE510A" w:rsidRDefault="00DE510A" w:rsidP="00333567">
      <w:pPr>
        <w:rPr>
          <w:rFonts w:ascii="Arial" w:hAnsi="Arial" w:cs="Arial"/>
        </w:rPr>
      </w:pPr>
    </w:p>
    <w:p w14:paraId="2546F560" w14:textId="2E4030E7" w:rsidR="00DE510A" w:rsidRDefault="00DE510A" w:rsidP="00333567">
      <w:pPr>
        <w:rPr>
          <w:rFonts w:ascii="Arial" w:hAnsi="Arial" w:cs="Arial"/>
        </w:rPr>
      </w:pPr>
    </w:p>
    <w:p w14:paraId="6FA0DD44" w14:textId="09556142" w:rsidR="00DE510A" w:rsidRDefault="00DE510A" w:rsidP="00333567">
      <w:pPr>
        <w:rPr>
          <w:rFonts w:ascii="Arial" w:hAnsi="Arial" w:cs="Arial"/>
        </w:rPr>
      </w:pPr>
    </w:p>
    <w:p w14:paraId="2B80D5A7" w14:textId="089135BF" w:rsidR="00DE510A" w:rsidRDefault="00DE510A" w:rsidP="00333567">
      <w:pPr>
        <w:rPr>
          <w:rFonts w:ascii="Arial" w:hAnsi="Arial" w:cs="Arial"/>
        </w:rPr>
      </w:pPr>
    </w:p>
    <w:p w14:paraId="45C79E34" w14:textId="160D051D" w:rsidR="00DE510A" w:rsidRDefault="00DE510A" w:rsidP="00333567">
      <w:pPr>
        <w:rPr>
          <w:rFonts w:ascii="Arial" w:hAnsi="Arial" w:cs="Arial"/>
        </w:rPr>
      </w:pPr>
    </w:p>
    <w:p w14:paraId="0C89E34F" w14:textId="20E202E7" w:rsidR="00DE510A" w:rsidRDefault="00DE510A" w:rsidP="00333567">
      <w:pPr>
        <w:rPr>
          <w:rFonts w:ascii="Arial" w:hAnsi="Arial" w:cs="Arial"/>
        </w:rPr>
      </w:pPr>
    </w:p>
    <w:p w14:paraId="19960A0C" w14:textId="2C0C35B1" w:rsidR="00DE510A" w:rsidRDefault="00DE510A" w:rsidP="00333567">
      <w:pPr>
        <w:rPr>
          <w:rFonts w:ascii="Arial" w:hAnsi="Arial" w:cs="Arial"/>
        </w:rPr>
      </w:pPr>
    </w:p>
    <w:p w14:paraId="6B749E24" w14:textId="73E3B8EC" w:rsidR="00DE510A" w:rsidRDefault="00DE510A" w:rsidP="00333567">
      <w:pPr>
        <w:rPr>
          <w:rFonts w:ascii="Arial" w:hAnsi="Arial" w:cs="Arial"/>
        </w:rPr>
      </w:pPr>
    </w:p>
    <w:p w14:paraId="023A1AAB" w14:textId="0A1DB903" w:rsidR="00DE510A" w:rsidRDefault="00DE510A" w:rsidP="00333567">
      <w:pPr>
        <w:rPr>
          <w:rFonts w:ascii="Arial" w:hAnsi="Arial" w:cs="Arial"/>
        </w:rPr>
      </w:pPr>
    </w:p>
    <w:p w14:paraId="314F65FC" w14:textId="4E08405D" w:rsidR="00DE510A" w:rsidRDefault="00DE510A" w:rsidP="00333567">
      <w:pPr>
        <w:rPr>
          <w:rFonts w:ascii="Arial" w:hAnsi="Arial" w:cs="Arial"/>
        </w:rPr>
      </w:pPr>
    </w:p>
    <w:p w14:paraId="2D9A19D9" w14:textId="0BDE64C4" w:rsidR="00DE510A" w:rsidRDefault="00DE510A" w:rsidP="00333567">
      <w:pPr>
        <w:rPr>
          <w:rFonts w:ascii="Arial" w:hAnsi="Arial" w:cs="Arial"/>
        </w:rPr>
      </w:pPr>
    </w:p>
    <w:p w14:paraId="6DCC58E4" w14:textId="537B0AAE" w:rsidR="00DE510A" w:rsidRDefault="00DE510A" w:rsidP="00333567">
      <w:pPr>
        <w:rPr>
          <w:rFonts w:ascii="Arial" w:hAnsi="Arial" w:cs="Arial"/>
        </w:rPr>
      </w:pPr>
    </w:p>
    <w:p w14:paraId="325585C3" w14:textId="15F9476F" w:rsidR="00DE510A" w:rsidRDefault="00DE510A" w:rsidP="00333567">
      <w:pPr>
        <w:rPr>
          <w:rFonts w:ascii="Arial" w:hAnsi="Arial" w:cs="Arial"/>
        </w:rPr>
      </w:pPr>
    </w:p>
    <w:p w14:paraId="17362CA4" w14:textId="145B55B7" w:rsidR="00DE510A" w:rsidRDefault="00DE510A" w:rsidP="00333567">
      <w:pPr>
        <w:rPr>
          <w:rFonts w:ascii="Arial" w:hAnsi="Arial" w:cs="Arial"/>
        </w:rPr>
      </w:pPr>
    </w:p>
    <w:p w14:paraId="0EF4018F" w14:textId="41EC87A4" w:rsidR="00DE510A" w:rsidRDefault="00DE510A" w:rsidP="00333567">
      <w:pPr>
        <w:rPr>
          <w:rFonts w:ascii="Arial" w:hAnsi="Arial" w:cs="Arial"/>
        </w:rPr>
      </w:pPr>
    </w:p>
    <w:p w14:paraId="2A1C7D5D" w14:textId="22022A02" w:rsidR="00DE510A" w:rsidRDefault="00DE510A" w:rsidP="00333567">
      <w:pPr>
        <w:rPr>
          <w:rFonts w:ascii="Arial" w:hAnsi="Arial" w:cs="Arial"/>
        </w:rPr>
      </w:pPr>
    </w:p>
    <w:p w14:paraId="481264AB" w14:textId="04ACDB14" w:rsidR="00DE510A" w:rsidRDefault="00DE510A" w:rsidP="00333567">
      <w:pPr>
        <w:rPr>
          <w:rFonts w:ascii="Arial" w:hAnsi="Arial" w:cs="Arial"/>
        </w:rPr>
      </w:pPr>
    </w:p>
    <w:p w14:paraId="765D3167" w14:textId="703D43E3" w:rsidR="00DE510A" w:rsidRDefault="00DE510A" w:rsidP="00333567">
      <w:pPr>
        <w:rPr>
          <w:rFonts w:ascii="Arial" w:hAnsi="Arial" w:cs="Arial"/>
        </w:rPr>
      </w:pPr>
    </w:p>
    <w:p w14:paraId="796244E3" w14:textId="49F9A82F" w:rsidR="00DE510A" w:rsidRDefault="00DE510A" w:rsidP="00333567">
      <w:pPr>
        <w:rPr>
          <w:rFonts w:ascii="Arial" w:hAnsi="Arial" w:cs="Arial"/>
        </w:rPr>
      </w:pPr>
    </w:p>
    <w:p w14:paraId="09B5E653" w14:textId="2251AA10" w:rsidR="00DE510A" w:rsidRDefault="00DE510A" w:rsidP="00333567">
      <w:pPr>
        <w:rPr>
          <w:rFonts w:ascii="Arial" w:hAnsi="Arial" w:cs="Arial"/>
        </w:rPr>
      </w:pPr>
    </w:p>
    <w:p w14:paraId="31F5EC39" w14:textId="42741A54" w:rsidR="00DE510A" w:rsidRDefault="00DE510A" w:rsidP="00333567">
      <w:pPr>
        <w:rPr>
          <w:rFonts w:ascii="Arial" w:hAnsi="Arial" w:cs="Arial"/>
        </w:rPr>
      </w:pPr>
    </w:p>
    <w:p w14:paraId="7B22D743" w14:textId="02A921E0" w:rsidR="00DE510A" w:rsidRDefault="00DE510A" w:rsidP="00333567">
      <w:pPr>
        <w:rPr>
          <w:rFonts w:ascii="Arial" w:hAnsi="Arial" w:cs="Arial"/>
        </w:rPr>
      </w:pPr>
    </w:p>
    <w:p w14:paraId="2D853DA8" w14:textId="6B9B211C" w:rsidR="00DE510A" w:rsidRDefault="00DE510A" w:rsidP="00333567">
      <w:pPr>
        <w:rPr>
          <w:rFonts w:ascii="Arial" w:hAnsi="Arial" w:cs="Arial"/>
        </w:rPr>
      </w:pPr>
    </w:p>
    <w:p w14:paraId="3952202A" w14:textId="1EA8C1CD" w:rsidR="00DE510A" w:rsidRDefault="00DE510A" w:rsidP="00333567">
      <w:pPr>
        <w:rPr>
          <w:rFonts w:ascii="Arial" w:hAnsi="Arial" w:cs="Arial"/>
        </w:rPr>
      </w:pPr>
    </w:p>
    <w:p w14:paraId="4B1FA772" w14:textId="18678F51" w:rsidR="00DE510A" w:rsidRDefault="00DE510A" w:rsidP="00333567">
      <w:pPr>
        <w:rPr>
          <w:rFonts w:ascii="Arial" w:hAnsi="Arial" w:cs="Arial"/>
        </w:rPr>
      </w:pPr>
    </w:p>
    <w:p w14:paraId="57F1D42A" w14:textId="736542DF" w:rsidR="00DE510A" w:rsidRDefault="00DE510A" w:rsidP="00333567">
      <w:pPr>
        <w:rPr>
          <w:rFonts w:ascii="Arial" w:hAnsi="Arial" w:cs="Arial"/>
        </w:rPr>
      </w:pPr>
    </w:p>
    <w:p w14:paraId="0EC34945" w14:textId="74DE910A" w:rsidR="00DE510A" w:rsidRDefault="00DE510A" w:rsidP="00333567">
      <w:pPr>
        <w:rPr>
          <w:rFonts w:ascii="Arial" w:hAnsi="Arial" w:cs="Arial"/>
        </w:rPr>
      </w:pPr>
    </w:p>
    <w:p w14:paraId="196F1696" w14:textId="55C225F9" w:rsidR="00DE510A" w:rsidRDefault="00DE510A" w:rsidP="00333567">
      <w:pPr>
        <w:rPr>
          <w:rFonts w:ascii="Arial" w:hAnsi="Arial" w:cs="Arial"/>
        </w:rPr>
      </w:pPr>
    </w:p>
    <w:p w14:paraId="0AE0C73A" w14:textId="77777777" w:rsidR="00DE510A" w:rsidRPr="007E0A01" w:rsidRDefault="00DE510A" w:rsidP="00333567">
      <w:pPr>
        <w:rPr>
          <w:rFonts w:ascii="Arial" w:hAnsi="Arial" w:cs="Arial"/>
        </w:rPr>
      </w:pPr>
      <w:bookmarkStart w:id="12" w:name="_GoBack"/>
      <w:bookmarkEnd w:id="12"/>
    </w:p>
    <w:p w14:paraId="333C9845" w14:textId="3653B245" w:rsidR="00333567" w:rsidRPr="007E0A01" w:rsidRDefault="00E53399" w:rsidP="007C5C8E">
      <w:pPr>
        <w:pStyle w:val="Heading3"/>
        <w:spacing w:before="0" w:after="0"/>
        <w:jc w:val="center"/>
        <w:rPr>
          <w:sz w:val="24"/>
        </w:rPr>
      </w:pPr>
      <w:r w:rsidRPr="007E0A01">
        <w:rPr>
          <w:sz w:val="24"/>
        </w:rPr>
        <w:lastRenderedPageBreak/>
        <w:t xml:space="preserve">Statement of compatibility </w:t>
      </w:r>
      <w:r w:rsidR="00C11D03" w:rsidRPr="007E0A01">
        <w:rPr>
          <w:sz w:val="24"/>
        </w:rPr>
        <w:t xml:space="preserve">with Human Rights                                 </w:t>
      </w:r>
    </w:p>
    <w:p w14:paraId="51FFD5CF" w14:textId="77777777" w:rsidR="00285C45" w:rsidRPr="007E0A01" w:rsidRDefault="00333567" w:rsidP="00285C45">
      <w:pPr>
        <w:pStyle w:val="Heading3"/>
        <w:spacing w:before="0" w:after="0"/>
        <w:rPr>
          <w:sz w:val="24"/>
        </w:rPr>
      </w:pPr>
      <w:r w:rsidRPr="007E0A01">
        <w:rPr>
          <w:sz w:val="24"/>
        </w:rPr>
        <w:br/>
      </w:r>
      <w:r w:rsidR="00285C45">
        <w:rPr>
          <w:b w:val="0"/>
          <w:sz w:val="22"/>
          <w:szCs w:val="20"/>
        </w:rPr>
        <w:t>This statement is p</w:t>
      </w:r>
      <w:r w:rsidR="00285C45" w:rsidRPr="007E0A01">
        <w:rPr>
          <w:b w:val="0"/>
          <w:sz w:val="22"/>
          <w:szCs w:val="20"/>
        </w:rPr>
        <w:t xml:space="preserve">repared in accordance with Part 3 of the </w:t>
      </w:r>
      <w:r w:rsidR="00285C45" w:rsidRPr="007E0A01">
        <w:rPr>
          <w:b w:val="0"/>
          <w:i/>
          <w:sz w:val="22"/>
          <w:szCs w:val="20"/>
        </w:rPr>
        <w:t>Human Rights (Parliamentary Scrutiny) Act 2011</w:t>
      </w:r>
      <w:r w:rsidR="00285C45">
        <w:rPr>
          <w:b w:val="0"/>
          <w:i/>
          <w:sz w:val="22"/>
          <w:szCs w:val="20"/>
        </w:rPr>
        <w:t>.</w:t>
      </w:r>
    </w:p>
    <w:p w14:paraId="5EBA36BF" w14:textId="736667F3" w:rsidR="00285C45" w:rsidRDefault="00285C45" w:rsidP="00285C45">
      <w:pPr>
        <w:jc w:val="center"/>
        <w:rPr>
          <w:rFonts w:ascii="Arial" w:hAnsi="Arial" w:cs="Arial"/>
          <w:b/>
          <w:sz w:val="22"/>
          <w:szCs w:val="22"/>
        </w:rPr>
      </w:pPr>
      <w:r w:rsidRPr="007E0A01">
        <w:rPr>
          <w:rFonts w:ascii="Arial" w:hAnsi="Arial" w:cs="Arial"/>
          <w:color w:val="0000FF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Income Tax (Effective Life of Depreciating Assets) Amendment Determination 20</w:t>
      </w:r>
      <w:r w:rsidR="006065AE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8D32158" w14:textId="77777777" w:rsidR="00285C45" w:rsidRDefault="00285C45" w:rsidP="00285C45">
      <w:pPr>
        <w:rPr>
          <w:rFonts w:ascii="Arial" w:hAnsi="Arial" w:cs="Arial"/>
          <w:color w:val="000000"/>
          <w:sz w:val="22"/>
          <w:szCs w:val="22"/>
        </w:rPr>
      </w:pPr>
    </w:p>
    <w:p w14:paraId="46B2EC48" w14:textId="77777777" w:rsidR="00285C45" w:rsidRPr="007E0A01" w:rsidRDefault="00285C45" w:rsidP="00285C45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</w:rPr>
      </w:pPr>
      <w:r w:rsidRPr="007E0A01">
        <w:rPr>
          <w:rFonts w:ascii="Arial" w:hAnsi="Arial" w:cs="Arial"/>
          <w:color w:val="000000"/>
          <w:sz w:val="22"/>
        </w:rPr>
        <w:t xml:space="preserve">This Legislative Instrument is compatible with the human rights and freedoms recognised or declared in the international instruments listed in section 3 of the </w:t>
      </w:r>
      <w:r w:rsidRPr="007E0A01">
        <w:rPr>
          <w:rFonts w:ascii="Arial" w:hAnsi="Arial" w:cs="Arial"/>
          <w:i/>
          <w:color w:val="000000"/>
          <w:sz w:val="22"/>
        </w:rPr>
        <w:t>Human Rights (Parliamentary Scrutiny) Act 2011.</w:t>
      </w:r>
      <w:r w:rsidRPr="007E0A01">
        <w:rPr>
          <w:rFonts w:ascii="Arial" w:hAnsi="Arial" w:cs="Arial"/>
          <w:color w:val="000000"/>
          <w:sz w:val="22"/>
        </w:rPr>
        <w:t xml:space="preserve"> </w:t>
      </w:r>
    </w:p>
    <w:p w14:paraId="591F72A7" w14:textId="77777777" w:rsidR="00285C45" w:rsidRPr="007E0A01" w:rsidRDefault="00285C45" w:rsidP="00285C4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267E4B1C" w14:textId="77777777" w:rsidR="00285C45" w:rsidRPr="007E0A01" w:rsidRDefault="00285C45" w:rsidP="00285C45">
      <w:pPr>
        <w:rPr>
          <w:rFonts w:ascii="Arial" w:hAnsi="Arial" w:cs="Arial"/>
          <w:b/>
          <w:sz w:val="22"/>
        </w:rPr>
      </w:pPr>
      <w:r w:rsidRPr="007E0A01">
        <w:rPr>
          <w:rFonts w:ascii="Arial" w:hAnsi="Arial" w:cs="Arial"/>
          <w:b/>
          <w:sz w:val="22"/>
        </w:rPr>
        <w:t>Overview of the Legislative Instrument</w:t>
      </w:r>
    </w:p>
    <w:p w14:paraId="56142DDD" w14:textId="77777777" w:rsidR="00285C45" w:rsidRDefault="00285C45" w:rsidP="00285C45">
      <w:pPr>
        <w:rPr>
          <w:rFonts w:ascii="Arial" w:hAnsi="Arial" w:cs="Arial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The Legislative Instrument provides taxpayers with a choice </w:t>
      </w:r>
      <w:r w:rsidRPr="00DB1F02">
        <w:rPr>
          <w:rFonts w:ascii="Arial" w:hAnsi="Arial" w:cs="Arial"/>
          <w:sz w:val="22"/>
          <w:szCs w:val="22"/>
        </w:rPr>
        <w:t>when measuring the decline in value</w:t>
      </w:r>
      <w:r>
        <w:rPr>
          <w:rFonts w:ascii="Arial" w:hAnsi="Arial" w:cs="Arial"/>
          <w:sz w:val="22"/>
          <w:szCs w:val="22"/>
        </w:rPr>
        <w:t xml:space="preserve"> </w:t>
      </w:r>
      <w:r w:rsidRPr="00DB1F02">
        <w:rPr>
          <w:rFonts w:ascii="Arial" w:hAnsi="Arial" w:cs="Arial"/>
          <w:sz w:val="22"/>
          <w:szCs w:val="22"/>
        </w:rPr>
        <w:t xml:space="preserve">(depreciation) of a depreciating asset, because a taxpayer can either use an effective life determined by the </w:t>
      </w:r>
      <w:proofErr w:type="gramStart"/>
      <w:r w:rsidRPr="00DB1F02">
        <w:rPr>
          <w:rFonts w:ascii="Arial" w:hAnsi="Arial" w:cs="Arial"/>
          <w:sz w:val="22"/>
          <w:szCs w:val="22"/>
        </w:rPr>
        <w:t>Commissioner, or</w:t>
      </w:r>
      <w:proofErr w:type="gramEnd"/>
      <w:r w:rsidRPr="00DB1F02">
        <w:rPr>
          <w:rFonts w:ascii="Arial" w:hAnsi="Arial" w:cs="Arial"/>
          <w:sz w:val="22"/>
          <w:szCs w:val="22"/>
        </w:rPr>
        <w:t xml:space="preserve"> work out (self-assess) their own effective life of a depreciating asset</w:t>
      </w:r>
      <w:r>
        <w:rPr>
          <w:rFonts w:ascii="Arial" w:hAnsi="Arial" w:cs="Arial"/>
          <w:sz w:val="22"/>
          <w:szCs w:val="22"/>
        </w:rPr>
        <w:t xml:space="preserve">. </w:t>
      </w:r>
      <w:r w:rsidRPr="00DB1F02">
        <w:rPr>
          <w:rFonts w:ascii="Arial" w:hAnsi="Arial" w:cs="Arial"/>
          <w:sz w:val="22"/>
          <w:szCs w:val="22"/>
        </w:rPr>
        <w:t xml:space="preserve"> </w:t>
      </w:r>
    </w:p>
    <w:p w14:paraId="5F305611" w14:textId="77777777" w:rsidR="00285C45" w:rsidRDefault="00285C45" w:rsidP="00285C45">
      <w:pPr>
        <w:rPr>
          <w:rFonts w:ascii="Arial" w:hAnsi="Arial" w:cs="Arial"/>
          <w:sz w:val="22"/>
          <w:szCs w:val="22"/>
        </w:rPr>
      </w:pPr>
    </w:p>
    <w:p w14:paraId="5C62C1C3" w14:textId="77777777" w:rsidR="00285C45" w:rsidRDefault="00285C45" w:rsidP="00285C45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lives determined by the Commissioner provide what is referred to as a ‘safe harbour’ for taxpayers, as it provides certainty to taxpayers that these lives will be accepted by the Commissioner. </w:t>
      </w:r>
    </w:p>
    <w:p w14:paraId="4958D038" w14:textId="77777777" w:rsidR="00D47751" w:rsidRDefault="00D47751" w:rsidP="00285C45">
      <w:pPr>
        <w:keepNext/>
        <w:keepLines/>
        <w:rPr>
          <w:rFonts w:ascii="Arial" w:hAnsi="Arial" w:cs="Arial"/>
          <w:sz w:val="22"/>
          <w:szCs w:val="22"/>
        </w:rPr>
      </w:pPr>
    </w:p>
    <w:p w14:paraId="71F72AFC" w14:textId="664F2AE1" w:rsidR="00D47751" w:rsidRPr="0016784F" w:rsidRDefault="00D47751" w:rsidP="00D47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Pr="0016784F">
        <w:rPr>
          <w:rFonts w:ascii="Arial" w:hAnsi="Arial" w:cs="Arial"/>
          <w:sz w:val="22"/>
          <w:szCs w:val="22"/>
        </w:rPr>
        <w:t>instrument restores the</w:t>
      </w:r>
      <w:r>
        <w:rPr>
          <w:rFonts w:ascii="Arial" w:hAnsi="Arial" w:cs="Arial"/>
          <w:sz w:val="22"/>
          <w:szCs w:val="22"/>
        </w:rPr>
        <w:t xml:space="preserve"> previous wording o</w:t>
      </w:r>
      <w:r w:rsidRPr="0016784F">
        <w:rPr>
          <w:rFonts w:ascii="Arial" w:hAnsi="Arial" w:cs="Arial"/>
          <w:sz w:val="22"/>
          <w:szCs w:val="22"/>
        </w:rPr>
        <w:t>f certain</w:t>
      </w:r>
      <w:r>
        <w:rPr>
          <w:rFonts w:ascii="Arial" w:hAnsi="Arial" w:cs="Arial"/>
          <w:sz w:val="22"/>
          <w:szCs w:val="22"/>
        </w:rPr>
        <w:t xml:space="preserve"> depreciating </w:t>
      </w:r>
      <w:r w:rsidRPr="0016784F">
        <w:rPr>
          <w:rFonts w:ascii="Arial" w:hAnsi="Arial" w:cs="Arial"/>
          <w:sz w:val="22"/>
          <w:szCs w:val="22"/>
        </w:rPr>
        <w:t>asset</w:t>
      </w:r>
      <w:r>
        <w:rPr>
          <w:rFonts w:ascii="Arial" w:hAnsi="Arial" w:cs="Arial"/>
          <w:sz w:val="22"/>
          <w:szCs w:val="22"/>
        </w:rPr>
        <w:t>s</w:t>
      </w:r>
      <w:r w:rsidRPr="0016784F">
        <w:rPr>
          <w:rFonts w:ascii="Arial" w:hAnsi="Arial" w:cs="Arial"/>
          <w:sz w:val="22"/>
          <w:szCs w:val="22"/>
        </w:rPr>
        <w:t xml:space="preserve"> in the oil and gas industry after feedback was received by the Commissioner that changes to </w:t>
      </w:r>
      <w:r w:rsidRPr="0016784F">
        <w:rPr>
          <w:rFonts w:ascii="Arial" w:hAnsi="Arial" w:cs="Arial"/>
          <w:i/>
          <w:iCs/>
          <w:sz w:val="22"/>
          <w:szCs w:val="22"/>
        </w:rPr>
        <w:t>Income Tax (Effective Life of Depreciating Assets) Amendment Determination 2019 (No 1)</w:t>
      </w:r>
      <w:r w:rsidRPr="0016784F">
        <w:rPr>
          <w:rFonts w:ascii="Arial" w:hAnsi="Arial" w:cs="Arial"/>
          <w:sz w:val="22"/>
          <w:szCs w:val="22"/>
        </w:rPr>
        <w:t xml:space="preserve"> had unintended consequences.</w:t>
      </w:r>
    </w:p>
    <w:p w14:paraId="53B02BC8" w14:textId="77777777" w:rsidR="00285C45" w:rsidRDefault="00285C45" w:rsidP="00285C45">
      <w:pPr>
        <w:rPr>
          <w:rFonts w:ascii="Arial" w:hAnsi="Arial" w:cs="Arial"/>
          <w:sz w:val="22"/>
          <w:szCs w:val="22"/>
        </w:rPr>
      </w:pPr>
    </w:p>
    <w:p w14:paraId="288C7E9C" w14:textId="77777777" w:rsidR="00285C45" w:rsidRPr="007E0A01" w:rsidRDefault="00285C45" w:rsidP="00285C45">
      <w:pPr>
        <w:rPr>
          <w:rFonts w:ascii="Arial" w:hAnsi="Arial" w:cs="Arial"/>
          <w:b/>
          <w:sz w:val="22"/>
          <w:szCs w:val="22"/>
        </w:rPr>
      </w:pPr>
      <w:r w:rsidRPr="007E0A01">
        <w:rPr>
          <w:rFonts w:ascii="Arial" w:hAnsi="Arial" w:cs="Arial"/>
          <w:b/>
          <w:sz w:val="22"/>
          <w:szCs w:val="22"/>
        </w:rPr>
        <w:t>Human rights implications</w:t>
      </w:r>
    </w:p>
    <w:p w14:paraId="30E1F02E" w14:textId="77777777" w:rsidR="00285C45" w:rsidRPr="007E0A01" w:rsidRDefault="00285C45" w:rsidP="00285C45">
      <w:pPr>
        <w:rPr>
          <w:rFonts w:ascii="Arial" w:hAnsi="Arial" w:cs="Arial"/>
          <w:sz w:val="22"/>
        </w:rPr>
      </w:pPr>
      <w:r w:rsidRPr="007E0A01">
        <w:rPr>
          <w:rFonts w:ascii="Arial" w:hAnsi="Arial" w:cs="Arial"/>
          <w:sz w:val="22"/>
        </w:rPr>
        <w:br/>
        <w:t xml:space="preserve">This Legislative Instrument does not engage </w:t>
      </w:r>
      <w:r>
        <w:rPr>
          <w:rFonts w:ascii="Arial" w:hAnsi="Arial" w:cs="Arial"/>
          <w:sz w:val="22"/>
        </w:rPr>
        <w:t xml:space="preserve">any of the applicable rights or freedoms. The Instrument provides taxpayers in specific industries and for specific assets with effective lives as a basis to calculate the decline in value (depreciation) of a depreciating asset for income tax purposes. </w:t>
      </w:r>
    </w:p>
    <w:p w14:paraId="66C7CF74" w14:textId="77777777" w:rsidR="00285C45" w:rsidRPr="007E0A01" w:rsidRDefault="00285C45" w:rsidP="00285C45">
      <w:pPr>
        <w:ind w:left="720"/>
        <w:rPr>
          <w:rFonts w:ascii="Arial" w:hAnsi="Arial" w:cs="Arial"/>
          <w:b/>
        </w:rPr>
      </w:pPr>
    </w:p>
    <w:p w14:paraId="1A6E7E91" w14:textId="77777777" w:rsidR="00285C45" w:rsidRPr="007E0A01" w:rsidRDefault="00285C45" w:rsidP="00285C45">
      <w:pPr>
        <w:rPr>
          <w:rFonts w:ascii="Arial" w:hAnsi="Arial" w:cs="Arial"/>
          <w:b/>
          <w:sz w:val="22"/>
        </w:rPr>
      </w:pPr>
      <w:r w:rsidRPr="007E0A01">
        <w:rPr>
          <w:rFonts w:ascii="Arial" w:hAnsi="Arial" w:cs="Arial"/>
          <w:b/>
          <w:sz w:val="22"/>
        </w:rPr>
        <w:t>Conclusion</w:t>
      </w:r>
    </w:p>
    <w:p w14:paraId="1BFA49F5" w14:textId="77777777" w:rsidR="00285C45" w:rsidRPr="007E0A01" w:rsidRDefault="00285C45" w:rsidP="00285C45">
      <w:pPr>
        <w:rPr>
          <w:rFonts w:ascii="Arial" w:hAnsi="Arial" w:cs="Arial"/>
          <w:sz w:val="22"/>
          <w:szCs w:val="22"/>
        </w:rPr>
      </w:pPr>
      <w:r w:rsidRPr="007E0A01">
        <w:rPr>
          <w:rFonts w:ascii="Arial" w:hAnsi="Arial" w:cs="Arial"/>
          <w:sz w:val="22"/>
          <w:szCs w:val="22"/>
        </w:rPr>
        <w:br/>
        <w:t>This Legislative Instrument is compatible with human rights as it does not raise any human rights issues.</w:t>
      </w:r>
    </w:p>
    <w:p w14:paraId="6E4F0E4D" w14:textId="3AA45EC8" w:rsidR="00486653" w:rsidRPr="007E0A01" w:rsidRDefault="00486653" w:rsidP="00285C45">
      <w:pPr>
        <w:pStyle w:val="Heading3"/>
        <w:spacing w:before="0" w:after="0"/>
        <w:rPr>
          <w:i/>
          <w:color w:val="000000"/>
          <w:sz w:val="22"/>
          <w:szCs w:val="22"/>
        </w:rPr>
      </w:pPr>
    </w:p>
    <w:p w14:paraId="6E4F0E5B" w14:textId="77777777" w:rsidR="008540EA" w:rsidRPr="007E0A01" w:rsidRDefault="008540EA" w:rsidP="00FE17ED">
      <w:pPr>
        <w:pStyle w:val="Heading2"/>
        <w:rPr>
          <w:rFonts w:cs="Arial"/>
          <w:szCs w:val="22"/>
        </w:rPr>
      </w:pPr>
    </w:p>
    <w:sectPr w:rsidR="008540EA" w:rsidRPr="007E0A01" w:rsidSect="00146ED8">
      <w:headerReference w:type="even" r:id="rId14"/>
      <w:headerReference w:type="default" r:id="rId15"/>
      <w:headerReference w:type="first" r:id="rId16"/>
      <w:pgSz w:w="11906" w:h="16838" w:code="9"/>
      <w:pgMar w:top="1440" w:right="1700" w:bottom="1358" w:left="1843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6A32" w14:textId="77777777" w:rsidR="006B545F" w:rsidRDefault="006B545F">
      <w:r>
        <w:separator/>
      </w:r>
    </w:p>
  </w:endnote>
  <w:endnote w:type="continuationSeparator" w:id="0">
    <w:p w14:paraId="4C95FD61" w14:textId="77777777" w:rsidR="006B545F" w:rsidRDefault="006B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21C1" w14:textId="77777777" w:rsidR="006B545F" w:rsidRDefault="006B545F">
      <w:r>
        <w:separator/>
      </w:r>
    </w:p>
  </w:footnote>
  <w:footnote w:type="continuationSeparator" w:id="0">
    <w:p w14:paraId="21E079FD" w14:textId="77777777" w:rsidR="006B545F" w:rsidRDefault="006B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0E60" w14:textId="77777777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sz w:val="20"/>
      </w:rPr>
      <w:t>Taxation Determination</w:t>
    </w:r>
  </w:p>
  <w:p w14:paraId="6E4F0E61" w14:textId="22995464" w:rsidR="00587C50" w:rsidRPr="0067541C" w:rsidRDefault="00587C50">
    <w:pPr>
      <w:pStyle w:val="Header"/>
      <w:rPr>
        <w:rFonts w:ascii="Arial" w:hAnsi="Arial" w:cs="Arial"/>
        <w:sz w:val="52"/>
      </w:rPr>
    </w:pPr>
    <w:r w:rsidRPr="0067541C">
      <w:rPr>
        <w:rFonts w:ascii="Arial" w:hAnsi="Arial" w:cs="Arial"/>
        <w:b/>
        <w:sz w:val="52"/>
      </w:rPr>
      <w:t xml:space="preserve">TD </w:t>
    </w:r>
  </w:p>
  <w:p w14:paraId="6E4F0E62" w14:textId="77777777" w:rsidR="00587C50" w:rsidRPr="0067541C" w:rsidRDefault="00587C50">
    <w:pPr>
      <w:pStyle w:val="Header"/>
      <w:pBdr>
        <w:top w:val="single" w:sz="4" w:space="1" w:color="auto"/>
        <w:bottom w:val="single" w:sz="4" w:space="1" w:color="auto"/>
      </w:pBdr>
      <w:tabs>
        <w:tab w:val="clear" w:pos="4153"/>
        <w:tab w:val="clear" w:pos="8306"/>
        <w:tab w:val="right" w:pos="8789"/>
      </w:tabs>
      <w:spacing w:after="240"/>
      <w:rPr>
        <w:rFonts w:ascii="Arial" w:hAnsi="Arial" w:cs="Arial"/>
        <w:sz w:val="20"/>
      </w:rPr>
    </w:pPr>
    <w:r w:rsidRPr="0067541C">
      <w:rPr>
        <w:rFonts w:ascii="Arial" w:hAnsi="Arial" w:cs="Arial"/>
        <w:snapToGrid w:val="0"/>
        <w:sz w:val="20"/>
        <w:lang w:eastAsia="en-US"/>
      </w:rPr>
      <w:t xml:space="preserve">Page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PAGE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>
      <w:rPr>
        <w:rFonts w:ascii="Arial" w:hAnsi="Arial" w:cs="Arial"/>
        <w:noProof/>
        <w:snapToGrid w:val="0"/>
        <w:sz w:val="20"/>
        <w:lang w:eastAsia="en-US"/>
      </w:rPr>
      <w:t>2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  <w:snapToGrid w:val="0"/>
        <w:sz w:val="20"/>
        <w:lang w:eastAsia="en-US"/>
      </w:rPr>
      <w:t xml:space="preserve"> of </w:t>
    </w:r>
    <w:r w:rsidRPr="0067541C">
      <w:rPr>
        <w:rFonts w:ascii="Arial" w:hAnsi="Arial" w:cs="Arial"/>
        <w:snapToGrid w:val="0"/>
        <w:sz w:val="20"/>
        <w:lang w:eastAsia="en-US"/>
      </w:rPr>
      <w:fldChar w:fldCharType="begin"/>
    </w:r>
    <w:r w:rsidRPr="0067541C">
      <w:rPr>
        <w:rFonts w:ascii="Arial" w:hAnsi="Arial" w:cs="Arial"/>
        <w:snapToGrid w:val="0"/>
        <w:sz w:val="20"/>
        <w:lang w:eastAsia="en-US"/>
      </w:rPr>
      <w:instrText xml:space="preserve"> NUMPAGES </w:instrText>
    </w:r>
    <w:r w:rsidRPr="0067541C">
      <w:rPr>
        <w:rFonts w:ascii="Arial" w:hAnsi="Arial" w:cs="Arial"/>
        <w:snapToGrid w:val="0"/>
        <w:sz w:val="20"/>
        <w:lang w:eastAsia="en-US"/>
      </w:rPr>
      <w:fldChar w:fldCharType="separate"/>
    </w:r>
    <w:r w:rsidR="00986E74">
      <w:rPr>
        <w:rFonts w:ascii="Arial" w:hAnsi="Arial" w:cs="Arial"/>
        <w:noProof/>
        <w:snapToGrid w:val="0"/>
        <w:sz w:val="20"/>
        <w:lang w:eastAsia="en-US"/>
      </w:rPr>
      <w:t>5</w:t>
    </w:r>
    <w:r w:rsidRPr="0067541C">
      <w:rPr>
        <w:rFonts w:ascii="Arial" w:hAnsi="Arial" w:cs="Arial"/>
        <w:snapToGrid w:val="0"/>
        <w:sz w:val="20"/>
        <w:lang w:eastAsia="en-US"/>
      </w:rPr>
      <w:fldChar w:fldCharType="end"/>
    </w:r>
    <w:r w:rsidRPr="0067541C">
      <w:rPr>
        <w:rFonts w:ascii="Arial" w:hAnsi="Arial" w:cs="Arial"/>
      </w:rPr>
      <w:tab/>
    </w:r>
    <w:r w:rsidRPr="0067541C">
      <w:rPr>
        <w:rFonts w:ascii="Arial" w:hAnsi="Arial" w:cs="Arial"/>
        <w:sz w:val="20"/>
      </w:rPr>
      <w:t xml:space="preserve">FOI status:  </w:t>
    </w:r>
    <w:r w:rsidRPr="0067541C">
      <w:rPr>
        <w:rFonts w:ascii="Arial" w:hAnsi="Arial" w:cs="Arial"/>
        <w:b/>
        <w:sz w:val="20"/>
      </w:rPr>
      <w:t>may be released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0E63" w14:textId="77777777" w:rsidR="00587C50" w:rsidRDefault="00587C50" w:rsidP="001828A4">
    <w:pPr>
      <w:pStyle w:val="Header"/>
      <w:tabs>
        <w:tab w:val="clear" w:pos="4153"/>
        <w:tab w:val="clear" w:pos="8306"/>
        <w:tab w:val="center" w:pos="1418"/>
        <w:tab w:val="right" w:pos="878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0E64" w14:textId="77777777" w:rsidR="00146ED8" w:rsidRPr="00333FE9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rPr>
        <w:rFonts w:ascii="Arial" w:hAnsi="Arial" w:cs="Arial"/>
        <w:sz w:val="20"/>
      </w:rPr>
    </w:pPr>
    <w:bookmarkStart w:id="13" w:name="AType"/>
    <w:r>
      <w:rPr>
        <w:rFonts w:ascii="Arial" w:hAnsi="Arial" w:cs="Arial"/>
        <w:sz w:val="20"/>
      </w:rPr>
      <w:t xml:space="preserve">Australian </w:t>
    </w:r>
    <w:r w:rsidRPr="00333FE9">
      <w:rPr>
        <w:rFonts w:ascii="Arial" w:hAnsi="Arial" w:cs="Arial"/>
        <w:sz w:val="20"/>
      </w:rPr>
      <w:t xml:space="preserve">Taxation </w:t>
    </w:r>
    <w:r>
      <w:rPr>
        <w:rFonts w:ascii="Arial" w:hAnsi="Arial" w:cs="Arial"/>
        <w:sz w:val="20"/>
      </w:rPr>
      <w:t>Office Legislative Instrument</w:t>
    </w:r>
  </w:p>
  <w:p w14:paraId="6E4F0E65" w14:textId="33E3EB08" w:rsidR="00146ED8" w:rsidRPr="00146ED8" w:rsidRDefault="00146ED8" w:rsidP="00E36A38">
    <w:pPr>
      <w:framePr w:w="4381" w:h="732" w:hSpace="180" w:wrap="around" w:vAnchor="page" w:hAnchor="page" w:x="5761" w:y="99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8"/>
        <w:szCs w:val="28"/>
      </w:rPr>
    </w:pPr>
    <w:bookmarkStart w:id="14" w:name="BPrefix"/>
    <w:bookmarkEnd w:id="13"/>
    <w:r>
      <w:rPr>
        <w:rFonts w:ascii="Arial" w:hAnsi="Arial" w:cs="Arial"/>
        <w:b/>
        <w:sz w:val="32"/>
        <w:szCs w:val="32"/>
      </w:rPr>
      <w:t xml:space="preserve">  </w:t>
    </w:r>
    <w:r w:rsidRPr="00146ED8">
      <w:rPr>
        <w:rFonts w:ascii="Arial" w:hAnsi="Arial" w:cs="Arial"/>
        <w:b/>
        <w:sz w:val="28"/>
        <w:szCs w:val="28"/>
      </w:rPr>
      <w:t>Inst</w:t>
    </w:r>
    <w:bookmarkStart w:id="15" w:name="CDocnum"/>
    <w:bookmarkEnd w:id="14"/>
    <w:bookmarkEnd w:id="15"/>
    <w:r w:rsidRPr="00146ED8">
      <w:rPr>
        <w:rFonts w:ascii="Arial" w:hAnsi="Arial" w:cs="Arial"/>
        <w:b/>
        <w:sz w:val="28"/>
        <w:szCs w:val="28"/>
      </w:rPr>
      <w:t xml:space="preserve">rument ID: </w:t>
    </w:r>
    <w:r w:rsidR="00F37BBB">
      <w:rPr>
        <w:rFonts w:ascii="Arial" w:hAnsi="Arial" w:cs="Arial"/>
        <w:b/>
        <w:sz w:val="28"/>
        <w:szCs w:val="28"/>
      </w:rPr>
      <w:t>20</w:t>
    </w:r>
    <w:r w:rsidR="006065AE">
      <w:rPr>
        <w:rFonts w:ascii="Arial" w:hAnsi="Arial" w:cs="Arial"/>
        <w:b/>
        <w:sz w:val="28"/>
        <w:szCs w:val="28"/>
      </w:rPr>
      <w:t>20</w:t>
    </w:r>
    <w:r w:rsidRPr="00146ED8">
      <w:rPr>
        <w:rFonts w:ascii="Arial" w:hAnsi="Arial" w:cs="Arial"/>
        <w:b/>
        <w:sz w:val="28"/>
        <w:szCs w:val="28"/>
      </w:rPr>
      <w:t>/</w:t>
    </w:r>
    <w:r w:rsidR="00F37BBB">
      <w:rPr>
        <w:rFonts w:ascii="Arial" w:hAnsi="Arial" w:cs="Arial"/>
        <w:b/>
        <w:sz w:val="28"/>
        <w:szCs w:val="28"/>
      </w:rPr>
      <w:t>PGI</w:t>
    </w:r>
    <w:r w:rsidRPr="00146ED8">
      <w:rPr>
        <w:rFonts w:ascii="Arial" w:hAnsi="Arial" w:cs="Arial"/>
        <w:b/>
        <w:sz w:val="28"/>
        <w:szCs w:val="28"/>
      </w:rPr>
      <w:t>/</w:t>
    </w:r>
    <w:r w:rsidR="00F37BBB">
      <w:rPr>
        <w:rFonts w:ascii="Arial" w:hAnsi="Arial" w:cs="Arial"/>
        <w:b/>
        <w:sz w:val="28"/>
        <w:szCs w:val="28"/>
      </w:rPr>
      <w:t>00</w:t>
    </w:r>
    <w:r w:rsidR="006065AE">
      <w:rPr>
        <w:rFonts w:ascii="Arial" w:hAnsi="Arial" w:cs="Arial"/>
        <w:b/>
        <w:sz w:val="28"/>
        <w:szCs w:val="28"/>
      </w:rPr>
      <w:t>02</w:t>
    </w:r>
  </w:p>
  <w:p w14:paraId="6E4F0E66" w14:textId="77777777" w:rsidR="00587C50" w:rsidRDefault="003D0CBA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E4F0E68" wp14:editId="6E4F0E69">
          <wp:extent cx="2413635" cy="701675"/>
          <wp:effectExtent l="0" t="0" r="5715" b="3175"/>
          <wp:docPr id="3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F0E67" w14:textId="77777777" w:rsidR="00CC1833" w:rsidRPr="001A6644" w:rsidRDefault="00CC1833" w:rsidP="001828A4">
    <w:pPr>
      <w:pStyle w:val="Header"/>
      <w:tabs>
        <w:tab w:val="clear" w:pos="4153"/>
        <w:tab w:val="clear" w:pos="8306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EF"/>
    <w:multiLevelType w:val="hybridMultilevel"/>
    <w:tmpl w:val="04F6ADC2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9F8D416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2F470ED"/>
    <w:multiLevelType w:val="hybridMultilevel"/>
    <w:tmpl w:val="E8B4F92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E7B46"/>
    <w:multiLevelType w:val="hybridMultilevel"/>
    <w:tmpl w:val="EF6A53B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8690C"/>
    <w:multiLevelType w:val="hybridMultilevel"/>
    <w:tmpl w:val="E05E0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B42A4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589"/>
    <w:multiLevelType w:val="hybridMultilevel"/>
    <w:tmpl w:val="19B0F380"/>
    <w:lvl w:ilvl="0" w:tplc="D68C5180">
      <w:start w:val="1"/>
      <w:numFmt w:val="decimal"/>
      <w:lvlText w:val="%1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F2E7F"/>
    <w:multiLevelType w:val="multilevel"/>
    <w:tmpl w:val="B91A9E40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188560D7"/>
    <w:multiLevelType w:val="hybridMultilevel"/>
    <w:tmpl w:val="41803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4E1"/>
    <w:multiLevelType w:val="hybridMultilevel"/>
    <w:tmpl w:val="E81ADF44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91D8C"/>
    <w:multiLevelType w:val="hybridMultilevel"/>
    <w:tmpl w:val="876CA2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92F02"/>
    <w:multiLevelType w:val="hybridMultilevel"/>
    <w:tmpl w:val="3972367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E213F"/>
    <w:multiLevelType w:val="hybridMultilevel"/>
    <w:tmpl w:val="4D867378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F626B"/>
    <w:multiLevelType w:val="hybridMultilevel"/>
    <w:tmpl w:val="E55A5B8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150F4F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mic Sans MS" w:eastAsia="Times New Roman" w:hAnsi="Comic Sans MS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48C580A"/>
    <w:multiLevelType w:val="hybridMultilevel"/>
    <w:tmpl w:val="FC388680"/>
    <w:lvl w:ilvl="0" w:tplc="0410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67DB5"/>
    <w:multiLevelType w:val="hybridMultilevel"/>
    <w:tmpl w:val="F1946B50"/>
    <w:lvl w:ilvl="0" w:tplc="A95E060A">
      <w:start w:val="10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5" w15:restartNumberingAfterBreak="0">
    <w:nsid w:val="264E3A44"/>
    <w:multiLevelType w:val="hybridMultilevel"/>
    <w:tmpl w:val="79D42EEE"/>
    <w:lvl w:ilvl="0" w:tplc="B42A4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B72B9"/>
    <w:multiLevelType w:val="hybridMultilevel"/>
    <w:tmpl w:val="DCCC069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742781"/>
    <w:multiLevelType w:val="hybridMultilevel"/>
    <w:tmpl w:val="1FE61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A43D67"/>
    <w:multiLevelType w:val="hybridMultilevel"/>
    <w:tmpl w:val="37668F3A"/>
    <w:lvl w:ilvl="0" w:tplc="0C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2DEB45E5"/>
    <w:multiLevelType w:val="hybridMultilevel"/>
    <w:tmpl w:val="E626F830"/>
    <w:lvl w:ilvl="0" w:tplc="0C090005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0" w15:restartNumberingAfterBreak="0">
    <w:nsid w:val="2E6D52FE"/>
    <w:multiLevelType w:val="hybridMultilevel"/>
    <w:tmpl w:val="2140E7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73340"/>
    <w:multiLevelType w:val="hybridMultilevel"/>
    <w:tmpl w:val="55727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84DFD"/>
    <w:multiLevelType w:val="hybridMultilevel"/>
    <w:tmpl w:val="965E1E82"/>
    <w:lvl w:ilvl="0" w:tplc="041040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C3903"/>
    <w:multiLevelType w:val="hybridMultilevel"/>
    <w:tmpl w:val="6D20F336"/>
    <w:lvl w:ilvl="0" w:tplc="041040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2"/>
        <w:szCs w:val="22"/>
      </w:rPr>
    </w:lvl>
    <w:lvl w:ilvl="1" w:tplc="0C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F3673"/>
    <w:multiLevelType w:val="hybridMultilevel"/>
    <w:tmpl w:val="1338B418"/>
    <w:lvl w:ilvl="0" w:tplc="1D8248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3062F"/>
    <w:multiLevelType w:val="hybridMultilevel"/>
    <w:tmpl w:val="D688BEA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449" w:hanging="360"/>
      </w:pPr>
      <w:rPr>
        <w:rFonts w:ascii="Cambria" w:eastAsia="Calibri" w:hAnsi="Cambria" w:cs="Times New Roman" w:hint="default"/>
      </w:rPr>
    </w:lvl>
    <w:lvl w:ilvl="1" w:tplc="0C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7" w15:restartNumberingAfterBreak="0">
    <w:nsid w:val="45E52BDD"/>
    <w:multiLevelType w:val="hybridMultilevel"/>
    <w:tmpl w:val="02D4D2B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6164900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AF8E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3C47C2">
      <w:start w:val="1"/>
      <w:numFmt w:val="decimal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4" w:tplc="E6D06A7A">
      <w:start w:val="1"/>
      <w:numFmt w:val="bullet"/>
      <w:lvlText w:val="o"/>
      <w:lvlJc w:val="left"/>
      <w:pPr>
        <w:tabs>
          <w:tab w:val="num" w:pos="3807"/>
        </w:tabs>
        <w:ind w:left="3807" w:hanging="567"/>
      </w:pPr>
      <w:rPr>
        <w:rFonts w:ascii="Courier New" w:hAnsi="Courier New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D0DC4"/>
    <w:multiLevelType w:val="hybridMultilevel"/>
    <w:tmpl w:val="72A0CD90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25AA0"/>
    <w:multiLevelType w:val="hybridMultilevel"/>
    <w:tmpl w:val="E8326BD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45522"/>
    <w:multiLevelType w:val="hybridMultilevel"/>
    <w:tmpl w:val="7234A00E"/>
    <w:lvl w:ilvl="0" w:tplc="0C090005">
      <w:start w:val="1"/>
      <w:numFmt w:val="bullet"/>
      <w:lvlText w:val="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31" w15:restartNumberingAfterBreak="0">
    <w:nsid w:val="60655884"/>
    <w:multiLevelType w:val="hybridMultilevel"/>
    <w:tmpl w:val="A5AC3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2E3B4F"/>
    <w:multiLevelType w:val="hybridMultilevel"/>
    <w:tmpl w:val="E5AA5036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F15F6"/>
    <w:multiLevelType w:val="hybridMultilevel"/>
    <w:tmpl w:val="47D8BEF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C00B9"/>
    <w:multiLevelType w:val="multilevel"/>
    <w:tmpl w:val="E7AEAB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9C329BC"/>
    <w:multiLevelType w:val="hybridMultilevel"/>
    <w:tmpl w:val="9B5C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51961"/>
    <w:multiLevelType w:val="hybridMultilevel"/>
    <w:tmpl w:val="C1DE0D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9465B"/>
    <w:multiLevelType w:val="hybridMultilevel"/>
    <w:tmpl w:val="CA7234D0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13E44"/>
    <w:multiLevelType w:val="hybridMultilevel"/>
    <w:tmpl w:val="E7AEABD2"/>
    <w:lvl w:ilvl="0" w:tplc="B150F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5"/>
  </w:num>
  <w:num w:numId="4">
    <w:abstractNumId w:val="38"/>
  </w:num>
  <w:num w:numId="5">
    <w:abstractNumId w:val="4"/>
  </w:num>
  <w:num w:numId="6">
    <w:abstractNumId w:val="12"/>
  </w:num>
  <w:num w:numId="7">
    <w:abstractNumId w:val="33"/>
  </w:num>
  <w:num w:numId="8">
    <w:abstractNumId w:val="32"/>
  </w:num>
  <w:num w:numId="9">
    <w:abstractNumId w:val="27"/>
  </w:num>
  <w:num w:numId="10">
    <w:abstractNumId w:val="21"/>
  </w:num>
  <w:num w:numId="11">
    <w:abstractNumId w:val="39"/>
  </w:num>
  <w:num w:numId="12">
    <w:abstractNumId w:val="34"/>
  </w:num>
  <w:num w:numId="13">
    <w:abstractNumId w:val="37"/>
  </w:num>
  <w:num w:numId="14">
    <w:abstractNumId w:val="36"/>
  </w:num>
  <w:num w:numId="15">
    <w:abstractNumId w:val="20"/>
  </w:num>
  <w:num w:numId="16">
    <w:abstractNumId w:val="23"/>
  </w:num>
  <w:num w:numId="17">
    <w:abstractNumId w:val="10"/>
  </w:num>
  <w:num w:numId="18">
    <w:abstractNumId w:val="16"/>
  </w:num>
  <w:num w:numId="19">
    <w:abstractNumId w:val="2"/>
  </w:num>
  <w:num w:numId="20">
    <w:abstractNumId w:val="1"/>
  </w:num>
  <w:num w:numId="21">
    <w:abstractNumId w:val="11"/>
  </w:num>
  <w:num w:numId="22">
    <w:abstractNumId w:val="30"/>
  </w:num>
  <w:num w:numId="23">
    <w:abstractNumId w:val="8"/>
  </w:num>
  <w:num w:numId="24">
    <w:abstractNumId w:val="19"/>
  </w:num>
  <w:num w:numId="25">
    <w:abstractNumId w:val="29"/>
  </w:num>
  <w:num w:numId="26">
    <w:abstractNumId w:val="28"/>
  </w:num>
  <w:num w:numId="27">
    <w:abstractNumId w:val="7"/>
  </w:num>
  <w:num w:numId="28">
    <w:abstractNumId w:val="31"/>
  </w:num>
  <w:num w:numId="29">
    <w:abstractNumId w:val="18"/>
  </w:num>
  <w:num w:numId="30">
    <w:abstractNumId w:val="14"/>
  </w:num>
  <w:num w:numId="31">
    <w:abstractNumId w:val="5"/>
  </w:num>
  <w:num w:numId="32">
    <w:abstractNumId w:val="0"/>
  </w:num>
  <w:num w:numId="33">
    <w:abstractNumId w:val="6"/>
  </w:num>
  <w:num w:numId="34">
    <w:abstractNumId w:val="26"/>
  </w:num>
  <w:num w:numId="35">
    <w:abstractNumId w:val="35"/>
  </w:num>
  <w:num w:numId="36">
    <w:abstractNumId w:val="17"/>
  </w:num>
  <w:num w:numId="37">
    <w:abstractNumId w:val="13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18"/>
    <w:rsid w:val="00006044"/>
    <w:rsid w:val="000078E0"/>
    <w:rsid w:val="000117B2"/>
    <w:rsid w:val="0001796D"/>
    <w:rsid w:val="00017BF0"/>
    <w:rsid w:val="0002568B"/>
    <w:rsid w:val="00027788"/>
    <w:rsid w:val="00043FA7"/>
    <w:rsid w:val="000552E8"/>
    <w:rsid w:val="0005537D"/>
    <w:rsid w:val="00056585"/>
    <w:rsid w:val="0005674F"/>
    <w:rsid w:val="00065C6E"/>
    <w:rsid w:val="00073F1B"/>
    <w:rsid w:val="0007440D"/>
    <w:rsid w:val="00075B58"/>
    <w:rsid w:val="0009036C"/>
    <w:rsid w:val="00090694"/>
    <w:rsid w:val="000B11DD"/>
    <w:rsid w:val="000C390A"/>
    <w:rsid w:val="000C77DD"/>
    <w:rsid w:val="000D4F6F"/>
    <w:rsid w:val="000E295B"/>
    <w:rsid w:val="000E45A0"/>
    <w:rsid w:val="000F386E"/>
    <w:rsid w:val="00107460"/>
    <w:rsid w:val="00112415"/>
    <w:rsid w:val="0013678D"/>
    <w:rsid w:val="00140A34"/>
    <w:rsid w:val="00146ED8"/>
    <w:rsid w:val="00160D5F"/>
    <w:rsid w:val="00162C7F"/>
    <w:rsid w:val="00163A61"/>
    <w:rsid w:val="0016666D"/>
    <w:rsid w:val="00167202"/>
    <w:rsid w:val="0016784F"/>
    <w:rsid w:val="00170874"/>
    <w:rsid w:val="001828A4"/>
    <w:rsid w:val="00183A36"/>
    <w:rsid w:val="00187621"/>
    <w:rsid w:val="001920E4"/>
    <w:rsid w:val="00192B0E"/>
    <w:rsid w:val="001A1115"/>
    <w:rsid w:val="001A3BE2"/>
    <w:rsid w:val="001C35E7"/>
    <w:rsid w:val="001C4578"/>
    <w:rsid w:val="001D037E"/>
    <w:rsid w:val="001F0EA4"/>
    <w:rsid w:val="001F28A6"/>
    <w:rsid w:val="001F2A16"/>
    <w:rsid w:val="001F6921"/>
    <w:rsid w:val="001F7C3E"/>
    <w:rsid w:val="00201969"/>
    <w:rsid w:val="00206825"/>
    <w:rsid w:val="00206A3B"/>
    <w:rsid w:val="00213FA5"/>
    <w:rsid w:val="002338F8"/>
    <w:rsid w:val="0023733A"/>
    <w:rsid w:val="0024044F"/>
    <w:rsid w:val="00245D00"/>
    <w:rsid w:val="0025040F"/>
    <w:rsid w:val="002546E9"/>
    <w:rsid w:val="00257F2D"/>
    <w:rsid w:val="00262F9F"/>
    <w:rsid w:val="00263E1B"/>
    <w:rsid w:val="00266D2D"/>
    <w:rsid w:val="00267B90"/>
    <w:rsid w:val="0027331F"/>
    <w:rsid w:val="002830BC"/>
    <w:rsid w:val="00285C45"/>
    <w:rsid w:val="00285E76"/>
    <w:rsid w:val="00285F2B"/>
    <w:rsid w:val="00286EA5"/>
    <w:rsid w:val="002949C3"/>
    <w:rsid w:val="002A01E8"/>
    <w:rsid w:val="002A10A4"/>
    <w:rsid w:val="002A26FE"/>
    <w:rsid w:val="002A2851"/>
    <w:rsid w:val="002A433C"/>
    <w:rsid w:val="002B1423"/>
    <w:rsid w:val="002B378E"/>
    <w:rsid w:val="002B5709"/>
    <w:rsid w:val="002E3119"/>
    <w:rsid w:val="002F1257"/>
    <w:rsid w:val="00310C61"/>
    <w:rsid w:val="003171B3"/>
    <w:rsid w:val="0032559D"/>
    <w:rsid w:val="00333567"/>
    <w:rsid w:val="00344575"/>
    <w:rsid w:val="0035113C"/>
    <w:rsid w:val="00354525"/>
    <w:rsid w:val="0037423C"/>
    <w:rsid w:val="00380CC4"/>
    <w:rsid w:val="00384201"/>
    <w:rsid w:val="003C0686"/>
    <w:rsid w:val="003D0233"/>
    <w:rsid w:val="003D08CF"/>
    <w:rsid w:val="003D0CBA"/>
    <w:rsid w:val="003D0F6A"/>
    <w:rsid w:val="003D4BA8"/>
    <w:rsid w:val="003E5269"/>
    <w:rsid w:val="00405394"/>
    <w:rsid w:val="004066E4"/>
    <w:rsid w:val="0040680B"/>
    <w:rsid w:val="00407361"/>
    <w:rsid w:val="00413E6D"/>
    <w:rsid w:val="00417C55"/>
    <w:rsid w:val="00422A77"/>
    <w:rsid w:val="00424A7B"/>
    <w:rsid w:val="004447C1"/>
    <w:rsid w:val="004478B0"/>
    <w:rsid w:val="00453F95"/>
    <w:rsid w:val="0045590D"/>
    <w:rsid w:val="0046211F"/>
    <w:rsid w:val="004656B1"/>
    <w:rsid w:val="0046787B"/>
    <w:rsid w:val="0047002B"/>
    <w:rsid w:val="00476F71"/>
    <w:rsid w:val="0048408C"/>
    <w:rsid w:val="00486198"/>
    <w:rsid w:val="00486653"/>
    <w:rsid w:val="004A5FDA"/>
    <w:rsid w:val="004B677C"/>
    <w:rsid w:val="004D098C"/>
    <w:rsid w:val="004D24A9"/>
    <w:rsid w:val="004D39D5"/>
    <w:rsid w:val="004D79C9"/>
    <w:rsid w:val="004E5357"/>
    <w:rsid w:val="004F3DA4"/>
    <w:rsid w:val="004F4A07"/>
    <w:rsid w:val="004F5EB1"/>
    <w:rsid w:val="004F6887"/>
    <w:rsid w:val="005030AD"/>
    <w:rsid w:val="0051249C"/>
    <w:rsid w:val="005176E7"/>
    <w:rsid w:val="00520330"/>
    <w:rsid w:val="00524B6B"/>
    <w:rsid w:val="00532DE1"/>
    <w:rsid w:val="005413EE"/>
    <w:rsid w:val="00555011"/>
    <w:rsid w:val="00557332"/>
    <w:rsid w:val="00561107"/>
    <w:rsid w:val="00575DC7"/>
    <w:rsid w:val="00587443"/>
    <w:rsid w:val="00587C50"/>
    <w:rsid w:val="005905E4"/>
    <w:rsid w:val="005917F3"/>
    <w:rsid w:val="005A4A0C"/>
    <w:rsid w:val="005B0ACD"/>
    <w:rsid w:val="005B453B"/>
    <w:rsid w:val="005B50A2"/>
    <w:rsid w:val="005C3408"/>
    <w:rsid w:val="005D5897"/>
    <w:rsid w:val="005D611B"/>
    <w:rsid w:val="005E62AA"/>
    <w:rsid w:val="005F1ACE"/>
    <w:rsid w:val="005F256D"/>
    <w:rsid w:val="005F5482"/>
    <w:rsid w:val="00600E0B"/>
    <w:rsid w:val="0060183A"/>
    <w:rsid w:val="00603110"/>
    <w:rsid w:val="006065AE"/>
    <w:rsid w:val="006075B1"/>
    <w:rsid w:val="00611C8E"/>
    <w:rsid w:val="00631F30"/>
    <w:rsid w:val="00634879"/>
    <w:rsid w:val="00642420"/>
    <w:rsid w:val="0064245F"/>
    <w:rsid w:val="00643E98"/>
    <w:rsid w:val="00646158"/>
    <w:rsid w:val="0065189C"/>
    <w:rsid w:val="006642B0"/>
    <w:rsid w:val="0066622C"/>
    <w:rsid w:val="00666487"/>
    <w:rsid w:val="00673B37"/>
    <w:rsid w:val="00685B51"/>
    <w:rsid w:val="006941CB"/>
    <w:rsid w:val="006945EA"/>
    <w:rsid w:val="006A6008"/>
    <w:rsid w:val="006B4520"/>
    <w:rsid w:val="006B545F"/>
    <w:rsid w:val="006B5470"/>
    <w:rsid w:val="006D0138"/>
    <w:rsid w:val="006D6F52"/>
    <w:rsid w:val="006F231E"/>
    <w:rsid w:val="00701718"/>
    <w:rsid w:val="00710359"/>
    <w:rsid w:val="00712FFF"/>
    <w:rsid w:val="00722DBF"/>
    <w:rsid w:val="00724A55"/>
    <w:rsid w:val="007325A7"/>
    <w:rsid w:val="00735157"/>
    <w:rsid w:val="0074486B"/>
    <w:rsid w:val="007546A4"/>
    <w:rsid w:val="00762F37"/>
    <w:rsid w:val="00764844"/>
    <w:rsid w:val="007718C1"/>
    <w:rsid w:val="00775490"/>
    <w:rsid w:val="00793A2E"/>
    <w:rsid w:val="007940AA"/>
    <w:rsid w:val="00795D0C"/>
    <w:rsid w:val="007A55BA"/>
    <w:rsid w:val="007C1FBD"/>
    <w:rsid w:val="007C27E0"/>
    <w:rsid w:val="007C5C8E"/>
    <w:rsid w:val="007E0A01"/>
    <w:rsid w:val="007E22F5"/>
    <w:rsid w:val="007E3CF5"/>
    <w:rsid w:val="007F25F3"/>
    <w:rsid w:val="007F4556"/>
    <w:rsid w:val="007F4901"/>
    <w:rsid w:val="0080088F"/>
    <w:rsid w:val="00836B02"/>
    <w:rsid w:val="00846531"/>
    <w:rsid w:val="008467D4"/>
    <w:rsid w:val="00850FB0"/>
    <w:rsid w:val="008516AA"/>
    <w:rsid w:val="0085238E"/>
    <w:rsid w:val="008540EA"/>
    <w:rsid w:val="00855FD5"/>
    <w:rsid w:val="00866A00"/>
    <w:rsid w:val="00866ABC"/>
    <w:rsid w:val="008702A6"/>
    <w:rsid w:val="008757CE"/>
    <w:rsid w:val="0088392C"/>
    <w:rsid w:val="008916A2"/>
    <w:rsid w:val="00891D53"/>
    <w:rsid w:val="00897C0E"/>
    <w:rsid w:val="00897E31"/>
    <w:rsid w:val="008A046F"/>
    <w:rsid w:val="008A405A"/>
    <w:rsid w:val="008A6A6A"/>
    <w:rsid w:val="008B3670"/>
    <w:rsid w:val="008B650A"/>
    <w:rsid w:val="008B787C"/>
    <w:rsid w:val="008C3898"/>
    <w:rsid w:val="008C3A6D"/>
    <w:rsid w:val="008C66CC"/>
    <w:rsid w:val="008F483C"/>
    <w:rsid w:val="008F6E81"/>
    <w:rsid w:val="00912D61"/>
    <w:rsid w:val="00921812"/>
    <w:rsid w:val="00923275"/>
    <w:rsid w:val="009322D7"/>
    <w:rsid w:val="00932BDE"/>
    <w:rsid w:val="009561A9"/>
    <w:rsid w:val="0095652C"/>
    <w:rsid w:val="00967725"/>
    <w:rsid w:val="00986E74"/>
    <w:rsid w:val="009902F8"/>
    <w:rsid w:val="009929D6"/>
    <w:rsid w:val="00993BB8"/>
    <w:rsid w:val="0099555F"/>
    <w:rsid w:val="009A22A1"/>
    <w:rsid w:val="009B221D"/>
    <w:rsid w:val="009B3A1B"/>
    <w:rsid w:val="009B6332"/>
    <w:rsid w:val="009C0912"/>
    <w:rsid w:val="009C2EE8"/>
    <w:rsid w:val="009D6694"/>
    <w:rsid w:val="009D7AA8"/>
    <w:rsid w:val="009E4049"/>
    <w:rsid w:val="009E6F72"/>
    <w:rsid w:val="009F0300"/>
    <w:rsid w:val="009F1CF2"/>
    <w:rsid w:val="009F7F03"/>
    <w:rsid w:val="00A0372B"/>
    <w:rsid w:val="00A167A8"/>
    <w:rsid w:val="00A21F0A"/>
    <w:rsid w:val="00A26011"/>
    <w:rsid w:val="00A278FC"/>
    <w:rsid w:val="00A506C2"/>
    <w:rsid w:val="00A56069"/>
    <w:rsid w:val="00A62886"/>
    <w:rsid w:val="00A74C38"/>
    <w:rsid w:val="00A77D24"/>
    <w:rsid w:val="00A838EA"/>
    <w:rsid w:val="00A8572F"/>
    <w:rsid w:val="00A87F22"/>
    <w:rsid w:val="00A92C7A"/>
    <w:rsid w:val="00A93E07"/>
    <w:rsid w:val="00A979CF"/>
    <w:rsid w:val="00AA12ED"/>
    <w:rsid w:val="00AA2DAB"/>
    <w:rsid w:val="00AA4DF8"/>
    <w:rsid w:val="00AA55EF"/>
    <w:rsid w:val="00AA6866"/>
    <w:rsid w:val="00AA71EE"/>
    <w:rsid w:val="00AB780C"/>
    <w:rsid w:val="00AC64B4"/>
    <w:rsid w:val="00AD299C"/>
    <w:rsid w:val="00AD5ADE"/>
    <w:rsid w:val="00AE1D3B"/>
    <w:rsid w:val="00AE7138"/>
    <w:rsid w:val="00AF1602"/>
    <w:rsid w:val="00AF4CAF"/>
    <w:rsid w:val="00AF79CE"/>
    <w:rsid w:val="00B116D2"/>
    <w:rsid w:val="00B117BA"/>
    <w:rsid w:val="00B135AF"/>
    <w:rsid w:val="00B20D87"/>
    <w:rsid w:val="00B41195"/>
    <w:rsid w:val="00B578AC"/>
    <w:rsid w:val="00B6433F"/>
    <w:rsid w:val="00B64CF5"/>
    <w:rsid w:val="00B76C9B"/>
    <w:rsid w:val="00B808D8"/>
    <w:rsid w:val="00B823A1"/>
    <w:rsid w:val="00B8428B"/>
    <w:rsid w:val="00BA41F5"/>
    <w:rsid w:val="00BA765C"/>
    <w:rsid w:val="00BB3C9C"/>
    <w:rsid w:val="00BB659E"/>
    <w:rsid w:val="00BE0812"/>
    <w:rsid w:val="00BE6857"/>
    <w:rsid w:val="00BF4822"/>
    <w:rsid w:val="00C00A45"/>
    <w:rsid w:val="00C01D22"/>
    <w:rsid w:val="00C035FE"/>
    <w:rsid w:val="00C104B6"/>
    <w:rsid w:val="00C10F02"/>
    <w:rsid w:val="00C114F4"/>
    <w:rsid w:val="00C11D03"/>
    <w:rsid w:val="00C23907"/>
    <w:rsid w:val="00C31967"/>
    <w:rsid w:val="00C371DE"/>
    <w:rsid w:val="00C409AE"/>
    <w:rsid w:val="00C42D50"/>
    <w:rsid w:val="00C502E7"/>
    <w:rsid w:val="00C54DF8"/>
    <w:rsid w:val="00C60B49"/>
    <w:rsid w:val="00C71CDF"/>
    <w:rsid w:val="00C71DD0"/>
    <w:rsid w:val="00C7440A"/>
    <w:rsid w:val="00C76503"/>
    <w:rsid w:val="00C865ED"/>
    <w:rsid w:val="00C8775A"/>
    <w:rsid w:val="00C9745C"/>
    <w:rsid w:val="00CA06E3"/>
    <w:rsid w:val="00CA0877"/>
    <w:rsid w:val="00CA5FFE"/>
    <w:rsid w:val="00CA6B59"/>
    <w:rsid w:val="00CB3B6C"/>
    <w:rsid w:val="00CC1833"/>
    <w:rsid w:val="00CC189F"/>
    <w:rsid w:val="00CC2285"/>
    <w:rsid w:val="00CC3368"/>
    <w:rsid w:val="00CC7E82"/>
    <w:rsid w:val="00CF19C4"/>
    <w:rsid w:val="00D13C04"/>
    <w:rsid w:val="00D14FFE"/>
    <w:rsid w:val="00D20A78"/>
    <w:rsid w:val="00D278BA"/>
    <w:rsid w:val="00D27ABA"/>
    <w:rsid w:val="00D40454"/>
    <w:rsid w:val="00D4059C"/>
    <w:rsid w:val="00D454EE"/>
    <w:rsid w:val="00D45F3F"/>
    <w:rsid w:val="00D47751"/>
    <w:rsid w:val="00D53D8F"/>
    <w:rsid w:val="00D61C76"/>
    <w:rsid w:val="00D66893"/>
    <w:rsid w:val="00D669BC"/>
    <w:rsid w:val="00D77015"/>
    <w:rsid w:val="00D824C7"/>
    <w:rsid w:val="00D85B9F"/>
    <w:rsid w:val="00D92B48"/>
    <w:rsid w:val="00DB1693"/>
    <w:rsid w:val="00DD5B07"/>
    <w:rsid w:val="00DE044D"/>
    <w:rsid w:val="00DE510A"/>
    <w:rsid w:val="00DE6821"/>
    <w:rsid w:val="00DF2022"/>
    <w:rsid w:val="00DF34BE"/>
    <w:rsid w:val="00DF5D59"/>
    <w:rsid w:val="00E21CD4"/>
    <w:rsid w:val="00E239E4"/>
    <w:rsid w:val="00E36A38"/>
    <w:rsid w:val="00E37887"/>
    <w:rsid w:val="00E52926"/>
    <w:rsid w:val="00E52DDB"/>
    <w:rsid w:val="00E53399"/>
    <w:rsid w:val="00E76CE4"/>
    <w:rsid w:val="00E77995"/>
    <w:rsid w:val="00E87099"/>
    <w:rsid w:val="00EA28E6"/>
    <w:rsid w:val="00EE678B"/>
    <w:rsid w:val="00EF78C4"/>
    <w:rsid w:val="00F03ED3"/>
    <w:rsid w:val="00F04690"/>
    <w:rsid w:val="00F04CD7"/>
    <w:rsid w:val="00F23E15"/>
    <w:rsid w:val="00F244A2"/>
    <w:rsid w:val="00F35064"/>
    <w:rsid w:val="00F374D8"/>
    <w:rsid w:val="00F37BBB"/>
    <w:rsid w:val="00F43A3F"/>
    <w:rsid w:val="00F51169"/>
    <w:rsid w:val="00F5684D"/>
    <w:rsid w:val="00F569B0"/>
    <w:rsid w:val="00F57AB6"/>
    <w:rsid w:val="00F6480F"/>
    <w:rsid w:val="00F678D0"/>
    <w:rsid w:val="00F70C2E"/>
    <w:rsid w:val="00F8090D"/>
    <w:rsid w:val="00F86713"/>
    <w:rsid w:val="00F932E0"/>
    <w:rsid w:val="00FB34FA"/>
    <w:rsid w:val="00FB629F"/>
    <w:rsid w:val="00FB7701"/>
    <w:rsid w:val="00FC40F0"/>
    <w:rsid w:val="00FC63B1"/>
    <w:rsid w:val="00FC6D3B"/>
    <w:rsid w:val="00FD0129"/>
    <w:rsid w:val="00FE141A"/>
    <w:rsid w:val="00FE17ED"/>
    <w:rsid w:val="00FE318E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4F0DE4"/>
  <w15:docId w15:val="{856DD0D3-CDF1-4C22-91B4-E15E4CC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9555F"/>
    <w:rPr>
      <w:sz w:val="24"/>
    </w:rPr>
  </w:style>
  <w:style w:type="paragraph" w:styleId="Heading2">
    <w:name w:val="heading 2"/>
    <w:basedOn w:val="Normal"/>
    <w:next w:val="Normal"/>
    <w:qFormat/>
    <w:rsid w:val="0099555F"/>
    <w:pPr>
      <w:keepNext/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E533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55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55F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rsid w:val="00D4059C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qFormat/>
    <w:rsid w:val="00D4059C"/>
    <w:pPr>
      <w:spacing w:before="240" w:after="240"/>
    </w:pPr>
    <w:rPr>
      <w:rFonts w:ascii="Arial" w:hAnsi="Arial"/>
      <w:b/>
      <w:sz w:val="40"/>
      <w:lang w:eastAsia="en-US"/>
    </w:rPr>
  </w:style>
  <w:style w:type="paragraph" w:styleId="FootnoteText">
    <w:name w:val="footnote text"/>
    <w:basedOn w:val="Normal"/>
    <w:semiHidden/>
    <w:rsid w:val="00F35064"/>
    <w:rPr>
      <w:sz w:val="20"/>
    </w:rPr>
  </w:style>
  <w:style w:type="character" w:styleId="FootnoteReference">
    <w:name w:val="footnote reference"/>
    <w:basedOn w:val="DefaultParagraphFont"/>
    <w:semiHidden/>
    <w:rsid w:val="00F35064"/>
    <w:rPr>
      <w:vertAlign w:val="superscript"/>
    </w:rPr>
  </w:style>
  <w:style w:type="paragraph" w:styleId="BalloonText">
    <w:name w:val="Balloon Text"/>
    <w:basedOn w:val="Normal"/>
    <w:semiHidden/>
    <w:rsid w:val="0058744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6011"/>
    <w:rPr>
      <w:sz w:val="16"/>
      <w:szCs w:val="16"/>
    </w:rPr>
  </w:style>
  <w:style w:type="paragraph" w:styleId="CommentText">
    <w:name w:val="annotation text"/>
    <w:basedOn w:val="Normal"/>
    <w:semiHidden/>
    <w:rsid w:val="00A2601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6011"/>
    <w:rPr>
      <w:b/>
      <w:bCs/>
    </w:rPr>
  </w:style>
  <w:style w:type="paragraph" w:customStyle="1" w:styleId="Heading1a">
    <w:name w:val="Heading 1a"/>
    <w:next w:val="Normal"/>
    <w:rsid w:val="00F86713"/>
    <w:pPr>
      <w:keepNext/>
      <w:keepLines/>
      <w:spacing w:before="480"/>
      <w:outlineLvl w:val="0"/>
    </w:pPr>
    <w:rPr>
      <w:rFonts w:ascii="Verdana" w:hAnsi="Verdana"/>
      <w:b/>
      <w:noProof/>
      <w:sz w:val="28"/>
    </w:rPr>
  </w:style>
  <w:style w:type="paragraph" w:customStyle="1" w:styleId="Char2">
    <w:name w:val="Char2"/>
    <w:basedOn w:val="Normal"/>
    <w:rsid w:val="00E53399"/>
    <w:pPr>
      <w:spacing w:after="160" w:line="240" w:lineRule="exact"/>
    </w:pPr>
    <w:rPr>
      <w:rFonts w:ascii="Verdana" w:hAnsi="Verdana"/>
      <w:sz w:val="21"/>
      <w:lang w:val="en-US" w:eastAsia="en-US"/>
    </w:rPr>
  </w:style>
  <w:style w:type="character" w:styleId="Hyperlink">
    <w:name w:val="Hyperlink"/>
    <w:basedOn w:val="DefaultParagraphFont"/>
    <w:rsid w:val="008F483C"/>
    <w:rPr>
      <w:color w:val="0000FF"/>
      <w:u w:val="single"/>
    </w:rPr>
  </w:style>
  <w:style w:type="paragraph" w:styleId="ListParagraph">
    <w:name w:val="List Paragraph"/>
    <w:basedOn w:val="Normal"/>
    <w:qFormat/>
    <w:rsid w:val="00075B5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02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9081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26">
      <w:bodyDiv w:val="1"/>
      <w:marLeft w:val="84"/>
      <w:marRight w:val="84"/>
      <w:marTop w:val="84"/>
      <w:marBottom w:val="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3" ma:contentTypeDescription="" ma:contentTypeScope="" ma:versionID="2afd382d7d354886d10c54a3da152149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ffb66b1a5010f932ec52a51dac9611d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3:Description0" minOccurs="0"/>
                <xsd:element ref="ns3:Branch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All Tag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description="What is the document for, brief description" ma:internalName="Description0">
      <xsd:simpleType>
        <xsd:restriction base="dms:Note">
          <xsd:maxLength value="255"/>
        </xsd:restriction>
      </xsd:simpleType>
    </xsd:element>
    <xsd:element name="Branch" ma:index="5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6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2027-04-21T01:40:16+00:00</_dlc_ExpireDate>
    <_dlc_DocId xmlns="5e039acd-daf0-4ba3-b421-e9b9ae1a3620">5YHNKJZSV77T-1853-1466</_dlc_DocId>
    <_dlc_DocIdUrl xmlns="5e039acd-daf0-4ba3-b421-e9b9ae1a3620">
      <Url>http://sharepoint/GASites/IntegratedTaxDesign/_layouts/DocIdRedir.aspx?ID=5YHNKJZSV77T-1853-1466</Url>
      <Description>5YHNKJZSV77T-1853-1466</Description>
    </_dlc_DocIdUrl>
    <Description0 xmlns="c65f9449-2a65-4a94-823f-6ddb40b10aaa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1B00-FC19-4B1C-9D8B-7145DEC969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BF56F5-71FC-48FA-B98E-E9A58F8032C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9D21B34-0B68-411B-A3EA-94C6FDB92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2B523-521B-4F01-8DAB-0EC284B7888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2FC20C5-498D-4972-B93B-EF96A69B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D597C1-B965-4E1A-A465-326C0C3A3173}">
  <ds:schemaRefs>
    <ds:schemaRef ds:uri="http://schemas.microsoft.com/sharepoint/v3"/>
    <ds:schemaRef ds:uri="http://purl.org/dc/elements/1.1/"/>
    <ds:schemaRef ds:uri="5e039acd-daf0-4ba3-b421-e9b9ae1a362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65f9449-2a65-4a94-823f-6ddb40b10aa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6D251D94-4401-48D5-A194-06579127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HERE THE TITLE OF THE INSTRUMENT] Legislative Instrument 200X</vt:lpstr>
    </vt:vector>
  </TitlesOfParts>
  <Company>Australian Taxation Office</Company>
  <LinksUpToDate>false</LinksUpToDate>
  <CharactersWithSpaces>9032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http://www.ag.gov.au/Humanrightsandantidiscrimination/Pages/Statements-of-Compatibility-templates.aspx</vt:lpwstr>
      </vt:variant>
      <vt:variant>
        <vt:lpwstr>doesnot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HERE THE TITLE OF THE INSTRUMENT] Legislative Instrument 200X</dc:title>
  <dc:creator>Rajitha Srikhanta</dc:creator>
  <cp:lastModifiedBy>Ashlee Spears</cp:lastModifiedBy>
  <cp:revision>3</cp:revision>
  <cp:lastPrinted>2019-07-31T02:47:00Z</cp:lastPrinted>
  <dcterms:created xsi:type="dcterms:W3CDTF">2020-04-09T02:08:00Z</dcterms:created>
  <dcterms:modified xsi:type="dcterms:W3CDTF">2020-04-09T02:20:00Z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b7595fec-83a9-468b-b75f-c1145ef2e88e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