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CFC7D" w14:textId="77777777" w:rsidR="003F7923" w:rsidRDefault="003F7923" w:rsidP="003F7923">
      <w:pPr>
        <w:pStyle w:val="Title"/>
      </w:pPr>
      <w:bookmarkStart w:id="0" w:name="_GoBack"/>
      <w:bookmarkEnd w:id="0"/>
    </w:p>
    <w:p w14:paraId="60EEFCAF" w14:textId="77777777" w:rsidR="003F7923" w:rsidRDefault="003F7923" w:rsidP="003F7923">
      <w:pPr>
        <w:spacing w:before="280" w:after="240"/>
        <w:rPr>
          <w:b/>
          <w:sz w:val="32"/>
          <w:szCs w:val="32"/>
        </w:rPr>
      </w:pPr>
    </w:p>
    <w:p w14:paraId="4B60A508" w14:textId="77777777" w:rsidR="003F7923" w:rsidRDefault="003F7923" w:rsidP="003F7923">
      <w:pPr>
        <w:spacing w:before="280" w:after="240"/>
        <w:rPr>
          <w:b/>
          <w:sz w:val="32"/>
          <w:szCs w:val="32"/>
        </w:rPr>
      </w:pPr>
      <w:r w:rsidRPr="00062B85">
        <w:rPr>
          <w:noProof/>
          <w:highlight w:val="yellow"/>
        </w:rPr>
        <w:drawing>
          <wp:anchor distT="0" distB="0" distL="114300" distR="114300" simplePos="0" relativeHeight="251658240" behindDoc="0" locked="0" layoutInCell="1" allowOverlap="1" wp14:anchorId="1D223D9E" wp14:editId="45A286E1">
            <wp:simplePos x="0" y="0"/>
            <wp:positionH relativeFrom="margin">
              <wp:align>center</wp:align>
            </wp:positionH>
            <wp:positionV relativeFrom="margin">
              <wp:align>top</wp:align>
            </wp:positionV>
            <wp:extent cx="3542030" cy="746760"/>
            <wp:effectExtent l="0" t="0" r="1270" b="0"/>
            <wp:wrapSquare wrapText="bothSides"/>
            <wp:docPr id="1" name="Picture 1"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Securities and Investments Commis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5A80D7B" w14:textId="77777777" w:rsidR="003F7923" w:rsidRDefault="003F7923" w:rsidP="003F7923">
      <w:pPr>
        <w:pStyle w:val="LI-Title"/>
        <w:pBdr>
          <w:top w:val="none" w:sz="0" w:space="0" w:color="auto"/>
        </w:pBdr>
        <w:jc w:val="center"/>
      </w:pPr>
    </w:p>
    <w:p w14:paraId="2B19FEE7" w14:textId="77777777" w:rsidR="003F7923" w:rsidRPr="0089290D" w:rsidRDefault="003F7923" w:rsidP="003F7923">
      <w:pPr>
        <w:pStyle w:val="LI-Title"/>
        <w:pBdr>
          <w:top w:val="none" w:sz="0" w:space="0" w:color="auto"/>
        </w:pBdr>
        <w:jc w:val="center"/>
      </w:pPr>
      <w:r w:rsidRPr="0089290D">
        <w:t>Explanatory Statement</w:t>
      </w:r>
    </w:p>
    <w:p w14:paraId="1F54A7E1" w14:textId="77777777" w:rsidR="003F7923" w:rsidRPr="003F7923" w:rsidRDefault="003F7923" w:rsidP="003F7923">
      <w:pPr>
        <w:rPr>
          <w:color w:val="FF0000"/>
          <w:lang w:eastAsia="en-AU"/>
        </w:rPr>
      </w:pPr>
    </w:p>
    <w:p w14:paraId="0DB932EA" w14:textId="55EB6316" w:rsidR="003F7923" w:rsidRPr="003F7923" w:rsidRDefault="00FF259B" w:rsidP="003F7923">
      <w:pPr>
        <w:jc w:val="center"/>
        <w:rPr>
          <w:b/>
          <w:i/>
          <w:color w:val="FF0000"/>
          <w:sz w:val="28"/>
          <w:szCs w:val="28"/>
          <w:lang w:eastAsia="en-AU"/>
        </w:rPr>
      </w:pPr>
      <w:r>
        <w:rPr>
          <w:b/>
          <w:i/>
          <w:sz w:val="28"/>
          <w:szCs w:val="28"/>
          <w:lang w:eastAsia="en-AU"/>
        </w:rPr>
        <w:t>ASIC Corporations (</w:t>
      </w:r>
      <w:r w:rsidR="005B0FE6" w:rsidRPr="005B0FE6">
        <w:rPr>
          <w:b/>
          <w:i/>
          <w:sz w:val="28"/>
          <w:szCs w:val="28"/>
          <w:lang w:eastAsia="en-AU"/>
        </w:rPr>
        <w:t>COVID-19—Advice-related Relief) Instrument 2020</w:t>
      </w:r>
      <w:r>
        <w:rPr>
          <w:b/>
          <w:i/>
          <w:sz w:val="28"/>
          <w:szCs w:val="28"/>
          <w:lang w:eastAsia="en-AU"/>
        </w:rPr>
        <w:t>/</w:t>
      </w:r>
      <w:r w:rsidR="00D51E35">
        <w:rPr>
          <w:b/>
          <w:i/>
          <w:sz w:val="28"/>
          <w:szCs w:val="28"/>
          <w:lang w:eastAsia="en-AU"/>
        </w:rPr>
        <w:t>355</w:t>
      </w:r>
    </w:p>
    <w:p w14:paraId="3E31D075" w14:textId="71B99E2C" w:rsidR="00266B3C" w:rsidRDefault="00F16E06" w:rsidP="00266B3C">
      <w:pPr>
        <w:pStyle w:val="LI-BodyTextParaa"/>
        <w:ind w:left="0" w:firstLine="0"/>
      </w:pPr>
      <w:bookmarkStart w:id="1" w:name="BK_S3P1L1C1"/>
      <w:bookmarkStart w:id="2" w:name="_Hlk37178592"/>
      <w:bookmarkEnd w:id="1"/>
      <w:r>
        <w:t xml:space="preserve">This is the </w:t>
      </w:r>
      <w:r w:rsidR="00266B3C">
        <w:t xml:space="preserve">Explanatory Statement for </w:t>
      </w:r>
      <w:r w:rsidR="00266B3C" w:rsidRPr="00266B3C">
        <w:t>the</w:t>
      </w:r>
      <w:r w:rsidR="00266B3C" w:rsidRPr="00671026">
        <w:rPr>
          <w:i/>
        </w:rPr>
        <w:t xml:space="preserve"> </w:t>
      </w:r>
      <w:r w:rsidR="00266B3C">
        <w:rPr>
          <w:i/>
        </w:rPr>
        <w:t>ASIC</w:t>
      </w:r>
      <w:r w:rsidR="003F7923" w:rsidRPr="00266B3C">
        <w:rPr>
          <w:i/>
        </w:rPr>
        <w:t xml:space="preserve"> </w:t>
      </w:r>
      <w:r w:rsidR="003F7923" w:rsidRPr="00F04A60">
        <w:rPr>
          <w:i/>
        </w:rPr>
        <w:t>Corporations</w:t>
      </w:r>
      <w:r w:rsidR="00FF259B">
        <w:rPr>
          <w:i/>
        </w:rPr>
        <w:t xml:space="preserve"> </w:t>
      </w:r>
      <w:bookmarkStart w:id="3" w:name="_Hlk37269771"/>
      <w:r w:rsidR="00FF259B">
        <w:rPr>
          <w:i/>
        </w:rPr>
        <w:t>(</w:t>
      </w:r>
      <w:r w:rsidR="00981134" w:rsidRPr="00981134">
        <w:rPr>
          <w:i/>
        </w:rPr>
        <w:t xml:space="preserve">COVID-19—Advice-related Relief) Instrument </w:t>
      </w:r>
      <w:bookmarkEnd w:id="3"/>
      <w:r w:rsidR="00D35745" w:rsidRPr="00F04A60">
        <w:rPr>
          <w:i/>
        </w:rPr>
        <w:t>2020</w:t>
      </w:r>
      <w:r w:rsidR="003F7923" w:rsidRPr="00F04A60">
        <w:rPr>
          <w:i/>
        </w:rPr>
        <w:t>/</w:t>
      </w:r>
      <w:r w:rsidR="00D51E35">
        <w:rPr>
          <w:i/>
        </w:rPr>
        <w:t>355</w:t>
      </w:r>
      <w:r w:rsidR="00981134">
        <w:rPr>
          <w:i/>
        </w:rPr>
        <w:t xml:space="preserve"> </w:t>
      </w:r>
      <w:r w:rsidR="00981134" w:rsidRPr="00981134">
        <w:t>(</w:t>
      </w:r>
      <w:r w:rsidR="00981134" w:rsidRPr="00966505">
        <w:rPr>
          <w:b/>
        </w:rPr>
        <w:t>Instrument</w:t>
      </w:r>
      <w:r w:rsidR="00981134" w:rsidRPr="00981134">
        <w:t>)</w:t>
      </w:r>
      <w:r w:rsidR="00266B3C">
        <w:t>.</w:t>
      </w:r>
    </w:p>
    <w:bookmarkEnd w:id="2"/>
    <w:p w14:paraId="14E2FC20" w14:textId="46AEB501" w:rsidR="003F7923" w:rsidRPr="003F7923" w:rsidRDefault="00266B3C">
      <w:pPr>
        <w:pStyle w:val="LI-BodyTextParaa"/>
        <w:ind w:left="0" w:firstLine="0"/>
        <w:rPr>
          <w:color w:val="FF0000"/>
        </w:rPr>
      </w:pPr>
      <w:r>
        <w:t>The Explanatory Statement is approved by the Australian Securities and Investments Commission (</w:t>
      </w:r>
      <w:r w:rsidRPr="009A25D8">
        <w:rPr>
          <w:b/>
        </w:rPr>
        <w:t>ASIC</w:t>
      </w:r>
      <w:r>
        <w:t xml:space="preserve">). </w:t>
      </w:r>
    </w:p>
    <w:p w14:paraId="10B14D70" w14:textId="3B679014" w:rsidR="00F16E06" w:rsidRPr="00D35745" w:rsidRDefault="00F16E06" w:rsidP="003F7923">
      <w:pPr>
        <w:pStyle w:val="LI-BodyTextNumbered"/>
        <w:ind w:left="0" w:firstLine="0"/>
        <w:rPr>
          <w:b/>
        </w:rPr>
      </w:pPr>
      <w:r>
        <w:rPr>
          <w:b/>
        </w:rPr>
        <w:t xml:space="preserve">Summary </w:t>
      </w:r>
    </w:p>
    <w:p w14:paraId="11870AAE" w14:textId="315AA909" w:rsidR="00981134" w:rsidRPr="009A25D8" w:rsidRDefault="00981134" w:rsidP="00981134">
      <w:pPr>
        <w:pStyle w:val="LI-BodyTextParaa"/>
        <w:numPr>
          <w:ilvl w:val="0"/>
          <w:numId w:val="1"/>
        </w:numPr>
        <w:ind w:left="567" w:hanging="567"/>
        <w:rPr>
          <w:color w:val="FF0000"/>
        </w:rPr>
      </w:pPr>
      <w:r w:rsidRPr="00981134">
        <w:rPr>
          <w:szCs w:val="19"/>
        </w:rPr>
        <w:t xml:space="preserve">This </w:t>
      </w:r>
      <w:r w:rsidR="002D4B4C" w:rsidRPr="00981134">
        <w:rPr>
          <w:szCs w:val="19"/>
        </w:rPr>
        <w:t>Instrument</w:t>
      </w:r>
      <w:r w:rsidR="00266B3C">
        <w:rPr>
          <w:szCs w:val="19"/>
        </w:rPr>
        <w:t xml:space="preserve"> </w:t>
      </w:r>
      <w:r w:rsidR="00266B3C" w:rsidRPr="00266B3C">
        <w:rPr>
          <w:szCs w:val="19"/>
        </w:rPr>
        <w:t>implements</w:t>
      </w:r>
      <w:r w:rsidR="00266B3C">
        <w:rPr>
          <w:szCs w:val="19"/>
        </w:rPr>
        <w:t xml:space="preserve"> </w:t>
      </w:r>
      <w:r>
        <w:rPr>
          <w:szCs w:val="19"/>
        </w:rPr>
        <w:t xml:space="preserve">three </w:t>
      </w:r>
      <w:r w:rsidR="00266B3C">
        <w:rPr>
          <w:szCs w:val="19"/>
        </w:rPr>
        <w:t xml:space="preserve">temporary </w:t>
      </w:r>
      <w:r w:rsidR="00BD1D8B">
        <w:rPr>
          <w:szCs w:val="19"/>
        </w:rPr>
        <w:t xml:space="preserve">relief </w:t>
      </w:r>
      <w:r w:rsidR="00266B3C">
        <w:rPr>
          <w:szCs w:val="19"/>
        </w:rPr>
        <w:t>measures</w:t>
      </w:r>
      <w:r>
        <w:rPr>
          <w:szCs w:val="19"/>
        </w:rPr>
        <w:t xml:space="preserve"> to facilitate retail clients receiving timely and affordable </w:t>
      </w:r>
      <w:r w:rsidR="001D6B79">
        <w:rPr>
          <w:szCs w:val="19"/>
        </w:rPr>
        <w:t xml:space="preserve">financial product </w:t>
      </w:r>
      <w:r w:rsidR="00BD1D8B">
        <w:rPr>
          <w:szCs w:val="19"/>
        </w:rPr>
        <w:t xml:space="preserve">advice </w:t>
      </w:r>
      <w:r w:rsidR="00137F85">
        <w:rPr>
          <w:szCs w:val="19"/>
        </w:rPr>
        <w:t xml:space="preserve">because of </w:t>
      </w:r>
      <w:r w:rsidRPr="001215B6">
        <w:t>the adverse economic effects of the coronavirus known as COVID</w:t>
      </w:r>
      <w:r w:rsidRPr="000960C5">
        <w:t>-</w:t>
      </w:r>
      <w:r w:rsidRPr="009A25D8">
        <w:t>19</w:t>
      </w:r>
      <w:r w:rsidR="00EB034D" w:rsidRPr="009A25D8">
        <w:t xml:space="preserve"> (</w:t>
      </w:r>
      <w:r w:rsidR="00EB034D" w:rsidRPr="009A25D8">
        <w:rPr>
          <w:b/>
        </w:rPr>
        <w:t>COVID-19 advice</w:t>
      </w:r>
      <w:r w:rsidR="00EB034D" w:rsidRPr="009A25D8">
        <w:t>)</w:t>
      </w:r>
      <w:r w:rsidRPr="009A25D8">
        <w:t>.</w:t>
      </w:r>
    </w:p>
    <w:p w14:paraId="45A23A4E" w14:textId="750151AC" w:rsidR="00EB034D" w:rsidRPr="00EB034D" w:rsidRDefault="00981134" w:rsidP="00EB034D">
      <w:pPr>
        <w:pStyle w:val="LI-BodyTextParaa"/>
        <w:numPr>
          <w:ilvl w:val="0"/>
          <w:numId w:val="1"/>
        </w:numPr>
        <w:ind w:left="567" w:hanging="567"/>
        <w:rPr>
          <w:szCs w:val="19"/>
        </w:rPr>
      </w:pPr>
      <w:r w:rsidRPr="000960C5">
        <w:t xml:space="preserve">The </w:t>
      </w:r>
      <w:r w:rsidR="00EB034D" w:rsidRPr="000960C5">
        <w:t>‘</w:t>
      </w:r>
      <w:r w:rsidR="00EB034D" w:rsidRPr="000960C5">
        <w:rPr>
          <w:i/>
        </w:rPr>
        <w:t xml:space="preserve">Urgent Advice’ </w:t>
      </w:r>
      <w:r w:rsidR="00EB034D" w:rsidRPr="000960C5">
        <w:t>measure give</w:t>
      </w:r>
      <w:r w:rsidR="00336A73" w:rsidRPr="000960C5">
        <w:t>s</w:t>
      </w:r>
      <w:r w:rsidR="00EB034D" w:rsidRPr="000960C5">
        <w:t xml:space="preserve"> providing entities</w:t>
      </w:r>
      <w:r w:rsidR="00BD1D8B" w:rsidRPr="000960C5">
        <w:t xml:space="preserve"> </w:t>
      </w:r>
      <w:r w:rsidR="00EB034D" w:rsidRPr="000960C5">
        <w:t>additional time to</w:t>
      </w:r>
      <w:r w:rsidR="00EB034D">
        <w:t xml:space="preserve"> provide </w:t>
      </w:r>
      <w:r w:rsidR="001412B4">
        <w:t xml:space="preserve">a </w:t>
      </w:r>
      <w:r w:rsidR="00EB034D">
        <w:t>Statement of Advice (</w:t>
      </w:r>
      <w:r w:rsidR="00EB034D" w:rsidRPr="009A25D8">
        <w:rPr>
          <w:b/>
        </w:rPr>
        <w:t>SOA</w:t>
      </w:r>
      <w:r w:rsidR="00EB034D">
        <w:t>) to clients in relation to urgent</w:t>
      </w:r>
      <w:r w:rsidR="00BF27E3">
        <w:t>, time-critical</w:t>
      </w:r>
      <w:r w:rsidR="00EB034D">
        <w:t xml:space="preserve"> COVID-19 advice. </w:t>
      </w:r>
    </w:p>
    <w:p w14:paraId="7DC2B198" w14:textId="6CC3ED31" w:rsidR="003E1DAB" w:rsidRDefault="003E1DAB" w:rsidP="003E1DAB">
      <w:pPr>
        <w:pStyle w:val="LI-BodyTextParaa"/>
        <w:numPr>
          <w:ilvl w:val="0"/>
          <w:numId w:val="1"/>
        </w:numPr>
        <w:ind w:left="567" w:hanging="567"/>
        <w:rPr>
          <w:szCs w:val="19"/>
        </w:rPr>
      </w:pPr>
      <w:r>
        <w:rPr>
          <w:szCs w:val="19"/>
        </w:rPr>
        <w:t xml:space="preserve">The </w:t>
      </w:r>
      <w:bookmarkStart w:id="4" w:name="_Hlk37269265"/>
      <w:r w:rsidRPr="00336A73">
        <w:rPr>
          <w:i/>
          <w:szCs w:val="19"/>
        </w:rPr>
        <w:t xml:space="preserve">‘Early </w:t>
      </w:r>
      <w:r w:rsidR="00B61412">
        <w:rPr>
          <w:i/>
          <w:szCs w:val="19"/>
        </w:rPr>
        <w:t>Release of S</w:t>
      </w:r>
      <w:r w:rsidRPr="00336A73">
        <w:rPr>
          <w:i/>
          <w:szCs w:val="19"/>
        </w:rPr>
        <w:t>uperannuation’</w:t>
      </w:r>
      <w:r>
        <w:rPr>
          <w:szCs w:val="19"/>
        </w:rPr>
        <w:t xml:space="preserve"> measure </w:t>
      </w:r>
      <w:bookmarkEnd w:id="4"/>
      <w:r>
        <w:rPr>
          <w:szCs w:val="19"/>
        </w:rPr>
        <w:t>grants temporary relief to:</w:t>
      </w:r>
    </w:p>
    <w:p w14:paraId="31240A28" w14:textId="033A4146" w:rsidR="003E1DAB" w:rsidRDefault="00B1663E" w:rsidP="003E1DAB">
      <w:pPr>
        <w:pStyle w:val="LI-BodyTextParaa"/>
        <w:numPr>
          <w:ilvl w:val="1"/>
          <w:numId w:val="1"/>
        </w:numPr>
        <w:rPr>
          <w:szCs w:val="19"/>
        </w:rPr>
      </w:pPr>
      <w:r>
        <w:rPr>
          <w:szCs w:val="19"/>
        </w:rPr>
        <w:t xml:space="preserve">allow </w:t>
      </w:r>
      <w:r w:rsidR="003E1DAB" w:rsidRPr="00336A73">
        <w:rPr>
          <w:szCs w:val="19"/>
        </w:rPr>
        <w:t>a licensing exemption to registered tax agents when certain</w:t>
      </w:r>
      <w:r>
        <w:rPr>
          <w:szCs w:val="19"/>
        </w:rPr>
        <w:t xml:space="preserve"> </w:t>
      </w:r>
      <w:r w:rsidR="003E1DAB" w:rsidRPr="00336A73">
        <w:rPr>
          <w:szCs w:val="19"/>
        </w:rPr>
        <w:t>conditions are met</w:t>
      </w:r>
      <w:r w:rsidR="003E1DAB">
        <w:rPr>
          <w:szCs w:val="19"/>
        </w:rPr>
        <w:t xml:space="preserve">, so they can provide </w:t>
      </w:r>
      <w:r w:rsidR="00C869A6">
        <w:rPr>
          <w:szCs w:val="19"/>
        </w:rPr>
        <w:t xml:space="preserve">financial product </w:t>
      </w:r>
      <w:r w:rsidR="003E1DAB">
        <w:rPr>
          <w:szCs w:val="19"/>
        </w:rPr>
        <w:t>advice to their existing clients about the early release of the</w:t>
      </w:r>
      <w:r w:rsidR="00510785">
        <w:rPr>
          <w:szCs w:val="19"/>
        </w:rPr>
        <w:t xml:space="preserve"> client’s</w:t>
      </w:r>
      <w:r w:rsidR="003E1DAB">
        <w:rPr>
          <w:szCs w:val="19"/>
        </w:rPr>
        <w:t xml:space="preserve"> superannuation product or retirement savings account </w:t>
      </w:r>
      <w:r w:rsidR="00DE10E0">
        <w:rPr>
          <w:szCs w:val="19"/>
        </w:rPr>
        <w:t>(</w:t>
      </w:r>
      <w:r w:rsidR="00DE10E0" w:rsidRPr="00DE10E0">
        <w:rPr>
          <w:b/>
          <w:szCs w:val="19"/>
        </w:rPr>
        <w:t>RSA</w:t>
      </w:r>
      <w:r w:rsidR="00DE10E0">
        <w:rPr>
          <w:szCs w:val="19"/>
        </w:rPr>
        <w:t xml:space="preserve">) </w:t>
      </w:r>
      <w:r w:rsidR="003E1DAB">
        <w:rPr>
          <w:szCs w:val="19"/>
        </w:rPr>
        <w:t xml:space="preserve">product </w:t>
      </w:r>
      <w:r w:rsidR="003E1DAB" w:rsidRPr="00DC1FB6">
        <w:rPr>
          <w:szCs w:val="19"/>
        </w:rPr>
        <w:t>(</w:t>
      </w:r>
      <w:r w:rsidR="00DE10E0" w:rsidRPr="00DC1FB6">
        <w:rPr>
          <w:szCs w:val="19"/>
        </w:rPr>
        <w:t xml:space="preserve">collectively referred to in this Explanatory Statement as </w:t>
      </w:r>
      <w:r w:rsidR="003E1DAB" w:rsidRPr="00DC1FB6">
        <w:rPr>
          <w:b/>
          <w:szCs w:val="19"/>
        </w:rPr>
        <w:t>superannuation</w:t>
      </w:r>
      <w:r w:rsidR="003E1DAB">
        <w:rPr>
          <w:szCs w:val="19"/>
        </w:rPr>
        <w:t>)</w:t>
      </w:r>
      <w:r>
        <w:rPr>
          <w:szCs w:val="19"/>
        </w:rPr>
        <w:t xml:space="preserve">, without the need to </w:t>
      </w:r>
      <w:r>
        <w:t xml:space="preserve">hold an Australian </w:t>
      </w:r>
      <w:r w:rsidR="0053369C">
        <w:t>f</w:t>
      </w:r>
      <w:r>
        <w:t xml:space="preserve">inancial </w:t>
      </w:r>
      <w:r w:rsidR="0053369C">
        <w:t>s</w:t>
      </w:r>
      <w:r w:rsidRPr="00510785">
        <w:t>ervices (</w:t>
      </w:r>
      <w:r w:rsidRPr="00510785">
        <w:rPr>
          <w:b/>
        </w:rPr>
        <w:t>AFS</w:t>
      </w:r>
      <w:r w:rsidRPr="00510785">
        <w:t>) licence</w:t>
      </w:r>
      <w:r w:rsidR="003E1DAB" w:rsidRPr="00336A73">
        <w:rPr>
          <w:szCs w:val="19"/>
        </w:rPr>
        <w:t>; and</w:t>
      </w:r>
    </w:p>
    <w:p w14:paraId="4EA676C6" w14:textId="1927EA64" w:rsidR="003E1DAB" w:rsidRDefault="00B1663E" w:rsidP="00C869A6">
      <w:pPr>
        <w:pStyle w:val="LI-BodyTextParaa"/>
        <w:numPr>
          <w:ilvl w:val="1"/>
          <w:numId w:val="1"/>
        </w:numPr>
        <w:rPr>
          <w:szCs w:val="19"/>
        </w:rPr>
      </w:pPr>
      <w:r>
        <w:rPr>
          <w:szCs w:val="19"/>
        </w:rPr>
        <w:t xml:space="preserve">allow </w:t>
      </w:r>
      <w:r w:rsidR="00546851">
        <w:rPr>
          <w:szCs w:val="19"/>
        </w:rPr>
        <w:t>providing entities</w:t>
      </w:r>
      <w:r w:rsidR="00BD1D8B">
        <w:rPr>
          <w:szCs w:val="19"/>
        </w:rPr>
        <w:t xml:space="preserve"> </w:t>
      </w:r>
      <w:r w:rsidR="00C869A6">
        <w:rPr>
          <w:szCs w:val="19"/>
        </w:rPr>
        <w:t xml:space="preserve">to </w:t>
      </w:r>
      <w:r w:rsidR="00BD1D8B">
        <w:rPr>
          <w:szCs w:val="19"/>
        </w:rPr>
        <w:t xml:space="preserve">give </w:t>
      </w:r>
      <w:r w:rsidR="00C869A6">
        <w:rPr>
          <w:szCs w:val="19"/>
        </w:rPr>
        <w:t xml:space="preserve">financial product </w:t>
      </w:r>
      <w:r>
        <w:rPr>
          <w:szCs w:val="19"/>
        </w:rPr>
        <w:t>advice to clients about the early release of their superannuation</w:t>
      </w:r>
      <w:r w:rsidR="00C869A6">
        <w:rPr>
          <w:szCs w:val="19"/>
        </w:rPr>
        <w:t xml:space="preserve">, without the </w:t>
      </w:r>
      <w:r w:rsidR="003E1DAB" w:rsidRPr="00336A73">
        <w:rPr>
          <w:szCs w:val="19"/>
        </w:rPr>
        <w:t>obligation to provide a</w:t>
      </w:r>
      <w:r w:rsidR="007E6DD9">
        <w:rPr>
          <w:szCs w:val="19"/>
        </w:rPr>
        <w:t>n</w:t>
      </w:r>
      <w:r w:rsidR="003E1DAB" w:rsidRPr="00336A73">
        <w:rPr>
          <w:szCs w:val="19"/>
        </w:rPr>
        <w:t xml:space="preserve"> </w:t>
      </w:r>
      <w:r w:rsidR="00314AF4">
        <w:rPr>
          <w:szCs w:val="19"/>
        </w:rPr>
        <w:t>SOA</w:t>
      </w:r>
      <w:r w:rsidR="003E1DAB" w:rsidRPr="00336A73">
        <w:rPr>
          <w:szCs w:val="19"/>
        </w:rPr>
        <w:t xml:space="preserve"> when certain conditions are met</w:t>
      </w:r>
      <w:r>
        <w:rPr>
          <w:szCs w:val="19"/>
        </w:rPr>
        <w:t>.</w:t>
      </w:r>
    </w:p>
    <w:p w14:paraId="147CC9F2" w14:textId="6F229F86" w:rsidR="00EB034D" w:rsidRDefault="00EB034D" w:rsidP="00EB034D">
      <w:pPr>
        <w:pStyle w:val="LI-BodyTextParaa"/>
        <w:numPr>
          <w:ilvl w:val="0"/>
          <w:numId w:val="1"/>
        </w:numPr>
        <w:ind w:left="567" w:hanging="567"/>
        <w:rPr>
          <w:szCs w:val="19"/>
        </w:rPr>
      </w:pPr>
      <w:r w:rsidRPr="00E51018">
        <w:rPr>
          <w:szCs w:val="19"/>
        </w:rPr>
        <w:t xml:space="preserve">The </w:t>
      </w:r>
      <w:r w:rsidRPr="00E51018">
        <w:rPr>
          <w:i/>
          <w:szCs w:val="19"/>
        </w:rPr>
        <w:t xml:space="preserve">‘ROA for </w:t>
      </w:r>
      <w:r w:rsidR="003E1DAB">
        <w:rPr>
          <w:i/>
          <w:szCs w:val="19"/>
        </w:rPr>
        <w:t xml:space="preserve">an </w:t>
      </w:r>
      <w:r w:rsidRPr="00E51018">
        <w:rPr>
          <w:i/>
          <w:szCs w:val="19"/>
        </w:rPr>
        <w:t>Existing Client’</w:t>
      </w:r>
      <w:r w:rsidRPr="00E51018">
        <w:rPr>
          <w:szCs w:val="19"/>
        </w:rPr>
        <w:t xml:space="preserve"> measure facilitate</w:t>
      </w:r>
      <w:r w:rsidR="00336A73">
        <w:rPr>
          <w:szCs w:val="19"/>
        </w:rPr>
        <w:t>s</w:t>
      </w:r>
      <w:r w:rsidRPr="00E51018">
        <w:rPr>
          <w:szCs w:val="19"/>
        </w:rPr>
        <w:t xml:space="preserve"> access to timely and affordable COVID-19 advice for </w:t>
      </w:r>
      <w:r>
        <w:rPr>
          <w:szCs w:val="19"/>
        </w:rPr>
        <w:t xml:space="preserve">existing </w:t>
      </w:r>
      <w:r w:rsidRPr="00AE0492">
        <w:t>clients</w:t>
      </w:r>
      <w:r w:rsidRPr="00E51018">
        <w:rPr>
          <w:szCs w:val="19"/>
        </w:rPr>
        <w:t xml:space="preserve"> </w:t>
      </w:r>
      <w:r w:rsidR="003E1DAB">
        <w:rPr>
          <w:szCs w:val="19"/>
        </w:rPr>
        <w:t xml:space="preserve">of </w:t>
      </w:r>
      <w:r w:rsidR="00546851">
        <w:rPr>
          <w:szCs w:val="19"/>
        </w:rPr>
        <w:t>providing entities</w:t>
      </w:r>
      <w:r w:rsidR="003E1DAB">
        <w:rPr>
          <w:szCs w:val="19"/>
        </w:rPr>
        <w:t xml:space="preserve">. It </w:t>
      </w:r>
      <w:r w:rsidRPr="00E51018">
        <w:rPr>
          <w:szCs w:val="19"/>
        </w:rPr>
        <w:t>allow</w:t>
      </w:r>
      <w:r w:rsidR="003E1DAB">
        <w:rPr>
          <w:szCs w:val="19"/>
        </w:rPr>
        <w:t>s</w:t>
      </w:r>
      <w:r w:rsidRPr="00E51018">
        <w:rPr>
          <w:szCs w:val="19"/>
        </w:rPr>
        <w:t xml:space="preserve"> a Record of Advice </w:t>
      </w:r>
      <w:r w:rsidRPr="007C1277">
        <w:rPr>
          <w:szCs w:val="19"/>
        </w:rPr>
        <w:t>(</w:t>
      </w:r>
      <w:r w:rsidRPr="00966505">
        <w:rPr>
          <w:b/>
          <w:szCs w:val="19"/>
        </w:rPr>
        <w:t>ROA</w:t>
      </w:r>
      <w:r w:rsidRPr="007C1277">
        <w:rPr>
          <w:szCs w:val="19"/>
        </w:rPr>
        <w:t>)</w:t>
      </w:r>
      <w:r w:rsidRPr="00E51018">
        <w:rPr>
          <w:szCs w:val="19"/>
        </w:rPr>
        <w:t xml:space="preserve"> to be provided, rather than an SOA, in relation to COVID-19 advice in certain circumstances.</w:t>
      </w:r>
      <w:r>
        <w:rPr>
          <w:szCs w:val="19"/>
        </w:rPr>
        <w:t xml:space="preserve"> </w:t>
      </w:r>
    </w:p>
    <w:p w14:paraId="521F25C6" w14:textId="55B7EDBB" w:rsidR="00266C6E" w:rsidRDefault="00266C6E" w:rsidP="00266C6E">
      <w:pPr>
        <w:pStyle w:val="LI-BodyTextParaa"/>
        <w:numPr>
          <w:ilvl w:val="0"/>
          <w:numId w:val="1"/>
        </w:numPr>
        <w:ind w:left="567" w:hanging="567"/>
        <w:rPr>
          <w:szCs w:val="19"/>
        </w:rPr>
      </w:pPr>
      <w:r>
        <w:rPr>
          <w:szCs w:val="19"/>
        </w:rPr>
        <w:lastRenderedPageBreak/>
        <w:t xml:space="preserve">A ‘providing entity’ </w:t>
      </w:r>
      <w:r w:rsidR="00822671">
        <w:rPr>
          <w:szCs w:val="19"/>
        </w:rPr>
        <w:t>is</w:t>
      </w:r>
      <w:r>
        <w:rPr>
          <w:szCs w:val="19"/>
        </w:rPr>
        <w:t xml:space="preserve"> an AFS licensee or an authorised representative of an AFS licensee, that provides personal advice to a retail client. </w:t>
      </w:r>
      <w:r w:rsidR="00CB7D8F">
        <w:rPr>
          <w:szCs w:val="19"/>
        </w:rPr>
        <w:t xml:space="preserve">Many </w:t>
      </w:r>
      <w:r w:rsidR="003C158D">
        <w:rPr>
          <w:szCs w:val="19"/>
        </w:rPr>
        <w:t>p</w:t>
      </w:r>
      <w:r>
        <w:rPr>
          <w:szCs w:val="19"/>
        </w:rPr>
        <w:t>roviding entities are known as ‘financial advisers’.</w:t>
      </w:r>
    </w:p>
    <w:p w14:paraId="587DFF0F" w14:textId="37D073F2" w:rsidR="00C869A6" w:rsidRDefault="00C869A6" w:rsidP="00C869A6">
      <w:pPr>
        <w:pStyle w:val="LI-BodyTextParaa"/>
        <w:numPr>
          <w:ilvl w:val="0"/>
          <w:numId w:val="1"/>
        </w:numPr>
        <w:rPr>
          <w:szCs w:val="19"/>
        </w:rPr>
      </w:pPr>
      <w:r>
        <w:rPr>
          <w:szCs w:val="19"/>
        </w:rPr>
        <w:t xml:space="preserve">ASIC will continue to monitor the appropriateness of the Instrument, having regard to the ongoing impact of COVID-19. To provide some certainty to </w:t>
      </w:r>
      <w:r w:rsidRPr="00266C6E">
        <w:rPr>
          <w:szCs w:val="19"/>
        </w:rPr>
        <w:t>providing entities</w:t>
      </w:r>
      <w:r>
        <w:rPr>
          <w:szCs w:val="19"/>
        </w:rPr>
        <w:t xml:space="preserve"> </w:t>
      </w:r>
      <w:r w:rsidR="006D7A48">
        <w:rPr>
          <w:szCs w:val="19"/>
        </w:rPr>
        <w:t xml:space="preserve">and registered tax agents </w:t>
      </w:r>
      <w:r>
        <w:rPr>
          <w:szCs w:val="19"/>
        </w:rPr>
        <w:t>that might seek to rely on the Instrument, ASIC’s present policy is to give 30 days’ notice before implementing any decision to repeal the exemption</w:t>
      </w:r>
      <w:r w:rsidR="004A122A">
        <w:rPr>
          <w:szCs w:val="19"/>
        </w:rPr>
        <w:t>s</w:t>
      </w:r>
      <w:r>
        <w:rPr>
          <w:szCs w:val="19"/>
        </w:rPr>
        <w:t xml:space="preserve"> and declaration</w:t>
      </w:r>
      <w:r w:rsidR="00C93318">
        <w:rPr>
          <w:szCs w:val="19"/>
        </w:rPr>
        <w:t>s</w:t>
      </w:r>
      <w:r>
        <w:rPr>
          <w:szCs w:val="19"/>
        </w:rPr>
        <w:t xml:space="preserve"> in the Instrument.</w:t>
      </w:r>
    </w:p>
    <w:p w14:paraId="0F4AF196" w14:textId="11930023" w:rsidR="00D97B55" w:rsidRPr="00D97B55" w:rsidRDefault="003F7923" w:rsidP="00BD1D8B">
      <w:pPr>
        <w:pStyle w:val="LI-BodyTextNumbered"/>
        <w:keepNext/>
        <w:ind w:left="0" w:firstLine="0"/>
        <w:rPr>
          <w:b/>
        </w:rPr>
      </w:pPr>
      <w:r w:rsidRPr="00D97B55">
        <w:rPr>
          <w:b/>
        </w:rPr>
        <w:t xml:space="preserve">Purpose of the </w:t>
      </w:r>
      <w:r w:rsidR="00D44226">
        <w:rPr>
          <w:b/>
        </w:rPr>
        <w:t>I</w:t>
      </w:r>
      <w:r w:rsidRPr="00D97B55">
        <w:rPr>
          <w:b/>
        </w:rPr>
        <w:t>nstrument</w:t>
      </w:r>
    </w:p>
    <w:p w14:paraId="730C248D" w14:textId="050E447D" w:rsidR="001865CF" w:rsidRPr="00266C6E" w:rsidRDefault="003147CA" w:rsidP="00BD1D8B">
      <w:pPr>
        <w:pStyle w:val="LI-BodyTextParaa"/>
        <w:numPr>
          <w:ilvl w:val="0"/>
          <w:numId w:val="1"/>
        </w:numPr>
        <w:ind w:left="567" w:hanging="567"/>
      </w:pPr>
      <w:r>
        <w:rPr>
          <w:iCs/>
        </w:rPr>
        <w:t>T</w:t>
      </w:r>
      <w:r w:rsidR="00D44226" w:rsidRPr="001865CF">
        <w:rPr>
          <w:iCs/>
        </w:rPr>
        <w:t>he</w:t>
      </w:r>
      <w:r w:rsidR="0092606C" w:rsidRPr="001865CF">
        <w:rPr>
          <w:iCs/>
        </w:rPr>
        <w:t xml:space="preserve"> </w:t>
      </w:r>
      <w:r w:rsidR="00D44226" w:rsidRPr="001865CF">
        <w:rPr>
          <w:iCs/>
        </w:rPr>
        <w:t>I</w:t>
      </w:r>
      <w:r w:rsidR="0092606C" w:rsidRPr="001865CF">
        <w:rPr>
          <w:iCs/>
        </w:rPr>
        <w:t xml:space="preserve">nstrument </w:t>
      </w:r>
      <w:r w:rsidR="00D97B55" w:rsidRPr="00D44226">
        <w:t>facilitate</w:t>
      </w:r>
      <w:r>
        <w:t>s</w:t>
      </w:r>
      <w:r w:rsidR="00D97B55" w:rsidRPr="00D44226">
        <w:t xml:space="preserve"> the </w:t>
      </w:r>
      <w:r w:rsidR="00D44226" w:rsidRPr="00D44226">
        <w:t xml:space="preserve">provision of </w:t>
      </w:r>
      <w:r w:rsidR="00E47D26">
        <w:t xml:space="preserve">affordable and </w:t>
      </w:r>
      <w:r w:rsidR="000728F2">
        <w:t>timely</w:t>
      </w:r>
      <w:r w:rsidR="00E47D26">
        <w:t xml:space="preserve"> </w:t>
      </w:r>
      <w:r w:rsidR="00D44226" w:rsidRPr="00D44226">
        <w:t xml:space="preserve">financial </w:t>
      </w:r>
      <w:r w:rsidR="00D40308">
        <w:t xml:space="preserve">product </w:t>
      </w:r>
      <w:r w:rsidR="00D44226" w:rsidRPr="00266C6E">
        <w:t>advice</w:t>
      </w:r>
      <w:r w:rsidR="001865CF" w:rsidRPr="00266C6E">
        <w:t xml:space="preserve"> </w:t>
      </w:r>
      <w:r w:rsidR="007339AF" w:rsidRPr="00266C6E">
        <w:t xml:space="preserve">to clients </w:t>
      </w:r>
      <w:r w:rsidR="001865CF" w:rsidRPr="00266C6E">
        <w:t>and reduce</w:t>
      </w:r>
      <w:r w:rsidRPr="00266C6E">
        <w:t>s</w:t>
      </w:r>
      <w:r w:rsidR="001865CF" w:rsidRPr="00266C6E">
        <w:t xml:space="preserve"> the regulatory </w:t>
      </w:r>
      <w:r w:rsidRPr="00266C6E">
        <w:t xml:space="preserve">disclosure </w:t>
      </w:r>
      <w:r w:rsidR="001865CF" w:rsidRPr="00266C6E">
        <w:t xml:space="preserve">burden on </w:t>
      </w:r>
      <w:bookmarkStart w:id="5" w:name="_Hlk37270008"/>
      <w:r w:rsidR="00546851" w:rsidRPr="00266C6E">
        <w:t>providing entities</w:t>
      </w:r>
      <w:bookmarkEnd w:id="5"/>
      <w:r w:rsidR="00D44226" w:rsidRPr="00266C6E">
        <w:t xml:space="preserve"> </w:t>
      </w:r>
      <w:r w:rsidR="00D97B55" w:rsidRPr="00266C6E">
        <w:t>during th</w:t>
      </w:r>
      <w:r w:rsidR="00B35790" w:rsidRPr="00266C6E">
        <w:t>e</w:t>
      </w:r>
      <w:r w:rsidR="00D97B55" w:rsidRPr="00266C6E">
        <w:t xml:space="preserve"> </w:t>
      </w:r>
      <w:r w:rsidR="00EE07B9" w:rsidRPr="00266C6E">
        <w:t xml:space="preserve">COVID-19 </w:t>
      </w:r>
      <w:r w:rsidR="00E30D91" w:rsidRPr="00266C6E">
        <w:t xml:space="preserve">pandemic </w:t>
      </w:r>
      <w:r w:rsidR="00E47D26" w:rsidRPr="00266C6E">
        <w:t>perio</w:t>
      </w:r>
      <w:r w:rsidR="00BE0E7C" w:rsidRPr="00266C6E">
        <w:t>d</w:t>
      </w:r>
      <w:r w:rsidR="001865CF" w:rsidRPr="00266C6E">
        <w:t>.</w:t>
      </w:r>
    </w:p>
    <w:p w14:paraId="0EBD8CAA" w14:textId="48AAB9B2" w:rsidR="00453E64" w:rsidRDefault="00453E64" w:rsidP="00453E64">
      <w:pPr>
        <w:pStyle w:val="LI-BodyTextParaa"/>
        <w:numPr>
          <w:ilvl w:val="0"/>
          <w:numId w:val="1"/>
        </w:numPr>
        <w:ind w:left="567" w:hanging="567"/>
        <w:rPr>
          <w:szCs w:val="19"/>
        </w:rPr>
      </w:pPr>
      <w:r w:rsidRPr="00266C6E">
        <w:rPr>
          <w:szCs w:val="19"/>
        </w:rPr>
        <w:t xml:space="preserve">The measures in the Instrument primarily affect the disclosure obligations for </w:t>
      </w:r>
      <w:r w:rsidR="00546851" w:rsidRPr="00266C6E">
        <w:rPr>
          <w:szCs w:val="19"/>
        </w:rPr>
        <w:t>providing entities</w:t>
      </w:r>
      <w:r w:rsidR="001D6699" w:rsidRPr="00266C6E">
        <w:rPr>
          <w:szCs w:val="19"/>
        </w:rPr>
        <w:t xml:space="preserve"> w</w:t>
      </w:r>
      <w:r w:rsidR="00DF28C0" w:rsidRPr="00266C6E">
        <w:rPr>
          <w:szCs w:val="19"/>
        </w:rPr>
        <w:t xml:space="preserve">hen </w:t>
      </w:r>
      <w:r w:rsidR="001F47CB" w:rsidRPr="00266C6E">
        <w:rPr>
          <w:szCs w:val="19"/>
        </w:rPr>
        <w:t xml:space="preserve">giving </w:t>
      </w:r>
      <w:r w:rsidR="00DF28C0" w:rsidRPr="00266C6E">
        <w:rPr>
          <w:szCs w:val="19"/>
        </w:rPr>
        <w:t xml:space="preserve">financial </w:t>
      </w:r>
      <w:r w:rsidR="00822671">
        <w:rPr>
          <w:szCs w:val="19"/>
        </w:rPr>
        <w:t>product advice</w:t>
      </w:r>
      <w:r w:rsidR="00822671" w:rsidRPr="00266C6E">
        <w:rPr>
          <w:szCs w:val="19"/>
        </w:rPr>
        <w:t xml:space="preserve"> </w:t>
      </w:r>
      <w:r w:rsidR="00DF28C0" w:rsidRPr="00266C6E">
        <w:rPr>
          <w:szCs w:val="19"/>
        </w:rPr>
        <w:t>to their clients.</w:t>
      </w:r>
      <w:r w:rsidRPr="00266C6E">
        <w:rPr>
          <w:szCs w:val="19"/>
        </w:rPr>
        <w:t xml:space="preserve"> The conduct obligations for </w:t>
      </w:r>
      <w:r w:rsidR="00546851" w:rsidRPr="00266C6E">
        <w:rPr>
          <w:szCs w:val="19"/>
        </w:rPr>
        <w:t>providing entities</w:t>
      </w:r>
      <w:r>
        <w:rPr>
          <w:szCs w:val="19"/>
        </w:rPr>
        <w:t xml:space="preserve"> </w:t>
      </w:r>
      <w:r w:rsidR="003868F2">
        <w:rPr>
          <w:szCs w:val="19"/>
        </w:rPr>
        <w:t>(for example</w:t>
      </w:r>
      <w:r w:rsidR="00D41B3C">
        <w:rPr>
          <w:szCs w:val="19"/>
        </w:rPr>
        <w:t>,</w:t>
      </w:r>
      <w:r w:rsidR="003868F2">
        <w:rPr>
          <w:szCs w:val="19"/>
        </w:rPr>
        <w:t xml:space="preserve"> the best interests duty and related obligations in Division 2 of Part 7.7A of Chapter 7 of the </w:t>
      </w:r>
      <w:r w:rsidR="003868F2" w:rsidRPr="00EF17A3">
        <w:rPr>
          <w:i/>
          <w:szCs w:val="19"/>
        </w:rPr>
        <w:t>Corporations Act 2001</w:t>
      </w:r>
      <w:r w:rsidR="003868F2">
        <w:rPr>
          <w:szCs w:val="19"/>
        </w:rPr>
        <w:t xml:space="preserve"> (</w:t>
      </w:r>
      <w:r w:rsidR="003868F2" w:rsidRPr="00EF17A3">
        <w:rPr>
          <w:b/>
          <w:szCs w:val="19"/>
        </w:rPr>
        <w:t>Act</w:t>
      </w:r>
      <w:r w:rsidR="003868F2">
        <w:rPr>
          <w:szCs w:val="19"/>
        </w:rPr>
        <w:t>)</w:t>
      </w:r>
      <w:r w:rsidR="00AB5F6D">
        <w:rPr>
          <w:szCs w:val="19"/>
        </w:rPr>
        <w:t xml:space="preserve"> and the record keeping requirements in ASIC Class Order [14/923] </w:t>
      </w:r>
      <w:r w:rsidR="00AB5F6D" w:rsidRPr="007E3719">
        <w:rPr>
          <w:i/>
          <w:szCs w:val="19"/>
        </w:rPr>
        <w:t>Record-keeping obligations for Australian financial services licensees when giving personal advice</w:t>
      </w:r>
      <w:r w:rsidR="003868F2">
        <w:rPr>
          <w:szCs w:val="19"/>
        </w:rPr>
        <w:t xml:space="preserve">) </w:t>
      </w:r>
      <w:r w:rsidR="00430624">
        <w:rPr>
          <w:szCs w:val="19"/>
        </w:rPr>
        <w:t>continue to apply and are</w:t>
      </w:r>
      <w:r>
        <w:rPr>
          <w:szCs w:val="19"/>
        </w:rPr>
        <w:t xml:space="preserve"> appropriate consumer protection requirements.</w:t>
      </w:r>
    </w:p>
    <w:p w14:paraId="19EBE37F" w14:textId="558460C0" w:rsidR="003B2981" w:rsidRDefault="00114C09" w:rsidP="005E289D">
      <w:pPr>
        <w:pStyle w:val="LI-BodyTextParaa"/>
        <w:numPr>
          <w:ilvl w:val="0"/>
          <w:numId w:val="1"/>
        </w:numPr>
        <w:ind w:left="567" w:hanging="567"/>
      </w:pPr>
      <w:r>
        <w:t xml:space="preserve">The Instrument </w:t>
      </w:r>
      <w:r w:rsidR="00A251EF">
        <w:t>allows</w:t>
      </w:r>
      <w:r>
        <w:t xml:space="preserve"> an ROA</w:t>
      </w:r>
      <w:r w:rsidR="007A6619">
        <w:t>, rather than an SOA,</w:t>
      </w:r>
      <w:r>
        <w:t xml:space="preserve"> </w:t>
      </w:r>
      <w:r w:rsidR="00A251EF">
        <w:t>to</w:t>
      </w:r>
      <w:r>
        <w:t xml:space="preserve"> be provided when </w:t>
      </w:r>
      <w:r w:rsidR="00822671">
        <w:t xml:space="preserve">financial product </w:t>
      </w:r>
      <w:r>
        <w:t xml:space="preserve">advice is given under the </w:t>
      </w:r>
      <w:r w:rsidR="00166ABB" w:rsidRPr="00165928">
        <w:rPr>
          <w:i/>
        </w:rPr>
        <w:t>‘</w:t>
      </w:r>
      <w:r w:rsidR="004D5034" w:rsidRPr="00165928">
        <w:rPr>
          <w:i/>
          <w:szCs w:val="19"/>
        </w:rPr>
        <w:t>Early Release of Superannuation</w:t>
      </w:r>
      <w:r w:rsidR="00166ABB" w:rsidRPr="00165928">
        <w:rPr>
          <w:i/>
          <w:szCs w:val="19"/>
        </w:rPr>
        <w:t>’</w:t>
      </w:r>
      <w:r>
        <w:t xml:space="preserve"> and </w:t>
      </w:r>
      <w:r w:rsidR="00166ABB">
        <w:t>‘</w:t>
      </w:r>
      <w:r w:rsidR="004D5034" w:rsidRPr="00165928">
        <w:rPr>
          <w:i/>
          <w:szCs w:val="19"/>
        </w:rPr>
        <w:t>ROA for an Existing Client’</w:t>
      </w:r>
      <w:r w:rsidR="004D5034" w:rsidRPr="00165928">
        <w:rPr>
          <w:szCs w:val="19"/>
        </w:rPr>
        <w:t xml:space="preserve"> </w:t>
      </w:r>
      <w:r>
        <w:t xml:space="preserve">measures. </w:t>
      </w:r>
      <w:r w:rsidR="00165928" w:rsidRPr="00165928">
        <w:t xml:space="preserve">An ROA is generally shorter than an SOA, does not require as much information and is easier </w:t>
      </w:r>
      <w:r w:rsidR="00165928">
        <w:t xml:space="preserve">and cheaper to </w:t>
      </w:r>
      <w:r w:rsidR="00165928" w:rsidRPr="00165928">
        <w:t>prepare.</w:t>
      </w:r>
      <w:r w:rsidR="00165928">
        <w:t xml:space="preserve"> </w:t>
      </w:r>
      <w:r>
        <w:t xml:space="preserve">The </w:t>
      </w:r>
      <w:r w:rsidR="00165928">
        <w:t>I</w:t>
      </w:r>
      <w:r>
        <w:t xml:space="preserve">nstrument specifies the </w:t>
      </w:r>
      <w:r w:rsidR="00C7604E">
        <w:t xml:space="preserve">required </w:t>
      </w:r>
      <w:r>
        <w:t>content of the ROA</w:t>
      </w:r>
      <w:r w:rsidR="003147CA">
        <w:t>s</w:t>
      </w:r>
      <w:r>
        <w:t xml:space="preserve"> and </w:t>
      </w:r>
      <w:r w:rsidR="00A82442">
        <w:t xml:space="preserve">the timing of giving </w:t>
      </w:r>
      <w:r w:rsidR="003147CA">
        <w:t xml:space="preserve">the ROA </w:t>
      </w:r>
      <w:r w:rsidR="00A82442">
        <w:t>to the client. The ROA must</w:t>
      </w:r>
      <w:r w:rsidR="00DE10E0">
        <w:t xml:space="preserve"> be</w:t>
      </w:r>
      <w:r w:rsidR="00A82442">
        <w:t xml:space="preserve"> </w:t>
      </w:r>
      <w:r>
        <w:t xml:space="preserve">given </w:t>
      </w:r>
      <w:r w:rsidR="00A82442">
        <w:t xml:space="preserve">by the registered tax agent or the </w:t>
      </w:r>
      <w:r w:rsidR="00546851">
        <w:t>providing entities</w:t>
      </w:r>
      <w:r w:rsidR="00A82442">
        <w:t xml:space="preserve"> </w:t>
      </w:r>
      <w:r>
        <w:t xml:space="preserve">when the </w:t>
      </w:r>
      <w:r w:rsidR="00457DE1">
        <w:t xml:space="preserve">financial product </w:t>
      </w:r>
      <w:r w:rsidR="00822671">
        <w:t xml:space="preserve">advice </w:t>
      </w:r>
      <w:r>
        <w:t xml:space="preserve">is provided, or as soon as practicable after the </w:t>
      </w:r>
      <w:r w:rsidR="00457DE1">
        <w:t xml:space="preserve">financial product advice </w:t>
      </w:r>
      <w:r>
        <w:t>is provided</w:t>
      </w:r>
      <w:r w:rsidR="00C7604E">
        <w:t xml:space="preserve"> to the client. </w:t>
      </w:r>
    </w:p>
    <w:p w14:paraId="15BAD624" w14:textId="77777777" w:rsidR="00CD60F7" w:rsidRPr="00EF6115" w:rsidRDefault="00CD60F7" w:rsidP="001B4407">
      <w:pPr>
        <w:pStyle w:val="LI-BodyTextParaa"/>
        <w:keepNext/>
        <w:ind w:left="0" w:firstLine="0"/>
        <w:rPr>
          <w:b/>
        </w:rPr>
      </w:pPr>
      <w:r w:rsidRPr="00EF6115">
        <w:rPr>
          <w:b/>
        </w:rPr>
        <w:t>Consultation</w:t>
      </w:r>
    </w:p>
    <w:p w14:paraId="251CC445" w14:textId="1E191680" w:rsidR="00CD60F7" w:rsidRDefault="00CD60F7" w:rsidP="00CD60F7">
      <w:pPr>
        <w:pStyle w:val="LI-BodyTextParaa"/>
        <w:numPr>
          <w:ilvl w:val="0"/>
          <w:numId w:val="1"/>
        </w:numPr>
        <w:ind w:left="567" w:hanging="567"/>
      </w:pPr>
      <w:r>
        <w:t>Before making th</w:t>
      </w:r>
      <w:r w:rsidR="00B35790">
        <w:t>is</w:t>
      </w:r>
      <w:r>
        <w:t xml:space="preserve"> </w:t>
      </w:r>
      <w:r w:rsidR="00B35790">
        <w:t>I</w:t>
      </w:r>
      <w:r>
        <w:t xml:space="preserve">nstrument, ASIC engaged with a targeted range of stakeholders to invite feedback on the </w:t>
      </w:r>
      <w:r w:rsidR="00B35790">
        <w:t>measures</w:t>
      </w:r>
      <w:r w:rsidR="00094A92">
        <w:t xml:space="preserve"> and the </w:t>
      </w:r>
      <w:r w:rsidR="00751A74">
        <w:t>manner in which</w:t>
      </w:r>
      <w:r w:rsidR="00094A92">
        <w:t xml:space="preserve"> the </w:t>
      </w:r>
      <w:r w:rsidR="00751A74">
        <w:t xml:space="preserve">temporary </w:t>
      </w:r>
      <w:r w:rsidR="00094A92">
        <w:t xml:space="preserve">relief </w:t>
      </w:r>
      <w:r w:rsidR="001B4407">
        <w:t xml:space="preserve">in the measures </w:t>
      </w:r>
      <w:r w:rsidR="00094A92">
        <w:t>is granted</w:t>
      </w:r>
      <w:r w:rsidR="009D1824">
        <w:t xml:space="preserve">. </w:t>
      </w:r>
      <w:r w:rsidR="008C653D">
        <w:t>The stakeholders included relevant industry associations, consumer groups and related regulators.</w:t>
      </w:r>
    </w:p>
    <w:p w14:paraId="05D58CDD" w14:textId="53A3D923" w:rsidR="004B537E" w:rsidRDefault="004B537E" w:rsidP="004B537E">
      <w:pPr>
        <w:pStyle w:val="LI-BodyTextParaa"/>
        <w:numPr>
          <w:ilvl w:val="0"/>
          <w:numId w:val="1"/>
        </w:numPr>
        <w:ind w:left="567" w:hanging="567"/>
      </w:pPr>
      <w:r w:rsidRPr="00F000E8">
        <w:t>The Prime Minister has granted an exemption from the need to complete regulatory impact analysis in the form of Regulation Impact Statements for all Australian Government measures made in response to COVID-19.</w:t>
      </w:r>
    </w:p>
    <w:p w14:paraId="2F57DB67" w14:textId="77777777" w:rsidR="00BD1D8B" w:rsidRDefault="00D97B55" w:rsidP="00CB7D8F">
      <w:pPr>
        <w:pStyle w:val="LI-BodyTextParaa"/>
        <w:keepNext/>
        <w:tabs>
          <w:tab w:val="left" w:pos="5685"/>
        </w:tabs>
        <w:ind w:left="0" w:firstLine="0"/>
        <w:rPr>
          <w:b/>
        </w:rPr>
      </w:pPr>
      <w:r w:rsidRPr="00D97B55">
        <w:rPr>
          <w:b/>
        </w:rPr>
        <w:t xml:space="preserve">Operation of the </w:t>
      </w:r>
      <w:r w:rsidR="00D44226">
        <w:rPr>
          <w:b/>
        </w:rPr>
        <w:t>I</w:t>
      </w:r>
      <w:r w:rsidRPr="00D97B55">
        <w:rPr>
          <w:b/>
        </w:rPr>
        <w:t>nstrument</w:t>
      </w:r>
    </w:p>
    <w:p w14:paraId="6DEA3482" w14:textId="4E671A8D" w:rsidR="00970264" w:rsidRDefault="001E34D3" w:rsidP="00342E74">
      <w:pPr>
        <w:pStyle w:val="LI-BodyTextParaa"/>
        <w:numPr>
          <w:ilvl w:val="0"/>
          <w:numId w:val="1"/>
        </w:numPr>
        <w:ind w:left="567" w:hanging="567"/>
      </w:pPr>
      <w:r>
        <w:t xml:space="preserve">Section 2 of the </w:t>
      </w:r>
      <w:r w:rsidR="00BD1D8B">
        <w:t>Instrument specifies that t</w:t>
      </w:r>
      <w:r w:rsidR="00BD1D8B" w:rsidRPr="00CC3D79">
        <w:t>he Instrument commences on the day after the Instrument is registered on the Federal Register of Legislation.</w:t>
      </w:r>
      <w:r w:rsidR="00C32A17">
        <w:rPr>
          <w:b/>
        </w:rPr>
        <w:tab/>
      </w:r>
    </w:p>
    <w:p w14:paraId="167B179A" w14:textId="55BB8879" w:rsidR="00532728" w:rsidRPr="00D848C3" w:rsidRDefault="00532728" w:rsidP="007168B9">
      <w:pPr>
        <w:pStyle w:val="LI-BodyTextParaa"/>
        <w:ind w:left="0" w:firstLine="0"/>
        <w:rPr>
          <w:b/>
          <w:i/>
        </w:rPr>
      </w:pPr>
      <w:r w:rsidRPr="00D848C3">
        <w:rPr>
          <w:b/>
          <w:i/>
        </w:rPr>
        <w:t>‘Urgent Advice’ measure</w:t>
      </w:r>
    </w:p>
    <w:p w14:paraId="60FEDC7D" w14:textId="77180FE3" w:rsidR="001412B4" w:rsidRDefault="001412B4" w:rsidP="001412B4">
      <w:pPr>
        <w:pStyle w:val="LI-BodyTextParaa"/>
        <w:numPr>
          <w:ilvl w:val="0"/>
          <w:numId w:val="1"/>
        </w:numPr>
        <w:ind w:left="567" w:hanging="567"/>
      </w:pPr>
      <w:r>
        <w:t>Section</w:t>
      </w:r>
      <w:r w:rsidRPr="00150204">
        <w:t xml:space="preserve"> 5 of the </w:t>
      </w:r>
      <w:r>
        <w:t>Instrument</w:t>
      </w:r>
      <w:r w:rsidRPr="00150204">
        <w:t xml:space="preserve"> </w:t>
      </w:r>
      <w:r w:rsidR="00532728">
        <w:t xml:space="preserve">extends the timeframe for a </w:t>
      </w:r>
      <w:r w:rsidRPr="00150204">
        <w:t>providing entit</w:t>
      </w:r>
      <w:r w:rsidR="00532728">
        <w:t>y</w:t>
      </w:r>
      <w:r w:rsidRPr="00150204">
        <w:t xml:space="preserve"> to give an SOA</w:t>
      </w:r>
      <w:r w:rsidR="00532728">
        <w:t xml:space="preserve"> </w:t>
      </w:r>
      <w:r>
        <w:t xml:space="preserve">for time-critical </w:t>
      </w:r>
      <w:r w:rsidR="000D51A0">
        <w:t xml:space="preserve">COVID-19 </w:t>
      </w:r>
      <w:r>
        <w:t xml:space="preserve">advice. It </w:t>
      </w:r>
      <w:r w:rsidRPr="00150204">
        <w:t xml:space="preserve">allows an SOA to be given within 30 </w:t>
      </w:r>
      <w:r>
        <w:t xml:space="preserve">business </w:t>
      </w:r>
      <w:r w:rsidRPr="00150204">
        <w:t xml:space="preserve">days after providing </w:t>
      </w:r>
      <w:r w:rsidR="00E23AE3">
        <w:t xml:space="preserve">the </w:t>
      </w:r>
      <w:r w:rsidR="008A2BDE">
        <w:t xml:space="preserve">COVID-19 </w:t>
      </w:r>
      <w:r w:rsidRPr="00150204">
        <w:t>advice to the client</w:t>
      </w:r>
      <w:r w:rsidR="00532728">
        <w:t>, instead of the 5 business days that is usually required by s946C of the Act</w:t>
      </w:r>
      <w:r>
        <w:t xml:space="preserve">. </w:t>
      </w:r>
    </w:p>
    <w:p w14:paraId="7211FA2F" w14:textId="443BA764" w:rsidR="001412B4" w:rsidRPr="00150204" w:rsidRDefault="001412B4" w:rsidP="001412B4">
      <w:pPr>
        <w:pStyle w:val="LI-BodyTextParaa"/>
        <w:numPr>
          <w:ilvl w:val="0"/>
          <w:numId w:val="1"/>
        </w:numPr>
        <w:ind w:left="567" w:hanging="567"/>
      </w:pPr>
      <w:r>
        <w:t xml:space="preserve">The exemption </w:t>
      </w:r>
      <w:r w:rsidR="00850B6B">
        <w:t xml:space="preserve">from s946C of the Act </w:t>
      </w:r>
      <w:r>
        <w:t>applies where the following conditions are satisfied:</w:t>
      </w:r>
    </w:p>
    <w:p w14:paraId="76298B3D" w14:textId="3072D180" w:rsidR="00BD3391" w:rsidRDefault="004F01DA" w:rsidP="001412B4">
      <w:pPr>
        <w:pStyle w:val="LI-BodyTextNumbered"/>
        <w:numPr>
          <w:ilvl w:val="0"/>
          <w:numId w:val="13"/>
        </w:numPr>
      </w:pPr>
      <w:r w:rsidRPr="006F282B">
        <w:t>the client expressly instructs the providing entity</w:t>
      </w:r>
      <w:r>
        <w:t xml:space="preserve">, and the providing entity reasonably considers, </w:t>
      </w:r>
      <w:r w:rsidRPr="006F282B">
        <w:t>that the</w:t>
      </w:r>
      <w:r>
        <w:t xml:space="preserve"> client</w:t>
      </w:r>
      <w:r w:rsidRPr="006F282B">
        <w:t xml:space="preserve"> require</w:t>
      </w:r>
      <w:r>
        <w:t>s</w:t>
      </w:r>
      <w:r w:rsidRPr="006F282B">
        <w:t xml:space="preserve"> the</w:t>
      </w:r>
      <w:r w:rsidR="000D51A0">
        <w:t xml:space="preserve"> COVID-19</w:t>
      </w:r>
      <w:r w:rsidRPr="006F282B">
        <w:t xml:space="preserve"> advice </w:t>
      </w:r>
      <w:r>
        <w:t xml:space="preserve">on an urgent basis </w:t>
      </w:r>
      <w:r w:rsidRPr="006F282B">
        <w:t>because of the</w:t>
      </w:r>
      <w:r>
        <w:t xml:space="preserve"> adverse</w:t>
      </w:r>
      <w:r w:rsidRPr="006F282B">
        <w:t xml:space="preserve"> </w:t>
      </w:r>
      <w:r>
        <w:t>economic effects</w:t>
      </w:r>
      <w:r w:rsidRPr="006F282B">
        <w:t xml:space="preserve"> of COVID</w:t>
      </w:r>
      <w:r w:rsidRPr="006F282B">
        <w:noBreakHyphen/>
        <w:t>19</w:t>
      </w:r>
      <w:r>
        <w:t xml:space="preserve">; </w:t>
      </w:r>
      <w:r w:rsidR="002C6EBA">
        <w:t>and</w:t>
      </w:r>
    </w:p>
    <w:p w14:paraId="50047561" w14:textId="724E0509" w:rsidR="00532728" w:rsidRPr="00503FB8" w:rsidRDefault="001412B4" w:rsidP="00532728">
      <w:pPr>
        <w:pStyle w:val="LI-BodyTextNumbered"/>
        <w:numPr>
          <w:ilvl w:val="0"/>
          <w:numId w:val="13"/>
        </w:numPr>
        <w:rPr>
          <w:lang w:val="en-US"/>
        </w:rPr>
      </w:pPr>
      <w:r>
        <w:t>where</w:t>
      </w:r>
      <w:r w:rsidRPr="00D00D97">
        <w:t xml:space="preserve"> the </w:t>
      </w:r>
      <w:r w:rsidR="000D51A0">
        <w:t xml:space="preserve">COVID-19 </w:t>
      </w:r>
      <w:r w:rsidRPr="00D00D97">
        <w:t>advice</w:t>
      </w:r>
      <w:r>
        <w:t xml:space="preserve"> relates to </w:t>
      </w:r>
      <w:r w:rsidRPr="00D00D97">
        <w:t>a financial product</w:t>
      </w:r>
      <w:r>
        <w:t xml:space="preserve"> that is subject to a cooling off period</w:t>
      </w:r>
      <w:r w:rsidR="002F06E6">
        <w:t xml:space="preserve"> for return of the product</w:t>
      </w:r>
      <w:r w:rsidRPr="00D00D97">
        <w:t>—the providing entity gives the client a</w:t>
      </w:r>
      <w:r>
        <w:t xml:space="preserve"> written</w:t>
      </w:r>
      <w:r w:rsidRPr="00D00D97">
        <w:t xml:space="preserve"> statement</w:t>
      </w:r>
      <w:r>
        <w:t xml:space="preserve"> explaining the nature of the cooling off rights and that the client may not receive the SOA until after the cooling off rights have expired. This written warning should be given at the time the </w:t>
      </w:r>
      <w:r w:rsidR="00541B0C">
        <w:t xml:space="preserve">COVID-19 </w:t>
      </w:r>
      <w:r>
        <w:t>advice is provided.</w:t>
      </w:r>
    </w:p>
    <w:p w14:paraId="428C6995" w14:textId="6A645E26" w:rsidR="008103E8" w:rsidRDefault="002B4A47" w:rsidP="00BA3203">
      <w:pPr>
        <w:pStyle w:val="LI-BodyTextParaa"/>
        <w:numPr>
          <w:ilvl w:val="0"/>
          <w:numId w:val="1"/>
        </w:numPr>
        <w:ind w:left="567" w:hanging="567"/>
      </w:pPr>
      <w:r>
        <w:t xml:space="preserve">In addition to </w:t>
      </w:r>
      <w:r w:rsidR="00C36D24">
        <w:t xml:space="preserve">these </w:t>
      </w:r>
      <w:r>
        <w:t>conditions</w:t>
      </w:r>
      <w:r w:rsidR="00C36D24">
        <w:t>, t</w:t>
      </w:r>
      <w:r w:rsidR="00AE61F0">
        <w:t xml:space="preserve">he existing </w:t>
      </w:r>
      <w:r w:rsidR="001A6823">
        <w:t>disclosure</w:t>
      </w:r>
      <w:r w:rsidR="00AE61F0">
        <w:t xml:space="preserve"> </w:t>
      </w:r>
      <w:r w:rsidR="00AE61F0" w:rsidRPr="00AE61F0">
        <w:t>requirements in s946C of the Act still apply</w:t>
      </w:r>
      <w:r>
        <w:t>. F</w:t>
      </w:r>
      <w:r w:rsidR="00AE61F0" w:rsidRPr="00AE61F0">
        <w:t>or example</w:t>
      </w:r>
      <w:r w:rsidR="008103E8">
        <w:t>, as required by</w:t>
      </w:r>
      <w:r w:rsidR="00AE61F0" w:rsidRPr="00AE61F0">
        <w:t xml:space="preserve"> </w:t>
      </w:r>
      <w:r w:rsidR="008103E8">
        <w:t xml:space="preserve">subsection </w:t>
      </w:r>
      <w:r w:rsidR="008103E8" w:rsidRPr="00AE61F0">
        <w:t>946C(2)</w:t>
      </w:r>
      <w:r w:rsidR="008103E8">
        <w:t xml:space="preserve"> of the Act, </w:t>
      </w:r>
      <w:r w:rsidR="00C36D24">
        <w:t xml:space="preserve">the </w:t>
      </w:r>
      <w:r w:rsidR="00AE61F0" w:rsidRPr="00AE61F0">
        <w:t>disclosure about</w:t>
      </w:r>
      <w:r w:rsidR="008103E8">
        <w:t xml:space="preserve"> </w:t>
      </w:r>
      <w:r w:rsidR="008103E8" w:rsidRPr="008103E8">
        <w:t>any actual or potential conflicts of interest, commissions and remuneration</w:t>
      </w:r>
      <w:r w:rsidR="00BA3203">
        <w:t>, as well as</w:t>
      </w:r>
      <w:r w:rsidR="00BA3203" w:rsidRPr="00AE61F0">
        <w:t xml:space="preserve"> </w:t>
      </w:r>
      <w:r w:rsidR="00BA3203">
        <w:t xml:space="preserve">disclosures about </w:t>
      </w:r>
      <w:r w:rsidR="00E23AE3">
        <w:t xml:space="preserve">financial </w:t>
      </w:r>
      <w:r w:rsidR="00BA3203" w:rsidRPr="00AE61F0">
        <w:t xml:space="preserve">product replacement </w:t>
      </w:r>
      <w:r w:rsidR="00BA3203">
        <w:t xml:space="preserve">advice if applicable, must be provided at the time the </w:t>
      </w:r>
      <w:r w:rsidR="00541B0C">
        <w:t xml:space="preserve">COVID-19 </w:t>
      </w:r>
      <w:r w:rsidR="00BA3203">
        <w:t>advice is provided to the client</w:t>
      </w:r>
      <w:r w:rsidR="00AE61F0" w:rsidRPr="00AE61F0">
        <w:t>.</w:t>
      </w:r>
      <w:r w:rsidR="008103E8" w:rsidRPr="008103E8">
        <w:t xml:space="preserve"> </w:t>
      </w:r>
    </w:p>
    <w:p w14:paraId="5BD6762B" w14:textId="2B5941EE" w:rsidR="00503FB8" w:rsidRPr="00503FB8" w:rsidRDefault="00503FB8" w:rsidP="00503FB8">
      <w:pPr>
        <w:pStyle w:val="LI-BodyTextParaa"/>
        <w:numPr>
          <w:ilvl w:val="0"/>
          <w:numId w:val="1"/>
        </w:numPr>
        <w:ind w:left="567" w:hanging="567"/>
      </w:pPr>
      <w:r>
        <w:t>T</w:t>
      </w:r>
      <w:r w:rsidRPr="001919AF">
        <w:t xml:space="preserve">he </w:t>
      </w:r>
      <w:r w:rsidR="00386B54">
        <w:t>providing entity</w:t>
      </w:r>
      <w:r w:rsidR="00386B54" w:rsidRPr="001919AF">
        <w:t xml:space="preserve"> </w:t>
      </w:r>
      <w:r>
        <w:t xml:space="preserve">must </w:t>
      </w:r>
      <w:r w:rsidRPr="001919AF">
        <w:t>give</w:t>
      </w:r>
      <w:r w:rsidR="00386B54">
        <w:t xml:space="preserve"> the client a</w:t>
      </w:r>
      <w:r w:rsidR="000825ED">
        <w:t>n</w:t>
      </w:r>
      <w:r w:rsidR="00386B54">
        <w:t xml:space="preserve"> SOA</w:t>
      </w:r>
      <w:r w:rsidRPr="001919AF">
        <w:t xml:space="preserve"> as soon as practicable after the </w:t>
      </w:r>
      <w:r w:rsidR="00541B0C">
        <w:t xml:space="preserve">COVID-19 </w:t>
      </w:r>
      <w:r w:rsidRPr="001919AF">
        <w:t>advice is provided</w:t>
      </w:r>
      <w:r>
        <w:t>, and no later than 30 business days</w:t>
      </w:r>
      <w:r w:rsidR="00850B6B">
        <w:t xml:space="preserve"> </w:t>
      </w:r>
      <w:r w:rsidR="00850B6B" w:rsidRPr="001919AF">
        <w:t xml:space="preserve">after the </w:t>
      </w:r>
      <w:r w:rsidR="00541B0C">
        <w:t xml:space="preserve">COVID-19 </w:t>
      </w:r>
      <w:r w:rsidR="00850B6B" w:rsidRPr="001919AF">
        <w:t>advice is provided</w:t>
      </w:r>
      <w:r w:rsidRPr="001919AF">
        <w:t xml:space="preserve">. </w:t>
      </w:r>
    </w:p>
    <w:p w14:paraId="5C6E4FA7" w14:textId="4760E646" w:rsidR="001412B4" w:rsidRDefault="00532728" w:rsidP="00532728">
      <w:pPr>
        <w:pStyle w:val="LI-BodyTextParaa"/>
        <w:ind w:left="0" w:firstLine="0"/>
        <w:rPr>
          <w:b/>
          <w:i/>
        </w:rPr>
      </w:pPr>
      <w:r w:rsidRPr="00D848C3">
        <w:rPr>
          <w:b/>
          <w:i/>
        </w:rPr>
        <w:t>‘Early Release of Superannuation’ measure</w:t>
      </w:r>
    </w:p>
    <w:p w14:paraId="1E41D7C3" w14:textId="4970381A" w:rsidR="00526E23" w:rsidRPr="00671026" w:rsidRDefault="00526E23" w:rsidP="009D1AA3">
      <w:pPr>
        <w:pStyle w:val="LI-BodyTextParaa"/>
        <w:numPr>
          <w:ilvl w:val="0"/>
          <w:numId w:val="1"/>
        </w:numPr>
      </w:pPr>
      <w:r w:rsidRPr="00526E23">
        <w:rPr>
          <w:szCs w:val="19"/>
        </w:rPr>
        <w:t xml:space="preserve">On 24 March 2020, the </w:t>
      </w:r>
      <w:r w:rsidRPr="00526E23">
        <w:rPr>
          <w:i/>
          <w:szCs w:val="19"/>
        </w:rPr>
        <w:t>Coronavirus Economic Response Package Omnibus Act 2020</w:t>
      </w:r>
      <w:r w:rsidRPr="00526E23">
        <w:rPr>
          <w:szCs w:val="19"/>
        </w:rPr>
        <w:t xml:space="preserve"> (</w:t>
      </w:r>
      <w:r w:rsidRPr="00526E23">
        <w:rPr>
          <w:b/>
          <w:szCs w:val="19"/>
        </w:rPr>
        <w:t>Omnibus Act</w:t>
      </w:r>
      <w:r w:rsidRPr="00526E23">
        <w:rPr>
          <w:szCs w:val="19"/>
        </w:rPr>
        <w:t>) received Royal Assent. Th</w:t>
      </w:r>
      <w:r w:rsidR="00756598">
        <w:rPr>
          <w:szCs w:val="19"/>
        </w:rPr>
        <w:t>e</w:t>
      </w:r>
      <w:r w:rsidRPr="00526E23">
        <w:rPr>
          <w:szCs w:val="19"/>
        </w:rPr>
        <w:t xml:space="preserve"> Omnibus Act allows individuals affected by the COVID-19 pandemic to release up to $10,000 from their superannuation product </w:t>
      </w:r>
      <w:r w:rsidRPr="008103E8">
        <w:rPr>
          <w:szCs w:val="19"/>
        </w:rPr>
        <w:t xml:space="preserve">or </w:t>
      </w:r>
      <w:r w:rsidRPr="00BA3203">
        <w:rPr>
          <w:szCs w:val="19"/>
        </w:rPr>
        <w:t>RSA</w:t>
      </w:r>
      <w:r w:rsidRPr="00526E23">
        <w:rPr>
          <w:szCs w:val="19"/>
        </w:rPr>
        <w:t xml:space="preserve"> product in the 2019-2020 financial year and a further $10,000 in the 2020-2021 financial year (</w:t>
      </w:r>
      <w:r w:rsidR="006A285A" w:rsidRPr="00A9716C">
        <w:rPr>
          <w:b/>
        </w:rPr>
        <w:t>COVID-19 early release scheme</w:t>
      </w:r>
      <w:r w:rsidRPr="00526E23">
        <w:rPr>
          <w:szCs w:val="19"/>
        </w:rPr>
        <w:t xml:space="preserve">). </w:t>
      </w:r>
    </w:p>
    <w:p w14:paraId="20D57D64" w14:textId="3F50CA41" w:rsidR="00526E23" w:rsidRDefault="00526E23" w:rsidP="00526E23">
      <w:pPr>
        <w:pStyle w:val="LI-BodyTextUnnumbered"/>
        <w:numPr>
          <w:ilvl w:val="0"/>
          <w:numId w:val="1"/>
        </w:numPr>
      </w:pPr>
      <w:bookmarkStart w:id="6" w:name="_Ref37661452"/>
      <w:r w:rsidRPr="00526E23">
        <w:t xml:space="preserve">The </w:t>
      </w:r>
      <w:r>
        <w:t>I</w:t>
      </w:r>
      <w:r w:rsidRPr="00526E23">
        <w:t xml:space="preserve">nstrument specifies </w:t>
      </w:r>
      <w:r w:rsidR="00EF16FA">
        <w:t xml:space="preserve">that </w:t>
      </w:r>
      <w:r w:rsidRPr="00526E23">
        <w:t>th</w:t>
      </w:r>
      <w:r>
        <w:t>e</w:t>
      </w:r>
      <w:r w:rsidRPr="00526E23">
        <w:t xml:space="preserve"> ‘eligible ground’, </w:t>
      </w:r>
      <w:r>
        <w:t xml:space="preserve">in relation to the early </w:t>
      </w:r>
      <w:r w:rsidRPr="002D6CD3">
        <w:t>release</w:t>
      </w:r>
      <w:r>
        <w:t> </w:t>
      </w:r>
      <w:r w:rsidRPr="002D6CD3">
        <w:t>of</w:t>
      </w:r>
      <w:r w:rsidRPr="002D6CD3">
        <w:rPr>
          <w:i/>
          <w:iCs/>
        </w:rPr>
        <w:t xml:space="preserve"> </w:t>
      </w:r>
      <w:r w:rsidRPr="002D6CD3">
        <w:t>benefits that</w:t>
      </w:r>
      <w:r>
        <w:t xml:space="preserve"> are </w:t>
      </w:r>
      <w:r w:rsidRPr="002D6CD3">
        <w:t>in a superannuation</w:t>
      </w:r>
      <w:r>
        <w:t xml:space="preserve"> product or an RSA product, means the ground referred to in:</w:t>
      </w:r>
      <w:bookmarkEnd w:id="6"/>
    </w:p>
    <w:p w14:paraId="39381C67" w14:textId="77777777" w:rsidR="00526E23" w:rsidRDefault="00526E23" w:rsidP="00526E23">
      <w:pPr>
        <w:pStyle w:val="LI-BodyTextParaa"/>
        <w:numPr>
          <w:ilvl w:val="1"/>
          <w:numId w:val="1"/>
        </w:numPr>
      </w:pPr>
      <w:r w:rsidRPr="00C14E95">
        <w:t>subregulation</w:t>
      </w:r>
      <w:bookmarkStart w:id="7" w:name="BK_S3P81L18C45"/>
      <w:bookmarkEnd w:id="7"/>
      <w:r w:rsidRPr="00C14E95">
        <w:t> 6.19B(1)</w:t>
      </w:r>
      <w:r>
        <w:t xml:space="preserve"> of the</w:t>
      </w:r>
      <w:bookmarkStart w:id="8" w:name="_Toc35958939"/>
      <w:r w:rsidRPr="00002802">
        <w:rPr>
          <w:rFonts w:ascii="Helvetica Neue" w:eastAsia="Calibri" w:hAnsi="Helvetica Neue"/>
          <w:sz w:val="19"/>
          <w:szCs w:val="19"/>
          <w:lang w:eastAsia="en-US"/>
        </w:rPr>
        <w:t xml:space="preserve"> </w:t>
      </w:r>
      <w:r w:rsidRPr="00002802">
        <w:rPr>
          <w:i/>
        </w:rPr>
        <w:t>Superannuation Industry (Supervision) Regulations 1994</w:t>
      </w:r>
      <w:bookmarkEnd w:id="8"/>
      <w:r>
        <w:t>; or</w:t>
      </w:r>
    </w:p>
    <w:p w14:paraId="38A6624D" w14:textId="77777777" w:rsidR="00526E23" w:rsidRDefault="00526E23" w:rsidP="00526E23">
      <w:pPr>
        <w:pStyle w:val="LI-BodyTextParaa"/>
        <w:numPr>
          <w:ilvl w:val="1"/>
          <w:numId w:val="1"/>
        </w:numPr>
        <w:rPr>
          <w:rFonts w:eastAsia="Calibri"/>
          <w:lang w:eastAsia="en-US"/>
        </w:rPr>
      </w:pPr>
      <w:r w:rsidRPr="00C14E95">
        <w:t>subregulation </w:t>
      </w:r>
      <w:r>
        <w:t>4.22B(1) of the</w:t>
      </w:r>
      <w:r w:rsidRPr="00002802">
        <w:rPr>
          <w:rFonts w:ascii="Helvetica Neue" w:eastAsia="Calibri" w:hAnsi="Helvetica Neue"/>
          <w:sz w:val="19"/>
          <w:szCs w:val="19"/>
          <w:lang w:eastAsia="en-US"/>
        </w:rPr>
        <w:t xml:space="preserve"> </w:t>
      </w:r>
      <w:r w:rsidRPr="00AE55FA">
        <w:rPr>
          <w:rFonts w:eastAsia="Calibri"/>
          <w:i/>
          <w:lang w:eastAsia="en-US"/>
        </w:rPr>
        <w:t>Retirement Savings Account</w:t>
      </w:r>
      <w:r>
        <w:rPr>
          <w:rFonts w:eastAsia="Calibri"/>
          <w:i/>
          <w:lang w:eastAsia="en-US"/>
        </w:rPr>
        <w:t>s</w:t>
      </w:r>
      <w:r w:rsidRPr="00AE55FA">
        <w:rPr>
          <w:rFonts w:eastAsia="Calibri"/>
          <w:i/>
          <w:lang w:eastAsia="en-US"/>
        </w:rPr>
        <w:t xml:space="preserve"> Regulations 1997</w:t>
      </w:r>
      <w:r>
        <w:rPr>
          <w:rFonts w:eastAsia="Calibri"/>
          <w:lang w:eastAsia="en-US"/>
        </w:rPr>
        <w:t>.</w:t>
      </w:r>
    </w:p>
    <w:p w14:paraId="7D7E90E6" w14:textId="3DC29E0E" w:rsidR="00D848C3" w:rsidRPr="00532728" w:rsidRDefault="00D848C3" w:rsidP="00532728">
      <w:pPr>
        <w:pStyle w:val="LI-BodyTextParaa"/>
        <w:ind w:left="0" w:firstLine="0"/>
        <w:rPr>
          <w:lang w:val="en-US"/>
        </w:rPr>
      </w:pPr>
      <w:r>
        <w:rPr>
          <w:i/>
        </w:rPr>
        <w:t xml:space="preserve">Registered Tax Agent </w:t>
      </w:r>
      <w:r w:rsidR="00A26517">
        <w:rPr>
          <w:i/>
        </w:rPr>
        <w:t xml:space="preserve">Licensing </w:t>
      </w:r>
      <w:r>
        <w:rPr>
          <w:i/>
        </w:rPr>
        <w:t>Relief</w:t>
      </w:r>
    </w:p>
    <w:p w14:paraId="51C56B61" w14:textId="5B04A4EF" w:rsidR="00421B9E" w:rsidRDefault="00883255" w:rsidP="00421B9E">
      <w:pPr>
        <w:pStyle w:val="LI-BodyTextParaa"/>
        <w:numPr>
          <w:ilvl w:val="0"/>
          <w:numId w:val="1"/>
        </w:numPr>
        <w:ind w:left="567" w:hanging="567"/>
      </w:pPr>
      <w:r>
        <w:t xml:space="preserve">Section </w:t>
      </w:r>
      <w:r w:rsidR="005A0DB4">
        <w:t>6</w:t>
      </w:r>
      <w:r>
        <w:t xml:space="preserve"> of the Instrument exempts registered tax agents from the obligation to hold an AFS licence</w:t>
      </w:r>
      <w:r w:rsidR="00374F3C">
        <w:t xml:space="preserve"> under subsection 911A(1) of the Act</w:t>
      </w:r>
      <w:r w:rsidR="00547060">
        <w:t xml:space="preserve">. This is only to the </w:t>
      </w:r>
      <w:r w:rsidR="00421B9E">
        <w:t>extent that they carry</w:t>
      </w:r>
      <w:r w:rsidR="00CB4D0D">
        <w:t xml:space="preserve"> on</w:t>
      </w:r>
      <w:r w:rsidR="00421B9E">
        <w:t xml:space="preserve"> a financial services business comprising </w:t>
      </w:r>
      <w:r w:rsidR="005A0DB4">
        <w:t>of</w:t>
      </w:r>
      <w:r w:rsidR="00541B0C">
        <w:t xml:space="preserve"> the provision of</w:t>
      </w:r>
      <w:r w:rsidR="005A0DB4">
        <w:t xml:space="preserve"> </w:t>
      </w:r>
      <w:r w:rsidR="00374F3C">
        <w:t>COVID-19 advice to their existing clients</w:t>
      </w:r>
      <w:r w:rsidR="005A0DB4">
        <w:t xml:space="preserve"> in relation to the </w:t>
      </w:r>
      <w:r w:rsidR="006A285A" w:rsidRPr="00FD77B6">
        <w:t>COVID-19 early release scheme</w:t>
      </w:r>
      <w:r w:rsidR="00374F3C">
        <w:t xml:space="preserve">. </w:t>
      </w:r>
    </w:p>
    <w:p w14:paraId="66F10DF8" w14:textId="6514511B" w:rsidR="009C1427" w:rsidRDefault="00883255" w:rsidP="00421B9E">
      <w:pPr>
        <w:pStyle w:val="LI-BodyTextParaa"/>
        <w:numPr>
          <w:ilvl w:val="0"/>
          <w:numId w:val="1"/>
        </w:numPr>
        <w:ind w:left="567" w:hanging="567"/>
      </w:pPr>
      <w:r>
        <w:t xml:space="preserve">The exemption </w:t>
      </w:r>
      <w:r w:rsidR="002F2141">
        <w:t>applies where</w:t>
      </w:r>
      <w:r>
        <w:t xml:space="preserve"> all of the conditions</w:t>
      </w:r>
      <w:r w:rsidR="002F2141">
        <w:t xml:space="preserve"> </w:t>
      </w:r>
      <w:r w:rsidR="00547060">
        <w:t>specified in Instrument are met. This includes</w:t>
      </w:r>
      <w:r>
        <w:t xml:space="preserve">: </w:t>
      </w:r>
    </w:p>
    <w:p w14:paraId="4982A017" w14:textId="70F8AB2E" w:rsidR="00C47525" w:rsidRDefault="00C47525" w:rsidP="00C47525">
      <w:pPr>
        <w:pStyle w:val="LI-BodyTextParaa"/>
        <w:numPr>
          <w:ilvl w:val="1"/>
          <w:numId w:val="1"/>
        </w:numPr>
      </w:pPr>
      <w:r w:rsidRPr="001215B6">
        <w:t xml:space="preserve">the client </w:t>
      </w:r>
      <w:r>
        <w:t xml:space="preserve">must be </w:t>
      </w:r>
      <w:r w:rsidRPr="001215B6">
        <w:t xml:space="preserve">an existing client of the </w:t>
      </w:r>
      <w:r w:rsidR="00322454">
        <w:t xml:space="preserve">registered </w:t>
      </w:r>
      <w:r w:rsidRPr="001215B6">
        <w:t>tax agent</w:t>
      </w:r>
      <w:r>
        <w:t>;</w:t>
      </w:r>
    </w:p>
    <w:p w14:paraId="33447317" w14:textId="6FD723BE" w:rsidR="00C47525" w:rsidRDefault="00C47525" w:rsidP="00C47525">
      <w:pPr>
        <w:pStyle w:val="LI-BodyTextParaa"/>
        <w:numPr>
          <w:ilvl w:val="1"/>
          <w:numId w:val="1"/>
        </w:numPr>
      </w:pPr>
      <w:r>
        <w:t xml:space="preserve">the </w:t>
      </w:r>
      <w:r w:rsidR="00371D0E">
        <w:t xml:space="preserve">COVID-19 </w:t>
      </w:r>
      <w:r>
        <w:t xml:space="preserve">advice must be </w:t>
      </w:r>
      <w:r w:rsidR="00FD2DAB">
        <w:t xml:space="preserve">from </w:t>
      </w:r>
      <w:r>
        <w:t xml:space="preserve">unsolicited </w:t>
      </w:r>
      <w:r w:rsidR="00FD2DAB">
        <w:t xml:space="preserve">contact </w:t>
      </w:r>
      <w:r>
        <w:t>(for example, no cold calling);</w:t>
      </w:r>
    </w:p>
    <w:p w14:paraId="63FFFFF0" w14:textId="28546810" w:rsidR="00C47525" w:rsidRDefault="00C47525" w:rsidP="00C47525">
      <w:pPr>
        <w:pStyle w:val="LI-BodyTextParaa"/>
        <w:numPr>
          <w:ilvl w:val="1"/>
          <w:numId w:val="1"/>
        </w:numPr>
      </w:pPr>
      <w:r>
        <w:t>the maximum fee that can be cha</w:t>
      </w:r>
      <w:r w:rsidR="00CB4D0D">
        <w:t>r</w:t>
      </w:r>
      <w:r>
        <w:t xml:space="preserve">ged for the </w:t>
      </w:r>
      <w:r w:rsidR="00371D0E">
        <w:t xml:space="preserve">COVID-19 </w:t>
      </w:r>
      <w:r>
        <w:t>advice is $300;</w:t>
      </w:r>
    </w:p>
    <w:p w14:paraId="6F0A7812" w14:textId="2EE38863" w:rsidR="00C47525" w:rsidRDefault="00C47525" w:rsidP="00C47525">
      <w:pPr>
        <w:pStyle w:val="LI-BodyTextParaa"/>
        <w:numPr>
          <w:ilvl w:val="1"/>
          <w:numId w:val="1"/>
        </w:numPr>
      </w:pPr>
      <w:r>
        <w:t xml:space="preserve">the </w:t>
      </w:r>
      <w:r w:rsidR="00322454">
        <w:t xml:space="preserve">registered </w:t>
      </w:r>
      <w:r w:rsidRPr="001215B6">
        <w:t>tax agent</w:t>
      </w:r>
      <w:r>
        <w:t xml:space="preserve"> must </w:t>
      </w:r>
      <w:r w:rsidRPr="001215B6">
        <w:t>keep a</w:t>
      </w:r>
      <w:r w:rsidR="0036314F">
        <w:t>n ROA</w:t>
      </w:r>
      <w:r>
        <w:t xml:space="preserve"> </w:t>
      </w:r>
      <w:r w:rsidR="002D4F6F">
        <w:t>(</w:t>
      </w:r>
      <w:r>
        <w:t xml:space="preserve">the content </w:t>
      </w:r>
      <w:r w:rsidR="004A743A">
        <w:t xml:space="preserve">requirements </w:t>
      </w:r>
      <w:r>
        <w:t xml:space="preserve">of </w:t>
      </w:r>
      <w:r w:rsidR="002D4F6F">
        <w:t>which</w:t>
      </w:r>
      <w:r>
        <w:t xml:space="preserve"> </w:t>
      </w:r>
      <w:r w:rsidR="004A743A">
        <w:t>are</w:t>
      </w:r>
      <w:r>
        <w:t xml:space="preserve"> specified in section 6(</w:t>
      </w:r>
      <w:r w:rsidR="00976BE8">
        <w:t>2</w:t>
      </w:r>
      <w:r>
        <w:t>)(d)</w:t>
      </w:r>
      <w:r w:rsidRPr="00C47525">
        <w:t xml:space="preserve"> </w:t>
      </w:r>
      <w:r>
        <w:t>of the Instrument</w:t>
      </w:r>
      <w:r w:rsidR="002D4F6F">
        <w:t>)</w:t>
      </w:r>
      <w:r>
        <w:t>;</w:t>
      </w:r>
    </w:p>
    <w:p w14:paraId="7FAD3B3A" w14:textId="2EDB0A97" w:rsidR="00C47525" w:rsidRDefault="00C47525" w:rsidP="00C47525">
      <w:pPr>
        <w:pStyle w:val="LI-BodyTextParaa"/>
        <w:numPr>
          <w:ilvl w:val="1"/>
          <w:numId w:val="1"/>
        </w:numPr>
      </w:pPr>
      <w:r>
        <w:t xml:space="preserve">the </w:t>
      </w:r>
      <w:r w:rsidR="00322454">
        <w:t xml:space="preserve">registered </w:t>
      </w:r>
      <w:r>
        <w:t xml:space="preserve">tax agent must give this ROA to the client </w:t>
      </w:r>
      <w:r w:rsidRPr="001215B6">
        <w:t>when</w:t>
      </w:r>
      <w:r>
        <w:t xml:space="preserve"> </w:t>
      </w:r>
      <w:r w:rsidRPr="001215B6">
        <w:t xml:space="preserve">the </w:t>
      </w:r>
      <w:r w:rsidR="00371D0E">
        <w:t xml:space="preserve">COVID-19 </w:t>
      </w:r>
      <w:r>
        <w:t>a</w:t>
      </w:r>
      <w:r w:rsidRPr="001215B6">
        <w:t>dvice is provided</w:t>
      </w:r>
      <w:r>
        <w:t xml:space="preserve">, </w:t>
      </w:r>
      <w:r w:rsidRPr="001215B6">
        <w:t>or as soon as practicable after</w:t>
      </w:r>
      <w:r>
        <w:t>. It must be provided before any further financial service is provided</w:t>
      </w:r>
      <w:r w:rsidRPr="001215B6">
        <w:t>;</w:t>
      </w:r>
    </w:p>
    <w:p w14:paraId="33C62778" w14:textId="27DB2CB6" w:rsidR="00C47525" w:rsidRDefault="00C47525" w:rsidP="00C47525">
      <w:pPr>
        <w:pStyle w:val="LI-BodyTextParaa"/>
        <w:numPr>
          <w:ilvl w:val="1"/>
          <w:numId w:val="1"/>
        </w:numPr>
      </w:pPr>
      <w:bookmarkStart w:id="9" w:name="_Hlk37665443"/>
      <w:r>
        <w:t xml:space="preserve">the </w:t>
      </w:r>
      <w:r w:rsidR="00322454">
        <w:t xml:space="preserve">registered </w:t>
      </w:r>
      <w:r>
        <w:t xml:space="preserve">tax agent must disclose any actual or </w:t>
      </w:r>
      <w:r w:rsidRPr="00912CE9">
        <w:t>potential conflicts of interest</w:t>
      </w:r>
      <w:r>
        <w:t>, commissions and remuneration</w:t>
      </w:r>
      <w:r w:rsidR="00976BE8">
        <w:t xml:space="preserve"> that might reasonably be expected to be, or have been capable of, influencing the </w:t>
      </w:r>
      <w:r w:rsidR="002D4F6F">
        <w:t>registered tax agent</w:t>
      </w:r>
      <w:r w:rsidR="00976BE8">
        <w:t xml:space="preserve"> in providing the </w:t>
      </w:r>
      <w:r w:rsidR="00371D0E">
        <w:t xml:space="preserve">COVID-19 </w:t>
      </w:r>
      <w:r w:rsidR="00976BE8">
        <w:t>advice</w:t>
      </w:r>
      <w:r>
        <w:t>.</w:t>
      </w:r>
    </w:p>
    <w:bookmarkEnd w:id="9"/>
    <w:p w14:paraId="52E5B850" w14:textId="61013CF9" w:rsidR="00483B5C" w:rsidRPr="00391140" w:rsidRDefault="00391140" w:rsidP="00684ABC">
      <w:pPr>
        <w:pStyle w:val="LI-BodyTextNumbered"/>
        <w:numPr>
          <w:ilvl w:val="0"/>
          <w:numId w:val="1"/>
        </w:numPr>
      </w:pPr>
      <w:r>
        <w:t xml:space="preserve">This licensing exemption only applies to </w:t>
      </w:r>
      <w:r w:rsidR="00483B5C">
        <w:t xml:space="preserve">a </w:t>
      </w:r>
      <w:r>
        <w:t>registered tax agent</w:t>
      </w:r>
      <w:r w:rsidR="00483B5C">
        <w:t xml:space="preserve"> who is</w:t>
      </w:r>
      <w:r w:rsidR="00483B5C" w:rsidRPr="00483B5C">
        <w:t xml:space="preserve"> neither an AFS licensee nor a representative of an AFS licensee</w:t>
      </w:r>
      <w:r w:rsidR="00483B5C">
        <w:t>, to the extent that they provide the </w:t>
      </w:r>
      <w:r w:rsidR="00483B5C" w:rsidRPr="009F4802">
        <w:t>COVID-19</w:t>
      </w:r>
      <w:r w:rsidR="00483B5C" w:rsidRPr="00684ABC">
        <w:rPr>
          <w:b/>
          <w:i/>
        </w:rPr>
        <w:t xml:space="preserve"> </w:t>
      </w:r>
      <w:r w:rsidR="00483B5C" w:rsidRPr="00375F66">
        <w:t>advice</w:t>
      </w:r>
      <w:r w:rsidR="00483B5C">
        <w:t xml:space="preserve"> </w:t>
      </w:r>
      <w:r w:rsidR="00483B5C" w:rsidRPr="00375F66">
        <w:t>in</w:t>
      </w:r>
      <w:r w:rsidR="00483B5C">
        <w:t xml:space="preserve"> relation to the </w:t>
      </w:r>
      <w:r w:rsidR="006A285A" w:rsidRPr="00A3694D">
        <w:t>COVID-19 early release scheme</w:t>
      </w:r>
      <w:r w:rsidR="00483B5C">
        <w:t xml:space="preserve">. </w:t>
      </w:r>
      <w:r>
        <w:t>If the</w:t>
      </w:r>
      <w:r w:rsidR="00D6188B">
        <w:t xml:space="preserve"> registered tax agent is </w:t>
      </w:r>
      <w:r>
        <w:t xml:space="preserve">already authorised under an AFS </w:t>
      </w:r>
      <w:r w:rsidR="00D6188B">
        <w:t xml:space="preserve">licence </w:t>
      </w:r>
      <w:r>
        <w:t xml:space="preserve">to provide this type of </w:t>
      </w:r>
      <w:r w:rsidR="009439B3">
        <w:t xml:space="preserve">financial product </w:t>
      </w:r>
      <w:r>
        <w:t>advice</w:t>
      </w:r>
      <w:r w:rsidR="00ED1AC2">
        <w:t>,</w:t>
      </w:r>
      <w:r>
        <w:t xml:space="preserve"> then they will </w:t>
      </w:r>
      <w:r w:rsidR="008227FD">
        <w:t xml:space="preserve">be required to comply with the </w:t>
      </w:r>
      <w:r w:rsidR="00C63351" w:rsidRPr="007372F9">
        <w:t>provid</w:t>
      </w:r>
      <w:r w:rsidR="007372F9" w:rsidRPr="007372F9">
        <w:t>ing entity</w:t>
      </w:r>
      <w:r w:rsidR="00C63351" w:rsidRPr="007372F9">
        <w:t xml:space="preserve"> relief</w:t>
      </w:r>
      <w:r w:rsidR="00C63351">
        <w:t xml:space="preserve"> requirements </w:t>
      </w:r>
      <w:r>
        <w:t>in s</w:t>
      </w:r>
      <w:r w:rsidR="000655A6">
        <w:t xml:space="preserve">ection </w:t>
      </w:r>
      <w:r>
        <w:t>7 of the Instrument</w:t>
      </w:r>
      <w:r w:rsidR="00C63351">
        <w:t xml:space="preserve"> (</w:t>
      </w:r>
      <w:r w:rsidR="00B833E8">
        <w:t>that is,</w:t>
      </w:r>
      <w:r w:rsidR="00C63351">
        <w:t xml:space="preserve"> the ‘third situation’ below under the heading of ‘Financial Adviser Relief’)</w:t>
      </w:r>
      <w:r>
        <w:t>.</w:t>
      </w:r>
    </w:p>
    <w:p w14:paraId="7A45B0E3" w14:textId="3A699C36" w:rsidR="00391140" w:rsidRDefault="005B289C" w:rsidP="00391140">
      <w:pPr>
        <w:pStyle w:val="LI-BodyTextParaa"/>
        <w:numPr>
          <w:ilvl w:val="0"/>
          <w:numId w:val="1"/>
        </w:numPr>
      </w:pPr>
      <w:r>
        <w:t>A</w:t>
      </w:r>
      <w:r w:rsidR="00FA749F">
        <w:t>n</w:t>
      </w:r>
      <w:r w:rsidR="00391140">
        <w:t xml:space="preserve"> existing client of the registered tax agent </w:t>
      </w:r>
      <w:r>
        <w:t xml:space="preserve">is specified in the Instrument </w:t>
      </w:r>
      <w:r w:rsidR="00391140">
        <w:t xml:space="preserve">to be </w:t>
      </w:r>
      <w:r w:rsidR="00E5030B" w:rsidRPr="00E5030B">
        <w:t>a</w:t>
      </w:r>
      <w:r w:rsidR="00FA749F" w:rsidRPr="00FA749F">
        <w:t xml:space="preserve"> person to whom the tax agent has provided a tax agent service before the commencement</w:t>
      </w:r>
      <w:r w:rsidR="00391140" w:rsidRPr="00FA749F">
        <w:t xml:space="preserve"> of </w:t>
      </w:r>
      <w:r w:rsidR="00FA749F" w:rsidRPr="00FA749F">
        <w:t xml:space="preserve">this </w:t>
      </w:r>
      <w:r>
        <w:t>I</w:t>
      </w:r>
      <w:r w:rsidR="00FA749F" w:rsidRPr="00FA749F">
        <w:t>nstrument</w:t>
      </w:r>
      <w:r>
        <w:t>.</w:t>
      </w:r>
    </w:p>
    <w:p w14:paraId="0629DDC8" w14:textId="22D409B5" w:rsidR="00D848C3" w:rsidRPr="00CD0015" w:rsidRDefault="00D848C3" w:rsidP="00DA0A1D">
      <w:pPr>
        <w:pStyle w:val="LI-BodyTextParaa"/>
        <w:keepNext/>
        <w:ind w:left="0" w:firstLine="0"/>
        <w:rPr>
          <w:i/>
        </w:rPr>
      </w:pPr>
      <w:r w:rsidRPr="00CD0015">
        <w:rPr>
          <w:i/>
        </w:rPr>
        <w:t>Financial Adviser Relief</w:t>
      </w:r>
    </w:p>
    <w:p w14:paraId="7FB0E881" w14:textId="14AB82C9" w:rsidR="00E4091B" w:rsidRDefault="000634AF" w:rsidP="000634AF">
      <w:pPr>
        <w:pStyle w:val="LI-BodyTextParaa"/>
        <w:numPr>
          <w:ilvl w:val="0"/>
          <w:numId w:val="1"/>
        </w:numPr>
      </w:pPr>
      <w:r w:rsidRPr="000A4124">
        <w:t xml:space="preserve">Section </w:t>
      </w:r>
      <w:r w:rsidR="00315089" w:rsidRPr="000A4124">
        <w:t>7</w:t>
      </w:r>
      <w:r w:rsidRPr="000A4124">
        <w:t xml:space="preserve"> of the Instrument applies in relation to providing entities </w:t>
      </w:r>
      <w:r w:rsidR="00274030" w:rsidRPr="000A4124">
        <w:t xml:space="preserve">as if regulation 7.7.10AE of the </w:t>
      </w:r>
      <w:r w:rsidR="00DE6BBF" w:rsidRPr="00DE6BBF">
        <w:rPr>
          <w:i/>
        </w:rPr>
        <w:t>Corporations Regulations 2001</w:t>
      </w:r>
      <w:r w:rsidR="00DE6BBF">
        <w:t xml:space="preserve"> (</w:t>
      </w:r>
      <w:r w:rsidR="00274030" w:rsidRPr="00DE6BBF">
        <w:rPr>
          <w:b/>
        </w:rPr>
        <w:t>Regulations</w:t>
      </w:r>
      <w:r w:rsidR="00DE6BBF">
        <w:t>)</w:t>
      </w:r>
      <w:r w:rsidR="00274030" w:rsidRPr="000A4124">
        <w:t xml:space="preserve"> were modified or varied by inserting at the end of section 946B </w:t>
      </w:r>
      <w:r w:rsidR="00E4091B">
        <w:t xml:space="preserve">of the Act </w:t>
      </w:r>
      <w:r w:rsidR="000A4124" w:rsidRPr="000A4124">
        <w:t xml:space="preserve">a </w:t>
      </w:r>
      <w:r w:rsidR="00903D41">
        <w:t xml:space="preserve">new </w:t>
      </w:r>
      <w:r w:rsidR="000A4124" w:rsidRPr="000A4124">
        <w:t xml:space="preserve">situation where an SOA is not required. </w:t>
      </w:r>
    </w:p>
    <w:p w14:paraId="031A49DF" w14:textId="3793062C" w:rsidR="000A4124" w:rsidRPr="00526E23" w:rsidRDefault="000A4124" w:rsidP="000634AF">
      <w:pPr>
        <w:pStyle w:val="LI-BodyTextParaa"/>
        <w:numPr>
          <w:ilvl w:val="0"/>
          <w:numId w:val="1"/>
        </w:numPr>
      </w:pPr>
      <w:r w:rsidRPr="000A4124">
        <w:t xml:space="preserve">This </w:t>
      </w:r>
      <w:r w:rsidR="00865C49">
        <w:t>‘</w:t>
      </w:r>
      <w:r w:rsidR="00E4091B">
        <w:t xml:space="preserve">third </w:t>
      </w:r>
      <w:r w:rsidRPr="000A4124">
        <w:t>situation</w:t>
      </w:r>
      <w:r w:rsidR="00865C49">
        <w:t>’</w:t>
      </w:r>
      <w:r w:rsidRPr="000A4124">
        <w:t xml:space="preserve"> </w:t>
      </w:r>
      <w:r w:rsidR="00B936F5">
        <w:t>w</w:t>
      </w:r>
      <w:r w:rsidR="00B936F5" w:rsidRPr="000A4124">
        <w:t>here an SOA is not required</w:t>
      </w:r>
      <w:r w:rsidR="00B936F5">
        <w:t xml:space="preserve"> </w:t>
      </w:r>
      <w:r w:rsidRPr="000A4124">
        <w:t xml:space="preserve">is where </w:t>
      </w:r>
      <w:r w:rsidR="00371D0E">
        <w:t xml:space="preserve">personal </w:t>
      </w:r>
      <w:r w:rsidRPr="000A4124">
        <w:t>a</w:t>
      </w:r>
      <w:r w:rsidRPr="000A4124">
        <w:rPr>
          <w:iCs/>
        </w:rPr>
        <w:t>dvice</w:t>
      </w:r>
      <w:r w:rsidR="00841162">
        <w:rPr>
          <w:iCs/>
        </w:rPr>
        <w:t xml:space="preserve"> is </w:t>
      </w:r>
      <w:r w:rsidRPr="000A4124">
        <w:rPr>
          <w:iCs/>
        </w:rPr>
        <w:t xml:space="preserve">in relation to the </w:t>
      </w:r>
      <w:r w:rsidR="006A285A" w:rsidRPr="00C30B58">
        <w:t>COVID-19 early release scheme</w:t>
      </w:r>
      <w:r w:rsidR="004B7D8D">
        <w:rPr>
          <w:iCs/>
        </w:rPr>
        <w:t>.</w:t>
      </w:r>
    </w:p>
    <w:p w14:paraId="275D62A5" w14:textId="7F5FCA08" w:rsidR="00841162" w:rsidRDefault="00841162" w:rsidP="00841162">
      <w:pPr>
        <w:pStyle w:val="LI-BodyTextParaa"/>
        <w:numPr>
          <w:ilvl w:val="0"/>
          <w:numId w:val="1"/>
        </w:numPr>
        <w:ind w:left="567" w:hanging="567"/>
      </w:pPr>
      <w:r>
        <w:t>An SOA is not required to be given where the following requirements in the Instrument are satisfied:</w:t>
      </w:r>
    </w:p>
    <w:p w14:paraId="10C60913" w14:textId="760EA0F7" w:rsidR="00CD1E95" w:rsidRDefault="00CD1E95" w:rsidP="00CD1E95">
      <w:pPr>
        <w:pStyle w:val="LI-BodyTextParaa"/>
        <w:numPr>
          <w:ilvl w:val="1"/>
          <w:numId w:val="1"/>
        </w:numPr>
      </w:pPr>
      <w:r w:rsidRPr="001215B6">
        <w:t xml:space="preserve">the </w:t>
      </w:r>
      <w:r>
        <w:t xml:space="preserve">COVID-19 advice is in relation to the early </w:t>
      </w:r>
      <w:r w:rsidRPr="002D6CD3">
        <w:t>release</w:t>
      </w:r>
      <w:r>
        <w:t> </w:t>
      </w:r>
      <w:r w:rsidRPr="002D6CD3">
        <w:t>on</w:t>
      </w:r>
      <w:r>
        <w:t xml:space="preserve"> an eligible ground </w:t>
      </w:r>
      <w:r w:rsidRPr="002D6CD3">
        <w:t>of</w:t>
      </w:r>
      <w:r w:rsidRPr="002D6CD3">
        <w:rPr>
          <w:i/>
          <w:iCs/>
        </w:rPr>
        <w:t xml:space="preserve"> </w:t>
      </w:r>
      <w:r w:rsidRPr="002D6CD3">
        <w:t>benefits that</w:t>
      </w:r>
      <w:r>
        <w:t xml:space="preserve"> are </w:t>
      </w:r>
      <w:r w:rsidRPr="002D6CD3">
        <w:t xml:space="preserve">in a </w:t>
      </w:r>
      <w:r w:rsidR="004636AD">
        <w:t>client’s superannuation</w:t>
      </w:r>
      <w:r>
        <w:t>;</w:t>
      </w:r>
    </w:p>
    <w:p w14:paraId="1856E6BC" w14:textId="5A9767C7" w:rsidR="00CD1E95" w:rsidRDefault="00CD1E95" w:rsidP="00CD1E95">
      <w:pPr>
        <w:pStyle w:val="LI-BodyTextParaa"/>
        <w:numPr>
          <w:ilvl w:val="1"/>
          <w:numId w:val="1"/>
        </w:numPr>
      </w:pPr>
      <w:r>
        <w:t xml:space="preserve">the </w:t>
      </w:r>
      <w:r w:rsidR="00371D0E">
        <w:t xml:space="preserve">COVID-19 </w:t>
      </w:r>
      <w:r>
        <w:t xml:space="preserve">advice must be </w:t>
      </w:r>
      <w:r w:rsidR="00FD2DAB">
        <w:t xml:space="preserve">from </w:t>
      </w:r>
      <w:r>
        <w:t xml:space="preserve">unsolicited </w:t>
      </w:r>
      <w:r w:rsidR="00FD2DAB">
        <w:t xml:space="preserve">contact </w:t>
      </w:r>
      <w:r>
        <w:t>(for example, no cold calling);</w:t>
      </w:r>
    </w:p>
    <w:p w14:paraId="58DE830D" w14:textId="1D8F71D0" w:rsidR="00CD1E95" w:rsidRDefault="00CD1E95" w:rsidP="00CD1E95">
      <w:pPr>
        <w:pStyle w:val="LI-BodyTextParaa"/>
        <w:numPr>
          <w:ilvl w:val="1"/>
          <w:numId w:val="1"/>
        </w:numPr>
      </w:pPr>
      <w:r>
        <w:t>the maximum fee that can be cha</w:t>
      </w:r>
      <w:r w:rsidR="009179EE">
        <w:t>r</w:t>
      </w:r>
      <w:r>
        <w:t xml:space="preserve">ged for the </w:t>
      </w:r>
      <w:r w:rsidR="00371D0E">
        <w:t xml:space="preserve">COVID-19 </w:t>
      </w:r>
      <w:r>
        <w:t>advice is $300;</w:t>
      </w:r>
    </w:p>
    <w:p w14:paraId="6E5B6448" w14:textId="64BC135F" w:rsidR="00CD1E95" w:rsidRDefault="00CD1E95" w:rsidP="009D1AA3">
      <w:pPr>
        <w:pStyle w:val="LI-BodyTextParaa"/>
        <w:numPr>
          <w:ilvl w:val="1"/>
          <w:numId w:val="1"/>
        </w:numPr>
      </w:pPr>
      <w:r>
        <w:t>the provid</w:t>
      </w:r>
      <w:r w:rsidR="00FB5B89">
        <w:t>ing entity</w:t>
      </w:r>
      <w:r>
        <w:t xml:space="preserve"> must </w:t>
      </w:r>
      <w:r w:rsidRPr="001215B6">
        <w:t>keep a</w:t>
      </w:r>
      <w:r w:rsidR="00746EA2">
        <w:t>n ROA</w:t>
      </w:r>
      <w:r w:rsidR="004A743A">
        <w:t xml:space="preserve"> (</w:t>
      </w:r>
      <w:r>
        <w:t>the content</w:t>
      </w:r>
      <w:r w:rsidR="009B3897">
        <w:t xml:space="preserve"> requirements</w:t>
      </w:r>
      <w:r>
        <w:t xml:space="preserve"> of </w:t>
      </w:r>
      <w:r w:rsidR="004A743A">
        <w:t>which are</w:t>
      </w:r>
      <w:r>
        <w:t xml:space="preserve"> specified in notional subsection 946B(9) in the Instrument</w:t>
      </w:r>
      <w:r w:rsidR="004A743A">
        <w:t>)</w:t>
      </w:r>
      <w:r>
        <w:t>;</w:t>
      </w:r>
    </w:p>
    <w:p w14:paraId="32486416" w14:textId="356104FD" w:rsidR="00CD1E95" w:rsidRDefault="00CD1E95" w:rsidP="00CD1E95">
      <w:pPr>
        <w:pStyle w:val="LI-BodyTextParaa"/>
        <w:numPr>
          <w:ilvl w:val="1"/>
          <w:numId w:val="1"/>
        </w:numPr>
      </w:pPr>
      <w:r>
        <w:t>the provid</w:t>
      </w:r>
      <w:r w:rsidR="00FB5B89">
        <w:t>ing entity</w:t>
      </w:r>
      <w:r>
        <w:t xml:space="preserve"> must give this ROA to the client </w:t>
      </w:r>
      <w:r w:rsidRPr="001215B6">
        <w:t>when</w:t>
      </w:r>
      <w:r>
        <w:t xml:space="preserve"> </w:t>
      </w:r>
      <w:r w:rsidRPr="001215B6">
        <w:t xml:space="preserve">the </w:t>
      </w:r>
      <w:r w:rsidR="00371D0E">
        <w:t xml:space="preserve">COVID-19 </w:t>
      </w:r>
      <w:r>
        <w:t>a</w:t>
      </w:r>
      <w:r w:rsidRPr="001215B6">
        <w:t>dvice is provided</w:t>
      </w:r>
      <w:r>
        <w:t xml:space="preserve">, </w:t>
      </w:r>
      <w:r w:rsidRPr="001215B6">
        <w:t>or as soon as practicable after</w:t>
      </w:r>
      <w:r>
        <w:t xml:space="preserve">. It must be provided before any further financial service </w:t>
      </w:r>
      <w:r w:rsidR="004636AD">
        <w:t xml:space="preserve">arising out of, or connected with, the </w:t>
      </w:r>
      <w:r w:rsidR="00371D0E">
        <w:t xml:space="preserve">COVID-19 </w:t>
      </w:r>
      <w:r w:rsidR="004636AD">
        <w:t>advice</w:t>
      </w:r>
      <w:r>
        <w:t xml:space="preserve"> is provided</w:t>
      </w:r>
      <w:r w:rsidRPr="001215B6">
        <w:t>;</w:t>
      </w:r>
      <w:r w:rsidR="007A3EE4">
        <w:t xml:space="preserve"> and</w:t>
      </w:r>
    </w:p>
    <w:p w14:paraId="1E348081" w14:textId="6AE83F70" w:rsidR="00CD1E95" w:rsidRDefault="00CD1E95" w:rsidP="00CD1E95">
      <w:pPr>
        <w:pStyle w:val="LI-BodyTextParaa"/>
        <w:numPr>
          <w:ilvl w:val="1"/>
          <w:numId w:val="1"/>
        </w:numPr>
      </w:pPr>
      <w:r>
        <w:t>the provid</w:t>
      </w:r>
      <w:r w:rsidR="0035407E">
        <w:t>ing entity</w:t>
      </w:r>
      <w:r>
        <w:t xml:space="preserve"> must disclose any actual or </w:t>
      </w:r>
      <w:r w:rsidRPr="00912CE9">
        <w:t>potential conflicts of interest</w:t>
      </w:r>
      <w:r w:rsidR="004636AD">
        <w:t xml:space="preserve"> and</w:t>
      </w:r>
      <w:r>
        <w:t xml:space="preserve"> commissions and remuneration</w:t>
      </w:r>
      <w:r w:rsidR="004636AD" w:rsidRPr="004636AD">
        <w:t xml:space="preserve"> </w:t>
      </w:r>
      <w:r w:rsidR="004636AD">
        <w:t xml:space="preserve">that might reasonably be expected to be, or have been capable of, influencing the providing entity in providing the </w:t>
      </w:r>
      <w:r w:rsidR="00403E12">
        <w:t xml:space="preserve">COVID-19 </w:t>
      </w:r>
      <w:r w:rsidR="004636AD">
        <w:t>advice.</w:t>
      </w:r>
    </w:p>
    <w:p w14:paraId="3FAA60A2" w14:textId="124E245F" w:rsidR="00E55057" w:rsidRDefault="00B4589C" w:rsidP="007E3719">
      <w:pPr>
        <w:pStyle w:val="LI-BodyTextParaa"/>
        <w:numPr>
          <w:ilvl w:val="0"/>
          <w:numId w:val="1"/>
        </w:numPr>
      </w:pPr>
      <w:r>
        <w:t xml:space="preserve">With respect to ‘unsolicited contact’ by a providing entity or registered tax agent, </w:t>
      </w:r>
      <w:r w:rsidR="00B93CC1">
        <w:t>a</w:t>
      </w:r>
      <w:r w:rsidR="000014A3">
        <w:t xml:space="preserve">ny means of </w:t>
      </w:r>
      <w:r w:rsidR="00D37158">
        <w:t>contact</w:t>
      </w:r>
      <w:r w:rsidR="000014A3">
        <w:t xml:space="preserve"> with a client will be unsolicited unless it takes place in response to a positive, clear and informed request from </w:t>
      </w:r>
      <w:r>
        <w:t xml:space="preserve">the client </w:t>
      </w:r>
      <w:r w:rsidR="00610311">
        <w:t xml:space="preserve">for </w:t>
      </w:r>
      <w:r w:rsidR="00403E12">
        <w:t xml:space="preserve">financial product </w:t>
      </w:r>
      <w:r w:rsidR="00610311">
        <w:t xml:space="preserve">advice about the </w:t>
      </w:r>
      <w:r w:rsidR="00C30B58" w:rsidRPr="00C30B58">
        <w:t>COVID-19 early release scheme</w:t>
      </w:r>
      <w:r w:rsidR="000014A3">
        <w:t xml:space="preserve">. </w:t>
      </w:r>
    </w:p>
    <w:p w14:paraId="66DA97F4" w14:textId="2149A4BD" w:rsidR="009439B3" w:rsidRDefault="009439B3" w:rsidP="000D0FFC">
      <w:pPr>
        <w:pStyle w:val="LI-BodyTextParaa"/>
        <w:numPr>
          <w:ilvl w:val="0"/>
          <w:numId w:val="1"/>
        </w:numPr>
      </w:pPr>
      <w:r w:rsidRPr="000D0FFC">
        <w:t xml:space="preserve">The Instrument specifies the content requirements for the ROA that the </w:t>
      </w:r>
      <w:r>
        <w:t>providing entity or registered tax agent</w:t>
      </w:r>
      <w:r w:rsidRPr="000D0FFC">
        <w:t xml:space="preserve"> </w:t>
      </w:r>
      <w:r w:rsidR="000D0FFC" w:rsidRPr="000D0FFC">
        <w:t xml:space="preserve">is required to keep and give to the client. </w:t>
      </w:r>
      <w:r w:rsidR="004A743A">
        <w:t xml:space="preserve">If </w:t>
      </w:r>
      <w:r w:rsidR="0042746C">
        <w:t xml:space="preserve">the </w:t>
      </w:r>
      <w:r w:rsidR="004A743A">
        <w:t>early release of superannuation benefits is recommended, t</w:t>
      </w:r>
      <w:r w:rsidR="000D0FFC" w:rsidRPr="000D0FFC">
        <w:t>he ROA requirements include</w:t>
      </w:r>
      <w:r w:rsidR="004A743A">
        <w:t xml:space="preserve"> </w:t>
      </w:r>
      <w:r w:rsidR="005A3C9D">
        <w:t xml:space="preserve">setting out </w:t>
      </w:r>
      <w:r w:rsidR="004A743A">
        <w:t>the implications for the client</w:t>
      </w:r>
      <w:r w:rsidR="005A3C9D">
        <w:t>.</w:t>
      </w:r>
      <w:r w:rsidR="007E6373">
        <w:t xml:space="preserve"> These</w:t>
      </w:r>
      <w:r>
        <w:t xml:space="preserve"> implications</w:t>
      </w:r>
      <w:r w:rsidRPr="000D0FFC">
        <w:t xml:space="preserve"> </w:t>
      </w:r>
      <w:r w:rsidR="000D0FFC" w:rsidRPr="000D0FFC">
        <w:t xml:space="preserve">would </w:t>
      </w:r>
      <w:r w:rsidRPr="000D0FFC">
        <w:t>include, but are not limited to, any consequences the early release would have on the client’s insurance cover and the impact of the withdrawal on retirement benefits.</w:t>
      </w:r>
    </w:p>
    <w:p w14:paraId="10BE3A75" w14:textId="250EC1DD" w:rsidR="00F25DFC" w:rsidRPr="000D0FFC" w:rsidRDefault="00F25DFC" w:rsidP="000D0FFC">
      <w:pPr>
        <w:pStyle w:val="LI-BodyTextParaa"/>
        <w:numPr>
          <w:ilvl w:val="0"/>
          <w:numId w:val="1"/>
        </w:numPr>
      </w:pPr>
      <w:r>
        <w:t>For the avoidance of doubt, the ‘third</w:t>
      </w:r>
      <w:r w:rsidR="007E20C5">
        <w:t xml:space="preserve"> situation’</w:t>
      </w:r>
      <w:r>
        <w:t xml:space="preserve"> </w:t>
      </w:r>
      <w:r w:rsidR="007E20C5">
        <w:t xml:space="preserve">can </w:t>
      </w:r>
      <w:r w:rsidR="00510510">
        <w:t xml:space="preserve">generally </w:t>
      </w:r>
      <w:r w:rsidR="007E20C5">
        <w:t>be relied on when a providing entity is</w:t>
      </w:r>
      <w:r w:rsidR="00423A25">
        <w:t xml:space="preserve"> a superannuation trustee</w:t>
      </w:r>
      <w:r w:rsidR="007E20C5">
        <w:t xml:space="preserve"> giving </w:t>
      </w:r>
      <w:r w:rsidRPr="00F25DFC">
        <w:t xml:space="preserve">intra-fund </w:t>
      </w:r>
      <w:r w:rsidR="00E23AE3">
        <w:t>COVID</w:t>
      </w:r>
      <w:r w:rsidR="00E23AE3">
        <w:noBreakHyphen/>
        <w:t xml:space="preserve">19 </w:t>
      </w:r>
      <w:r w:rsidRPr="00F25DFC">
        <w:t>advice</w:t>
      </w:r>
      <w:r w:rsidR="00423A25">
        <w:t xml:space="preserve"> to a member</w:t>
      </w:r>
      <w:r w:rsidR="00C63351">
        <w:t xml:space="preserve">, or another entity providing this </w:t>
      </w:r>
      <w:r w:rsidR="00E23AE3">
        <w:t>COVID</w:t>
      </w:r>
      <w:r w:rsidR="00E23AE3">
        <w:noBreakHyphen/>
        <w:t xml:space="preserve">19 </w:t>
      </w:r>
      <w:r w:rsidR="00C63351">
        <w:t>advice on behalf of the superannuation trustee</w:t>
      </w:r>
      <w:r w:rsidR="007E20C5">
        <w:t>.</w:t>
      </w:r>
    </w:p>
    <w:p w14:paraId="4A391B29" w14:textId="10807938" w:rsidR="00532728" w:rsidRPr="00CD0015" w:rsidRDefault="00532728" w:rsidP="00C63351">
      <w:pPr>
        <w:pStyle w:val="LI-BodyTextParaa"/>
        <w:keepNext/>
        <w:ind w:left="0" w:firstLine="0"/>
        <w:rPr>
          <w:b/>
          <w:i/>
        </w:rPr>
      </w:pPr>
      <w:r w:rsidRPr="00CD0015">
        <w:rPr>
          <w:b/>
          <w:i/>
        </w:rPr>
        <w:t>‘ROA for an Existing Client’ measure</w:t>
      </w:r>
    </w:p>
    <w:p w14:paraId="4440484E" w14:textId="51749E41" w:rsidR="00474D67" w:rsidRDefault="00474D67" w:rsidP="00474D67">
      <w:pPr>
        <w:pStyle w:val="LI-BodyTextParaa"/>
        <w:numPr>
          <w:ilvl w:val="0"/>
          <w:numId w:val="1"/>
        </w:numPr>
      </w:pPr>
      <w:r w:rsidRPr="000A4124">
        <w:t xml:space="preserve">Section 7 of the Instrument applies in relation to providing entities as if regulation 7.7.10AE of the Regulations were modified or varied by inserting at the end of section 946B </w:t>
      </w:r>
      <w:r>
        <w:t xml:space="preserve">of the Act </w:t>
      </w:r>
      <w:r w:rsidRPr="000A4124">
        <w:t>a</w:t>
      </w:r>
      <w:r w:rsidR="00497517">
        <w:t xml:space="preserve">nother </w:t>
      </w:r>
      <w:r>
        <w:t xml:space="preserve">new </w:t>
      </w:r>
      <w:r w:rsidRPr="000A4124">
        <w:t xml:space="preserve">situation where an SOA is not required. </w:t>
      </w:r>
    </w:p>
    <w:p w14:paraId="705E09E0" w14:textId="06980278" w:rsidR="007B5A5F" w:rsidRDefault="00474D67" w:rsidP="003F17B8">
      <w:pPr>
        <w:pStyle w:val="LI-BodyTextParaa"/>
        <w:numPr>
          <w:ilvl w:val="0"/>
          <w:numId w:val="1"/>
        </w:numPr>
      </w:pPr>
      <w:r w:rsidRPr="000A4124">
        <w:t xml:space="preserve">This </w:t>
      </w:r>
      <w:r w:rsidR="00865C49">
        <w:t>‘</w:t>
      </w:r>
      <w:r w:rsidR="00EA7CDE">
        <w:t xml:space="preserve">fourth </w:t>
      </w:r>
      <w:r w:rsidRPr="000A4124">
        <w:t>situation</w:t>
      </w:r>
      <w:r w:rsidR="00865C49">
        <w:t>’</w:t>
      </w:r>
      <w:r w:rsidRPr="000A4124">
        <w:t xml:space="preserve"> is where </w:t>
      </w:r>
      <w:r w:rsidR="00D06556">
        <w:t xml:space="preserve">an existing client of a </w:t>
      </w:r>
      <w:r w:rsidR="00FD77B6">
        <w:t>providing entity</w:t>
      </w:r>
      <w:r w:rsidR="00237859">
        <w:t>, or associated provid</w:t>
      </w:r>
      <w:r w:rsidR="00FD77B6">
        <w:t>ing entity</w:t>
      </w:r>
      <w:r w:rsidR="00237859">
        <w:t>,</w:t>
      </w:r>
      <w:r w:rsidR="00D06556">
        <w:t xml:space="preserve"> requires </w:t>
      </w:r>
      <w:r w:rsidR="00403E12">
        <w:t xml:space="preserve">COVID-19 </w:t>
      </w:r>
      <w:r w:rsidR="00D06556">
        <w:t>advice</w:t>
      </w:r>
      <w:r w:rsidR="00D06556" w:rsidRPr="00D06556">
        <w:t>.</w:t>
      </w:r>
      <w:r w:rsidRPr="00D06556">
        <w:t xml:space="preserve"> </w:t>
      </w:r>
      <w:r w:rsidR="00F40311">
        <w:t>T</w:t>
      </w:r>
      <w:r w:rsidR="008A3258">
        <w:t>his temporary relief measure allows an ROA to be provided when an SOA would usually be require</w:t>
      </w:r>
      <w:r w:rsidR="002A7D3C">
        <w:t>d</w:t>
      </w:r>
      <w:r w:rsidR="007B5A5F">
        <w:t xml:space="preserve">. </w:t>
      </w:r>
    </w:p>
    <w:p w14:paraId="5DE7C594" w14:textId="14463B37" w:rsidR="008A3258" w:rsidRPr="00683CAE" w:rsidRDefault="007B5A5F" w:rsidP="003F17B8">
      <w:pPr>
        <w:pStyle w:val="LI-BodyTextParaa"/>
        <w:numPr>
          <w:ilvl w:val="0"/>
          <w:numId w:val="1"/>
        </w:numPr>
      </w:pPr>
      <w:r>
        <w:t xml:space="preserve">This temporary relief aims to address situations where the </w:t>
      </w:r>
      <w:r w:rsidR="002A7D3C">
        <w:t xml:space="preserve">existing </w:t>
      </w:r>
      <w:r w:rsidR="008A3258">
        <w:t xml:space="preserve">client’s personal circumstances and the basis of </w:t>
      </w:r>
      <w:r w:rsidR="008A3258" w:rsidRPr="00683CAE">
        <w:t>the</w:t>
      </w:r>
      <w:r w:rsidR="00E23AE3">
        <w:t xml:space="preserve"> personal </w:t>
      </w:r>
      <w:r w:rsidR="008A3258" w:rsidRPr="00683CAE">
        <w:t xml:space="preserve">advice </w:t>
      </w:r>
      <w:r w:rsidRPr="00683CAE">
        <w:t xml:space="preserve">would have </w:t>
      </w:r>
      <w:r w:rsidR="008A3258" w:rsidRPr="00683CAE">
        <w:t>changed significantly</w:t>
      </w:r>
      <w:r w:rsidR="003F17B8" w:rsidRPr="00683CAE">
        <w:t xml:space="preserve">. This is likely to </w:t>
      </w:r>
      <w:r w:rsidR="008A3258" w:rsidRPr="00683CAE">
        <w:t xml:space="preserve">be the case for many clients due to the </w:t>
      </w:r>
      <w:r w:rsidRPr="00683CAE">
        <w:t xml:space="preserve">adverse economic </w:t>
      </w:r>
      <w:r w:rsidR="008A3258" w:rsidRPr="00683CAE">
        <w:t>impact of COVID-19</w:t>
      </w:r>
      <w:r w:rsidR="003F17B8" w:rsidRPr="00683CAE">
        <w:t>.</w:t>
      </w:r>
      <w:r w:rsidR="008A3258" w:rsidRPr="00683CAE">
        <w:t xml:space="preserve"> </w:t>
      </w:r>
      <w:r w:rsidRPr="00683CAE">
        <w:t xml:space="preserve">It also facilitates advice practices to continue to provide timely </w:t>
      </w:r>
      <w:r w:rsidR="00403E12" w:rsidRPr="00683CAE">
        <w:t xml:space="preserve">personal </w:t>
      </w:r>
      <w:r w:rsidRPr="00683CAE">
        <w:t>advice to clients where the client is receiving</w:t>
      </w:r>
      <w:r w:rsidR="00403E12" w:rsidRPr="00683CAE">
        <w:t xml:space="preserve"> personal</w:t>
      </w:r>
      <w:r w:rsidRPr="00683CAE">
        <w:t xml:space="preserve"> advice from another </w:t>
      </w:r>
      <w:r w:rsidR="005A3C9D" w:rsidRPr="00683CAE">
        <w:t xml:space="preserve">financial </w:t>
      </w:r>
      <w:r w:rsidRPr="00683CAE">
        <w:t>adviser</w:t>
      </w:r>
      <w:r w:rsidR="001C50D9" w:rsidRPr="00683CAE">
        <w:t xml:space="preserve">, for example another </w:t>
      </w:r>
      <w:r w:rsidR="005A3C9D" w:rsidRPr="00683CAE">
        <w:t xml:space="preserve">financial </w:t>
      </w:r>
      <w:r w:rsidR="001C50D9" w:rsidRPr="00683CAE">
        <w:t>adviser</w:t>
      </w:r>
      <w:r w:rsidRPr="00683CAE">
        <w:t xml:space="preserve"> in the practice</w:t>
      </w:r>
      <w:r w:rsidR="001C50D9" w:rsidRPr="00683CAE">
        <w:t xml:space="preserve"> or another </w:t>
      </w:r>
      <w:r w:rsidR="005A3C9D" w:rsidRPr="00683CAE">
        <w:t xml:space="preserve">financial </w:t>
      </w:r>
      <w:r w:rsidR="001C50D9" w:rsidRPr="00683CAE">
        <w:t>adviser authorised by the AFS licensee who was the original providing entity</w:t>
      </w:r>
      <w:r w:rsidR="005A3C9D" w:rsidRPr="00683CAE">
        <w:t xml:space="preserve"> (see the ‘associated providing entity’ definition in notional section 946B(18) of the Instrument)</w:t>
      </w:r>
      <w:r w:rsidRPr="00683CAE">
        <w:t>.</w:t>
      </w:r>
    </w:p>
    <w:p w14:paraId="4FA521B3" w14:textId="471CBDD9" w:rsidR="006773C6" w:rsidRDefault="002A7D3C" w:rsidP="005E289D">
      <w:pPr>
        <w:pStyle w:val="LI-BodyTextParaa"/>
        <w:numPr>
          <w:ilvl w:val="0"/>
          <w:numId w:val="1"/>
        </w:numPr>
      </w:pPr>
      <w:r w:rsidRPr="000A4124">
        <w:t>Section 7 of the Instrument</w:t>
      </w:r>
      <w:r w:rsidR="00DB6297">
        <w:t xml:space="preserve"> states </w:t>
      </w:r>
      <w:r w:rsidR="006773C6">
        <w:t>that an SOA is not required to be provided where all of the following are satisfied:</w:t>
      </w:r>
    </w:p>
    <w:p w14:paraId="7B43E175" w14:textId="21FACE72" w:rsidR="006773C6" w:rsidRPr="00DC00D9" w:rsidRDefault="00E472E8" w:rsidP="006773C6">
      <w:pPr>
        <w:pStyle w:val="LI-BodyTextNumbered"/>
        <w:numPr>
          <w:ilvl w:val="1"/>
          <w:numId w:val="1"/>
        </w:numPr>
      </w:pPr>
      <w:r>
        <w:t>t</w:t>
      </w:r>
      <w:r w:rsidR="006773C6">
        <w:t>h</w:t>
      </w:r>
      <w:r w:rsidR="006773C6" w:rsidRPr="00DC00D9">
        <w:t xml:space="preserve">e client </w:t>
      </w:r>
      <w:r w:rsidR="006773C6">
        <w:t xml:space="preserve">must </w:t>
      </w:r>
      <w:r w:rsidR="006773C6" w:rsidRPr="00DC00D9">
        <w:t>expressly instruct</w:t>
      </w:r>
      <w:r w:rsidR="006773C6">
        <w:t xml:space="preserve">, and the </w:t>
      </w:r>
      <w:r w:rsidR="006773C6" w:rsidRPr="00DC00D9">
        <w:t xml:space="preserve">providing entity </w:t>
      </w:r>
      <w:r w:rsidR="006773C6">
        <w:t xml:space="preserve">must reasonably consider, that the </w:t>
      </w:r>
      <w:r w:rsidR="00403E12">
        <w:t xml:space="preserve">personal </w:t>
      </w:r>
      <w:r w:rsidR="006773C6">
        <w:t xml:space="preserve">advice is required because of the </w:t>
      </w:r>
      <w:r w:rsidR="006773C6" w:rsidRPr="00DC00D9">
        <w:t>adverse economic effects of COVID</w:t>
      </w:r>
      <w:r w:rsidR="006773C6" w:rsidRPr="00DC00D9">
        <w:noBreakHyphen/>
        <w:t>19;</w:t>
      </w:r>
    </w:p>
    <w:p w14:paraId="3FDF6E98" w14:textId="10F2C42C" w:rsidR="00E472E8" w:rsidRPr="00E472E8" w:rsidRDefault="00E472E8" w:rsidP="008A4538">
      <w:pPr>
        <w:pStyle w:val="LI-BodyTextNumbered"/>
        <w:numPr>
          <w:ilvl w:val="1"/>
          <w:numId w:val="1"/>
        </w:numPr>
      </w:pPr>
      <w:r>
        <w:rPr>
          <w:szCs w:val="19"/>
        </w:rPr>
        <w:t xml:space="preserve">the client must be an existing client who was </w:t>
      </w:r>
      <w:r w:rsidR="008A4538" w:rsidRPr="00FA0FDE">
        <w:rPr>
          <w:szCs w:val="19"/>
        </w:rPr>
        <w:t xml:space="preserve">previously given </w:t>
      </w:r>
      <w:r>
        <w:rPr>
          <w:szCs w:val="19"/>
        </w:rPr>
        <w:t>an SOA by the providing entity (or an associated providing entity)</w:t>
      </w:r>
      <w:r w:rsidR="00237859">
        <w:rPr>
          <w:szCs w:val="19"/>
        </w:rPr>
        <w:t>; and</w:t>
      </w:r>
    </w:p>
    <w:p w14:paraId="2709DFEF" w14:textId="5A26748F" w:rsidR="00E472E8" w:rsidRPr="00D8280A" w:rsidRDefault="00E472E8" w:rsidP="008A4538">
      <w:pPr>
        <w:pStyle w:val="LI-BodyTextNumbered"/>
        <w:numPr>
          <w:ilvl w:val="1"/>
          <w:numId w:val="1"/>
        </w:numPr>
      </w:pPr>
      <w:r>
        <w:rPr>
          <w:szCs w:val="19"/>
        </w:rPr>
        <w:t>the</w:t>
      </w:r>
      <w:r w:rsidR="00403E12">
        <w:rPr>
          <w:szCs w:val="19"/>
        </w:rPr>
        <w:t xml:space="preserve"> </w:t>
      </w:r>
      <w:r w:rsidR="00403E12">
        <w:t>COVID-19</w:t>
      </w:r>
      <w:r>
        <w:rPr>
          <w:szCs w:val="19"/>
        </w:rPr>
        <w:t xml:space="preserve"> advice being </w:t>
      </w:r>
      <w:r w:rsidR="00403E12">
        <w:rPr>
          <w:szCs w:val="19"/>
        </w:rPr>
        <w:t>provided</w:t>
      </w:r>
      <w:r>
        <w:rPr>
          <w:szCs w:val="19"/>
        </w:rPr>
        <w:t xml:space="preserve"> must be in relation </w:t>
      </w:r>
      <w:r w:rsidR="008A4538" w:rsidRPr="00FA0FDE">
        <w:rPr>
          <w:szCs w:val="19"/>
        </w:rPr>
        <w:t xml:space="preserve">to </w:t>
      </w:r>
      <w:r w:rsidR="008A4538">
        <w:rPr>
          <w:szCs w:val="19"/>
        </w:rPr>
        <w:t>one or more classes of financial product</w:t>
      </w:r>
      <w:r w:rsidR="00D5393A">
        <w:rPr>
          <w:szCs w:val="19"/>
        </w:rPr>
        <w:t>(</w:t>
      </w:r>
      <w:r w:rsidR="008A4538">
        <w:rPr>
          <w:szCs w:val="19"/>
        </w:rPr>
        <w:t>s</w:t>
      </w:r>
      <w:r w:rsidR="00D5393A">
        <w:rPr>
          <w:szCs w:val="19"/>
        </w:rPr>
        <w:t>)</w:t>
      </w:r>
      <w:r w:rsidR="008A4538">
        <w:rPr>
          <w:szCs w:val="19"/>
        </w:rPr>
        <w:t xml:space="preserve"> </w:t>
      </w:r>
      <w:r w:rsidR="00D5393A">
        <w:rPr>
          <w:szCs w:val="19"/>
        </w:rPr>
        <w:t xml:space="preserve">in </w:t>
      </w:r>
      <w:r w:rsidR="004A743A">
        <w:rPr>
          <w:szCs w:val="19"/>
        </w:rPr>
        <w:t xml:space="preserve">relation to </w:t>
      </w:r>
      <w:r w:rsidR="00D5393A">
        <w:rPr>
          <w:szCs w:val="19"/>
        </w:rPr>
        <w:t>which the</w:t>
      </w:r>
      <w:r w:rsidR="00905453">
        <w:rPr>
          <w:szCs w:val="19"/>
        </w:rPr>
        <w:t xml:space="preserve"> client </w:t>
      </w:r>
      <w:r w:rsidR="00D5393A">
        <w:rPr>
          <w:szCs w:val="19"/>
        </w:rPr>
        <w:t>w</w:t>
      </w:r>
      <w:r w:rsidR="00D8280A">
        <w:rPr>
          <w:szCs w:val="19"/>
        </w:rPr>
        <w:t>as</w:t>
      </w:r>
      <w:r w:rsidR="00D5393A">
        <w:rPr>
          <w:szCs w:val="19"/>
        </w:rPr>
        <w:t xml:space="preserve"> previously given </w:t>
      </w:r>
      <w:r w:rsidR="00E23AE3">
        <w:rPr>
          <w:szCs w:val="19"/>
        </w:rPr>
        <w:t xml:space="preserve">personal </w:t>
      </w:r>
      <w:r w:rsidR="00D5393A">
        <w:rPr>
          <w:szCs w:val="19"/>
        </w:rPr>
        <w:t xml:space="preserve">advice </w:t>
      </w:r>
      <w:r w:rsidR="00905453">
        <w:rPr>
          <w:szCs w:val="19"/>
        </w:rPr>
        <w:t xml:space="preserve">by the providing entity </w:t>
      </w:r>
      <w:r w:rsidR="00237859">
        <w:rPr>
          <w:szCs w:val="19"/>
        </w:rPr>
        <w:t>(or associated providing entity). F</w:t>
      </w:r>
      <w:r w:rsidR="00D5393A">
        <w:rPr>
          <w:szCs w:val="19"/>
        </w:rPr>
        <w:t xml:space="preserve">or example, if the client was previously only given </w:t>
      </w:r>
      <w:r w:rsidR="00403E12">
        <w:rPr>
          <w:szCs w:val="19"/>
        </w:rPr>
        <w:t xml:space="preserve">personal </w:t>
      </w:r>
      <w:r w:rsidR="00D5393A">
        <w:rPr>
          <w:szCs w:val="19"/>
        </w:rPr>
        <w:t xml:space="preserve">advice about </w:t>
      </w:r>
      <w:r w:rsidR="00F53E32">
        <w:rPr>
          <w:szCs w:val="19"/>
        </w:rPr>
        <w:t>managed investment products</w:t>
      </w:r>
      <w:r w:rsidR="00D5393A">
        <w:rPr>
          <w:szCs w:val="19"/>
        </w:rPr>
        <w:t xml:space="preserve">, they cannot now be given </w:t>
      </w:r>
      <w:r w:rsidR="00E23AE3">
        <w:rPr>
          <w:szCs w:val="19"/>
        </w:rPr>
        <w:t xml:space="preserve">personal advice about </w:t>
      </w:r>
      <w:r w:rsidR="00F53E32">
        <w:rPr>
          <w:szCs w:val="19"/>
        </w:rPr>
        <w:t xml:space="preserve">risk insurance </w:t>
      </w:r>
      <w:r w:rsidR="00E23AE3">
        <w:rPr>
          <w:szCs w:val="19"/>
        </w:rPr>
        <w:t xml:space="preserve">products </w:t>
      </w:r>
      <w:r w:rsidR="00D5393A">
        <w:rPr>
          <w:szCs w:val="19"/>
        </w:rPr>
        <w:t>in an ROA under this relief measure</w:t>
      </w:r>
      <w:r w:rsidR="00237859">
        <w:rPr>
          <w:szCs w:val="19"/>
        </w:rPr>
        <w:t>.</w:t>
      </w:r>
    </w:p>
    <w:p w14:paraId="5D2AE0A0" w14:textId="0653466B" w:rsidR="00C237FE" w:rsidRDefault="00C237FE" w:rsidP="00C237FE">
      <w:pPr>
        <w:pStyle w:val="LI-BodyTextNumbered"/>
        <w:numPr>
          <w:ilvl w:val="0"/>
          <w:numId w:val="1"/>
        </w:numPr>
      </w:pPr>
      <w:r>
        <w:t>The Instrument specifies in notional subsection 946B(18) that an ‘</w:t>
      </w:r>
      <w:r w:rsidRPr="001603FF">
        <w:t>associated providing entity</w:t>
      </w:r>
      <w:r>
        <w:t>’ means:</w:t>
      </w:r>
    </w:p>
    <w:p w14:paraId="50F836E3" w14:textId="59805860" w:rsidR="00C237FE" w:rsidRDefault="00C237FE" w:rsidP="00C237FE">
      <w:pPr>
        <w:pStyle w:val="LI-BodyTextNumbered"/>
        <w:ind w:left="1560"/>
      </w:pPr>
      <w:r>
        <w:t>(a)</w:t>
      </w:r>
      <w:r>
        <w:tab/>
        <w:t>where the providing entity is a</w:t>
      </w:r>
      <w:r w:rsidR="004065FE">
        <w:t>n AFS</w:t>
      </w:r>
      <w:r>
        <w:t xml:space="preserve"> licensee—any person who is an authorised representative of the </w:t>
      </w:r>
      <w:r w:rsidR="00D17B2F">
        <w:t xml:space="preserve">AFS </w:t>
      </w:r>
      <w:r>
        <w:t xml:space="preserve">licensee; </w:t>
      </w:r>
    </w:p>
    <w:p w14:paraId="5D5E775B" w14:textId="2BCB377D" w:rsidR="00C237FE" w:rsidRDefault="00C237FE" w:rsidP="00C237FE">
      <w:pPr>
        <w:pStyle w:val="LI-BodyTextNumbered"/>
        <w:ind w:left="1560"/>
      </w:pPr>
      <w:r>
        <w:t>(b)</w:t>
      </w:r>
      <w:r>
        <w:tab/>
        <w:t>where the providing entity is an authorised representative of a</w:t>
      </w:r>
      <w:r w:rsidR="00D3168F">
        <w:t>n AFS</w:t>
      </w:r>
      <w:r>
        <w:t xml:space="preserve"> licensee—the authorising </w:t>
      </w:r>
      <w:r w:rsidR="00D3168F">
        <w:t xml:space="preserve">AFS </w:t>
      </w:r>
      <w:r>
        <w:t xml:space="preserve">licensee or any person who is an authorised representative of the </w:t>
      </w:r>
      <w:r w:rsidR="00015688">
        <w:t xml:space="preserve">authorising </w:t>
      </w:r>
      <w:r w:rsidR="00D17B2F">
        <w:t xml:space="preserve">AFS </w:t>
      </w:r>
      <w:r>
        <w:t>licensee.</w:t>
      </w:r>
    </w:p>
    <w:p w14:paraId="641D09F2" w14:textId="7D4BB39B" w:rsidR="00474973" w:rsidRDefault="00C237FE" w:rsidP="009D1AA3">
      <w:pPr>
        <w:pStyle w:val="LI-BodyTextParaa"/>
        <w:numPr>
          <w:ilvl w:val="0"/>
          <w:numId w:val="1"/>
        </w:numPr>
      </w:pPr>
      <w:r>
        <w:t>Th</w:t>
      </w:r>
      <w:r w:rsidR="009A28F0">
        <w:t>e</w:t>
      </w:r>
      <w:r>
        <w:t xml:space="preserve"> </w:t>
      </w:r>
      <w:r w:rsidR="009A28F0">
        <w:t>‘</w:t>
      </w:r>
      <w:r>
        <w:t>associated providing entity</w:t>
      </w:r>
      <w:r w:rsidR="009A28F0">
        <w:t>’</w:t>
      </w:r>
      <w:r>
        <w:t xml:space="preserve"> requirement </w:t>
      </w:r>
      <w:r w:rsidR="009D1AA3">
        <w:t xml:space="preserve">is to </w:t>
      </w:r>
      <w:r>
        <w:t xml:space="preserve">allow flexibility for </w:t>
      </w:r>
      <w:r w:rsidR="0053121D">
        <w:t xml:space="preserve">financial </w:t>
      </w:r>
      <w:r>
        <w:t xml:space="preserve">advice businesses to meet the needs of </w:t>
      </w:r>
      <w:r w:rsidR="0053121D">
        <w:t xml:space="preserve">existing </w:t>
      </w:r>
      <w:r>
        <w:t>clients in a</w:t>
      </w:r>
      <w:r w:rsidR="009A28F0">
        <w:t xml:space="preserve">n efficient </w:t>
      </w:r>
      <w:r>
        <w:t>and cost</w:t>
      </w:r>
      <w:r w:rsidR="007760A8">
        <w:noBreakHyphen/>
      </w:r>
      <w:r>
        <w:t xml:space="preserve">effective manner, while </w:t>
      </w:r>
      <w:r w:rsidR="0053121D">
        <w:t xml:space="preserve">ensuring there is a </w:t>
      </w:r>
      <w:r>
        <w:t>reasonable nexus</w:t>
      </w:r>
      <w:r w:rsidR="00094855">
        <w:t xml:space="preserve"> to the previous </w:t>
      </w:r>
      <w:r w:rsidR="004D4944">
        <w:t>provid</w:t>
      </w:r>
      <w:r w:rsidR="00FD77B6">
        <w:t>ing entity</w:t>
      </w:r>
      <w:r w:rsidR="003F17B8">
        <w:t>. F</w:t>
      </w:r>
      <w:r w:rsidR="009A28F0">
        <w:t>or example, limit</w:t>
      </w:r>
      <w:r w:rsidR="003F17B8">
        <w:t>ing</w:t>
      </w:r>
      <w:r w:rsidR="009A28F0">
        <w:t xml:space="preserve"> it to financial advisers from the same AFS licensee or the same authorised representative practice.</w:t>
      </w:r>
    </w:p>
    <w:p w14:paraId="32017D2C" w14:textId="2417898E" w:rsidR="003F17B8" w:rsidRDefault="00094855" w:rsidP="003E2E20">
      <w:pPr>
        <w:pStyle w:val="LI-BodyTextParaa"/>
        <w:numPr>
          <w:ilvl w:val="0"/>
          <w:numId w:val="1"/>
        </w:numPr>
      </w:pPr>
      <w:r>
        <w:t xml:space="preserve">The providing entity must </w:t>
      </w:r>
      <w:r w:rsidRPr="001215B6">
        <w:t xml:space="preserve">keep a record of the </w:t>
      </w:r>
      <w:r w:rsidR="002F4ECE">
        <w:t xml:space="preserve">COVID-19 </w:t>
      </w:r>
      <w:r w:rsidRPr="001215B6">
        <w:t>advice</w:t>
      </w:r>
      <w:r w:rsidR="004D4944">
        <w:t>.</w:t>
      </w:r>
      <w:r w:rsidR="004D4944" w:rsidRPr="004D4944">
        <w:t xml:space="preserve"> </w:t>
      </w:r>
      <w:r w:rsidR="00474973">
        <w:t xml:space="preserve">The content requirements of this ROA is specified in notional subsection 946B(15) in the Instrument. It must include a </w:t>
      </w:r>
      <w:r w:rsidR="00474973" w:rsidRPr="00DC00D9">
        <w:t>brief explanation of the changes in the client’s relevant personal circumstances</w:t>
      </w:r>
      <w:r w:rsidR="00474973">
        <w:t xml:space="preserve"> since the previous </w:t>
      </w:r>
      <w:r w:rsidR="00403E12">
        <w:t xml:space="preserve">personal </w:t>
      </w:r>
      <w:r w:rsidR="00474973">
        <w:t xml:space="preserve">advice. </w:t>
      </w:r>
    </w:p>
    <w:p w14:paraId="3576E73A" w14:textId="579CF062" w:rsidR="009A28F0" w:rsidRDefault="009A28F0" w:rsidP="009A28F0">
      <w:pPr>
        <w:pStyle w:val="LI-BodyTextNumbered"/>
        <w:numPr>
          <w:ilvl w:val="0"/>
          <w:numId w:val="1"/>
        </w:numPr>
      </w:pPr>
      <w:r>
        <w:t>The provid</w:t>
      </w:r>
      <w:r w:rsidR="00FD77B6">
        <w:t>ing en</w:t>
      </w:r>
      <w:r w:rsidR="00A855F3">
        <w:t>tity</w:t>
      </w:r>
      <w:r>
        <w:t xml:space="preserve"> must give this ROA to the client </w:t>
      </w:r>
      <w:r w:rsidRPr="001215B6">
        <w:t>when</w:t>
      </w:r>
      <w:r>
        <w:t xml:space="preserve"> </w:t>
      </w:r>
      <w:r w:rsidRPr="001215B6">
        <w:t xml:space="preserve">the </w:t>
      </w:r>
      <w:r w:rsidR="00403E12">
        <w:t xml:space="preserve">COVID-19 </w:t>
      </w:r>
      <w:r>
        <w:t>a</w:t>
      </w:r>
      <w:r w:rsidRPr="001215B6">
        <w:t>dvice is provided</w:t>
      </w:r>
      <w:r>
        <w:t xml:space="preserve">, </w:t>
      </w:r>
      <w:r w:rsidRPr="001215B6">
        <w:t>or as soon as practicable after</w:t>
      </w:r>
      <w:r w:rsidR="00532020">
        <w:t xml:space="preserve"> the </w:t>
      </w:r>
      <w:r w:rsidR="00403E12">
        <w:t xml:space="preserve">COVID-19 </w:t>
      </w:r>
      <w:r w:rsidR="00532020">
        <w:t>advice is provided</w:t>
      </w:r>
      <w:r>
        <w:t>. It must be provided before any further financial service is provided</w:t>
      </w:r>
      <w:r w:rsidR="00B12E9D">
        <w:t>.</w:t>
      </w:r>
    </w:p>
    <w:p w14:paraId="2D917636" w14:textId="7F806495" w:rsidR="009A28F0" w:rsidRDefault="009A28F0" w:rsidP="009A28F0">
      <w:pPr>
        <w:pStyle w:val="LI-BodyTextNumbered"/>
        <w:numPr>
          <w:ilvl w:val="0"/>
          <w:numId w:val="1"/>
        </w:numPr>
      </w:pPr>
      <w:r w:rsidRPr="00B12E9D">
        <w:t xml:space="preserve">When giving the </w:t>
      </w:r>
      <w:r w:rsidR="00A850DD" w:rsidRPr="00B12E9D">
        <w:t xml:space="preserve">COVID-19 </w:t>
      </w:r>
      <w:r w:rsidRPr="00B12E9D">
        <w:t>advice the provid</w:t>
      </w:r>
      <w:r w:rsidR="00FD77B6">
        <w:t>ing entity</w:t>
      </w:r>
      <w:r w:rsidRPr="00B12E9D">
        <w:t xml:space="preserve"> must disclose any actual or potential conflicts of interest, commissions and remuneration</w:t>
      </w:r>
      <w:r w:rsidR="00532020" w:rsidRPr="00532020">
        <w:t xml:space="preserve"> </w:t>
      </w:r>
      <w:r w:rsidR="00532020">
        <w:t>that might influenc</w:t>
      </w:r>
      <w:r w:rsidR="00054A60">
        <w:t>e</w:t>
      </w:r>
      <w:r w:rsidR="00532020">
        <w:t xml:space="preserve"> the providing entity in providing the </w:t>
      </w:r>
      <w:r w:rsidR="00403E12">
        <w:t xml:space="preserve">COVID-19 </w:t>
      </w:r>
      <w:r w:rsidR="00532020">
        <w:t>advice</w:t>
      </w:r>
      <w:r w:rsidR="000F1FC9" w:rsidRPr="00B12E9D">
        <w:t>, and if applicable, an</w:t>
      </w:r>
      <w:r w:rsidR="002E14EC">
        <w:t>y</w:t>
      </w:r>
      <w:r w:rsidR="000F1FC9" w:rsidRPr="00B12E9D">
        <w:t xml:space="preserve"> replacement </w:t>
      </w:r>
      <w:r w:rsidR="00624A61">
        <w:t xml:space="preserve">financial </w:t>
      </w:r>
      <w:r w:rsidR="00F22E68" w:rsidRPr="00B12E9D">
        <w:t xml:space="preserve">product </w:t>
      </w:r>
      <w:r w:rsidR="000F1FC9" w:rsidRPr="00B12E9D">
        <w:t>disclosures.</w:t>
      </w:r>
    </w:p>
    <w:p w14:paraId="17FCBA6F" w14:textId="195CCDD2" w:rsidR="006773C6" w:rsidRDefault="00BD1D8B" w:rsidP="009D1AA3">
      <w:pPr>
        <w:pStyle w:val="LI-BodyTextNumbered"/>
        <w:numPr>
          <w:ilvl w:val="0"/>
          <w:numId w:val="1"/>
        </w:numPr>
      </w:pPr>
      <w:r>
        <w:t xml:space="preserve">Section 7(2) of the Instrument makes consequential amendments to </w:t>
      </w:r>
      <w:r w:rsidRPr="00BD1D8B">
        <w:t>regulation 7.7.10AG of the Regulations</w:t>
      </w:r>
      <w:r>
        <w:t>.</w:t>
      </w:r>
    </w:p>
    <w:p w14:paraId="2AD11695" w14:textId="6394E265" w:rsidR="00266B3C" w:rsidRPr="00AA2117" w:rsidRDefault="00266B3C" w:rsidP="00266B3C">
      <w:pPr>
        <w:pStyle w:val="LI-BodyTextParaa"/>
        <w:ind w:left="0" w:firstLine="0"/>
      </w:pPr>
      <w:r w:rsidRPr="00AA2117">
        <w:rPr>
          <w:b/>
        </w:rPr>
        <w:t xml:space="preserve">Legislative Authority </w:t>
      </w:r>
    </w:p>
    <w:p w14:paraId="2B9FC786" w14:textId="4CFF47CD" w:rsidR="00266B3C" w:rsidRPr="00AA2117" w:rsidRDefault="00266B3C" w:rsidP="00671026">
      <w:pPr>
        <w:pStyle w:val="LI-BodyTextParaa"/>
        <w:numPr>
          <w:ilvl w:val="0"/>
          <w:numId w:val="1"/>
        </w:numPr>
        <w:ind w:left="567" w:hanging="567"/>
      </w:pPr>
      <w:bookmarkStart w:id="10" w:name="_Hlk37180065"/>
      <w:r w:rsidRPr="00AA2117">
        <w:t xml:space="preserve">This </w:t>
      </w:r>
      <w:r w:rsidR="00A34C1D" w:rsidRPr="00AA2117">
        <w:t>Instrument</w:t>
      </w:r>
      <w:r w:rsidRPr="00AA2117">
        <w:t xml:space="preserve"> is made under subsections 951B(1) and 926A(2) of t</w:t>
      </w:r>
      <w:r w:rsidR="00A34C1D" w:rsidRPr="00AA2117">
        <w:t>he Act.</w:t>
      </w:r>
    </w:p>
    <w:bookmarkEnd w:id="10"/>
    <w:p w14:paraId="3F354F64" w14:textId="5E9C270C" w:rsidR="00CC0CEF" w:rsidRPr="00AA2117" w:rsidRDefault="00266B3C" w:rsidP="00671026">
      <w:pPr>
        <w:pStyle w:val="LI-BodyTextParaa"/>
        <w:numPr>
          <w:ilvl w:val="0"/>
          <w:numId w:val="1"/>
        </w:numPr>
        <w:ind w:left="567" w:hanging="567"/>
      </w:pPr>
      <w:r w:rsidRPr="00AA2117">
        <w:t>Subsection 951B(1) provides that ASIC may exempt a</w:t>
      </w:r>
      <w:r w:rsidR="00141099">
        <w:t xml:space="preserve"> </w:t>
      </w:r>
      <w:r w:rsidRPr="00AA2117">
        <w:t xml:space="preserve">class of persons from all or specified provisions of Part 7.7 of the </w:t>
      </w:r>
      <w:r w:rsidR="00A34C1D" w:rsidRPr="00AA2117">
        <w:t>Act.</w:t>
      </w:r>
      <w:r w:rsidR="00864BAD" w:rsidRPr="00AA2117">
        <w:t xml:space="preserve"> It also provides that ASIC may declare that P</w:t>
      </w:r>
      <w:r w:rsidR="00D22996">
        <w:t>ar</w:t>
      </w:r>
      <w:r w:rsidR="00864BAD" w:rsidRPr="00AA2117">
        <w:t xml:space="preserve">t 7.7 applies </w:t>
      </w:r>
      <w:r w:rsidR="00C93BD0">
        <w:t xml:space="preserve">in relation </w:t>
      </w:r>
      <w:r w:rsidR="00864BAD" w:rsidRPr="00AA2117">
        <w:t>to a class of persons as if specified provisions of P</w:t>
      </w:r>
      <w:r w:rsidR="00D22996">
        <w:t>ar</w:t>
      </w:r>
      <w:r w:rsidR="00864BAD" w:rsidRPr="00AA2117">
        <w:t xml:space="preserve">t 7.7 were omitted, modified or varied as specified in the declaration. </w:t>
      </w:r>
      <w:r w:rsidR="00A34C1D" w:rsidRPr="00AA2117">
        <w:t xml:space="preserve"> </w:t>
      </w:r>
      <w:r w:rsidRPr="00AA2117">
        <w:t xml:space="preserve"> </w:t>
      </w:r>
    </w:p>
    <w:p w14:paraId="3BF90746" w14:textId="4158E919" w:rsidR="00A34C1D" w:rsidRDefault="00887C2E" w:rsidP="00887C2E">
      <w:pPr>
        <w:pStyle w:val="LI-BodyTextParaa"/>
        <w:numPr>
          <w:ilvl w:val="0"/>
          <w:numId w:val="1"/>
        </w:numPr>
        <w:ind w:left="567" w:hanging="567"/>
      </w:pPr>
      <w:r w:rsidRPr="00A56F73">
        <w:t>Subsection</w:t>
      </w:r>
      <w:r w:rsidRPr="00AA2117">
        <w:t xml:space="preserve"> </w:t>
      </w:r>
      <w:r w:rsidR="00266B3C" w:rsidRPr="00AA2117">
        <w:t>926A(2) of the Act provides that ASIC may</w:t>
      </w:r>
      <w:r w:rsidRPr="00A56F73">
        <w:t xml:space="preserve"> exempt a class of persons from all or specified provisions of Part 7.6 of the Act (other than Divisions 4 and 8)</w:t>
      </w:r>
      <w:r w:rsidR="00A35290">
        <w:t xml:space="preserve">. </w:t>
      </w:r>
    </w:p>
    <w:p w14:paraId="05D856E0" w14:textId="57C8A858" w:rsidR="00266B3C" w:rsidRPr="00AA2117" w:rsidRDefault="00A34C1D" w:rsidP="00671026">
      <w:pPr>
        <w:pStyle w:val="LI-BodyTextParaa"/>
        <w:numPr>
          <w:ilvl w:val="0"/>
          <w:numId w:val="1"/>
        </w:numPr>
        <w:ind w:left="567" w:hanging="567"/>
      </w:pPr>
      <w:r w:rsidRPr="00AA2117">
        <w:t xml:space="preserve">This Instrument is a disallowable legislative instrument. </w:t>
      </w:r>
    </w:p>
    <w:p w14:paraId="45A95EBB" w14:textId="5841A2EC" w:rsidR="00A34C1D" w:rsidRPr="00AA2117" w:rsidRDefault="00A34C1D" w:rsidP="003F7923">
      <w:pPr>
        <w:pStyle w:val="LI-BodyTextParaa"/>
        <w:ind w:left="0" w:firstLine="0"/>
      </w:pPr>
      <w:r w:rsidRPr="00AA2117">
        <w:rPr>
          <w:u w:val="single"/>
        </w:rPr>
        <w:t>Legislative instrument and primary legislation</w:t>
      </w:r>
    </w:p>
    <w:p w14:paraId="156EF87D" w14:textId="30D63C78" w:rsidR="00266B3C" w:rsidRPr="00AA2117" w:rsidRDefault="00A34C1D" w:rsidP="00671026">
      <w:pPr>
        <w:pStyle w:val="LI-BodyTextParaa"/>
        <w:numPr>
          <w:ilvl w:val="0"/>
          <w:numId w:val="1"/>
        </w:numPr>
        <w:ind w:left="567" w:hanging="567"/>
      </w:pPr>
      <w:r w:rsidRPr="00AA2117">
        <w:t>The subject matter and policy implemented by the Instrument is more appropriate for a legislative instrument rather than primary legislation</w:t>
      </w:r>
      <w:r w:rsidR="00BE673E" w:rsidRPr="00AA2117">
        <w:t>. T</w:t>
      </w:r>
      <w:r w:rsidRPr="00AA2117">
        <w:t xml:space="preserve">he </w:t>
      </w:r>
      <w:r w:rsidR="00D22996">
        <w:t>I</w:t>
      </w:r>
      <w:r w:rsidRPr="00AA2117">
        <w:t xml:space="preserve">nstrument </w:t>
      </w:r>
      <w:r w:rsidR="00015688">
        <w:t>uses</w:t>
      </w:r>
      <w:r w:rsidR="00015688" w:rsidRPr="00AA2117">
        <w:t xml:space="preserve"> </w:t>
      </w:r>
      <w:r w:rsidRPr="00AA2117">
        <w:t>powers given by Parliament to ASIC</w:t>
      </w:r>
      <w:r w:rsidR="00864BAD" w:rsidRPr="00AA2117">
        <w:t>, which</w:t>
      </w:r>
      <w:r w:rsidRPr="00AA2117">
        <w:t xml:space="preserve"> allow ASIC to affect the operation of Chapter 7</w:t>
      </w:r>
      <w:r w:rsidR="007A655F">
        <w:t>,</w:t>
      </w:r>
      <w:r w:rsidRPr="00AA2117">
        <w:t xml:space="preserve"> and </w:t>
      </w:r>
      <w:r w:rsidR="003E16FA">
        <w:t xml:space="preserve">specifically </w:t>
      </w:r>
      <w:r w:rsidRPr="00AA2117">
        <w:t>Part</w:t>
      </w:r>
      <w:r w:rsidR="00D22996">
        <w:t>s</w:t>
      </w:r>
      <w:r w:rsidRPr="00AA2117">
        <w:t xml:space="preserve"> 7.</w:t>
      </w:r>
      <w:r w:rsidR="00D22996">
        <w:t>6 and 7.</w:t>
      </w:r>
      <w:r w:rsidRPr="00AA2117">
        <w:t>7</w:t>
      </w:r>
      <w:r w:rsidR="003E16FA">
        <w:t>,</w:t>
      </w:r>
      <w:r w:rsidR="00D22996">
        <w:t xml:space="preserve"> </w:t>
      </w:r>
      <w:r w:rsidRPr="00AA2117">
        <w:t xml:space="preserve">of the Act to respond quickly and temporarily to issues with financial </w:t>
      </w:r>
      <w:r w:rsidR="00403E12">
        <w:t xml:space="preserve">product </w:t>
      </w:r>
      <w:r w:rsidRPr="00AA2117">
        <w:t xml:space="preserve">advice in connection with or arising from COVID-19. </w:t>
      </w:r>
    </w:p>
    <w:p w14:paraId="7B634ED1" w14:textId="77777777" w:rsidR="00A34C1D" w:rsidRPr="00AA2117" w:rsidRDefault="00A34C1D" w:rsidP="004637B3">
      <w:pPr>
        <w:pStyle w:val="LI-BodyTextParaa"/>
        <w:keepNext/>
        <w:ind w:left="0" w:firstLine="0"/>
        <w:rPr>
          <w:b/>
        </w:rPr>
      </w:pPr>
      <w:r w:rsidRPr="00AA2117">
        <w:rPr>
          <w:b/>
        </w:rPr>
        <w:t xml:space="preserve">Statement of Compatibility with Human Rights </w:t>
      </w:r>
    </w:p>
    <w:p w14:paraId="11EF9D1F" w14:textId="1595B0FC" w:rsidR="007242CE" w:rsidRPr="00AA2117" w:rsidRDefault="00A34C1D" w:rsidP="00A34C1D">
      <w:pPr>
        <w:pStyle w:val="LI-BodyTextParaa"/>
        <w:numPr>
          <w:ilvl w:val="0"/>
          <w:numId w:val="1"/>
        </w:numPr>
        <w:ind w:left="567" w:hanging="567"/>
      </w:pPr>
      <w:r w:rsidRPr="00AA2117">
        <w:t xml:space="preserve">The Explanatory Statement for </w:t>
      </w:r>
      <w:r w:rsidR="00AA3F13" w:rsidRPr="00AA2117">
        <w:t xml:space="preserve">a disallowable legislative instrument must contain a Statement of Compatibility with Human Rights under subsection 9(1) of the </w:t>
      </w:r>
      <w:r w:rsidR="00AA3F13" w:rsidRPr="00AA2117">
        <w:rPr>
          <w:i/>
        </w:rPr>
        <w:t>Human Rights (Parliamentary Scrutiny) Act 2011</w:t>
      </w:r>
      <w:r w:rsidR="00AA3F13" w:rsidRPr="00AA2117">
        <w:t xml:space="preserve">. A Statement of Compatibility with Human Rights is in the </w:t>
      </w:r>
      <w:r w:rsidR="00AA3F13" w:rsidRPr="00AA2117">
        <w:rPr>
          <w:u w:val="single"/>
        </w:rPr>
        <w:t>Attachment</w:t>
      </w:r>
      <w:r w:rsidR="00AA3F13" w:rsidRPr="00AA2117">
        <w:t xml:space="preserve">. </w:t>
      </w:r>
    </w:p>
    <w:p w14:paraId="2AB35F15" w14:textId="77777777" w:rsidR="007242CE" w:rsidRDefault="007242CE">
      <w:pPr>
        <w:spacing w:after="160" w:line="259" w:lineRule="auto"/>
        <w:rPr>
          <w:lang w:eastAsia="en-AU"/>
        </w:rPr>
      </w:pPr>
      <w:r>
        <w:br w:type="page"/>
      </w:r>
    </w:p>
    <w:p w14:paraId="6FA7DB51" w14:textId="77777777" w:rsidR="00A34C1D" w:rsidRDefault="00A34C1D" w:rsidP="005B0FE6">
      <w:pPr>
        <w:pStyle w:val="LI-BodyTextParaa"/>
      </w:pPr>
    </w:p>
    <w:p w14:paraId="220B0FD4" w14:textId="51D64CAA" w:rsidR="003F7923" w:rsidRPr="00864BAD" w:rsidRDefault="001919AF" w:rsidP="003F7923">
      <w:pPr>
        <w:pStyle w:val="LI-BodyTextParaa"/>
        <w:ind w:left="567"/>
        <w:jc w:val="right"/>
        <w:rPr>
          <w:color w:val="000000" w:themeColor="text1"/>
          <w:u w:val="single"/>
        </w:rPr>
      </w:pPr>
      <w:r w:rsidRPr="00864BAD">
        <w:rPr>
          <w:color w:val="000000" w:themeColor="text1"/>
          <w:u w:val="single"/>
        </w:rPr>
        <w:t>A</w:t>
      </w:r>
      <w:r w:rsidR="003F7923" w:rsidRPr="00864BAD">
        <w:rPr>
          <w:color w:val="000000" w:themeColor="text1"/>
          <w:u w:val="single"/>
        </w:rPr>
        <w:t xml:space="preserve">ttachment </w:t>
      </w:r>
    </w:p>
    <w:p w14:paraId="1D6AED71" w14:textId="77777777" w:rsidR="003F7923" w:rsidRPr="00864BAD" w:rsidRDefault="003F7923" w:rsidP="003F7923">
      <w:pPr>
        <w:pStyle w:val="LI-BodyTextParaa"/>
        <w:ind w:left="567"/>
        <w:jc w:val="center"/>
        <w:rPr>
          <w:b/>
          <w:color w:val="000000" w:themeColor="text1"/>
          <w:sz w:val="28"/>
          <w:szCs w:val="28"/>
        </w:rPr>
      </w:pPr>
      <w:r w:rsidRPr="00864BAD">
        <w:rPr>
          <w:b/>
          <w:color w:val="000000" w:themeColor="text1"/>
          <w:sz w:val="28"/>
          <w:szCs w:val="28"/>
        </w:rPr>
        <w:t>Statement of Compatibility with Human Rights</w:t>
      </w:r>
    </w:p>
    <w:p w14:paraId="3ACC39F6" w14:textId="77777777" w:rsidR="003F7923" w:rsidRPr="00864BAD" w:rsidRDefault="003F7923" w:rsidP="003F7923">
      <w:pPr>
        <w:pStyle w:val="LI-BodyTextNumbered"/>
        <w:ind w:left="0" w:firstLine="0"/>
        <w:rPr>
          <w:iCs/>
          <w:color w:val="000000" w:themeColor="text1"/>
        </w:rPr>
      </w:pPr>
      <w:bookmarkStart w:id="11" w:name="_Hlk534286677"/>
      <w:r w:rsidRPr="00864BAD">
        <w:rPr>
          <w:iCs/>
          <w:color w:val="000000" w:themeColor="text1"/>
        </w:rPr>
        <w:t xml:space="preserve">This Statement of Compatibility with Human Rights is prepared in accordance with Part 3 of </w:t>
      </w:r>
      <w:bookmarkStart w:id="12" w:name="_Hlk4054932"/>
      <w:r w:rsidRPr="00864BAD">
        <w:rPr>
          <w:iCs/>
          <w:color w:val="000000" w:themeColor="text1"/>
        </w:rPr>
        <w:t xml:space="preserve">the </w:t>
      </w:r>
      <w:r w:rsidRPr="00864BAD">
        <w:rPr>
          <w:i/>
          <w:iCs/>
          <w:color w:val="000000" w:themeColor="text1"/>
        </w:rPr>
        <w:t>Human Rights (Parliamentary Scrutiny) Act 2011</w:t>
      </w:r>
      <w:bookmarkEnd w:id="12"/>
      <w:r w:rsidRPr="00864BAD">
        <w:rPr>
          <w:iCs/>
          <w:color w:val="000000" w:themeColor="text1"/>
        </w:rPr>
        <w:t xml:space="preserve">.   </w:t>
      </w:r>
    </w:p>
    <w:p w14:paraId="0581FEBC" w14:textId="64EEC969" w:rsidR="00174141" w:rsidRPr="00864BAD" w:rsidRDefault="003F7923" w:rsidP="003F7923">
      <w:pPr>
        <w:pStyle w:val="LI-BodyTextNumbered"/>
        <w:ind w:left="0" w:firstLine="0"/>
        <w:rPr>
          <w:b/>
          <w:i/>
          <w:color w:val="000000" w:themeColor="text1"/>
        </w:rPr>
      </w:pPr>
      <w:r w:rsidRPr="00864BAD">
        <w:rPr>
          <w:b/>
          <w:i/>
          <w:color w:val="000000" w:themeColor="text1"/>
        </w:rPr>
        <w:t>ASIC Corporations (</w:t>
      </w:r>
      <w:r w:rsidR="00864BAD" w:rsidRPr="00864BAD">
        <w:rPr>
          <w:b/>
          <w:i/>
          <w:color w:val="000000" w:themeColor="text1"/>
        </w:rPr>
        <w:t xml:space="preserve">COVID-19—Advice-related Relief) </w:t>
      </w:r>
      <w:r w:rsidR="007D4F23" w:rsidRPr="00864BAD">
        <w:rPr>
          <w:b/>
          <w:i/>
          <w:color w:val="000000" w:themeColor="text1"/>
        </w:rPr>
        <w:t>Instrument 2020/</w:t>
      </w:r>
      <w:r w:rsidR="00D51E35">
        <w:rPr>
          <w:b/>
          <w:i/>
          <w:color w:val="000000" w:themeColor="text1"/>
        </w:rPr>
        <w:t>355</w:t>
      </w:r>
    </w:p>
    <w:p w14:paraId="54742228" w14:textId="77777777" w:rsidR="003F7923" w:rsidRPr="00864BAD" w:rsidRDefault="003F7923" w:rsidP="003F7923">
      <w:pPr>
        <w:pStyle w:val="LI-BodyTextNumbered"/>
        <w:ind w:left="567"/>
        <w:rPr>
          <w:color w:val="000000" w:themeColor="text1"/>
          <w:u w:val="single"/>
        </w:rPr>
      </w:pPr>
      <w:r w:rsidRPr="00864BAD">
        <w:rPr>
          <w:color w:val="000000" w:themeColor="text1"/>
          <w:u w:val="single"/>
        </w:rPr>
        <w:t>Overview</w:t>
      </w:r>
    </w:p>
    <w:p w14:paraId="39ACEA00" w14:textId="79E784A7" w:rsidR="00864BAD" w:rsidRDefault="003F7923" w:rsidP="007D4F23">
      <w:pPr>
        <w:spacing w:before="240"/>
        <w:rPr>
          <w:b/>
          <w:i/>
          <w:color w:val="000000" w:themeColor="text1"/>
          <w:lang w:eastAsia="en-AU"/>
        </w:rPr>
      </w:pPr>
      <w:r w:rsidRPr="00864BAD">
        <w:rPr>
          <w:color w:val="000000" w:themeColor="text1"/>
          <w:lang w:eastAsia="en-AU"/>
        </w:rPr>
        <w:t xml:space="preserve">The </w:t>
      </w:r>
      <w:r w:rsidRPr="00864BAD">
        <w:rPr>
          <w:b/>
          <w:i/>
          <w:color w:val="000000" w:themeColor="text1"/>
          <w:lang w:eastAsia="en-AU"/>
        </w:rPr>
        <w:t>ASIC Corporations</w:t>
      </w:r>
      <w:r w:rsidR="00864BAD">
        <w:rPr>
          <w:b/>
          <w:i/>
          <w:color w:val="000000" w:themeColor="text1"/>
          <w:lang w:eastAsia="en-AU"/>
        </w:rPr>
        <w:t xml:space="preserve"> </w:t>
      </w:r>
      <w:r w:rsidR="00864BAD" w:rsidRPr="00864BAD">
        <w:rPr>
          <w:b/>
          <w:i/>
          <w:color w:val="000000" w:themeColor="text1"/>
          <w:lang w:eastAsia="en-AU"/>
        </w:rPr>
        <w:t>(COVID-19—Advice-related Relief) Instrument</w:t>
      </w:r>
      <w:r w:rsidRPr="00864BAD">
        <w:rPr>
          <w:b/>
          <w:i/>
          <w:color w:val="000000" w:themeColor="text1"/>
          <w:lang w:eastAsia="en-AU"/>
        </w:rPr>
        <w:t xml:space="preserve"> </w:t>
      </w:r>
      <w:r w:rsidR="007D4F23" w:rsidRPr="00864BAD">
        <w:rPr>
          <w:b/>
          <w:i/>
          <w:color w:val="000000" w:themeColor="text1"/>
          <w:lang w:eastAsia="en-AU"/>
        </w:rPr>
        <w:t>2020/</w:t>
      </w:r>
      <w:r w:rsidR="00D51E35">
        <w:rPr>
          <w:b/>
          <w:i/>
          <w:color w:val="000000" w:themeColor="text1"/>
          <w:lang w:eastAsia="en-AU"/>
        </w:rPr>
        <w:t>355</w:t>
      </w:r>
      <w:r w:rsidR="00864BAD">
        <w:rPr>
          <w:b/>
          <w:i/>
          <w:color w:val="000000" w:themeColor="text1"/>
          <w:lang w:eastAsia="en-AU"/>
        </w:rPr>
        <w:t xml:space="preserve"> </w:t>
      </w:r>
      <w:r w:rsidR="00864BAD">
        <w:t xml:space="preserve">implements </w:t>
      </w:r>
      <w:r w:rsidR="00340583">
        <w:t xml:space="preserve">three </w:t>
      </w:r>
      <w:r w:rsidR="00864BAD">
        <w:t xml:space="preserve">temporary measures to facilitate the provision of timely and affordable financial </w:t>
      </w:r>
      <w:r w:rsidR="00E61992">
        <w:t xml:space="preserve">product </w:t>
      </w:r>
      <w:r w:rsidR="00864BAD">
        <w:t xml:space="preserve">advice to retail clients that is being sought due to the adverse economic impact of the coronavirus known as COVID-19. </w:t>
      </w:r>
      <w:r w:rsidR="00DE10E0">
        <w:t xml:space="preserve">The measures in the Instrument are </w:t>
      </w:r>
      <w:r w:rsidR="00864BAD">
        <w:t xml:space="preserve">also intended to </w:t>
      </w:r>
      <w:r w:rsidR="00864BAD" w:rsidRPr="001865CF">
        <w:rPr>
          <w:lang w:eastAsia="en-AU"/>
        </w:rPr>
        <w:t xml:space="preserve">reduce the regulatory </w:t>
      </w:r>
      <w:r w:rsidR="00864BAD">
        <w:rPr>
          <w:lang w:eastAsia="en-AU"/>
        </w:rPr>
        <w:t xml:space="preserve">disclosure </w:t>
      </w:r>
      <w:r w:rsidR="00864BAD" w:rsidRPr="001865CF">
        <w:rPr>
          <w:lang w:eastAsia="en-AU"/>
        </w:rPr>
        <w:t xml:space="preserve">burden on </w:t>
      </w:r>
      <w:r w:rsidR="00864BAD">
        <w:rPr>
          <w:lang w:eastAsia="en-AU"/>
        </w:rPr>
        <w:t>provid</w:t>
      </w:r>
      <w:r w:rsidR="00CB7D8F">
        <w:rPr>
          <w:lang w:eastAsia="en-AU"/>
        </w:rPr>
        <w:t xml:space="preserve">ing entities </w:t>
      </w:r>
      <w:r w:rsidR="00CB7D8F">
        <w:rPr>
          <w:szCs w:val="19"/>
        </w:rPr>
        <w:t>that give personal advice to retail clients</w:t>
      </w:r>
      <w:r w:rsidR="00864BAD">
        <w:rPr>
          <w:lang w:eastAsia="en-AU"/>
        </w:rPr>
        <w:t xml:space="preserve"> </w:t>
      </w:r>
      <w:r w:rsidR="00CB7D8F">
        <w:rPr>
          <w:lang w:eastAsia="en-AU"/>
        </w:rPr>
        <w:t xml:space="preserve">about financial products </w:t>
      </w:r>
      <w:r w:rsidR="00864BAD">
        <w:rPr>
          <w:lang w:eastAsia="en-AU"/>
        </w:rPr>
        <w:t>during this time</w:t>
      </w:r>
      <w:r w:rsidR="00CB7D8F">
        <w:rPr>
          <w:lang w:eastAsia="en-AU"/>
        </w:rPr>
        <w:t xml:space="preserve">. It also </w:t>
      </w:r>
      <w:r w:rsidR="00DB0761">
        <w:rPr>
          <w:lang w:eastAsia="en-AU"/>
        </w:rPr>
        <w:t xml:space="preserve">grants a limited </w:t>
      </w:r>
      <w:r w:rsidR="00220721">
        <w:rPr>
          <w:lang w:eastAsia="en-AU"/>
        </w:rPr>
        <w:t xml:space="preserve">Australian financial services </w:t>
      </w:r>
      <w:r w:rsidR="00DB0761">
        <w:rPr>
          <w:lang w:eastAsia="en-AU"/>
        </w:rPr>
        <w:t>licensing exemption to registered tax agents.</w:t>
      </w:r>
    </w:p>
    <w:p w14:paraId="60CE18E2" w14:textId="77777777" w:rsidR="003F7923" w:rsidRPr="00864BAD" w:rsidRDefault="003F7923" w:rsidP="003F7923">
      <w:pPr>
        <w:pStyle w:val="LI-BodyTextNumbered"/>
        <w:ind w:left="567"/>
        <w:rPr>
          <w:color w:val="000000" w:themeColor="text1"/>
          <w:u w:val="single"/>
        </w:rPr>
      </w:pPr>
      <w:bookmarkStart w:id="13" w:name="_Hlk534286807"/>
      <w:bookmarkEnd w:id="11"/>
      <w:r w:rsidRPr="00864BAD">
        <w:rPr>
          <w:color w:val="000000" w:themeColor="text1"/>
          <w:u w:val="single"/>
        </w:rPr>
        <w:t>Assessment of human rights implications</w:t>
      </w:r>
    </w:p>
    <w:p w14:paraId="5D9D8A8A" w14:textId="5FEE3BAA" w:rsidR="003F7923" w:rsidRPr="00864BAD" w:rsidRDefault="003F7923" w:rsidP="003F7923">
      <w:pPr>
        <w:pStyle w:val="LI-BodyTextNumbered"/>
        <w:ind w:left="567"/>
        <w:rPr>
          <w:color w:val="000000" w:themeColor="text1"/>
        </w:rPr>
      </w:pPr>
      <w:r w:rsidRPr="00864BAD">
        <w:rPr>
          <w:color w:val="000000" w:themeColor="text1"/>
        </w:rPr>
        <w:t>5.</w:t>
      </w:r>
      <w:r w:rsidRPr="00864BAD">
        <w:rPr>
          <w:color w:val="000000" w:themeColor="text1"/>
        </w:rPr>
        <w:tab/>
      </w:r>
      <w:bookmarkEnd w:id="13"/>
      <w:r w:rsidRPr="00864BAD">
        <w:rPr>
          <w:color w:val="000000" w:themeColor="text1"/>
        </w:rPr>
        <w:t xml:space="preserve">This </w:t>
      </w:r>
      <w:r w:rsidR="002C41C8">
        <w:rPr>
          <w:color w:val="000000" w:themeColor="text1"/>
        </w:rPr>
        <w:t>I</w:t>
      </w:r>
      <w:r w:rsidRPr="00864BAD">
        <w:rPr>
          <w:color w:val="000000" w:themeColor="text1"/>
        </w:rPr>
        <w:t>nstrument does not engage any of the applicable rights or freedoms.</w:t>
      </w:r>
    </w:p>
    <w:p w14:paraId="7FD8B44F" w14:textId="77777777" w:rsidR="003F7923" w:rsidRPr="00864BAD" w:rsidRDefault="003F7923" w:rsidP="003F7923">
      <w:pPr>
        <w:pStyle w:val="LI-BodyTextNumbered"/>
        <w:ind w:left="567"/>
        <w:rPr>
          <w:color w:val="000000" w:themeColor="text1"/>
          <w:u w:val="single"/>
        </w:rPr>
      </w:pPr>
      <w:r w:rsidRPr="00864BAD">
        <w:rPr>
          <w:color w:val="000000" w:themeColor="text1"/>
          <w:u w:val="single"/>
        </w:rPr>
        <w:t>Conclusion</w:t>
      </w:r>
    </w:p>
    <w:p w14:paraId="378A3548" w14:textId="569B63A5" w:rsidR="003F7923" w:rsidRPr="00864BAD" w:rsidRDefault="003F7923" w:rsidP="003F7923">
      <w:pPr>
        <w:pStyle w:val="LI-BodyTextNumbered"/>
        <w:ind w:left="567"/>
        <w:rPr>
          <w:color w:val="000000" w:themeColor="text1"/>
        </w:rPr>
      </w:pPr>
      <w:r w:rsidRPr="00864BAD">
        <w:rPr>
          <w:color w:val="000000" w:themeColor="text1"/>
        </w:rPr>
        <w:t>6.</w:t>
      </w:r>
      <w:r w:rsidRPr="00864BAD">
        <w:rPr>
          <w:color w:val="000000" w:themeColor="text1"/>
        </w:rPr>
        <w:tab/>
        <w:t xml:space="preserve">This </w:t>
      </w:r>
      <w:r w:rsidR="002C41C8">
        <w:rPr>
          <w:color w:val="000000" w:themeColor="text1"/>
        </w:rPr>
        <w:t>I</w:t>
      </w:r>
      <w:r w:rsidRPr="00864BAD">
        <w:rPr>
          <w:color w:val="000000" w:themeColor="text1"/>
        </w:rPr>
        <w:t xml:space="preserve">nstrument is compatible with the human rights and freedoms recognised or declared in the international instruments listed in section 3 of </w:t>
      </w:r>
      <w:r w:rsidRPr="00864BAD">
        <w:rPr>
          <w:iCs/>
          <w:color w:val="000000" w:themeColor="text1"/>
        </w:rPr>
        <w:t xml:space="preserve">the </w:t>
      </w:r>
      <w:r w:rsidRPr="00864BAD">
        <w:rPr>
          <w:i/>
          <w:iCs/>
          <w:color w:val="000000" w:themeColor="text1"/>
        </w:rPr>
        <w:t>Human Rights (Parliamentary Scrutiny) Act 2011</w:t>
      </w:r>
      <w:r w:rsidRPr="00864BAD">
        <w:rPr>
          <w:color w:val="000000" w:themeColor="text1"/>
        </w:rPr>
        <w:t>.</w:t>
      </w:r>
    </w:p>
    <w:p w14:paraId="4C2AEB4A" w14:textId="77777777" w:rsidR="003F7923" w:rsidRPr="00864BAD" w:rsidRDefault="003F7923" w:rsidP="003F7923">
      <w:pPr>
        <w:pStyle w:val="Title"/>
        <w:ind w:left="0" w:firstLine="0"/>
        <w:jc w:val="left"/>
        <w:rPr>
          <w:color w:val="000000" w:themeColor="text1"/>
        </w:rPr>
      </w:pPr>
    </w:p>
    <w:p w14:paraId="25915172" w14:textId="77777777" w:rsidR="003F7923" w:rsidRPr="00864BAD" w:rsidRDefault="003F7923" w:rsidP="003F7923">
      <w:pPr>
        <w:pStyle w:val="BodyTextIndent"/>
        <w:ind w:left="0"/>
        <w:rPr>
          <w:color w:val="000000" w:themeColor="text1"/>
        </w:rPr>
      </w:pPr>
    </w:p>
    <w:p w14:paraId="52EE5AE7" w14:textId="77777777" w:rsidR="00D4582F" w:rsidRPr="00864BAD" w:rsidRDefault="00D4582F">
      <w:pPr>
        <w:rPr>
          <w:color w:val="000000" w:themeColor="text1"/>
        </w:rPr>
      </w:pPr>
    </w:p>
    <w:sectPr w:rsidR="00D4582F" w:rsidRPr="00864BAD">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3CC1A" w14:textId="77777777" w:rsidR="00D56EC5" w:rsidRDefault="00D56EC5" w:rsidP="00C32A17">
      <w:r>
        <w:separator/>
      </w:r>
    </w:p>
  </w:endnote>
  <w:endnote w:type="continuationSeparator" w:id="0">
    <w:p w14:paraId="55265978" w14:textId="77777777" w:rsidR="00D56EC5" w:rsidRDefault="00D56EC5" w:rsidP="00C32A17">
      <w:r>
        <w:continuationSeparator/>
      </w:r>
    </w:p>
  </w:endnote>
  <w:endnote w:type="continuationNotice" w:id="1">
    <w:p w14:paraId="19F67F0D" w14:textId="77777777" w:rsidR="00D56EC5" w:rsidRDefault="00D56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48054" w14:textId="77777777" w:rsidR="00D56EC5" w:rsidRDefault="00D56EC5" w:rsidP="00C32A17">
      <w:r>
        <w:separator/>
      </w:r>
    </w:p>
  </w:footnote>
  <w:footnote w:type="continuationSeparator" w:id="0">
    <w:p w14:paraId="099352F2" w14:textId="77777777" w:rsidR="00D56EC5" w:rsidRDefault="00D56EC5" w:rsidP="00C32A17">
      <w:r>
        <w:continuationSeparator/>
      </w:r>
    </w:p>
  </w:footnote>
  <w:footnote w:type="continuationNotice" w:id="1">
    <w:p w14:paraId="34A5A372" w14:textId="77777777" w:rsidR="00D56EC5" w:rsidRDefault="00D56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798"/>
      <w:gridCol w:w="1508"/>
    </w:tblGrid>
    <w:tr w:rsidR="00D56EC5" w:rsidRPr="00E40FF8" w14:paraId="62801E43" w14:textId="77777777" w:rsidTr="00D4582F">
      <w:tc>
        <w:tcPr>
          <w:tcW w:w="6804" w:type="dxa"/>
          <w:shd w:val="clear" w:color="auto" w:fill="auto"/>
        </w:tcPr>
        <w:p w14:paraId="217BA0B8" w14:textId="67E457FE" w:rsidR="00D56EC5" w:rsidRDefault="00963FE8" w:rsidP="00D4582F">
          <w:pPr>
            <w:pStyle w:val="LI-Header"/>
            <w:pBdr>
              <w:bottom w:val="none" w:sz="0" w:space="0" w:color="auto"/>
            </w:pBdr>
            <w:jc w:val="left"/>
          </w:pPr>
          <w:r>
            <w:fldChar w:fldCharType="begin"/>
          </w:r>
          <w:r>
            <w:instrText xml:space="preserve"> STYLEREF  "LI - Title"  \* MERGEFORMAT </w:instrText>
          </w:r>
          <w:r>
            <w:rPr>
              <w:noProof/>
            </w:rPr>
            <w:fldChar w:fldCharType="end"/>
          </w:r>
        </w:p>
      </w:tc>
      <w:tc>
        <w:tcPr>
          <w:tcW w:w="1509" w:type="dxa"/>
          <w:shd w:val="clear" w:color="auto" w:fill="auto"/>
        </w:tcPr>
        <w:p w14:paraId="1ED16799" w14:textId="50EAFFFA" w:rsidR="00D56EC5" w:rsidRDefault="00D56EC5" w:rsidP="00D4582F">
          <w:pPr>
            <w:pStyle w:val="LI-Header"/>
            <w:pBdr>
              <w:bottom w:val="none" w:sz="0" w:space="0" w:color="auto"/>
            </w:pBdr>
          </w:pPr>
        </w:p>
      </w:tc>
    </w:tr>
  </w:tbl>
  <w:p w14:paraId="6815EDB1" w14:textId="77777777" w:rsidR="00D56EC5" w:rsidRPr="00F4215A" w:rsidRDefault="00D56EC5" w:rsidP="00D45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4F7"/>
    <w:multiLevelType w:val="hybridMultilevel"/>
    <w:tmpl w:val="64C662E2"/>
    <w:lvl w:ilvl="0" w:tplc="8DCEC3F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F4740D"/>
    <w:multiLevelType w:val="hybridMultilevel"/>
    <w:tmpl w:val="9250A19E"/>
    <w:lvl w:ilvl="0" w:tplc="3DDA4D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7237FE"/>
    <w:multiLevelType w:val="hybridMultilevel"/>
    <w:tmpl w:val="94F63FD6"/>
    <w:lvl w:ilvl="0" w:tplc="A4A4A1A4">
      <w:start w:val="1"/>
      <w:numFmt w:val="lowerLetter"/>
      <w:lvlText w:val="(%1)"/>
      <w:lvlJc w:val="left"/>
      <w:pPr>
        <w:ind w:left="1500" w:hanging="570"/>
      </w:pPr>
      <w:rPr>
        <w:rFonts w:hint="default"/>
        <w:color w:val="auto"/>
        <w:sz w:val="24"/>
        <w:szCs w:val="24"/>
      </w:rPr>
    </w:lvl>
    <w:lvl w:ilvl="1" w:tplc="0C090019">
      <w:start w:val="1"/>
      <w:numFmt w:val="lowerLetter"/>
      <w:lvlText w:val="%2."/>
      <w:lvlJc w:val="left"/>
      <w:pPr>
        <w:ind w:left="2370" w:hanging="360"/>
      </w:pPr>
    </w:lvl>
    <w:lvl w:ilvl="2" w:tplc="0C09001B">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 w15:restartNumberingAfterBreak="0">
    <w:nsid w:val="08751A4C"/>
    <w:multiLevelType w:val="hybridMultilevel"/>
    <w:tmpl w:val="4378A362"/>
    <w:lvl w:ilvl="0" w:tplc="178A7AB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05CBA"/>
    <w:multiLevelType w:val="multilevel"/>
    <w:tmpl w:val="4A02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F6D"/>
    <w:multiLevelType w:val="hybridMultilevel"/>
    <w:tmpl w:val="717298F0"/>
    <w:lvl w:ilvl="0" w:tplc="D9E60D4C">
      <w:start w:val="1"/>
      <w:numFmt w:val="decimal"/>
      <w:lvlText w:val="%1."/>
      <w:lvlJc w:val="left"/>
      <w:pPr>
        <w:ind w:left="930" w:hanging="570"/>
      </w:pPr>
      <w:rPr>
        <w:rFonts w:hint="default"/>
        <w:b w:val="0"/>
        <w:color w:val="auto"/>
      </w:rPr>
    </w:lvl>
    <w:lvl w:ilvl="1" w:tplc="92C4DDC6">
      <w:start w:val="1"/>
      <w:numFmt w:val="lowerLetter"/>
      <w:lvlText w:val="(%2)"/>
      <w:lvlJc w:val="left"/>
      <w:pPr>
        <w:ind w:left="1440" w:hanging="360"/>
      </w:pPr>
      <w:rPr>
        <w:rFonts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262038"/>
    <w:multiLevelType w:val="hybridMultilevel"/>
    <w:tmpl w:val="780CC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5430F3"/>
    <w:multiLevelType w:val="hybridMultilevel"/>
    <w:tmpl w:val="4888E29A"/>
    <w:lvl w:ilvl="0" w:tplc="A04E67A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4FBB7976"/>
    <w:multiLevelType w:val="hybridMultilevel"/>
    <w:tmpl w:val="DD62946C"/>
    <w:lvl w:ilvl="0" w:tplc="58F64C2E">
      <w:start w:val="1"/>
      <w:numFmt w:val="lowerLetter"/>
      <w:lvlText w:val="(%1)"/>
      <w:lvlJc w:val="left"/>
      <w:pPr>
        <w:ind w:left="375" w:hanging="37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3A91F65"/>
    <w:multiLevelType w:val="hybridMultilevel"/>
    <w:tmpl w:val="CFC65F56"/>
    <w:lvl w:ilvl="0" w:tplc="FA8C529E">
      <w:start w:val="1"/>
      <w:numFmt w:val="lowerLetter"/>
      <w:lvlText w:val="(%1)"/>
      <w:lvlJc w:val="left"/>
      <w:pPr>
        <w:ind w:left="999" w:hanging="432"/>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64740027"/>
    <w:multiLevelType w:val="hybridMultilevel"/>
    <w:tmpl w:val="2C82C7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1644A7D"/>
    <w:multiLevelType w:val="hybridMultilevel"/>
    <w:tmpl w:val="B8B47808"/>
    <w:lvl w:ilvl="0" w:tplc="56AA4BB6">
      <w:start w:val="1"/>
      <w:numFmt w:val="decimal"/>
      <w:lvlText w:val="%1."/>
      <w:lvlJc w:val="left"/>
      <w:pPr>
        <w:ind w:left="570" w:hanging="570"/>
      </w:pPr>
      <w:rPr>
        <w:rFonts w:hint="default"/>
        <w:b w:val="0"/>
        <w:color w:val="auto"/>
        <w:sz w:val="24"/>
        <w:szCs w:val="24"/>
      </w:rPr>
    </w:lvl>
    <w:lvl w:ilvl="1" w:tplc="92C4DDC6">
      <w:start w:val="1"/>
      <w:numFmt w:val="lowerLetter"/>
      <w:lvlText w:val="(%2)"/>
      <w:lvlJc w:val="left"/>
      <w:pPr>
        <w:ind w:left="1440" w:hanging="360"/>
      </w:pPr>
      <w:rPr>
        <w:rFonts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8E2FCA"/>
    <w:multiLevelType w:val="hybridMultilevel"/>
    <w:tmpl w:val="AFB4273E"/>
    <w:lvl w:ilvl="0" w:tplc="D68C3CB0">
      <w:start w:val="1"/>
      <w:numFmt w:val="lowerLetter"/>
      <w:lvlText w:val="(%1)"/>
      <w:lvlJc w:val="left"/>
      <w:pPr>
        <w:ind w:left="999" w:hanging="432"/>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728653C5"/>
    <w:multiLevelType w:val="multilevel"/>
    <w:tmpl w:val="1C4E25EA"/>
    <w:lvl w:ilvl="0">
      <w:start w:val="1"/>
      <w:numFmt w:val="none"/>
      <w:pStyle w:val="Heading1"/>
      <w:lvlText w:val=""/>
      <w:lvlJc w:val="left"/>
      <w:pPr>
        <w:ind w:left="0" w:firstLine="0"/>
      </w:pPr>
      <w:rPr>
        <w:rFonts w:ascii="Century Gothic" w:hAnsi="Century Gothic" w:hint="default"/>
        <w:b/>
        <w:i w:val="0"/>
        <w:color w:val="0070C0"/>
        <w:sz w:val="28"/>
      </w:rPr>
    </w:lvl>
    <w:lvl w:ilvl="1">
      <w:start w:val="1"/>
      <w:numFmt w:val="decimal"/>
      <w:lvlRestart w:val="0"/>
      <w:pStyle w:val="ListPara1"/>
      <w:lvlText w:val="%2."/>
      <w:lvlJc w:val="left"/>
      <w:pPr>
        <w:ind w:left="680" w:hanging="340"/>
      </w:pPr>
      <w:rPr>
        <w:rFonts w:ascii="Century Gothic" w:hAnsi="Century Gothic" w:hint="default"/>
        <w:sz w:val="22"/>
        <w:szCs w:val="22"/>
      </w:rPr>
    </w:lvl>
    <w:lvl w:ilvl="2">
      <w:start w:val="1"/>
      <w:numFmt w:val="decimal"/>
      <w:pStyle w:val="ListPara2"/>
      <w:lvlText w:val="%2.%3"/>
      <w:lvlJc w:val="left"/>
      <w:pPr>
        <w:ind w:left="1134" w:hanging="454"/>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B362B37"/>
    <w:multiLevelType w:val="hybridMultilevel"/>
    <w:tmpl w:val="8F08CBA0"/>
    <w:lvl w:ilvl="0" w:tplc="F11E9EBE">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num w:numId="1">
    <w:abstractNumId w:val="11"/>
  </w:num>
  <w:num w:numId="2">
    <w:abstractNumId w:val="1"/>
  </w:num>
  <w:num w:numId="3">
    <w:abstractNumId w:val="7"/>
  </w:num>
  <w:num w:numId="4">
    <w:abstractNumId w:val="14"/>
  </w:num>
  <w:num w:numId="5">
    <w:abstractNumId w:val="0"/>
  </w:num>
  <w:num w:numId="6">
    <w:abstractNumId w:val="9"/>
  </w:num>
  <w:num w:numId="7">
    <w:abstractNumId w:val="12"/>
  </w:num>
  <w:num w:numId="8">
    <w:abstractNumId w:val="4"/>
  </w:num>
  <w:num w:numId="9">
    <w:abstractNumId w:val="3"/>
  </w:num>
  <w:num w:numId="10">
    <w:abstractNumId w:val="5"/>
  </w:num>
  <w:num w:numId="11">
    <w:abstractNumId w:val="13"/>
  </w:num>
  <w:num w:numId="12">
    <w:abstractNumId w:val="8"/>
  </w:num>
  <w:num w:numId="13">
    <w:abstractNumId w:val="2"/>
  </w:num>
  <w:num w:numId="14">
    <w:abstractNumId w:val="10"/>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23"/>
    <w:rsid w:val="000014A3"/>
    <w:rsid w:val="00004B62"/>
    <w:rsid w:val="0000561E"/>
    <w:rsid w:val="00006996"/>
    <w:rsid w:val="000109D9"/>
    <w:rsid w:val="00010B5A"/>
    <w:rsid w:val="00012C04"/>
    <w:rsid w:val="0001526E"/>
    <w:rsid w:val="00015688"/>
    <w:rsid w:val="00024CDD"/>
    <w:rsid w:val="00025B50"/>
    <w:rsid w:val="0003083A"/>
    <w:rsid w:val="00037104"/>
    <w:rsid w:val="00037F31"/>
    <w:rsid w:val="00041C64"/>
    <w:rsid w:val="00042251"/>
    <w:rsid w:val="00043876"/>
    <w:rsid w:val="00045497"/>
    <w:rsid w:val="0004568E"/>
    <w:rsid w:val="00054A60"/>
    <w:rsid w:val="000604E5"/>
    <w:rsid w:val="000624FF"/>
    <w:rsid w:val="000634AF"/>
    <w:rsid w:val="00064113"/>
    <w:rsid w:val="0006466B"/>
    <w:rsid w:val="000655A6"/>
    <w:rsid w:val="000728F2"/>
    <w:rsid w:val="0007691D"/>
    <w:rsid w:val="00082215"/>
    <w:rsid w:val="00082251"/>
    <w:rsid w:val="000825ED"/>
    <w:rsid w:val="0008338B"/>
    <w:rsid w:val="00087A95"/>
    <w:rsid w:val="000926B5"/>
    <w:rsid w:val="00093458"/>
    <w:rsid w:val="00094855"/>
    <w:rsid w:val="00094A92"/>
    <w:rsid w:val="000960C5"/>
    <w:rsid w:val="00096308"/>
    <w:rsid w:val="000A4077"/>
    <w:rsid w:val="000A4124"/>
    <w:rsid w:val="000A6FD3"/>
    <w:rsid w:val="000A714A"/>
    <w:rsid w:val="000A7600"/>
    <w:rsid w:val="000B13C9"/>
    <w:rsid w:val="000C0ECC"/>
    <w:rsid w:val="000D0FFC"/>
    <w:rsid w:val="000D291F"/>
    <w:rsid w:val="000D3EDE"/>
    <w:rsid w:val="000D50C0"/>
    <w:rsid w:val="000D51A0"/>
    <w:rsid w:val="000E01A8"/>
    <w:rsid w:val="000E7486"/>
    <w:rsid w:val="000F1FC9"/>
    <w:rsid w:val="000F4100"/>
    <w:rsid w:val="00101AC3"/>
    <w:rsid w:val="001076E8"/>
    <w:rsid w:val="001149EE"/>
    <w:rsid w:val="00114C09"/>
    <w:rsid w:val="001167EB"/>
    <w:rsid w:val="00123B1B"/>
    <w:rsid w:val="001252CF"/>
    <w:rsid w:val="00131D97"/>
    <w:rsid w:val="00135DC5"/>
    <w:rsid w:val="00137755"/>
    <w:rsid w:val="00137F85"/>
    <w:rsid w:val="00141099"/>
    <w:rsid w:val="001412B4"/>
    <w:rsid w:val="00147E48"/>
    <w:rsid w:val="00150204"/>
    <w:rsid w:val="0015740B"/>
    <w:rsid w:val="00165928"/>
    <w:rsid w:val="00165E17"/>
    <w:rsid w:val="00166ABB"/>
    <w:rsid w:val="00174141"/>
    <w:rsid w:val="001747A3"/>
    <w:rsid w:val="00176848"/>
    <w:rsid w:val="00181B87"/>
    <w:rsid w:val="001849E9"/>
    <w:rsid w:val="001865CF"/>
    <w:rsid w:val="001919AF"/>
    <w:rsid w:val="00196F81"/>
    <w:rsid w:val="00197F9C"/>
    <w:rsid w:val="001A1A3E"/>
    <w:rsid w:val="001A55D8"/>
    <w:rsid w:val="001A61C3"/>
    <w:rsid w:val="001A6823"/>
    <w:rsid w:val="001B0FCE"/>
    <w:rsid w:val="001B1F20"/>
    <w:rsid w:val="001B4407"/>
    <w:rsid w:val="001C50D9"/>
    <w:rsid w:val="001C53FF"/>
    <w:rsid w:val="001D065B"/>
    <w:rsid w:val="001D1B2B"/>
    <w:rsid w:val="001D6003"/>
    <w:rsid w:val="001D6699"/>
    <w:rsid w:val="001D6B79"/>
    <w:rsid w:val="001E0807"/>
    <w:rsid w:val="001E0EC4"/>
    <w:rsid w:val="001E34C7"/>
    <w:rsid w:val="001E34D3"/>
    <w:rsid w:val="001F05C8"/>
    <w:rsid w:val="001F2A62"/>
    <w:rsid w:val="001F47CB"/>
    <w:rsid w:val="001F4900"/>
    <w:rsid w:val="001F6E20"/>
    <w:rsid w:val="00202F97"/>
    <w:rsid w:val="0020772F"/>
    <w:rsid w:val="00210E8F"/>
    <w:rsid w:val="00213D77"/>
    <w:rsid w:val="00214A51"/>
    <w:rsid w:val="00216E40"/>
    <w:rsid w:val="00220721"/>
    <w:rsid w:val="002208E9"/>
    <w:rsid w:val="00232097"/>
    <w:rsid w:val="00234DAB"/>
    <w:rsid w:val="00237859"/>
    <w:rsid w:val="00237F69"/>
    <w:rsid w:val="002403A4"/>
    <w:rsid w:val="00242EF2"/>
    <w:rsid w:val="00245063"/>
    <w:rsid w:val="00250B96"/>
    <w:rsid w:val="00250DC0"/>
    <w:rsid w:val="00260BE8"/>
    <w:rsid w:val="00261870"/>
    <w:rsid w:val="00262E1E"/>
    <w:rsid w:val="002639C1"/>
    <w:rsid w:val="00266B3C"/>
    <w:rsid w:val="00266C6E"/>
    <w:rsid w:val="00274030"/>
    <w:rsid w:val="002748CA"/>
    <w:rsid w:val="00276458"/>
    <w:rsid w:val="00284B6B"/>
    <w:rsid w:val="00285954"/>
    <w:rsid w:val="00290C31"/>
    <w:rsid w:val="002953AB"/>
    <w:rsid w:val="00296999"/>
    <w:rsid w:val="00297EA7"/>
    <w:rsid w:val="002A5925"/>
    <w:rsid w:val="002A7D3C"/>
    <w:rsid w:val="002B3A40"/>
    <w:rsid w:val="002B4A47"/>
    <w:rsid w:val="002B533D"/>
    <w:rsid w:val="002C2A09"/>
    <w:rsid w:val="002C41C8"/>
    <w:rsid w:val="002C6E70"/>
    <w:rsid w:val="002C6EBA"/>
    <w:rsid w:val="002C78DB"/>
    <w:rsid w:val="002D3562"/>
    <w:rsid w:val="002D4B4C"/>
    <w:rsid w:val="002D4F6F"/>
    <w:rsid w:val="002D6B9A"/>
    <w:rsid w:val="002E14EC"/>
    <w:rsid w:val="002E2627"/>
    <w:rsid w:val="002E2A2D"/>
    <w:rsid w:val="002E2FD1"/>
    <w:rsid w:val="002E3613"/>
    <w:rsid w:val="002F06E6"/>
    <w:rsid w:val="002F2141"/>
    <w:rsid w:val="002F278B"/>
    <w:rsid w:val="002F4ECE"/>
    <w:rsid w:val="002F5B59"/>
    <w:rsid w:val="002F7582"/>
    <w:rsid w:val="003018D6"/>
    <w:rsid w:val="003056E3"/>
    <w:rsid w:val="0031139E"/>
    <w:rsid w:val="003147CA"/>
    <w:rsid w:val="00314AF4"/>
    <w:rsid w:val="00315089"/>
    <w:rsid w:val="00321B28"/>
    <w:rsid w:val="00321D00"/>
    <w:rsid w:val="00322454"/>
    <w:rsid w:val="00324BF4"/>
    <w:rsid w:val="003301E6"/>
    <w:rsid w:val="00332140"/>
    <w:rsid w:val="00332912"/>
    <w:rsid w:val="0033337B"/>
    <w:rsid w:val="00336A73"/>
    <w:rsid w:val="00336C4C"/>
    <w:rsid w:val="003379FE"/>
    <w:rsid w:val="00340583"/>
    <w:rsid w:val="00341D62"/>
    <w:rsid w:val="00342E74"/>
    <w:rsid w:val="00343F2E"/>
    <w:rsid w:val="0034660E"/>
    <w:rsid w:val="00351475"/>
    <w:rsid w:val="003538D8"/>
    <w:rsid w:val="0035407E"/>
    <w:rsid w:val="003604C0"/>
    <w:rsid w:val="00361A22"/>
    <w:rsid w:val="0036314F"/>
    <w:rsid w:val="0036401F"/>
    <w:rsid w:val="003640E4"/>
    <w:rsid w:val="00366A7B"/>
    <w:rsid w:val="003674FD"/>
    <w:rsid w:val="00371D0E"/>
    <w:rsid w:val="00374F3C"/>
    <w:rsid w:val="00375B82"/>
    <w:rsid w:val="0037799E"/>
    <w:rsid w:val="00380F29"/>
    <w:rsid w:val="00382B8B"/>
    <w:rsid w:val="003868F2"/>
    <w:rsid w:val="00386B54"/>
    <w:rsid w:val="00387D98"/>
    <w:rsid w:val="00391140"/>
    <w:rsid w:val="00396EC5"/>
    <w:rsid w:val="003A5847"/>
    <w:rsid w:val="003A6FDF"/>
    <w:rsid w:val="003A75BF"/>
    <w:rsid w:val="003B0BE3"/>
    <w:rsid w:val="003B2981"/>
    <w:rsid w:val="003B3A96"/>
    <w:rsid w:val="003B6A0D"/>
    <w:rsid w:val="003C158D"/>
    <w:rsid w:val="003D1867"/>
    <w:rsid w:val="003D3499"/>
    <w:rsid w:val="003E16FA"/>
    <w:rsid w:val="003E1DAB"/>
    <w:rsid w:val="003E2E20"/>
    <w:rsid w:val="003E43F2"/>
    <w:rsid w:val="003E469F"/>
    <w:rsid w:val="003F17B8"/>
    <w:rsid w:val="003F66F7"/>
    <w:rsid w:val="003F68C9"/>
    <w:rsid w:val="003F7923"/>
    <w:rsid w:val="00402533"/>
    <w:rsid w:val="00403E12"/>
    <w:rsid w:val="004065FE"/>
    <w:rsid w:val="0041344C"/>
    <w:rsid w:val="0041645C"/>
    <w:rsid w:val="00417254"/>
    <w:rsid w:val="00420DEB"/>
    <w:rsid w:val="00421B9E"/>
    <w:rsid w:val="00423A25"/>
    <w:rsid w:val="0042746C"/>
    <w:rsid w:val="00430624"/>
    <w:rsid w:val="00435756"/>
    <w:rsid w:val="00453E64"/>
    <w:rsid w:val="0045553C"/>
    <w:rsid w:val="00455A67"/>
    <w:rsid w:val="00456DA8"/>
    <w:rsid w:val="00457DE1"/>
    <w:rsid w:val="00461C8D"/>
    <w:rsid w:val="00461CD3"/>
    <w:rsid w:val="004636AD"/>
    <w:rsid w:val="004637B3"/>
    <w:rsid w:val="0047356F"/>
    <w:rsid w:val="004745F1"/>
    <w:rsid w:val="00474973"/>
    <w:rsid w:val="00474D67"/>
    <w:rsid w:val="0048196C"/>
    <w:rsid w:val="00481BCA"/>
    <w:rsid w:val="00483B5C"/>
    <w:rsid w:val="004931BB"/>
    <w:rsid w:val="00493500"/>
    <w:rsid w:val="00497517"/>
    <w:rsid w:val="004A07DA"/>
    <w:rsid w:val="004A122A"/>
    <w:rsid w:val="004A45FD"/>
    <w:rsid w:val="004A5EFE"/>
    <w:rsid w:val="004A62BB"/>
    <w:rsid w:val="004A6A06"/>
    <w:rsid w:val="004A743A"/>
    <w:rsid w:val="004A7739"/>
    <w:rsid w:val="004B41D9"/>
    <w:rsid w:val="004B537E"/>
    <w:rsid w:val="004B56DA"/>
    <w:rsid w:val="004B636D"/>
    <w:rsid w:val="004B7D8D"/>
    <w:rsid w:val="004C7692"/>
    <w:rsid w:val="004D246F"/>
    <w:rsid w:val="004D2BBF"/>
    <w:rsid w:val="004D37A6"/>
    <w:rsid w:val="004D4944"/>
    <w:rsid w:val="004D5034"/>
    <w:rsid w:val="004D56FF"/>
    <w:rsid w:val="004D70D3"/>
    <w:rsid w:val="004E126F"/>
    <w:rsid w:val="004E2986"/>
    <w:rsid w:val="004E2B4A"/>
    <w:rsid w:val="004F01DA"/>
    <w:rsid w:val="005027E9"/>
    <w:rsid w:val="00503FB8"/>
    <w:rsid w:val="00510510"/>
    <w:rsid w:val="00510785"/>
    <w:rsid w:val="00513657"/>
    <w:rsid w:val="00517EDE"/>
    <w:rsid w:val="0052089D"/>
    <w:rsid w:val="005215B6"/>
    <w:rsid w:val="00526E23"/>
    <w:rsid w:val="0053121D"/>
    <w:rsid w:val="00531583"/>
    <w:rsid w:val="00532020"/>
    <w:rsid w:val="00532728"/>
    <w:rsid w:val="0053369C"/>
    <w:rsid w:val="0053429E"/>
    <w:rsid w:val="0054105A"/>
    <w:rsid w:val="00541B0C"/>
    <w:rsid w:val="00543BA6"/>
    <w:rsid w:val="005461B1"/>
    <w:rsid w:val="00546851"/>
    <w:rsid w:val="00547060"/>
    <w:rsid w:val="00550E24"/>
    <w:rsid w:val="005574E4"/>
    <w:rsid w:val="00562DDA"/>
    <w:rsid w:val="005743F0"/>
    <w:rsid w:val="00580D49"/>
    <w:rsid w:val="00586325"/>
    <w:rsid w:val="00586DA5"/>
    <w:rsid w:val="00587125"/>
    <w:rsid w:val="00592874"/>
    <w:rsid w:val="005A04FD"/>
    <w:rsid w:val="005A0DB4"/>
    <w:rsid w:val="005A106C"/>
    <w:rsid w:val="005A13A1"/>
    <w:rsid w:val="005A36AA"/>
    <w:rsid w:val="005A385D"/>
    <w:rsid w:val="005A3C9D"/>
    <w:rsid w:val="005A7152"/>
    <w:rsid w:val="005B0FE6"/>
    <w:rsid w:val="005B289C"/>
    <w:rsid w:val="005B4D2F"/>
    <w:rsid w:val="005C7EE3"/>
    <w:rsid w:val="005D2AB5"/>
    <w:rsid w:val="005D2FB9"/>
    <w:rsid w:val="005E289D"/>
    <w:rsid w:val="005F397A"/>
    <w:rsid w:val="00602A61"/>
    <w:rsid w:val="0060547A"/>
    <w:rsid w:val="00610311"/>
    <w:rsid w:val="00615A4B"/>
    <w:rsid w:val="0062153E"/>
    <w:rsid w:val="00624A61"/>
    <w:rsid w:val="006262B3"/>
    <w:rsid w:val="00626F3E"/>
    <w:rsid w:val="00635423"/>
    <w:rsid w:val="006367EE"/>
    <w:rsid w:val="0064280A"/>
    <w:rsid w:val="0064328A"/>
    <w:rsid w:val="0064361F"/>
    <w:rsid w:val="00646673"/>
    <w:rsid w:val="00647F27"/>
    <w:rsid w:val="006677A8"/>
    <w:rsid w:val="00667D45"/>
    <w:rsid w:val="00671026"/>
    <w:rsid w:val="00673435"/>
    <w:rsid w:val="00673D60"/>
    <w:rsid w:val="00676570"/>
    <w:rsid w:val="006773C6"/>
    <w:rsid w:val="00680FFF"/>
    <w:rsid w:val="00683CAE"/>
    <w:rsid w:val="00683DCF"/>
    <w:rsid w:val="00684ABC"/>
    <w:rsid w:val="00686591"/>
    <w:rsid w:val="0069440E"/>
    <w:rsid w:val="0069441E"/>
    <w:rsid w:val="006A285A"/>
    <w:rsid w:val="006A3BC0"/>
    <w:rsid w:val="006B1E57"/>
    <w:rsid w:val="006B2D37"/>
    <w:rsid w:val="006B75AB"/>
    <w:rsid w:val="006B75B3"/>
    <w:rsid w:val="006B7E27"/>
    <w:rsid w:val="006C091C"/>
    <w:rsid w:val="006C0A6C"/>
    <w:rsid w:val="006C6B19"/>
    <w:rsid w:val="006D25FD"/>
    <w:rsid w:val="006D34A1"/>
    <w:rsid w:val="006D6BD5"/>
    <w:rsid w:val="006D729D"/>
    <w:rsid w:val="006D7A48"/>
    <w:rsid w:val="006E076C"/>
    <w:rsid w:val="006E3D81"/>
    <w:rsid w:val="006F0B33"/>
    <w:rsid w:val="006F3FDE"/>
    <w:rsid w:val="0070222F"/>
    <w:rsid w:val="00702B45"/>
    <w:rsid w:val="007114EC"/>
    <w:rsid w:val="00711A4B"/>
    <w:rsid w:val="007133DA"/>
    <w:rsid w:val="00713A22"/>
    <w:rsid w:val="007168B9"/>
    <w:rsid w:val="00723324"/>
    <w:rsid w:val="007242CE"/>
    <w:rsid w:val="007306CD"/>
    <w:rsid w:val="00731F8E"/>
    <w:rsid w:val="00733362"/>
    <w:rsid w:val="007339AF"/>
    <w:rsid w:val="007356C4"/>
    <w:rsid w:val="00736E0F"/>
    <w:rsid w:val="007372F9"/>
    <w:rsid w:val="007408BE"/>
    <w:rsid w:val="00742783"/>
    <w:rsid w:val="00743065"/>
    <w:rsid w:val="00746EA2"/>
    <w:rsid w:val="00747090"/>
    <w:rsid w:val="00747776"/>
    <w:rsid w:val="00751600"/>
    <w:rsid w:val="00751A74"/>
    <w:rsid w:val="00751A8C"/>
    <w:rsid w:val="00751C96"/>
    <w:rsid w:val="00752E32"/>
    <w:rsid w:val="00756598"/>
    <w:rsid w:val="00765C2A"/>
    <w:rsid w:val="00766D74"/>
    <w:rsid w:val="00771866"/>
    <w:rsid w:val="007760A8"/>
    <w:rsid w:val="00777076"/>
    <w:rsid w:val="00783DEB"/>
    <w:rsid w:val="00787848"/>
    <w:rsid w:val="00794FA0"/>
    <w:rsid w:val="0079501E"/>
    <w:rsid w:val="007A1FC2"/>
    <w:rsid w:val="007A3EE4"/>
    <w:rsid w:val="007A655F"/>
    <w:rsid w:val="007A6619"/>
    <w:rsid w:val="007A7291"/>
    <w:rsid w:val="007B2BB7"/>
    <w:rsid w:val="007B5A5F"/>
    <w:rsid w:val="007C1277"/>
    <w:rsid w:val="007C4CD5"/>
    <w:rsid w:val="007C5E3F"/>
    <w:rsid w:val="007C69F7"/>
    <w:rsid w:val="007D341B"/>
    <w:rsid w:val="007D4F23"/>
    <w:rsid w:val="007D5922"/>
    <w:rsid w:val="007E0969"/>
    <w:rsid w:val="007E20C5"/>
    <w:rsid w:val="007E2CCF"/>
    <w:rsid w:val="007E3719"/>
    <w:rsid w:val="007E6332"/>
    <w:rsid w:val="007E6373"/>
    <w:rsid w:val="007E6DD9"/>
    <w:rsid w:val="007E772B"/>
    <w:rsid w:val="007F3578"/>
    <w:rsid w:val="007F5AC0"/>
    <w:rsid w:val="007F62E6"/>
    <w:rsid w:val="008009D3"/>
    <w:rsid w:val="00800BF9"/>
    <w:rsid w:val="008040B8"/>
    <w:rsid w:val="008103E8"/>
    <w:rsid w:val="00816A49"/>
    <w:rsid w:val="00822671"/>
    <w:rsid w:val="008227FD"/>
    <w:rsid w:val="00822B55"/>
    <w:rsid w:val="008303C9"/>
    <w:rsid w:val="008337A3"/>
    <w:rsid w:val="0083413F"/>
    <w:rsid w:val="0083784D"/>
    <w:rsid w:val="00841162"/>
    <w:rsid w:val="00845808"/>
    <w:rsid w:val="00850B6B"/>
    <w:rsid w:val="00852CF1"/>
    <w:rsid w:val="00855171"/>
    <w:rsid w:val="00855EFE"/>
    <w:rsid w:val="008567AD"/>
    <w:rsid w:val="00861DD7"/>
    <w:rsid w:val="00864BAD"/>
    <w:rsid w:val="00865C49"/>
    <w:rsid w:val="008769E7"/>
    <w:rsid w:val="0088103C"/>
    <w:rsid w:val="00883255"/>
    <w:rsid w:val="00885143"/>
    <w:rsid w:val="00886F6D"/>
    <w:rsid w:val="00887C2E"/>
    <w:rsid w:val="0089290D"/>
    <w:rsid w:val="00895452"/>
    <w:rsid w:val="00896EB1"/>
    <w:rsid w:val="008A2BDE"/>
    <w:rsid w:val="008A3258"/>
    <w:rsid w:val="008A4538"/>
    <w:rsid w:val="008C0CEA"/>
    <w:rsid w:val="008C0E85"/>
    <w:rsid w:val="008C23EF"/>
    <w:rsid w:val="008C2C78"/>
    <w:rsid w:val="008C653D"/>
    <w:rsid w:val="008D0FE1"/>
    <w:rsid w:val="008D3AF4"/>
    <w:rsid w:val="008E2237"/>
    <w:rsid w:val="008E67DC"/>
    <w:rsid w:val="008F7F57"/>
    <w:rsid w:val="00900C5A"/>
    <w:rsid w:val="00903D41"/>
    <w:rsid w:val="009040CB"/>
    <w:rsid w:val="00905453"/>
    <w:rsid w:val="00905806"/>
    <w:rsid w:val="00905FF3"/>
    <w:rsid w:val="00906C4F"/>
    <w:rsid w:val="00912CE9"/>
    <w:rsid w:val="009179EE"/>
    <w:rsid w:val="0092606C"/>
    <w:rsid w:val="00926384"/>
    <w:rsid w:val="00931B47"/>
    <w:rsid w:val="00935CFD"/>
    <w:rsid w:val="00941C96"/>
    <w:rsid w:val="009439B3"/>
    <w:rsid w:val="00950A5F"/>
    <w:rsid w:val="009510F6"/>
    <w:rsid w:val="00955813"/>
    <w:rsid w:val="00956B18"/>
    <w:rsid w:val="00960889"/>
    <w:rsid w:val="00963FE8"/>
    <w:rsid w:val="00964F44"/>
    <w:rsid w:val="00966505"/>
    <w:rsid w:val="00970264"/>
    <w:rsid w:val="00973431"/>
    <w:rsid w:val="00976BE8"/>
    <w:rsid w:val="00980160"/>
    <w:rsid w:val="00981134"/>
    <w:rsid w:val="00987C7C"/>
    <w:rsid w:val="00995CB8"/>
    <w:rsid w:val="009A25D8"/>
    <w:rsid w:val="009A28F0"/>
    <w:rsid w:val="009A45E1"/>
    <w:rsid w:val="009B12BB"/>
    <w:rsid w:val="009B3897"/>
    <w:rsid w:val="009C1427"/>
    <w:rsid w:val="009C5A48"/>
    <w:rsid w:val="009D1160"/>
    <w:rsid w:val="009D1824"/>
    <w:rsid w:val="009D1AA3"/>
    <w:rsid w:val="009D2C59"/>
    <w:rsid w:val="009E574D"/>
    <w:rsid w:val="009F02B9"/>
    <w:rsid w:val="009F4802"/>
    <w:rsid w:val="009F545A"/>
    <w:rsid w:val="009F79EE"/>
    <w:rsid w:val="00A07DED"/>
    <w:rsid w:val="00A14077"/>
    <w:rsid w:val="00A20E58"/>
    <w:rsid w:val="00A219C1"/>
    <w:rsid w:val="00A220D6"/>
    <w:rsid w:val="00A241D8"/>
    <w:rsid w:val="00A251EF"/>
    <w:rsid w:val="00A26517"/>
    <w:rsid w:val="00A34C1D"/>
    <w:rsid w:val="00A35290"/>
    <w:rsid w:val="00A3694D"/>
    <w:rsid w:val="00A47135"/>
    <w:rsid w:val="00A50E72"/>
    <w:rsid w:val="00A62BFF"/>
    <w:rsid w:val="00A6388E"/>
    <w:rsid w:val="00A6594E"/>
    <w:rsid w:val="00A735A3"/>
    <w:rsid w:val="00A741AC"/>
    <w:rsid w:val="00A76534"/>
    <w:rsid w:val="00A82442"/>
    <w:rsid w:val="00A850DD"/>
    <w:rsid w:val="00A855F3"/>
    <w:rsid w:val="00A86601"/>
    <w:rsid w:val="00A9716C"/>
    <w:rsid w:val="00AA2117"/>
    <w:rsid w:val="00AA3F13"/>
    <w:rsid w:val="00AA4249"/>
    <w:rsid w:val="00AA66A1"/>
    <w:rsid w:val="00AB2039"/>
    <w:rsid w:val="00AB4AA9"/>
    <w:rsid w:val="00AB5F6D"/>
    <w:rsid w:val="00AC04FD"/>
    <w:rsid w:val="00AD684F"/>
    <w:rsid w:val="00AE0D8F"/>
    <w:rsid w:val="00AE5BA3"/>
    <w:rsid w:val="00AE61F0"/>
    <w:rsid w:val="00AE6998"/>
    <w:rsid w:val="00AF18BC"/>
    <w:rsid w:val="00AF4CFA"/>
    <w:rsid w:val="00AF555C"/>
    <w:rsid w:val="00B00830"/>
    <w:rsid w:val="00B0478A"/>
    <w:rsid w:val="00B12E9D"/>
    <w:rsid w:val="00B150E5"/>
    <w:rsid w:val="00B1663E"/>
    <w:rsid w:val="00B26115"/>
    <w:rsid w:val="00B30350"/>
    <w:rsid w:val="00B31749"/>
    <w:rsid w:val="00B318EB"/>
    <w:rsid w:val="00B35790"/>
    <w:rsid w:val="00B40430"/>
    <w:rsid w:val="00B40EBF"/>
    <w:rsid w:val="00B42377"/>
    <w:rsid w:val="00B453D4"/>
    <w:rsid w:val="00B4589C"/>
    <w:rsid w:val="00B46411"/>
    <w:rsid w:val="00B56D51"/>
    <w:rsid w:val="00B61412"/>
    <w:rsid w:val="00B632AB"/>
    <w:rsid w:val="00B63C21"/>
    <w:rsid w:val="00B703E1"/>
    <w:rsid w:val="00B71EE4"/>
    <w:rsid w:val="00B72AF2"/>
    <w:rsid w:val="00B7718C"/>
    <w:rsid w:val="00B82202"/>
    <w:rsid w:val="00B82268"/>
    <w:rsid w:val="00B8298F"/>
    <w:rsid w:val="00B833E8"/>
    <w:rsid w:val="00B84357"/>
    <w:rsid w:val="00B84C21"/>
    <w:rsid w:val="00B86083"/>
    <w:rsid w:val="00B91ED6"/>
    <w:rsid w:val="00B92F35"/>
    <w:rsid w:val="00B936F5"/>
    <w:rsid w:val="00B93CC1"/>
    <w:rsid w:val="00B94944"/>
    <w:rsid w:val="00B959E7"/>
    <w:rsid w:val="00B95F34"/>
    <w:rsid w:val="00B9796A"/>
    <w:rsid w:val="00BA2752"/>
    <w:rsid w:val="00BA3203"/>
    <w:rsid w:val="00BB01B4"/>
    <w:rsid w:val="00BB0D3C"/>
    <w:rsid w:val="00BB1FBB"/>
    <w:rsid w:val="00BD1D8B"/>
    <w:rsid w:val="00BD3391"/>
    <w:rsid w:val="00BD35FD"/>
    <w:rsid w:val="00BD5E2C"/>
    <w:rsid w:val="00BD6FE3"/>
    <w:rsid w:val="00BD7007"/>
    <w:rsid w:val="00BE0E48"/>
    <w:rsid w:val="00BE0E7C"/>
    <w:rsid w:val="00BE1748"/>
    <w:rsid w:val="00BE2062"/>
    <w:rsid w:val="00BE6390"/>
    <w:rsid w:val="00BE673E"/>
    <w:rsid w:val="00BF18ED"/>
    <w:rsid w:val="00BF27E3"/>
    <w:rsid w:val="00BF6736"/>
    <w:rsid w:val="00C00255"/>
    <w:rsid w:val="00C00940"/>
    <w:rsid w:val="00C05A2C"/>
    <w:rsid w:val="00C07FBD"/>
    <w:rsid w:val="00C144F1"/>
    <w:rsid w:val="00C16E6F"/>
    <w:rsid w:val="00C237FE"/>
    <w:rsid w:val="00C30B58"/>
    <w:rsid w:val="00C32A17"/>
    <w:rsid w:val="00C36D24"/>
    <w:rsid w:val="00C41EB4"/>
    <w:rsid w:val="00C442CB"/>
    <w:rsid w:val="00C44463"/>
    <w:rsid w:val="00C46FC9"/>
    <w:rsid w:val="00C47525"/>
    <w:rsid w:val="00C548C9"/>
    <w:rsid w:val="00C55C44"/>
    <w:rsid w:val="00C57743"/>
    <w:rsid w:val="00C63351"/>
    <w:rsid w:val="00C65919"/>
    <w:rsid w:val="00C6665A"/>
    <w:rsid w:val="00C66F39"/>
    <w:rsid w:val="00C71466"/>
    <w:rsid w:val="00C745C2"/>
    <w:rsid w:val="00C75C19"/>
    <w:rsid w:val="00C7604E"/>
    <w:rsid w:val="00C77606"/>
    <w:rsid w:val="00C806F9"/>
    <w:rsid w:val="00C82371"/>
    <w:rsid w:val="00C858CE"/>
    <w:rsid w:val="00C869A6"/>
    <w:rsid w:val="00C879D6"/>
    <w:rsid w:val="00C93318"/>
    <w:rsid w:val="00C93BD0"/>
    <w:rsid w:val="00CA43C3"/>
    <w:rsid w:val="00CA610E"/>
    <w:rsid w:val="00CA6645"/>
    <w:rsid w:val="00CB170C"/>
    <w:rsid w:val="00CB4D0D"/>
    <w:rsid w:val="00CB6B78"/>
    <w:rsid w:val="00CB7D8F"/>
    <w:rsid w:val="00CC0A0C"/>
    <w:rsid w:val="00CC0CEF"/>
    <w:rsid w:val="00CC449C"/>
    <w:rsid w:val="00CD0015"/>
    <w:rsid w:val="00CD160F"/>
    <w:rsid w:val="00CD1679"/>
    <w:rsid w:val="00CD1E95"/>
    <w:rsid w:val="00CD2FBE"/>
    <w:rsid w:val="00CD3F17"/>
    <w:rsid w:val="00CD60F7"/>
    <w:rsid w:val="00CE342B"/>
    <w:rsid w:val="00CE3DDC"/>
    <w:rsid w:val="00CE60FA"/>
    <w:rsid w:val="00CF14F3"/>
    <w:rsid w:val="00CF30AB"/>
    <w:rsid w:val="00D06556"/>
    <w:rsid w:val="00D10690"/>
    <w:rsid w:val="00D10B5C"/>
    <w:rsid w:val="00D134FB"/>
    <w:rsid w:val="00D17B2F"/>
    <w:rsid w:val="00D22996"/>
    <w:rsid w:val="00D245D6"/>
    <w:rsid w:val="00D24DCB"/>
    <w:rsid w:val="00D30609"/>
    <w:rsid w:val="00D3168F"/>
    <w:rsid w:val="00D34F78"/>
    <w:rsid w:val="00D35745"/>
    <w:rsid w:val="00D37158"/>
    <w:rsid w:val="00D40308"/>
    <w:rsid w:val="00D41B3C"/>
    <w:rsid w:val="00D44226"/>
    <w:rsid w:val="00D4582F"/>
    <w:rsid w:val="00D50731"/>
    <w:rsid w:val="00D51E35"/>
    <w:rsid w:val="00D52BBF"/>
    <w:rsid w:val="00D5393A"/>
    <w:rsid w:val="00D56777"/>
    <w:rsid w:val="00D56EC5"/>
    <w:rsid w:val="00D57E31"/>
    <w:rsid w:val="00D6188B"/>
    <w:rsid w:val="00D628B7"/>
    <w:rsid w:val="00D70EC8"/>
    <w:rsid w:val="00D71569"/>
    <w:rsid w:val="00D74DDB"/>
    <w:rsid w:val="00D8280A"/>
    <w:rsid w:val="00D83884"/>
    <w:rsid w:val="00D84132"/>
    <w:rsid w:val="00D84433"/>
    <w:rsid w:val="00D848C3"/>
    <w:rsid w:val="00D873E8"/>
    <w:rsid w:val="00D93F08"/>
    <w:rsid w:val="00D976C6"/>
    <w:rsid w:val="00D97B55"/>
    <w:rsid w:val="00DA0390"/>
    <w:rsid w:val="00DA0A1D"/>
    <w:rsid w:val="00DA6A28"/>
    <w:rsid w:val="00DA783C"/>
    <w:rsid w:val="00DB02AE"/>
    <w:rsid w:val="00DB0761"/>
    <w:rsid w:val="00DB239F"/>
    <w:rsid w:val="00DB3A5D"/>
    <w:rsid w:val="00DB59BE"/>
    <w:rsid w:val="00DB6297"/>
    <w:rsid w:val="00DC1F63"/>
    <w:rsid w:val="00DC1FB6"/>
    <w:rsid w:val="00DC2AE1"/>
    <w:rsid w:val="00DD0AF7"/>
    <w:rsid w:val="00DD248B"/>
    <w:rsid w:val="00DD7C61"/>
    <w:rsid w:val="00DE10E0"/>
    <w:rsid w:val="00DE3A3D"/>
    <w:rsid w:val="00DE47EF"/>
    <w:rsid w:val="00DE5F90"/>
    <w:rsid w:val="00DE60A3"/>
    <w:rsid w:val="00DE6BBF"/>
    <w:rsid w:val="00DE7479"/>
    <w:rsid w:val="00DF0872"/>
    <w:rsid w:val="00DF28C0"/>
    <w:rsid w:val="00DF34F4"/>
    <w:rsid w:val="00DF6A29"/>
    <w:rsid w:val="00DF6AA9"/>
    <w:rsid w:val="00E04A9C"/>
    <w:rsid w:val="00E23AE3"/>
    <w:rsid w:val="00E2760B"/>
    <w:rsid w:val="00E30D91"/>
    <w:rsid w:val="00E34F5B"/>
    <w:rsid w:val="00E4091B"/>
    <w:rsid w:val="00E42821"/>
    <w:rsid w:val="00E472E8"/>
    <w:rsid w:val="00E47D26"/>
    <w:rsid w:val="00E5030B"/>
    <w:rsid w:val="00E534A9"/>
    <w:rsid w:val="00E55057"/>
    <w:rsid w:val="00E57247"/>
    <w:rsid w:val="00E61992"/>
    <w:rsid w:val="00E642BE"/>
    <w:rsid w:val="00E674E9"/>
    <w:rsid w:val="00E709D8"/>
    <w:rsid w:val="00E70C38"/>
    <w:rsid w:val="00E70EE4"/>
    <w:rsid w:val="00E73F80"/>
    <w:rsid w:val="00E74AA5"/>
    <w:rsid w:val="00E76C16"/>
    <w:rsid w:val="00E83D63"/>
    <w:rsid w:val="00E84472"/>
    <w:rsid w:val="00E86219"/>
    <w:rsid w:val="00E923E4"/>
    <w:rsid w:val="00E93DAA"/>
    <w:rsid w:val="00E9484B"/>
    <w:rsid w:val="00EA6569"/>
    <w:rsid w:val="00EA7CDE"/>
    <w:rsid w:val="00EB034D"/>
    <w:rsid w:val="00EB17CA"/>
    <w:rsid w:val="00EB6A2F"/>
    <w:rsid w:val="00ED12E1"/>
    <w:rsid w:val="00ED1AC2"/>
    <w:rsid w:val="00ED3401"/>
    <w:rsid w:val="00EE05ED"/>
    <w:rsid w:val="00EE07B9"/>
    <w:rsid w:val="00EF16FA"/>
    <w:rsid w:val="00EF17A3"/>
    <w:rsid w:val="00EF30FA"/>
    <w:rsid w:val="00EF3A3A"/>
    <w:rsid w:val="00EF5C8D"/>
    <w:rsid w:val="00EF6115"/>
    <w:rsid w:val="00F04A60"/>
    <w:rsid w:val="00F06069"/>
    <w:rsid w:val="00F10BA3"/>
    <w:rsid w:val="00F12B25"/>
    <w:rsid w:val="00F12FE2"/>
    <w:rsid w:val="00F16E06"/>
    <w:rsid w:val="00F16EF3"/>
    <w:rsid w:val="00F17059"/>
    <w:rsid w:val="00F22E68"/>
    <w:rsid w:val="00F22E7A"/>
    <w:rsid w:val="00F25DFC"/>
    <w:rsid w:val="00F317BF"/>
    <w:rsid w:val="00F40311"/>
    <w:rsid w:val="00F45FA7"/>
    <w:rsid w:val="00F51F3F"/>
    <w:rsid w:val="00F53E32"/>
    <w:rsid w:val="00F65E58"/>
    <w:rsid w:val="00F7260B"/>
    <w:rsid w:val="00F73791"/>
    <w:rsid w:val="00F770A5"/>
    <w:rsid w:val="00F81F93"/>
    <w:rsid w:val="00F858AF"/>
    <w:rsid w:val="00F92207"/>
    <w:rsid w:val="00F9471D"/>
    <w:rsid w:val="00F950FC"/>
    <w:rsid w:val="00F9660D"/>
    <w:rsid w:val="00FA447D"/>
    <w:rsid w:val="00FA47FC"/>
    <w:rsid w:val="00FA4986"/>
    <w:rsid w:val="00FA749F"/>
    <w:rsid w:val="00FB1B9B"/>
    <w:rsid w:val="00FB41E5"/>
    <w:rsid w:val="00FB5B89"/>
    <w:rsid w:val="00FC1070"/>
    <w:rsid w:val="00FC484B"/>
    <w:rsid w:val="00FC70CE"/>
    <w:rsid w:val="00FD082F"/>
    <w:rsid w:val="00FD1371"/>
    <w:rsid w:val="00FD2DAB"/>
    <w:rsid w:val="00FD77B6"/>
    <w:rsid w:val="00FD7BFD"/>
    <w:rsid w:val="00FE61C7"/>
    <w:rsid w:val="00FF1F28"/>
    <w:rsid w:val="00FF259B"/>
    <w:rsid w:val="00FF731D"/>
    <w:rsid w:val="00FF7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16FD"/>
  <w15:chartTrackingRefBased/>
  <w15:docId w15:val="{DF0B824C-2F00-460D-9F41-E578590C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9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36A73"/>
    <w:pPr>
      <w:keepNext/>
      <w:keepLines/>
      <w:numPr>
        <w:numId w:val="11"/>
      </w:numPr>
      <w:spacing w:before="120" w:after="120" w:line="259" w:lineRule="auto"/>
      <w:outlineLvl w:val="0"/>
    </w:pPr>
    <w:rPr>
      <w:rFonts w:ascii="Century Gothic" w:eastAsia="SimSun" w:hAnsi="Century Gothic" w:cstheme="majorBidi"/>
      <w:b/>
      <w:color w:val="0070CE"/>
      <w:sz w:val="28"/>
      <w:szCs w:val="28"/>
      <w:lang w:val="en-GB" w:eastAsia="zh-CN"/>
    </w:rPr>
  </w:style>
  <w:style w:type="paragraph" w:styleId="Heading2">
    <w:name w:val="heading 2"/>
    <w:basedOn w:val="Normal"/>
    <w:next w:val="Normal"/>
    <w:link w:val="Heading2Char"/>
    <w:uiPriority w:val="9"/>
    <w:unhideWhenUsed/>
    <w:qFormat/>
    <w:rsid w:val="00CC0A0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3F7923"/>
    <w:pPr>
      <w:ind w:left="720"/>
    </w:pPr>
  </w:style>
  <w:style w:type="character" w:customStyle="1" w:styleId="BodyTextIndentChar">
    <w:name w:val="Body Text Indent Char"/>
    <w:basedOn w:val="DefaultParagraphFont"/>
    <w:link w:val="BodyTextIndent"/>
    <w:semiHidden/>
    <w:rsid w:val="003F7923"/>
    <w:rPr>
      <w:rFonts w:ascii="Times New Roman" w:eastAsia="Times New Roman" w:hAnsi="Times New Roman" w:cs="Times New Roman"/>
      <w:sz w:val="24"/>
      <w:szCs w:val="24"/>
    </w:rPr>
  </w:style>
  <w:style w:type="paragraph" w:styleId="Title">
    <w:name w:val="Title"/>
    <w:basedOn w:val="Normal"/>
    <w:link w:val="TitleChar"/>
    <w:qFormat/>
    <w:rsid w:val="003F7923"/>
    <w:pPr>
      <w:overflowPunct w:val="0"/>
      <w:autoSpaceDE w:val="0"/>
      <w:autoSpaceDN w:val="0"/>
      <w:adjustRightInd w:val="0"/>
      <w:ind w:left="567" w:hanging="567"/>
      <w:jc w:val="center"/>
      <w:textAlignment w:val="baseline"/>
    </w:pPr>
    <w:rPr>
      <w:b/>
      <w:bCs/>
      <w:sz w:val="28"/>
      <w:szCs w:val="20"/>
    </w:rPr>
  </w:style>
  <w:style w:type="character" w:customStyle="1" w:styleId="TitleChar">
    <w:name w:val="Title Char"/>
    <w:basedOn w:val="DefaultParagraphFont"/>
    <w:link w:val="Title"/>
    <w:rsid w:val="003F7923"/>
    <w:rPr>
      <w:rFonts w:ascii="Times New Roman" w:eastAsia="Times New Roman" w:hAnsi="Times New Roman" w:cs="Times New Roman"/>
      <w:b/>
      <w:bCs/>
      <w:sz w:val="28"/>
      <w:szCs w:val="20"/>
    </w:rPr>
  </w:style>
  <w:style w:type="paragraph" w:customStyle="1" w:styleId="LI-Title">
    <w:name w:val="LI - Title"/>
    <w:basedOn w:val="Normal"/>
    <w:next w:val="Normal"/>
    <w:qFormat/>
    <w:rsid w:val="003F7923"/>
    <w:pPr>
      <w:pBdr>
        <w:top w:val="single" w:sz="4" w:space="1" w:color="auto"/>
      </w:pBdr>
    </w:pPr>
    <w:rPr>
      <w:b/>
      <w:sz w:val="40"/>
      <w:szCs w:val="20"/>
      <w:lang w:eastAsia="en-AU"/>
    </w:rPr>
  </w:style>
  <w:style w:type="paragraph" w:customStyle="1" w:styleId="LI-BodyTextParaa">
    <w:name w:val="LI - Body Text Para (a)"/>
    <w:basedOn w:val="Normal"/>
    <w:link w:val="LI-BodyTextParaaChar"/>
    <w:rsid w:val="003F7923"/>
    <w:pPr>
      <w:spacing w:before="240"/>
      <w:ind w:left="1701" w:hanging="567"/>
    </w:pPr>
    <w:rPr>
      <w:lang w:eastAsia="en-AU"/>
    </w:rPr>
  </w:style>
  <w:style w:type="character" w:customStyle="1" w:styleId="LI-BodyTextParaaChar">
    <w:name w:val="LI - Body Text Para (a) Char"/>
    <w:link w:val="LI-BodyTextParaa"/>
    <w:rsid w:val="003F7923"/>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3F7923"/>
    <w:pPr>
      <w:spacing w:before="240"/>
      <w:ind w:left="1134" w:hanging="567"/>
    </w:pPr>
    <w:rPr>
      <w:lang w:eastAsia="en-AU"/>
    </w:rPr>
  </w:style>
  <w:style w:type="character" w:customStyle="1" w:styleId="LI-BodyTextNumberedChar">
    <w:name w:val="LI - Body Text Numbered Char"/>
    <w:link w:val="LI-BodyTextNumbered"/>
    <w:rsid w:val="003F7923"/>
    <w:rPr>
      <w:rFonts w:ascii="Times New Roman" w:eastAsia="Times New Roman" w:hAnsi="Times New Roman" w:cs="Times New Roman"/>
      <w:sz w:val="24"/>
      <w:szCs w:val="24"/>
      <w:lang w:eastAsia="en-AU"/>
    </w:rPr>
  </w:style>
  <w:style w:type="paragraph" w:customStyle="1" w:styleId="LI-BodyTextUnnumbered">
    <w:name w:val="LI - Body Text Unnumbered"/>
    <w:basedOn w:val="Normal"/>
    <w:link w:val="LI-BodyTextUnnumberedChar"/>
    <w:rsid w:val="00D84433"/>
    <w:pPr>
      <w:spacing w:before="240"/>
      <w:ind w:left="1134"/>
    </w:pPr>
    <w:rPr>
      <w:szCs w:val="20"/>
      <w:lang w:eastAsia="en-AU"/>
    </w:rPr>
  </w:style>
  <w:style w:type="character" w:customStyle="1" w:styleId="LI-BodyTextUnnumberedChar">
    <w:name w:val="LI - Body Text Unnumbered Char"/>
    <w:link w:val="LI-BodyTextUnnumbered"/>
    <w:rsid w:val="00D84433"/>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semiHidden/>
    <w:unhideWhenUsed/>
    <w:rsid w:val="002D3562"/>
    <w:pPr>
      <w:spacing w:after="120"/>
    </w:pPr>
  </w:style>
  <w:style w:type="character" w:customStyle="1" w:styleId="BodyTextChar">
    <w:name w:val="Body Text Char"/>
    <w:basedOn w:val="DefaultParagraphFont"/>
    <w:link w:val="BodyText"/>
    <w:uiPriority w:val="99"/>
    <w:semiHidden/>
    <w:rsid w:val="002D356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170C"/>
    <w:rPr>
      <w:sz w:val="16"/>
      <w:szCs w:val="16"/>
    </w:rPr>
  </w:style>
  <w:style w:type="paragraph" w:styleId="CommentText">
    <w:name w:val="annotation text"/>
    <w:basedOn w:val="Normal"/>
    <w:link w:val="CommentTextChar"/>
    <w:uiPriority w:val="99"/>
    <w:unhideWhenUsed/>
    <w:rsid w:val="00CB170C"/>
    <w:rPr>
      <w:sz w:val="20"/>
      <w:szCs w:val="20"/>
    </w:rPr>
  </w:style>
  <w:style w:type="character" w:customStyle="1" w:styleId="CommentTextChar">
    <w:name w:val="Comment Text Char"/>
    <w:basedOn w:val="DefaultParagraphFont"/>
    <w:link w:val="CommentText"/>
    <w:uiPriority w:val="99"/>
    <w:rsid w:val="00CB17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170C"/>
    <w:rPr>
      <w:b/>
      <w:bCs/>
    </w:rPr>
  </w:style>
  <w:style w:type="character" w:customStyle="1" w:styleId="CommentSubjectChar">
    <w:name w:val="Comment Subject Char"/>
    <w:basedOn w:val="CommentTextChar"/>
    <w:link w:val="CommentSubject"/>
    <w:uiPriority w:val="99"/>
    <w:semiHidden/>
    <w:rsid w:val="00CB17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70C"/>
    <w:rPr>
      <w:rFonts w:ascii="Segoe UI" w:eastAsia="Times New Roman" w:hAnsi="Segoe UI" w:cs="Segoe UI"/>
      <w:sz w:val="18"/>
      <w:szCs w:val="18"/>
    </w:rPr>
  </w:style>
  <w:style w:type="paragraph" w:styleId="ListParagraph">
    <w:name w:val="List Paragraph"/>
    <w:basedOn w:val="Normal"/>
    <w:uiPriority w:val="34"/>
    <w:qFormat/>
    <w:rsid w:val="002E2FD1"/>
    <w:pPr>
      <w:ind w:left="720"/>
      <w:contextualSpacing/>
    </w:pPr>
  </w:style>
  <w:style w:type="paragraph" w:styleId="Header">
    <w:name w:val="header"/>
    <w:basedOn w:val="Normal"/>
    <w:link w:val="HeaderChar"/>
    <w:unhideWhenUsed/>
    <w:rsid w:val="00C32A17"/>
    <w:pPr>
      <w:tabs>
        <w:tab w:val="center" w:pos="4513"/>
        <w:tab w:val="right" w:pos="9026"/>
      </w:tabs>
    </w:pPr>
  </w:style>
  <w:style w:type="character" w:customStyle="1" w:styleId="HeaderChar">
    <w:name w:val="Header Char"/>
    <w:basedOn w:val="DefaultParagraphFont"/>
    <w:link w:val="Header"/>
    <w:rsid w:val="00C32A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2A17"/>
    <w:pPr>
      <w:tabs>
        <w:tab w:val="center" w:pos="4513"/>
        <w:tab w:val="right" w:pos="9026"/>
      </w:tabs>
    </w:pPr>
  </w:style>
  <w:style w:type="character" w:customStyle="1" w:styleId="FooterChar">
    <w:name w:val="Footer Char"/>
    <w:basedOn w:val="DefaultParagraphFont"/>
    <w:link w:val="Footer"/>
    <w:uiPriority w:val="99"/>
    <w:rsid w:val="00C32A1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C0A0C"/>
    <w:rPr>
      <w:rFonts w:asciiTheme="majorHAnsi" w:eastAsiaTheme="majorEastAsia" w:hAnsiTheme="majorHAnsi" w:cstheme="majorBidi"/>
      <w:color w:val="2F5496" w:themeColor="accent1" w:themeShade="BF"/>
      <w:sz w:val="26"/>
      <w:szCs w:val="26"/>
    </w:rPr>
  </w:style>
  <w:style w:type="paragraph" w:customStyle="1" w:styleId="subsection">
    <w:name w:val="subsection"/>
    <w:basedOn w:val="Normal"/>
    <w:rsid w:val="007356C4"/>
    <w:pPr>
      <w:spacing w:before="100" w:beforeAutospacing="1" w:after="100" w:afterAutospacing="1"/>
    </w:pPr>
    <w:rPr>
      <w:lang w:eastAsia="en-AU"/>
    </w:rPr>
  </w:style>
  <w:style w:type="character" w:styleId="Hyperlink">
    <w:name w:val="Hyperlink"/>
    <w:basedOn w:val="DefaultParagraphFont"/>
    <w:uiPriority w:val="99"/>
    <w:semiHidden/>
    <w:unhideWhenUsed/>
    <w:rsid w:val="007356C4"/>
    <w:rPr>
      <w:color w:val="0000FF"/>
      <w:u w:val="single"/>
    </w:rPr>
  </w:style>
  <w:style w:type="paragraph" w:customStyle="1" w:styleId="paragraph">
    <w:name w:val="paragraph"/>
    <w:basedOn w:val="Normal"/>
    <w:rsid w:val="007356C4"/>
    <w:pPr>
      <w:spacing w:before="100" w:beforeAutospacing="1" w:after="100" w:afterAutospacing="1"/>
    </w:pPr>
    <w:rPr>
      <w:lang w:eastAsia="en-AU"/>
    </w:rPr>
  </w:style>
  <w:style w:type="paragraph" w:customStyle="1" w:styleId="subsection2">
    <w:name w:val="subsection2"/>
    <w:basedOn w:val="Normal"/>
    <w:rsid w:val="007356C4"/>
    <w:pPr>
      <w:spacing w:before="100" w:beforeAutospacing="1" w:after="100" w:afterAutospacing="1"/>
    </w:pPr>
    <w:rPr>
      <w:lang w:eastAsia="en-AU"/>
    </w:rPr>
  </w:style>
  <w:style w:type="paragraph" w:customStyle="1" w:styleId="paragraphsub">
    <w:name w:val="paragraphsub"/>
    <w:basedOn w:val="Normal"/>
    <w:rsid w:val="007356C4"/>
    <w:pPr>
      <w:spacing w:before="100" w:beforeAutospacing="1" w:after="100" w:afterAutospacing="1"/>
    </w:pPr>
    <w:rPr>
      <w:lang w:eastAsia="en-AU"/>
    </w:rPr>
  </w:style>
  <w:style w:type="paragraph" w:customStyle="1" w:styleId="hp">
    <w:name w:val="hp"/>
    <w:basedOn w:val="Normal"/>
    <w:rsid w:val="009F79EE"/>
    <w:pPr>
      <w:spacing w:before="100" w:beforeAutospacing="1" w:after="100" w:afterAutospacing="1"/>
    </w:pPr>
    <w:rPr>
      <w:lang w:eastAsia="en-AU"/>
    </w:rPr>
  </w:style>
  <w:style w:type="paragraph" w:customStyle="1" w:styleId="LI-Header">
    <w:name w:val="LI - Header"/>
    <w:basedOn w:val="Normal"/>
    <w:link w:val="LI-HeaderChar"/>
    <w:qFormat/>
    <w:rsid w:val="002F2141"/>
    <w:pPr>
      <w:pBdr>
        <w:bottom w:val="single" w:sz="4" w:space="1" w:color="auto"/>
      </w:pBdr>
      <w:tabs>
        <w:tab w:val="right" w:pos="8313"/>
      </w:tabs>
      <w:spacing w:before="120" w:line="0" w:lineRule="atLeast"/>
      <w:jc w:val="right"/>
    </w:pPr>
    <w:rPr>
      <w:rFonts w:eastAsia="Calibri"/>
      <w:i/>
      <w:sz w:val="18"/>
      <w:szCs w:val="20"/>
    </w:rPr>
  </w:style>
  <w:style w:type="character" w:customStyle="1" w:styleId="LI-HeaderChar">
    <w:name w:val="LI - Header Char"/>
    <w:basedOn w:val="DefaultParagraphFont"/>
    <w:link w:val="LI-Header"/>
    <w:rsid w:val="002F2141"/>
    <w:rPr>
      <w:rFonts w:ascii="Times New Roman" w:eastAsia="Calibri" w:hAnsi="Times New Roman" w:cs="Times New Roman"/>
      <w:i/>
      <w:sz w:val="18"/>
      <w:szCs w:val="20"/>
    </w:rPr>
  </w:style>
  <w:style w:type="paragraph" w:styleId="Revision">
    <w:name w:val="Revision"/>
    <w:hidden/>
    <w:uiPriority w:val="99"/>
    <w:semiHidden/>
    <w:rsid w:val="00BD6FE3"/>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36A73"/>
    <w:rPr>
      <w:rFonts w:ascii="Century Gothic" w:eastAsia="SimSun" w:hAnsi="Century Gothic" w:cstheme="majorBidi"/>
      <w:b/>
      <w:color w:val="0070CE"/>
      <w:sz w:val="28"/>
      <w:szCs w:val="28"/>
      <w:lang w:val="en-GB" w:eastAsia="zh-CN"/>
    </w:rPr>
  </w:style>
  <w:style w:type="paragraph" w:customStyle="1" w:styleId="ListPara1">
    <w:name w:val="List Para 1"/>
    <w:basedOn w:val="Normal"/>
    <w:link w:val="ListPara1Char"/>
    <w:uiPriority w:val="4"/>
    <w:qFormat/>
    <w:rsid w:val="00336A73"/>
    <w:pPr>
      <w:numPr>
        <w:ilvl w:val="1"/>
        <w:numId w:val="11"/>
      </w:numPr>
      <w:spacing w:after="200" w:line="276" w:lineRule="auto"/>
    </w:pPr>
    <w:rPr>
      <w:rFonts w:ascii="Century Gothic" w:hAnsi="Century Gothic" w:cs="Arial"/>
      <w:sz w:val="22"/>
      <w:szCs w:val="22"/>
      <w:lang w:val="en-US" w:eastAsia="en-AU"/>
    </w:rPr>
  </w:style>
  <w:style w:type="character" w:customStyle="1" w:styleId="ListPara1Char">
    <w:name w:val="List Para 1 Char"/>
    <w:basedOn w:val="DefaultParagraphFont"/>
    <w:link w:val="ListPara1"/>
    <w:uiPriority w:val="4"/>
    <w:rsid w:val="00336A73"/>
    <w:rPr>
      <w:rFonts w:ascii="Century Gothic" w:eastAsia="Times New Roman" w:hAnsi="Century Gothic" w:cs="Arial"/>
      <w:lang w:val="en-US" w:eastAsia="en-AU"/>
    </w:rPr>
  </w:style>
  <w:style w:type="paragraph" w:customStyle="1" w:styleId="ListPara2">
    <w:name w:val="List Para 2"/>
    <w:basedOn w:val="Normal"/>
    <w:qFormat/>
    <w:rsid w:val="00336A73"/>
    <w:pPr>
      <w:numPr>
        <w:ilvl w:val="2"/>
        <w:numId w:val="11"/>
      </w:numPr>
      <w:spacing w:after="160" w:line="259" w:lineRule="auto"/>
    </w:pPr>
    <w:rPr>
      <w:rFonts w:ascii="Century Gothic" w:eastAsiaTheme="minorHAnsi" w:hAnsi="Century Gothic" w:cstheme="minorBid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83989">
      <w:bodyDiv w:val="1"/>
      <w:marLeft w:val="0"/>
      <w:marRight w:val="0"/>
      <w:marTop w:val="0"/>
      <w:marBottom w:val="0"/>
      <w:divBdr>
        <w:top w:val="none" w:sz="0" w:space="0" w:color="auto"/>
        <w:left w:val="none" w:sz="0" w:space="0" w:color="auto"/>
        <w:bottom w:val="none" w:sz="0" w:space="0" w:color="auto"/>
        <w:right w:val="none" w:sz="0" w:space="0" w:color="auto"/>
      </w:divBdr>
      <w:divsChild>
        <w:div w:id="169755847">
          <w:marLeft w:val="0"/>
          <w:marRight w:val="0"/>
          <w:marTop w:val="0"/>
          <w:marBottom w:val="0"/>
          <w:divBdr>
            <w:top w:val="none" w:sz="0" w:space="0" w:color="auto"/>
            <w:left w:val="none" w:sz="0" w:space="0" w:color="auto"/>
            <w:bottom w:val="none" w:sz="0" w:space="0" w:color="auto"/>
            <w:right w:val="none" w:sz="0" w:space="0" w:color="auto"/>
          </w:divBdr>
          <w:divsChild>
            <w:div w:id="1499729641">
              <w:marLeft w:val="0"/>
              <w:marRight w:val="0"/>
              <w:marTop w:val="0"/>
              <w:marBottom w:val="0"/>
              <w:divBdr>
                <w:top w:val="none" w:sz="0" w:space="0" w:color="auto"/>
                <w:left w:val="none" w:sz="0" w:space="0" w:color="auto"/>
                <w:bottom w:val="none" w:sz="0" w:space="0" w:color="auto"/>
                <w:right w:val="none" w:sz="0" w:space="0" w:color="auto"/>
              </w:divBdr>
              <w:divsChild>
                <w:div w:id="974871017">
                  <w:marLeft w:val="0"/>
                  <w:marRight w:val="0"/>
                  <w:marTop w:val="0"/>
                  <w:marBottom w:val="0"/>
                  <w:divBdr>
                    <w:top w:val="none" w:sz="0" w:space="0" w:color="auto"/>
                    <w:left w:val="none" w:sz="0" w:space="0" w:color="auto"/>
                    <w:bottom w:val="none" w:sz="0" w:space="0" w:color="auto"/>
                    <w:right w:val="none" w:sz="0" w:space="0" w:color="auto"/>
                  </w:divBdr>
                  <w:divsChild>
                    <w:div w:id="644045331">
                      <w:marLeft w:val="0"/>
                      <w:marRight w:val="0"/>
                      <w:marTop w:val="0"/>
                      <w:marBottom w:val="0"/>
                      <w:divBdr>
                        <w:top w:val="none" w:sz="0" w:space="0" w:color="auto"/>
                        <w:left w:val="none" w:sz="0" w:space="0" w:color="auto"/>
                        <w:bottom w:val="none" w:sz="0" w:space="0" w:color="auto"/>
                        <w:right w:val="none" w:sz="0" w:space="0" w:color="auto"/>
                      </w:divBdr>
                      <w:divsChild>
                        <w:div w:id="2020353214">
                          <w:marLeft w:val="0"/>
                          <w:marRight w:val="0"/>
                          <w:marTop w:val="0"/>
                          <w:marBottom w:val="0"/>
                          <w:divBdr>
                            <w:top w:val="none" w:sz="0" w:space="0" w:color="auto"/>
                            <w:left w:val="none" w:sz="0" w:space="0" w:color="auto"/>
                            <w:bottom w:val="none" w:sz="0" w:space="0" w:color="auto"/>
                            <w:right w:val="none" w:sz="0" w:space="0" w:color="auto"/>
                          </w:divBdr>
                          <w:divsChild>
                            <w:div w:id="736367497">
                              <w:marLeft w:val="0"/>
                              <w:marRight w:val="0"/>
                              <w:marTop w:val="0"/>
                              <w:marBottom w:val="0"/>
                              <w:divBdr>
                                <w:top w:val="none" w:sz="0" w:space="0" w:color="auto"/>
                                <w:left w:val="none" w:sz="0" w:space="0" w:color="auto"/>
                                <w:bottom w:val="none" w:sz="0" w:space="0" w:color="auto"/>
                                <w:right w:val="none" w:sz="0" w:space="0" w:color="auto"/>
                              </w:divBdr>
                              <w:divsChild>
                                <w:div w:id="1978028739">
                                  <w:marLeft w:val="0"/>
                                  <w:marRight w:val="0"/>
                                  <w:marTop w:val="0"/>
                                  <w:marBottom w:val="0"/>
                                  <w:divBdr>
                                    <w:top w:val="none" w:sz="0" w:space="0" w:color="auto"/>
                                    <w:left w:val="none" w:sz="0" w:space="0" w:color="auto"/>
                                    <w:bottom w:val="none" w:sz="0" w:space="0" w:color="auto"/>
                                    <w:right w:val="none" w:sz="0" w:space="0" w:color="auto"/>
                                  </w:divBdr>
                                  <w:divsChild>
                                    <w:div w:id="915867908">
                                      <w:marLeft w:val="0"/>
                                      <w:marRight w:val="0"/>
                                      <w:marTop w:val="0"/>
                                      <w:marBottom w:val="0"/>
                                      <w:divBdr>
                                        <w:top w:val="none" w:sz="0" w:space="0" w:color="auto"/>
                                        <w:left w:val="none" w:sz="0" w:space="0" w:color="auto"/>
                                        <w:bottom w:val="none" w:sz="0" w:space="0" w:color="auto"/>
                                        <w:right w:val="none" w:sz="0" w:space="0" w:color="auto"/>
                                      </w:divBdr>
                                      <w:divsChild>
                                        <w:div w:id="1720588641">
                                          <w:marLeft w:val="0"/>
                                          <w:marRight w:val="0"/>
                                          <w:marTop w:val="0"/>
                                          <w:marBottom w:val="0"/>
                                          <w:divBdr>
                                            <w:top w:val="none" w:sz="0" w:space="0" w:color="auto"/>
                                            <w:left w:val="none" w:sz="0" w:space="0" w:color="auto"/>
                                            <w:bottom w:val="none" w:sz="0" w:space="0" w:color="auto"/>
                                            <w:right w:val="none" w:sz="0" w:space="0" w:color="auto"/>
                                          </w:divBdr>
                                          <w:divsChild>
                                            <w:div w:id="88082842">
                                              <w:marLeft w:val="0"/>
                                              <w:marRight w:val="0"/>
                                              <w:marTop w:val="0"/>
                                              <w:marBottom w:val="0"/>
                                              <w:divBdr>
                                                <w:top w:val="none" w:sz="0" w:space="0" w:color="auto"/>
                                                <w:left w:val="none" w:sz="0" w:space="0" w:color="auto"/>
                                                <w:bottom w:val="none" w:sz="0" w:space="0" w:color="auto"/>
                                                <w:right w:val="none" w:sz="0" w:space="0" w:color="auto"/>
                                              </w:divBdr>
                                              <w:divsChild>
                                                <w:div w:id="1336760520">
                                                  <w:marLeft w:val="0"/>
                                                  <w:marRight w:val="0"/>
                                                  <w:marTop w:val="0"/>
                                                  <w:marBottom w:val="0"/>
                                                  <w:divBdr>
                                                    <w:top w:val="none" w:sz="0" w:space="0" w:color="auto"/>
                                                    <w:left w:val="none" w:sz="0" w:space="0" w:color="auto"/>
                                                    <w:bottom w:val="none" w:sz="0" w:space="0" w:color="auto"/>
                                                    <w:right w:val="none" w:sz="0" w:space="0" w:color="auto"/>
                                                  </w:divBdr>
                                                  <w:divsChild>
                                                    <w:div w:id="943147495">
                                                      <w:marLeft w:val="0"/>
                                                      <w:marRight w:val="0"/>
                                                      <w:marTop w:val="0"/>
                                                      <w:marBottom w:val="0"/>
                                                      <w:divBdr>
                                                        <w:top w:val="none" w:sz="0" w:space="0" w:color="auto"/>
                                                        <w:left w:val="none" w:sz="0" w:space="0" w:color="auto"/>
                                                        <w:bottom w:val="none" w:sz="0" w:space="0" w:color="auto"/>
                                                        <w:right w:val="none" w:sz="0" w:space="0" w:color="auto"/>
                                                      </w:divBdr>
                                                      <w:divsChild>
                                                        <w:div w:id="7297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856912">
      <w:bodyDiv w:val="1"/>
      <w:marLeft w:val="0"/>
      <w:marRight w:val="0"/>
      <w:marTop w:val="0"/>
      <w:marBottom w:val="0"/>
      <w:divBdr>
        <w:top w:val="none" w:sz="0" w:space="0" w:color="auto"/>
        <w:left w:val="none" w:sz="0" w:space="0" w:color="auto"/>
        <w:bottom w:val="none" w:sz="0" w:space="0" w:color="auto"/>
        <w:right w:val="none" w:sz="0" w:space="0" w:color="auto"/>
      </w:divBdr>
    </w:div>
    <w:div w:id="826361999">
      <w:bodyDiv w:val="1"/>
      <w:marLeft w:val="0"/>
      <w:marRight w:val="0"/>
      <w:marTop w:val="0"/>
      <w:marBottom w:val="0"/>
      <w:divBdr>
        <w:top w:val="none" w:sz="0" w:space="0" w:color="auto"/>
        <w:left w:val="none" w:sz="0" w:space="0" w:color="auto"/>
        <w:bottom w:val="none" w:sz="0" w:space="0" w:color="auto"/>
        <w:right w:val="none" w:sz="0" w:space="0" w:color="auto"/>
      </w:divBdr>
    </w:div>
    <w:div w:id="897396739">
      <w:bodyDiv w:val="1"/>
      <w:marLeft w:val="0"/>
      <w:marRight w:val="0"/>
      <w:marTop w:val="0"/>
      <w:marBottom w:val="0"/>
      <w:divBdr>
        <w:top w:val="none" w:sz="0" w:space="0" w:color="auto"/>
        <w:left w:val="none" w:sz="0" w:space="0" w:color="auto"/>
        <w:bottom w:val="none" w:sz="0" w:space="0" w:color="auto"/>
        <w:right w:val="none" w:sz="0" w:space="0" w:color="auto"/>
      </w:divBdr>
    </w:div>
    <w:div w:id="1329942410">
      <w:bodyDiv w:val="1"/>
      <w:marLeft w:val="0"/>
      <w:marRight w:val="0"/>
      <w:marTop w:val="0"/>
      <w:marBottom w:val="0"/>
      <w:divBdr>
        <w:top w:val="none" w:sz="0" w:space="0" w:color="auto"/>
        <w:left w:val="none" w:sz="0" w:space="0" w:color="auto"/>
        <w:bottom w:val="none" w:sz="0" w:space="0" w:color="auto"/>
        <w:right w:val="none" w:sz="0" w:space="0" w:color="auto"/>
      </w:divBdr>
    </w:div>
    <w:div w:id="1580672379">
      <w:bodyDiv w:val="1"/>
      <w:marLeft w:val="0"/>
      <w:marRight w:val="0"/>
      <w:marTop w:val="0"/>
      <w:marBottom w:val="0"/>
      <w:divBdr>
        <w:top w:val="none" w:sz="0" w:space="0" w:color="auto"/>
        <w:left w:val="none" w:sz="0" w:space="0" w:color="auto"/>
        <w:bottom w:val="none" w:sz="0" w:space="0" w:color="auto"/>
        <w:right w:val="none" w:sz="0" w:space="0" w:color="auto"/>
      </w:divBdr>
    </w:div>
    <w:div w:id="21441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A Policy Document" ma:contentTypeID="0x010100B5F685A1365F544391EF8C813B164F3A9500057B65281D252E4EA5C90AFA34858AB1" ma:contentTypeVersion="26" ma:contentTypeDescription="" ma:contentTypeScope="" ma:versionID="7b703096b6e1109385a72865b36830e6">
  <xsd:schema xmlns:xsd="http://www.w3.org/2001/XMLSchema" xmlns:xs="http://www.w3.org/2001/XMLSchema" xmlns:p="http://schemas.microsoft.com/office/2006/metadata/properties" xmlns:ns2="da7a9ac0-bc47-4684-84e6-3a8e9ac80c12" xmlns:ns3="c34c7f6c-aaaf-45a3-a9eb-afe48db4d66e" xmlns:ns5="http://schemas.microsoft.com/sharepoint/v4" xmlns:ns6="17f478ab-373e-4295-9ff0-9b833ad01319" targetNamespace="http://schemas.microsoft.com/office/2006/metadata/properties" ma:root="true" ma:fieldsID="da56a47ebde0b955620461d524e27014" ns2:_="" ns3:_="" ns5:_="" ns6:_="">
    <xsd:import namespace="da7a9ac0-bc47-4684-84e6-3a8e9ac80c12"/>
    <xsd:import namespace="c34c7f6c-aaaf-45a3-a9eb-afe48db4d66e"/>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APolicyDocumentType" minOccurs="0"/>
                <xsd:element ref="ns2:h771bd08b94b4ae5a720f57c72698c26" minOccurs="0"/>
                <xsd:element ref="ns3:d60934758bd44d46b350733ac9e6adc4"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APolicyDocumentType" ma:index="17" nillable="true" ma:displayName="FA Policy Document Type" ma:format="Dropdown" ma:internalName="FAPolicyDocumentType">
      <xsd:simpleType>
        <xsd:restriction base="dms:Choice">
          <xsd:enumeration value="Communications"/>
          <xsd:enumeration value="Guidance"/>
          <xsd:enumeration value="Submission"/>
          <xsd:enumeration value="Speeches"/>
          <xsd:enumeration value="Briefings"/>
          <xsd:enumeration value="Agenda"/>
          <xsd:enumeration value="Minutes"/>
          <xsd:enumeration value="Media Release"/>
        </xsd:restriction>
      </xsd:simpleType>
    </xsd:element>
    <xsd:element name="h771bd08b94b4ae5a720f57c72698c26" ma:index="18" nillable="true" ma:displayName="Communication_0" ma:hidden="true" ma:internalName="h771bd08b94b4ae5a720f57c72698c26"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c7f6c-aaaf-45a3-a9eb-afe48db4d66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4e46640-b2c8-4f13-91a4-f61af8f8ea7f}" ma:internalName="TaxCatchAll" ma:showField="CatchAllData"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4e46640-b2c8-4f13-91a4-f61af8f8ea7f}" ma:internalName="TaxCatchAllLabel" ma:readOnly="true" ma:showField="CatchAllDataLabel"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d60934758bd44d46b350733ac9e6adc4" ma:index="19" ma:taxonomy="true" ma:internalName="d60934758bd44d46b350733ac9e6adc4" ma:taxonomyFieldName="SecurityClassification" ma:displayName="Security Classification" ma:default="6;#Sensitive|19fd2cb8-3e97-4464-ae71-8c2c2095d028" ma:fieldId="{d6093475-8bd4-4d46-b350-733ac9e6adc4}"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R20200000237845</RecordNumber>
    <ObjectiveID xmlns="da7a9ac0-bc47-4684-84e6-3a8e9ac80c12" xsi:nil="true"/>
    <IconOverlay xmlns="http://schemas.microsoft.com/sharepoint/v4" xsi:nil="true"/>
    <TaxCatchAll xmlns="c34c7f6c-aaaf-45a3-a9eb-afe48db4d66e">
      <Value>6</Value>
    </TaxCatchAll>
    <SignificantFlag xmlns="da7a9ac0-bc47-4684-84e6-3a8e9ac80c12">false</SignificantFlag>
    <h771bd08b94b4ae5a720f57c72698c26 xmlns="da7a9ac0-bc47-4684-84e6-3a8e9ac80c12" xsi:nil="true"/>
    <FAPolicyDocumentType xmlns="da7a9ac0-bc47-4684-84e6-3a8e9ac80c12" xsi:nil="true"/>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d60934758bd44d46b350733ac9e6adc4 xmlns="c34c7f6c-aaaf-45a3-a9eb-afe48db4d6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60934758bd44d46b350733ac9e6adc4>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5197-47E4-4DCA-9CA5-A4B64E29F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c34c7f6c-aaaf-45a3-a9eb-afe48db4d66e"/>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77EF9-14D3-45D3-88F1-0D94D6A5EDDB}">
  <ds:schemaRefs>
    <ds:schemaRef ds:uri="http://schemas.microsoft.com/sharepoint/v3/contenttype/forms"/>
  </ds:schemaRefs>
</ds:datastoreItem>
</file>

<file path=customXml/itemProps3.xml><?xml version="1.0" encoding="utf-8"?>
<ds:datastoreItem xmlns:ds="http://schemas.openxmlformats.org/officeDocument/2006/customXml" ds:itemID="{B84ED367-8065-4D3B-876F-98C15F1B634B}">
  <ds:schemaRefs>
    <ds:schemaRef ds:uri="da7a9ac0-bc47-4684-84e6-3a8e9ac80c12"/>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 ds:uri="17f478ab-373e-4295-9ff0-9b833ad01319"/>
    <ds:schemaRef ds:uri="http://schemas.microsoft.com/sharepoint/v4"/>
    <ds:schemaRef ds:uri="c34c7f6c-aaaf-45a3-a9eb-afe48db4d66e"/>
    <ds:schemaRef ds:uri="http://purl.org/dc/dcmitype/"/>
  </ds:schemaRefs>
</ds:datastoreItem>
</file>

<file path=customXml/itemProps4.xml><?xml version="1.0" encoding="utf-8"?>
<ds:datastoreItem xmlns:ds="http://schemas.openxmlformats.org/officeDocument/2006/customXml" ds:itemID="{1B5864A3-0DE6-43A2-BBCF-F9E44251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11B0E889.dotm</Template>
  <TotalTime>0</TotalTime>
  <Pages>2</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20200406 - Explanatory Statement - Early release of superannuation</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20200406 - Explanatory Statement - Early release of superannuation</dc:title>
  <dc:subject/>
  <dc:creator>Harrison Knowles</dc:creator>
  <cp:keywords/>
  <dc:description/>
  <cp:lastModifiedBy>Xenia Quinn</cp:lastModifiedBy>
  <cp:revision>2</cp:revision>
  <dcterms:created xsi:type="dcterms:W3CDTF">2020-04-14T01:31:00Z</dcterms:created>
  <dcterms:modified xsi:type="dcterms:W3CDTF">2020-04-14T01:31:00Z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0x010100B5F685A1365F544391EF8C813B164F3A9500057B65281D252E4EA5C90AFA34858AB1</vt:lpwstr>
  </property>
  <property fmtid="{D5CDD505-2E9C-101B-9397-08002B2CF9AE}" pid="3" name="RecordPoint_WorkflowType">
    <vt:lpwstr>ActiveSubmitStub</vt:lpwstr>
  </property>
  <property fmtid="{D5CDD505-2E9C-101B-9397-08002B2CF9AE}" pid="4" name="RecordPoint_ActiveItemListId">
    <vt:lpwstr>{973aa0ce-f35d-47c5-8e2b-fd84519936d9}</vt:lpwstr>
  </property>
  <property fmtid="{D5CDD505-2E9C-101B-9397-08002B2CF9AE}" pid="5" name="RecordPoint_ActiveItemUniqueId">
    <vt:lpwstr>{1dc5d711-93e8-435a-8f72-b25224a6f36a}</vt:lpwstr>
  </property>
  <property fmtid="{D5CDD505-2E9C-101B-9397-08002B2CF9AE}" pid="6" name="RecordPoint_ActiveItemWebId">
    <vt:lpwstr>{c34c7f6c-aaaf-45a3-a9eb-afe48db4d66e}</vt:lpwstr>
  </property>
  <property fmtid="{D5CDD505-2E9C-101B-9397-08002B2CF9AE}" pid="7" name="RecordPoint_ActiveItemSiteId">
    <vt:lpwstr>{970ad2fa-f22f-46d1-9c2d-779d215cedf1}</vt:lpwstr>
  </property>
  <property fmtid="{D5CDD505-2E9C-101B-9397-08002B2CF9AE}" pid="8" name="RecordPoint_RecordNumberSubmitted">
    <vt:lpwstr>R20200000237845</vt:lpwstr>
  </property>
  <property fmtid="{D5CDD505-2E9C-101B-9397-08002B2CF9AE}" pid="9" name="SecurityClassification">
    <vt:lpwstr>6;#Sensitive|19fd2cb8-3e97-4464-ae71-8c2c2095d028</vt:lpwstr>
  </property>
  <property fmtid="{D5CDD505-2E9C-101B-9397-08002B2CF9AE}" pid="10" name="Order">
    <vt:r8>159300</vt:r8>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2020-04-14T10:14:10.5140887+10:00</vt:lpwstr>
  </property>
</Properties>
</file>