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34232" w14:textId="77777777" w:rsidR="00182714" w:rsidRDefault="008653D3">
      <w:pPr>
        <w:pStyle w:val="BodyText"/>
        <w:spacing w:before="0"/>
        <w:ind w:left="3290" w:firstLine="0"/>
        <w:rPr>
          <w:rFonts w:ascii="Times New Roman"/>
          <w:sz w:val="20"/>
        </w:rPr>
      </w:pPr>
      <w:bookmarkStart w:id="0" w:name="_GoBack"/>
      <w:bookmarkEnd w:id="0"/>
      <w:r>
        <w:rPr>
          <w:rFonts w:ascii="Times New Roman"/>
          <w:noProof/>
          <w:sz w:val="20"/>
          <w:lang w:eastAsia="en-AU"/>
        </w:rPr>
        <w:drawing>
          <wp:inline distT="0" distB="0" distL="0" distR="0" wp14:anchorId="4756BBD6" wp14:editId="6570EA77">
            <wp:extent cx="2110149" cy="8444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10149" cy="844486"/>
                    </a:xfrm>
                    <a:prstGeom prst="rect">
                      <a:avLst/>
                    </a:prstGeom>
                  </pic:spPr>
                </pic:pic>
              </a:graphicData>
            </a:graphic>
          </wp:inline>
        </w:drawing>
      </w:r>
    </w:p>
    <w:p w14:paraId="0F4F5288" w14:textId="77777777" w:rsidR="00182714" w:rsidRDefault="008653D3">
      <w:pPr>
        <w:pStyle w:val="BodyText"/>
        <w:spacing w:before="3"/>
        <w:ind w:left="0" w:firstLine="0"/>
        <w:rPr>
          <w:rFonts w:ascii="Times New Roman"/>
          <w:sz w:val="15"/>
        </w:rPr>
      </w:pPr>
      <w:r>
        <w:rPr>
          <w:noProof/>
          <w:lang w:eastAsia="en-AU"/>
        </w:rPr>
        <mc:AlternateContent>
          <mc:Choice Requires="wps">
            <w:drawing>
              <wp:anchor distT="0" distB="0" distL="0" distR="0" simplePos="0" relativeHeight="251658240" behindDoc="1" locked="0" layoutInCell="1" allowOverlap="1" wp14:anchorId="37DFBC62" wp14:editId="1D4ADDAF">
                <wp:simplePos x="0" y="0"/>
                <wp:positionH relativeFrom="page">
                  <wp:posOffset>895985</wp:posOffset>
                </wp:positionH>
                <wp:positionV relativeFrom="paragraph">
                  <wp:posOffset>141605</wp:posOffset>
                </wp:positionV>
                <wp:extent cx="5768340" cy="0"/>
                <wp:effectExtent l="10160" t="7620" r="12700" b="1143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25FEFE"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1.15pt" to="52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" strokeweight=".72pt">
                <w10:wrap type="topAndBottom" anchorx="page"/>
              </v:line>
            </w:pict>
          </mc:Fallback>
        </mc:AlternateContent>
      </w:r>
    </w:p>
    <w:p w14:paraId="711DE121" w14:textId="72A68F20" w:rsidR="00182714" w:rsidRPr="00FA7B28" w:rsidRDefault="008653D3" w:rsidP="00FA7B28">
      <w:pPr>
        <w:spacing w:before="70" w:line="242" w:lineRule="auto"/>
        <w:ind w:left="460" w:right="2152"/>
        <w:rPr>
          <w:rFonts w:ascii="Arial Black"/>
          <w:sz w:val="28"/>
          <w:szCs w:val="28"/>
        </w:rPr>
      </w:pPr>
      <w:r w:rsidRPr="0003137F">
        <w:rPr>
          <w:rFonts w:ascii="Arial Black"/>
          <w:sz w:val="28"/>
          <w:szCs w:val="28"/>
        </w:rPr>
        <w:t xml:space="preserve">Explanatory Statement: Remuneration Tribunal Amendment Determination (No. </w:t>
      </w:r>
      <w:r w:rsidR="00950145">
        <w:rPr>
          <w:rFonts w:ascii="Arial Black"/>
          <w:sz w:val="28"/>
          <w:szCs w:val="28"/>
        </w:rPr>
        <w:t>2</w:t>
      </w:r>
      <w:r w:rsidR="003555FA" w:rsidRPr="006C2046">
        <w:rPr>
          <w:rFonts w:ascii="Arial Black"/>
          <w:sz w:val="28"/>
          <w:szCs w:val="28"/>
        </w:rPr>
        <w:t>) 20</w:t>
      </w:r>
      <w:r w:rsidR="009260F1">
        <w:rPr>
          <w:rFonts w:ascii="Arial Black"/>
          <w:sz w:val="28"/>
          <w:szCs w:val="28"/>
        </w:rPr>
        <w:t>20</w:t>
      </w:r>
    </w:p>
    <w:p w14:paraId="225291E5" w14:textId="77777777" w:rsidR="00182714" w:rsidRDefault="008653D3">
      <w:pPr>
        <w:pStyle w:val="BodyText"/>
        <w:spacing w:before="1"/>
        <w:ind w:left="0" w:firstLine="0"/>
        <w:rPr>
          <w:rFonts w:ascii="Arial Black"/>
          <w:sz w:val="8"/>
        </w:rPr>
      </w:pPr>
      <w:r>
        <w:rPr>
          <w:noProof/>
          <w:lang w:eastAsia="en-AU"/>
        </w:rPr>
        <mc:AlternateContent>
          <mc:Choice Requires="wps">
            <w:drawing>
              <wp:anchor distT="0" distB="0" distL="0" distR="0" simplePos="0" relativeHeight="251659264" behindDoc="1" locked="0" layoutInCell="1" allowOverlap="1" wp14:anchorId="5C27537F" wp14:editId="6BBB0F91">
                <wp:simplePos x="0" y="0"/>
                <wp:positionH relativeFrom="page">
                  <wp:posOffset>895985</wp:posOffset>
                </wp:positionH>
                <wp:positionV relativeFrom="paragraph">
                  <wp:posOffset>100965</wp:posOffset>
                </wp:positionV>
                <wp:extent cx="5768340" cy="0"/>
                <wp:effectExtent l="10160" t="12065" r="12700" b="698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D47D8F"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7.95pt" to="524.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" strokeweight=".48pt">
                <w10:wrap type="topAndBottom" anchorx="page"/>
              </v:line>
            </w:pict>
          </mc:Fallback>
        </mc:AlternateContent>
      </w:r>
    </w:p>
    <w:p w14:paraId="54B3CF0A" w14:textId="77777777" w:rsidR="00182714" w:rsidRPr="00C3603A" w:rsidRDefault="008653D3">
      <w:pPr>
        <w:pStyle w:val="ListParagraph"/>
        <w:numPr>
          <w:ilvl w:val="0"/>
          <w:numId w:val="2"/>
        </w:numPr>
        <w:tabs>
          <w:tab w:val="left" w:pos="884"/>
          <w:tab w:val="left" w:pos="885"/>
        </w:tabs>
        <w:spacing w:before="88" w:line="276" w:lineRule="auto"/>
        <w:ind w:right="369"/>
      </w:pPr>
      <w:r w:rsidRPr="00C3603A">
        <w:t xml:space="preserve">The </w:t>
      </w:r>
      <w:r w:rsidRPr="00C3603A">
        <w:rPr>
          <w:i/>
          <w:iCs/>
        </w:rPr>
        <w:t xml:space="preserve">Remuneration Tribunal Act 1973 </w:t>
      </w:r>
      <w:r w:rsidRPr="00C3603A">
        <w:t>(the Act) establishes the Remuneration Tribunal (the Tribunal) as an independent statutory authority responsible for reporting on and determining the remuneration, allowances and entitlements of key Commonwealth office holders. These include Judges of Federal Courts and most full-time and part-time holders of public offices, including Specified Statutory Offices. An additional function of the Tribunal is to determine a classification structure for Principal Executive Offices and the terms and conditions applicable to each classification within the structure.</w:t>
      </w:r>
    </w:p>
    <w:p w14:paraId="111A8C1A" w14:textId="77777777" w:rsidR="00182714" w:rsidRPr="00C3603A" w:rsidRDefault="008653D3">
      <w:pPr>
        <w:pStyle w:val="Heading1"/>
      </w:pPr>
      <w:r w:rsidRPr="00C3603A">
        <w:t>Consultation</w:t>
      </w:r>
    </w:p>
    <w:p w14:paraId="427D7047" w14:textId="77777777" w:rsidR="00182714" w:rsidRPr="00C3603A" w:rsidRDefault="008653D3">
      <w:pPr>
        <w:pStyle w:val="ListParagraph"/>
        <w:numPr>
          <w:ilvl w:val="0"/>
          <w:numId w:val="2"/>
        </w:numPr>
        <w:tabs>
          <w:tab w:val="left" w:pos="884"/>
          <w:tab w:val="left" w:pos="886"/>
        </w:tabs>
        <w:spacing w:before="160" w:line="276" w:lineRule="auto"/>
        <w:ind w:right="882"/>
      </w:pPr>
      <w:r w:rsidRPr="00C3603A">
        <w:t>Section 11 of the Act advises that in the performance of its functions the Tribunal:</w:t>
      </w:r>
    </w:p>
    <w:p w14:paraId="61491B6C" w14:textId="77777777" w:rsidR="00182714" w:rsidRPr="00C3603A" w:rsidRDefault="008653D3">
      <w:pPr>
        <w:pStyle w:val="ListParagraph"/>
        <w:numPr>
          <w:ilvl w:val="1"/>
          <w:numId w:val="2"/>
        </w:numPr>
        <w:tabs>
          <w:tab w:val="left" w:pos="1309"/>
          <w:tab w:val="left" w:pos="1310"/>
        </w:tabs>
        <w:spacing w:before="120"/>
        <w:ind w:hanging="424"/>
      </w:pPr>
      <w:r w:rsidRPr="00C3603A">
        <w:t>may inform itself in such manner as it thinks fit;</w:t>
      </w:r>
    </w:p>
    <w:p w14:paraId="4CADF0F3" w14:textId="77777777" w:rsidR="00182714" w:rsidRPr="00C3603A" w:rsidRDefault="008653D3">
      <w:pPr>
        <w:pStyle w:val="ListParagraph"/>
        <w:numPr>
          <w:ilvl w:val="1"/>
          <w:numId w:val="2"/>
        </w:numPr>
        <w:tabs>
          <w:tab w:val="left" w:pos="1309"/>
          <w:tab w:val="left" w:pos="1310"/>
        </w:tabs>
        <w:spacing w:before="40"/>
        <w:ind w:hanging="424"/>
      </w:pPr>
      <w:r w:rsidRPr="00C3603A">
        <w:t>may receive written or oral statements;</w:t>
      </w:r>
    </w:p>
    <w:p w14:paraId="480177A3" w14:textId="77777777" w:rsidR="00182714" w:rsidRPr="00C3603A" w:rsidRDefault="008653D3">
      <w:pPr>
        <w:pStyle w:val="ListParagraph"/>
        <w:numPr>
          <w:ilvl w:val="1"/>
          <w:numId w:val="2"/>
        </w:numPr>
        <w:tabs>
          <w:tab w:val="left" w:pos="1309"/>
          <w:tab w:val="left" w:pos="1310"/>
        </w:tabs>
        <w:spacing w:before="37"/>
        <w:ind w:hanging="424"/>
      </w:pPr>
      <w:r w:rsidRPr="00C3603A">
        <w:t>is not required to conduct any proceeding in a formal manner; and</w:t>
      </w:r>
    </w:p>
    <w:p w14:paraId="7B578E7D" w14:textId="77777777" w:rsidR="00182714" w:rsidRPr="00C3603A" w:rsidRDefault="008653D3">
      <w:pPr>
        <w:pStyle w:val="ListParagraph"/>
        <w:numPr>
          <w:ilvl w:val="1"/>
          <w:numId w:val="2"/>
        </w:numPr>
        <w:tabs>
          <w:tab w:val="left" w:pos="1309"/>
          <w:tab w:val="left" w:pos="1310"/>
        </w:tabs>
        <w:spacing w:before="38"/>
        <w:ind w:hanging="424"/>
      </w:pPr>
      <w:r w:rsidRPr="00C3603A">
        <w:t>is not bound by the rules of evidence.</w:t>
      </w:r>
    </w:p>
    <w:p w14:paraId="69024F4A" w14:textId="77777777" w:rsidR="00182714" w:rsidRPr="00C3603A" w:rsidRDefault="008653D3">
      <w:pPr>
        <w:pStyle w:val="ListParagraph"/>
        <w:numPr>
          <w:ilvl w:val="0"/>
          <w:numId w:val="2"/>
        </w:numPr>
        <w:tabs>
          <w:tab w:val="left" w:pos="887"/>
          <w:tab w:val="left" w:pos="888"/>
        </w:tabs>
        <w:spacing w:before="158" w:line="276" w:lineRule="auto"/>
        <w:ind w:left="887" w:right="358" w:hanging="427"/>
      </w:pPr>
      <w:r w:rsidRPr="00C3603A">
        <w:t>The Tribunal normally receives submissions on remuneration from a Portfolio Minister, or a Secretary, program manager or employing body (in respect of a Principal Executive Office) with responsibility for the relevant office(s). The Tribunal will normally seek the views of the relevant Portfolio Minister prior to determining remuneration for an office.</w:t>
      </w:r>
    </w:p>
    <w:p w14:paraId="18A8A9B8" w14:textId="77777777" w:rsidR="00182714" w:rsidRPr="00C3603A" w:rsidRDefault="008653D3">
      <w:pPr>
        <w:pStyle w:val="ListParagraph"/>
        <w:numPr>
          <w:ilvl w:val="0"/>
          <w:numId w:val="2"/>
        </w:numPr>
        <w:tabs>
          <w:tab w:val="left" w:pos="887"/>
          <w:tab w:val="left" w:pos="888"/>
        </w:tabs>
        <w:spacing w:before="121" w:line="276" w:lineRule="auto"/>
        <w:ind w:left="887" w:right="499" w:hanging="427"/>
      </w:pPr>
      <w:r w:rsidRPr="00C3603A">
        <w:t>The Tribunal may reach a decision based on the information provided in the submission and other publicly available information such as portfolio budget statements, annual reports, corporate plans, legislation and media releases. On occasion it may wish to meet with relevant parties or seek further information from the relevant minister or person making the submission.</w:t>
      </w:r>
    </w:p>
    <w:p w14:paraId="1983B789" w14:textId="77777777" w:rsidR="00182714" w:rsidRPr="00C3603A" w:rsidRDefault="008653D3">
      <w:pPr>
        <w:pStyle w:val="ListParagraph"/>
        <w:numPr>
          <w:ilvl w:val="0"/>
          <w:numId w:val="2"/>
        </w:numPr>
        <w:tabs>
          <w:tab w:val="left" w:pos="885"/>
          <w:tab w:val="left" w:pos="886"/>
        </w:tabs>
        <w:spacing w:before="118" w:line="276" w:lineRule="auto"/>
        <w:ind w:right="468"/>
      </w:pPr>
      <w:r w:rsidRPr="00C3603A">
        <w:t>Amongst other relevant matters in deliberating on appropriate remuneration for an office the Tribunal informs itself on:</w:t>
      </w:r>
    </w:p>
    <w:p w14:paraId="6D24C561" w14:textId="77777777" w:rsidR="00182714" w:rsidRPr="00C3603A" w:rsidRDefault="008653D3">
      <w:pPr>
        <w:pStyle w:val="ListParagraph"/>
        <w:numPr>
          <w:ilvl w:val="1"/>
          <w:numId w:val="2"/>
        </w:numPr>
        <w:tabs>
          <w:tab w:val="left" w:pos="1310"/>
          <w:tab w:val="left" w:pos="1311"/>
        </w:tabs>
        <w:ind w:left="1310"/>
      </w:pPr>
      <w:r w:rsidRPr="00C3603A">
        <w:t>the main functions, responsibilities and accountabilities of the office;</w:t>
      </w:r>
    </w:p>
    <w:p w14:paraId="36B50670" w14:textId="77777777" w:rsidR="00182714" w:rsidRPr="00C3603A" w:rsidRDefault="008653D3">
      <w:pPr>
        <w:pStyle w:val="ListParagraph"/>
        <w:numPr>
          <w:ilvl w:val="1"/>
          <w:numId w:val="2"/>
        </w:numPr>
        <w:tabs>
          <w:tab w:val="left" w:pos="1310"/>
          <w:tab w:val="left" w:pos="1311"/>
        </w:tabs>
        <w:spacing w:before="38"/>
        <w:ind w:left="1310"/>
      </w:pPr>
      <w:r w:rsidRPr="00C3603A">
        <w:t>the organisational structure, budget and workforce;</w:t>
      </w:r>
    </w:p>
    <w:p w14:paraId="59C4B540" w14:textId="77777777" w:rsidR="00182714" w:rsidRPr="00C3603A" w:rsidRDefault="008653D3">
      <w:pPr>
        <w:pStyle w:val="ListParagraph"/>
        <w:numPr>
          <w:ilvl w:val="1"/>
          <w:numId w:val="2"/>
        </w:numPr>
        <w:tabs>
          <w:tab w:val="left" w:pos="1309"/>
          <w:tab w:val="left" w:pos="1311"/>
        </w:tabs>
        <w:spacing w:before="40" w:line="273" w:lineRule="auto"/>
        <w:ind w:left="1310" w:right="557"/>
      </w:pPr>
      <w:r w:rsidRPr="00C3603A">
        <w:t>the requisite characteristics, skills or qualifications required of the office holder(s); and</w:t>
      </w:r>
    </w:p>
    <w:p w14:paraId="6A6A4BCA" w14:textId="77777777" w:rsidR="00182714" w:rsidRPr="00C3603A" w:rsidRDefault="008653D3">
      <w:pPr>
        <w:pStyle w:val="ListParagraph"/>
        <w:numPr>
          <w:ilvl w:val="1"/>
          <w:numId w:val="2"/>
        </w:numPr>
        <w:tabs>
          <w:tab w:val="left" w:pos="1309"/>
          <w:tab w:val="left" w:pos="1311"/>
        </w:tabs>
        <w:spacing w:before="2"/>
        <w:ind w:left="1310"/>
      </w:pPr>
      <w:r w:rsidRPr="00C3603A">
        <w:t>the remuneration of similar, comparator, offices within its jurisdiction.</w:t>
      </w:r>
    </w:p>
    <w:p w14:paraId="0AEA61AC" w14:textId="77777777" w:rsidR="00182714" w:rsidRDefault="00182714">
      <w:pPr>
        <w:sectPr w:rsidR="00182714" w:rsidSect="005862A0">
          <w:type w:val="continuous"/>
          <w:pgSz w:w="11910" w:h="16840"/>
          <w:pgMar w:top="860" w:right="1080" w:bottom="280" w:left="980" w:header="720" w:footer="720" w:gutter="0"/>
          <w:cols w:space="720"/>
        </w:sectPr>
      </w:pPr>
    </w:p>
    <w:p w14:paraId="2E7DBFD2" w14:textId="4CA4504D" w:rsidR="008F5F8F" w:rsidRPr="008F5F8F" w:rsidRDefault="008F5F8F" w:rsidP="008F5F8F">
      <w:pPr>
        <w:spacing w:before="120"/>
        <w:ind w:left="460"/>
        <w:rPr>
          <w:i/>
          <w:iCs/>
        </w:rPr>
      </w:pPr>
      <w:r w:rsidRPr="008F5F8F">
        <w:rPr>
          <w:i/>
        </w:rPr>
        <w:lastRenderedPageBreak/>
        <w:t>National Sports Tribunal</w:t>
      </w:r>
      <w:r w:rsidR="00CF7A23">
        <w:rPr>
          <w:i/>
        </w:rPr>
        <w:t>, Chief Executive Officer</w:t>
      </w:r>
    </w:p>
    <w:p w14:paraId="11ADA38D" w14:textId="0670ADC1" w:rsidR="008F5F8F" w:rsidRDefault="00063FF6" w:rsidP="008F5F8F">
      <w:pPr>
        <w:pStyle w:val="ListParagraph"/>
        <w:numPr>
          <w:ilvl w:val="0"/>
          <w:numId w:val="2"/>
        </w:numPr>
        <w:spacing w:before="120"/>
        <w:rPr>
          <w:iCs/>
        </w:rPr>
      </w:pPr>
      <w:r>
        <w:rPr>
          <w:iCs/>
        </w:rPr>
        <w:t>O</w:t>
      </w:r>
      <w:r w:rsidR="008F5F8F">
        <w:rPr>
          <w:iCs/>
        </w:rPr>
        <w:t xml:space="preserve">n </w:t>
      </w:r>
      <w:r>
        <w:rPr>
          <w:iCs/>
        </w:rPr>
        <w:t xml:space="preserve">16 August 2019, Senator the Hon Richard </w:t>
      </w:r>
      <w:proofErr w:type="spellStart"/>
      <w:r>
        <w:rPr>
          <w:iCs/>
        </w:rPr>
        <w:t>Colbeck</w:t>
      </w:r>
      <w:proofErr w:type="spellEnd"/>
      <w:r>
        <w:rPr>
          <w:iCs/>
        </w:rPr>
        <w:t xml:space="preserve">, Minister for Youth and Sport, wrote to the Tribunal </w:t>
      </w:r>
      <w:r w:rsidRPr="00063FF6">
        <w:rPr>
          <w:iCs/>
        </w:rPr>
        <w:t xml:space="preserve">seeking </w:t>
      </w:r>
      <w:r w:rsidR="008C47AB">
        <w:rPr>
          <w:iCs/>
        </w:rPr>
        <w:t xml:space="preserve">an indicative determination </w:t>
      </w:r>
      <w:r w:rsidRPr="00063FF6">
        <w:rPr>
          <w:iCs/>
        </w:rPr>
        <w:t>of remuneration</w:t>
      </w:r>
      <w:r w:rsidR="008C47AB">
        <w:rPr>
          <w:iCs/>
        </w:rPr>
        <w:t xml:space="preserve"> and travel tier</w:t>
      </w:r>
      <w:r w:rsidRPr="00063FF6">
        <w:rPr>
          <w:iCs/>
        </w:rPr>
        <w:t xml:space="preserve"> for the proposed full-time office of the Chief Executive Officer (CEO) of the National Sports Tribunal, to be established by </w:t>
      </w:r>
      <w:r w:rsidR="00DC2AC2">
        <w:rPr>
          <w:iCs/>
        </w:rPr>
        <w:t xml:space="preserve">the </w:t>
      </w:r>
      <w:r w:rsidR="00DC2AC2" w:rsidRPr="00DC2AC2">
        <w:rPr>
          <w:i/>
          <w:iCs/>
        </w:rPr>
        <w:t>National Sports Tribunal Act 2019</w:t>
      </w:r>
      <w:r w:rsidR="00DC2AC2">
        <w:rPr>
          <w:i/>
          <w:iCs/>
        </w:rPr>
        <w:t xml:space="preserve"> </w:t>
      </w:r>
      <w:r w:rsidR="00DC2AC2" w:rsidRPr="00DC2AC2">
        <w:rPr>
          <w:iCs/>
        </w:rPr>
        <w:t>(the Act)</w:t>
      </w:r>
      <w:r w:rsidRPr="00063FF6">
        <w:rPr>
          <w:iCs/>
        </w:rPr>
        <w:t xml:space="preserve">.  The submission provided information on the role and responsibilities of the </w:t>
      </w:r>
      <w:r w:rsidR="00CF46BB">
        <w:rPr>
          <w:iCs/>
        </w:rPr>
        <w:t xml:space="preserve">office </w:t>
      </w:r>
      <w:r w:rsidR="00B36B54">
        <w:rPr>
          <w:iCs/>
        </w:rPr>
        <w:t xml:space="preserve">of </w:t>
      </w:r>
      <w:r w:rsidRPr="00063FF6">
        <w:rPr>
          <w:iCs/>
        </w:rPr>
        <w:t>CEO.</w:t>
      </w:r>
      <w:r w:rsidR="00CF46BB">
        <w:rPr>
          <w:iCs/>
        </w:rPr>
        <w:t xml:space="preserve">  The </w:t>
      </w:r>
      <w:r w:rsidR="000627FA">
        <w:rPr>
          <w:iCs/>
        </w:rPr>
        <w:t xml:space="preserve">Act </w:t>
      </w:r>
      <w:r w:rsidR="001A02EF">
        <w:rPr>
          <w:iCs/>
        </w:rPr>
        <w:t>commenc</w:t>
      </w:r>
      <w:r w:rsidR="000627FA">
        <w:rPr>
          <w:iCs/>
        </w:rPr>
        <w:t>ed on</w:t>
      </w:r>
      <w:r w:rsidR="001A02EF">
        <w:rPr>
          <w:iCs/>
        </w:rPr>
        <w:t xml:space="preserve"> 19 March 2020</w:t>
      </w:r>
      <w:r w:rsidR="000318DE">
        <w:rPr>
          <w:iCs/>
        </w:rPr>
        <w:t>.</w:t>
      </w:r>
    </w:p>
    <w:p w14:paraId="170BA134" w14:textId="42EBF97E" w:rsidR="00CF7A23" w:rsidRPr="008F5F8F" w:rsidRDefault="00CF7A23" w:rsidP="00CF7A23">
      <w:pPr>
        <w:spacing w:before="120"/>
        <w:ind w:left="460"/>
        <w:rPr>
          <w:i/>
          <w:iCs/>
        </w:rPr>
      </w:pPr>
      <w:r>
        <w:rPr>
          <w:i/>
        </w:rPr>
        <w:t>Superannuation amendments</w:t>
      </w:r>
    </w:p>
    <w:p w14:paraId="6000AAC4" w14:textId="076AF62A" w:rsidR="00CF7A23" w:rsidRPr="00DC2AC2" w:rsidRDefault="000A69A9" w:rsidP="00DC2AC2">
      <w:pPr>
        <w:pStyle w:val="NumberLevel1"/>
        <w:numPr>
          <w:ilvl w:val="0"/>
          <w:numId w:val="2"/>
        </w:numPr>
        <w:rPr>
          <w:iCs/>
        </w:rPr>
      </w:pPr>
      <w:r w:rsidRPr="00DC2AC2">
        <w:rPr>
          <w:rFonts w:ascii="Verdana" w:eastAsia="Verdana" w:hAnsi="Verdana" w:cs="Verdana"/>
          <w:iCs/>
          <w:lang w:eastAsia="en-US"/>
        </w:rPr>
        <w:t xml:space="preserve">Amendments have been made to the </w:t>
      </w:r>
      <w:r w:rsidRPr="00DC2AC2">
        <w:rPr>
          <w:rFonts w:ascii="Verdana" w:eastAsia="Verdana" w:hAnsi="Verdana" w:cs="Verdana"/>
          <w:i/>
          <w:iCs/>
          <w:lang w:eastAsia="en-US"/>
        </w:rPr>
        <w:t>Superannuation Guarantee (Administration) Act 1992</w:t>
      </w:r>
      <w:r w:rsidRPr="000A69A9">
        <w:rPr>
          <w:rFonts w:ascii="Verdana" w:eastAsia="Verdana" w:hAnsi="Verdana" w:cs="Verdana"/>
          <w:iCs/>
          <w:lang w:eastAsia="en-US"/>
        </w:rPr>
        <w:t xml:space="preserve"> (SG Act) </w:t>
      </w:r>
      <w:r w:rsidRPr="00DC2AC2">
        <w:rPr>
          <w:rFonts w:ascii="Verdana" w:eastAsia="Verdana" w:hAnsi="Verdana" w:cs="Verdana"/>
          <w:iCs/>
          <w:lang w:eastAsia="en-US"/>
        </w:rPr>
        <w:t xml:space="preserve">by the </w:t>
      </w:r>
      <w:r w:rsidRPr="00DC2AC2">
        <w:rPr>
          <w:rFonts w:ascii="Verdana" w:eastAsia="Verdana" w:hAnsi="Verdana" w:cs="Verdana"/>
          <w:i/>
          <w:iCs/>
          <w:lang w:eastAsia="en-US"/>
        </w:rPr>
        <w:t>Treasury Laws Amendment (2018 Superannuation Measures No. 1) Act 2019</w:t>
      </w:r>
      <w:r w:rsidRPr="00DC2AC2">
        <w:rPr>
          <w:rFonts w:ascii="Verdana" w:eastAsia="Verdana" w:hAnsi="Verdana" w:cs="Verdana"/>
          <w:iCs/>
          <w:lang w:eastAsia="en-US"/>
        </w:rPr>
        <w:t>, that allow for a person with multiple employers to opt out of the superannuation guarantee requirements in respect of a particular employer, and instead negotiate additional remuneration.</w:t>
      </w:r>
      <w:r>
        <w:rPr>
          <w:rFonts w:ascii="Verdana" w:eastAsia="Verdana" w:hAnsi="Verdana" w:cs="Verdana"/>
          <w:iCs/>
          <w:lang w:eastAsia="en-US"/>
        </w:rPr>
        <w:t xml:space="preserve">  The Department of the Treasury, Department of Finance and the Australian Government Solicitor were consulted as part of the Tribunal’s consideration of this matter.</w:t>
      </w:r>
    </w:p>
    <w:p w14:paraId="4975CE43" w14:textId="6991E30C" w:rsidR="000318DE" w:rsidRPr="000318DE" w:rsidRDefault="000318DE" w:rsidP="000318DE">
      <w:pPr>
        <w:spacing w:before="120"/>
        <w:ind w:left="460"/>
        <w:rPr>
          <w:i/>
          <w:iCs/>
        </w:rPr>
      </w:pPr>
      <w:r w:rsidRPr="000318DE">
        <w:rPr>
          <w:i/>
          <w:iCs/>
        </w:rPr>
        <w:t>National Water Grid Advisory Body</w:t>
      </w:r>
      <w:r w:rsidR="00CF7A23">
        <w:rPr>
          <w:i/>
          <w:iCs/>
        </w:rPr>
        <w:t>, Chair and Member</w:t>
      </w:r>
    </w:p>
    <w:p w14:paraId="61330858" w14:textId="2274CAB1" w:rsidR="000318DE" w:rsidRPr="008F5F8F" w:rsidRDefault="000318DE" w:rsidP="008F5F8F">
      <w:pPr>
        <w:pStyle w:val="ListParagraph"/>
        <w:numPr>
          <w:ilvl w:val="0"/>
          <w:numId w:val="2"/>
        </w:numPr>
        <w:spacing w:before="120"/>
        <w:rPr>
          <w:iCs/>
        </w:rPr>
      </w:pPr>
      <w:r>
        <w:rPr>
          <w:iCs/>
        </w:rPr>
        <w:t xml:space="preserve">On </w:t>
      </w:r>
      <w:r w:rsidRPr="00F613BB">
        <w:rPr>
          <w:iCs/>
        </w:rPr>
        <w:t>18 February 2020, the Hon Michael McCormack MP, Minister for Infrastructure, Transport and Regional Development, wrote to the</w:t>
      </w:r>
      <w:r w:rsidR="008C47AB">
        <w:rPr>
          <w:iCs/>
        </w:rPr>
        <w:t> </w:t>
      </w:r>
      <w:r w:rsidRPr="00F613BB">
        <w:rPr>
          <w:iCs/>
        </w:rPr>
        <w:t>Hon</w:t>
      </w:r>
      <w:r w:rsidR="008C47AB">
        <w:rPr>
          <w:iCs/>
        </w:rPr>
        <w:t> </w:t>
      </w:r>
      <w:r w:rsidRPr="00F613BB">
        <w:rPr>
          <w:iCs/>
        </w:rPr>
        <w:t>Greg</w:t>
      </w:r>
      <w:r w:rsidR="008C47AB">
        <w:rPr>
          <w:iCs/>
        </w:rPr>
        <w:t> </w:t>
      </w:r>
      <w:r w:rsidRPr="00F613BB">
        <w:rPr>
          <w:iCs/>
        </w:rPr>
        <w:t>Hunt MP, Minister Assisting the Prime Minister for the Public Service and Cabinet seeking his agreement to refer the</w:t>
      </w:r>
      <w:r w:rsidR="00A34C38" w:rsidRPr="00F613BB">
        <w:rPr>
          <w:iCs/>
        </w:rPr>
        <w:t xml:space="preserve"> </w:t>
      </w:r>
      <w:r w:rsidRPr="00F613BB">
        <w:rPr>
          <w:iCs/>
        </w:rPr>
        <w:t xml:space="preserve">part-time offices of Chair and Member of </w:t>
      </w:r>
      <w:r w:rsidR="00137E82">
        <w:rPr>
          <w:iCs/>
        </w:rPr>
        <w:t xml:space="preserve">the </w:t>
      </w:r>
      <w:r w:rsidRPr="00F613BB">
        <w:rPr>
          <w:iCs/>
        </w:rPr>
        <w:t>National Water Grid Advisory Body (Advisory Body) into the Tribunal’s jurisdiction, and requesting the Tribunal determine remuneration for the Advisory Body</w:t>
      </w:r>
      <w:r w:rsidR="00A34C38" w:rsidRPr="00F613BB">
        <w:rPr>
          <w:iCs/>
        </w:rPr>
        <w:t xml:space="preserve">.  On 24 February 2020, Minister Hunt wrote to the Tribunal advising the office of Chair and Member of the Advisory Body are offices to which the provisions of the </w:t>
      </w:r>
      <w:r w:rsidR="00A34C38" w:rsidRPr="00F613BB">
        <w:rPr>
          <w:i/>
          <w:iCs/>
        </w:rPr>
        <w:t>Remuneration Tribunal Act 1973</w:t>
      </w:r>
      <w:r w:rsidR="00A34C38" w:rsidRPr="00F613BB">
        <w:rPr>
          <w:iCs/>
        </w:rPr>
        <w:t xml:space="preserve"> should apply</w:t>
      </w:r>
      <w:r w:rsidR="00871F27">
        <w:rPr>
          <w:iCs/>
        </w:rPr>
        <w:t>, with effect from 1 March 2020</w:t>
      </w:r>
      <w:r w:rsidR="00A34C38" w:rsidRPr="00F613BB">
        <w:rPr>
          <w:iCs/>
        </w:rPr>
        <w:t>.</w:t>
      </w:r>
      <w:r w:rsidR="00630942">
        <w:rPr>
          <w:iCs/>
        </w:rPr>
        <w:t xml:space="preserve">  Minister Hunt attached a submission from Minister McCormack which provided information on the roles and responsibilities of the offices.</w:t>
      </w:r>
    </w:p>
    <w:p w14:paraId="0422445F" w14:textId="48B01A30" w:rsidR="00C02EEE" w:rsidRPr="00277901" w:rsidRDefault="00950145" w:rsidP="00C02EEE">
      <w:pPr>
        <w:spacing w:before="120"/>
        <w:ind w:left="460"/>
        <w:rPr>
          <w:i/>
          <w:iCs/>
        </w:rPr>
      </w:pPr>
      <w:r>
        <w:rPr>
          <w:i/>
          <w:iCs/>
        </w:rPr>
        <w:t>Defence Reserves Support Council</w:t>
      </w:r>
      <w:r w:rsidR="008C47AB">
        <w:rPr>
          <w:i/>
          <w:iCs/>
        </w:rPr>
        <w:t>, National Executive and State and Territory Chairs</w:t>
      </w:r>
    </w:p>
    <w:p w14:paraId="718906B2" w14:textId="53A5A29C" w:rsidR="002E4378" w:rsidRPr="00C94A8E" w:rsidRDefault="00950145" w:rsidP="00206FB6">
      <w:pPr>
        <w:pStyle w:val="ListParagraph"/>
        <w:numPr>
          <w:ilvl w:val="0"/>
          <w:numId w:val="2"/>
        </w:numPr>
        <w:tabs>
          <w:tab w:val="left" w:pos="884"/>
          <w:tab w:val="left" w:pos="885"/>
        </w:tabs>
        <w:spacing w:before="122" w:line="276" w:lineRule="auto"/>
        <w:ind w:right="425"/>
        <w:rPr>
          <w:iCs/>
        </w:rPr>
      </w:pPr>
      <w:r w:rsidRPr="00C94A8E">
        <w:rPr>
          <w:iCs/>
        </w:rPr>
        <w:t>In March 2020, the Tribunal received advice from the Department of Defence</w:t>
      </w:r>
      <w:r w:rsidR="00E80EE7" w:rsidRPr="00C94A8E">
        <w:rPr>
          <w:iCs/>
        </w:rPr>
        <w:t xml:space="preserve"> that the Defence Reserves Support Council</w:t>
      </w:r>
      <w:r w:rsidR="00404F64" w:rsidRPr="00C94A8E">
        <w:rPr>
          <w:iCs/>
        </w:rPr>
        <w:t xml:space="preserve"> (</w:t>
      </w:r>
      <w:proofErr w:type="spellStart"/>
      <w:r w:rsidR="00404F64" w:rsidRPr="00C94A8E">
        <w:rPr>
          <w:iCs/>
        </w:rPr>
        <w:t>DRSC</w:t>
      </w:r>
      <w:proofErr w:type="spellEnd"/>
      <w:r w:rsidR="00404F64" w:rsidRPr="00C94A8E">
        <w:rPr>
          <w:iCs/>
        </w:rPr>
        <w:t>)</w:t>
      </w:r>
      <w:r w:rsidR="00E80EE7" w:rsidRPr="00C94A8E">
        <w:rPr>
          <w:iCs/>
        </w:rPr>
        <w:t xml:space="preserve"> had been dissolved.  The Minister for Defence Personnel, the </w:t>
      </w:r>
      <w:r w:rsidR="00404F64" w:rsidRPr="00C94A8E">
        <w:rPr>
          <w:iCs/>
        </w:rPr>
        <w:t xml:space="preserve">Hon Darren Chester MP, approved the dissolution of the </w:t>
      </w:r>
      <w:proofErr w:type="spellStart"/>
      <w:r w:rsidR="00404F64" w:rsidRPr="00C94A8E">
        <w:rPr>
          <w:iCs/>
        </w:rPr>
        <w:t>DRSC</w:t>
      </w:r>
      <w:proofErr w:type="spellEnd"/>
      <w:r w:rsidR="00404F64" w:rsidRPr="00C94A8E">
        <w:rPr>
          <w:iCs/>
        </w:rPr>
        <w:t xml:space="preserve"> with effect from 31 December 2019.</w:t>
      </w:r>
    </w:p>
    <w:p w14:paraId="79370C5E" w14:textId="711B3A30" w:rsidR="005F2595" w:rsidRPr="00E15BBA" w:rsidRDefault="005F2595" w:rsidP="00E15BBA">
      <w:pPr>
        <w:spacing w:before="120"/>
        <w:ind w:left="460"/>
        <w:rPr>
          <w:i/>
          <w:iCs/>
        </w:rPr>
      </w:pPr>
      <w:r w:rsidRPr="00E15BBA">
        <w:rPr>
          <w:i/>
          <w:iCs/>
        </w:rPr>
        <w:t>Anti-Doping Rule Violation Panel</w:t>
      </w:r>
      <w:r w:rsidR="000A69A9">
        <w:rPr>
          <w:i/>
          <w:iCs/>
        </w:rPr>
        <w:t>, Chair and Member</w:t>
      </w:r>
    </w:p>
    <w:p w14:paraId="733023AD" w14:textId="5074BC70" w:rsidR="008B7BBD" w:rsidRPr="00404F64" w:rsidRDefault="00404F64" w:rsidP="007E45E0">
      <w:pPr>
        <w:pStyle w:val="ListParagraph"/>
        <w:numPr>
          <w:ilvl w:val="0"/>
          <w:numId w:val="2"/>
        </w:numPr>
        <w:tabs>
          <w:tab w:val="left" w:pos="884"/>
          <w:tab w:val="left" w:pos="885"/>
        </w:tabs>
        <w:spacing w:before="122" w:line="276" w:lineRule="auto"/>
        <w:ind w:right="425"/>
      </w:pPr>
      <w:r w:rsidRPr="00404F64">
        <w:t xml:space="preserve">In February 2020, </w:t>
      </w:r>
      <w:r w:rsidR="008B7BBD" w:rsidRPr="00404F64">
        <w:t xml:space="preserve">the </w:t>
      </w:r>
      <w:r w:rsidR="001A5F1C" w:rsidRPr="00404F64">
        <w:t>Anti-Doping Rule Violation Panel</w:t>
      </w:r>
      <w:r w:rsidRPr="00404F64">
        <w:t xml:space="preserve"> </w:t>
      </w:r>
      <w:r w:rsidR="00F613BB">
        <w:t xml:space="preserve">(the Panel) was removed </w:t>
      </w:r>
      <w:r w:rsidRPr="00404F64">
        <w:t xml:space="preserve">from the </w:t>
      </w:r>
      <w:r w:rsidR="0022381A" w:rsidRPr="00F613BB">
        <w:rPr>
          <w:i/>
        </w:rPr>
        <w:t>Remuneration Tribunal (Remuneration and Allowances for Holders of Part-time Public Office) Determination 2019</w:t>
      </w:r>
      <w:r w:rsidR="008C47AB">
        <w:rPr>
          <w:i/>
        </w:rPr>
        <w:t xml:space="preserve"> </w:t>
      </w:r>
      <w:r w:rsidR="008C47AB">
        <w:t>in error</w:t>
      </w:r>
      <w:r w:rsidR="00F613BB">
        <w:t>.</w:t>
      </w:r>
      <w:r w:rsidR="00DC2AC2">
        <w:t xml:space="preserve">  The Department of Health </w:t>
      </w:r>
      <w:r w:rsidR="003D1A60">
        <w:t>was</w:t>
      </w:r>
      <w:r w:rsidR="00DC2AC2">
        <w:t xml:space="preserve"> consulted in relation to this error.  </w:t>
      </w:r>
      <w:r w:rsidR="00F613BB">
        <w:t>Remuneration for the panel has not changed.</w:t>
      </w:r>
    </w:p>
    <w:p w14:paraId="4C8E918B" w14:textId="1EC61BE4" w:rsidR="00182714" w:rsidRPr="003C7A0A" w:rsidRDefault="008653D3" w:rsidP="003C7A0A">
      <w:pPr>
        <w:tabs>
          <w:tab w:val="left" w:pos="884"/>
          <w:tab w:val="left" w:pos="885"/>
        </w:tabs>
        <w:spacing w:before="120" w:line="276" w:lineRule="auto"/>
        <w:ind w:left="460" w:right="425"/>
        <w:rPr>
          <w:b/>
        </w:rPr>
      </w:pPr>
      <w:r w:rsidRPr="003C7A0A">
        <w:rPr>
          <w:b/>
        </w:rPr>
        <w:t>Retrospectivity</w:t>
      </w:r>
    </w:p>
    <w:p w14:paraId="147268FA" w14:textId="77777777" w:rsidR="00182714" w:rsidRPr="00C3603A" w:rsidRDefault="008653D3" w:rsidP="005862A0">
      <w:pPr>
        <w:pStyle w:val="ListParagraph"/>
        <w:numPr>
          <w:ilvl w:val="0"/>
          <w:numId w:val="2"/>
        </w:numPr>
        <w:tabs>
          <w:tab w:val="left" w:pos="886"/>
        </w:tabs>
        <w:spacing w:before="122" w:line="276" w:lineRule="auto"/>
        <w:ind w:right="425"/>
      </w:pPr>
      <w:r w:rsidRPr="00C3603A">
        <w:t xml:space="preserve">Any retrospective application of this determination is in accordance with subsection 12(2) of the </w:t>
      </w:r>
      <w:r w:rsidRPr="00C3603A">
        <w:rPr>
          <w:i/>
          <w:iCs/>
        </w:rPr>
        <w:t xml:space="preserve">Legislation Act 2003 </w:t>
      </w:r>
      <w:r w:rsidRPr="00C3603A">
        <w:t>as it does not affect the rights of a person (other than the Commonwealth or an authority of the Commonwealth) to that person’s disadvantage, nor does it impose any liability on such a person.</w:t>
      </w:r>
    </w:p>
    <w:p w14:paraId="0A5AB565" w14:textId="77777777" w:rsidR="00630942" w:rsidRDefault="00630942">
      <w:pPr>
        <w:rPr>
          <w:b/>
          <w:bCs/>
        </w:rPr>
      </w:pPr>
      <w:r>
        <w:br w:type="page"/>
      </w:r>
    </w:p>
    <w:p w14:paraId="0431EC61" w14:textId="39C9B612" w:rsidR="00182714" w:rsidRPr="00C3603A" w:rsidRDefault="008653D3" w:rsidP="005862A0">
      <w:pPr>
        <w:pStyle w:val="Heading1"/>
        <w:spacing w:before="121"/>
      </w:pPr>
      <w:r w:rsidRPr="00C3603A">
        <w:lastRenderedPageBreak/>
        <w:t>The power to repeal, rescind and revoke, amend and vary</w:t>
      </w:r>
    </w:p>
    <w:p w14:paraId="1D26D3BC" w14:textId="08BC2A48" w:rsidR="000078DD" w:rsidRPr="00C3603A" w:rsidRDefault="008653D3" w:rsidP="005862A0">
      <w:pPr>
        <w:pStyle w:val="ListParagraph"/>
        <w:numPr>
          <w:ilvl w:val="0"/>
          <w:numId w:val="2"/>
        </w:numPr>
        <w:tabs>
          <w:tab w:val="left" w:pos="885"/>
        </w:tabs>
        <w:spacing w:before="122" w:line="276" w:lineRule="auto"/>
        <w:ind w:right="425"/>
      </w:pPr>
      <w:r w:rsidRPr="00C3603A">
        <w:t xml:space="preserve">Under subsection 33(3) of the </w:t>
      </w:r>
      <w:r w:rsidRPr="00A8093D">
        <w:rPr>
          <w:i/>
        </w:rPr>
        <w:t>Acts Interpretation Act 1901</w:t>
      </w:r>
      <w:r w:rsidRPr="00C3603A">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0899711" w14:textId="77777777" w:rsidR="00182714" w:rsidRPr="00C3603A" w:rsidRDefault="008653D3" w:rsidP="00A15936">
      <w:pPr>
        <w:pStyle w:val="Heading1"/>
        <w:spacing w:before="121"/>
      </w:pPr>
      <w:r w:rsidRPr="00C3603A">
        <w:t>Details of the determination are as follows:</w:t>
      </w:r>
    </w:p>
    <w:p w14:paraId="29753C99" w14:textId="77777777" w:rsidR="00182714" w:rsidRPr="00C3603A" w:rsidRDefault="008653D3" w:rsidP="005862A0">
      <w:pPr>
        <w:pStyle w:val="ListParagraph"/>
        <w:numPr>
          <w:ilvl w:val="0"/>
          <w:numId w:val="2"/>
        </w:numPr>
        <w:tabs>
          <w:tab w:val="left" w:pos="885"/>
        </w:tabs>
        <w:spacing w:before="181"/>
      </w:pPr>
      <w:r w:rsidRPr="00C3603A">
        <w:t>Section 1 specifies the name of the instrument.</w:t>
      </w:r>
    </w:p>
    <w:p w14:paraId="11A26FC2" w14:textId="77777777" w:rsidR="00182714" w:rsidRPr="00C3603A" w:rsidRDefault="008653D3" w:rsidP="005862A0">
      <w:pPr>
        <w:pStyle w:val="ListParagraph"/>
        <w:numPr>
          <w:ilvl w:val="0"/>
          <w:numId w:val="2"/>
        </w:numPr>
        <w:tabs>
          <w:tab w:val="left" w:pos="885"/>
        </w:tabs>
        <w:spacing w:before="160"/>
      </w:pPr>
      <w:r w:rsidRPr="00C3603A">
        <w:t>Section 2 specifies when the instrument commences.</w:t>
      </w:r>
    </w:p>
    <w:p w14:paraId="1FA62578" w14:textId="77777777" w:rsidR="00182714" w:rsidRPr="00C3603A" w:rsidRDefault="008653D3" w:rsidP="005862A0">
      <w:pPr>
        <w:pStyle w:val="ListParagraph"/>
        <w:numPr>
          <w:ilvl w:val="0"/>
          <w:numId w:val="2"/>
        </w:numPr>
        <w:tabs>
          <w:tab w:val="left" w:pos="885"/>
        </w:tabs>
        <w:spacing w:before="160"/>
      </w:pPr>
      <w:r w:rsidRPr="00C3603A">
        <w:t>Section 3 specifies the authority for the instrument.</w:t>
      </w:r>
    </w:p>
    <w:p w14:paraId="43F824B7" w14:textId="77777777" w:rsidR="00182714" w:rsidRPr="00C3603A" w:rsidRDefault="008653D3" w:rsidP="005862A0">
      <w:pPr>
        <w:pStyle w:val="ListParagraph"/>
        <w:numPr>
          <w:ilvl w:val="0"/>
          <w:numId w:val="2"/>
        </w:numPr>
        <w:tabs>
          <w:tab w:val="left" w:pos="885"/>
        </w:tabs>
        <w:spacing w:before="160" w:line="276" w:lineRule="auto"/>
        <w:ind w:right="832"/>
      </w:pPr>
      <w:r w:rsidRPr="00C3603A">
        <w:t>Section 4 outlines the effect of instruments specified in a Schedule to the instrument.</w:t>
      </w:r>
    </w:p>
    <w:p w14:paraId="21A55C32" w14:textId="29A46984" w:rsidR="00182714" w:rsidRDefault="008653D3" w:rsidP="005862A0">
      <w:pPr>
        <w:pStyle w:val="ListParagraph"/>
        <w:numPr>
          <w:ilvl w:val="0"/>
          <w:numId w:val="2"/>
        </w:numPr>
        <w:tabs>
          <w:tab w:val="left" w:pos="884"/>
        </w:tabs>
        <w:spacing w:line="278" w:lineRule="auto"/>
        <w:ind w:right="692"/>
      </w:pPr>
      <w:r w:rsidRPr="00C3603A">
        <w:t>Schedule 1 sets out the amendments made to the instruments specified in Schedule 1.</w:t>
      </w:r>
    </w:p>
    <w:p w14:paraId="2370A8BF" w14:textId="77777777" w:rsidR="00C002B7" w:rsidRPr="00C3603A" w:rsidRDefault="00C002B7" w:rsidP="00DC2AC2">
      <w:pPr>
        <w:tabs>
          <w:tab w:val="left" w:pos="884"/>
        </w:tabs>
        <w:spacing w:line="278" w:lineRule="auto"/>
        <w:ind w:left="460" w:right="692"/>
      </w:pPr>
    </w:p>
    <w:p w14:paraId="386FC0E1" w14:textId="4656C5F8" w:rsidR="00AC0D3B" w:rsidRDefault="00AC0D3B" w:rsidP="00DC2AC2">
      <w:pPr>
        <w:pStyle w:val="Heading1"/>
        <w:spacing w:before="117"/>
        <w:ind w:left="0"/>
      </w:pPr>
      <w:r w:rsidRPr="00CA1E2C">
        <w:t>SCHEDULE 1—AMENDMENTS</w:t>
      </w:r>
    </w:p>
    <w:p w14:paraId="723F8540" w14:textId="28D1C410" w:rsidR="00C662A9" w:rsidRPr="00CA1E2C" w:rsidRDefault="00206FB6" w:rsidP="00C662A9">
      <w:pPr>
        <w:pStyle w:val="Heading1"/>
        <w:spacing w:before="121"/>
      </w:pPr>
      <w:r>
        <w:t>Part 1</w:t>
      </w:r>
      <w:r w:rsidR="00C662A9">
        <w:t>—Main amendments</w:t>
      </w:r>
    </w:p>
    <w:p w14:paraId="0CD4E3B6" w14:textId="77777777" w:rsidR="00206FB6" w:rsidRDefault="00206FB6" w:rsidP="00206FB6">
      <w:pPr>
        <w:pStyle w:val="Heading2"/>
      </w:pPr>
      <w:r w:rsidRPr="00CA1E2C">
        <w:t>Remuneration Tribunal (Remuneration and Allowances for Holders of Full-time Public Office) Determination 201</w:t>
      </w:r>
      <w:r>
        <w:t>9</w:t>
      </w:r>
    </w:p>
    <w:p w14:paraId="315FEB87" w14:textId="2478E9E0" w:rsidR="00C662A9" w:rsidRDefault="00206FB6" w:rsidP="00296BA6">
      <w:pPr>
        <w:pStyle w:val="ListParagraph"/>
        <w:numPr>
          <w:ilvl w:val="0"/>
          <w:numId w:val="2"/>
        </w:numPr>
        <w:tabs>
          <w:tab w:val="left" w:pos="884"/>
        </w:tabs>
        <w:spacing w:before="121" w:line="276" w:lineRule="auto"/>
        <w:ind w:right="12"/>
      </w:pPr>
      <w:r>
        <w:t>Item 1</w:t>
      </w:r>
      <w:r w:rsidR="00C662A9">
        <w:t xml:space="preserve"> </w:t>
      </w:r>
      <w:r w:rsidR="00312C04">
        <w:t>sets</w:t>
      </w:r>
      <w:r w:rsidR="00C662A9">
        <w:t xml:space="preserve"> remuneration and travel tier for </w:t>
      </w:r>
      <w:r w:rsidR="00380DC3">
        <w:t xml:space="preserve">the </w:t>
      </w:r>
      <w:r w:rsidR="00D56FE0">
        <w:t xml:space="preserve">office of </w:t>
      </w:r>
      <w:r w:rsidR="00166E37">
        <w:t xml:space="preserve">the </w:t>
      </w:r>
      <w:r>
        <w:t xml:space="preserve">Chief Executive Officer of </w:t>
      </w:r>
      <w:r w:rsidR="00994CBD">
        <w:t xml:space="preserve">the </w:t>
      </w:r>
      <w:r w:rsidR="00F613BB">
        <w:t>National Sports Tribunal</w:t>
      </w:r>
      <w:r w:rsidR="00C662A9">
        <w:t>.</w:t>
      </w:r>
    </w:p>
    <w:p w14:paraId="349E35AC" w14:textId="4225032A" w:rsidR="00F613BB" w:rsidRDefault="00B46EC2" w:rsidP="00296BA6">
      <w:pPr>
        <w:pStyle w:val="ListParagraph"/>
        <w:numPr>
          <w:ilvl w:val="0"/>
          <w:numId w:val="2"/>
        </w:numPr>
        <w:tabs>
          <w:tab w:val="left" w:pos="884"/>
        </w:tabs>
        <w:spacing w:before="121" w:line="276" w:lineRule="auto"/>
        <w:ind w:right="12"/>
      </w:pPr>
      <w:r>
        <w:t xml:space="preserve">Item 2 inserts </w:t>
      </w:r>
      <w:r w:rsidR="00F613BB">
        <w:t xml:space="preserve">the date from which remuneration applies for the office of </w:t>
      </w:r>
      <w:r w:rsidR="00994CBD">
        <w:t xml:space="preserve">the </w:t>
      </w:r>
      <w:r w:rsidR="00F613BB">
        <w:t xml:space="preserve">Chief Executive Officer of </w:t>
      </w:r>
      <w:r w:rsidR="00994CBD">
        <w:t xml:space="preserve">the </w:t>
      </w:r>
      <w:r w:rsidR="00F613BB">
        <w:t>National Sports Tribunal.</w:t>
      </w:r>
    </w:p>
    <w:p w14:paraId="14BF4AEE" w14:textId="77777777" w:rsidR="00F613BB" w:rsidRPr="00F613BB" w:rsidRDefault="00F613BB" w:rsidP="00F613BB">
      <w:pPr>
        <w:tabs>
          <w:tab w:val="left" w:pos="884"/>
        </w:tabs>
        <w:spacing w:before="121" w:line="276" w:lineRule="auto"/>
        <w:ind w:left="460" w:right="12"/>
        <w:rPr>
          <w:b/>
          <w:bCs/>
          <w:i/>
        </w:rPr>
      </w:pPr>
      <w:r w:rsidRPr="00F613BB">
        <w:rPr>
          <w:b/>
          <w:bCs/>
          <w:i/>
        </w:rPr>
        <w:t>Remuneration Tribunal (Remuneration and Allowances for Holders of Part-time Public Office) Determination 2019</w:t>
      </w:r>
    </w:p>
    <w:p w14:paraId="6D2CD26F" w14:textId="1C56A31A" w:rsidR="00830C23" w:rsidRDefault="00AC6026" w:rsidP="00296BA6">
      <w:pPr>
        <w:pStyle w:val="ListParagraph"/>
        <w:numPr>
          <w:ilvl w:val="0"/>
          <w:numId w:val="2"/>
        </w:numPr>
        <w:tabs>
          <w:tab w:val="left" w:pos="884"/>
        </w:tabs>
        <w:spacing w:before="121" w:line="276" w:lineRule="auto"/>
        <w:ind w:right="12"/>
      </w:pPr>
      <w:r>
        <w:t>Item 3</w:t>
      </w:r>
      <w:r w:rsidR="00830C23">
        <w:t xml:space="preserve"> inserts various definitions in relation to superannuation schemes.</w:t>
      </w:r>
    </w:p>
    <w:p w14:paraId="4A10A01B" w14:textId="25B63189" w:rsidR="00830C23" w:rsidRDefault="00AC6026" w:rsidP="00296BA6">
      <w:pPr>
        <w:pStyle w:val="ListParagraph"/>
        <w:numPr>
          <w:ilvl w:val="0"/>
          <w:numId w:val="2"/>
        </w:numPr>
        <w:tabs>
          <w:tab w:val="left" w:pos="884"/>
        </w:tabs>
        <w:spacing w:before="121" w:line="276" w:lineRule="auto"/>
        <w:ind w:right="12"/>
      </w:pPr>
      <w:r>
        <w:t>Item 4</w:t>
      </w:r>
      <w:r w:rsidR="00830C23">
        <w:t xml:space="preserve"> provides an increase in remuneration for an office holder in receipt of an employer shortfall exemption certification, in certain circumstances.</w:t>
      </w:r>
    </w:p>
    <w:p w14:paraId="2444F74E" w14:textId="72C2CBEB" w:rsidR="002E0600" w:rsidRDefault="00AC6026" w:rsidP="00296BA6">
      <w:pPr>
        <w:pStyle w:val="ListParagraph"/>
        <w:numPr>
          <w:ilvl w:val="0"/>
          <w:numId w:val="2"/>
        </w:numPr>
        <w:tabs>
          <w:tab w:val="left" w:pos="884"/>
        </w:tabs>
        <w:spacing w:before="121" w:line="276" w:lineRule="auto"/>
        <w:ind w:right="12"/>
      </w:pPr>
      <w:r>
        <w:t>Item 5</w:t>
      </w:r>
      <w:r w:rsidR="00F613BB">
        <w:t xml:space="preserve"> sets remuneration and travel tier for the offices of </w:t>
      </w:r>
      <w:r w:rsidR="002E0600">
        <w:t xml:space="preserve">Chair and Member of </w:t>
      </w:r>
      <w:r w:rsidR="00166E37">
        <w:t xml:space="preserve">the </w:t>
      </w:r>
      <w:r w:rsidR="002E0600">
        <w:t>National Water Grid Advisory Body.</w:t>
      </w:r>
    </w:p>
    <w:p w14:paraId="4B7C3C1C" w14:textId="53920355" w:rsidR="002E0600" w:rsidRDefault="00AC6026" w:rsidP="00296BA6">
      <w:pPr>
        <w:pStyle w:val="ListParagraph"/>
        <w:numPr>
          <w:ilvl w:val="0"/>
          <w:numId w:val="2"/>
        </w:numPr>
        <w:tabs>
          <w:tab w:val="left" w:pos="884"/>
        </w:tabs>
        <w:spacing w:before="121" w:line="276" w:lineRule="auto"/>
        <w:ind w:right="12"/>
      </w:pPr>
      <w:r>
        <w:t>Item 6</w:t>
      </w:r>
      <w:r w:rsidR="002E0600">
        <w:t xml:space="preserve"> removes </w:t>
      </w:r>
      <w:r w:rsidR="00166E37">
        <w:t xml:space="preserve">the </w:t>
      </w:r>
      <w:r w:rsidR="002E0600">
        <w:t>Defence Reserves Support Council National Executive.</w:t>
      </w:r>
    </w:p>
    <w:p w14:paraId="4787EBFB" w14:textId="12ECB3E7" w:rsidR="002E0600" w:rsidRDefault="00AC6026" w:rsidP="00296BA6">
      <w:pPr>
        <w:pStyle w:val="ListParagraph"/>
        <w:numPr>
          <w:ilvl w:val="0"/>
          <w:numId w:val="2"/>
        </w:numPr>
        <w:tabs>
          <w:tab w:val="left" w:pos="884"/>
        </w:tabs>
        <w:spacing w:before="121" w:line="276" w:lineRule="auto"/>
        <w:ind w:right="12"/>
      </w:pPr>
      <w:r>
        <w:t>Item 7</w:t>
      </w:r>
      <w:r w:rsidR="002E0600">
        <w:t xml:space="preserve"> inserts remuneration and travel tier for the offices of Chair and Member of </w:t>
      </w:r>
      <w:r w:rsidR="00166E37">
        <w:t xml:space="preserve">the </w:t>
      </w:r>
      <w:r w:rsidR="002E0600">
        <w:t>Anti-Doping Rule Violation Panel.</w:t>
      </w:r>
    </w:p>
    <w:p w14:paraId="291C28A2" w14:textId="7B23E09E" w:rsidR="002E0600" w:rsidRDefault="00AC6026" w:rsidP="00296BA6">
      <w:pPr>
        <w:pStyle w:val="ListParagraph"/>
        <w:numPr>
          <w:ilvl w:val="0"/>
          <w:numId w:val="2"/>
        </w:numPr>
        <w:tabs>
          <w:tab w:val="left" w:pos="884"/>
        </w:tabs>
        <w:spacing w:before="121" w:line="276" w:lineRule="auto"/>
        <w:ind w:right="12"/>
      </w:pPr>
      <w:r>
        <w:t>Item 8</w:t>
      </w:r>
      <w:r w:rsidR="002E0600">
        <w:t xml:space="preserve"> removes </w:t>
      </w:r>
      <w:r w:rsidR="00166E37">
        <w:t xml:space="preserve">the </w:t>
      </w:r>
      <w:r w:rsidR="002E0600">
        <w:t>Defence Reserves Support Council – State and Territory Chairs.</w:t>
      </w:r>
    </w:p>
    <w:p w14:paraId="0CF54C12" w14:textId="65A05881" w:rsidR="002E0600" w:rsidRDefault="00AC6026" w:rsidP="003A545A">
      <w:pPr>
        <w:pStyle w:val="ListParagraph"/>
        <w:numPr>
          <w:ilvl w:val="0"/>
          <w:numId w:val="2"/>
        </w:numPr>
        <w:tabs>
          <w:tab w:val="left" w:pos="884"/>
        </w:tabs>
        <w:spacing w:before="121" w:line="276" w:lineRule="auto"/>
        <w:ind w:right="12"/>
      </w:pPr>
      <w:r>
        <w:t>Item 9</w:t>
      </w:r>
      <w:r w:rsidR="002E0600">
        <w:t xml:space="preserve"> inserts </w:t>
      </w:r>
      <w:r w:rsidR="001A02EF">
        <w:t xml:space="preserve">the </w:t>
      </w:r>
      <w:r w:rsidR="00522FDF">
        <w:t xml:space="preserve">application and transitional provisions </w:t>
      </w:r>
      <w:r w:rsidR="001A02EF">
        <w:t xml:space="preserve">for the office of </w:t>
      </w:r>
      <w:r w:rsidR="00830C23">
        <w:t xml:space="preserve">the </w:t>
      </w:r>
      <w:r w:rsidR="001A02EF">
        <w:t xml:space="preserve">Chief Executive Officer of </w:t>
      </w:r>
      <w:r w:rsidR="00166E37">
        <w:t xml:space="preserve">the </w:t>
      </w:r>
      <w:r w:rsidR="001A02EF">
        <w:t>National Sports Tribunal</w:t>
      </w:r>
      <w:r w:rsidR="0094437A">
        <w:t xml:space="preserve"> and </w:t>
      </w:r>
      <w:r w:rsidR="00522FDF">
        <w:t xml:space="preserve">the </w:t>
      </w:r>
      <w:r w:rsidR="0094437A">
        <w:t>offices of Chair and Member of</w:t>
      </w:r>
      <w:r w:rsidR="00830C23">
        <w:t xml:space="preserve"> the</w:t>
      </w:r>
      <w:r w:rsidR="0094437A">
        <w:t xml:space="preserve"> Anti-Doping Rule Violation Panel</w:t>
      </w:r>
      <w:r w:rsidR="001A02EF">
        <w:t>.</w:t>
      </w:r>
    </w:p>
    <w:p w14:paraId="27F4FC4D" w14:textId="11A5AA80" w:rsidR="00182714" w:rsidRPr="00C533EE" w:rsidRDefault="008653D3" w:rsidP="00206FB6">
      <w:pPr>
        <w:tabs>
          <w:tab w:val="left" w:pos="884"/>
        </w:tabs>
        <w:spacing w:before="121" w:line="276" w:lineRule="auto"/>
        <w:ind w:left="460" w:right="12"/>
      </w:pPr>
      <w:r w:rsidRPr="00206FB6">
        <w:rPr>
          <w:b/>
          <w:bCs/>
        </w:rPr>
        <w:t xml:space="preserve">Authority: </w:t>
      </w:r>
      <w:r>
        <w:t xml:space="preserve">subsections 7(3) and (4) </w:t>
      </w:r>
      <w:r w:rsidR="00C533EE" w:rsidRPr="00206FB6">
        <w:rPr>
          <w:i/>
          <w:iCs/>
        </w:rPr>
        <w:t xml:space="preserve">Remuneration </w:t>
      </w:r>
      <w:r w:rsidRPr="00206FB6">
        <w:rPr>
          <w:i/>
          <w:iCs/>
        </w:rPr>
        <w:t>Tribunal Act 1973</w:t>
      </w:r>
    </w:p>
    <w:p w14:paraId="7C7FE219" w14:textId="77777777" w:rsidR="00182714" w:rsidRDefault="00182714">
      <w:pPr>
        <w:sectPr w:rsidR="00182714" w:rsidSect="001C0AFA">
          <w:footerReference w:type="default" r:id="rId13"/>
          <w:pgSz w:w="11910" w:h="16840"/>
          <w:pgMar w:top="1135" w:right="995" w:bottom="780" w:left="980" w:header="0" w:footer="597" w:gutter="0"/>
          <w:cols w:space="720"/>
        </w:sectPr>
      </w:pPr>
    </w:p>
    <w:p w14:paraId="630A871F" w14:textId="17F9D7A6" w:rsidR="0059147A" w:rsidRDefault="0059147A" w:rsidP="00FA7B28">
      <w:pPr>
        <w:pStyle w:val="BodyText"/>
        <w:tabs>
          <w:tab w:val="left" w:pos="3195"/>
        </w:tabs>
        <w:spacing w:before="3"/>
        <w:ind w:left="0" w:firstLine="0"/>
        <w:jc w:val="center"/>
        <w:rPr>
          <w:noProof/>
          <w:lang w:eastAsia="en-AU"/>
        </w:rPr>
      </w:pPr>
    </w:p>
    <w:p w14:paraId="322EB545" w14:textId="0CEFA55A" w:rsidR="00182714" w:rsidRPr="00FA7B28" w:rsidRDefault="008653D3" w:rsidP="00FA7B28">
      <w:pPr>
        <w:pStyle w:val="BodyText"/>
        <w:tabs>
          <w:tab w:val="left" w:pos="3195"/>
        </w:tabs>
        <w:spacing w:before="3"/>
        <w:ind w:left="0" w:firstLine="0"/>
        <w:jc w:val="center"/>
        <w:rPr>
          <w:b/>
          <w:bCs/>
        </w:rPr>
      </w:pPr>
      <w:r w:rsidRPr="006C2046">
        <w:rPr>
          <w:b/>
          <w:bCs/>
        </w:rPr>
        <w:t>Statement of Compatibility with Human Rights</w:t>
      </w:r>
    </w:p>
    <w:p w14:paraId="44ECF56D" w14:textId="77777777" w:rsidR="00182714" w:rsidRDefault="00182714">
      <w:pPr>
        <w:pStyle w:val="BodyText"/>
        <w:spacing w:before="8"/>
        <w:ind w:left="0" w:firstLine="0"/>
        <w:rPr>
          <w:b/>
          <w:sz w:val="19"/>
        </w:rPr>
      </w:pPr>
    </w:p>
    <w:p w14:paraId="5668A2F1" w14:textId="77777777" w:rsidR="00580B0C" w:rsidRPr="00FA7B28" w:rsidRDefault="00580B0C">
      <w:pPr>
        <w:ind w:left="142" w:right="863"/>
        <w:rPr>
          <w:i/>
          <w:iCs/>
        </w:rPr>
      </w:pPr>
      <w:r w:rsidRPr="006C2046">
        <w:rPr>
          <w:i/>
          <w:iCs/>
        </w:rPr>
        <w:t>Prepared in accordance with Part 3 of the Human Rights (Parliamentary Scrutiny) Act</w:t>
      </w:r>
      <w:r w:rsidRPr="006C2046">
        <w:rPr>
          <w:i/>
          <w:iCs/>
          <w:spacing w:val="-19"/>
        </w:rPr>
        <w:t xml:space="preserve"> </w:t>
      </w:r>
      <w:r w:rsidRPr="006C2046">
        <w:rPr>
          <w:i/>
          <w:iCs/>
        </w:rPr>
        <w:t>2011.</w:t>
      </w:r>
    </w:p>
    <w:p w14:paraId="073FCACD" w14:textId="65B6AC82" w:rsidR="00580B0C" w:rsidRDefault="00580B0C" w:rsidP="2528B3AD">
      <w:pPr>
        <w:pStyle w:val="Heading1"/>
        <w:spacing w:before="120"/>
        <w:ind w:left="1115" w:hanging="973"/>
      </w:pPr>
      <w:r>
        <w:t xml:space="preserve">Remuneration Tribunal Amendment Determination (No. </w:t>
      </w:r>
      <w:r w:rsidR="00C002B7">
        <w:t>2</w:t>
      </w:r>
      <w:r>
        <w:t>) 20</w:t>
      </w:r>
      <w:r w:rsidR="00C002B7">
        <w:t>20</w:t>
      </w:r>
    </w:p>
    <w:p w14:paraId="3553C662" w14:textId="77777777" w:rsidR="00580B0C" w:rsidRPr="00FA7B28" w:rsidRDefault="00580B0C" w:rsidP="00FA7B28">
      <w:pPr>
        <w:spacing w:before="122"/>
        <w:ind w:left="142" w:right="458"/>
        <w:rPr>
          <w:i/>
          <w:iCs/>
        </w:rPr>
      </w:pPr>
      <w:r>
        <w:t xml:space="preserve">This Legislative Instrument is compatible with the human rights and freedoms recognised or declared in the international instruments listed in section 3 of the </w:t>
      </w:r>
      <w:r w:rsidRPr="006C2046">
        <w:rPr>
          <w:i/>
          <w:iCs/>
        </w:rPr>
        <w:t>Human Rights (Parliamentary Scrutiny) Act 2011.</w:t>
      </w:r>
    </w:p>
    <w:p w14:paraId="69EE6202" w14:textId="77777777" w:rsidR="00580B0C" w:rsidRDefault="00580B0C" w:rsidP="2528B3AD">
      <w:pPr>
        <w:pStyle w:val="Heading1"/>
        <w:ind w:left="112"/>
      </w:pPr>
      <w:r>
        <w:t>Overview of the Legislative Instrument</w:t>
      </w:r>
    </w:p>
    <w:p w14:paraId="7932E0B5" w14:textId="77777777" w:rsidR="00580B0C" w:rsidRDefault="00580B0C" w:rsidP="2528B3AD">
      <w:pPr>
        <w:pStyle w:val="BodyText"/>
        <w:ind w:left="112" w:firstLine="0"/>
      </w:pPr>
      <w:r>
        <w:t>This determination amends principal determinations:</w:t>
      </w:r>
    </w:p>
    <w:p w14:paraId="06D36FF6" w14:textId="2F0EEE45" w:rsidR="005A3E94" w:rsidRDefault="00580B0C" w:rsidP="00FA7B28">
      <w:pPr>
        <w:pStyle w:val="ListParagraph"/>
        <w:numPr>
          <w:ilvl w:val="0"/>
          <w:numId w:val="1"/>
        </w:numPr>
        <w:tabs>
          <w:tab w:val="left" w:pos="709"/>
        </w:tabs>
        <w:spacing w:before="124" w:line="237" w:lineRule="auto"/>
        <w:ind w:left="426" w:right="331"/>
        <w:rPr>
          <w:i/>
          <w:iCs/>
        </w:rPr>
      </w:pPr>
      <w:r w:rsidRPr="006C2046">
        <w:rPr>
          <w:i/>
          <w:iCs/>
        </w:rPr>
        <w:t>Remuneration Tribunal (Remuneration and Allowances for Holders of Full-Time Public Office) Determination</w:t>
      </w:r>
      <w:r w:rsidRPr="006C2046">
        <w:rPr>
          <w:i/>
          <w:iCs/>
          <w:spacing w:val="-4"/>
        </w:rPr>
        <w:t xml:space="preserve"> </w:t>
      </w:r>
      <w:r w:rsidRPr="006C2046">
        <w:rPr>
          <w:i/>
          <w:iCs/>
        </w:rPr>
        <w:t>20</w:t>
      </w:r>
      <w:r w:rsidR="00621511">
        <w:rPr>
          <w:i/>
          <w:iCs/>
        </w:rPr>
        <w:t>19</w:t>
      </w:r>
      <w:r w:rsidRPr="006C2046">
        <w:rPr>
          <w:i/>
          <w:iCs/>
        </w:rPr>
        <w:t>;</w:t>
      </w:r>
      <w:r w:rsidR="009304B6">
        <w:rPr>
          <w:i/>
          <w:iCs/>
        </w:rPr>
        <w:t>and</w:t>
      </w:r>
    </w:p>
    <w:p w14:paraId="2465B174" w14:textId="3EF88B3A" w:rsidR="00D56FE0" w:rsidRDefault="00580B0C" w:rsidP="005E18C4">
      <w:pPr>
        <w:pStyle w:val="ListParagraph"/>
        <w:numPr>
          <w:ilvl w:val="0"/>
          <w:numId w:val="1"/>
        </w:numPr>
        <w:tabs>
          <w:tab w:val="left" w:pos="709"/>
        </w:tabs>
        <w:spacing w:before="0"/>
        <w:ind w:left="426" w:right="273"/>
        <w:rPr>
          <w:i/>
          <w:iCs/>
        </w:rPr>
      </w:pPr>
      <w:r w:rsidRPr="00C3603A">
        <w:rPr>
          <w:i/>
          <w:iCs/>
        </w:rPr>
        <w:t>Remuneration Tribunal (Remuneration and Allowances for Holders of Part-Time Public Office) Determination 2019</w:t>
      </w:r>
      <w:r w:rsidR="005A3E94">
        <w:rPr>
          <w:i/>
          <w:iCs/>
        </w:rPr>
        <w:t>.</w:t>
      </w:r>
    </w:p>
    <w:p w14:paraId="60B3E00D" w14:textId="3A30A325" w:rsidR="00EE4DE4" w:rsidRDefault="00580B0C" w:rsidP="00EE4DE4">
      <w:pPr>
        <w:pStyle w:val="BodyText"/>
        <w:ind w:left="112" w:firstLine="0"/>
      </w:pPr>
      <w:r>
        <w:t>The determination:</w:t>
      </w:r>
    </w:p>
    <w:p w14:paraId="52F5162D" w14:textId="21D131CA" w:rsidR="00874D34" w:rsidRDefault="00874D34" w:rsidP="00EE4DE4">
      <w:pPr>
        <w:pStyle w:val="BodyText"/>
        <w:numPr>
          <w:ilvl w:val="0"/>
          <w:numId w:val="6"/>
        </w:numPr>
        <w:spacing w:before="116"/>
      </w:pPr>
      <w:r>
        <w:t xml:space="preserve">sets </w:t>
      </w:r>
      <w:r w:rsidR="00CE1E29">
        <w:t xml:space="preserve">the </w:t>
      </w:r>
      <w:r>
        <w:t>remuneration</w:t>
      </w:r>
      <w:r w:rsidR="0096124E">
        <w:t xml:space="preserve"> and</w:t>
      </w:r>
      <w:r>
        <w:t xml:space="preserve"> travel tier</w:t>
      </w:r>
      <w:r w:rsidR="00293EDE">
        <w:t xml:space="preserve"> for</w:t>
      </w:r>
      <w:r>
        <w:t xml:space="preserve"> </w:t>
      </w:r>
      <w:r w:rsidR="0096124E">
        <w:t xml:space="preserve">the office of </w:t>
      </w:r>
      <w:r w:rsidR="004E2B7A">
        <w:t xml:space="preserve">Chief Executive Officer of </w:t>
      </w:r>
      <w:r w:rsidR="00C002B7">
        <w:t xml:space="preserve">the </w:t>
      </w:r>
      <w:r w:rsidR="00871F27">
        <w:t>National Sports Tribunal</w:t>
      </w:r>
      <w:r w:rsidR="009304B6">
        <w:t xml:space="preserve"> </w:t>
      </w:r>
      <w:r w:rsidR="00E24B5D">
        <w:t>in the full</w:t>
      </w:r>
      <w:r w:rsidR="00C94A8E">
        <w:t>-</w:t>
      </w:r>
      <w:r w:rsidR="00E24B5D">
        <w:t>time office jurisdiction</w:t>
      </w:r>
      <w:r>
        <w:t>;</w:t>
      </w:r>
    </w:p>
    <w:p w14:paraId="716FCC4D" w14:textId="6E02C136" w:rsidR="004B0056" w:rsidRDefault="004B0056" w:rsidP="00EE4DE4">
      <w:pPr>
        <w:pStyle w:val="BodyText"/>
        <w:numPr>
          <w:ilvl w:val="0"/>
          <w:numId w:val="6"/>
        </w:numPr>
        <w:spacing w:before="116"/>
      </w:pPr>
      <w:r>
        <w:t>inserts various definitions in relation to superannuation schemes into the part-time office determination;</w:t>
      </w:r>
    </w:p>
    <w:p w14:paraId="6ACAA7C2" w14:textId="2E584146" w:rsidR="004B0056" w:rsidRDefault="004B0056" w:rsidP="00EE4DE4">
      <w:pPr>
        <w:pStyle w:val="BodyText"/>
        <w:numPr>
          <w:ilvl w:val="0"/>
          <w:numId w:val="6"/>
        </w:numPr>
        <w:spacing w:before="116"/>
      </w:pPr>
      <w:r>
        <w:t>provides an increase in remuneration for an office holder in receipt of an employer s</w:t>
      </w:r>
      <w:r w:rsidR="009D367E">
        <w:t>hortfall exemption certificate</w:t>
      </w:r>
      <w:r w:rsidR="009D367E" w:rsidRPr="009D367E">
        <w:t xml:space="preserve"> </w:t>
      </w:r>
      <w:r w:rsidR="009D367E">
        <w:t xml:space="preserve">issued </w:t>
      </w:r>
      <w:r w:rsidR="009D367E" w:rsidRPr="008A4A6A">
        <w:t xml:space="preserve">under the </w:t>
      </w:r>
      <w:r w:rsidR="009D367E" w:rsidRPr="008A4A6A">
        <w:rPr>
          <w:i/>
        </w:rPr>
        <w:t>Superannuation Guarantee (Administration) Act 1992</w:t>
      </w:r>
      <w:r>
        <w:t>, in certain circumstances, in the part-time office jurisdiction;</w:t>
      </w:r>
    </w:p>
    <w:p w14:paraId="44BC091A" w14:textId="2C04D27E" w:rsidR="0058342D" w:rsidRDefault="00C002B7" w:rsidP="00EE4DE4">
      <w:pPr>
        <w:pStyle w:val="BodyText"/>
        <w:numPr>
          <w:ilvl w:val="0"/>
          <w:numId w:val="6"/>
        </w:numPr>
        <w:spacing w:before="116"/>
      </w:pPr>
      <w:r>
        <w:t>s</w:t>
      </w:r>
      <w:r w:rsidR="00871F27">
        <w:t xml:space="preserve">ets the remuneration and travel tier for the offices of Chair and Member of </w:t>
      </w:r>
      <w:r>
        <w:t xml:space="preserve">the </w:t>
      </w:r>
      <w:r w:rsidR="00871F27">
        <w:t>National Water Grid Advisory Body in the part-time office jurisdiction</w:t>
      </w:r>
      <w:r w:rsidR="0058342D">
        <w:t>;</w:t>
      </w:r>
    </w:p>
    <w:p w14:paraId="4ABCA0D3" w14:textId="5FDC35B9" w:rsidR="00871F27" w:rsidRDefault="00AF4457" w:rsidP="00AF4457">
      <w:pPr>
        <w:pStyle w:val="BodyText"/>
        <w:numPr>
          <w:ilvl w:val="0"/>
          <w:numId w:val="6"/>
        </w:numPr>
        <w:spacing w:before="116"/>
      </w:pPr>
      <w:r>
        <w:t xml:space="preserve">removes all reference to </w:t>
      </w:r>
      <w:r w:rsidR="00C002B7">
        <w:t xml:space="preserve">the </w:t>
      </w:r>
      <w:r w:rsidR="00871F27">
        <w:t xml:space="preserve">Defence Reserves Support Council National Executive </w:t>
      </w:r>
      <w:r w:rsidR="00C94A8E">
        <w:t xml:space="preserve">and </w:t>
      </w:r>
      <w:r w:rsidR="00C002B7">
        <w:t xml:space="preserve">the </w:t>
      </w:r>
      <w:r w:rsidR="00C94A8E">
        <w:t xml:space="preserve">Defence Reserves Support Council – State and Territory Chairs </w:t>
      </w:r>
      <w:r w:rsidR="00871F27">
        <w:t>from the part-time office jurisdiction;</w:t>
      </w:r>
    </w:p>
    <w:p w14:paraId="7E8FF1B4" w14:textId="500BE864" w:rsidR="00871F27" w:rsidRDefault="00C002B7" w:rsidP="00AF4457">
      <w:pPr>
        <w:pStyle w:val="BodyText"/>
        <w:numPr>
          <w:ilvl w:val="0"/>
          <w:numId w:val="6"/>
        </w:numPr>
        <w:spacing w:before="116"/>
      </w:pPr>
      <w:r>
        <w:t>r</w:t>
      </w:r>
      <w:r w:rsidR="00871F27">
        <w:t xml:space="preserve">einserts remuneration and travel tier for the offices of Chair and Member of </w:t>
      </w:r>
      <w:r w:rsidR="00166E37">
        <w:t xml:space="preserve">the </w:t>
      </w:r>
      <w:r w:rsidR="00871F27">
        <w:t>Anti-doping Rule Violation Panel in the part-time office jurisdiction.</w:t>
      </w:r>
    </w:p>
    <w:p w14:paraId="1D40028F" w14:textId="2BF5CD64" w:rsidR="00182714" w:rsidRDefault="00580B0C">
      <w:pPr>
        <w:pStyle w:val="BodyText"/>
        <w:ind w:left="114" w:right="606" w:firstLine="0"/>
      </w:pPr>
      <w:r>
        <w:t>The instrument maintains the principle of fair, and current, remuneration for work performed.</w:t>
      </w:r>
    </w:p>
    <w:p w14:paraId="3BAEF1C1" w14:textId="77777777" w:rsidR="00182714" w:rsidRDefault="00182714">
      <w:pPr>
        <w:pStyle w:val="BodyText"/>
        <w:spacing w:before="9"/>
        <w:ind w:left="0" w:firstLine="0"/>
        <w:rPr>
          <w:sz w:val="19"/>
        </w:rPr>
      </w:pPr>
    </w:p>
    <w:p w14:paraId="417D4FBB" w14:textId="77777777" w:rsidR="00182714" w:rsidRDefault="008653D3">
      <w:pPr>
        <w:pStyle w:val="Heading1"/>
        <w:spacing w:before="0"/>
        <w:ind w:left="114"/>
      </w:pPr>
      <w:r>
        <w:t>Human rights implications</w:t>
      </w:r>
    </w:p>
    <w:p w14:paraId="7F2F7091" w14:textId="73AB7DE8" w:rsidR="006372BD" w:rsidRDefault="008653D3">
      <w:pPr>
        <w:pStyle w:val="BodyText"/>
        <w:spacing w:before="122"/>
        <w:ind w:left="114" w:firstLine="0"/>
      </w:pPr>
      <w:r>
        <w:t>This Legislative Instrument does not engage any of the applicable rights or freedoms.</w:t>
      </w:r>
      <w:r w:rsidR="00EE4DE4">
        <w:t xml:space="preserve"> </w:t>
      </w:r>
    </w:p>
    <w:p w14:paraId="69B10927" w14:textId="77777777" w:rsidR="00182714" w:rsidRDefault="00182714">
      <w:pPr>
        <w:pStyle w:val="BodyText"/>
        <w:spacing w:before="8"/>
        <w:ind w:left="0" w:firstLine="0"/>
        <w:rPr>
          <w:sz w:val="19"/>
        </w:rPr>
      </w:pPr>
    </w:p>
    <w:p w14:paraId="47B901CC" w14:textId="77777777" w:rsidR="00182714" w:rsidRDefault="008653D3">
      <w:pPr>
        <w:pStyle w:val="Heading1"/>
        <w:spacing w:before="0"/>
        <w:ind w:left="114"/>
      </w:pPr>
      <w:r>
        <w:t>Conclusion</w:t>
      </w:r>
    </w:p>
    <w:p w14:paraId="1F86C6C7" w14:textId="77777777" w:rsidR="00182714" w:rsidRDefault="008653D3">
      <w:pPr>
        <w:pStyle w:val="BodyText"/>
        <w:ind w:left="114" w:right="410" w:firstLine="0"/>
      </w:pPr>
      <w:r>
        <w:t>This Legislative Instrument is compatible with human rights as it does not raise any human rights issues.</w:t>
      </w:r>
    </w:p>
    <w:p w14:paraId="108487B4" w14:textId="51807AD8" w:rsidR="00182714" w:rsidRDefault="008653D3">
      <w:pPr>
        <w:pStyle w:val="Heading1"/>
        <w:spacing w:before="120"/>
        <w:ind w:left="3282"/>
      </w:pPr>
      <w:r>
        <w:t>The Remuneration Tribunal</w:t>
      </w:r>
    </w:p>
    <w:sectPr w:rsidR="00182714" w:rsidSect="0011562F">
      <w:pgSz w:w="11910" w:h="16840"/>
      <w:pgMar w:top="851" w:right="853" w:bottom="280" w:left="980" w:header="0" w:footer="79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08D54" w14:textId="77777777" w:rsidR="005E2309" w:rsidRDefault="005E2309">
      <w:r>
        <w:separator/>
      </w:r>
    </w:p>
  </w:endnote>
  <w:endnote w:type="continuationSeparator" w:id="0">
    <w:p w14:paraId="650E9641" w14:textId="77777777" w:rsidR="005E2309" w:rsidRDefault="005E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1010" w14:textId="77777777" w:rsidR="00182714" w:rsidRDefault="008653D3">
    <w:pPr>
      <w:pStyle w:val="BodyText"/>
      <w:spacing w:before="0" w:line="14" w:lineRule="auto"/>
      <w:ind w:left="0" w:firstLine="0"/>
      <w:rPr>
        <w:sz w:val="20"/>
      </w:rPr>
    </w:pPr>
    <w:r>
      <w:rPr>
        <w:noProof/>
        <w:lang w:eastAsia="en-AU"/>
      </w:rPr>
      <mc:AlternateContent>
        <mc:Choice Requires="wps">
          <w:drawing>
            <wp:anchor distT="0" distB="0" distL="114300" distR="114300" simplePos="0" relativeHeight="251657728" behindDoc="1" locked="0" layoutInCell="1" allowOverlap="1" wp14:anchorId="6E4C5146" wp14:editId="00D6EF35">
              <wp:simplePos x="0" y="0"/>
              <wp:positionH relativeFrom="page">
                <wp:posOffset>3722370</wp:posOffset>
              </wp:positionH>
              <wp:positionV relativeFrom="page">
                <wp:posOffset>10173970</wp:posOffset>
              </wp:positionV>
              <wp:extent cx="114300" cy="165735"/>
              <wp:effectExtent l="0" t="1270" r="190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C28AE" w14:textId="558303AF" w:rsidR="00182714" w:rsidRDefault="008653D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E60597">
                            <w:rPr>
                              <w:rFonts w:ascii="Times New Roman"/>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pt;margin-top:801.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" filled="f" stroked="f">
              <v:textbox inset="0,0,0,0">
                <w:txbxContent>
                  <w:p w14:paraId="337C28AE" w14:textId="558303AF" w:rsidR="00182714" w:rsidRDefault="008653D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E60597">
                      <w:rPr>
                        <w:rFonts w:ascii="Times New Roman"/>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C9870" w14:textId="77777777" w:rsidR="005E2309" w:rsidRDefault="005E2309">
      <w:r>
        <w:separator/>
      </w:r>
    </w:p>
  </w:footnote>
  <w:footnote w:type="continuationSeparator" w:id="0">
    <w:p w14:paraId="31173144" w14:textId="77777777" w:rsidR="005E2309" w:rsidRDefault="005E2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D206D61E"/>
    <w:lvl w:ilvl="0">
      <w:start w:val="1"/>
      <w:numFmt w:val="decimal"/>
      <w:lvlText w:val="%1."/>
      <w:lvlJc w:val="left"/>
      <w:pPr>
        <w:ind w:left="562" w:hanging="425"/>
      </w:pPr>
      <w:rPr>
        <w:rFonts w:ascii="Verdana" w:hAnsi="Verdana" w:cs="Verdana"/>
        <w:b w:val="0"/>
        <w:bCs w:val="0"/>
        <w:i w:val="0"/>
        <w:w w:val="99"/>
        <w:sz w:val="20"/>
        <w:szCs w:val="20"/>
      </w:rPr>
    </w:lvl>
    <w:lvl w:ilvl="1">
      <w:numFmt w:val="bullet"/>
      <w:lvlText w:val=""/>
      <w:lvlJc w:val="left"/>
      <w:pPr>
        <w:ind w:left="986" w:hanging="425"/>
      </w:pPr>
      <w:rPr>
        <w:rFonts w:ascii="Symbol" w:hAnsi="Symbol"/>
        <w:b w:val="0"/>
        <w:w w:val="99"/>
        <w:sz w:val="20"/>
      </w:rPr>
    </w:lvl>
    <w:lvl w:ilvl="2">
      <w:numFmt w:val="bullet"/>
      <w:lvlText w:val="•"/>
      <w:lvlJc w:val="left"/>
      <w:pPr>
        <w:ind w:left="1951" w:hanging="425"/>
      </w:pPr>
    </w:lvl>
    <w:lvl w:ilvl="3">
      <w:numFmt w:val="bullet"/>
      <w:lvlText w:val="•"/>
      <w:lvlJc w:val="left"/>
      <w:pPr>
        <w:ind w:left="2923" w:hanging="425"/>
      </w:pPr>
    </w:lvl>
    <w:lvl w:ilvl="4">
      <w:numFmt w:val="bullet"/>
      <w:lvlText w:val="•"/>
      <w:lvlJc w:val="left"/>
      <w:pPr>
        <w:ind w:left="3895" w:hanging="425"/>
      </w:pPr>
    </w:lvl>
    <w:lvl w:ilvl="5">
      <w:numFmt w:val="bullet"/>
      <w:lvlText w:val="•"/>
      <w:lvlJc w:val="left"/>
      <w:pPr>
        <w:ind w:left="4867" w:hanging="425"/>
      </w:pPr>
    </w:lvl>
    <w:lvl w:ilvl="6">
      <w:numFmt w:val="bullet"/>
      <w:lvlText w:val="•"/>
      <w:lvlJc w:val="left"/>
      <w:pPr>
        <w:ind w:left="5839" w:hanging="425"/>
      </w:pPr>
    </w:lvl>
    <w:lvl w:ilvl="7">
      <w:numFmt w:val="bullet"/>
      <w:lvlText w:val="•"/>
      <w:lvlJc w:val="left"/>
      <w:pPr>
        <w:ind w:left="6810" w:hanging="425"/>
      </w:pPr>
    </w:lvl>
    <w:lvl w:ilvl="8">
      <w:numFmt w:val="bullet"/>
      <w:lvlText w:val="•"/>
      <w:lvlJc w:val="left"/>
      <w:pPr>
        <w:ind w:left="7782" w:hanging="425"/>
      </w:pPr>
    </w:lvl>
  </w:abstractNum>
  <w:abstractNum w:abstractNumId="1">
    <w:nsid w:val="05397E4D"/>
    <w:multiLevelType w:val="hybridMultilevel"/>
    <w:tmpl w:val="12EEAB3C"/>
    <w:lvl w:ilvl="0" w:tplc="FD764978">
      <w:start w:val="1"/>
      <w:numFmt w:val="decimal"/>
      <w:lvlText w:val="%1."/>
      <w:lvlJc w:val="left"/>
      <w:pPr>
        <w:ind w:left="885" w:hanging="425"/>
      </w:pPr>
      <w:rPr>
        <w:rFonts w:ascii="Verdana" w:eastAsia="Verdana" w:hAnsi="Verdana" w:cs="Verdana"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2">
    <w:nsid w:val="0F113784"/>
    <w:multiLevelType w:val="hybridMultilevel"/>
    <w:tmpl w:val="C2908D9C"/>
    <w:lvl w:ilvl="0" w:tplc="FD764978">
      <w:start w:val="1"/>
      <w:numFmt w:val="decimal"/>
      <w:lvlText w:val="%1."/>
      <w:lvlJc w:val="left"/>
      <w:pPr>
        <w:ind w:left="885" w:hanging="425"/>
      </w:pPr>
      <w:rPr>
        <w:rFonts w:ascii="Verdana" w:eastAsia="Verdana" w:hAnsi="Verdana" w:cs="Verdana"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3">
    <w:nsid w:val="104C6D75"/>
    <w:multiLevelType w:val="hybridMultilevel"/>
    <w:tmpl w:val="01240FA2"/>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4">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nsid w:val="1D155FFC"/>
    <w:multiLevelType w:val="hybridMultilevel"/>
    <w:tmpl w:val="18F268C6"/>
    <w:lvl w:ilvl="0" w:tplc="E7B2469A">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6">
    <w:nsid w:val="252C36F4"/>
    <w:multiLevelType w:val="hybridMultilevel"/>
    <w:tmpl w:val="F02A438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7">
    <w:nsid w:val="2EA36701"/>
    <w:multiLevelType w:val="hybridMultilevel"/>
    <w:tmpl w:val="25F460F4"/>
    <w:lvl w:ilvl="0" w:tplc="6B18DF1C">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8">
    <w:nsid w:val="46DA65E9"/>
    <w:multiLevelType w:val="hybridMultilevel"/>
    <w:tmpl w:val="EA460ED8"/>
    <w:lvl w:ilvl="0" w:tplc="918C30B4">
      <w:start w:val="1"/>
      <w:numFmt w:val="decimal"/>
      <w:lvlText w:val="%1."/>
      <w:lvlJc w:val="left"/>
      <w:pPr>
        <w:ind w:left="885" w:hanging="425"/>
      </w:pPr>
      <w:rPr>
        <w:rFonts w:ascii="Verdana" w:eastAsia="Verdana" w:hAnsi="Verdana" w:cs="Verdana" w:hint="default"/>
        <w:i w:val="0"/>
        <w:spacing w:val="-2"/>
        <w:w w:val="100"/>
        <w:sz w:val="22"/>
        <w:szCs w:val="22"/>
      </w:rPr>
    </w:lvl>
    <w:lvl w:ilvl="1" w:tplc="A3C40A34">
      <w:numFmt w:val="bullet"/>
      <w:lvlText w:val=""/>
      <w:lvlJc w:val="left"/>
      <w:pPr>
        <w:ind w:left="1309" w:hanging="425"/>
      </w:pPr>
      <w:rPr>
        <w:rFonts w:ascii="Symbol" w:eastAsia="Symbol" w:hAnsi="Symbol" w:cs="Symbol" w:hint="default"/>
        <w:w w:val="100"/>
        <w:sz w:val="22"/>
        <w:szCs w:val="22"/>
      </w:rPr>
    </w:lvl>
    <w:lvl w:ilvl="2" w:tplc="A7A869F6">
      <w:numFmt w:val="bullet"/>
      <w:lvlText w:val="•"/>
      <w:lvlJc w:val="left"/>
      <w:pPr>
        <w:ind w:left="1320" w:hanging="425"/>
      </w:pPr>
      <w:rPr>
        <w:rFonts w:hint="default"/>
      </w:rPr>
    </w:lvl>
    <w:lvl w:ilvl="3" w:tplc="5F0CCA32">
      <w:numFmt w:val="bullet"/>
      <w:lvlText w:val="•"/>
      <w:lvlJc w:val="left"/>
      <w:pPr>
        <w:ind w:left="2385" w:hanging="425"/>
      </w:pPr>
      <w:rPr>
        <w:rFonts w:hint="default"/>
      </w:rPr>
    </w:lvl>
    <w:lvl w:ilvl="4" w:tplc="745EDEA6">
      <w:numFmt w:val="bullet"/>
      <w:lvlText w:val="•"/>
      <w:lvlJc w:val="left"/>
      <w:pPr>
        <w:ind w:left="3451" w:hanging="425"/>
      </w:pPr>
      <w:rPr>
        <w:rFonts w:hint="default"/>
      </w:rPr>
    </w:lvl>
    <w:lvl w:ilvl="5" w:tplc="271A53CE">
      <w:numFmt w:val="bullet"/>
      <w:lvlText w:val="•"/>
      <w:lvlJc w:val="left"/>
      <w:pPr>
        <w:ind w:left="4517" w:hanging="425"/>
      </w:pPr>
      <w:rPr>
        <w:rFonts w:hint="default"/>
      </w:rPr>
    </w:lvl>
    <w:lvl w:ilvl="6" w:tplc="8A58EE7A">
      <w:numFmt w:val="bullet"/>
      <w:lvlText w:val="•"/>
      <w:lvlJc w:val="left"/>
      <w:pPr>
        <w:ind w:left="5583" w:hanging="425"/>
      </w:pPr>
      <w:rPr>
        <w:rFonts w:hint="default"/>
      </w:rPr>
    </w:lvl>
    <w:lvl w:ilvl="7" w:tplc="5B9C0172">
      <w:numFmt w:val="bullet"/>
      <w:lvlText w:val="•"/>
      <w:lvlJc w:val="left"/>
      <w:pPr>
        <w:ind w:left="6649" w:hanging="425"/>
      </w:pPr>
      <w:rPr>
        <w:rFonts w:hint="default"/>
      </w:rPr>
    </w:lvl>
    <w:lvl w:ilvl="8" w:tplc="CD4C5C14">
      <w:numFmt w:val="bullet"/>
      <w:lvlText w:val="•"/>
      <w:lvlJc w:val="left"/>
      <w:pPr>
        <w:ind w:left="7714" w:hanging="425"/>
      </w:pPr>
      <w:rPr>
        <w:rFonts w:hint="default"/>
      </w:rPr>
    </w:lvl>
  </w:abstractNum>
  <w:abstractNum w:abstractNumId="9">
    <w:nsid w:val="47537C0F"/>
    <w:multiLevelType w:val="hybridMultilevel"/>
    <w:tmpl w:val="29224078"/>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0">
    <w:nsid w:val="4BBC40C7"/>
    <w:multiLevelType w:val="hybridMultilevel"/>
    <w:tmpl w:val="8FCE5CB4"/>
    <w:lvl w:ilvl="0" w:tplc="E196FC6A">
      <w:numFmt w:val="bullet"/>
      <w:lvlText w:val=""/>
      <w:lvlJc w:val="left"/>
      <w:pPr>
        <w:ind w:left="833" w:hanging="361"/>
      </w:pPr>
      <w:rPr>
        <w:rFonts w:ascii="Symbol" w:eastAsia="Symbol" w:hAnsi="Symbol" w:cs="Symbol" w:hint="default"/>
        <w:w w:val="100"/>
        <w:sz w:val="22"/>
        <w:szCs w:val="22"/>
      </w:rPr>
    </w:lvl>
    <w:lvl w:ilvl="1" w:tplc="2C668F5C">
      <w:numFmt w:val="bullet"/>
      <w:lvlText w:val="•"/>
      <w:lvlJc w:val="left"/>
      <w:pPr>
        <w:ind w:left="1740" w:hanging="361"/>
      </w:pPr>
      <w:rPr>
        <w:rFonts w:hint="default"/>
      </w:rPr>
    </w:lvl>
    <w:lvl w:ilvl="2" w:tplc="4984E190">
      <w:numFmt w:val="bullet"/>
      <w:lvlText w:val="•"/>
      <w:lvlJc w:val="left"/>
      <w:pPr>
        <w:ind w:left="2641" w:hanging="361"/>
      </w:pPr>
      <w:rPr>
        <w:rFonts w:hint="default"/>
      </w:rPr>
    </w:lvl>
    <w:lvl w:ilvl="3" w:tplc="DFF07D78">
      <w:numFmt w:val="bullet"/>
      <w:lvlText w:val="•"/>
      <w:lvlJc w:val="left"/>
      <w:pPr>
        <w:ind w:left="3541" w:hanging="361"/>
      </w:pPr>
      <w:rPr>
        <w:rFonts w:hint="default"/>
      </w:rPr>
    </w:lvl>
    <w:lvl w:ilvl="4" w:tplc="E74E33CA">
      <w:numFmt w:val="bullet"/>
      <w:lvlText w:val="•"/>
      <w:lvlJc w:val="left"/>
      <w:pPr>
        <w:ind w:left="4442" w:hanging="361"/>
      </w:pPr>
      <w:rPr>
        <w:rFonts w:hint="default"/>
      </w:rPr>
    </w:lvl>
    <w:lvl w:ilvl="5" w:tplc="18C20E90">
      <w:numFmt w:val="bullet"/>
      <w:lvlText w:val="•"/>
      <w:lvlJc w:val="left"/>
      <w:pPr>
        <w:ind w:left="5343" w:hanging="361"/>
      </w:pPr>
      <w:rPr>
        <w:rFonts w:hint="default"/>
      </w:rPr>
    </w:lvl>
    <w:lvl w:ilvl="6" w:tplc="2C063F0C">
      <w:numFmt w:val="bullet"/>
      <w:lvlText w:val="•"/>
      <w:lvlJc w:val="left"/>
      <w:pPr>
        <w:ind w:left="6243" w:hanging="361"/>
      </w:pPr>
      <w:rPr>
        <w:rFonts w:hint="default"/>
      </w:rPr>
    </w:lvl>
    <w:lvl w:ilvl="7" w:tplc="2374854A">
      <w:numFmt w:val="bullet"/>
      <w:lvlText w:val="•"/>
      <w:lvlJc w:val="left"/>
      <w:pPr>
        <w:ind w:left="7144" w:hanging="361"/>
      </w:pPr>
      <w:rPr>
        <w:rFonts w:hint="default"/>
      </w:rPr>
    </w:lvl>
    <w:lvl w:ilvl="8" w:tplc="CDDC2B60">
      <w:numFmt w:val="bullet"/>
      <w:lvlText w:val="•"/>
      <w:lvlJc w:val="left"/>
      <w:pPr>
        <w:ind w:left="8045" w:hanging="361"/>
      </w:pPr>
      <w:rPr>
        <w:rFonts w:hint="default"/>
      </w:rPr>
    </w:lvl>
  </w:abstractNum>
  <w:abstractNum w:abstractNumId="11">
    <w:nsid w:val="58AA3457"/>
    <w:multiLevelType w:val="hybridMultilevel"/>
    <w:tmpl w:val="F1D4E0D4"/>
    <w:lvl w:ilvl="0" w:tplc="6B18DF1C">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2">
    <w:nsid w:val="5A355E08"/>
    <w:multiLevelType w:val="hybridMultilevel"/>
    <w:tmpl w:val="E7E60C00"/>
    <w:lvl w:ilvl="0" w:tplc="E7B2469A">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3">
    <w:nsid w:val="5B9E0C8D"/>
    <w:multiLevelType w:val="hybridMultilevel"/>
    <w:tmpl w:val="97AE7DF0"/>
    <w:lvl w:ilvl="0" w:tplc="0C090001">
      <w:start w:val="1"/>
      <w:numFmt w:val="bullet"/>
      <w:lvlText w:val=""/>
      <w:lvlJc w:val="left"/>
      <w:pPr>
        <w:ind w:left="429" w:hanging="360"/>
      </w:pPr>
      <w:rPr>
        <w:rFonts w:ascii="Symbol" w:hAnsi="Symbol" w:hint="default"/>
      </w:rPr>
    </w:lvl>
    <w:lvl w:ilvl="1" w:tplc="0C090003" w:tentative="1">
      <w:start w:val="1"/>
      <w:numFmt w:val="bullet"/>
      <w:lvlText w:val="o"/>
      <w:lvlJc w:val="left"/>
      <w:pPr>
        <w:ind w:left="1149" w:hanging="360"/>
      </w:pPr>
      <w:rPr>
        <w:rFonts w:ascii="Courier New" w:hAnsi="Courier New" w:cs="Courier New" w:hint="default"/>
      </w:rPr>
    </w:lvl>
    <w:lvl w:ilvl="2" w:tplc="0C090005" w:tentative="1">
      <w:start w:val="1"/>
      <w:numFmt w:val="bullet"/>
      <w:lvlText w:val=""/>
      <w:lvlJc w:val="left"/>
      <w:pPr>
        <w:ind w:left="1869" w:hanging="360"/>
      </w:pPr>
      <w:rPr>
        <w:rFonts w:ascii="Wingdings" w:hAnsi="Wingdings" w:hint="default"/>
      </w:rPr>
    </w:lvl>
    <w:lvl w:ilvl="3" w:tplc="0C090001" w:tentative="1">
      <w:start w:val="1"/>
      <w:numFmt w:val="bullet"/>
      <w:lvlText w:val=""/>
      <w:lvlJc w:val="left"/>
      <w:pPr>
        <w:ind w:left="2589" w:hanging="360"/>
      </w:pPr>
      <w:rPr>
        <w:rFonts w:ascii="Symbol" w:hAnsi="Symbol" w:hint="default"/>
      </w:rPr>
    </w:lvl>
    <w:lvl w:ilvl="4" w:tplc="0C090003" w:tentative="1">
      <w:start w:val="1"/>
      <w:numFmt w:val="bullet"/>
      <w:lvlText w:val="o"/>
      <w:lvlJc w:val="left"/>
      <w:pPr>
        <w:ind w:left="3309" w:hanging="360"/>
      </w:pPr>
      <w:rPr>
        <w:rFonts w:ascii="Courier New" w:hAnsi="Courier New" w:cs="Courier New" w:hint="default"/>
      </w:rPr>
    </w:lvl>
    <w:lvl w:ilvl="5" w:tplc="0C090005" w:tentative="1">
      <w:start w:val="1"/>
      <w:numFmt w:val="bullet"/>
      <w:lvlText w:val=""/>
      <w:lvlJc w:val="left"/>
      <w:pPr>
        <w:ind w:left="4029" w:hanging="360"/>
      </w:pPr>
      <w:rPr>
        <w:rFonts w:ascii="Wingdings" w:hAnsi="Wingdings" w:hint="default"/>
      </w:rPr>
    </w:lvl>
    <w:lvl w:ilvl="6" w:tplc="0C090001" w:tentative="1">
      <w:start w:val="1"/>
      <w:numFmt w:val="bullet"/>
      <w:lvlText w:val=""/>
      <w:lvlJc w:val="left"/>
      <w:pPr>
        <w:ind w:left="4749" w:hanging="360"/>
      </w:pPr>
      <w:rPr>
        <w:rFonts w:ascii="Symbol" w:hAnsi="Symbol" w:hint="default"/>
      </w:rPr>
    </w:lvl>
    <w:lvl w:ilvl="7" w:tplc="0C090003" w:tentative="1">
      <w:start w:val="1"/>
      <w:numFmt w:val="bullet"/>
      <w:lvlText w:val="o"/>
      <w:lvlJc w:val="left"/>
      <w:pPr>
        <w:ind w:left="5469" w:hanging="360"/>
      </w:pPr>
      <w:rPr>
        <w:rFonts w:ascii="Courier New" w:hAnsi="Courier New" w:cs="Courier New" w:hint="default"/>
      </w:rPr>
    </w:lvl>
    <w:lvl w:ilvl="8" w:tplc="0C090005" w:tentative="1">
      <w:start w:val="1"/>
      <w:numFmt w:val="bullet"/>
      <w:lvlText w:val=""/>
      <w:lvlJc w:val="left"/>
      <w:pPr>
        <w:ind w:left="6189" w:hanging="360"/>
      </w:pPr>
      <w:rPr>
        <w:rFonts w:ascii="Wingdings" w:hAnsi="Wingdings" w:hint="default"/>
      </w:rPr>
    </w:lvl>
  </w:abstractNum>
  <w:abstractNum w:abstractNumId="14">
    <w:nsid w:val="5E67556F"/>
    <w:multiLevelType w:val="hybridMultilevel"/>
    <w:tmpl w:val="8744CB10"/>
    <w:lvl w:ilvl="0" w:tplc="B02AEA12">
      <w:start w:val="1"/>
      <w:numFmt w:val="decimal"/>
      <w:lvlText w:val="%1."/>
      <w:lvlJc w:val="left"/>
      <w:pPr>
        <w:ind w:left="885" w:hanging="425"/>
      </w:pPr>
      <w:rPr>
        <w:rFonts w:hint="default"/>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5">
    <w:nsid w:val="631B4748"/>
    <w:multiLevelType w:val="hybridMultilevel"/>
    <w:tmpl w:val="604CDE5C"/>
    <w:lvl w:ilvl="0" w:tplc="0C09000F">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6">
    <w:nsid w:val="6A5F1B99"/>
    <w:multiLevelType w:val="hybridMultilevel"/>
    <w:tmpl w:val="CAEA326E"/>
    <w:lvl w:ilvl="0" w:tplc="0C090001">
      <w:start w:val="1"/>
      <w:numFmt w:val="bullet"/>
      <w:lvlText w:val=""/>
      <w:lvlJc w:val="left"/>
      <w:pPr>
        <w:ind w:left="885" w:hanging="425"/>
      </w:pPr>
      <w:rPr>
        <w:rFonts w:ascii="Symbol" w:hAnsi="Symbol"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7">
    <w:nsid w:val="6EED3AB8"/>
    <w:multiLevelType w:val="hybridMultilevel"/>
    <w:tmpl w:val="C40EDD22"/>
    <w:lvl w:ilvl="0" w:tplc="FFFFFFFF">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8">
    <w:nsid w:val="7C42469C"/>
    <w:multiLevelType w:val="hybridMultilevel"/>
    <w:tmpl w:val="1A2C5FF6"/>
    <w:lvl w:ilvl="0" w:tplc="C2DC092C">
      <w:start w:val="1"/>
      <w:numFmt w:val="decimal"/>
      <w:lvlText w:val="%1."/>
      <w:lvlJc w:val="left"/>
      <w:pPr>
        <w:ind w:left="1180" w:hanging="360"/>
      </w:pPr>
      <w:rPr>
        <w:rFonts w:hint="default"/>
        <w:u w:color="FF0000"/>
      </w:r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num w:numId="1">
    <w:abstractNumId w:val="10"/>
  </w:num>
  <w:num w:numId="2">
    <w:abstractNumId w:val="7"/>
  </w:num>
  <w:num w:numId="3">
    <w:abstractNumId w:val="2"/>
  </w:num>
  <w:num w:numId="4">
    <w:abstractNumId w:val="1"/>
  </w:num>
  <w:num w:numId="5">
    <w:abstractNumId w:val="8"/>
  </w:num>
  <w:num w:numId="6">
    <w:abstractNumId w:val="13"/>
  </w:num>
  <w:num w:numId="7">
    <w:abstractNumId w:val="15"/>
  </w:num>
  <w:num w:numId="8">
    <w:abstractNumId w:val="6"/>
  </w:num>
  <w:num w:numId="9">
    <w:abstractNumId w:val="5"/>
  </w:num>
  <w:num w:numId="10">
    <w:abstractNumId w:val="0"/>
  </w:num>
  <w:num w:numId="11">
    <w:abstractNumId w:val="16"/>
  </w:num>
  <w:num w:numId="12">
    <w:abstractNumId w:val="12"/>
  </w:num>
  <w:num w:numId="13">
    <w:abstractNumId w:val="14"/>
  </w:num>
  <w:num w:numId="14">
    <w:abstractNumId w:val="3"/>
  </w:num>
  <w:num w:numId="15">
    <w:abstractNumId w:val="17"/>
  </w:num>
  <w:num w:numId="16">
    <w:abstractNumId w:val="11"/>
  </w:num>
  <w:num w:numId="17">
    <w:abstractNumId w:val="1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14"/>
    <w:rsid w:val="00003E98"/>
    <w:rsid w:val="00005D7A"/>
    <w:rsid w:val="00006994"/>
    <w:rsid w:val="00007843"/>
    <w:rsid w:val="000078DD"/>
    <w:rsid w:val="00012854"/>
    <w:rsid w:val="00013D6E"/>
    <w:rsid w:val="00025E5C"/>
    <w:rsid w:val="0003137F"/>
    <w:rsid w:val="000318DE"/>
    <w:rsid w:val="00032063"/>
    <w:rsid w:val="00034AE1"/>
    <w:rsid w:val="000410B3"/>
    <w:rsid w:val="000452F7"/>
    <w:rsid w:val="00051F09"/>
    <w:rsid w:val="00053B88"/>
    <w:rsid w:val="0006168F"/>
    <w:rsid w:val="000627FA"/>
    <w:rsid w:val="00063FF6"/>
    <w:rsid w:val="000752A2"/>
    <w:rsid w:val="0009197A"/>
    <w:rsid w:val="00091C39"/>
    <w:rsid w:val="000A3584"/>
    <w:rsid w:val="000A56A8"/>
    <w:rsid w:val="000A69A9"/>
    <w:rsid w:val="000B0263"/>
    <w:rsid w:val="000B3E81"/>
    <w:rsid w:val="000B4DD2"/>
    <w:rsid w:val="000C765C"/>
    <w:rsid w:val="000D1A87"/>
    <w:rsid w:val="000D2101"/>
    <w:rsid w:val="000D34B2"/>
    <w:rsid w:val="000D787F"/>
    <w:rsid w:val="000E05B1"/>
    <w:rsid w:val="000E10F3"/>
    <w:rsid w:val="000E1C8C"/>
    <w:rsid w:val="000E28BC"/>
    <w:rsid w:val="000E6157"/>
    <w:rsid w:val="000E6FD4"/>
    <w:rsid w:val="000F63F4"/>
    <w:rsid w:val="00103E35"/>
    <w:rsid w:val="0011178C"/>
    <w:rsid w:val="0011256B"/>
    <w:rsid w:val="0011562F"/>
    <w:rsid w:val="0012096C"/>
    <w:rsid w:val="0012592B"/>
    <w:rsid w:val="00125EA0"/>
    <w:rsid w:val="001320F7"/>
    <w:rsid w:val="00137E82"/>
    <w:rsid w:val="0015724B"/>
    <w:rsid w:val="00162798"/>
    <w:rsid w:val="00163E73"/>
    <w:rsid w:val="00164E8F"/>
    <w:rsid w:val="00166E37"/>
    <w:rsid w:val="001742C0"/>
    <w:rsid w:val="001749DE"/>
    <w:rsid w:val="00182714"/>
    <w:rsid w:val="001859EC"/>
    <w:rsid w:val="0019477D"/>
    <w:rsid w:val="001A02EF"/>
    <w:rsid w:val="001A2DE3"/>
    <w:rsid w:val="001A5F1C"/>
    <w:rsid w:val="001B1349"/>
    <w:rsid w:val="001B6B3A"/>
    <w:rsid w:val="001C066C"/>
    <w:rsid w:val="001C0AFA"/>
    <w:rsid w:val="001C30AC"/>
    <w:rsid w:val="001C4AB2"/>
    <w:rsid w:val="001D0060"/>
    <w:rsid w:val="001D238F"/>
    <w:rsid w:val="001F3C40"/>
    <w:rsid w:val="00206FB6"/>
    <w:rsid w:val="00210210"/>
    <w:rsid w:val="00222944"/>
    <w:rsid w:val="0022381A"/>
    <w:rsid w:val="002276F8"/>
    <w:rsid w:val="0023493E"/>
    <w:rsid w:val="0024678C"/>
    <w:rsid w:val="00247509"/>
    <w:rsid w:val="0025184F"/>
    <w:rsid w:val="002519CB"/>
    <w:rsid w:val="00252F11"/>
    <w:rsid w:val="0025612D"/>
    <w:rsid w:val="002576F5"/>
    <w:rsid w:val="00260085"/>
    <w:rsid w:val="00260800"/>
    <w:rsid w:val="00262FBE"/>
    <w:rsid w:val="00266F0D"/>
    <w:rsid w:val="00271DDF"/>
    <w:rsid w:val="00277901"/>
    <w:rsid w:val="00277CE9"/>
    <w:rsid w:val="00280811"/>
    <w:rsid w:val="00287C45"/>
    <w:rsid w:val="0029252D"/>
    <w:rsid w:val="00293EDE"/>
    <w:rsid w:val="00294931"/>
    <w:rsid w:val="0029563E"/>
    <w:rsid w:val="00296BA6"/>
    <w:rsid w:val="002A45C9"/>
    <w:rsid w:val="002B1544"/>
    <w:rsid w:val="002B5C09"/>
    <w:rsid w:val="002C0E2F"/>
    <w:rsid w:val="002C1338"/>
    <w:rsid w:val="002C2AE8"/>
    <w:rsid w:val="002C5414"/>
    <w:rsid w:val="002C777C"/>
    <w:rsid w:val="002D3B87"/>
    <w:rsid w:val="002D60EB"/>
    <w:rsid w:val="002E0555"/>
    <w:rsid w:val="002E0600"/>
    <w:rsid w:val="002E1EE9"/>
    <w:rsid w:val="002E4378"/>
    <w:rsid w:val="00302EE3"/>
    <w:rsid w:val="00307DCF"/>
    <w:rsid w:val="00312C04"/>
    <w:rsid w:val="0031450B"/>
    <w:rsid w:val="0031472F"/>
    <w:rsid w:val="00322A05"/>
    <w:rsid w:val="003255CE"/>
    <w:rsid w:val="00334B37"/>
    <w:rsid w:val="00337A3E"/>
    <w:rsid w:val="00341B1F"/>
    <w:rsid w:val="00344565"/>
    <w:rsid w:val="003469B8"/>
    <w:rsid w:val="0034706A"/>
    <w:rsid w:val="003555FA"/>
    <w:rsid w:val="00360A92"/>
    <w:rsid w:val="003618B0"/>
    <w:rsid w:val="00367FBE"/>
    <w:rsid w:val="00371DA0"/>
    <w:rsid w:val="00380DC3"/>
    <w:rsid w:val="00387A1F"/>
    <w:rsid w:val="00390F17"/>
    <w:rsid w:val="003964AF"/>
    <w:rsid w:val="003A5383"/>
    <w:rsid w:val="003A545A"/>
    <w:rsid w:val="003A77B9"/>
    <w:rsid w:val="003B5829"/>
    <w:rsid w:val="003B7B49"/>
    <w:rsid w:val="003C2A75"/>
    <w:rsid w:val="003C2C8A"/>
    <w:rsid w:val="003C643C"/>
    <w:rsid w:val="003C7A0A"/>
    <w:rsid w:val="003D1A60"/>
    <w:rsid w:val="003E13F7"/>
    <w:rsid w:val="003E3233"/>
    <w:rsid w:val="003E5860"/>
    <w:rsid w:val="003F742B"/>
    <w:rsid w:val="00404F64"/>
    <w:rsid w:val="00411C0E"/>
    <w:rsid w:val="0041792C"/>
    <w:rsid w:val="00433694"/>
    <w:rsid w:val="00440780"/>
    <w:rsid w:val="0045143E"/>
    <w:rsid w:val="004663A9"/>
    <w:rsid w:val="0048272C"/>
    <w:rsid w:val="0048349F"/>
    <w:rsid w:val="00485596"/>
    <w:rsid w:val="004A1794"/>
    <w:rsid w:val="004A2616"/>
    <w:rsid w:val="004A6EB9"/>
    <w:rsid w:val="004A7E36"/>
    <w:rsid w:val="004B0056"/>
    <w:rsid w:val="004C2485"/>
    <w:rsid w:val="004C3D7C"/>
    <w:rsid w:val="004C4148"/>
    <w:rsid w:val="004E1F67"/>
    <w:rsid w:val="004E2B7A"/>
    <w:rsid w:val="004E56FE"/>
    <w:rsid w:val="004E5A05"/>
    <w:rsid w:val="004E74DD"/>
    <w:rsid w:val="004F08D6"/>
    <w:rsid w:val="004F6260"/>
    <w:rsid w:val="004F64A5"/>
    <w:rsid w:val="005037EB"/>
    <w:rsid w:val="0051649D"/>
    <w:rsid w:val="00522FDF"/>
    <w:rsid w:val="0053301F"/>
    <w:rsid w:val="00534257"/>
    <w:rsid w:val="00541A7E"/>
    <w:rsid w:val="005468BA"/>
    <w:rsid w:val="00553AB4"/>
    <w:rsid w:val="00553DF5"/>
    <w:rsid w:val="00562DF5"/>
    <w:rsid w:val="00572395"/>
    <w:rsid w:val="005769A8"/>
    <w:rsid w:val="00577C1A"/>
    <w:rsid w:val="00580B0C"/>
    <w:rsid w:val="0058342D"/>
    <w:rsid w:val="0058360F"/>
    <w:rsid w:val="005862A0"/>
    <w:rsid w:val="00586B61"/>
    <w:rsid w:val="0059147A"/>
    <w:rsid w:val="005915B6"/>
    <w:rsid w:val="005A3E94"/>
    <w:rsid w:val="005A67C5"/>
    <w:rsid w:val="005A7431"/>
    <w:rsid w:val="005B3F97"/>
    <w:rsid w:val="005B61A5"/>
    <w:rsid w:val="005C3E73"/>
    <w:rsid w:val="005E2309"/>
    <w:rsid w:val="005E252A"/>
    <w:rsid w:val="005E5A17"/>
    <w:rsid w:val="005E7501"/>
    <w:rsid w:val="005F09E4"/>
    <w:rsid w:val="005F2595"/>
    <w:rsid w:val="005F780A"/>
    <w:rsid w:val="00604A99"/>
    <w:rsid w:val="00606191"/>
    <w:rsid w:val="00617B10"/>
    <w:rsid w:val="00617E54"/>
    <w:rsid w:val="0062043F"/>
    <w:rsid w:val="00621511"/>
    <w:rsid w:val="006259A2"/>
    <w:rsid w:val="00630942"/>
    <w:rsid w:val="00632BF5"/>
    <w:rsid w:val="006372BD"/>
    <w:rsid w:val="00643B5E"/>
    <w:rsid w:val="00643C0A"/>
    <w:rsid w:val="00643C65"/>
    <w:rsid w:val="00652A2F"/>
    <w:rsid w:val="0066545C"/>
    <w:rsid w:val="00674464"/>
    <w:rsid w:val="0068773B"/>
    <w:rsid w:val="006904AB"/>
    <w:rsid w:val="006A1B87"/>
    <w:rsid w:val="006A2CB6"/>
    <w:rsid w:val="006A559F"/>
    <w:rsid w:val="006B2CE1"/>
    <w:rsid w:val="006B4A63"/>
    <w:rsid w:val="006B530F"/>
    <w:rsid w:val="006B7A1E"/>
    <w:rsid w:val="006B7C5A"/>
    <w:rsid w:val="006C2046"/>
    <w:rsid w:val="006C2DD8"/>
    <w:rsid w:val="006D39AF"/>
    <w:rsid w:val="006D58E5"/>
    <w:rsid w:val="006D7CF2"/>
    <w:rsid w:val="006E0EF5"/>
    <w:rsid w:val="006E2BCC"/>
    <w:rsid w:val="006E323B"/>
    <w:rsid w:val="006E4FDF"/>
    <w:rsid w:val="006F1434"/>
    <w:rsid w:val="006F54BA"/>
    <w:rsid w:val="006F6F2E"/>
    <w:rsid w:val="00702ABF"/>
    <w:rsid w:val="007031F4"/>
    <w:rsid w:val="00707503"/>
    <w:rsid w:val="0071382B"/>
    <w:rsid w:val="00720ADF"/>
    <w:rsid w:val="00725A8C"/>
    <w:rsid w:val="00735CC2"/>
    <w:rsid w:val="00736480"/>
    <w:rsid w:val="007465EB"/>
    <w:rsid w:val="00750BD0"/>
    <w:rsid w:val="00752F4E"/>
    <w:rsid w:val="00753C30"/>
    <w:rsid w:val="007609E6"/>
    <w:rsid w:val="00760D2C"/>
    <w:rsid w:val="0076149D"/>
    <w:rsid w:val="00763690"/>
    <w:rsid w:val="00763A5D"/>
    <w:rsid w:val="007722BC"/>
    <w:rsid w:val="00781C0A"/>
    <w:rsid w:val="007829FF"/>
    <w:rsid w:val="00783ED3"/>
    <w:rsid w:val="00792CB7"/>
    <w:rsid w:val="00793E01"/>
    <w:rsid w:val="0079648E"/>
    <w:rsid w:val="007A07BB"/>
    <w:rsid w:val="007A236E"/>
    <w:rsid w:val="007A2471"/>
    <w:rsid w:val="007A37F5"/>
    <w:rsid w:val="007B04FB"/>
    <w:rsid w:val="007B0826"/>
    <w:rsid w:val="007B49DE"/>
    <w:rsid w:val="007B7A52"/>
    <w:rsid w:val="007D1392"/>
    <w:rsid w:val="007E3982"/>
    <w:rsid w:val="007E46DC"/>
    <w:rsid w:val="007E7E88"/>
    <w:rsid w:val="0080265E"/>
    <w:rsid w:val="00803766"/>
    <w:rsid w:val="00806176"/>
    <w:rsid w:val="0080721E"/>
    <w:rsid w:val="008137F2"/>
    <w:rsid w:val="00816D45"/>
    <w:rsid w:val="008206BC"/>
    <w:rsid w:val="00821697"/>
    <w:rsid w:val="008221A2"/>
    <w:rsid w:val="0082785F"/>
    <w:rsid w:val="00830C23"/>
    <w:rsid w:val="00830DCD"/>
    <w:rsid w:val="00832C9F"/>
    <w:rsid w:val="00832D8B"/>
    <w:rsid w:val="00834BFD"/>
    <w:rsid w:val="008465EF"/>
    <w:rsid w:val="00861DAD"/>
    <w:rsid w:val="008653D3"/>
    <w:rsid w:val="008666F3"/>
    <w:rsid w:val="00870761"/>
    <w:rsid w:val="00871F27"/>
    <w:rsid w:val="00874D34"/>
    <w:rsid w:val="00877BAE"/>
    <w:rsid w:val="008A1A8E"/>
    <w:rsid w:val="008A2339"/>
    <w:rsid w:val="008A2FB2"/>
    <w:rsid w:val="008A48B6"/>
    <w:rsid w:val="008B38D5"/>
    <w:rsid w:val="008B7BBD"/>
    <w:rsid w:val="008C2506"/>
    <w:rsid w:val="008C47AB"/>
    <w:rsid w:val="008C5926"/>
    <w:rsid w:val="008C6BD4"/>
    <w:rsid w:val="008D3667"/>
    <w:rsid w:val="008E4CEC"/>
    <w:rsid w:val="008E782C"/>
    <w:rsid w:val="008E7CB9"/>
    <w:rsid w:val="008F5F8F"/>
    <w:rsid w:val="008F6855"/>
    <w:rsid w:val="009046B0"/>
    <w:rsid w:val="0090478C"/>
    <w:rsid w:val="009110CE"/>
    <w:rsid w:val="00917200"/>
    <w:rsid w:val="00920DB2"/>
    <w:rsid w:val="00921E4B"/>
    <w:rsid w:val="00924800"/>
    <w:rsid w:val="00924AB1"/>
    <w:rsid w:val="009260F1"/>
    <w:rsid w:val="009304B6"/>
    <w:rsid w:val="00936226"/>
    <w:rsid w:val="00937258"/>
    <w:rsid w:val="0094437A"/>
    <w:rsid w:val="00945491"/>
    <w:rsid w:val="009458E5"/>
    <w:rsid w:val="00945A69"/>
    <w:rsid w:val="00950145"/>
    <w:rsid w:val="00954288"/>
    <w:rsid w:val="0096124E"/>
    <w:rsid w:val="0097717F"/>
    <w:rsid w:val="00977AE5"/>
    <w:rsid w:val="00987090"/>
    <w:rsid w:val="00991BA3"/>
    <w:rsid w:val="00994CBD"/>
    <w:rsid w:val="009956F2"/>
    <w:rsid w:val="009A0067"/>
    <w:rsid w:val="009A2F9E"/>
    <w:rsid w:val="009B0687"/>
    <w:rsid w:val="009C135F"/>
    <w:rsid w:val="009C2C85"/>
    <w:rsid w:val="009D0C6D"/>
    <w:rsid w:val="009D1F51"/>
    <w:rsid w:val="009D367E"/>
    <w:rsid w:val="009E65F4"/>
    <w:rsid w:val="009F13E2"/>
    <w:rsid w:val="009F1604"/>
    <w:rsid w:val="00A010C8"/>
    <w:rsid w:val="00A0502D"/>
    <w:rsid w:val="00A059BC"/>
    <w:rsid w:val="00A074CE"/>
    <w:rsid w:val="00A111B0"/>
    <w:rsid w:val="00A124EA"/>
    <w:rsid w:val="00A125FD"/>
    <w:rsid w:val="00A1377F"/>
    <w:rsid w:val="00A1435F"/>
    <w:rsid w:val="00A15936"/>
    <w:rsid w:val="00A16FB5"/>
    <w:rsid w:val="00A21878"/>
    <w:rsid w:val="00A34C38"/>
    <w:rsid w:val="00A4493F"/>
    <w:rsid w:val="00A50379"/>
    <w:rsid w:val="00A506A7"/>
    <w:rsid w:val="00A54AF6"/>
    <w:rsid w:val="00A6591A"/>
    <w:rsid w:val="00A74508"/>
    <w:rsid w:val="00A77A97"/>
    <w:rsid w:val="00A8093D"/>
    <w:rsid w:val="00A865A7"/>
    <w:rsid w:val="00AA275A"/>
    <w:rsid w:val="00AA40E7"/>
    <w:rsid w:val="00AA6F8A"/>
    <w:rsid w:val="00AB7593"/>
    <w:rsid w:val="00AC0D3B"/>
    <w:rsid w:val="00AC6026"/>
    <w:rsid w:val="00AD6043"/>
    <w:rsid w:val="00AE7623"/>
    <w:rsid w:val="00AF4457"/>
    <w:rsid w:val="00AF7C4E"/>
    <w:rsid w:val="00B06FD4"/>
    <w:rsid w:val="00B11306"/>
    <w:rsid w:val="00B117D5"/>
    <w:rsid w:val="00B126A1"/>
    <w:rsid w:val="00B200D8"/>
    <w:rsid w:val="00B20C88"/>
    <w:rsid w:val="00B22B20"/>
    <w:rsid w:val="00B253F7"/>
    <w:rsid w:val="00B31C82"/>
    <w:rsid w:val="00B3253F"/>
    <w:rsid w:val="00B349D8"/>
    <w:rsid w:val="00B360B4"/>
    <w:rsid w:val="00B36B54"/>
    <w:rsid w:val="00B36D17"/>
    <w:rsid w:val="00B46EC2"/>
    <w:rsid w:val="00B5271B"/>
    <w:rsid w:val="00B61339"/>
    <w:rsid w:val="00B613E1"/>
    <w:rsid w:val="00B61F00"/>
    <w:rsid w:val="00B636B9"/>
    <w:rsid w:val="00B654CE"/>
    <w:rsid w:val="00B71A80"/>
    <w:rsid w:val="00B720DD"/>
    <w:rsid w:val="00B73DE4"/>
    <w:rsid w:val="00B83242"/>
    <w:rsid w:val="00BA202A"/>
    <w:rsid w:val="00BA2F9E"/>
    <w:rsid w:val="00BA5000"/>
    <w:rsid w:val="00BA69A7"/>
    <w:rsid w:val="00BA701F"/>
    <w:rsid w:val="00BB23D0"/>
    <w:rsid w:val="00BC288C"/>
    <w:rsid w:val="00BD14DA"/>
    <w:rsid w:val="00BD3660"/>
    <w:rsid w:val="00BE14A2"/>
    <w:rsid w:val="00BE3C41"/>
    <w:rsid w:val="00BE3EB9"/>
    <w:rsid w:val="00BE4996"/>
    <w:rsid w:val="00BE56FC"/>
    <w:rsid w:val="00BE6272"/>
    <w:rsid w:val="00BE773D"/>
    <w:rsid w:val="00BF5832"/>
    <w:rsid w:val="00C002B7"/>
    <w:rsid w:val="00C00FF6"/>
    <w:rsid w:val="00C02EEE"/>
    <w:rsid w:val="00C120C6"/>
    <w:rsid w:val="00C13C54"/>
    <w:rsid w:val="00C14018"/>
    <w:rsid w:val="00C264DB"/>
    <w:rsid w:val="00C3603A"/>
    <w:rsid w:val="00C479B4"/>
    <w:rsid w:val="00C47D60"/>
    <w:rsid w:val="00C533EE"/>
    <w:rsid w:val="00C635D0"/>
    <w:rsid w:val="00C662A9"/>
    <w:rsid w:val="00C77AFF"/>
    <w:rsid w:val="00C77B94"/>
    <w:rsid w:val="00C94A8E"/>
    <w:rsid w:val="00C961FC"/>
    <w:rsid w:val="00CA0FB0"/>
    <w:rsid w:val="00CA1E2C"/>
    <w:rsid w:val="00CA60EA"/>
    <w:rsid w:val="00CB0238"/>
    <w:rsid w:val="00CB12C8"/>
    <w:rsid w:val="00CB4C1B"/>
    <w:rsid w:val="00CD049C"/>
    <w:rsid w:val="00CD4500"/>
    <w:rsid w:val="00CE1E29"/>
    <w:rsid w:val="00CE3779"/>
    <w:rsid w:val="00CE522B"/>
    <w:rsid w:val="00CE5C7A"/>
    <w:rsid w:val="00CE7D6D"/>
    <w:rsid w:val="00CF46BB"/>
    <w:rsid w:val="00CF558B"/>
    <w:rsid w:val="00CF7A23"/>
    <w:rsid w:val="00D03B52"/>
    <w:rsid w:val="00D05369"/>
    <w:rsid w:val="00D06384"/>
    <w:rsid w:val="00D06E07"/>
    <w:rsid w:val="00D176F1"/>
    <w:rsid w:val="00D230D6"/>
    <w:rsid w:val="00D23458"/>
    <w:rsid w:val="00D25567"/>
    <w:rsid w:val="00D25804"/>
    <w:rsid w:val="00D2720E"/>
    <w:rsid w:val="00D51365"/>
    <w:rsid w:val="00D52AFB"/>
    <w:rsid w:val="00D5492F"/>
    <w:rsid w:val="00D557DB"/>
    <w:rsid w:val="00D55D2D"/>
    <w:rsid w:val="00D56B7F"/>
    <w:rsid w:val="00D56FE0"/>
    <w:rsid w:val="00D57343"/>
    <w:rsid w:val="00D7040D"/>
    <w:rsid w:val="00DB0A46"/>
    <w:rsid w:val="00DB1CB5"/>
    <w:rsid w:val="00DC1338"/>
    <w:rsid w:val="00DC2AC2"/>
    <w:rsid w:val="00DC3AF7"/>
    <w:rsid w:val="00DC78E0"/>
    <w:rsid w:val="00E15BBA"/>
    <w:rsid w:val="00E16E44"/>
    <w:rsid w:val="00E21665"/>
    <w:rsid w:val="00E23644"/>
    <w:rsid w:val="00E24B5D"/>
    <w:rsid w:val="00E31B39"/>
    <w:rsid w:val="00E330FA"/>
    <w:rsid w:val="00E43EDA"/>
    <w:rsid w:val="00E50DD2"/>
    <w:rsid w:val="00E60597"/>
    <w:rsid w:val="00E60B3C"/>
    <w:rsid w:val="00E61FD2"/>
    <w:rsid w:val="00E71E49"/>
    <w:rsid w:val="00E760EF"/>
    <w:rsid w:val="00E7766C"/>
    <w:rsid w:val="00E77AFD"/>
    <w:rsid w:val="00E80EE7"/>
    <w:rsid w:val="00E814B3"/>
    <w:rsid w:val="00E82D38"/>
    <w:rsid w:val="00E82E96"/>
    <w:rsid w:val="00E86436"/>
    <w:rsid w:val="00E8657B"/>
    <w:rsid w:val="00E919C8"/>
    <w:rsid w:val="00E93224"/>
    <w:rsid w:val="00E944AF"/>
    <w:rsid w:val="00E94579"/>
    <w:rsid w:val="00E94BEC"/>
    <w:rsid w:val="00EA5555"/>
    <w:rsid w:val="00EA77B6"/>
    <w:rsid w:val="00EB0756"/>
    <w:rsid w:val="00EB2F71"/>
    <w:rsid w:val="00EB3EE0"/>
    <w:rsid w:val="00EB49C2"/>
    <w:rsid w:val="00EE4DE4"/>
    <w:rsid w:val="00EF3F00"/>
    <w:rsid w:val="00EF4080"/>
    <w:rsid w:val="00F00D41"/>
    <w:rsid w:val="00F0173F"/>
    <w:rsid w:val="00F065C6"/>
    <w:rsid w:val="00F0708B"/>
    <w:rsid w:val="00F074C1"/>
    <w:rsid w:val="00F142F7"/>
    <w:rsid w:val="00F17D61"/>
    <w:rsid w:val="00F350C5"/>
    <w:rsid w:val="00F43AE8"/>
    <w:rsid w:val="00F465AB"/>
    <w:rsid w:val="00F51E77"/>
    <w:rsid w:val="00F53ECC"/>
    <w:rsid w:val="00F57404"/>
    <w:rsid w:val="00F613BB"/>
    <w:rsid w:val="00F63067"/>
    <w:rsid w:val="00F65CC2"/>
    <w:rsid w:val="00F6610F"/>
    <w:rsid w:val="00F7605E"/>
    <w:rsid w:val="00F83742"/>
    <w:rsid w:val="00F84558"/>
    <w:rsid w:val="00F87924"/>
    <w:rsid w:val="00F907C4"/>
    <w:rsid w:val="00FA2617"/>
    <w:rsid w:val="00FA655C"/>
    <w:rsid w:val="00FA7B28"/>
    <w:rsid w:val="00FA7D12"/>
    <w:rsid w:val="00FB2035"/>
    <w:rsid w:val="00FC3D01"/>
    <w:rsid w:val="00FE3164"/>
    <w:rsid w:val="00FE3878"/>
    <w:rsid w:val="00FE4D15"/>
    <w:rsid w:val="00FE6BB3"/>
    <w:rsid w:val="00FE6E3D"/>
    <w:rsid w:val="00FF166A"/>
    <w:rsid w:val="00FF20A8"/>
    <w:rsid w:val="00FF4EF8"/>
    <w:rsid w:val="00FF5452"/>
    <w:rsid w:val="00FF55E1"/>
    <w:rsid w:val="17B164D5"/>
    <w:rsid w:val="22636C03"/>
    <w:rsid w:val="2528B3AD"/>
    <w:rsid w:val="50798D5D"/>
    <w:rsid w:val="50A0C963"/>
    <w:rsid w:val="54C0E68E"/>
    <w:rsid w:val="5A77764A"/>
    <w:rsid w:val="5E5A7E79"/>
    <w:rsid w:val="6E190FB7"/>
    <w:rsid w:val="72F60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43F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AU"/>
    </w:rPr>
  </w:style>
  <w:style w:type="paragraph" w:styleId="Heading1">
    <w:name w:val="heading 1"/>
    <w:basedOn w:val="Normal"/>
    <w:uiPriority w:val="1"/>
    <w:qFormat/>
    <w:pPr>
      <w:spacing w:before="119"/>
      <w:ind w:left="460"/>
      <w:outlineLvl w:val="0"/>
    </w:pPr>
    <w:rPr>
      <w:b/>
      <w:bCs/>
    </w:rPr>
  </w:style>
  <w:style w:type="paragraph" w:styleId="Heading2">
    <w:name w:val="heading 2"/>
    <w:basedOn w:val="Normal"/>
    <w:uiPriority w:val="1"/>
    <w:qFormat/>
    <w:pPr>
      <w:spacing w:before="119"/>
      <w:ind w:left="458" w:right="81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84" w:hanging="425"/>
    </w:pPr>
  </w:style>
  <w:style w:type="paragraph" w:styleId="ListParagraph">
    <w:name w:val="List Paragraph"/>
    <w:basedOn w:val="Normal"/>
    <w:uiPriority w:val="1"/>
    <w:qFormat/>
    <w:pPr>
      <w:spacing w:before="119"/>
      <w:ind w:left="884" w:hanging="42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D3"/>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7E3982"/>
    <w:rPr>
      <w:sz w:val="16"/>
      <w:szCs w:val="16"/>
    </w:rPr>
  </w:style>
  <w:style w:type="paragraph" w:styleId="CommentText">
    <w:name w:val="annotation text"/>
    <w:basedOn w:val="Normal"/>
    <w:link w:val="CommentTextChar"/>
    <w:uiPriority w:val="99"/>
    <w:semiHidden/>
    <w:unhideWhenUsed/>
    <w:rsid w:val="007E3982"/>
    <w:rPr>
      <w:sz w:val="20"/>
      <w:szCs w:val="20"/>
    </w:rPr>
  </w:style>
  <w:style w:type="character" w:customStyle="1" w:styleId="CommentTextChar">
    <w:name w:val="Comment Text Char"/>
    <w:basedOn w:val="DefaultParagraphFont"/>
    <w:link w:val="CommentText"/>
    <w:uiPriority w:val="99"/>
    <w:semiHidden/>
    <w:rsid w:val="007E3982"/>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E3982"/>
    <w:rPr>
      <w:b/>
      <w:bCs/>
    </w:rPr>
  </w:style>
  <w:style w:type="character" w:customStyle="1" w:styleId="CommentSubjectChar">
    <w:name w:val="Comment Subject Char"/>
    <w:basedOn w:val="CommentTextChar"/>
    <w:link w:val="CommentSubject"/>
    <w:uiPriority w:val="99"/>
    <w:semiHidden/>
    <w:rsid w:val="007E3982"/>
    <w:rPr>
      <w:rFonts w:ascii="Verdana" w:eastAsia="Verdana" w:hAnsi="Verdana" w:cs="Verdana"/>
      <w:b/>
      <w:bCs/>
      <w:sz w:val="20"/>
      <w:szCs w:val="20"/>
    </w:rPr>
  </w:style>
  <w:style w:type="paragraph" w:styleId="Revision">
    <w:name w:val="Revision"/>
    <w:hidden/>
    <w:uiPriority w:val="99"/>
    <w:semiHidden/>
    <w:rsid w:val="00411C0E"/>
    <w:pPr>
      <w:widowControl/>
      <w:autoSpaceDE/>
      <w:autoSpaceDN/>
    </w:pPr>
    <w:rPr>
      <w:rFonts w:ascii="Verdana" w:eastAsia="Verdana" w:hAnsi="Verdana" w:cs="Verdana"/>
      <w:lang w:val="en-AU"/>
    </w:rPr>
  </w:style>
  <w:style w:type="character" w:styleId="Hyperlink">
    <w:name w:val="Hyperlink"/>
    <w:basedOn w:val="DefaultParagraphFont"/>
    <w:uiPriority w:val="99"/>
    <w:unhideWhenUsed/>
    <w:rsid w:val="00553DF5"/>
    <w:rPr>
      <w:rFonts w:cs="Times New Roman"/>
      <w:color w:val="0000FF" w:themeColor="hyperlink"/>
      <w:u w:val="single"/>
    </w:rPr>
  </w:style>
  <w:style w:type="paragraph" w:customStyle="1" w:styleId="subsection">
    <w:name w:val="subsection"/>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NumberLevel1">
    <w:name w:val="Number Level 1"/>
    <w:aliases w:val="N1"/>
    <w:basedOn w:val="Normal"/>
    <w:uiPriority w:val="1"/>
    <w:qFormat/>
    <w:rsid w:val="000A69A9"/>
    <w:pPr>
      <w:widowControl/>
      <w:numPr>
        <w:numId w:val="19"/>
      </w:numPr>
      <w:autoSpaceDE/>
      <w:autoSpaceDN/>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0A69A9"/>
    <w:pPr>
      <w:widowControl/>
      <w:numPr>
        <w:ilvl w:val="1"/>
        <w:numId w:val="19"/>
      </w:numPr>
      <w:autoSpaceDE/>
      <w:autoSpaceDN/>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0A69A9"/>
    <w:pPr>
      <w:widowControl/>
      <w:numPr>
        <w:ilvl w:val="2"/>
        <w:numId w:val="19"/>
      </w:numPr>
      <w:autoSpaceDE/>
      <w:autoSpaceDN/>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0A69A9"/>
    <w:pPr>
      <w:widowControl/>
      <w:numPr>
        <w:ilvl w:val="3"/>
        <w:numId w:val="19"/>
      </w:numPr>
      <w:autoSpaceDE/>
      <w:autoSpaceDN/>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0A69A9"/>
    <w:pPr>
      <w:widowControl/>
      <w:numPr>
        <w:ilvl w:val="4"/>
        <w:numId w:val="19"/>
      </w:numPr>
      <w:autoSpaceDE/>
      <w:autoSpaceDN/>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0A69A9"/>
    <w:pPr>
      <w:numPr>
        <w:ilvl w:val="5"/>
      </w:numPr>
    </w:pPr>
  </w:style>
  <w:style w:type="paragraph" w:customStyle="1" w:styleId="NumberLevel7">
    <w:name w:val="Number Level 7"/>
    <w:basedOn w:val="NumberLevel6"/>
    <w:uiPriority w:val="1"/>
    <w:semiHidden/>
    <w:rsid w:val="000A69A9"/>
    <w:pPr>
      <w:numPr>
        <w:ilvl w:val="6"/>
      </w:numPr>
    </w:pPr>
  </w:style>
  <w:style w:type="paragraph" w:customStyle="1" w:styleId="NumberLevel8">
    <w:name w:val="Number Level 8"/>
    <w:basedOn w:val="NumberLevel7"/>
    <w:uiPriority w:val="1"/>
    <w:semiHidden/>
    <w:rsid w:val="000A69A9"/>
    <w:pPr>
      <w:numPr>
        <w:ilvl w:val="7"/>
      </w:numPr>
    </w:pPr>
  </w:style>
  <w:style w:type="paragraph" w:customStyle="1" w:styleId="NumberLevel9">
    <w:name w:val="Number Level 9"/>
    <w:basedOn w:val="NumberLevel8"/>
    <w:uiPriority w:val="1"/>
    <w:semiHidden/>
    <w:rsid w:val="000A69A9"/>
    <w:pPr>
      <w:numPr>
        <w:ilvl w:val="8"/>
      </w:numPr>
    </w:pPr>
  </w:style>
  <w:style w:type="paragraph" w:styleId="Header">
    <w:name w:val="header"/>
    <w:basedOn w:val="Normal"/>
    <w:link w:val="HeaderChar"/>
    <w:uiPriority w:val="99"/>
    <w:unhideWhenUsed/>
    <w:rsid w:val="0011562F"/>
    <w:pPr>
      <w:tabs>
        <w:tab w:val="center" w:pos="4513"/>
        <w:tab w:val="right" w:pos="9026"/>
      </w:tabs>
    </w:pPr>
  </w:style>
  <w:style w:type="character" w:customStyle="1" w:styleId="HeaderChar">
    <w:name w:val="Header Char"/>
    <w:basedOn w:val="DefaultParagraphFont"/>
    <w:link w:val="Header"/>
    <w:uiPriority w:val="99"/>
    <w:rsid w:val="0011562F"/>
    <w:rPr>
      <w:rFonts w:ascii="Verdana" w:eastAsia="Verdana" w:hAnsi="Verdana" w:cs="Verdana"/>
      <w:lang w:val="en-AU"/>
    </w:rPr>
  </w:style>
  <w:style w:type="paragraph" w:styleId="Footer">
    <w:name w:val="footer"/>
    <w:basedOn w:val="Normal"/>
    <w:link w:val="FooterChar"/>
    <w:uiPriority w:val="99"/>
    <w:unhideWhenUsed/>
    <w:rsid w:val="0011562F"/>
    <w:pPr>
      <w:tabs>
        <w:tab w:val="center" w:pos="4513"/>
        <w:tab w:val="right" w:pos="9026"/>
      </w:tabs>
    </w:pPr>
  </w:style>
  <w:style w:type="character" w:customStyle="1" w:styleId="FooterChar">
    <w:name w:val="Footer Char"/>
    <w:basedOn w:val="DefaultParagraphFont"/>
    <w:link w:val="Footer"/>
    <w:uiPriority w:val="99"/>
    <w:rsid w:val="0011562F"/>
    <w:rPr>
      <w:rFonts w:ascii="Verdana" w:eastAsia="Verdana" w:hAnsi="Verdana" w:cs="Verdana"/>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AU"/>
    </w:rPr>
  </w:style>
  <w:style w:type="paragraph" w:styleId="Heading1">
    <w:name w:val="heading 1"/>
    <w:basedOn w:val="Normal"/>
    <w:uiPriority w:val="1"/>
    <w:qFormat/>
    <w:pPr>
      <w:spacing w:before="119"/>
      <w:ind w:left="460"/>
      <w:outlineLvl w:val="0"/>
    </w:pPr>
    <w:rPr>
      <w:b/>
      <w:bCs/>
    </w:rPr>
  </w:style>
  <w:style w:type="paragraph" w:styleId="Heading2">
    <w:name w:val="heading 2"/>
    <w:basedOn w:val="Normal"/>
    <w:uiPriority w:val="1"/>
    <w:qFormat/>
    <w:pPr>
      <w:spacing w:before="119"/>
      <w:ind w:left="458" w:right="81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84" w:hanging="425"/>
    </w:pPr>
  </w:style>
  <w:style w:type="paragraph" w:styleId="ListParagraph">
    <w:name w:val="List Paragraph"/>
    <w:basedOn w:val="Normal"/>
    <w:uiPriority w:val="1"/>
    <w:qFormat/>
    <w:pPr>
      <w:spacing w:before="119"/>
      <w:ind w:left="884" w:hanging="42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D3"/>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7E3982"/>
    <w:rPr>
      <w:sz w:val="16"/>
      <w:szCs w:val="16"/>
    </w:rPr>
  </w:style>
  <w:style w:type="paragraph" w:styleId="CommentText">
    <w:name w:val="annotation text"/>
    <w:basedOn w:val="Normal"/>
    <w:link w:val="CommentTextChar"/>
    <w:uiPriority w:val="99"/>
    <w:semiHidden/>
    <w:unhideWhenUsed/>
    <w:rsid w:val="007E3982"/>
    <w:rPr>
      <w:sz w:val="20"/>
      <w:szCs w:val="20"/>
    </w:rPr>
  </w:style>
  <w:style w:type="character" w:customStyle="1" w:styleId="CommentTextChar">
    <w:name w:val="Comment Text Char"/>
    <w:basedOn w:val="DefaultParagraphFont"/>
    <w:link w:val="CommentText"/>
    <w:uiPriority w:val="99"/>
    <w:semiHidden/>
    <w:rsid w:val="007E3982"/>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E3982"/>
    <w:rPr>
      <w:b/>
      <w:bCs/>
    </w:rPr>
  </w:style>
  <w:style w:type="character" w:customStyle="1" w:styleId="CommentSubjectChar">
    <w:name w:val="Comment Subject Char"/>
    <w:basedOn w:val="CommentTextChar"/>
    <w:link w:val="CommentSubject"/>
    <w:uiPriority w:val="99"/>
    <w:semiHidden/>
    <w:rsid w:val="007E3982"/>
    <w:rPr>
      <w:rFonts w:ascii="Verdana" w:eastAsia="Verdana" w:hAnsi="Verdana" w:cs="Verdana"/>
      <w:b/>
      <w:bCs/>
      <w:sz w:val="20"/>
      <w:szCs w:val="20"/>
    </w:rPr>
  </w:style>
  <w:style w:type="paragraph" w:styleId="Revision">
    <w:name w:val="Revision"/>
    <w:hidden/>
    <w:uiPriority w:val="99"/>
    <w:semiHidden/>
    <w:rsid w:val="00411C0E"/>
    <w:pPr>
      <w:widowControl/>
      <w:autoSpaceDE/>
      <w:autoSpaceDN/>
    </w:pPr>
    <w:rPr>
      <w:rFonts w:ascii="Verdana" w:eastAsia="Verdana" w:hAnsi="Verdana" w:cs="Verdana"/>
      <w:lang w:val="en-AU"/>
    </w:rPr>
  </w:style>
  <w:style w:type="character" w:styleId="Hyperlink">
    <w:name w:val="Hyperlink"/>
    <w:basedOn w:val="DefaultParagraphFont"/>
    <w:uiPriority w:val="99"/>
    <w:unhideWhenUsed/>
    <w:rsid w:val="00553DF5"/>
    <w:rPr>
      <w:rFonts w:cs="Times New Roman"/>
      <w:color w:val="0000FF" w:themeColor="hyperlink"/>
      <w:u w:val="single"/>
    </w:rPr>
  </w:style>
  <w:style w:type="paragraph" w:customStyle="1" w:styleId="subsection">
    <w:name w:val="subsection"/>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NumberLevel1">
    <w:name w:val="Number Level 1"/>
    <w:aliases w:val="N1"/>
    <w:basedOn w:val="Normal"/>
    <w:uiPriority w:val="1"/>
    <w:qFormat/>
    <w:rsid w:val="000A69A9"/>
    <w:pPr>
      <w:widowControl/>
      <w:numPr>
        <w:numId w:val="19"/>
      </w:numPr>
      <w:autoSpaceDE/>
      <w:autoSpaceDN/>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0A69A9"/>
    <w:pPr>
      <w:widowControl/>
      <w:numPr>
        <w:ilvl w:val="1"/>
        <w:numId w:val="19"/>
      </w:numPr>
      <w:autoSpaceDE/>
      <w:autoSpaceDN/>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0A69A9"/>
    <w:pPr>
      <w:widowControl/>
      <w:numPr>
        <w:ilvl w:val="2"/>
        <w:numId w:val="19"/>
      </w:numPr>
      <w:autoSpaceDE/>
      <w:autoSpaceDN/>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0A69A9"/>
    <w:pPr>
      <w:widowControl/>
      <w:numPr>
        <w:ilvl w:val="3"/>
        <w:numId w:val="19"/>
      </w:numPr>
      <w:autoSpaceDE/>
      <w:autoSpaceDN/>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0A69A9"/>
    <w:pPr>
      <w:widowControl/>
      <w:numPr>
        <w:ilvl w:val="4"/>
        <w:numId w:val="19"/>
      </w:numPr>
      <w:autoSpaceDE/>
      <w:autoSpaceDN/>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0A69A9"/>
    <w:pPr>
      <w:numPr>
        <w:ilvl w:val="5"/>
      </w:numPr>
    </w:pPr>
  </w:style>
  <w:style w:type="paragraph" w:customStyle="1" w:styleId="NumberLevel7">
    <w:name w:val="Number Level 7"/>
    <w:basedOn w:val="NumberLevel6"/>
    <w:uiPriority w:val="1"/>
    <w:semiHidden/>
    <w:rsid w:val="000A69A9"/>
    <w:pPr>
      <w:numPr>
        <w:ilvl w:val="6"/>
      </w:numPr>
    </w:pPr>
  </w:style>
  <w:style w:type="paragraph" w:customStyle="1" w:styleId="NumberLevel8">
    <w:name w:val="Number Level 8"/>
    <w:basedOn w:val="NumberLevel7"/>
    <w:uiPriority w:val="1"/>
    <w:semiHidden/>
    <w:rsid w:val="000A69A9"/>
    <w:pPr>
      <w:numPr>
        <w:ilvl w:val="7"/>
      </w:numPr>
    </w:pPr>
  </w:style>
  <w:style w:type="paragraph" w:customStyle="1" w:styleId="NumberLevel9">
    <w:name w:val="Number Level 9"/>
    <w:basedOn w:val="NumberLevel8"/>
    <w:uiPriority w:val="1"/>
    <w:semiHidden/>
    <w:rsid w:val="000A69A9"/>
    <w:pPr>
      <w:numPr>
        <w:ilvl w:val="8"/>
      </w:numPr>
    </w:pPr>
  </w:style>
  <w:style w:type="paragraph" w:styleId="Header">
    <w:name w:val="header"/>
    <w:basedOn w:val="Normal"/>
    <w:link w:val="HeaderChar"/>
    <w:uiPriority w:val="99"/>
    <w:unhideWhenUsed/>
    <w:rsid w:val="0011562F"/>
    <w:pPr>
      <w:tabs>
        <w:tab w:val="center" w:pos="4513"/>
        <w:tab w:val="right" w:pos="9026"/>
      </w:tabs>
    </w:pPr>
  </w:style>
  <w:style w:type="character" w:customStyle="1" w:styleId="HeaderChar">
    <w:name w:val="Header Char"/>
    <w:basedOn w:val="DefaultParagraphFont"/>
    <w:link w:val="Header"/>
    <w:uiPriority w:val="99"/>
    <w:rsid w:val="0011562F"/>
    <w:rPr>
      <w:rFonts w:ascii="Verdana" w:eastAsia="Verdana" w:hAnsi="Verdana" w:cs="Verdana"/>
      <w:lang w:val="en-AU"/>
    </w:rPr>
  </w:style>
  <w:style w:type="paragraph" w:styleId="Footer">
    <w:name w:val="footer"/>
    <w:basedOn w:val="Normal"/>
    <w:link w:val="FooterChar"/>
    <w:uiPriority w:val="99"/>
    <w:unhideWhenUsed/>
    <w:rsid w:val="0011562F"/>
    <w:pPr>
      <w:tabs>
        <w:tab w:val="center" w:pos="4513"/>
        <w:tab w:val="right" w:pos="9026"/>
      </w:tabs>
    </w:pPr>
  </w:style>
  <w:style w:type="character" w:customStyle="1" w:styleId="FooterChar">
    <w:name w:val="Footer Char"/>
    <w:basedOn w:val="DefaultParagraphFont"/>
    <w:link w:val="Footer"/>
    <w:uiPriority w:val="99"/>
    <w:rsid w:val="0011562F"/>
    <w:rPr>
      <w:rFonts w:ascii="Verdana" w:eastAsia="Verdana" w:hAnsi="Verdana" w:cs="Verdan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9528">
      <w:bodyDiv w:val="1"/>
      <w:marLeft w:val="0"/>
      <w:marRight w:val="0"/>
      <w:marTop w:val="0"/>
      <w:marBottom w:val="0"/>
      <w:divBdr>
        <w:top w:val="none" w:sz="0" w:space="0" w:color="auto"/>
        <w:left w:val="none" w:sz="0" w:space="0" w:color="auto"/>
        <w:bottom w:val="none" w:sz="0" w:space="0" w:color="auto"/>
        <w:right w:val="none" w:sz="0" w:space="0" w:color="auto"/>
      </w:divBdr>
      <w:divsChild>
        <w:div w:id="1386175776">
          <w:marLeft w:val="0"/>
          <w:marRight w:val="0"/>
          <w:marTop w:val="0"/>
          <w:marBottom w:val="0"/>
          <w:divBdr>
            <w:top w:val="none" w:sz="0" w:space="0" w:color="auto"/>
            <w:left w:val="none" w:sz="0" w:space="0" w:color="auto"/>
            <w:bottom w:val="none" w:sz="0" w:space="0" w:color="auto"/>
            <w:right w:val="none" w:sz="0" w:space="0" w:color="auto"/>
          </w:divBdr>
          <w:divsChild>
            <w:div w:id="1114053065">
              <w:marLeft w:val="0"/>
              <w:marRight w:val="0"/>
              <w:marTop w:val="0"/>
              <w:marBottom w:val="0"/>
              <w:divBdr>
                <w:top w:val="none" w:sz="0" w:space="0" w:color="auto"/>
                <w:left w:val="none" w:sz="0" w:space="0" w:color="auto"/>
                <w:bottom w:val="none" w:sz="0" w:space="0" w:color="auto"/>
                <w:right w:val="none" w:sz="0" w:space="0" w:color="auto"/>
              </w:divBdr>
              <w:divsChild>
                <w:div w:id="85658129">
                  <w:marLeft w:val="0"/>
                  <w:marRight w:val="0"/>
                  <w:marTop w:val="0"/>
                  <w:marBottom w:val="0"/>
                  <w:divBdr>
                    <w:top w:val="none" w:sz="0" w:space="0" w:color="auto"/>
                    <w:left w:val="none" w:sz="0" w:space="0" w:color="auto"/>
                    <w:bottom w:val="none" w:sz="0" w:space="0" w:color="auto"/>
                    <w:right w:val="none" w:sz="0" w:space="0" w:color="auto"/>
                  </w:divBdr>
                  <w:divsChild>
                    <w:div w:id="1462379906">
                      <w:marLeft w:val="0"/>
                      <w:marRight w:val="0"/>
                      <w:marTop w:val="0"/>
                      <w:marBottom w:val="0"/>
                      <w:divBdr>
                        <w:top w:val="none" w:sz="0" w:space="0" w:color="auto"/>
                        <w:left w:val="none" w:sz="0" w:space="0" w:color="auto"/>
                        <w:bottom w:val="none" w:sz="0" w:space="0" w:color="auto"/>
                        <w:right w:val="none" w:sz="0" w:space="0" w:color="auto"/>
                      </w:divBdr>
                      <w:divsChild>
                        <w:div w:id="383068719">
                          <w:marLeft w:val="0"/>
                          <w:marRight w:val="0"/>
                          <w:marTop w:val="0"/>
                          <w:marBottom w:val="0"/>
                          <w:divBdr>
                            <w:top w:val="none" w:sz="0" w:space="0" w:color="auto"/>
                            <w:left w:val="none" w:sz="0" w:space="0" w:color="auto"/>
                            <w:bottom w:val="none" w:sz="0" w:space="0" w:color="auto"/>
                            <w:right w:val="none" w:sz="0" w:space="0" w:color="auto"/>
                          </w:divBdr>
                          <w:divsChild>
                            <w:div w:id="14619940">
                              <w:marLeft w:val="0"/>
                              <w:marRight w:val="0"/>
                              <w:marTop w:val="0"/>
                              <w:marBottom w:val="0"/>
                              <w:divBdr>
                                <w:top w:val="none" w:sz="0" w:space="0" w:color="auto"/>
                                <w:left w:val="none" w:sz="0" w:space="0" w:color="auto"/>
                                <w:bottom w:val="none" w:sz="0" w:space="0" w:color="auto"/>
                                <w:right w:val="none" w:sz="0" w:space="0" w:color="auto"/>
                              </w:divBdr>
                              <w:divsChild>
                                <w:div w:id="552347460">
                                  <w:marLeft w:val="0"/>
                                  <w:marRight w:val="0"/>
                                  <w:marTop w:val="0"/>
                                  <w:marBottom w:val="0"/>
                                  <w:divBdr>
                                    <w:top w:val="none" w:sz="0" w:space="0" w:color="auto"/>
                                    <w:left w:val="none" w:sz="0" w:space="0" w:color="auto"/>
                                    <w:bottom w:val="none" w:sz="0" w:space="0" w:color="auto"/>
                                    <w:right w:val="none" w:sz="0" w:space="0" w:color="auto"/>
                                  </w:divBdr>
                                  <w:divsChild>
                                    <w:div w:id="72703667">
                                      <w:marLeft w:val="0"/>
                                      <w:marRight w:val="0"/>
                                      <w:marTop w:val="0"/>
                                      <w:marBottom w:val="0"/>
                                      <w:divBdr>
                                        <w:top w:val="none" w:sz="0" w:space="0" w:color="auto"/>
                                        <w:left w:val="none" w:sz="0" w:space="0" w:color="auto"/>
                                        <w:bottom w:val="none" w:sz="0" w:space="0" w:color="auto"/>
                                        <w:right w:val="none" w:sz="0" w:space="0" w:color="auto"/>
                                      </w:divBdr>
                                      <w:divsChild>
                                        <w:div w:id="1479884558">
                                          <w:marLeft w:val="0"/>
                                          <w:marRight w:val="0"/>
                                          <w:marTop w:val="0"/>
                                          <w:marBottom w:val="0"/>
                                          <w:divBdr>
                                            <w:top w:val="none" w:sz="0" w:space="0" w:color="auto"/>
                                            <w:left w:val="none" w:sz="0" w:space="0" w:color="auto"/>
                                            <w:bottom w:val="none" w:sz="0" w:space="0" w:color="auto"/>
                                            <w:right w:val="none" w:sz="0" w:space="0" w:color="auto"/>
                                          </w:divBdr>
                                          <w:divsChild>
                                            <w:div w:id="687175937">
                                              <w:marLeft w:val="0"/>
                                              <w:marRight w:val="0"/>
                                              <w:marTop w:val="0"/>
                                              <w:marBottom w:val="0"/>
                                              <w:divBdr>
                                                <w:top w:val="none" w:sz="0" w:space="0" w:color="auto"/>
                                                <w:left w:val="none" w:sz="0" w:space="0" w:color="auto"/>
                                                <w:bottom w:val="none" w:sz="0" w:space="0" w:color="auto"/>
                                                <w:right w:val="none" w:sz="0" w:space="0" w:color="auto"/>
                                              </w:divBdr>
                                              <w:divsChild>
                                                <w:div w:id="585264060">
                                                  <w:marLeft w:val="0"/>
                                                  <w:marRight w:val="0"/>
                                                  <w:marTop w:val="0"/>
                                                  <w:marBottom w:val="0"/>
                                                  <w:divBdr>
                                                    <w:top w:val="none" w:sz="0" w:space="0" w:color="auto"/>
                                                    <w:left w:val="none" w:sz="0" w:space="0" w:color="auto"/>
                                                    <w:bottom w:val="none" w:sz="0" w:space="0" w:color="auto"/>
                                                    <w:right w:val="none" w:sz="0" w:space="0" w:color="auto"/>
                                                  </w:divBdr>
                                                  <w:divsChild>
                                                    <w:div w:id="930115623">
                                                      <w:marLeft w:val="0"/>
                                                      <w:marRight w:val="0"/>
                                                      <w:marTop w:val="0"/>
                                                      <w:marBottom w:val="0"/>
                                                      <w:divBdr>
                                                        <w:top w:val="none" w:sz="0" w:space="0" w:color="auto"/>
                                                        <w:left w:val="none" w:sz="0" w:space="0" w:color="auto"/>
                                                        <w:bottom w:val="none" w:sz="0" w:space="0" w:color="auto"/>
                                                        <w:right w:val="none" w:sz="0" w:space="0" w:color="auto"/>
                                                      </w:divBdr>
                                                      <w:divsChild>
                                                        <w:div w:id="7629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CNotes xmlns="34fc8afc-7472-45e8-bbd1-faca779056d1" xsi:nil="true"/>
    <mc5611b894cf49d8aeeb8ebf39dc09bc xmlns="34fc8afc-7472-45e8-bbd1-faca779056d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34fc8afc-7472-45e8-bbd1-faca779056d1">SHD20-15727</ShareHubID>
    <TaxCatchAll xmlns="34fc8afc-7472-45e8-bbd1-faca779056d1">
      <Value>3</Value>
    </TaxCatchAll>
    <jd1c641577414dfdab1686c9d5d0dbd0 xmlns="34fc8afc-7472-45e8-bbd1-faca779056d1">
      <Terms xmlns="http://schemas.microsoft.com/office/infopath/2007/PartnerControls"/>
    </jd1c641577414dfdab1686c9d5d0dbd0>
    <NonRecordJustification xmlns="685f9fda-bd71-4433-b331-92feb9553089">None</NonRecordJustification>
    <SharedWithUsers xmlns="34fc8afc-7472-45e8-bbd1-faca779056d1">
      <UserInfo>
        <DisplayName>Lyn WOJTASZAK</DisplayName>
        <AccountId>48</AccountId>
        <AccountType/>
      </UserInfo>
      <UserInfo>
        <DisplayName>Sophie CARTWRIGHT</DisplayName>
        <AccountId>53</AccountId>
        <AccountType/>
      </UserInfo>
      <UserInfo>
        <DisplayName>Donna TAIT</DisplayName>
        <AccountId>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BB5694627831849AB70D5C02B4CD650" ma:contentTypeVersion="6" ma:contentTypeDescription="ShareHub Document" ma:contentTypeScope="" ma:versionID="764b8f0c186ea2ac046e7f4eebc507a0">
  <xsd:schema xmlns:xsd="http://www.w3.org/2001/XMLSchema" xmlns:xs="http://www.w3.org/2001/XMLSchema" xmlns:p="http://schemas.microsoft.com/office/2006/metadata/properties" xmlns:ns1="34fc8afc-7472-45e8-bbd1-faca779056d1" xmlns:ns3="685f9fda-bd71-4433-b331-92feb9553089" targetNamespace="http://schemas.microsoft.com/office/2006/metadata/properties" ma:root="true" ma:fieldsID="7e909ff3babdad43369153148ea86c7f" ns1:_="" ns3:_="">
    <xsd:import namespace="34fc8afc-7472-45e8-bbd1-faca779056d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8afc-7472-45e8-bbd1-faca779056d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5c4160-954b-4b0e-9a10-761d01a7dd72}" ma:internalName="TaxCatchAll" ma:showField="CatchAllData"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5c4160-954b-4b0e-9a10-761d01a7dd72}" ma:internalName="TaxCatchAllLabel" ma:readOnly="true" ma:showField="CatchAllDataLabel"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E1957-EAB0-41F3-AFA1-D02C5EC39228}">
  <ds:schemaRefs>
    <ds:schemaRef ds:uri="http://schemas.microsoft.com/sharepoint/v3/contenttype/forms"/>
  </ds:schemaRefs>
</ds:datastoreItem>
</file>

<file path=customXml/itemProps2.xml><?xml version="1.0" encoding="utf-8"?>
<ds:datastoreItem xmlns:ds="http://schemas.openxmlformats.org/officeDocument/2006/customXml" ds:itemID="{E048255C-C5ED-4C90-8956-9E087D936474}">
  <ds:schemaRefs>
    <ds:schemaRef ds:uri="http://schemas.microsoft.com/office/2006/documentManagement/types"/>
    <ds:schemaRef ds:uri="http://schemas.openxmlformats.org/package/2006/metadata/core-properties"/>
    <ds:schemaRef ds:uri="http://purl.org/dc/terms/"/>
    <ds:schemaRef ds:uri="34fc8afc-7472-45e8-bbd1-faca779056d1"/>
    <ds:schemaRef ds:uri="http://www.w3.org/XML/1998/namespace"/>
    <ds:schemaRef ds:uri="http://schemas.microsoft.com/office/infopath/2007/PartnerControls"/>
    <ds:schemaRef ds:uri="http://purl.org/dc/elements/1.1/"/>
    <ds:schemaRef ds:uri="685f9fda-bd71-4433-b331-92feb955308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FDF7C56-0F0A-4F28-9C78-529550AF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8afc-7472-45e8-bbd1-faca779056d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5ECF0-CE84-4CB7-9F45-07C10454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8081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ROPER,Sophie</dc:creator>
  <cp:lastModifiedBy>Conduit, Nikki</cp:lastModifiedBy>
  <cp:revision>2</cp:revision>
  <cp:lastPrinted>2019-10-30T03:45:00Z</cp:lastPrinted>
  <dcterms:created xsi:type="dcterms:W3CDTF">2020-09-21T07:05:00Z</dcterms:created>
  <dcterms:modified xsi:type="dcterms:W3CDTF">2020-09-21T07:05:00Z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Acrobat PDFMaker 19 for Word</vt:lpwstr>
  </property>
  <property fmtid="{D5CDD505-2E9C-101B-9397-08002B2CF9AE}" pid="4" name="LastSaved">
    <vt:filetime>2018-11-09T00:00:00Z</vt:filetime>
  </property>
  <property fmtid="{D5CDD505-2E9C-101B-9397-08002B2CF9AE}" pid="5" name="ContentTypeId">
    <vt:lpwstr>0x0101002825A64A6E1845A99A9D8EE8A5686ECB002BB5694627831849AB70D5C02B4CD650</vt:lpwstr>
  </property>
  <property fmtid="{D5CDD505-2E9C-101B-9397-08002B2CF9AE}" pid="6" name="HPRMSecurityLevel">
    <vt:lpwstr>3;#OFFICIAL|11463c70-78df-4e3b-b0ff-f66cd3cb26ec</vt:lpwstr>
  </property>
  <property fmtid="{D5CDD505-2E9C-101B-9397-08002B2CF9AE}" pid="7" name="HPRMSecurityCaveat">
    <vt:lpwstr/>
  </property>
</Properties>
</file>