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43D87" w14:textId="3EB9DE27" w:rsidR="002436BD" w:rsidRPr="0080039A" w:rsidRDefault="00E62E09" w:rsidP="00F45001">
      <w:pPr>
        <w:pStyle w:val="Heading"/>
        <w:spacing w:after="240"/>
        <w:jc w:val="center"/>
        <w:rPr>
          <w:rFonts w:ascii="Times New Roman" w:hAnsi="Times New Roman"/>
          <w:sz w:val="24"/>
          <w:szCs w:val="24"/>
        </w:rPr>
      </w:pPr>
      <w:r w:rsidRPr="00EB44A3">
        <w:rPr>
          <w:rFonts w:ascii="Times New Roman" w:hAnsi="Times New Roman"/>
          <w:sz w:val="24"/>
          <w:szCs w:val="24"/>
        </w:rPr>
        <w:t xml:space="preserve">Financial Sector (Collection of Data) </w:t>
      </w:r>
      <w:r w:rsidR="00B0195F">
        <w:rPr>
          <w:rFonts w:ascii="Times New Roman" w:hAnsi="Times New Roman"/>
          <w:sz w:val="24"/>
          <w:szCs w:val="24"/>
        </w:rPr>
        <w:t xml:space="preserve">class of </w:t>
      </w:r>
      <w:r w:rsidR="00AB5FE2">
        <w:rPr>
          <w:rFonts w:ascii="Times New Roman" w:hAnsi="Times New Roman"/>
          <w:sz w:val="24"/>
          <w:szCs w:val="24"/>
        </w:rPr>
        <w:t>corporation</w:t>
      </w:r>
      <w:r w:rsidR="00B0195F">
        <w:rPr>
          <w:rFonts w:ascii="Times New Roman" w:hAnsi="Times New Roman"/>
          <w:sz w:val="24"/>
          <w:szCs w:val="24"/>
        </w:rPr>
        <w:t>s</w:t>
      </w:r>
      <w:r w:rsidR="001A2ADB" w:rsidRPr="00EB44A3">
        <w:rPr>
          <w:rFonts w:ascii="Times New Roman" w:hAnsi="Times New Roman"/>
          <w:sz w:val="24"/>
          <w:szCs w:val="24"/>
        </w:rPr>
        <w:t xml:space="preserve"> </w:t>
      </w:r>
      <w:r w:rsidR="002436BD" w:rsidRPr="00EB44A3">
        <w:rPr>
          <w:rFonts w:ascii="Times New Roman" w:hAnsi="Times New Roman"/>
          <w:sz w:val="24"/>
          <w:szCs w:val="24"/>
        </w:rPr>
        <w:t>determination No</w:t>
      </w:r>
      <w:r w:rsidR="002436BD" w:rsidRPr="0080039A">
        <w:rPr>
          <w:rFonts w:ascii="Times New Roman" w:hAnsi="Times New Roman"/>
          <w:sz w:val="24"/>
          <w:szCs w:val="24"/>
        </w:rPr>
        <w:t xml:space="preserve">. </w:t>
      </w:r>
      <w:r w:rsidR="00AB5FE2">
        <w:rPr>
          <w:rFonts w:ascii="Times New Roman" w:hAnsi="Times New Roman"/>
          <w:sz w:val="24"/>
          <w:szCs w:val="24"/>
        </w:rPr>
        <w:t>1</w:t>
      </w:r>
      <w:r w:rsidR="002E7B17"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700005">
        <w:rPr>
          <w:rFonts w:ascii="Times New Roman" w:hAnsi="Times New Roman"/>
          <w:sz w:val="24"/>
          <w:szCs w:val="24"/>
        </w:rPr>
        <w:t>2020</w:t>
      </w:r>
    </w:p>
    <w:p w14:paraId="44E951BD" w14:textId="77777777" w:rsidR="002436BD" w:rsidRPr="00BA3AAE"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64B2FD" w14:textId="0EA8D507" w:rsidR="002436BD" w:rsidRDefault="001A2ADB" w:rsidP="00AB5FE2">
      <w:pPr>
        <w:pStyle w:val="heading0"/>
        <w:spacing w:before="0" w:beforeAutospacing="0" w:after="240" w:afterAutospacing="0"/>
        <w:jc w:val="center"/>
      </w:pPr>
      <w:r>
        <w:rPr>
          <w:i/>
          <w:iCs/>
        </w:rPr>
        <w:t>Financial Sector (Collection of Data) Act 2001</w:t>
      </w:r>
      <w:r w:rsidR="00AB5FE2">
        <w:t>, section</w:t>
      </w:r>
      <w:r>
        <w:t xml:space="preserve"> </w:t>
      </w:r>
      <w:r w:rsidR="00AB5FE2">
        <w:t>7</w:t>
      </w:r>
      <w:bookmarkStart w:id="1" w:name="bkAct"/>
      <w:bookmarkStart w:id="2" w:name="bkExplanatory"/>
      <w:bookmarkEnd w:id="1"/>
      <w:bookmarkEnd w:id="2"/>
      <w:r w:rsidR="00BD6360" w:rsidRPr="00BD6360">
        <w:t xml:space="preserve"> </w:t>
      </w:r>
    </w:p>
    <w:p w14:paraId="1ADE3391" w14:textId="77777777" w:rsidR="00BC35F5" w:rsidRDefault="00AB5FE2" w:rsidP="001A2234">
      <w:pPr>
        <w:widowControl w:val="0"/>
        <w:spacing w:after="240"/>
        <w:jc w:val="both"/>
        <w:rPr>
          <w:rFonts w:ascii="Times New Roman" w:hAnsi="Times New Roman"/>
          <w:sz w:val="24"/>
          <w:szCs w:val="24"/>
        </w:rPr>
      </w:pPr>
      <w:r>
        <w:rPr>
          <w:rFonts w:ascii="Times New Roman" w:hAnsi="Times New Roman"/>
          <w:sz w:val="24"/>
          <w:szCs w:val="24"/>
        </w:rPr>
        <w:t xml:space="preserve">Under paragraph 7(1A)(b) of the </w:t>
      </w:r>
      <w:r>
        <w:rPr>
          <w:rFonts w:ascii="Times New Roman" w:hAnsi="Times New Roman"/>
          <w:i/>
          <w:sz w:val="24"/>
          <w:szCs w:val="24"/>
        </w:rPr>
        <w:t xml:space="preserve">Financial Sector (Collection of Data) Act 2001 </w:t>
      </w:r>
      <w:r>
        <w:rPr>
          <w:rFonts w:ascii="Times New Roman" w:hAnsi="Times New Roman"/>
          <w:sz w:val="24"/>
          <w:szCs w:val="24"/>
        </w:rPr>
        <w:t xml:space="preserve">(the Act), APRA has the power to determine in writing a class of corporations </w:t>
      </w:r>
      <w:r w:rsidR="00EE5417">
        <w:rPr>
          <w:rFonts w:ascii="Times New Roman" w:hAnsi="Times New Roman"/>
          <w:sz w:val="24"/>
          <w:szCs w:val="24"/>
        </w:rPr>
        <w:t>a</w:t>
      </w:r>
      <w:r w:rsidR="00C72C5F">
        <w:rPr>
          <w:rFonts w:ascii="Times New Roman" w:hAnsi="Times New Roman"/>
          <w:sz w:val="24"/>
          <w:szCs w:val="24"/>
        </w:rPr>
        <w:t xml:space="preserve">s </w:t>
      </w:r>
      <w:r w:rsidR="00EE5417">
        <w:rPr>
          <w:rFonts w:ascii="Times New Roman" w:hAnsi="Times New Roman"/>
          <w:sz w:val="24"/>
          <w:szCs w:val="24"/>
        </w:rPr>
        <w:t xml:space="preserve">registrable corporations </w:t>
      </w:r>
      <w:r>
        <w:rPr>
          <w:rFonts w:ascii="Times New Roman" w:hAnsi="Times New Roman"/>
          <w:sz w:val="24"/>
          <w:szCs w:val="24"/>
        </w:rPr>
        <w:t>for the purp</w:t>
      </w:r>
      <w:bookmarkStart w:id="3" w:name="_GoBack"/>
      <w:bookmarkEnd w:id="3"/>
      <w:r>
        <w:rPr>
          <w:rFonts w:ascii="Times New Roman" w:hAnsi="Times New Roman"/>
          <w:sz w:val="24"/>
          <w:szCs w:val="24"/>
        </w:rPr>
        <w:t>ose of paragraph 7(1)(b)</w:t>
      </w:r>
      <w:r w:rsidR="003938B7">
        <w:rPr>
          <w:rFonts w:ascii="Times New Roman" w:hAnsi="Times New Roman"/>
          <w:sz w:val="24"/>
          <w:szCs w:val="24"/>
        </w:rPr>
        <w:t xml:space="preserve"> of the Act</w:t>
      </w:r>
      <w:r>
        <w:rPr>
          <w:rFonts w:ascii="Times New Roman" w:hAnsi="Times New Roman"/>
          <w:sz w:val="24"/>
          <w:szCs w:val="24"/>
        </w:rPr>
        <w:t xml:space="preserve">. </w:t>
      </w:r>
      <w:r w:rsidR="00A25A71">
        <w:rPr>
          <w:rFonts w:ascii="Times New Roman" w:hAnsi="Times New Roman"/>
          <w:sz w:val="24"/>
          <w:szCs w:val="24"/>
        </w:rPr>
        <w:t xml:space="preserve"> </w:t>
      </w:r>
    </w:p>
    <w:p w14:paraId="56337970" w14:textId="35AFBF6C"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A377DC">
        <w:rPr>
          <w:rFonts w:ascii="Times New Roman" w:hAnsi="Times New Roman"/>
          <w:sz w:val="24"/>
          <w:szCs w:val="24"/>
        </w:rPr>
        <w:t>16</w:t>
      </w:r>
      <w:r w:rsidR="00F02511">
        <w:rPr>
          <w:rFonts w:ascii="Times New Roman" w:hAnsi="Times New Roman"/>
          <w:sz w:val="24"/>
          <w:szCs w:val="24"/>
        </w:rPr>
        <w:t xml:space="preserve"> April</w:t>
      </w:r>
      <w:r w:rsidR="0080039A" w:rsidRPr="00DE0E5C">
        <w:rPr>
          <w:rFonts w:ascii="Times New Roman" w:hAnsi="Times New Roman"/>
          <w:sz w:val="24"/>
          <w:szCs w:val="24"/>
        </w:rPr>
        <w:t xml:space="preserve"> 2020</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 xml:space="preserve">Financial Sector (Collection of Data) </w:t>
      </w:r>
      <w:r w:rsidR="003F1624">
        <w:rPr>
          <w:rFonts w:ascii="Times New Roman" w:hAnsi="Times New Roman"/>
          <w:sz w:val="24"/>
          <w:szCs w:val="24"/>
        </w:rPr>
        <w:t xml:space="preserve">class of corporations </w:t>
      </w:r>
      <w:r w:rsidRPr="002C6D26">
        <w:rPr>
          <w:rFonts w:ascii="Times New Roman" w:hAnsi="Times New Roman"/>
          <w:sz w:val="24"/>
          <w:szCs w:val="24"/>
        </w:rPr>
        <w:t xml:space="preserve">determination </w:t>
      </w:r>
      <w:r w:rsidR="00EB44A3" w:rsidRPr="0080039A">
        <w:rPr>
          <w:rFonts w:ascii="Times New Roman" w:hAnsi="Times New Roman"/>
          <w:sz w:val="24"/>
          <w:szCs w:val="24"/>
        </w:rPr>
        <w:t xml:space="preserve">No. </w:t>
      </w:r>
      <w:r w:rsidR="00AB5FE2">
        <w:rPr>
          <w:rFonts w:ascii="Times New Roman" w:hAnsi="Times New Roman"/>
          <w:sz w:val="24"/>
          <w:szCs w:val="24"/>
        </w:rPr>
        <w:t>1</w:t>
      </w:r>
      <w:r w:rsidR="00047289" w:rsidRPr="0080039A">
        <w:rPr>
          <w:rFonts w:ascii="Times New Roman" w:hAnsi="Times New Roman"/>
          <w:sz w:val="24"/>
          <w:szCs w:val="24"/>
        </w:rPr>
        <w:t xml:space="preserve"> </w:t>
      </w:r>
      <w:r w:rsidR="00EB44A3" w:rsidRPr="0080039A">
        <w:rPr>
          <w:rFonts w:ascii="Times New Roman" w:hAnsi="Times New Roman"/>
          <w:sz w:val="24"/>
          <w:szCs w:val="24"/>
        </w:rPr>
        <w:t>of 20</w:t>
      </w:r>
      <w:r w:rsidR="00700005">
        <w:rPr>
          <w:rFonts w:ascii="Times New Roman" w:hAnsi="Times New Roman"/>
          <w:sz w:val="24"/>
          <w:szCs w:val="24"/>
        </w:rPr>
        <w:t>20</w:t>
      </w:r>
      <w:r w:rsidRPr="002C6D26">
        <w:rPr>
          <w:rFonts w:ascii="Times New Roman" w:hAnsi="Times New Roman"/>
          <w:sz w:val="24"/>
          <w:szCs w:val="24"/>
        </w:rPr>
        <w:t xml:space="preserve"> </w:t>
      </w:r>
      <w:r w:rsidR="00AB5FE2">
        <w:rPr>
          <w:rFonts w:ascii="Times New Roman" w:hAnsi="Times New Roman"/>
          <w:sz w:val="24"/>
          <w:szCs w:val="24"/>
        </w:rPr>
        <w:t xml:space="preserve">(the </w:t>
      </w:r>
      <w:r w:rsidR="005D7BEA">
        <w:rPr>
          <w:rFonts w:ascii="Times New Roman" w:hAnsi="Times New Roman"/>
          <w:sz w:val="24"/>
          <w:szCs w:val="24"/>
        </w:rPr>
        <w:t>Determination</w:t>
      </w:r>
      <w:r w:rsidR="00AB5FE2">
        <w:rPr>
          <w:rFonts w:ascii="Times New Roman" w:hAnsi="Times New Roman"/>
          <w:sz w:val="24"/>
          <w:szCs w:val="24"/>
        </w:rPr>
        <w:t>).</w:t>
      </w:r>
    </w:p>
    <w:p w14:paraId="0FC69C53" w14:textId="0108B3F0"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F02511">
        <w:rPr>
          <w:rFonts w:ascii="Times New Roman" w:hAnsi="Times New Roman"/>
          <w:sz w:val="24"/>
          <w:szCs w:val="24"/>
        </w:rPr>
        <w:t>1</w:t>
      </w:r>
      <w:r w:rsidR="00A377DC">
        <w:rPr>
          <w:rFonts w:ascii="Times New Roman" w:hAnsi="Times New Roman"/>
          <w:sz w:val="24"/>
          <w:szCs w:val="24"/>
        </w:rPr>
        <w:t>6</w:t>
      </w:r>
      <w:r w:rsidR="00F02511">
        <w:rPr>
          <w:rFonts w:ascii="Times New Roman" w:hAnsi="Times New Roman"/>
          <w:sz w:val="24"/>
          <w:szCs w:val="24"/>
        </w:rPr>
        <w:t xml:space="preserve"> April</w:t>
      </w:r>
      <w:r w:rsidR="003335E4">
        <w:rPr>
          <w:rFonts w:ascii="Times New Roman" w:hAnsi="Times New Roman"/>
          <w:sz w:val="24"/>
          <w:szCs w:val="24"/>
        </w:rPr>
        <w:t xml:space="preserve"> 2020</w:t>
      </w:r>
      <w:r w:rsidR="002436BD" w:rsidRPr="002C6D26">
        <w:rPr>
          <w:rFonts w:ascii="Times New Roman" w:hAnsi="Times New Roman"/>
          <w:sz w:val="24"/>
          <w:szCs w:val="24"/>
        </w:rPr>
        <w:t xml:space="preserve">. </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5A5015B9" w14:textId="2F4F6270" w:rsidR="00EE5417" w:rsidRDefault="008B6794" w:rsidP="005E3722">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w:t>
      </w:r>
      <w:r w:rsidR="00C440D3">
        <w:rPr>
          <w:rFonts w:ascii="Times New Roman" w:hAnsi="Times New Roman"/>
          <w:sz w:val="24"/>
          <w:szCs w:val="24"/>
        </w:rPr>
        <w:t xml:space="preserve">). </w:t>
      </w:r>
      <w:r>
        <w:rPr>
          <w:rFonts w:ascii="Times New Roman" w:hAnsi="Times New Roman"/>
          <w:sz w:val="24"/>
          <w:szCs w:val="24"/>
        </w:rPr>
        <w:t>The Government introduced the</w:t>
      </w:r>
      <w:r w:rsidR="008E10BB">
        <w:rPr>
          <w:rFonts w:ascii="Times New Roman" w:hAnsi="Times New Roman"/>
          <w:sz w:val="24"/>
          <w:szCs w:val="24"/>
        </w:rPr>
        <w:t xml:space="preserve"> </w:t>
      </w:r>
      <w:r w:rsidRPr="008B6794">
        <w:rPr>
          <w:rFonts w:ascii="Times New Roman" w:hAnsi="Times New Roman"/>
          <w:sz w:val="24"/>
          <w:szCs w:val="24"/>
        </w:rPr>
        <w:t>Coronavirus SME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these businesses. </w:t>
      </w:r>
      <w:r w:rsidR="00C440D3" w:rsidRPr="00C440D3">
        <w:rPr>
          <w:rFonts w:ascii="Times New Roman" w:hAnsi="Times New Roman"/>
          <w:sz w:val="24"/>
          <w:szCs w:val="24"/>
        </w:rPr>
        <w:t xml:space="preserve"> </w:t>
      </w:r>
      <w:r w:rsidR="00C440D3">
        <w:rPr>
          <w:rFonts w:ascii="Times New Roman" w:hAnsi="Times New Roman"/>
          <w:sz w:val="24"/>
          <w:szCs w:val="24"/>
        </w:rPr>
        <w:t>Central to the Scheme is</w:t>
      </w:r>
      <w:r w:rsidR="00C440D3" w:rsidRPr="00C440D3">
        <w:rPr>
          <w:rFonts w:ascii="Times New Roman" w:hAnsi="Times New Roman"/>
          <w:sz w:val="24"/>
          <w:szCs w:val="24"/>
        </w:rPr>
        <w:t xml:space="preserve"> section 5 of the </w:t>
      </w:r>
      <w:r w:rsidR="00C440D3" w:rsidRPr="00C440D3">
        <w:rPr>
          <w:rFonts w:ascii="Times New Roman" w:hAnsi="Times New Roman"/>
          <w:i/>
          <w:sz w:val="24"/>
          <w:szCs w:val="24"/>
        </w:rPr>
        <w:t xml:space="preserve">Guarantee of Lending to Small and Medium Enterprises (Coronavirus Economic Response Package) Act 2020 </w:t>
      </w:r>
      <w:r w:rsidR="00C440D3" w:rsidRPr="00C440D3">
        <w:rPr>
          <w:rFonts w:ascii="Times New Roman" w:hAnsi="Times New Roman"/>
          <w:sz w:val="24"/>
          <w:szCs w:val="24"/>
        </w:rPr>
        <w:t xml:space="preserve">(the Guarantee of Lending Act), </w:t>
      </w:r>
      <w:r w:rsidR="00C440D3">
        <w:rPr>
          <w:rFonts w:ascii="Times New Roman" w:hAnsi="Times New Roman"/>
          <w:sz w:val="24"/>
          <w:szCs w:val="24"/>
        </w:rPr>
        <w:t xml:space="preserve">under which </w:t>
      </w:r>
      <w:r w:rsidR="00C440D3" w:rsidRPr="00C440D3">
        <w:rPr>
          <w:rFonts w:ascii="Times New Roman" w:hAnsi="Times New Roman"/>
          <w:sz w:val="24"/>
          <w:szCs w:val="24"/>
        </w:rPr>
        <w:t xml:space="preserve">the Minister </w:t>
      </w:r>
      <w:r w:rsidR="00C440D3" w:rsidRPr="00C440D3">
        <w:rPr>
          <w:rFonts w:ascii="Times New Roman" w:hAnsi="Times New Roman"/>
          <w:sz w:val="24"/>
          <w:szCs w:val="24"/>
        </w:rPr>
        <w:lastRenderedPageBreak/>
        <w:t>may, on behalf of the Commonwealth, grant a guarantee to a financial institution in connection with loans made, or to be made, by the financial institution to SMEs.</w:t>
      </w:r>
    </w:p>
    <w:p w14:paraId="7BFEE2CE" w14:textId="2550DD4B" w:rsidR="000E6E01" w:rsidRDefault="008B6794" w:rsidP="005E3722">
      <w:pPr>
        <w:spacing w:after="240"/>
        <w:jc w:val="both"/>
        <w:rPr>
          <w:rFonts w:ascii="Times New Roman" w:hAnsi="Times New Roman"/>
          <w:sz w:val="24"/>
          <w:szCs w:val="24"/>
        </w:rPr>
      </w:pPr>
      <w:r w:rsidRPr="008B6794">
        <w:rPr>
          <w:rFonts w:ascii="Times New Roman" w:hAnsi="Times New Roman"/>
          <w:sz w:val="24"/>
          <w:szCs w:val="24"/>
        </w:rPr>
        <w:t>Under the Scheme, the Government will guarantee 50 per cent</w:t>
      </w:r>
      <w:r w:rsidR="00327759">
        <w:rPr>
          <w:rFonts w:ascii="Times New Roman" w:hAnsi="Times New Roman"/>
          <w:sz w:val="24"/>
          <w:szCs w:val="24"/>
        </w:rPr>
        <w:t xml:space="preserve"> of new loans issued by eligible </w:t>
      </w:r>
      <w:r w:rsidR="005D7BEA">
        <w:rPr>
          <w:rFonts w:ascii="Times New Roman" w:hAnsi="Times New Roman"/>
          <w:sz w:val="24"/>
          <w:szCs w:val="24"/>
        </w:rPr>
        <w:t>authorised-deposit taking institution</w:t>
      </w:r>
      <w:r w:rsidR="00316060">
        <w:rPr>
          <w:rFonts w:ascii="Times New Roman" w:hAnsi="Times New Roman"/>
          <w:sz w:val="24"/>
          <w:szCs w:val="24"/>
        </w:rPr>
        <w:t>s</w:t>
      </w:r>
      <w:r w:rsidR="005D7BEA">
        <w:rPr>
          <w:rFonts w:ascii="Times New Roman" w:hAnsi="Times New Roman"/>
          <w:sz w:val="24"/>
          <w:szCs w:val="24"/>
        </w:rPr>
        <w:t xml:space="preserve"> (</w:t>
      </w:r>
      <w:r w:rsidR="00327759">
        <w:rPr>
          <w:rFonts w:ascii="Times New Roman" w:hAnsi="Times New Roman"/>
          <w:sz w:val="24"/>
          <w:szCs w:val="24"/>
        </w:rPr>
        <w:t>ADI</w:t>
      </w:r>
      <w:r w:rsidR="00316060">
        <w:rPr>
          <w:rFonts w:ascii="Times New Roman" w:hAnsi="Times New Roman"/>
          <w:sz w:val="24"/>
          <w:szCs w:val="24"/>
        </w:rPr>
        <w:t>s</w:t>
      </w:r>
      <w:r w:rsidR="005D7BEA">
        <w:rPr>
          <w:rFonts w:ascii="Times New Roman" w:hAnsi="Times New Roman"/>
          <w:sz w:val="24"/>
          <w:szCs w:val="24"/>
        </w:rPr>
        <w:t>)</w:t>
      </w:r>
      <w:r w:rsidR="00327759">
        <w:rPr>
          <w:rFonts w:ascii="Times New Roman" w:hAnsi="Times New Roman"/>
          <w:sz w:val="24"/>
          <w:szCs w:val="24"/>
        </w:rPr>
        <w:t xml:space="preserve"> and</w:t>
      </w:r>
      <w:r w:rsidR="00DE6884">
        <w:rPr>
          <w:rFonts w:ascii="Times New Roman" w:hAnsi="Times New Roman"/>
          <w:sz w:val="24"/>
          <w:szCs w:val="24"/>
        </w:rPr>
        <w:t xml:space="preserve"> corporations that are</w:t>
      </w:r>
      <w:r w:rsidR="00327759">
        <w:rPr>
          <w:rFonts w:ascii="Times New Roman" w:hAnsi="Times New Roman"/>
          <w:sz w:val="24"/>
          <w:szCs w:val="24"/>
        </w:rPr>
        <w:t xml:space="preserve"> </w:t>
      </w:r>
      <w:r w:rsidR="008A0823">
        <w:rPr>
          <w:rFonts w:ascii="Times New Roman" w:hAnsi="Times New Roman"/>
          <w:sz w:val="24"/>
          <w:szCs w:val="24"/>
        </w:rPr>
        <w:t xml:space="preserve">non-bank lenders </w:t>
      </w:r>
      <w:r w:rsidRPr="008B6794">
        <w:rPr>
          <w:rFonts w:ascii="Times New Roman" w:hAnsi="Times New Roman"/>
          <w:sz w:val="24"/>
          <w:szCs w:val="24"/>
        </w:rPr>
        <w:t>to SME</w:t>
      </w:r>
      <w:r w:rsidR="00327759">
        <w:rPr>
          <w:rFonts w:ascii="Times New Roman" w:hAnsi="Times New Roman"/>
          <w:sz w:val="24"/>
          <w:szCs w:val="24"/>
        </w:rPr>
        <w:t>s</w:t>
      </w:r>
      <w:r w:rsidR="00335487">
        <w:rPr>
          <w:rFonts w:ascii="Times New Roman" w:hAnsi="Times New Roman"/>
          <w:sz w:val="24"/>
          <w:szCs w:val="24"/>
        </w:rPr>
        <w:t xml:space="preserve">. This will enhance </w:t>
      </w:r>
      <w:r w:rsidRPr="008B6794">
        <w:rPr>
          <w:rFonts w:ascii="Times New Roman" w:hAnsi="Times New Roman"/>
          <w:sz w:val="24"/>
          <w:szCs w:val="24"/>
        </w:rPr>
        <w:t xml:space="preserve">lenders’ willingness and ability to provide credit, </w:t>
      </w:r>
      <w:r w:rsidR="00335487">
        <w:rPr>
          <w:rFonts w:ascii="Times New Roman" w:hAnsi="Times New Roman"/>
          <w:sz w:val="24"/>
          <w:szCs w:val="24"/>
        </w:rPr>
        <w:t>and support</w:t>
      </w:r>
      <w:r w:rsidRPr="008B6794">
        <w:rPr>
          <w:rFonts w:ascii="Times New Roman" w:hAnsi="Times New Roman"/>
          <w:sz w:val="24"/>
          <w:szCs w:val="24"/>
        </w:rPr>
        <w:t xml:space="preserve"> SMEs being able to access </w:t>
      </w:r>
      <w:r w:rsidR="006454FB">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sidR="00011827">
        <w:rPr>
          <w:rStyle w:val="FootnoteReference"/>
          <w:rFonts w:ascii="Times New Roman" w:hAnsi="Times New Roman"/>
          <w:sz w:val="24"/>
          <w:szCs w:val="24"/>
        </w:rPr>
        <w:footnoteReference w:id="2"/>
      </w:r>
      <w:r>
        <w:rPr>
          <w:rFonts w:ascii="Times New Roman" w:hAnsi="Times New Roman"/>
          <w:sz w:val="24"/>
          <w:szCs w:val="24"/>
        </w:rPr>
        <w:t>.</w:t>
      </w:r>
      <w:r w:rsidR="00011827">
        <w:rPr>
          <w:rFonts w:ascii="Times New Roman" w:hAnsi="Times New Roman"/>
          <w:sz w:val="24"/>
          <w:szCs w:val="24"/>
        </w:rPr>
        <w:t xml:space="preserve"> </w:t>
      </w:r>
    </w:p>
    <w:p w14:paraId="1D265156" w14:textId="0FC6AE7F" w:rsidR="00EA1622" w:rsidRDefault="007D2825" w:rsidP="00B820E5">
      <w:pPr>
        <w:spacing w:after="240"/>
        <w:jc w:val="both"/>
        <w:rPr>
          <w:rFonts w:ascii="Times New Roman" w:hAnsi="Times New Roman"/>
          <w:sz w:val="24"/>
          <w:szCs w:val="24"/>
        </w:rPr>
      </w:pPr>
      <w:r>
        <w:rPr>
          <w:rFonts w:ascii="Times New Roman" w:hAnsi="Times New Roman"/>
          <w:sz w:val="24"/>
          <w:szCs w:val="24"/>
        </w:rPr>
        <w:t xml:space="preserve">Lenders that are granted a guarantee </w:t>
      </w:r>
      <w:r w:rsidR="008E10BB">
        <w:rPr>
          <w:rFonts w:ascii="Times New Roman" w:hAnsi="Times New Roman"/>
          <w:sz w:val="24"/>
          <w:szCs w:val="24"/>
        </w:rPr>
        <w:t>under</w:t>
      </w:r>
      <w:r w:rsidR="00215FB5">
        <w:rPr>
          <w:rFonts w:ascii="Times New Roman" w:hAnsi="Times New Roman"/>
          <w:sz w:val="24"/>
          <w:szCs w:val="24"/>
        </w:rPr>
        <w:t xml:space="preserve"> the Scheme</w:t>
      </w:r>
      <w:r w:rsidR="008E10BB">
        <w:rPr>
          <w:rFonts w:ascii="Times New Roman" w:hAnsi="Times New Roman"/>
          <w:sz w:val="24"/>
          <w:szCs w:val="24"/>
        </w:rPr>
        <w:t xml:space="preserve"> are required</w:t>
      </w:r>
      <w:r w:rsidR="00215FB5">
        <w:rPr>
          <w:rFonts w:ascii="Times New Roman" w:hAnsi="Times New Roman"/>
          <w:sz w:val="24"/>
          <w:szCs w:val="24"/>
        </w:rPr>
        <w:t xml:space="preserve"> </w:t>
      </w:r>
      <w:r w:rsidR="00543342">
        <w:rPr>
          <w:rFonts w:ascii="Times New Roman" w:hAnsi="Times New Roman"/>
          <w:sz w:val="24"/>
          <w:szCs w:val="24"/>
        </w:rPr>
        <w:t xml:space="preserve">to report to APRA </w:t>
      </w:r>
      <w:r w:rsidR="00543342" w:rsidRPr="00543342">
        <w:rPr>
          <w:rFonts w:ascii="Times New Roman" w:hAnsi="Times New Roman"/>
          <w:sz w:val="24"/>
          <w:szCs w:val="24"/>
        </w:rPr>
        <w:t>for the loans under the guarantee</w:t>
      </w:r>
      <w:r w:rsidR="00543342">
        <w:rPr>
          <w:rFonts w:ascii="Times New Roman" w:hAnsi="Times New Roman"/>
          <w:sz w:val="24"/>
          <w:szCs w:val="24"/>
        </w:rPr>
        <w:t xml:space="preserve">. </w:t>
      </w:r>
      <w:r w:rsidR="00EA1622">
        <w:rPr>
          <w:rFonts w:ascii="Times New Roman" w:hAnsi="Times New Roman"/>
          <w:sz w:val="24"/>
          <w:szCs w:val="24"/>
        </w:rPr>
        <w:t xml:space="preserve">A number of corporations </w:t>
      </w:r>
      <w:r w:rsidR="00D011F9">
        <w:rPr>
          <w:rFonts w:ascii="Times New Roman" w:hAnsi="Times New Roman"/>
          <w:sz w:val="24"/>
          <w:szCs w:val="24"/>
        </w:rPr>
        <w:t xml:space="preserve">approved to participate in the Scheme </w:t>
      </w:r>
      <w:r w:rsidR="00EA1622">
        <w:rPr>
          <w:rFonts w:ascii="Times New Roman" w:hAnsi="Times New Roman"/>
          <w:sz w:val="24"/>
          <w:szCs w:val="24"/>
        </w:rPr>
        <w:t>are already financial sector entities for the purposes of the Act and report financial information to APRA on an ongoing basis</w:t>
      </w:r>
      <w:r w:rsidR="001F0942">
        <w:rPr>
          <w:rFonts w:ascii="Times New Roman" w:hAnsi="Times New Roman"/>
          <w:sz w:val="24"/>
          <w:szCs w:val="24"/>
        </w:rPr>
        <w:t xml:space="preserve"> under applicable reporting standards</w:t>
      </w:r>
      <w:r w:rsidR="00EA1622">
        <w:rPr>
          <w:rFonts w:ascii="Times New Roman" w:hAnsi="Times New Roman"/>
          <w:sz w:val="24"/>
          <w:szCs w:val="24"/>
        </w:rPr>
        <w:t xml:space="preserve">. </w:t>
      </w:r>
    </w:p>
    <w:p w14:paraId="025FBEB4" w14:textId="5420F61B" w:rsidR="00C3194E" w:rsidRDefault="00EA1622" w:rsidP="00B820E5">
      <w:pPr>
        <w:spacing w:after="240"/>
        <w:jc w:val="both"/>
        <w:rPr>
          <w:rFonts w:ascii="Times New Roman" w:hAnsi="Times New Roman"/>
          <w:sz w:val="24"/>
          <w:szCs w:val="24"/>
        </w:rPr>
      </w:pPr>
      <w:r>
        <w:rPr>
          <w:rFonts w:ascii="Times New Roman" w:hAnsi="Times New Roman"/>
          <w:sz w:val="24"/>
          <w:szCs w:val="24"/>
        </w:rPr>
        <w:t xml:space="preserve">As the activities of the </w:t>
      </w:r>
      <w:r w:rsidR="00E944B5">
        <w:rPr>
          <w:rFonts w:ascii="Times New Roman" w:hAnsi="Times New Roman"/>
          <w:sz w:val="24"/>
          <w:szCs w:val="24"/>
        </w:rPr>
        <w:t xml:space="preserve">remaining </w:t>
      </w:r>
      <w:r>
        <w:rPr>
          <w:rFonts w:ascii="Times New Roman" w:hAnsi="Times New Roman"/>
          <w:sz w:val="24"/>
          <w:szCs w:val="24"/>
        </w:rPr>
        <w:t xml:space="preserve">corporations </w:t>
      </w:r>
      <w:r w:rsidR="004A6AF2">
        <w:rPr>
          <w:rFonts w:ascii="Times New Roman" w:hAnsi="Times New Roman"/>
          <w:sz w:val="24"/>
          <w:szCs w:val="24"/>
        </w:rPr>
        <w:t xml:space="preserve">that are granted </w:t>
      </w:r>
      <w:r w:rsidR="00E61F28">
        <w:rPr>
          <w:rFonts w:ascii="Times New Roman" w:hAnsi="Times New Roman"/>
          <w:sz w:val="24"/>
          <w:szCs w:val="24"/>
        </w:rPr>
        <w:t>a guarantee</w:t>
      </w:r>
      <w:r>
        <w:rPr>
          <w:rFonts w:ascii="Times New Roman" w:hAnsi="Times New Roman"/>
          <w:sz w:val="24"/>
          <w:szCs w:val="24"/>
        </w:rPr>
        <w:t xml:space="preserve"> under the Scheme encompass the provision of finance, </w:t>
      </w:r>
      <w:r w:rsidR="00B820E5">
        <w:rPr>
          <w:rFonts w:ascii="Times New Roman" w:hAnsi="Times New Roman"/>
          <w:sz w:val="24"/>
          <w:szCs w:val="24"/>
        </w:rPr>
        <w:t>APRA consid</w:t>
      </w:r>
      <w:r w:rsidR="00DD6251">
        <w:rPr>
          <w:rFonts w:ascii="Times New Roman" w:hAnsi="Times New Roman"/>
          <w:sz w:val="24"/>
          <w:szCs w:val="24"/>
        </w:rPr>
        <w:t xml:space="preserve">ers it appropriate to determine </w:t>
      </w:r>
      <w:r w:rsidR="00B820E5">
        <w:rPr>
          <w:rFonts w:ascii="Times New Roman" w:hAnsi="Times New Roman"/>
          <w:sz w:val="24"/>
          <w:szCs w:val="24"/>
        </w:rPr>
        <w:t>th</w:t>
      </w:r>
      <w:r>
        <w:rPr>
          <w:rFonts w:ascii="Times New Roman" w:hAnsi="Times New Roman"/>
          <w:sz w:val="24"/>
          <w:szCs w:val="24"/>
        </w:rPr>
        <w:t>e</w:t>
      </w:r>
      <w:r w:rsidR="002D0BF3">
        <w:rPr>
          <w:rFonts w:ascii="Times New Roman" w:hAnsi="Times New Roman"/>
          <w:sz w:val="24"/>
          <w:szCs w:val="24"/>
        </w:rPr>
        <w:t xml:space="preserve">se </w:t>
      </w:r>
      <w:r w:rsidR="00B820E5">
        <w:rPr>
          <w:rFonts w:ascii="Times New Roman" w:hAnsi="Times New Roman"/>
          <w:sz w:val="24"/>
          <w:szCs w:val="24"/>
        </w:rPr>
        <w:t>corporations</w:t>
      </w:r>
      <w:r w:rsidR="00695C5E">
        <w:rPr>
          <w:rFonts w:ascii="Times New Roman" w:hAnsi="Times New Roman"/>
          <w:sz w:val="24"/>
          <w:szCs w:val="24"/>
        </w:rPr>
        <w:t>,</w:t>
      </w:r>
      <w:r w:rsidR="00B820E5">
        <w:rPr>
          <w:rFonts w:ascii="Times New Roman" w:hAnsi="Times New Roman"/>
          <w:sz w:val="24"/>
          <w:szCs w:val="24"/>
        </w:rPr>
        <w:t xml:space="preserve"> </w:t>
      </w:r>
      <w:r w:rsidR="002D0BF3">
        <w:rPr>
          <w:rFonts w:ascii="Times New Roman" w:hAnsi="Times New Roman"/>
          <w:sz w:val="24"/>
          <w:szCs w:val="24"/>
        </w:rPr>
        <w:t>as a class</w:t>
      </w:r>
      <w:r w:rsidR="00695C5E">
        <w:rPr>
          <w:rFonts w:ascii="Times New Roman" w:hAnsi="Times New Roman"/>
          <w:sz w:val="24"/>
          <w:szCs w:val="24"/>
        </w:rPr>
        <w:t>, as r</w:t>
      </w:r>
      <w:r w:rsidR="002D0BF3">
        <w:rPr>
          <w:rFonts w:ascii="Times New Roman" w:hAnsi="Times New Roman"/>
          <w:sz w:val="24"/>
          <w:szCs w:val="24"/>
        </w:rPr>
        <w:t xml:space="preserve">egistrable corporations. </w:t>
      </w:r>
    </w:p>
    <w:p w14:paraId="6BAB0951" w14:textId="64A663B6" w:rsidR="002D0BF3" w:rsidRDefault="002D0BF3" w:rsidP="00B820E5">
      <w:pPr>
        <w:spacing w:after="240"/>
        <w:jc w:val="both"/>
        <w:rPr>
          <w:rFonts w:ascii="Times New Roman" w:hAnsi="Times New Roman"/>
          <w:sz w:val="24"/>
          <w:szCs w:val="24"/>
        </w:rPr>
      </w:pPr>
      <w:r>
        <w:rPr>
          <w:rFonts w:ascii="Times New Roman" w:hAnsi="Times New Roman"/>
          <w:sz w:val="24"/>
          <w:szCs w:val="24"/>
        </w:rPr>
        <w:t>Following th</w:t>
      </w:r>
      <w:r w:rsidR="00FD0E3D">
        <w:rPr>
          <w:rFonts w:ascii="Times New Roman" w:hAnsi="Times New Roman"/>
          <w:sz w:val="24"/>
          <w:szCs w:val="24"/>
        </w:rPr>
        <w:t xml:space="preserve">e </w:t>
      </w:r>
      <w:r w:rsidR="00810584">
        <w:rPr>
          <w:rFonts w:ascii="Times New Roman" w:hAnsi="Times New Roman"/>
          <w:sz w:val="24"/>
          <w:szCs w:val="24"/>
        </w:rPr>
        <w:t>D</w:t>
      </w:r>
      <w:r>
        <w:rPr>
          <w:rFonts w:ascii="Times New Roman" w:hAnsi="Times New Roman"/>
          <w:sz w:val="24"/>
          <w:szCs w:val="24"/>
        </w:rPr>
        <w:t xml:space="preserve">etermination, each corporation </w:t>
      </w:r>
      <w:r w:rsidR="004A6AF2">
        <w:rPr>
          <w:rFonts w:ascii="Times New Roman" w:hAnsi="Times New Roman"/>
          <w:sz w:val="24"/>
          <w:szCs w:val="24"/>
        </w:rPr>
        <w:t xml:space="preserve">granted a guarantee </w:t>
      </w:r>
      <w:r w:rsidR="00F02BBB">
        <w:rPr>
          <w:rFonts w:ascii="Times New Roman" w:hAnsi="Times New Roman"/>
          <w:sz w:val="24"/>
          <w:szCs w:val="24"/>
        </w:rPr>
        <w:t>under the Scheme</w:t>
      </w:r>
      <w:r w:rsidR="00705603">
        <w:rPr>
          <w:rFonts w:ascii="Times New Roman" w:hAnsi="Times New Roman"/>
          <w:sz w:val="24"/>
          <w:szCs w:val="24"/>
        </w:rPr>
        <w:t xml:space="preserve"> </w:t>
      </w:r>
      <w:r w:rsidR="00FE21AC">
        <w:rPr>
          <w:rFonts w:ascii="Times New Roman" w:hAnsi="Times New Roman"/>
          <w:sz w:val="24"/>
          <w:szCs w:val="24"/>
        </w:rPr>
        <w:t xml:space="preserve">(that is not an existing </w:t>
      </w:r>
      <w:r w:rsidR="00FE21AC" w:rsidRPr="00FD0E3D">
        <w:rPr>
          <w:rFonts w:ascii="Times New Roman" w:hAnsi="Times New Roman"/>
          <w:sz w:val="24"/>
          <w:szCs w:val="24"/>
        </w:rPr>
        <w:t>registrable corporation</w:t>
      </w:r>
      <w:r w:rsidR="004A6AF2">
        <w:rPr>
          <w:rFonts w:ascii="Times New Roman" w:hAnsi="Times New Roman"/>
          <w:sz w:val="24"/>
          <w:szCs w:val="24"/>
        </w:rPr>
        <w:t xml:space="preserve"> </w:t>
      </w:r>
      <w:r w:rsidR="009D0110">
        <w:rPr>
          <w:rFonts w:ascii="Times New Roman" w:hAnsi="Times New Roman"/>
          <w:sz w:val="24"/>
          <w:szCs w:val="24"/>
        </w:rPr>
        <w:t xml:space="preserve">or </w:t>
      </w:r>
      <w:r w:rsidR="004A6AF2">
        <w:rPr>
          <w:rFonts w:ascii="Times New Roman" w:hAnsi="Times New Roman"/>
          <w:sz w:val="24"/>
          <w:szCs w:val="24"/>
        </w:rPr>
        <w:t xml:space="preserve">an ADI under the </w:t>
      </w:r>
      <w:r w:rsidR="004A6AF2">
        <w:rPr>
          <w:rFonts w:ascii="Times New Roman" w:hAnsi="Times New Roman"/>
          <w:i/>
          <w:sz w:val="24"/>
          <w:szCs w:val="24"/>
        </w:rPr>
        <w:t>Banking Act 1959</w:t>
      </w:r>
      <w:r w:rsidR="00FE21AC">
        <w:rPr>
          <w:rFonts w:ascii="Times New Roman" w:hAnsi="Times New Roman"/>
          <w:sz w:val="24"/>
          <w:szCs w:val="24"/>
        </w:rPr>
        <w:t xml:space="preserve">) </w:t>
      </w:r>
      <w:r w:rsidR="00116088">
        <w:rPr>
          <w:rFonts w:ascii="Times New Roman" w:hAnsi="Times New Roman"/>
          <w:sz w:val="24"/>
          <w:szCs w:val="24"/>
        </w:rPr>
        <w:t xml:space="preserve">is </w:t>
      </w:r>
      <w:r w:rsidR="00FD0E3D">
        <w:rPr>
          <w:rFonts w:ascii="Times New Roman" w:hAnsi="Times New Roman"/>
          <w:sz w:val="24"/>
          <w:szCs w:val="24"/>
        </w:rPr>
        <w:t>o</w:t>
      </w:r>
      <w:r>
        <w:rPr>
          <w:rFonts w:ascii="Times New Roman" w:hAnsi="Times New Roman"/>
          <w:sz w:val="24"/>
          <w:szCs w:val="24"/>
        </w:rPr>
        <w:t>blig</w:t>
      </w:r>
      <w:r w:rsidR="00FD0E3D">
        <w:rPr>
          <w:rFonts w:ascii="Times New Roman" w:hAnsi="Times New Roman"/>
          <w:sz w:val="24"/>
          <w:szCs w:val="24"/>
        </w:rPr>
        <w:t>ed</w:t>
      </w:r>
      <w:r w:rsidR="004D541D">
        <w:rPr>
          <w:rFonts w:ascii="Times New Roman" w:hAnsi="Times New Roman"/>
          <w:sz w:val="24"/>
          <w:szCs w:val="24"/>
        </w:rPr>
        <w:t>,</w:t>
      </w:r>
      <w:r w:rsidR="00FD0E3D">
        <w:rPr>
          <w:rFonts w:ascii="Times New Roman" w:hAnsi="Times New Roman"/>
          <w:sz w:val="24"/>
          <w:szCs w:val="24"/>
        </w:rPr>
        <w:t xml:space="preserve"> </w:t>
      </w:r>
      <w:r>
        <w:rPr>
          <w:rFonts w:ascii="Times New Roman" w:hAnsi="Times New Roman"/>
          <w:sz w:val="24"/>
          <w:szCs w:val="24"/>
        </w:rPr>
        <w:t xml:space="preserve">under </w:t>
      </w:r>
      <w:r w:rsidR="004D541D">
        <w:rPr>
          <w:rFonts w:ascii="Times New Roman" w:hAnsi="Times New Roman"/>
          <w:sz w:val="24"/>
          <w:szCs w:val="24"/>
        </w:rPr>
        <w:t xml:space="preserve">section 9 of </w:t>
      </w:r>
      <w:r>
        <w:rPr>
          <w:rFonts w:ascii="Times New Roman" w:hAnsi="Times New Roman"/>
          <w:sz w:val="24"/>
          <w:szCs w:val="24"/>
        </w:rPr>
        <w:t>the Act</w:t>
      </w:r>
      <w:r w:rsidR="004D541D">
        <w:rPr>
          <w:rFonts w:ascii="Times New Roman" w:hAnsi="Times New Roman"/>
          <w:sz w:val="24"/>
          <w:szCs w:val="24"/>
        </w:rPr>
        <w:t>,</w:t>
      </w:r>
      <w:r>
        <w:rPr>
          <w:rFonts w:ascii="Times New Roman" w:hAnsi="Times New Roman"/>
          <w:sz w:val="24"/>
          <w:szCs w:val="24"/>
        </w:rPr>
        <w:t xml:space="preserve"> to give APRA documents</w:t>
      </w:r>
      <w:r w:rsidR="00F02511">
        <w:rPr>
          <w:rFonts w:ascii="Times New Roman" w:hAnsi="Times New Roman"/>
          <w:sz w:val="24"/>
          <w:szCs w:val="24"/>
        </w:rPr>
        <w:t xml:space="preserve"> </w:t>
      </w:r>
      <w:r w:rsidR="004D541D">
        <w:rPr>
          <w:rFonts w:ascii="Times New Roman" w:hAnsi="Times New Roman"/>
          <w:sz w:val="24"/>
          <w:szCs w:val="24"/>
        </w:rPr>
        <w:t>to enable it</w:t>
      </w:r>
      <w:r w:rsidR="00FD0E3D">
        <w:rPr>
          <w:rFonts w:ascii="Times New Roman" w:hAnsi="Times New Roman"/>
          <w:sz w:val="24"/>
          <w:szCs w:val="24"/>
        </w:rPr>
        <w:t xml:space="preserve"> to enter specific details of that corporation on the Register of Entities kept by APRA</w:t>
      </w:r>
      <w:r>
        <w:rPr>
          <w:rFonts w:ascii="Times New Roman" w:hAnsi="Times New Roman"/>
          <w:sz w:val="24"/>
          <w:szCs w:val="24"/>
        </w:rPr>
        <w:t>.</w:t>
      </w:r>
      <w:r w:rsidR="000531A2">
        <w:rPr>
          <w:rFonts w:ascii="Times New Roman" w:hAnsi="Times New Roman"/>
          <w:sz w:val="24"/>
          <w:szCs w:val="24"/>
        </w:rPr>
        <w:t xml:space="preserve"> A corporation covered by </w:t>
      </w:r>
      <w:r w:rsidR="000531A2">
        <w:rPr>
          <w:rFonts w:ascii="Times New Roman" w:hAnsi="Times New Roman"/>
          <w:sz w:val="24"/>
          <w:szCs w:val="24"/>
        </w:rPr>
        <w:lastRenderedPageBreak/>
        <w:t xml:space="preserve">this Determination will have already provided most of the documents that it is obliged to provide APRA for the Register of Entities as part of the information it was required to provide to </w:t>
      </w:r>
      <w:r w:rsidR="00184EC3">
        <w:rPr>
          <w:rFonts w:ascii="Times New Roman" w:hAnsi="Times New Roman"/>
          <w:sz w:val="24"/>
          <w:szCs w:val="24"/>
        </w:rPr>
        <w:t xml:space="preserve">the </w:t>
      </w:r>
      <w:r w:rsidR="000531A2">
        <w:rPr>
          <w:rFonts w:ascii="Times New Roman" w:hAnsi="Times New Roman"/>
          <w:sz w:val="24"/>
          <w:szCs w:val="24"/>
        </w:rPr>
        <w:t xml:space="preserve">Government and APRA when expressing interest to participate as a lender under the Scheme.  </w:t>
      </w:r>
    </w:p>
    <w:p w14:paraId="49D3FEA8" w14:textId="5E4C1BFA" w:rsidR="001F0942" w:rsidRDefault="000B0D5D" w:rsidP="00FD2FED">
      <w:pPr>
        <w:spacing w:after="240"/>
        <w:jc w:val="both"/>
        <w:rPr>
          <w:rFonts w:ascii="Times New Roman" w:hAnsi="Times New Roman"/>
          <w:sz w:val="24"/>
          <w:szCs w:val="24"/>
        </w:rPr>
      </w:pPr>
      <w:r>
        <w:rPr>
          <w:rFonts w:ascii="Times New Roman" w:hAnsi="Times New Roman"/>
          <w:sz w:val="24"/>
          <w:szCs w:val="24"/>
        </w:rPr>
        <w:t>D</w:t>
      </w:r>
      <w:r w:rsidR="00FD2FED">
        <w:rPr>
          <w:rFonts w:ascii="Times New Roman" w:hAnsi="Times New Roman"/>
          <w:sz w:val="24"/>
          <w:szCs w:val="24"/>
        </w:rPr>
        <w:t>etermining th</w:t>
      </w:r>
      <w:r w:rsidR="00CC5C72">
        <w:rPr>
          <w:rFonts w:ascii="Times New Roman" w:hAnsi="Times New Roman"/>
          <w:sz w:val="24"/>
          <w:szCs w:val="24"/>
        </w:rPr>
        <w:t xml:space="preserve">ese corporations as a </w:t>
      </w:r>
      <w:r w:rsidR="00FD2FED">
        <w:rPr>
          <w:rFonts w:ascii="Times New Roman" w:hAnsi="Times New Roman"/>
          <w:sz w:val="24"/>
          <w:szCs w:val="24"/>
        </w:rPr>
        <w:t xml:space="preserve">class of corporations </w:t>
      </w:r>
      <w:r w:rsidR="00CC5C72">
        <w:rPr>
          <w:rFonts w:ascii="Times New Roman" w:hAnsi="Times New Roman"/>
          <w:sz w:val="24"/>
          <w:szCs w:val="24"/>
        </w:rPr>
        <w:t xml:space="preserve">that are </w:t>
      </w:r>
      <w:r w:rsidR="00FD2FED">
        <w:rPr>
          <w:rFonts w:ascii="Times New Roman" w:hAnsi="Times New Roman"/>
          <w:sz w:val="24"/>
          <w:szCs w:val="24"/>
        </w:rPr>
        <w:t>registrable corporation</w:t>
      </w:r>
      <w:r w:rsidR="001F0942">
        <w:rPr>
          <w:rFonts w:ascii="Times New Roman" w:hAnsi="Times New Roman"/>
          <w:sz w:val="24"/>
          <w:szCs w:val="24"/>
        </w:rPr>
        <w:t>s</w:t>
      </w:r>
      <w:r w:rsidR="00FD2FED">
        <w:rPr>
          <w:rFonts w:ascii="Times New Roman" w:hAnsi="Times New Roman"/>
          <w:sz w:val="24"/>
          <w:szCs w:val="24"/>
        </w:rPr>
        <w:t xml:space="preserve"> </w:t>
      </w:r>
      <w:r w:rsidR="00FC4E8D">
        <w:rPr>
          <w:rFonts w:ascii="Times New Roman" w:hAnsi="Times New Roman"/>
          <w:sz w:val="24"/>
          <w:szCs w:val="24"/>
        </w:rPr>
        <w:t>aims to ensure</w:t>
      </w:r>
      <w:r w:rsidR="00846D48">
        <w:rPr>
          <w:rFonts w:ascii="Times New Roman" w:hAnsi="Times New Roman"/>
          <w:sz w:val="24"/>
          <w:szCs w:val="24"/>
        </w:rPr>
        <w:t xml:space="preserve"> that </w:t>
      </w:r>
      <w:r w:rsidR="00FD2FED">
        <w:rPr>
          <w:rFonts w:ascii="Times New Roman" w:hAnsi="Times New Roman"/>
          <w:sz w:val="24"/>
          <w:szCs w:val="24"/>
        </w:rPr>
        <w:t xml:space="preserve">all corporations </w:t>
      </w:r>
      <w:r w:rsidR="004A6AF2">
        <w:rPr>
          <w:rFonts w:ascii="Times New Roman" w:hAnsi="Times New Roman"/>
          <w:sz w:val="24"/>
          <w:szCs w:val="24"/>
        </w:rPr>
        <w:t>granted a guarantee</w:t>
      </w:r>
      <w:r w:rsidR="0078100D">
        <w:rPr>
          <w:rFonts w:ascii="Times New Roman" w:hAnsi="Times New Roman"/>
          <w:sz w:val="24"/>
          <w:szCs w:val="24"/>
        </w:rPr>
        <w:t xml:space="preserve"> under the Scheme</w:t>
      </w:r>
      <w:r w:rsidR="00FD2FED">
        <w:rPr>
          <w:rFonts w:ascii="Times New Roman" w:hAnsi="Times New Roman"/>
          <w:sz w:val="24"/>
          <w:szCs w:val="24"/>
        </w:rPr>
        <w:t xml:space="preserve"> report on a consistent basis to </w:t>
      </w:r>
      <w:r w:rsidR="00184EC3">
        <w:rPr>
          <w:rFonts w:ascii="Times New Roman" w:hAnsi="Times New Roman"/>
          <w:sz w:val="24"/>
          <w:szCs w:val="24"/>
        </w:rPr>
        <w:t xml:space="preserve">the </w:t>
      </w:r>
      <w:r w:rsidR="0016700C">
        <w:rPr>
          <w:rFonts w:ascii="Times New Roman" w:hAnsi="Times New Roman"/>
          <w:sz w:val="24"/>
          <w:szCs w:val="24"/>
        </w:rPr>
        <w:t xml:space="preserve">Government and to </w:t>
      </w:r>
      <w:r w:rsidR="00FD2FED">
        <w:rPr>
          <w:rFonts w:ascii="Times New Roman" w:hAnsi="Times New Roman"/>
          <w:sz w:val="24"/>
          <w:szCs w:val="24"/>
        </w:rPr>
        <w:t xml:space="preserve">APRA. Consistent reporting will provide the Government and APRA </w:t>
      </w:r>
      <w:r w:rsidR="00FD2FED" w:rsidRPr="00B820E5">
        <w:rPr>
          <w:rFonts w:ascii="Times New Roman" w:hAnsi="Times New Roman"/>
          <w:sz w:val="24"/>
          <w:szCs w:val="24"/>
        </w:rPr>
        <w:t xml:space="preserve">timely access to </w:t>
      </w:r>
      <w:r w:rsidR="00FD2FED">
        <w:rPr>
          <w:rFonts w:ascii="Times New Roman" w:hAnsi="Times New Roman"/>
          <w:sz w:val="24"/>
          <w:szCs w:val="24"/>
        </w:rPr>
        <w:t xml:space="preserve">data surrounding the </w:t>
      </w:r>
      <w:r w:rsidR="00FD2FED" w:rsidRPr="00B820E5">
        <w:rPr>
          <w:rFonts w:ascii="Times New Roman" w:hAnsi="Times New Roman"/>
          <w:sz w:val="24"/>
          <w:szCs w:val="24"/>
        </w:rPr>
        <w:t>working capital to help small and medium sized business get through the impact of the Coronavirus</w:t>
      </w:r>
      <w:r w:rsidR="006A6370">
        <w:rPr>
          <w:rFonts w:ascii="Times New Roman" w:hAnsi="Times New Roman"/>
          <w:sz w:val="24"/>
          <w:szCs w:val="24"/>
        </w:rPr>
        <w:t xml:space="preserve">. </w:t>
      </w:r>
    </w:p>
    <w:p w14:paraId="0E281D52" w14:textId="648113F8" w:rsidR="00366A62" w:rsidRDefault="001F0942" w:rsidP="00E601A9">
      <w:pPr>
        <w:spacing w:after="240"/>
        <w:jc w:val="both"/>
        <w:rPr>
          <w:rFonts w:ascii="Times New Roman" w:hAnsi="Times New Roman"/>
          <w:sz w:val="24"/>
          <w:szCs w:val="24"/>
        </w:rPr>
      </w:pPr>
      <w:r>
        <w:rPr>
          <w:rFonts w:ascii="Times New Roman" w:hAnsi="Times New Roman"/>
          <w:sz w:val="24"/>
          <w:szCs w:val="24"/>
        </w:rPr>
        <w:t xml:space="preserve">Corporations covered by this </w:t>
      </w:r>
      <w:r w:rsidR="001944E6">
        <w:rPr>
          <w:rFonts w:ascii="Times New Roman" w:hAnsi="Times New Roman"/>
          <w:sz w:val="24"/>
          <w:szCs w:val="24"/>
        </w:rPr>
        <w:t>D</w:t>
      </w:r>
      <w:r>
        <w:rPr>
          <w:rFonts w:ascii="Times New Roman" w:hAnsi="Times New Roman"/>
          <w:sz w:val="24"/>
          <w:szCs w:val="24"/>
        </w:rPr>
        <w:t xml:space="preserve">etermination will be required </w:t>
      </w:r>
      <w:r w:rsidR="00F837A8">
        <w:rPr>
          <w:rFonts w:ascii="Times New Roman" w:hAnsi="Times New Roman"/>
          <w:sz w:val="24"/>
          <w:szCs w:val="24"/>
        </w:rPr>
        <w:t xml:space="preserve">under the Act </w:t>
      </w:r>
      <w:r>
        <w:rPr>
          <w:rFonts w:ascii="Times New Roman" w:hAnsi="Times New Roman"/>
          <w:sz w:val="24"/>
          <w:szCs w:val="24"/>
        </w:rPr>
        <w:t xml:space="preserve">to report information </w:t>
      </w:r>
      <w:r w:rsidR="00F837A8">
        <w:rPr>
          <w:rFonts w:ascii="Times New Roman" w:hAnsi="Times New Roman"/>
          <w:sz w:val="24"/>
          <w:szCs w:val="24"/>
        </w:rPr>
        <w:t xml:space="preserve">to APRA under applicable reporting standards. </w:t>
      </w:r>
      <w:r w:rsidR="00AD0B3A">
        <w:rPr>
          <w:rFonts w:ascii="Times New Roman" w:hAnsi="Times New Roman"/>
          <w:sz w:val="24"/>
          <w:szCs w:val="24"/>
        </w:rPr>
        <w:t>Specifically t</w:t>
      </w:r>
      <w:r w:rsidR="00703575">
        <w:rPr>
          <w:rFonts w:ascii="Times New Roman" w:hAnsi="Times New Roman"/>
          <w:sz w:val="24"/>
          <w:szCs w:val="24"/>
        </w:rPr>
        <w:t xml:space="preserve">o support the administration of the Scheme, </w:t>
      </w:r>
      <w:r w:rsidR="000E6E01">
        <w:rPr>
          <w:rFonts w:ascii="Times New Roman" w:hAnsi="Times New Roman"/>
          <w:sz w:val="24"/>
          <w:szCs w:val="24"/>
        </w:rPr>
        <w:t xml:space="preserve">APRA </w:t>
      </w:r>
      <w:r w:rsidR="00F837A8">
        <w:rPr>
          <w:rFonts w:ascii="Times New Roman" w:hAnsi="Times New Roman"/>
          <w:sz w:val="24"/>
          <w:szCs w:val="24"/>
        </w:rPr>
        <w:t xml:space="preserve">has </w:t>
      </w:r>
      <w:r w:rsidR="000E6E01">
        <w:rPr>
          <w:rFonts w:ascii="Times New Roman" w:hAnsi="Times New Roman"/>
          <w:sz w:val="24"/>
          <w:szCs w:val="24"/>
        </w:rPr>
        <w:t xml:space="preserve">made </w:t>
      </w:r>
      <w:r w:rsidR="000E6E01">
        <w:rPr>
          <w:rFonts w:ascii="Times New Roman" w:hAnsi="Times New Roman"/>
          <w:i/>
          <w:sz w:val="24"/>
          <w:szCs w:val="24"/>
        </w:rPr>
        <w:t>Reporting Standard ARS 920.0 Australian Government Small and Medium Enterprise (SME) Guarantee Scheme</w:t>
      </w:r>
      <w:r w:rsidR="0088107B">
        <w:rPr>
          <w:rStyle w:val="FootnoteReference"/>
          <w:rFonts w:ascii="Times New Roman" w:hAnsi="Times New Roman"/>
          <w:i/>
          <w:sz w:val="24"/>
          <w:szCs w:val="24"/>
        </w:rPr>
        <w:footnoteReference w:id="3"/>
      </w:r>
      <w:r w:rsidR="000E6E01">
        <w:rPr>
          <w:rFonts w:ascii="Times New Roman" w:hAnsi="Times New Roman"/>
          <w:i/>
          <w:sz w:val="24"/>
          <w:szCs w:val="24"/>
        </w:rPr>
        <w:t xml:space="preserve"> </w:t>
      </w:r>
      <w:r w:rsidR="000E6E01">
        <w:rPr>
          <w:rFonts w:ascii="Times New Roman" w:hAnsi="Times New Roman"/>
          <w:sz w:val="24"/>
          <w:szCs w:val="24"/>
        </w:rPr>
        <w:t>(ARS 920.0)</w:t>
      </w:r>
      <w:r w:rsidR="00703575">
        <w:rPr>
          <w:rFonts w:ascii="Times New Roman" w:hAnsi="Times New Roman"/>
          <w:sz w:val="24"/>
          <w:szCs w:val="24"/>
        </w:rPr>
        <w:t>.</w:t>
      </w:r>
      <w:r w:rsidR="000E6E01">
        <w:rPr>
          <w:rFonts w:ascii="Times New Roman" w:hAnsi="Times New Roman"/>
          <w:sz w:val="24"/>
          <w:szCs w:val="24"/>
        </w:rPr>
        <w:t xml:space="preserve"> </w:t>
      </w:r>
      <w:r w:rsidR="00366A62">
        <w:rPr>
          <w:rFonts w:ascii="Times New Roman" w:hAnsi="Times New Roman"/>
          <w:sz w:val="24"/>
          <w:szCs w:val="24"/>
        </w:rPr>
        <w:t xml:space="preserve">ARS 920.0 collects information related to </w:t>
      </w:r>
      <w:r w:rsidR="000B0D5D">
        <w:rPr>
          <w:rFonts w:ascii="Times New Roman" w:hAnsi="Times New Roman"/>
          <w:sz w:val="24"/>
          <w:szCs w:val="24"/>
        </w:rPr>
        <w:t xml:space="preserve">a </w:t>
      </w:r>
      <w:r w:rsidR="00366A62">
        <w:rPr>
          <w:rFonts w:ascii="Times New Roman" w:hAnsi="Times New Roman"/>
          <w:sz w:val="24"/>
          <w:szCs w:val="24"/>
        </w:rPr>
        <w:t>lender</w:t>
      </w:r>
      <w:r w:rsidR="000B0D5D">
        <w:rPr>
          <w:rFonts w:ascii="Times New Roman" w:hAnsi="Times New Roman"/>
          <w:sz w:val="24"/>
          <w:szCs w:val="24"/>
        </w:rPr>
        <w:t>’</w:t>
      </w:r>
      <w:r w:rsidR="00366A62">
        <w:rPr>
          <w:rFonts w:ascii="Times New Roman" w:hAnsi="Times New Roman"/>
          <w:sz w:val="24"/>
          <w:szCs w:val="24"/>
        </w:rPr>
        <w:t xml:space="preserve">s portfolio of loans guaranteed under the Scheme, and individual loans written at origination. </w:t>
      </w:r>
    </w:p>
    <w:p w14:paraId="752C9D9F" w14:textId="16521FBC" w:rsidR="006454FB" w:rsidRPr="005806E7" w:rsidRDefault="005806E7" w:rsidP="005806E7">
      <w:pPr>
        <w:pStyle w:val="ListParagraph"/>
        <w:numPr>
          <w:ilvl w:val="0"/>
          <w:numId w:val="2"/>
        </w:numPr>
        <w:spacing w:after="240"/>
        <w:jc w:val="both"/>
        <w:rPr>
          <w:rFonts w:ascii="Times New Roman" w:hAnsi="Times New Roman"/>
          <w:b/>
          <w:sz w:val="24"/>
          <w:szCs w:val="24"/>
        </w:rPr>
      </w:pPr>
      <w:bookmarkStart w:id="4" w:name="bkBackground"/>
      <w:bookmarkEnd w:id="4"/>
      <w:r>
        <w:rPr>
          <w:rFonts w:ascii="Times New Roman" w:hAnsi="Times New Roman"/>
          <w:b/>
          <w:sz w:val="24"/>
          <w:szCs w:val="24"/>
        </w:rPr>
        <w:t>Purpose and operation of the instrument</w:t>
      </w:r>
    </w:p>
    <w:p w14:paraId="5EC91E22" w14:textId="0AB48650" w:rsidR="003C4317" w:rsidRDefault="00CA6E37" w:rsidP="003C4317">
      <w:pPr>
        <w:spacing w:after="240"/>
        <w:jc w:val="both"/>
        <w:rPr>
          <w:rFonts w:ascii="Times New Roman" w:hAnsi="Times New Roman"/>
          <w:sz w:val="24"/>
          <w:szCs w:val="24"/>
        </w:rPr>
      </w:pPr>
      <w:r w:rsidRPr="00E55175">
        <w:rPr>
          <w:rFonts w:ascii="Times New Roman" w:hAnsi="Times New Roman"/>
          <w:sz w:val="24"/>
        </w:rPr>
        <w:lastRenderedPageBreak/>
        <w:t xml:space="preserve">The purpose of this </w:t>
      </w:r>
      <w:r>
        <w:rPr>
          <w:rFonts w:ascii="Times New Roman" w:hAnsi="Times New Roman"/>
          <w:sz w:val="24"/>
        </w:rPr>
        <w:t>Determination</w:t>
      </w:r>
      <w:r w:rsidRPr="00E55175">
        <w:rPr>
          <w:rFonts w:ascii="Times New Roman" w:hAnsi="Times New Roman"/>
          <w:sz w:val="24"/>
        </w:rPr>
        <w:t xml:space="preserve"> is to </w:t>
      </w:r>
      <w:r>
        <w:rPr>
          <w:rFonts w:ascii="Times New Roman" w:hAnsi="Times New Roman"/>
          <w:sz w:val="24"/>
        </w:rPr>
        <w:t xml:space="preserve">specify corporations </w:t>
      </w:r>
      <w:r w:rsidR="004A6AF2">
        <w:rPr>
          <w:rFonts w:ascii="Times New Roman" w:hAnsi="Times New Roman"/>
          <w:sz w:val="24"/>
        </w:rPr>
        <w:t xml:space="preserve">granted a guarantee under section 5 of the Guarantee of Lending Act </w:t>
      </w:r>
      <w:r w:rsidR="0077436D">
        <w:rPr>
          <w:rFonts w:ascii="Times New Roman" w:hAnsi="Times New Roman"/>
          <w:sz w:val="24"/>
        </w:rPr>
        <w:t>a</w:t>
      </w:r>
      <w:r>
        <w:rPr>
          <w:rFonts w:ascii="Times New Roman" w:hAnsi="Times New Roman"/>
          <w:sz w:val="24"/>
        </w:rPr>
        <w:t xml:space="preserve">s a class of corporations </w:t>
      </w:r>
      <w:r w:rsidR="0077436D">
        <w:rPr>
          <w:rFonts w:ascii="Times New Roman" w:hAnsi="Times New Roman"/>
          <w:sz w:val="24"/>
        </w:rPr>
        <w:t xml:space="preserve">that are registrable corporations </w:t>
      </w:r>
      <w:r>
        <w:rPr>
          <w:rFonts w:ascii="Times New Roman" w:hAnsi="Times New Roman"/>
          <w:sz w:val="24"/>
        </w:rPr>
        <w:t>for the purpose of paragraph 7(1)(b) of the Act.</w:t>
      </w:r>
      <w:r w:rsidR="00D0547C">
        <w:rPr>
          <w:rFonts w:ascii="Times New Roman" w:hAnsi="Times New Roman"/>
          <w:sz w:val="24"/>
        </w:rPr>
        <w:t xml:space="preserve"> </w:t>
      </w:r>
      <w:r w:rsidR="003C4317">
        <w:rPr>
          <w:rFonts w:ascii="Times New Roman" w:hAnsi="Times New Roman"/>
          <w:sz w:val="24"/>
          <w:szCs w:val="24"/>
        </w:rPr>
        <w:t>Th</w:t>
      </w:r>
      <w:r w:rsidR="00D0547C">
        <w:rPr>
          <w:rFonts w:ascii="Times New Roman" w:hAnsi="Times New Roman"/>
          <w:sz w:val="24"/>
          <w:szCs w:val="24"/>
        </w:rPr>
        <w:t>is D</w:t>
      </w:r>
      <w:r w:rsidR="003C4317">
        <w:rPr>
          <w:rFonts w:ascii="Times New Roman" w:hAnsi="Times New Roman"/>
          <w:sz w:val="24"/>
          <w:szCs w:val="24"/>
        </w:rPr>
        <w:t xml:space="preserve">etermination does not cover existing </w:t>
      </w:r>
      <w:r w:rsidR="003C4317" w:rsidRPr="00FD0E3D">
        <w:rPr>
          <w:rFonts w:ascii="Times New Roman" w:hAnsi="Times New Roman"/>
          <w:sz w:val="24"/>
          <w:szCs w:val="24"/>
        </w:rPr>
        <w:t>registrable corporation</w:t>
      </w:r>
      <w:r w:rsidR="003C4317">
        <w:rPr>
          <w:rFonts w:ascii="Times New Roman" w:hAnsi="Times New Roman"/>
          <w:sz w:val="24"/>
          <w:szCs w:val="24"/>
        </w:rPr>
        <w:t>s</w:t>
      </w:r>
      <w:r w:rsidR="008025F4">
        <w:rPr>
          <w:rFonts w:ascii="Times New Roman" w:hAnsi="Times New Roman"/>
          <w:sz w:val="24"/>
          <w:szCs w:val="24"/>
        </w:rPr>
        <w:t xml:space="preserve"> or ADIs that are granted a guarantee</w:t>
      </w:r>
      <w:r w:rsidR="003C4317">
        <w:rPr>
          <w:rFonts w:ascii="Times New Roman" w:hAnsi="Times New Roman"/>
          <w:sz w:val="24"/>
          <w:szCs w:val="24"/>
        </w:rPr>
        <w:t xml:space="preserve"> </w:t>
      </w:r>
      <w:r w:rsidR="009D0110">
        <w:rPr>
          <w:rFonts w:ascii="Times New Roman" w:hAnsi="Times New Roman"/>
          <w:sz w:val="24"/>
          <w:szCs w:val="24"/>
        </w:rPr>
        <w:t xml:space="preserve">under </w:t>
      </w:r>
      <w:r w:rsidR="008025F4">
        <w:rPr>
          <w:rFonts w:ascii="Times New Roman" w:hAnsi="Times New Roman"/>
          <w:sz w:val="24"/>
          <w:szCs w:val="24"/>
        </w:rPr>
        <w:t>the Guarantee of Lending Act</w:t>
      </w:r>
      <w:r w:rsidR="003C4317" w:rsidRPr="00FD0E3D">
        <w:rPr>
          <w:rFonts w:ascii="Times New Roman" w:hAnsi="Times New Roman"/>
          <w:sz w:val="24"/>
          <w:szCs w:val="24"/>
        </w:rPr>
        <w:t>.</w:t>
      </w:r>
    </w:p>
    <w:p w14:paraId="61A2B981" w14:textId="4A914F8D" w:rsidR="00E61F28" w:rsidRDefault="00091A44">
      <w:pPr>
        <w:pStyle w:val="Heading"/>
        <w:keepNext/>
        <w:spacing w:after="240"/>
        <w:rPr>
          <w:rFonts w:ascii="Times New Roman" w:hAnsi="Times New Roman"/>
          <w:b w:val="0"/>
          <w:sz w:val="24"/>
          <w:szCs w:val="24"/>
        </w:rPr>
      </w:pPr>
      <w:r w:rsidRPr="00B939F0">
        <w:rPr>
          <w:rFonts w:ascii="Times New Roman" w:hAnsi="Times New Roman"/>
          <w:b w:val="0"/>
          <w:sz w:val="24"/>
          <w:szCs w:val="24"/>
        </w:rPr>
        <w:t xml:space="preserve">The list of corporations </w:t>
      </w:r>
      <w:r w:rsidR="008025F4">
        <w:rPr>
          <w:rFonts w:ascii="Times New Roman" w:hAnsi="Times New Roman"/>
          <w:b w:val="0"/>
          <w:sz w:val="24"/>
          <w:szCs w:val="24"/>
        </w:rPr>
        <w:t xml:space="preserve">granted a guarantee under the </w:t>
      </w:r>
      <w:r w:rsidR="00E61F28">
        <w:rPr>
          <w:rFonts w:ascii="Times New Roman" w:hAnsi="Times New Roman"/>
          <w:b w:val="0"/>
          <w:sz w:val="24"/>
          <w:szCs w:val="24"/>
        </w:rPr>
        <w:t>Guarantee of Lending Act</w:t>
      </w:r>
      <w:r w:rsidRPr="00B939F0">
        <w:rPr>
          <w:rFonts w:ascii="Times New Roman" w:hAnsi="Times New Roman"/>
          <w:b w:val="0"/>
          <w:sz w:val="24"/>
          <w:szCs w:val="24"/>
        </w:rPr>
        <w:t xml:space="preserve"> is available </w:t>
      </w:r>
      <w:r w:rsidR="00B939F0">
        <w:rPr>
          <w:rFonts w:ascii="Times New Roman" w:hAnsi="Times New Roman"/>
          <w:b w:val="0"/>
          <w:sz w:val="24"/>
          <w:szCs w:val="24"/>
        </w:rPr>
        <w:t>at</w:t>
      </w:r>
      <w:r w:rsidRPr="00B939F0">
        <w:rPr>
          <w:rFonts w:ascii="Times New Roman" w:hAnsi="Times New Roman"/>
          <w:b w:val="0"/>
          <w:sz w:val="24"/>
          <w:szCs w:val="24"/>
        </w:rPr>
        <w:t xml:space="preserve"> </w:t>
      </w:r>
      <w:hyperlink r:id="rId13" w:history="1">
        <w:r w:rsidRPr="00B939F0">
          <w:rPr>
            <w:rStyle w:val="Hyperlink"/>
            <w:rFonts w:ascii="Times New Roman" w:hAnsi="Times New Roman"/>
            <w:b w:val="0"/>
            <w:sz w:val="24"/>
            <w:szCs w:val="24"/>
          </w:rPr>
          <w:t>https://treasury.gov.au/coronavirus/sme-guarantee-scheme</w:t>
        </w:r>
      </w:hyperlink>
      <w:r w:rsidRPr="00B939F0">
        <w:rPr>
          <w:rFonts w:ascii="Times New Roman" w:hAnsi="Times New Roman"/>
          <w:b w:val="0"/>
          <w:sz w:val="24"/>
          <w:szCs w:val="24"/>
        </w:rPr>
        <w:t>.</w:t>
      </w:r>
      <w:r w:rsidR="000D2066" w:rsidRPr="00B939F0">
        <w:rPr>
          <w:rFonts w:ascii="Times New Roman" w:hAnsi="Times New Roman"/>
          <w:b w:val="0"/>
          <w:sz w:val="24"/>
          <w:szCs w:val="24"/>
        </w:rPr>
        <w:t xml:space="preserve"> </w:t>
      </w:r>
      <w:bookmarkStart w:id="5" w:name="bkoperation"/>
      <w:bookmarkStart w:id="6" w:name="bkConsultationNo"/>
      <w:bookmarkEnd w:id="5"/>
      <w:bookmarkEnd w:id="6"/>
    </w:p>
    <w:p w14:paraId="620C833F" w14:textId="43A5BFAC" w:rsidR="002436BD" w:rsidRPr="00511839" w:rsidRDefault="00511839">
      <w:pPr>
        <w:pStyle w:val="Heading"/>
        <w:keepNext/>
        <w:spacing w:after="240"/>
        <w:rPr>
          <w:rFonts w:ascii="Times New Roman" w:hAnsi="Times New Roman"/>
          <w:sz w:val="24"/>
          <w:szCs w:val="24"/>
        </w:rPr>
      </w:pPr>
      <w:r w:rsidRPr="00511839">
        <w:rPr>
          <w:rFonts w:ascii="Times New Roman" w:hAnsi="Times New Roman"/>
          <w:sz w:val="24"/>
          <w:szCs w:val="24"/>
        </w:rPr>
        <w:t xml:space="preserve">3.  </w:t>
      </w:r>
      <w:r w:rsidR="002436BD" w:rsidRPr="00511839">
        <w:rPr>
          <w:rFonts w:ascii="Times New Roman" w:hAnsi="Times New Roman"/>
          <w:sz w:val="24"/>
          <w:szCs w:val="24"/>
        </w:rPr>
        <w:t>Consultation</w:t>
      </w:r>
    </w:p>
    <w:p w14:paraId="02358665" w14:textId="08AEA889" w:rsidR="00897248" w:rsidRDefault="006F000A" w:rsidP="001A2234">
      <w:pPr>
        <w:pStyle w:val="Heading"/>
        <w:tabs>
          <w:tab w:val="left" w:pos="360"/>
        </w:tabs>
        <w:spacing w:after="240"/>
        <w:rPr>
          <w:rFonts w:ascii="Times New Roman" w:hAnsi="Times New Roman"/>
          <w:b w:val="0"/>
          <w:sz w:val="24"/>
          <w:szCs w:val="24"/>
        </w:rPr>
      </w:pPr>
      <w:bookmarkStart w:id="7" w:name="bkConsultation"/>
      <w:bookmarkStart w:id="8" w:name="bkRISNO"/>
      <w:bookmarkStart w:id="9" w:name="bkRIS"/>
      <w:bookmarkEnd w:id="7"/>
      <w:bookmarkEnd w:id="8"/>
      <w:r>
        <w:rPr>
          <w:rFonts w:ascii="Times New Roman" w:hAnsi="Times New Roman"/>
          <w:b w:val="0"/>
          <w:sz w:val="24"/>
          <w:szCs w:val="24"/>
        </w:rPr>
        <w:t xml:space="preserve">APRA did not consult in relation to </w:t>
      </w:r>
      <w:r w:rsidR="007223ED">
        <w:rPr>
          <w:rFonts w:ascii="Times New Roman" w:hAnsi="Times New Roman"/>
          <w:b w:val="0"/>
          <w:sz w:val="24"/>
          <w:szCs w:val="24"/>
        </w:rPr>
        <w:t xml:space="preserve">the </w:t>
      </w:r>
      <w:r w:rsidR="00BA51E5">
        <w:rPr>
          <w:rFonts w:ascii="Times New Roman" w:hAnsi="Times New Roman"/>
          <w:b w:val="0"/>
          <w:sz w:val="24"/>
          <w:szCs w:val="24"/>
        </w:rPr>
        <w:t>Determination</w:t>
      </w:r>
      <w:r w:rsidR="007D2825">
        <w:rPr>
          <w:rFonts w:ascii="Times New Roman" w:hAnsi="Times New Roman"/>
          <w:b w:val="0"/>
          <w:sz w:val="24"/>
          <w:szCs w:val="24"/>
        </w:rPr>
        <w:t xml:space="preserve"> </w:t>
      </w:r>
      <w:r w:rsidR="00786945">
        <w:rPr>
          <w:rFonts w:ascii="Times New Roman" w:hAnsi="Times New Roman"/>
          <w:b w:val="0"/>
          <w:sz w:val="24"/>
          <w:szCs w:val="24"/>
        </w:rPr>
        <w:t xml:space="preserve">as it </w:t>
      </w:r>
      <w:r w:rsidR="00276AD6">
        <w:rPr>
          <w:rFonts w:ascii="Times New Roman" w:hAnsi="Times New Roman"/>
          <w:b w:val="0"/>
          <w:sz w:val="24"/>
          <w:szCs w:val="24"/>
        </w:rPr>
        <w:t xml:space="preserve">considered consultation would not be appropriate or reasonably practicable to </w:t>
      </w:r>
      <w:r w:rsidR="00897248">
        <w:rPr>
          <w:rFonts w:ascii="Times New Roman" w:hAnsi="Times New Roman"/>
          <w:b w:val="0"/>
          <w:sz w:val="24"/>
          <w:szCs w:val="24"/>
        </w:rPr>
        <w:t xml:space="preserve">undertake. </w:t>
      </w:r>
    </w:p>
    <w:p w14:paraId="59A46493" w14:textId="2CFF3BBE" w:rsidR="00B868EB" w:rsidRDefault="00897248"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w:t>
      </w:r>
      <w:r w:rsidR="00BA51E5">
        <w:rPr>
          <w:rFonts w:ascii="Times New Roman" w:hAnsi="Times New Roman"/>
          <w:b w:val="0"/>
          <w:sz w:val="24"/>
          <w:szCs w:val="24"/>
        </w:rPr>
        <w:t xml:space="preserve"> Determination</w:t>
      </w:r>
      <w:r w:rsidR="00B868EB">
        <w:rPr>
          <w:rFonts w:ascii="Times New Roman" w:hAnsi="Times New Roman"/>
          <w:b w:val="0"/>
          <w:sz w:val="24"/>
          <w:szCs w:val="24"/>
        </w:rPr>
        <w:t xml:space="preserve"> </w:t>
      </w:r>
      <w:r w:rsidR="00576EAF">
        <w:rPr>
          <w:rFonts w:ascii="Times New Roman" w:hAnsi="Times New Roman"/>
          <w:b w:val="0"/>
          <w:sz w:val="24"/>
          <w:szCs w:val="24"/>
        </w:rPr>
        <w:t xml:space="preserve">requires urgent </w:t>
      </w:r>
      <w:r w:rsidR="00272A3E">
        <w:rPr>
          <w:rFonts w:ascii="Times New Roman" w:hAnsi="Times New Roman"/>
          <w:b w:val="0"/>
          <w:sz w:val="24"/>
          <w:szCs w:val="24"/>
        </w:rPr>
        <w:t>implementation</w:t>
      </w:r>
      <w:r w:rsidR="00576EAF">
        <w:rPr>
          <w:rFonts w:ascii="Times New Roman" w:hAnsi="Times New Roman"/>
          <w:b w:val="0"/>
          <w:sz w:val="24"/>
          <w:szCs w:val="24"/>
        </w:rPr>
        <w:t xml:space="preserve"> to support the operation of the Scheme. Delays caused by consultation will jeopardise the </w:t>
      </w:r>
      <w:r w:rsidR="00272A3E">
        <w:rPr>
          <w:rFonts w:ascii="Times New Roman" w:hAnsi="Times New Roman"/>
          <w:b w:val="0"/>
          <w:sz w:val="24"/>
          <w:szCs w:val="24"/>
        </w:rPr>
        <w:t xml:space="preserve">success of the Scheme as </w:t>
      </w:r>
      <w:r w:rsidR="00BA51E5">
        <w:rPr>
          <w:rFonts w:ascii="Times New Roman" w:hAnsi="Times New Roman"/>
          <w:b w:val="0"/>
          <w:sz w:val="24"/>
          <w:szCs w:val="24"/>
        </w:rPr>
        <w:t xml:space="preserve">APRA and the Government will not be able to monitor lending under the Scheme by corporations that are not </w:t>
      </w:r>
      <w:r w:rsidR="00476812">
        <w:rPr>
          <w:rFonts w:ascii="Times New Roman" w:hAnsi="Times New Roman"/>
          <w:b w:val="0"/>
          <w:sz w:val="24"/>
          <w:szCs w:val="24"/>
        </w:rPr>
        <w:t>registrable corporations</w:t>
      </w:r>
      <w:r w:rsidR="00BA51E5">
        <w:rPr>
          <w:rFonts w:ascii="Times New Roman" w:hAnsi="Times New Roman"/>
          <w:b w:val="0"/>
          <w:sz w:val="24"/>
          <w:szCs w:val="24"/>
        </w:rPr>
        <w:t xml:space="preserve">. APRA and the Government require </w:t>
      </w:r>
      <w:r w:rsidR="00343D9F">
        <w:rPr>
          <w:rFonts w:ascii="Times New Roman" w:hAnsi="Times New Roman"/>
          <w:b w:val="0"/>
          <w:sz w:val="24"/>
          <w:szCs w:val="24"/>
        </w:rPr>
        <w:t xml:space="preserve">consistent </w:t>
      </w:r>
      <w:r w:rsidR="00BA51E5">
        <w:rPr>
          <w:rFonts w:ascii="Times New Roman" w:hAnsi="Times New Roman"/>
          <w:b w:val="0"/>
          <w:sz w:val="24"/>
          <w:szCs w:val="24"/>
        </w:rPr>
        <w:t xml:space="preserve">information from </w:t>
      </w:r>
      <w:r w:rsidR="00476812">
        <w:rPr>
          <w:rFonts w:ascii="Times New Roman" w:hAnsi="Times New Roman"/>
          <w:b w:val="0"/>
          <w:sz w:val="24"/>
          <w:szCs w:val="24"/>
        </w:rPr>
        <w:t xml:space="preserve">all corporations </w:t>
      </w:r>
      <w:r w:rsidR="0067236C">
        <w:rPr>
          <w:rFonts w:ascii="Times New Roman" w:hAnsi="Times New Roman"/>
          <w:b w:val="0"/>
          <w:sz w:val="24"/>
          <w:szCs w:val="24"/>
        </w:rPr>
        <w:t>that a</w:t>
      </w:r>
      <w:r w:rsidR="007230D5">
        <w:rPr>
          <w:rFonts w:ascii="Times New Roman" w:hAnsi="Times New Roman"/>
          <w:b w:val="0"/>
          <w:sz w:val="24"/>
          <w:szCs w:val="24"/>
        </w:rPr>
        <w:t>re</w:t>
      </w:r>
      <w:r w:rsidR="0067236C">
        <w:rPr>
          <w:rFonts w:ascii="Times New Roman" w:hAnsi="Times New Roman"/>
          <w:b w:val="0"/>
          <w:sz w:val="24"/>
          <w:szCs w:val="24"/>
        </w:rPr>
        <w:t xml:space="preserve"> granted a guarantee</w:t>
      </w:r>
      <w:r w:rsidR="00476812">
        <w:rPr>
          <w:rFonts w:ascii="Times New Roman" w:hAnsi="Times New Roman"/>
          <w:b w:val="0"/>
          <w:sz w:val="24"/>
          <w:szCs w:val="24"/>
        </w:rPr>
        <w:t xml:space="preserve"> under the Scheme </w:t>
      </w:r>
      <w:r w:rsidR="00BA51E5">
        <w:rPr>
          <w:rFonts w:ascii="Times New Roman" w:hAnsi="Times New Roman"/>
          <w:b w:val="0"/>
          <w:sz w:val="24"/>
          <w:szCs w:val="24"/>
        </w:rPr>
        <w:t xml:space="preserve">immediately to </w:t>
      </w:r>
      <w:r w:rsidR="000D2066">
        <w:rPr>
          <w:rFonts w:ascii="Times New Roman" w:hAnsi="Times New Roman"/>
          <w:b w:val="0"/>
          <w:sz w:val="24"/>
          <w:szCs w:val="24"/>
        </w:rPr>
        <w:t xml:space="preserve">assess the success of the Government’s economic stimulus measures in response to the </w:t>
      </w:r>
      <w:r w:rsidR="00F57039">
        <w:rPr>
          <w:rFonts w:ascii="Times New Roman" w:hAnsi="Times New Roman"/>
          <w:b w:val="0"/>
          <w:sz w:val="24"/>
          <w:szCs w:val="24"/>
        </w:rPr>
        <w:t>Coronavirus</w:t>
      </w:r>
      <w:r w:rsidR="000D2066">
        <w:rPr>
          <w:rFonts w:ascii="Times New Roman" w:hAnsi="Times New Roman"/>
          <w:b w:val="0"/>
          <w:sz w:val="24"/>
          <w:szCs w:val="24"/>
        </w:rPr>
        <w:t>.</w:t>
      </w:r>
    </w:p>
    <w:p w14:paraId="5F0EDCE2" w14:textId="79865B11" w:rsidR="00476812" w:rsidRPr="00476812" w:rsidRDefault="00476812" w:rsidP="00476812">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Corporations covered by this Determination </w:t>
      </w:r>
      <w:r w:rsidR="00EF5F7F">
        <w:rPr>
          <w:rFonts w:ascii="Times New Roman" w:hAnsi="Times New Roman"/>
          <w:b w:val="0"/>
          <w:sz w:val="24"/>
          <w:szCs w:val="24"/>
        </w:rPr>
        <w:t xml:space="preserve">are made </w:t>
      </w:r>
      <w:r>
        <w:rPr>
          <w:rFonts w:ascii="Times New Roman" w:hAnsi="Times New Roman"/>
          <w:b w:val="0"/>
          <w:sz w:val="24"/>
          <w:szCs w:val="24"/>
        </w:rPr>
        <w:t xml:space="preserve">aware, before </w:t>
      </w:r>
      <w:r w:rsidRPr="00476812">
        <w:rPr>
          <w:rFonts w:ascii="Times New Roman" w:hAnsi="Times New Roman"/>
          <w:b w:val="0"/>
          <w:sz w:val="24"/>
          <w:szCs w:val="24"/>
        </w:rPr>
        <w:t>express</w:t>
      </w:r>
      <w:r>
        <w:rPr>
          <w:rFonts w:ascii="Times New Roman" w:hAnsi="Times New Roman"/>
          <w:b w:val="0"/>
          <w:sz w:val="24"/>
          <w:szCs w:val="24"/>
        </w:rPr>
        <w:t xml:space="preserve">ing </w:t>
      </w:r>
      <w:r w:rsidRPr="00476812">
        <w:rPr>
          <w:rFonts w:ascii="Times New Roman" w:hAnsi="Times New Roman"/>
          <w:b w:val="0"/>
          <w:sz w:val="24"/>
          <w:szCs w:val="24"/>
        </w:rPr>
        <w:t>an interest to participate as a lender under the Scheme</w:t>
      </w:r>
      <w:r>
        <w:rPr>
          <w:rFonts w:ascii="Times New Roman" w:hAnsi="Times New Roman"/>
          <w:b w:val="0"/>
          <w:sz w:val="24"/>
          <w:szCs w:val="24"/>
        </w:rPr>
        <w:t>, of the reporting</w:t>
      </w:r>
      <w:r w:rsidRPr="00476812">
        <w:rPr>
          <w:rFonts w:ascii="Times New Roman" w:hAnsi="Times New Roman"/>
          <w:b w:val="0"/>
          <w:sz w:val="24"/>
          <w:szCs w:val="24"/>
        </w:rPr>
        <w:t xml:space="preserve"> requirements for the loans </w:t>
      </w:r>
      <w:r w:rsidRPr="00476812">
        <w:rPr>
          <w:rFonts w:ascii="Times New Roman" w:hAnsi="Times New Roman"/>
          <w:b w:val="0"/>
          <w:sz w:val="24"/>
          <w:szCs w:val="24"/>
        </w:rPr>
        <w:lastRenderedPageBreak/>
        <w:t>under the guarantee</w:t>
      </w:r>
      <w:r>
        <w:rPr>
          <w:rFonts w:ascii="Times New Roman" w:hAnsi="Times New Roman"/>
          <w:b w:val="0"/>
          <w:sz w:val="24"/>
          <w:szCs w:val="24"/>
        </w:rPr>
        <w:t xml:space="preserve">. Corporations covered by this Determination are encouraged to engage with </w:t>
      </w:r>
      <w:r w:rsidRPr="00476812">
        <w:rPr>
          <w:rFonts w:ascii="Times New Roman" w:hAnsi="Times New Roman"/>
          <w:b w:val="0"/>
          <w:sz w:val="24"/>
          <w:szCs w:val="24"/>
        </w:rPr>
        <w:t xml:space="preserve">APRA </w:t>
      </w:r>
      <w:r>
        <w:rPr>
          <w:rFonts w:ascii="Times New Roman" w:hAnsi="Times New Roman"/>
          <w:b w:val="0"/>
          <w:sz w:val="24"/>
          <w:szCs w:val="24"/>
        </w:rPr>
        <w:t>on an ongoing basis</w:t>
      </w:r>
      <w:r w:rsidR="00F86245">
        <w:rPr>
          <w:rFonts w:ascii="Times New Roman" w:hAnsi="Times New Roman"/>
          <w:b w:val="0"/>
          <w:sz w:val="24"/>
          <w:szCs w:val="24"/>
        </w:rPr>
        <w:t xml:space="preserve"> in relation to </w:t>
      </w:r>
      <w:r w:rsidR="00343D9F" w:rsidRPr="00343D9F">
        <w:rPr>
          <w:rFonts w:ascii="Times New Roman" w:hAnsi="Times New Roman"/>
          <w:b w:val="0"/>
          <w:sz w:val="24"/>
          <w:szCs w:val="24"/>
        </w:rPr>
        <w:t>report</w:t>
      </w:r>
      <w:r w:rsidR="00F86245">
        <w:rPr>
          <w:rFonts w:ascii="Times New Roman" w:hAnsi="Times New Roman"/>
          <w:b w:val="0"/>
          <w:sz w:val="24"/>
          <w:szCs w:val="24"/>
        </w:rPr>
        <w:t xml:space="preserve">ing </w:t>
      </w:r>
      <w:r w:rsidR="00343D9F" w:rsidRPr="00343D9F">
        <w:rPr>
          <w:rFonts w:ascii="Times New Roman" w:hAnsi="Times New Roman"/>
          <w:b w:val="0"/>
          <w:sz w:val="24"/>
          <w:szCs w:val="24"/>
        </w:rPr>
        <w:t>information to APRA under applicable reporting standards</w:t>
      </w:r>
      <w:r w:rsidR="00E74946">
        <w:rPr>
          <w:rFonts w:ascii="Times New Roman" w:hAnsi="Times New Roman"/>
          <w:b w:val="0"/>
          <w:sz w:val="24"/>
          <w:szCs w:val="24"/>
        </w:rPr>
        <w:t xml:space="preserve"> such </w:t>
      </w:r>
      <w:r w:rsidR="00E74946" w:rsidRPr="00E74946">
        <w:rPr>
          <w:rFonts w:ascii="Times New Roman" w:hAnsi="Times New Roman"/>
          <w:b w:val="0"/>
          <w:sz w:val="24"/>
          <w:szCs w:val="24"/>
        </w:rPr>
        <w:t xml:space="preserve">as </w:t>
      </w:r>
      <w:r w:rsidR="00E74946" w:rsidRPr="00897248">
        <w:rPr>
          <w:rFonts w:ascii="Times New Roman" w:hAnsi="Times New Roman"/>
          <w:b w:val="0"/>
          <w:sz w:val="24"/>
          <w:szCs w:val="24"/>
        </w:rPr>
        <w:t>ARS 920.0</w:t>
      </w:r>
      <w:r w:rsidR="00343D9F" w:rsidRPr="00E74946">
        <w:rPr>
          <w:rFonts w:ascii="Times New Roman" w:hAnsi="Times New Roman"/>
          <w:b w:val="0"/>
          <w:sz w:val="24"/>
          <w:szCs w:val="24"/>
        </w:rPr>
        <w:t>.</w:t>
      </w:r>
      <w:r w:rsidRPr="00476812">
        <w:rPr>
          <w:rFonts w:ascii="Times New Roman" w:hAnsi="Times New Roman"/>
          <w:b w:val="0"/>
          <w:sz w:val="24"/>
          <w:szCs w:val="24"/>
        </w:rPr>
        <w:t xml:space="preserve"> </w:t>
      </w:r>
    </w:p>
    <w:p w14:paraId="53D8EB30" w14:textId="6CEFB54B"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9"/>
    <w:p w14:paraId="429029D2" w14:textId="4B8F634E" w:rsidR="0065510B" w:rsidRDefault="00887B0B" w:rsidP="00C54FF1">
      <w:pPr>
        <w:pStyle w:val="Heading"/>
        <w:spacing w:after="240"/>
      </w:pPr>
      <w:r>
        <w:rPr>
          <w:rFonts w:ascii="Times New Roman" w:hAnsi="Times New Roman"/>
          <w:b w:val="0"/>
          <w:sz w:val="24"/>
          <w:szCs w:val="24"/>
        </w:rPr>
        <w:t xml:space="preserve">The Office of Best Practice Regulation has advised that a Regulation Impact Statement is not required for the legislative instrument. </w:t>
      </w:r>
    </w:p>
    <w:p w14:paraId="3359862D" w14:textId="5A95DEC6"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0C7D4631" w14:textId="77777777" w:rsidR="00B04B20"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2C17BCFF" w14:textId="2704417C" w:rsidR="00A31E48" w:rsidRDefault="00A31E48" w:rsidP="001A2234">
      <w:pPr>
        <w:pStyle w:val="Heading"/>
        <w:spacing w:after="240"/>
        <w:rPr>
          <w:rFonts w:ascii="Times New Roman" w:hAnsi="Times New Roman"/>
          <w:b w:val="0"/>
          <w:sz w:val="24"/>
          <w:szCs w:val="24"/>
        </w:rPr>
      </w:pPr>
      <w:r>
        <w:rPr>
          <w:rFonts w:ascii="Times New Roman" w:hAnsi="Times New Roman"/>
          <w:b w:val="0"/>
          <w:sz w:val="24"/>
          <w:szCs w:val="24"/>
        </w:rPr>
        <w:br w:type="page"/>
      </w:r>
    </w:p>
    <w:p w14:paraId="1284DA06"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0DACD7DF"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3AE248A0"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1608E7F6" w14:textId="7EAE03D7"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w:t>
      </w:r>
      <w:r w:rsidR="00CA780F">
        <w:rPr>
          <w:rFonts w:ascii="Times New Roman" w:hAnsi="Times New Roman"/>
          <w:b/>
          <w:bCs/>
          <w:sz w:val="24"/>
          <w:szCs w:val="24"/>
        </w:rPr>
        <w:t>class of corporations</w:t>
      </w:r>
      <w:r w:rsidRPr="00DE0E5C">
        <w:rPr>
          <w:rFonts w:ascii="Times New Roman" w:hAnsi="Times New Roman"/>
          <w:b/>
          <w:bCs/>
          <w:sz w:val="24"/>
          <w:szCs w:val="24"/>
        </w:rPr>
        <w:t xml:space="preserve"> </w:t>
      </w:r>
      <w:r w:rsidR="001818A5" w:rsidRPr="00DE0E5C">
        <w:rPr>
          <w:rFonts w:ascii="Times New Roman" w:hAnsi="Times New Roman"/>
          <w:b/>
          <w:bCs/>
          <w:sz w:val="24"/>
          <w:szCs w:val="24"/>
        </w:rPr>
        <w:t>determination No</w:t>
      </w:r>
      <w:r w:rsidR="0091681B">
        <w:rPr>
          <w:rFonts w:ascii="Times New Roman" w:hAnsi="Times New Roman"/>
          <w:b/>
          <w:bCs/>
          <w:sz w:val="24"/>
          <w:szCs w:val="24"/>
        </w:rPr>
        <w:t xml:space="preserve">. </w:t>
      </w:r>
      <w:r w:rsidR="00AB5FE2">
        <w:rPr>
          <w:rFonts w:ascii="Times New Roman" w:hAnsi="Times New Roman"/>
          <w:b/>
          <w:bCs/>
          <w:sz w:val="24"/>
          <w:szCs w:val="24"/>
        </w:rPr>
        <w:t>1</w:t>
      </w:r>
      <w:r w:rsidR="00C70B1D" w:rsidRPr="00DE0E5C">
        <w:rPr>
          <w:rFonts w:ascii="Times New Roman" w:hAnsi="Times New Roman"/>
          <w:b/>
          <w:bCs/>
          <w:sz w:val="24"/>
          <w:szCs w:val="24"/>
        </w:rPr>
        <w:t xml:space="preserve"> </w:t>
      </w:r>
      <w:r w:rsidR="00700005" w:rsidRPr="00DE0E5C">
        <w:rPr>
          <w:rFonts w:ascii="Times New Roman" w:hAnsi="Times New Roman"/>
          <w:b/>
          <w:bCs/>
          <w:sz w:val="24"/>
          <w:szCs w:val="24"/>
        </w:rPr>
        <w:t>of 2020</w:t>
      </w:r>
      <w:r w:rsidR="00282561" w:rsidRPr="00DE0E5C">
        <w:rPr>
          <w:rFonts w:ascii="Times New Roman" w:hAnsi="Times New Roman"/>
          <w:b/>
          <w:bCs/>
          <w:sz w:val="24"/>
          <w:szCs w:val="24"/>
        </w:rPr>
        <w:t xml:space="preserve"> </w:t>
      </w:r>
    </w:p>
    <w:p w14:paraId="6EB786EE" w14:textId="64CA48B5"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11C04C0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305C6665" w14:textId="3E303E4D" w:rsidR="005D104C" w:rsidRDefault="001818A5" w:rsidP="005D104C">
      <w:pPr>
        <w:spacing w:after="240"/>
        <w:jc w:val="both"/>
        <w:rPr>
          <w:rFonts w:ascii="Times New Roman" w:hAnsi="Times New Roman"/>
          <w:sz w:val="24"/>
        </w:rPr>
      </w:pPr>
      <w:r w:rsidRPr="00E55175">
        <w:rPr>
          <w:rFonts w:ascii="Times New Roman" w:hAnsi="Times New Roman"/>
          <w:sz w:val="24"/>
        </w:rPr>
        <w:t xml:space="preserve">The purpose of this instrument is to </w:t>
      </w:r>
      <w:r w:rsidR="00CA6E37">
        <w:rPr>
          <w:rFonts w:ascii="Times New Roman" w:hAnsi="Times New Roman"/>
          <w:sz w:val="24"/>
        </w:rPr>
        <w:t>determine</w:t>
      </w:r>
      <w:r w:rsidR="007223ED">
        <w:rPr>
          <w:rFonts w:ascii="Times New Roman" w:hAnsi="Times New Roman"/>
          <w:sz w:val="24"/>
        </w:rPr>
        <w:t xml:space="preserve"> </w:t>
      </w:r>
      <w:r w:rsidR="00CA6E37">
        <w:rPr>
          <w:rFonts w:ascii="Times New Roman" w:hAnsi="Times New Roman"/>
          <w:sz w:val="24"/>
        </w:rPr>
        <w:t>corporations</w:t>
      </w:r>
      <w:r w:rsidR="0067236C">
        <w:rPr>
          <w:rFonts w:ascii="Times New Roman" w:hAnsi="Times New Roman"/>
          <w:sz w:val="24"/>
        </w:rPr>
        <w:t xml:space="preserve"> that are granted a guarantee under section 5 of the </w:t>
      </w:r>
      <w:r w:rsidR="0067236C">
        <w:rPr>
          <w:rFonts w:ascii="Times New Roman" w:hAnsi="Times New Roman"/>
          <w:i/>
          <w:sz w:val="24"/>
        </w:rPr>
        <w:t>Guarantee of Lending to Small and Medium Enterprises (Coronavirus Economic Response Package) Act 2020</w:t>
      </w:r>
      <w:r w:rsidR="00A034A6">
        <w:rPr>
          <w:rFonts w:ascii="Times New Roman" w:hAnsi="Times New Roman"/>
          <w:sz w:val="24"/>
        </w:rPr>
        <w:t xml:space="preserve">, </w:t>
      </w:r>
      <w:r w:rsidR="000A25D1">
        <w:rPr>
          <w:rFonts w:ascii="Times New Roman" w:hAnsi="Times New Roman"/>
          <w:sz w:val="24"/>
        </w:rPr>
        <w:t xml:space="preserve">as </w:t>
      </w:r>
      <w:r w:rsidR="00CA6E37">
        <w:rPr>
          <w:rFonts w:ascii="Times New Roman" w:hAnsi="Times New Roman"/>
          <w:sz w:val="24"/>
        </w:rPr>
        <w:t xml:space="preserve">a </w:t>
      </w:r>
      <w:r w:rsidR="000A25D1">
        <w:rPr>
          <w:rFonts w:ascii="Times New Roman" w:hAnsi="Times New Roman"/>
          <w:sz w:val="24"/>
        </w:rPr>
        <w:t xml:space="preserve">specified </w:t>
      </w:r>
      <w:r w:rsidR="00CA6E37">
        <w:rPr>
          <w:rFonts w:ascii="Times New Roman" w:hAnsi="Times New Roman"/>
          <w:sz w:val="24"/>
        </w:rPr>
        <w:t xml:space="preserve">class of corporations </w:t>
      </w:r>
      <w:r w:rsidR="00A034A6">
        <w:rPr>
          <w:rFonts w:ascii="Times New Roman" w:hAnsi="Times New Roman"/>
          <w:sz w:val="24"/>
        </w:rPr>
        <w:t xml:space="preserve">that are </w:t>
      </w:r>
      <w:r w:rsidR="00A034A6" w:rsidRPr="00DB321A">
        <w:rPr>
          <w:rFonts w:ascii="Times New Roman" w:hAnsi="Times New Roman"/>
          <w:sz w:val="24"/>
          <w:szCs w:val="24"/>
        </w:rPr>
        <w:t>registrable</w:t>
      </w:r>
      <w:r w:rsidR="00A034A6">
        <w:rPr>
          <w:rFonts w:ascii="Times New Roman" w:hAnsi="Times New Roman"/>
          <w:sz w:val="24"/>
          <w:szCs w:val="24"/>
        </w:rPr>
        <w:t xml:space="preserve"> corporations for the purpose of </w:t>
      </w:r>
      <w:r w:rsidR="00CA6E37">
        <w:rPr>
          <w:rFonts w:ascii="Times New Roman" w:hAnsi="Times New Roman"/>
          <w:sz w:val="24"/>
        </w:rPr>
        <w:t xml:space="preserve">paragraph 7(1)(b) of the </w:t>
      </w:r>
      <w:r w:rsidR="00CA6E37">
        <w:rPr>
          <w:rFonts w:ascii="Times New Roman" w:hAnsi="Times New Roman"/>
          <w:i/>
          <w:sz w:val="24"/>
        </w:rPr>
        <w:t>Financial Sector (Collection of Data) Act 2001</w:t>
      </w:r>
      <w:r w:rsidR="00C22AD1">
        <w:rPr>
          <w:rFonts w:ascii="Times New Roman" w:hAnsi="Times New Roman"/>
          <w:i/>
          <w:sz w:val="24"/>
        </w:rPr>
        <w:t xml:space="preserve"> </w:t>
      </w:r>
      <w:r w:rsidR="00C22AD1">
        <w:rPr>
          <w:rFonts w:ascii="Times New Roman" w:hAnsi="Times New Roman"/>
          <w:sz w:val="24"/>
        </w:rPr>
        <w:t>(the FSCOD Act)</w:t>
      </w:r>
      <w:r w:rsidR="00AD6DCF">
        <w:rPr>
          <w:rFonts w:ascii="Times New Roman" w:hAnsi="Times New Roman"/>
          <w:sz w:val="24"/>
          <w:szCs w:val="24"/>
        </w:rPr>
        <w:t xml:space="preserve">. </w:t>
      </w:r>
      <w:r w:rsidR="005D104C">
        <w:rPr>
          <w:rFonts w:ascii="Times New Roman" w:hAnsi="Times New Roman"/>
          <w:sz w:val="24"/>
          <w:szCs w:val="24"/>
        </w:rPr>
        <w:t xml:space="preserve">The instrument does not cover existing </w:t>
      </w:r>
      <w:r w:rsidR="005D104C" w:rsidRPr="00FD0E3D">
        <w:rPr>
          <w:rFonts w:ascii="Times New Roman" w:hAnsi="Times New Roman"/>
          <w:sz w:val="24"/>
          <w:szCs w:val="24"/>
        </w:rPr>
        <w:t>registrable corporation</w:t>
      </w:r>
      <w:r w:rsidR="005D104C">
        <w:rPr>
          <w:rFonts w:ascii="Times New Roman" w:hAnsi="Times New Roman"/>
          <w:sz w:val="24"/>
          <w:szCs w:val="24"/>
        </w:rPr>
        <w:t xml:space="preserve">s </w:t>
      </w:r>
      <w:r w:rsidR="0067236C">
        <w:rPr>
          <w:rFonts w:ascii="Times New Roman" w:hAnsi="Times New Roman"/>
          <w:sz w:val="24"/>
          <w:szCs w:val="24"/>
        </w:rPr>
        <w:t xml:space="preserve">or authorised deposit-taking </w:t>
      </w:r>
      <w:r w:rsidR="00D83956">
        <w:rPr>
          <w:rFonts w:ascii="Times New Roman" w:hAnsi="Times New Roman"/>
          <w:sz w:val="24"/>
          <w:szCs w:val="24"/>
        </w:rPr>
        <w:t>institu</w:t>
      </w:r>
      <w:r w:rsidR="0067236C">
        <w:rPr>
          <w:rFonts w:ascii="Times New Roman" w:hAnsi="Times New Roman"/>
          <w:sz w:val="24"/>
          <w:szCs w:val="24"/>
        </w:rPr>
        <w:t>tions.</w:t>
      </w:r>
      <w:r w:rsidR="0067236C" w:rsidDel="0067236C">
        <w:rPr>
          <w:rFonts w:ascii="Times New Roman" w:hAnsi="Times New Roman"/>
          <w:sz w:val="24"/>
          <w:szCs w:val="24"/>
        </w:rPr>
        <w:t xml:space="preserve"> </w:t>
      </w:r>
    </w:p>
    <w:p w14:paraId="31CE3A72" w14:textId="5761DDFA" w:rsidR="008A40F5" w:rsidRPr="00AD6DCF" w:rsidRDefault="00BE7B70" w:rsidP="001818A5">
      <w:pPr>
        <w:spacing w:after="240"/>
        <w:jc w:val="both"/>
        <w:rPr>
          <w:rFonts w:ascii="Times New Roman" w:hAnsi="Times New Roman"/>
          <w:sz w:val="24"/>
        </w:rPr>
      </w:pPr>
      <w:r>
        <w:rPr>
          <w:rFonts w:ascii="Times New Roman" w:hAnsi="Times New Roman"/>
          <w:sz w:val="24"/>
          <w:szCs w:val="24"/>
        </w:rPr>
        <w:t>As corporation</w:t>
      </w:r>
      <w:r w:rsidR="00C57AEC">
        <w:rPr>
          <w:rFonts w:ascii="Times New Roman" w:hAnsi="Times New Roman"/>
          <w:sz w:val="24"/>
          <w:szCs w:val="24"/>
        </w:rPr>
        <w:t>s</w:t>
      </w:r>
      <w:r>
        <w:rPr>
          <w:rFonts w:ascii="Times New Roman" w:hAnsi="Times New Roman"/>
          <w:sz w:val="24"/>
          <w:szCs w:val="24"/>
        </w:rPr>
        <w:t xml:space="preserve"> in a class of corporations determined as r</w:t>
      </w:r>
      <w:r w:rsidR="00AD6DCF">
        <w:rPr>
          <w:rFonts w:ascii="Times New Roman" w:hAnsi="Times New Roman"/>
          <w:sz w:val="24"/>
          <w:szCs w:val="24"/>
        </w:rPr>
        <w:t>egistrable corporations</w:t>
      </w:r>
      <w:r>
        <w:rPr>
          <w:rFonts w:ascii="Times New Roman" w:hAnsi="Times New Roman"/>
          <w:sz w:val="24"/>
          <w:szCs w:val="24"/>
        </w:rPr>
        <w:t>, these corporations</w:t>
      </w:r>
      <w:r w:rsidR="003D5EE7">
        <w:rPr>
          <w:rFonts w:ascii="Times New Roman" w:hAnsi="Times New Roman"/>
          <w:sz w:val="24"/>
          <w:szCs w:val="24"/>
        </w:rPr>
        <w:t xml:space="preserve"> </w:t>
      </w:r>
      <w:r w:rsidR="00AD6DCF">
        <w:rPr>
          <w:rFonts w:ascii="Times New Roman" w:hAnsi="Times New Roman"/>
          <w:sz w:val="24"/>
          <w:szCs w:val="24"/>
        </w:rPr>
        <w:t xml:space="preserve">have obligations to </w:t>
      </w:r>
      <w:r w:rsidR="00A31E48">
        <w:rPr>
          <w:rFonts w:ascii="Times New Roman" w:hAnsi="Times New Roman"/>
          <w:sz w:val="24"/>
          <w:szCs w:val="24"/>
        </w:rPr>
        <w:t xml:space="preserve">provide certain documents to </w:t>
      </w:r>
      <w:r w:rsidR="00AD6DCF">
        <w:rPr>
          <w:rFonts w:ascii="Times New Roman" w:hAnsi="Times New Roman"/>
          <w:sz w:val="24"/>
          <w:szCs w:val="24"/>
        </w:rPr>
        <w:t>APRA</w:t>
      </w:r>
      <w:r w:rsidR="001B180C">
        <w:rPr>
          <w:rFonts w:ascii="Times New Roman" w:hAnsi="Times New Roman"/>
          <w:sz w:val="24"/>
          <w:szCs w:val="24"/>
        </w:rPr>
        <w:t xml:space="preserve"> for the purposes of </w:t>
      </w:r>
      <w:r w:rsidR="000A25D1">
        <w:rPr>
          <w:rFonts w:ascii="Times New Roman" w:hAnsi="Times New Roman"/>
          <w:sz w:val="24"/>
          <w:szCs w:val="24"/>
        </w:rPr>
        <w:lastRenderedPageBreak/>
        <w:t xml:space="preserve">APRA listing the corporation on </w:t>
      </w:r>
      <w:r w:rsidR="001B180C">
        <w:rPr>
          <w:rFonts w:ascii="Times New Roman" w:hAnsi="Times New Roman"/>
          <w:sz w:val="24"/>
          <w:szCs w:val="24"/>
        </w:rPr>
        <w:t>the Register of Entities</w:t>
      </w:r>
      <w:r>
        <w:rPr>
          <w:rFonts w:ascii="Times New Roman" w:hAnsi="Times New Roman"/>
          <w:sz w:val="24"/>
          <w:szCs w:val="24"/>
        </w:rPr>
        <w:t>. In addition,</w:t>
      </w:r>
      <w:r w:rsidR="00AD6DCF">
        <w:rPr>
          <w:rFonts w:ascii="Times New Roman" w:hAnsi="Times New Roman"/>
          <w:sz w:val="24"/>
          <w:szCs w:val="24"/>
        </w:rPr>
        <w:t xml:space="preserve"> </w:t>
      </w:r>
      <w:r w:rsidR="00980298">
        <w:rPr>
          <w:rFonts w:ascii="Times New Roman" w:hAnsi="Times New Roman"/>
          <w:sz w:val="24"/>
          <w:szCs w:val="24"/>
        </w:rPr>
        <w:t xml:space="preserve">these corporations will be required to </w:t>
      </w:r>
      <w:r w:rsidR="00A31E48">
        <w:rPr>
          <w:rFonts w:ascii="Times New Roman" w:hAnsi="Times New Roman"/>
          <w:sz w:val="24"/>
          <w:szCs w:val="24"/>
        </w:rPr>
        <w:t xml:space="preserve">provide </w:t>
      </w:r>
      <w:r w:rsidR="00871370">
        <w:rPr>
          <w:rFonts w:ascii="Times New Roman" w:hAnsi="Times New Roman"/>
          <w:sz w:val="24"/>
          <w:szCs w:val="24"/>
        </w:rPr>
        <w:t xml:space="preserve">specific </w:t>
      </w:r>
      <w:r w:rsidR="000A25D1">
        <w:rPr>
          <w:rFonts w:ascii="Times New Roman" w:hAnsi="Times New Roman"/>
          <w:sz w:val="24"/>
          <w:szCs w:val="24"/>
        </w:rPr>
        <w:t xml:space="preserve">financial </w:t>
      </w:r>
      <w:r w:rsidR="00A31E48">
        <w:rPr>
          <w:rFonts w:ascii="Times New Roman" w:hAnsi="Times New Roman"/>
          <w:sz w:val="24"/>
          <w:szCs w:val="24"/>
        </w:rPr>
        <w:t xml:space="preserve">information to APRA under applicable </w:t>
      </w:r>
      <w:r w:rsidR="00AD6DCF">
        <w:rPr>
          <w:rFonts w:ascii="Times New Roman" w:hAnsi="Times New Roman"/>
          <w:sz w:val="24"/>
          <w:szCs w:val="24"/>
        </w:rPr>
        <w:t>reporting standards.</w:t>
      </w:r>
    </w:p>
    <w:p w14:paraId="73AF849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4B0A61F3" w14:textId="5FCF1500" w:rsidR="007223ED" w:rsidRPr="007223ED" w:rsidRDefault="007223ED" w:rsidP="001818A5">
      <w:pPr>
        <w:spacing w:after="240"/>
        <w:jc w:val="both"/>
        <w:rPr>
          <w:rFonts w:ascii="Times New Roman" w:hAnsi="Times New Roman"/>
          <w:sz w:val="24"/>
        </w:rPr>
      </w:pPr>
      <w:r w:rsidRPr="007223ED">
        <w:rPr>
          <w:rFonts w:ascii="Times New Roman" w:hAnsi="Times New Roman"/>
          <w:sz w:val="24"/>
        </w:rPr>
        <w:t xml:space="preserve">APRA has assessed the instrument and is of the view that </w:t>
      </w:r>
      <w:r w:rsidR="0065510B">
        <w:rPr>
          <w:rFonts w:ascii="Times New Roman" w:hAnsi="Times New Roman"/>
          <w:sz w:val="24"/>
        </w:rPr>
        <w:t>it</w:t>
      </w:r>
      <w:r w:rsidR="0065510B" w:rsidRPr="007223ED">
        <w:rPr>
          <w:rFonts w:ascii="Times New Roman" w:hAnsi="Times New Roman"/>
          <w:sz w:val="24"/>
        </w:rPr>
        <w:t xml:space="preserve"> </w:t>
      </w:r>
      <w:r w:rsidRPr="007223ED">
        <w:rPr>
          <w:rFonts w:ascii="Times New Roman" w:hAnsi="Times New Roman"/>
          <w:sz w:val="24"/>
        </w:rPr>
        <w:t>do</w:t>
      </w:r>
      <w:r w:rsidR="0065510B">
        <w:rPr>
          <w:rFonts w:ascii="Times New Roman" w:hAnsi="Times New Roman"/>
          <w:sz w:val="24"/>
        </w:rPr>
        <w:t>es</w:t>
      </w:r>
      <w:r w:rsidRPr="007223ED">
        <w:rPr>
          <w:rFonts w:ascii="Times New Roman" w:hAnsi="Times New Roman"/>
          <w:sz w:val="24"/>
        </w:rPr>
        <w:t xml:space="preserve"> not engage any of the applicable rights or freedoms recognised or declared in the international instruments listed in section 3 of the HRPS Act. Accordingly, in APRA’s assessment, the instrument </w:t>
      </w:r>
      <w:r w:rsidR="0065510B">
        <w:rPr>
          <w:rFonts w:ascii="Times New Roman" w:hAnsi="Times New Roman"/>
          <w:sz w:val="24"/>
        </w:rPr>
        <w:t>is</w:t>
      </w:r>
      <w:r w:rsidRPr="007223ED">
        <w:rPr>
          <w:rFonts w:ascii="Times New Roman" w:hAnsi="Times New Roman"/>
          <w:sz w:val="24"/>
        </w:rPr>
        <w:t xml:space="preserve"> compatible with human rights.</w:t>
      </w:r>
    </w:p>
    <w:p w14:paraId="02B38A9C"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5CFDDFF0" w14:textId="2517F163" w:rsidR="001818A5" w:rsidRPr="007223ED" w:rsidRDefault="007223ED" w:rsidP="001A2234">
      <w:pPr>
        <w:pStyle w:val="Heading"/>
        <w:spacing w:after="240"/>
        <w:rPr>
          <w:b w:val="0"/>
        </w:rPr>
      </w:pPr>
      <w:r>
        <w:rPr>
          <w:rFonts w:ascii="Times New Roman" w:hAnsi="Times New Roman"/>
          <w:b w:val="0"/>
          <w:sz w:val="24"/>
          <w:szCs w:val="24"/>
        </w:rPr>
        <w:t xml:space="preserve">The legislative instrument is compatible with human rights as it does not raise any human rights issues. </w:t>
      </w:r>
      <w:r w:rsidR="008B5276" w:rsidRPr="007223ED">
        <w:rPr>
          <w:rFonts w:ascii="Times New Roman" w:hAnsi="Times New Roman"/>
          <w:b w:val="0"/>
          <w:sz w:val="24"/>
          <w:szCs w:val="24"/>
        </w:rPr>
        <w:t xml:space="preserve">  </w:t>
      </w:r>
    </w:p>
    <w:sectPr w:rsidR="001818A5" w:rsidRPr="007223ED"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EC3F2" w14:textId="77777777" w:rsidR="00A411A3" w:rsidRDefault="00A411A3" w:rsidP="001A2234">
      <w:r>
        <w:separator/>
      </w:r>
    </w:p>
  </w:endnote>
  <w:endnote w:type="continuationSeparator" w:id="0">
    <w:p w14:paraId="2038546A" w14:textId="77777777" w:rsidR="00A411A3" w:rsidRDefault="00A411A3" w:rsidP="001A2234">
      <w:r>
        <w:continuationSeparator/>
      </w:r>
    </w:p>
  </w:endnote>
  <w:endnote w:type="continuationNotice" w:id="1">
    <w:p w14:paraId="40EDCA59" w14:textId="77777777" w:rsidR="002233D4" w:rsidRDefault="00223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A411A3" w:rsidRPr="001A2234" w:rsidRDefault="00A411A3"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A377DC">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4ACC2704" w14:textId="77777777" w:rsidR="00A411A3" w:rsidRDefault="00A41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2F09" w14:textId="77777777" w:rsidR="00A411A3" w:rsidRDefault="00A411A3" w:rsidP="001A2234">
      <w:r>
        <w:separator/>
      </w:r>
    </w:p>
  </w:footnote>
  <w:footnote w:type="continuationSeparator" w:id="0">
    <w:p w14:paraId="73BB40FD" w14:textId="77777777" w:rsidR="00A411A3" w:rsidRDefault="00A411A3" w:rsidP="001A2234">
      <w:r>
        <w:continuationSeparator/>
      </w:r>
    </w:p>
  </w:footnote>
  <w:footnote w:type="continuationNotice" w:id="1">
    <w:p w14:paraId="6604BE20" w14:textId="77777777" w:rsidR="002233D4" w:rsidRDefault="002233D4"/>
  </w:footnote>
  <w:footnote w:id="2">
    <w:p w14:paraId="7CD75447" w14:textId="112B6259" w:rsidR="00A411A3" w:rsidRDefault="00A411A3">
      <w:pPr>
        <w:pStyle w:val="FootnoteText"/>
      </w:pPr>
      <w:r>
        <w:rPr>
          <w:rStyle w:val="FootnoteReference"/>
        </w:rPr>
        <w:footnoteRef/>
      </w:r>
      <w:r>
        <w:t xml:space="preserve"> </w:t>
      </w:r>
      <w:hyperlink r:id="rId1" w:history="1">
        <w:r w:rsidRPr="00C820BF">
          <w:rPr>
            <w:rStyle w:val="Hyperlink"/>
          </w:rPr>
          <w:t>https://treasury.gov.au/coronavirus/sme-guarantee-scheme</w:t>
        </w:r>
      </w:hyperlink>
    </w:p>
  </w:footnote>
  <w:footnote w:id="3">
    <w:p w14:paraId="701B23CB" w14:textId="0ECED14C" w:rsidR="0088107B" w:rsidRDefault="0088107B">
      <w:pPr>
        <w:pStyle w:val="FootnoteText"/>
      </w:pPr>
      <w:r>
        <w:rPr>
          <w:rStyle w:val="FootnoteReference"/>
        </w:rPr>
        <w:footnoteRef/>
      </w:r>
      <w:r>
        <w:t xml:space="preserve"> Made by </w:t>
      </w:r>
      <w:r w:rsidRPr="00C54FF1">
        <w:rPr>
          <w:i/>
        </w:rPr>
        <w:t>Financial Sector (Collection of Data) (reporting standard) determination No. 4 of 2020</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73"/>
    <w:rsid w:val="00011827"/>
    <w:rsid w:val="00012B98"/>
    <w:rsid w:val="00037526"/>
    <w:rsid w:val="000401FC"/>
    <w:rsid w:val="00047289"/>
    <w:rsid w:val="000531A2"/>
    <w:rsid w:val="00056685"/>
    <w:rsid w:val="00057671"/>
    <w:rsid w:val="000912CF"/>
    <w:rsid w:val="00091A44"/>
    <w:rsid w:val="000A25D1"/>
    <w:rsid w:val="000B0D5D"/>
    <w:rsid w:val="000B14BD"/>
    <w:rsid w:val="000C40E5"/>
    <w:rsid w:val="000D2066"/>
    <w:rsid w:val="000D2148"/>
    <w:rsid w:val="000D25C1"/>
    <w:rsid w:val="000E369C"/>
    <w:rsid w:val="000E58A6"/>
    <w:rsid w:val="000E6E01"/>
    <w:rsid w:val="00100A59"/>
    <w:rsid w:val="00116088"/>
    <w:rsid w:val="00124D45"/>
    <w:rsid w:val="001263C5"/>
    <w:rsid w:val="00137C64"/>
    <w:rsid w:val="00142ECA"/>
    <w:rsid w:val="00143BC6"/>
    <w:rsid w:val="00147B57"/>
    <w:rsid w:val="00152070"/>
    <w:rsid w:val="00154B57"/>
    <w:rsid w:val="00157CE0"/>
    <w:rsid w:val="0016700C"/>
    <w:rsid w:val="00176BDC"/>
    <w:rsid w:val="001818A5"/>
    <w:rsid w:val="00182FA1"/>
    <w:rsid w:val="00184EC3"/>
    <w:rsid w:val="00192227"/>
    <w:rsid w:val="001944E6"/>
    <w:rsid w:val="001A2234"/>
    <w:rsid w:val="001A2ADB"/>
    <w:rsid w:val="001A49E7"/>
    <w:rsid w:val="001B180C"/>
    <w:rsid w:val="001B7D2B"/>
    <w:rsid w:val="001D1C11"/>
    <w:rsid w:val="001F0942"/>
    <w:rsid w:val="00201551"/>
    <w:rsid w:val="00201B19"/>
    <w:rsid w:val="00201D65"/>
    <w:rsid w:val="00205FE4"/>
    <w:rsid w:val="00210E67"/>
    <w:rsid w:val="00215FB5"/>
    <w:rsid w:val="002162E2"/>
    <w:rsid w:val="002233D4"/>
    <w:rsid w:val="002345A6"/>
    <w:rsid w:val="002436BD"/>
    <w:rsid w:val="00246723"/>
    <w:rsid w:val="00257833"/>
    <w:rsid w:val="00272A3E"/>
    <w:rsid w:val="00276AD6"/>
    <w:rsid w:val="00282158"/>
    <w:rsid w:val="00282561"/>
    <w:rsid w:val="00287918"/>
    <w:rsid w:val="002920E0"/>
    <w:rsid w:val="00292C44"/>
    <w:rsid w:val="00295514"/>
    <w:rsid w:val="002962AA"/>
    <w:rsid w:val="002A73BD"/>
    <w:rsid w:val="002B3037"/>
    <w:rsid w:val="002B5971"/>
    <w:rsid w:val="002C2FA3"/>
    <w:rsid w:val="002D0BF3"/>
    <w:rsid w:val="002E7B17"/>
    <w:rsid w:val="002F28C3"/>
    <w:rsid w:val="002F3787"/>
    <w:rsid w:val="002F4652"/>
    <w:rsid w:val="002F654E"/>
    <w:rsid w:val="0030506B"/>
    <w:rsid w:val="00310CF8"/>
    <w:rsid w:val="00316060"/>
    <w:rsid w:val="003176A5"/>
    <w:rsid w:val="00327759"/>
    <w:rsid w:val="003335E4"/>
    <w:rsid w:val="00335487"/>
    <w:rsid w:val="00337213"/>
    <w:rsid w:val="00343D9F"/>
    <w:rsid w:val="00345CFF"/>
    <w:rsid w:val="00354CB8"/>
    <w:rsid w:val="003554AB"/>
    <w:rsid w:val="00365CC6"/>
    <w:rsid w:val="00366A62"/>
    <w:rsid w:val="00366F16"/>
    <w:rsid w:val="00374613"/>
    <w:rsid w:val="00380068"/>
    <w:rsid w:val="003866AD"/>
    <w:rsid w:val="003938B7"/>
    <w:rsid w:val="00394D0F"/>
    <w:rsid w:val="003A4F33"/>
    <w:rsid w:val="003A52A5"/>
    <w:rsid w:val="003B0F91"/>
    <w:rsid w:val="003C4317"/>
    <w:rsid w:val="003D5032"/>
    <w:rsid w:val="003D5EE7"/>
    <w:rsid w:val="003F1624"/>
    <w:rsid w:val="0040175E"/>
    <w:rsid w:val="00405C34"/>
    <w:rsid w:val="00422164"/>
    <w:rsid w:val="00425D5C"/>
    <w:rsid w:val="00427A88"/>
    <w:rsid w:val="00434568"/>
    <w:rsid w:val="00435165"/>
    <w:rsid w:val="00436FC3"/>
    <w:rsid w:val="00437248"/>
    <w:rsid w:val="004421C1"/>
    <w:rsid w:val="00443A02"/>
    <w:rsid w:val="00461BFF"/>
    <w:rsid w:val="00464570"/>
    <w:rsid w:val="004722B6"/>
    <w:rsid w:val="00472A9D"/>
    <w:rsid w:val="00476812"/>
    <w:rsid w:val="004812EA"/>
    <w:rsid w:val="00482F77"/>
    <w:rsid w:val="004A0E5B"/>
    <w:rsid w:val="004A18D8"/>
    <w:rsid w:val="004A2BB1"/>
    <w:rsid w:val="004A6AF2"/>
    <w:rsid w:val="004B4365"/>
    <w:rsid w:val="004C0904"/>
    <w:rsid w:val="004C3CA1"/>
    <w:rsid w:val="004C3D07"/>
    <w:rsid w:val="004C7B57"/>
    <w:rsid w:val="004D541D"/>
    <w:rsid w:val="004E2008"/>
    <w:rsid w:val="004E411C"/>
    <w:rsid w:val="004E4327"/>
    <w:rsid w:val="004F0699"/>
    <w:rsid w:val="004F0825"/>
    <w:rsid w:val="004F4527"/>
    <w:rsid w:val="005072A8"/>
    <w:rsid w:val="00511839"/>
    <w:rsid w:val="0051575B"/>
    <w:rsid w:val="00543342"/>
    <w:rsid w:val="0054355F"/>
    <w:rsid w:val="0055199D"/>
    <w:rsid w:val="00552932"/>
    <w:rsid w:val="0055371B"/>
    <w:rsid w:val="0056141D"/>
    <w:rsid w:val="00563A59"/>
    <w:rsid w:val="00564237"/>
    <w:rsid w:val="00566B0B"/>
    <w:rsid w:val="00575818"/>
    <w:rsid w:val="00576EAF"/>
    <w:rsid w:val="005806E7"/>
    <w:rsid w:val="00580793"/>
    <w:rsid w:val="00594CAD"/>
    <w:rsid w:val="005A2D89"/>
    <w:rsid w:val="005A6B4D"/>
    <w:rsid w:val="005A7FA9"/>
    <w:rsid w:val="005B238F"/>
    <w:rsid w:val="005D104C"/>
    <w:rsid w:val="005D4287"/>
    <w:rsid w:val="005D6EAA"/>
    <w:rsid w:val="005D7BEA"/>
    <w:rsid w:val="005E2868"/>
    <w:rsid w:val="005E3722"/>
    <w:rsid w:val="005E5910"/>
    <w:rsid w:val="005E71ED"/>
    <w:rsid w:val="00602F24"/>
    <w:rsid w:val="006140E9"/>
    <w:rsid w:val="00622480"/>
    <w:rsid w:val="00624A5B"/>
    <w:rsid w:val="00631116"/>
    <w:rsid w:val="006454FB"/>
    <w:rsid w:val="00647D58"/>
    <w:rsid w:val="00654770"/>
    <w:rsid w:val="0065510B"/>
    <w:rsid w:val="00657678"/>
    <w:rsid w:val="00661214"/>
    <w:rsid w:val="00662B87"/>
    <w:rsid w:val="0067236C"/>
    <w:rsid w:val="00682865"/>
    <w:rsid w:val="00684F73"/>
    <w:rsid w:val="00687F66"/>
    <w:rsid w:val="00695C5E"/>
    <w:rsid w:val="006A10A4"/>
    <w:rsid w:val="006A3C2D"/>
    <w:rsid w:val="006A6370"/>
    <w:rsid w:val="006B062E"/>
    <w:rsid w:val="006B093F"/>
    <w:rsid w:val="006C591F"/>
    <w:rsid w:val="006E1667"/>
    <w:rsid w:val="006E55C3"/>
    <w:rsid w:val="006F000A"/>
    <w:rsid w:val="006F1AF0"/>
    <w:rsid w:val="00700005"/>
    <w:rsid w:val="007031F4"/>
    <w:rsid w:val="00703575"/>
    <w:rsid w:val="007049CF"/>
    <w:rsid w:val="00704D85"/>
    <w:rsid w:val="00705603"/>
    <w:rsid w:val="00710E29"/>
    <w:rsid w:val="00711BC4"/>
    <w:rsid w:val="00712AE2"/>
    <w:rsid w:val="007223ED"/>
    <w:rsid w:val="00722715"/>
    <w:rsid w:val="007230D5"/>
    <w:rsid w:val="00725D38"/>
    <w:rsid w:val="00726BA1"/>
    <w:rsid w:val="0073532C"/>
    <w:rsid w:val="007368AD"/>
    <w:rsid w:val="00736D41"/>
    <w:rsid w:val="007428D4"/>
    <w:rsid w:val="00747AFF"/>
    <w:rsid w:val="00752286"/>
    <w:rsid w:val="0076112C"/>
    <w:rsid w:val="00764016"/>
    <w:rsid w:val="0077436D"/>
    <w:rsid w:val="00780759"/>
    <w:rsid w:val="0078100D"/>
    <w:rsid w:val="00785CDC"/>
    <w:rsid w:val="00786945"/>
    <w:rsid w:val="00795989"/>
    <w:rsid w:val="007963FF"/>
    <w:rsid w:val="007B046E"/>
    <w:rsid w:val="007B0A77"/>
    <w:rsid w:val="007B39ED"/>
    <w:rsid w:val="007C2298"/>
    <w:rsid w:val="007D2825"/>
    <w:rsid w:val="007D60A5"/>
    <w:rsid w:val="007E0694"/>
    <w:rsid w:val="007E4B2A"/>
    <w:rsid w:val="0080039A"/>
    <w:rsid w:val="008025F4"/>
    <w:rsid w:val="00810584"/>
    <w:rsid w:val="00821775"/>
    <w:rsid w:val="00822709"/>
    <w:rsid w:val="00823CE7"/>
    <w:rsid w:val="008256DA"/>
    <w:rsid w:val="00830F66"/>
    <w:rsid w:val="00834676"/>
    <w:rsid w:val="00835DE9"/>
    <w:rsid w:val="008443E1"/>
    <w:rsid w:val="00846D48"/>
    <w:rsid w:val="00861D3B"/>
    <w:rsid w:val="00871370"/>
    <w:rsid w:val="00876AA9"/>
    <w:rsid w:val="0088107B"/>
    <w:rsid w:val="00887B0B"/>
    <w:rsid w:val="00894400"/>
    <w:rsid w:val="00895300"/>
    <w:rsid w:val="00897248"/>
    <w:rsid w:val="008A0823"/>
    <w:rsid w:val="008A2A0F"/>
    <w:rsid w:val="008A40F5"/>
    <w:rsid w:val="008A7BD1"/>
    <w:rsid w:val="008B5276"/>
    <w:rsid w:val="008B659C"/>
    <w:rsid w:val="008B6794"/>
    <w:rsid w:val="008B6CEB"/>
    <w:rsid w:val="008C562C"/>
    <w:rsid w:val="008E10BB"/>
    <w:rsid w:val="008F50C1"/>
    <w:rsid w:val="0091681B"/>
    <w:rsid w:val="00922562"/>
    <w:rsid w:val="009320C4"/>
    <w:rsid w:val="00932EFA"/>
    <w:rsid w:val="009473A6"/>
    <w:rsid w:val="00951700"/>
    <w:rsid w:val="009625C8"/>
    <w:rsid w:val="00963A6E"/>
    <w:rsid w:val="00967D16"/>
    <w:rsid w:val="00980298"/>
    <w:rsid w:val="009A1F5E"/>
    <w:rsid w:val="009A601F"/>
    <w:rsid w:val="009B08BB"/>
    <w:rsid w:val="009B67A8"/>
    <w:rsid w:val="009C5368"/>
    <w:rsid w:val="009C65E2"/>
    <w:rsid w:val="009D0110"/>
    <w:rsid w:val="009D02B5"/>
    <w:rsid w:val="009D2384"/>
    <w:rsid w:val="009E2A05"/>
    <w:rsid w:val="00A01D55"/>
    <w:rsid w:val="00A03333"/>
    <w:rsid w:val="00A034A6"/>
    <w:rsid w:val="00A05423"/>
    <w:rsid w:val="00A118D4"/>
    <w:rsid w:val="00A20552"/>
    <w:rsid w:val="00A25A71"/>
    <w:rsid w:val="00A279AF"/>
    <w:rsid w:val="00A31E48"/>
    <w:rsid w:val="00A377DC"/>
    <w:rsid w:val="00A411A3"/>
    <w:rsid w:val="00A4133B"/>
    <w:rsid w:val="00A52BA1"/>
    <w:rsid w:val="00A575B9"/>
    <w:rsid w:val="00A63A2B"/>
    <w:rsid w:val="00A642D7"/>
    <w:rsid w:val="00A87E2D"/>
    <w:rsid w:val="00A97B33"/>
    <w:rsid w:val="00AA3071"/>
    <w:rsid w:val="00AA58D3"/>
    <w:rsid w:val="00AB4B9E"/>
    <w:rsid w:val="00AB4FCA"/>
    <w:rsid w:val="00AB5FE2"/>
    <w:rsid w:val="00AC2517"/>
    <w:rsid w:val="00AC2AA5"/>
    <w:rsid w:val="00AC51D3"/>
    <w:rsid w:val="00AC5350"/>
    <w:rsid w:val="00AC6CA9"/>
    <w:rsid w:val="00AC7A56"/>
    <w:rsid w:val="00AD0B3A"/>
    <w:rsid w:val="00AD1E70"/>
    <w:rsid w:val="00AD6DCF"/>
    <w:rsid w:val="00AE1D5D"/>
    <w:rsid w:val="00B0195F"/>
    <w:rsid w:val="00B02D82"/>
    <w:rsid w:val="00B04B20"/>
    <w:rsid w:val="00B05A7F"/>
    <w:rsid w:val="00B121C8"/>
    <w:rsid w:val="00B12A57"/>
    <w:rsid w:val="00B346BE"/>
    <w:rsid w:val="00B47F0E"/>
    <w:rsid w:val="00B577AE"/>
    <w:rsid w:val="00B624B2"/>
    <w:rsid w:val="00B64B2E"/>
    <w:rsid w:val="00B71D76"/>
    <w:rsid w:val="00B731B6"/>
    <w:rsid w:val="00B820E5"/>
    <w:rsid w:val="00B85B6E"/>
    <w:rsid w:val="00B868EB"/>
    <w:rsid w:val="00B939F0"/>
    <w:rsid w:val="00BA3AAE"/>
    <w:rsid w:val="00BA51E5"/>
    <w:rsid w:val="00BA7DA6"/>
    <w:rsid w:val="00BB0D77"/>
    <w:rsid w:val="00BB1678"/>
    <w:rsid w:val="00BC33D2"/>
    <w:rsid w:val="00BC35F5"/>
    <w:rsid w:val="00BD6360"/>
    <w:rsid w:val="00BE77FF"/>
    <w:rsid w:val="00BE7B70"/>
    <w:rsid w:val="00BF2953"/>
    <w:rsid w:val="00BF6414"/>
    <w:rsid w:val="00BF7B04"/>
    <w:rsid w:val="00C16AB0"/>
    <w:rsid w:val="00C22AD1"/>
    <w:rsid w:val="00C2568F"/>
    <w:rsid w:val="00C302FA"/>
    <w:rsid w:val="00C30A7D"/>
    <w:rsid w:val="00C3194E"/>
    <w:rsid w:val="00C374E8"/>
    <w:rsid w:val="00C440D3"/>
    <w:rsid w:val="00C54FF1"/>
    <w:rsid w:val="00C57AEC"/>
    <w:rsid w:val="00C60A62"/>
    <w:rsid w:val="00C62F0A"/>
    <w:rsid w:val="00C67288"/>
    <w:rsid w:val="00C70574"/>
    <w:rsid w:val="00C70B1D"/>
    <w:rsid w:val="00C72C5F"/>
    <w:rsid w:val="00C73300"/>
    <w:rsid w:val="00C869C1"/>
    <w:rsid w:val="00C878A4"/>
    <w:rsid w:val="00C90BFC"/>
    <w:rsid w:val="00C9155A"/>
    <w:rsid w:val="00C948AA"/>
    <w:rsid w:val="00CA41F5"/>
    <w:rsid w:val="00CA6CB3"/>
    <w:rsid w:val="00CA6E37"/>
    <w:rsid w:val="00CA780F"/>
    <w:rsid w:val="00CB384A"/>
    <w:rsid w:val="00CB749C"/>
    <w:rsid w:val="00CC018A"/>
    <w:rsid w:val="00CC24C2"/>
    <w:rsid w:val="00CC5C72"/>
    <w:rsid w:val="00CD1947"/>
    <w:rsid w:val="00CD5EBE"/>
    <w:rsid w:val="00CE3EF2"/>
    <w:rsid w:val="00CE4522"/>
    <w:rsid w:val="00D011F9"/>
    <w:rsid w:val="00D0547C"/>
    <w:rsid w:val="00D119F5"/>
    <w:rsid w:val="00D226AB"/>
    <w:rsid w:val="00D24F22"/>
    <w:rsid w:val="00D24FAF"/>
    <w:rsid w:val="00D25559"/>
    <w:rsid w:val="00D3484E"/>
    <w:rsid w:val="00D36F73"/>
    <w:rsid w:val="00D42627"/>
    <w:rsid w:val="00D42986"/>
    <w:rsid w:val="00D45586"/>
    <w:rsid w:val="00D5183B"/>
    <w:rsid w:val="00D53BC2"/>
    <w:rsid w:val="00D553F4"/>
    <w:rsid w:val="00D605BC"/>
    <w:rsid w:val="00D61C83"/>
    <w:rsid w:val="00D64906"/>
    <w:rsid w:val="00D64DC0"/>
    <w:rsid w:val="00D74DC3"/>
    <w:rsid w:val="00D804DC"/>
    <w:rsid w:val="00D83531"/>
    <w:rsid w:val="00D83956"/>
    <w:rsid w:val="00D85E91"/>
    <w:rsid w:val="00D87E36"/>
    <w:rsid w:val="00D912B0"/>
    <w:rsid w:val="00D91691"/>
    <w:rsid w:val="00D92164"/>
    <w:rsid w:val="00D93C26"/>
    <w:rsid w:val="00DA2FCC"/>
    <w:rsid w:val="00DA3D1A"/>
    <w:rsid w:val="00DD5AAE"/>
    <w:rsid w:val="00DD6251"/>
    <w:rsid w:val="00DE0E5C"/>
    <w:rsid w:val="00DE6884"/>
    <w:rsid w:val="00DE7B5E"/>
    <w:rsid w:val="00DF3D38"/>
    <w:rsid w:val="00DF524E"/>
    <w:rsid w:val="00E016E4"/>
    <w:rsid w:val="00E02D7F"/>
    <w:rsid w:val="00E15497"/>
    <w:rsid w:val="00E154A3"/>
    <w:rsid w:val="00E16789"/>
    <w:rsid w:val="00E201A8"/>
    <w:rsid w:val="00E30490"/>
    <w:rsid w:val="00E42F29"/>
    <w:rsid w:val="00E446A8"/>
    <w:rsid w:val="00E45089"/>
    <w:rsid w:val="00E52DFE"/>
    <w:rsid w:val="00E601A9"/>
    <w:rsid w:val="00E61B19"/>
    <w:rsid w:val="00E61F28"/>
    <w:rsid w:val="00E62E09"/>
    <w:rsid w:val="00E704EF"/>
    <w:rsid w:val="00E725D8"/>
    <w:rsid w:val="00E731F6"/>
    <w:rsid w:val="00E74946"/>
    <w:rsid w:val="00E754DE"/>
    <w:rsid w:val="00E90C89"/>
    <w:rsid w:val="00E91CA5"/>
    <w:rsid w:val="00E9320B"/>
    <w:rsid w:val="00E944B5"/>
    <w:rsid w:val="00E95D67"/>
    <w:rsid w:val="00EA1622"/>
    <w:rsid w:val="00EA3571"/>
    <w:rsid w:val="00EB44A3"/>
    <w:rsid w:val="00EB6A19"/>
    <w:rsid w:val="00EC5653"/>
    <w:rsid w:val="00EE1EB2"/>
    <w:rsid w:val="00EE5417"/>
    <w:rsid w:val="00EE68B2"/>
    <w:rsid w:val="00EF5F7F"/>
    <w:rsid w:val="00EF7A86"/>
    <w:rsid w:val="00F02281"/>
    <w:rsid w:val="00F02511"/>
    <w:rsid w:val="00F02BBB"/>
    <w:rsid w:val="00F03FE8"/>
    <w:rsid w:val="00F04585"/>
    <w:rsid w:val="00F210B9"/>
    <w:rsid w:val="00F23F65"/>
    <w:rsid w:val="00F35181"/>
    <w:rsid w:val="00F436BC"/>
    <w:rsid w:val="00F45001"/>
    <w:rsid w:val="00F52002"/>
    <w:rsid w:val="00F54ADF"/>
    <w:rsid w:val="00F57039"/>
    <w:rsid w:val="00F7706D"/>
    <w:rsid w:val="00F822B4"/>
    <w:rsid w:val="00F837A8"/>
    <w:rsid w:val="00F86245"/>
    <w:rsid w:val="00F86F52"/>
    <w:rsid w:val="00F90A33"/>
    <w:rsid w:val="00FA276F"/>
    <w:rsid w:val="00FA5345"/>
    <w:rsid w:val="00FC2A13"/>
    <w:rsid w:val="00FC3FC5"/>
    <w:rsid w:val="00FC4E8D"/>
    <w:rsid w:val="00FD0E3D"/>
    <w:rsid w:val="00FD2FED"/>
    <w:rsid w:val="00FE21AC"/>
    <w:rsid w:val="00FE262A"/>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 w:id="21375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easury.gov.au/coronavirus/sme-guarantee-schem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coronavirus/sme-guarantee-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404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48</Value>
      <Value>47</Value>
      <Value>7</Value>
      <Value>58</Value>
      <Value>57</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Example of an Explanatory Statement for revoke and replace reporting standard.  Annotated</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VQVUQ2WUPSKA-1683173573-57062</_dlc_DocId>
    <_dlc_DocIdUrl xmlns="814d62cb-2db6-4c25-ab62-b9075facbc11">
      <Url>https://im/teams/DA/_layouts/15/DocIdRedir.aspx?ID=VQVUQ2WUPSKA-1683173573-57062</Url>
      <Description>VQVUQ2WUPSKA-1683173573-57062</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357B-2986-4B4E-B061-228817E00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3.xml><?xml version="1.0" encoding="utf-8"?>
<ds:datastoreItem xmlns:ds="http://schemas.openxmlformats.org/officeDocument/2006/customXml" ds:itemID="{3B74E0B5-57C2-4781-900D-667EC70EB54A}">
  <ds:schemaRefs>
    <ds:schemaRef ds:uri="http://purl.org/dc/elements/1.1/"/>
    <ds:schemaRef ds:uri="http://schemas.microsoft.com/office/2006/metadata/properties"/>
    <ds:schemaRef ds:uri="814d62cb-2db6-4c25-ab62-b9075facbc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6.xml><?xml version="1.0" encoding="utf-8"?>
<ds:datastoreItem xmlns:ds="http://schemas.openxmlformats.org/officeDocument/2006/customXml" ds:itemID="{50056421-D02C-49B0-869A-AF69673F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reporting standard</dc:title>
  <dc:creator>Sullivan, David</dc:creator>
  <cp:keywords>[SEC=UNCLASSIFIED]</cp:keywords>
  <cp:lastModifiedBy>Say, Tiffany</cp:lastModifiedBy>
  <cp:revision>3</cp:revision>
  <cp:lastPrinted>2019-06-12T04:53:00Z</cp:lastPrinted>
  <dcterms:created xsi:type="dcterms:W3CDTF">2020-04-15T03:56:00Z</dcterms:created>
  <dcterms:modified xsi:type="dcterms:W3CDTF">2020-04-16T02:30:00Z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262B8B7421A6C1091452C7FD8697657C762181BD</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3B0CCB2A9D064597B35F04C89ED4A370</vt:lpwstr>
  </property>
  <property fmtid="{D5CDD505-2E9C-101B-9397-08002B2CF9AE}" pid="16" name="PM_OriginationTimeStamp">
    <vt:lpwstr>2020-04-14T07:09:52Z</vt:lpwstr>
  </property>
  <property fmtid="{D5CDD505-2E9C-101B-9397-08002B2CF9AE}" pid="17" name="PM_Hash_Version">
    <vt:lpwstr>2018.0</vt:lpwstr>
  </property>
  <property fmtid="{D5CDD505-2E9C-101B-9397-08002B2CF9AE}" pid="18" name="PM_Hash_Salt_Prev">
    <vt:lpwstr>597CD073E93231EE0767343EDAC6CB6C</vt:lpwstr>
  </property>
  <property fmtid="{D5CDD505-2E9C-101B-9397-08002B2CF9AE}" pid="19" name="PM_Hash_Salt">
    <vt:lpwstr>D018DC977779A4631A15C7986880AC3B</vt:lpwstr>
  </property>
  <property fmtid="{D5CDD505-2E9C-101B-9397-08002B2CF9AE}" pid="20" name="PM_MinimumSecurityClassification">
    <vt:lpwstr/>
  </property>
  <property fmtid="{D5CDD505-2E9C-101B-9397-08002B2CF9AE}" pid="21" name="ContentTypeId">
    <vt:lpwstr>0x0101008CA7A4F8331B45C7B0D3158B4994D0CA0200BD2A692CFD66A941B2B82EF45B0E040E</vt:lpwstr>
  </property>
  <property fmtid="{D5CDD505-2E9C-101B-9397-08002B2CF9AE}" pid="22" name="APRAPeriod">
    <vt:lpwstr/>
  </property>
  <property fmtid="{D5CDD505-2E9C-101B-9397-08002B2CF9AE}" pid="23" name="APRACostCentre">
    <vt:lpwstr/>
  </property>
  <property fmtid="{D5CDD505-2E9C-101B-9397-08002B2CF9AE}" pid="24" name="APRAYear">
    <vt:lpwstr/>
  </property>
  <property fmtid="{D5CDD505-2E9C-101B-9397-08002B2CF9AE}" pid="25" name="APRAIndustry">
    <vt:lpwstr>7;#ADI|906b8d6f-8851-e311-9e2e-005056b54f10</vt:lpwstr>
  </property>
  <property fmtid="{D5CDD505-2E9C-101B-9397-08002B2CF9AE}" pid="26" name="APRAPRSG">
    <vt:lpwstr/>
  </property>
  <property fmtid="{D5CDD505-2E9C-101B-9397-08002B2CF9AE}" pid="27" name="_dlc_DocIdItemGuid">
    <vt:lpwstr>21ba9922-2524-4321-89b4-b8d785a3e265</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57;#Precedent|197f51c4-dc37-4f46-99ec-cabda449ee10;#58;#Legal instrument|71fd6ed3-d6d6-4975-ba99-bfe45802e734</vt:lpwstr>
  </property>
  <property fmtid="{D5CDD505-2E9C-101B-9397-08002B2CF9AE}" pid="32" name="APRAStatus">
    <vt:lpwstr>1;#Draft|0e1556d2-3fe8-443a-ada7-3620563b46b3</vt:lpwstr>
  </property>
  <property fmtid="{D5CDD505-2E9C-101B-9397-08002B2CF9AE}" pid="33" name="APRAActivity">
    <vt:lpwstr>47;#Data collection|9c208ec1-acb8-4005-ba1a-e7d4ed62ea16;#48;#Development|7276960b-cd04-4fd9-bbf6-f5b03d867772</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{ad6dddf9-383b-42a4-9cb2-33e024a97839}</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ActiveItemUniqueId">
    <vt:lpwstr>{21ba9922-2524-4321-89b4-b8d785a3e265}</vt:lpwstr>
  </property>
  <property fmtid="{D5CDD505-2E9C-101B-9397-08002B2CF9AE}" pid="43" name="RecordPoint_RecordNumberSubmitted">
    <vt:lpwstr>R0001063463</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_SecurityClassification_Prev">
    <vt:lpwstr>UNCLASSIFIED</vt:lpwstr>
  </property>
  <property fmtid="{D5CDD505-2E9C-101B-9397-08002B2CF9AE}" pid="48" name="PM_Qualifier_Prev">
    <vt:lpwstr/>
  </property>
  <property fmtid="{D5CDD505-2E9C-101B-9397-08002B2CF9AE}" pid="49" name="PM_Note">
    <vt:lpwstr/>
  </property>
  <property fmtid="{D5CDD505-2E9C-101B-9397-08002B2CF9AE}" pid="50" name="PM_Markers">
    <vt:lpwstr/>
  </property>
  <property fmtid="{D5CDD505-2E9C-101B-9397-08002B2CF9AE}" pid="51" name="RecordPoint_SubmissionCompleted">
    <vt:lpwstr>2020-04-15T17:42:02.3802905+10:00</vt:lpwstr>
  </property>
</Properties>
</file>