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D674D"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1DA0BBEF"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CE69F85A9BF042B0982DFF773C87CE67"/>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8C4EC1">
            <w:rPr>
              <w:sz w:val="24"/>
              <w:szCs w:val="24"/>
            </w:rPr>
            <w:t>Treasurer</w:t>
          </w:r>
        </w:sdtContent>
      </w:sdt>
    </w:p>
    <w:p w14:paraId="3A5673D3" w14:textId="77777777" w:rsidR="00F109D4" w:rsidRDefault="007F4EF6" w:rsidP="003C7907">
      <w:pPr>
        <w:spacing w:before="240" w:after="240"/>
        <w:jc w:val="center"/>
        <w:rPr>
          <w:i/>
        </w:rPr>
      </w:pPr>
      <w:r>
        <w:rPr>
          <w:i/>
        </w:rPr>
        <w:t>Foreign Acquisitions and Takeovers Act 1975</w:t>
      </w:r>
    </w:p>
    <w:p w14:paraId="21A641BE" w14:textId="240EBA1D" w:rsidR="00F109D4" w:rsidRPr="00503E44" w:rsidRDefault="000D0043" w:rsidP="00AA1689">
      <w:pPr>
        <w:tabs>
          <w:tab w:val="left" w:pos="1418"/>
        </w:tabs>
        <w:spacing w:before="0" w:after="240"/>
        <w:jc w:val="center"/>
        <w:rPr>
          <w:i/>
        </w:rPr>
      </w:pPr>
      <w:r>
        <w:rPr>
          <w:i/>
        </w:rPr>
        <w:t>Foreign Acquisitions and Takeovers Amendment (Threshold Test) Regulations 2020</w:t>
      </w:r>
    </w:p>
    <w:p w14:paraId="3D5322A2" w14:textId="77777777" w:rsidR="00F91FD0" w:rsidRDefault="00F91FD0" w:rsidP="00647BB7">
      <w:pPr>
        <w:spacing w:before="240"/>
      </w:pPr>
      <w:r w:rsidRPr="00F91FD0">
        <w:t xml:space="preserve">The </w:t>
      </w:r>
      <w:r w:rsidRPr="00F91FD0">
        <w:rPr>
          <w:i/>
        </w:rPr>
        <w:t>Foreign Acquisitions and Takeovers Act 1975</w:t>
      </w:r>
      <w:r w:rsidRPr="00F91FD0">
        <w:t xml:space="preserve"> (the Act) establishes a regime for the notification, review and approval of foreign investment in Australia. Regulations made under the Act specify monetary thresholds above which investments may require notification to the Treasurer for approval.</w:t>
      </w:r>
    </w:p>
    <w:p w14:paraId="0234D292" w14:textId="733635A7" w:rsidR="00F109D4" w:rsidRDefault="00C55D29" w:rsidP="00647BB7">
      <w:pPr>
        <w:spacing w:before="240"/>
      </w:pPr>
      <w:r w:rsidRPr="00503E44">
        <w:t xml:space="preserve">Section </w:t>
      </w:r>
      <w:r w:rsidR="000D0043">
        <w:t>139</w:t>
      </w:r>
      <w:r w:rsidR="005E4BAC">
        <w:t xml:space="preserve"> </w:t>
      </w:r>
      <w:r w:rsidR="00F109D4" w:rsidRPr="00503E44">
        <w:t xml:space="preserve">of </w:t>
      </w:r>
      <w:r w:rsidR="00F91FD0">
        <w:t>the Act</w:t>
      </w:r>
      <w:r w:rsidR="00F109D4" w:rsidRPr="00503E44">
        <w:t xml:space="preserve"> provides that the Governor-General may make regulations prescribing matters required or permitted by the Act to be prescribed, or necessary or convenient to be prescribed for carrying out or giving effect to the Act.</w:t>
      </w:r>
    </w:p>
    <w:p w14:paraId="6BBC0D7D" w14:textId="422E5F97" w:rsidR="002A7730" w:rsidRDefault="00861383" w:rsidP="002A7730">
      <w:r w:rsidRPr="00F91FD0">
        <w:t xml:space="preserve">The </w:t>
      </w:r>
      <w:r w:rsidR="009B6993">
        <w:t xml:space="preserve">significant </w:t>
      </w:r>
      <w:r w:rsidRPr="00F91FD0">
        <w:t>impact of Coronavirus on the Australian economy has increased the risk of foreign investment in Australia occurring in ways that would be contrary to the national interest.</w:t>
      </w:r>
    </w:p>
    <w:p w14:paraId="5CDD234B" w14:textId="01AABAC7" w:rsidR="00DB425D" w:rsidRDefault="002A7730" w:rsidP="002A7730">
      <w:r w:rsidRPr="00261FCD">
        <w:t xml:space="preserve">The </w:t>
      </w:r>
      <w:r w:rsidRPr="00261FCD">
        <w:rPr>
          <w:i/>
        </w:rPr>
        <w:t>Foreign Acquisition and Takeovers Amendme</w:t>
      </w:r>
      <w:r>
        <w:rPr>
          <w:i/>
        </w:rPr>
        <w:t>nt (Threshold Test) Regulations </w:t>
      </w:r>
      <w:r w:rsidRPr="00261FCD">
        <w:rPr>
          <w:i/>
        </w:rPr>
        <w:t>2020</w:t>
      </w:r>
      <w:r>
        <w:t xml:space="preserve"> (the</w:t>
      </w:r>
      <w:r w:rsidRPr="00261FCD">
        <w:t xml:space="preserve"> Regulations</w:t>
      </w:r>
      <w:r>
        <w:t>)</w:t>
      </w:r>
      <w:r w:rsidRPr="00261FCD">
        <w:t xml:space="preserve"> </w:t>
      </w:r>
      <w:r>
        <w:t>a</w:t>
      </w:r>
      <w:r w:rsidR="007544E9">
        <w:t>ddress</w:t>
      </w:r>
      <w:r>
        <w:t xml:space="preserve"> this risk by </w:t>
      </w:r>
      <w:r w:rsidRPr="00F4088C">
        <w:t>amend</w:t>
      </w:r>
      <w:r>
        <w:t>ing</w:t>
      </w:r>
      <w:r w:rsidRPr="00F4088C">
        <w:t xml:space="preserve"> the monetary value thresholds for </w:t>
      </w:r>
      <w:r w:rsidR="003E22FF">
        <w:t xml:space="preserve">particular </w:t>
      </w:r>
      <w:r w:rsidRPr="00F4088C">
        <w:t xml:space="preserve">significant </w:t>
      </w:r>
      <w:r w:rsidR="00DF6E13">
        <w:t xml:space="preserve">actions </w:t>
      </w:r>
      <w:r w:rsidRPr="00F4088C">
        <w:t xml:space="preserve">and notifiable actions to nil. </w:t>
      </w:r>
    </w:p>
    <w:p w14:paraId="351A47E3" w14:textId="10E68B4E" w:rsidR="00861383" w:rsidRDefault="002A7730" w:rsidP="002A7730">
      <w:r w:rsidRPr="00F4088C">
        <w:t xml:space="preserve">This </w:t>
      </w:r>
      <w:r>
        <w:t xml:space="preserve">means </w:t>
      </w:r>
      <w:r w:rsidRPr="00F4088C">
        <w:t xml:space="preserve">a greater number of investments by foreign persons </w:t>
      </w:r>
      <w:r>
        <w:t xml:space="preserve">need to </w:t>
      </w:r>
      <w:r w:rsidRPr="00F4088C">
        <w:t xml:space="preserve">be notified </w:t>
      </w:r>
      <w:r>
        <w:t xml:space="preserve">to </w:t>
      </w:r>
      <w:r w:rsidRPr="00F4088C">
        <w:t>the Treasurer</w:t>
      </w:r>
      <w:r>
        <w:t xml:space="preserve">. </w:t>
      </w:r>
      <w:r w:rsidR="00DB425D">
        <w:t>By r</w:t>
      </w:r>
      <w:r w:rsidR="00861383" w:rsidRPr="00F91FD0">
        <w:t>eview</w:t>
      </w:r>
      <w:r w:rsidR="00DD1B28">
        <w:t>ing</w:t>
      </w:r>
      <w:r w:rsidR="00861383" w:rsidRPr="00F91FD0">
        <w:t xml:space="preserve"> more proposed investments</w:t>
      </w:r>
      <w:r w:rsidR="003D3D51">
        <w:t>,</w:t>
      </w:r>
      <w:r w:rsidR="00861383" w:rsidRPr="00F91FD0">
        <w:t xml:space="preserve"> the Treasurer </w:t>
      </w:r>
      <w:r w:rsidR="00854301">
        <w:t>is</w:t>
      </w:r>
      <w:r w:rsidR="00861383" w:rsidRPr="00F91FD0">
        <w:t xml:space="preserve"> able to impose conditions on those actions </w:t>
      </w:r>
      <w:r w:rsidR="00505041">
        <w:t xml:space="preserve">where conditions are considered necessary to ensure the action will not be contrary </w:t>
      </w:r>
      <w:r w:rsidR="00861383" w:rsidRPr="00F91FD0">
        <w:t>the national interest</w:t>
      </w:r>
      <w:r w:rsidR="00875C09">
        <w:t>.</w:t>
      </w:r>
      <w:r w:rsidR="00E501BA">
        <w:t xml:space="preserve"> </w:t>
      </w:r>
      <w:r w:rsidR="00875C09">
        <w:t>T</w:t>
      </w:r>
      <w:r w:rsidR="000979BD">
        <w:t>he </w:t>
      </w:r>
      <w:r w:rsidR="00505041">
        <w:t>Treasurer will</w:t>
      </w:r>
      <w:r w:rsidR="00861383" w:rsidRPr="00F91FD0">
        <w:t xml:space="preserve"> </w:t>
      </w:r>
      <w:r w:rsidR="003D3D51">
        <w:t xml:space="preserve">be able to </w:t>
      </w:r>
      <w:r w:rsidR="00861383" w:rsidRPr="00F91FD0">
        <w:t>not allow the proposed investment to proceed</w:t>
      </w:r>
      <w:r w:rsidR="00875C09">
        <w:t xml:space="preserve"> if they are deemed contrary to the national interest</w:t>
      </w:r>
      <w:r w:rsidR="00861383" w:rsidRPr="00F91FD0">
        <w:t>.</w:t>
      </w:r>
    </w:p>
    <w:p w14:paraId="11F2E8F1" w14:textId="3927D0FA" w:rsidR="00854301" w:rsidRDefault="00854301" w:rsidP="00854301">
      <w:r>
        <w:t xml:space="preserve">The Regulations </w:t>
      </w:r>
      <w:r w:rsidR="00261FCD" w:rsidRPr="00261FCD">
        <w:t>are necessary to safeguard the national interest as the Coronavirus puts intense pressure on the Australian economy and Australian businesses.</w:t>
      </w:r>
      <w:r w:rsidRPr="00854301">
        <w:t xml:space="preserve"> </w:t>
      </w:r>
    </w:p>
    <w:p w14:paraId="5CF50C23" w14:textId="5C69201B" w:rsidR="000979BD" w:rsidRDefault="00127D7C" w:rsidP="00647BB7">
      <w:pPr>
        <w:spacing w:before="240"/>
      </w:pPr>
      <w:r>
        <w:t>The Regulation</w:t>
      </w:r>
      <w:r w:rsidR="004F0D08">
        <w:t>s</w:t>
      </w:r>
      <w:r>
        <w:t xml:space="preserve"> apply to </w:t>
      </w:r>
      <w:r w:rsidR="00DD1B28">
        <w:t>agreements entered into on or after 10:30pm AEDT on 29 </w:t>
      </w:r>
      <w:r>
        <w:t xml:space="preserve">March 2020. The </w:t>
      </w:r>
      <w:r w:rsidR="00595A89">
        <w:t>R</w:t>
      </w:r>
      <w:r>
        <w:t xml:space="preserve">egulations are intended to be in place for the duration of the Coronavirus crisis. </w:t>
      </w:r>
    </w:p>
    <w:p w14:paraId="1785B6B0" w14:textId="094952AA" w:rsidR="0088467C" w:rsidRDefault="00F4088C" w:rsidP="00647BB7">
      <w:pPr>
        <w:spacing w:before="240"/>
      </w:pPr>
      <w:r w:rsidRPr="00F4088C">
        <w:t xml:space="preserve">Consultation could not take place prior to the urgent preparation of the Regulations. However, the setting of </w:t>
      </w:r>
      <w:r w:rsidR="00193CD7">
        <w:t>monetary</w:t>
      </w:r>
      <w:r w:rsidRPr="00F4088C">
        <w:t xml:space="preserve"> thresholds to nil, which is the only substantive effect of the Regulations, is expressly contemplated and authorised by paragraph 55(1)(a) of the Act.</w:t>
      </w:r>
    </w:p>
    <w:p w14:paraId="0EA2C159" w14:textId="3B254402"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2F0D02">
        <w:rPr>
          <w:u w:val="single"/>
        </w:rPr>
        <w:t>A</w:t>
      </w:r>
      <w:r w:rsidR="00F35628">
        <w:t>.</w:t>
      </w:r>
    </w:p>
    <w:p w14:paraId="14E02038"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7540B040" w14:textId="08FD91DB" w:rsidR="009143A0" w:rsidRPr="00647BB7" w:rsidRDefault="00F109D4" w:rsidP="00647BB7">
      <w:pPr>
        <w:spacing w:before="240"/>
        <w:rPr>
          <w:i/>
        </w:rPr>
      </w:pPr>
      <w:r w:rsidRPr="00503E44">
        <w:t xml:space="preserve">The Regulations commenced on </w:t>
      </w:r>
      <w:r w:rsidR="000979BD">
        <w:t>the day after it was</w:t>
      </w:r>
      <w:r w:rsidR="002F0D02">
        <w:t xml:space="preserve"> registered on the Federal Register of Legislation. </w:t>
      </w:r>
    </w:p>
    <w:p w14:paraId="1D659B3C" w14:textId="156B7706" w:rsidR="00EB2AEF" w:rsidRPr="00013390" w:rsidRDefault="00EB2AEF" w:rsidP="00647BB7">
      <w:pPr>
        <w:spacing w:before="240"/>
      </w:pPr>
      <w:r>
        <w:t xml:space="preserve">A statement of Compatibility with Human Rights is at </w:t>
      </w:r>
      <w:r w:rsidRPr="000B39A1">
        <w:rPr>
          <w:u w:val="single"/>
        </w:rPr>
        <w:t xml:space="preserve">Attachment </w:t>
      </w:r>
      <w:r w:rsidR="002F0D02">
        <w:rPr>
          <w:u w:val="single"/>
        </w:rPr>
        <w:t>B</w:t>
      </w:r>
      <w:r w:rsidR="000B39A1" w:rsidRPr="000B39A1">
        <w:t>.</w:t>
      </w:r>
    </w:p>
    <w:p w14:paraId="5E011374" w14:textId="3AD3430F" w:rsidR="00EA4DD8" w:rsidRDefault="00EA4DD8" w:rsidP="00EA4DD8">
      <w:pPr>
        <w:pageBreakBefore/>
        <w:spacing w:before="240"/>
        <w:jc w:val="right"/>
        <w:rPr>
          <w:b/>
          <w:u w:val="single"/>
        </w:rPr>
      </w:pPr>
      <w:r w:rsidRPr="007B335E">
        <w:rPr>
          <w:b/>
          <w:u w:val="single"/>
        </w:rPr>
        <w:lastRenderedPageBreak/>
        <w:t xml:space="preserve">ATTACHMENT </w:t>
      </w:r>
      <w:r w:rsidR="00DB425D">
        <w:rPr>
          <w:b/>
          <w:u w:val="single"/>
        </w:rPr>
        <w:t>A</w:t>
      </w:r>
    </w:p>
    <w:p w14:paraId="6A542DFE" w14:textId="5B51F2B1" w:rsidR="00EA4DD8" w:rsidRDefault="00EA4DD8" w:rsidP="00EA4DD8">
      <w:pPr>
        <w:spacing w:before="240"/>
        <w:ind w:right="91"/>
        <w:rPr>
          <w:b/>
          <w:bCs/>
          <w:szCs w:val="24"/>
          <w:u w:val="single"/>
        </w:rPr>
      </w:pPr>
      <w:r>
        <w:rPr>
          <w:b/>
          <w:bCs/>
          <w:u w:val="single"/>
        </w:rPr>
        <w:t xml:space="preserve">Details of the </w:t>
      </w:r>
      <w:r w:rsidR="00592136" w:rsidRPr="00592136">
        <w:rPr>
          <w:b/>
          <w:i/>
          <w:u w:val="single"/>
        </w:rPr>
        <w:t>Foreign Acquisitions and Takeovers Amendment (Threshold Test) Regulations 2020</w:t>
      </w:r>
      <w:r>
        <w:rPr>
          <w:b/>
          <w:bCs/>
          <w:u w:val="single"/>
        </w:rPr>
        <w:t xml:space="preserve"> </w:t>
      </w:r>
    </w:p>
    <w:p w14:paraId="3A7555D8"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426B20E0" w14:textId="78DB8E68" w:rsidR="00EA4DD8" w:rsidRDefault="00EA4DD8" w:rsidP="00EA4DD8">
      <w:pPr>
        <w:spacing w:before="240"/>
      </w:pPr>
      <w:r>
        <w:t xml:space="preserve">This section provides that the name of the Regulations is the </w:t>
      </w:r>
      <w:r w:rsidR="006E3FDC">
        <w:rPr>
          <w:i/>
        </w:rPr>
        <w:t>Foreign Acquisitions and Takeovers Amendment (Threshold Test) Regulations 2020</w:t>
      </w:r>
      <w:r>
        <w:t xml:space="preserve"> (the Regulations).</w:t>
      </w:r>
    </w:p>
    <w:p w14:paraId="22D91050" w14:textId="77777777" w:rsidR="00EA4DD8" w:rsidRDefault="00EA4DD8" w:rsidP="00EA4DD8">
      <w:pPr>
        <w:spacing w:before="240"/>
        <w:ind w:right="91"/>
        <w:rPr>
          <w:u w:val="single"/>
        </w:rPr>
      </w:pPr>
      <w:r>
        <w:rPr>
          <w:u w:val="single"/>
        </w:rPr>
        <w:t>Section 2 – Commencement</w:t>
      </w:r>
    </w:p>
    <w:p w14:paraId="7C5385DB" w14:textId="4F23A041" w:rsidR="00EA4DD8" w:rsidRDefault="006E3FDC" w:rsidP="00EA4DD8">
      <w:pPr>
        <w:spacing w:before="240"/>
        <w:ind w:right="91"/>
      </w:pPr>
      <w:r>
        <w:t>T</w:t>
      </w:r>
      <w:r w:rsidR="00EA4DD8">
        <w:t xml:space="preserve">he Regulations commence </w:t>
      </w:r>
      <w:r w:rsidRPr="00592136">
        <w:t>the</w:t>
      </w:r>
      <w:r w:rsidR="00EA4DD8" w:rsidRPr="00592136">
        <w:t xml:space="preserve"> day after the instrument is registered on the </w:t>
      </w:r>
      <w:r w:rsidR="00EA4DD8">
        <w:t>Federal Register of Legislation.</w:t>
      </w:r>
    </w:p>
    <w:p w14:paraId="2B4316A0" w14:textId="77777777" w:rsidR="00EA4DD8" w:rsidRDefault="00EA4DD8" w:rsidP="00EA4DD8">
      <w:pPr>
        <w:spacing w:before="240"/>
        <w:ind w:right="91"/>
        <w:rPr>
          <w:u w:val="single"/>
        </w:rPr>
      </w:pPr>
      <w:r>
        <w:rPr>
          <w:u w:val="single"/>
        </w:rPr>
        <w:t>Section 3 – Authority</w:t>
      </w:r>
    </w:p>
    <w:p w14:paraId="47C7B98A" w14:textId="10DF141F" w:rsidR="00EA4DD8" w:rsidRDefault="00EA4DD8" w:rsidP="00EA4DD8">
      <w:pPr>
        <w:spacing w:before="240"/>
        <w:ind w:right="91"/>
      </w:pPr>
      <w:r>
        <w:t xml:space="preserve">The Regulations are made under the </w:t>
      </w:r>
      <w:r w:rsidR="000979BD">
        <w:t>Act</w:t>
      </w:r>
      <w:r>
        <w:t>.</w:t>
      </w:r>
    </w:p>
    <w:p w14:paraId="5425AC90" w14:textId="7E0E4220" w:rsidR="00EA4DD8" w:rsidRDefault="00EA4DD8" w:rsidP="00EA4DD8">
      <w:pPr>
        <w:spacing w:before="240"/>
        <w:ind w:right="91"/>
        <w:rPr>
          <w:u w:val="single"/>
        </w:rPr>
      </w:pPr>
      <w:r>
        <w:rPr>
          <w:u w:val="single"/>
        </w:rPr>
        <w:t>Section 4 – Schedule</w:t>
      </w:r>
    </w:p>
    <w:p w14:paraId="592FF5D7" w14:textId="77777777" w:rsidR="003F516A" w:rsidRDefault="00EA4DD8" w:rsidP="00EA4DD8">
      <w:pPr>
        <w:spacing w:before="240" w:after="200"/>
        <w:ind w:right="91"/>
      </w:pPr>
      <w:r>
        <w:t>This section provides that each instrument th</w:t>
      </w:r>
      <w:r w:rsidR="00E20155">
        <w:t>at is specified in the Schedule</w:t>
      </w:r>
      <w:r w:rsidR="00F35628">
        <w:t xml:space="preserve"> to the</w:t>
      </w:r>
      <w:r>
        <w:t xml:space="preserve"> </w:t>
      </w:r>
      <w:r w:rsidR="00F35628">
        <w:t>Regulations</w:t>
      </w:r>
      <w:r>
        <w:t xml:space="preserve"> </w:t>
      </w:r>
      <w:r w:rsidR="00E20155">
        <w:t xml:space="preserve">is </w:t>
      </w:r>
      <w:r>
        <w:t>amended or repealed as set out in the a</w:t>
      </w:r>
      <w:r w:rsidR="00E20155">
        <w:t>pplicable items in the Schedule</w:t>
      </w:r>
      <w:r>
        <w:t>, and</w:t>
      </w:r>
      <w:r w:rsidR="00E20155">
        <w:t xml:space="preserve"> any other item in the Schedule</w:t>
      </w:r>
      <w:r>
        <w:t xml:space="preserve"> to this instrument has effect according to its terms.</w:t>
      </w:r>
      <w:r w:rsidR="00F35628">
        <w:t xml:space="preserve"> </w:t>
      </w:r>
    </w:p>
    <w:p w14:paraId="4459EA74" w14:textId="3F940183" w:rsidR="00EA4DD8" w:rsidRDefault="00F35628" w:rsidP="00EA4DD8">
      <w:pPr>
        <w:spacing w:before="240" w:after="200"/>
        <w:ind w:right="91"/>
        <w:rPr>
          <w:u w:val="single"/>
        </w:rPr>
      </w:pPr>
      <w:r>
        <w:t xml:space="preserve">Schedule 1 </w:t>
      </w:r>
      <w:r w:rsidR="003F516A">
        <w:t>set</w:t>
      </w:r>
      <w:r w:rsidR="00E6798E" w:rsidRPr="00B53309">
        <w:t>s</w:t>
      </w:r>
      <w:r w:rsidR="003F516A">
        <w:t xml:space="preserve"> out</w:t>
      </w:r>
      <w:r>
        <w:t xml:space="preserve"> amendments to the </w:t>
      </w:r>
      <w:r w:rsidRPr="00F35628">
        <w:rPr>
          <w:i/>
        </w:rPr>
        <w:t>Foreign Acquisitions and Takeovers Regulation 2015</w:t>
      </w:r>
      <w:r>
        <w:t xml:space="preserve"> (the Principal Regulations).</w:t>
      </w:r>
    </w:p>
    <w:p w14:paraId="117ED810" w14:textId="36703435" w:rsidR="00EA4DD8" w:rsidRPr="00592136" w:rsidRDefault="00EA4DD8" w:rsidP="00592136">
      <w:pPr>
        <w:spacing w:after="0"/>
        <w:ind w:right="91"/>
      </w:pPr>
      <w:r>
        <w:rPr>
          <w:u w:val="single"/>
        </w:rPr>
        <w:t xml:space="preserve">Schedule 1 – Amendments </w:t>
      </w:r>
    </w:p>
    <w:p w14:paraId="53029BD2" w14:textId="2E8968FB" w:rsidR="003F516A" w:rsidRDefault="003F516A" w:rsidP="00592136">
      <w:pPr>
        <w:spacing w:after="0"/>
        <w:ind w:right="91"/>
        <w:rPr>
          <w:b/>
        </w:rPr>
      </w:pPr>
      <w:r>
        <w:rPr>
          <w:b/>
        </w:rPr>
        <w:t xml:space="preserve">Item 1 – Section 5 </w:t>
      </w:r>
    </w:p>
    <w:p w14:paraId="4A4280D6" w14:textId="10C1BCAA" w:rsidR="003F516A" w:rsidRPr="003F516A" w:rsidRDefault="003F516A" w:rsidP="00592136">
      <w:pPr>
        <w:spacing w:after="0"/>
        <w:ind w:right="91"/>
      </w:pPr>
      <w:r>
        <w:t>Item 1 amends s</w:t>
      </w:r>
      <w:r w:rsidRPr="003F516A">
        <w:t xml:space="preserve">ection </w:t>
      </w:r>
      <w:r>
        <w:t xml:space="preserve">5 of the Principal Regulations to repeal two definitions which are no longer required because of the amendments to the monetary thresholds. The two definitions which are repealed are </w:t>
      </w:r>
      <w:r w:rsidRPr="003F516A">
        <w:rPr>
          <w:b/>
        </w:rPr>
        <w:t>existing value</w:t>
      </w:r>
      <w:r>
        <w:t xml:space="preserve"> and </w:t>
      </w:r>
      <w:r w:rsidR="000979BD">
        <w:rPr>
          <w:b/>
        </w:rPr>
        <w:t>gross domestic product</w:t>
      </w:r>
      <w:r w:rsidRPr="003F516A">
        <w:rPr>
          <w:b/>
        </w:rPr>
        <w:t xml:space="preserve"> implicit price deflator value</w:t>
      </w:r>
      <w:r>
        <w:t xml:space="preserve">.  </w:t>
      </w:r>
    </w:p>
    <w:p w14:paraId="49F5F868" w14:textId="0414937C" w:rsidR="00592136" w:rsidRPr="00592136" w:rsidRDefault="003F516A" w:rsidP="00592136">
      <w:pPr>
        <w:spacing w:after="0"/>
        <w:ind w:right="91"/>
        <w:rPr>
          <w:b/>
        </w:rPr>
      </w:pPr>
      <w:r>
        <w:rPr>
          <w:b/>
        </w:rPr>
        <w:t>Item 2</w:t>
      </w:r>
      <w:r w:rsidR="00592136" w:rsidRPr="00592136">
        <w:rPr>
          <w:b/>
        </w:rPr>
        <w:t xml:space="preserve"> – Repeal of Subsection 38(5)</w:t>
      </w:r>
    </w:p>
    <w:p w14:paraId="7C477E4F" w14:textId="74652944" w:rsidR="00592136" w:rsidRPr="00592136" w:rsidRDefault="003F516A" w:rsidP="00592136">
      <w:pPr>
        <w:spacing w:after="0"/>
        <w:ind w:right="91"/>
      </w:pPr>
      <w:r>
        <w:t xml:space="preserve">Item 2 </w:t>
      </w:r>
      <w:r w:rsidR="001C7A66">
        <w:t>repeals</w:t>
      </w:r>
      <w:r>
        <w:t xml:space="preserve"> s</w:t>
      </w:r>
      <w:r w:rsidR="00592136" w:rsidRPr="00592136">
        <w:t>ubsection 38(5) of the Principal Regulations</w:t>
      </w:r>
      <w:r w:rsidR="001C7A66">
        <w:t xml:space="preserve">. Subsection 38(5) </w:t>
      </w:r>
      <w:r w:rsidR="00592136" w:rsidRPr="00592136">
        <w:t xml:space="preserve">excluded certain acquisitions of interests in residential land used for residential care, retirement villages, or particular student accommodation from the application of the Act. However, this subsection would have </w:t>
      </w:r>
      <w:r w:rsidR="000751EC">
        <w:t xml:space="preserve">had </w:t>
      </w:r>
      <w:r w:rsidR="001C7A66">
        <w:t xml:space="preserve">limited effect after item 4 </w:t>
      </w:r>
      <w:r w:rsidR="00592136" w:rsidRPr="00592136">
        <w:t>commenced</w:t>
      </w:r>
      <w:r w:rsidR="001C7A66">
        <w:t xml:space="preserve"> </w:t>
      </w:r>
      <w:r w:rsidR="00592136" w:rsidRPr="00592136">
        <w:t xml:space="preserve">and is </w:t>
      </w:r>
      <w:r w:rsidR="000751EC">
        <w:t>repealed</w:t>
      </w:r>
      <w:r w:rsidR="00592136" w:rsidRPr="00592136">
        <w:t>.</w:t>
      </w:r>
    </w:p>
    <w:p w14:paraId="5DC58885" w14:textId="643630E1" w:rsidR="00592136" w:rsidRPr="00592136" w:rsidRDefault="001C7A66" w:rsidP="00592136">
      <w:pPr>
        <w:spacing w:after="0"/>
        <w:ind w:right="91"/>
        <w:rPr>
          <w:b/>
        </w:rPr>
      </w:pPr>
      <w:r>
        <w:rPr>
          <w:b/>
        </w:rPr>
        <w:t>Item 3</w:t>
      </w:r>
      <w:r w:rsidR="00592136" w:rsidRPr="00592136">
        <w:rPr>
          <w:b/>
        </w:rPr>
        <w:t xml:space="preserve"> – Repeal of Subsections 40(2) and (2A)</w:t>
      </w:r>
    </w:p>
    <w:p w14:paraId="06B04065" w14:textId="3044BEE9" w:rsidR="001C7A66" w:rsidRDefault="001C7A66" w:rsidP="00592136">
      <w:pPr>
        <w:spacing w:after="0"/>
        <w:ind w:right="91"/>
      </w:pPr>
      <w:r>
        <w:t>Item 3 repeals s</w:t>
      </w:r>
      <w:r w:rsidR="00592136" w:rsidRPr="00592136">
        <w:t>ubsection</w:t>
      </w:r>
      <w:r w:rsidR="000751EC">
        <w:t>s</w:t>
      </w:r>
      <w:r w:rsidR="00592136" w:rsidRPr="00592136">
        <w:t xml:space="preserve"> 40(2) and 40(2A) of the Principal Regulations</w:t>
      </w:r>
      <w:r>
        <w:t>. Subsections 40(2) and 40(2A)</w:t>
      </w:r>
      <w:r w:rsidR="00592136" w:rsidRPr="00592136">
        <w:t xml:space="preserve"> allowed higher monetary thresholds to apply to certain actions that would, but for those subsections, have been subject to lower monetary thresholds. </w:t>
      </w:r>
    </w:p>
    <w:p w14:paraId="7E133ED7" w14:textId="765C5AE2" w:rsidR="00592136" w:rsidRDefault="001C7A66" w:rsidP="00592136">
      <w:pPr>
        <w:spacing w:after="0"/>
        <w:ind w:right="91"/>
      </w:pPr>
      <w:r>
        <w:t>As item 4</w:t>
      </w:r>
      <w:r w:rsidR="00592136" w:rsidRPr="00592136">
        <w:t xml:space="preserve"> of the Regulations lowers all monetary thresholds to nil, those subsections would have </w:t>
      </w:r>
      <w:r w:rsidR="000751EC">
        <w:t xml:space="preserve">had </w:t>
      </w:r>
      <w:r w:rsidR="00592136" w:rsidRPr="00592136">
        <w:t xml:space="preserve">no effect and are </w:t>
      </w:r>
      <w:r w:rsidR="000751EC">
        <w:t>repealed</w:t>
      </w:r>
      <w:r w:rsidR="00592136" w:rsidRPr="00592136">
        <w:t>.</w:t>
      </w:r>
    </w:p>
    <w:p w14:paraId="501797B9" w14:textId="203DD03A" w:rsidR="00222001" w:rsidRDefault="00222001" w:rsidP="00592136">
      <w:pPr>
        <w:spacing w:after="0"/>
        <w:ind w:right="91"/>
      </w:pPr>
    </w:p>
    <w:p w14:paraId="7E6A131D" w14:textId="77777777" w:rsidR="00222001" w:rsidRPr="00592136" w:rsidRDefault="00222001" w:rsidP="00592136">
      <w:pPr>
        <w:spacing w:after="0"/>
        <w:ind w:right="91"/>
      </w:pPr>
      <w:bookmarkStart w:id="0" w:name="_GoBack"/>
      <w:bookmarkEnd w:id="0"/>
    </w:p>
    <w:p w14:paraId="435EA6DB" w14:textId="78D2D44D" w:rsidR="00592136" w:rsidRPr="00592136" w:rsidRDefault="001C7A66" w:rsidP="00592136">
      <w:pPr>
        <w:spacing w:after="0"/>
        <w:ind w:right="91"/>
        <w:rPr>
          <w:b/>
        </w:rPr>
      </w:pPr>
      <w:r>
        <w:rPr>
          <w:b/>
        </w:rPr>
        <w:lastRenderedPageBreak/>
        <w:t>Item 4</w:t>
      </w:r>
      <w:r w:rsidR="00592136" w:rsidRPr="00592136">
        <w:rPr>
          <w:b/>
        </w:rPr>
        <w:t xml:space="preserve"> – Setting Thresholds to Nil</w:t>
      </w:r>
    </w:p>
    <w:p w14:paraId="2133F701" w14:textId="4291D7E3" w:rsidR="00592136" w:rsidRPr="00592136" w:rsidRDefault="000751EC" w:rsidP="00592136">
      <w:pPr>
        <w:spacing w:after="0"/>
        <w:ind w:right="91"/>
      </w:pPr>
      <w:r>
        <w:t>Part 4 set</w:t>
      </w:r>
      <w:r w:rsidR="001C7A66">
        <w:t>s</w:t>
      </w:r>
      <w:r w:rsidR="00592136" w:rsidRPr="00592136">
        <w:t xml:space="preserve"> the monetary thresholds which </w:t>
      </w:r>
      <w:r w:rsidR="00E31259">
        <w:t>a</w:t>
      </w:r>
      <w:r>
        <w:t>re</w:t>
      </w:r>
      <w:r w:rsidR="00592136" w:rsidRPr="00592136">
        <w:t xml:space="preserve"> a factor in determining when a proposed investment by a foreign person </w:t>
      </w:r>
      <w:r w:rsidR="001C7A66">
        <w:t>is</w:t>
      </w:r>
      <w:r w:rsidR="00592136" w:rsidRPr="00592136">
        <w:t xml:space="preserve"> required to be notified to the Treasurer. Generally, where the value of a proposed investment is above this monetary threshold, a foreign person must not take the action without first notifying the Treasurer.</w:t>
      </w:r>
    </w:p>
    <w:p w14:paraId="3420A3FB" w14:textId="77777777" w:rsidR="00E9374E" w:rsidRDefault="00E9374E" w:rsidP="00E9374E">
      <w:pPr>
        <w:spacing w:after="0"/>
        <w:ind w:right="91"/>
      </w:pPr>
      <w:r>
        <w:t>Item 4</w:t>
      </w:r>
      <w:r w:rsidRPr="00592136">
        <w:t xml:space="preserve"> repeals Part 4 of the Pr</w:t>
      </w:r>
      <w:r>
        <w:t xml:space="preserve">incipal Regulations and inserts a new Part 4. </w:t>
      </w:r>
    </w:p>
    <w:p w14:paraId="619793DD" w14:textId="1BAFF169" w:rsidR="00592136" w:rsidRPr="00592136" w:rsidRDefault="00E9374E" w:rsidP="00592136">
      <w:pPr>
        <w:spacing w:after="0"/>
        <w:ind w:right="91"/>
      </w:pPr>
      <w:r>
        <w:t xml:space="preserve">The </w:t>
      </w:r>
      <w:r w:rsidR="00592136" w:rsidRPr="00592136">
        <w:t xml:space="preserve">new Part 4 </w:t>
      </w:r>
      <w:r w:rsidR="00B939AC">
        <w:t>of</w:t>
      </w:r>
      <w:r w:rsidR="00B939AC" w:rsidRPr="00592136">
        <w:t xml:space="preserve"> </w:t>
      </w:r>
      <w:r w:rsidR="00592136" w:rsidRPr="00592136">
        <w:t xml:space="preserve">the Principal Regulations </w:t>
      </w:r>
      <w:r w:rsidR="00D449CD">
        <w:t>specif</w:t>
      </w:r>
      <w:r w:rsidR="00B939AC">
        <w:t>ies</w:t>
      </w:r>
      <w:r w:rsidR="00592136" w:rsidRPr="00592136">
        <w:t xml:space="preserve"> a nil monetary threshold for all relevant acquisitions and investments. Part 4 specifies a nil threshold for actions taken in relation to entities, businesses, and agricultural land; and prescribes all kinds of land other than agricultural land as land without a threshold value. </w:t>
      </w:r>
    </w:p>
    <w:p w14:paraId="0F106F76" w14:textId="6C02C307" w:rsidR="00592136" w:rsidRDefault="000751EC" w:rsidP="00592136">
      <w:pPr>
        <w:spacing w:after="0"/>
        <w:ind w:right="91"/>
      </w:pPr>
      <w:r>
        <w:t>The nil threshold</w:t>
      </w:r>
      <w:r w:rsidR="00592136" w:rsidRPr="00592136">
        <w:t xml:space="preserve"> means that a greater number of proposed foreign investments into Australia wi</w:t>
      </w:r>
      <w:r>
        <w:t xml:space="preserve">ll require approval and so the </w:t>
      </w:r>
      <w:r w:rsidR="00592136" w:rsidRPr="00592136">
        <w:t>Treasurer will have oversight over a greater number of proposed foreign investments.</w:t>
      </w:r>
    </w:p>
    <w:p w14:paraId="4100C819" w14:textId="77777777" w:rsidR="000979BD" w:rsidRPr="00592136" w:rsidRDefault="000979BD" w:rsidP="00592136">
      <w:pPr>
        <w:spacing w:after="0"/>
        <w:ind w:right="91"/>
      </w:pPr>
    </w:p>
    <w:p w14:paraId="0490C41C" w14:textId="53AF82F9" w:rsidR="00592136" w:rsidRPr="00592136" w:rsidRDefault="00D449CD" w:rsidP="00592136">
      <w:pPr>
        <w:spacing w:after="0"/>
        <w:ind w:right="91"/>
        <w:rPr>
          <w:b/>
        </w:rPr>
      </w:pPr>
      <w:r>
        <w:rPr>
          <w:b/>
        </w:rPr>
        <w:t>Item 5</w:t>
      </w:r>
      <w:r w:rsidR="00592136" w:rsidRPr="00592136">
        <w:rPr>
          <w:b/>
        </w:rPr>
        <w:t xml:space="preserve"> – Application of the Regulations</w:t>
      </w:r>
    </w:p>
    <w:p w14:paraId="42DB30E7" w14:textId="2EEE5EA3" w:rsidR="00055110" w:rsidRDefault="00D449CD" w:rsidP="00592136">
      <w:pPr>
        <w:spacing w:after="0"/>
        <w:ind w:right="91"/>
      </w:pPr>
      <w:r>
        <w:t>Item 5</w:t>
      </w:r>
      <w:r w:rsidR="00592136" w:rsidRPr="00592136">
        <w:t xml:space="preserve"> provides that the Regulations apply to </w:t>
      </w:r>
      <w:r w:rsidR="00592136" w:rsidRPr="00D50C49">
        <w:t>actions taken</w:t>
      </w:r>
      <w:r w:rsidR="00592136" w:rsidRPr="00592136">
        <w:t xml:space="preserve"> after 10:30pm AEDT on 29 March 2020, regardless of when the Regulations are registered.</w:t>
      </w:r>
      <w:r>
        <w:t xml:space="preserve"> However, the amendments do not apply to an action taken under an </w:t>
      </w:r>
      <w:r w:rsidRPr="00B53309">
        <w:t xml:space="preserve">agreement which was </w:t>
      </w:r>
      <w:r w:rsidR="00B53309">
        <w:t>entered</w:t>
      </w:r>
      <w:r w:rsidR="00B53309" w:rsidRPr="00B53309">
        <w:t xml:space="preserve"> </w:t>
      </w:r>
      <w:r w:rsidR="00B939AC">
        <w:t xml:space="preserve">into </w:t>
      </w:r>
      <w:r w:rsidRPr="00B53309">
        <w:t>by the parties before the announcement</w:t>
      </w:r>
      <w:r w:rsidR="00B53309">
        <w:t xml:space="preserve"> (</w:t>
      </w:r>
      <w:r w:rsidR="009B6993">
        <w:t xml:space="preserve">disregarding the application of </w:t>
      </w:r>
      <w:r w:rsidR="00DD236E">
        <w:t>sub</w:t>
      </w:r>
      <w:r w:rsidR="009B6993">
        <w:t>section 15(5) of the Act</w:t>
      </w:r>
      <w:r w:rsidR="00B53309">
        <w:t>)</w:t>
      </w:r>
      <w:r w:rsidRPr="00B53309">
        <w:t xml:space="preserve">. This </w:t>
      </w:r>
      <w:r w:rsidR="009F1558">
        <w:t xml:space="preserve">ensures that parties </w:t>
      </w:r>
      <w:r w:rsidR="006E70E4">
        <w:t xml:space="preserve">to such agreements </w:t>
      </w:r>
      <w:r w:rsidR="009F1558">
        <w:t>are not unduly affected by the changes</w:t>
      </w:r>
      <w:r w:rsidR="00C82114">
        <w:t xml:space="preserve"> </w:t>
      </w:r>
      <w:r w:rsidR="000505D5">
        <w:t>made by the Regulations</w:t>
      </w:r>
      <w:r>
        <w:t xml:space="preserve">. </w:t>
      </w:r>
    </w:p>
    <w:p w14:paraId="58FD5030" w14:textId="01F0B288" w:rsidR="00055110" w:rsidRPr="00592136" w:rsidRDefault="00D449CD" w:rsidP="00592136">
      <w:pPr>
        <w:spacing w:after="0"/>
        <w:ind w:right="91"/>
      </w:pPr>
      <w:r>
        <w:t>This item also pr</w:t>
      </w:r>
      <w:r w:rsidR="00055110">
        <w:t xml:space="preserve">eserves the operation of any conditions in exemption certificates that were in force at the announcement time that referred to subsections 52(6), (6A) and (7) of the </w:t>
      </w:r>
      <w:r w:rsidR="00055110" w:rsidRPr="00FD58A1">
        <w:rPr>
          <w:i/>
        </w:rPr>
        <w:t>Foreign Acquis</w:t>
      </w:r>
      <w:r w:rsidR="00055110">
        <w:rPr>
          <w:i/>
        </w:rPr>
        <w:t>itions and Takeovers Regulation </w:t>
      </w:r>
      <w:r w:rsidR="00055110" w:rsidRPr="00FD58A1">
        <w:rPr>
          <w:i/>
        </w:rPr>
        <w:t>2015</w:t>
      </w:r>
      <w:r w:rsidR="007544E9">
        <w:rPr>
          <w:i/>
        </w:rPr>
        <w:t xml:space="preserve">, </w:t>
      </w:r>
      <w:r w:rsidR="007544E9">
        <w:t>as they existed at the time of the announcement</w:t>
      </w:r>
      <w:r w:rsidR="00055110" w:rsidRPr="00055110">
        <w:t>.</w:t>
      </w:r>
    </w:p>
    <w:p w14:paraId="35D58704" w14:textId="77777777" w:rsidR="00EA4DD8" w:rsidRDefault="00EA4DD8" w:rsidP="00EA4DD8">
      <w:pPr>
        <w:spacing w:before="0" w:after="0"/>
        <w:rPr>
          <w:b/>
          <w:kern w:val="28"/>
        </w:rPr>
      </w:pPr>
      <w:r>
        <w:br w:type="page"/>
      </w:r>
    </w:p>
    <w:p w14:paraId="5BA96ABC" w14:textId="192CCC72" w:rsidR="007A55A7" w:rsidRDefault="007A55A7" w:rsidP="00013390">
      <w:pPr>
        <w:pageBreakBefore/>
        <w:spacing w:before="240"/>
        <w:jc w:val="right"/>
        <w:rPr>
          <w:b/>
          <w:u w:val="single"/>
        </w:rPr>
      </w:pPr>
      <w:r w:rsidRPr="007B335E">
        <w:rPr>
          <w:b/>
          <w:u w:val="single"/>
        </w:rPr>
        <w:lastRenderedPageBreak/>
        <w:t xml:space="preserve">ATTACHMENT </w:t>
      </w:r>
      <w:r w:rsidR="00DB425D">
        <w:rPr>
          <w:b/>
          <w:u w:val="single"/>
        </w:rPr>
        <w:t>B</w:t>
      </w:r>
    </w:p>
    <w:p w14:paraId="0D7096AD" w14:textId="77777777" w:rsidR="00E4438C" w:rsidRPr="00462095" w:rsidRDefault="00E4438C" w:rsidP="003E1CE3">
      <w:pPr>
        <w:pStyle w:val="Heading3"/>
      </w:pPr>
      <w:r w:rsidRPr="00462095">
        <w:t>Statement of Compatibility with Human Rights</w:t>
      </w:r>
    </w:p>
    <w:p w14:paraId="33511F4C"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4A2A8625" w14:textId="32927956" w:rsidR="00E4438C" w:rsidRPr="00852E90" w:rsidRDefault="00852E90" w:rsidP="003E1CE3">
      <w:pPr>
        <w:pStyle w:val="Heading3"/>
        <w:jc w:val="center"/>
        <w:rPr>
          <w:i/>
        </w:rPr>
      </w:pPr>
      <w:r w:rsidRPr="00852E90">
        <w:rPr>
          <w:i/>
        </w:rPr>
        <w:t>Foreign Acquisition and Takeovers Amendment (Threshold Test) Regulations 2020</w:t>
      </w:r>
    </w:p>
    <w:p w14:paraId="5C69039E"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43BCBDDB" w14:textId="77777777" w:rsidR="00E4438C" w:rsidRPr="00647BB7" w:rsidRDefault="00E4438C" w:rsidP="003E1CE3">
      <w:pPr>
        <w:pStyle w:val="Heading3"/>
      </w:pPr>
      <w:r w:rsidRPr="00647BB7">
        <w:t>Overview of the Legislative Instrument</w:t>
      </w:r>
    </w:p>
    <w:p w14:paraId="3ACC6542" w14:textId="6E44E29D" w:rsidR="00E4438C" w:rsidRPr="00647BB7" w:rsidRDefault="006E3FDC" w:rsidP="00647BB7">
      <w:pPr>
        <w:spacing w:before="240"/>
      </w:pPr>
      <w:r w:rsidRPr="00F4088C">
        <w:t xml:space="preserve">The </w:t>
      </w:r>
      <w:r>
        <w:t>Regulations</w:t>
      </w:r>
      <w:r w:rsidRPr="00F4088C">
        <w:t xml:space="preserve"> amend the monetary value thresholds for </w:t>
      </w:r>
      <w:r w:rsidR="0027672D">
        <w:t xml:space="preserve">particular </w:t>
      </w:r>
      <w:r w:rsidRPr="00F4088C">
        <w:t>significant</w:t>
      </w:r>
      <w:r w:rsidR="00DF6E13">
        <w:t xml:space="preserve"> actions</w:t>
      </w:r>
      <w:r w:rsidRPr="00F4088C">
        <w:t xml:space="preserve"> and notifiable actions which are specified in the </w:t>
      </w:r>
      <w:r w:rsidRPr="00F4088C">
        <w:rPr>
          <w:i/>
        </w:rPr>
        <w:t>Foreign Acquis</w:t>
      </w:r>
      <w:r w:rsidR="007544E9">
        <w:rPr>
          <w:i/>
        </w:rPr>
        <w:t>itions and Takeovers Regulation </w:t>
      </w:r>
      <w:r w:rsidRPr="00F4088C">
        <w:rPr>
          <w:i/>
        </w:rPr>
        <w:t>2015</w:t>
      </w:r>
      <w:r w:rsidRPr="00F4088C">
        <w:t xml:space="preserve"> to nil. This </w:t>
      </w:r>
      <w:r>
        <w:t>requires</w:t>
      </w:r>
      <w:r w:rsidRPr="00F4088C">
        <w:t xml:space="preserve"> a greater number of investments by foreign persons in Australia to be notified to the Treasurer for review to ensure they are not contrary to the national interest.</w:t>
      </w:r>
    </w:p>
    <w:p w14:paraId="4E5561A1" w14:textId="77777777" w:rsidR="00E4438C" w:rsidRPr="00647BB7" w:rsidRDefault="00E4438C" w:rsidP="003E1CE3">
      <w:pPr>
        <w:pStyle w:val="Heading3"/>
      </w:pPr>
      <w:r w:rsidRPr="00647BB7">
        <w:t>Human rights implications</w:t>
      </w:r>
    </w:p>
    <w:p w14:paraId="3C8F305C" w14:textId="77777777" w:rsidR="00E4438C" w:rsidRPr="00647BB7" w:rsidRDefault="00E4438C" w:rsidP="00647BB7">
      <w:pPr>
        <w:spacing w:before="240"/>
      </w:pPr>
      <w:r w:rsidRPr="00647BB7">
        <w:t>This Legislative Instrument does not engage any of the applicable rights or freedoms.</w:t>
      </w:r>
    </w:p>
    <w:p w14:paraId="5C3F0F37" w14:textId="77777777" w:rsidR="00E4438C" w:rsidRPr="00647BB7" w:rsidRDefault="00E4438C" w:rsidP="003E1CE3">
      <w:pPr>
        <w:pStyle w:val="Heading3"/>
      </w:pPr>
      <w:r w:rsidRPr="00647BB7">
        <w:t>Conclusion</w:t>
      </w:r>
    </w:p>
    <w:p w14:paraId="7A3789FE" w14:textId="77777777" w:rsidR="00482B81" w:rsidRDefault="00E4438C" w:rsidP="00647BB7">
      <w:pPr>
        <w:spacing w:before="240"/>
      </w:pPr>
      <w:r w:rsidRPr="00647BB7">
        <w:t>This Legislative Instrument is compatible with human rights as it does not raise any human rights issues.</w:t>
      </w:r>
    </w:p>
    <w:p w14:paraId="3FB5CD62" w14:textId="77777777" w:rsidR="00482B81" w:rsidRPr="00EA4DD8" w:rsidRDefault="00482B81" w:rsidP="00EA4DD8">
      <w:pPr>
        <w:spacing w:before="0" w:after="0"/>
      </w:pPr>
    </w:p>
    <w:sectPr w:rsidR="00482B81" w:rsidRPr="00EA4DD8" w:rsidSect="00D70377">
      <w:footerReference w:type="default" r:id="rId13"/>
      <w:pgSz w:w="11906" w:h="16838"/>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21F8" w14:textId="77777777" w:rsidR="008A13C0" w:rsidRDefault="008A13C0" w:rsidP="00954679">
      <w:pPr>
        <w:spacing w:before="0" w:after="0"/>
      </w:pPr>
      <w:r>
        <w:separator/>
      </w:r>
    </w:p>
  </w:endnote>
  <w:endnote w:type="continuationSeparator" w:id="0">
    <w:p w14:paraId="5E754C65" w14:textId="77777777" w:rsidR="008A13C0" w:rsidRDefault="008A13C0" w:rsidP="00954679">
      <w:pPr>
        <w:spacing w:before="0" w:after="0"/>
      </w:pPr>
      <w:r>
        <w:continuationSeparator/>
      </w:r>
    </w:p>
  </w:endnote>
  <w:endnote w:type="continuationNotice" w:id="1">
    <w:p w14:paraId="17777693" w14:textId="77777777" w:rsidR="008A13C0" w:rsidRDefault="008A13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234A295" w14:textId="262D6932" w:rsidR="008A13C0" w:rsidRDefault="008A13C0"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222001">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222001">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FB6D3" w14:textId="77777777" w:rsidR="008A13C0" w:rsidRDefault="008A13C0" w:rsidP="00954679">
      <w:pPr>
        <w:spacing w:before="0" w:after="0"/>
      </w:pPr>
      <w:r>
        <w:separator/>
      </w:r>
    </w:p>
  </w:footnote>
  <w:footnote w:type="continuationSeparator" w:id="0">
    <w:p w14:paraId="24B7DB59" w14:textId="77777777" w:rsidR="008A13C0" w:rsidRDefault="008A13C0" w:rsidP="00954679">
      <w:pPr>
        <w:spacing w:before="0" w:after="0"/>
      </w:pPr>
      <w:r>
        <w:continuationSeparator/>
      </w:r>
    </w:p>
  </w:footnote>
  <w:footnote w:type="continuationNotice" w:id="1">
    <w:p w14:paraId="4B901A5D" w14:textId="77777777" w:rsidR="008A13C0" w:rsidRDefault="008A13C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C1"/>
    <w:rsid w:val="00004F89"/>
    <w:rsid w:val="00013390"/>
    <w:rsid w:val="00016EA2"/>
    <w:rsid w:val="00033BEA"/>
    <w:rsid w:val="000505D5"/>
    <w:rsid w:val="00055110"/>
    <w:rsid w:val="00064FDC"/>
    <w:rsid w:val="000751EC"/>
    <w:rsid w:val="00076178"/>
    <w:rsid w:val="00095211"/>
    <w:rsid w:val="000979BD"/>
    <w:rsid w:val="000B39A1"/>
    <w:rsid w:val="000C10DF"/>
    <w:rsid w:val="000C25F2"/>
    <w:rsid w:val="000C6935"/>
    <w:rsid w:val="000D0043"/>
    <w:rsid w:val="00102B3C"/>
    <w:rsid w:val="00113B45"/>
    <w:rsid w:val="00127D7C"/>
    <w:rsid w:val="00193CD7"/>
    <w:rsid w:val="001A09AF"/>
    <w:rsid w:val="001B02C1"/>
    <w:rsid w:val="001B3A36"/>
    <w:rsid w:val="001B7535"/>
    <w:rsid w:val="001C7A66"/>
    <w:rsid w:val="001E6A74"/>
    <w:rsid w:val="001F29E0"/>
    <w:rsid w:val="001F41D0"/>
    <w:rsid w:val="00220F16"/>
    <w:rsid w:val="00222001"/>
    <w:rsid w:val="00254C5B"/>
    <w:rsid w:val="00261FCD"/>
    <w:rsid w:val="002673E0"/>
    <w:rsid w:val="00273DF8"/>
    <w:rsid w:val="0027672D"/>
    <w:rsid w:val="00285079"/>
    <w:rsid w:val="0028687D"/>
    <w:rsid w:val="002A2187"/>
    <w:rsid w:val="002A7730"/>
    <w:rsid w:val="002A7E1F"/>
    <w:rsid w:val="002B0102"/>
    <w:rsid w:val="002B215D"/>
    <w:rsid w:val="002B742C"/>
    <w:rsid w:val="002C226C"/>
    <w:rsid w:val="002E0766"/>
    <w:rsid w:val="002F0D02"/>
    <w:rsid w:val="00302486"/>
    <w:rsid w:val="003041FA"/>
    <w:rsid w:val="003342CD"/>
    <w:rsid w:val="00335042"/>
    <w:rsid w:val="00362B70"/>
    <w:rsid w:val="00392204"/>
    <w:rsid w:val="00392BBA"/>
    <w:rsid w:val="003954FD"/>
    <w:rsid w:val="003C7907"/>
    <w:rsid w:val="003D3D51"/>
    <w:rsid w:val="003D60D7"/>
    <w:rsid w:val="003E1CE3"/>
    <w:rsid w:val="003E22FF"/>
    <w:rsid w:val="003F516A"/>
    <w:rsid w:val="00442587"/>
    <w:rsid w:val="00462095"/>
    <w:rsid w:val="00482B81"/>
    <w:rsid w:val="00482D4C"/>
    <w:rsid w:val="004B3C0F"/>
    <w:rsid w:val="004C05E4"/>
    <w:rsid w:val="004E39E1"/>
    <w:rsid w:val="004F0D08"/>
    <w:rsid w:val="004F56D0"/>
    <w:rsid w:val="00503E44"/>
    <w:rsid w:val="00505041"/>
    <w:rsid w:val="00515283"/>
    <w:rsid w:val="005303BD"/>
    <w:rsid w:val="00533926"/>
    <w:rsid w:val="00541894"/>
    <w:rsid w:val="0055675D"/>
    <w:rsid w:val="00557888"/>
    <w:rsid w:val="00562339"/>
    <w:rsid w:val="00563CD8"/>
    <w:rsid w:val="00566E8F"/>
    <w:rsid w:val="0057422E"/>
    <w:rsid w:val="005833BE"/>
    <w:rsid w:val="00592136"/>
    <w:rsid w:val="00595A89"/>
    <w:rsid w:val="005A0E77"/>
    <w:rsid w:val="005C5D8A"/>
    <w:rsid w:val="005D7D5A"/>
    <w:rsid w:val="005E4BAC"/>
    <w:rsid w:val="0060130D"/>
    <w:rsid w:val="0062436B"/>
    <w:rsid w:val="0064129F"/>
    <w:rsid w:val="00647BB7"/>
    <w:rsid w:val="00680297"/>
    <w:rsid w:val="006873CE"/>
    <w:rsid w:val="006A0786"/>
    <w:rsid w:val="006E3FDC"/>
    <w:rsid w:val="006E50AB"/>
    <w:rsid w:val="006E70E4"/>
    <w:rsid w:val="00710E94"/>
    <w:rsid w:val="00727D8A"/>
    <w:rsid w:val="00731FEA"/>
    <w:rsid w:val="00736F61"/>
    <w:rsid w:val="00742253"/>
    <w:rsid w:val="007544E9"/>
    <w:rsid w:val="007662C7"/>
    <w:rsid w:val="00776306"/>
    <w:rsid w:val="007A55A7"/>
    <w:rsid w:val="007A7CFB"/>
    <w:rsid w:val="007B1F10"/>
    <w:rsid w:val="007B335E"/>
    <w:rsid w:val="007B7983"/>
    <w:rsid w:val="007C22FD"/>
    <w:rsid w:val="007E018D"/>
    <w:rsid w:val="007F1B71"/>
    <w:rsid w:val="007F4EF6"/>
    <w:rsid w:val="00807E7D"/>
    <w:rsid w:val="0082285D"/>
    <w:rsid w:val="00831675"/>
    <w:rsid w:val="00831EAA"/>
    <w:rsid w:val="00852E90"/>
    <w:rsid w:val="00854301"/>
    <w:rsid w:val="00861383"/>
    <w:rsid w:val="00875C09"/>
    <w:rsid w:val="0088467C"/>
    <w:rsid w:val="00884CFC"/>
    <w:rsid w:val="00894579"/>
    <w:rsid w:val="0089707B"/>
    <w:rsid w:val="008A13A7"/>
    <w:rsid w:val="008A13C0"/>
    <w:rsid w:val="008A5B67"/>
    <w:rsid w:val="008C4EC1"/>
    <w:rsid w:val="008D16F7"/>
    <w:rsid w:val="008E1427"/>
    <w:rsid w:val="008E63F2"/>
    <w:rsid w:val="0091018F"/>
    <w:rsid w:val="009143A0"/>
    <w:rsid w:val="009225E0"/>
    <w:rsid w:val="00936902"/>
    <w:rsid w:val="00942B16"/>
    <w:rsid w:val="009506ED"/>
    <w:rsid w:val="00954679"/>
    <w:rsid w:val="0096770A"/>
    <w:rsid w:val="009839EB"/>
    <w:rsid w:val="009B6993"/>
    <w:rsid w:val="009B7375"/>
    <w:rsid w:val="009C5E0F"/>
    <w:rsid w:val="009C6A1E"/>
    <w:rsid w:val="009E2F86"/>
    <w:rsid w:val="009F1558"/>
    <w:rsid w:val="00A12209"/>
    <w:rsid w:val="00A17C29"/>
    <w:rsid w:val="00A36DF3"/>
    <w:rsid w:val="00A532DD"/>
    <w:rsid w:val="00A80BCF"/>
    <w:rsid w:val="00A8369C"/>
    <w:rsid w:val="00A85A70"/>
    <w:rsid w:val="00AA1689"/>
    <w:rsid w:val="00AA4FE3"/>
    <w:rsid w:val="00AA5770"/>
    <w:rsid w:val="00AC1D15"/>
    <w:rsid w:val="00B07B0C"/>
    <w:rsid w:val="00B25563"/>
    <w:rsid w:val="00B26D48"/>
    <w:rsid w:val="00B40676"/>
    <w:rsid w:val="00B42EE1"/>
    <w:rsid w:val="00B53309"/>
    <w:rsid w:val="00B8293D"/>
    <w:rsid w:val="00B84759"/>
    <w:rsid w:val="00B92478"/>
    <w:rsid w:val="00B939AC"/>
    <w:rsid w:val="00BA6188"/>
    <w:rsid w:val="00BD61A2"/>
    <w:rsid w:val="00BE484D"/>
    <w:rsid w:val="00BF6E55"/>
    <w:rsid w:val="00C11CA2"/>
    <w:rsid w:val="00C23111"/>
    <w:rsid w:val="00C26A13"/>
    <w:rsid w:val="00C37E05"/>
    <w:rsid w:val="00C44A48"/>
    <w:rsid w:val="00C46DEA"/>
    <w:rsid w:val="00C55D29"/>
    <w:rsid w:val="00C82114"/>
    <w:rsid w:val="00C865CE"/>
    <w:rsid w:val="00CA0206"/>
    <w:rsid w:val="00CA0BE9"/>
    <w:rsid w:val="00CA138D"/>
    <w:rsid w:val="00CA4CBF"/>
    <w:rsid w:val="00CC31E1"/>
    <w:rsid w:val="00CC5609"/>
    <w:rsid w:val="00CC7641"/>
    <w:rsid w:val="00D13794"/>
    <w:rsid w:val="00D24052"/>
    <w:rsid w:val="00D24386"/>
    <w:rsid w:val="00D31575"/>
    <w:rsid w:val="00D33812"/>
    <w:rsid w:val="00D34626"/>
    <w:rsid w:val="00D34FB4"/>
    <w:rsid w:val="00D4257A"/>
    <w:rsid w:val="00D449CD"/>
    <w:rsid w:val="00D50C49"/>
    <w:rsid w:val="00D57306"/>
    <w:rsid w:val="00D62665"/>
    <w:rsid w:val="00D70377"/>
    <w:rsid w:val="00D82E47"/>
    <w:rsid w:val="00D8715F"/>
    <w:rsid w:val="00DA3DC1"/>
    <w:rsid w:val="00DB425D"/>
    <w:rsid w:val="00DC0CDE"/>
    <w:rsid w:val="00DC4D72"/>
    <w:rsid w:val="00DD1B28"/>
    <w:rsid w:val="00DD236E"/>
    <w:rsid w:val="00DE1CDD"/>
    <w:rsid w:val="00DF6E13"/>
    <w:rsid w:val="00E05140"/>
    <w:rsid w:val="00E0624D"/>
    <w:rsid w:val="00E20155"/>
    <w:rsid w:val="00E22E86"/>
    <w:rsid w:val="00E31259"/>
    <w:rsid w:val="00E33F30"/>
    <w:rsid w:val="00E4438C"/>
    <w:rsid w:val="00E457F3"/>
    <w:rsid w:val="00E501BA"/>
    <w:rsid w:val="00E64B2F"/>
    <w:rsid w:val="00E6798E"/>
    <w:rsid w:val="00E9374E"/>
    <w:rsid w:val="00EA4DD8"/>
    <w:rsid w:val="00EB2AEF"/>
    <w:rsid w:val="00EB7E71"/>
    <w:rsid w:val="00EC652D"/>
    <w:rsid w:val="00F1057C"/>
    <w:rsid w:val="00F109D4"/>
    <w:rsid w:val="00F15EE9"/>
    <w:rsid w:val="00F23967"/>
    <w:rsid w:val="00F35628"/>
    <w:rsid w:val="00F4088C"/>
    <w:rsid w:val="00F47585"/>
    <w:rsid w:val="00F85B12"/>
    <w:rsid w:val="00F85E6F"/>
    <w:rsid w:val="00F91FD0"/>
    <w:rsid w:val="00FA283D"/>
    <w:rsid w:val="00FB7200"/>
    <w:rsid w:val="00FC5C7C"/>
    <w:rsid w:val="00FD4AE7"/>
    <w:rsid w:val="00FE04E4"/>
    <w:rsid w:val="00FE73F9"/>
    <w:rsid w:val="00FF1057"/>
    <w:rsid w:val="00FF2B15"/>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CE2FE"/>
  <w15:docId w15:val="{AB7FFA68-319B-4AA6-AB1A-416E842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9F85A9BF042B0982DFF773C87CE67"/>
        <w:category>
          <w:name w:val="General"/>
          <w:gallery w:val="placeholder"/>
        </w:category>
        <w:types>
          <w:type w:val="bbPlcHdr"/>
        </w:types>
        <w:behaviors>
          <w:behavior w:val="content"/>
        </w:behaviors>
        <w:guid w:val="{2379525B-C9D5-4545-9AE6-7EADD08A25CC}"/>
      </w:docPartPr>
      <w:docPartBody>
        <w:p w:rsidR="0015675A" w:rsidRDefault="0015675A">
          <w:pPr>
            <w:pStyle w:val="CE69F85A9BF042B0982DFF773C87CE67"/>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5A"/>
    <w:rsid w:val="0015675A"/>
    <w:rsid w:val="00776C71"/>
    <w:rsid w:val="00B62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69F85A9BF042B0982DFF773C87CE67">
    <w:name w:val="CE69F85A9BF042B0982DFF773C87CE67"/>
  </w:style>
  <w:style w:type="paragraph" w:customStyle="1" w:styleId="BBFC2A572C1148F28CE36BC2DA8A3E95">
    <w:name w:val="BBFC2A572C1148F28CE36BC2DA8A3E95"/>
  </w:style>
  <w:style w:type="paragraph" w:customStyle="1" w:styleId="D16B48BAD1E14B6FA0997BB0DF88BCA9">
    <w:name w:val="D16B48BAD1E14B6FA0997BB0DF88BCA9"/>
  </w:style>
  <w:style w:type="paragraph" w:customStyle="1" w:styleId="1F8D58897B1849F3971D48D2FFC301E2">
    <w:name w:val="1F8D58897B1849F3971D48D2FFC30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11</Value>
    </TaxCatchAll>
    <_dlc_DocId xmlns="0f563589-9cf9-4143-b1eb-fb0534803d38">2020RG-111-13928</_dlc_DocId>
    <_dlc_DocIdUrl xmlns="0f563589-9cf9-4143-b1eb-fb0534803d38">
      <Url>http://tweb/sites/rg/ldp/lmu/_layouts/15/DocIdRedir.aspx?ID=2020RG-111-13928</Url>
      <Description>2020RG-111-13928</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7946" ma:contentTypeDescription=" " ma:contentTypeScope="" ma:versionID="e9676923f263677d81911d66876c3de7">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F73D-EE5B-4A55-8F4E-CF10728DA4DD}">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7A078C12-CD0B-4B3F-9A9F-54C0E468933F}">
  <ds:schemaRefs>
    <ds:schemaRef ds:uri="http://schemas.microsoft.com/sharepoint/events"/>
  </ds:schemaRefs>
</ds:datastoreItem>
</file>

<file path=customXml/itemProps5.xml><?xml version="1.0" encoding="utf-8"?>
<ds:datastoreItem xmlns:ds="http://schemas.openxmlformats.org/officeDocument/2006/customXml" ds:itemID="{D4C8E006-2E48-4AEE-97D0-70CBDAD8B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C2C8BF-EF1B-4151-984C-36CF5720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4</Pages>
  <Words>1127</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Boiko, Alex</dc:creator>
  <cp:lastModifiedBy>Osborne, Lea</cp:lastModifiedBy>
  <cp:revision>3</cp:revision>
  <cp:lastPrinted>2019-02-17T23:23:00Z</cp:lastPrinted>
  <dcterms:created xsi:type="dcterms:W3CDTF">2020-04-14T01:01:00Z</dcterms:created>
  <dcterms:modified xsi:type="dcterms:W3CDTF">2020-04-14T01:04:00Z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11;#TSY RA-9237 - Destroy 5 years after action completed|9f1a030e-81bf-44c5-98eb-4d5d869a40d5</vt:lpwstr>
  </property>
  <property fmtid="{D5CDD505-2E9C-101B-9397-08002B2CF9AE}" pid="5" name="_dlc_DocIdItemGuid">
    <vt:lpwstr>fef0f9e3-a476-4d73-979a-83d2cb3a625f</vt:lpwstr>
  </property>
  <property fmtid="{D5CDD505-2E9C-101B-9397-08002B2CF9AE}" pid="6" name="RecordPoint_WorkflowType">
    <vt:lpwstr>ActiveSubmitStub</vt:lpwstr>
  </property>
  <property fmtid="{D5CDD505-2E9C-101B-9397-08002B2CF9AE}" pid="7" name="RecordPoint_ActiveItemUniqueId">
    <vt:lpwstr>{fef0f9e3-a476-4d73-979a-83d2cb3a625f}</vt:lpwstr>
  </property>
  <property fmtid="{D5CDD505-2E9C-101B-9397-08002B2CF9AE}" pid="8" name="RecordPoint_ActiveItemWebId">
    <vt:lpwstr>{2602612e-a30f-4de0-b9eb-e01e73dc8005}</vt:lpwstr>
  </property>
  <property fmtid="{D5CDD505-2E9C-101B-9397-08002B2CF9AE}" pid="9" name="RecordPoint_ActiveItemSiteId">
    <vt:lpwstr>{5b52b9a5-e5b2-4521-8814-a1e24ca2869d}</vt:lpwstr>
  </property>
  <property fmtid="{D5CDD505-2E9C-101B-9397-08002B2CF9AE}" pid="10" name="RecordPoint_ActiveItemListId">
    <vt:lpwstr>{1a010be9-83b3-4740-abb7-452f2d1120fe}</vt:lpwstr>
  </property>
  <property fmtid="{D5CDD505-2E9C-101B-9397-08002B2CF9AE}" pid="11" name="RecordPoint_RecordNumberSubmitted">
    <vt:lpwstr>R0002246499</vt:lpwstr>
  </property>
  <property fmtid="{D5CDD505-2E9C-101B-9397-08002B2CF9AE}" pid="12" name="RecordPoint_SubmissionCompleted">
    <vt:lpwstr>2020-04-02T07:05:33.0394757+11:00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