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A5" w:rsidRPr="000F58F5" w:rsidRDefault="00DF63A5" w:rsidP="00DF63A5">
      <w:pPr>
        <w:spacing w:after="238" w:line="259" w:lineRule="auto"/>
        <w:ind w:left="43"/>
        <w:jc w:val="center"/>
        <w:rPr>
          <w:b/>
          <w:szCs w:val="24"/>
        </w:rPr>
      </w:pPr>
      <w:r w:rsidRPr="00164C36">
        <w:rPr>
          <w:b/>
          <w:szCs w:val="24"/>
          <w:u w:val="single" w:color="000000"/>
        </w:rPr>
        <w:t>EXPLANATORY STATEMENT</w:t>
      </w:r>
    </w:p>
    <w:p w:rsidR="00DF63A5" w:rsidRPr="005E7409" w:rsidRDefault="00DF63A5" w:rsidP="00DF63A5">
      <w:pPr>
        <w:spacing w:after="281" w:line="259" w:lineRule="auto"/>
        <w:ind w:left="10"/>
        <w:jc w:val="center"/>
        <w:rPr>
          <w:i/>
          <w:szCs w:val="24"/>
        </w:rPr>
      </w:pPr>
      <w:r w:rsidRPr="005E7409">
        <w:rPr>
          <w:i/>
          <w:szCs w:val="24"/>
        </w:rPr>
        <w:t>Australian Education Act 2013</w:t>
      </w:r>
    </w:p>
    <w:p w:rsidR="00DF63A5" w:rsidRPr="004B746F" w:rsidRDefault="00DF63A5" w:rsidP="00DF63A5">
      <w:pPr>
        <w:spacing w:after="491" w:line="262" w:lineRule="auto"/>
        <w:ind w:left="1263" w:right="139" w:firstLine="9"/>
        <w:rPr>
          <w:i/>
          <w:szCs w:val="24"/>
        </w:rPr>
      </w:pPr>
      <w:r w:rsidRPr="005E7409">
        <w:rPr>
          <w:i/>
          <w:szCs w:val="24"/>
        </w:rPr>
        <w:t>Australian Education Amendment (20</w:t>
      </w:r>
      <w:r>
        <w:rPr>
          <w:i/>
          <w:szCs w:val="24"/>
        </w:rPr>
        <w:t>20 Measures No. 1) Regulations 2020</w:t>
      </w:r>
    </w:p>
    <w:p w:rsidR="00DF63A5" w:rsidRPr="00164C36" w:rsidRDefault="00DF63A5" w:rsidP="00C205C1">
      <w:pPr>
        <w:pStyle w:val="Heading2"/>
      </w:pPr>
      <w:r w:rsidRPr="00164C36">
        <w:t>Authority</w:t>
      </w:r>
    </w:p>
    <w:p w:rsidR="0028300E" w:rsidRDefault="0028300E" w:rsidP="00C205C1">
      <w:r>
        <w:t xml:space="preserve">The </w:t>
      </w:r>
      <w:r>
        <w:rPr>
          <w:i/>
        </w:rPr>
        <w:t>Australian Education Amendment (2020 Measures No. 1) Regulations 2020</w:t>
      </w:r>
      <w:r>
        <w:t xml:space="preserve"> (</w:t>
      </w:r>
      <w:r>
        <w:rPr>
          <w:b/>
        </w:rPr>
        <w:t>Amendment Regulations</w:t>
      </w:r>
      <w:r>
        <w:t>)</w:t>
      </w:r>
      <w:r w:rsidR="00A1755C">
        <w:t xml:space="preserve"> amend the </w:t>
      </w:r>
      <w:r w:rsidR="00A1755C">
        <w:rPr>
          <w:i/>
        </w:rPr>
        <w:t>Australian Education Regulation 2013</w:t>
      </w:r>
      <w:r w:rsidR="00A1755C">
        <w:t xml:space="preserve"> (</w:t>
      </w:r>
      <w:r w:rsidR="00A1755C">
        <w:rPr>
          <w:b/>
        </w:rPr>
        <w:t>Principal Regulation</w:t>
      </w:r>
      <w:r w:rsidR="00A1755C">
        <w:t xml:space="preserve">) and </w:t>
      </w:r>
      <w:r>
        <w:t xml:space="preserve">are made under subsection 130(1) of the </w:t>
      </w:r>
      <w:r>
        <w:rPr>
          <w:i/>
        </w:rPr>
        <w:t>Australian Education Act 2013</w:t>
      </w:r>
      <w:r>
        <w:t xml:space="preserve"> (</w:t>
      </w:r>
      <w:r>
        <w:rPr>
          <w:b/>
        </w:rPr>
        <w:t>the Act</w:t>
      </w:r>
      <w:r>
        <w:t xml:space="preserve">), construed in accordance with subsection 33(3) of the </w:t>
      </w:r>
      <w:r>
        <w:rPr>
          <w:i/>
        </w:rPr>
        <w:t>Acts Interpretation Act 1901</w:t>
      </w:r>
      <w:r>
        <w:t>.</w:t>
      </w:r>
    </w:p>
    <w:p w:rsidR="001B0E8A" w:rsidRPr="0028300E" w:rsidRDefault="001B0E8A" w:rsidP="00C205C1"/>
    <w:p w:rsidR="00DF63A5" w:rsidRPr="004B746F" w:rsidRDefault="00DF63A5" w:rsidP="00C205C1">
      <w:r w:rsidRPr="000F58F5">
        <w:t xml:space="preserve">Subsection 130(1) of </w:t>
      </w:r>
      <w:r w:rsidRPr="00C205C1">
        <w:t>the Act</w:t>
      </w:r>
      <w:r w:rsidRPr="0028300E">
        <w:t xml:space="preserve"> empowers </w:t>
      </w:r>
      <w:r w:rsidRPr="000F58F5">
        <w:t>the Governor-General to make regulations prescribing matters required or permitted by the Act to be prescribed by the regulations, or necessary or convenient to be prescribed</w:t>
      </w:r>
      <w:r>
        <w:t>,</w:t>
      </w:r>
      <w:r w:rsidRPr="000F58F5">
        <w:t xml:space="preserve"> for carrying out or giving effect to the Act.</w:t>
      </w:r>
      <w:r w:rsidR="0028300E">
        <w:t xml:space="preserve"> S</w:t>
      </w:r>
      <w:r w:rsidRPr="005E7409">
        <w:t xml:space="preserve">ubsection 33(3) </w:t>
      </w:r>
      <w:r w:rsidRPr="0028300E">
        <w:t xml:space="preserve">of the </w:t>
      </w:r>
      <w:r w:rsidRPr="00C205C1">
        <w:t>Acts Interpretation Act</w:t>
      </w:r>
      <w:r w:rsidR="0028300E">
        <w:t xml:space="preserve"> provides that</w:t>
      </w:r>
      <w:r w:rsidRPr="0028300E">
        <w:t>, where</w:t>
      </w:r>
      <w:r w:rsidRPr="004B746F">
        <w:t xml:space="preserv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DF63A5" w:rsidRPr="00164C36" w:rsidRDefault="00DF63A5" w:rsidP="00C205C1">
      <w:pPr>
        <w:pStyle w:val="Heading2"/>
      </w:pPr>
      <w:r w:rsidRPr="00164C36">
        <w:t>Legislative background</w:t>
      </w:r>
    </w:p>
    <w:p w:rsidR="008B1727" w:rsidRDefault="00B570F4" w:rsidP="00551999">
      <w:pPr>
        <w:rPr>
          <w:color w:val="auto"/>
          <w:lang w:val="en-US"/>
        </w:rPr>
      </w:pPr>
      <w:r>
        <w:t xml:space="preserve">The </w:t>
      </w:r>
      <w:r w:rsidR="00B354B6">
        <w:t>Act</w:t>
      </w:r>
      <w:r>
        <w:t xml:space="preserve"> </w:t>
      </w:r>
      <w:r>
        <w:rPr>
          <w:lang w:val="en-US"/>
        </w:rPr>
        <w:t>came into effect on 1 January 2014, and is the principal legislation for the provision of Australian Government funding for schooling.</w:t>
      </w:r>
      <w:r w:rsidR="0087282B">
        <w:rPr>
          <w:color w:val="auto"/>
          <w:lang w:val="en-US"/>
        </w:rPr>
        <w:t xml:space="preserve"> </w:t>
      </w:r>
      <w:r w:rsidR="008B1727">
        <w:rPr>
          <w:color w:val="auto"/>
          <w:lang w:val="en-US"/>
        </w:rPr>
        <w:t>Under section 33 of the Act, one of the factors in calculating the base amount of annual recurrent funding for a school is the school’s capacity to contribute percentage. The higher a school’s capacity to contribute percentage, the lower its base amount of annual recurrent funding, and</w:t>
      </w:r>
      <w:r w:rsidR="00450F23">
        <w:rPr>
          <w:color w:val="auto"/>
          <w:lang w:val="en-US"/>
        </w:rPr>
        <w:t xml:space="preserve"> conversely, the lower a school’s capacity to contribute percentage, the higher its base amount of annual recurrent funding</w:t>
      </w:r>
      <w:r w:rsidR="008B1727">
        <w:rPr>
          <w:color w:val="auto"/>
          <w:lang w:val="en-US"/>
        </w:rPr>
        <w:t>.</w:t>
      </w:r>
    </w:p>
    <w:p w:rsidR="001B0E8A" w:rsidRDefault="001B0E8A" w:rsidP="00551999">
      <w:pPr>
        <w:rPr>
          <w:color w:val="auto"/>
          <w:lang w:val="en-US"/>
        </w:rPr>
      </w:pPr>
    </w:p>
    <w:p w:rsidR="00450F23" w:rsidRDefault="008B1727" w:rsidP="00551999">
      <w:pPr>
        <w:rPr>
          <w:color w:val="auto"/>
          <w:lang w:val="en-US"/>
        </w:rPr>
      </w:pPr>
      <w:r>
        <w:rPr>
          <w:color w:val="auto"/>
          <w:lang w:val="en-US"/>
        </w:rPr>
        <w:t>In accordance with subsection 54(1) of the Act, the capacity to contribute percentage of government</w:t>
      </w:r>
      <w:r w:rsidR="00D748C7">
        <w:rPr>
          <w:color w:val="auto"/>
          <w:lang w:val="en-US"/>
        </w:rPr>
        <w:t xml:space="preserve">, special, special assistance, majority Aboriginal and Torres Strait Islander, and sole provider </w:t>
      </w:r>
      <w:r w:rsidR="009D385A">
        <w:rPr>
          <w:color w:val="auto"/>
          <w:lang w:val="en-US"/>
        </w:rPr>
        <w:t>non</w:t>
      </w:r>
      <w:r w:rsidR="009D385A">
        <w:rPr>
          <w:color w:val="auto"/>
          <w:lang w:val="en-US"/>
        </w:rPr>
        <w:noBreakHyphen/>
        <w:t xml:space="preserve">government </w:t>
      </w:r>
      <w:r>
        <w:rPr>
          <w:color w:val="auto"/>
          <w:lang w:val="en-US"/>
        </w:rPr>
        <w:t>schools is zero. For most non</w:t>
      </w:r>
      <w:r w:rsidR="00D76A23">
        <w:rPr>
          <w:color w:val="auto"/>
          <w:lang w:val="en-US"/>
        </w:rPr>
        <w:noBreakHyphen/>
      </w:r>
      <w:r>
        <w:rPr>
          <w:color w:val="auto"/>
          <w:lang w:val="en-US"/>
        </w:rPr>
        <w:t xml:space="preserve">government schools, however, </w:t>
      </w:r>
      <w:r w:rsidR="00CD61D7">
        <w:rPr>
          <w:color w:val="auto"/>
          <w:lang w:val="en-US"/>
        </w:rPr>
        <w:t xml:space="preserve">the table in </w:t>
      </w:r>
      <w:r>
        <w:rPr>
          <w:color w:val="auto"/>
          <w:lang w:val="en-US"/>
        </w:rPr>
        <w:t>subsection 54(3) of the Act set</w:t>
      </w:r>
      <w:r w:rsidR="004663B2">
        <w:rPr>
          <w:color w:val="auto"/>
          <w:lang w:val="en-US"/>
        </w:rPr>
        <w:t>s</w:t>
      </w:r>
      <w:r>
        <w:rPr>
          <w:color w:val="auto"/>
          <w:lang w:val="en-US"/>
        </w:rPr>
        <w:t xml:space="preserve"> out the school’s capacity to contribute percentage by reference to the school’s capacity to contribute (</w:t>
      </w:r>
      <w:r>
        <w:rPr>
          <w:b/>
          <w:color w:val="auto"/>
          <w:lang w:val="en-US"/>
        </w:rPr>
        <w:t>CTC</w:t>
      </w:r>
      <w:r>
        <w:rPr>
          <w:color w:val="auto"/>
          <w:lang w:val="en-US"/>
        </w:rPr>
        <w:t>) score.</w:t>
      </w:r>
    </w:p>
    <w:p w:rsidR="001B0E8A" w:rsidRDefault="001B0E8A" w:rsidP="00551999">
      <w:pPr>
        <w:rPr>
          <w:color w:val="auto"/>
          <w:lang w:val="en-US"/>
        </w:rPr>
      </w:pPr>
    </w:p>
    <w:p w:rsidR="00450F23" w:rsidRDefault="008B1727" w:rsidP="00551999">
      <w:pPr>
        <w:rPr>
          <w:color w:val="auto"/>
          <w:lang w:val="en-US"/>
        </w:rPr>
      </w:pPr>
      <w:r>
        <w:rPr>
          <w:color w:val="auto"/>
          <w:lang w:val="en-US"/>
        </w:rPr>
        <w:t>Under subsection 52(4) of the Act, a school’s CTC score must be worked out in accordance with the regulations.</w:t>
      </w:r>
      <w:r w:rsidR="00450F23">
        <w:rPr>
          <w:color w:val="auto"/>
          <w:lang w:val="en-US"/>
        </w:rPr>
        <w:t xml:space="preserve"> One of the purposes of the Amendment Regulations is to change the way in which a school’s CTC score is worked out.</w:t>
      </w:r>
    </w:p>
    <w:p w:rsidR="001B0E8A" w:rsidRDefault="001B0E8A" w:rsidP="00551999">
      <w:pPr>
        <w:rPr>
          <w:color w:val="auto"/>
          <w:lang w:val="en-US"/>
        </w:rPr>
      </w:pPr>
    </w:p>
    <w:p w:rsidR="00450F23" w:rsidRDefault="00450F23" w:rsidP="00551999">
      <w:pPr>
        <w:rPr>
          <w:color w:val="auto"/>
          <w:lang w:val="en-US"/>
        </w:rPr>
      </w:pPr>
      <w:r>
        <w:rPr>
          <w:color w:val="auto"/>
          <w:lang w:val="en-US"/>
        </w:rPr>
        <w:t xml:space="preserve">These changes to the way in which a non-government school’s CTC score is worked out will have an impact on </w:t>
      </w:r>
      <w:r w:rsidR="006515C9">
        <w:rPr>
          <w:color w:val="auto"/>
          <w:lang w:val="en-US"/>
        </w:rPr>
        <w:t xml:space="preserve">many </w:t>
      </w:r>
      <w:r>
        <w:rPr>
          <w:color w:val="auto"/>
          <w:lang w:val="en-US"/>
        </w:rPr>
        <w:t xml:space="preserve">schools’ annual recurrent funding. In order to manage these changes, the Commonwealth shares of those schools will also </w:t>
      </w:r>
      <w:r w:rsidR="006515C9">
        <w:rPr>
          <w:color w:val="auto"/>
          <w:lang w:val="en-US"/>
        </w:rPr>
        <w:t>be adjusted over time.</w:t>
      </w:r>
    </w:p>
    <w:p w:rsidR="001B0E8A" w:rsidRDefault="001B0E8A" w:rsidP="00551999">
      <w:pPr>
        <w:rPr>
          <w:color w:val="auto"/>
          <w:lang w:val="en-US"/>
        </w:rPr>
      </w:pPr>
    </w:p>
    <w:p w:rsidR="006515C9" w:rsidRDefault="006515C9" w:rsidP="00551999">
      <w:pPr>
        <w:rPr>
          <w:color w:val="auto"/>
          <w:lang w:val="en-US"/>
        </w:rPr>
      </w:pPr>
      <w:r>
        <w:rPr>
          <w:color w:val="auto"/>
          <w:lang w:val="en-US"/>
        </w:rPr>
        <w:t>Under section 32 of the Act, one of the factors in calculating a school’s annual recurrent funding is its Commonwealth share. Ordinarily, the Commonwealth share of a non-government school is 80</w:t>
      </w:r>
      <w:r w:rsidR="001776F9">
        <w:rPr>
          <w:color w:val="auto"/>
          <w:lang w:val="en-US"/>
        </w:rPr>
        <w:t> </w:t>
      </w:r>
      <w:r>
        <w:rPr>
          <w:color w:val="auto"/>
          <w:lang w:val="en-US"/>
        </w:rPr>
        <w:t>per</w:t>
      </w:r>
      <w:r w:rsidR="00AF779A">
        <w:rPr>
          <w:color w:val="auto"/>
          <w:lang w:val="en-US"/>
        </w:rPr>
        <w:t> </w:t>
      </w:r>
      <w:r>
        <w:rPr>
          <w:color w:val="auto"/>
          <w:lang w:val="en-US"/>
        </w:rPr>
        <w:t xml:space="preserve">cent—see paragraph </w:t>
      </w:r>
      <w:proofErr w:type="gramStart"/>
      <w:r>
        <w:rPr>
          <w:color w:val="auto"/>
          <w:lang w:val="en-US"/>
        </w:rPr>
        <w:t>35A(</w:t>
      </w:r>
      <w:proofErr w:type="gramEnd"/>
      <w:r>
        <w:rPr>
          <w:color w:val="auto"/>
          <w:lang w:val="en-US"/>
        </w:rPr>
        <w:t>b) of the Act. However, under section 35C of the Act, the Commonwealth share for a non-government school for a transition year is the percentage</w:t>
      </w:r>
      <w:r w:rsidR="001776F9">
        <w:rPr>
          <w:color w:val="auto"/>
          <w:lang w:val="en-US"/>
        </w:rPr>
        <w:t xml:space="preserve"> prescribed in</w:t>
      </w:r>
      <w:r>
        <w:rPr>
          <w:color w:val="auto"/>
          <w:lang w:val="en-US"/>
        </w:rPr>
        <w:t xml:space="preserve">, or the percentage worked out in accordance with, the </w:t>
      </w:r>
      <w:r w:rsidR="00187ED5">
        <w:rPr>
          <w:color w:val="auto"/>
          <w:lang w:val="en-US"/>
        </w:rPr>
        <w:t>Principal R</w:t>
      </w:r>
      <w:r>
        <w:rPr>
          <w:color w:val="auto"/>
          <w:lang w:val="en-US"/>
        </w:rPr>
        <w:t>egulation.</w:t>
      </w:r>
    </w:p>
    <w:p w:rsidR="001B0E8A" w:rsidRDefault="001B0E8A" w:rsidP="00551999">
      <w:pPr>
        <w:rPr>
          <w:color w:val="auto"/>
          <w:lang w:val="en-US"/>
        </w:rPr>
      </w:pPr>
    </w:p>
    <w:p w:rsidR="006515C9" w:rsidRDefault="006515C9" w:rsidP="00551999">
      <w:pPr>
        <w:rPr>
          <w:color w:val="auto"/>
          <w:lang w:val="en-US"/>
        </w:rPr>
      </w:pPr>
      <w:r>
        <w:rPr>
          <w:color w:val="auto"/>
          <w:lang w:val="en-US"/>
        </w:rPr>
        <w:t>As such, the other principal purpose of the Amendment Regulations is to prescribe the method for working out the Commonwealth share for non-government schools during their transition years.</w:t>
      </w:r>
    </w:p>
    <w:p w:rsidR="006515C9" w:rsidRPr="00164C36" w:rsidRDefault="006515C9" w:rsidP="00C205C1">
      <w:pPr>
        <w:pStyle w:val="Heading2"/>
      </w:pPr>
      <w:r w:rsidRPr="00164C36">
        <w:t>Purpose and operation of amendments</w:t>
      </w:r>
    </w:p>
    <w:p w:rsidR="005D7456" w:rsidRDefault="006E4AF9" w:rsidP="00A1755C">
      <w:pPr>
        <w:rPr>
          <w:lang w:val="en-US"/>
        </w:rPr>
      </w:pPr>
      <w:r>
        <w:rPr>
          <w:color w:val="auto"/>
          <w:lang w:val="en-US"/>
        </w:rPr>
        <w:t>Th</w:t>
      </w:r>
      <w:r w:rsidR="00551999">
        <w:rPr>
          <w:color w:val="auto"/>
          <w:lang w:val="en-US"/>
        </w:rPr>
        <w:t>e Act was</w:t>
      </w:r>
      <w:r>
        <w:rPr>
          <w:color w:val="auto"/>
          <w:lang w:val="en-US"/>
        </w:rPr>
        <w:t xml:space="preserve"> recently amended </w:t>
      </w:r>
      <w:r w:rsidR="00551999">
        <w:rPr>
          <w:color w:val="auto"/>
          <w:lang w:val="en-US"/>
        </w:rPr>
        <w:t xml:space="preserve">by the </w:t>
      </w:r>
      <w:r w:rsidR="00B570F4" w:rsidRPr="00847A66">
        <w:rPr>
          <w:i/>
          <w:lang w:val="en-US"/>
        </w:rPr>
        <w:t xml:space="preserve">Australian Education Amendment (Direct Measure of Income) </w:t>
      </w:r>
      <w:r w:rsidR="00551999" w:rsidRPr="00847A66">
        <w:rPr>
          <w:i/>
          <w:lang w:val="en-US"/>
        </w:rPr>
        <w:t>Act</w:t>
      </w:r>
      <w:r w:rsidR="00B570F4" w:rsidRPr="00847A66">
        <w:rPr>
          <w:i/>
          <w:lang w:val="en-US"/>
        </w:rPr>
        <w:t xml:space="preserve"> 2020</w:t>
      </w:r>
      <w:r w:rsidR="00BB3A25">
        <w:rPr>
          <w:lang w:val="en-US"/>
        </w:rPr>
        <w:t xml:space="preserve"> (</w:t>
      </w:r>
      <w:r w:rsidR="00BB3A25">
        <w:rPr>
          <w:b/>
          <w:lang w:val="en-US"/>
        </w:rPr>
        <w:t>Direct Measure of Income Act</w:t>
      </w:r>
      <w:r w:rsidR="00BB3A25">
        <w:rPr>
          <w:lang w:val="en-US"/>
        </w:rPr>
        <w:t>)</w:t>
      </w:r>
      <w:r>
        <w:rPr>
          <w:lang w:val="en-US"/>
        </w:rPr>
        <w:t xml:space="preserve">. The amendments </w:t>
      </w:r>
      <w:r w:rsidR="006515C9">
        <w:rPr>
          <w:lang w:val="en-US"/>
        </w:rPr>
        <w:t xml:space="preserve">facilitate the </w:t>
      </w:r>
      <w:r w:rsidR="00B570F4">
        <w:rPr>
          <w:lang w:val="en-US"/>
        </w:rPr>
        <w:t>introduc</w:t>
      </w:r>
      <w:r w:rsidR="00BB3A25">
        <w:rPr>
          <w:lang w:val="en-US"/>
        </w:rPr>
        <w:t>tion of</w:t>
      </w:r>
      <w:r w:rsidR="00B570F4">
        <w:rPr>
          <w:lang w:val="en-US"/>
        </w:rPr>
        <w:t xml:space="preserve"> a new, more accurate direct measure of income methodology (</w:t>
      </w:r>
      <w:r w:rsidR="00B570F4">
        <w:rPr>
          <w:b/>
          <w:lang w:val="en-US"/>
        </w:rPr>
        <w:t>DMI methodology</w:t>
      </w:r>
      <w:r w:rsidR="00B570F4">
        <w:rPr>
          <w:lang w:val="en-US"/>
        </w:rPr>
        <w:t>) for calculating a school community’s capacity to contribute financially to a non-government school</w:t>
      </w:r>
      <w:r w:rsidR="00BB3A25">
        <w:rPr>
          <w:lang w:val="en-US"/>
        </w:rPr>
        <w:t xml:space="preserve"> and provide additional flexibility for the calculation of a </w:t>
      </w:r>
      <w:r w:rsidR="00A1755C">
        <w:rPr>
          <w:lang w:val="en-US"/>
        </w:rPr>
        <w:t xml:space="preserve">non-government </w:t>
      </w:r>
      <w:r w:rsidR="00BB3A25">
        <w:rPr>
          <w:lang w:val="en-US"/>
        </w:rPr>
        <w:t xml:space="preserve">school’s </w:t>
      </w:r>
      <w:r w:rsidR="00A1755C">
        <w:rPr>
          <w:lang w:val="en-US"/>
        </w:rPr>
        <w:t>Commonwealth share during transition years</w:t>
      </w:r>
      <w:r w:rsidR="00070A12">
        <w:rPr>
          <w:lang w:val="en-US"/>
        </w:rPr>
        <w:t>.</w:t>
      </w:r>
    </w:p>
    <w:p w:rsidR="001B0E8A" w:rsidRDefault="001B0E8A" w:rsidP="00A1755C"/>
    <w:p w:rsidR="006515C9" w:rsidRDefault="0017250E" w:rsidP="00C205C1">
      <w:pPr>
        <w:rPr>
          <w:szCs w:val="19"/>
        </w:rPr>
      </w:pPr>
      <w:r>
        <w:t>Prior to the amendments</w:t>
      </w:r>
      <w:r w:rsidR="006515C9">
        <w:t xml:space="preserve"> to the Act</w:t>
      </w:r>
      <w:r>
        <w:t xml:space="preserve">, </w:t>
      </w:r>
      <w:r w:rsidR="006515C9">
        <w:t>a</w:t>
      </w:r>
      <w:r>
        <w:t xml:space="preserve"> school</w:t>
      </w:r>
      <w:r w:rsidR="006515C9">
        <w:t>’s</w:t>
      </w:r>
      <w:r>
        <w:t xml:space="preserve"> capacity to contribute </w:t>
      </w:r>
      <w:r w:rsidR="006515C9">
        <w:t xml:space="preserve">percentage </w:t>
      </w:r>
      <w:r>
        <w:t xml:space="preserve">was </w:t>
      </w:r>
      <w:r w:rsidR="006515C9">
        <w:t xml:space="preserve">determined </w:t>
      </w:r>
      <w:r>
        <w:t>by reference to the socioeconomic status (</w:t>
      </w:r>
      <w:r>
        <w:rPr>
          <w:b/>
        </w:rPr>
        <w:t>SES</w:t>
      </w:r>
      <w:r>
        <w:t>) score of the school</w:t>
      </w:r>
      <w:r w:rsidR="006515C9">
        <w:t>, and t</w:t>
      </w:r>
      <w:r w:rsidR="00122522" w:rsidRPr="00C205C1">
        <w:rPr>
          <w:lang w:val="en-US"/>
        </w:rPr>
        <w:t xml:space="preserve">he </w:t>
      </w:r>
      <w:r w:rsidR="00394162" w:rsidRPr="00C205C1">
        <w:rPr>
          <w:lang w:val="en-US"/>
        </w:rPr>
        <w:t xml:space="preserve">Principal </w:t>
      </w:r>
      <w:r w:rsidR="00122522" w:rsidRPr="00C205C1">
        <w:rPr>
          <w:lang w:val="en-US"/>
        </w:rPr>
        <w:t>Regulation</w:t>
      </w:r>
      <w:r w:rsidR="006515C9">
        <w:rPr>
          <w:lang w:val="en-US"/>
        </w:rPr>
        <w:t xml:space="preserve"> set out a methodology for working out that SES score</w:t>
      </w:r>
      <w:r>
        <w:t>.</w:t>
      </w:r>
      <w:r w:rsidR="006515C9">
        <w:rPr>
          <w:szCs w:val="19"/>
        </w:rPr>
        <w:t xml:space="preserve"> T</w:t>
      </w:r>
      <w:r w:rsidR="00934784">
        <w:rPr>
          <w:szCs w:val="19"/>
        </w:rPr>
        <w:t xml:space="preserve">he SES score for a school </w:t>
      </w:r>
      <w:r w:rsidR="006515C9">
        <w:rPr>
          <w:szCs w:val="19"/>
        </w:rPr>
        <w:t>i</w:t>
      </w:r>
      <w:r w:rsidR="00934784">
        <w:rPr>
          <w:szCs w:val="19"/>
        </w:rPr>
        <w:t>s based on an averaging of characteristics of all people residing</w:t>
      </w:r>
      <w:r w:rsidR="00E47CDC">
        <w:rPr>
          <w:szCs w:val="19"/>
        </w:rPr>
        <w:t xml:space="preserve"> in a certain geographical area</w:t>
      </w:r>
      <w:r w:rsidR="00934784">
        <w:rPr>
          <w:szCs w:val="19"/>
        </w:rPr>
        <w:t>, not just families of students attending the school.</w:t>
      </w:r>
    </w:p>
    <w:p w:rsidR="001B0E8A" w:rsidRDefault="001B0E8A" w:rsidP="00C205C1">
      <w:pPr>
        <w:rPr>
          <w:szCs w:val="19"/>
        </w:rPr>
      </w:pPr>
    </w:p>
    <w:p w:rsidR="00934784" w:rsidRDefault="005D1E8F" w:rsidP="00C205C1">
      <w:pPr>
        <w:rPr>
          <w:szCs w:val="19"/>
        </w:rPr>
      </w:pPr>
      <w:r>
        <w:rPr>
          <w:szCs w:val="19"/>
        </w:rPr>
        <w:t>In June 2018, the National School Resourcing Board (</w:t>
      </w:r>
      <w:r>
        <w:rPr>
          <w:b/>
          <w:szCs w:val="19"/>
        </w:rPr>
        <w:t>the Board</w:t>
      </w:r>
      <w:r>
        <w:rPr>
          <w:szCs w:val="19"/>
        </w:rPr>
        <w:t xml:space="preserve">) completed a review into the existing methodology for calculating SES scores for schools, titled </w:t>
      </w:r>
      <w:r>
        <w:rPr>
          <w:i/>
          <w:iCs/>
          <w:szCs w:val="19"/>
        </w:rPr>
        <w:t>Review of the socio</w:t>
      </w:r>
      <w:r>
        <w:rPr>
          <w:i/>
          <w:iCs/>
          <w:szCs w:val="19"/>
        </w:rPr>
        <w:noBreakHyphen/>
        <w:t>economic status score methodology</w:t>
      </w:r>
      <w:r>
        <w:rPr>
          <w:szCs w:val="19"/>
        </w:rPr>
        <w:t xml:space="preserve">. </w:t>
      </w:r>
      <w:r w:rsidR="002C3268">
        <w:t>The Board’s final report on the review found that the use of the area-based data under the current method did not always result in an accurate assessment of the capacity of a school’s community to contribute financially to the operation of the school. The Board recommended the use of a direct measure of income based on the median income of parents and guardians of students at the school, facilitated by the linkage of personal income data and residential address data collections. The Board recommended continuing existing arrangements for 2019, using updated 2016</w:t>
      </w:r>
      <w:r w:rsidR="00830B00">
        <w:t xml:space="preserve"> ABS</w:t>
      </w:r>
      <w:r w:rsidR="002C3268">
        <w:t xml:space="preserve"> Census data. </w:t>
      </w:r>
      <w:r w:rsidR="00A313EA">
        <w:rPr>
          <w:szCs w:val="19"/>
        </w:rPr>
        <w:t>The amendments to the Act and the</w:t>
      </w:r>
      <w:r w:rsidR="00A24747">
        <w:rPr>
          <w:szCs w:val="19"/>
        </w:rPr>
        <w:t xml:space="preserve"> Principal</w:t>
      </w:r>
      <w:r w:rsidR="007F2D01">
        <w:rPr>
          <w:szCs w:val="19"/>
        </w:rPr>
        <w:t xml:space="preserve"> Regulation</w:t>
      </w:r>
      <w:r w:rsidR="00A313EA">
        <w:rPr>
          <w:szCs w:val="19"/>
        </w:rPr>
        <w:t xml:space="preserve"> give effect to the Australian Government’s </w:t>
      </w:r>
      <w:r w:rsidR="00444024">
        <w:rPr>
          <w:szCs w:val="19"/>
        </w:rPr>
        <w:t>decision to accept all of the Board’s recommendations</w:t>
      </w:r>
      <w:r w:rsidR="00A6592C">
        <w:rPr>
          <w:szCs w:val="19"/>
        </w:rPr>
        <w:t xml:space="preserve">, including </w:t>
      </w:r>
      <w:r w:rsidR="00A6592C">
        <w:t>a phased implementation of the new DMI methodology</w:t>
      </w:r>
      <w:r w:rsidR="00444024">
        <w:rPr>
          <w:szCs w:val="19"/>
        </w:rPr>
        <w:t>.</w:t>
      </w:r>
    </w:p>
    <w:p w:rsidR="001B0E8A" w:rsidRDefault="001B0E8A" w:rsidP="00C205C1">
      <w:pPr>
        <w:rPr>
          <w:szCs w:val="19"/>
          <w:lang w:val="en-US"/>
        </w:rPr>
      </w:pPr>
    </w:p>
    <w:p w:rsidR="00C605EB" w:rsidRDefault="0017250E">
      <w:pPr>
        <w:rPr>
          <w:lang w:val="en-US"/>
        </w:rPr>
      </w:pPr>
      <w:r>
        <w:rPr>
          <w:lang w:val="en-US"/>
        </w:rPr>
        <w:t xml:space="preserve">The </w:t>
      </w:r>
      <w:r w:rsidR="00122522">
        <w:rPr>
          <w:lang w:val="en-US"/>
        </w:rPr>
        <w:t xml:space="preserve">amendments to the </w:t>
      </w:r>
      <w:r w:rsidR="009441AA">
        <w:rPr>
          <w:lang w:val="en-US"/>
        </w:rPr>
        <w:t xml:space="preserve">Principal </w:t>
      </w:r>
      <w:r w:rsidR="006E4F0B">
        <w:rPr>
          <w:lang w:val="en-US"/>
        </w:rPr>
        <w:t xml:space="preserve">Regulation </w:t>
      </w:r>
      <w:r w:rsidR="007F2D01">
        <w:rPr>
          <w:lang w:val="en-US"/>
        </w:rPr>
        <w:t xml:space="preserve">thus </w:t>
      </w:r>
      <w:r>
        <w:rPr>
          <w:lang w:val="en-US"/>
        </w:rPr>
        <w:t xml:space="preserve">replace the previous </w:t>
      </w:r>
      <w:r w:rsidR="00636405">
        <w:rPr>
          <w:lang w:val="en-US"/>
        </w:rPr>
        <w:t>methodology used to calculate a</w:t>
      </w:r>
      <w:r w:rsidR="007F30A8">
        <w:rPr>
          <w:lang w:val="en-US"/>
        </w:rPr>
        <w:t>n S</w:t>
      </w:r>
      <w:r w:rsidR="00934784">
        <w:rPr>
          <w:lang w:val="en-US"/>
        </w:rPr>
        <w:t>ES score with the</w:t>
      </w:r>
      <w:r w:rsidR="007F30A8">
        <w:rPr>
          <w:lang w:val="en-US"/>
        </w:rPr>
        <w:t xml:space="preserve"> new</w:t>
      </w:r>
      <w:r w:rsidR="00A6592C">
        <w:rPr>
          <w:lang w:val="en-US"/>
        </w:rPr>
        <w:t xml:space="preserve"> methodology</w:t>
      </w:r>
      <w:r w:rsidR="001B596A">
        <w:rPr>
          <w:lang w:val="en-US"/>
        </w:rPr>
        <w:t xml:space="preserve"> to calculate a</w:t>
      </w:r>
      <w:r w:rsidR="00D6580B">
        <w:rPr>
          <w:lang w:val="en-US"/>
        </w:rPr>
        <w:t xml:space="preserve"> school’s</w:t>
      </w:r>
      <w:r w:rsidR="001B596A">
        <w:rPr>
          <w:lang w:val="en-US"/>
        </w:rPr>
        <w:t xml:space="preserve"> </w:t>
      </w:r>
      <w:r w:rsidR="001B596A" w:rsidRPr="00C205C1">
        <w:rPr>
          <w:lang w:val="en-US"/>
        </w:rPr>
        <w:t>CTC score</w:t>
      </w:r>
      <w:r w:rsidR="001B596A">
        <w:rPr>
          <w:lang w:val="en-US"/>
        </w:rPr>
        <w:t xml:space="preserve"> using</w:t>
      </w:r>
      <w:r w:rsidR="007F30A8">
        <w:rPr>
          <w:lang w:val="en-US"/>
        </w:rPr>
        <w:t xml:space="preserve"> </w:t>
      </w:r>
      <w:r w:rsidR="001B596A">
        <w:rPr>
          <w:lang w:val="en-US"/>
        </w:rPr>
        <w:t xml:space="preserve">a </w:t>
      </w:r>
      <w:r w:rsidR="007F30A8">
        <w:rPr>
          <w:lang w:val="en-US"/>
        </w:rPr>
        <w:t>DMI methodology</w:t>
      </w:r>
      <w:r w:rsidR="00122522">
        <w:rPr>
          <w:lang w:val="en-US"/>
        </w:rPr>
        <w:t>,</w:t>
      </w:r>
      <w:r w:rsidR="00875A45">
        <w:rPr>
          <w:lang w:val="en-US"/>
        </w:rPr>
        <w:t xml:space="preserve"> </w:t>
      </w:r>
      <w:r w:rsidR="001B596A">
        <w:rPr>
          <w:lang w:val="en-US"/>
        </w:rPr>
        <w:t>or</w:t>
      </w:r>
      <w:r w:rsidR="007F30A8">
        <w:rPr>
          <w:lang w:val="en-US"/>
        </w:rPr>
        <w:t xml:space="preserve"> alternatives</w:t>
      </w:r>
      <w:r w:rsidR="00821520">
        <w:rPr>
          <w:lang w:val="en-US"/>
        </w:rPr>
        <w:t xml:space="preserve"> that apply</w:t>
      </w:r>
      <w:r w:rsidR="007F30A8">
        <w:rPr>
          <w:lang w:val="en-US"/>
        </w:rPr>
        <w:t xml:space="preserve"> to specific circumstances</w:t>
      </w:r>
      <w:r w:rsidR="00821520">
        <w:rPr>
          <w:lang w:val="en-US"/>
        </w:rPr>
        <w:t xml:space="preserve">. </w:t>
      </w:r>
      <w:r w:rsidR="009345CB" w:rsidRPr="00B802F1">
        <w:rPr>
          <w:lang w:val="en-US"/>
        </w:rPr>
        <w:t>From 2020 to 202</w:t>
      </w:r>
      <w:r w:rsidR="009345CB">
        <w:rPr>
          <w:lang w:val="en-US"/>
        </w:rPr>
        <w:t>1</w:t>
      </w:r>
      <w:r w:rsidR="009345CB" w:rsidRPr="00B802F1">
        <w:rPr>
          <w:lang w:val="en-US"/>
        </w:rPr>
        <w:t xml:space="preserve">, </w:t>
      </w:r>
      <w:r w:rsidR="009D385A">
        <w:rPr>
          <w:lang w:val="en-US"/>
        </w:rPr>
        <w:t>non</w:t>
      </w:r>
      <w:r w:rsidR="009D385A">
        <w:rPr>
          <w:lang w:val="en-US"/>
        </w:rPr>
        <w:noBreakHyphen/>
        <w:t xml:space="preserve">government </w:t>
      </w:r>
      <w:r w:rsidR="009345CB" w:rsidRPr="00B802F1">
        <w:rPr>
          <w:lang w:val="en-US"/>
        </w:rPr>
        <w:t xml:space="preserve">schools will </w:t>
      </w:r>
      <w:r w:rsidR="009345CB">
        <w:rPr>
          <w:lang w:val="en-US"/>
        </w:rPr>
        <w:t>have the most financially beneficial CTC score calculated using their 2011 Census SES score, 2016 Census SES score or average DMI score. Over this time period</w:t>
      </w:r>
      <w:r w:rsidR="009345CB" w:rsidRPr="00B802F1">
        <w:rPr>
          <w:lang w:val="en-US"/>
        </w:rPr>
        <w:t xml:space="preserve">, </w:t>
      </w:r>
      <w:r w:rsidR="009D385A">
        <w:rPr>
          <w:lang w:val="en-US"/>
        </w:rPr>
        <w:t>non</w:t>
      </w:r>
      <w:r w:rsidR="009D385A">
        <w:rPr>
          <w:lang w:val="en-US"/>
        </w:rPr>
        <w:noBreakHyphen/>
        <w:t xml:space="preserve">government </w:t>
      </w:r>
      <w:r w:rsidR="009345CB" w:rsidRPr="00B802F1">
        <w:rPr>
          <w:lang w:val="en-US"/>
        </w:rPr>
        <w:t>schools will move to the new DMI methodology when it is most financially beneficial for them to do so</w:t>
      </w:r>
      <w:r w:rsidR="00B45A25">
        <w:rPr>
          <w:lang w:val="en-US"/>
        </w:rPr>
        <w:t xml:space="preserve">. This will allow </w:t>
      </w:r>
      <w:r w:rsidR="009D385A">
        <w:rPr>
          <w:lang w:val="en-US"/>
        </w:rPr>
        <w:t>non</w:t>
      </w:r>
      <w:r w:rsidR="009D385A">
        <w:rPr>
          <w:lang w:val="en-US"/>
        </w:rPr>
        <w:noBreakHyphen/>
        <w:t xml:space="preserve">government </w:t>
      </w:r>
      <w:r w:rsidR="00B45A25">
        <w:rPr>
          <w:lang w:val="en-US"/>
        </w:rPr>
        <w:t>schools time to plan and adjust to the new measure.</w:t>
      </w:r>
      <w:r w:rsidR="009345CB">
        <w:rPr>
          <w:lang w:val="en-US"/>
        </w:rPr>
        <w:t xml:space="preserve"> All </w:t>
      </w:r>
      <w:r w:rsidR="009D385A">
        <w:rPr>
          <w:lang w:val="en-US"/>
        </w:rPr>
        <w:t>non</w:t>
      </w:r>
      <w:r w:rsidR="009D385A">
        <w:rPr>
          <w:lang w:val="en-US"/>
        </w:rPr>
        <w:noBreakHyphen/>
        <w:t xml:space="preserve">government </w:t>
      </w:r>
      <w:r w:rsidR="009345CB">
        <w:rPr>
          <w:lang w:val="en-US"/>
        </w:rPr>
        <w:t>schools will move to the new DMI methodology</w:t>
      </w:r>
      <w:r w:rsidR="00830B00">
        <w:rPr>
          <w:lang w:val="en-US"/>
        </w:rPr>
        <w:t xml:space="preserve"> or the alternative refined area based </w:t>
      </w:r>
      <w:r w:rsidR="00A64234">
        <w:rPr>
          <w:lang w:val="en-US"/>
        </w:rPr>
        <w:t xml:space="preserve">score </w:t>
      </w:r>
      <w:r w:rsidR="00830B00">
        <w:rPr>
          <w:lang w:val="en-US"/>
        </w:rPr>
        <w:t>methodology</w:t>
      </w:r>
      <w:r w:rsidR="009345CB">
        <w:rPr>
          <w:lang w:val="en-US"/>
        </w:rPr>
        <w:t xml:space="preserve"> in 2022. </w:t>
      </w:r>
    </w:p>
    <w:p w:rsidR="00006E08" w:rsidRDefault="00006E08">
      <w:pPr>
        <w:rPr>
          <w:lang w:val="en-US"/>
        </w:rPr>
      </w:pPr>
    </w:p>
    <w:p w:rsidR="00006E08" w:rsidRDefault="00006E08">
      <w:pPr>
        <w:rPr>
          <w:lang w:val="en-US"/>
        </w:rPr>
      </w:pPr>
      <w:r>
        <w:rPr>
          <w:lang w:val="en-US"/>
        </w:rPr>
        <w:t>To maintain transparency</w:t>
      </w:r>
      <w:r w:rsidR="00055348">
        <w:rPr>
          <w:lang w:val="en-US"/>
        </w:rPr>
        <w:t>,</w:t>
      </w:r>
      <w:r>
        <w:rPr>
          <w:lang w:val="en-US"/>
        </w:rPr>
        <w:t xml:space="preserve"> </w:t>
      </w:r>
      <w:r w:rsidR="002E0890">
        <w:rPr>
          <w:lang w:val="en-US"/>
        </w:rPr>
        <w:t xml:space="preserve">CTC </w:t>
      </w:r>
      <w:r w:rsidR="008B55FA">
        <w:rPr>
          <w:lang w:val="en-US"/>
        </w:rPr>
        <w:t>scores that are determined other than in accordance with the Principal Regulation</w:t>
      </w:r>
      <w:r w:rsidR="00055348">
        <w:rPr>
          <w:lang w:val="en-US"/>
        </w:rPr>
        <w:t xml:space="preserve"> and the reasons for this</w:t>
      </w:r>
      <w:r w:rsidR="008B55FA">
        <w:rPr>
          <w:lang w:val="en-US"/>
        </w:rPr>
        <w:t xml:space="preserve"> will be published on </w:t>
      </w:r>
      <w:r>
        <w:rPr>
          <w:lang w:val="en-US"/>
        </w:rPr>
        <w:t xml:space="preserve">the </w:t>
      </w:r>
      <w:r w:rsidR="000E127E">
        <w:rPr>
          <w:lang w:val="en-US"/>
        </w:rPr>
        <w:t>website</w:t>
      </w:r>
      <w:r w:rsidR="000E127E" w:rsidDel="000E127E">
        <w:rPr>
          <w:lang w:val="en-US"/>
        </w:rPr>
        <w:t xml:space="preserve"> </w:t>
      </w:r>
      <w:r w:rsidR="000E127E">
        <w:rPr>
          <w:lang w:val="en-US"/>
        </w:rPr>
        <w:t>of the Department of Education, Skills and Employment (</w:t>
      </w:r>
      <w:r w:rsidR="000E127E">
        <w:rPr>
          <w:b/>
          <w:lang w:val="en-US"/>
        </w:rPr>
        <w:t>the department</w:t>
      </w:r>
      <w:r w:rsidR="000E127E">
        <w:rPr>
          <w:lang w:val="en-US"/>
        </w:rPr>
        <w:t>)</w:t>
      </w:r>
      <w:r w:rsidR="008B55FA">
        <w:rPr>
          <w:lang w:val="en-US"/>
        </w:rPr>
        <w:t>.</w:t>
      </w:r>
    </w:p>
    <w:p w:rsidR="001B0E8A" w:rsidRDefault="001B0E8A">
      <w:pPr>
        <w:rPr>
          <w:lang w:val="en-US"/>
        </w:rPr>
      </w:pPr>
    </w:p>
    <w:p w:rsidR="00B570F4" w:rsidRDefault="00B570F4">
      <w:pPr>
        <w:rPr>
          <w:lang w:val="en-US"/>
        </w:rPr>
      </w:pPr>
      <w:r>
        <w:rPr>
          <w:lang w:val="en-US"/>
        </w:rPr>
        <w:t xml:space="preserve">To ensure that </w:t>
      </w:r>
      <w:r w:rsidR="009D385A">
        <w:rPr>
          <w:lang w:val="en-US"/>
        </w:rPr>
        <w:t>non</w:t>
      </w:r>
      <w:r w:rsidR="009D385A">
        <w:rPr>
          <w:lang w:val="en-US"/>
        </w:rPr>
        <w:noBreakHyphen/>
        <w:t xml:space="preserve">government </w:t>
      </w:r>
      <w:r>
        <w:rPr>
          <w:lang w:val="en-US"/>
        </w:rPr>
        <w:t xml:space="preserve">schools are not adversely affected financially by these changes the </w:t>
      </w:r>
      <w:r w:rsidR="00566EFC">
        <w:rPr>
          <w:lang w:val="en-US"/>
        </w:rPr>
        <w:t xml:space="preserve">amendments </w:t>
      </w:r>
      <w:r w:rsidR="007F30A8">
        <w:rPr>
          <w:lang w:val="en-US"/>
        </w:rPr>
        <w:t xml:space="preserve">to the Act also </w:t>
      </w:r>
      <w:r w:rsidR="00566EFC">
        <w:rPr>
          <w:lang w:val="en-US"/>
        </w:rPr>
        <w:t>enabled</w:t>
      </w:r>
      <w:r>
        <w:rPr>
          <w:lang w:val="en-US"/>
        </w:rPr>
        <w:t xml:space="preserve"> </w:t>
      </w:r>
      <w:r w:rsidR="00566EFC">
        <w:rPr>
          <w:lang w:val="en-US"/>
        </w:rPr>
        <w:t>the</w:t>
      </w:r>
      <w:r w:rsidR="00122522">
        <w:rPr>
          <w:lang w:val="en-US"/>
        </w:rPr>
        <w:t xml:space="preserve"> </w:t>
      </w:r>
      <w:r w:rsidR="009441AA">
        <w:rPr>
          <w:lang w:val="en-US"/>
        </w:rPr>
        <w:t xml:space="preserve">Principal </w:t>
      </w:r>
      <w:r w:rsidR="00122522">
        <w:rPr>
          <w:lang w:val="en-US"/>
        </w:rPr>
        <w:t>Regulations</w:t>
      </w:r>
      <w:r w:rsidR="00566EFC">
        <w:rPr>
          <w:lang w:val="en-US"/>
        </w:rPr>
        <w:t xml:space="preserve"> </w:t>
      </w:r>
      <w:r>
        <w:rPr>
          <w:lang w:val="en-US"/>
        </w:rPr>
        <w:t>to</w:t>
      </w:r>
      <w:r w:rsidR="00996CAD">
        <w:rPr>
          <w:lang w:val="en-US"/>
        </w:rPr>
        <w:t xml:space="preserve"> </w:t>
      </w:r>
      <w:r w:rsidR="00EE0345">
        <w:rPr>
          <w:lang w:val="en-US"/>
        </w:rPr>
        <w:t>s</w:t>
      </w:r>
      <w:r w:rsidR="00875A45">
        <w:rPr>
          <w:lang w:val="en-US"/>
        </w:rPr>
        <w:t>et out the Commonwealth share for</w:t>
      </w:r>
      <w:r w:rsidR="00EE0345">
        <w:rPr>
          <w:lang w:val="en-US"/>
        </w:rPr>
        <w:t xml:space="preserve"> non-government schools, and </w:t>
      </w:r>
      <w:r w:rsidR="00996CAD">
        <w:rPr>
          <w:lang w:val="en-US"/>
        </w:rPr>
        <w:t>adjust</w:t>
      </w:r>
      <w:r>
        <w:rPr>
          <w:lang w:val="en-US"/>
        </w:rPr>
        <w:t xml:space="preserve"> the transition pathways of </w:t>
      </w:r>
      <w:r w:rsidR="00122522">
        <w:rPr>
          <w:lang w:val="en-US"/>
        </w:rPr>
        <w:t>these</w:t>
      </w:r>
      <w:r w:rsidR="00D86FE1">
        <w:rPr>
          <w:lang w:val="en-US"/>
        </w:rPr>
        <w:t xml:space="preserve"> schools to the</w:t>
      </w:r>
      <w:r>
        <w:rPr>
          <w:lang w:val="en-US"/>
        </w:rPr>
        <w:t xml:space="preserve"> nationally consistent Commonwealth share of </w:t>
      </w:r>
      <w:r w:rsidR="00D86FE1">
        <w:rPr>
          <w:lang w:val="en-US"/>
        </w:rPr>
        <w:t xml:space="preserve">80 per cent of </w:t>
      </w:r>
      <w:r>
        <w:rPr>
          <w:lang w:val="en-US"/>
        </w:rPr>
        <w:t>the Schooling Resource Standard (</w:t>
      </w:r>
      <w:r>
        <w:rPr>
          <w:b/>
          <w:lang w:val="en-US"/>
        </w:rPr>
        <w:t>SRS</w:t>
      </w:r>
      <w:r>
        <w:rPr>
          <w:lang w:val="en-US"/>
        </w:rPr>
        <w:t>).</w:t>
      </w:r>
    </w:p>
    <w:p w:rsidR="001B0E8A" w:rsidRPr="00847A66" w:rsidRDefault="001B0E8A">
      <w:pPr>
        <w:rPr>
          <w:lang w:val="en-US"/>
        </w:rPr>
      </w:pPr>
    </w:p>
    <w:p w:rsidR="001B0E8A" w:rsidRDefault="00D86FE1">
      <w:pPr>
        <w:rPr>
          <w:lang w:val="en-US"/>
        </w:rPr>
      </w:pPr>
      <w:r>
        <w:rPr>
          <w:lang w:val="en-US"/>
        </w:rPr>
        <w:t>The E</w:t>
      </w:r>
      <w:r w:rsidR="001625A8">
        <w:rPr>
          <w:lang w:val="en-US"/>
        </w:rPr>
        <w:t>xplanator</w:t>
      </w:r>
      <w:r>
        <w:rPr>
          <w:lang w:val="en-US"/>
        </w:rPr>
        <w:t xml:space="preserve">y Memorandum accompanying the </w:t>
      </w:r>
      <w:r w:rsidRPr="00847A66">
        <w:rPr>
          <w:lang w:val="en-US"/>
        </w:rPr>
        <w:t xml:space="preserve">Australian Education Amendment (Direct Measure of Income) </w:t>
      </w:r>
      <w:r>
        <w:rPr>
          <w:lang w:val="en-US"/>
        </w:rPr>
        <w:t>Bill</w:t>
      </w:r>
      <w:r w:rsidRPr="00847A66">
        <w:rPr>
          <w:lang w:val="en-US"/>
        </w:rPr>
        <w:t xml:space="preserve"> 2020</w:t>
      </w:r>
      <w:r w:rsidR="001625A8" w:rsidRPr="00847A66">
        <w:rPr>
          <w:lang w:val="en-US"/>
        </w:rPr>
        <w:t xml:space="preserve"> </w:t>
      </w:r>
      <w:r w:rsidR="001625A8">
        <w:rPr>
          <w:lang w:val="en-US"/>
        </w:rPr>
        <w:t>contains further, more detailed background to the changes</w:t>
      </w:r>
      <w:r w:rsidR="007864EA">
        <w:rPr>
          <w:lang w:val="en-US"/>
        </w:rPr>
        <w:t xml:space="preserve"> and could</w:t>
      </w:r>
      <w:r>
        <w:rPr>
          <w:lang w:val="en-US"/>
        </w:rPr>
        <w:t xml:space="preserve"> </w:t>
      </w:r>
      <w:r w:rsidR="007864EA">
        <w:rPr>
          <w:lang w:val="en-US"/>
        </w:rPr>
        <w:t>i</w:t>
      </w:r>
      <w:r w:rsidR="00E46DF8">
        <w:rPr>
          <w:lang w:val="en-US"/>
        </w:rPr>
        <w:t>n 2020</w:t>
      </w:r>
      <w:r>
        <w:rPr>
          <w:lang w:val="en-US"/>
        </w:rPr>
        <w:t xml:space="preserve"> </w:t>
      </w:r>
      <w:r w:rsidR="007864EA">
        <w:rPr>
          <w:lang w:val="en-US"/>
        </w:rPr>
        <w:t>be viewed on the Federal Register of Legislation</w:t>
      </w:r>
      <w:r w:rsidR="001625A8">
        <w:rPr>
          <w:lang w:val="en-US"/>
        </w:rPr>
        <w:t xml:space="preserve"> website</w:t>
      </w:r>
      <w:r w:rsidR="007864EA">
        <w:rPr>
          <w:lang w:val="en-US"/>
        </w:rPr>
        <w:t xml:space="preserve"> </w:t>
      </w:r>
      <w:r w:rsidR="002C03A4">
        <w:rPr>
          <w:lang w:val="en-US"/>
        </w:rPr>
        <w:t xml:space="preserve">(at </w:t>
      </w:r>
      <w:hyperlink r:id="rId11" w:history="1">
        <w:r w:rsidR="002C03A4" w:rsidRPr="006D16CA">
          <w:rPr>
            <w:rStyle w:val="Hyperlink"/>
            <w:lang w:val="en-US"/>
          </w:rPr>
          <w:t>https://www.legislation.gov.au/Details/C2020B00023/Explanatory%20Memorandum/Text</w:t>
        </w:r>
      </w:hyperlink>
      <w:r w:rsidR="002C03A4">
        <w:rPr>
          <w:lang w:val="en-US"/>
        </w:rPr>
        <w:t>).</w:t>
      </w:r>
    </w:p>
    <w:p w:rsidR="000E127E" w:rsidRPr="003535DF" w:rsidRDefault="000E127E">
      <w:pPr>
        <w:rPr>
          <w:color w:val="auto"/>
          <w:lang w:val="en-US"/>
        </w:rPr>
      </w:pPr>
    </w:p>
    <w:p w:rsidR="00DF63A5" w:rsidRPr="00120E0E" w:rsidRDefault="00C605EB" w:rsidP="00C205C1">
      <w:pPr>
        <w:rPr>
          <w:color w:val="auto"/>
          <w:szCs w:val="24"/>
        </w:rPr>
      </w:pPr>
      <w:r>
        <w:rPr>
          <w:color w:val="auto"/>
          <w:szCs w:val="24"/>
        </w:rPr>
        <w:t>T</w:t>
      </w:r>
      <w:r w:rsidR="00DF63A5" w:rsidRPr="004B746F">
        <w:rPr>
          <w:color w:val="auto"/>
          <w:szCs w:val="24"/>
        </w:rPr>
        <w:t xml:space="preserve">he </w:t>
      </w:r>
      <w:r w:rsidR="00DF63A5">
        <w:rPr>
          <w:color w:val="auto"/>
          <w:szCs w:val="24"/>
        </w:rPr>
        <w:t>Amendment Regulations:</w:t>
      </w:r>
    </w:p>
    <w:p w:rsidR="00632FC1" w:rsidRDefault="00632FC1" w:rsidP="00632FC1">
      <w:pPr>
        <w:numPr>
          <w:ilvl w:val="0"/>
          <w:numId w:val="5"/>
        </w:numPr>
        <w:ind w:right="-45"/>
        <w:rPr>
          <w:color w:val="auto"/>
          <w:szCs w:val="24"/>
        </w:rPr>
      </w:pPr>
      <w:proofErr w:type="gramStart"/>
      <w:r w:rsidRPr="009D0D68">
        <w:rPr>
          <w:color w:val="auto"/>
          <w:szCs w:val="24"/>
        </w:rPr>
        <w:t>prescribe</w:t>
      </w:r>
      <w:proofErr w:type="gramEnd"/>
      <w:r w:rsidRPr="009D0D68">
        <w:rPr>
          <w:color w:val="auto"/>
          <w:szCs w:val="24"/>
        </w:rPr>
        <w:t xml:space="preserve"> new transition years and pathways for non-government schools to move to the nationally consistent Commonwealth share of 80 per cent of the SRS</w:t>
      </w:r>
      <w:r>
        <w:rPr>
          <w:color w:val="auto"/>
          <w:szCs w:val="24"/>
        </w:rPr>
        <w:t xml:space="preserve"> for new section 35C of the Act. </w:t>
      </w:r>
      <w:r w:rsidR="00DC2887">
        <w:rPr>
          <w:color w:val="auto"/>
          <w:szCs w:val="24"/>
        </w:rPr>
        <w:t xml:space="preserve">All </w:t>
      </w:r>
      <w:r w:rsidR="000E292B">
        <w:rPr>
          <w:color w:val="auto"/>
          <w:szCs w:val="24"/>
        </w:rPr>
        <w:t xml:space="preserve">existing </w:t>
      </w:r>
      <w:r w:rsidR="00DC2887">
        <w:rPr>
          <w:color w:val="auto"/>
          <w:szCs w:val="24"/>
        </w:rPr>
        <w:t xml:space="preserve">non-government schools will transition either </w:t>
      </w:r>
      <w:r w:rsidRPr="009D0D68">
        <w:rPr>
          <w:color w:val="auto"/>
          <w:szCs w:val="24"/>
        </w:rPr>
        <w:t xml:space="preserve">by 2023 </w:t>
      </w:r>
      <w:r w:rsidR="00DC2887">
        <w:rPr>
          <w:color w:val="auto"/>
          <w:szCs w:val="24"/>
        </w:rPr>
        <w:t>(</w:t>
      </w:r>
      <w:r w:rsidRPr="009D0D68">
        <w:rPr>
          <w:color w:val="auto"/>
          <w:szCs w:val="24"/>
        </w:rPr>
        <w:t>for those schools with a Commonwealth share below 80 per cent</w:t>
      </w:r>
      <w:r w:rsidR="00DC2887">
        <w:rPr>
          <w:color w:val="auto"/>
          <w:szCs w:val="24"/>
        </w:rPr>
        <w:t xml:space="preserve">) or </w:t>
      </w:r>
      <w:r w:rsidRPr="009D0D68">
        <w:rPr>
          <w:color w:val="auto"/>
          <w:szCs w:val="24"/>
        </w:rPr>
        <w:t xml:space="preserve">2029 </w:t>
      </w:r>
      <w:r w:rsidR="00DC2887">
        <w:rPr>
          <w:color w:val="auto"/>
          <w:szCs w:val="24"/>
        </w:rPr>
        <w:t>(</w:t>
      </w:r>
      <w:r w:rsidRPr="009D0D68">
        <w:rPr>
          <w:color w:val="auto"/>
          <w:szCs w:val="24"/>
        </w:rPr>
        <w:t xml:space="preserve">for those schools with a Commonwealth share </w:t>
      </w:r>
      <w:r w:rsidR="00DC2887">
        <w:rPr>
          <w:color w:val="auto"/>
          <w:szCs w:val="24"/>
        </w:rPr>
        <w:t>above 80 per cent)</w:t>
      </w:r>
      <w:r>
        <w:rPr>
          <w:color w:val="auto"/>
          <w:szCs w:val="24"/>
        </w:rPr>
        <w:t xml:space="preserve"> (Schedule 1)</w:t>
      </w:r>
      <w:r w:rsidR="000E292B">
        <w:rPr>
          <w:color w:val="auto"/>
          <w:szCs w:val="24"/>
        </w:rPr>
        <w:t>;</w:t>
      </w:r>
    </w:p>
    <w:p w:rsidR="000E127E" w:rsidRDefault="000E127E" w:rsidP="00A12E46">
      <w:pPr>
        <w:ind w:left="717" w:right="-45"/>
        <w:rPr>
          <w:color w:val="auto"/>
          <w:szCs w:val="24"/>
        </w:rPr>
      </w:pPr>
    </w:p>
    <w:p w:rsidR="00F04518" w:rsidRPr="00847A66" w:rsidRDefault="007E040B" w:rsidP="00DF63A5">
      <w:pPr>
        <w:numPr>
          <w:ilvl w:val="0"/>
          <w:numId w:val="5"/>
        </w:numPr>
        <w:ind w:right="-45"/>
        <w:rPr>
          <w:color w:val="auto"/>
          <w:szCs w:val="24"/>
        </w:rPr>
      </w:pPr>
      <w:r w:rsidRPr="00847A66">
        <w:rPr>
          <w:color w:val="auto"/>
          <w:szCs w:val="24"/>
        </w:rPr>
        <w:t>p</w:t>
      </w:r>
      <w:r w:rsidR="00F04518" w:rsidRPr="00847A66">
        <w:rPr>
          <w:color w:val="auto"/>
          <w:szCs w:val="24"/>
        </w:rPr>
        <w:t xml:space="preserve">rescribe </w:t>
      </w:r>
      <w:r w:rsidR="003E2669" w:rsidRPr="00847A66">
        <w:rPr>
          <w:color w:val="auto"/>
          <w:szCs w:val="24"/>
        </w:rPr>
        <w:t xml:space="preserve">new </w:t>
      </w:r>
      <w:r w:rsidR="007A4EC7">
        <w:rPr>
          <w:color w:val="auto"/>
          <w:szCs w:val="24"/>
        </w:rPr>
        <w:t>methods</w:t>
      </w:r>
      <w:r w:rsidR="003E2669" w:rsidRPr="00847A66">
        <w:rPr>
          <w:color w:val="auto"/>
          <w:szCs w:val="24"/>
        </w:rPr>
        <w:t xml:space="preserve"> of</w:t>
      </w:r>
      <w:r w:rsidRPr="00847A66">
        <w:rPr>
          <w:color w:val="auto"/>
          <w:szCs w:val="24"/>
        </w:rPr>
        <w:t xml:space="preserve"> </w:t>
      </w:r>
      <w:r w:rsidR="003E2669" w:rsidRPr="00847A66">
        <w:rPr>
          <w:color w:val="auto"/>
          <w:szCs w:val="24"/>
        </w:rPr>
        <w:t>working out</w:t>
      </w:r>
      <w:r w:rsidR="00F04518" w:rsidRPr="00847A66">
        <w:rPr>
          <w:color w:val="auto"/>
          <w:szCs w:val="24"/>
        </w:rPr>
        <w:t xml:space="preserve"> a school’s C</w:t>
      </w:r>
      <w:r w:rsidR="003E2669" w:rsidRPr="00847A66">
        <w:rPr>
          <w:color w:val="auto"/>
          <w:szCs w:val="24"/>
        </w:rPr>
        <w:t xml:space="preserve">TC score </w:t>
      </w:r>
      <w:r w:rsidR="00D96F2C" w:rsidRPr="00847A66">
        <w:rPr>
          <w:color w:val="auto"/>
          <w:szCs w:val="24"/>
        </w:rPr>
        <w:t>for</w:t>
      </w:r>
      <w:r w:rsidRPr="00847A66">
        <w:rPr>
          <w:color w:val="auto"/>
          <w:szCs w:val="24"/>
        </w:rPr>
        <w:t xml:space="preserve"> subsection 52(1) of the Act based on the DMI </w:t>
      </w:r>
      <w:r w:rsidR="00CA53FA" w:rsidRPr="00847A66">
        <w:rPr>
          <w:color w:val="auto"/>
          <w:szCs w:val="24"/>
        </w:rPr>
        <w:t>methodology</w:t>
      </w:r>
      <w:r w:rsidRPr="00847A66">
        <w:rPr>
          <w:color w:val="auto"/>
          <w:szCs w:val="24"/>
        </w:rPr>
        <w:t>,</w:t>
      </w:r>
      <w:r w:rsidR="00CA53FA" w:rsidRPr="00847A66">
        <w:rPr>
          <w:color w:val="auto"/>
          <w:szCs w:val="24"/>
        </w:rPr>
        <w:t xml:space="preserve"> or </w:t>
      </w:r>
      <w:r w:rsidR="00597F14" w:rsidRPr="00847A66">
        <w:rPr>
          <w:color w:val="auto"/>
          <w:szCs w:val="24"/>
        </w:rPr>
        <w:t>alternative</w:t>
      </w:r>
      <w:r w:rsidR="00F34D02" w:rsidRPr="00847A66">
        <w:rPr>
          <w:color w:val="auto"/>
          <w:szCs w:val="24"/>
        </w:rPr>
        <w:t>s</w:t>
      </w:r>
      <w:r w:rsidR="00597F14" w:rsidRPr="00847A66">
        <w:rPr>
          <w:color w:val="auto"/>
          <w:szCs w:val="24"/>
        </w:rPr>
        <w:t xml:space="preserve"> </w:t>
      </w:r>
      <w:r w:rsidR="00CA53FA" w:rsidRPr="00847A66">
        <w:rPr>
          <w:color w:val="auto"/>
          <w:szCs w:val="24"/>
        </w:rPr>
        <w:t>based on the 2011 Census SES, 2016 Census SES score and refined area based score</w:t>
      </w:r>
      <w:r w:rsidR="00006E08">
        <w:rPr>
          <w:color w:val="auto"/>
          <w:szCs w:val="24"/>
        </w:rPr>
        <w:t xml:space="preserve"> and require the Minister to publish CTC scores that are the result of</w:t>
      </w:r>
      <w:r w:rsidR="000E127E">
        <w:rPr>
          <w:color w:val="auto"/>
          <w:szCs w:val="24"/>
        </w:rPr>
        <w:t xml:space="preserve"> a</w:t>
      </w:r>
      <w:r w:rsidR="00006E08">
        <w:rPr>
          <w:color w:val="auto"/>
          <w:szCs w:val="24"/>
        </w:rPr>
        <w:t xml:space="preserve"> Ministerial determination that is not in accordance with the </w:t>
      </w:r>
      <w:r w:rsidR="00D67143">
        <w:rPr>
          <w:color w:val="auto"/>
          <w:szCs w:val="24"/>
        </w:rPr>
        <w:t>Principal R</w:t>
      </w:r>
      <w:r w:rsidR="00006E08">
        <w:rPr>
          <w:color w:val="auto"/>
          <w:szCs w:val="24"/>
        </w:rPr>
        <w:t>egulation</w:t>
      </w:r>
      <w:r w:rsidR="000E127E">
        <w:rPr>
          <w:color w:val="auto"/>
          <w:szCs w:val="24"/>
        </w:rPr>
        <w:t xml:space="preserve"> </w:t>
      </w:r>
      <w:r w:rsidR="00632FC1">
        <w:rPr>
          <w:color w:val="auto"/>
          <w:szCs w:val="24"/>
        </w:rPr>
        <w:t>(Schedule 2)</w:t>
      </w:r>
      <w:r w:rsidR="00632FC1" w:rsidRPr="00847A66">
        <w:rPr>
          <w:color w:val="auto"/>
          <w:szCs w:val="24"/>
        </w:rPr>
        <w:t>.</w:t>
      </w:r>
    </w:p>
    <w:p w:rsidR="00DF63A5" w:rsidRPr="0012119C" w:rsidRDefault="00DF63A5" w:rsidP="00C205C1">
      <w:pPr>
        <w:pStyle w:val="Heading2"/>
      </w:pPr>
      <w:r w:rsidRPr="0012119C">
        <w:t>Regulation Impact Statement (RIS)</w:t>
      </w:r>
    </w:p>
    <w:p w:rsidR="00DF63A5" w:rsidRPr="0012119C" w:rsidRDefault="00DF63A5" w:rsidP="00DF63A5">
      <w:pPr>
        <w:spacing w:before="120" w:after="120"/>
        <w:rPr>
          <w:color w:val="auto"/>
          <w:szCs w:val="24"/>
        </w:rPr>
      </w:pPr>
      <w:r w:rsidRPr="0012119C">
        <w:rPr>
          <w:color w:val="auto"/>
          <w:szCs w:val="24"/>
        </w:rPr>
        <w:t>The Office of Best Practice Regulation (OBPR) was consulted on the move to the DMI</w:t>
      </w:r>
      <w:r w:rsidR="0061577E" w:rsidRPr="0012119C">
        <w:rPr>
          <w:color w:val="auto"/>
          <w:szCs w:val="24"/>
        </w:rPr>
        <w:t xml:space="preserve"> methodology</w:t>
      </w:r>
      <w:r w:rsidRPr="0012119C">
        <w:rPr>
          <w:color w:val="auto"/>
          <w:szCs w:val="24"/>
        </w:rPr>
        <w:t xml:space="preserve"> (OBPR ID: 25572) and assessed the regulatory impact as minor. OBPR noted the regulatory impact was previously assessed under OBPR IDs 24215 and 24034 as minor. </w:t>
      </w:r>
      <w:r w:rsidR="00A379B9">
        <w:rPr>
          <w:color w:val="auto"/>
          <w:szCs w:val="24"/>
        </w:rPr>
        <w:t>OBPR stated that the RISs provided meet</w:t>
      </w:r>
      <w:r w:rsidR="009B644F">
        <w:rPr>
          <w:color w:val="auto"/>
          <w:szCs w:val="24"/>
        </w:rPr>
        <w:t xml:space="preserve"> requirements</w:t>
      </w:r>
      <w:r w:rsidR="002A7B40">
        <w:rPr>
          <w:color w:val="auto"/>
          <w:szCs w:val="24"/>
        </w:rPr>
        <w:t xml:space="preserve"> </w:t>
      </w:r>
      <w:r w:rsidR="00A379B9">
        <w:rPr>
          <w:color w:val="auto"/>
          <w:szCs w:val="24"/>
        </w:rPr>
        <w:t xml:space="preserve">and no further RIS is required. </w:t>
      </w:r>
    </w:p>
    <w:p w:rsidR="00DF63A5" w:rsidRPr="0012119C" w:rsidRDefault="00DF63A5" w:rsidP="00C205C1">
      <w:pPr>
        <w:pStyle w:val="Heading2"/>
      </w:pPr>
      <w:r w:rsidRPr="0012119C">
        <w:t>Commencement</w:t>
      </w:r>
    </w:p>
    <w:p w:rsidR="00DF63A5" w:rsidRPr="0012119C" w:rsidRDefault="00DF63A5" w:rsidP="00DF63A5">
      <w:pPr>
        <w:spacing w:before="120" w:after="120"/>
        <w:rPr>
          <w:color w:val="auto"/>
          <w:szCs w:val="24"/>
        </w:rPr>
      </w:pPr>
      <w:r w:rsidRPr="0012119C">
        <w:rPr>
          <w:color w:val="auto"/>
          <w:szCs w:val="24"/>
        </w:rPr>
        <w:t>The Amendment Regulations commence on the day after they are registered on the Federal Register of Legislation.</w:t>
      </w:r>
    </w:p>
    <w:p w:rsidR="00DF63A5" w:rsidRPr="0012119C" w:rsidRDefault="00DF63A5" w:rsidP="00C205C1">
      <w:pPr>
        <w:pStyle w:val="Heading2"/>
      </w:pPr>
      <w:r w:rsidRPr="0012119C">
        <w:t>Consultation</w:t>
      </w:r>
    </w:p>
    <w:p w:rsidR="00CD7EED" w:rsidRDefault="00DF63A5" w:rsidP="006E3A3E">
      <w:pPr>
        <w:spacing w:before="120" w:after="120"/>
        <w:rPr>
          <w:color w:val="auto"/>
          <w:szCs w:val="24"/>
        </w:rPr>
      </w:pPr>
      <w:r w:rsidRPr="0012119C">
        <w:rPr>
          <w:color w:val="auto"/>
          <w:szCs w:val="24"/>
        </w:rPr>
        <w:t>The Minister for Education wrote to all state and territory education ministers, the Independent Schools Council of Australia</w:t>
      </w:r>
      <w:r w:rsidR="00672B60">
        <w:rPr>
          <w:color w:val="auto"/>
          <w:szCs w:val="24"/>
        </w:rPr>
        <w:t xml:space="preserve"> (</w:t>
      </w:r>
      <w:r w:rsidR="00672B60" w:rsidRPr="00A12E46">
        <w:rPr>
          <w:b/>
          <w:color w:val="auto"/>
          <w:szCs w:val="24"/>
        </w:rPr>
        <w:t>ISCA</w:t>
      </w:r>
      <w:r w:rsidR="00672B60">
        <w:rPr>
          <w:color w:val="auto"/>
          <w:szCs w:val="24"/>
        </w:rPr>
        <w:t>)</w:t>
      </w:r>
      <w:r w:rsidRPr="0012119C">
        <w:rPr>
          <w:color w:val="auto"/>
          <w:szCs w:val="24"/>
        </w:rPr>
        <w:t xml:space="preserve">, and the National Catholic Education Commission </w:t>
      </w:r>
      <w:r w:rsidR="00672B60">
        <w:rPr>
          <w:color w:val="auto"/>
          <w:szCs w:val="24"/>
        </w:rPr>
        <w:t>(</w:t>
      </w:r>
      <w:r w:rsidR="00672B60" w:rsidRPr="00A12E46">
        <w:rPr>
          <w:b/>
          <w:color w:val="auto"/>
          <w:szCs w:val="24"/>
        </w:rPr>
        <w:t>NCEC</w:t>
      </w:r>
      <w:r w:rsidR="00672B60">
        <w:rPr>
          <w:color w:val="auto"/>
          <w:szCs w:val="24"/>
        </w:rPr>
        <w:t xml:space="preserve">) </w:t>
      </w:r>
      <w:r w:rsidRPr="0012119C">
        <w:rPr>
          <w:color w:val="auto"/>
          <w:szCs w:val="24"/>
        </w:rPr>
        <w:t xml:space="preserve">in </w:t>
      </w:r>
      <w:r w:rsidR="001A17BE">
        <w:rPr>
          <w:color w:val="auto"/>
          <w:szCs w:val="24"/>
        </w:rPr>
        <w:t>March</w:t>
      </w:r>
      <w:r w:rsidR="001A17BE" w:rsidRPr="0012119C">
        <w:rPr>
          <w:color w:val="auto"/>
          <w:szCs w:val="24"/>
        </w:rPr>
        <w:t> </w:t>
      </w:r>
      <w:r w:rsidRPr="0012119C">
        <w:rPr>
          <w:color w:val="auto"/>
          <w:szCs w:val="24"/>
        </w:rPr>
        <w:t xml:space="preserve">2020 to formally consult on the Amendment Regulations. </w:t>
      </w:r>
      <w:r w:rsidR="00B139BA">
        <w:rPr>
          <w:color w:val="auto"/>
          <w:szCs w:val="24"/>
        </w:rPr>
        <w:t>An Exposure</w:t>
      </w:r>
      <w:r w:rsidR="00672B60">
        <w:rPr>
          <w:color w:val="auto"/>
          <w:szCs w:val="24"/>
        </w:rPr>
        <w:t xml:space="preserve"> Draft</w:t>
      </w:r>
      <w:r w:rsidR="00B139BA">
        <w:rPr>
          <w:color w:val="auto"/>
          <w:szCs w:val="24"/>
        </w:rPr>
        <w:t xml:space="preserve"> of the Amendment Regulation</w:t>
      </w:r>
      <w:r w:rsidR="00106875">
        <w:rPr>
          <w:color w:val="auto"/>
          <w:szCs w:val="24"/>
        </w:rPr>
        <w:t>s</w:t>
      </w:r>
      <w:r w:rsidR="00672B60">
        <w:rPr>
          <w:color w:val="auto"/>
          <w:szCs w:val="24"/>
        </w:rPr>
        <w:t xml:space="preserve">, Explanatory Document, </w:t>
      </w:r>
      <w:r w:rsidR="00672B60" w:rsidRPr="000A75AE">
        <w:rPr>
          <w:i/>
          <w:color w:val="auto"/>
          <w:szCs w:val="24"/>
        </w:rPr>
        <w:t>Direct Measure of Income Methodology</w:t>
      </w:r>
      <w:r w:rsidR="00672B60">
        <w:rPr>
          <w:color w:val="auto"/>
          <w:szCs w:val="24"/>
        </w:rPr>
        <w:t xml:space="preserve"> document and the </w:t>
      </w:r>
      <w:r w:rsidR="00672B60" w:rsidRPr="000A75AE">
        <w:rPr>
          <w:i/>
          <w:color w:val="auto"/>
          <w:szCs w:val="24"/>
        </w:rPr>
        <w:t>Capacity to Contribute Data Validation and Quality Assurance Process</w:t>
      </w:r>
      <w:r w:rsidR="00672B60">
        <w:rPr>
          <w:color w:val="auto"/>
          <w:szCs w:val="24"/>
        </w:rPr>
        <w:t xml:space="preserve"> document</w:t>
      </w:r>
      <w:r w:rsidR="00672B60" w:rsidRPr="0012119C">
        <w:rPr>
          <w:color w:val="auto"/>
          <w:szCs w:val="24"/>
        </w:rPr>
        <w:t xml:space="preserve"> </w:t>
      </w:r>
      <w:r w:rsidR="00672B60">
        <w:rPr>
          <w:color w:val="auto"/>
          <w:szCs w:val="24"/>
        </w:rPr>
        <w:t>was provided.</w:t>
      </w:r>
      <w:r w:rsidR="00CD7EED">
        <w:rPr>
          <w:color w:val="auto"/>
          <w:szCs w:val="24"/>
        </w:rPr>
        <w:t xml:space="preserve"> At the date of making, the </w:t>
      </w:r>
      <w:r w:rsidR="00CD7EED">
        <w:rPr>
          <w:i/>
          <w:color w:val="auto"/>
          <w:szCs w:val="24"/>
        </w:rPr>
        <w:t xml:space="preserve">Direct Measure of Income Methodology </w:t>
      </w:r>
      <w:r w:rsidR="00CD7EED">
        <w:rPr>
          <w:color w:val="auto"/>
          <w:szCs w:val="24"/>
        </w:rPr>
        <w:t xml:space="preserve">document could be found at </w:t>
      </w:r>
      <w:hyperlink r:id="rId12" w:history="1">
        <w:r w:rsidR="00CD7EED" w:rsidRPr="009A6D3E">
          <w:rPr>
            <w:rStyle w:val="Hyperlink"/>
            <w:szCs w:val="24"/>
          </w:rPr>
          <w:t>https://docs.education.gov.au/node/53379</w:t>
        </w:r>
      </w:hyperlink>
      <w:r w:rsidR="00CD7EED">
        <w:rPr>
          <w:szCs w:val="24"/>
          <w:lang w:val="en-US"/>
        </w:rPr>
        <w:t xml:space="preserve"> and the </w:t>
      </w:r>
      <w:r w:rsidR="00CD7EED">
        <w:rPr>
          <w:i/>
          <w:szCs w:val="24"/>
          <w:lang w:val="en-US"/>
        </w:rPr>
        <w:t xml:space="preserve">Capacity to Contribute Data Validation and Quality Assurance Process document </w:t>
      </w:r>
      <w:r w:rsidR="00CD7EED">
        <w:rPr>
          <w:szCs w:val="24"/>
          <w:lang w:val="en-US"/>
        </w:rPr>
        <w:t xml:space="preserve">could be found at </w:t>
      </w:r>
      <w:hyperlink r:id="rId13" w:history="1">
        <w:r w:rsidR="00CD7EED" w:rsidRPr="009A6D3E">
          <w:rPr>
            <w:rStyle w:val="Hyperlink"/>
            <w:szCs w:val="24"/>
          </w:rPr>
          <w:t>https://docs.education.gov.au/node/53378</w:t>
        </w:r>
      </w:hyperlink>
      <w:r w:rsidR="003B643B">
        <w:rPr>
          <w:color w:val="auto"/>
          <w:szCs w:val="24"/>
        </w:rPr>
        <w:t>.</w:t>
      </w:r>
    </w:p>
    <w:p w:rsidR="002E3942" w:rsidRDefault="00DF63A5" w:rsidP="00A12E46">
      <w:pPr>
        <w:spacing w:before="120" w:after="120"/>
        <w:rPr>
          <w:color w:val="auto"/>
          <w:szCs w:val="24"/>
        </w:rPr>
      </w:pPr>
      <w:r w:rsidRPr="0012119C">
        <w:rPr>
          <w:color w:val="auto"/>
          <w:szCs w:val="24"/>
        </w:rPr>
        <w:t>All feedback received during the consultation period was considered prior to finalising the Amendment Regulations.</w:t>
      </w:r>
      <w:r w:rsidR="00672B60" w:rsidRPr="00672B60">
        <w:rPr>
          <w:color w:val="auto"/>
          <w:szCs w:val="24"/>
        </w:rPr>
        <w:t xml:space="preserve"> </w:t>
      </w:r>
      <w:r w:rsidR="00964C00">
        <w:rPr>
          <w:color w:val="auto"/>
          <w:szCs w:val="24"/>
        </w:rPr>
        <w:t xml:space="preserve">The </w:t>
      </w:r>
      <w:r w:rsidR="00672B60">
        <w:rPr>
          <w:color w:val="auto"/>
          <w:szCs w:val="24"/>
        </w:rPr>
        <w:t xml:space="preserve">NCEC were supportive of the Amendment Regulations. </w:t>
      </w:r>
      <w:r w:rsidR="00964C00">
        <w:rPr>
          <w:color w:val="auto"/>
          <w:szCs w:val="24"/>
        </w:rPr>
        <w:t xml:space="preserve">The </w:t>
      </w:r>
      <w:r w:rsidR="00672B60">
        <w:rPr>
          <w:color w:val="auto"/>
          <w:szCs w:val="24"/>
        </w:rPr>
        <w:t xml:space="preserve">ISCA requested further information on the definition for small and very small schools. This information has been provided to </w:t>
      </w:r>
      <w:r w:rsidR="00964C00">
        <w:rPr>
          <w:color w:val="auto"/>
          <w:szCs w:val="24"/>
        </w:rPr>
        <w:t xml:space="preserve">the </w:t>
      </w:r>
      <w:r w:rsidR="00672B60">
        <w:rPr>
          <w:color w:val="auto"/>
          <w:szCs w:val="24"/>
        </w:rPr>
        <w:t xml:space="preserve">ISCA </w:t>
      </w:r>
      <w:r w:rsidR="00162EC3">
        <w:rPr>
          <w:color w:val="auto"/>
          <w:szCs w:val="24"/>
        </w:rPr>
        <w:t xml:space="preserve">who were advised that </w:t>
      </w:r>
      <w:r w:rsidR="00162EC3">
        <w:t>the definition of small and very small schools are defined in the Act at subsection 43(1)</w:t>
      </w:r>
      <w:r w:rsidR="00672B60">
        <w:rPr>
          <w:color w:val="auto"/>
          <w:szCs w:val="24"/>
        </w:rPr>
        <w:t xml:space="preserve">. </w:t>
      </w:r>
      <w:r w:rsidR="005C6BA0">
        <w:rPr>
          <w:color w:val="auto"/>
          <w:szCs w:val="24"/>
        </w:rPr>
        <w:t xml:space="preserve">The </w:t>
      </w:r>
      <w:r w:rsidR="002E3942">
        <w:rPr>
          <w:color w:val="auto"/>
          <w:szCs w:val="24"/>
        </w:rPr>
        <w:t>Queen</w:t>
      </w:r>
      <w:r w:rsidR="00953E39">
        <w:rPr>
          <w:color w:val="auto"/>
          <w:szCs w:val="24"/>
        </w:rPr>
        <w:t>sland Minister for Education, the Hon</w:t>
      </w:r>
      <w:r w:rsidR="00170C9F">
        <w:rPr>
          <w:color w:val="auto"/>
          <w:szCs w:val="24"/>
        </w:rPr>
        <w:t> </w:t>
      </w:r>
      <w:r w:rsidR="002E3942">
        <w:rPr>
          <w:color w:val="auto"/>
          <w:szCs w:val="24"/>
        </w:rPr>
        <w:t>Grace</w:t>
      </w:r>
      <w:r w:rsidR="00170C9F">
        <w:rPr>
          <w:color w:val="auto"/>
          <w:szCs w:val="24"/>
        </w:rPr>
        <w:t> </w:t>
      </w:r>
      <w:proofErr w:type="spellStart"/>
      <w:r w:rsidR="002E3942">
        <w:rPr>
          <w:color w:val="auto"/>
          <w:szCs w:val="24"/>
        </w:rPr>
        <w:t>Grace</w:t>
      </w:r>
      <w:proofErr w:type="spellEnd"/>
      <w:r w:rsidR="00170C9F">
        <w:rPr>
          <w:color w:val="auto"/>
          <w:szCs w:val="24"/>
        </w:rPr>
        <w:t> </w:t>
      </w:r>
      <w:r w:rsidR="002E3942">
        <w:rPr>
          <w:color w:val="auto"/>
          <w:szCs w:val="24"/>
        </w:rPr>
        <w:t>MP noted the Amendment Regulations include a new requirement for approved authorities to provide information about non</w:t>
      </w:r>
      <w:r w:rsidR="002E3942">
        <w:rPr>
          <w:color w:val="auto"/>
          <w:szCs w:val="24"/>
        </w:rPr>
        <w:noBreakHyphen/>
        <w:t>government distance education</w:t>
      </w:r>
      <w:r w:rsidR="00170C9F">
        <w:rPr>
          <w:color w:val="auto"/>
          <w:szCs w:val="24"/>
        </w:rPr>
        <w:t xml:space="preserve"> and </w:t>
      </w:r>
      <w:r w:rsidR="002E3942">
        <w:rPr>
          <w:color w:val="auto"/>
          <w:szCs w:val="24"/>
        </w:rPr>
        <w:t xml:space="preserve">raised concerns that the </w:t>
      </w:r>
      <w:r w:rsidR="00170C9F">
        <w:rPr>
          <w:color w:val="auto"/>
          <w:szCs w:val="24"/>
        </w:rPr>
        <w:t>Principal Regulation was already amended to increase funding for these schools. The proposed Amendment Regulations do no change funding arrangements for non</w:t>
      </w:r>
      <w:r w:rsidR="00170C9F">
        <w:rPr>
          <w:color w:val="auto"/>
          <w:szCs w:val="24"/>
        </w:rPr>
        <w:noBreakHyphen/>
        <w:t xml:space="preserve">government distance education schools. The additional information will be used to inform future school funding policy. </w:t>
      </w:r>
    </w:p>
    <w:p w:rsidR="00EA6A73" w:rsidRPr="00EA6A73" w:rsidRDefault="00EA6A73" w:rsidP="00A12E46">
      <w:pPr>
        <w:spacing w:before="120" w:after="120"/>
        <w:rPr>
          <w:color w:val="auto"/>
          <w:szCs w:val="24"/>
        </w:rPr>
      </w:pPr>
      <w:r w:rsidRPr="00EA6A73">
        <w:rPr>
          <w:color w:val="auto"/>
          <w:szCs w:val="24"/>
        </w:rPr>
        <w:t xml:space="preserve">The final </w:t>
      </w:r>
      <w:r w:rsidR="00964C00">
        <w:rPr>
          <w:color w:val="auto"/>
          <w:szCs w:val="24"/>
        </w:rPr>
        <w:t>DMI</w:t>
      </w:r>
      <w:r w:rsidRPr="00EA6A73">
        <w:rPr>
          <w:color w:val="auto"/>
          <w:szCs w:val="24"/>
        </w:rPr>
        <w:t xml:space="preserve"> methodology </w:t>
      </w:r>
      <w:r>
        <w:rPr>
          <w:color w:val="auto"/>
          <w:szCs w:val="24"/>
        </w:rPr>
        <w:t xml:space="preserve">in the Amendment Regulations </w:t>
      </w:r>
      <w:r w:rsidRPr="00EA6A73">
        <w:rPr>
          <w:color w:val="auto"/>
          <w:szCs w:val="24"/>
        </w:rPr>
        <w:t>was developed in consultation with the non</w:t>
      </w:r>
      <w:r w:rsidRPr="00EA6A73">
        <w:rPr>
          <w:color w:val="auto"/>
          <w:szCs w:val="24"/>
        </w:rPr>
        <w:noBreakHyphen/>
        <w:t>government school sector and technical experts from the non-government and government sectors. A Technical Working Group was established in November 2018 and met seven times to discuss the strengths and weaknesses of possible refinements to the direct measure of income. The Technical Working Group consisted of key stakeholders from</w:t>
      </w:r>
      <w:r w:rsidR="00964C00">
        <w:rPr>
          <w:color w:val="auto"/>
          <w:szCs w:val="24"/>
        </w:rPr>
        <w:t xml:space="preserve"> the</w:t>
      </w:r>
      <w:r w:rsidRPr="00EA6A73">
        <w:rPr>
          <w:color w:val="auto"/>
          <w:szCs w:val="24"/>
        </w:rPr>
        <w:t xml:space="preserve"> NCEC, </w:t>
      </w:r>
      <w:r w:rsidR="00964C00">
        <w:rPr>
          <w:color w:val="auto"/>
          <w:szCs w:val="24"/>
        </w:rPr>
        <w:t xml:space="preserve">the </w:t>
      </w:r>
      <w:r w:rsidRPr="00EA6A73">
        <w:rPr>
          <w:color w:val="auto"/>
          <w:szCs w:val="24"/>
        </w:rPr>
        <w:t xml:space="preserve">ISCA, </w:t>
      </w:r>
      <w:r w:rsidR="00964C00">
        <w:rPr>
          <w:color w:val="auto"/>
          <w:szCs w:val="24"/>
        </w:rPr>
        <w:t xml:space="preserve">the </w:t>
      </w:r>
      <w:r w:rsidRPr="00EA6A73">
        <w:rPr>
          <w:color w:val="auto"/>
          <w:szCs w:val="24"/>
        </w:rPr>
        <w:t>Australian Bureau of Statistics (</w:t>
      </w:r>
      <w:r w:rsidRPr="00A12E46">
        <w:rPr>
          <w:b/>
          <w:color w:val="auto"/>
          <w:szCs w:val="24"/>
        </w:rPr>
        <w:t>ABS</w:t>
      </w:r>
      <w:r w:rsidRPr="00EA6A73">
        <w:rPr>
          <w:color w:val="auto"/>
          <w:szCs w:val="24"/>
        </w:rPr>
        <w:t xml:space="preserve">), </w:t>
      </w:r>
      <w:r w:rsidR="00964C00">
        <w:rPr>
          <w:color w:val="auto"/>
          <w:szCs w:val="24"/>
        </w:rPr>
        <w:t xml:space="preserve">the </w:t>
      </w:r>
      <w:r w:rsidRPr="00EA6A73">
        <w:rPr>
          <w:color w:val="auto"/>
          <w:szCs w:val="24"/>
        </w:rPr>
        <w:t>Australian Taxation Office, and state education representative</w:t>
      </w:r>
      <w:r w:rsidR="00324C2F">
        <w:rPr>
          <w:color w:val="auto"/>
          <w:szCs w:val="24"/>
        </w:rPr>
        <w:t>s</w:t>
      </w:r>
      <w:r w:rsidRPr="00EA6A73">
        <w:rPr>
          <w:color w:val="auto"/>
          <w:szCs w:val="24"/>
        </w:rPr>
        <w:t xml:space="preserve"> from South Australia, New South Wales and Northern Territory, as well as the </w:t>
      </w:r>
      <w:r w:rsidR="003F44B1">
        <w:rPr>
          <w:color w:val="auto"/>
          <w:szCs w:val="24"/>
        </w:rPr>
        <w:t>D</w:t>
      </w:r>
      <w:r w:rsidR="00F4624F" w:rsidRPr="005C6BA0">
        <w:rPr>
          <w:color w:val="auto"/>
          <w:szCs w:val="24"/>
        </w:rPr>
        <w:t>epartment</w:t>
      </w:r>
      <w:r w:rsidR="003F44B1">
        <w:rPr>
          <w:color w:val="auto"/>
          <w:szCs w:val="24"/>
        </w:rPr>
        <w:t xml:space="preserve"> of Education, Skills and Employment</w:t>
      </w:r>
      <w:r w:rsidRPr="00EA6A73">
        <w:rPr>
          <w:color w:val="auto"/>
          <w:szCs w:val="24"/>
        </w:rPr>
        <w:t xml:space="preserve">. </w:t>
      </w:r>
    </w:p>
    <w:p w:rsidR="00DF63A5" w:rsidRPr="00FB3717" w:rsidRDefault="00EA6A73" w:rsidP="00A12E46">
      <w:pPr>
        <w:spacing w:before="120" w:after="120"/>
        <w:ind w:right="-285"/>
        <w:rPr>
          <w:b/>
          <w:color w:val="auto"/>
          <w:szCs w:val="24"/>
          <w:u w:val="single"/>
        </w:rPr>
      </w:pPr>
      <w:r w:rsidRPr="00EA6A73">
        <w:rPr>
          <w:color w:val="auto"/>
          <w:szCs w:val="24"/>
        </w:rPr>
        <w:t xml:space="preserve">Broader consultation occurred through a number of different activities, including forums that the department hosted on 25 February 2019, 19 September 2019 and 17 March 2020 to discuss the new measure with a broader range of interested stakeholders such as representatives of parent groups and all system authorities as well as technical consultation with both </w:t>
      </w:r>
      <w:r w:rsidR="00964C00">
        <w:rPr>
          <w:color w:val="auto"/>
          <w:szCs w:val="24"/>
        </w:rPr>
        <w:t xml:space="preserve">the </w:t>
      </w:r>
      <w:r w:rsidRPr="00EA6A73">
        <w:rPr>
          <w:color w:val="auto"/>
          <w:szCs w:val="24"/>
        </w:rPr>
        <w:t>NCEC and</w:t>
      </w:r>
      <w:r w:rsidR="00964C00">
        <w:rPr>
          <w:color w:val="auto"/>
          <w:szCs w:val="24"/>
        </w:rPr>
        <w:t xml:space="preserve"> the</w:t>
      </w:r>
      <w:r w:rsidRPr="00EA6A73">
        <w:rPr>
          <w:color w:val="auto"/>
          <w:szCs w:val="24"/>
        </w:rPr>
        <w:t xml:space="preserve"> ISCA. At the 17</w:t>
      </w:r>
      <w:r w:rsidR="00162EC3">
        <w:rPr>
          <w:color w:val="auto"/>
          <w:szCs w:val="24"/>
        </w:rPr>
        <w:t> </w:t>
      </w:r>
      <w:r w:rsidRPr="00EA6A73">
        <w:rPr>
          <w:color w:val="auto"/>
          <w:szCs w:val="24"/>
        </w:rPr>
        <w:t>March</w:t>
      </w:r>
      <w:r w:rsidR="00162EC3">
        <w:rPr>
          <w:color w:val="auto"/>
          <w:szCs w:val="24"/>
        </w:rPr>
        <w:t> </w:t>
      </w:r>
      <w:r w:rsidR="00402CD2">
        <w:rPr>
          <w:color w:val="auto"/>
          <w:szCs w:val="24"/>
        </w:rPr>
        <w:t>2020 meeting</w:t>
      </w:r>
      <w:r w:rsidR="00964C00">
        <w:rPr>
          <w:color w:val="auto"/>
          <w:szCs w:val="24"/>
        </w:rPr>
        <w:t xml:space="preserve"> </w:t>
      </w:r>
      <w:r w:rsidRPr="00EA6A73">
        <w:rPr>
          <w:color w:val="auto"/>
          <w:szCs w:val="24"/>
        </w:rPr>
        <w:t>an overview was provided of the</w:t>
      </w:r>
      <w:r w:rsidR="00324C2F">
        <w:rPr>
          <w:color w:val="auto"/>
          <w:szCs w:val="24"/>
        </w:rPr>
        <w:t xml:space="preserve"> </w:t>
      </w:r>
      <w:r w:rsidRPr="00EA6A73">
        <w:rPr>
          <w:color w:val="auto"/>
          <w:szCs w:val="24"/>
        </w:rPr>
        <w:t>final policy settings and the intent of the Amendment Regulations.  </w:t>
      </w:r>
      <w:r w:rsidR="00DF63A5" w:rsidRPr="000F58F5">
        <w:rPr>
          <w:color w:val="auto"/>
          <w:szCs w:val="24"/>
        </w:rPr>
        <w:br w:type="page"/>
      </w:r>
      <w:r w:rsidR="00DF63A5" w:rsidRPr="00FB3717">
        <w:rPr>
          <w:b/>
          <w:color w:val="auto"/>
          <w:szCs w:val="24"/>
          <w:u w:val="single"/>
        </w:rPr>
        <w:t>Statement of Compatibility with Human Rights</w:t>
      </w:r>
    </w:p>
    <w:p w:rsidR="00DF63A5" w:rsidRPr="000F58F5" w:rsidRDefault="00DF63A5" w:rsidP="00DF63A5">
      <w:pPr>
        <w:spacing w:before="120" w:after="120"/>
        <w:jc w:val="center"/>
        <w:rPr>
          <w:color w:val="auto"/>
          <w:szCs w:val="24"/>
        </w:rPr>
      </w:pPr>
      <w:r w:rsidRPr="000F58F5">
        <w:rPr>
          <w:color w:val="auto"/>
          <w:szCs w:val="24"/>
        </w:rPr>
        <w:t xml:space="preserve">Prepared in accordance with Part 3 of the </w:t>
      </w:r>
      <w:r w:rsidRPr="000F58F5">
        <w:rPr>
          <w:i/>
          <w:color w:val="auto"/>
          <w:szCs w:val="24"/>
        </w:rPr>
        <w:t>Human Rights (Parliamentary Scrutiny) Act 2011</w:t>
      </w:r>
    </w:p>
    <w:p w:rsidR="00DF63A5" w:rsidRPr="000F58F5" w:rsidRDefault="00DF63A5" w:rsidP="00DF63A5">
      <w:pPr>
        <w:spacing w:before="120" w:after="120"/>
        <w:jc w:val="center"/>
        <w:rPr>
          <w:i/>
          <w:color w:val="auto"/>
          <w:szCs w:val="24"/>
        </w:rPr>
      </w:pPr>
      <w:r w:rsidRPr="000F58F5">
        <w:rPr>
          <w:i/>
          <w:iCs/>
          <w:color w:val="auto"/>
          <w:szCs w:val="24"/>
        </w:rPr>
        <w:t>Australian Education Amendment</w:t>
      </w:r>
      <w:r>
        <w:rPr>
          <w:i/>
          <w:iCs/>
          <w:color w:val="auto"/>
          <w:szCs w:val="24"/>
        </w:rPr>
        <w:t xml:space="preserve"> </w:t>
      </w:r>
      <w:r w:rsidRPr="00E2220B">
        <w:rPr>
          <w:i/>
          <w:iCs/>
          <w:color w:val="auto"/>
          <w:szCs w:val="24"/>
        </w:rPr>
        <w:t>(</w:t>
      </w:r>
      <w:r>
        <w:rPr>
          <w:i/>
          <w:iCs/>
          <w:color w:val="auto"/>
          <w:szCs w:val="24"/>
        </w:rPr>
        <w:t xml:space="preserve">2020 </w:t>
      </w:r>
      <w:r w:rsidRPr="00E2220B">
        <w:rPr>
          <w:i/>
          <w:iCs/>
          <w:color w:val="auto"/>
          <w:szCs w:val="24"/>
        </w:rPr>
        <w:t>Measure</w:t>
      </w:r>
      <w:r>
        <w:rPr>
          <w:i/>
          <w:iCs/>
          <w:color w:val="auto"/>
          <w:szCs w:val="24"/>
        </w:rPr>
        <w:t>s No. 1</w:t>
      </w:r>
      <w:r w:rsidRPr="00E2220B">
        <w:rPr>
          <w:i/>
          <w:iCs/>
          <w:color w:val="auto"/>
          <w:szCs w:val="24"/>
        </w:rPr>
        <w:t>) Regulations 2020</w:t>
      </w:r>
    </w:p>
    <w:p w:rsidR="00DF63A5" w:rsidRPr="000F58F5" w:rsidRDefault="00DF63A5" w:rsidP="00DF63A5">
      <w:pPr>
        <w:spacing w:before="240" w:after="120"/>
        <w:rPr>
          <w:color w:val="auto"/>
          <w:szCs w:val="24"/>
        </w:rPr>
      </w:pPr>
      <w:r w:rsidRPr="00E2220B">
        <w:rPr>
          <w:color w:val="auto"/>
          <w:szCs w:val="24"/>
        </w:rPr>
        <w:t>The</w:t>
      </w:r>
      <w:r w:rsidRPr="000F58F5">
        <w:rPr>
          <w:i/>
          <w:color w:val="auto"/>
          <w:szCs w:val="24"/>
        </w:rPr>
        <w:t xml:space="preserve"> Australian Education Amendment </w:t>
      </w:r>
      <w:r w:rsidRPr="00E2220B">
        <w:rPr>
          <w:i/>
          <w:color w:val="auto"/>
          <w:szCs w:val="24"/>
        </w:rPr>
        <w:t xml:space="preserve">(2020 </w:t>
      </w:r>
      <w:r w:rsidRPr="00E2220B">
        <w:rPr>
          <w:i/>
          <w:iCs/>
          <w:color w:val="auto"/>
          <w:szCs w:val="24"/>
        </w:rPr>
        <w:t>Measure</w:t>
      </w:r>
      <w:r>
        <w:rPr>
          <w:i/>
          <w:iCs/>
          <w:color w:val="auto"/>
          <w:szCs w:val="24"/>
        </w:rPr>
        <w:t>s No. 1</w:t>
      </w:r>
      <w:r w:rsidRPr="00E2220B">
        <w:rPr>
          <w:i/>
          <w:color w:val="auto"/>
          <w:szCs w:val="24"/>
        </w:rPr>
        <w:t>) Regulations 2020</w:t>
      </w:r>
      <w:r w:rsidRPr="000F58F5">
        <w:rPr>
          <w:color w:val="auto"/>
          <w:szCs w:val="24"/>
        </w:rPr>
        <w:t xml:space="preserve"> (</w:t>
      </w:r>
      <w:r w:rsidRPr="00847A66">
        <w:rPr>
          <w:b/>
          <w:color w:val="auto"/>
          <w:szCs w:val="24"/>
        </w:rPr>
        <w:t>the Amendment Regulations</w:t>
      </w:r>
      <w:r w:rsidRPr="000F58F5">
        <w:rPr>
          <w:color w:val="auto"/>
          <w:szCs w:val="24"/>
        </w:rPr>
        <w:t xml:space="preserve">) is compatible with the human rights and freedoms recognised or declared in the international instruments listed in section 3 of the </w:t>
      </w:r>
      <w:r w:rsidRPr="000F58F5">
        <w:rPr>
          <w:i/>
          <w:color w:val="auto"/>
          <w:szCs w:val="24"/>
        </w:rPr>
        <w:t>Human Righ</w:t>
      </w:r>
      <w:r>
        <w:rPr>
          <w:i/>
          <w:color w:val="auto"/>
          <w:szCs w:val="24"/>
        </w:rPr>
        <w:t>ts (Parliamentary Scrutiny) Act </w:t>
      </w:r>
      <w:r w:rsidRPr="000F58F5">
        <w:rPr>
          <w:i/>
          <w:color w:val="auto"/>
          <w:szCs w:val="24"/>
        </w:rPr>
        <w:t>2011</w:t>
      </w:r>
      <w:r w:rsidRPr="000F58F5">
        <w:rPr>
          <w:color w:val="auto"/>
          <w:szCs w:val="24"/>
        </w:rPr>
        <w:t>.</w:t>
      </w:r>
    </w:p>
    <w:p w:rsidR="00DF63A5" w:rsidRPr="00E96CBA" w:rsidRDefault="00DF63A5" w:rsidP="00C205C1">
      <w:pPr>
        <w:pStyle w:val="Heading2"/>
      </w:pPr>
      <w:r w:rsidRPr="00E96CBA">
        <w:t>Overview</w:t>
      </w:r>
    </w:p>
    <w:p w:rsidR="00C8082B" w:rsidRDefault="00C8082B" w:rsidP="00C8082B">
      <w:pPr>
        <w:rPr>
          <w:color w:val="auto"/>
          <w:lang w:val="en-US"/>
        </w:rPr>
      </w:pPr>
      <w:r>
        <w:t xml:space="preserve">The </w:t>
      </w:r>
      <w:r>
        <w:rPr>
          <w:i/>
          <w:color w:val="auto"/>
          <w:lang w:val="en-US"/>
        </w:rPr>
        <w:t xml:space="preserve">Australian Education Act 2013 </w:t>
      </w:r>
      <w:r>
        <w:rPr>
          <w:color w:val="auto"/>
          <w:lang w:val="en-US"/>
        </w:rPr>
        <w:t>(</w:t>
      </w:r>
      <w:r>
        <w:rPr>
          <w:b/>
          <w:color w:val="auto"/>
          <w:lang w:val="en-US"/>
        </w:rPr>
        <w:t>the Act</w:t>
      </w:r>
      <w:r>
        <w:rPr>
          <w:color w:val="auto"/>
          <w:lang w:val="en-US"/>
        </w:rPr>
        <w:t xml:space="preserve">) </w:t>
      </w:r>
      <w:r>
        <w:rPr>
          <w:lang w:val="en-US"/>
        </w:rPr>
        <w:t>came into effect on 1 January 2014, and is the principal legislation for the provision of Australian Government funding for schooling.</w:t>
      </w:r>
      <w:r>
        <w:rPr>
          <w:color w:val="auto"/>
          <w:lang w:val="en-US"/>
        </w:rPr>
        <w:t xml:space="preserve"> Under section 33 of the Act, one of the factors in calculating the base amount of annual recurrent funding for a school is the school’s capacity to contribute percentage. The higher a school’s capacity to contribute percentage, the lower its base amount of annual recurrent funding, and conversely, the lower a school’s capacity to contribute percentage, the higher its base amount of annual recurrent funding.</w:t>
      </w:r>
    </w:p>
    <w:p w:rsidR="00C8082B" w:rsidRDefault="00C8082B" w:rsidP="00C8082B">
      <w:pPr>
        <w:rPr>
          <w:color w:val="auto"/>
          <w:lang w:val="en-US"/>
        </w:rPr>
      </w:pPr>
    </w:p>
    <w:p w:rsidR="00C8082B" w:rsidRDefault="00C8082B" w:rsidP="00C8082B">
      <w:pPr>
        <w:rPr>
          <w:color w:val="auto"/>
          <w:lang w:val="en-US"/>
        </w:rPr>
      </w:pPr>
      <w:r>
        <w:rPr>
          <w:color w:val="auto"/>
          <w:lang w:val="en-US"/>
        </w:rPr>
        <w:t>In accordance with subsection 54(1) of the Act, the capacity to contribute percentage of government, special, special assistance, majority Aboriginal and Torres Strait Islander, and sole provider non</w:t>
      </w:r>
      <w:r>
        <w:rPr>
          <w:color w:val="auto"/>
          <w:lang w:val="en-US"/>
        </w:rPr>
        <w:noBreakHyphen/>
        <w:t>government schools is zero. For most non</w:t>
      </w:r>
      <w:r>
        <w:rPr>
          <w:color w:val="auto"/>
          <w:lang w:val="en-US"/>
        </w:rPr>
        <w:noBreakHyphen/>
        <w:t>government schools, however, the table in subsection 54(3) of the Act sets out the school’s capacity to contribute percentage by reference to the school’s capacity to contribute (</w:t>
      </w:r>
      <w:r>
        <w:rPr>
          <w:b/>
          <w:color w:val="auto"/>
          <w:lang w:val="en-US"/>
        </w:rPr>
        <w:t>CTC</w:t>
      </w:r>
      <w:r>
        <w:rPr>
          <w:color w:val="auto"/>
          <w:lang w:val="en-US"/>
        </w:rPr>
        <w:t>) score.</w:t>
      </w:r>
    </w:p>
    <w:p w:rsidR="00C8082B" w:rsidRDefault="00C8082B" w:rsidP="00C8082B">
      <w:pPr>
        <w:rPr>
          <w:color w:val="auto"/>
          <w:lang w:val="en-US"/>
        </w:rPr>
      </w:pPr>
    </w:p>
    <w:p w:rsidR="00C8082B" w:rsidRDefault="00C8082B" w:rsidP="00C8082B">
      <w:pPr>
        <w:rPr>
          <w:color w:val="auto"/>
          <w:lang w:val="en-US"/>
        </w:rPr>
      </w:pPr>
      <w:r>
        <w:rPr>
          <w:color w:val="auto"/>
          <w:lang w:val="en-US"/>
        </w:rPr>
        <w:t>Under subsection 52(4) of the Act, a school’s CTC score must be worked out in accordance with the regulations. One of the purposes of the Amendment Regulations is to change the way in which a school’s CTC score is worked out.</w:t>
      </w:r>
    </w:p>
    <w:p w:rsidR="00C8082B" w:rsidRDefault="00C8082B" w:rsidP="00C8082B">
      <w:pPr>
        <w:rPr>
          <w:color w:val="auto"/>
          <w:lang w:val="en-US"/>
        </w:rPr>
      </w:pPr>
    </w:p>
    <w:p w:rsidR="00C8082B" w:rsidRDefault="00C8082B" w:rsidP="00C8082B">
      <w:pPr>
        <w:rPr>
          <w:color w:val="auto"/>
          <w:lang w:val="en-US"/>
        </w:rPr>
      </w:pPr>
      <w:r>
        <w:rPr>
          <w:color w:val="auto"/>
          <w:lang w:val="en-US"/>
        </w:rPr>
        <w:t>These changes to the way in which a non-government school’s CTC score is worked out will have an impact on many schools’ annual recurrent funding. In order to manage these changes, the Commonwealth shares of those schools will also be adjusted over time.</w:t>
      </w:r>
    </w:p>
    <w:p w:rsidR="00C8082B" w:rsidRDefault="00C8082B" w:rsidP="00C8082B">
      <w:pPr>
        <w:rPr>
          <w:color w:val="auto"/>
          <w:lang w:val="en-US"/>
        </w:rPr>
      </w:pPr>
    </w:p>
    <w:p w:rsidR="00C8082B" w:rsidRDefault="00C8082B" w:rsidP="00C8082B">
      <w:pPr>
        <w:rPr>
          <w:color w:val="auto"/>
          <w:lang w:val="en-US"/>
        </w:rPr>
      </w:pPr>
      <w:r>
        <w:rPr>
          <w:color w:val="auto"/>
          <w:lang w:val="en-US"/>
        </w:rPr>
        <w:t>Under section 32 of the Act, one of the factors in calculating a school’s annual recurrent funding is its Commonwealth share. Ordinarily, the Commonwealth share of a non-government school is 80 per</w:t>
      </w:r>
      <w:r w:rsidR="00162EC3">
        <w:rPr>
          <w:color w:val="auto"/>
          <w:lang w:val="en-US"/>
        </w:rPr>
        <w:t> </w:t>
      </w:r>
      <w:r>
        <w:rPr>
          <w:color w:val="auto"/>
          <w:lang w:val="en-US"/>
        </w:rPr>
        <w:t xml:space="preserve">cent—see paragraph </w:t>
      </w:r>
      <w:proofErr w:type="gramStart"/>
      <w:r>
        <w:rPr>
          <w:color w:val="auto"/>
          <w:lang w:val="en-US"/>
        </w:rPr>
        <w:t>35A(</w:t>
      </w:r>
      <w:proofErr w:type="gramEnd"/>
      <w:r>
        <w:rPr>
          <w:color w:val="auto"/>
          <w:lang w:val="en-US"/>
        </w:rPr>
        <w:t>b) of the Act. However, under section 35C of the Act, the Commonwealth share for a non-government school for a transition year is the percentage prescribed in, or the percentage worked out in accordance with, the Principal Regulation.</w:t>
      </w:r>
    </w:p>
    <w:p w:rsidR="00C8082B" w:rsidRDefault="00C8082B" w:rsidP="00C8082B">
      <w:pPr>
        <w:rPr>
          <w:color w:val="auto"/>
          <w:lang w:val="en-US"/>
        </w:rPr>
      </w:pPr>
    </w:p>
    <w:p w:rsidR="00C8082B" w:rsidRDefault="00C8082B" w:rsidP="00C8082B">
      <w:pPr>
        <w:rPr>
          <w:color w:val="auto"/>
          <w:lang w:val="en-US"/>
        </w:rPr>
      </w:pPr>
      <w:r>
        <w:rPr>
          <w:color w:val="auto"/>
          <w:lang w:val="en-US"/>
        </w:rPr>
        <w:t>As such, the other principal purpose of the Amendment Regulations is to prescribe the method for working out the Commonwealth share for non-government schools during their transition years.</w:t>
      </w:r>
    </w:p>
    <w:p w:rsidR="00C8082B" w:rsidRDefault="00C8082B" w:rsidP="00964C00">
      <w:pPr>
        <w:rPr>
          <w:color w:val="auto"/>
          <w:lang w:val="en-US"/>
        </w:rPr>
      </w:pPr>
    </w:p>
    <w:p w:rsidR="00964C00" w:rsidRDefault="00964C00" w:rsidP="00964C00">
      <w:pPr>
        <w:rPr>
          <w:lang w:val="en-US"/>
        </w:rPr>
      </w:pPr>
      <w:r>
        <w:rPr>
          <w:color w:val="auto"/>
          <w:lang w:val="en-US"/>
        </w:rPr>
        <w:t xml:space="preserve">The </w:t>
      </w:r>
      <w:r w:rsidR="00C8082B">
        <w:rPr>
          <w:color w:val="auto"/>
          <w:lang w:val="en-US"/>
        </w:rPr>
        <w:t xml:space="preserve">Act </w:t>
      </w:r>
      <w:r>
        <w:rPr>
          <w:color w:val="auto"/>
          <w:lang w:val="en-US"/>
        </w:rPr>
        <w:t xml:space="preserve">was recently amended by the </w:t>
      </w:r>
      <w:r w:rsidRPr="00847A66">
        <w:rPr>
          <w:i/>
          <w:lang w:val="en-US"/>
        </w:rPr>
        <w:t>Australian Education Amendment (Direct Measure of Income) Act 2020</w:t>
      </w:r>
      <w:r>
        <w:rPr>
          <w:lang w:val="en-US"/>
        </w:rPr>
        <w:t xml:space="preserve"> (</w:t>
      </w:r>
      <w:r>
        <w:rPr>
          <w:b/>
          <w:lang w:val="en-US"/>
        </w:rPr>
        <w:t>Direct Measure of Income Act</w:t>
      </w:r>
      <w:r>
        <w:rPr>
          <w:lang w:val="en-US"/>
        </w:rPr>
        <w:t>). The amendments facilitate the introduction of a new, more accurate direct measure of income methodology (</w:t>
      </w:r>
      <w:r>
        <w:rPr>
          <w:b/>
          <w:lang w:val="en-US"/>
        </w:rPr>
        <w:t>DMI methodology</w:t>
      </w:r>
      <w:r>
        <w:rPr>
          <w:lang w:val="en-US"/>
        </w:rPr>
        <w:t>) for calculating a school community’s capacity to contribute financially to a non-government school and provide additional flexibility for the calculation of a non-government school’s Commonwealth share during transition years.</w:t>
      </w:r>
    </w:p>
    <w:p w:rsidR="00964C00" w:rsidRDefault="00964C00" w:rsidP="00964C00"/>
    <w:p w:rsidR="00964C00" w:rsidRDefault="00964C00" w:rsidP="00964C00">
      <w:pPr>
        <w:rPr>
          <w:szCs w:val="19"/>
        </w:rPr>
      </w:pPr>
      <w:r>
        <w:t>Prior to the amendments to the Act, a school’s capacity to contribute percentage was determined by reference to the socioeconomic status (</w:t>
      </w:r>
      <w:r>
        <w:rPr>
          <w:b/>
        </w:rPr>
        <w:t>SES</w:t>
      </w:r>
      <w:r>
        <w:t>) score of the school, and t</w:t>
      </w:r>
      <w:r w:rsidRPr="00C205C1">
        <w:rPr>
          <w:lang w:val="en-US"/>
        </w:rPr>
        <w:t>he Principal Regulation</w:t>
      </w:r>
      <w:r>
        <w:rPr>
          <w:lang w:val="en-US"/>
        </w:rPr>
        <w:t xml:space="preserve"> set out a methodology for working out that SES score</w:t>
      </w:r>
      <w:r>
        <w:t>.</w:t>
      </w:r>
      <w:r>
        <w:rPr>
          <w:szCs w:val="19"/>
        </w:rPr>
        <w:t xml:space="preserve"> The SES score for a school is based on an averaging of characteristics of all people residing in a certain geographical area, not just families of students attending the school.</w:t>
      </w:r>
    </w:p>
    <w:p w:rsidR="00964C00" w:rsidRDefault="00964C00" w:rsidP="00964C00">
      <w:pPr>
        <w:rPr>
          <w:szCs w:val="19"/>
        </w:rPr>
      </w:pPr>
    </w:p>
    <w:p w:rsidR="00964C00" w:rsidRDefault="00964C00" w:rsidP="00964C00">
      <w:pPr>
        <w:rPr>
          <w:szCs w:val="19"/>
        </w:rPr>
      </w:pPr>
      <w:r>
        <w:rPr>
          <w:szCs w:val="19"/>
        </w:rPr>
        <w:t>In June 2018, the National School Resourcing Board (</w:t>
      </w:r>
      <w:r>
        <w:rPr>
          <w:b/>
          <w:szCs w:val="19"/>
        </w:rPr>
        <w:t>the Board</w:t>
      </w:r>
      <w:r>
        <w:rPr>
          <w:szCs w:val="19"/>
        </w:rPr>
        <w:t xml:space="preserve">) completed a review into the existing methodology for calculating SES scores for schools, titled </w:t>
      </w:r>
      <w:r>
        <w:rPr>
          <w:i/>
          <w:iCs/>
          <w:szCs w:val="19"/>
        </w:rPr>
        <w:t>Review of the socio</w:t>
      </w:r>
      <w:r>
        <w:rPr>
          <w:i/>
          <w:iCs/>
          <w:szCs w:val="19"/>
        </w:rPr>
        <w:noBreakHyphen/>
        <w:t>economic status score methodology</w:t>
      </w:r>
      <w:r>
        <w:rPr>
          <w:szCs w:val="19"/>
        </w:rPr>
        <w:t xml:space="preserve">. </w:t>
      </w:r>
      <w:r>
        <w:t xml:space="preserve">The Board’s final report on the review found that the use of the area-based data under the current method did not always result in an accurate assessment of the capacity of a school’s community to contribute financially to the operation of the school. The Board recommended the use of a direct measure of income based on the median income of parents and guardians of students at the school, facilitated by the linkage of personal income data and residential address data collections. The Board recommended continuing existing arrangements for 2019, using updated 2016 ABS Census data. </w:t>
      </w:r>
      <w:r>
        <w:rPr>
          <w:szCs w:val="19"/>
        </w:rPr>
        <w:t xml:space="preserve">The amendments to the Act and the Principal Regulation give effect to the Australian Government’s decision to accept all of the Board’s recommendations, including </w:t>
      </w:r>
      <w:r>
        <w:t>a phased implementation of the new DMI methodology</w:t>
      </w:r>
      <w:r>
        <w:rPr>
          <w:szCs w:val="19"/>
        </w:rPr>
        <w:t>.</w:t>
      </w:r>
    </w:p>
    <w:p w:rsidR="00964C00" w:rsidRDefault="00964C00" w:rsidP="00964C00">
      <w:pPr>
        <w:rPr>
          <w:szCs w:val="19"/>
          <w:lang w:val="en-US"/>
        </w:rPr>
      </w:pPr>
    </w:p>
    <w:p w:rsidR="00964C00" w:rsidRDefault="00964C00" w:rsidP="00964C00">
      <w:pPr>
        <w:rPr>
          <w:lang w:val="en-US"/>
        </w:rPr>
      </w:pPr>
      <w:r>
        <w:rPr>
          <w:lang w:val="en-US"/>
        </w:rPr>
        <w:t xml:space="preserve">The amendments to the Principal Regulation thus replace the previous methodology used to calculate an SES score with the new methodology to calculate a school’s </w:t>
      </w:r>
      <w:r w:rsidRPr="00C205C1">
        <w:rPr>
          <w:lang w:val="en-US"/>
        </w:rPr>
        <w:t>CTC score</w:t>
      </w:r>
      <w:r>
        <w:rPr>
          <w:lang w:val="en-US"/>
        </w:rPr>
        <w:t xml:space="preserve"> using a DMI methodology, or alternatives that apply to specific circumstances. </w:t>
      </w:r>
      <w:r w:rsidRPr="00B802F1">
        <w:rPr>
          <w:lang w:val="en-US"/>
        </w:rPr>
        <w:t>From 2020 to 202</w:t>
      </w:r>
      <w:r>
        <w:rPr>
          <w:lang w:val="en-US"/>
        </w:rPr>
        <w:t>1</w:t>
      </w:r>
      <w:r w:rsidRPr="00B802F1">
        <w:rPr>
          <w:lang w:val="en-US"/>
        </w:rPr>
        <w:t xml:space="preserve">, </w:t>
      </w:r>
      <w:r>
        <w:rPr>
          <w:lang w:val="en-US"/>
        </w:rPr>
        <w:t>non</w:t>
      </w:r>
      <w:r>
        <w:rPr>
          <w:lang w:val="en-US"/>
        </w:rPr>
        <w:noBreakHyphen/>
        <w:t xml:space="preserve">government </w:t>
      </w:r>
      <w:r w:rsidRPr="00B802F1">
        <w:rPr>
          <w:lang w:val="en-US"/>
        </w:rPr>
        <w:t xml:space="preserve">schools will </w:t>
      </w:r>
      <w:r>
        <w:rPr>
          <w:lang w:val="en-US"/>
        </w:rPr>
        <w:t>have the most financially beneficial CTC score calculated using their 2011 Census SES score, 2016 Census SES score or average DMI score. Over this time period</w:t>
      </w:r>
      <w:r w:rsidRPr="00B802F1">
        <w:rPr>
          <w:lang w:val="en-US"/>
        </w:rPr>
        <w:t xml:space="preserve">, </w:t>
      </w:r>
      <w:r>
        <w:rPr>
          <w:lang w:val="en-US"/>
        </w:rPr>
        <w:t>non</w:t>
      </w:r>
      <w:r>
        <w:rPr>
          <w:lang w:val="en-US"/>
        </w:rPr>
        <w:noBreakHyphen/>
        <w:t xml:space="preserve">government </w:t>
      </w:r>
      <w:r w:rsidRPr="00B802F1">
        <w:rPr>
          <w:lang w:val="en-US"/>
        </w:rPr>
        <w:t>schools will move to the new DMI methodology when it is most financially beneficial for them to do so</w:t>
      </w:r>
      <w:r>
        <w:rPr>
          <w:lang w:val="en-US"/>
        </w:rPr>
        <w:t>. This will allow non</w:t>
      </w:r>
      <w:r>
        <w:rPr>
          <w:lang w:val="en-US"/>
        </w:rPr>
        <w:noBreakHyphen/>
        <w:t>government schools time to plan and adjust to the new measure. All non</w:t>
      </w:r>
      <w:r>
        <w:rPr>
          <w:lang w:val="en-US"/>
        </w:rPr>
        <w:noBreakHyphen/>
        <w:t xml:space="preserve">government schools will move to the new DMI methodology or the alternative refined area based score methodology in 2022. </w:t>
      </w:r>
    </w:p>
    <w:p w:rsidR="00964C00" w:rsidRDefault="00964C00" w:rsidP="00964C00">
      <w:pPr>
        <w:rPr>
          <w:lang w:val="en-US"/>
        </w:rPr>
      </w:pPr>
    </w:p>
    <w:p w:rsidR="00964C00" w:rsidRDefault="00964C00" w:rsidP="00964C00">
      <w:pPr>
        <w:rPr>
          <w:lang w:val="en-US"/>
        </w:rPr>
      </w:pPr>
      <w:r>
        <w:rPr>
          <w:lang w:val="en-US"/>
        </w:rPr>
        <w:t>To maintain transparency, CTC scores that are determined other than in accordance with the Principal Regulation and the reasons for this will be published on the website</w:t>
      </w:r>
      <w:r w:rsidDel="000E127E">
        <w:rPr>
          <w:lang w:val="en-US"/>
        </w:rPr>
        <w:t xml:space="preserve"> </w:t>
      </w:r>
      <w:r>
        <w:rPr>
          <w:lang w:val="en-US"/>
        </w:rPr>
        <w:t>of the Department of Education, Skills and Employment (</w:t>
      </w:r>
      <w:r>
        <w:rPr>
          <w:b/>
          <w:lang w:val="en-US"/>
        </w:rPr>
        <w:t>the department</w:t>
      </w:r>
      <w:r>
        <w:rPr>
          <w:lang w:val="en-US"/>
        </w:rPr>
        <w:t>).</w:t>
      </w:r>
    </w:p>
    <w:p w:rsidR="00964C00" w:rsidRDefault="00964C00" w:rsidP="00964C00">
      <w:pPr>
        <w:rPr>
          <w:lang w:val="en-US"/>
        </w:rPr>
      </w:pPr>
    </w:p>
    <w:p w:rsidR="00964C00" w:rsidRDefault="00964C00" w:rsidP="00964C00">
      <w:pPr>
        <w:rPr>
          <w:lang w:val="en-US"/>
        </w:rPr>
      </w:pPr>
      <w:r>
        <w:rPr>
          <w:lang w:val="en-US"/>
        </w:rPr>
        <w:t>To ensure that non</w:t>
      </w:r>
      <w:r>
        <w:rPr>
          <w:lang w:val="en-US"/>
        </w:rPr>
        <w:noBreakHyphen/>
        <w:t>government schools are not adversely affected financially by these changes the amendments to the Act also enabled the Principal Regulations to set out the Commonwealth share for non-government schools, and adjust the transition pathways of these schools to the nationally consistent Commonwealth share of 80 per cent of the Schooling Resource Standard (</w:t>
      </w:r>
      <w:r>
        <w:rPr>
          <w:b/>
          <w:lang w:val="en-US"/>
        </w:rPr>
        <w:t>SRS</w:t>
      </w:r>
      <w:r>
        <w:rPr>
          <w:lang w:val="en-US"/>
        </w:rPr>
        <w:t>).</w:t>
      </w:r>
    </w:p>
    <w:p w:rsidR="00964C00" w:rsidRPr="00847A66" w:rsidRDefault="00964C00" w:rsidP="00964C00">
      <w:pPr>
        <w:rPr>
          <w:lang w:val="en-US"/>
        </w:rPr>
      </w:pPr>
    </w:p>
    <w:p w:rsidR="00964C00" w:rsidRDefault="00964C00" w:rsidP="00964C00">
      <w:pPr>
        <w:rPr>
          <w:lang w:val="en-US"/>
        </w:rPr>
      </w:pPr>
      <w:r>
        <w:rPr>
          <w:lang w:val="en-US"/>
        </w:rPr>
        <w:t xml:space="preserve">The Explanatory Memorandum accompanying the </w:t>
      </w:r>
      <w:r w:rsidRPr="00847A66">
        <w:rPr>
          <w:lang w:val="en-US"/>
        </w:rPr>
        <w:t xml:space="preserve">Australian Education Amendment (Direct Measure of Income) </w:t>
      </w:r>
      <w:r>
        <w:rPr>
          <w:lang w:val="en-US"/>
        </w:rPr>
        <w:t>Bill</w:t>
      </w:r>
      <w:r w:rsidRPr="00847A66">
        <w:rPr>
          <w:lang w:val="en-US"/>
        </w:rPr>
        <w:t xml:space="preserve"> 2020 </w:t>
      </w:r>
      <w:r>
        <w:rPr>
          <w:lang w:val="en-US"/>
        </w:rPr>
        <w:t xml:space="preserve">contains further, more detailed background to the changes and could in 2020 be viewed on the Federal Register of Legislation website (at </w:t>
      </w:r>
      <w:hyperlink r:id="rId14" w:history="1">
        <w:r w:rsidRPr="006D16CA">
          <w:rPr>
            <w:rStyle w:val="Hyperlink"/>
            <w:lang w:val="en-US"/>
          </w:rPr>
          <w:t>https://www.legislation.gov.au/Details/C2020B00023/Explanatory%20Memorandum/Text</w:t>
        </w:r>
      </w:hyperlink>
      <w:r>
        <w:rPr>
          <w:lang w:val="en-US"/>
        </w:rPr>
        <w:t>).</w:t>
      </w:r>
    </w:p>
    <w:p w:rsidR="00964C00" w:rsidRPr="003535DF" w:rsidRDefault="00964C00" w:rsidP="00964C00">
      <w:pPr>
        <w:rPr>
          <w:color w:val="auto"/>
          <w:lang w:val="en-US"/>
        </w:rPr>
      </w:pPr>
    </w:p>
    <w:p w:rsidR="00964C00" w:rsidRPr="00120E0E" w:rsidRDefault="00964C00" w:rsidP="00964C00">
      <w:pPr>
        <w:rPr>
          <w:color w:val="auto"/>
          <w:szCs w:val="24"/>
        </w:rPr>
      </w:pPr>
      <w:r>
        <w:rPr>
          <w:color w:val="auto"/>
          <w:szCs w:val="24"/>
        </w:rPr>
        <w:t>T</w:t>
      </w:r>
      <w:r w:rsidRPr="004B746F">
        <w:rPr>
          <w:color w:val="auto"/>
          <w:szCs w:val="24"/>
        </w:rPr>
        <w:t xml:space="preserve">he </w:t>
      </w:r>
      <w:r>
        <w:rPr>
          <w:color w:val="auto"/>
          <w:szCs w:val="24"/>
        </w:rPr>
        <w:t>Amendment Regulations:</w:t>
      </w:r>
    </w:p>
    <w:p w:rsidR="00964C00" w:rsidRDefault="00964C00" w:rsidP="00964C00">
      <w:pPr>
        <w:numPr>
          <w:ilvl w:val="0"/>
          <w:numId w:val="28"/>
        </w:numPr>
        <w:ind w:right="-45"/>
        <w:rPr>
          <w:color w:val="auto"/>
          <w:szCs w:val="24"/>
        </w:rPr>
      </w:pPr>
      <w:proofErr w:type="gramStart"/>
      <w:r w:rsidRPr="009D0D68">
        <w:rPr>
          <w:color w:val="auto"/>
          <w:szCs w:val="24"/>
        </w:rPr>
        <w:t>prescribe</w:t>
      </w:r>
      <w:proofErr w:type="gramEnd"/>
      <w:r w:rsidRPr="009D0D68">
        <w:rPr>
          <w:color w:val="auto"/>
          <w:szCs w:val="24"/>
        </w:rPr>
        <w:t xml:space="preserve"> new transition years and pathways for non-government schools to move to the nationally consistent Commonwealth share of 80 per cent of the SRS</w:t>
      </w:r>
      <w:r>
        <w:rPr>
          <w:color w:val="auto"/>
          <w:szCs w:val="24"/>
        </w:rPr>
        <w:t xml:space="preserve"> for new section 35C of the Act. All existing non-government schools will transition either </w:t>
      </w:r>
      <w:r w:rsidRPr="009D0D68">
        <w:rPr>
          <w:color w:val="auto"/>
          <w:szCs w:val="24"/>
        </w:rPr>
        <w:t xml:space="preserve">by 2023 </w:t>
      </w:r>
      <w:r>
        <w:rPr>
          <w:color w:val="auto"/>
          <w:szCs w:val="24"/>
        </w:rPr>
        <w:t>(</w:t>
      </w:r>
      <w:r w:rsidRPr="009D0D68">
        <w:rPr>
          <w:color w:val="auto"/>
          <w:szCs w:val="24"/>
        </w:rPr>
        <w:t>for those schools with a Commonwealth share below 80 per cent</w:t>
      </w:r>
      <w:r>
        <w:rPr>
          <w:color w:val="auto"/>
          <w:szCs w:val="24"/>
        </w:rPr>
        <w:t xml:space="preserve">) or </w:t>
      </w:r>
      <w:r w:rsidRPr="009D0D68">
        <w:rPr>
          <w:color w:val="auto"/>
          <w:szCs w:val="24"/>
        </w:rPr>
        <w:t xml:space="preserve">2029 </w:t>
      </w:r>
      <w:r>
        <w:rPr>
          <w:color w:val="auto"/>
          <w:szCs w:val="24"/>
        </w:rPr>
        <w:t>(</w:t>
      </w:r>
      <w:r w:rsidRPr="009D0D68">
        <w:rPr>
          <w:color w:val="auto"/>
          <w:szCs w:val="24"/>
        </w:rPr>
        <w:t xml:space="preserve">for those schools with a Commonwealth share </w:t>
      </w:r>
      <w:r>
        <w:rPr>
          <w:color w:val="auto"/>
          <w:szCs w:val="24"/>
        </w:rPr>
        <w:t>above 80 per cent) (Schedule 1);</w:t>
      </w:r>
    </w:p>
    <w:p w:rsidR="00964C00" w:rsidRDefault="00964C00" w:rsidP="00964C00">
      <w:pPr>
        <w:ind w:left="717" w:right="-45"/>
        <w:rPr>
          <w:color w:val="auto"/>
          <w:szCs w:val="24"/>
        </w:rPr>
      </w:pPr>
    </w:p>
    <w:p w:rsidR="00964C00" w:rsidRPr="00847A66" w:rsidRDefault="00964C00" w:rsidP="00964C00">
      <w:pPr>
        <w:numPr>
          <w:ilvl w:val="0"/>
          <w:numId w:val="28"/>
        </w:numPr>
        <w:ind w:right="-45"/>
        <w:rPr>
          <w:color w:val="auto"/>
          <w:szCs w:val="24"/>
        </w:rPr>
      </w:pPr>
      <w:r w:rsidRPr="00847A66">
        <w:rPr>
          <w:color w:val="auto"/>
          <w:szCs w:val="24"/>
        </w:rPr>
        <w:t xml:space="preserve">prescribe new </w:t>
      </w:r>
      <w:r>
        <w:rPr>
          <w:color w:val="auto"/>
          <w:szCs w:val="24"/>
        </w:rPr>
        <w:t>methods</w:t>
      </w:r>
      <w:r w:rsidRPr="00847A66">
        <w:rPr>
          <w:color w:val="auto"/>
          <w:szCs w:val="24"/>
        </w:rPr>
        <w:t xml:space="preserve"> of working out a school’s CTC score for subsection 52(1) of the Act based on the DMI methodology, or alternatives based on the 2011 Census SES, 2016</w:t>
      </w:r>
      <w:r w:rsidR="00162EC3">
        <w:rPr>
          <w:color w:val="auto"/>
          <w:szCs w:val="24"/>
        </w:rPr>
        <w:t> </w:t>
      </w:r>
      <w:r w:rsidRPr="00847A66">
        <w:rPr>
          <w:color w:val="auto"/>
          <w:szCs w:val="24"/>
        </w:rPr>
        <w:t>Census</w:t>
      </w:r>
      <w:r w:rsidR="00162EC3">
        <w:rPr>
          <w:color w:val="auto"/>
          <w:szCs w:val="24"/>
        </w:rPr>
        <w:t> </w:t>
      </w:r>
      <w:r w:rsidRPr="00847A66">
        <w:rPr>
          <w:color w:val="auto"/>
          <w:szCs w:val="24"/>
        </w:rPr>
        <w:t>SES score and refined area based score</w:t>
      </w:r>
      <w:r>
        <w:rPr>
          <w:color w:val="auto"/>
          <w:szCs w:val="24"/>
        </w:rPr>
        <w:t xml:space="preserve"> and require the Minister to publish CTC</w:t>
      </w:r>
      <w:r w:rsidR="00162EC3">
        <w:rPr>
          <w:color w:val="auto"/>
          <w:szCs w:val="24"/>
        </w:rPr>
        <w:t> </w:t>
      </w:r>
      <w:r>
        <w:rPr>
          <w:color w:val="auto"/>
          <w:szCs w:val="24"/>
        </w:rPr>
        <w:t>scores that are the result of a Ministerial determination that is not in accordance with the Principal Regulation (Schedule 2)</w:t>
      </w:r>
      <w:r w:rsidRPr="00847A66">
        <w:rPr>
          <w:color w:val="auto"/>
          <w:szCs w:val="24"/>
        </w:rPr>
        <w:t>.</w:t>
      </w:r>
    </w:p>
    <w:p w:rsidR="00DF63A5" w:rsidRPr="00E96CBA" w:rsidRDefault="00DF63A5" w:rsidP="00C205C1">
      <w:pPr>
        <w:pStyle w:val="Heading2"/>
      </w:pPr>
      <w:r w:rsidRPr="00E96CBA">
        <w:t>Human rights implications</w:t>
      </w:r>
    </w:p>
    <w:p w:rsidR="00DF63A5" w:rsidRPr="001E3A7C" w:rsidRDefault="00DF63A5" w:rsidP="00C205C1">
      <w:r w:rsidRPr="000F58F5">
        <w:t xml:space="preserve">The Amendment Regulations engage the right to education under Article 13 of the </w:t>
      </w:r>
      <w:r w:rsidRPr="00AB5CD8">
        <w:rPr>
          <w:i/>
        </w:rPr>
        <w:t>International Covenant on Economic, Social and Cultural Rights</w:t>
      </w:r>
      <w:r>
        <w:t xml:space="preserve"> (</w:t>
      </w:r>
      <w:r w:rsidRPr="00847A66">
        <w:rPr>
          <w:b/>
        </w:rPr>
        <w:t>ICESCR</w:t>
      </w:r>
      <w:r>
        <w:t xml:space="preserve">), </w:t>
      </w:r>
      <w:r w:rsidRPr="00AB5CD8">
        <w:t xml:space="preserve">Articles 28 and 29 of the </w:t>
      </w:r>
      <w:r w:rsidRPr="005E7409">
        <w:rPr>
          <w:i/>
        </w:rPr>
        <w:t xml:space="preserve">Convention on the Rights of the Child </w:t>
      </w:r>
      <w:r w:rsidRPr="005E7409">
        <w:t>(</w:t>
      </w:r>
      <w:r w:rsidRPr="00847A66">
        <w:rPr>
          <w:b/>
        </w:rPr>
        <w:t>UNCRC</w:t>
      </w:r>
      <w:r w:rsidRPr="005E7409">
        <w:t>)</w:t>
      </w:r>
      <w:r w:rsidR="00925A83">
        <w:t xml:space="preserve">, </w:t>
      </w:r>
      <w:r w:rsidRPr="001E3A7C">
        <w:t xml:space="preserve">and the right to privacy under Articles 17 and 24(1) of the </w:t>
      </w:r>
      <w:r w:rsidRPr="001E3A7C">
        <w:rPr>
          <w:i/>
        </w:rPr>
        <w:t>International Covenant on Civil and Political Rights</w:t>
      </w:r>
      <w:r w:rsidRPr="001E3A7C">
        <w:t xml:space="preserve"> (</w:t>
      </w:r>
      <w:r w:rsidRPr="00847A66">
        <w:rPr>
          <w:b/>
        </w:rPr>
        <w:t>ICCPR</w:t>
      </w:r>
      <w:r w:rsidRPr="001E3A7C">
        <w:t>), and Article 16 of the UNCRC.</w:t>
      </w:r>
    </w:p>
    <w:p w:rsidR="00DF63A5" w:rsidRPr="00E96CBA" w:rsidRDefault="00DF63A5" w:rsidP="00C205C1">
      <w:pPr>
        <w:pStyle w:val="Heading3"/>
      </w:pPr>
      <w:r w:rsidRPr="00E96CBA">
        <w:t>Right to Education</w:t>
      </w:r>
    </w:p>
    <w:p w:rsidR="00DF63A5" w:rsidRDefault="00DF63A5" w:rsidP="00C205C1">
      <w:r w:rsidRPr="000F58F5">
        <w:t>The Amendment Regulations engage the right to education in Ar</w:t>
      </w:r>
      <w:r w:rsidRPr="00AB5CD8">
        <w:t xml:space="preserve">ticle 13 of the ICESCR. Article 13 recognises the right of everyone to education, which is directed towards the full development of the human personality and the sense of its dignity, and to enable all persons to participate effectively in society. </w:t>
      </w:r>
      <w:r>
        <w:t>The right to education</w:t>
      </w:r>
      <w:r w:rsidRPr="00AB5CD8">
        <w:t xml:space="preserve"> recognises the liberty of parents and guardians to choose non</w:t>
      </w:r>
      <w:r w:rsidR="009D385A">
        <w:noBreakHyphen/>
      </w:r>
      <w:r w:rsidRPr="00AB5CD8">
        <w:t>government schools for their children’s education, provided those schools conform to minimum educational standards</w:t>
      </w:r>
      <w:r>
        <w:t xml:space="preserve"> required under the law</w:t>
      </w:r>
      <w:r w:rsidRPr="00AB5CD8">
        <w:t xml:space="preserve">. </w:t>
      </w:r>
      <w:r w:rsidRPr="00C409FC">
        <w:t>Article 13(2)(d) also contains the right to fundamental education which includes the elements of availability, accessibility, acceptability and adaptability which are common to education in all its forms an</w:t>
      </w:r>
      <w:r>
        <w:t>d at all levels. Article 13(2)</w:t>
      </w:r>
      <w:r w:rsidRPr="00C409FC">
        <w:t>(e) further endorse</w:t>
      </w:r>
      <w:r>
        <w:t>s</w:t>
      </w:r>
      <w:r w:rsidRPr="00C409FC">
        <w:t xml:space="preserve"> the obligation of States Parties </w:t>
      </w:r>
      <w:r>
        <w:t>to actively pursue</w:t>
      </w:r>
      <w:r w:rsidRPr="00C409FC">
        <w:t xml:space="preserve"> the</w:t>
      </w:r>
      <w:r>
        <w:t xml:space="preserve"> </w:t>
      </w:r>
      <w:r w:rsidRPr="00C409FC">
        <w:t xml:space="preserve">“development of a system of schools at all levels” </w:t>
      </w:r>
      <w:r>
        <w:t>and</w:t>
      </w:r>
      <w:r w:rsidRPr="00C409FC">
        <w:t xml:space="preserve"> to have an overall developmental strategy for its school system, at all levels, </w:t>
      </w:r>
      <w:r>
        <w:t>including</w:t>
      </w:r>
      <w:r w:rsidRPr="00C409FC">
        <w:t xml:space="preserve"> prioritis</w:t>
      </w:r>
      <w:r>
        <w:t xml:space="preserve">ation of a development strategy for </w:t>
      </w:r>
      <w:r w:rsidRPr="00C409FC">
        <w:t>primary education</w:t>
      </w:r>
      <w:r>
        <w:t xml:space="preserve"> which is to be implemented with vigour.</w:t>
      </w:r>
    </w:p>
    <w:p w:rsidR="001B0E8A" w:rsidRPr="00C409FC" w:rsidRDefault="001B0E8A" w:rsidP="00C205C1"/>
    <w:p w:rsidR="00DF63A5" w:rsidRDefault="00DF63A5" w:rsidP="00C205C1">
      <w:pPr>
        <w:rPr>
          <w:color w:val="111111"/>
        </w:rPr>
      </w:pPr>
      <w:r w:rsidRPr="00AB5CD8">
        <w:t xml:space="preserve">The right to education for children is also </w:t>
      </w:r>
      <w:r>
        <w:t xml:space="preserve">contained </w:t>
      </w:r>
      <w:r w:rsidRPr="00AB5CD8">
        <w:t xml:space="preserve">in Articles 28 and 29 of the UNCRC. </w:t>
      </w:r>
      <w:r w:rsidRPr="00E35027">
        <w:rPr>
          <w:color w:val="111111"/>
        </w:rPr>
        <w:t>UNCRC contains similar provisions to article 13 of ICESCR, and also provides that the education of the child shall be directed to the development of the child's personality, talents and mental and physical abilities to their fullest potential.</w:t>
      </w:r>
    </w:p>
    <w:p w:rsidR="001B0E8A" w:rsidRPr="00AB5CD8" w:rsidRDefault="001B0E8A" w:rsidP="00C205C1"/>
    <w:p w:rsidR="00DF63A5" w:rsidRDefault="00DF63A5" w:rsidP="00C205C1">
      <w:r w:rsidRPr="005E7409">
        <w:t>The Amendment Regulations promote the right to education by providing</w:t>
      </w:r>
      <w:r w:rsidRPr="001E3A7C">
        <w:t xml:space="preserve"> for a more targeted, more accurate measure of a non</w:t>
      </w:r>
      <w:r w:rsidRPr="001E3A7C">
        <w:noBreakHyphen/>
        <w:t>government school community’s capacity to contribute to the cost of schooling. This measure promotes the right to education by seeking to implement a fit</w:t>
      </w:r>
      <w:r w:rsidR="00162EC3">
        <w:noBreakHyphen/>
      </w:r>
      <w:r w:rsidRPr="001E3A7C">
        <w:t>for</w:t>
      </w:r>
      <w:r w:rsidR="00162EC3">
        <w:noBreakHyphen/>
      </w:r>
      <w:r w:rsidRPr="001E3A7C">
        <w:t>purpose measure of a school community’s capacity to financially contribute to a school, to enable the better targeting of financial support for non</w:t>
      </w:r>
      <w:r w:rsidR="00162EC3">
        <w:noBreakHyphen/>
      </w:r>
      <w:r w:rsidRPr="001E3A7C">
        <w:t xml:space="preserve">government schools in circumstances where parents and legal guardians may have less capacity to financially contribute to a school. This supports and ensures Australia continues to have functioning educational institutions that are available in sufficient quantity and receive sufficient Commonwealth financial assistance. </w:t>
      </w:r>
    </w:p>
    <w:p w:rsidR="001B0E8A" w:rsidRDefault="001B0E8A" w:rsidP="00C205C1"/>
    <w:p w:rsidR="00DF63A5" w:rsidRDefault="00DF63A5" w:rsidP="00C205C1">
      <w:r w:rsidRPr="001E3A7C">
        <w:t>These measures also support the liberty of parents and legal guardians to choose non-government schools for their children by ensuring non</w:t>
      </w:r>
      <w:r w:rsidR="00162EC3">
        <w:noBreakHyphen/>
      </w:r>
      <w:r w:rsidRPr="001E3A7C">
        <w:t>government schools receive targeted Commonwealth financial assistance according to a school community’s capacity to financially contribute to a school. This will support parents and legal guardians of various socioeco</w:t>
      </w:r>
      <w:r>
        <w:t>nomic backgrounds to select non</w:t>
      </w:r>
      <w:r>
        <w:noBreakHyphen/>
      </w:r>
      <w:r w:rsidRPr="001E3A7C">
        <w:t>government school tuition for their children.</w:t>
      </w:r>
    </w:p>
    <w:p w:rsidR="001B0E8A" w:rsidRPr="001E3A7C" w:rsidRDefault="001B0E8A" w:rsidP="00C205C1"/>
    <w:p w:rsidR="00DF63A5" w:rsidRDefault="00DF63A5" w:rsidP="00C205C1">
      <w:pPr>
        <w:rPr>
          <w:color w:val="auto"/>
          <w:szCs w:val="24"/>
        </w:rPr>
      </w:pPr>
      <w:r w:rsidRPr="001E3A7C">
        <w:rPr>
          <w:color w:val="auto"/>
          <w:szCs w:val="24"/>
        </w:rPr>
        <w:t xml:space="preserve">The </w:t>
      </w:r>
      <w:r>
        <w:rPr>
          <w:color w:val="auto"/>
          <w:szCs w:val="24"/>
        </w:rPr>
        <w:t>Amendment Regulations</w:t>
      </w:r>
      <w:r w:rsidRPr="001E3A7C">
        <w:rPr>
          <w:color w:val="auto"/>
          <w:szCs w:val="24"/>
        </w:rPr>
        <w:t xml:space="preserve"> also promote the right to education by providing </w:t>
      </w:r>
      <w:r w:rsidR="009D385A">
        <w:rPr>
          <w:color w:val="auto"/>
          <w:szCs w:val="24"/>
        </w:rPr>
        <w:t>non</w:t>
      </w:r>
      <w:r w:rsidR="009D385A">
        <w:rPr>
          <w:color w:val="auto"/>
          <w:szCs w:val="24"/>
        </w:rPr>
        <w:noBreakHyphen/>
        <w:t xml:space="preserve">government </w:t>
      </w:r>
      <w:r w:rsidRPr="001E3A7C">
        <w:rPr>
          <w:color w:val="auto"/>
          <w:szCs w:val="24"/>
        </w:rPr>
        <w:t>schools time to adjust to the new direct measure of income so schools can continue to financially plan and ensure Australia can continue to have functioning and well</w:t>
      </w:r>
      <w:r w:rsidRPr="001E3A7C">
        <w:rPr>
          <w:color w:val="auto"/>
          <w:szCs w:val="24"/>
        </w:rPr>
        <w:noBreakHyphen/>
        <w:t xml:space="preserve">resourced educational institutions. </w:t>
      </w:r>
    </w:p>
    <w:p w:rsidR="001B0E8A" w:rsidRPr="001E3A7C" w:rsidRDefault="001B0E8A" w:rsidP="00C205C1">
      <w:pPr>
        <w:rPr>
          <w:color w:val="auto"/>
          <w:szCs w:val="24"/>
        </w:rPr>
      </w:pPr>
    </w:p>
    <w:p w:rsidR="00DF63A5" w:rsidRDefault="00DF63A5" w:rsidP="00C205C1">
      <w:pPr>
        <w:rPr>
          <w:color w:val="auto"/>
          <w:szCs w:val="24"/>
        </w:rPr>
      </w:pPr>
      <w:r w:rsidRPr="005E7409">
        <w:rPr>
          <w:color w:val="auto"/>
          <w:szCs w:val="24"/>
        </w:rPr>
        <w:t xml:space="preserve">The measures in the Amendment Regulations are compatible with the right to education as they promote the right to education. </w:t>
      </w:r>
    </w:p>
    <w:p w:rsidR="00DF63A5" w:rsidRPr="001E3A7C" w:rsidRDefault="00DF63A5" w:rsidP="00C205C1">
      <w:pPr>
        <w:pStyle w:val="Heading3"/>
        <w:rPr>
          <w:lang w:val="en-US"/>
        </w:rPr>
      </w:pPr>
      <w:r w:rsidRPr="001E3A7C">
        <w:rPr>
          <w:lang w:val="en-US"/>
        </w:rPr>
        <w:t>Right to Privacy</w:t>
      </w:r>
    </w:p>
    <w:p w:rsidR="00DF63A5" w:rsidRDefault="00DF63A5" w:rsidP="00C205C1">
      <w:pPr>
        <w:rPr>
          <w:lang w:val="en-US"/>
        </w:rPr>
      </w:pPr>
      <w:r w:rsidRPr="001E3A7C">
        <w:rPr>
          <w:lang w:val="en-US"/>
        </w:rPr>
        <w:t xml:space="preserve">The </w:t>
      </w:r>
      <w:r>
        <w:rPr>
          <w:lang w:val="en-US"/>
        </w:rPr>
        <w:t xml:space="preserve">Amendment Regulations </w:t>
      </w:r>
      <w:r w:rsidRPr="001E3A7C">
        <w:rPr>
          <w:lang w:val="en-US"/>
        </w:rPr>
        <w:t xml:space="preserve">engage the right to privacy in Article 17 of the ICCPR as </w:t>
      </w:r>
      <w:r w:rsidR="00C8082B">
        <w:rPr>
          <w:lang w:val="en-US"/>
        </w:rPr>
        <w:t xml:space="preserve">the </w:t>
      </w:r>
      <w:r w:rsidR="00C72043" w:rsidRPr="00A12E46">
        <w:rPr>
          <w:lang w:val="en-US"/>
        </w:rPr>
        <w:t>DMI methodology</w:t>
      </w:r>
      <w:r w:rsidR="00C72043" w:rsidRPr="001E3A7C">
        <w:rPr>
          <w:lang w:val="en-US"/>
        </w:rPr>
        <w:t xml:space="preserve"> </w:t>
      </w:r>
      <w:r w:rsidRPr="001E3A7C">
        <w:rPr>
          <w:lang w:val="en-US"/>
        </w:rPr>
        <w:t xml:space="preserve">will use personal information about students and persons responsible for students (for example, parents and guardians), which will be disclosed to the </w:t>
      </w:r>
      <w:r w:rsidR="00C81D9E">
        <w:rPr>
          <w:lang w:val="en-US"/>
        </w:rPr>
        <w:t>Australian Bureau of Statistics (</w:t>
      </w:r>
      <w:r w:rsidRPr="00847A66">
        <w:rPr>
          <w:b/>
          <w:lang w:val="en-US"/>
        </w:rPr>
        <w:t>the ABS</w:t>
      </w:r>
      <w:r w:rsidRPr="001E3A7C">
        <w:rPr>
          <w:lang w:val="en-US"/>
        </w:rPr>
        <w:t xml:space="preserve">) in accordance with the </w:t>
      </w:r>
      <w:r w:rsidR="00394162">
        <w:rPr>
          <w:lang w:val="en-US"/>
        </w:rPr>
        <w:t xml:space="preserve">Principal </w:t>
      </w:r>
      <w:r w:rsidRPr="001E3A7C">
        <w:rPr>
          <w:lang w:val="en-US"/>
        </w:rPr>
        <w:t xml:space="preserve">Regulation. </w:t>
      </w:r>
    </w:p>
    <w:p w:rsidR="001B0E8A" w:rsidRPr="001E3A7C" w:rsidRDefault="001B0E8A" w:rsidP="00C205C1">
      <w:pPr>
        <w:rPr>
          <w:lang w:val="en-US"/>
        </w:rPr>
      </w:pPr>
    </w:p>
    <w:p w:rsidR="00DF63A5" w:rsidRDefault="00DF63A5" w:rsidP="00C205C1">
      <w:r w:rsidRPr="001E3A7C">
        <w:t>The development of a direct measure of income commenced in 2018. As part of this work, the Australian Government amended the</w:t>
      </w:r>
      <w:r w:rsidR="00394162">
        <w:t xml:space="preserve"> Principal</w:t>
      </w:r>
      <w:r w:rsidRPr="001E3A7C">
        <w:t xml:space="preserve"> Regulation in 2018 to require the provision of the additional information specified in section 58B to the then</w:t>
      </w:r>
      <w:r w:rsidR="00C72043">
        <w:t xml:space="preserve"> </w:t>
      </w:r>
      <w:r w:rsidRPr="001E3A7C">
        <w:t xml:space="preserve">Department of Education and Training. This additional information </w:t>
      </w:r>
      <w:r w:rsidRPr="001E3A7C">
        <w:rPr>
          <w:lang w:val="en-US"/>
        </w:rPr>
        <w:t>included</w:t>
      </w:r>
      <w:r w:rsidRPr="001E3A7C">
        <w:t xml:space="preserve"> the name and residential address of each person responsible for students. Two collections of this additional information have occurred (2018 and 2019). Section 21 of the</w:t>
      </w:r>
      <w:r w:rsidR="00394162">
        <w:t xml:space="preserve"> Principal</w:t>
      </w:r>
      <w:r w:rsidRPr="001E3A7C">
        <w:t xml:space="preserve"> Regulation continued to enable the Minister to request a statement of the residential addresses of students at relevant non-government schools. The statement of residential addresses of students contributes to the calculation of the </w:t>
      </w:r>
      <w:r w:rsidR="00406828">
        <w:t>SES</w:t>
      </w:r>
      <w:r>
        <w:t xml:space="preserve"> </w:t>
      </w:r>
      <w:r w:rsidRPr="001E3A7C">
        <w:t xml:space="preserve">score for a school. The Australian Government department responsible for administering the Act (currently the Department of Education, Skills and Employment) is provided </w:t>
      </w:r>
      <w:r>
        <w:t xml:space="preserve">with </w:t>
      </w:r>
      <w:r w:rsidRPr="001E3A7C">
        <w:t>the residential address of each student at relevant non‑government schools.</w:t>
      </w:r>
    </w:p>
    <w:p w:rsidR="001B0E8A" w:rsidRPr="001E3A7C" w:rsidRDefault="001B0E8A" w:rsidP="00C205C1"/>
    <w:p w:rsidR="00DF63A5" w:rsidRPr="001E3A7C" w:rsidRDefault="00DF63A5" w:rsidP="00C205C1">
      <w:pPr>
        <w:rPr>
          <w:lang w:val="en-US"/>
        </w:rPr>
      </w:pPr>
      <w:r w:rsidRPr="001E3A7C">
        <w:t xml:space="preserve">This information informed </w:t>
      </w:r>
      <w:r>
        <w:t>the new methods</w:t>
      </w:r>
      <w:r w:rsidRPr="001E3A7C">
        <w:t xml:space="preserve"> in the </w:t>
      </w:r>
      <w:r w:rsidR="003C3259">
        <w:t xml:space="preserve">Amendment </w:t>
      </w:r>
      <w:r w:rsidRPr="001E3A7C">
        <w:t>Regulation</w:t>
      </w:r>
      <w:r w:rsidR="003C3259">
        <w:t>s</w:t>
      </w:r>
      <w:r w:rsidRPr="001E3A7C">
        <w:t xml:space="preserve"> for the purposes of determining a school’s </w:t>
      </w:r>
      <w:r w:rsidR="000F320E" w:rsidRPr="00A12E46">
        <w:t>CTC score</w:t>
      </w:r>
      <w:r w:rsidRPr="001E3A7C">
        <w:t xml:space="preserve">, including going forward. </w:t>
      </w:r>
      <w:r w:rsidRPr="001E3A7C">
        <w:rPr>
          <w:lang w:val="en-US"/>
        </w:rPr>
        <w:t xml:space="preserve">In particular, for the purposes of determining a school’s CTC score using the new DMI methodology, the </w:t>
      </w:r>
      <w:r w:rsidR="003C3259">
        <w:rPr>
          <w:lang w:val="en-US"/>
        </w:rPr>
        <w:t xml:space="preserve">Principal </w:t>
      </w:r>
      <w:r w:rsidRPr="001E3A7C">
        <w:rPr>
          <w:lang w:val="en-US"/>
        </w:rPr>
        <w:t xml:space="preserve">Regulation is proposed to be amended to </w:t>
      </w:r>
      <w:r w:rsidR="00495E58">
        <w:rPr>
          <w:lang w:val="en-US"/>
        </w:rPr>
        <w:t xml:space="preserve">expressly </w:t>
      </w:r>
      <w:proofErr w:type="spellStart"/>
      <w:r w:rsidR="00495E58">
        <w:rPr>
          <w:lang w:val="en-US"/>
        </w:rPr>
        <w:t>authorise</w:t>
      </w:r>
      <w:proofErr w:type="spellEnd"/>
      <w:r w:rsidRPr="001E3A7C">
        <w:rPr>
          <w:lang w:val="en-US"/>
        </w:rPr>
        <w:t xml:space="preserve"> the Minister giv</w:t>
      </w:r>
      <w:r w:rsidR="00495E58">
        <w:rPr>
          <w:lang w:val="en-US"/>
        </w:rPr>
        <w:t>ing school education information</w:t>
      </w:r>
      <w:r w:rsidRPr="001E3A7C">
        <w:rPr>
          <w:lang w:val="en-US"/>
        </w:rPr>
        <w:t xml:space="preserve"> to the ABS</w:t>
      </w:r>
      <w:r w:rsidR="00495E58">
        <w:rPr>
          <w:lang w:val="en-US"/>
        </w:rPr>
        <w:t xml:space="preserve"> for the purposes of its assistance in determining a CTC score for a school. In particular, this information would include</w:t>
      </w:r>
      <w:r w:rsidRPr="001E3A7C">
        <w:rPr>
          <w:lang w:val="en-US"/>
        </w:rPr>
        <w:t xml:space="preserve">: </w:t>
      </w:r>
    </w:p>
    <w:p w:rsidR="00DF63A5" w:rsidRPr="001E3A7C" w:rsidRDefault="00DF63A5" w:rsidP="0035054F">
      <w:pPr>
        <w:pStyle w:val="ListParagraph"/>
        <w:numPr>
          <w:ilvl w:val="0"/>
          <w:numId w:val="25"/>
        </w:numPr>
        <w:spacing w:before="0"/>
        <w:ind w:left="714" w:hanging="357"/>
      </w:pPr>
      <w:r w:rsidRPr="001E3A7C">
        <w:t>the residential address of each student at the school</w:t>
      </w:r>
    </w:p>
    <w:p w:rsidR="00DF63A5" w:rsidRPr="001E3A7C" w:rsidRDefault="00DF63A5" w:rsidP="00C205C1">
      <w:pPr>
        <w:pStyle w:val="ListParagraph"/>
        <w:numPr>
          <w:ilvl w:val="0"/>
          <w:numId w:val="25"/>
        </w:numPr>
      </w:pPr>
      <w:r w:rsidRPr="001E3A7C">
        <w:t>the name and residential address of each person responsible for the student</w:t>
      </w:r>
    </w:p>
    <w:p w:rsidR="00DF63A5" w:rsidRPr="001E3A7C" w:rsidRDefault="00DF63A5" w:rsidP="00C205C1">
      <w:pPr>
        <w:pStyle w:val="ListParagraph"/>
        <w:numPr>
          <w:ilvl w:val="0"/>
          <w:numId w:val="25"/>
        </w:numPr>
      </w:pPr>
      <w:proofErr w:type="gramStart"/>
      <w:r w:rsidRPr="001E3A7C">
        <w:t>any</w:t>
      </w:r>
      <w:proofErr w:type="gramEnd"/>
      <w:r w:rsidRPr="001E3A7C">
        <w:t xml:space="preserve"> other</w:t>
      </w:r>
      <w:r w:rsidR="00495E58">
        <w:t xml:space="preserve"> school education</w:t>
      </w:r>
      <w:r w:rsidRPr="001E3A7C">
        <w:t xml:space="preserve"> information that the ABS (acting as the approved Data Integration Authority) might reasonably require to reliably integrate address data with income data enabling the calculation of a direct measure of income score.</w:t>
      </w:r>
    </w:p>
    <w:p w:rsidR="00137CDB" w:rsidRDefault="00137CDB" w:rsidP="00C205C1">
      <w:pPr>
        <w:rPr>
          <w:lang w:val="en-US"/>
        </w:rPr>
      </w:pPr>
    </w:p>
    <w:p w:rsidR="00DF63A5" w:rsidRDefault="00DF63A5" w:rsidP="00C205C1">
      <w:pPr>
        <w:rPr>
          <w:lang w:val="en-US"/>
        </w:rPr>
      </w:pPr>
      <w:r w:rsidRPr="001E3A7C">
        <w:rPr>
          <w:lang w:val="en-US"/>
        </w:rPr>
        <w:t xml:space="preserve">Article 17 of the ICCPR </w:t>
      </w:r>
      <w:proofErr w:type="spellStart"/>
      <w:r w:rsidRPr="001E3A7C">
        <w:rPr>
          <w:lang w:val="en-US"/>
        </w:rPr>
        <w:t>recognises</w:t>
      </w:r>
      <w:proofErr w:type="spellEnd"/>
      <w:r w:rsidRPr="001E3A7C">
        <w:rPr>
          <w:lang w:val="en-US"/>
        </w:rPr>
        <w:t xml:space="preserve"> a person’s right to protection against unlawful or arbitrary interference with their privacy and family, and provides that persons have the right to protection of the law against such interference. ‘Privacy’ is understood to comprise freedom from unwarranted and unreasonable intrusions into activities that society </w:t>
      </w:r>
      <w:proofErr w:type="spellStart"/>
      <w:r w:rsidRPr="001E3A7C">
        <w:rPr>
          <w:lang w:val="en-US"/>
        </w:rPr>
        <w:t>recognises</w:t>
      </w:r>
      <w:proofErr w:type="spellEnd"/>
      <w:r w:rsidRPr="001E3A7C">
        <w:rPr>
          <w:lang w:val="en-US"/>
        </w:rPr>
        <w:t xml:space="preserve"> as falling within the sphere of individual autonomy. The right to privacy for children is also found in Article 24(1) of the ICCPR, and Article 16 of the UNCRC.</w:t>
      </w:r>
    </w:p>
    <w:p w:rsidR="00406828" w:rsidRPr="001E3A7C" w:rsidRDefault="00406828" w:rsidP="00C205C1">
      <w:pPr>
        <w:rPr>
          <w:lang w:val="en-US"/>
        </w:rPr>
      </w:pPr>
    </w:p>
    <w:p w:rsidR="00DF63A5" w:rsidRDefault="00DF63A5" w:rsidP="00C205C1">
      <w:pPr>
        <w:rPr>
          <w:lang w:val="en-US"/>
        </w:rPr>
      </w:pPr>
      <w:r w:rsidRPr="001E3A7C">
        <w:rPr>
          <w:lang w:val="en-US"/>
        </w:rPr>
        <w:t xml:space="preserve">In order for interference with privacy not to be arbitrary, the interference with privacy must be in accordance with the provisions, aims and objectives of the ICCPR, and should be reasonable in the particular circumstances. Reasonableness, in this context, incorporates notions of proportionality to the end sought and necessity in the circumstances. The limitation on privacy must also be </w:t>
      </w:r>
      <w:proofErr w:type="spellStart"/>
      <w:r w:rsidRPr="001E3A7C">
        <w:rPr>
          <w:lang w:val="en-US"/>
        </w:rPr>
        <w:t>authorised</w:t>
      </w:r>
      <w:proofErr w:type="spellEnd"/>
      <w:r w:rsidRPr="001E3A7C">
        <w:rPr>
          <w:lang w:val="en-US"/>
        </w:rPr>
        <w:t xml:space="preserve"> under domestic law, which should be precise and not give decision-makers too much discretion in </w:t>
      </w:r>
      <w:proofErr w:type="spellStart"/>
      <w:r w:rsidRPr="001E3A7C">
        <w:rPr>
          <w:lang w:val="en-US"/>
        </w:rPr>
        <w:t>authorising</w:t>
      </w:r>
      <w:proofErr w:type="spellEnd"/>
      <w:r w:rsidRPr="001E3A7C">
        <w:rPr>
          <w:lang w:val="en-US"/>
        </w:rPr>
        <w:t xml:space="preserve"> interferences with privacy. </w:t>
      </w:r>
    </w:p>
    <w:p w:rsidR="001B0E8A" w:rsidRPr="001E3A7C" w:rsidRDefault="001B0E8A" w:rsidP="00C205C1">
      <w:pPr>
        <w:rPr>
          <w:lang w:val="en-US"/>
        </w:rPr>
      </w:pPr>
    </w:p>
    <w:p w:rsidR="00137CDB" w:rsidRDefault="00DF63A5" w:rsidP="00C205C1">
      <w:pPr>
        <w:rPr>
          <w:lang w:val="en-US"/>
        </w:rPr>
      </w:pPr>
      <w:r w:rsidRPr="001E3A7C">
        <w:rPr>
          <w:lang w:val="en-US"/>
        </w:rPr>
        <w:t xml:space="preserve">The </w:t>
      </w:r>
      <w:r w:rsidR="0010360F">
        <w:rPr>
          <w:lang w:val="en-US"/>
        </w:rPr>
        <w:t>Amendment Regulations follow</w:t>
      </w:r>
      <w:r>
        <w:rPr>
          <w:lang w:val="en-US"/>
        </w:rPr>
        <w:t xml:space="preserve"> </w:t>
      </w:r>
      <w:r w:rsidRPr="001E3A7C">
        <w:rPr>
          <w:lang w:val="en-US"/>
        </w:rPr>
        <w:t xml:space="preserve">extensive consultation with the non-government sector and technical experts following the </w:t>
      </w:r>
      <w:r w:rsidR="00D0145E">
        <w:rPr>
          <w:lang w:val="en-US"/>
        </w:rPr>
        <w:t xml:space="preserve">Australian </w:t>
      </w:r>
      <w:r w:rsidRPr="001E3A7C">
        <w:rPr>
          <w:lang w:val="en-US"/>
        </w:rPr>
        <w:t>Government</w:t>
      </w:r>
      <w:r w:rsidR="00D0145E">
        <w:rPr>
          <w:lang w:val="en-US"/>
        </w:rPr>
        <w:t>’s</w:t>
      </w:r>
      <w:r w:rsidRPr="001E3A7C">
        <w:rPr>
          <w:lang w:val="en-US"/>
        </w:rPr>
        <w:t xml:space="preserve"> announcement o</w:t>
      </w:r>
      <w:r w:rsidR="00D0145E">
        <w:rPr>
          <w:lang w:val="en-US"/>
        </w:rPr>
        <w:t>n</w:t>
      </w:r>
      <w:r w:rsidRPr="001E3A7C">
        <w:rPr>
          <w:lang w:val="en-US"/>
        </w:rPr>
        <w:t xml:space="preserve"> 20 September 2018 that it would implement the direct measure of income from 2020. </w:t>
      </w:r>
      <w:r w:rsidR="00E33B22">
        <w:rPr>
          <w:lang w:val="en-US"/>
        </w:rPr>
        <w:t>This timeframe was agreed t</w:t>
      </w:r>
      <w:r w:rsidRPr="001E3A7C">
        <w:rPr>
          <w:lang w:val="en-US"/>
        </w:rPr>
        <w:t>o support further consultation and consideration of implementation arrangements and technical refinements. The purpose of collecting the additional information about students, and persons responsible for students, and linking it to income data and other information held by the ABS</w:t>
      </w:r>
      <w:r w:rsidR="00137CDB">
        <w:rPr>
          <w:lang w:val="en-US"/>
        </w:rPr>
        <w:t>,</w:t>
      </w:r>
      <w:r w:rsidRPr="001E3A7C">
        <w:rPr>
          <w:lang w:val="en-US"/>
        </w:rPr>
        <w:t xml:space="preserve"> is to support the implementation of the new direct measure of a school community’s capacity to financially contribute to a school. In turn, this will help enable the better targeting of financial support for non‑government schools in circumstances where parents and guardians may have less capacity to contribute financially to the school.</w:t>
      </w:r>
    </w:p>
    <w:p w:rsidR="00137CDB" w:rsidRDefault="00137CDB" w:rsidP="00C205C1">
      <w:pPr>
        <w:rPr>
          <w:lang w:val="en-US"/>
        </w:rPr>
      </w:pPr>
    </w:p>
    <w:p w:rsidR="00DF63A5" w:rsidRDefault="00DF63A5" w:rsidP="00C205C1">
      <w:pPr>
        <w:rPr>
          <w:lang w:val="en-US"/>
        </w:rPr>
      </w:pPr>
      <w:r w:rsidRPr="001E3A7C">
        <w:rPr>
          <w:lang w:val="en-US"/>
        </w:rPr>
        <w:t xml:space="preserve">Improving the way in which Commonwealth financial assistance for </w:t>
      </w:r>
      <w:r w:rsidR="009D385A">
        <w:rPr>
          <w:lang w:val="en-US"/>
        </w:rPr>
        <w:t>non</w:t>
      </w:r>
      <w:r w:rsidR="009D385A">
        <w:rPr>
          <w:lang w:val="en-US"/>
        </w:rPr>
        <w:noBreakHyphen/>
        <w:t xml:space="preserve">government </w:t>
      </w:r>
      <w:r w:rsidRPr="001E3A7C">
        <w:rPr>
          <w:lang w:val="en-US"/>
        </w:rPr>
        <w:t xml:space="preserve">schools is calculated so its allocation may be better targeted to help meet the educational needs of school students, is a legitimate and important social policy objective of the Australian Government. The collection, use and disclosure of personal information required by the </w:t>
      </w:r>
      <w:r>
        <w:rPr>
          <w:lang w:val="en-US"/>
        </w:rPr>
        <w:t>Amendment</w:t>
      </w:r>
      <w:r w:rsidRPr="004D0A30">
        <w:rPr>
          <w:lang w:val="en-US"/>
        </w:rPr>
        <w:t xml:space="preserve"> </w:t>
      </w:r>
      <w:r>
        <w:rPr>
          <w:lang w:val="en-US"/>
        </w:rPr>
        <w:t>Regulations</w:t>
      </w:r>
      <w:r w:rsidRPr="001E3A7C">
        <w:rPr>
          <w:lang w:val="en-US"/>
        </w:rPr>
        <w:t xml:space="preserve"> is the minimum necessary to give effect to the DMI methodology to accurately determine a school community’s capacity to contribute.  </w:t>
      </w:r>
    </w:p>
    <w:p w:rsidR="001B0E8A" w:rsidRPr="001E3A7C" w:rsidRDefault="001B0E8A" w:rsidP="00C205C1">
      <w:pPr>
        <w:rPr>
          <w:lang w:val="en-US"/>
        </w:rPr>
      </w:pPr>
    </w:p>
    <w:p w:rsidR="00DF63A5" w:rsidRPr="001E3A7C" w:rsidRDefault="00DF63A5" w:rsidP="00C205C1">
      <w:pPr>
        <w:rPr>
          <w:lang w:val="en-US"/>
        </w:rPr>
      </w:pPr>
      <w:r w:rsidRPr="001E3A7C">
        <w:rPr>
          <w:lang w:val="en-US"/>
        </w:rPr>
        <w:t xml:space="preserve">The Australian Government is confident that appropriate protocols have been put in place to mitigate the risk of identifiable data being used or disclosed without </w:t>
      </w:r>
      <w:proofErr w:type="spellStart"/>
      <w:r w:rsidRPr="001E3A7C">
        <w:rPr>
          <w:lang w:val="en-US"/>
        </w:rPr>
        <w:t>authorisation</w:t>
      </w:r>
      <w:proofErr w:type="spellEnd"/>
      <w:r w:rsidRPr="001E3A7C">
        <w:rPr>
          <w:lang w:val="en-US"/>
        </w:rPr>
        <w:t>. There will be safeguards to protect the privacy of individuals, as follows:</w:t>
      </w:r>
    </w:p>
    <w:p w:rsidR="00DF63A5" w:rsidRPr="00C205C1" w:rsidRDefault="00DF63A5" w:rsidP="0035054F">
      <w:pPr>
        <w:pStyle w:val="ListParagraph"/>
        <w:numPr>
          <w:ilvl w:val="0"/>
          <w:numId w:val="26"/>
        </w:numPr>
        <w:spacing w:before="0"/>
        <w:ind w:left="714" w:hanging="357"/>
        <w:rPr>
          <w:lang w:val="en-US"/>
        </w:rPr>
      </w:pPr>
      <w:proofErr w:type="gramStart"/>
      <w:r w:rsidRPr="0013669F">
        <w:rPr>
          <w:lang w:val="en-US"/>
        </w:rPr>
        <w:t>it</w:t>
      </w:r>
      <w:proofErr w:type="gramEnd"/>
      <w:r w:rsidRPr="0013669F">
        <w:rPr>
          <w:lang w:val="en-US"/>
        </w:rPr>
        <w:t xml:space="preserve"> is proposed that the information may be disclosed to the ABS for linking with personal income tax data collected by the Australian Taxation Office (</w:t>
      </w:r>
      <w:r w:rsidRPr="004D25E3">
        <w:rPr>
          <w:b/>
          <w:lang w:val="en-US"/>
        </w:rPr>
        <w:t>ATO</w:t>
      </w:r>
      <w:r w:rsidRPr="004D25E3">
        <w:rPr>
          <w:lang w:val="en-US"/>
        </w:rPr>
        <w:t>) and ABS Census data, such as through an approved project conducted in accordance with the Multi</w:t>
      </w:r>
      <w:r w:rsidR="00711201">
        <w:rPr>
          <w:lang w:val="en-US"/>
        </w:rPr>
        <w:noBreakHyphen/>
      </w:r>
      <w:r w:rsidRPr="004D25E3">
        <w:rPr>
          <w:lang w:val="en-US"/>
        </w:rPr>
        <w:t>Agency Data</w:t>
      </w:r>
      <w:r w:rsidR="00711201">
        <w:rPr>
          <w:lang w:val="en-US"/>
        </w:rPr>
        <w:t> </w:t>
      </w:r>
      <w:r w:rsidRPr="004D25E3">
        <w:rPr>
          <w:lang w:val="en-US"/>
        </w:rPr>
        <w:t>Integration Project (</w:t>
      </w:r>
      <w:r w:rsidRPr="00C205C1">
        <w:rPr>
          <w:b/>
          <w:lang w:val="en-US"/>
        </w:rPr>
        <w:t>MADIP</w:t>
      </w:r>
      <w:r w:rsidRPr="00C205C1">
        <w:rPr>
          <w:lang w:val="en-US"/>
        </w:rPr>
        <w:t xml:space="preserve">). The MADIP is a partnership among six Australian Government agencies that brings important national datasets together securely to </w:t>
      </w:r>
      <w:proofErr w:type="spellStart"/>
      <w:r w:rsidRPr="00C205C1">
        <w:rPr>
          <w:lang w:val="en-US"/>
        </w:rPr>
        <w:t>maximise</w:t>
      </w:r>
      <w:proofErr w:type="spellEnd"/>
      <w:r w:rsidRPr="00C205C1">
        <w:rPr>
          <w:lang w:val="en-US"/>
        </w:rPr>
        <w:t xml:space="preserve"> their value for policy analysis, research, and statistical purposes. Any information to be disclosed to the ABS will be </w:t>
      </w:r>
      <w:proofErr w:type="spellStart"/>
      <w:r w:rsidRPr="00C205C1">
        <w:rPr>
          <w:lang w:val="en-US"/>
        </w:rPr>
        <w:t>authorised</w:t>
      </w:r>
      <w:proofErr w:type="spellEnd"/>
      <w:r w:rsidRPr="00C205C1">
        <w:rPr>
          <w:lang w:val="en-US"/>
        </w:rPr>
        <w:t xml:space="preserve"> by law under the </w:t>
      </w:r>
      <w:r w:rsidR="000F320E" w:rsidRPr="00C205C1">
        <w:rPr>
          <w:lang w:val="en-US"/>
        </w:rPr>
        <w:t xml:space="preserve">Principal </w:t>
      </w:r>
      <w:r w:rsidRPr="00C205C1">
        <w:rPr>
          <w:lang w:val="en-US"/>
        </w:rPr>
        <w:t xml:space="preserve">Regulation. </w:t>
      </w:r>
    </w:p>
    <w:p w:rsidR="00DF63A5" w:rsidRPr="00C205C1" w:rsidRDefault="00DF63A5" w:rsidP="00C205C1">
      <w:pPr>
        <w:pStyle w:val="ListParagraph"/>
        <w:numPr>
          <w:ilvl w:val="0"/>
          <w:numId w:val="26"/>
        </w:numPr>
        <w:rPr>
          <w:lang w:val="en-US"/>
        </w:rPr>
      </w:pPr>
      <w:r w:rsidRPr="00C205C1">
        <w:rPr>
          <w:lang w:val="en-US"/>
        </w:rPr>
        <w:t xml:space="preserve">the ABS conducts the MADIP in accordance with its mandate to collect, compile, </w:t>
      </w:r>
      <w:proofErr w:type="spellStart"/>
      <w:r w:rsidRPr="00C205C1">
        <w:rPr>
          <w:lang w:val="en-US"/>
        </w:rPr>
        <w:t>analyse</w:t>
      </w:r>
      <w:proofErr w:type="spellEnd"/>
      <w:r w:rsidRPr="00C205C1">
        <w:rPr>
          <w:lang w:val="en-US"/>
        </w:rPr>
        <w:t xml:space="preserve">, and disseminate statistics, under the </w:t>
      </w:r>
      <w:r w:rsidRPr="00C205C1">
        <w:rPr>
          <w:i/>
          <w:lang w:val="en-US"/>
        </w:rPr>
        <w:t>Australian Bureau of Statistics Act 1975</w:t>
      </w:r>
      <w:r w:rsidRPr="00C205C1">
        <w:rPr>
          <w:lang w:val="en-US"/>
        </w:rPr>
        <w:t xml:space="preserve"> and the </w:t>
      </w:r>
      <w:r w:rsidRPr="00C205C1">
        <w:rPr>
          <w:i/>
          <w:lang w:val="en-US"/>
        </w:rPr>
        <w:t>Census</w:t>
      </w:r>
      <w:r w:rsidR="00711201">
        <w:rPr>
          <w:i/>
          <w:lang w:val="en-US"/>
        </w:rPr>
        <w:t> </w:t>
      </w:r>
      <w:r w:rsidRPr="00C205C1">
        <w:rPr>
          <w:i/>
          <w:lang w:val="en-US"/>
        </w:rPr>
        <w:t>and Statistics Act 1905</w:t>
      </w:r>
      <w:r w:rsidRPr="00C205C1">
        <w:rPr>
          <w:lang w:val="en-US"/>
        </w:rPr>
        <w:t xml:space="preserve">. The collection and use of personal information in the MADIP is consistent with applicable legislation such as the </w:t>
      </w:r>
      <w:r w:rsidRPr="00C205C1">
        <w:rPr>
          <w:i/>
          <w:lang w:val="en-US"/>
        </w:rPr>
        <w:t>Privacy Act 1988</w:t>
      </w:r>
      <w:r w:rsidRPr="00C205C1">
        <w:rPr>
          <w:lang w:val="en-US"/>
        </w:rPr>
        <w:t xml:space="preserve">, including the Australian Privacy Principles. The </w:t>
      </w:r>
      <w:r w:rsidR="002825CA" w:rsidRPr="00C205C1">
        <w:rPr>
          <w:lang w:val="en-US"/>
        </w:rPr>
        <w:t xml:space="preserve">Australian </w:t>
      </w:r>
      <w:r w:rsidRPr="00C205C1">
        <w:rPr>
          <w:lang w:val="en-US"/>
        </w:rPr>
        <w:t>Government is satisfied that the ABS has sufficient security and data protections in place for the transmission and storage of personal information.</w:t>
      </w:r>
    </w:p>
    <w:p w:rsidR="00DF63A5" w:rsidRPr="00C205C1" w:rsidRDefault="00DF63A5" w:rsidP="00C205C1">
      <w:pPr>
        <w:pStyle w:val="ListParagraph"/>
        <w:numPr>
          <w:ilvl w:val="0"/>
          <w:numId w:val="26"/>
        </w:numPr>
        <w:rPr>
          <w:lang w:val="en-US"/>
        </w:rPr>
      </w:pPr>
      <w:proofErr w:type="gramStart"/>
      <w:r w:rsidRPr="00C205C1">
        <w:rPr>
          <w:lang w:val="en-US"/>
        </w:rPr>
        <w:t>the</w:t>
      </w:r>
      <w:proofErr w:type="gramEnd"/>
      <w:r w:rsidRPr="00C205C1">
        <w:rPr>
          <w:lang w:val="en-US"/>
        </w:rPr>
        <w:t xml:space="preserve"> information is to be disclosed to the ABS for the sole purpose of undertaking work to support the implementation of the new DMI methodology. Partner agencies to the MADIP will not have access to this information and the ABS will not use this information for unrelated purposes.</w:t>
      </w:r>
    </w:p>
    <w:p w:rsidR="00DF63A5" w:rsidRPr="00C205C1" w:rsidRDefault="00DF63A5" w:rsidP="00C205C1">
      <w:pPr>
        <w:pStyle w:val="ListParagraph"/>
        <w:numPr>
          <w:ilvl w:val="0"/>
          <w:numId w:val="26"/>
        </w:numPr>
        <w:rPr>
          <w:lang w:val="en-US"/>
        </w:rPr>
      </w:pPr>
      <w:proofErr w:type="gramStart"/>
      <w:r w:rsidRPr="00C205C1">
        <w:rPr>
          <w:lang w:val="en-US"/>
        </w:rPr>
        <w:t>the</w:t>
      </w:r>
      <w:proofErr w:type="gramEnd"/>
      <w:r w:rsidRPr="00C205C1">
        <w:rPr>
          <w:lang w:val="en-US"/>
        </w:rPr>
        <w:t xml:space="preserve"> department will only be able to access de-identified information in the ABS’ secure </w:t>
      </w:r>
      <w:proofErr w:type="spellStart"/>
      <w:r w:rsidRPr="00C205C1">
        <w:rPr>
          <w:lang w:val="en-US"/>
        </w:rPr>
        <w:t>DataLab</w:t>
      </w:r>
      <w:proofErr w:type="spellEnd"/>
      <w:r w:rsidRPr="00C205C1">
        <w:rPr>
          <w:lang w:val="en-US"/>
        </w:rPr>
        <w:t xml:space="preserve">, through its personnel who have been seconded to the ABS to work on the particular MADIP project. Departmental personnel who have access to the </w:t>
      </w:r>
      <w:proofErr w:type="spellStart"/>
      <w:r w:rsidRPr="00C205C1">
        <w:rPr>
          <w:lang w:val="en-US"/>
        </w:rPr>
        <w:t>DataLab</w:t>
      </w:r>
      <w:proofErr w:type="spellEnd"/>
      <w:r w:rsidRPr="00C205C1">
        <w:rPr>
          <w:lang w:val="en-US"/>
        </w:rPr>
        <w:t xml:space="preserve"> will be subject to the same rigorous security, privacy, and confidentiality requirements as ABS officials. </w:t>
      </w:r>
    </w:p>
    <w:p w:rsidR="00137CDB" w:rsidRDefault="00137CDB" w:rsidP="00C205C1"/>
    <w:p w:rsidR="00137CDB" w:rsidRDefault="00995C61" w:rsidP="00C205C1">
      <w:r>
        <w:t>The MADIP has been subject to two privacy impact assessments (</w:t>
      </w:r>
      <w:r w:rsidRPr="00551999">
        <w:rPr>
          <w:b/>
        </w:rPr>
        <w:t>PIAs</w:t>
      </w:r>
      <w:r>
        <w:t xml:space="preserve">). The first of these, the </w:t>
      </w:r>
      <w:r w:rsidRPr="00551999">
        <w:rPr>
          <w:i/>
        </w:rPr>
        <w:t>Independent Privacy Impact Assessment (PIA) for the  Multi-Agency Data Integration  Project (MADIP)</w:t>
      </w:r>
      <w:r w:rsidRPr="00847A66">
        <w:rPr>
          <w:i/>
        </w:rPr>
        <w:t>,</w:t>
      </w:r>
      <w:r w:rsidRPr="001E26D1">
        <w:t xml:space="preserve"> </w:t>
      </w:r>
      <w:r>
        <w:t>was undertaken in 2018 and could</w:t>
      </w:r>
      <w:r w:rsidR="000206E2" w:rsidRPr="000206E2">
        <w:t xml:space="preserve"> </w:t>
      </w:r>
      <w:r w:rsidR="000206E2">
        <w:t xml:space="preserve">in 2020 </w:t>
      </w:r>
      <w:r>
        <w:t xml:space="preserve">be viewed on the </w:t>
      </w:r>
      <w:r w:rsidR="000206E2">
        <w:t>A</w:t>
      </w:r>
      <w:r>
        <w:t>BS</w:t>
      </w:r>
      <w:r w:rsidR="000206E2">
        <w:t>’</w:t>
      </w:r>
      <w:r>
        <w:t xml:space="preserve"> website</w:t>
      </w:r>
      <w:r w:rsidR="000206E2">
        <w:t xml:space="preserve"> (at</w:t>
      </w:r>
      <w:r>
        <w:t xml:space="preserve"> </w:t>
      </w:r>
      <w:hyperlink r:id="rId15" w:history="1">
        <w:r w:rsidRPr="00D54B90">
          <w:rPr>
            <w:rStyle w:val="Hyperlink"/>
          </w:rPr>
          <w:t>https://www.abs.gov.au/websitedbs/D3310114.nsf/4a256353001af3ed4b2562bb00121564/9099c77cb979d558ca258198001b27a0/$FILE/MADIP%20iPIA_2018.pdf</w:t>
        </w:r>
      </w:hyperlink>
      <w:r w:rsidR="000206E2">
        <w:t>)</w:t>
      </w:r>
      <w:r>
        <w:t>.</w:t>
      </w:r>
    </w:p>
    <w:p w:rsidR="00137CDB" w:rsidRDefault="00137CDB" w:rsidP="00C205C1"/>
    <w:p w:rsidR="001B0E8A" w:rsidRDefault="00995C61" w:rsidP="0035054F">
      <w:pPr>
        <w:keepNext/>
        <w:keepLines/>
      </w:pPr>
      <w:r>
        <w:t xml:space="preserve">An updated PIA, the </w:t>
      </w:r>
      <w:r w:rsidRPr="00551999">
        <w:rPr>
          <w:i/>
        </w:rPr>
        <w:t xml:space="preserve">Privacy Impact Assessment (PIA) Update for the Multi-Agency Data Integration Project (MADIP), </w:t>
      </w:r>
      <w:r>
        <w:t>was undertaken in 2019 and could</w:t>
      </w:r>
      <w:r w:rsidR="000206E2">
        <w:t xml:space="preserve"> in 2020</w:t>
      </w:r>
      <w:r>
        <w:t xml:space="preserve"> be viewed on ABS</w:t>
      </w:r>
      <w:r w:rsidR="000206E2">
        <w:t>’</w:t>
      </w:r>
      <w:r>
        <w:t xml:space="preserve"> website</w:t>
      </w:r>
      <w:r w:rsidR="000206E2">
        <w:t xml:space="preserve"> (at </w:t>
      </w:r>
      <w:hyperlink r:id="rId16" w:history="1">
        <w:r w:rsidRPr="006D16CA">
          <w:rPr>
            <w:rStyle w:val="Hyperlink"/>
          </w:rPr>
          <w:t>https://www.abs.gov.au/websitedbs/D3310114.nsf/4a256353001af3ed4b2562bb00121564/9099c77cb979d558ca258198001b27a0/$FILE/2019%20MADIP%20PIA%20Update%20-%20PIA%20Report.pdf</w:t>
        </w:r>
      </w:hyperlink>
      <w:r w:rsidR="000206E2">
        <w:t>)</w:t>
      </w:r>
      <w:r>
        <w:t>.</w:t>
      </w:r>
    </w:p>
    <w:p w:rsidR="00995C61" w:rsidRDefault="00995C61" w:rsidP="0035054F">
      <w:pPr>
        <w:keepNext/>
        <w:keepLines/>
      </w:pPr>
      <w:r>
        <w:t xml:space="preserve"> </w:t>
      </w:r>
    </w:p>
    <w:p w:rsidR="00995C61" w:rsidRDefault="00995C61" w:rsidP="00C205C1">
      <w:r>
        <w:t xml:space="preserve">In addition, </w:t>
      </w:r>
      <w:r w:rsidR="000206E2">
        <w:t xml:space="preserve">in 2018 </w:t>
      </w:r>
      <w:r>
        <w:t>a PIA specific to the collection of the residential addresses of each perso</w:t>
      </w:r>
      <w:r w:rsidR="000206E2">
        <w:t xml:space="preserve">n responsible for students at the </w:t>
      </w:r>
      <w:r>
        <w:t>school, and the handling of this information through MADIP</w:t>
      </w:r>
      <w:r w:rsidR="000206E2">
        <w:t>,</w:t>
      </w:r>
      <w:r>
        <w:t xml:space="preserve"> was undertaken</w:t>
      </w:r>
      <w:r w:rsidR="00F505FD">
        <w:t>. The</w:t>
      </w:r>
      <w:r>
        <w:t xml:space="preserve"> </w:t>
      </w:r>
      <w:r w:rsidRPr="00551999">
        <w:rPr>
          <w:i/>
        </w:rPr>
        <w:t xml:space="preserve">2018 Student Residential Address Collection: Additional required information </w:t>
      </w:r>
      <w:r w:rsidRPr="00847A66">
        <w:rPr>
          <w:i/>
        </w:rPr>
        <w:t xml:space="preserve">Privacy Impact Assessment </w:t>
      </w:r>
      <w:r>
        <w:t xml:space="preserve">could in 2020 be viewed on the </w:t>
      </w:r>
      <w:r w:rsidR="00F505FD">
        <w:t xml:space="preserve">former </w:t>
      </w:r>
      <w:r>
        <w:t>Department of Education and Training</w:t>
      </w:r>
      <w:r w:rsidR="00F505FD">
        <w:t>’s</w:t>
      </w:r>
      <w:r>
        <w:t xml:space="preserve"> </w:t>
      </w:r>
      <w:r w:rsidR="00F505FD">
        <w:t>website (at</w:t>
      </w:r>
      <w:r>
        <w:t xml:space="preserve"> </w:t>
      </w:r>
      <w:hyperlink r:id="rId17" w:history="1">
        <w:r w:rsidRPr="006D16CA">
          <w:rPr>
            <w:rStyle w:val="Hyperlink"/>
          </w:rPr>
          <w:t>https://docs.education.gov.au/system/files/doc/other/final_-_pia_2018_residential_address_collection.pdf</w:t>
        </w:r>
      </w:hyperlink>
      <w:r w:rsidR="00F505FD">
        <w:t>)</w:t>
      </w:r>
      <w:r>
        <w:t>.</w:t>
      </w:r>
      <w:r w:rsidR="009D75B0">
        <w:t xml:space="preserve"> </w:t>
      </w:r>
    </w:p>
    <w:p w:rsidR="001B0E8A" w:rsidRDefault="001B0E8A" w:rsidP="00C205C1"/>
    <w:p w:rsidR="00DF63A5" w:rsidRPr="001E3A7C" w:rsidRDefault="00DF63A5" w:rsidP="00C205C1">
      <w:pPr>
        <w:rPr>
          <w:lang w:val="en-US"/>
        </w:rPr>
      </w:pPr>
      <w:r w:rsidRPr="001E3A7C">
        <w:rPr>
          <w:lang w:val="en-US"/>
        </w:rPr>
        <w:t xml:space="preserve">In addition, approved authorities for non-government schools are provided with a privacy notice, that complies with Australian Privacy Principle 5, to distribute to the school community to </w:t>
      </w:r>
      <w:proofErr w:type="gramStart"/>
      <w:r w:rsidRPr="001E3A7C">
        <w:rPr>
          <w:lang w:val="en-US"/>
        </w:rPr>
        <w:t>advise</w:t>
      </w:r>
      <w:proofErr w:type="gramEnd"/>
      <w:r w:rsidRPr="001E3A7C">
        <w:rPr>
          <w:lang w:val="en-US"/>
        </w:rPr>
        <w:t xml:space="preserve"> amongst other things, of the information being provided to the department and the purposes for which it is being provided. This notice covers:</w:t>
      </w:r>
    </w:p>
    <w:p w:rsidR="00DF63A5" w:rsidRPr="0013669F" w:rsidRDefault="00DF63A5" w:rsidP="0035054F">
      <w:pPr>
        <w:pStyle w:val="ListParagraph"/>
        <w:numPr>
          <w:ilvl w:val="0"/>
          <w:numId w:val="27"/>
        </w:numPr>
        <w:spacing w:before="0"/>
        <w:ind w:left="714" w:hanging="357"/>
        <w:rPr>
          <w:lang w:val="en-US"/>
        </w:rPr>
      </w:pPr>
      <w:r w:rsidRPr="0013669F">
        <w:rPr>
          <w:lang w:val="en-US"/>
        </w:rPr>
        <w:t>what information is being collected</w:t>
      </w:r>
    </w:p>
    <w:p w:rsidR="00DF63A5" w:rsidRPr="00C205C1" w:rsidRDefault="00DF63A5" w:rsidP="00C205C1">
      <w:pPr>
        <w:pStyle w:val="ListParagraph"/>
        <w:numPr>
          <w:ilvl w:val="0"/>
          <w:numId w:val="27"/>
        </w:numPr>
        <w:rPr>
          <w:lang w:val="en-US"/>
        </w:rPr>
      </w:pPr>
      <w:r w:rsidRPr="004D25E3">
        <w:rPr>
          <w:lang w:val="en-US"/>
        </w:rPr>
        <w:t>the purpose of the collection</w:t>
      </w:r>
    </w:p>
    <w:p w:rsidR="00DF63A5" w:rsidRPr="00C205C1" w:rsidRDefault="00DF63A5" w:rsidP="00C205C1">
      <w:pPr>
        <w:pStyle w:val="ListParagraph"/>
        <w:numPr>
          <w:ilvl w:val="0"/>
          <w:numId w:val="27"/>
        </w:numPr>
        <w:rPr>
          <w:lang w:val="en-US"/>
        </w:rPr>
      </w:pPr>
      <w:r w:rsidRPr="00C205C1">
        <w:rPr>
          <w:lang w:val="en-US"/>
        </w:rPr>
        <w:t>the legislative authority for the collection</w:t>
      </w:r>
    </w:p>
    <w:p w:rsidR="00DF63A5" w:rsidRPr="00C205C1" w:rsidRDefault="00DF63A5" w:rsidP="00C205C1">
      <w:pPr>
        <w:pStyle w:val="ListParagraph"/>
        <w:numPr>
          <w:ilvl w:val="0"/>
          <w:numId w:val="27"/>
        </w:numPr>
        <w:rPr>
          <w:lang w:val="en-US"/>
        </w:rPr>
      </w:pPr>
      <w:r w:rsidRPr="00C205C1">
        <w:rPr>
          <w:lang w:val="en-US"/>
        </w:rPr>
        <w:t>how the information that is collected may be used or disclosed</w:t>
      </w:r>
    </w:p>
    <w:p w:rsidR="00DF63A5" w:rsidRPr="00C205C1" w:rsidRDefault="00DF63A5" w:rsidP="00C205C1">
      <w:pPr>
        <w:pStyle w:val="ListParagraph"/>
        <w:numPr>
          <w:ilvl w:val="0"/>
          <w:numId w:val="27"/>
        </w:numPr>
        <w:rPr>
          <w:lang w:val="en-US"/>
        </w:rPr>
      </w:pPr>
      <w:proofErr w:type="gramStart"/>
      <w:r w:rsidRPr="00C205C1">
        <w:rPr>
          <w:lang w:val="en-US"/>
        </w:rPr>
        <w:t>how</w:t>
      </w:r>
      <w:proofErr w:type="gramEnd"/>
      <w:r w:rsidRPr="00C205C1">
        <w:rPr>
          <w:lang w:val="en-US"/>
        </w:rPr>
        <w:t xml:space="preserve"> to contact the department for further information regarding privacy.</w:t>
      </w:r>
    </w:p>
    <w:p w:rsidR="00137CDB" w:rsidRDefault="00137CDB" w:rsidP="00C205C1">
      <w:pPr>
        <w:rPr>
          <w:lang w:val="en-US"/>
        </w:rPr>
      </w:pPr>
    </w:p>
    <w:p w:rsidR="001B0E8A" w:rsidRDefault="00DF63A5" w:rsidP="00C205C1">
      <w:pPr>
        <w:rPr>
          <w:lang w:val="en-US"/>
        </w:rPr>
      </w:pPr>
      <w:r w:rsidRPr="001E3A7C">
        <w:rPr>
          <w:lang w:val="en-US"/>
        </w:rPr>
        <w:t xml:space="preserve">Any potential impact of the </w:t>
      </w:r>
      <w:r>
        <w:rPr>
          <w:lang w:val="en-US"/>
        </w:rPr>
        <w:t>Amendment Regulations</w:t>
      </w:r>
      <w:r w:rsidRPr="001E3A7C">
        <w:rPr>
          <w:lang w:val="en-US"/>
        </w:rPr>
        <w:t xml:space="preserve"> on an individual’s right to privacy is lawfully enacted, is proportionate and reasonable and not considered arbitrary as it is done to achieve legitimate policy objectives, and any personal information will be securely handled. Finally, the application of the </w:t>
      </w:r>
      <w:r w:rsidRPr="001E3A7C">
        <w:rPr>
          <w:i/>
          <w:lang w:val="en-US"/>
        </w:rPr>
        <w:t>Privacy Act 1988</w:t>
      </w:r>
      <w:r w:rsidRPr="001E3A7C">
        <w:rPr>
          <w:lang w:val="en-US"/>
        </w:rPr>
        <w:t>, and the department’s compliance with it will further ensure any personal information is used, managed and disclosed only in accordance with Australia’s privacy laws.</w:t>
      </w:r>
    </w:p>
    <w:p w:rsidR="00DF63A5" w:rsidRDefault="00DF63A5" w:rsidP="00C205C1">
      <w:pPr>
        <w:rPr>
          <w:lang w:val="en-US"/>
        </w:rPr>
      </w:pPr>
      <w:r w:rsidRPr="001E3A7C">
        <w:rPr>
          <w:lang w:val="en-US"/>
        </w:rPr>
        <w:t xml:space="preserve"> </w:t>
      </w:r>
    </w:p>
    <w:p w:rsidR="00DF63A5" w:rsidRPr="001E3A7C" w:rsidRDefault="00DF63A5" w:rsidP="00C205C1">
      <w:pPr>
        <w:rPr>
          <w:lang w:val="en-US"/>
        </w:rPr>
      </w:pPr>
      <w:r>
        <w:rPr>
          <w:lang w:val="en-US"/>
        </w:rPr>
        <w:t>T</w:t>
      </w:r>
      <w:r w:rsidRPr="001E3A7C">
        <w:rPr>
          <w:lang w:val="en-US"/>
        </w:rPr>
        <w:t xml:space="preserve">he </w:t>
      </w:r>
      <w:r>
        <w:rPr>
          <w:lang w:val="en-US"/>
        </w:rPr>
        <w:t>Amendment Regulations are</w:t>
      </w:r>
      <w:r w:rsidRPr="001E3A7C">
        <w:rPr>
          <w:lang w:val="en-US"/>
        </w:rPr>
        <w:t xml:space="preserve"> compatible with and protects the right to privacy.</w:t>
      </w:r>
    </w:p>
    <w:p w:rsidR="00DF63A5" w:rsidRPr="00865FE6" w:rsidRDefault="00DF63A5" w:rsidP="00C205C1">
      <w:pPr>
        <w:pStyle w:val="Heading3"/>
      </w:pPr>
      <w:r w:rsidRPr="00865FE6">
        <w:t>Conclusion</w:t>
      </w:r>
    </w:p>
    <w:p w:rsidR="00DF63A5" w:rsidRPr="00E132A5" w:rsidRDefault="00DF63A5" w:rsidP="00DF63A5">
      <w:pPr>
        <w:spacing w:before="240" w:after="120"/>
        <w:rPr>
          <w:color w:val="auto"/>
          <w:szCs w:val="24"/>
          <w:lang w:val="en-US"/>
        </w:rPr>
      </w:pPr>
      <w:r w:rsidRPr="000F58F5">
        <w:rPr>
          <w:color w:val="auto"/>
          <w:szCs w:val="24"/>
        </w:rPr>
        <w:t xml:space="preserve">The Amendment Regulations are compatible with human rights because it </w:t>
      </w:r>
      <w:r w:rsidRPr="00AB5CD8">
        <w:rPr>
          <w:color w:val="auto"/>
          <w:szCs w:val="24"/>
        </w:rPr>
        <w:t xml:space="preserve">promotes the right to education under </w:t>
      </w:r>
      <w:r>
        <w:rPr>
          <w:color w:val="auto"/>
          <w:szCs w:val="24"/>
        </w:rPr>
        <w:t xml:space="preserve">the </w:t>
      </w:r>
      <w:r w:rsidRPr="00AB5CD8">
        <w:rPr>
          <w:color w:val="auto"/>
          <w:szCs w:val="24"/>
        </w:rPr>
        <w:t xml:space="preserve">ICESCR and </w:t>
      </w:r>
      <w:r>
        <w:rPr>
          <w:color w:val="auto"/>
          <w:szCs w:val="24"/>
        </w:rPr>
        <w:t xml:space="preserve">the </w:t>
      </w:r>
      <w:r w:rsidRPr="00AB5CD8">
        <w:rPr>
          <w:color w:val="auto"/>
          <w:szCs w:val="24"/>
        </w:rPr>
        <w:t>UNCRC</w:t>
      </w:r>
      <w:r>
        <w:rPr>
          <w:color w:val="auto"/>
          <w:szCs w:val="24"/>
        </w:rPr>
        <w:t xml:space="preserve">, and </w:t>
      </w:r>
      <w:r w:rsidRPr="00E132A5">
        <w:rPr>
          <w:color w:val="auto"/>
          <w:szCs w:val="24"/>
          <w:lang w:val="en-US"/>
        </w:rPr>
        <w:t>any potential limitations on the right to privacy are reasonable, necessary and proportionate in achieving legitimate policy objectives.</w:t>
      </w:r>
    </w:p>
    <w:p w:rsidR="00DF63A5" w:rsidRPr="005E7409" w:rsidRDefault="00DF63A5" w:rsidP="00DF63A5">
      <w:pPr>
        <w:spacing w:before="120" w:after="200" w:line="276" w:lineRule="auto"/>
        <w:rPr>
          <w:color w:val="auto"/>
          <w:szCs w:val="24"/>
        </w:rPr>
      </w:pPr>
    </w:p>
    <w:p w:rsidR="00DF63A5" w:rsidRPr="005E7409" w:rsidRDefault="00DF63A5" w:rsidP="00DF63A5">
      <w:pPr>
        <w:spacing w:before="120" w:after="120"/>
        <w:rPr>
          <w:b/>
          <w:color w:val="auto"/>
          <w:szCs w:val="24"/>
        </w:rPr>
      </w:pPr>
      <w:r w:rsidRPr="005E7409">
        <w:rPr>
          <w:b/>
          <w:color w:val="auto"/>
          <w:szCs w:val="24"/>
        </w:rPr>
        <w:t xml:space="preserve">Dan </w:t>
      </w:r>
      <w:proofErr w:type="spellStart"/>
      <w:r w:rsidRPr="005E7409">
        <w:rPr>
          <w:b/>
          <w:color w:val="auto"/>
          <w:szCs w:val="24"/>
        </w:rPr>
        <w:t>Tehan</w:t>
      </w:r>
      <w:proofErr w:type="spellEnd"/>
    </w:p>
    <w:p w:rsidR="00B25C5C" w:rsidRPr="005E7409" w:rsidRDefault="00DF63A5" w:rsidP="00B25C5C">
      <w:pPr>
        <w:spacing w:before="120" w:after="200" w:line="276" w:lineRule="auto"/>
        <w:rPr>
          <w:b/>
          <w:color w:val="auto"/>
          <w:szCs w:val="24"/>
        </w:rPr>
      </w:pPr>
      <w:r w:rsidRPr="005E7409">
        <w:rPr>
          <w:b/>
          <w:color w:val="auto"/>
          <w:szCs w:val="24"/>
        </w:rPr>
        <w:t>Minister for Education</w:t>
      </w:r>
      <w:r w:rsidR="00B25C5C" w:rsidRPr="005E7409">
        <w:rPr>
          <w:b/>
          <w:color w:val="auto"/>
          <w:szCs w:val="24"/>
        </w:rPr>
        <w:br w:type="page"/>
      </w:r>
    </w:p>
    <w:p w:rsidR="00B25C5C" w:rsidRPr="00865FE6" w:rsidRDefault="00B25C5C" w:rsidP="00C205C1">
      <w:pPr>
        <w:pStyle w:val="Heading1"/>
      </w:pPr>
      <w:r w:rsidRPr="00865FE6">
        <w:t>Detailed explanation of the Amendment Regulations provisions</w:t>
      </w:r>
    </w:p>
    <w:p w:rsidR="00B25C5C" w:rsidRPr="000F58F5" w:rsidRDefault="00B25C5C" w:rsidP="00C205C1">
      <w:pPr>
        <w:pStyle w:val="Heading4"/>
        <w:rPr>
          <w:lang w:eastAsia="en-US"/>
        </w:rPr>
      </w:pPr>
      <w:r w:rsidRPr="000F58F5">
        <w:rPr>
          <w:lang w:eastAsia="en-US"/>
        </w:rPr>
        <w:t>Section 1 – Name of Amendment Regulations</w:t>
      </w:r>
    </w:p>
    <w:p w:rsidR="00B25C5C" w:rsidRPr="005E7409" w:rsidRDefault="00B25C5C" w:rsidP="00C205C1">
      <w:pPr>
        <w:rPr>
          <w:bCs/>
          <w:u w:val="single"/>
          <w:lang w:eastAsia="en-US"/>
        </w:rPr>
      </w:pPr>
      <w:r w:rsidRPr="00AB5CD8">
        <w:rPr>
          <w:lang w:eastAsia="en-US"/>
        </w:rPr>
        <w:t xml:space="preserve">This section provides that the title of the Amendment Regulations is the </w:t>
      </w:r>
      <w:r w:rsidRPr="00AB5CD8">
        <w:rPr>
          <w:i/>
          <w:iCs/>
        </w:rPr>
        <w:t>Australian Education Amendment (20</w:t>
      </w:r>
      <w:r w:rsidR="00CA2056">
        <w:rPr>
          <w:i/>
          <w:iCs/>
        </w:rPr>
        <w:t>20</w:t>
      </w:r>
      <w:r w:rsidRPr="00AB5CD8">
        <w:rPr>
          <w:i/>
          <w:iCs/>
        </w:rPr>
        <w:t xml:space="preserve"> Measures No. </w:t>
      </w:r>
      <w:r w:rsidR="00CA2056">
        <w:rPr>
          <w:i/>
          <w:iCs/>
        </w:rPr>
        <w:t>1</w:t>
      </w:r>
      <w:r w:rsidRPr="005E7409">
        <w:rPr>
          <w:i/>
          <w:iCs/>
        </w:rPr>
        <w:t>) Regulations 20</w:t>
      </w:r>
      <w:r w:rsidR="00CA2056">
        <w:rPr>
          <w:i/>
          <w:iCs/>
        </w:rPr>
        <w:t>20</w:t>
      </w:r>
      <w:r w:rsidRPr="005E7409">
        <w:rPr>
          <w:i/>
          <w:iCs/>
        </w:rPr>
        <w:t>.</w:t>
      </w:r>
    </w:p>
    <w:p w:rsidR="00B25C5C" w:rsidRPr="004B746F" w:rsidRDefault="00B25C5C" w:rsidP="00C205C1">
      <w:pPr>
        <w:pStyle w:val="Heading4"/>
        <w:rPr>
          <w:lang w:eastAsia="en-US"/>
        </w:rPr>
      </w:pPr>
      <w:r w:rsidRPr="004B746F">
        <w:rPr>
          <w:lang w:eastAsia="en-US"/>
        </w:rPr>
        <w:t>Section 2 – Commencement</w:t>
      </w:r>
    </w:p>
    <w:p w:rsidR="00B25C5C" w:rsidRPr="004B746F" w:rsidRDefault="00B25C5C" w:rsidP="00C205C1">
      <w:pPr>
        <w:rPr>
          <w:lang w:eastAsia="en-US"/>
        </w:rPr>
      </w:pPr>
      <w:r w:rsidRPr="004B746F">
        <w:rPr>
          <w:lang w:eastAsia="en-US"/>
        </w:rPr>
        <w:t xml:space="preserve">This section provides that the Amendment Regulations commence on the day after </w:t>
      </w:r>
      <w:r w:rsidR="00280FF3">
        <w:rPr>
          <w:lang w:eastAsia="en-US"/>
        </w:rPr>
        <w:t>they are</w:t>
      </w:r>
      <w:r w:rsidRPr="004B746F">
        <w:rPr>
          <w:lang w:eastAsia="en-US"/>
        </w:rPr>
        <w:t xml:space="preserve"> registered on the Federal Register of Legislation.</w:t>
      </w:r>
    </w:p>
    <w:p w:rsidR="00B25C5C" w:rsidRPr="00A279A7" w:rsidRDefault="00B25C5C" w:rsidP="00C205C1">
      <w:pPr>
        <w:pStyle w:val="Heading4"/>
        <w:rPr>
          <w:lang w:eastAsia="en-US"/>
        </w:rPr>
      </w:pPr>
      <w:r w:rsidRPr="00A279A7">
        <w:rPr>
          <w:lang w:eastAsia="en-US"/>
        </w:rPr>
        <w:t>Section 3 – Authority</w:t>
      </w:r>
    </w:p>
    <w:p w:rsidR="00B25C5C" w:rsidRPr="00945197" w:rsidRDefault="00B25C5C" w:rsidP="00C205C1">
      <w:pPr>
        <w:rPr>
          <w:lang w:eastAsia="en-US"/>
        </w:rPr>
      </w:pPr>
      <w:r w:rsidRPr="00945197">
        <w:rPr>
          <w:lang w:eastAsia="en-US"/>
        </w:rPr>
        <w:t xml:space="preserve">This section provides that the Amendment Regulations are made under the </w:t>
      </w:r>
      <w:r w:rsidRPr="00945197">
        <w:rPr>
          <w:i/>
          <w:lang w:eastAsia="en-US"/>
        </w:rPr>
        <w:t>Australian Education Act 2013</w:t>
      </w:r>
      <w:r w:rsidRPr="00945197">
        <w:rPr>
          <w:lang w:eastAsia="en-US"/>
        </w:rPr>
        <w:t>.</w:t>
      </w:r>
    </w:p>
    <w:p w:rsidR="00B25C5C" w:rsidRPr="000F58F5" w:rsidRDefault="00B25C5C" w:rsidP="00C205C1">
      <w:pPr>
        <w:pStyle w:val="Heading4"/>
        <w:rPr>
          <w:lang w:eastAsia="en-US"/>
        </w:rPr>
      </w:pPr>
      <w:r w:rsidRPr="000F58F5">
        <w:rPr>
          <w:lang w:eastAsia="en-US"/>
        </w:rPr>
        <w:t>Section 4 – Schedules</w:t>
      </w:r>
    </w:p>
    <w:p w:rsidR="00B25C5C" w:rsidRPr="000F58F5" w:rsidRDefault="00B25C5C" w:rsidP="00C205C1">
      <w:pPr>
        <w:rPr>
          <w:lang w:eastAsia="en-US"/>
        </w:rPr>
      </w:pPr>
      <w:r w:rsidRPr="000F58F5">
        <w:rPr>
          <w:lang w:eastAsia="en-US"/>
        </w:rPr>
        <w:t xml:space="preserve">This section provides that each instrument that is specified in a Schedule to the </w:t>
      </w:r>
      <w:r w:rsidR="007626B9">
        <w:rPr>
          <w:lang w:eastAsia="en-US"/>
        </w:rPr>
        <w:t>Amendment Regulations</w:t>
      </w:r>
      <w:r w:rsidR="007626B9" w:rsidRPr="000F58F5">
        <w:rPr>
          <w:lang w:eastAsia="en-US"/>
        </w:rPr>
        <w:t xml:space="preserve"> </w:t>
      </w:r>
      <w:r w:rsidRPr="000F58F5">
        <w:rPr>
          <w:lang w:eastAsia="en-US"/>
        </w:rPr>
        <w:t xml:space="preserve">is amended or repealed as set out in the applicable items in </w:t>
      </w:r>
      <w:r w:rsidR="00280FF3" w:rsidRPr="000F58F5">
        <w:rPr>
          <w:lang w:eastAsia="en-US"/>
        </w:rPr>
        <w:t>th</w:t>
      </w:r>
      <w:r w:rsidR="00280FF3">
        <w:rPr>
          <w:lang w:eastAsia="en-US"/>
        </w:rPr>
        <w:t>at</w:t>
      </w:r>
      <w:r w:rsidR="00280FF3" w:rsidRPr="000F58F5">
        <w:rPr>
          <w:lang w:eastAsia="en-US"/>
        </w:rPr>
        <w:t xml:space="preserve"> </w:t>
      </w:r>
      <w:r w:rsidRPr="000F58F5">
        <w:rPr>
          <w:lang w:eastAsia="en-US"/>
        </w:rPr>
        <w:t xml:space="preserve">Schedule, and any other item in a Schedule to the </w:t>
      </w:r>
      <w:r w:rsidR="007626B9">
        <w:rPr>
          <w:lang w:eastAsia="en-US"/>
        </w:rPr>
        <w:t>Amendment Regulations</w:t>
      </w:r>
      <w:r w:rsidRPr="000F58F5">
        <w:rPr>
          <w:lang w:eastAsia="en-US"/>
        </w:rPr>
        <w:t xml:space="preserve"> has effect according to its terms.</w:t>
      </w:r>
    </w:p>
    <w:p w:rsidR="00B25C5C" w:rsidRDefault="00B25C5C" w:rsidP="00C205C1">
      <w:pPr>
        <w:pStyle w:val="Heading2"/>
        <w:rPr>
          <w:lang w:eastAsia="en-US"/>
        </w:rPr>
      </w:pPr>
      <w:r w:rsidRPr="000F58F5">
        <w:rPr>
          <w:lang w:eastAsia="en-US"/>
        </w:rPr>
        <w:t>Schedule 1</w:t>
      </w:r>
      <w:r w:rsidR="00811FE3">
        <w:rPr>
          <w:lang w:eastAsia="en-US"/>
        </w:rPr>
        <w:t>—</w:t>
      </w:r>
      <w:r w:rsidR="00EC38BD">
        <w:rPr>
          <w:lang w:eastAsia="en-US"/>
        </w:rPr>
        <w:t>Commonwealth s</w:t>
      </w:r>
      <w:r w:rsidR="00925A83">
        <w:rPr>
          <w:lang w:eastAsia="en-US"/>
        </w:rPr>
        <w:t>hare for non-government schools</w:t>
      </w:r>
      <w:r w:rsidR="003A2B36">
        <w:rPr>
          <w:lang w:eastAsia="en-US"/>
        </w:rPr>
        <w:t xml:space="preserve"> for transition years</w:t>
      </w:r>
    </w:p>
    <w:p w:rsidR="002B37DC" w:rsidRPr="00C205C1" w:rsidRDefault="002B37DC" w:rsidP="00C205C1">
      <w:pPr>
        <w:pStyle w:val="Heading3"/>
        <w:rPr>
          <w:i/>
          <w:lang w:eastAsia="en-US"/>
        </w:rPr>
      </w:pPr>
      <w:r w:rsidRPr="00C205C1">
        <w:rPr>
          <w:i/>
          <w:lang w:eastAsia="en-US"/>
        </w:rPr>
        <w:t>Australian Education Regulation 2013</w:t>
      </w:r>
    </w:p>
    <w:p w:rsidR="00157201" w:rsidRDefault="00207448" w:rsidP="00C205C1">
      <w:r>
        <w:rPr>
          <w:b/>
        </w:rPr>
        <w:t xml:space="preserve">Item 1 </w:t>
      </w:r>
      <w:r>
        <w:t xml:space="preserve">inserts definitions </w:t>
      </w:r>
      <w:r w:rsidR="008D3111">
        <w:t xml:space="preserve">used in the </w:t>
      </w:r>
      <w:r w:rsidR="004338E1">
        <w:t>Amendment Regulations</w:t>
      </w:r>
      <w:r w:rsidR="008D3111">
        <w:t xml:space="preserve"> </w:t>
      </w:r>
      <w:r w:rsidR="000B77B2">
        <w:t xml:space="preserve">relevant to </w:t>
      </w:r>
      <w:r w:rsidR="008D3111">
        <w:t>working out a</w:t>
      </w:r>
      <w:r w:rsidR="000B77B2">
        <w:t xml:space="preserve"> non-government</w:t>
      </w:r>
      <w:r w:rsidR="008D3111">
        <w:t xml:space="preserve"> school’s Commonwealth share</w:t>
      </w:r>
      <w:r w:rsidR="003A2B36">
        <w:t xml:space="preserve"> for transition years</w:t>
      </w:r>
      <w:r w:rsidR="008D3111">
        <w:t xml:space="preserve">. </w:t>
      </w:r>
      <w:r w:rsidR="001054AD">
        <w:t>These include definitions</w:t>
      </w:r>
      <w:r w:rsidR="008D3111">
        <w:t xml:space="preserve"> </w:t>
      </w:r>
      <w:r>
        <w:t xml:space="preserve">for: </w:t>
      </w:r>
    </w:p>
    <w:p w:rsidR="00157201" w:rsidRDefault="00207448" w:rsidP="0035054F">
      <w:pPr>
        <w:pStyle w:val="ListParagraph"/>
        <w:numPr>
          <w:ilvl w:val="0"/>
          <w:numId w:val="23"/>
        </w:numPr>
        <w:spacing w:before="0"/>
        <w:ind w:left="714" w:hanging="357"/>
      </w:pPr>
      <w:r>
        <w:t>the 2023 and 2029 transition period</w:t>
      </w:r>
      <w:r w:rsidR="00621773">
        <w:t>s</w:t>
      </w:r>
      <w:r>
        <w:t xml:space="preserve"> for </w:t>
      </w:r>
      <w:r w:rsidR="003515D3">
        <w:t xml:space="preserve">non-government </w:t>
      </w:r>
      <w:r>
        <w:t xml:space="preserve">schools moving towards the nationally consistent Commonwealth share of </w:t>
      </w:r>
      <w:r w:rsidR="006A6816">
        <w:t xml:space="preserve">80 per cent of </w:t>
      </w:r>
      <w:r>
        <w:t>the SRS</w:t>
      </w:r>
    </w:p>
    <w:p w:rsidR="00157201" w:rsidRDefault="00267F72" w:rsidP="00C205C1">
      <w:pPr>
        <w:pStyle w:val="ListParagraph"/>
        <w:numPr>
          <w:ilvl w:val="0"/>
          <w:numId w:val="23"/>
        </w:numPr>
      </w:pPr>
      <w:r>
        <w:t xml:space="preserve">the </w:t>
      </w:r>
      <w:r w:rsidR="00207448">
        <w:t>basis of a school’s CTC score</w:t>
      </w:r>
    </w:p>
    <w:p w:rsidR="00157201" w:rsidRDefault="00267F72" w:rsidP="00C205C1">
      <w:pPr>
        <w:pStyle w:val="ListParagraph"/>
        <w:numPr>
          <w:ilvl w:val="0"/>
          <w:numId w:val="23"/>
        </w:numPr>
      </w:pPr>
      <w:r>
        <w:t xml:space="preserve">the </w:t>
      </w:r>
      <w:r w:rsidR="00207448">
        <w:t>CTC</w:t>
      </w:r>
      <w:r w:rsidR="00207448">
        <w:noBreakHyphen/>
        <w:t>adjusted SRS amount for the school;</w:t>
      </w:r>
    </w:p>
    <w:p w:rsidR="00157201" w:rsidRDefault="00207448" w:rsidP="00C205C1">
      <w:pPr>
        <w:pStyle w:val="ListParagraph"/>
        <w:numPr>
          <w:ilvl w:val="0"/>
          <w:numId w:val="23"/>
        </w:numPr>
      </w:pPr>
      <w:r>
        <w:t>first funding year</w:t>
      </w:r>
    </w:p>
    <w:p w:rsidR="00157201" w:rsidRDefault="00207448" w:rsidP="00C205C1">
      <w:pPr>
        <w:pStyle w:val="ListParagraph"/>
        <w:numPr>
          <w:ilvl w:val="0"/>
          <w:numId w:val="23"/>
        </w:numPr>
      </w:pPr>
      <w:r>
        <w:t>notional funding amount</w:t>
      </w:r>
    </w:p>
    <w:p w:rsidR="000F47D2" w:rsidRPr="00C205C1" w:rsidRDefault="00207448" w:rsidP="00C205C1">
      <w:pPr>
        <w:pStyle w:val="ListParagraph"/>
        <w:numPr>
          <w:ilvl w:val="0"/>
          <w:numId w:val="23"/>
        </w:numPr>
        <w:rPr>
          <w:i/>
        </w:rPr>
      </w:pPr>
      <w:proofErr w:type="gramStart"/>
      <w:r>
        <w:t>notional</w:t>
      </w:r>
      <w:proofErr w:type="gramEnd"/>
      <w:r>
        <w:t xml:space="preserve"> starting share. </w:t>
      </w:r>
    </w:p>
    <w:p w:rsidR="00940D80" w:rsidRPr="00C205C1" w:rsidRDefault="00940D80" w:rsidP="00C205C1"/>
    <w:p w:rsidR="00FC3497" w:rsidRDefault="00A84124" w:rsidP="00C205C1">
      <w:r>
        <w:rPr>
          <w:b/>
        </w:rPr>
        <w:t>Items 2</w:t>
      </w:r>
      <w:r w:rsidRPr="006A6816">
        <w:rPr>
          <w:b/>
        </w:rPr>
        <w:t xml:space="preserve"> </w:t>
      </w:r>
      <w:r w:rsidRPr="00C205C1">
        <w:rPr>
          <w:b/>
        </w:rPr>
        <w:t>and</w:t>
      </w:r>
      <w:r>
        <w:rPr>
          <w:b/>
        </w:rPr>
        <w:t xml:space="preserve"> 4 </w:t>
      </w:r>
      <w:r w:rsidR="00E90857">
        <w:t>repeal</w:t>
      </w:r>
      <w:r w:rsidR="001E0B98">
        <w:t xml:space="preserve"> section 16A and Schedule 4 to the</w:t>
      </w:r>
      <w:r w:rsidR="007154F3">
        <w:t xml:space="preserve"> Principal</w:t>
      </w:r>
      <w:r w:rsidR="009656BF">
        <w:t xml:space="preserve"> Regulations. </w:t>
      </w:r>
      <w:r w:rsidR="00125FEB">
        <w:t>These provisions prescribed the starting Commonwealth shares for certain schools at an individual school level</w:t>
      </w:r>
      <w:r w:rsidR="00435600">
        <w:t xml:space="preserve"> and</w:t>
      </w:r>
      <w:r w:rsidR="00BF7B32">
        <w:t xml:space="preserve"> </w:t>
      </w:r>
      <w:r w:rsidR="009656BF">
        <w:t>were made for the purposes of s</w:t>
      </w:r>
      <w:r w:rsidR="001B70C2">
        <w:t>ubs</w:t>
      </w:r>
      <w:r w:rsidR="009656BF">
        <w:t xml:space="preserve">ection 35B(2) of </w:t>
      </w:r>
      <w:r w:rsidR="00D13AFB">
        <w:t xml:space="preserve">the Act, </w:t>
      </w:r>
      <w:r w:rsidR="00125FEB">
        <w:t>which no longer ap</w:t>
      </w:r>
      <w:r w:rsidR="000B7481">
        <w:t xml:space="preserve">plies to non-government schools. </w:t>
      </w:r>
      <w:r w:rsidR="00435600">
        <w:t>The</w:t>
      </w:r>
      <w:r w:rsidR="00FC3497">
        <w:t xml:space="preserve"> </w:t>
      </w:r>
      <w:r w:rsidR="001B0E8A">
        <w:t>amendments to the Principal Regulations made by Schedule 1 will</w:t>
      </w:r>
      <w:r w:rsidR="00435600">
        <w:t xml:space="preserve"> prescribe a </w:t>
      </w:r>
      <w:r w:rsidR="00FC3497">
        <w:t>new methodology to work out a school’s Commonwealth share</w:t>
      </w:r>
      <w:r w:rsidR="001B70C2">
        <w:t>. A</w:t>
      </w:r>
      <w:r w:rsidR="00FC3497">
        <w:t>ll schools will</w:t>
      </w:r>
      <w:r w:rsidR="00C07860">
        <w:t xml:space="preserve"> have Commonwealth shares worked out at an individual school level</w:t>
      </w:r>
      <w:r w:rsidR="00435600">
        <w:t xml:space="preserve"> going forward, hence the provisions </w:t>
      </w:r>
      <w:r w:rsidR="00952480">
        <w:t xml:space="preserve">also </w:t>
      </w:r>
      <w:r w:rsidR="00435600">
        <w:t xml:space="preserve">no longer serve a purpose from 2020 </w:t>
      </w:r>
      <w:r w:rsidR="000B7481">
        <w:t xml:space="preserve">and </w:t>
      </w:r>
      <w:r w:rsidR="00435600">
        <w:t>onwards</w:t>
      </w:r>
      <w:r w:rsidR="00C07860">
        <w:t>.</w:t>
      </w:r>
    </w:p>
    <w:p w:rsidR="002B37DC" w:rsidRDefault="002B37DC" w:rsidP="00C205C1">
      <w:pPr>
        <w:pStyle w:val="Heading3"/>
      </w:pPr>
      <w:r>
        <w:t>New Division 1A of Part 3—Commonwealth share for non-government schools for transition years for the schools</w:t>
      </w:r>
    </w:p>
    <w:p w:rsidR="003515D3" w:rsidRDefault="00C92D98" w:rsidP="003515D3">
      <w:r>
        <w:rPr>
          <w:b/>
        </w:rPr>
        <w:t xml:space="preserve">Item 3 </w:t>
      </w:r>
      <w:r>
        <w:t xml:space="preserve">inserts a new Division 1A </w:t>
      </w:r>
      <w:r w:rsidR="003515D3">
        <w:t xml:space="preserve">into </w:t>
      </w:r>
      <w:r>
        <w:t xml:space="preserve">Part 3 of the </w:t>
      </w:r>
      <w:r w:rsidR="0097780E">
        <w:t xml:space="preserve">Principal </w:t>
      </w:r>
      <w:r>
        <w:t>Regulation</w:t>
      </w:r>
      <w:r w:rsidR="003515D3">
        <w:t>, consisting of sections 19 to 19G inclusive. The new Division will:</w:t>
      </w:r>
    </w:p>
    <w:p w:rsidR="003515D3" w:rsidRDefault="00C92D98" w:rsidP="0035054F">
      <w:pPr>
        <w:pStyle w:val="ListParagraph"/>
        <w:numPr>
          <w:ilvl w:val="0"/>
          <w:numId w:val="22"/>
        </w:numPr>
        <w:spacing w:before="0"/>
        <w:ind w:left="777" w:hanging="357"/>
      </w:pPr>
      <w:r>
        <w:t>prescribe</w:t>
      </w:r>
      <w:r w:rsidR="005D0F40">
        <w:t xml:space="preserve"> transition years</w:t>
      </w:r>
      <w:r w:rsidR="003515D3">
        <w:t xml:space="preserve"> for non-government schools,</w:t>
      </w:r>
      <w:r w:rsidR="005D0F40">
        <w:t xml:space="preserve"> </w:t>
      </w:r>
      <w:r w:rsidR="003515D3">
        <w:t xml:space="preserve">for the purposes of paragraph (c) of the definition of </w:t>
      </w:r>
      <w:r w:rsidR="003515D3" w:rsidRPr="00C205C1">
        <w:rPr>
          <w:b/>
          <w:i/>
        </w:rPr>
        <w:t>transition year</w:t>
      </w:r>
      <w:r w:rsidR="003515D3" w:rsidRPr="006A6816">
        <w:t xml:space="preserve"> </w:t>
      </w:r>
      <w:r w:rsidR="003515D3">
        <w:t>in section 6 of the Act</w:t>
      </w:r>
    </w:p>
    <w:p w:rsidR="003515D3" w:rsidRDefault="003515D3" w:rsidP="00C205C1">
      <w:pPr>
        <w:pStyle w:val="ListParagraph"/>
        <w:numPr>
          <w:ilvl w:val="0"/>
          <w:numId w:val="22"/>
        </w:numPr>
      </w:pPr>
      <w:proofErr w:type="gramStart"/>
      <w:r>
        <w:t>prescribe</w:t>
      </w:r>
      <w:proofErr w:type="gramEnd"/>
      <w:r>
        <w:t xml:space="preserve"> methods for working out the</w:t>
      </w:r>
      <w:r w:rsidR="00C92D98">
        <w:t xml:space="preserve"> Commonwealth shares for non</w:t>
      </w:r>
      <w:r w:rsidR="00C92D98">
        <w:noBreakHyphen/>
        <w:t xml:space="preserve">government schools for </w:t>
      </w:r>
      <w:r>
        <w:t>their</w:t>
      </w:r>
      <w:r w:rsidR="0097780E">
        <w:t xml:space="preserve"> transition</w:t>
      </w:r>
      <w:r w:rsidR="005D0F40">
        <w:t xml:space="preserve"> </w:t>
      </w:r>
      <w:r w:rsidR="00C92D98">
        <w:t>year</w:t>
      </w:r>
      <w:r>
        <w:t>s, for the purposes of section 35C of the Act</w:t>
      </w:r>
      <w:r w:rsidR="00C92D98">
        <w:t>.</w:t>
      </w:r>
    </w:p>
    <w:p w:rsidR="00613C0A" w:rsidRDefault="00C92D98" w:rsidP="003515D3">
      <w:r>
        <w:t xml:space="preserve"> </w:t>
      </w:r>
    </w:p>
    <w:p w:rsidR="00D94618" w:rsidRDefault="003515D3" w:rsidP="00C205C1">
      <w:r>
        <w:rPr>
          <w:b/>
        </w:rPr>
        <w:t>S</w:t>
      </w:r>
      <w:r w:rsidR="00DB5029" w:rsidRPr="00C205C1">
        <w:rPr>
          <w:b/>
        </w:rPr>
        <w:t>ection </w:t>
      </w:r>
      <w:r w:rsidR="000148DB" w:rsidRPr="00C205C1">
        <w:rPr>
          <w:b/>
        </w:rPr>
        <w:t>19</w:t>
      </w:r>
      <w:r w:rsidR="000148DB">
        <w:t xml:space="preserve"> prescribes the final transition year </w:t>
      </w:r>
      <w:r w:rsidR="000148DB" w:rsidRPr="00D01C43">
        <w:t xml:space="preserve">for </w:t>
      </w:r>
      <w:r w:rsidR="000148DB">
        <w:t xml:space="preserve">non-government </w:t>
      </w:r>
      <w:r w:rsidR="000148DB" w:rsidRPr="00D01C43">
        <w:t>schools as either 2023 or</w:t>
      </w:r>
      <w:r w:rsidR="000148DB">
        <w:t xml:space="preserve"> 2029, depending on whether the school has a Commonwealth share of 80</w:t>
      </w:r>
      <w:r w:rsidR="001D2B94">
        <w:t xml:space="preserve"> per cent</w:t>
      </w:r>
      <w:r w:rsidR="000148DB">
        <w:t xml:space="preserve"> in 2023.</w:t>
      </w:r>
      <w:r w:rsidR="000148DB" w:rsidRPr="000148DB">
        <w:t xml:space="preserve"> </w:t>
      </w:r>
      <w:r w:rsidR="000148DB">
        <w:t xml:space="preserve">For </w:t>
      </w:r>
      <w:r w:rsidR="009D385A">
        <w:t>non</w:t>
      </w:r>
      <w:r w:rsidR="009D385A">
        <w:noBreakHyphen/>
        <w:t xml:space="preserve">government </w:t>
      </w:r>
      <w:r w:rsidR="000148DB">
        <w:t xml:space="preserve">schools that have reached the </w:t>
      </w:r>
      <w:r w:rsidR="000148DB">
        <w:rPr>
          <w:lang w:eastAsia="zh-CN"/>
        </w:rPr>
        <w:t>share of 80</w:t>
      </w:r>
      <w:r w:rsidR="006A6816">
        <w:rPr>
          <w:lang w:eastAsia="zh-CN"/>
        </w:rPr>
        <w:t xml:space="preserve"> per cent</w:t>
      </w:r>
      <w:r w:rsidR="000148DB">
        <w:rPr>
          <w:lang w:eastAsia="zh-CN"/>
        </w:rPr>
        <w:t xml:space="preserve"> in 2023, transition concludes that year</w:t>
      </w:r>
      <w:r w:rsidR="000148DB" w:rsidRPr="00D01C43">
        <w:t xml:space="preserve">. </w:t>
      </w:r>
      <w:r w:rsidR="000148DB">
        <w:t xml:space="preserve">For </w:t>
      </w:r>
      <w:r w:rsidR="009D385A">
        <w:t>non</w:t>
      </w:r>
      <w:r w:rsidR="009D385A">
        <w:noBreakHyphen/>
        <w:t xml:space="preserve">government </w:t>
      </w:r>
      <w:r w:rsidR="00201E41">
        <w:t>schools t</w:t>
      </w:r>
      <w:r w:rsidR="000148DB">
        <w:t>hat have a Commonwealth share of greater than 80</w:t>
      </w:r>
      <w:r w:rsidR="001D2B94">
        <w:t xml:space="preserve"> per cent</w:t>
      </w:r>
      <w:r w:rsidR="000148DB">
        <w:t xml:space="preserve"> in 2023, transiti</w:t>
      </w:r>
      <w:r w:rsidR="0073063D">
        <w:t xml:space="preserve">on will conclude in 2029. </w:t>
      </w:r>
      <w:r w:rsidR="00A67DC6">
        <w:t>A s</w:t>
      </w:r>
      <w:r w:rsidR="00034F0A">
        <w:t>c</w:t>
      </w:r>
      <w:r w:rsidR="000148DB">
        <w:t>hool that start</w:t>
      </w:r>
      <w:r w:rsidR="00A67DC6">
        <w:t>s</w:t>
      </w:r>
      <w:r w:rsidR="00726BED">
        <w:t xml:space="preserve"> receiving Commonwealth funding</w:t>
      </w:r>
      <w:r w:rsidR="000148DB">
        <w:t xml:space="preserve"> </w:t>
      </w:r>
      <w:r w:rsidR="001D2B94">
        <w:t xml:space="preserve">between 2020 and 2029 </w:t>
      </w:r>
      <w:r w:rsidR="00A67DC6">
        <w:t>will have</w:t>
      </w:r>
      <w:r w:rsidR="000148DB">
        <w:t xml:space="preserve"> a Commonwealth share of 80</w:t>
      </w:r>
      <w:r w:rsidR="006503D6">
        <w:t xml:space="preserve"> per cent</w:t>
      </w:r>
      <w:r w:rsidR="000148DB">
        <w:t xml:space="preserve"> from its first year of funding</w:t>
      </w:r>
      <w:r w:rsidR="00034F0A">
        <w:t xml:space="preserve"> under </w:t>
      </w:r>
      <w:r w:rsidR="00284AA0">
        <w:t xml:space="preserve">new </w:t>
      </w:r>
      <w:r w:rsidR="00625D51">
        <w:t>sub</w:t>
      </w:r>
      <w:r w:rsidR="00034F0A">
        <w:t xml:space="preserve">section </w:t>
      </w:r>
      <w:r w:rsidR="00284AA0">
        <w:t>19D</w:t>
      </w:r>
      <w:r w:rsidR="00625D51">
        <w:t>(2)</w:t>
      </w:r>
      <w:r w:rsidR="00284AA0">
        <w:t>.</w:t>
      </w:r>
      <w:r w:rsidR="00625D51">
        <w:t xml:space="preserve"> </w:t>
      </w:r>
      <w:r w:rsidR="00A67DC6">
        <w:t xml:space="preserve">The </w:t>
      </w:r>
      <w:r w:rsidR="001F4D3A">
        <w:t xml:space="preserve">final transition year for a school </w:t>
      </w:r>
      <w:r w:rsidR="001D2B94">
        <w:t xml:space="preserve">that starts receiving Commonwealth funding between 2022 and 2029 </w:t>
      </w:r>
      <w:r w:rsidR="001F4D3A">
        <w:t xml:space="preserve">is its first year of </w:t>
      </w:r>
      <w:r w:rsidR="0029524F">
        <w:t xml:space="preserve">funding, after which </w:t>
      </w:r>
      <w:r w:rsidR="00C26675">
        <w:t>paragraph</w:t>
      </w:r>
      <w:r w:rsidR="0029524F">
        <w:t xml:space="preserve"> 35A(b) of the Act will apply to it. </w:t>
      </w:r>
    </w:p>
    <w:p w:rsidR="001B0E8A" w:rsidRDefault="001B0E8A" w:rsidP="00C205C1"/>
    <w:p w:rsidR="003515D3" w:rsidRDefault="003515D3" w:rsidP="00C205C1">
      <w:r>
        <w:rPr>
          <w:b/>
        </w:rPr>
        <w:t>S</w:t>
      </w:r>
      <w:r w:rsidR="00726BED" w:rsidRPr="00C205C1">
        <w:rPr>
          <w:b/>
        </w:rPr>
        <w:t xml:space="preserve">ections 19A, 19B, 19C </w:t>
      </w:r>
      <w:r w:rsidR="00E30EC0" w:rsidRPr="00C205C1">
        <w:rPr>
          <w:b/>
        </w:rPr>
        <w:t>and 19D</w:t>
      </w:r>
      <w:r w:rsidR="00E30EC0">
        <w:t xml:space="preserve"> prescribe</w:t>
      </w:r>
      <w:r w:rsidR="00C8337E">
        <w:t xml:space="preserve"> method</w:t>
      </w:r>
      <w:r w:rsidR="00E30EC0">
        <w:t>s</w:t>
      </w:r>
      <w:r w:rsidR="00C8337E">
        <w:t xml:space="preserve"> to work out a non-government school’s Commonwealth share</w:t>
      </w:r>
      <w:r w:rsidR="00E30EC0">
        <w:t xml:space="preserve"> </w:t>
      </w:r>
      <w:r w:rsidR="00ED6D91">
        <w:t xml:space="preserve">for different transition years </w:t>
      </w:r>
      <w:r w:rsidR="00E30EC0">
        <w:t xml:space="preserve">using </w:t>
      </w:r>
      <w:r w:rsidR="00E30EC0" w:rsidRPr="00551999">
        <w:t>notional starting shares</w:t>
      </w:r>
      <w:r w:rsidR="00C8337E">
        <w:t>.</w:t>
      </w:r>
    </w:p>
    <w:p w:rsidR="003515D3" w:rsidRDefault="003515D3" w:rsidP="00C205C1"/>
    <w:p w:rsidR="001B0E8A" w:rsidRDefault="00ED6D91" w:rsidP="00C205C1">
      <w:r w:rsidRPr="00C205C1">
        <w:rPr>
          <w:b/>
        </w:rPr>
        <w:t>Section 19E</w:t>
      </w:r>
      <w:r>
        <w:t xml:space="preserve"> defines notional starting shares. T</w:t>
      </w:r>
      <w:r w:rsidR="00ED506F">
        <w:t>he purpose of notional starting shares is to reset the Commonwealth shar</w:t>
      </w:r>
      <w:r w:rsidR="006D06A1">
        <w:t xml:space="preserve">es for </w:t>
      </w:r>
      <w:r w:rsidR="009D385A">
        <w:t>non</w:t>
      </w:r>
      <w:r w:rsidR="009D385A">
        <w:noBreakHyphen/>
        <w:t xml:space="preserve">government </w:t>
      </w:r>
      <w:r w:rsidR="006D06A1">
        <w:t xml:space="preserve">schools </w:t>
      </w:r>
      <w:r w:rsidR="00ED506F">
        <w:t>to smooth out any fluctuations that may otherwise result from a change in methodology and set out a transition pathway to 80</w:t>
      </w:r>
      <w:r w:rsidR="00764E7B">
        <w:t xml:space="preserve"> per cent</w:t>
      </w:r>
      <w:r w:rsidR="00ED506F">
        <w:t xml:space="preserve"> of the SRS. </w:t>
      </w:r>
      <w:r w:rsidR="0099432E">
        <w:t xml:space="preserve">The </w:t>
      </w:r>
      <w:r w:rsidR="0099432E" w:rsidRPr="00847A66">
        <w:t>CTC</w:t>
      </w:r>
      <w:r w:rsidR="00764E7B">
        <w:t>-</w:t>
      </w:r>
      <w:r w:rsidR="0099432E" w:rsidRPr="00847A66">
        <w:t>adjusted SRS amount</w:t>
      </w:r>
      <w:r w:rsidR="00886510">
        <w:rPr>
          <w:i/>
        </w:rPr>
        <w:t xml:space="preserve"> </w:t>
      </w:r>
      <w:r w:rsidR="00886510">
        <w:t xml:space="preserve">and </w:t>
      </w:r>
      <w:r w:rsidR="00886510" w:rsidRPr="00847A66">
        <w:t>notional funding amount</w:t>
      </w:r>
      <w:r w:rsidR="0099432E">
        <w:rPr>
          <w:i/>
        </w:rPr>
        <w:t xml:space="preserve"> </w:t>
      </w:r>
      <w:r w:rsidR="0099432E">
        <w:t>are used to work out a notional starting share</w:t>
      </w:r>
      <w:r w:rsidR="00886510">
        <w:t xml:space="preserve"> and have the meanings given by </w:t>
      </w:r>
      <w:r w:rsidR="00886510" w:rsidRPr="00C205C1">
        <w:rPr>
          <w:b/>
        </w:rPr>
        <w:t>section</w:t>
      </w:r>
      <w:r w:rsidR="003F5358" w:rsidRPr="00C205C1">
        <w:rPr>
          <w:b/>
        </w:rPr>
        <w:t>s</w:t>
      </w:r>
      <w:r w:rsidR="00886510" w:rsidRPr="00C205C1">
        <w:rPr>
          <w:b/>
        </w:rPr>
        <w:t xml:space="preserve"> 19F and 19G</w:t>
      </w:r>
      <w:r w:rsidR="00886510">
        <w:t xml:space="preserve"> respectively</w:t>
      </w:r>
      <w:r w:rsidR="0099432E">
        <w:t xml:space="preserve">. It should be noted that </w:t>
      </w:r>
      <w:r w:rsidR="003F5358">
        <w:t>the notional funding amount for a school may not necessarily reflect the school’s financial assistance for the year</w:t>
      </w:r>
      <w:r w:rsidR="0099432E" w:rsidRPr="004C3574">
        <w:t xml:space="preserve"> </w:t>
      </w:r>
      <w:r w:rsidR="0099432E">
        <w:t xml:space="preserve">worked out </w:t>
      </w:r>
      <w:r w:rsidR="0099432E" w:rsidRPr="004C3574">
        <w:t>under Division 2 of Part 3 of the Act.</w:t>
      </w:r>
      <w:r w:rsidR="0099432E">
        <w:t xml:space="preserve"> </w:t>
      </w:r>
    </w:p>
    <w:p w:rsidR="00C8337E" w:rsidRPr="00847A66" w:rsidRDefault="00C8337E" w:rsidP="00C205C1">
      <w:pPr>
        <w:rPr>
          <w:color w:val="121212"/>
          <w:sz w:val="23"/>
          <w:szCs w:val="23"/>
        </w:rPr>
      </w:pPr>
    </w:p>
    <w:p w:rsidR="004228E8" w:rsidRDefault="00FB1A70" w:rsidP="00C205C1">
      <w:r w:rsidRPr="004D25E3">
        <w:t>Section 19A</w:t>
      </w:r>
      <w:r w:rsidR="00D51523">
        <w:t xml:space="preserve"> </w:t>
      </w:r>
      <w:r w:rsidR="00D51523" w:rsidRPr="00D51523">
        <w:t xml:space="preserve">prescribes the transition pathway for </w:t>
      </w:r>
      <w:r w:rsidR="009D385A">
        <w:t>non</w:t>
      </w:r>
      <w:r w:rsidR="009D385A">
        <w:noBreakHyphen/>
        <w:t xml:space="preserve">government </w:t>
      </w:r>
      <w:r w:rsidR="00D51523" w:rsidRPr="00D51523">
        <w:t>schools</w:t>
      </w:r>
      <w:r w:rsidR="00405082">
        <w:t xml:space="preserve"> </w:t>
      </w:r>
      <w:r w:rsidR="00800730">
        <w:t xml:space="preserve">for certain years </w:t>
      </w:r>
      <w:r w:rsidR="00D51523" w:rsidRPr="00D51523">
        <w:t>us</w:t>
      </w:r>
      <w:r w:rsidR="00405082">
        <w:t>ing</w:t>
      </w:r>
      <w:r w:rsidR="00D51523" w:rsidRPr="00D51523">
        <w:t xml:space="preserve"> a 2019 notional starting share</w:t>
      </w:r>
      <w:r w:rsidR="004D0B82">
        <w:t xml:space="preserve">. </w:t>
      </w:r>
      <w:r w:rsidR="00405082">
        <w:t xml:space="preserve">The </w:t>
      </w:r>
      <w:r w:rsidR="00800730">
        <w:t>section</w:t>
      </w:r>
      <w:r w:rsidR="00405082">
        <w:t xml:space="preserve"> applies to</w:t>
      </w:r>
      <w:r w:rsidR="004D0B82">
        <w:t xml:space="preserve"> </w:t>
      </w:r>
      <w:r w:rsidR="00D51523" w:rsidRPr="00D51523">
        <w:t xml:space="preserve">all </w:t>
      </w:r>
      <w:r w:rsidR="00CB7BBD">
        <w:t xml:space="preserve">non-government </w:t>
      </w:r>
      <w:r w:rsidR="00D51523" w:rsidRPr="00D51523">
        <w:t>schools in 2020</w:t>
      </w:r>
      <w:r w:rsidR="007845FC">
        <w:t xml:space="preserve">, regardless of </w:t>
      </w:r>
      <w:r w:rsidR="00921B37">
        <w:t>the basis for calculation of the school’s CTC score for 2020</w:t>
      </w:r>
      <w:r w:rsidR="00405082">
        <w:t xml:space="preserve">. </w:t>
      </w:r>
      <w:r w:rsidR="004228E8">
        <w:t xml:space="preserve">In addition, </w:t>
      </w:r>
      <w:r w:rsidR="00921B37">
        <w:t xml:space="preserve">section 19A </w:t>
      </w:r>
      <w:r w:rsidR="004228E8">
        <w:t xml:space="preserve">applies to certain </w:t>
      </w:r>
      <w:r w:rsidR="009D385A">
        <w:t>non</w:t>
      </w:r>
      <w:r w:rsidR="009D385A">
        <w:noBreakHyphen/>
        <w:t xml:space="preserve">government </w:t>
      </w:r>
      <w:r w:rsidR="004228E8">
        <w:t>schools in later years if the basis of the school’s CTC score remains the same as for previous years.</w:t>
      </w:r>
    </w:p>
    <w:p w:rsidR="001B0E8A" w:rsidRDefault="001B0E8A" w:rsidP="00C205C1"/>
    <w:p w:rsidR="00BA2D76" w:rsidRDefault="00BA2D76" w:rsidP="00C205C1">
      <w:pPr>
        <w:rPr>
          <w:szCs w:val="24"/>
        </w:rPr>
      </w:pPr>
      <w:r w:rsidRPr="00D6414B">
        <w:rPr>
          <w:szCs w:val="24"/>
        </w:rPr>
        <w:t xml:space="preserve">If the notional starting share for the </w:t>
      </w:r>
      <w:r w:rsidR="009D385A">
        <w:rPr>
          <w:szCs w:val="24"/>
        </w:rPr>
        <w:t>non</w:t>
      </w:r>
      <w:r w:rsidR="009D385A">
        <w:rPr>
          <w:szCs w:val="24"/>
        </w:rPr>
        <w:noBreakHyphen/>
        <w:t xml:space="preserve">government </w:t>
      </w:r>
      <w:r w:rsidRPr="00D6414B">
        <w:rPr>
          <w:szCs w:val="24"/>
        </w:rPr>
        <w:t>school for 2019 is less than or equal to 80</w:t>
      </w:r>
      <w:r w:rsidR="00711201">
        <w:rPr>
          <w:szCs w:val="24"/>
        </w:rPr>
        <w:t> </w:t>
      </w:r>
      <w:r w:rsidR="00764E7B">
        <w:rPr>
          <w:szCs w:val="24"/>
        </w:rPr>
        <w:t>per</w:t>
      </w:r>
      <w:r w:rsidR="00711201">
        <w:rPr>
          <w:szCs w:val="24"/>
        </w:rPr>
        <w:t> </w:t>
      </w:r>
      <w:r w:rsidR="00764E7B">
        <w:rPr>
          <w:szCs w:val="24"/>
        </w:rPr>
        <w:t>cent</w:t>
      </w:r>
      <w:r w:rsidRPr="00D6414B">
        <w:rPr>
          <w:szCs w:val="24"/>
        </w:rPr>
        <w:t xml:space="preserve"> (which is the Commonwealth share for a non</w:t>
      </w:r>
      <w:r w:rsidRPr="00101BFC">
        <w:rPr>
          <w:szCs w:val="24"/>
        </w:rPr>
        <w:noBreakHyphen/>
        <w:t>government school under paragraph </w:t>
      </w:r>
      <w:proofErr w:type="gramStart"/>
      <w:r w:rsidRPr="00101BFC">
        <w:rPr>
          <w:szCs w:val="24"/>
        </w:rPr>
        <w:t>35A(</w:t>
      </w:r>
      <w:proofErr w:type="gramEnd"/>
      <w:r w:rsidRPr="00101BFC">
        <w:rPr>
          <w:szCs w:val="24"/>
        </w:rPr>
        <w:t>b) of the Act), the Commonwealth share for the school for the transition year is the percentage worked out using the following formula:</w:t>
      </w:r>
    </w:p>
    <w:p w:rsidR="005C6BA0" w:rsidRPr="00B570F4" w:rsidRDefault="005C6BA0" w:rsidP="00C205C1"/>
    <w:bookmarkStart w:id="0" w:name="BKCheck15B_4"/>
    <w:bookmarkEnd w:id="0"/>
    <w:p w:rsidR="00BA2D76" w:rsidRPr="00053126" w:rsidRDefault="00BA2D76" w:rsidP="00BA2D76">
      <w:pPr>
        <w:pStyle w:val="subsection2"/>
      </w:pPr>
      <w:r w:rsidRPr="00053126">
        <w:rPr>
          <w:position w:val="-34"/>
        </w:rPr>
        <w:object w:dxaOrig="6320" w:dyaOrig="780" w14:anchorId="7B973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9pt;height:38.75pt" o:ole="">
            <v:imagedata r:id="rId18" o:title=""/>
          </v:shape>
          <o:OLEObject Type="Embed" ProgID="Equation.DSMT4" ShapeID="_x0000_i1026" DrawAspect="Content" ObjectID="_1648542974" r:id="rId19"/>
        </w:object>
      </w:r>
    </w:p>
    <w:p w:rsidR="005C6BA0" w:rsidRDefault="005C6BA0" w:rsidP="00C205C1"/>
    <w:p w:rsidR="00620582" w:rsidRDefault="00BA2D76" w:rsidP="00C205C1">
      <w:r>
        <w:t xml:space="preserve">The formula </w:t>
      </w:r>
      <w:r w:rsidR="00215ABA">
        <w:t xml:space="preserve">calculates </w:t>
      </w:r>
      <w:r>
        <w:t xml:space="preserve">a </w:t>
      </w:r>
      <w:r w:rsidR="009D385A">
        <w:t>non</w:t>
      </w:r>
      <w:r w:rsidR="009D385A">
        <w:noBreakHyphen/>
        <w:t xml:space="preserve">government </w:t>
      </w:r>
      <w:r>
        <w:t>school’</w:t>
      </w:r>
      <w:r w:rsidR="000F3F23">
        <w:t>s yearly Commonwealth share increment</w:t>
      </w:r>
      <w:r>
        <w:t xml:space="preserve"> by </w:t>
      </w:r>
      <w:r w:rsidR="00620582">
        <w:t>multiplying these two items:</w:t>
      </w:r>
    </w:p>
    <w:p w:rsidR="005C6BA0" w:rsidRDefault="005C6BA0" w:rsidP="00C205C1"/>
    <w:p w:rsidR="00620582" w:rsidRPr="0035054F" w:rsidRDefault="00620582" w:rsidP="0035054F">
      <w:pPr>
        <w:numPr>
          <w:ilvl w:val="0"/>
          <w:numId w:val="29"/>
        </w:numPr>
        <w:ind w:right="-45"/>
        <w:rPr>
          <w:szCs w:val="24"/>
        </w:rPr>
      </w:pPr>
      <w:r w:rsidRPr="0035054F">
        <w:rPr>
          <w:color w:val="auto"/>
          <w:szCs w:val="24"/>
        </w:rPr>
        <w:t xml:space="preserve">The difference between a school’s 2019 notional starting share and </w:t>
      </w:r>
      <w:r w:rsidR="000F3F23" w:rsidRPr="0035054F">
        <w:rPr>
          <w:color w:val="auto"/>
          <w:szCs w:val="24"/>
        </w:rPr>
        <w:t xml:space="preserve">the </w:t>
      </w:r>
      <w:r w:rsidRPr="0035054F">
        <w:rPr>
          <w:color w:val="auto"/>
          <w:szCs w:val="24"/>
        </w:rPr>
        <w:t>target share of 80</w:t>
      </w:r>
      <w:r w:rsidR="00711201" w:rsidRPr="0035054F">
        <w:rPr>
          <w:color w:val="auto"/>
          <w:szCs w:val="24"/>
        </w:rPr>
        <w:t> </w:t>
      </w:r>
      <w:r w:rsidR="00764E7B" w:rsidRPr="0035054F">
        <w:rPr>
          <w:color w:val="auto"/>
          <w:szCs w:val="24"/>
        </w:rPr>
        <w:t>per</w:t>
      </w:r>
      <w:r w:rsidR="00711201" w:rsidRPr="0035054F">
        <w:rPr>
          <w:color w:val="auto"/>
          <w:szCs w:val="24"/>
        </w:rPr>
        <w:t> </w:t>
      </w:r>
      <w:r w:rsidR="00764E7B" w:rsidRPr="0035054F">
        <w:rPr>
          <w:color w:val="auto"/>
          <w:szCs w:val="24"/>
        </w:rPr>
        <w:t>cent</w:t>
      </w:r>
      <w:r w:rsidRPr="0035054F">
        <w:rPr>
          <w:color w:val="auto"/>
          <w:szCs w:val="24"/>
        </w:rPr>
        <w:t xml:space="preserve"> of the SRS</w:t>
      </w:r>
    </w:p>
    <w:p w:rsidR="00620582" w:rsidRPr="0035054F" w:rsidRDefault="000F3F23" w:rsidP="0035054F">
      <w:pPr>
        <w:numPr>
          <w:ilvl w:val="0"/>
          <w:numId w:val="29"/>
        </w:numPr>
        <w:ind w:right="-45"/>
        <w:rPr>
          <w:szCs w:val="24"/>
        </w:rPr>
      </w:pPr>
      <w:r w:rsidRPr="0035054F">
        <w:rPr>
          <w:color w:val="auto"/>
          <w:szCs w:val="24"/>
        </w:rPr>
        <w:t xml:space="preserve">One </w:t>
      </w:r>
      <w:r w:rsidR="009734C6" w:rsidRPr="0035054F">
        <w:rPr>
          <w:color w:val="auto"/>
          <w:szCs w:val="24"/>
        </w:rPr>
        <w:t xml:space="preserve">over four </w:t>
      </w:r>
      <w:r w:rsidRPr="0035054F">
        <w:rPr>
          <w:color w:val="auto"/>
          <w:szCs w:val="24"/>
        </w:rPr>
        <w:t xml:space="preserve">(calculated by </w:t>
      </w:r>
      <w:r w:rsidR="0062421E" w:rsidRPr="0035054F">
        <w:rPr>
          <w:color w:val="auto"/>
          <w:szCs w:val="24"/>
        </w:rPr>
        <w:t>reference</w:t>
      </w:r>
      <w:r w:rsidR="000F4627" w:rsidRPr="0035054F">
        <w:rPr>
          <w:color w:val="auto"/>
          <w:szCs w:val="24"/>
        </w:rPr>
        <w:t xml:space="preserve"> to </w:t>
      </w:r>
      <w:r w:rsidR="006E4ED1" w:rsidRPr="0035054F">
        <w:rPr>
          <w:color w:val="auto"/>
          <w:szCs w:val="24"/>
        </w:rPr>
        <w:t>a school’s 2023 transition period, or the number of years from 2020 to 2023).</w:t>
      </w:r>
    </w:p>
    <w:p w:rsidR="005C6BA0" w:rsidRDefault="005C6BA0" w:rsidP="00C205C1"/>
    <w:p w:rsidR="00BA2D76" w:rsidRDefault="000F3F23" w:rsidP="00C205C1">
      <w:r>
        <w:t xml:space="preserve">The result </w:t>
      </w:r>
      <w:r w:rsidR="00A8468D">
        <w:t xml:space="preserve">of the multiplication </w:t>
      </w:r>
      <w:r>
        <w:t>is then added to the school’s 2019 notional starting share to work out the school’s 2020 Commonwealth share</w:t>
      </w:r>
      <w:r w:rsidR="00A8468D">
        <w:t>.</w:t>
      </w:r>
    </w:p>
    <w:p w:rsidR="00B9748F" w:rsidRDefault="00B9748F" w:rsidP="00C205C1"/>
    <w:p w:rsidR="00DE12AF" w:rsidRDefault="00DE12AF" w:rsidP="00C205C1">
      <w:r w:rsidRPr="00847A66">
        <w:t>If the notional starting share for the school for 2019 is greater than 80</w:t>
      </w:r>
      <w:r w:rsidR="00764E7B">
        <w:t xml:space="preserve"> per cent</w:t>
      </w:r>
      <w:r w:rsidRPr="00847A66">
        <w:t xml:space="preserve"> (which is the Commonwealth share for a non</w:t>
      </w:r>
      <w:r w:rsidRPr="00847A66">
        <w:noBreakHyphen/>
        <w:t>government school under paragraph </w:t>
      </w:r>
      <w:proofErr w:type="gramStart"/>
      <w:r w:rsidRPr="00847A66">
        <w:t>35A(</w:t>
      </w:r>
      <w:proofErr w:type="gramEnd"/>
      <w:r w:rsidRPr="00847A66">
        <w:t>b) of the Act), the Commonwealth share for the school for the transition year is the percentage worked out using the following formula:</w:t>
      </w:r>
    </w:p>
    <w:p w:rsidR="005C6BA0" w:rsidRPr="00847A66" w:rsidRDefault="005C6BA0" w:rsidP="00C205C1"/>
    <w:bookmarkStart w:id="1" w:name="BKCheck15B_5"/>
    <w:bookmarkEnd w:id="1"/>
    <w:p w:rsidR="00DE12AF" w:rsidRPr="00053126" w:rsidRDefault="00DE12AF" w:rsidP="00DE12AF">
      <w:pPr>
        <w:pStyle w:val="subsection2"/>
      </w:pPr>
      <w:r w:rsidRPr="00053126">
        <w:rPr>
          <w:position w:val="-34"/>
        </w:rPr>
        <w:object w:dxaOrig="6360" w:dyaOrig="780" w14:anchorId="73E81889">
          <v:shape id="_x0000_i1027" type="#_x0000_t75" style="width:318.1pt;height:38.75pt" o:ole="">
            <v:imagedata r:id="rId20" o:title=""/>
          </v:shape>
          <o:OLEObject Type="Embed" ProgID="Equation.DSMT4" ShapeID="_x0000_i1027" DrawAspect="Content" ObjectID="_1648542975" r:id="rId21"/>
        </w:object>
      </w:r>
    </w:p>
    <w:p w:rsidR="005C6BA0" w:rsidRDefault="005C6BA0" w:rsidP="00C205C1"/>
    <w:p w:rsidR="00C303E3" w:rsidRDefault="00C303E3" w:rsidP="00C205C1">
      <w:r>
        <w:t xml:space="preserve">The formula calculates a </w:t>
      </w:r>
      <w:r w:rsidR="00823A97">
        <w:t>non</w:t>
      </w:r>
      <w:r w:rsidR="00823A97">
        <w:noBreakHyphen/>
        <w:t xml:space="preserve">government </w:t>
      </w:r>
      <w:r>
        <w:t>school’s yearly Commonwealth share increment by multiplying these two items:</w:t>
      </w:r>
    </w:p>
    <w:p w:rsidR="005C6BA0" w:rsidRDefault="005C6BA0" w:rsidP="00C205C1"/>
    <w:p w:rsidR="00C303E3" w:rsidRPr="0035054F" w:rsidRDefault="00C303E3" w:rsidP="0035054F">
      <w:pPr>
        <w:numPr>
          <w:ilvl w:val="0"/>
          <w:numId w:val="30"/>
        </w:numPr>
        <w:ind w:right="-45"/>
        <w:rPr>
          <w:szCs w:val="24"/>
        </w:rPr>
      </w:pPr>
      <w:r w:rsidRPr="0035054F">
        <w:rPr>
          <w:color w:val="auto"/>
          <w:szCs w:val="24"/>
        </w:rPr>
        <w:t>The difference between a school’s 2019 notional starting share and the target share of 80</w:t>
      </w:r>
      <w:r w:rsidR="00711201" w:rsidRPr="0035054F">
        <w:rPr>
          <w:color w:val="auto"/>
          <w:szCs w:val="24"/>
        </w:rPr>
        <w:t> </w:t>
      </w:r>
      <w:r w:rsidR="0021424A" w:rsidRPr="0035054F">
        <w:rPr>
          <w:color w:val="auto"/>
          <w:szCs w:val="24"/>
        </w:rPr>
        <w:t>per</w:t>
      </w:r>
      <w:r w:rsidR="00711201" w:rsidRPr="0035054F">
        <w:rPr>
          <w:color w:val="auto"/>
          <w:szCs w:val="24"/>
        </w:rPr>
        <w:t> </w:t>
      </w:r>
      <w:r w:rsidR="0021424A" w:rsidRPr="0035054F">
        <w:rPr>
          <w:color w:val="auto"/>
          <w:szCs w:val="24"/>
        </w:rPr>
        <w:t>cent</w:t>
      </w:r>
      <w:r w:rsidRPr="0035054F">
        <w:rPr>
          <w:color w:val="auto"/>
          <w:szCs w:val="24"/>
        </w:rPr>
        <w:t xml:space="preserve"> of the SRS</w:t>
      </w:r>
    </w:p>
    <w:p w:rsidR="00C303E3" w:rsidRPr="0035054F" w:rsidRDefault="00C303E3" w:rsidP="0035054F">
      <w:pPr>
        <w:numPr>
          <w:ilvl w:val="0"/>
          <w:numId w:val="30"/>
        </w:numPr>
        <w:ind w:right="-45"/>
        <w:rPr>
          <w:szCs w:val="24"/>
        </w:rPr>
      </w:pPr>
      <w:r w:rsidRPr="0035054F">
        <w:rPr>
          <w:color w:val="auto"/>
          <w:szCs w:val="24"/>
        </w:rPr>
        <w:t xml:space="preserve">One </w:t>
      </w:r>
      <w:r w:rsidR="009734C6" w:rsidRPr="0035054F">
        <w:rPr>
          <w:color w:val="auto"/>
          <w:szCs w:val="24"/>
        </w:rPr>
        <w:t>over ten</w:t>
      </w:r>
      <w:r w:rsidRPr="0035054F">
        <w:rPr>
          <w:color w:val="auto"/>
          <w:szCs w:val="24"/>
        </w:rPr>
        <w:t xml:space="preserve"> (calculated by </w:t>
      </w:r>
      <w:r w:rsidR="0062421E" w:rsidRPr="0035054F">
        <w:rPr>
          <w:color w:val="auto"/>
          <w:szCs w:val="24"/>
        </w:rPr>
        <w:t xml:space="preserve">reference </w:t>
      </w:r>
      <w:r w:rsidRPr="0035054F">
        <w:rPr>
          <w:color w:val="auto"/>
          <w:szCs w:val="24"/>
        </w:rPr>
        <w:t>to a school’s 2029 transition period, or the number of years from 2020 to 2029).</w:t>
      </w:r>
    </w:p>
    <w:p w:rsidR="005C6BA0" w:rsidRDefault="005C6BA0" w:rsidP="00C205C1"/>
    <w:p w:rsidR="00C303E3" w:rsidRDefault="00C303E3" w:rsidP="00C205C1">
      <w:r>
        <w:t>The result of the multiplication is then added to the school’s 2019 notional starting share to work out the school’s 2020 Commonwealth share.</w:t>
      </w:r>
    </w:p>
    <w:p w:rsidR="00B9748F" w:rsidRDefault="00B9748F" w:rsidP="00C205C1"/>
    <w:p w:rsidR="003F3EA2" w:rsidRDefault="0062421E" w:rsidP="00C205C1">
      <w:r>
        <w:t xml:space="preserve">The formulae prescribed by sections 19B and 19C use these same principles as described above. </w:t>
      </w:r>
    </w:p>
    <w:p w:rsidR="00B9748F" w:rsidRDefault="00B9748F" w:rsidP="00C205C1"/>
    <w:p w:rsidR="008A2495" w:rsidRDefault="002A29CE" w:rsidP="00C205C1">
      <w:r>
        <w:t xml:space="preserve">Section </w:t>
      </w:r>
      <w:r w:rsidRPr="002A29CE">
        <w:t>19B prescribes the transition pathway for</w:t>
      </w:r>
      <w:r w:rsidR="00823A97">
        <w:t xml:space="preserve"> non</w:t>
      </w:r>
      <w:r w:rsidR="00823A97">
        <w:noBreakHyphen/>
        <w:t>government</w:t>
      </w:r>
      <w:r w:rsidRPr="002A29CE">
        <w:t xml:space="preserve"> schools</w:t>
      </w:r>
      <w:r w:rsidR="00800730">
        <w:t xml:space="preserve"> for certain years</w:t>
      </w:r>
      <w:r w:rsidRPr="002A29CE">
        <w:t xml:space="preserve"> us</w:t>
      </w:r>
      <w:r w:rsidR="00800730">
        <w:t>ing</w:t>
      </w:r>
      <w:r w:rsidRPr="002A29CE">
        <w:t xml:space="preserve"> a 2020 notional starting share. </w:t>
      </w:r>
      <w:r w:rsidR="00351EF5">
        <w:t xml:space="preserve">The section </w:t>
      </w:r>
      <w:r w:rsidR="00D01D3F">
        <w:t>applies to</w:t>
      </w:r>
      <w:r w:rsidR="00D01D3F" w:rsidRPr="00D51523">
        <w:t xml:space="preserve"> </w:t>
      </w:r>
      <w:r w:rsidR="00D01D3F">
        <w:t>s</w:t>
      </w:r>
      <w:r w:rsidRPr="002A29CE">
        <w:t>chools that have a CTC score</w:t>
      </w:r>
      <w:r w:rsidR="001F46BC">
        <w:t xml:space="preserve"> for 2021</w:t>
      </w:r>
      <w:r w:rsidR="00D01D3F">
        <w:t xml:space="preserve"> that was calculated using a</w:t>
      </w:r>
      <w:r w:rsidR="001F46BC">
        <w:t xml:space="preserve"> different</w:t>
      </w:r>
      <w:r w:rsidR="00D01D3F">
        <w:t xml:space="preserve"> basis </w:t>
      </w:r>
      <w:r w:rsidR="001F46BC">
        <w:t xml:space="preserve">to that which was </w:t>
      </w:r>
      <w:r w:rsidR="00D01D3F">
        <w:t>used to calculate its CTC score</w:t>
      </w:r>
      <w:r w:rsidR="001F46BC">
        <w:t xml:space="preserve"> for 2020</w:t>
      </w:r>
      <w:r w:rsidR="00D01D3F">
        <w:t>.</w:t>
      </w:r>
      <w:r w:rsidRPr="002A29CE">
        <w:t xml:space="preserve"> In addition, this transition pathway applies to a school in 2022 if</w:t>
      </w:r>
      <w:r w:rsidR="0080188F">
        <w:t>,</w:t>
      </w:r>
      <w:r w:rsidRPr="002A29CE">
        <w:t xml:space="preserve"> in 2021</w:t>
      </w:r>
      <w:r w:rsidR="0080188F">
        <w:t>,</w:t>
      </w:r>
      <w:r w:rsidRPr="002A29CE">
        <w:t xml:space="preserve"> the basis </w:t>
      </w:r>
      <w:r w:rsidR="00E50132">
        <w:t>for calculating</w:t>
      </w:r>
      <w:r w:rsidRPr="002A29CE">
        <w:t xml:space="preserve"> the CTC score for that school was different to the basis used </w:t>
      </w:r>
      <w:r w:rsidR="0080188F">
        <w:t xml:space="preserve">to calculate its </w:t>
      </w:r>
      <w:r w:rsidR="00267728">
        <w:t>CTC score</w:t>
      </w:r>
      <w:r w:rsidR="0080188F">
        <w:t xml:space="preserve"> in 2020</w:t>
      </w:r>
      <w:r w:rsidRPr="002A29CE">
        <w:t xml:space="preserve"> but</w:t>
      </w:r>
      <w:r w:rsidR="0080188F">
        <w:t>,</w:t>
      </w:r>
      <w:r w:rsidRPr="002A29CE">
        <w:t xml:space="preserve"> the </w:t>
      </w:r>
      <w:r w:rsidR="0080188F">
        <w:t>basis</w:t>
      </w:r>
      <w:r w:rsidR="003F3EA2">
        <w:t xml:space="preserve"> used to calculate its CTC score in 2022</w:t>
      </w:r>
      <w:r w:rsidR="0080188F">
        <w:t xml:space="preserve"> is the same </w:t>
      </w:r>
      <w:r w:rsidRPr="002A29CE">
        <w:t xml:space="preserve">as </w:t>
      </w:r>
      <w:r w:rsidR="003F3EA2">
        <w:t>that used</w:t>
      </w:r>
      <w:r w:rsidRPr="002A29CE">
        <w:t xml:space="preserve"> in 2021.</w:t>
      </w:r>
      <w:r w:rsidR="003F3EA2">
        <w:t xml:space="preserve"> Where this</w:t>
      </w:r>
      <w:r w:rsidR="00E25F88">
        <w:t xml:space="preserve"> is the case, </w:t>
      </w:r>
      <w:r w:rsidR="00267728">
        <w:t>this section</w:t>
      </w:r>
      <w:r w:rsidR="00E25F88">
        <w:t xml:space="preserve"> will</w:t>
      </w:r>
      <w:r w:rsidR="00267728">
        <w:t xml:space="preserve"> </w:t>
      </w:r>
      <w:r w:rsidR="00E25F88">
        <w:t>also apply to that school for a</w:t>
      </w:r>
      <w:r w:rsidR="00267728">
        <w:t xml:space="preserve"> transition year </w:t>
      </w:r>
      <w:r w:rsidR="00E25F88">
        <w:t>that is</w:t>
      </w:r>
      <w:r w:rsidR="00267728">
        <w:t xml:space="preserve"> 2023 or la</w:t>
      </w:r>
      <w:r w:rsidR="00E25F88">
        <w:t>ter</w:t>
      </w:r>
      <w:r w:rsidR="00267728">
        <w:t xml:space="preserve">. </w:t>
      </w:r>
    </w:p>
    <w:p w:rsidR="00B9748F" w:rsidRDefault="00B9748F" w:rsidP="00C205C1"/>
    <w:p w:rsidR="008A2495" w:rsidRDefault="00A71102" w:rsidP="00C205C1">
      <w:r>
        <w:t xml:space="preserve">Section </w:t>
      </w:r>
      <w:r w:rsidR="002A29CE" w:rsidRPr="002A29CE">
        <w:t xml:space="preserve">19C prescribes the transition pathway for </w:t>
      </w:r>
      <w:r w:rsidR="00823A97">
        <w:t>non</w:t>
      </w:r>
      <w:r w:rsidR="00823A97">
        <w:noBreakHyphen/>
        <w:t xml:space="preserve">government </w:t>
      </w:r>
      <w:r w:rsidR="002A29CE" w:rsidRPr="002A29CE">
        <w:t>schools</w:t>
      </w:r>
      <w:r w:rsidR="008A2495">
        <w:t xml:space="preserve"> for 2022 or later</w:t>
      </w:r>
      <w:r w:rsidR="002A29CE" w:rsidRPr="002A29CE">
        <w:t xml:space="preserve"> us</w:t>
      </w:r>
      <w:r w:rsidR="008A2495">
        <w:t>ing</w:t>
      </w:r>
      <w:r w:rsidR="002A29CE" w:rsidRPr="002A29CE">
        <w:t xml:space="preserve"> a 2021 notional starting share</w:t>
      </w:r>
      <w:r w:rsidR="008A2495">
        <w:t xml:space="preserve">, </w:t>
      </w:r>
      <w:r w:rsidR="00A10D75">
        <w:t>where the school is covered by neither section 19A nor 19B for the transition year.</w:t>
      </w:r>
    </w:p>
    <w:p w:rsidR="00B9748F" w:rsidRDefault="00B9748F" w:rsidP="00C205C1"/>
    <w:p w:rsidR="00D97C77" w:rsidRDefault="00785F4C" w:rsidP="00C205C1">
      <w:r w:rsidRPr="00925A83">
        <w:t xml:space="preserve">Section </w:t>
      </w:r>
      <w:r w:rsidR="00793B4F" w:rsidRPr="00045904">
        <w:t xml:space="preserve">19D </w:t>
      </w:r>
      <w:r w:rsidR="00BB5843">
        <w:t xml:space="preserve">prescribes the </w:t>
      </w:r>
      <w:r w:rsidR="00793B4F" w:rsidRPr="00045904">
        <w:t xml:space="preserve">Commonwealth share for new </w:t>
      </w:r>
      <w:r w:rsidR="002B60DF" w:rsidRPr="00925A83">
        <w:t>non-government</w:t>
      </w:r>
      <w:r w:rsidR="00793B4F" w:rsidRPr="00045904">
        <w:t xml:space="preserve"> schools that first receive Commonwealth funding in 2020</w:t>
      </w:r>
      <w:r w:rsidR="00365B9C">
        <w:t xml:space="preserve"> or later</w:t>
      </w:r>
      <w:r w:rsidR="00793B4F" w:rsidRPr="00045904">
        <w:t xml:space="preserve">. </w:t>
      </w:r>
      <w:r w:rsidR="00365B9C">
        <w:t xml:space="preserve">Subsection (2) provides that the Commonwealth share for </w:t>
      </w:r>
      <w:r w:rsidR="00BB5843">
        <w:t xml:space="preserve">these schools </w:t>
      </w:r>
      <w:r w:rsidR="008668E3">
        <w:t>is 80 per cent</w:t>
      </w:r>
      <w:r w:rsidR="00BB5843">
        <w:t xml:space="preserve"> for their first funding year</w:t>
      </w:r>
      <w:r w:rsidR="008668E3">
        <w:t xml:space="preserve">. </w:t>
      </w:r>
      <w:r w:rsidR="008668E3" w:rsidRPr="00045904">
        <w:t xml:space="preserve">A new school </w:t>
      </w:r>
      <w:r w:rsidR="008668E3">
        <w:t xml:space="preserve">first receiving funding </w:t>
      </w:r>
      <w:r w:rsidR="008668E3" w:rsidRPr="00045904">
        <w:t xml:space="preserve">in 2020 or 2021 </w:t>
      </w:r>
      <w:r w:rsidR="008668E3">
        <w:t xml:space="preserve">may then have its transition pathway </w:t>
      </w:r>
      <w:r w:rsidR="008668E3" w:rsidRPr="00045904">
        <w:t xml:space="preserve">reset in </w:t>
      </w:r>
      <w:r w:rsidR="008668E3" w:rsidRPr="00925A83">
        <w:t>2021</w:t>
      </w:r>
      <w:r w:rsidR="008668E3">
        <w:t>,</w:t>
      </w:r>
      <w:r w:rsidR="008668E3" w:rsidRPr="00925A83">
        <w:t xml:space="preserve"> 2022</w:t>
      </w:r>
      <w:r w:rsidR="008668E3" w:rsidRPr="00045904">
        <w:t xml:space="preserve"> </w:t>
      </w:r>
      <w:r w:rsidR="008668E3">
        <w:t xml:space="preserve">or later years </w:t>
      </w:r>
      <w:r w:rsidR="008668E3" w:rsidRPr="00045904">
        <w:t xml:space="preserve">in accordance </w:t>
      </w:r>
      <w:r w:rsidR="008668E3" w:rsidRPr="00925A83">
        <w:t>wit</w:t>
      </w:r>
      <w:r w:rsidR="008668E3">
        <w:t>h</w:t>
      </w:r>
      <w:r w:rsidR="008668E3" w:rsidRPr="00925A83">
        <w:t xml:space="preserve"> </w:t>
      </w:r>
      <w:r w:rsidR="008668E3" w:rsidRPr="00045904">
        <w:t xml:space="preserve">sections </w:t>
      </w:r>
      <w:r w:rsidR="008668E3">
        <w:t xml:space="preserve">19A, </w:t>
      </w:r>
      <w:r w:rsidR="008668E3" w:rsidRPr="00045904">
        <w:t>19B</w:t>
      </w:r>
      <w:r w:rsidR="008668E3" w:rsidRPr="00925A83">
        <w:t xml:space="preserve"> or </w:t>
      </w:r>
      <w:r w:rsidR="008668E3" w:rsidRPr="00045904">
        <w:t>19C</w:t>
      </w:r>
      <w:r w:rsidR="0056563F">
        <w:t xml:space="preserve"> (whichever is applicable</w:t>
      </w:r>
      <w:r w:rsidR="008668E3">
        <w:t>)</w:t>
      </w:r>
      <w:r w:rsidR="008668E3" w:rsidRPr="00925A83">
        <w:t>.</w:t>
      </w:r>
      <w:r w:rsidR="008668E3">
        <w:t xml:space="preserve"> The note to subsection (3) clarifies that</w:t>
      </w:r>
      <w:r w:rsidR="00A1048A">
        <w:t>, for</w:t>
      </w:r>
      <w:r w:rsidR="008668E3">
        <w:t xml:space="preserve"> a school </w:t>
      </w:r>
      <w:r w:rsidR="00AF2322">
        <w:t xml:space="preserve">that </w:t>
      </w:r>
      <w:r w:rsidR="008668E3">
        <w:t>first rec</w:t>
      </w:r>
      <w:r w:rsidR="00AF2322">
        <w:t>eives</w:t>
      </w:r>
      <w:r w:rsidR="00A1048A">
        <w:t xml:space="preserve"> funding in 2022 or later, its first funding year is also its last transition year. Those schools will </w:t>
      </w:r>
      <w:r w:rsidR="005322D5">
        <w:t>then</w:t>
      </w:r>
      <w:r w:rsidR="00A1048A">
        <w:t xml:space="preserve"> continue to have a Commonwealth share of 80 per cent for subsequent years due to the application of</w:t>
      </w:r>
      <w:r w:rsidR="0056563F">
        <w:t xml:space="preserve"> </w:t>
      </w:r>
      <w:r w:rsidR="0072700E">
        <w:t xml:space="preserve">paragraph </w:t>
      </w:r>
      <w:proofErr w:type="gramStart"/>
      <w:r w:rsidR="0056563F">
        <w:t>35A</w:t>
      </w:r>
      <w:r w:rsidR="00BB5843">
        <w:t>(</w:t>
      </w:r>
      <w:proofErr w:type="gramEnd"/>
      <w:r w:rsidR="00BB5843">
        <w:t>b)</w:t>
      </w:r>
      <w:r w:rsidR="00A1048A">
        <w:t xml:space="preserve"> of the Act.</w:t>
      </w:r>
    </w:p>
    <w:p w:rsidR="00B9748F" w:rsidRPr="00045904" w:rsidRDefault="00B9748F" w:rsidP="00C205C1">
      <w:pPr>
        <w:rPr>
          <w:i/>
        </w:rPr>
      </w:pPr>
    </w:p>
    <w:p w:rsidR="004439C3" w:rsidRDefault="00D97C77" w:rsidP="00C205C1">
      <w:r>
        <w:t xml:space="preserve">Section </w:t>
      </w:r>
      <w:r w:rsidR="004439C3" w:rsidRPr="00D97C77">
        <w:t>19E specifies</w:t>
      </w:r>
      <w:r w:rsidRPr="00D97C77">
        <w:t xml:space="preserve"> the formula for working out the notional starting share</w:t>
      </w:r>
      <w:r w:rsidR="00E17BC1">
        <w:t xml:space="preserve"> for non-</w:t>
      </w:r>
      <w:r w:rsidRPr="00D97C77">
        <w:t xml:space="preserve">government schools. </w:t>
      </w:r>
      <w:r w:rsidR="00B43860" w:rsidRPr="00D97C77">
        <w:t xml:space="preserve">The purpose of this section is to define a new notional starting share for transition and to allow all </w:t>
      </w:r>
      <w:r w:rsidR="00823A97">
        <w:t>non</w:t>
      </w:r>
      <w:r w:rsidR="00823A97">
        <w:noBreakHyphen/>
        <w:t xml:space="preserve">government </w:t>
      </w:r>
      <w:r w:rsidR="00B43860" w:rsidRPr="00D97C77">
        <w:t xml:space="preserve">schools to transition at the </w:t>
      </w:r>
      <w:r w:rsidR="00B43860">
        <w:t xml:space="preserve">individual </w:t>
      </w:r>
      <w:r w:rsidR="00B43860" w:rsidRPr="00D97C77">
        <w:t xml:space="preserve">school level, rather than </w:t>
      </w:r>
      <w:r w:rsidR="00562487">
        <w:t>at an approved authority</w:t>
      </w:r>
      <w:r w:rsidR="00B43860" w:rsidRPr="00D97C77">
        <w:t xml:space="preserve"> level.</w:t>
      </w:r>
    </w:p>
    <w:p w:rsidR="00B9748F" w:rsidRDefault="00B9748F" w:rsidP="00C205C1"/>
    <w:p w:rsidR="00DE1022" w:rsidRDefault="004439C3" w:rsidP="00C205C1">
      <w:r>
        <w:t xml:space="preserve">Section </w:t>
      </w:r>
      <w:r w:rsidRPr="004439C3">
        <w:t xml:space="preserve">19F defines the CTC-adjusted SRS amount for the </w:t>
      </w:r>
      <w:proofErr w:type="gramStart"/>
      <w:r w:rsidR="00823A97">
        <w:t>non</w:t>
      </w:r>
      <w:r w:rsidR="00823A97">
        <w:noBreakHyphen/>
        <w:t xml:space="preserve">government </w:t>
      </w:r>
      <w:r w:rsidRPr="004439C3">
        <w:t>school</w:t>
      </w:r>
      <w:proofErr w:type="gramEnd"/>
      <w:r w:rsidRPr="004439C3">
        <w:t xml:space="preserve"> for the year that is used to calcula</w:t>
      </w:r>
      <w:r>
        <w:t>te the notional starting share.</w:t>
      </w:r>
      <w:r w:rsidR="00DD0B19">
        <w:t xml:space="preserve"> It is what 100 per cent of the SRS amount for the school would be for the year if the </w:t>
      </w:r>
      <w:r w:rsidR="000627DB">
        <w:t xml:space="preserve">SES score or the </w:t>
      </w:r>
      <w:r w:rsidR="00DD0B19">
        <w:t>CTC score for the school in that year was the CTC score of the school for the following year.</w:t>
      </w:r>
    </w:p>
    <w:p w:rsidR="00B9748F" w:rsidRDefault="00B9748F" w:rsidP="00C205C1"/>
    <w:p w:rsidR="009F4D90" w:rsidRDefault="00174633" w:rsidP="00C205C1">
      <w:r>
        <w:t xml:space="preserve">Section </w:t>
      </w:r>
      <w:r w:rsidRPr="00174633">
        <w:t xml:space="preserve">19G defines the notional funding amount that is used to calculate the notional starting share.  For schools </w:t>
      </w:r>
      <w:r w:rsidR="005F233D">
        <w:t xml:space="preserve">that are not </w:t>
      </w:r>
      <w:r w:rsidRPr="00174633">
        <w:t xml:space="preserve">part </w:t>
      </w:r>
      <w:r w:rsidR="00A96345">
        <w:t>of an approved system authority</w:t>
      </w:r>
      <w:r w:rsidRPr="00174633">
        <w:t xml:space="preserve">, the notional funding amount is simply the school’s total entitlement for the year. </w:t>
      </w:r>
      <w:r w:rsidR="005F233D">
        <w:t>Under s</w:t>
      </w:r>
      <w:r w:rsidR="009F4D90">
        <w:t>ubsection 19G(2)</w:t>
      </w:r>
      <w:r w:rsidR="005F233D">
        <w:t xml:space="preserve"> t</w:t>
      </w:r>
      <w:r w:rsidR="00020120">
        <w:t>he notional funding amount is worked out differently if</w:t>
      </w:r>
      <w:r w:rsidR="005F233D">
        <w:t>:</w:t>
      </w:r>
      <w:r w:rsidR="00020120">
        <w:t xml:space="preserve"> the approved authority </w:t>
      </w:r>
      <w:r w:rsidR="006D61A3">
        <w:t xml:space="preserve">for a school in 2019 </w:t>
      </w:r>
      <w:r w:rsidR="00020120">
        <w:t xml:space="preserve">was also </w:t>
      </w:r>
      <w:r w:rsidR="005F233D">
        <w:t xml:space="preserve">(a) </w:t>
      </w:r>
      <w:r w:rsidR="00020120">
        <w:t>the school’s approved authority in 2017</w:t>
      </w:r>
      <w:r w:rsidR="00A9495F">
        <w:t>,</w:t>
      </w:r>
      <w:r w:rsidR="005F233D">
        <w:t xml:space="preserve"> and (b) </w:t>
      </w:r>
      <w:r w:rsidR="00A9495F">
        <w:t xml:space="preserve">the school’s approved system authority as defined in section 5 of the </w:t>
      </w:r>
      <w:r w:rsidR="006B62A6">
        <w:t xml:space="preserve">Principal </w:t>
      </w:r>
      <w:r w:rsidR="00A9495F">
        <w:t xml:space="preserve">Regulation as in force immediately before 1 January 2018. </w:t>
      </w:r>
      <w:r w:rsidR="00592789">
        <w:t>I</w:t>
      </w:r>
      <w:r w:rsidR="007166B3">
        <w:t xml:space="preserve">f an approved authority would have met this criteria but for changing its legal entity status after 2017, </w:t>
      </w:r>
      <w:r w:rsidR="0072700E">
        <w:t>the school’s approved authority for 2017</w:t>
      </w:r>
      <w:r w:rsidR="007166B3">
        <w:t xml:space="preserve"> </w:t>
      </w:r>
      <w:r w:rsidR="0072700E">
        <w:t>is</w:t>
      </w:r>
      <w:r w:rsidR="007166B3">
        <w:t xml:space="preserve"> taken to be the same approved authority for the school in 2019.</w:t>
      </w:r>
    </w:p>
    <w:p w:rsidR="000E2D8E" w:rsidRDefault="000E2D8E" w:rsidP="00C205C1">
      <w:pPr>
        <w:pStyle w:val="Heading2"/>
        <w:rPr>
          <w:lang w:eastAsia="en-US"/>
        </w:rPr>
      </w:pPr>
      <w:r w:rsidRPr="000F58F5">
        <w:rPr>
          <w:lang w:eastAsia="en-US"/>
        </w:rPr>
        <w:t xml:space="preserve">Schedule </w:t>
      </w:r>
      <w:r>
        <w:rPr>
          <w:lang w:eastAsia="en-US"/>
        </w:rPr>
        <w:t>2</w:t>
      </w:r>
      <w:r w:rsidR="00B9748F">
        <w:rPr>
          <w:lang w:eastAsia="en-US"/>
        </w:rPr>
        <w:t>—</w:t>
      </w:r>
      <w:r w:rsidR="008F7326">
        <w:rPr>
          <w:lang w:eastAsia="en-US"/>
        </w:rPr>
        <w:t>CTC score</w:t>
      </w:r>
    </w:p>
    <w:p w:rsidR="00B9748F" w:rsidRPr="00C205C1" w:rsidRDefault="00B9748F" w:rsidP="00C205C1">
      <w:pPr>
        <w:pStyle w:val="Heading3"/>
        <w:rPr>
          <w:i/>
          <w:lang w:eastAsia="en-US"/>
        </w:rPr>
      </w:pPr>
      <w:r>
        <w:rPr>
          <w:i/>
          <w:lang w:eastAsia="en-US"/>
        </w:rPr>
        <w:t>Australian Educa</w:t>
      </w:r>
      <w:r w:rsidR="005B5709">
        <w:rPr>
          <w:i/>
          <w:lang w:eastAsia="en-US"/>
        </w:rPr>
        <w:t>t</w:t>
      </w:r>
      <w:r>
        <w:rPr>
          <w:i/>
          <w:lang w:eastAsia="en-US"/>
        </w:rPr>
        <w:t>ion Regulation 2013</w:t>
      </w:r>
    </w:p>
    <w:p w:rsidR="006D3341" w:rsidRDefault="00D24E49" w:rsidP="00C205C1">
      <w:r w:rsidRPr="003B25D5">
        <w:rPr>
          <w:b/>
        </w:rPr>
        <w:t>Item 1</w:t>
      </w:r>
      <w:r w:rsidRPr="00045904">
        <w:t xml:space="preserve"> </w:t>
      </w:r>
      <w:r>
        <w:t xml:space="preserve">inserts </w:t>
      </w:r>
      <w:r w:rsidR="006D3341">
        <w:t>definitions used in the Amendment Regulations relevant to working out a non</w:t>
      </w:r>
      <w:r w:rsidR="00823A97">
        <w:noBreakHyphen/>
      </w:r>
      <w:r w:rsidR="006D3341">
        <w:t xml:space="preserve">government school’s </w:t>
      </w:r>
      <w:r w:rsidR="0000556B">
        <w:t>CTC score</w:t>
      </w:r>
      <w:r w:rsidR="006D3341">
        <w:t xml:space="preserve">. These include definitions for: </w:t>
      </w:r>
    </w:p>
    <w:p w:rsidR="0000556B" w:rsidRDefault="00D24E49" w:rsidP="0035054F">
      <w:pPr>
        <w:pStyle w:val="ListParagraph"/>
        <w:numPr>
          <w:ilvl w:val="0"/>
          <w:numId w:val="24"/>
        </w:numPr>
        <w:spacing w:before="0"/>
        <w:ind w:left="714" w:hanging="357"/>
      </w:pPr>
      <w:r>
        <w:t>2011 SES score</w:t>
      </w:r>
    </w:p>
    <w:p w:rsidR="0000556B" w:rsidRDefault="00D24E49" w:rsidP="00C205C1">
      <w:pPr>
        <w:pStyle w:val="ListParagraph"/>
        <w:numPr>
          <w:ilvl w:val="0"/>
          <w:numId w:val="24"/>
        </w:numPr>
      </w:pPr>
      <w:r>
        <w:t>2016 SES score</w:t>
      </w:r>
    </w:p>
    <w:p w:rsidR="0000556B" w:rsidRDefault="00D24E49" w:rsidP="00C205C1">
      <w:pPr>
        <w:pStyle w:val="ListParagraph"/>
        <w:numPr>
          <w:ilvl w:val="0"/>
          <w:numId w:val="24"/>
        </w:numPr>
      </w:pPr>
      <w:r>
        <w:t>average DMI score</w:t>
      </w:r>
    </w:p>
    <w:p w:rsidR="0000556B" w:rsidRDefault="00D24E49" w:rsidP="00C205C1">
      <w:pPr>
        <w:pStyle w:val="ListParagraph"/>
        <w:numPr>
          <w:ilvl w:val="0"/>
          <w:numId w:val="24"/>
        </w:numPr>
      </w:pPr>
      <w:r>
        <w:t>DMI methodology document</w:t>
      </w:r>
    </w:p>
    <w:p w:rsidR="0000556B" w:rsidRDefault="00D24E49" w:rsidP="00C205C1">
      <w:pPr>
        <w:pStyle w:val="ListParagraph"/>
        <w:numPr>
          <w:ilvl w:val="0"/>
          <w:numId w:val="24"/>
        </w:numPr>
      </w:pPr>
      <w:r>
        <w:t>DMI score</w:t>
      </w:r>
    </w:p>
    <w:p w:rsidR="00D24E49" w:rsidRDefault="006D0133" w:rsidP="00C205C1">
      <w:pPr>
        <w:pStyle w:val="ListParagraph"/>
        <w:numPr>
          <w:ilvl w:val="0"/>
          <w:numId w:val="24"/>
        </w:numPr>
      </w:pPr>
      <w:proofErr w:type="gramStart"/>
      <w:r>
        <w:t>refined</w:t>
      </w:r>
      <w:proofErr w:type="gramEnd"/>
      <w:r>
        <w:t xml:space="preserve"> area based score.</w:t>
      </w:r>
    </w:p>
    <w:p w:rsidR="00B9748F" w:rsidRDefault="00B9748F" w:rsidP="00C205C1"/>
    <w:p w:rsidR="003E3749" w:rsidRPr="00A12E46" w:rsidRDefault="003E3749" w:rsidP="00A12E46">
      <w:pPr>
        <w:autoSpaceDE w:val="0"/>
        <w:autoSpaceDN w:val="0"/>
        <w:rPr>
          <w:color w:val="auto"/>
          <w:sz w:val="22"/>
        </w:rPr>
      </w:pPr>
      <w:r w:rsidRPr="00A12E46">
        <w:t>Item 1</w:t>
      </w:r>
      <w:r w:rsidRPr="003E3749">
        <w:rPr>
          <w:b/>
        </w:rPr>
        <w:t xml:space="preserve"> </w:t>
      </w:r>
      <w:r w:rsidRPr="00A12E46">
        <w:t xml:space="preserve">also inserts a note stating that the </w:t>
      </w:r>
      <w:r>
        <w:t>DMI methodology document</w:t>
      </w:r>
      <w:r w:rsidRPr="00A12E46">
        <w:t xml:space="preserve"> could in 2020 be viewed on the </w:t>
      </w:r>
      <w:r>
        <w:t>d</w:t>
      </w:r>
      <w:r w:rsidRPr="00A12E46">
        <w:t>epartment’s website.</w:t>
      </w:r>
      <w:r w:rsidR="00577008">
        <w:t xml:space="preserve"> </w:t>
      </w:r>
      <w:r w:rsidRPr="00A12E46">
        <w:t xml:space="preserve">Subsection 130(4) of the Act provides the legislative authority for the </w:t>
      </w:r>
      <w:r w:rsidR="00577008">
        <w:t>DMI methodology document</w:t>
      </w:r>
      <w:r w:rsidRPr="00A12E46">
        <w:t xml:space="preserve"> to be incorporated into the Principal Regula</w:t>
      </w:r>
      <w:r w:rsidR="006B62A6" w:rsidRPr="00A12E46">
        <w:t>tion. In particular, subsection </w:t>
      </w:r>
      <w:r w:rsidRPr="00A12E46">
        <w:t xml:space="preserve">130(4) provides that, despite the operation of the </w:t>
      </w:r>
      <w:r w:rsidRPr="00A12E46">
        <w:rPr>
          <w:i/>
        </w:rPr>
        <w:t>Legislation Act 2003</w:t>
      </w:r>
      <w:r w:rsidRPr="00A12E46">
        <w:t>, the Principal Regulation may provide in relation to a matter by applying, adopting or incorporating, with or without modification, any matter contained in any other instrument or other writing as in force or existing from time to time.</w:t>
      </w:r>
      <w:r w:rsidR="00577008">
        <w:t xml:space="preserve"> </w:t>
      </w:r>
      <w:r w:rsidR="00C72CED">
        <w:t>The DMI methodology document will be made freely available on the department’s website.</w:t>
      </w:r>
      <w:r w:rsidR="00C120C1">
        <w:t xml:space="preserve"> At the date of making this could be found at </w:t>
      </w:r>
      <w:r w:rsidR="00CD7EED">
        <w:rPr>
          <w:szCs w:val="24"/>
        </w:rPr>
        <w:t>https://docs.education.gov.au/node/53379</w:t>
      </w:r>
      <w:r w:rsidR="00C120C1">
        <w:rPr>
          <w:rFonts w:ascii="Segoe UI" w:hAnsi="Segoe UI" w:cs="Segoe UI"/>
          <w:sz w:val="20"/>
          <w:szCs w:val="20"/>
          <w:lang w:val="en-US"/>
        </w:rPr>
        <w:t>.</w:t>
      </w:r>
    </w:p>
    <w:p w:rsidR="003E3749" w:rsidRDefault="003E3749" w:rsidP="00C205C1">
      <w:pPr>
        <w:rPr>
          <w:b/>
        </w:rPr>
      </w:pPr>
    </w:p>
    <w:p w:rsidR="00A760FF" w:rsidRDefault="00743AEC" w:rsidP="00C205C1">
      <w:r>
        <w:rPr>
          <w:b/>
        </w:rPr>
        <w:t>Item</w:t>
      </w:r>
      <w:r w:rsidR="003334F5">
        <w:rPr>
          <w:b/>
        </w:rPr>
        <w:t xml:space="preserve"> </w:t>
      </w:r>
      <w:r>
        <w:rPr>
          <w:b/>
        </w:rPr>
        <w:t>2</w:t>
      </w:r>
      <w:r w:rsidR="00492598">
        <w:rPr>
          <w:b/>
        </w:rPr>
        <w:t xml:space="preserve"> </w:t>
      </w:r>
      <w:r w:rsidR="0019355B">
        <w:t>rep</w:t>
      </w:r>
      <w:r w:rsidR="00492598">
        <w:t>eal</w:t>
      </w:r>
      <w:r w:rsidR="003334F5">
        <w:t>s</w:t>
      </w:r>
      <w:r w:rsidR="006D0133" w:rsidRPr="008D100D">
        <w:t xml:space="preserve"> the </w:t>
      </w:r>
      <w:r w:rsidR="00492598">
        <w:t xml:space="preserve">existing </w:t>
      </w:r>
      <w:r w:rsidR="006D0133" w:rsidRPr="008D100D">
        <w:t>definition of statement of addresses</w:t>
      </w:r>
      <w:r w:rsidR="005B5709">
        <w:t>, while</w:t>
      </w:r>
      <w:r w:rsidR="003334F5">
        <w:t xml:space="preserve"> </w:t>
      </w:r>
      <w:r w:rsidR="005B5709">
        <w:rPr>
          <w:b/>
        </w:rPr>
        <w:t>i</w:t>
      </w:r>
      <w:r w:rsidR="003334F5">
        <w:rPr>
          <w:b/>
        </w:rPr>
        <w:t>tem 3</w:t>
      </w:r>
      <w:r w:rsidR="006D0133" w:rsidRPr="008D100D">
        <w:t xml:space="preserve"> </w:t>
      </w:r>
      <w:r w:rsidR="00492598">
        <w:t>insert</w:t>
      </w:r>
      <w:r w:rsidR="003334F5">
        <w:t>s</w:t>
      </w:r>
      <w:r w:rsidR="00492598">
        <w:t xml:space="preserve"> a new definition of </w:t>
      </w:r>
      <w:r w:rsidR="006D0133" w:rsidRPr="008D100D">
        <w:t>stat</w:t>
      </w:r>
      <w:r w:rsidR="00D6414B">
        <w:t>ement of student addresses.</w:t>
      </w:r>
      <w:r w:rsidR="00492598">
        <w:t xml:space="preserve"> This is to differe</w:t>
      </w:r>
      <w:r w:rsidR="00A91D78">
        <w:t xml:space="preserve">ntiate between the </w:t>
      </w:r>
      <w:r w:rsidR="00EF6FA1">
        <w:t xml:space="preserve">residential </w:t>
      </w:r>
      <w:r w:rsidR="00A91D78">
        <w:t xml:space="preserve">addresses </w:t>
      </w:r>
      <w:r w:rsidR="003334F5">
        <w:t>that schools provide</w:t>
      </w:r>
      <w:r w:rsidR="00A91D78">
        <w:t xml:space="preserve"> for each person responsible for the student (pursuant to paragraph </w:t>
      </w:r>
      <w:proofErr w:type="gramStart"/>
      <w:r w:rsidR="00A91D78">
        <w:t>58B(</w:t>
      </w:r>
      <w:proofErr w:type="gramEnd"/>
      <w:r w:rsidR="00A91D78">
        <w:t xml:space="preserve">2)(a) of the </w:t>
      </w:r>
      <w:r w:rsidR="003334F5">
        <w:t xml:space="preserve">Principal </w:t>
      </w:r>
      <w:r w:rsidR="00A91D78">
        <w:t>Regulation)</w:t>
      </w:r>
      <w:r w:rsidR="00EF6FA1">
        <w:t xml:space="preserve"> and the residential address</w:t>
      </w:r>
      <w:r w:rsidR="003334F5">
        <w:t>es</w:t>
      </w:r>
      <w:r w:rsidR="00EF6FA1">
        <w:t xml:space="preserve"> of </w:t>
      </w:r>
      <w:r w:rsidR="003334F5">
        <w:t>each</w:t>
      </w:r>
      <w:r w:rsidR="00EF6FA1">
        <w:t xml:space="preserve"> student</w:t>
      </w:r>
      <w:r w:rsidR="00610476">
        <w:t xml:space="preserve"> (pursuant to new paragraph 58B(2)(aa) or section 21 as in force before the commencement of the Amendment Regulations)</w:t>
      </w:r>
      <w:r w:rsidR="00EF6FA1">
        <w:t>.</w:t>
      </w:r>
      <w:r w:rsidR="006C0E0A">
        <w:t xml:space="preserve"> The definition excludes the information related to distance education students as that detail will not inform the calculation of a school’s CTC score.</w:t>
      </w:r>
    </w:p>
    <w:p w:rsidR="00B9748F" w:rsidRPr="00045904" w:rsidRDefault="00B9748F" w:rsidP="00C205C1">
      <w:pPr>
        <w:pStyle w:val="Heading3"/>
      </w:pPr>
      <w:r>
        <w:t>New Division 2 of Part 3—CTC score</w:t>
      </w:r>
    </w:p>
    <w:p w:rsidR="00A760FF" w:rsidRDefault="00A760FF" w:rsidP="00C205C1">
      <w:r>
        <w:rPr>
          <w:b/>
        </w:rPr>
        <w:t>Item 4</w:t>
      </w:r>
      <w:r w:rsidR="00844390">
        <w:t xml:space="preserve"> repeals</w:t>
      </w:r>
      <w:r w:rsidRPr="008D24D5">
        <w:t xml:space="preserve"> </w:t>
      </w:r>
      <w:r>
        <w:t>Division 2</w:t>
      </w:r>
      <w:r w:rsidRPr="008D24D5">
        <w:t xml:space="preserve"> of Part 3 </w:t>
      </w:r>
      <w:r>
        <w:t xml:space="preserve">of the </w:t>
      </w:r>
      <w:r w:rsidR="001A7A5D">
        <w:t xml:space="preserve">Principal </w:t>
      </w:r>
      <w:r>
        <w:t xml:space="preserve">Regulation </w:t>
      </w:r>
      <w:r w:rsidR="00386D01">
        <w:t xml:space="preserve">which was previously used to determine a </w:t>
      </w:r>
      <w:r w:rsidR="00823A97">
        <w:t>non</w:t>
      </w:r>
      <w:r w:rsidR="00823A97">
        <w:noBreakHyphen/>
        <w:t xml:space="preserve">government </w:t>
      </w:r>
      <w:r w:rsidR="00386D01">
        <w:t xml:space="preserve">school’s </w:t>
      </w:r>
      <w:r>
        <w:t>SES score</w:t>
      </w:r>
      <w:r w:rsidR="00386D01">
        <w:t xml:space="preserve">. The item inserts </w:t>
      </w:r>
      <w:r w:rsidR="00D3185F">
        <w:t xml:space="preserve">a new Division 2 </w:t>
      </w:r>
      <w:r w:rsidR="00844390">
        <w:t xml:space="preserve">of Part 3 </w:t>
      </w:r>
      <w:r w:rsidR="00386D01">
        <w:t>prescribing</w:t>
      </w:r>
      <w:r w:rsidR="00844390">
        <w:t xml:space="preserve"> the methodology </w:t>
      </w:r>
      <w:r w:rsidR="00A00D38">
        <w:t xml:space="preserve">to determine </w:t>
      </w:r>
      <w:r w:rsidR="00844390">
        <w:t>a school’s</w:t>
      </w:r>
      <w:r w:rsidR="00D3185F">
        <w:t xml:space="preserve"> CTC score</w:t>
      </w:r>
      <w:r w:rsidR="00386D01">
        <w:t xml:space="preserve"> under subsection 52(1</w:t>
      </w:r>
      <w:r w:rsidR="00844390">
        <w:t>) of the Act</w:t>
      </w:r>
      <w:r w:rsidR="00D3185F">
        <w:t>.</w:t>
      </w:r>
      <w:r w:rsidR="00A33562">
        <w:t xml:space="preserve"> </w:t>
      </w:r>
    </w:p>
    <w:p w:rsidR="005B5709" w:rsidRPr="008D24D5" w:rsidRDefault="005B5709" w:rsidP="00C205C1"/>
    <w:p w:rsidR="00A00D38" w:rsidRDefault="00325EBC" w:rsidP="00C205C1">
      <w:r w:rsidRPr="00C205C1">
        <w:rPr>
          <w:b/>
        </w:rPr>
        <w:t>Section 21</w:t>
      </w:r>
      <w:r w:rsidRPr="00325EBC">
        <w:t xml:space="preserve"> </w:t>
      </w:r>
      <w:r w:rsidR="000E7D3C">
        <w:t xml:space="preserve">is made for the purposes of subsection 52(4) of the Act. </w:t>
      </w:r>
      <w:r w:rsidR="00A00D38">
        <w:t xml:space="preserve">Subsection 52(4) of the Act requires the Minister to, in making a determination </w:t>
      </w:r>
      <w:r w:rsidR="009A0982">
        <w:t xml:space="preserve">of a </w:t>
      </w:r>
      <w:r w:rsidR="00823A97">
        <w:t>non</w:t>
      </w:r>
      <w:r w:rsidR="00823A97">
        <w:noBreakHyphen/>
        <w:t xml:space="preserve">government </w:t>
      </w:r>
      <w:r w:rsidR="009A0982">
        <w:t xml:space="preserve">school’s CTC score </w:t>
      </w:r>
      <w:r w:rsidR="00A00D38">
        <w:t xml:space="preserve">under subsection 52(1), comply with the Principal Regulation (unless the Minister is satisfied doing so would result in a CTC score that does not accurately reflect the capacity of the persons responsible for students at the school to contribute financially to the operation of the school). </w:t>
      </w:r>
    </w:p>
    <w:p w:rsidR="005B5709" w:rsidRDefault="005B5709" w:rsidP="00C205C1"/>
    <w:p w:rsidR="009A0982" w:rsidRDefault="000E7D3C" w:rsidP="00C205C1">
      <w:r>
        <w:t xml:space="preserve">The section </w:t>
      </w:r>
      <w:r w:rsidR="002B60DF">
        <w:t xml:space="preserve">specifies </w:t>
      </w:r>
      <w:r>
        <w:t xml:space="preserve">how a </w:t>
      </w:r>
      <w:r w:rsidR="002B60DF">
        <w:t>non-government school</w:t>
      </w:r>
      <w:r>
        <w:t>’</w:t>
      </w:r>
      <w:r w:rsidR="002B60DF">
        <w:t>s CTC score</w:t>
      </w:r>
      <w:r>
        <w:t xml:space="preserve"> will be worked out</w:t>
      </w:r>
      <w:r w:rsidR="002B60DF">
        <w:t xml:space="preserve"> in 2020</w:t>
      </w:r>
      <w:r>
        <w:t xml:space="preserve"> and</w:t>
      </w:r>
      <w:r w:rsidR="002B60DF">
        <w:t xml:space="preserve"> 2021, </w:t>
      </w:r>
      <w:r w:rsidR="00667F37">
        <w:t>and</w:t>
      </w:r>
      <w:r w:rsidR="002B60DF">
        <w:t xml:space="preserve"> </w:t>
      </w:r>
      <w:r w:rsidR="00667F37">
        <w:t xml:space="preserve">for </w:t>
      </w:r>
      <w:r w:rsidR="002B60DF">
        <w:t xml:space="preserve">2022 </w:t>
      </w:r>
      <w:r w:rsidR="00760877">
        <w:t xml:space="preserve">and </w:t>
      </w:r>
      <w:r w:rsidR="00667F37">
        <w:t>onwards</w:t>
      </w:r>
      <w:r w:rsidR="00325EBC" w:rsidRPr="00325EBC">
        <w:t>.</w:t>
      </w:r>
    </w:p>
    <w:p w:rsidR="009A0982" w:rsidRDefault="009A0982" w:rsidP="00C205C1"/>
    <w:p w:rsidR="009A0982" w:rsidRDefault="00325EBC" w:rsidP="00C205C1">
      <w:r w:rsidRPr="00325EBC">
        <w:t xml:space="preserve">For 2020 and 2021, </w:t>
      </w:r>
      <w:r w:rsidR="00F37F95">
        <w:t xml:space="preserve">a non-government school’s CTC score may </w:t>
      </w:r>
      <w:r w:rsidR="00A90174">
        <w:t xml:space="preserve">be </w:t>
      </w:r>
      <w:r w:rsidR="00F37F95">
        <w:t xml:space="preserve">its 2011 SES score, 2016 </w:t>
      </w:r>
      <w:r w:rsidR="00BE0E95">
        <w:t xml:space="preserve">SES score, or average DMI score depending on which score </w:t>
      </w:r>
      <w:r w:rsidR="006F39F4">
        <w:t xml:space="preserve">is the most financially beneficial score for </w:t>
      </w:r>
      <w:r w:rsidR="00BE0E95">
        <w:t>the school.</w:t>
      </w:r>
    </w:p>
    <w:p w:rsidR="009A0982" w:rsidRDefault="009A0982" w:rsidP="00C205C1"/>
    <w:p w:rsidR="009A0982" w:rsidRDefault="00016DAD" w:rsidP="00C205C1">
      <w:r>
        <w:t>For 2022</w:t>
      </w:r>
      <w:r w:rsidR="00907AA0">
        <w:t xml:space="preserve"> </w:t>
      </w:r>
      <w:r w:rsidR="000E415D">
        <w:t>or later years</w:t>
      </w:r>
      <w:r>
        <w:t xml:space="preserve">, </w:t>
      </w:r>
      <w:r w:rsidR="002B37F4">
        <w:t>a non-government school’s</w:t>
      </w:r>
      <w:r w:rsidR="00FB7DAF">
        <w:t xml:space="preserve"> CTC</w:t>
      </w:r>
      <w:r w:rsidR="002B37F4" w:rsidRPr="00325EBC">
        <w:t xml:space="preserve"> </w:t>
      </w:r>
      <w:r w:rsidR="00342EBE">
        <w:t xml:space="preserve">score </w:t>
      </w:r>
      <w:r w:rsidR="002B37F4" w:rsidRPr="00325EBC">
        <w:t xml:space="preserve">will be </w:t>
      </w:r>
      <w:r w:rsidR="00FB7DAF">
        <w:t xml:space="preserve">its </w:t>
      </w:r>
      <w:r w:rsidR="002B37F4" w:rsidRPr="00325EBC">
        <w:t xml:space="preserve">average DMI score or </w:t>
      </w:r>
      <w:r w:rsidR="009A0982">
        <w:t>the</w:t>
      </w:r>
      <w:r w:rsidR="002B37F4" w:rsidRPr="00325EBC">
        <w:t xml:space="preserve"> refined area based score. </w:t>
      </w:r>
      <w:r w:rsidR="004229B4">
        <w:t>Under subsection 21(3), t</w:t>
      </w:r>
      <w:r w:rsidR="00667F37">
        <w:t xml:space="preserve">he refined area based score may only be used </w:t>
      </w:r>
      <w:r w:rsidR="00667F37" w:rsidRPr="00325EBC">
        <w:t xml:space="preserve">where the Minister </w:t>
      </w:r>
      <w:r w:rsidR="00667F37">
        <w:t>is satisfied</w:t>
      </w:r>
      <w:r w:rsidR="00667F37" w:rsidRPr="00325EBC">
        <w:t xml:space="preserve"> that </w:t>
      </w:r>
      <w:r w:rsidR="00760877">
        <w:t xml:space="preserve">using </w:t>
      </w:r>
      <w:r w:rsidR="00667F37" w:rsidRPr="00325EBC">
        <w:t>the average DMI score is not reasonably practicable</w:t>
      </w:r>
      <w:r w:rsidR="00667F37">
        <w:t xml:space="preserve"> and that at least 95% of student addresses provided by a school can be assigned to the Statistical Area Level 1 (unless it is appropriate to disregard this). </w:t>
      </w:r>
      <w:r w:rsidR="00740547">
        <w:t>The note clarifies t</w:t>
      </w:r>
      <w:r w:rsidR="002B37F4" w:rsidRPr="00325EBC">
        <w:t xml:space="preserve">he Minister retains their discretion under the Act to determine a CTC score for a </w:t>
      </w:r>
      <w:r w:rsidR="00793640">
        <w:t>non</w:t>
      </w:r>
      <w:r w:rsidR="00793640">
        <w:noBreakHyphen/>
        <w:t xml:space="preserve">government </w:t>
      </w:r>
      <w:r w:rsidR="002B37F4" w:rsidRPr="00325EBC">
        <w:t>school</w:t>
      </w:r>
      <w:r w:rsidR="00760877">
        <w:t xml:space="preserve"> other than in accordance with the Principal Regulation for the reasons mentioned in subsection 52(4) of the Act.</w:t>
      </w:r>
    </w:p>
    <w:p w:rsidR="009A0982" w:rsidRDefault="009A0982" w:rsidP="00C205C1"/>
    <w:p w:rsidR="002A5EBE" w:rsidRDefault="00B3087C" w:rsidP="00C205C1">
      <w:r>
        <w:t>A determination made by the Minister under subsection 52(1)</w:t>
      </w:r>
      <w:r w:rsidR="00333F22">
        <w:t xml:space="preserve"> of the Act</w:t>
      </w:r>
      <w:r>
        <w:t xml:space="preserve"> </w:t>
      </w:r>
      <w:r w:rsidR="00106ABC">
        <w:t>may be reviewed</w:t>
      </w:r>
      <w:r w:rsidR="00D6735F">
        <w:t xml:space="preserve"> under </w:t>
      </w:r>
      <w:r w:rsidR="00760877">
        <w:t>Division 3 of Part 9</w:t>
      </w:r>
      <w:r w:rsidR="00333F22">
        <w:t xml:space="preserve"> of the Act</w:t>
      </w:r>
      <w:r w:rsidR="00D6735F">
        <w:t>. To avoid doubt, a review of this decision ma</w:t>
      </w:r>
      <w:r w:rsidR="00555AB3">
        <w:t>y involve a fresh reconsideration of the</w:t>
      </w:r>
      <w:r w:rsidR="00D0737D">
        <w:t xml:space="preserve"> basis for calculating the </w:t>
      </w:r>
      <w:r w:rsidR="00793640">
        <w:t>non</w:t>
      </w:r>
      <w:r w:rsidR="00793640">
        <w:softHyphen/>
      </w:r>
      <w:r w:rsidR="00793640">
        <w:noBreakHyphen/>
        <w:t xml:space="preserve">government </w:t>
      </w:r>
      <w:r w:rsidR="00D0737D">
        <w:t>school’</w:t>
      </w:r>
      <w:r w:rsidR="007B416B">
        <w:t>s CTC score. For instance,</w:t>
      </w:r>
      <w:r w:rsidR="00CE0B5D">
        <w:t xml:space="preserve"> a decision maker conducting a review </w:t>
      </w:r>
      <w:r w:rsidR="007B416B">
        <w:t xml:space="preserve">would not be precluded from </w:t>
      </w:r>
      <w:r w:rsidR="00581D8B">
        <w:t xml:space="preserve">being satisfied that it was reasonably practicable to </w:t>
      </w:r>
      <w:r w:rsidR="00CE0B5D">
        <w:t>calcul</w:t>
      </w:r>
      <w:r w:rsidR="00581D8B">
        <w:t>ate</w:t>
      </w:r>
      <w:r w:rsidR="00CE0B5D">
        <w:t xml:space="preserve"> a school’s CTC score using the average DMI score</w:t>
      </w:r>
      <w:r w:rsidR="00581D8B">
        <w:t xml:space="preserve"> and proceed to do so, </w:t>
      </w:r>
      <w:r w:rsidR="00CE0B5D">
        <w:t xml:space="preserve">even if the original decision maker had </w:t>
      </w:r>
      <w:r w:rsidR="00581D8B">
        <w:t xml:space="preserve">reached a different conclusion and used the refined area based score. </w:t>
      </w:r>
    </w:p>
    <w:p w:rsidR="005B5709" w:rsidRDefault="005B5709" w:rsidP="00C205C1"/>
    <w:p w:rsidR="002A5EBE" w:rsidRDefault="002A5EBE" w:rsidP="00C205C1">
      <w:r w:rsidRPr="00C205C1">
        <w:rPr>
          <w:b/>
        </w:rPr>
        <w:t xml:space="preserve">Section 22 </w:t>
      </w:r>
      <w:r w:rsidR="00735233">
        <w:t>provides the meaning of</w:t>
      </w:r>
      <w:r w:rsidR="00C43F15">
        <w:t xml:space="preserve"> </w:t>
      </w:r>
      <w:r w:rsidRPr="002A5EBE">
        <w:t xml:space="preserve">average DMI score, introduces a cap and floor on the movement of average DMI scores for small and very small schools, and </w:t>
      </w:r>
      <w:r w:rsidR="002E1BC4">
        <w:t>includes a method statement for</w:t>
      </w:r>
      <w:r w:rsidRPr="002A5EBE">
        <w:t xml:space="preserve"> how a DMI score is worked out. </w:t>
      </w:r>
    </w:p>
    <w:p w:rsidR="005B5709" w:rsidRDefault="005B5709" w:rsidP="00C205C1"/>
    <w:p w:rsidR="00DB78D4" w:rsidRDefault="00F57596" w:rsidP="00C205C1">
      <w:r w:rsidRPr="002A5EBE">
        <w:t xml:space="preserve">While a three-year rolling average is the preferred approach, given that there are only two years of suitable linked data available to create a CTC score using a DMI methodology for 2020, a two-year average </w:t>
      </w:r>
      <w:r w:rsidR="00D05A12">
        <w:t xml:space="preserve">of DMI scores </w:t>
      </w:r>
      <w:r w:rsidRPr="002A5EBE">
        <w:t xml:space="preserve">will be used for 2020. </w:t>
      </w:r>
      <w:r w:rsidR="002A5EBE" w:rsidRPr="002A5EBE">
        <w:t>This is because the address collection</w:t>
      </w:r>
      <w:r w:rsidR="00A01052">
        <w:t xml:space="preserve"> conducted</w:t>
      </w:r>
      <w:r w:rsidR="008255C1">
        <w:t xml:space="preserve"> pursuant to section 58B of the Act</w:t>
      </w:r>
      <w:r w:rsidR="00A01052">
        <w:t xml:space="preserve"> </w:t>
      </w:r>
      <w:r w:rsidR="008255C1">
        <w:t xml:space="preserve">as </w:t>
      </w:r>
      <w:r w:rsidR="00A01052">
        <w:t>in</w:t>
      </w:r>
      <w:r w:rsidR="008255C1">
        <w:t xml:space="preserve"> force in relation to</w:t>
      </w:r>
      <w:r w:rsidR="00A01052">
        <w:t xml:space="preserve"> 2017</w:t>
      </w:r>
      <w:r w:rsidR="002A5EBE" w:rsidRPr="002A5EBE">
        <w:t xml:space="preserve"> d</w:t>
      </w:r>
      <w:r w:rsidR="00A01052">
        <w:t>id</w:t>
      </w:r>
      <w:r w:rsidR="002A5EBE" w:rsidRPr="002A5EBE">
        <w:t xml:space="preserve"> not </w:t>
      </w:r>
      <w:r w:rsidR="00D05A12">
        <w:t>contain</w:t>
      </w:r>
      <w:r w:rsidR="00D05A12" w:rsidRPr="002A5EBE">
        <w:t xml:space="preserve"> </w:t>
      </w:r>
      <w:r w:rsidR="00164EBF">
        <w:t xml:space="preserve">the </w:t>
      </w:r>
      <w:r w:rsidR="002A5EBE" w:rsidRPr="002A5EBE">
        <w:t>names</w:t>
      </w:r>
      <w:r w:rsidR="00771431">
        <w:t xml:space="preserve"> and residential addresses of each person responsible for the student</w:t>
      </w:r>
      <w:r w:rsidR="008255C1">
        <w:t xml:space="preserve">. </w:t>
      </w:r>
      <w:r>
        <w:t>F</w:t>
      </w:r>
      <w:r w:rsidRPr="002A5EBE">
        <w:t>rom 2021</w:t>
      </w:r>
      <w:r>
        <w:t xml:space="preserve"> and onwards</w:t>
      </w:r>
      <w:r w:rsidRPr="002A5EBE">
        <w:t xml:space="preserve">, </w:t>
      </w:r>
      <w:r w:rsidR="00D05A12" w:rsidRPr="002A5EBE">
        <w:t xml:space="preserve">three years of linked data will be available </w:t>
      </w:r>
      <w:r w:rsidR="00D05A12">
        <w:t xml:space="preserve">and thus </w:t>
      </w:r>
      <w:r w:rsidRPr="002A5EBE">
        <w:t>three years of DMI scores will be used</w:t>
      </w:r>
      <w:r>
        <w:t xml:space="preserve"> to calculate the average DMI score</w:t>
      </w:r>
      <w:r w:rsidR="002A5EBE" w:rsidRPr="002A5EBE">
        <w:t>.</w:t>
      </w:r>
    </w:p>
    <w:p w:rsidR="005B5709" w:rsidRDefault="005B5709" w:rsidP="00C205C1"/>
    <w:p w:rsidR="00925C41" w:rsidRDefault="00DB78D4" w:rsidP="00C205C1">
      <w:r>
        <w:t>S</w:t>
      </w:r>
      <w:r w:rsidR="00C334D0">
        <w:t>ubs</w:t>
      </w:r>
      <w:r>
        <w:t>ection 22</w:t>
      </w:r>
      <w:r w:rsidR="00C334D0">
        <w:t>(3)</w:t>
      </w:r>
      <w:r>
        <w:t xml:space="preserve"> </w:t>
      </w:r>
      <w:r w:rsidRPr="00DB78D4">
        <w:t>also describes the cap and floor on the movement of average DMI scores for small schools. Analysis has shown that small and very small schools are likely to experience greater volatility due to the annual changes in the student cohort, even with the application of an average DMI score. To reduce negative impacts on small and very small schools, there will be a cap and floor of two</w:t>
      </w:r>
      <w:r w:rsidR="009A0982">
        <w:t xml:space="preserve"> </w:t>
      </w:r>
      <w:r w:rsidRPr="00DB78D4">
        <w:t xml:space="preserve">points </w:t>
      </w:r>
      <w:r w:rsidR="00AE42D0">
        <w:t>from 2022 and onwards where the DMI methodology is used</w:t>
      </w:r>
      <w:r w:rsidR="00880058">
        <w:t>.</w:t>
      </w:r>
      <w:r w:rsidR="007C32A0">
        <w:t xml:space="preserve"> </w:t>
      </w:r>
    </w:p>
    <w:p w:rsidR="005B5709" w:rsidRDefault="005B5709" w:rsidP="00C205C1"/>
    <w:p w:rsidR="007C32A0" w:rsidRDefault="007C32A0" w:rsidP="00C205C1">
      <w:r>
        <w:t xml:space="preserve">Subsection 22(4) sets out the method statement for working out a </w:t>
      </w:r>
      <w:r w:rsidR="00793640">
        <w:t>non</w:t>
      </w:r>
      <w:r w:rsidR="00793640">
        <w:noBreakHyphen/>
        <w:t xml:space="preserve">government </w:t>
      </w:r>
      <w:r>
        <w:t xml:space="preserve">school’s DMI score for a year. The </w:t>
      </w:r>
      <w:r w:rsidR="00353C43">
        <w:t xml:space="preserve">method uses the family income for each student, worked out by adding up </w:t>
      </w:r>
      <w:r w:rsidR="00822EF2">
        <w:t xml:space="preserve">the annual income of each person </w:t>
      </w:r>
      <w:r w:rsidR="000A0EDA">
        <w:t>responsible for the student for the year, to calculate the median family income for the school. The final step is to standardise and weight the family income</w:t>
      </w:r>
      <w:r w:rsidR="00096F1C">
        <w:t xml:space="preserve"> for the school</w:t>
      </w:r>
      <w:r w:rsidR="000A0EDA">
        <w:t>.</w:t>
      </w:r>
      <w:r w:rsidR="00096F1C">
        <w:t xml:space="preserve"> Further detail on each of these steps is set out in the DMI methodo</w:t>
      </w:r>
      <w:r w:rsidR="008255C1">
        <w:t>logy document published by the d</w:t>
      </w:r>
      <w:r w:rsidR="00096F1C">
        <w:t xml:space="preserve">epartment. </w:t>
      </w:r>
    </w:p>
    <w:p w:rsidR="005B5709" w:rsidRDefault="005B5709" w:rsidP="00C205C1"/>
    <w:p w:rsidR="00E3396A" w:rsidRDefault="00A70054" w:rsidP="00C205C1">
      <w:r w:rsidRPr="00C205C1">
        <w:rPr>
          <w:b/>
        </w:rPr>
        <w:t>Section 23</w:t>
      </w:r>
      <w:r>
        <w:t xml:space="preserve"> </w:t>
      </w:r>
      <w:r w:rsidR="004B48E3">
        <w:t>is made for the purposes of subparagraph 21(3</w:t>
      </w:r>
      <w:proofErr w:type="gramStart"/>
      <w:r w:rsidR="004B48E3">
        <w:t>)(</w:t>
      </w:r>
      <w:proofErr w:type="gramEnd"/>
      <w:r w:rsidR="004B48E3">
        <w:t>b)(</w:t>
      </w:r>
      <w:proofErr w:type="spellStart"/>
      <w:r w:rsidR="004B48E3">
        <w:t>i</w:t>
      </w:r>
      <w:proofErr w:type="spellEnd"/>
      <w:r w:rsidR="004B48E3">
        <w:t xml:space="preserve">) </w:t>
      </w:r>
      <w:r w:rsidR="008255C1">
        <w:t>and provides the circumstances</w:t>
      </w:r>
      <w:r w:rsidR="00890C50">
        <w:t xml:space="preserve"> </w:t>
      </w:r>
      <w:r w:rsidR="00C43F15">
        <w:t>for</w:t>
      </w:r>
      <w:r w:rsidRPr="00A70054">
        <w:t xml:space="preserve"> </w:t>
      </w:r>
      <w:r w:rsidR="00890C50">
        <w:t xml:space="preserve">use of the </w:t>
      </w:r>
      <w:r w:rsidRPr="00A70054">
        <w:t>refined area based score</w:t>
      </w:r>
      <w:r w:rsidR="008255C1">
        <w:t>, and the applicable formula</w:t>
      </w:r>
      <w:r w:rsidR="00890C50">
        <w:t>.</w:t>
      </w:r>
      <w:r w:rsidRPr="00A70054">
        <w:t xml:space="preserve"> </w:t>
      </w:r>
    </w:p>
    <w:p w:rsidR="005B5709" w:rsidRDefault="005B5709" w:rsidP="00C205C1"/>
    <w:p w:rsidR="001F03C5" w:rsidRPr="001F03C5" w:rsidRDefault="00E3396A" w:rsidP="00C205C1">
      <w:r w:rsidRPr="00E3396A">
        <w:t xml:space="preserve">There will be instances where it is not </w:t>
      </w:r>
      <w:r>
        <w:t>reasonably</w:t>
      </w:r>
      <w:r w:rsidRPr="00E3396A">
        <w:t xml:space="preserve"> practicable for a </w:t>
      </w:r>
      <w:r w:rsidR="00F31106">
        <w:t xml:space="preserve">school’s </w:t>
      </w:r>
      <w:r w:rsidRPr="00E3396A">
        <w:t xml:space="preserve">CTC score </w:t>
      </w:r>
      <w:r w:rsidR="00F31106">
        <w:t xml:space="preserve">to be calculated using the </w:t>
      </w:r>
      <w:r w:rsidR="008255C1">
        <w:t xml:space="preserve">DMI </w:t>
      </w:r>
      <w:r w:rsidRPr="00E3396A">
        <w:t xml:space="preserve">methodology. </w:t>
      </w:r>
    </w:p>
    <w:p w:rsidR="001F03C5" w:rsidRDefault="001F03C5" w:rsidP="00C205C1"/>
    <w:p w:rsidR="00012852" w:rsidRDefault="00644412" w:rsidP="00A12E46">
      <w:pPr>
        <w:autoSpaceDE w:val="0"/>
        <w:autoSpaceDN w:val="0"/>
      </w:pPr>
      <w:r>
        <w:t>S</w:t>
      </w:r>
      <w:r w:rsidR="007C6D7F">
        <w:t>ub</w:t>
      </w:r>
      <w:r w:rsidR="00F31106">
        <w:t>section 23</w:t>
      </w:r>
      <w:r w:rsidR="007C6D7F">
        <w:t>(1)</w:t>
      </w:r>
      <w:r>
        <w:t xml:space="preserve"> provides a non-exhaustive list of circumstances where the Minister may be satisfied</w:t>
      </w:r>
      <w:r w:rsidR="00E3396A" w:rsidRPr="00E3396A">
        <w:t xml:space="preserve"> that a refined area-based score </w:t>
      </w:r>
      <w:r w:rsidR="004A3E9A">
        <w:t>may</w:t>
      </w:r>
      <w:r w:rsidR="00E3396A" w:rsidRPr="00E3396A">
        <w:t xml:space="preserve"> be used as the CTC score.</w:t>
      </w:r>
      <w:r w:rsidR="001F03C5" w:rsidRPr="001F03C5">
        <w:t xml:space="preserve"> </w:t>
      </w:r>
      <w:r w:rsidR="00012852">
        <w:t>Without limitation, t</w:t>
      </w:r>
      <w:r w:rsidR="00012852" w:rsidRPr="00E3396A">
        <w:t>his could be due to privacy concerns (often in the case of small schools), or newly established schools</w:t>
      </w:r>
      <w:r w:rsidR="00012852">
        <w:t xml:space="preserve">, or where data quality is low (for example low coverage where the circumstances of some population groups are not included due to a lack of data, impacting on the accuracy of results). </w:t>
      </w:r>
    </w:p>
    <w:p w:rsidR="00012852" w:rsidRDefault="00012852" w:rsidP="00A12E46">
      <w:pPr>
        <w:autoSpaceDE w:val="0"/>
        <w:autoSpaceDN w:val="0"/>
      </w:pPr>
    </w:p>
    <w:p w:rsidR="00D16E67" w:rsidRPr="00A12E46" w:rsidRDefault="001F03C5" w:rsidP="00A12E46">
      <w:pPr>
        <w:autoSpaceDE w:val="0"/>
        <w:autoSpaceDN w:val="0"/>
        <w:rPr>
          <w:color w:val="auto"/>
          <w:sz w:val="22"/>
        </w:rPr>
      </w:pPr>
      <w:r>
        <w:t xml:space="preserve">Paragraph 23(1)(c) specifies one of the circumstances by reference to the </w:t>
      </w:r>
      <w:r w:rsidRPr="001F03C5">
        <w:rPr>
          <w:rFonts w:eastAsiaTheme="minorEastAsia"/>
          <w:i/>
          <w:iCs/>
          <w:color w:val="auto"/>
          <w:sz w:val="22"/>
        </w:rPr>
        <w:t>Capacity to Contribute Data Validation and Quality Assurance Process</w:t>
      </w:r>
      <w:r>
        <w:rPr>
          <w:rFonts w:eastAsiaTheme="minorEastAsia"/>
          <w:i/>
          <w:iCs/>
          <w:color w:val="auto"/>
          <w:sz w:val="22"/>
        </w:rPr>
        <w:t xml:space="preserve"> </w:t>
      </w:r>
      <w:r>
        <w:rPr>
          <w:rFonts w:eastAsiaTheme="minorEastAsia"/>
          <w:iCs/>
          <w:color w:val="auto"/>
          <w:sz w:val="22"/>
        </w:rPr>
        <w:t>document published by the department and as in force from time to time.</w:t>
      </w:r>
      <w:r w:rsidR="00D16E67" w:rsidRPr="00D16E67">
        <w:t xml:space="preserve"> </w:t>
      </w:r>
      <w:r w:rsidR="00D16E67">
        <w:t>This is accompanied by a note stating that the document</w:t>
      </w:r>
      <w:r w:rsidR="00D16E67" w:rsidRPr="00E45B54">
        <w:t xml:space="preserve"> could in 2020 be viewed on the </w:t>
      </w:r>
      <w:r w:rsidR="00D16E67">
        <w:t>d</w:t>
      </w:r>
      <w:r w:rsidR="00D16E67" w:rsidRPr="00E45B54">
        <w:t>epartment’s website.</w:t>
      </w:r>
      <w:r w:rsidR="00D16E67">
        <w:t xml:space="preserve"> </w:t>
      </w:r>
      <w:r w:rsidR="00D16E67" w:rsidRPr="00E45B54">
        <w:t>Subsection 130(4) of the Act provides th</w:t>
      </w:r>
      <w:r w:rsidR="00D16E67">
        <w:t>e legislative authority for the document</w:t>
      </w:r>
      <w:r w:rsidR="00D16E67" w:rsidRPr="00E45B54">
        <w:t xml:space="preserve"> to be incorporated into the Principal Regulation. In particular, subsection 130(4) provides that, despite the operation of the </w:t>
      </w:r>
      <w:r w:rsidR="00D16E67" w:rsidRPr="00E45B54">
        <w:rPr>
          <w:i/>
        </w:rPr>
        <w:t>Legislation Act 2003</w:t>
      </w:r>
      <w:r w:rsidR="00D16E67" w:rsidRPr="00E45B54">
        <w:t>, the Principal Regulation may provide in relation to a matter by applying, adopting or incorporating, with or without modification, any matter contained in any other instrument or other writing as in force or existing from time to time.</w:t>
      </w:r>
      <w:r w:rsidR="00D16E67">
        <w:t xml:space="preserve"> The document will be made freely available on the department’s </w:t>
      </w:r>
      <w:r w:rsidR="00C120C1">
        <w:t xml:space="preserve">website. At the date of making this could be found at </w:t>
      </w:r>
      <w:r w:rsidR="00C120C1">
        <w:rPr>
          <w:szCs w:val="24"/>
        </w:rPr>
        <w:t>https://docs.education.gov.au/node/53378</w:t>
      </w:r>
      <w:r w:rsidR="00C120C1">
        <w:rPr>
          <w:rFonts w:ascii="Segoe UI" w:hAnsi="Segoe UI" w:cs="Segoe UI"/>
          <w:sz w:val="20"/>
          <w:szCs w:val="20"/>
          <w:lang w:val="en-US"/>
        </w:rPr>
        <w:t xml:space="preserve">. </w:t>
      </w:r>
    </w:p>
    <w:p w:rsidR="007E01A6" w:rsidRDefault="007E01A6" w:rsidP="00C205C1"/>
    <w:p w:rsidR="00DD0954" w:rsidRDefault="007E01A6" w:rsidP="00C205C1">
      <w:r>
        <w:t>The refined area-based score uses a similar methodology to the SES score, but the calculation focuses on the income dimensions of the Statistical Areas 1 to which student residential addresses are assigned.</w:t>
      </w:r>
      <w:r w:rsidR="00E3396A" w:rsidRPr="00E3396A">
        <w:t xml:space="preserve"> Th</w:t>
      </w:r>
      <w:r>
        <w:t xml:space="preserve">e method </w:t>
      </w:r>
      <w:r w:rsidR="00E3396A" w:rsidRPr="00E3396A">
        <w:t xml:space="preserve">would use the latest </w:t>
      </w:r>
      <w:r w:rsidR="008255C1">
        <w:t xml:space="preserve">ABS </w:t>
      </w:r>
      <w:r w:rsidR="00E3396A" w:rsidRPr="00E3396A">
        <w:t>Census data available (</w:t>
      </w:r>
      <w:r w:rsidR="00E3396A" w:rsidRPr="00551999">
        <w:t xml:space="preserve">currently </w:t>
      </w:r>
      <w:r w:rsidR="009114AB" w:rsidRPr="00551999">
        <w:t xml:space="preserve">the </w:t>
      </w:r>
      <w:r w:rsidR="00E3396A" w:rsidRPr="00551999">
        <w:t>2016 ABS Census of Housing and Population</w:t>
      </w:r>
      <w:r w:rsidR="00E3396A" w:rsidRPr="00E3396A">
        <w:t xml:space="preserve">) combined with the latest available statement of </w:t>
      </w:r>
      <w:r w:rsidR="0010360F">
        <w:t xml:space="preserve">student </w:t>
      </w:r>
      <w:r w:rsidR="00E3396A" w:rsidRPr="00E3396A">
        <w:t>addresses, and would apply from 2022</w:t>
      </w:r>
      <w:r w:rsidR="00CD3A66">
        <w:t xml:space="preserve"> where appropriate</w:t>
      </w:r>
      <w:r w:rsidR="00E3396A" w:rsidRPr="00E3396A">
        <w:t>.</w:t>
      </w:r>
    </w:p>
    <w:p w:rsidR="005B5709" w:rsidRDefault="005B5709" w:rsidP="00C205C1"/>
    <w:p w:rsidR="00480F20" w:rsidRDefault="00480F20" w:rsidP="00C205C1">
      <w:r w:rsidRPr="00C205C1">
        <w:rPr>
          <w:b/>
        </w:rPr>
        <w:t>Section 24</w:t>
      </w:r>
      <w:r>
        <w:t xml:space="preserve"> prescribes the method for</w:t>
      </w:r>
      <w:r w:rsidRPr="00045904">
        <w:t xml:space="preserve"> calculating 2011 SES scores and 2016 SES scores. </w:t>
      </w:r>
      <w:r w:rsidR="007E01A6">
        <w:t xml:space="preserve">The formula in subsection (7) mirrors that for SES scores in the previous subsection 23(1) of the </w:t>
      </w:r>
      <w:r w:rsidR="0076448D">
        <w:t xml:space="preserve">Principal </w:t>
      </w:r>
      <w:r w:rsidR="007E01A6">
        <w:t xml:space="preserve">Regulation. </w:t>
      </w:r>
      <w:r w:rsidRPr="00045904">
        <w:t xml:space="preserve">The 2011 SES score uses the most recent statement of student addresses between 2012 and 2016, otherwise the oldest statement after 2016. This is to maintain the previous methodology for calculating the capacity to contribute of a school, providing consistency and a period of transition. The 2016 SES score uses the oldest statement of student addresses provided for 2017 or a later year. The 2016 SES score provides an alternative CTC score based on the latest ABS Census </w:t>
      </w:r>
      <w:r w:rsidR="0073531E">
        <w:t xml:space="preserve">data </w:t>
      </w:r>
      <w:r w:rsidRPr="00045904">
        <w:t>and provides consistency for schools by using the</w:t>
      </w:r>
      <w:r>
        <w:t xml:space="preserve"> oldest statement of addresses.</w:t>
      </w:r>
    </w:p>
    <w:p w:rsidR="00AF3426" w:rsidRDefault="00AF3426" w:rsidP="00C205C1"/>
    <w:p w:rsidR="00AF3426" w:rsidRDefault="00AF3426" w:rsidP="00507988">
      <w:pPr>
        <w:rPr>
          <w:lang w:val="en-US"/>
        </w:rPr>
      </w:pPr>
      <w:r>
        <w:rPr>
          <w:b/>
          <w:lang w:val="en-US"/>
        </w:rPr>
        <w:t xml:space="preserve">Section 24AAA </w:t>
      </w:r>
      <w:r>
        <w:rPr>
          <w:lang w:val="en-US"/>
        </w:rPr>
        <w:t>states that, if the Minister makes a determination of a CTC score for a school other than in accordance with the Principal Regulation for the reason mentioned in subsection 52(4) of the Act</w:t>
      </w:r>
      <w:r w:rsidR="00192A76">
        <w:rPr>
          <w:lang w:val="en-US"/>
        </w:rPr>
        <w:t>,</w:t>
      </w:r>
      <w:r>
        <w:rPr>
          <w:lang w:val="en-US"/>
        </w:rPr>
        <w:t xml:space="preserve"> the Minister must publish, in a way the Minister considers </w:t>
      </w:r>
      <w:r w:rsidR="00507988">
        <w:rPr>
          <w:lang w:val="en-US"/>
        </w:rPr>
        <w:t>appropriate, the CTC score for the</w:t>
      </w:r>
      <w:r>
        <w:rPr>
          <w:lang w:val="en-US"/>
        </w:rPr>
        <w:t xml:space="preserve"> school </w:t>
      </w:r>
      <w:r w:rsidR="00507988">
        <w:rPr>
          <w:lang w:val="en-US"/>
        </w:rPr>
        <w:t xml:space="preserve">and reasons for </w:t>
      </w:r>
      <w:r w:rsidR="00D01670">
        <w:rPr>
          <w:lang w:val="en-US"/>
        </w:rPr>
        <w:t>making the determination. The publication must occur within</w:t>
      </w:r>
      <w:r w:rsidR="00C97748">
        <w:rPr>
          <w:lang w:val="en-US"/>
        </w:rPr>
        <w:t xml:space="preserve"> 30 days of making the determination. </w:t>
      </w:r>
      <w:r w:rsidR="00D01670">
        <w:rPr>
          <w:lang w:val="en-US"/>
        </w:rPr>
        <w:t xml:space="preserve">The purpose of this provision is to maintain transparency of CTC scores that are determined other than in accordance with the Principal Regulation. The required information will be published on the department’s website. </w:t>
      </w:r>
      <w:r w:rsidR="009D1DDE">
        <w:rPr>
          <w:lang w:val="en-US"/>
        </w:rPr>
        <w:t>This provision relies on the power in paragraph</w:t>
      </w:r>
      <w:proofErr w:type="gramStart"/>
      <w:r w:rsidR="00192A76">
        <w:rPr>
          <w:lang w:val="en-US"/>
        </w:rPr>
        <w:t> </w:t>
      </w:r>
      <w:r w:rsidR="009D1DDE">
        <w:rPr>
          <w:lang w:val="en-US"/>
        </w:rPr>
        <w:t xml:space="preserve"> 130</w:t>
      </w:r>
      <w:proofErr w:type="gramEnd"/>
      <w:r w:rsidR="009D1DDE">
        <w:rPr>
          <w:lang w:val="en-US"/>
        </w:rPr>
        <w:t>(1)(b) of the Act to make regulations that are necessary or convenient to be prescribed for carrying out or giving effect to the Act.</w:t>
      </w:r>
    </w:p>
    <w:p w:rsidR="005B5709" w:rsidRDefault="005B5709" w:rsidP="00C205C1"/>
    <w:p w:rsidR="00F0018D" w:rsidRDefault="00F0018D" w:rsidP="00C205C1">
      <w:r>
        <w:rPr>
          <w:b/>
        </w:rPr>
        <w:t xml:space="preserve">Item 5 </w:t>
      </w:r>
      <w:r>
        <w:t>repeals subsection</w:t>
      </w:r>
      <w:r w:rsidR="009000EF">
        <w:t xml:space="preserve"> </w:t>
      </w:r>
      <w:proofErr w:type="gramStart"/>
      <w:r w:rsidR="009000EF">
        <w:t>58B(</w:t>
      </w:r>
      <w:proofErr w:type="gramEnd"/>
      <w:r w:rsidR="009000EF">
        <w:t xml:space="preserve">1) of the </w:t>
      </w:r>
      <w:r w:rsidR="0073531E">
        <w:t xml:space="preserve">Principal </w:t>
      </w:r>
      <w:r w:rsidR="009000EF">
        <w:t xml:space="preserve">Regulation, and inserts </w:t>
      </w:r>
      <w:r w:rsidR="0073531E">
        <w:t xml:space="preserve">a new subsection 58B(1) that </w:t>
      </w:r>
      <w:r w:rsidR="00C83D6F">
        <w:t>omits the previous reference to information on distance education students being exempt from inclusion in the information that a school must provide under s</w:t>
      </w:r>
      <w:r w:rsidR="007D1D97">
        <w:t>ection 52</w:t>
      </w:r>
      <w:r w:rsidR="00C83D6F">
        <w:t>.</w:t>
      </w:r>
      <w:r w:rsidR="007609D7">
        <w:t xml:space="preserve"> Information on distance education students will now be required (see item 6). </w:t>
      </w:r>
    </w:p>
    <w:p w:rsidR="005B5709" w:rsidRDefault="005B5709" w:rsidP="00C205C1"/>
    <w:p w:rsidR="00C83D6F" w:rsidRDefault="00C83D6F" w:rsidP="00C205C1">
      <w:r>
        <w:rPr>
          <w:b/>
        </w:rPr>
        <w:t xml:space="preserve">Item 6 </w:t>
      </w:r>
      <w:r>
        <w:t xml:space="preserve">inserts </w:t>
      </w:r>
      <w:r w:rsidR="007D1D97">
        <w:t xml:space="preserve">new paragraphs in subsection </w:t>
      </w:r>
      <w:proofErr w:type="gramStart"/>
      <w:r w:rsidR="007D1D97">
        <w:t>58B(</w:t>
      </w:r>
      <w:proofErr w:type="gramEnd"/>
      <w:r w:rsidR="007D1D97">
        <w:t xml:space="preserve">2) </w:t>
      </w:r>
      <w:r w:rsidR="009A56A1">
        <w:t>addressing a</w:t>
      </w:r>
      <w:r w:rsidR="007D1D97">
        <w:t xml:space="preserve"> school</w:t>
      </w:r>
      <w:r w:rsidR="009A56A1">
        <w:t>’s obligation</w:t>
      </w:r>
      <w:r w:rsidR="007D1D97">
        <w:t xml:space="preserve"> to provide the residential address of each student (</w:t>
      </w:r>
      <w:r w:rsidR="00DD789B">
        <w:t xml:space="preserve">prior to these Amendment Regulations, </w:t>
      </w:r>
      <w:r w:rsidR="007D1D97">
        <w:t>this requirement was set out in section 21 of th</w:t>
      </w:r>
      <w:r w:rsidR="009A56A1">
        <w:t>e Principal Regulation) and whether the student i</w:t>
      </w:r>
      <w:r w:rsidR="00DD789B">
        <w:t>s a distance education student.</w:t>
      </w:r>
    </w:p>
    <w:p w:rsidR="005B5709" w:rsidRPr="00551999" w:rsidRDefault="005B5709" w:rsidP="00C205C1"/>
    <w:p w:rsidR="007E01A6" w:rsidRDefault="0071122F" w:rsidP="00C205C1">
      <w:r>
        <w:rPr>
          <w:b/>
        </w:rPr>
        <w:t>Item 7</w:t>
      </w:r>
      <w:r>
        <w:t xml:space="preserve"> inserts a new subsection</w:t>
      </w:r>
      <w:r w:rsidR="00CD6B07">
        <w:t xml:space="preserve"> 65</w:t>
      </w:r>
      <w:r w:rsidR="002A384E">
        <w:t>(2A)</w:t>
      </w:r>
      <w:r>
        <w:t xml:space="preserve"> which make</w:t>
      </w:r>
      <w:r w:rsidR="002A384E">
        <w:t>s</w:t>
      </w:r>
      <w:r>
        <w:t xml:space="preserve"> it clear that the Minister </w:t>
      </w:r>
      <w:r w:rsidR="00ED0551">
        <w:t>may</w:t>
      </w:r>
      <w:r>
        <w:t xml:space="preserve"> provide school </w:t>
      </w:r>
      <w:r w:rsidR="00A41072">
        <w:t xml:space="preserve">education information to the </w:t>
      </w:r>
      <w:r w:rsidR="00C42D40" w:rsidRPr="00847A66">
        <w:t>ABS</w:t>
      </w:r>
      <w:r w:rsidR="00C42D40">
        <w:t xml:space="preserve"> </w:t>
      </w:r>
      <w:r w:rsidR="00A41072" w:rsidRPr="00C42D40">
        <w:t>for</w:t>
      </w:r>
      <w:r w:rsidR="00A41072">
        <w:t xml:space="preserve"> the purposes of its assistance in determining a CTC score for a school</w:t>
      </w:r>
      <w:r w:rsidR="00AC2730">
        <w:t>.</w:t>
      </w:r>
      <w:r w:rsidR="00C42D40">
        <w:t xml:space="preserve"> </w:t>
      </w:r>
      <w:r w:rsidR="00000C15">
        <w:t xml:space="preserve">Section 65 of the </w:t>
      </w:r>
      <w:r w:rsidR="00CD67CF">
        <w:t xml:space="preserve">Principal </w:t>
      </w:r>
      <w:r w:rsidR="00000C15">
        <w:t>Regulation is made for the purposes of subsection 125(1) of the Act</w:t>
      </w:r>
      <w:r w:rsidR="007E01A6">
        <w:t>,</w:t>
      </w:r>
      <w:r w:rsidR="00000C15">
        <w:t xml:space="preserve"> which authorises the Minister to use or disclose s</w:t>
      </w:r>
      <w:r w:rsidR="00FD6178">
        <w:t xml:space="preserve">chool education information in accordance with the </w:t>
      </w:r>
      <w:r w:rsidR="007609D7">
        <w:t>Principal Regulation</w:t>
      </w:r>
      <w:r w:rsidR="00804772">
        <w:t xml:space="preserve">. </w:t>
      </w:r>
      <w:r w:rsidR="007E01A6">
        <w:t>New subsection (2A) is included for the absence of doubt; paragraph 65(2</w:t>
      </w:r>
      <w:proofErr w:type="gramStart"/>
      <w:r w:rsidR="007E01A6">
        <w:t>)(</w:t>
      </w:r>
      <w:proofErr w:type="gramEnd"/>
      <w:r w:rsidR="007E01A6">
        <w:t>b) already authorises the Minster to disclose school education information to the ABS.</w:t>
      </w:r>
    </w:p>
    <w:p w:rsidR="007E01A6" w:rsidRDefault="007E01A6" w:rsidP="00C205C1"/>
    <w:p w:rsidR="00804772" w:rsidRDefault="003F2216" w:rsidP="00C205C1">
      <w:r>
        <w:t xml:space="preserve">This information </w:t>
      </w:r>
      <w:r w:rsidR="00804772">
        <w:t xml:space="preserve">expected to </w:t>
      </w:r>
      <w:r w:rsidR="007E01A6">
        <w:t xml:space="preserve">be disclosed to the ABS for the purposes of determining a CTC score for a school </w:t>
      </w:r>
      <w:r>
        <w:t>include</w:t>
      </w:r>
      <w:r w:rsidR="007E01A6">
        <w:t>s</w:t>
      </w:r>
      <w:r>
        <w:t xml:space="preserve"> the statement of student addresses </w:t>
      </w:r>
      <w:r w:rsidR="007E01A6">
        <w:t xml:space="preserve">for the school, to </w:t>
      </w:r>
      <w:r>
        <w:t>link to</w:t>
      </w:r>
      <w:r w:rsidR="00FB5B50">
        <w:t xml:space="preserve"> information contained within </w:t>
      </w:r>
      <w:r w:rsidR="00111996">
        <w:t>the Multi-Agency Data Integration Project (</w:t>
      </w:r>
      <w:r w:rsidR="00FB5B50" w:rsidRPr="00847A66">
        <w:rPr>
          <w:b/>
        </w:rPr>
        <w:t>MADIP</w:t>
      </w:r>
      <w:r w:rsidR="00111996">
        <w:t>)</w:t>
      </w:r>
      <w:r w:rsidR="00FB5B50">
        <w:t>, such as personal taxation information, to</w:t>
      </w:r>
      <w:r>
        <w:t xml:space="preserve"> </w:t>
      </w:r>
      <w:r w:rsidR="007E01A6">
        <w:t>work out the</w:t>
      </w:r>
      <w:r>
        <w:t xml:space="preserve"> school’s median income. </w:t>
      </w:r>
    </w:p>
    <w:p w:rsidR="005B5709" w:rsidRDefault="005B5709" w:rsidP="00C205C1"/>
    <w:p w:rsidR="007E01A6" w:rsidRDefault="003F2216" w:rsidP="00C205C1">
      <w:r>
        <w:t xml:space="preserve">This is the first time that personal taxation information will be used to calculate school funding. This may raise privacy and security concerns for parents and guardians. The school education information used to calculate </w:t>
      </w:r>
      <w:r w:rsidR="0010360F">
        <w:t>a DMI</w:t>
      </w:r>
      <w:r w:rsidR="007609D7">
        <w:t xml:space="preserve"> score</w:t>
      </w:r>
      <w:r w:rsidR="0010360F">
        <w:t xml:space="preserve"> is a product of the </w:t>
      </w:r>
      <w:r w:rsidR="00111996">
        <w:t>MADIP</w:t>
      </w:r>
      <w:r>
        <w:t xml:space="preserve"> and is contained in a secure environment with protections including strict confidentiality requirements imposed by the </w:t>
      </w:r>
      <w:r w:rsidRPr="00045904">
        <w:rPr>
          <w:i/>
        </w:rPr>
        <w:t>Census and Statistics Act 1905</w:t>
      </w:r>
      <w:r>
        <w:t>.</w:t>
      </w:r>
    </w:p>
    <w:p w:rsidR="007E01A6" w:rsidRDefault="007E01A6" w:rsidP="00C205C1"/>
    <w:p w:rsidR="007E01A6" w:rsidRDefault="00E079ED" w:rsidP="00C205C1">
      <w:r>
        <w:t>The MADIP has been subject to two privacy impact assessments (</w:t>
      </w:r>
      <w:r w:rsidRPr="00551999">
        <w:rPr>
          <w:b/>
        </w:rPr>
        <w:t>PIAs</w:t>
      </w:r>
      <w:r>
        <w:t xml:space="preserve">). The first of these, the </w:t>
      </w:r>
      <w:r w:rsidRPr="00551999">
        <w:rPr>
          <w:i/>
        </w:rPr>
        <w:t>Independent Privacy Impact Assessment (PIA) for the  Multi-Agency Data Integration  Project (MADIP)</w:t>
      </w:r>
      <w:r w:rsidRPr="00D54B90">
        <w:rPr>
          <w:i/>
        </w:rPr>
        <w:t>,</w:t>
      </w:r>
      <w:r w:rsidRPr="001E26D1">
        <w:t xml:space="preserve"> </w:t>
      </w:r>
      <w:r>
        <w:t>was undertaken in 2018 and could</w:t>
      </w:r>
      <w:r w:rsidRPr="000206E2">
        <w:t xml:space="preserve"> </w:t>
      </w:r>
      <w:r>
        <w:t xml:space="preserve">in 2020 be viewed on the ABS’ website (at </w:t>
      </w:r>
      <w:hyperlink r:id="rId22" w:history="1">
        <w:r w:rsidRPr="00D54B90">
          <w:rPr>
            <w:rStyle w:val="Hyperlink"/>
          </w:rPr>
          <w:t>https://www.abs.gov.au/websitedbs/D3310114.nsf/4a256353001af3ed4b2562bb00121564/9099c77cb979d558ca258198001b27a0/$FILE/MADIP%20iPIA_2018.pdf</w:t>
        </w:r>
      </w:hyperlink>
      <w:r>
        <w:t>).</w:t>
      </w:r>
    </w:p>
    <w:p w:rsidR="007E01A6" w:rsidRDefault="007E01A6" w:rsidP="00C205C1"/>
    <w:p w:rsidR="00E079ED" w:rsidRDefault="00E079ED" w:rsidP="00C205C1">
      <w:r>
        <w:t xml:space="preserve">An updated PIA, the </w:t>
      </w:r>
      <w:r w:rsidRPr="00551999">
        <w:rPr>
          <w:i/>
        </w:rPr>
        <w:t xml:space="preserve">Privacy Impact Assessment (PIA) Update for the Multi-Agency Data Integration Project (MADIP), </w:t>
      </w:r>
      <w:r>
        <w:t xml:space="preserve">was undertaken in 2019 and could in 2020 be viewed on ABS’ website (at </w:t>
      </w:r>
      <w:hyperlink r:id="rId23" w:history="1">
        <w:r w:rsidRPr="006D16CA">
          <w:rPr>
            <w:rStyle w:val="Hyperlink"/>
          </w:rPr>
          <w:t>https://www.abs.gov.au/websitedbs/D3310114.nsf/4a256353001af3ed4b2562bb00121564/9099c77cb979d558ca258198001b27a0/$FILE/2019%20MADIP%20PIA%20Update%20-%20PIA%20Report.pdf</w:t>
        </w:r>
      </w:hyperlink>
      <w:r>
        <w:t xml:space="preserve">). </w:t>
      </w:r>
    </w:p>
    <w:p w:rsidR="005B5709" w:rsidRDefault="005B5709" w:rsidP="00C205C1"/>
    <w:p w:rsidR="00E079ED" w:rsidRDefault="00E079ED" w:rsidP="00C205C1">
      <w:r>
        <w:t xml:space="preserve">In addition, in 2018 a PIA specific to the collection of the residential addresses of each person responsible for students at the school, and the handling of this information through MADIP, was undertaken. The </w:t>
      </w:r>
      <w:r w:rsidRPr="00551999">
        <w:rPr>
          <w:i/>
        </w:rPr>
        <w:t xml:space="preserve">2018 Student Residential Address Collection: Additional required information </w:t>
      </w:r>
      <w:r w:rsidRPr="00D54B90">
        <w:rPr>
          <w:i/>
        </w:rPr>
        <w:t xml:space="preserve">Privacy Impact Assessment </w:t>
      </w:r>
      <w:r>
        <w:t xml:space="preserve">could in 2020 be viewed on the former Department of Education and Training’s website (at </w:t>
      </w:r>
      <w:hyperlink r:id="rId24" w:history="1">
        <w:r w:rsidRPr="006D16CA">
          <w:rPr>
            <w:rStyle w:val="Hyperlink"/>
          </w:rPr>
          <w:t>https://docs.education.gov.au/system/files/doc/other/final_-_pia_2018_residential_address_collection.pdf</w:t>
        </w:r>
      </w:hyperlink>
      <w:r>
        <w:t xml:space="preserve">). </w:t>
      </w:r>
    </w:p>
    <w:p w:rsidR="009A0982" w:rsidRDefault="009A0982" w:rsidP="00C205C1"/>
    <w:p w:rsidR="00D455A9" w:rsidRDefault="00D455A9" w:rsidP="00C205C1">
      <w:r w:rsidRPr="00045904">
        <w:rPr>
          <w:b/>
        </w:rPr>
        <w:t>Item 8</w:t>
      </w:r>
      <w:r w:rsidRPr="00D455A9">
        <w:t xml:space="preserve"> </w:t>
      </w:r>
      <w:r>
        <w:t xml:space="preserve">is an application provision which provides that </w:t>
      </w:r>
      <w:r w:rsidR="00B76833">
        <w:t xml:space="preserve">certain amendments in Schedule 2 of the </w:t>
      </w:r>
      <w:r w:rsidR="00645D98">
        <w:t xml:space="preserve">Principal </w:t>
      </w:r>
      <w:r w:rsidR="00B76833">
        <w:t xml:space="preserve">Regulation related to </w:t>
      </w:r>
      <w:r>
        <w:t>CTC score</w:t>
      </w:r>
      <w:r w:rsidR="00CB1E79">
        <w:t>s</w:t>
      </w:r>
      <w:r>
        <w:t xml:space="preserve"> apply to financial assistance for 2020 and</w:t>
      </w:r>
      <w:r w:rsidR="00FC52E3">
        <w:t xml:space="preserve"> each</w:t>
      </w:r>
      <w:r>
        <w:t xml:space="preserve"> lat</w:t>
      </w:r>
      <w:r w:rsidR="00855C68">
        <w:t>er</w:t>
      </w:r>
      <w:r w:rsidR="00FC52E3">
        <w:t xml:space="preserve"> year</w:t>
      </w:r>
      <w:r w:rsidR="00855C68">
        <w:t>.</w:t>
      </w:r>
    </w:p>
    <w:p w:rsidR="009A0982" w:rsidRDefault="009A0982" w:rsidP="00C205C1"/>
    <w:p w:rsidR="00B25C5C" w:rsidRPr="00A279A7" w:rsidRDefault="00907E4B" w:rsidP="00C205C1">
      <w:pPr>
        <w:rPr>
          <w:szCs w:val="24"/>
        </w:rPr>
      </w:pPr>
      <w:r w:rsidRPr="00045904">
        <w:rPr>
          <w:b/>
        </w:rPr>
        <w:t>Items 9,</w:t>
      </w:r>
      <w:r w:rsidRPr="00A22F8E">
        <w:rPr>
          <w:b/>
        </w:rPr>
        <w:t xml:space="preserve"> 10 </w:t>
      </w:r>
      <w:r w:rsidRPr="00045904">
        <w:rPr>
          <w:b/>
        </w:rPr>
        <w:t>and 11</w:t>
      </w:r>
      <w:r>
        <w:t xml:space="preserve"> </w:t>
      </w:r>
      <w:r w:rsidRPr="00045904">
        <w:t>add a note</w:t>
      </w:r>
      <w:r w:rsidR="00FC52E3">
        <w:t xml:space="preserve"> at the end of clause 14 and subclauses 15(2) and 15(3) </w:t>
      </w:r>
      <w:r w:rsidRPr="00045904">
        <w:t xml:space="preserve">to Schedule 1 of the </w:t>
      </w:r>
      <w:r w:rsidR="004D5905">
        <w:t xml:space="preserve">Principal </w:t>
      </w:r>
      <w:r w:rsidRPr="00045904">
        <w:t>Regulation to clarify the definition of SES score</w:t>
      </w:r>
      <w:r w:rsidR="005D56F8">
        <w:t xml:space="preserve"> </w:t>
      </w:r>
      <w:r w:rsidR="006C6AC4">
        <w:t>w</w:t>
      </w:r>
      <w:r w:rsidR="005D56F8">
        <w:t>as defined in the Act</w:t>
      </w:r>
      <w:r w:rsidR="006C6AC4">
        <w:t xml:space="preserve"> as previously in force</w:t>
      </w:r>
      <w:r w:rsidR="005D56F8">
        <w:t xml:space="preserve"> in</w:t>
      </w:r>
      <w:r w:rsidR="006C6AC4">
        <w:t xml:space="preserve"> relation to</w:t>
      </w:r>
      <w:r w:rsidR="005D56F8">
        <w:t xml:space="preserve"> 2017.</w:t>
      </w:r>
      <w:r w:rsidR="006C6AC4">
        <w:t xml:space="preserve"> </w:t>
      </w:r>
      <w:r w:rsidR="00DB1A42">
        <w:t xml:space="preserve">This is to </w:t>
      </w:r>
      <w:r w:rsidR="00A31945" w:rsidRPr="00045904">
        <w:t xml:space="preserve">ensure that any payments made under this schedule relate to the definition of SES score at the time, and not the new definition at </w:t>
      </w:r>
      <w:r w:rsidR="00D15873">
        <w:t>s</w:t>
      </w:r>
      <w:r w:rsidR="00A31945">
        <w:t>ection 24.</w:t>
      </w:r>
    </w:p>
    <w:sectPr w:rsidR="00B25C5C" w:rsidRPr="00A279A7">
      <w:footerReference w:type="even" r:id="rId25"/>
      <w:footerReference w:type="default" r:id="rId26"/>
      <w:footerReference w:type="first" r:id="rId27"/>
      <w:pgSz w:w="11909" w:h="16834"/>
      <w:pgMar w:top="1419" w:right="1056" w:bottom="1472" w:left="10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9CF" w:rsidRDefault="001F59CF">
      <w:r>
        <w:separator/>
      </w:r>
    </w:p>
  </w:endnote>
  <w:endnote w:type="continuationSeparator" w:id="0">
    <w:p w:rsidR="001F59CF" w:rsidRDefault="001F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72" w:rsidRDefault="00804772">
    <w:pPr>
      <w:spacing w:line="259" w:lineRule="auto"/>
      <w:ind w:right="158"/>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72" w:rsidRDefault="00804772">
    <w:pPr>
      <w:spacing w:line="259" w:lineRule="auto"/>
      <w:ind w:right="158"/>
      <w:jc w:val="right"/>
    </w:pPr>
    <w:r>
      <w:fldChar w:fldCharType="begin"/>
    </w:r>
    <w:r>
      <w:instrText xml:space="preserve"> PAGE   \* MERGEFORMAT </w:instrText>
    </w:r>
    <w:r>
      <w:fldChar w:fldCharType="separate"/>
    </w:r>
    <w:r w:rsidR="00F07621">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72" w:rsidRDefault="00804772">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9CF" w:rsidRDefault="001F59CF">
      <w:r>
        <w:separator/>
      </w:r>
    </w:p>
  </w:footnote>
  <w:footnote w:type="continuationSeparator" w:id="0">
    <w:p w:rsidR="001F59CF" w:rsidRDefault="001F5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3.2pt;height:13.2pt" coordsize="" o:spt="100" o:bullet="t" adj="0,,0" path="" stroked="f">
        <v:stroke joinstyle="miter"/>
        <v:imagedata r:id="rId1" o:title="image56"/>
        <v:formulas/>
        <v:path o:connecttype="segments"/>
      </v:shape>
    </w:pict>
  </w:numPicBullet>
  <w:abstractNum w:abstractNumId="0" w15:restartNumberingAfterBreak="0">
    <w:nsid w:val="048E78EF"/>
    <w:multiLevelType w:val="hybridMultilevel"/>
    <w:tmpl w:val="91700DBA"/>
    <w:lvl w:ilvl="0" w:tplc="D5DE1EC6">
      <w:start w:val="1"/>
      <w:numFmt w:val="bullet"/>
      <w:lvlText w:val="•"/>
      <w:lvlPicBulletId w:val="0"/>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AF808">
      <w:start w:val="1"/>
      <w:numFmt w:val="bullet"/>
      <w:lvlText w:val="o"/>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06AAE">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E1AFA">
      <w:start w:val="1"/>
      <w:numFmt w:val="bullet"/>
      <w:lvlText w:val="•"/>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6D56A">
      <w:start w:val="1"/>
      <w:numFmt w:val="bullet"/>
      <w:lvlText w:val="o"/>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CA5C8">
      <w:start w:val="1"/>
      <w:numFmt w:val="bullet"/>
      <w:lvlText w:val="▪"/>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24BE2">
      <w:start w:val="1"/>
      <w:numFmt w:val="bullet"/>
      <w:lvlText w:val="•"/>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64092">
      <w:start w:val="1"/>
      <w:numFmt w:val="bullet"/>
      <w:lvlText w:val="o"/>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EF98">
      <w:start w:val="1"/>
      <w:numFmt w:val="bullet"/>
      <w:lvlText w:val="▪"/>
      <w:lvlJc w:val="left"/>
      <w:pPr>
        <w:ind w:left="7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96263"/>
    <w:multiLevelType w:val="hybridMultilevel"/>
    <w:tmpl w:val="6070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87EF5"/>
    <w:multiLevelType w:val="hybridMultilevel"/>
    <w:tmpl w:val="C812DC0C"/>
    <w:lvl w:ilvl="0" w:tplc="12466E2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67513"/>
    <w:multiLevelType w:val="hybridMultilevel"/>
    <w:tmpl w:val="A7249D40"/>
    <w:lvl w:ilvl="0" w:tplc="0C09001B">
      <w:start w:val="1"/>
      <w:numFmt w:val="lowerRoman"/>
      <w:lvlText w:val="%1."/>
      <w:lvlJc w:val="right"/>
      <w:pPr>
        <w:ind w:left="717" w:hanging="360"/>
      </w:pPr>
      <w:rPr>
        <w:rFonts w:hint="default"/>
      </w:r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tentative="1">
      <w:start w:val="1"/>
      <w:numFmt w:val="decimal"/>
      <w:lvlText w:val="%4."/>
      <w:lvlJc w:val="left"/>
      <w:pPr>
        <w:ind w:left="2877" w:hanging="360"/>
      </w:pPr>
    </w:lvl>
    <w:lvl w:ilvl="4" w:tplc="0B24A0BE" w:tentative="1">
      <w:start w:val="1"/>
      <w:numFmt w:val="lowerLetter"/>
      <w:lvlText w:val="%5."/>
      <w:lvlJc w:val="left"/>
      <w:pPr>
        <w:ind w:left="3597" w:hanging="360"/>
      </w:pPr>
    </w:lvl>
    <w:lvl w:ilvl="5" w:tplc="2AC6647A" w:tentative="1">
      <w:start w:val="1"/>
      <w:numFmt w:val="lowerRoman"/>
      <w:lvlText w:val="%6."/>
      <w:lvlJc w:val="right"/>
      <w:pPr>
        <w:ind w:left="4317" w:hanging="180"/>
      </w:pPr>
    </w:lvl>
    <w:lvl w:ilvl="6" w:tplc="0CE291C0" w:tentative="1">
      <w:start w:val="1"/>
      <w:numFmt w:val="decimal"/>
      <w:lvlText w:val="%7."/>
      <w:lvlJc w:val="left"/>
      <w:pPr>
        <w:ind w:left="5037" w:hanging="360"/>
      </w:pPr>
    </w:lvl>
    <w:lvl w:ilvl="7" w:tplc="079C561E" w:tentative="1">
      <w:start w:val="1"/>
      <w:numFmt w:val="lowerLetter"/>
      <w:lvlText w:val="%8."/>
      <w:lvlJc w:val="left"/>
      <w:pPr>
        <w:ind w:left="5757" w:hanging="360"/>
      </w:pPr>
    </w:lvl>
    <w:lvl w:ilvl="8" w:tplc="201E92B2" w:tentative="1">
      <w:start w:val="1"/>
      <w:numFmt w:val="lowerRoman"/>
      <w:lvlText w:val="%9."/>
      <w:lvlJc w:val="right"/>
      <w:pPr>
        <w:ind w:left="6477" w:hanging="180"/>
      </w:pPr>
    </w:lvl>
  </w:abstractNum>
  <w:abstractNum w:abstractNumId="4" w15:restartNumberingAfterBreak="0">
    <w:nsid w:val="13305534"/>
    <w:multiLevelType w:val="hybridMultilevel"/>
    <w:tmpl w:val="0480EC12"/>
    <w:lvl w:ilvl="0" w:tplc="5BF08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C1565"/>
    <w:multiLevelType w:val="hybridMultilevel"/>
    <w:tmpl w:val="D4DC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0514A"/>
    <w:multiLevelType w:val="hybridMultilevel"/>
    <w:tmpl w:val="A7249D40"/>
    <w:lvl w:ilvl="0" w:tplc="0C09001B">
      <w:start w:val="1"/>
      <w:numFmt w:val="lowerRoman"/>
      <w:lvlText w:val="%1."/>
      <w:lvlJc w:val="right"/>
      <w:pPr>
        <w:ind w:left="717" w:hanging="360"/>
      </w:pPr>
      <w:rPr>
        <w:rFonts w:hint="default"/>
      </w:r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tentative="1">
      <w:start w:val="1"/>
      <w:numFmt w:val="decimal"/>
      <w:lvlText w:val="%4."/>
      <w:lvlJc w:val="left"/>
      <w:pPr>
        <w:ind w:left="2877" w:hanging="360"/>
      </w:pPr>
    </w:lvl>
    <w:lvl w:ilvl="4" w:tplc="0B24A0BE" w:tentative="1">
      <w:start w:val="1"/>
      <w:numFmt w:val="lowerLetter"/>
      <w:lvlText w:val="%5."/>
      <w:lvlJc w:val="left"/>
      <w:pPr>
        <w:ind w:left="3597" w:hanging="360"/>
      </w:pPr>
    </w:lvl>
    <w:lvl w:ilvl="5" w:tplc="2AC6647A" w:tentative="1">
      <w:start w:val="1"/>
      <w:numFmt w:val="lowerRoman"/>
      <w:lvlText w:val="%6."/>
      <w:lvlJc w:val="right"/>
      <w:pPr>
        <w:ind w:left="4317" w:hanging="180"/>
      </w:pPr>
    </w:lvl>
    <w:lvl w:ilvl="6" w:tplc="0CE291C0" w:tentative="1">
      <w:start w:val="1"/>
      <w:numFmt w:val="decimal"/>
      <w:lvlText w:val="%7."/>
      <w:lvlJc w:val="left"/>
      <w:pPr>
        <w:ind w:left="5037" w:hanging="360"/>
      </w:pPr>
    </w:lvl>
    <w:lvl w:ilvl="7" w:tplc="079C561E" w:tentative="1">
      <w:start w:val="1"/>
      <w:numFmt w:val="lowerLetter"/>
      <w:lvlText w:val="%8."/>
      <w:lvlJc w:val="left"/>
      <w:pPr>
        <w:ind w:left="5757" w:hanging="360"/>
      </w:pPr>
    </w:lvl>
    <w:lvl w:ilvl="8" w:tplc="201E92B2" w:tentative="1">
      <w:start w:val="1"/>
      <w:numFmt w:val="lowerRoman"/>
      <w:lvlText w:val="%9."/>
      <w:lvlJc w:val="right"/>
      <w:pPr>
        <w:ind w:left="6477" w:hanging="180"/>
      </w:pPr>
    </w:lvl>
  </w:abstractNum>
  <w:abstractNum w:abstractNumId="7" w15:restartNumberingAfterBreak="0">
    <w:nsid w:val="22846380"/>
    <w:multiLevelType w:val="hybridMultilevel"/>
    <w:tmpl w:val="DD602D06"/>
    <w:lvl w:ilvl="0" w:tplc="5BF08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134F9C"/>
    <w:multiLevelType w:val="hybridMultilevel"/>
    <w:tmpl w:val="5ABA0830"/>
    <w:lvl w:ilvl="0" w:tplc="0C09001B">
      <w:start w:val="1"/>
      <w:numFmt w:val="lowerRoman"/>
      <w:lvlText w:val="%1."/>
      <w:lvlJc w:val="right"/>
      <w:pPr>
        <w:ind w:left="717" w:hanging="360"/>
      </w:pPr>
      <w:rPr>
        <w:rFonts w:hint="default"/>
      </w:r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tentative="1">
      <w:start w:val="1"/>
      <w:numFmt w:val="decimal"/>
      <w:lvlText w:val="%4."/>
      <w:lvlJc w:val="left"/>
      <w:pPr>
        <w:ind w:left="2877" w:hanging="360"/>
      </w:pPr>
    </w:lvl>
    <w:lvl w:ilvl="4" w:tplc="0B24A0BE" w:tentative="1">
      <w:start w:val="1"/>
      <w:numFmt w:val="lowerLetter"/>
      <w:lvlText w:val="%5."/>
      <w:lvlJc w:val="left"/>
      <w:pPr>
        <w:ind w:left="3597" w:hanging="360"/>
      </w:pPr>
    </w:lvl>
    <w:lvl w:ilvl="5" w:tplc="2AC6647A" w:tentative="1">
      <w:start w:val="1"/>
      <w:numFmt w:val="lowerRoman"/>
      <w:lvlText w:val="%6."/>
      <w:lvlJc w:val="right"/>
      <w:pPr>
        <w:ind w:left="4317" w:hanging="180"/>
      </w:pPr>
    </w:lvl>
    <w:lvl w:ilvl="6" w:tplc="0CE291C0" w:tentative="1">
      <w:start w:val="1"/>
      <w:numFmt w:val="decimal"/>
      <w:lvlText w:val="%7."/>
      <w:lvlJc w:val="left"/>
      <w:pPr>
        <w:ind w:left="5037" w:hanging="360"/>
      </w:pPr>
    </w:lvl>
    <w:lvl w:ilvl="7" w:tplc="079C561E" w:tentative="1">
      <w:start w:val="1"/>
      <w:numFmt w:val="lowerLetter"/>
      <w:lvlText w:val="%8."/>
      <w:lvlJc w:val="left"/>
      <w:pPr>
        <w:ind w:left="5757" w:hanging="360"/>
      </w:pPr>
    </w:lvl>
    <w:lvl w:ilvl="8" w:tplc="201E92B2" w:tentative="1">
      <w:start w:val="1"/>
      <w:numFmt w:val="lowerRoman"/>
      <w:lvlText w:val="%9."/>
      <w:lvlJc w:val="right"/>
      <w:pPr>
        <w:ind w:left="6477" w:hanging="180"/>
      </w:pPr>
    </w:lvl>
  </w:abstractNum>
  <w:abstractNum w:abstractNumId="9" w15:restartNumberingAfterBreak="0">
    <w:nsid w:val="27483A69"/>
    <w:multiLevelType w:val="hybridMultilevel"/>
    <w:tmpl w:val="4ED2379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1D2267"/>
    <w:multiLevelType w:val="hybridMultilevel"/>
    <w:tmpl w:val="130ACBA0"/>
    <w:lvl w:ilvl="0" w:tplc="4A421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1603A2"/>
    <w:multiLevelType w:val="hybridMultilevel"/>
    <w:tmpl w:val="2DEAE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F0758E"/>
    <w:multiLevelType w:val="hybridMultilevel"/>
    <w:tmpl w:val="52D66470"/>
    <w:lvl w:ilvl="0" w:tplc="7EE21F20">
      <w:start w:val="1"/>
      <w:numFmt w:val="bullet"/>
      <w:lvlText w:val="o"/>
      <w:lvlJc w:val="left"/>
      <w:pPr>
        <w:ind w:left="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1C4B2A">
      <w:start w:val="1"/>
      <w:numFmt w:val="bullet"/>
      <w:lvlText w:val="o"/>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DA9B5A">
      <w:start w:val="1"/>
      <w:numFmt w:val="bullet"/>
      <w:lvlText w:val="▪"/>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3ED4A0">
      <w:start w:val="1"/>
      <w:numFmt w:val="bullet"/>
      <w:lvlText w:val="•"/>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F09520">
      <w:start w:val="1"/>
      <w:numFmt w:val="bullet"/>
      <w:lvlText w:val="o"/>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884E7E">
      <w:start w:val="1"/>
      <w:numFmt w:val="bullet"/>
      <w:lvlText w:val="▪"/>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AC09BA">
      <w:start w:val="1"/>
      <w:numFmt w:val="bullet"/>
      <w:lvlText w:val="•"/>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A8C96">
      <w:start w:val="1"/>
      <w:numFmt w:val="bullet"/>
      <w:lvlText w:val="o"/>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B65C30">
      <w:start w:val="1"/>
      <w:numFmt w:val="bullet"/>
      <w:lvlText w:val="▪"/>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2F6C61"/>
    <w:multiLevelType w:val="hybridMultilevel"/>
    <w:tmpl w:val="5ABA0830"/>
    <w:lvl w:ilvl="0" w:tplc="0C09001B">
      <w:start w:val="1"/>
      <w:numFmt w:val="lowerRoman"/>
      <w:lvlText w:val="%1."/>
      <w:lvlJc w:val="right"/>
      <w:pPr>
        <w:ind w:left="717" w:hanging="360"/>
      </w:pPr>
      <w:rPr>
        <w:rFonts w:hint="default"/>
      </w:r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tentative="1">
      <w:start w:val="1"/>
      <w:numFmt w:val="decimal"/>
      <w:lvlText w:val="%4."/>
      <w:lvlJc w:val="left"/>
      <w:pPr>
        <w:ind w:left="2877" w:hanging="360"/>
      </w:pPr>
    </w:lvl>
    <w:lvl w:ilvl="4" w:tplc="0B24A0BE" w:tentative="1">
      <w:start w:val="1"/>
      <w:numFmt w:val="lowerLetter"/>
      <w:lvlText w:val="%5."/>
      <w:lvlJc w:val="left"/>
      <w:pPr>
        <w:ind w:left="3597" w:hanging="360"/>
      </w:pPr>
    </w:lvl>
    <w:lvl w:ilvl="5" w:tplc="2AC6647A" w:tentative="1">
      <w:start w:val="1"/>
      <w:numFmt w:val="lowerRoman"/>
      <w:lvlText w:val="%6."/>
      <w:lvlJc w:val="right"/>
      <w:pPr>
        <w:ind w:left="4317" w:hanging="180"/>
      </w:pPr>
    </w:lvl>
    <w:lvl w:ilvl="6" w:tplc="0CE291C0" w:tentative="1">
      <w:start w:val="1"/>
      <w:numFmt w:val="decimal"/>
      <w:lvlText w:val="%7."/>
      <w:lvlJc w:val="left"/>
      <w:pPr>
        <w:ind w:left="5037" w:hanging="360"/>
      </w:pPr>
    </w:lvl>
    <w:lvl w:ilvl="7" w:tplc="079C561E" w:tentative="1">
      <w:start w:val="1"/>
      <w:numFmt w:val="lowerLetter"/>
      <w:lvlText w:val="%8."/>
      <w:lvlJc w:val="left"/>
      <w:pPr>
        <w:ind w:left="5757" w:hanging="360"/>
      </w:pPr>
    </w:lvl>
    <w:lvl w:ilvl="8" w:tplc="201E92B2" w:tentative="1">
      <w:start w:val="1"/>
      <w:numFmt w:val="lowerRoman"/>
      <w:lvlText w:val="%9."/>
      <w:lvlJc w:val="right"/>
      <w:pPr>
        <w:ind w:left="6477" w:hanging="180"/>
      </w:pPr>
    </w:lvl>
  </w:abstractNum>
  <w:abstractNum w:abstractNumId="14" w15:restartNumberingAfterBreak="0">
    <w:nsid w:val="2F7A08E9"/>
    <w:multiLevelType w:val="hybridMultilevel"/>
    <w:tmpl w:val="C6BA50BC"/>
    <w:lvl w:ilvl="0" w:tplc="FFBA06B6">
      <w:start w:val="1"/>
      <w:numFmt w:val="decimal"/>
      <w:pStyle w:val="Numbered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FED47F8"/>
    <w:multiLevelType w:val="hybridMultilevel"/>
    <w:tmpl w:val="A7249D40"/>
    <w:lvl w:ilvl="0" w:tplc="0C09001B">
      <w:start w:val="1"/>
      <w:numFmt w:val="lowerRoman"/>
      <w:lvlText w:val="%1."/>
      <w:lvlJc w:val="right"/>
      <w:pPr>
        <w:ind w:left="717" w:hanging="360"/>
      </w:pPr>
      <w:rPr>
        <w:rFonts w:hint="default"/>
      </w:r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tentative="1">
      <w:start w:val="1"/>
      <w:numFmt w:val="decimal"/>
      <w:lvlText w:val="%4."/>
      <w:lvlJc w:val="left"/>
      <w:pPr>
        <w:ind w:left="2877" w:hanging="360"/>
      </w:pPr>
    </w:lvl>
    <w:lvl w:ilvl="4" w:tplc="0B24A0BE" w:tentative="1">
      <w:start w:val="1"/>
      <w:numFmt w:val="lowerLetter"/>
      <w:lvlText w:val="%5."/>
      <w:lvlJc w:val="left"/>
      <w:pPr>
        <w:ind w:left="3597" w:hanging="360"/>
      </w:pPr>
    </w:lvl>
    <w:lvl w:ilvl="5" w:tplc="2AC6647A" w:tentative="1">
      <w:start w:val="1"/>
      <w:numFmt w:val="lowerRoman"/>
      <w:lvlText w:val="%6."/>
      <w:lvlJc w:val="right"/>
      <w:pPr>
        <w:ind w:left="4317" w:hanging="180"/>
      </w:pPr>
    </w:lvl>
    <w:lvl w:ilvl="6" w:tplc="0CE291C0" w:tentative="1">
      <w:start w:val="1"/>
      <w:numFmt w:val="decimal"/>
      <w:lvlText w:val="%7."/>
      <w:lvlJc w:val="left"/>
      <w:pPr>
        <w:ind w:left="5037" w:hanging="360"/>
      </w:pPr>
    </w:lvl>
    <w:lvl w:ilvl="7" w:tplc="079C561E" w:tentative="1">
      <w:start w:val="1"/>
      <w:numFmt w:val="lowerLetter"/>
      <w:lvlText w:val="%8."/>
      <w:lvlJc w:val="left"/>
      <w:pPr>
        <w:ind w:left="5757" w:hanging="360"/>
      </w:pPr>
    </w:lvl>
    <w:lvl w:ilvl="8" w:tplc="201E92B2" w:tentative="1">
      <w:start w:val="1"/>
      <w:numFmt w:val="lowerRoman"/>
      <w:lvlText w:val="%9."/>
      <w:lvlJc w:val="right"/>
      <w:pPr>
        <w:ind w:left="6477" w:hanging="180"/>
      </w:pPr>
    </w:lvl>
  </w:abstractNum>
  <w:abstractNum w:abstractNumId="16" w15:restartNumberingAfterBreak="0">
    <w:nsid w:val="312518C5"/>
    <w:multiLevelType w:val="hybridMultilevel"/>
    <w:tmpl w:val="E2FA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D16FD7"/>
    <w:multiLevelType w:val="hybridMultilevel"/>
    <w:tmpl w:val="FF84F446"/>
    <w:lvl w:ilvl="0" w:tplc="B18E3BFE">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8" w15:restartNumberingAfterBreak="0">
    <w:nsid w:val="3C9C6390"/>
    <w:multiLevelType w:val="hybridMultilevel"/>
    <w:tmpl w:val="5ABA0830"/>
    <w:lvl w:ilvl="0" w:tplc="0C09001B">
      <w:start w:val="1"/>
      <w:numFmt w:val="lowerRoman"/>
      <w:lvlText w:val="%1."/>
      <w:lvlJc w:val="right"/>
      <w:pPr>
        <w:ind w:left="717" w:hanging="360"/>
      </w:pPr>
      <w:rPr>
        <w:rFonts w:hint="default"/>
      </w:r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tentative="1">
      <w:start w:val="1"/>
      <w:numFmt w:val="decimal"/>
      <w:lvlText w:val="%4."/>
      <w:lvlJc w:val="left"/>
      <w:pPr>
        <w:ind w:left="2877" w:hanging="360"/>
      </w:pPr>
    </w:lvl>
    <w:lvl w:ilvl="4" w:tplc="0B24A0BE" w:tentative="1">
      <w:start w:val="1"/>
      <w:numFmt w:val="lowerLetter"/>
      <w:lvlText w:val="%5."/>
      <w:lvlJc w:val="left"/>
      <w:pPr>
        <w:ind w:left="3597" w:hanging="360"/>
      </w:pPr>
    </w:lvl>
    <w:lvl w:ilvl="5" w:tplc="2AC6647A" w:tentative="1">
      <w:start w:val="1"/>
      <w:numFmt w:val="lowerRoman"/>
      <w:lvlText w:val="%6."/>
      <w:lvlJc w:val="right"/>
      <w:pPr>
        <w:ind w:left="4317" w:hanging="180"/>
      </w:pPr>
    </w:lvl>
    <w:lvl w:ilvl="6" w:tplc="0CE291C0" w:tentative="1">
      <w:start w:val="1"/>
      <w:numFmt w:val="decimal"/>
      <w:lvlText w:val="%7."/>
      <w:lvlJc w:val="left"/>
      <w:pPr>
        <w:ind w:left="5037" w:hanging="360"/>
      </w:pPr>
    </w:lvl>
    <w:lvl w:ilvl="7" w:tplc="079C561E" w:tentative="1">
      <w:start w:val="1"/>
      <w:numFmt w:val="lowerLetter"/>
      <w:lvlText w:val="%8."/>
      <w:lvlJc w:val="left"/>
      <w:pPr>
        <w:ind w:left="5757" w:hanging="360"/>
      </w:pPr>
    </w:lvl>
    <w:lvl w:ilvl="8" w:tplc="201E92B2" w:tentative="1">
      <w:start w:val="1"/>
      <w:numFmt w:val="lowerRoman"/>
      <w:lvlText w:val="%9."/>
      <w:lvlJc w:val="right"/>
      <w:pPr>
        <w:ind w:left="6477" w:hanging="180"/>
      </w:pPr>
    </w:lvl>
  </w:abstractNum>
  <w:abstractNum w:abstractNumId="19" w15:restartNumberingAfterBreak="0">
    <w:nsid w:val="413F4190"/>
    <w:multiLevelType w:val="hybridMultilevel"/>
    <w:tmpl w:val="FF84F446"/>
    <w:lvl w:ilvl="0" w:tplc="B18E3BFE">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0" w15:restartNumberingAfterBreak="0">
    <w:nsid w:val="4887331C"/>
    <w:multiLevelType w:val="hybridMultilevel"/>
    <w:tmpl w:val="BACE1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C3D95"/>
    <w:multiLevelType w:val="hybridMultilevel"/>
    <w:tmpl w:val="559A8F1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4DDE0C46"/>
    <w:multiLevelType w:val="hybridMultilevel"/>
    <w:tmpl w:val="2FD0B4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F6E70E0"/>
    <w:multiLevelType w:val="hybridMultilevel"/>
    <w:tmpl w:val="2BC6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0042D"/>
    <w:multiLevelType w:val="hybridMultilevel"/>
    <w:tmpl w:val="E26871C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5" w15:restartNumberingAfterBreak="0">
    <w:nsid w:val="56400D9D"/>
    <w:multiLevelType w:val="hybridMultilevel"/>
    <w:tmpl w:val="C4A44DBA"/>
    <w:lvl w:ilvl="0" w:tplc="5CD49B68">
      <w:start w:val="1"/>
      <w:numFmt w:val="bullet"/>
      <w:lvlText w:val="o"/>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B06B86">
      <w:start w:val="1"/>
      <w:numFmt w:val="bullet"/>
      <w:lvlText w:val="o"/>
      <w:lvlJc w:val="left"/>
      <w:pPr>
        <w:ind w:left="1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C82A92">
      <w:start w:val="1"/>
      <w:numFmt w:val="bullet"/>
      <w:lvlText w:val="▪"/>
      <w:lvlJc w:val="left"/>
      <w:pPr>
        <w:ind w:left="2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EE07CC">
      <w:start w:val="1"/>
      <w:numFmt w:val="bullet"/>
      <w:lvlText w:val="•"/>
      <w:lvlJc w:val="left"/>
      <w:pPr>
        <w:ind w:left="2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601696">
      <w:start w:val="1"/>
      <w:numFmt w:val="bullet"/>
      <w:lvlText w:val="o"/>
      <w:lvlJc w:val="left"/>
      <w:pPr>
        <w:ind w:left="3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E42690">
      <w:start w:val="1"/>
      <w:numFmt w:val="bullet"/>
      <w:lvlText w:val="▪"/>
      <w:lvlJc w:val="left"/>
      <w:pPr>
        <w:ind w:left="4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B26CA2">
      <w:start w:val="1"/>
      <w:numFmt w:val="bullet"/>
      <w:lvlText w:val="•"/>
      <w:lvlJc w:val="left"/>
      <w:pPr>
        <w:ind w:left="5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322652">
      <w:start w:val="1"/>
      <w:numFmt w:val="bullet"/>
      <w:lvlText w:val="o"/>
      <w:lvlJc w:val="left"/>
      <w:pPr>
        <w:ind w:left="5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5E6198">
      <w:start w:val="1"/>
      <w:numFmt w:val="bullet"/>
      <w:lvlText w:val="▪"/>
      <w:lvlJc w:val="left"/>
      <w:pPr>
        <w:ind w:left="6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99483F"/>
    <w:multiLevelType w:val="hybridMultilevel"/>
    <w:tmpl w:val="9A6CC7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6E646AF"/>
    <w:multiLevelType w:val="hybridMultilevel"/>
    <w:tmpl w:val="B94E8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A1AAE"/>
    <w:multiLevelType w:val="hybridMultilevel"/>
    <w:tmpl w:val="A7249D40"/>
    <w:lvl w:ilvl="0" w:tplc="0C09001B">
      <w:start w:val="1"/>
      <w:numFmt w:val="lowerRoman"/>
      <w:lvlText w:val="%1."/>
      <w:lvlJc w:val="right"/>
      <w:pPr>
        <w:ind w:left="717" w:hanging="360"/>
      </w:pPr>
      <w:rPr>
        <w:rFonts w:hint="default"/>
      </w:rPr>
    </w:lvl>
    <w:lvl w:ilvl="1" w:tplc="FA122302">
      <w:start w:val="1"/>
      <w:numFmt w:val="bullet"/>
      <w:lvlText w:val=""/>
      <w:lvlJc w:val="left"/>
      <w:pPr>
        <w:ind w:left="1437" w:hanging="360"/>
      </w:pPr>
      <w:rPr>
        <w:rFonts w:ascii="Symbol" w:hAnsi="Symbol" w:hint="default"/>
      </w:rPr>
    </w:lvl>
    <w:lvl w:ilvl="2" w:tplc="64C6755E">
      <w:start w:val="1"/>
      <w:numFmt w:val="bullet"/>
      <w:lvlText w:val="o"/>
      <w:lvlJc w:val="left"/>
      <w:pPr>
        <w:ind w:left="2157" w:hanging="180"/>
      </w:pPr>
      <w:rPr>
        <w:rFonts w:ascii="Courier New" w:hAnsi="Courier New" w:cs="Courier New" w:hint="default"/>
      </w:rPr>
    </w:lvl>
    <w:lvl w:ilvl="3" w:tplc="FE7A49A0" w:tentative="1">
      <w:start w:val="1"/>
      <w:numFmt w:val="decimal"/>
      <w:lvlText w:val="%4."/>
      <w:lvlJc w:val="left"/>
      <w:pPr>
        <w:ind w:left="2877" w:hanging="360"/>
      </w:pPr>
    </w:lvl>
    <w:lvl w:ilvl="4" w:tplc="0B24A0BE" w:tentative="1">
      <w:start w:val="1"/>
      <w:numFmt w:val="lowerLetter"/>
      <w:lvlText w:val="%5."/>
      <w:lvlJc w:val="left"/>
      <w:pPr>
        <w:ind w:left="3597" w:hanging="360"/>
      </w:pPr>
    </w:lvl>
    <w:lvl w:ilvl="5" w:tplc="2AC6647A" w:tentative="1">
      <w:start w:val="1"/>
      <w:numFmt w:val="lowerRoman"/>
      <w:lvlText w:val="%6."/>
      <w:lvlJc w:val="right"/>
      <w:pPr>
        <w:ind w:left="4317" w:hanging="180"/>
      </w:pPr>
    </w:lvl>
    <w:lvl w:ilvl="6" w:tplc="0CE291C0" w:tentative="1">
      <w:start w:val="1"/>
      <w:numFmt w:val="decimal"/>
      <w:lvlText w:val="%7."/>
      <w:lvlJc w:val="left"/>
      <w:pPr>
        <w:ind w:left="5037" w:hanging="360"/>
      </w:pPr>
    </w:lvl>
    <w:lvl w:ilvl="7" w:tplc="079C561E" w:tentative="1">
      <w:start w:val="1"/>
      <w:numFmt w:val="lowerLetter"/>
      <w:lvlText w:val="%8."/>
      <w:lvlJc w:val="left"/>
      <w:pPr>
        <w:ind w:left="5757" w:hanging="360"/>
      </w:pPr>
    </w:lvl>
    <w:lvl w:ilvl="8" w:tplc="201E92B2" w:tentative="1">
      <w:start w:val="1"/>
      <w:numFmt w:val="lowerRoman"/>
      <w:lvlText w:val="%9."/>
      <w:lvlJc w:val="right"/>
      <w:pPr>
        <w:ind w:left="6477" w:hanging="180"/>
      </w:pPr>
    </w:lvl>
  </w:abstractNum>
  <w:abstractNum w:abstractNumId="29" w15:restartNumberingAfterBreak="0">
    <w:nsid w:val="71AF072D"/>
    <w:multiLevelType w:val="hybridMultilevel"/>
    <w:tmpl w:val="130ACBA0"/>
    <w:lvl w:ilvl="0" w:tplc="4A421A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2"/>
  </w:num>
  <w:num w:numId="3">
    <w:abstractNumId w:val="0"/>
  </w:num>
  <w:num w:numId="4">
    <w:abstractNumId w:val="26"/>
  </w:num>
  <w:num w:numId="5">
    <w:abstractNumId w:val="3"/>
  </w:num>
  <w:num w:numId="6">
    <w:abstractNumId w:val="13"/>
  </w:num>
  <w:num w:numId="7">
    <w:abstractNumId w:val="8"/>
  </w:num>
  <w:num w:numId="8">
    <w:abstractNumId w:val="9"/>
  </w:num>
  <w:num w:numId="9">
    <w:abstractNumId w:val="11"/>
  </w:num>
  <w:num w:numId="10">
    <w:abstractNumId w:val="29"/>
  </w:num>
  <w:num w:numId="11">
    <w:abstractNumId w:val="10"/>
  </w:num>
  <w:num w:numId="12">
    <w:abstractNumId w:val="20"/>
  </w:num>
  <w:num w:numId="13">
    <w:abstractNumId w:val="18"/>
  </w:num>
  <w:num w:numId="14">
    <w:abstractNumId w:val="2"/>
  </w:num>
  <w:num w:numId="15">
    <w:abstractNumId w:val="4"/>
  </w:num>
  <w:num w:numId="16">
    <w:abstractNumId w:val="7"/>
  </w:num>
  <w:num w:numId="17">
    <w:abstractNumId w:val="17"/>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
  </w:num>
  <w:num w:numId="25">
    <w:abstractNumId w:val="27"/>
  </w:num>
  <w:num w:numId="26">
    <w:abstractNumId w:val="5"/>
  </w:num>
  <w:num w:numId="27">
    <w:abstractNumId w:val="23"/>
  </w:num>
  <w:num w:numId="28">
    <w:abstractNumId w:val="6"/>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4"/>
    <w:rsid w:val="00000C15"/>
    <w:rsid w:val="00001AF3"/>
    <w:rsid w:val="0000556B"/>
    <w:rsid w:val="00006E08"/>
    <w:rsid w:val="00007FEE"/>
    <w:rsid w:val="00011652"/>
    <w:rsid w:val="00012852"/>
    <w:rsid w:val="000148DB"/>
    <w:rsid w:val="000150D0"/>
    <w:rsid w:val="000159E7"/>
    <w:rsid w:val="00016DAD"/>
    <w:rsid w:val="00020120"/>
    <w:rsid w:val="000206E2"/>
    <w:rsid w:val="00021B14"/>
    <w:rsid w:val="00024975"/>
    <w:rsid w:val="0002683D"/>
    <w:rsid w:val="00034F0A"/>
    <w:rsid w:val="00034FF9"/>
    <w:rsid w:val="00036160"/>
    <w:rsid w:val="00045904"/>
    <w:rsid w:val="000468FC"/>
    <w:rsid w:val="00047ADC"/>
    <w:rsid w:val="000508D4"/>
    <w:rsid w:val="000537C4"/>
    <w:rsid w:val="00055348"/>
    <w:rsid w:val="00057B22"/>
    <w:rsid w:val="00060FD6"/>
    <w:rsid w:val="000627DB"/>
    <w:rsid w:val="00064DE5"/>
    <w:rsid w:val="00070A12"/>
    <w:rsid w:val="000736FA"/>
    <w:rsid w:val="000738AE"/>
    <w:rsid w:val="000750B8"/>
    <w:rsid w:val="00081E8A"/>
    <w:rsid w:val="00084ABB"/>
    <w:rsid w:val="000902A8"/>
    <w:rsid w:val="00091C40"/>
    <w:rsid w:val="0009503A"/>
    <w:rsid w:val="00096F1C"/>
    <w:rsid w:val="000A0EDA"/>
    <w:rsid w:val="000B6301"/>
    <w:rsid w:val="000B7481"/>
    <w:rsid w:val="000B77B2"/>
    <w:rsid w:val="000B7D9A"/>
    <w:rsid w:val="000C3550"/>
    <w:rsid w:val="000C63C5"/>
    <w:rsid w:val="000C7A61"/>
    <w:rsid w:val="000D243D"/>
    <w:rsid w:val="000D2F30"/>
    <w:rsid w:val="000D3EAC"/>
    <w:rsid w:val="000E127E"/>
    <w:rsid w:val="000E1A3A"/>
    <w:rsid w:val="000E292B"/>
    <w:rsid w:val="000E2D8E"/>
    <w:rsid w:val="000E33BC"/>
    <w:rsid w:val="000E415D"/>
    <w:rsid w:val="000E5BB3"/>
    <w:rsid w:val="000E6047"/>
    <w:rsid w:val="000E6826"/>
    <w:rsid w:val="000E7D3C"/>
    <w:rsid w:val="000F320E"/>
    <w:rsid w:val="000F3F23"/>
    <w:rsid w:val="000F4627"/>
    <w:rsid w:val="000F47D2"/>
    <w:rsid w:val="000F58F5"/>
    <w:rsid w:val="000F6AF3"/>
    <w:rsid w:val="000F6BF1"/>
    <w:rsid w:val="00101BFC"/>
    <w:rsid w:val="0010360F"/>
    <w:rsid w:val="001054AD"/>
    <w:rsid w:val="00106875"/>
    <w:rsid w:val="00106ABC"/>
    <w:rsid w:val="00111996"/>
    <w:rsid w:val="0012119C"/>
    <w:rsid w:val="001222F2"/>
    <w:rsid w:val="00122522"/>
    <w:rsid w:val="00125FEB"/>
    <w:rsid w:val="001324BE"/>
    <w:rsid w:val="0013632F"/>
    <w:rsid w:val="0013669F"/>
    <w:rsid w:val="001379A9"/>
    <w:rsid w:val="00137CDB"/>
    <w:rsid w:val="001468A6"/>
    <w:rsid w:val="00146DB9"/>
    <w:rsid w:val="001478DE"/>
    <w:rsid w:val="00152703"/>
    <w:rsid w:val="00157201"/>
    <w:rsid w:val="0015797D"/>
    <w:rsid w:val="00161A7B"/>
    <w:rsid w:val="001625A8"/>
    <w:rsid w:val="00162AD7"/>
    <w:rsid w:val="00162EC3"/>
    <w:rsid w:val="00164C36"/>
    <w:rsid w:val="00164EBF"/>
    <w:rsid w:val="001657DF"/>
    <w:rsid w:val="00170C9F"/>
    <w:rsid w:val="0017236D"/>
    <w:rsid w:val="0017250E"/>
    <w:rsid w:val="00174633"/>
    <w:rsid w:val="001772E8"/>
    <w:rsid w:val="001776F9"/>
    <w:rsid w:val="00180552"/>
    <w:rsid w:val="00186249"/>
    <w:rsid w:val="0018682B"/>
    <w:rsid w:val="001875B1"/>
    <w:rsid w:val="00187ED5"/>
    <w:rsid w:val="00190C0E"/>
    <w:rsid w:val="00192A76"/>
    <w:rsid w:val="00192E8F"/>
    <w:rsid w:val="0019355B"/>
    <w:rsid w:val="001A05F5"/>
    <w:rsid w:val="001A17BE"/>
    <w:rsid w:val="001A7A5D"/>
    <w:rsid w:val="001A7B04"/>
    <w:rsid w:val="001B0E4D"/>
    <w:rsid w:val="001B0E8A"/>
    <w:rsid w:val="001B19E6"/>
    <w:rsid w:val="001B3D26"/>
    <w:rsid w:val="001B596A"/>
    <w:rsid w:val="001B6354"/>
    <w:rsid w:val="001B70C2"/>
    <w:rsid w:val="001D2B94"/>
    <w:rsid w:val="001D5059"/>
    <w:rsid w:val="001E0B98"/>
    <w:rsid w:val="001E11D7"/>
    <w:rsid w:val="001E26D1"/>
    <w:rsid w:val="001E3F1F"/>
    <w:rsid w:val="001E7763"/>
    <w:rsid w:val="001F03C5"/>
    <w:rsid w:val="001F0702"/>
    <w:rsid w:val="001F1D8B"/>
    <w:rsid w:val="001F2B02"/>
    <w:rsid w:val="001F46BC"/>
    <w:rsid w:val="001F4D3A"/>
    <w:rsid w:val="001F59CF"/>
    <w:rsid w:val="001F79B8"/>
    <w:rsid w:val="00200A61"/>
    <w:rsid w:val="00200A8D"/>
    <w:rsid w:val="00201E41"/>
    <w:rsid w:val="00203015"/>
    <w:rsid w:val="00204EFD"/>
    <w:rsid w:val="00205DC7"/>
    <w:rsid w:val="00207448"/>
    <w:rsid w:val="00207B4D"/>
    <w:rsid w:val="0021171F"/>
    <w:rsid w:val="0021424A"/>
    <w:rsid w:val="00215ABA"/>
    <w:rsid w:val="00216785"/>
    <w:rsid w:val="002171EA"/>
    <w:rsid w:val="00221F61"/>
    <w:rsid w:val="00226E32"/>
    <w:rsid w:val="00232074"/>
    <w:rsid w:val="002405BD"/>
    <w:rsid w:val="002445D7"/>
    <w:rsid w:val="00252EDC"/>
    <w:rsid w:val="00253160"/>
    <w:rsid w:val="00253599"/>
    <w:rsid w:val="00254EB1"/>
    <w:rsid w:val="002631DB"/>
    <w:rsid w:val="002659F0"/>
    <w:rsid w:val="00265F24"/>
    <w:rsid w:val="00267728"/>
    <w:rsid w:val="00267F72"/>
    <w:rsid w:val="002728BB"/>
    <w:rsid w:val="00274205"/>
    <w:rsid w:val="0027686A"/>
    <w:rsid w:val="00277F73"/>
    <w:rsid w:val="00280FF3"/>
    <w:rsid w:val="00281555"/>
    <w:rsid w:val="002825CA"/>
    <w:rsid w:val="0028300E"/>
    <w:rsid w:val="0028485D"/>
    <w:rsid w:val="00284AA0"/>
    <w:rsid w:val="0029192A"/>
    <w:rsid w:val="00294242"/>
    <w:rsid w:val="0029524F"/>
    <w:rsid w:val="00297A88"/>
    <w:rsid w:val="002A29CE"/>
    <w:rsid w:val="002A384E"/>
    <w:rsid w:val="002A49F6"/>
    <w:rsid w:val="002A5EBE"/>
    <w:rsid w:val="002A7B40"/>
    <w:rsid w:val="002A7E0C"/>
    <w:rsid w:val="002A7E8A"/>
    <w:rsid w:val="002B2C6D"/>
    <w:rsid w:val="002B37DC"/>
    <w:rsid w:val="002B37F4"/>
    <w:rsid w:val="002B60DF"/>
    <w:rsid w:val="002B6D0E"/>
    <w:rsid w:val="002C03A4"/>
    <w:rsid w:val="002C06D6"/>
    <w:rsid w:val="002C155E"/>
    <w:rsid w:val="002C3268"/>
    <w:rsid w:val="002C6864"/>
    <w:rsid w:val="002C7BBC"/>
    <w:rsid w:val="002E011E"/>
    <w:rsid w:val="002E07D5"/>
    <w:rsid w:val="002E0890"/>
    <w:rsid w:val="002E1A25"/>
    <w:rsid w:val="002E1BC4"/>
    <w:rsid w:val="002E3942"/>
    <w:rsid w:val="002E500E"/>
    <w:rsid w:val="002E6417"/>
    <w:rsid w:val="002F008B"/>
    <w:rsid w:val="002F03EC"/>
    <w:rsid w:val="002F1078"/>
    <w:rsid w:val="002F1CBC"/>
    <w:rsid w:val="00300E9E"/>
    <w:rsid w:val="00301153"/>
    <w:rsid w:val="003069C5"/>
    <w:rsid w:val="0031042C"/>
    <w:rsid w:val="00312DAF"/>
    <w:rsid w:val="003133DF"/>
    <w:rsid w:val="00313F06"/>
    <w:rsid w:val="003161B6"/>
    <w:rsid w:val="00317406"/>
    <w:rsid w:val="00324C2F"/>
    <w:rsid w:val="00324D11"/>
    <w:rsid w:val="00325EBC"/>
    <w:rsid w:val="0033222D"/>
    <w:rsid w:val="0033312A"/>
    <w:rsid w:val="003334C3"/>
    <w:rsid w:val="003334F5"/>
    <w:rsid w:val="00333F22"/>
    <w:rsid w:val="00335DA8"/>
    <w:rsid w:val="00340113"/>
    <w:rsid w:val="0034277D"/>
    <w:rsid w:val="00342C13"/>
    <w:rsid w:val="00342EBE"/>
    <w:rsid w:val="00347D49"/>
    <w:rsid w:val="0035054F"/>
    <w:rsid w:val="003515D3"/>
    <w:rsid w:val="00351EF5"/>
    <w:rsid w:val="00351FB0"/>
    <w:rsid w:val="00353C43"/>
    <w:rsid w:val="003546D3"/>
    <w:rsid w:val="00361516"/>
    <w:rsid w:val="00362276"/>
    <w:rsid w:val="0036406E"/>
    <w:rsid w:val="00365B9C"/>
    <w:rsid w:val="0037239B"/>
    <w:rsid w:val="00372C68"/>
    <w:rsid w:val="0037440B"/>
    <w:rsid w:val="00374730"/>
    <w:rsid w:val="0038005A"/>
    <w:rsid w:val="003806DE"/>
    <w:rsid w:val="003812C5"/>
    <w:rsid w:val="003832B8"/>
    <w:rsid w:val="0038555F"/>
    <w:rsid w:val="00386D01"/>
    <w:rsid w:val="00387286"/>
    <w:rsid w:val="00387B69"/>
    <w:rsid w:val="00390FB0"/>
    <w:rsid w:val="00394162"/>
    <w:rsid w:val="003A2B36"/>
    <w:rsid w:val="003A30A7"/>
    <w:rsid w:val="003A3E2F"/>
    <w:rsid w:val="003A7752"/>
    <w:rsid w:val="003B25D5"/>
    <w:rsid w:val="003B643B"/>
    <w:rsid w:val="003C3259"/>
    <w:rsid w:val="003C4338"/>
    <w:rsid w:val="003C5107"/>
    <w:rsid w:val="003D06E6"/>
    <w:rsid w:val="003D0C09"/>
    <w:rsid w:val="003D13B2"/>
    <w:rsid w:val="003D52AB"/>
    <w:rsid w:val="003E021C"/>
    <w:rsid w:val="003E20BB"/>
    <w:rsid w:val="003E2669"/>
    <w:rsid w:val="003E287F"/>
    <w:rsid w:val="003E3749"/>
    <w:rsid w:val="003E5D8B"/>
    <w:rsid w:val="003E640B"/>
    <w:rsid w:val="003E75FB"/>
    <w:rsid w:val="003E7820"/>
    <w:rsid w:val="003F0D52"/>
    <w:rsid w:val="003F2216"/>
    <w:rsid w:val="003F3EA2"/>
    <w:rsid w:val="003F44B1"/>
    <w:rsid w:val="003F5358"/>
    <w:rsid w:val="0040016D"/>
    <w:rsid w:val="00402CD2"/>
    <w:rsid w:val="004037F9"/>
    <w:rsid w:val="00404A6A"/>
    <w:rsid w:val="00405082"/>
    <w:rsid w:val="00405F8E"/>
    <w:rsid w:val="00406828"/>
    <w:rsid w:val="00407316"/>
    <w:rsid w:val="004143C1"/>
    <w:rsid w:val="004228E8"/>
    <w:rsid w:val="004229B4"/>
    <w:rsid w:val="00423211"/>
    <w:rsid w:val="004255A2"/>
    <w:rsid w:val="0042708D"/>
    <w:rsid w:val="004313C1"/>
    <w:rsid w:val="004338E1"/>
    <w:rsid w:val="00435600"/>
    <w:rsid w:val="00440E6C"/>
    <w:rsid w:val="0044129B"/>
    <w:rsid w:val="0044200D"/>
    <w:rsid w:val="004427DB"/>
    <w:rsid w:val="004430F0"/>
    <w:rsid w:val="004439C3"/>
    <w:rsid w:val="00444024"/>
    <w:rsid w:val="00450643"/>
    <w:rsid w:val="00450F23"/>
    <w:rsid w:val="00452997"/>
    <w:rsid w:val="004538E8"/>
    <w:rsid w:val="004550F2"/>
    <w:rsid w:val="00457E8E"/>
    <w:rsid w:val="00466371"/>
    <w:rsid w:val="004663B2"/>
    <w:rsid w:val="0047778D"/>
    <w:rsid w:val="00480F20"/>
    <w:rsid w:val="0048110C"/>
    <w:rsid w:val="00483389"/>
    <w:rsid w:val="004844A2"/>
    <w:rsid w:val="00492598"/>
    <w:rsid w:val="00495E58"/>
    <w:rsid w:val="004A3A99"/>
    <w:rsid w:val="004A3E9A"/>
    <w:rsid w:val="004A4C56"/>
    <w:rsid w:val="004A6E21"/>
    <w:rsid w:val="004A7C05"/>
    <w:rsid w:val="004B2EFD"/>
    <w:rsid w:val="004B4541"/>
    <w:rsid w:val="004B48E3"/>
    <w:rsid w:val="004B4BD3"/>
    <w:rsid w:val="004B620A"/>
    <w:rsid w:val="004B7291"/>
    <w:rsid w:val="004B746F"/>
    <w:rsid w:val="004C3103"/>
    <w:rsid w:val="004C3574"/>
    <w:rsid w:val="004C38D2"/>
    <w:rsid w:val="004D0B82"/>
    <w:rsid w:val="004D25E3"/>
    <w:rsid w:val="004D5905"/>
    <w:rsid w:val="004E7CD4"/>
    <w:rsid w:val="0050302C"/>
    <w:rsid w:val="00504F0C"/>
    <w:rsid w:val="00507988"/>
    <w:rsid w:val="005157D6"/>
    <w:rsid w:val="00517062"/>
    <w:rsid w:val="0052206D"/>
    <w:rsid w:val="00527532"/>
    <w:rsid w:val="005322D5"/>
    <w:rsid w:val="00532B76"/>
    <w:rsid w:val="00534FB2"/>
    <w:rsid w:val="00536A31"/>
    <w:rsid w:val="0053707D"/>
    <w:rsid w:val="005372F5"/>
    <w:rsid w:val="00551999"/>
    <w:rsid w:val="005520B1"/>
    <w:rsid w:val="005535CC"/>
    <w:rsid w:val="00555AB3"/>
    <w:rsid w:val="005575DA"/>
    <w:rsid w:val="0056247C"/>
    <w:rsid w:val="00562487"/>
    <w:rsid w:val="0056563F"/>
    <w:rsid w:val="00566EFC"/>
    <w:rsid w:val="00574681"/>
    <w:rsid w:val="0057612F"/>
    <w:rsid w:val="00577008"/>
    <w:rsid w:val="00577CAB"/>
    <w:rsid w:val="00581D8B"/>
    <w:rsid w:val="005858FE"/>
    <w:rsid w:val="00590186"/>
    <w:rsid w:val="00590C33"/>
    <w:rsid w:val="00591DA2"/>
    <w:rsid w:val="00592789"/>
    <w:rsid w:val="00595050"/>
    <w:rsid w:val="00596F29"/>
    <w:rsid w:val="00597F14"/>
    <w:rsid w:val="005A1025"/>
    <w:rsid w:val="005A2B35"/>
    <w:rsid w:val="005A6772"/>
    <w:rsid w:val="005B01A1"/>
    <w:rsid w:val="005B4F87"/>
    <w:rsid w:val="005B5488"/>
    <w:rsid w:val="005B5709"/>
    <w:rsid w:val="005C0721"/>
    <w:rsid w:val="005C2B69"/>
    <w:rsid w:val="005C457E"/>
    <w:rsid w:val="005C6BA0"/>
    <w:rsid w:val="005C6BC0"/>
    <w:rsid w:val="005C74CE"/>
    <w:rsid w:val="005D0334"/>
    <w:rsid w:val="005D0F40"/>
    <w:rsid w:val="005D1E8F"/>
    <w:rsid w:val="005D2F8D"/>
    <w:rsid w:val="005D56F8"/>
    <w:rsid w:val="005D61C7"/>
    <w:rsid w:val="005D6721"/>
    <w:rsid w:val="005D7456"/>
    <w:rsid w:val="005E0956"/>
    <w:rsid w:val="005E65DF"/>
    <w:rsid w:val="005E7409"/>
    <w:rsid w:val="005F02EB"/>
    <w:rsid w:val="005F233D"/>
    <w:rsid w:val="005F5960"/>
    <w:rsid w:val="00604067"/>
    <w:rsid w:val="00610476"/>
    <w:rsid w:val="00613C0A"/>
    <w:rsid w:val="0061499C"/>
    <w:rsid w:val="0061577E"/>
    <w:rsid w:val="00620544"/>
    <w:rsid w:val="00620582"/>
    <w:rsid w:val="00621773"/>
    <w:rsid w:val="00624023"/>
    <w:rsid w:val="0062421E"/>
    <w:rsid w:val="00625D51"/>
    <w:rsid w:val="00632A85"/>
    <w:rsid w:val="00632FC1"/>
    <w:rsid w:val="00636405"/>
    <w:rsid w:val="00636C26"/>
    <w:rsid w:val="0064432B"/>
    <w:rsid w:val="00644412"/>
    <w:rsid w:val="006451A4"/>
    <w:rsid w:val="00645D98"/>
    <w:rsid w:val="0065009B"/>
    <w:rsid w:val="006503D6"/>
    <w:rsid w:val="006515C9"/>
    <w:rsid w:val="006534FF"/>
    <w:rsid w:val="006536DF"/>
    <w:rsid w:val="00663FB9"/>
    <w:rsid w:val="00667F37"/>
    <w:rsid w:val="00672B60"/>
    <w:rsid w:val="00675837"/>
    <w:rsid w:val="006803D7"/>
    <w:rsid w:val="006812E0"/>
    <w:rsid w:val="006830C4"/>
    <w:rsid w:val="00685760"/>
    <w:rsid w:val="00691C14"/>
    <w:rsid w:val="00693175"/>
    <w:rsid w:val="00693416"/>
    <w:rsid w:val="006947AD"/>
    <w:rsid w:val="00695571"/>
    <w:rsid w:val="00695C54"/>
    <w:rsid w:val="00696537"/>
    <w:rsid w:val="006A0B9F"/>
    <w:rsid w:val="006A6816"/>
    <w:rsid w:val="006B03E2"/>
    <w:rsid w:val="006B0E86"/>
    <w:rsid w:val="006B4AA0"/>
    <w:rsid w:val="006B5AFB"/>
    <w:rsid w:val="006B62A6"/>
    <w:rsid w:val="006B6CD0"/>
    <w:rsid w:val="006B7B65"/>
    <w:rsid w:val="006C0E0A"/>
    <w:rsid w:val="006C6AC4"/>
    <w:rsid w:val="006C7EFD"/>
    <w:rsid w:val="006D0133"/>
    <w:rsid w:val="006D06A1"/>
    <w:rsid w:val="006D0C14"/>
    <w:rsid w:val="006D3341"/>
    <w:rsid w:val="006D61A3"/>
    <w:rsid w:val="006E125A"/>
    <w:rsid w:val="006E3A3E"/>
    <w:rsid w:val="006E419B"/>
    <w:rsid w:val="006E4AF9"/>
    <w:rsid w:val="006E4ED1"/>
    <w:rsid w:val="006E4F0B"/>
    <w:rsid w:val="006E628D"/>
    <w:rsid w:val="006F39F4"/>
    <w:rsid w:val="006F581A"/>
    <w:rsid w:val="007010D9"/>
    <w:rsid w:val="007015EA"/>
    <w:rsid w:val="00702347"/>
    <w:rsid w:val="00710B5E"/>
    <w:rsid w:val="00711201"/>
    <w:rsid w:val="0071122F"/>
    <w:rsid w:val="007126BC"/>
    <w:rsid w:val="00714EA7"/>
    <w:rsid w:val="007154F3"/>
    <w:rsid w:val="007166B3"/>
    <w:rsid w:val="0072270F"/>
    <w:rsid w:val="007237F9"/>
    <w:rsid w:val="00726BED"/>
    <w:rsid w:val="00726DA0"/>
    <w:rsid w:val="0072700E"/>
    <w:rsid w:val="0073063D"/>
    <w:rsid w:val="00731928"/>
    <w:rsid w:val="00734A33"/>
    <w:rsid w:val="00735233"/>
    <w:rsid w:val="0073531E"/>
    <w:rsid w:val="007356C9"/>
    <w:rsid w:val="00740547"/>
    <w:rsid w:val="007439E8"/>
    <w:rsid w:val="00743AEC"/>
    <w:rsid w:val="007464D5"/>
    <w:rsid w:val="0074796D"/>
    <w:rsid w:val="00757DDE"/>
    <w:rsid w:val="00757FC5"/>
    <w:rsid w:val="0076053D"/>
    <w:rsid w:val="00760877"/>
    <w:rsid w:val="007609D7"/>
    <w:rsid w:val="007626B9"/>
    <w:rsid w:val="0076448D"/>
    <w:rsid w:val="00764E7B"/>
    <w:rsid w:val="00771431"/>
    <w:rsid w:val="00772A6C"/>
    <w:rsid w:val="00773583"/>
    <w:rsid w:val="00773888"/>
    <w:rsid w:val="0077532A"/>
    <w:rsid w:val="007767B6"/>
    <w:rsid w:val="00780195"/>
    <w:rsid w:val="007809B3"/>
    <w:rsid w:val="007845FC"/>
    <w:rsid w:val="0078512B"/>
    <w:rsid w:val="00785E93"/>
    <w:rsid w:val="00785F4C"/>
    <w:rsid w:val="007864EA"/>
    <w:rsid w:val="00787B9E"/>
    <w:rsid w:val="00787FF6"/>
    <w:rsid w:val="007925B3"/>
    <w:rsid w:val="0079266E"/>
    <w:rsid w:val="00793640"/>
    <w:rsid w:val="00793B4F"/>
    <w:rsid w:val="00794185"/>
    <w:rsid w:val="007948A8"/>
    <w:rsid w:val="00797FAF"/>
    <w:rsid w:val="007A4EC7"/>
    <w:rsid w:val="007B416B"/>
    <w:rsid w:val="007B4CA7"/>
    <w:rsid w:val="007B5D80"/>
    <w:rsid w:val="007B6D3F"/>
    <w:rsid w:val="007C0F1E"/>
    <w:rsid w:val="007C1313"/>
    <w:rsid w:val="007C32A0"/>
    <w:rsid w:val="007C52B4"/>
    <w:rsid w:val="007C60B2"/>
    <w:rsid w:val="007C6D7F"/>
    <w:rsid w:val="007C71C6"/>
    <w:rsid w:val="007D01EB"/>
    <w:rsid w:val="007D1D97"/>
    <w:rsid w:val="007D718C"/>
    <w:rsid w:val="007E01A6"/>
    <w:rsid w:val="007E040B"/>
    <w:rsid w:val="007E4691"/>
    <w:rsid w:val="007F0F95"/>
    <w:rsid w:val="007F2D01"/>
    <w:rsid w:val="007F30A8"/>
    <w:rsid w:val="00800730"/>
    <w:rsid w:val="0080188F"/>
    <w:rsid w:val="0080191C"/>
    <w:rsid w:val="00802E1D"/>
    <w:rsid w:val="00804772"/>
    <w:rsid w:val="00806E67"/>
    <w:rsid w:val="00811FE3"/>
    <w:rsid w:val="00813343"/>
    <w:rsid w:val="0081496F"/>
    <w:rsid w:val="00814D65"/>
    <w:rsid w:val="00817DA0"/>
    <w:rsid w:val="00820721"/>
    <w:rsid w:val="008213D3"/>
    <w:rsid w:val="00821520"/>
    <w:rsid w:val="00821DB0"/>
    <w:rsid w:val="00822EF2"/>
    <w:rsid w:val="00823A97"/>
    <w:rsid w:val="008248B0"/>
    <w:rsid w:val="008255C1"/>
    <w:rsid w:val="00830B00"/>
    <w:rsid w:val="00833BE0"/>
    <w:rsid w:val="00834572"/>
    <w:rsid w:val="00835217"/>
    <w:rsid w:val="00840732"/>
    <w:rsid w:val="00844390"/>
    <w:rsid w:val="00847A66"/>
    <w:rsid w:val="00847C3B"/>
    <w:rsid w:val="008526AF"/>
    <w:rsid w:val="00852E8A"/>
    <w:rsid w:val="00855C68"/>
    <w:rsid w:val="0086275F"/>
    <w:rsid w:val="00864DC7"/>
    <w:rsid w:val="00865FE6"/>
    <w:rsid w:val="008668E3"/>
    <w:rsid w:val="0087282B"/>
    <w:rsid w:val="00875A45"/>
    <w:rsid w:val="008765EC"/>
    <w:rsid w:val="00876DD4"/>
    <w:rsid w:val="00880058"/>
    <w:rsid w:val="008835E5"/>
    <w:rsid w:val="00885553"/>
    <w:rsid w:val="00886510"/>
    <w:rsid w:val="00890C50"/>
    <w:rsid w:val="008948F4"/>
    <w:rsid w:val="0089537F"/>
    <w:rsid w:val="008A2495"/>
    <w:rsid w:val="008A382D"/>
    <w:rsid w:val="008A5CCF"/>
    <w:rsid w:val="008A621E"/>
    <w:rsid w:val="008B1727"/>
    <w:rsid w:val="008B55FA"/>
    <w:rsid w:val="008B7703"/>
    <w:rsid w:val="008B79A9"/>
    <w:rsid w:val="008C09EE"/>
    <w:rsid w:val="008C1686"/>
    <w:rsid w:val="008C1A39"/>
    <w:rsid w:val="008C1D0D"/>
    <w:rsid w:val="008C326A"/>
    <w:rsid w:val="008D0975"/>
    <w:rsid w:val="008D3111"/>
    <w:rsid w:val="008D6513"/>
    <w:rsid w:val="008F35B8"/>
    <w:rsid w:val="008F4061"/>
    <w:rsid w:val="008F62C0"/>
    <w:rsid w:val="008F6843"/>
    <w:rsid w:val="008F7326"/>
    <w:rsid w:val="008F7F08"/>
    <w:rsid w:val="009000EF"/>
    <w:rsid w:val="00907AA0"/>
    <w:rsid w:val="00907E4B"/>
    <w:rsid w:val="009114AB"/>
    <w:rsid w:val="00916673"/>
    <w:rsid w:val="009209D7"/>
    <w:rsid w:val="00921B37"/>
    <w:rsid w:val="0092496A"/>
    <w:rsid w:val="00925A83"/>
    <w:rsid w:val="00925C41"/>
    <w:rsid w:val="009262B8"/>
    <w:rsid w:val="00933116"/>
    <w:rsid w:val="009345CB"/>
    <w:rsid w:val="00934784"/>
    <w:rsid w:val="00934F8A"/>
    <w:rsid w:val="00935896"/>
    <w:rsid w:val="00940D80"/>
    <w:rsid w:val="0094122A"/>
    <w:rsid w:val="009441AA"/>
    <w:rsid w:val="00945197"/>
    <w:rsid w:val="0094546C"/>
    <w:rsid w:val="00947D3E"/>
    <w:rsid w:val="00952480"/>
    <w:rsid w:val="00953A25"/>
    <w:rsid w:val="00953E39"/>
    <w:rsid w:val="009578BB"/>
    <w:rsid w:val="009609AC"/>
    <w:rsid w:val="00964623"/>
    <w:rsid w:val="00964C00"/>
    <w:rsid w:val="009656BF"/>
    <w:rsid w:val="0097137D"/>
    <w:rsid w:val="00972453"/>
    <w:rsid w:val="00972A22"/>
    <w:rsid w:val="009734C6"/>
    <w:rsid w:val="00975A3D"/>
    <w:rsid w:val="00976D52"/>
    <w:rsid w:val="0097780E"/>
    <w:rsid w:val="00982A6C"/>
    <w:rsid w:val="009861F2"/>
    <w:rsid w:val="00993219"/>
    <w:rsid w:val="0099432E"/>
    <w:rsid w:val="00995924"/>
    <w:rsid w:val="00995C61"/>
    <w:rsid w:val="00996CAD"/>
    <w:rsid w:val="009A0982"/>
    <w:rsid w:val="009A56A1"/>
    <w:rsid w:val="009A59D8"/>
    <w:rsid w:val="009A5AB1"/>
    <w:rsid w:val="009B0E19"/>
    <w:rsid w:val="009B12A5"/>
    <w:rsid w:val="009B22D0"/>
    <w:rsid w:val="009B644F"/>
    <w:rsid w:val="009B6C93"/>
    <w:rsid w:val="009C4A5E"/>
    <w:rsid w:val="009C55E5"/>
    <w:rsid w:val="009D1DDE"/>
    <w:rsid w:val="009D385A"/>
    <w:rsid w:val="009D40C9"/>
    <w:rsid w:val="009D4EEE"/>
    <w:rsid w:val="009D53B8"/>
    <w:rsid w:val="009D75B0"/>
    <w:rsid w:val="009E30A9"/>
    <w:rsid w:val="009F4795"/>
    <w:rsid w:val="009F4D90"/>
    <w:rsid w:val="00A00D38"/>
    <w:rsid w:val="00A01052"/>
    <w:rsid w:val="00A0391D"/>
    <w:rsid w:val="00A0574F"/>
    <w:rsid w:val="00A1048A"/>
    <w:rsid w:val="00A10D75"/>
    <w:rsid w:val="00A122D4"/>
    <w:rsid w:val="00A12E46"/>
    <w:rsid w:val="00A1755C"/>
    <w:rsid w:val="00A22672"/>
    <w:rsid w:val="00A22D16"/>
    <w:rsid w:val="00A22F8E"/>
    <w:rsid w:val="00A24747"/>
    <w:rsid w:val="00A24F9D"/>
    <w:rsid w:val="00A272D1"/>
    <w:rsid w:val="00A279A7"/>
    <w:rsid w:val="00A313EA"/>
    <w:rsid w:val="00A31945"/>
    <w:rsid w:val="00A3302A"/>
    <w:rsid w:val="00A33562"/>
    <w:rsid w:val="00A348CA"/>
    <w:rsid w:val="00A34C27"/>
    <w:rsid w:val="00A379B9"/>
    <w:rsid w:val="00A409F2"/>
    <w:rsid w:val="00A41072"/>
    <w:rsid w:val="00A4107A"/>
    <w:rsid w:val="00A445F2"/>
    <w:rsid w:val="00A53498"/>
    <w:rsid w:val="00A5354C"/>
    <w:rsid w:val="00A56A01"/>
    <w:rsid w:val="00A576BD"/>
    <w:rsid w:val="00A6022D"/>
    <w:rsid w:val="00A64234"/>
    <w:rsid w:val="00A6592C"/>
    <w:rsid w:val="00A67DC6"/>
    <w:rsid w:val="00A70054"/>
    <w:rsid w:val="00A71102"/>
    <w:rsid w:val="00A75600"/>
    <w:rsid w:val="00A760FF"/>
    <w:rsid w:val="00A84124"/>
    <w:rsid w:val="00A8468D"/>
    <w:rsid w:val="00A90174"/>
    <w:rsid w:val="00A91D78"/>
    <w:rsid w:val="00A92696"/>
    <w:rsid w:val="00A93448"/>
    <w:rsid w:val="00A9423D"/>
    <w:rsid w:val="00A9495F"/>
    <w:rsid w:val="00A9555B"/>
    <w:rsid w:val="00A96345"/>
    <w:rsid w:val="00AA0206"/>
    <w:rsid w:val="00AA0FAB"/>
    <w:rsid w:val="00AA533D"/>
    <w:rsid w:val="00AA770C"/>
    <w:rsid w:val="00AB0AC2"/>
    <w:rsid w:val="00AB2D1C"/>
    <w:rsid w:val="00AB5CD8"/>
    <w:rsid w:val="00AC112C"/>
    <w:rsid w:val="00AC2730"/>
    <w:rsid w:val="00AC27FB"/>
    <w:rsid w:val="00AC2C23"/>
    <w:rsid w:val="00AC44C9"/>
    <w:rsid w:val="00AC5425"/>
    <w:rsid w:val="00AC5906"/>
    <w:rsid w:val="00AC71DE"/>
    <w:rsid w:val="00AC7FCC"/>
    <w:rsid w:val="00AD378A"/>
    <w:rsid w:val="00AE23FE"/>
    <w:rsid w:val="00AE42D0"/>
    <w:rsid w:val="00AF2322"/>
    <w:rsid w:val="00AF3426"/>
    <w:rsid w:val="00AF6C53"/>
    <w:rsid w:val="00AF779A"/>
    <w:rsid w:val="00B03222"/>
    <w:rsid w:val="00B122BC"/>
    <w:rsid w:val="00B139BA"/>
    <w:rsid w:val="00B1557B"/>
    <w:rsid w:val="00B15AA5"/>
    <w:rsid w:val="00B16F9A"/>
    <w:rsid w:val="00B20FC2"/>
    <w:rsid w:val="00B25C5C"/>
    <w:rsid w:val="00B3087C"/>
    <w:rsid w:val="00B311F3"/>
    <w:rsid w:val="00B32109"/>
    <w:rsid w:val="00B34655"/>
    <w:rsid w:val="00B354B6"/>
    <w:rsid w:val="00B36732"/>
    <w:rsid w:val="00B4155A"/>
    <w:rsid w:val="00B43860"/>
    <w:rsid w:val="00B45A25"/>
    <w:rsid w:val="00B51599"/>
    <w:rsid w:val="00B55D6F"/>
    <w:rsid w:val="00B56AD2"/>
    <w:rsid w:val="00B570F4"/>
    <w:rsid w:val="00B61A97"/>
    <w:rsid w:val="00B62060"/>
    <w:rsid w:val="00B626E7"/>
    <w:rsid w:val="00B65341"/>
    <w:rsid w:val="00B65AA0"/>
    <w:rsid w:val="00B70C7A"/>
    <w:rsid w:val="00B71930"/>
    <w:rsid w:val="00B72380"/>
    <w:rsid w:val="00B76833"/>
    <w:rsid w:val="00B77467"/>
    <w:rsid w:val="00B811B7"/>
    <w:rsid w:val="00B8437C"/>
    <w:rsid w:val="00B84C38"/>
    <w:rsid w:val="00B84D35"/>
    <w:rsid w:val="00B84E14"/>
    <w:rsid w:val="00B8526A"/>
    <w:rsid w:val="00B9134D"/>
    <w:rsid w:val="00B91C30"/>
    <w:rsid w:val="00B942A5"/>
    <w:rsid w:val="00B95B7F"/>
    <w:rsid w:val="00B9748F"/>
    <w:rsid w:val="00B97BF3"/>
    <w:rsid w:val="00BA2D76"/>
    <w:rsid w:val="00BA5590"/>
    <w:rsid w:val="00BB3A25"/>
    <w:rsid w:val="00BB5843"/>
    <w:rsid w:val="00BB7A51"/>
    <w:rsid w:val="00BC2F99"/>
    <w:rsid w:val="00BD2873"/>
    <w:rsid w:val="00BD425D"/>
    <w:rsid w:val="00BD5408"/>
    <w:rsid w:val="00BE0E95"/>
    <w:rsid w:val="00BF28D8"/>
    <w:rsid w:val="00BF5CE1"/>
    <w:rsid w:val="00BF7B32"/>
    <w:rsid w:val="00C07860"/>
    <w:rsid w:val="00C10DBE"/>
    <w:rsid w:val="00C120C1"/>
    <w:rsid w:val="00C205C1"/>
    <w:rsid w:val="00C214E9"/>
    <w:rsid w:val="00C25A6E"/>
    <w:rsid w:val="00C26675"/>
    <w:rsid w:val="00C303E3"/>
    <w:rsid w:val="00C32857"/>
    <w:rsid w:val="00C334D0"/>
    <w:rsid w:val="00C363C2"/>
    <w:rsid w:val="00C36CED"/>
    <w:rsid w:val="00C3743C"/>
    <w:rsid w:val="00C376FD"/>
    <w:rsid w:val="00C41305"/>
    <w:rsid w:val="00C41876"/>
    <w:rsid w:val="00C42D40"/>
    <w:rsid w:val="00C43F15"/>
    <w:rsid w:val="00C526A2"/>
    <w:rsid w:val="00C539D4"/>
    <w:rsid w:val="00C605EB"/>
    <w:rsid w:val="00C62493"/>
    <w:rsid w:val="00C72043"/>
    <w:rsid w:val="00C72CED"/>
    <w:rsid w:val="00C8082B"/>
    <w:rsid w:val="00C81D9E"/>
    <w:rsid w:val="00C8337E"/>
    <w:rsid w:val="00C83D6F"/>
    <w:rsid w:val="00C851B8"/>
    <w:rsid w:val="00C900C6"/>
    <w:rsid w:val="00C90F81"/>
    <w:rsid w:val="00C92D98"/>
    <w:rsid w:val="00C97748"/>
    <w:rsid w:val="00CA2056"/>
    <w:rsid w:val="00CA3176"/>
    <w:rsid w:val="00CA53FA"/>
    <w:rsid w:val="00CA7F38"/>
    <w:rsid w:val="00CB11FE"/>
    <w:rsid w:val="00CB1E79"/>
    <w:rsid w:val="00CB3219"/>
    <w:rsid w:val="00CB32BD"/>
    <w:rsid w:val="00CB687B"/>
    <w:rsid w:val="00CB7BBD"/>
    <w:rsid w:val="00CC607D"/>
    <w:rsid w:val="00CC7EDC"/>
    <w:rsid w:val="00CD3A66"/>
    <w:rsid w:val="00CD3CB0"/>
    <w:rsid w:val="00CD61D7"/>
    <w:rsid w:val="00CD67CF"/>
    <w:rsid w:val="00CD6B07"/>
    <w:rsid w:val="00CD7EED"/>
    <w:rsid w:val="00CE0B5D"/>
    <w:rsid w:val="00CF599F"/>
    <w:rsid w:val="00D0145E"/>
    <w:rsid w:val="00D01622"/>
    <w:rsid w:val="00D01670"/>
    <w:rsid w:val="00D01C43"/>
    <w:rsid w:val="00D01D3F"/>
    <w:rsid w:val="00D04DED"/>
    <w:rsid w:val="00D05A12"/>
    <w:rsid w:val="00D06F65"/>
    <w:rsid w:val="00D0737D"/>
    <w:rsid w:val="00D1137E"/>
    <w:rsid w:val="00D13AFB"/>
    <w:rsid w:val="00D15873"/>
    <w:rsid w:val="00D16E67"/>
    <w:rsid w:val="00D24E49"/>
    <w:rsid w:val="00D3036E"/>
    <w:rsid w:val="00D3185F"/>
    <w:rsid w:val="00D358EE"/>
    <w:rsid w:val="00D44160"/>
    <w:rsid w:val="00D455A9"/>
    <w:rsid w:val="00D51523"/>
    <w:rsid w:val="00D51A8B"/>
    <w:rsid w:val="00D52A52"/>
    <w:rsid w:val="00D52DD3"/>
    <w:rsid w:val="00D55FC5"/>
    <w:rsid w:val="00D578FE"/>
    <w:rsid w:val="00D6291E"/>
    <w:rsid w:val="00D6414B"/>
    <w:rsid w:val="00D6580B"/>
    <w:rsid w:val="00D67143"/>
    <w:rsid w:val="00D6735F"/>
    <w:rsid w:val="00D748C7"/>
    <w:rsid w:val="00D76A23"/>
    <w:rsid w:val="00D817DE"/>
    <w:rsid w:val="00D84ECF"/>
    <w:rsid w:val="00D86FE1"/>
    <w:rsid w:val="00D877A0"/>
    <w:rsid w:val="00D94618"/>
    <w:rsid w:val="00D96772"/>
    <w:rsid w:val="00D96F2C"/>
    <w:rsid w:val="00D97C77"/>
    <w:rsid w:val="00DA3EBA"/>
    <w:rsid w:val="00DA68B6"/>
    <w:rsid w:val="00DB0A69"/>
    <w:rsid w:val="00DB1A42"/>
    <w:rsid w:val="00DB5029"/>
    <w:rsid w:val="00DB5915"/>
    <w:rsid w:val="00DB78D4"/>
    <w:rsid w:val="00DC2887"/>
    <w:rsid w:val="00DD0954"/>
    <w:rsid w:val="00DD0B19"/>
    <w:rsid w:val="00DD1ACC"/>
    <w:rsid w:val="00DD3633"/>
    <w:rsid w:val="00DD6B8A"/>
    <w:rsid w:val="00DD789B"/>
    <w:rsid w:val="00DE0D36"/>
    <w:rsid w:val="00DE1022"/>
    <w:rsid w:val="00DE12AF"/>
    <w:rsid w:val="00DE6FD3"/>
    <w:rsid w:val="00DE78D5"/>
    <w:rsid w:val="00DF285A"/>
    <w:rsid w:val="00DF2CE2"/>
    <w:rsid w:val="00DF63A5"/>
    <w:rsid w:val="00DF7314"/>
    <w:rsid w:val="00E0195E"/>
    <w:rsid w:val="00E03E82"/>
    <w:rsid w:val="00E05794"/>
    <w:rsid w:val="00E079ED"/>
    <w:rsid w:val="00E1511C"/>
    <w:rsid w:val="00E15E11"/>
    <w:rsid w:val="00E17BC1"/>
    <w:rsid w:val="00E21106"/>
    <w:rsid w:val="00E22974"/>
    <w:rsid w:val="00E25F88"/>
    <w:rsid w:val="00E26D56"/>
    <w:rsid w:val="00E303D3"/>
    <w:rsid w:val="00E30EC0"/>
    <w:rsid w:val="00E32F77"/>
    <w:rsid w:val="00E3396A"/>
    <w:rsid w:val="00E33B22"/>
    <w:rsid w:val="00E340D1"/>
    <w:rsid w:val="00E35027"/>
    <w:rsid w:val="00E35B1F"/>
    <w:rsid w:val="00E37ECD"/>
    <w:rsid w:val="00E44119"/>
    <w:rsid w:val="00E4483F"/>
    <w:rsid w:val="00E46DF8"/>
    <w:rsid w:val="00E47CDC"/>
    <w:rsid w:val="00E50132"/>
    <w:rsid w:val="00E5299A"/>
    <w:rsid w:val="00E52A52"/>
    <w:rsid w:val="00E6083F"/>
    <w:rsid w:val="00E61A8E"/>
    <w:rsid w:val="00E625DA"/>
    <w:rsid w:val="00E62878"/>
    <w:rsid w:val="00E63A5C"/>
    <w:rsid w:val="00E64806"/>
    <w:rsid w:val="00E649C0"/>
    <w:rsid w:val="00E65A6F"/>
    <w:rsid w:val="00E73403"/>
    <w:rsid w:val="00E73B07"/>
    <w:rsid w:val="00E84FA5"/>
    <w:rsid w:val="00E90857"/>
    <w:rsid w:val="00E90950"/>
    <w:rsid w:val="00E91DFD"/>
    <w:rsid w:val="00E93BD4"/>
    <w:rsid w:val="00E95B0B"/>
    <w:rsid w:val="00E96CBA"/>
    <w:rsid w:val="00EA6A73"/>
    <w:rsid w:val="00EA6AB6"/>
    <w:rsid w:val="00EA73F9"/>
    <w:rsid w:val="00EA7902"/>
    <w:rsid w:val="00EB206C"/>
    <w:rsid w:val="00EB26E6"/>
    <w:rsid w:val="00EC38BD"/>
    <w:rsid w:val="00ED0551"/>
    <w:rsid w:val="00ED3E77"/>
    <w:rsid w:val="00ED4EAE"/>
    <w:rsid w:val="00ED506F"/>
    <w:rsid w:val="00ED6D91"/>
    <w:rsid w:val="00EE0345"/>
    <w:rsid w:val="00EE1BA2"/>
    <w:rsid w:val="00EE2D3C"/>
    <w:rsid w:val="00EE4DFB"/>
    <w:rsid w:val="00EE7C3F"/>
    <w:rsid w:val="00EF260B"/>
    <w:rsid w:val="00EF54BF"/>
    <w:rsid w:val="00EF6FA1"/>
    <w:rsid w:val="00F0018D"/>
    <w:rsid w:val="00F01F16"/>
    <w:rsid w:val="00F02568"/>
    <w:rsid w:val="00F04518"/>
    <w:rsid w:val="00F07621"/>
    <w:rsid w:val="00F102B4"/>
    <w:rsid w:val="00F1401F"/>
    <w:rsid w:val="00F17280"/>
    <w:rsid w:val="00F204BA"/>
    <w:rsid w:val="00F207EF"/>
    <w:rsid w:val="00F23F5E"/>
    <w:rsid w:val="00F24EE8"/>
    <w:rsid w:val="00F31106"/>
    <w:rsid w:val="00F315CF"/>
    <w:rsid w:val="00F34270"/>
    <w:rsid w:val="00F3467E"/>
    <w:rsid w:val="00F34D02"/>
    <w:rsid w:val="00F358CE"/>
    <w:rsid w:val="00F37703"/>
    <w:rsid w:val="00F37D28"/>
    <w:rsid w:val="00F37F95"/>
    <w:rsid w:val="00F4624F"/>
    <w:rsid w:val="00F505FD"/>
    <w:rsid w:val="00F5236B"/>
    <w:rsid w:val="00F57596"/>
    <w:rsid w:val="00F64050"/>
    <w:rsid w:val="00F64155"/>
    <w:rsid w:val="00F75481"/>
    <w:rsid w:val="00F76DB9"/>
    <w:rsid w:val="00F80F91"/>
    <w:rsid w:val="00F82D42"/>
    <w:rsid w:val="00F85DB8"/>
    <w:rsid w:val="00F90B87"/>
    <w:rsid w:val="00F91DC9"/>
    <w:rsid w:val="00F9263C"/>
    <w:rsid w:val="00F942D5"/>
    <w:rsid w:val="00F95379"/>
    <w:rsid w:val="00F958A4"/>
    <w:rsid w:val="00F969DD"/>
    <w:rsid w:val="00FA06A5"/>
    <w:rsid w:val="00FA07DD"/>
    <w:rsid w:val="00FA2229"/>
    <w:rsid w:val="00FA2C18"/>
    <w:rsid w:val="00FA7D3D"/>
    <w:rsid w:val="00FB095C"/>
    <w:rsid w:val="00FB1A70"/>
    <w:rsid w:val="00FB3717"/>
    <w:rsid w:val="00FB5B50"/>
    <w:rsid w:val="00FB7DAF"/>
    <w:rsid w:val="00FC337E"/>
    <w:rsid w:val="00FC3497"/>
    <w:rsid w:val="00FC52E3"/>
    <w:rsid w:val="00FC5A99"/>
    <w:rsid w:val="00FD12B5"/>
    <w:rsid w:val="00FD36BF"/>
    <w:rsid w:val="00FD433C"/>
    <w:rsid w:val="00FD4EE6"/>
    <w:rsid w:val="00FD5344"/>
    <w:rsid w:val="00FD6178"/>
    <w:rsid w:val="00FE58F4"/>
    <w:rsid w:val="00FE6D68"/>
    <w:rsid w:val="00FF1F0E"/>
    <w:rsid w:val="00FF241C"/>
    <w:rsid w:val="00FF3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5751"/>
  <w15:docId w15:val="{3CCD89C7-C676-44F3-BD55-01F774BD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E3"/>
    <w:pPr>
      <w:spacing w:after="0" w:line="240" w:lineRule="auto"/>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B0E8A"/>
    <w:pPr>
      <w:keepNext/>
      <w:keepLines/>
      <w:spacing w:before="360" w:after="120" w:line="240" w:lineRule="auto"/>
      <w:ind w:left="567" w:hanging="567"/>
      <w:outlineLvl w:val="0"/>
    </w:pPr>
    <w:rPr>
      <w:rFonts w:ascii="Arial" w:eastAsia="Times New Roman" w:hAnsi="Arial" w:cs="Times New Roman"/>
      <w:b/>
      <w:color w:val="000000"/>
      <w:sz w:val="32"/>
    </w:rPr>
  </w:style>
  <w:style w:type="paragraph" w:styleId="Heading2">
    <w:name w:val="heading 2"/>
    <w:basedOn w:val="Heading1"/>
    <w:next w:val="Normal"/>
    <w:link w:val="Heading2Char"/>
    <w:uiPriority w:val="9"/>
    <w:unhideWhenUsed/>
    <w:qFormat/>
    <w:rsid w:val="00047ADC"/>
    <w:pPr>
      <w:outlineLvl w:val="1"/>
    </w:pPr>
    <w:rPr>
      <w:sz w:val="28"/>
      <w:u w:color="000000"/>
    </w:rPr>
  </w:style>
  <w:style w:type="paragraph" w:styleId="Heading3">
    <w:name w:val="heading 3"/>
    <w:basedOn w:val="Heading2"/>
    <w:next w:val="Normal"/>
    <w:link w:val="Heading3Char"/>
    <w:uiPriority w:val="9"/>
    <w:unhideWhenUsed/>
    <w:qFormat/>
    <w:rsid w:val="001B0E8A"/>
    <w:pPr>
      <w:spacing w:before="240"/>
      <w:outlineLvl w:val="2"/>
    </w:pPr>
    <w:rPr>
      <w:rFonts w:eastAsiaTheme="majorEastAsia" w:cstheme="majorBidi"/>
      <w:color w:val="000000" w:themeColor="text1"/>
      <w:sz w:val="24"/>
      <w:szCs w:val="24"/>
    </w:rPr>
  </w:style>
  <w:style w:type="paragraph" w:styleId="Heading4">
    <w:name w:val="heading 4"/>
    <w:basedOn w:val="Heading3"/>
    <w:next w:val="Normal"/>
    <w:link w:val="Heading4Char"/>
    <w:uiPriority w:val="9"/>
    <w:unhideWhenUsed/>
    <w:qFormat/>
    <w:rsid w:val="001B0E8A"/>
    <w:pPr>
      <w:spacing w:after="40"/>
      <w:outlineLvl w:val="3"/>
    </w:pPr>
    <w:rPr>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47ADC"/>
    <w:rPr>
      <w:rFonts w:ascii="Arial" w:eastAsia="Times New Roman" w:hAnsi="Arial" w:cs="Times New Roman"/>
      <w:b/>
      <w:color w:val="000000"/>
      <w:sz w:val="28"/>
      <w:u w:color="000000"/>
    </w:rPr>
  </w:style>
  <w:style w:type="character" w:customStyle="1" w:styleId="Heading1Char">
    <w:name w:val="Heading 1 Char"/>
    <w:link w:val="Heading1"/>
    <w:uiPriority w:val="9"/>
    <w:rsid w:val="001B0E8A"/>
    <w:rPr>
      <w:rFonts w:ascii="Arial" w:eastAsia="Times New Roman" w:hAnsi="Arial" w:cs="Times New Roman"/>
      <w:b/>
      <w:color w:val="000000"/>
      <w:sz w:val="32"/>
    </w:rPr>
  </w:style>
  <w:style w:type="character" w:styleId="CommentReference">
    <w:name w:val="annotation reference"/>
    <w:basedOn w:val="DefaultParagraphFont"/>
    <w:uiPriority w:val="99"/>
    <w:unhideWhenUsed/>
    <w:rsid w:val="00734A33"/>
    <w:rPr>
      <w:sz w:val="16"/>
      <w:szCs w:val="16"/>
    </w:rPr>
  </w:style>
  <w:style w:type="paragraph" w:styleId="CommentText">
    <w:name w:val="annotation text"/>
    <w:basedOn w:val="Normal"/>
    <w:link w:val="CommentTextChar"/>
    <w:uiPriority w:val="99"/>
    <w:unhideWhenUsed/>
    <w:rsid w:val="00734A33"/>
    <w:rPr>
      <w:sz w:val="20"/>
      <w:szCs w:val="20"/>
    </w:rPr>
  </w:style>
  <w:style w:type="character" w:customStyle="1" w:styleId="CommentTextChar">
    <w:name w:val="Comment Text Char"/>
    <w:basedOn w:val="DefaultParagraphFont"/>
    <w:link w:val="CommentText"/>
    <w:uiPriority w:val="99"/>
    <w:rsid w:val="00734A3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34A33"/>
    <w:rPr>
      <w:b/>
      <w:bCs/>
    </w:rPr>
  </w:style>
  <w:style w:type="character" w:customStyle="1" w:styleId="CommentSubjectChar">
    <w:name w:val="Comment Subject Char"/>
    <w:basedOn w:val="CommentTextChar"/>
    <w:link w:val="CommentSubject"/>
    <w:uiPriority w:val="99"/>
    <w:semiHidden/>
    <w:rsid w:val="00734A3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34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A33"/>
    <w:rPr>
      <w:rFonts w:ascii="Segoe UI" w:eastAsia="Times New Roman" w:hAnsi="Segoe UI" w:cs="Segoe UI"/>
      <w:color w:val="000000"/>
      <w:sz w:val="18"/>
      <w:szCs w:val="18"/>
    </w:rPr>
  </w:style>
  <w:style w:type="character" w:customStyle="1" w:styleId="Heading3Char">
    <w:name w:val="Heading 3 Char"/>
    <w:basedOn w:val="DefaultParagraphFont"/>
    <w:link w:val="Heading3"/>
    <w:uiPriority w:val="9"/>
    <w:rsid w:val="001B0E8A"/>
    <w:rPr>
      <w:rFonts w:ascii="Arial" w:eastAsiaTheme="majorEastAsia" w:hAnsi="Arial" w:cstheme="majorBidi"/>
      <w:b/>
      <w:color w:val="000000" w:themeColor="text1"/>
      <w:sz w:val="24"/>
      <w:szCs w:val="24"/>
      <w:u w:color="00000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A279A7"/>
    <w:pPr>
      <w:spacing w:before="240"/>
      <w:ind w:left="720"/>
      <w:contextualSpacing/>
    </w:pPr>
    <w:rPr>
      <w:color w:val="auto"/>
      <w:szCs w:val="20"/>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A279A7"/>
    <w:rPr>
      <w:rFonts w:ascii="Times New Roman" w:eastAsia="Times New Roman" w:hAnsi="Times New Roman" w:cs="Times New Roman"/>
      <w:sz w:val="24"/>
      <w:szCs w:val="20"/>
    </w:rPr>
  </w:style>
  <w:style w:type="paragraph" w:customStyle="1" w:styleId="Default">
    <w:name w:val="Default"/>
    <w:rsid w:val="009451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45197"/>
    <w:rPr>
      <w:color w:val="0563C1" w:themeColor="hyperlink"/>
      <w:u w:val="single"/>
    </w:rPr>
  </w:style>
  <w:style w:type="character" w:styleId="FollowedHyperlink">
    <w:name w:val="FollowedHyperlink"/>
    <w:basedOn w:val="DefaultParagraphFont"/>
    <w:uiPriority w:val="99"/>
    <w:semiHidden/>
    <w:unhideWhenUsed/>
    <w:rsid w:val="008248B0"/>
    <w:rPr>
      <w:color w:val="954F72" w:themeColor="followedHyperlink"/>
      <w:u w:val="single"/>
    </w:rPr>
  </w:style>
  <w:style w:type="paragraph" w:customStyle="1" w:styleId="subsection">
    <w:name w:val="subsection"/>
    <w:aliases w:val="ss"/>
    <w:basedOn w:val="Normal"/>
    <w:link w:val="subsectionChar"/>
    <w:rsid w:val="00BA2D76"/>
    <w:pPr>
      <w:tabs>
        <w:tab w:val="right" w:pos="1021"/>
      </w:tabs>
      <w:spacing w:before="180"/>
      <w:ind w:left="1134" w:hanging="1134"/>
    </w:pPr>
    <w:rPr>
      <w:color w:val="auto"/>
      <w:sz w:val="22"/>
      <w:szCs w:val="20"/>
    </w:rPr>
  </w:style>
  <w:style w:type="paragraph" w:customStyle="1" w:styleId="subsection2">
    <w:name w:val="subsection2"/>
    <w:aliases w:val="ss2"/>
    <w:basedOn w:val="Normal"/>
    <w:next w:val="subsection"/>
    <w:rsid w:val="00BA2D76"/>
    <w:pPr>
      <w:spacing w:before="40"/>
      <w:ind w:left="1134"/>
    </w:pPr>
    <w:rPr>
      <w:color w:val="auto"/>
      <w:sz w:val="22"/>
      <w:szCs w:val="20"/>
    </w:rPr>
  </w:style>
  <w:style w:type="character" w:customStyle="1" w:styleId="subsectionChar">
    <w:name w:val="subsection Char"/>
    <w:aliases w:val="ss Char"/>
    <w:basedOn w:val="DefaultParagraphFont"/>
    <w:link w:val="subsection"/>
    <w:locked/>
    <w:rsid w:val="00BA2D76"/>
    <w:rPr>
      <w:rFonts w:ascii="Times New Roman" w:eastAsia="Times New Roman" w:hAnsi="Times New Roman" w:cs="Times New Roman"/>
      <w:szCs w:val="20"/>
    </w:rPr>
  </w:style>
  <w:style w:type="paragraph" w:customStyle="1" w:styleId="Numberedparagraph">
    <w:name w:val="Numbered paragraph"/>
    <w:basedOn w:val="Normal"/>
    <w:qFormat/>
    <w:rsid w:val="00B570F4"/>
    <w:pPr>
      <w:numPr>
        <w:numId w:val="19"/>
      </w:numPr>
      <w:spacing w:after="200"/>
    </w:pPr>
    <w:rPr>
      <w:rFonts w:eastAsiaTheme="minorHAnsi" w:cstheme="minorBidi"/>
      <w:color w:val="auto"/>
      <w:lang w:eastAsia="en-US"/>
    </w:rPr>
  </w:style>
  <w:style w:type="character" w:customStyle="1" w:styleId="Heading4Char">
    <w:name w:val="Heading 4 Char"/>
    <w:basedOn w:val="DefaultParagraphFont"/>
    <w:link w:val="Heading4"/>
    <w:uiPriority w:val="9"/>
    <w:rsid w:val="001B0E8A"/>
    <w:rPr>
      <w:rFonts w:ascii="Arial" w:eastAsiaTheme="majorEastAsia" w:hAnsi="Arial" w:cstheme="majorBidi"/>
      <w:b/>
      <w:iCs/>
      <w:szCs w:val="24"/>
      <w:u w:color="000000"/>
    </w:rPr>
  </w:style>
  <w:style w:type="paragraph" w:styleId="Revision">
    <w:name w:val="Revision"/>
    <w:hidden/>
    <w:uiPriority w:val="99"/>
    <w:semiHidden/>
    <w:rsid w:val="002F00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094">
      <w:bodyDiv w:val="1"/>
      <w:marLeft w:val="0"/>
      <w:marRight w:val="0"/>
      <w:marTop w:val="0"/>
      <w:marBottom w:val="0"/>
      <w:divBdr>
        <w:top w:val="none" w:sz="0" w:space="0" w:color="auto"/>
        <w:left w:val="none" w:sz="0" w:space="0" w:color="auto"/>
        <w:bottom w:val="none" w:sz="0" w:space="0" w:color="auto"/>
        <w:right w:val="none" w:sz="0" w:space="0" w:color="auto"/>
      </w:divBdr>
    </w:div>
    <w:div w:id="284578950">
      <w:bodyDiv w:val="1"/>
      <w:marLeft w:val="0"/>
      <w:marRight w:val="0"/>
      <w:marTop w:val="0"/>
      <w:marBottom w:val="0"/>
      <w:divBdr>
        <w:top w:val="none" w:sz="0" w:space="0" w:color="auto"/>
        <w:left w:val="none" w:sz="0" w:space="0" w:color="auto"/>
        <w:bottom w:val="none" w:sz="0" w:space="0" w:color="auto"/>
        <w:right w:val="none" w:sz="0" w:space="0" w:color="auto"/>
      </w:divBdr>
    </w:div>
    <w:div w:id="443963210">
      <w:bodyDiv w:val="1"/>
      <w:marLeft w:val="0"/>
      <w:marRight w:val="0"/>
      <w:marTop w:val="0"/>
      <w:marBottom w:val="0"/>
      <w:divBdr>
        <w:top w:val="none" w:sz="0" w:space="0" w:color="auto"/>
        <w:left w:val="none" w:sz="0" w:space="0" w:color="auto"/>
        <w:bottom w:val="none" w:sz="0" w:space="0" w:color="auto"/>
        <w:right w:val="none" w:sz="0" w:space="0" w:color="auto"/>
      </w:divBdr>
    </w:div>
    <w:div w:id="485365229">
      <w:bodyDiv w:val="1"/>
      <w:marLeft w:val="0"/>
      <w:marRight w:val="0"/>
      <w:marTop w:val="0"/>
      <w:marBottom w:val="0"/>
      <w:divBdr>
        <w:top w:val="none" w:sz="0" w:space="0" w:color="auto"/>
        <w:left w:val="none" w:sz="0" w:space="0" w:color="auto"/>
        <w:bottom w:val="none" w:sz="0" w:space="0" w:color="auto"/>
        <w:right w:val="none" w:sz="0" w:space="0" w:color="auto"/>
      </w:divBdr>
    </w:div>
    <w:div w:id="499928831">
      <w:bodyDiv w:val="1"/>
      <w:marLeft w:val="0"/>
      <w:marRight w:val="0"/>
      <w:marTop w:val="0"/>
      <w:marBottom w:val="0"/>
      <w:divBdr>
        <w:top w:val="none" w:sz="0" w:space="0" w:color="auto"/>
        <w:left w:val="none" w:sz="0" w:space="0" w:color="auto"/>
        <w:bottom w:val="none" w:sz="0" w:space="0" w:color="auto"/>
        <w:right w:val="none" w:sz="0" w:space="0" w:color="auto"/>
      </w:divBdr>
    </w:div>
    <w:div w:id="570313958">
      <w:bodyDiv w:val="1"/>
      <w:marLeft w:val="0"/>
      <w:marRight w:val="0"/>
      <w:marTop w:val="0"/>
      <w:marBottom w:val="0"/>
      <w:divBdr>
        <w:top w:val="none" w:sz="0" w:space="0" w:color="auto"/>
        <w:left w:val="none" w:sz="0" w:space="0" w:color="auto"/>
        <w:bottom w:val="none" w:sz="0" w:space="0" w:color="auto"/>
        <w:right w:val="none" w:sz="0" w:space="0" w:color="auto"/>
      </w:divBdr>
    </w:div>
    <w:div w:id="692921105">
      <w:bodyDiv w:val="1"/>
      <w:marLeft w:val="0"/>
      <w:marRight w:val="0"/>
      <w:marTop w:val="0"/>
      <w:marBottom w:val="0"/>
      <w:divBdr>
        <w:top w:val="none" w:sz="0" w:space="0" w:color="auto"/>
        <w:left w:val="none" w:sz="0" w:space="0" w:color="auto"/>
        <w:bottom w:val="none" w:sz="0" w:space="0" w:color="auto"/>
        <w:right w:val="none" w:sz="0" w:space="0" w:color="auto"/>
      </w:divBdr>
    </w:div>
    <w:div w:id="893008770">
      <w:bodyDiv w:val="1"/>
      <w:marLeft w:val="0"/>
      <w:marRight w:val="0"/>
      <w:marTop w:val="0"/>
      <w:marBottom w:val="0"/>
      <w:divBdr>
        <w:top w:val="none" w:sz="0" w:space="0" w:color="auto"/>
        <w:left w:val="none" w:sz="0" w:space="0" w:color="auto"/>
        <w:bottom w:val="none" w:sz="0" w:space="0" w:color="auto"/>
        <w:right w:val="none" w:sz="0" w:space="0" w:color="auto"/>
      </w:divBdr>
    </w:div>
    <w:div w:id="938610422">
      <w:bodyDiv w:val="1"/>
      <w:marLeft w:val="0"/>
      <w:marRight w:val="0"/>
      <w:marTop w:val="0"/>
      <w:marBottom w:val="0"/>
      <w:divBdr>
        <w:top w:val="none" w:sz="0" w:space="0" w:color="auto"/>
        <w:left w:val="none" w:sz="0" w:space="0" w:color="auto"/>
        <w:bottom w:val="none" w:sz="0" w:space="0" w:color="auto"/>
        <w:right w:val="none" w:sz="0" w:space="0" w:color="auto"/>
      </w:divBdr>
    </w:div>
    <w:div w:id="1004667217">
      <w:bodyDiv w:val="1"/>
      <w:marLeft w:val="0"/>
      <w:marRight w:val="0"/>
      <w:marTop w:val="0"/>
      <w:marBottom w:val="0"/>
      <w:divBdr>
        <w:top w:val="none" w:sz="0" w:space="0" w:color="auto"/>
        <w:left w:val="none" w:sz="0" w:space="0" w:color="auto"/>
        <w:bottom w:val="none" w:sz="0" w:space="0" w:color="auto"/>
        <w:right w:val="none" w:sz="0" w:space="0" w:color="auto"/>
      </w:divBdr>
      <w:divsChild>
        <w:div w:id="724256357">
          <w:marLeft w:val="0"/>
          <w:marRight w:val="0"/>
          <w:marTop w:val="0"/>
          <w:marBottom w:val="0"/>
          <w:divBdr>
            <w:top w:val="none" w:sz="0" w:space="0" w:color="auto"/>
            <w:left w:val="none" w:sz="0" w:space="0" w:color="auto"/>
            <w:bottom w:val="none" w:sz="0" w:space="0" w:color="auto"/>
            <w:right w:val="none" w:sz="0" w:space="0" w:color="auto"/>
          </w:divBdr>
          <w:divsChild>
            <w:div w:id="1628897294">
              <w:marLeft w:val="0"/>
              <w:marRight w:val="0"/>
              <w:marTop w:val="0"/>
              <w:marBottom w:val="0"/>
              <w:divBdr>
                <w:top w:val="none" w:sz="0" w:space="0" w:color="auto"/>
                <w:left w:val="none" w:sz="0" w:space="0" w:color="auto"/>
                <w:bottom w:val="none" w:sz="0" w:space="0" w:color="auto"/>
                <w:right w:val="none" w:sz="0" w:space="0" w:color="auto"/>
              </w:divBdr>
              <w:divsChild>
                <w:div w:id="933630709">
                  <w:marLeft w:val="0"/>
                  <w:marRight w:val="0"/>
                  <w:marTop w:val="0"/>
                  <w:marBottom w:val="0"/>
                  <w:divBdr>
                    <w:top w:val="none" w:sz="0" w:space="0" w:color="auto"/>
                    <w:left w:val="none" w:sz="0" w:space="0" w:color="auto"/>
                    <w:bottom w:val="none" w:sz="0" w:space="0" w:color="auto"/>
                    <w:right w:val="none" w:sz="0" w:space="0" w:color="auto"/>
                  </w:divBdr>
                  <w:divsChild>
                    <w:div w:id="767232712">
                      <w:marLeft w:val="0"/>
                      <w:marRight w:val="0"/>
                      <w:marTop w:val="0"/>
                      <w:marBottom w:val="0"/>
                      <w:divBdr>
                        <w:top w:val="none" w:sz="0" w:space="0" w:color="auto"/>
                        <w:left w:val="none" w:sz="0" w:space="0" w:color="auto"/>
                        <w:bottom w:val="none" w:sz="0" w:space="0" w:color="auto"/>
                        <w:right w:val="none" w:sz="0" w:space="0" w:color="auto"/>
                      </w:divBdr>
                      <w:divsChild>
                        <w:div w:id="1435444378">
                          <w:marLeft w:val="0"/>
                          <w:marRight w:val="0"/>
                          <w:marTop w:val="0"/>
                          <w:marBottom w:val="0"/>
                          <w:divBdr>
                            <w:top w:val="none" w:sz="0" w:space="0" w:color="auto"/>
                            <w:left w:val="none" w:sz="0" w:space="0" w:color="auto"/>
                            <w:bottom w:val="none" w:sz="0" w:space="0" w:color="auto"/>
                            <w:right w:val="none" w:sz="0" w:space="0" w:color="auto"/>
                          </w:divBdr>
                          <w:divsChild>
                            <w:div w:id="1405642761">
                              <w:marLeft w:val="0"/>
                              <w:marRight w:val="0"/>
                              <w:marTop w:val="0"/>
                              <w:marBottom w:val="0"/>
                              <w:divBdr>
                                <w:top w:val="none" w:sz="0" w:space="0" w:color="auto"/>
                                <w:left w:val="none" w:sz="0" w:space="0" w:color="auto"/>
                                <w:bottom w:val="none" w:sz="0" w:space="0" w:color="auto"/>
                                <w:right w:val="none" w:sz="0" w:space="0" w:color="auto"/>
                              </w:divBdr>
                              <w:divsChild>
                                <w:div w:id="1251504608">
                                  <w:marLeft w:val="0"/>
                                  <w:marRight w:val="0"/>
                                  <w:marTop w:val="0"/>
                                  <w:marBottom w:val="0"/>
                                  <w:divBdr>
                                    <w:top w:val="none" w:sz="0" w:space="0" w:color="auto"/>
                                    <w:left w:val="none" w:sz="0" w:space="0" w:color="auto"/>
                                    <w:bottom w:val="none" w:sz="0" w:space="0" w:color="auto"/>
                                    <w:right w:val="none" w:sz="0" w:space="0" w:color="auto"/>
                                  </w:divBdr>
                                  <w:divsChild>
                                    <w:div w:id="1725835138">
                                      <w:marLeft w:val="0"/>
                                      <w:marRight w:val="0"/>
                                      <w:marTop w:val="0"/>
                                      <w:marBottom w:val="0"/>
                                      <w:divBdr>
                                        <w:top w:val="none" w:sz="0" w:space="0" w:color="auto"/>
                                        <w:left w:val="none" w:sz="0" w:space="0" w:color="auto"/>
                                        <w:bottom w:val="none" w:sz="0" w:space="0" w:color="auto"/>
                                        <w:right w:val="none" w:sz="0" w:space="0" w:color="auto"/>
                                      </w:divBdr>
                                      <w:divsChild>
                                        <w:div w:id="399405707">
                                          <w:marLeft w:val="0"/>
                                          <w:marRight w:val="0"/>
                                          <w:marTop w:val="0"/>
                                          <w:marBottom w:val="0"/>
                                          <w:divBdr>
                                            <w:top w:val="none" w:sz="0" w:space="0" w:color="auto"/>
                                            <w:left w:val="none" w:sz="0" w:space="0" w:color="auto"/>
                                            <w:bottom w:val="none" w:sz="0" w:space="0" w:color="auto"/>
                                            <w:right w:val="none" w:sz="0" w:space="0" w:color="auto"/>
                                          </w:divBdr>
                                          <w:divsChild>
                                            <w:div w:id="1273784985">
                                              <w:marLeft w:val="0"/>
                                              <w:marRight w:val="0"/>
                                              <w:marTop w:val="0"/>
                                              <w:marBottom w:val="0"/>
                                              <w:divBdr>
                                                <w:top w:val="none" w:sz="0" w:space="0" w:color="auto"/>
                                                <w:left w:val="none" w:sz="0" w:space="0" w:color="auto"/>
                                                <w:bottom w:val="none" w:sz="0" w:space="0" w:color="auto"/>
                                                <w:right w:val="none" w:sz="0" w:space="0" w:color="auto"/>
                                              </w:divBdr>
                                              <w:divsChild>
                                                <w:div w:id="566188537">
                                                  <w:marLeft w:val="0"/>
                                                  <w:marRight w:val="0"/>
                                                  <w:marTop w:val="0"/>
                                                  <w:marBottom w:val="0"/>
                                                  <w:divBdr>
                                                    <w:top w:val="none" w:sz="0" w:space="0" w:color="auto"/>
                                                    <w:left w:val="none" w:sz="0" w:space="0" w:color="auto"/>
                                                    <w:bottom w:val="none" w:sz="0" w:space="0" w:color="auto"/>
                                                    <w:right w:val="none" w:sz="0" w:space="0" w:color="auto"/>
                                                  </w:divBdr>
                                                  <w:divsChild>
                                                    <w:div w:id="1737632725">
                                                      <w:marLeft w:val="0"/>
                                                      <w:marRight w:val="0"/>
                                                      <w:marTop w:val="0"/>
                                                      <w:marBottom w:val="0"/>
                                                      <w:divBdr>
                                                        <w:top w:val="none" w:sz="0" w:space="0" w:color="auto"/>
                                                        <w:left w:val="none" w:sz="0" w:space="0" w:color="auto"/>
                                                        <w:bottom w:val="none" w:sz="0" w:space="0" w:color="auto"/>
                                                        <w:right w:val="none" w:sz="0" w:space="0" w:color="auto"/>
                                                      </w:divBdr>
                                                      <w:divsChild>
                                                        <w:div w:id="24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097843">
      <w:bodyDiv w:val="1"/>
      <w:marLeft w:val="0"/>
      <w:marRight w:val="0"/>
      <w:marTop w:val="0"/>
      <w:marBottom w:val="0"/>
      <w:divBdr>
        <w:top w:val="none" w:sz="0" w:space="0" w:color="auto"/>
        <w:left w:val="none" w:sz="0" w:space="0" w:color="auto"/>
        <w:bottom w:val="none" w:sz="0" w:space="0" w:color="auto"/>
        <w:right w:val="none" w:sz="0" w:space="0" w:color="auto"/>
      </w:divBdr>
    </w:div>
    <w:div w:id="1179810523">
      <w:bodyDiv w:val="1"/>
      <w:marLeft w:val="0"/>
      <w:marRight w:val="0"/>
      <w:marTop w:val="0"/>
      <w:marBottom w:val="0"/>
      <w:divBdr>
        <w:top w:val="none" w:sz="0" w:space="0" w:color="auto"/>
        <w:left w:val="none" w:sz="0" w:space="0" w:color="auto"/>
        <w:bottom w:val="none" w:sz="0" w:space="0" w:color="auto"/>
        <w:right w:val="none" w:sz="0" w:space="0" w:color="auto"/>
      </w:divBdr>
    </w:div>
    <w:div w:id="1307248929">
      <w:bodyDiv w:val="1"/>
      <w:marLeft w:val="0"/>
      <w:marRight w:val="0"/>
      <w:marTop w:val="0"/>
      <w:marBottom w:val="0"/>
      <w:divBdr>
        <w:top w:val="none" w:sz="0" w:space="0" w:color="auto"/>
        <w:left w:val="none" w:sz="0" w:space="0" w:color="auto"/>
        <w:bottom w:val="none" w:sz="0" w:space="0" w:color="auto"/>
        <w:right w:val="none" w:sz="0" w:space="0" w:color="auto"/>
      </w:divBdr>
    </w:div>
    <w:div w:id="1337726585">
      <w:bodyDiv w:val="1"/>
      <w:marLeft w:val="0"/>
      <w:marRight w:val="0"/>
      <w:marTop w:val="0"/>
      <w:marBottom w:val="0"/>
      <w:divBdr>
        <w:top w:val="none" w:sz="0" w:space="0" w:color="auto"/>
        <w:left w:val="none" w:sz="0" w:space="0" w:color="auto"/>
        <w:bottom w:val="none" w:sz="0" w:space="0" w:color="auto"/>
        <w:right w:val="none" w:sz="0" w:space="0" w:color="auto"/>
      </w:divBdr>
    </w:div>
    <w:div w:id="1597321063">
      <w:bodyDiv w:val="1"/>
      <w:marLeft w:val="0"/>
      <w:marRight w:val="0"/>
      <w:marTop w:val="0"/>
      <w:marBottom w:val="0"/>
      <w:divBdr>
        <w:top w:val="none" w:sz="0" w:space="0" w:color="auto"/>
        <w:left w:val="none" w:sz="0" w:space="0" w:color="auto"/>
        <w:bottom w:val="none" w:sz="0" w:space="0" w:color="auto"/>
        <w:right w:val="none" w:sz="0" w:space="0" w:color="auto"/>
      </w:divBdr>
    </w:div>
    <w:div w:id="1597523024">
      <w:bodyDiv w:val="1"/>
      <w:marLeft w:val="0"/>
      <w:marRight w:val="0"/>
      <w:marTop w:val="0"/>
      <w:marBottom w:val="0"/>
      <w:divBdr>
        <w:top w:val="none" w:sz="0" w:space="0" w:color="auto"/>
        <w:left w:val="none" w:sz="0" w:space="0" w:color="auto"/>
        <w:bottom w:val="none" w:sz="0" w:space="0" w:color="auto"/>
        <w:right w:val="none" w:sz="0" w:space="0" w:color="auto"/>
      </w:divBdr>
    </w:div>
    <w:div w:id="1607417997">
      <w:bodyDiv w:val="1"/>
      <w:marLeft w:val="0"/>
      <w:marRight w:val="0"/>
      <w:marTop w:val="0"/>
      <w:marBottom w:val="0"/>
      <w:divBdr>
        <w:top w:val="none" w:sz="0" w:space="0" w:color="auto"/>
        <w:left w:val="none" w:sz="0" w:space="0" w:color="auto"/>
        <w:bottom w:val="none" w:sz="0" w:space="0" w:color="auto"/>
        <w:right w:val="none" w:sz="0" w:space="0" w:color="auto"/>
      </w:divBdr>
    </w:div>
    <w:div w:id="1987978125">
      <w:bodyDiv w:val="1"/>
      <w:marLeft w:val="0"/>
      <w:marRight w:val="0"/>
      <w:marTop w:val="0"/>
      <w:marBottom w:val="0"/>
      <w:divBdr>
        <w:top w:val="none" w:sz="0" w:space="0" w:color="auto"/>
        <w:left w:val="none" w:sz="0" w:space="0" w:color="auto"/>
        <w:bottom w:val="none" w:sz="0" w:space="0" w:color="auto"/>
        <w:right w:val="none" w:sz="0" w:space="0" w:color="auto"/>
      </w:divBdr>
    </w:div>
    <w:div w:id="2004892930">
      <w:bodyDiv w:val="1"/>
      <w:marLeft w:val="0"/>
      <w:marRight w:val="0"/>
      <w:marTop w:val="0"/>
      <w:marBottom w:val="0"/>
      <w:divBdr>
        <w:top w:val="none" w:sz="0" w:space="0" w:color="auto"/>
        <w:left w:val="none" w:sz="0" w:space="0" w:color="auto"/>
        <w:bottom w:val="none" w:sz="0" w:space="0" w:color="auto"/>
        <w:right w:val="none" w:sz="0" w:space="0" w:color="auto"/>
      </w:divBdr>
    </w:div>
    <w:div w:id="2025785556">
      <w:bodyDiv w:val="1"/>
      <w:marLeft w:val="0"/>
      <w:marRight w:val="0"/>
      <w:marTop w:val="0"/>
      <w:marBottom w:val="0"/>
      <w:divBdr>
        <w:top w:val="none" w:sz="0" w:space="0" w:color="auto"/>
        <w:left w:val="none" w:sz="0" w:space="0" w:color="auto"/>
        <w:bottom w:val="none" w:sz="0" w:space="0" w:color="auto"/>
        <w:right w:val="none" w:sz="0" w:space="0" w:color="auto"/>
      </w:divBdr>
    </w:div>
    <w:div w:id="206340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53378" TargetMode="Externa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s://docs.education.gov.au/node/53379" TargetMode="External"/><Relationship Id="rId17" Type="http://schemas.openxmlformats.org/officeDocument/2006/relationships/hyperlink" Target="https://docs.education.gov.au/system/files/doc/other/final_-_pia_2018_residential_address_collectio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bs.gov.au/websitedbs/D3310114.nsf/4a256353001af3ed4b2562bb00121564/9099c77cb979d558ca258198001b27a0/$FILE/2019%20MADIP%20PIA%20Update%20-%20PIA%20Report.pdf" TargetMode="Externa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0B00023/Explanatory%20Memorandum/Text" TargetMode="External"/><Relationship Id="rId24" Type="http://schemas.openxmlformats.org/officeDocument/2006/relationships/hyperlink" Target="https://docs.education.gov.au/system/files/doc/other/final_-_pia_2018_residential_address_collection.pdf" TargetMode="External"/><Relationship Id="rId5" Type="http://schemas.openxmlformats.org/officeDocument/2006/relationships/numbering" Target="numbering.xml"/><Relationship Id="rId15" Type="http://schemas.openxmlformats.org/officeDocument/2006/relationships/hyperlink" Target="https://www.abs.gov.au/websitedbs/D3310114.nsf/4a256353001af3ed4b2562bb00121564/9099c77cb979d558ca258198001b27a0/$FILE/MADIP%20iPIA_2018.pdf" TargetMode="External"/><Relationship Id="rId23" Type="http://schemas.openxmlformats.org/officeDocument/2006/relationships/hyperlink" Target="https://www.abs.gov.au/websitedbs/D3310114.nsf/4a256353001af3ed4b2562bb00121564/9099c77cb979d558ca258198001b27a0/$FILE/2019%20MADIP%20PIA%20Update%20-%20PIA%20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0B00023/Explanatory%20Memorandum/Text" TargetMode="External"/><Relationship Id="rId22" Type="http://schemas.openxmlformats.org/officeDocument/2006/relationships/hyperlink" Target="https://www.abs.gov.au/websitedbs/D3310114.nsf/4a256353001af3ed4b2562bb00121564/9099c77cb979d558ca258198001b27a0/$FILE/MADIP%20iPIA_2018.pdf"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7533B1-FA5D-4064-98F1-7F80588BCC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68FC976122C347801CE4072903EC06" ma:contentTypeVersion="" ma:contentTypeDescription="PDMS Document Site Content Type" ma:contentTypeScope="" ma:versionID="de348d096c3d652f3a22c960d4926d04">
  <xsd:schema xmlns:xsd="http://www.w3.org/2001/XMLSchema" xmlns:xs="http://www.w3.org/2001/XMLSchema" xmlns:p="http://schemas.microsoft.com/office/2006/metadata/properties" xmlns:ns2="387533B1-FA5D-4064-98F1-7F80588BCCE4" targetNamespace="http://schemas.microsoft.com/office/2006/metadata/properties" ma:root="true" ma:fieldsID="fb2c222abe5bf5e6e231a4181e5ef8f0" ns2:_="">
    <xsd:import namespace="387533B1-FA5D-4064-98F1-7F80588BCC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33B1-FA5D-4064-98F1-7F80588BCC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0B07-30ED-4B88-9FC8-673AFCFFFA3B}">
  <ds:schemaRefs>
    <ds:schemaRef ds:uri="http://schemas.microsoft.com/office/2006/metadata/properties"/>
    <ds:schemaRef ds:uri="http://schemas.microsoft.com/office/infopath/2007/PartnerControls"/>
    <ds:schemaRef ds:uri="387533B1-FA5D-4064-98F1-7F80588BCCE4"/>
  </ds:schemaRefs>
</ds:datastoreItem>
</file>

<file path=customXml/itemProps2.xml><?xml version="1.0" encoding="utf-8"?>
<ds:datastoreItem xmlns:ds="http://schemas.openxmlformats.org/officeDocument/2006/customXml" ds:itemID="{75FF2C74-AC9C-4872-BB12-8A82302EBAF4}">
  <ds:schemaRefs>
    <ds:schemaRef ds:uri="http://schemas.microsoft.com/sharepoint/v3/contenttype/forms"/>
  </ds:schemaRefs>
</ds:datastoreItem>
</file>

<file path=customXml/itemProps3.xml><?xml version="1.0" encoding="utf-8"?>
<ds:datastoreItem xmlns:ds="http://schemas.openxmlformats.org/officeDocument/2006/customXml" ds:itemID="{E5AB4680-8B66-4D29-A06E-4E4107F4B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33B1-FA5D-4064-98F1-7F80588B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487F3-80C3-4D5B-B950-BE67F478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E4019C1F.dotm</Template>
  <TotalTime>1</TotalTime>
  <Pages>1</Pages>
  <Words>8308</Words>
  <Characters>47357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TAN,Queenie</cp:lastModifiedBy>
  <cp:revision>3</cp:revision>
  <cp:lastPrinted>2020-03-23T21:30:00Z</cp:lastPrinted>
  <dcterms:created xsi:type="dcterms:W3CDTF">2020-04-02T02:38:00Z</dcterms:created>
  <dcterms:modified xsi:type="dcterms:W3CDTF">2020-04-02T03:02:00Z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0x010100266966F133664895A6EE3632470D45F500F568FC976122C347801CE4072903EC06</vt:lpwstr>
  </property>
</Properties>
</file>