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B97848" w:rsidRDefault="00FA6784" w:rsidP="00FA6784">
      <w:pPr>
        <w:pStyle w:val="H3"/>
        <w:jc w:val="center"/>
        <w:rPr>
          <w:sz w:val="24"/>
          <w:szCs w:val="24"/>
        </w:rPr>
      </w:pPr>
      <w:bookmarkStart w:id="0" w:name="_GoBack"/>
      <w:bookmarkEnd w:id="0"/>
      <w:r w:rsidRPr="00B97848">
        <w:rPr>
          <w:sz w:val="24"/>
          <w:szCs w:val="24"/>
        </w:rPr>
        <w:t>EXPLANATORY STATEMENT</w:t>
      </w:r>
    </w:p>
    <w:p w14:paraId="2412D120" w14:textId="77777777" w:rsidR="00FA6784" w:rsidRPr="00B97848" w:rsidRDefault="00FA6784" w:rsidP="00FA6784">
      <w:pPr>
        <w:jc w:val="center"/>
        <w:rPr>
          <w:sz w:val="22"/>
          <w:szCs w:val="22"/>
        </w:rPr>
      </w:pPr>
    </w:p>
    <w:p w14:paraId="2412D121" w14:textId="63CEE356" w:rsidR="00FA6784" w:rsidRPr="00B97848" w:rsidRDefault="00642368" w:rsidP="00FA6784">
      <w:pPr>
        <w:jc w:val="center"/>
      </w:pPr>
      <w:r w:rsidRPr="00B97848">
        <w:t xml:space="preserve">Issued by </w:t>
      </w:r>
      <w:r w:rsidR="00BD24CC" w:rsidRPr="00B97848">
        <w:t xml:space="preserve">the </w:t>
      </w:r>
      <w:r w:rsidR="00FA6784" w:rsidRPr="00B97848">
        <w:t>Minister for Health</w:t>
      </w:r>
    </w:p>
    <w:p w14:paraId="2412D122" w14:textId="77777777" w:rsidR="00FA6784" w:rsidRPr="00B97848" w:rsidRDefault="00FA6784" w:rsidP="00FA6784">
      <w:pPr>
        <w:jc w:val="center"/>
        <w:rPr>
          <w:i/>
          <w:iCs/>
          <w:sz w:val="20"/>
        </w:rPr>
      </w:pPr>
    </w:p>
    <w:p w14:paraId="2412D123" w14:textId="77777777" w:rsidR="00FA6784" w:rsidRPr="00B97848" w:rsidRDefault="00FA6784" w:rsidP="00FA6784">
      <w:pPr>
        <w:jc w:val="center"/>
        <w:rPr>
          <w:i/>
          <w:iCs/>
        </w:rPr>
      </w:pPr>
      <w:r w:rsidRPr="00B97848">
        <w:rPr>
          <w:i/>
          <w:iCs/>
        </w:rPr>
        <w:t>Health Insurance Act 1973</w:t>
      </w:r>
    </w:p>
    <w:p w14:paraId="2412D124" w14:textId="77777777" w:rsidR="00A1739A" w:rsidRPr="00B97848" w:rsidRDefault="00A1739A" w:rsidP="00A1739A">
      <w:pPr>
        <w:rPr>
          <w:szCs w:val="24"/>
          <w:u w:val="single"/>
        </w:rPr>
      </w:pPr>
    </w:p>
    <w:p w14:paraId="052E97C1" w14:textId="73D92DE6" w:rsidR="00164A69" w:rsidRDefault="004D6708"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rPr>
      </w:pPr>
      <w:r w:rsidRPr="004D6708">
        <w:rPr>
          <w:i/>
        </w:rPr>
        <w:t>Health Insurance (Section 3C General Medical Services – COVID-19 Telehealth and Telephone Attendances) Amendment (Bulk-billing Requirement and New Remote Attendance Services) Determination 2020</w:t>
      </w:r>
    </w:p>
    <w:p w14:paraId="4F969D77" w14:textId="77777777" w:rsidR="00977BD8" w:rsidRPr="00B97848" w:rsidRDefault="00977BD8"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0CCE728" w14:textId="791929DF" w:rsidR="00164A69" w:rsidRPr="00B97848"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B97848">
        <w:rPr>
          <w:shd w:val="clear" w:color="auto" w:fill="FFFFFF"/>
        </w:rPr>
        <w:t xml:space="preserve">Subsection 3C(1) of the </w:t>
      </w:r>
      <w:r w:rsidRPr="00B97848">
        <w:rPr>
          <w:i/>
          <w:shd w:val="clear" w:color="auto" w:fill="FFFFFF"/>
        </w:rPr>
        <w:t>Health Insurance Act 1973</w:t>
      </w:r>
      <w:r w:rsidRPr="00B97848">
        <w:rPr>
          <w:shd w:val="clear" w:color="auto" w:fill="FFFFFF"/>
        </w:rPr>
        <w:t xml:space="preserve"> (the Act) </w:t>
      </w:r>
      <w:r w:rsidR="00477C74" w:rsidRPr="00B97848">
        <w:rPr>
          <w:shd w:val="clear" w:color="auto" w:fill="FFFFFF"/>
        </w:rPr>
        <w:t>provide</w:t>
      </w:r>
      <w:r w:rsidR="002E5708" w:rsidRPr="00B97848">
        <w:rPr>
          <w:shd w:val="clear" w:color="auto" w:fill="FFFFFF"/>
        </w:rPr>
        <w:t>s</w:t>
      </w:r>
      <w:r w:rsidR="00477C74" w:rsidRPr="00B97848">
        <w:rPr>
          <w:shd w:val="clear" w:color="auto" w:fill="FFFFFF"/>
        </w:rPr>
        <w:t xml:space="preserve"> that</w:t>
      </w:r>
      <w:r w:rsidRPr="00B97848">
        <w:rPr>
          <w:shd w:val="clear" w:color="auto" w:fill="FFFFFF"/>
        </w:rPr>
        <w:t xml:space="preserve"> the Minister </w:t>
      </w:r>
      <w:r w:rsidR="00477C74" w:rsidRPr="00B97848">
        <w:rPr>
          <w:shd w:val="clear" w:color="auto" w:fill="FFFFFF"/>
        </w:rPr>
        <w:t>may</w:t>
      </w:r>
      <w:r w:rsidRPr="00B97848">
        <w:rPr>
          <w:shd w:val="clear" w:color="auto" w:fill="FFFFFF"/>
        </w:rPr>
        <w:t xml:space="preserve">, by legislative instrument, determine that a health service not specified in an item in the </w:t>
      </w:r>
      <w:r w:rsidR="00231CD0" w:rsidRPr="00B97848">
        <w:rPr>
          <w:shd w:val="clear" w:color="auto" w:fill="FFFFFF"/>
        </w:rPr>
        <w:t>general medical services t</w:t>
      </w:r>
      <w:r w:rsidRPr="00B97848">
        <w:rPr>
          <w:shd w:val="clear" w:color="auto" w:fill="FFFFFF"/>
        </w:rPr>
        <w:t xml:space="preserve">able </w:t>
      </w:r>
      <w:r w:rsidR="00D01D5A" w:rsidRPr="00B97848">
        <w:rPr>
          <w:shd w:val="clear" w:color="auto" w:fill="FFFFFF"/>
        </w:rPr>
        <w:t xml:space="preserve">(the Table) </w:t>
      </w:r>
      <w:r w:rsidRPr="00B97848">
        <w:rPr>
          <w:shd w:val="clear" w:color="auto" w:fill="FFFFFF"/>
        </w:rPr>
        <w:t xml:space="preserve">shall, in specified circumstances and for specified statutory provisions, be treated as if it were specified in the </w:t>
      </w:r>
      <w:r w:rsidR="00D01D5A" w:rsidRPr="00B97848">
        <w:rPr>
          <w:shd w:val="clear" w:color="auto" w:fill="FFFFFF"/>
        </w:rPr>
        <w:t>Table.</w:t>
      </w:r>
    </w:p>
    <w:p w14:paraId="7DB18649" w14:textId="77777777" w:rsidR="00841EDA" w:rsidRPr="00B97848"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CD04EE8" w14:textId="09CA4EC6" w:rsidR="00050623" w:rsidRPr="00B97848"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97848">
        <w:t xml:space="preserve">The </w:t>
      </w:r>
      <w:r w:rsidR="00D01D5A" w:rsidRPr="00B97848">
        <w:t>Table</w:t>
      </w:r>
      <w:r w:rsidRPr="00B97848">
        <w:t xml:space="preserve"> is set out in the regulations made under subsection 4(1) of the Act.</w:t>
      </w:r>
      <w:r w:rsidR="00DF2A8F" w:rsidRPr="00B97848">
        <w:t xml:space="preserve"> </w:t>
      </w:r>
      <w:r w:rsidRPr="00B97848">
        <w:t xml:space="preserve">The most recent version of the regulations is the </w:t>
      </w:r>
      <w:r w:rsidR="00231CD0" w:rsidRPr="00B97848">
        <w:rPr>
          <w:i/>
        </w:rPr>
        <w:t>Health Insurance (General Medical Services Table) Regulations 2019.</w:t>
      </w:r>
      <w:r w:rsidR="00DF2A8F" w:rsidRPr="00B97848">
        <w:rPr>
          <w:i/>
        </w:rPr>
        <w:t xml:space="preserve"> </w:t>
      </w:r>
    </w:p>
    <w:p w14:paraId="2E6FE463" w14:textId="77777777" w:rsidR="00050623" w:rsidRPr="00B97848"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0E2347AB" w:rsidR="00050623" w:rsidRPr="00B97848"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97848">
        <w:t xml:space="preserve">This instrument relies on subsection 33(3) of the </w:t>
      </w:r>
      <w:r w:rsidRPr="00B97848">
        <w:rPr>
          <w:i/>
        </w:rPr>
        <w:t>Acts Interpretation Act 1901</w:t>
      </w:r>
      <w:r w:rsidRPr="00B97848">
        <w:t xml:space="preserve"> (AIA).</w:t>
      </w:r>
      <w:r w:rsidR="00DF2A8F" w:rsidRPr="00B97848">
        <w:t xml:space="preserve"> </w:t>
      </w:r>
      <w:r w:rsidRPr="00B97848">
        <w:t>Subsection 33(3) of the AIA</w:t>
      </w:r>
      <w:r w:rsidRPr="00B97848">
        <w:rPr>
          <w:i/>
        </w:rPr>
        <w:t xml:space="preserve"> </w:t>
      </w:r>
      <w:r w:rsidRPr="00B97848">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w:t>
      </w:r>
      <w:r w:rsidR="00735ED1" w:rsidRPr="00B97848">
        <w:t xml:space="preserve"> repeal, rescind, revoke, amend</w:t>
      </w:r>
      <w:r w:rsidRPr="00B97848">
        <w:t xml:space="preserve"> or vary any such instrument.</w:t>
      </w:r>
    </w:p>
    <w:p w14:paraId="2412D129" w14:textId="4D3C443A" w:rsidR="008C5F1C" w:rsidRPr="00B97848" w:rsidRDefault="008C5F1C" w:rsidP="00D33180">
      <w:pPr>
        <w:autoSpaceDE w:val="0"/>
        <w:autoSpaceDN w:val="0"/>
        <w:adjustRightInd w:val="0"/>
        <w:ind w:right="-483"/>
        <w:rPr>
          <w:szCs w:val="24"/>
        </w:rPr>
      </w:pPr>
    </w:p>
    <w:p w14:paraId="1C1242A9" w14:textId="2C520E5B" w:rsidR="008973B9" w:rsidRPr="00B97848" w:rsidRDefault="008973B9" w:rsidP="00D33180">
      <w:pPr>
        <w:autoSpaceDE w:val="0"/>
        <w:autoSpaceDN w:val="0"/>
        <w:adjustRightInd w:val="0"/>
        <w:ind w:right="-483"/>
        <w:rPr>
          <w:b/>
          <w:szCs w:val="24"/>
        </w:rPr>
      </w:pPr>
      <w:r w:rsidRPr="00B97848">
        <w:rPr>
          <w:b/>
          <w:szCs w:val="24"/>
        </w:rPr>
        <w:t>Purpose</w:t>
      </w:r>
    </w:p>
    <w:p w14:paraId="76EEED46" w14:textId="02046163" w:rsidR="00455536" w:rsidRPr="00B97848" w:rsidRDefault="00455536" w:rsidP="00455536">
      <w:r w:rsidRPr="00B97848">
        <w:t xml:space="preserve">Since 13 March 2020, the Australian Government has been providing Medicare benefits to assist patients to receive remote health consultations by telehealth or phone in certain circumstances. The </w:t>
      </w:r>
      <w:r w:rsidRPr="006E2A38">
        <w:rPr>
          <w:i/>
        </w:rPr>
        <w:t>Health Insurance (Section 3C General Medical Services - COVID-19 Telehealth and Telephone Attendances) Determination 2020</w:t>
      </w:r>
      <w:r w:rsidRPr="006E2A38">
        <w:t xml:space="preserve"> </w:t>
      </w:r>
      <w:r w:rsidR="009E329D" w:rsidRPr="006E2A38">
        <w:t xml:space="preserve">(the Principal Determination) </w:t>
      </w:r>
      <w:r w:rsidRPr="006E2A38">
        <w:t>currently prescribes 2</w:t>
      </w:r>
      <w:r w:rsidR="00977BD8" w:rsidRPr="006E2A38">
        <w:t>44</w:t>
      </w:r>
      <w:r w:rsidRPr="006E2A38">
        <w:t xml:space="preserve"> temporary items that cover many general practice, specialist and consultant physicia</w:t>
      </w:r>
      <w:r w:rsidR="00735ED1" w:rsidRPr="006E2A38">
        <w:t>n, nurse practitioner</w:t>
      </w:r>
      <w:r w:rsidR="00735ED1" w:rsidRPr="00B97848">
        <w:t>, midwife</w:t>
      </w:r>
      <w:r w:rsidRPr="00B97848">
        <w:t xml:space="preserve"> and allied health attendances.</w:t>
      </w:r>
    </w:p>
    <w:p w14:paraId="47119B5A" w14:textId="77777777" w:rsidR="00455536" w:rsidRPr="00B97848" w:rsidRDefault="00455536" w:rsidP="00455536"/>
    <w:p w14:paraId="4AC718F1" w14:textId="0A4FF2E5" w:rsidR="00455536" w:rsidRPr="00B97848" w:rsidRDefault="00455536" w:rsidP="00455536">
      <w:r w:rsidRPr="00B97848">
        <w:t xml:space="preserve">These items ensure that telehealth can be used as a key weapon in the fight against </w:t>
      </w:r>
      <w:r w:rsidR="00983FBD" w:rsidRPr="00B97848">
        <w:rPr>
          <w:szCs w:val="24"/>
        </w:rPr>
        <w:t>coronavirus</w:t>
      </w:r>
      <w:r w:rsidR="00983FBD" w:rsidRPr="00B97848">
        <w:t xml:space="preserve"> (</w:t>
      </w:r>
      <w:r w:rsidRPr="00B97848">
        <w:t>COVID-19</w:t>
      </w:r>
      <w:r w:rsidR="00983FBD" w:rsidRPr="00B97848">
        <w:t>)</w:t>
      </w:r>
      <w:r w:rsidRPr="00B97848">
        <w:t xml:space="preserve"> pandemic. Expanding the consultation services available by telehealth is the next critical stage in the Government’s response to COVID-19.</w:t>
      </w:r>
    </w:p>
    <w:p w14:paraId="62C327D6" w14:textId="77777777" w:rsidR="00455536" w:rsidRPr="00B97848" w:rsidRDefault="00455536" w:rsidP="00455536"/>
    <w:p w14:paraId="3D9ECA81" w14:textId="618B255E" w:rsidR="006C069C" w:rsidRDefault="0024428D" w:rsidP="00735ED1">
      <w:pPr>
        <w:ind w:right="-58"/>
      </w:pPr>
      <w:r w:rsidRPr="00B97848">
        <w:t xml:space="preserve">The </w:t>
      </w:r>
      <w:r w:rsidR="004D6708" w:rsidRPr="004D6708">
        <w:rPr>
          <w:i/>
        </w:rPr>
        <w:t>Health Insurance (Section 3C General Medical Services – COVID-19 Telehealth and Telephone Attendances) Amendment (Bulk-billing Requirement and New Remote Attendance Services) Determination 2020</w:t>
      </w:r>
      <w:r w:rsidR="00977BD8">
        <w:t xml:space="preserve"> </w:t>
      </w:r>
      <w:r w:rsidR="009E329D">
        <w:t xml:space="preserve">(the Amendment Determination) </w:t>
      </w:r>
      <w:r w:rsidR="006C069C">
        <w:t xml:space="preserve">has two purposes. </w:t>
      </w:r>
    </w:p>
    <w:p w14:paraId="343E7BE2" w14:textId="77777777" w:rsidR="006C069C" w:rsidRDefault="006C069C" w:rsidP="00735ED1">
      <w:pPr>
        <w:ind w:right="-58"/>
      </w:pPr>
    </w:p>
    <w:p w14:paraId="4E0DB654" w14:textId="300FA417" w:rsidR="008425E1" w:rsidRDefault="006C069C" w:rsidP="00735ED1">
      <w:pPr>
        <w:ind w:right="-58"/>
      </w:pPr>
      <w:r>
        <w:t xml:space="preserve">First, the Amendment Determination </w:t>
      </w:r>
      <w:r w:rsidR="008425E1">
        <w:t>remove</w:t>
      </w:r>
      <w:r>
        <w:t>s</w:t>
      </w:r>
      <w:r w:rsidR="008425E1">
        <w:t xml:space="preserve"> the requirement for </w:t>
      </w:r>
      <w:r w:rsidR="008425E1" w:rsidRPr="008425E1">
        <w:t>specialist and consultant physician</w:t>
      </w:r>
      <w:r w:rsidR="008425E1">
        <w:t>s</w:t>
      </w:r>
      <w:r w:rsidR="008425E1" w:rsidRPr="008425E1">
        <w:t>, nurse practitioner</w:t>
      </w:r>
      <w:r w:rsidR="008425E1">
        <w:t>s</w:t>
      </w:r>
      <w:r w:rsidR="008425E1" w:rsidRPr="008425E1">
        <w:t>, midwife</w:t>
      </w:r>
      <w:r w:rsidR="008425E1">
        <w:t>s</w:t>
      </w:r>
      <w:r w:rsidR="008425E1" w:rsidRPr="008425E1">
        <w:t xml:space="preserve"> and allied health </w:t>
      </w:r>
      <w:r w:rsidR="00244C7B">
        <w:t xml:space="preserve">practitioners </w:t>
      </w:r>
      <w:r w:rsidR="008425E1">
        <w:t xml:space="preserve">to </w:t>
      </w:r>
      <w:r w:rsidR="008425E1">
        <w:lastRenderedPageBreak/>
        <w:t xml:space="preserve">bulk-bill attendances for certain patients. From </w:t>
      </w:r>
      <w:r w:rsidR="00C31B5C">
        <w:t>20 April</w:t>
      </w:r>
      <w:r w:rsidR="00244C7B">
        <w:t xml:space="preserve"> 2020</w:t>
      </w:r>
      <w:r w:rsidR="008425E1">
        <w:t>, these health professionals will be able to choose to bulk</w:t>
      </w:r>
      <w:r w:rsidR="00244C7B">
        <w:t>-</w:t>
      </w:r>
      <w:r w:rsidR="008425E1">
        <w:t xml:space="preserve">bill or patient bill any attendance service in the </w:t>
      </w:r>
      <w:r w:rsidR="008425E1" w:rsidRPr="008425E1">
        <w:t>Principal Determination</w:t>
      </w:r>
      <w:r w:rsidR="008425E1">
        <w:t xml:space="preserve">. </w:t>
      </w:r>
    </w:p>
    <w:p w14:paraId="672F4B15" w14:textId="77777777" w:rsidR="008425E1" w:rsidRDefault="008425E1" w:rsidP="00735ED1">
      <w:pPr>
        <w:ind w:right="-58"/>
      </w:pPr>
    </w:p>
    <w:p w14:paraId="2ABDC4B8" w14:textId="2AA14515" w:rsidR="008425E1" w:rsidRDefault="008425E1" w:rsidP="00735ED1">
      <w:pPr>
        <w:ind w:right="-58"/>
      </w:pPr>
      <w:r>
        <w:t xml:space="preserve">GPs and medical practitioners in general practice must continue to bulk-bill services in the </w:t>
      </w:r>
      <w:r w:rsidRPr="008425E1">
        <w:t>Principal Determinatio</w:t>
      </w:r>
      <w:r>
        <w:t>n which are provided to:</w:t>
      </w:r>
    </w:p>
    <w:p w14:paraId="4B33BF2D" w14:textId="77777777" w:rsidR="008425E1" w:rsidRDefault="008425E1" w:rsidP="006E2A38">
      <w:pPr>
        <w:pStyle w:val="ListParagraph"/>
        <w:numPr>
          <w:ilvl w:val="0"/>
          <w:numId w:val="37"/>
        </w:numPr>
        <w:ind w:right="-58"/>
      </w:pPr>
      <w:r>
        <w:t xml:space="preserve">a </w:t>
      </w:r>
      <w:r w:rsidRPr="008425E1">
        <w:t>patient at risk of COVID-19 virus</w:t>
      </w:r>
      <w:r>
        <w:t>;</w:t>
      </w:r>
    </w:p>
    <w:p w14:paraId="44352565" w14:textId="14B12DBC" w:rsidR="008425E1" w:rsidRDefault="008425E1" w:rsidP="006E2A38">
      <w:pPr>
        <w:pStyle w:val="ListParagraph"/>
        <w:numPr>
          <w:ilvl w:val="0"/>
          <w:numId w:val="37"/>
        </w:numPr>
        <w:ind w:right="-58"/>
      </w:pPr>
      <w:r>
        <w:t xml:space="preserve">a </w:t>
      </w:r>
      <w:r w:rsidRPr="008425E1">
        <w:t>person who is a concessional beneficiary</w:t>
      </w:r>
      <w:r>
        <w:t>; or</w:t>
      </w:r>
    </w:p>
    <w:p w14:paraId="2034CB56" w14:textId="77777777" w:rsidR="008425E1" w:rsidRDefault="008425E1" w:rsidP="006E2A38">
      <w:pPr>
        <w:pStyle w:val="ListParagraph"/>
        <w:numPr>
          <w:ilvl w:val="0"/>
          <w:numId w:val="37"/>
        </w:numPr>
        <w:ind w:right="-58"/>
      </w:pPr>
      <w:proofErr w:type="gramStart"/>
      <w:r>
        <w:t>a</w:t>
      </w:r>
      <w:proofErr w:type="gramEnd"/>
      <w:r>
        <w:t xml:space="preserve"> </w:t>
      </w:r>
      <w:r w:rsidRPr="008425E1">
        <w:t>person who is under the age of 16</w:t>
      </w:r>
      <w:r>
        <w:t xml:space="preserve">. </w:t>
      </w:r>
    </w:p>
    <w:p w14:paraId="2ED597A7" w14:textId="77777777" w:rsidR="00AD0BAD" w:rsidRDefault="00AD0BAD" w:rsidP="00AD0BAD">
      <w:pPr>
        <w:ind w:right="-58"/>
      </w:pPr>
    </w:p>
    <w:p w14:paraId="700FCA75" w14:textId="48D62481" w:rsidR="00AD0BAD" w:rsidRDefault="006C069C" w:rsidP="00AD0BAD">
      <w:pPr>
        <w:ind w:right="-58"/>
      </w:pPr>
      <w:r>
        <w:t xml:space="preserve">Second, the Amendment Determination creates 28 additional telehealth and phone service items. </w:t>
      </w:r>
      <w:r w:rsidRPr="006C069C">
        <w:t xml:space="preserve">These items relate to </w:t>
      </w:r>
      <w:r>
        <w:t xml:space="preserve">neurosurgery consultations, </w:t>
      </w:r>
      <w:r w:rsidRPr="006C069C">
        <w:t>public health physician consultation</w:t>
      </w:r>
      <w:r>
        <w:t xml:space="preserve">s, </w:t>
      </w:r>
      <w:r w:rsidRPr="006C069C">
        <w:t>Aboriginal and Torres Strait Islander health practitioner consultation</w:t>
      </w:r>
      <w:r>
        <w:t>s</w:t>
      </w:r>
      <w:r w:rsidRPr="006C069C">
        <w:t xml:space="preserve"> </w:t>
      </w:r>
      <w:r>
        <w:t>and group psychotherapy services</w:t>
      </w:r>
      <w:r w:rsidR="003A257A">
        <w:t xml:space="preserve"> performed by psychiatrists</w:t>
      </w:r>
      <w:r>
        <w:t>.</w:t>
      </w:r>
    </w:p>
    <w:p w14:paraId="58315992" w14:textId="77777777" w:rsidR="00DC5F13" w:rsidRPr="00B97848" w:rsidRDefault="00DC5F13" w:rsidP="008973B9">
      <w:pPr>
        <w:rPr>
          <w:b/>
        </w:rPr>
      </w:pPr>
    </w:p>
    <w:p w14:paraId="274244A2" w14:textId="500A3638" w:rsidR="00A5069B" w:rsidRPr="00A5069B" w:rsidRDefault="00A1739A" w:rsidP="00A5069B">
      <w:pPr>
        <w:rPr>
          <w:rFonts w:ascii="Helvetica Neue" w:hAnsi="Helvetica Neue"/>
          <w:szCs w:val="24"/>
          <w:lang w:val="en-US"/>
        </w:rPr>
      </w:pPr>
      <w:r w:rsidRPr="00B97848">
        <w:rPr>
          <w:b/>
        </w:rPr>
        <w:t>Consultation</w:t>
      </w:r>
    </w:p>
    <w:p w14:paraId="344FBEBD" w14:textId="48716A1A" w:rsidR="00A5069B" w:rsidRDefault="00A5069B" w:rsidP="00A5069B">
      <w:pPr>
        <w:ind w:right="-58"/>
      </w:pPr>
      <w:r w:rsidRPr="00A5069B">
        <w:t>Feedback was received from many specialist and allied health care stakeholders advocating for these changes. This included groups such as Australian Medical Association, Royal Australian and New Zealand College of Psychiatrists, the Australian Association of Consultant Physicians and a wide range of professional societies and medical colleges. Allied health stakeholders including Aboriginal and Torres Strait Islander representative groups were also consulted. These changes support the Government’s health care package to protect all Australians from COVID-19 and ensures the continued viability of specialist and allied health services under Medicare.</w:t>
      </w:r>
    </w:p>
    <w:p w14:paraId="114B8B4C" w14:textId="77777777" w:rsidR="003B731D" w:rsidRDefault="003B731D" w:rsidP="000337CB">
      <w:pPr>
        <w:rPr>
          <w:rFonts w:ascii="Calibri" w:eastAsiaTheme="minorHAnsi" w:hAnsi="Calibri" w:cs="Calibri"/>
          <w:szCs w:val="24"/>
          <w:lang w:eastAsia="en-US"/>
        </w:rPr>
      </w:pPr>
    </w:p>
    <w:p w14:paraId="2412D134" w14:textId="7028346E" w:rsidR="00967E51" w:rsidRPr="00B97848" w:rsidRDefault="00A1739A" w:rsidP="000337CB">
      <w:pPr>
        <w:rPr>
          <w:szCs w:val="24"/>
        </w:rPr>
      </w:pPr>
      <w:r w:rsidRPr="00B97848">
        <w:rPr>
          <w:szCs w:val="24"/>
        </w:rPr>
        <w:t xml:space="preserve">Details of the </w:t>
      </w:r>
      <w:r w:rsidR="00735ED1" w:rsidRPr="00B97848">
        <w:rPr>
          <w:szCs w:val="24"/>
        </w:rPr>
        <w:t>Amendment</w:t>
      </w:r>
      <w:r w:rsidR="00271EEA" w:rsidRPr="00B97848">
        <w:rPr>
          <w:szCs w:val="24"/>
        </w:rPr>
        <w:t xml:space="preserve"> </w:t>
      </w:r>
      <w:r w:rsidR="00574E71" w:rsidRPr="00B97848">
        <w:rPr>
          <w:szCs w:val="24"/>
        </w:rPr>
        <w:t>Determination</w:t>
      </w:r>
      <w:r w:rsidRPr="00B97848">
        <w:rPr>
          <w:szCs w:val="24"/>
        </w:rPr>
        <w:t xml:space="preserve"> are set out in the </w:t>
      </w:r>
      <w:r w:rsidRPr="00B97848">
        <w:rPr>
          <w:szCs w:val="24"/>
          <w:u w:val="single"/>
        </w:rPr>
        <w:t>Attachment</w:t>
      </w:r>
      <w:r w:rsidRPr="00B97848">
        <w:rPr>
          <w:szCs w:val="24"/>
        </w:rPr>
        <w:t>.</w:t>
      </w:r>
    </w:p>
    <w:p w14:paraId="07372F0D" w14:textId="77777777" w:rsidR="00234EDC" w:rsidRPr="00B97848" w:rsidRDefault="00234EDC" w:rsidP="00234EDC">
      <w:pPr>
        <w:autoSpaceDE w:val="0"/>
        <w:autoSpaceDN w:val="0"/>
        <w:adjustRightInd w:val="0"/>
        <w:rPr>
          <w:szCs w:val="24"/>
        </w:rPr>
      </w:pPr>
    </w:p>
    <w:p w14:paraId="2412D136" w14:textId="29474AB9" w:rsidR="00236DF2" w:rsidRPr="00B97848" w:rsidRDefault="008973B9" w:rsidP="00234EDC">
      <w:pPr>
        <w:autoSpaceDE w:val="0"/>
        <w:autoSpaceDN w:val="0"/>
        <w:adjustRightInd w:val="0"/>
        <w:rPr>
          <w:szCs w:val="24"/>
        </w:rPr>
      </w:pPr>
      <w:r w:rsidRPr="00B97848">
        <w:rPr>
          <w:szCs w:val="24"/>
        </w:rPr>
        <w:t xml:space="preserve">The </w:t>
      </w:r>
      <w:r w:rsidR="00735ED1" w:rsidRPr="00B97848">
        <w:rPr>
          <w:szCs w:val="24"/>
        </w:rPr>
        <w:t>Amendment</w:t>
      </w:r>
      <w:r w:rsidR="00271EEA" w:rsidRPr="00B97848">
        <w:rPr>
          <w:szCs w:val="24"/>
        </w:rPr>
        <w:t xml:space="preserve"> </w:t>
      </w:r>
      <w:r w:rsidRPr="00B97848">
        <w:rPr>
          <w:szCs w:val="24"/>
        </w:rPr>
        <w:t xml:space="preserve">Determination </w:t>
      </w:r>
      <w:r w:rsidRPr="00977BD8">
        <w:rPr>
          <w:szCs w:val="24"/>
        </w:rPr>
        <w:t>comme</w:t>
      </w:r>
      <w:r w:rsidRPr="008C7F8F">
        <w:rPr>
          <w:szCs w:val="24"/>
        </w:rPr>
        <w:t xml:space="preserve">nces </w:t>
      </w:r>
      <w:r w:rsidR="00B90727" w:rsidRPr="008C7F8F">
        <w:rPr>
          <w:szCs w:val="24"/>
        </w:rPr>
        <w:t xml:space="preserve">on </w:t>
      </w:r>
      <w:r w:rsidR="00C31B5C" w:rsidRPr="001C2360">
        <w:rPr>
          <w:szCs w:val="24"/>
        </w:rPr>
        <w:t>20 April</w:t>
      </w:r>
      <w:r w:rsidR="00B90727" w:rsidRPr="001C2360">
        <w:rPr>
          <w:szCs w:val="24"/>
        </w:rPr>
        <w:t xml:space="preserve"> 2020</w:t>
      </w:r>
      <w:r w:rsidR="00B90727" w:rsidRPr="008C7F8F">
        <w:rPr>
          <w:szCs w:val="24"/>
        </w:rPr>
        <w:t>.</w:t>
      </w:r>
      <w:r w:rsidR="00B90727" w:rsidRPr="00B97848">
        <w:rPr>
          <w:szCs w:val="24"/>
        </w:rPr>
        <w:t xml:space="preserve"> </w:t>
      </w:r>
      <w:r w:rsidR="00234EDC" w:rsidRPr="00B97848">
        <w:rPr>
          <w:iCs/>
        </w:rPr>
        <w:br/>
      </w:r>
    </w:p>
    <w:p w14:paraId="2412D138" w14:textId="08B4F2F1" w:rsidR="00574E71" w:rsidRPr="00B97848" w:rsidRDefault="0002728B" w:rsidP="00DE07E4">
      <w:pPr>
        <w:spacing w:after="200" w:line="276" w:lineRule="auto"/>
        <w:rPr>
          <w:szCs w:val="24"/>
        </w:rPr>
      </w:pPr>
      <w:r w:rsidRPr="00B97848">
        <w:rPr>
          <w:szCs w:val="24"/>
        </w:rPr>
        <w:t>T</w:t>
      </w:r>
      <w:r w:rsidR="00574E71" w:rsidRPr="00B97848">
        <w:rPr>
          <w:szCs w:val="24"/>
        </w:rPr>
        <w:t xml:space="preserve">he </w:t>
      </w:r>
      <w:r w:rsidR="00735ED1" w:rsidRPr="00B97848">
        <w:rPr>
          <w:szCs w:val="24"/>
        </w:rPr>
        <w:t>Amendment</w:t>
      </w:r>
      <w:r w:rsidR="00271EEA" w:rsidRPr="00B97848">
        <w:rPr>
          <w:szCs w:val="24"/>
        </w:rPr>
        <w:t xml:space="preserve"> </w:t>
      </w:r>
      <w:r w:rsidR="00574E71" w:rsidRPr="00B97848">
        <w:rPr>
          <w:szCs w:val="24"/>
        </w:rPr>
        <w:t xml:space="preserve">Determination is </w:t>
      </w:r>
      <w:r w:rsidR="004417A2" w:rsidRPr="00B97848">
        <w:rPr>
          <w:szCs w:val="24"/>
        </w:rPr>
        <w:t xml:space="preserve">a </w:t>
      </w:r>
      <w:r w:rsidR="00574E71" w:rsidRPr="00B97848">
        <w:rPr>
          <w:szCs w:val="24"/>
        </w:rPr>
        <w:t xml:space="preserve">legislative instrument for the purposes of the </w:t>
      </w:r>
      <w:r w:rsidR="00574E71" w:rsidRPr="00B97848">
        <w:rPr>
          <w:i/>
        </w:rPr>
        <w:t>Legislation Act 2003</w:t>
      </w:r>
      <w:r w:rsidR="00574E71" w:rsidRPr="00B97848">
        <w:rPr>
          <w:szCs w:val="24"/>
        </w:rPr>
        <w:t>.</w:t>
      </w:r>
    </w:p>
    <w:p w14:paraId="2412D139" w14:textId="488D6E14" w:rsidR="00A1739A" w:rsidRPr="00B97848" w:rsidRDefault="00DF2A8F" w:rsidP="000337CB">
      <w:pPr>
        <w:ind w:left="6663" w:hanging="3119"/>
        <w:rPr>
          <w:szCs w:val="24"/>
        </w:rPr>
      </w:pPr>
      <w:r w:rsidRPr="00B97848">
        <w:rPr>
          <w:szCs w:val="24"/>
        </w:rPr>
        <w:t xml:space="preserve">     </w:t>
      </w:r>
      <w:r w:rsidR="00A1739A" w:rsidRPr="00B97848">
        <w:rPr>
          <w:szCs w:val="24"/>
        </w:rPr>
        <w:t xml:space="preserve"> </w:t>
      </w:r>
    </w:p>
    <w:p w14:paraId="2412D13A" w14:textId="0401CBFF" w:rsidR="00A1739A" w:rsidRPr="00B97848" w:rsidRDefault="00A1739A" w:rsidP="00301178">
      <w:pPr>
        <w:ind w:firstLine="3828"/>
        <w:rPr>
          <w:szCs w:val="24"/>
        </w:rPr>
      </w:pPr>
      <w:r w:rsidRPr="00B97848">
        <w:rPr>
          <w:szCs w:val="24"/>
          <w:u w:val="single"/>
        </w:rPr>
        <w:t>Authority</w:t>
      </w:r>
      <w:r w:rsidR="00967E51" w:rsidRPr="00B97848">
        <w:rPr>
          <w:szCs w:val="24"/>
        </w:rPr>
        <w:t>:</w:t>
      </w:r>
      <w:r w:rsidR="00DF2A8F" w:rsidRPr="00B97848">
        <w:rPr>
          <w:szCs w:val="24"/>
        </w:rPr>
        <w:t xml:space="preserve">  </w:t>
      </w:r>
      <w:r w:rsidR="00967E51" w:rsidRPr="00B97848">
        <w:rPr>
          <w:szCs w:val="24"/>
        </w:rPr>
        <w:t xml:space="preserve"> </w:t>
      </w:r>
      <w:r w:rsidR="00301178" w:rsidRPr="00B97848">
        <w:rPr>
          <w:szCs w:val="24"/>
        </w:rPr>
        <w:t xml:space="preserve"> </w:t>
      </w:r>
      <w:r w:rsidR="00967E51" w:rsidRPr="00B97848">
        <w:rPr>
          <w:szCs w:val="24"/>
        </w:rPr>
        <w:t xml:space="preserve">Subsection </w:t>
      </w:r>
      <w:proofErr w:type="gramStart"/>
      <w:r w:rsidRPr="00B97848">
        <w:rPr>
          <w:szCs w:val="24"/>
        </w:rPr>
        <w:t>3</w:t>
      </w:r>
      <w:r w:rsidR="00967E51" w:rsidRPr="00B97848">
        <w:rPr>
          <w:szCs w:val="24"/>
        </w:rPr>
        <w:t>C</w:t>
      </w:r>
      <w:r w:rsidRPr="00B97848">
        <w:rPr>
          <w:szCs w:val="24"/>
        </w:rPr>
        <w:t>(</w:t>
      </w:r>
      <w:proofErr w:type="gramEnd"/>
      <w:r w:rsidRPr="00B97848">
        <w:rPr>
          <w:szCs w:val="24"/>
        </w:rPr>
        <w:t xml:space="preserve">1) of the </w:t>
      </w:r>
    </w:p>
    <w:p w14:paraId="2412D13B" w14:textId="12E3EB3D" w:rsidR="00A1739A" w:rsidRPr="00B97848" w:rsidRDefault="00301178" w:rsidP="00301178">
      <w:pPr>
        <w:tabs>
          <w:tab w:val="left" w:pos="4678"/>
        </w:tabs>
        <w:rPr>
          <w:szCs w:val="24"/>
        </w:rPr>
        <w:sectPr w:rsidR="00A1739A" w:rsidRPr="00B97848" w:rsidSect="00235B6C">
          <w:headerReference w:type="default" r:id="rId11"/>
          <w:pgSz w:w="11906" w:h="16838"/>
          <w:pgMar w:top="1440" w:right="1800" w:bottom="1135" w:left="1800" w:header="708" w:footer="708" w:gutter="0"/>
          <w:pgNumType w:start="1"/>
          <w:cols w:space="708"/>
          <w:docGrid w:linePitch="360"/>
        </w:sectPr>
      </w:pPr>
      <w:r w:rsidRPr="00B97848">
        <w:rPr>
          <w:i/>
          <w:szCs w:val="24"/>
        </w:rPr>
        <w:tab/>
      </w:r>
      <w:r w:rsidRPr="00B97848">
        <w:rPr>
          <w:i/>
          <w:szCs w:val="24"/>
        </w:rPr>
        <w:tab/>
      </w:r>
      <w:r w:rsidR="00A1739A" w:rsidRPr="00B97848">
        <w:rPr>
          <w:i/>
          <w:szCs w:val="24"/>
        </w:rPr>
        <w:t>Health Insurance Act 1973</w:t>
      </w:r>
    </w:p>
    <w:p w14:paraId="2412D13D" w14:textId="77777777" w:rsidR="006D5816" w:rsidRPr="00B97848" w:rsidRDefault="006D5816" w:rsidP="000337CB">
      <w:pPr>
        <w:pStyle w:val="BodyText"/>
        <w:jc w:val="right"/>
        <w:rPr>
          <w:szCs w:val="24"/>
        </w:rPr>
      </w:pPr>
      <w:r w:rsidRPr="00B97848">
        <w:rPr>
          <w:szCs w:val="24"/>
        </w:rPr>
        <w:lastRenderedPageBreak/>
        <w:t>ATTACHMENT</w:t>
      </w:r>
    </w:p>
    <w:p w14:paraId="2412D13E" w14:textId="77777777" w:rsidR="006D5816" w:rsidRPr="00B97848" w:rsidRDefault="006D5816" w:rsidP="000337CB">
      <w:pPr>
        <w:pStyle w:val="BodyText"/>
        <w:rPr>
          <w:szCs w:val="24"/>
          <w:u w:val="single"/>
        </w:rPr>
      </w:pPr>
    </w:p>
    <w:p w14:paraId="5B0C808A" w14:textId="5EFB1C19" w:rsidR="00215191" w:rsidRPr="00B97848" w:rsidRDefault="00A41364" w:rsidP="00186752">
      <w:pPr>
        <w:pStyle w:val="BodyText"/>
        <w:rPr>
          <w:i/>
          <w:iCs/>
        </w:rPr>
      </w:pPr>
      <w:r w:rsidRPr="00B97848">
        <w:rPr>
          <w:szCs w:val="24"/>
        </w:rPr>
        <w:t xml:space="preserve">Details of the </w:t>
      </w:r>
      <w:r w:rsidR="004D6708" w:rsidRPr="004D6708">
        <w:rPr>
          <w:i/>
          <w:szCs w:val="24"/>
        </w:rPr>
        <w:t>Health Insurance (Section 3C General Medical Services – COVID-19 Telehealth and Telephone Attendances) Amendment (Bulk-billing Requirement and New Remote Attendance Services) Determination 2020</w:t>
      </w:r>
    </w:p>
    <w:p w14:paraId="7BBEB147" w14:textId="720F9678" w:rsidR="00E70355" w:rsidRPr="00B97848" w:rsidRDefault="00E70355" w:rsidP="000337CB">
      <w:pPr>
        <w:pStyle w:val="BodyText"/>
        <w:rPr>
          <w:b w:val="0"/>
          <w:i/>
          <w:szCs w:val="24"/>
        </w:rPr>
      </w:pPr>
    </w:p>
    <w:p w14:paraId="2412D141" w14:textId="7C34D5F4" w:rsidR="00FE02C2" w:rsidRPr="00B97848" w:rsidRDefault="001B0111" w:rsidP="000337CB">
      <w:pPr>
        <w:pStyle w:val="BodyText"/>
        <w:rPr>
          <w:b w:val="0"/>
          <w:szCs w:val="24"/>
          <w:u w:val="single"/>
        </w:rPr>
      </w:pPr>
      <w:r w:rsidRPr="00B97848">
        <w:rPr>
          <w:b w:val="0"/>
          <w:szCs w:val="24"/>
          <w:u w:val="single"/>
        </w:rPr>
        <w:t>Section 1 – Name</w:t>
      </w:r>
    </w:p>
    <w:p w14:paraId="2412D142" w14:textId="77777777" w:rsidR="00FE02C2" w:rsidRPr="00B97848" w:rsidRDefault="00FE02C2" w:rsidP="000337CB">
      <w:pPr>
        <w:pStyle w:val="BodyText"/>
        <w:rPr>
          <w:b w:val="0"/>
          <w:szCs w:val="24"/>
          <w:u w:val="single"/>
        </w:rPr>
      </w:pPr>
    </w:p>
    <w:p w14:paraId="2412D144" w14:textId="290254C5" w:rsidR="00F83B6F" w:rsidRPr="00B97848" w:rsidRDefault="00BC7397" w:rsidP="00C67BC7">
      <w:pPr>
        <w:pStyle w:val="BodyText"/>
        <w:rPr>
          <w:i/>
          <w:iCs/>
        </w:rPr>
      </w:pPr>
      <w:r w:rsidRPr="00B97848">
        <w:rPr>
          <w:b w:val="0"/>
          <w:szCs w:val="24"/>
        </w:rPr>
        <w:t>S</w:t>
      </w:r>
      <w:r w:rsidR="00FE02C2" w:rsidRPr="00B97848">
        <w:rPr>
          <w:b w:val="0"/>
          <w:szCs w:val="24"/>
        </w:rPr>
        <w:t xml:space="preserve">ection </w:t>
      </w:r>
      <w:r w:rsidRPr="00B97848">
        <w:rPr>
          <w:b w:val="0"/>
          <w:szCs w:val="24"/>
        </w:rPr>
        <w:t xml:space="preserve">1 </w:t>
      </w:r>
      <w:r w:rsidR="00FE02C2" w:rsidRPr="00B97848">
        <w:rPr>
          <w:b w:val="0"/>
          <w:szCs w:val="24"/>
        </w:rPr>
        <w:t>provides</w:t>
      </w:r>
      <w:r w:rsidR="008B683E" w:rsidRPr="00B97848">
        <w:rPr>
          <w:b w:val="0"/>
          <w:szCs w:val="24"/>
        </w:rPr>
        <w:t xml:space="preserve"> for the </w:t>
      </w:r>
      <w:r w:rsidR="00735ED1" w:rsidRPr="00B97848">
        <w:rPr>
          <w:b w:val="0"/>
          <w:szCs w:val="24"/>
        </w:rPr>
        <w:t>Amendment</w:t>
      </w:r>
      <w:r w:rsidR="00271EEA" w:rsidRPr="00B97848">
        <w:rPr>
          <w:b w:val="0"/>
          <w:szCs w:val="24"/>
        </w:rPr>
        <w:t xml:space="preserve"> </w:t>
      </w:r>
      <w:r w:rsidR="008B2094" w:rsidRPr="00B97848">
        <w:rPr>
          <w:b w:val="0"/>
          <w:szCs w:val="24"/>
        </w:rPr>
        <w:t>Determination</w:t>
      </w:r>
      <w:r w:rsidR="00FE02C2" w:rsidRPr="00B97848">
        <w:rPr>
          <w:b w:val="0"/>
          <w:szCs w:val="24"/>
        </w:rPr>
        <w:t xml:space="preserve"> to be referred to as the</w:t>
      </w:r>
      <w:r w:rsidR="00977BD8">
        <w:rPr>
          <w:b w:val="0"/>
          <w:i/>
        </w:rPr>
        <w:t xml:space="preserve"> </w:t>
      </w:r>
      <w:r w:rsidR="004D6708" w:rsidRPr="004D6708">
        <w:rPr>
          <w:b w:val="0"/>
          <w:i/>
        </w:rPr>
        <w:t>Health Insurance (Section 3C General Medical Services – COVID-19 Telehealth and Telephone Attendances) Amendment (Bulk-billing Requirement and New Remote Attendance Services) Determination 2020</w:t>
      </w:r>
      <w:r w:rsidR="00977BD8">
        <w:rPr>
          <w:b w:val="0"/>
          <w:i/>
        </w:rPr>
        <w:t>.</w:t>
      </w:r>
    </w:p>
    <w:p w14:paraId="68DAA207" w14:textId="77777777" w:rsidR="00FD602D" w:rsidRPr="00B97848" w:rsidRDefault="00FD602D" w:rsidP="00FD602D"/>
    <w:p w14:paraId="49D1E050" w14:textId="77777777" w:rsidR="007A4089" w:rsidRPr="00B97848" w:rsidRDefault="00FE02C2" w:rsidP="000337CB">
      <w:pPr>
        <w:pStyle w:val="BodyText"/>
        <w:rPr>
          <w:b w:val="0"/>
          <w:szCs w:val="24"/>
          <w:u w:val="single"/>
        </w:rPr>
      </w:pPr>
      <w:r w:rsidRPr="00B97848">
        <w:rPr>
          <w:b w:val="0"/>
          <w:szCs w:val="24"/>
          <w:u w:val="single"/>
        </w:rPr>
        <w:t xml:space="preserve">Section 2 – Commencement </w:t>
      </w:r>
    </w:p>
    <w:p w14:paraId="2DCE2ED0" w14:textId="77777777" w:rsidR="007A4089" w:rsidRPr="00B97848" w:rsidRDefault="007A4089" w:rsidP="000337CB">
      <w:pPr>
        <w:pStyle w:val="BodyText"/>
        <w:rPr>
          <w:b w:val="0"/>
          <w:szCs w:val="24"/>
          <w:u w:val="single"/>
        </w:rPr>
      </w:pPr>
    </w:p>
    <w:p w14:paraId="16C03200" w14:textId="3D6A53DA" w:rsidR="007E0017" w:rsidRPr="00B97848" w:rsidRDefault="00A74412" w:rsidP="000337CB">
      <w:pPr>
        <w:pStyle w:val="BodyText"/>
        <w:rPr>
          <w:b w:val="0"/>
          <w:szCs w:val="24"/>
        </w:rPr>
      </w:pPr>
      <w:r w:rsidRPr="00B97848">
        <w:rPr>
          <w:b w:val="0"/>
          <w:szCs w:val="24"/>
        </w:rPr>
        <w:t>Sections 2 provide</w:t>
      </w:r>
      <w:r w:rsidR="00735ED1" w:rsidRPr="00B97848">
        <w:rPr>
          <w:b w:val="0"/>
          <w:szCs w:val="24"/>
        </w:rPr>
        <w:t>s that the Amendment</w:t>
      </w:r>
      <w:r w:rsidR="00271EEA" w:rsidRPr="00B97848">
        <w:rPr>
          <w:b w:val="0"/>
          <w:szCs w:val="24"/>
        </w:rPr>
        <w:t xml:space="preserve"> </w:t>
      </w:r>
      <w:r w:rsidR="00F820C0" w:rsidRPr="00B97848">
        <w:rPr>
          <w:b w:val="0"/>
          <w:szCs w:val="24"/>
        </w:rPr>
        <w:t xml:space="preserve">Determination </w:t>
      </w:r>
      <w:r w:rsidR="00F820C0" w:rsidRPr="00977BD8">
        <w:rPr>
          <w:b w:val="0"/>
          <w:szCs w:val="24"/>
        </w:rPr>
        <w:t xml:space="preserve">commences </w:t>
      </w:r>
      <w:r w:rsidR="00B90727" w:rsidRPr="00977BD8">
        <w:rPr>
          <w:b w:val="0"/>
          <w:szCs w:val="24"/>
        </w:rPr>
        <w:t xml:space="preserve">on </w:t>
      </w:r>
      <w:r w:rsidR="00C31B5C" w:rsidRPr="001C2360">
        <w:rPr>
          <w:b w:val="0"/>
          <w:szCs w:val="24"/>
        </w:rPr>
        <w:t>20 April</w:t>
      </w:r>
      <w:r w:rsidR="00B90727" w:rsidRPr="001C2360">
        <w:rPr>
          <w:b w:val="0"/>
          <w:szCs w:val="24"/>
        </w:rPr>
        <w:t xml:space="preserve"> 2020</w:t>
      </w:r>
      <w:r w:rsidR="00271EEA" w:rsidRPr="008C7F8F">
        <w:rPr>
          <w:b w:val="0"/>
          <w:i/>
          <w:szCs w:val="24"/>
        </w:rPr>
        <w:t>.</w:t>
      </w:r>
    </w:p>
    <w:p w14:paraId="52409296" w14:textId="77777777" w:rsidR="00F820C0" w:rsidRPr="00B97848" w:rsidRDefault="00F820C0" w:rsidP="000337CB">
      <w:pPr>
        <w:pStyle w:val="BodyText"/>
        <w:rPr>
          <w:b w:val="0"/>
          <w:szCs w:val="24"/>
        </w:rPr>
      </w:pPr>
    </w:p>
    <w:p w14:paraId="005D5660" w14:textId="77777777" w:rsidR="007A4089" w:rsidRPr="00B97848" w:rsidRDefault="00FE02C2" w:rsidP="000337CB">
      <w:pPr>
        <w:pStyle w:val="BodyText"/>
        <w:rPr>
          <w:b w:val="0"/>
          <w:szCs w:val="24"/>
          <w:u w:val="single"/>
        </w:rPr>
      </w:pPr>
      <w:r w:rsidRPr="00B97848">
        <w:rPr>
          <w:b w:val="0"/>
          <w:szCs w:val="24"/>
          <w:u w:val="single"/>
        </w:rPr>
        <w:t xml:space="preserve">Section 3 – </w:t>
      </w:r>
      <w:r w:rsidR="00E5798A" w:rsidRPr="00B97848">
        <w:rPr>
          <w:b w:val="0"/>
          <w:szCs w:val="24"/>
          <w:u w:val="single"/>
        </w:rPr>
        <w:t>Authority</w:t>
      </w:r>
    </w:p>
    <w:p w14:paraId="53BFA098" w14:textId="77777777" w:rsidR="007A4089" w:rsidRPr="00B97848" w:rsidRDefault="007A4089" w:rsidP="000337CB">
      <w:pPr>
        <w:pStyle w:val="BodyText"/>
        <w:rPr>
          <w:b w:val="0"/>
          <w:szCs w:val="24"/>
          <w:u w:val="single"/>
        </w:rPr>
      </w:pPr>
    </w:p>
    <w:p w14:paraId="2412D14B" w14:textId="2F20ED69" w:rsidR="00FE02C2" w:rsidRPr="00B97848" w:rsidRDefault="00F83B6F" w:rsidP="000337CB">
      <w:pPr>
        <w:pStyle w:val="BodyText"/>
        <w:rPr>
          <w:b w:val="0"/>
        </w:rPr>
      </w:pPr>
      <w:r w:rsidRPr="00B97848">
        <w:rPr>
          <w:b w:val="0"/>
        </w:rPr>
        <w:t xml:space="preserve">Section 3 provides that the </w:t>
      </w:r>
      <w:r w:rsidR="00735ED1" w:rsidRPr="00B97848">
        <w:rPr>
          <w:b w:val="0"/>
        </w:rPr>
        <w:t>Amendment</w:t>
      </w:r>
      <w:r w:rsidR="00271EEA" w:rsidRPr="00B97848">
        <w:rPr>
          <w:b w:val="0"/>
        </w:rPr>
        <w:t xml:space="preserve"> </w:t>
      </w:r>
      <w:r w:rsidR="008B2094" w:rsidRPr="00B97848">
        <w:rPr>
          <w:b w:val="0"/>
          <w:szCs w:val="24"/>
        </w:rPr>
        <w:t xml:space="preserve">Determination </w:t>
      </w:r>
      <w:r w:rsidR="00E5798A" w:rsidRPr="00B97848">
        <w:rPr>
          <w:b w:val="0"/>
        </w:rPr>
        <w:t xml:space="preserve">is made under </w:t>
      </w:r>
      <w:r w:rsidR="00367440" w:rsidRPr="00B97848">
        <w:rPr>
          <w:b w:val="0"/>
        </w:rPr>
        <w:t xml:space="preserve">subsection </w:t>
      </w:r>
      <w:proofErr w:type="gramStart"/>
      <w:r w:rsidR="00E5798A" w:rsidRPr="00B97848">
        <w:rPr>
          <w:b w:val="0"/>
        </w:rPr>
        <w:t>3C(</w:t>
      </w:r>
      <w:proofErr w:type="gramEnd"/>
      <w:r w:rsidR="00E5798A" w:rsidRPr="00B97848">
        <w:rPr>
          <w:b w:val="0"/>
        </w:rPr>
        <w:t xml:space="preserve">1) of the </w:t>
      </w:r>
      <w:r w:rsidR="00E5798A" w:rsidRPr="00B97848">
        <w:rPr>
          <w:b w:val="0"/>
          <w:i/>
        </w:rPr>
        <w:t>Health Insurance Act 1973</w:t>
      </w:r>
      <w:r w:rsidR="00E5798A" w:rsidRPr="00B97848">
        <w:rPr>
          <w:b w:val="0"/>
        </w:rPr>
        <w:t>.</w:t>
      </w:r>
    </w:p>
    <w:p w14:paraId="0DBF1241" w14:textId="77777777" w:rsidR="00E70355" w:rsidRPr="00B97848" w:rsidRDefault="00E70355" w:rsidP="000337CB">
      <w:pPr>
        <w:pStyle w:val="BodyText"/>
        <w:rPr>
          <w:b w:val="0"/>
        </w:rPr>
      </w:pPr>
    </w:p>
    <w:p w14:paraId="20CBF84A" w14:textId="77777777" w:rsidR="00C63FDC" w:rsidRPr="00B97848" w:rsidRDefault="00C63FDC" w:rsidP="00C63FDC">
      <w:pPr>
        <w:pStyle w:val="BodyText"/>
        <w:rPr>
          <w:b w:val="0"/>
          <w:szCs w:val="24"/>
          <w:u w:val="single"/>
        </w:rPr>
      </w:pPr>
      <w:r w:rsidRPr="00B97848">
        <w:rPr>
          <w:b w:val="0"/>
          <w:szCs w:val="24"/>
          <w:u w:val="single"/>
        </w:rPr>
        <w:t>Section 4 – Schedules</w:t>
      </w:r>
    </w:p>
    <w:p w14:paraId="4C010161" w14:textId="77777777" w:rsidR="00C63FDC" w:rsidRPr="00B97848" w:rsidRDefault="00C63FDC" w:rsidP="00C63FDC">
      <w:pPr>
        <w:pStyle w:val="BodyText"/>
        <w:rPr>
          <w:b w:val="0"/>
          <w:szCs w:val="24"/>
          <w:u w:val="single"/>
        </w:rPr>
      </w:pPr>
    </w:p>
    <w:p w14:paraId="5D9EBF8D" w14:textId="1B47E692" w:rsidR="00C63FDC" w:rsidRPr="00B97848" w:rsidRDefault="00C63FDC" w:rsidP="00C63FDC">
      <w:pPr>
        <w:pStyle w:val="BodyText"/>
        <w:rPr>
          <w:b w:val="0"/>
          <w:szCs w:val="24"/>
        </w:rPr>
      </w:pPr>
      <w:r w:rsidRPr="00B97848">
        <w:rPr>
          <w:b w:val="0"/>
          <w:szCs w:val="24"/>
        </w:rPr>
        <w:t xml:space="preserve">Section 4 provides that each instrument that is specified in a Schedule to this </w:t>
      </w:r>
      <w:r w:rsidR="00735ED1" w:rsidRPr="00B97848">
        <w:rPr>
          <w:b w:val="0"/>
          <w:szCs w:val="24"/>
        </w:rPr>
        <w:t>Amendment</w:t>
      </w:r>
      <w:r w:rsidR="00271EEA" w:rsidRPr="00B97848">
        <w:rPr>
          <w:b w:val="0"/>
          <w:szCs w:val="24"/>
        </w:rPr>
        <w:t xml:space="preserve"> </w:t>
      </w:r>
      <w:r w:rsidRPr="00B97848">
        <w:rPr>
          <w:b w:val="0"/>
          <w:szCs w:val="24"/>
        </w:rPr>
        <w:t xml:space="preserve">Determination is amended or repealed as set out in the applicable items in the Schedule concerned, and any other item in a Schedule to this </w:t>
      </w:r>
      <w:r w:rsidR="00735ED1" w:rsidRPr="00B97848">
        <w:rPr>
          <w:b w:val="0"/>
          <w:szCs w:val="24"/>
        </w:rPr>
        <w:t>Amendment</w:t>
      </w:r>
      <w:r w:rsidR="00271EEA" w:rsidRPr="00B97848">
        <w:rPr>
          <w:b w:val="0"/>
          <w:szCs w:val="24"/>
        </w:rPr>
        <w:t xml:space="preserve"> </w:t>
      </w:r>
      <w:r w:rsidRPr="00B97848">
        <w:rPr>
          <w:b w:val="0"/>
          <w:szCs w:val="24"/>
        </w:rPr>
        <w:t>Determination has effect according to its terms.</w:t>
      </w:r>
    </w:p>
    <w:p w14:paraId="17D2CF69" w14:textId="77777777" w:rsidR="007E0017" w:rsidRPr="00B97848" w:rsidRDefault="007E0017" w:rsidP="00404F11">
      <w:pPr>
        <w:pStyle w:val="BodyText"/>
        <w:rPr>
          <w:b w:val="0"/>
          <w:szCs w:val="24"/>
        </w:rPr>
      </w:pPr>
    </w:p>
    <w:p w14:paraId="768D340E" w14:textId="081C8930" w:rsidR="00C63FDC" w:rsidRPr="00B97848" w:rsidRDefault="00735ED1" w:rsidP="00C63FDC">
      <w:pPr>
        <w:pStyle w:val="Header"/>
        <w:tabs>
          <w:tab w:val="num" w:pos="1080"/>
        </w:tabs>
        <w:rPr>
          <w:szCs w:val="24"/>
          <w:u w:val="single"/>
        </w:rPr>
      </w:pPr>
      <w:r w:rsidRPr="00B97848">
        <w:rPr>
          <w:szCs w:val="24"/>
          <w:u w:val="single"/>
        </w:rPr>
        <w:t>Schedule 1 - Amendments</w:t>
      </w:r>
    </w:p>
    <w:p w14:paraId="69EA53D6" w14:textId="77777777" w:rsidR="0089579B" w:rsidRPr="00B97848" w:rsidRDefault="0089579B" w:rsidP="00C63FDC">
      <w:pPr>
        <w:pStyle w:val="Header"/>
        <w:tabs>
          <w:tab w:val="num" w:pos="1080"/>
        </w:tabs>
        <w:rPr>
          <w:szCs w:val="24"/>
          <w:u w:val="single"/>
        </w:rPr>
      </w:pPr>
    </w:p>
    <w:p w14:paraId="2E33AB37" w14:textId="77777777" w:rsidR="009E329D" w:rsidRDefault="009E329D" w:rsidP="00C63FDC">
      <w:pPr>
        <w:pStyle w:val="Header"/>
        <w:tabs>
          <w:tab w:val="num" w:pos="1080"/>
        </w:tabs>
      </w:pPr>
      <w:r>
        <w:t xml:space="preserve">Schedule 1 amends the Principal Determination. </w:t>
      </w:r>
    </w:p>
    <w:p w14:paraId="440387BB" w14:textId="77777777" w:rsidR="004D6708" w:rsidRDefault="004D6708" w:rsidP="00C63FDC">
      <w:pPr>
        <w:pStyle w:val="Header"/>
        <w:tabs>
          <w:tab w:val="num" w:pos="1080"/>
        </w:tabs>
      </w:pPr>
    </w:p>
    <w:p w14:paraId="12A40ADD" w14:textId="60E311E1" w:rsidR="004D6104" w:rsidRDefault="004D6104" w:rsidP="00C63FDC">
      <w:pPr>
        <w:pStyle w:val="Header"/>
        <w:tabs>
          <w:tab w:val="num" w:pos="1080"/>
        </w:tabs>
        <w:rPr>
          <w:b/>
        </w:rPr>
      </w:pPr>
      <w:r>
        <w:rPr>
          <w:b/>
        </w:rPr>
        <w:t xml:space="preserve">Item 1 </w:t>
      </w:r>
    </w:p>
    <w:p w14:paraId="65FAC84D" w14:textId="74E183E2" w:rsidR="004D6104" w:rsidRPr="005F09F8" w:rsidRDefault="004D6104" w:rsidP="00C63FDC">
      <w:pPr>
        <w:pStyle w:val="Header"/>
        <w:tabs>
          <w:tab w:val="num" w:pos="1080"/>
        </w:tabs>
      </w:pPr>
      <w:r>
        <w:t xml:space="preserve">Item 1 </w:t>
      </w:r>
      <w:r w:rsidR="00355689">
        <w:t>repeals and substitutes the</w:t>
      </w:r>
      <w:r>
        <w:t xml:space="preserve"> definition of ‘multidisciplinary care plan’ in subsection 5(1) to </w:t>
      </w:r>
      <w:r w:rsidR="00ED10A7">
        <w:t xml:space="preserve">refer to </w:t>
      </w:r>
      <w:r w:rsidR="00355689">
        <w:t>the meaning given by clause 4.1.2</w:t>
      </w:r>
      <w:r w:rsidR="00ED10A7">
        <w:t xml:space="preserve"> </w:t>
      </w:r>
      <w:r>
        <w:t xml:space="preserve">for </w:t>
      </w:r>
      <w:r w:rsidR="00355689">
        <w:t xml:space="preserve">new </w:t>
      </w:r>
      <w:r>
        <w:t>items 9320</w:t>
      </w:r>
      <w:r w:rsidR="00CB78D0">
        <w:t>1</w:t>
      </w:r>
      <w:r>
        <w:t xml:space="preserve"> and 9320</w:t>
      </w:r>
      <w:r w:rsidR="00CB78D0">
        <w:t>3</w:t>
      </w:r>
      <w:r>
        <w:t xml:space="preserve">. </w:t>
      </w:r>
      <w:r w:rsidR="00355689">
        <w:t xml:space="preserve">There is no change to the meaning of the term used in other parts of the </w:t>
      </w:r>
      <w:r w:rsidR="00355689" w:rsidRPr="00355689">
        <w:t>Principal Determination</w:t>
      </w:r>
      <w:r w:rsidR="00355689">
        <w:t>.</w:t>
      </w:r>
    </w:p>
    <w:p w14:paraId="0231D1C3" w14:textId="77777777" w:rsidR="004D6104" w:rsidRDefault="004D6104" w:rsidP="00C63FDC">
      <w:pPr>
        <w:pStyle w:val="Header"/>
        <w:tabs>
          <w:tab w:val="num" w:pos="1080"/>
        </w:tabs>
        <w:rPr>
          <w:b/>
        </w:rPr>
      </w:pPr>
    </w:p>
    <w:p w14:paraId="2625B470" w14:textId="198C47AD" w:rsidR="009E329D" w:rsidRPr="004D6708" w:rsidRDefault="004D6708" w:rsidP="00C63FDC">
      <w:pPr>
        <w:pStyle w:val="Header"/>
        <w:tabs>
          <w:tab w:val="num" w:pos="1080"/>
        </w:tabs>
        <w:rPr>
          <w:b/>
        </w:rPr>
      </w:pPr>
      <w:r>
        <w:rPr>
          <w:b/>
        </w:rPr>
        <w:t xml:space="preserve">Item </w:t>
      </w:r>
      <w:r w:rsidR="004D6104">
        <w:rPr>
          <w:b/>
        </w:rPr>
        <w:t>2</w:t>
      </w:r>
    </w:p>
    <w:p w14:paraId="0DF65971" w14:textId="43E2E3FE" w:rsidR="00040B83" w:rsidRDefault="009E329D" w:rsidP="00C63FDC">
      <w:pPr>
        <w:pStyle w:val="Header"/>
        <w:tabs>
          <w:tab w:val="num" w:pos="1080"/>
        </w:tabs>
        <w:rPr>
          <w:szCs w:val="24"/>
        </w:rPr>
      </w:pPr>
      <w:r w:rsidRPr="00FC319A">
        <w:rPr>
          <w:szCs w:val="24"/>
        </w:rPr>
        <w:t xml:space="preserve">Subsection 8(4) was inserted by the </w:t>
      </w:r>
      <w:r w:rsidRPr="00FC319A">
        <w:rPr>
          <w:i/>
          <w:szCs w:val="24"/>
        </w:rPr>
        <w:t xml:space="preserve">Health Insurance (Section 3C General Medical Services – COVID-19 Telehealth and Telephone Attendances) Amendment (Bulk-billing) Determination 2020. </w:t>
      </w:r>
      <w:r w:rsidRPr="00FC319A">
        <w:rPr>
          <w:szCs w:val="24"/>
        </w:rPr>
        <w:t>Subsection 8(4) provided that, where a service under an item in a</w:t>
      </w:r>
      <w:r w:rsidR="00244C7B">
        <w:rPr>
          <w:szCs w:val="24"/>
        </w:rPr>
        <w:t>ny</w:t>
      </w:r>
      <w:r w:rsidRPr="00FC319A">
        <w:rPr>
          <w:szCs w:val="24"/>
        </w:rPr>
        <w:t xml:space="preserve"> Schedule </w:t>
      </w:r>
      <w:r w:rsidR="00244C7B">
        <w:rPr>
          <w:szCs w:val="24"/>
        </w:rPr>
        <w:t xml:space="preserve">in the Principal Determination </w:t>
      </w:r>
      <w:r w:rsidRPr="00FC319A">
        <w:rPr>
          <w:szCs w:val="24"/>
        </w:rPr>
        <w:t>is provided to a patient at risk of COVID-19, a person who is a concessional beneficiary or a person under the age of 16</w:t>
      </w:r>
      <w:r w:rsidR="005671FA">
        <w:rPr>
          <w:szCs w:val="24"/>
        </w:rPr>
        <w:t>,</w:t>
      </w:r>
      <w:r w:rsidRPr="00FC319A">
        <w:rPr>
          <w:szCs w:val="24"/>
        </w:rPr>
        <w:t xml:space="preserve"> the service must be bulk-billed. </w:t>
      </w:r>
    </w:p>
    <w:p w14:paraId="0FC793BA" w14:textId="77777777" w:rsidR="00040B83" w:rsidRDefault="00040B83" w:rsidP="00C63FDC">
      <w:pPr>
        <w:pStyle w:val="Header"/>
        <w:tabs>
          <w:tab w:val="num" w:pos="1080"/>
        </w:tabs>
        <w:rPr>
          <w:szCs w:val="24"/>
        </w:rPr>
      </w:pPr>
    </w:p>
    <w:p w14:paraId="286436E5" w14:textId="35A667BA" w:rsidR="009E329D" w:rsidRDefault="009E329D" w:rsidP="00C63FDC">
      <w:pPr>
        <w:pStyle w:val="Header"/>
        <w:tabs>
          <w:tab w:val="num" w:pos="1080"/>
        </w:tabs>
        <w:rPr>
          <w:szCs w:val="24"/>
        </w:rPr>
      </w:pPr>
      <w:r w:rsidRPr="00FC319A">
        <w:rPr>
          <w:szCs w:val="24"/>
        </w:rPr>
        <w:lastRenderedPageBreak/>
        <w:t xml:space="preserve">Item </w:t>
      </w:r>
      <w:r w:rsidR="004D6104">
        <w:rPr>
          <w:szCs w:val="24"/>
        </w:rPr>
        <w:t>2</w:t>
      </w:r>
      <w:r w:rsidRPr="00FC319A">
        <w:rPr>
          <w:szCs w:val="24"/>
        </w:rPr>
        <w:t xml:space="preserve"> amends subsection 8(4) so that the requirement to bulk-bill certain patients</w:t>
      </w:r>
      <w:r w:rsidR="00977BD8" w:rsidRPr="00FC319A">
        <w:rPr>
          <w:szCs w:val="24"/>
        </w:rPr>
        <w:t xml:space="preserve"> only applies to </w:t>
      </w:r>
      <w:r w:rsidRPr="00FC319A">
        <w:rPr>
          <w:szCs w:val="24"/>
        </w:rPr>
        <w:t>a service prov</w:t>
      </w:r>
      <w:r w:rsidR="00977BD8" w:rsidRPr="00FC319A">
        <w:rPr>
          <w:szCs w:val="24"/>
        </w:rPr>
        <w:t>ided under an item in Schedule 1 (</w:t>
      </w:r>
      <w:r w:rsidR="00040B83">
        <w:rPr>
          <w:szCs w:val="24"/>
        </w:rPr>
        <w:t>general practice</w:t>
      </w:r>
      <w:r w:rsidR="00977BD8" w:rsidRPr="00FC319A">
        <w:rPr>
          <w:szCs w:val="24"/>
        </w:rPr>
        <w:t xml:space="preserve"> services). Subsection 8(4) will no longer apply to specialist</w:t>
      </w:r>
      <w:r w:rsidR="00977BD8">
        <w:rPr>
          <w:szCs w:val="24"/>
        </w:rPr>
        <w:t xml:space="preserve">, consultant physician and consultant psychiatrist services (Schedule 2), allied health services (Schedule 3) or nurse practitioner and midwife services (Schedule 4). </w:t>
      </w:r>
    </w:p>
    <w:p w14:paraId="20205BE0" w14:textId="57743D4A" w:rsidR="00EE3931" w:rsidRDefault="004D6708" w:rsidP="00EE3931">
      <w:pPr>
        <w:pStyle w:val="Header"/>
        <w:keepNext/>
        <w:tabs>
          <w:tab w:val="num" w:pos="1080"/>
        </w:tabs>
        <w:rPr>
          <w:b/>
          <w:szCs w:val="24"/>
        </w:rPr>
      </w:pPr>
      <w:r>
        <w:rPr>
          <w:b/>
          <w:szCs w:val="24"/>
        </w:rPr>
        <w:t>Item</w:t>
      </w:r>
      <w:r w:rsidR="008C4CDF">
        <w:rPr>
          <w:b/>
          <w:szCs w:val="24"/>
        </w:rPr>
        <w:t>s</w:t>
      </w:r>
      <w:r>
        <w:rPr>
          <w:b/>
          <w:szCs w:val="24"/>
        </w:rPr>
        <w:t xml:space="preserve"> </w:t>
      </w:r>
      <w:r w:rsidR="004D6104">
        <w:rPr>
          <w:b/>
          <w:szCs w:val="24"/>
        </w:rPr>
        <w:t>3</w:t>
      </w:r>
      <w:r w:rsidR="008C4CDF">
        <w:rPr>
          <w:b/>
          <w:szCs w:val="24"/>
        </w:rPr>
        <w:t xml:space="preserve"> and </w:t>
      </w:r>
      <w:r w:rsidR="004D6104">
        <w:rPr>
          <w:b/>
          <w:szCs w:val="24"/>
        </w:rPr>
        <w:t>4</w:t>
      </w:r>
    </w:p>
    <w:p w14:paraId="5D1A59D4" w14:textId="0017F0C1" w:rsidR="008C4CDF" w:rsidRPr="008C4CDF" w:rsidRDefault="008C4CDF" w:rsidP="008C4CDF">
      <w:pPr>
        <w:pStyle w:val="Default"/>
      </w:pPr>
      <w:r>
        <w:t xml:space="preserve">Subsection 8(5) provides that an item in a Schedule only applies </w:t>
      </w:r>
      <w:r w:rsidRPr="008C4CDF">
        <w:t xml:space="preserve">to a service that is an attendance by a single health professional on a single patient. </w:t>
      </w:r>
      <w:r>
        <w:t xml:space="preserve">Items </w:t>
      </w:r>
      <w:r w:rsidR="004D6104">
        <w:t>3</w:t>
      </w:r>
      <w:r>
        <w:t xml:space="preserve"> and </w:t>
      </w:r>
      <w:r w:rsidR="004D6104">
        <w:t>4</w:t>
      </w:r>
      <w:r>
        <w:t xml:space="preserve"> provide that </w:t>
      </w:r>
      <w:r w:rsidR="008B6622">
        <w:t xml:space="preserve">the limitation in </w:t>
      </w:r>
      <w:r>
        <w:t xml:space="preserve">subsection 8(5) </w:t>
      </w:r>
      <w:r w:rsidR="008B6622">
        <w:t xml:space="preserve">does not apply to items 92455 to 92457 and 92495 to 92497, as these items </w:t>
      </w:r>
      <w:r w:rsidR="006E13E1">
        <w:t xml:space="preserve">are for </w:t>
      </w:r>
      <w:r w:rsidR="008B6622">
        <w:t>group psychotherapy</w:t>
      </w:r>
      <w:r w:rsidR="006E13E1">
        <w:t xml:space="preserve"> services involving multiple patients</w:t>
      </w:r>
      <w:r w:rsidR="008B6622">
        <w:t xml:space="preserve">.  </w:t>
      </w:r>
    </w:p>
    <w:p w14:paraId="149719B9" w14:textId="0BCBA55A" w:rsidR="008C4CDF" w:rsidRPr="008C4CDF" w:rsidRDefault="008C4CDF" w:rsidP="00EE3931">
      <w:pPr>
        <w:pStyle w:val="Header"/>
        <w:keepNext/>
        <w:tabs>
          <w:tab w:val="num" w:pos="1080"/>
        </w:tabs>
        <w:rPr>
          <w:szCs w:val="24"/>
        </w:rPr>
      </w:pPr>
      <w:r>
        <w:rPr>
          <w:szCs w:val="24"/>
        </w:rPr>
        <w:t xml:space="preserve"> </w:t>
      </w:r>
    </w:p>
    <w:p w14:paraId="797E4963" w14:textId="317BB956" w:rsidR="004D6708" w:rsidRPr="00EE3931" w:rsidRDefault="008B6622" w:rsidP="00EE3931">
      <w:pPr>
        <w:pStyle w:val="Header"/>
        <w:keepNext/>
        <w:tabs>
          <w:tab w:val="num" w:pos="1080"/>
        </w:tabs>
        <w:rPr>
          <w:b/>
          <w:szCs w:val="24"/>
        </w:rPr>
      </w:pPr>
      <w:r>
        <w:rPr>
          <w:b/>
          <w:szCs w:val="24"/>
        </w:rPr>
        <w:t xml:space="preserve">Item </w:t>
      </w:r>
      <w:r w:rsidR="004D6104">
        <w:rPr>
          <w:b/>
          <w:szCs w:val="24"/>
        </w:rPr>
        <w:t>5</w:t>
      </w:r>
    </w:p>
    <w:p w14:paraId="381D84B9" w14:textId="7281EBF0" w:rsidR="00EE3931" w:rsidRPr="00EE3931" w:rsidRDefault="00EE3931" w:rsidP="00EE3931">
      <w:pPr>
        <w:pStyle w:val="Header"/>
        <w:keepNext/>
        <w:tabs>
          <w:tab w:val="num" w:pos="1080"/>
        </w:tabs>
        <w:rPr>
          <w:szCs w:val="24"/>
        </w:rPr>
      </w:pPr>
      <w:r w:rsidRPr="00EE3931">
        <w:rPr>
          <w:szCs w:val="24"/>
        </w:rPr>
        <w:t>Subclause 2.1.1(1) provides that items in Subgroup 7, 8, 9, 18, 24, 26 or 32, which require an audio link only, do not apply if the rendering practitioner and the patient have the capacity to undertake an attendance by telehealth (which requires an audio and visual link).</w:t>
      </w:r>
      <w:r w:rsidR="006E13E1">
        <w:rPr>
          <w:szCs w:val="24"/>
        </w:rPr>
        <w:t xml:space="preserve"> Item </w:t>
      </w:r>
      <w:r w:rsidR="004D6104">
        <w:rPr>
          <w:szCs w:val="24"/>
        </w:rPr>
        <w:t>5</w:t>
      </w:r>
      <w:r w:rsidR="006E13E1" w:rsidRPr="00EE3931">
        <w:rPr>
          <w:szCs w:val="24"/>
        </w:rPr>
        <w:t xml:space="preserve"> </w:t>
      </w:r>
      <w:r w:rsidR="006E13E1">
        <w:rPr>
          <w:szCs w:val="24"/>
        </w:rPr>
        <w:t>amends this subclause to add the</w:t>
      </w:r>
      <w:r w:rsidR="006E13E1" w:rsidRPr="00EE3931">
        <w:rPr>
          <w:szCs w:val="24"/>
        </w:rPr>
        <w:t xml:space="preserve"> new </w:t>
      </w:r>
      <w:r w:rsidR="006E13E1">
        <w:rPr>
          <w:szCs w:val="24"/>
        </w:rPr>
        <w:t>public health (</w:t>
      </w:r>
      <w:r w:rsidR="006E13E1" w:rsidRPr="00EE3931">
        <w:rPr>
          <w:szCs w:val="24"/>
        </w:rPr>
        <w:t>Subgroup 3</w:t>
      </w:r>
      <w:r w:rsidR="006E13E1">
        <w:rPr>
          <w:szCs w:val="24"/>
        </w:rPr>
        <w:t>4) and neurosurgery phone attendances (Subgroup 36)</w:t>
      </w:r>
      <w:r w:rsidR="006E13E1" w:rsidRPr="00EE3931">
        <w:rPr>
          <w:szCs w:val="24"/>
        </w:rPr>
        <w:t xml:space="preserve"> of Group A40</w:t>
      </w:r>
      <w:r w:rsidR="006E13E1">
        <w:rPr>
          <w:szCs w:val="24"/>
        </w:rPr>
        <w:t xml:space="preserve"> to apply the same requirement.</w:t>
      </w:r>
    </w:p>
    <w:p w14:paraId="6C32071D" w14:textId="77777777" w:rsidR="00EE3931" w:rsidRPr="00EE3931" w:rsidRDefault="00EE3931" w:rsidP="00C63FDC">
      <w:pPr>
        <w:pStyle w:val="Header"/>
        <w:tabs>
          <w:tab w:val="num" w:pos="1080"/>
        </w:tabs>
        <w:rPr>
          <w:szCs w:val="24"/>
        </w:rPr>
      </w:pPr>
    </w:p>
    <w:p w14:paraId="699730C6" w14:textId="7D45398A" w:rsidR="00EE3931" w:rsidRPr="00EE3931" w:rsidRDefault="008B6622" w:rsidP="00C63FDC">
      <w:pPr>
        <w:pStyle w:val="Header"/>
        <w:tabs>
          <w:tab w:val="num" w:pos="1080"/>
        </w:tabs>
        <w:rPr>
          <w:b/>
          <w:szCs w:val="24"/>
        </w:rPr>
      </w:pPr>
      <w:r>
        <w:rPr>
          <w:b/>
          <w:szCs w:val="24"/>
        </w:rPr>
        <w:t xml:space="preserve">Item </w:t>
      </w:r>
      <w:r w:rsidR="004D6104">
        <w:rPr>
          <w:b/>
          <w:szCs w:val="24"/>
        </w:rPr>
        <w:t>6</w:t>
      </w:r>
    </w:p>
    <w:p w14:paraId="48327D7B" w14:textId="63BD5DF0" w:rsidR="00216907" w:rsidRDefault="008B6622" w:rsidP="00C63FDC">
      <w:pPr>
        <w:pStyle w:val="Header"/>
        <w:tabs>
          <w:tab w:val="num" w:pos="1080"/>
        </w:tabs>
        <w:rPr>
          <w:szCs w:val="24"/>
        </w:rPr>
      </w:pPr>
      <w:r>
        <w:rPr>
          <w:szCs w:val="24"/>
        </w:rPr>
        <w:t xml:space="preserve">Item 5 inserts new clause 2.1.2. </w:t>
      </w:r>
      <w:r w:rsidR="00EE3931">
        <w:rPr>
          <w:szCs w:val="24"/>
        </w:rPr>
        <w:t xml:space="preserve">Clause 2.1.2 provides that clause 2.13.1 of the general medical services table has effect as if new items 92513 to </w:t>
      </w:r>
      <w:r w:rsidR="00EE3931" w:rsidRPr="00EE3931">
        <w:rPr>
          <w:szCs w:val="24"/>
        </w:rPr>
        <w:t>92516 and 92521 to 92524 were specified in the clause.</w:t>
      </w:r>
      <w:r w:rsidR="00EE3931">
        <w:rPr>
          <w:szCs w:val="24"/>
        </w:rPr>
        <w:t xml:space="preserve"> Clause 2.13.1 </w:t>
      </w:r>
      <w:r w:rsidR="00216907">
        <w:rPr>
          <w:szCs w:val="24"/>
        </w:rPr>
        <w:t xml:space="preserve">of the general medical services table </w:t>
      </w:r>
      <w:r w:rsidR="00EE3931">
        <w:rPr>
          <w:szCs w:val="24"/>
        </w:rPr>
        <w:t xml:space="preserve">provides that items 410 to </w:t>
      </w:r>
      <w:r w:rsidR="006E13E1">
        <w:rPr>
          <w:szCs w:val="24"/>
        </w:rPr>
        <w:t>4</w:t>
      </w:r>
      <w:r w:rsidR="00EE3931">
        <w:rPr>
          <w:szCs w:val="24"/>
        </w:rPr>
        <w:t xml:space="preserve">17 only apply to an attendance </w:t>
      </w:r>
      <w:r w:rsidR="00EE3931" w:rsidRPr="00EE3931">
        <w:rPr>
          <w:szCs w:val="24"/>
        </w:rPr>
        <w:t>on a patient by a public health physician if the attendance relates to one or more of the</w:t>
      </w:r>
      <w:r w:rsidR="00EE3931">
        <w:rPr>
          <w:szCs w:val="24"/>
        </w:rPr>
        <w:t xml:space="preserve"> specified matters. Items 92513 to </w:t>
      </w:r>
      <w:r w:rsidR="00EE3931" w:rsidRPr="00EE3931">
        <w:rPr>
          <w:szCs w:val="24"/>
        </w:rPr>
        <w:t>92516 and 92521 to 92524</w:t>
      </w:r>
      <w:r w:rsidR="00EE3931">
        <w:rPr>
          <w:szCs w:val="24"/>
        </w:rPr>
        <w:t xml:space="preserve"> are phone and telehealth equival</w:t>
      </w:r>
      <w:r>
        <w:rPr>
          <w:szCs w:val="24"/>
        </w:rPr>
        <w:t xml:space="preserve">ents of items 410 to 413. Item </w:t>
      </w:r>
      <w:r w:rsidR="004D6104">
        <w:rPr>
          <w:szCs w:val="24"/>
        </w:rPr>
        <w:t>6</w:t>
      </w:r>
      <w:r w:rsidR="00EE3931">
        <w:rPr>
          <w:szCs w:val="24"/>
        </w:rPr>
        <w:t xml:space="preserve"> therefore applies the same limitations to the new phone and telehealth services as apply to the existing face-to-face services. </w:t>
      </w:r>
      <w:r w:rsidR="00216907">
        <w:rPr>
          <w:szCs w:val="24"/>
        </w:rPr>
        <w:t xml:space="preserve"> </w:t>
      </w:r>
    </w:p>
    <w:p w14:paraId="00F00317" w14:textId="77777777" w:rsidR="008B6622" w:rsidRDefault="008B6622" w:rsidP="00C63FDC">
      <w:pPr>
        <w:pStyle w:val="Header"/>
        <w:tabs>
          <w:tab w:val="num" w:pos="1080"/>
        </w:tabs>
        <w:rPr>
          <w:szCs w:val="24"/>
        </w:rPr>
      </w:pPr>
    </w:p>
    <w:p w14:paraId="5FFB6935" w14:textId="72C9B54C" w:rsidR="008B6622" w:rsidRDefault="008B6622" w:rsidP="008B6622">
      <w:pPr>
        <w:pStyle w:val="Header"/>
        <w:tabs>
          <w:tab w:val="num" w:pos="1080"/>
        </w:tabs>
        <w:rPr>
          <w:b/>
          <w:szCs w:val="24"/>
        </w:rPr>
      </w:pPr>
      <w:r>
        <w:rPr>
          <w:b/>
          <w:szCs w:val="24"/>
        </w:rPr>
        <w:t xml:space="preserve">Item </w:t>
      </w:r>
      <w:r w:rsidR="004D6104">
        <w:rPr>
          <w:b/>
          <w:szCs w:val="24"/>
        </w:rPr>
        <w:t>7</w:t>
      </w:r>
    </w:p>
    <w:p w14:paraId="4AFFFCE8" w14:textId="3F3D2124" w:rsidR="008B6622" w:rsidRDefault="008B6622" w:rsidP="008B6622">
      <w:pPr>
        <w:pStyle w:val="Header"/>
        <w:tabs>
          <w:tab w:val="num" w:pos="1080"/>
        </w:tabs>
        <w:rPr>
          <w:szCs w:val="24"/>
        </w:rPr>
      </w:pPr>
      <w:r>
        <w:rPr>
          <w:szCs w:val="24"/>
        </w:rPr>
        <w:t xml:space="preserve">Item 92437 applies if the patient has not received an attendance under specified items, including items 300 to 346. Item </w:t>
      </w:r>
      <w:r w:rsidR="004D6104">
        <w:rPr>
          <w:szCs w:val="24"/>
        </w:rPr>
        <w:t>7</w:t>
      </w:r>
      <w:r>
        <w:rPr>
          <w:szCs w:val="24"/>
        </w:rPr>
        <w:t xml:space="preserve"> amends the descript</w:t>
      </w:r>
      <w:r w:rsidR="008C7F8F">
        <w:rPr>
          <w:szCs w:val="24"/>
        </w:rPr>
        <w:t>or of item 92437</w:t>
      </w:r>
      <w:r>
        <w:rPr>
          <w:szCs w:val="24"/>
        </w:rPr>
        <w:t xml:space="preserve"> to refer to the phone and telehealth equivalents of items 342, 344 and 346 (items </w:t>
      </w:r>
      <w:r w:rsidRPr="00EB044C">
        <w:rPr>
          <w:szCs w:val="24"/>
        </w:rPr>
        <w:t xml:space="preserve">92455 to 93457 </w:t>
      </w:r>
      <w:r>
        <w:rPr>
          <w:szCs w:val="24"/>
        </w:rPr>
        <w:t>and</w:t>
      </w:r>
      <w:r w:rsidRPr="00EB044C">
        <w:rPr>
          <w:szCs w:val="24"/>
        </w:rPr>
        <w:t xml:space="preserve"> 92495 to 92497</w:t>
      </w:r>
      <w:r>
        <w:rPr>
          <w:szCs w:val="24"/>
        </w:rPr>
        <w:t xml:space="preserve">). </w:t>
      </w:r>
    </w:p>
    <w:p w14:paraId="12B33557" w14:textId="77777777" w:rsidR="008B6622" w:rsidRDefault="008B6622" w:rsidP="00C63FDC">
      <w:pPr>
        <w:pStyle w:val="Header"/>
        <w:tabs>
          <w:tab w:val="num" w:pos="1080"/>
        </w:tabs>
        <w:rPr>
          <w:szCs w:val="24"/>
        </w:rPr>
      </w:pPr>
    </w:p>
    <w:p w14:paraId="75118351" w14:textId="272D37B9" w:rsidR="008B6622" w:rsidRDefault="008B6622" w:rsidP="00C63FDC">
      <w:pPr>
        <w:pStyle w:val="Header"/>
        <w:tabs>
          <w:tab w:val="num" w:pos="1080"/>
        </w:tabs>
        <w:rPr>
          <w:b/>
          <w:szCs w:val="24"/>
        </w:rPr>
      </w:pPr>
      <w:r>
        <w:rPr>
          <w:b/>
          <w:szCs w:val="24"/>
        </w:rPr>
        <w:t xml:space="preserve">Item </w:t>
      </w:r>
      <w:r w:rsidR="004D6104">
        <w:rPr>
          <w:b/>
          <w:szCs w:val="24"/>
        </w:rPr>
        <w:t>8</w:t>
      </w:r>
    </w:p>
    <w:p w14:paraId="631FD0E2" w14:textId="0CBF7F4A" w:rsidR="008B6622" w:rsidRDefault="008B6622" w:rsidP="008B6622">
      <w:pPr>
        <w:pStyle w:val="Header"/>
        <w:tabs>
          <w:tab w:val="num" w:pos="1080"/>
        </w:tabs>
        <w:rPr>
          <w:szCs w:val="24"/>
        </w:rPr>
      </w:pPr>
      <w:r>
        <w:rPr>
          <w:szCs w:val="24"/>
        </w:rPr>
        <w:t xml:space="preserve">Item </w:t>
      </w:r>
      <w:r w:rsidR="004D6104">
        <w:rPr>
          <w:szCs w:val="24"/>
        </w:rPr>
        <w:t>8</w:t>
      </w:r>
      <w:r>
        <w:rPr>
          <w:szCs w:val="24"/>
        </w:rPr>
        <w:t xml:space="preserve"> inserts 3 new </w:t>
      </w:r>
      <w:r w:rsidR="008C7F8F">
        <w:rPr>
          <w:szCs w:val="24"/>
        </w:rPr>
        <w:t xml:space="preserve">telehealth psychiatry </w:t>
      </w:r>
      <w:r>
        <w:rPr>
          <w:szCs w:val="24"/>
        </w:rPr>
        <w:t xml:space="preserve">items into Subgroup 6 of Group A40 (items 92455, 92456 and 92457). These items are the telehealth equivalents of items 342, 344 and 346. </w:t>
      </w:r>
    </w:p>
    <w:p w14:paraId="41885FE9" w14:textId="77777777" w:rsidR="008B6622" w:rsidRDefault="008B6622" w:rsidP="00C63FDC">
      <w:pPr>
        <w:pStyle w:val="Header"/>
        <w:tabs>
          <w:tab w:val="num" w:pos="1080"/>
        </w:tabs>
        <w:rPr>
          <w:szCs w:val="24"/>
        </w:rPr>
      </w:pPr>
    </w:p>
    <w:p w14:paraId="16B0073F" w14:textId="2982ED83" w:rsidR="008B6622" w:rsidRDefault="008B6622" w:rsidP="00C63FDC">
      <w:pPr>
        <w:pStyle w:val="Header"/>
        <w:tabs>
          <w:tab w:val="num" w:pos="1080"/>
        </w:tabs>
        <w:rPr>
          <w:b/>
          <w:szCs w:val="24"/>
        </w:rPr>
      </w:pPr>
      <w:r>
        <w:rPr>
          <w:b/>
          <w:szCs w:val="24"/>
        </w:rPr>
        <w:t xml:space="preserve">Item </w:t>
      </w:r>
      <w:r w:rsidR="004D6104">
        <w:rPr>
          <w:b/>
          <w:szCs w:val="24"/>
        </w:rPr>
        <w:t>9</w:t>
      </w:r>
    </w:p>
    <w:p w14:paraId="337A6916" w14:textId="1EDE73D6" w:rsidR="008B6622" w:rsidRDefault="008B6622" w:rsidP="008B6622">
      <w:pPr>
        <w:pStyle w:val="Header"/>
        <w:tabs>
          <w:tab w:val="num" w:pos="1080"/>
        </w:tabs>
        <w:rPr>
          <w:szCs w:val="24"/>
        </w:rPr>
      </w:pPr>
      <w:r>
        <w:rPr>
          <w:szCs w:val="24"/>
        </w:rPr>
        <w:t xml:space="preserve">Item 92477 applies if the patient has not received an attendance under specified items, including items 300 to 346. Item </w:t>
      </w:r>
      <w:r w:rsidR="004D6104">
        <w:rPr>
          <w:szCs w:val="24"/>
        </w:rPr>
        <w:t>9</w:t>
      </w:r>
      <w:r>
        <w:rPr>
          <w:szCs w:val="24"/>
        </w:rPr>
        <w:t xml:space="preserve"> amends the descript</w:t>
      </w:r>
      <w:r w:rsidR="008C7F8F">
        <w:rPr>
          <w:szCs w:val="24"/>
        </w:rPr>
        <w:t>or of item 92477</w:t>
      </w:r>
      <w:r>
        <w:rPr>
          <w:szCs w:val="24"/>
        </w:rPr>
        <w:t xml:space="preserve"> to refer to the phone and telehealth equivalents of items 342, 344 and 346 (items </w:t>
      </w:r>
      <w:r w:rsidRPr="00EB044C">
        <w:rPr>
          <w:szCs w:val="24"/>
        </w:rPr>
        <w:t xml:space="preserve">92455 to 93457 </w:t>
      </w:r>
      <w:r>
        <w:rPr>
          <w:szCs w:val="24"/>
        </w:rPr>
        <w:t>and</w:t>
      </w:r>
      <w:r w:rsidRPr="00EB044C">
        <w:rPr>
          <w:szCs w:val="24"/>
        </w:rPr>
        <w:t xml:space="preserve"> 92495 to 92497</w:t>
      </w:r>
      <w:r>
        <w:rPr>
          <w:szCs w:val="24"/>
        </w:rPr>
        <w:t xml:space="preserve">). </w:t>
      </w:r>
    </w:p>
    <w:p w14:paraId="20F950F7" w14:textId="77777777" w:rsidR="008B6622" w:rsidRDefault="008B6622" w:rsidP="00C63FDC">
      <w:pPr>
        <w:pStyle w:val="Header"/>
        <w:tabs>
          <w:tab w:val="num" w:pos="1080"/>
        </w:tabs>
        <w:rPr>
          <w:szCs w:val="24"/>
        </w:rPr>
      </w:pPr>
    </w:p>
    <w:p w14:paraId="27B7B9F6" w14:textId="570EA9E3" w:rsidR="008B6622" w:rsidRDefault="008B6622" w:rsidP="00C63FDC">
      <w:pPr>
        <w:pStyle w:val="Header"/>
        <w:tabs>
          <w:tab w:val="num" w:pos="1080"/>
        </w:tabs>
        <w:rPr>
          <w:b/>
          <w:szCs w:val="24"/>
        </w:rPr>
      </w:pPr>
      <w:r>
        <w:rPr>
          <w:b/>
          <w:szCs w:val="24"/>
        </w:rPr>
        <w:t xml:space="preserve">Item </w:t>
      </w:r>
      <w:r w:rsidR="004D6104">
        <w:rPr>
          <w:b/>
          <w:szCs w:val="24"/>
        </w:rPr>
        <w:t>10</w:t>
      </w:r>
    </w:p>
    <w:p w14:paraId="4F1F669B" w14:textId="68985ECD" w:rsidR="008B6622" w:rsidRDefault="008B6622" w:rsidP="008B6622">
      <w:pPr>
        <w:pStyle w:val="Header"/>
        <w:tabs>
          <w:tab w:val="num" w:pos="1080"/>
        </w:tabs>
        <w:rPr>
          <w:szCs w:val="24"/>
        </w:rPr>
      </w:pPr>
      <w:r>
        <w:rPr>
          <w:szCs w:val="24"/>
        </w:rPr>
        <w:lastRenderedPageBreak/>
        <w:t xml:space="preserve">Item </w:t>
      </w:r>
      <w:r w:rsidR="004D6104">
        <w:rPr>
          <w:szCs w:val="24"/>
        </w:rPr>
        <w:t>10</w:t>
      </w:r>
      <w:r>
        <w:rPr>
          <w:szCs w:val="24"/>
        </w:rPr>
        <w:t xml:space="preserve"> inserts 3 new </w:t>
      </w:r>
      <w:r w:rsidR="008C7F8F">
        <w:rPr>
          <w:szCs w:val="24"/>
        </w:rPr>
        <w:t xml:space="preserve">phone psychiatry </w:t>
      </w:r>
      <w:r>
        <w:rPr>
          <w:szCs w:val="24"/>
        </w:rPr>
        <w:t>items into Subgroup 9 of Group A40 (items 92495, 92496 and 92497). These items are the phone service equivalents of items 342, 344 and 346.</w:t>
      </w:r>
    </w:p>
    <w:p w14:paraId="3DD35F73" w14:textId="77777777" w:rsidR="008B6622" w:rsidRDefault="008B6622" w:rsidP="008B6622">
      <w:pPr>
        <w:pStyle w:val="Header"/>
        <w:tabs>
          <w:tab w:val="num" w:pos="1080"/>
        </w:tabs>
        <w:rPr>
          <w:szCs w:val="24"/>
        </w:rPr>
      </w:pPr>
    </w:p>
    <w:p w14:paraId="7101A580" w14:textId="3879C98C" w:rsidR="008B6622" w:rsidRDefault="008B6622" w:rsidP="008B6622">
      <w:pPr>
        <w:pStyle w:val="Header"/>
        <w:tabs>
          <w:tab w:val="num" w:pos="1080"/>
        </w:tabs>
        <w:rPr>
          <w:b/>
          <w:szCs w:val="24"/>
        </w:rPr>
      </w:pPr>
      <w:r>
        <w:rPr>
          <w:b/>
          <w:szCs w:val="24"/>
        </w:rPr>
        <w:t>Item 1</w:t>
      </w:r>
      <w:r w:rsidR="004D6104">
        <w:rPr>
          <w:b/>
          <w:szCs w:val="24"/>
        </w:rPr>
        <w:t>1</w:t>
      </w:r>
    </w:p>
    <w:p w14:paraId="2C9BDB98" w14:textId="3335C8FE" w:rsidR="008B6622" w:rsidRDefault="008B6622" w:rsidP="008B6622">
      <w:pPr>
        <w:pStyle w:val="Header"/>
        <w:keepNext/>
        <w:tabs>
          <w:tab w:val="num" w:pos="1080"/>
        </w:tabs>
        <w:rPr>
          <w:szCs w:val="24"/>
        </w:rPr>
      </w:pPr>
      <w:r>
        <w:rPr>
          <w:szCs w:val="24"/>
        </w:rPr>
        <w:t>Item 1</w:t>
      </w:r>
      <w:r w:rsidR="004D6104">
        <w:rPr>
          <w:szCs w:val="24"/>
        </w:rPr>
        <w:t>1</w:t>
      </w:r>
      <w:r>
        <w:rPr>
          <w:szCs w:val="24"/>
        </w:rPr>
        <w:t xml:space="preserve"> inserts four new Subgroups into the table under Schedule 2. Subgroups 33 and 34 contain the phone and telehealth equivalents of items 410 to 413. These items relate to attendance</w:t>
      </w:r>
      <w:r w:rsidR="008C7F8F">
        <w:rPr>
          <w:szCs w:val="24"/>
        </w:rPr>
        <w:t xml:space="preserve"> services rendered</w:t>
      </w:r>
      <w:r>
        <w:rPr>
          <w:szCs w:val="24"/>
        </w:rPr>
        <w:t xml:space="preserve"> by public health physician</w:t>
      </w:r>
      <w:r w:rsidR="008C7F8F">
        <w:rPr>
          <w:szCs w:val="24"/>
        </w:rPr>
        <w:t>s</w:t>
      </w:r>
      <w:r>
        <w:rPr>
          <w:szCs w:val="24"/>
        </w:rPr>
        <w:t xml:space="preserve">. Subgroups 35 and 36 contain the phone and telehealth equivalents of items 6007, 6009, 6011, 6013 and 6015. These items relate to attendance </w:t>
      </w:r>
      <w:r w:rsidR="008C7F8F">
        <w:rPr>
          <w:szCs w:val="24"/>
        </w:rPr>
        <w:t xml:space="preserve">services rendered </w:t>
      </w:r>
      <w:r>
        <w:rPr>
          <w:szCs w:val="24"/>
        </w:rPr>
        <w:t>by neurosurgeon</w:t>
      </w:r>
      <w:r w:rsidR="008C7F8F">
        <w:rPr>
          <w:szCs w:val="24"/>
        </w:rPr>
        <w:t>s</w:t>
      </w:r>
      <w:r>
        <w:rPr>
          <w:szCs w:val="24"/>
        </w:rPr>
        <w:t xml:space="preserve">. </w:t>
      </w:r>
    </w:p>
    <w:p w14:paraId="0A6700F1" w14:textId="77777777" w:rsidR="008B6622" w:rsidRDefault="008B6622" w:rsidP="008B6622">
      <w:pPr>
        <w:pStyle w:val="Header"/>
        <w:tabs>
          <w:tab w:val="num" w:pos="1080"/>
        </w:tabs>
        <w:rPr>
          <w:b/>
          <w:szCs w:val="24"/>
        </w:rPr>
      </w:pPr>
    </w:p>
    <w:p w14:paraId="195FD0B5" w14:textId="316C768A" w:rsidR="008B6622" w:rsidRDefault="008B6622" w:rsidP="005F09F8">
      <w:pPr>
        <w:pStyle w:val="Header"/>
        <w:keepNext/>
        <w:tabs>
          <w:tab w:val="num" w:pos="1080"/>
        </w:tabs>
        <w:rPr>
          <w:b/>
          <w:szCs w:val="24"/>
        </w:rPr>
      </w:pPr>
      <w:r w:rsidRPr="008B6622">
        <w:rPr>
          <w:b/>
          <w:szCs w:val="24"/>
        </w:rPr>
        <w:t xml:space="preserve">Item </w:t>
      </w:r>
      <w:r>
        <w:rPr>
          <w:b/>
          <w:szCs w:val="24"/>
        </w:rPr>
        <w:t>1</w:t>
      </w:r>
      <w:r w:rsidR="004D6104">
        <w:rPr>
          <w:b/>
          <w:szCs w:val="24"/>
        </w:rPr>
        <w:t>2</w:t>
      </w:r>
    </w:p>
    <w:p w14:paraId="5B17D81A" w14:textId="290C63CD" w:rsidR="008B6622" w:rsidRDefault="008B6622" w:rsidP="005F09F8">
      <w:pPr>
        <w:pStyle w:val="Header"/>
        <w:keepNext/>
        <w:tabs>
          <w:tab w:val="num" w:pos="1080"/>
        </w:tabs>
        <w:rPr>
          <w:szCs w:val="24"/>
        </w:rPr>
      </w:pPr>
      <w:r>
        <w:rPr>
          <w:szCs w:val="24"/>
        </w:rPr>
        <w:t>Item 1</w:t>
      </w:r>
      <w:r w:rsidR="004D6104">
        <w:rPr>
          <w:szCs w:val="24"/>
        </w:rPr>
        <w:t>2</w:t>
      </w:r>
      <w:r>
        <w:rPr>
          <w:szCs w:val="24"/>
        </w:rPr>
        <w:t xml:space="preserve"> amends the heading of Schedule 4 to include a reference to Aboriginal and Torres </w:t>
      </w:r>
      <w:r w:rsidRPr="008B6622">
        <w:rPr>
          <w:szCs w:val="24"/>
        </w:rPr>
        <w:t>Strait Islander health practitioner services</w:t>
      </w:r>
      <w:r>
        <w:rPr>
          <w:szCs w:val="24"/>
        </w:rPr>
        <w:t xml:space="preserve">. </w:t>
      </w:r>
    </w:p>
    <w:p w14:paraId="159728FD" w14:textId="77777777" w:rsidR="008B6622" w:rsidRDefault="008B6622" w:rsidP="005F09F8">
      <w:pPr>
        <w:pStyle w:val="Header"/>
        <w:keepNext/>
        <w:tabs>
          <w:tab w:val="num" w:pos="1080"/>
        </w:tabs>
        <w:rPr>
          <w:szCs w:val="24"/>
        </w:rPr>
      </w:pPr>
    </w:p>
    <w:p w14:paraId="69C2B859" w14:textId="6C571BCC" w:rsidR="00EE3AF1" w:rsidRDefault="00EE3AF1" w:rsidP="00CD38A6">
      <w:pPr>
        <w:pStyle w:val="Header"/>
        <w:keepNext/>
        <w:tabs>
          <w:tab w:val="num" w:pos="1080"/>
        </w:tabs>
        <w:rPr>
          <w:b/>
          <w:szCs w:val="24"/>
        </w:rPr>
      </w:pPr>
      <w:r>
        <w:rPr>
          <w:b/>
          <w:szCs w:val="24"/>
        </w:rPr>
        <w:t>Item 13</w:t>
      </w:r>
    </w:p>
    <w:p w14:paraId="4C7325BE" w14:textId="4DA57970" w:rsidR="00EE3AF1" w:rsidRDefault="00EE3AF1" w:rsidP="00CD38A6">
      <w:pPr>
        <w:pStyle w:val="Header"/>
        <w:keepNext/>
        <w:tabs>
          <w:tab w:val="num" w:pos="1080"/>
        </w:tabs>
        <w:rPr>
          <w:szCs w:val="24"/>
        </w:rPr>
      </w:pPr>
      <w:r>
        <w:rPr>
          <w:szCs w:val="24"/>
        </w:rPr>
        <w:t xml:space="preserve">Item 13 replaces the heading of clause 4.1.1 to </w:t>
      </w:r>
      <w:r w:rsidRPr="00EE3AF1">
        <w:rPr>
          <w:szCs w:val="24"/>
        </w:rPr>
        <w:t xml:space="preserve">include a reference to Aboriginal and Torres Strait Islander health practitioner </w:t>
      </w:r>
      <w:r>
        <w:rPr>
          <w:szCs w:val="24"/>
        </w:rPr>
        <w:t xml:space="preserve">phone </w:t>
      </w:r>
      <w:r w:rsidRPr="00EE3AF1">
        <w:rPr>
          <w:szCs w:val="24"/>
        </w:rPr>
        <w:t>services.</w:t>
      </w:r>
    </w:p>
    <w:p w14:paraId="6030AE01" w14:textId="77777777" w:rsidR="00EE3AF1" w:rsidRPr="005F09F8" w:rsidRDefault="00EE3AF1" w:rsidP="00CD38A6">
      <w:pPr>
        <w:pStyle w:val="Header"/>
        <w:keepNext/>
        <w:tabs>
          <w:tab w:val="num" w:pos="1080"/>
        </w:tabs>
        <w:rPr>
          <w:szCs w:val="24"/>
        </w:rPr>
      </w:pPr>
    </w:p>
    <w:p w14:paraId="1804F1E5" w14:textId="5B5D76E1" w:rsidR="00CD38A6" w:rsidRPr="00EE3931" w:rsidRDefault="00CD38A6" w:rsidP="00CD38A6">
      <w:pPr>
        <w:pStyle w:val="Header"/>
        <w:keepNext/>
        <w:tabs>
          <w:tab w:val="num" w:pos="1080"/>
        </w:tabs>
        <w:rPr>
          <w:b/>
          <w:szCs w:val="24"/>
        </w:rPr>
      </w:pPr>
      <w:r>
        <w:rPr>
          <w:b/>
          <w:szCs w:val="24"/>
        </w:rPr>
        <w:t>Item 1</w:t>
      </w:r>
      <w:r w:rsidR="00EE3AF1">
        <w:rPr>
          <w:b/>
          <w:szCs w:val="24"/>
        </w:rPr>
        <w:t>4</w:t>
      </w:r>
    </w:p>
    <w:p w14:paraId="7D5DF174" w14:textId="2BA6738D" w:rsidR="00CD38A6" w:rsidRDefault="00CD38A6" w:rsidP="00CD38A6">
      <w:pPr>
        <w:pStyle w:val="Header"/>
        <w:keepNext/>
        <w:tabs>
          <w:tab w:val="num" w:pos="1080"/>
        </w:tabs>
        <w:rPr>
          <w:szCs w:val="24"/>
        </w:rPr>
      </w:pPr>
      <w:r w:rsidRPr="00EE3931">
        <w:rPr>
          <w:szCs w:val="24"/>
        </w:rPr>
        <w:t xml:space="preserve">Subclause </w:t>
      </w:r>
      <w:r>
        <w:rPr>
          <w:szCs w:val="24"/>
        </w:rPr>
        <w:t>4.1.1</w:t>
      </w:r>
      <w:r w:rsidRPr="00EE3931">
        <w:rPr>
          <w:szCs w:val="24"/>
        </w:rPr>
        <w:t>(1) provides that</w:t>
      </w:r>
      <w:r>
        <w:rPr>
          <w:szCs w:val="24"/>
        </w:rPr>
        <w:t xml:space="preserve"> items</w:t>
      </w:r>
      <w:r w:rsidRPr="00EE3931">
        <w:rPr>
          <w:szCs w:val="24"/>
        </w:rPr>
        <w:t xml:space="preserve"> in Subgroup</w:t>
      </w:r>
      <w:r>
        <w:rPr>
          <w:szCs w:val="24"/>
        </w:rPr>
        <w:t xml:space="preserve"> 10 of Group M18</w:t>
      </w:r>
      <w:r w:rsidRPr="00EE3931">
        <w:rPr>
          <w:szCs w:val="24"/>
        </w:rPr>
        <w:t>, which require an audio link only, do not apply if the rendering practitioner and the patient have the capacity to undertake an attendance by telehealth (which requires an audio and visual link).</w:t>
      </w:r>
      <w:r>
        <w:rPr>
          <w:szCs w:val="24"/>
        </w:rPr>
        <w:t xml:space="preserve"> Item 1</w:t>
      </w:r>
      <w:r w:rsidR="00EE3AF1">
        <w:rPr>
          <w:szCs w:val="24"/>
        </w:rPr>
        <w:t>4</w:t>
      </w:r>
      <w:r w:rsidRPr="00EE3931">
        <w:rPr>
          <w:szCs w:val="24"/>
        </w:rPr>
        <w:t xml:space="preserve"> </w:t>
      </w:r>
      <w:r>
        <w:rPr>
          <w:szCs w:val="24"/>
        </w:rPr>
        <w:t>amends this subclause to add the new</w:t>
      </w:r>
      <w:r w:rsidRPr="00EE3931">
        <w:rPr>
          <w:szCs w:val="24"/>
        </w:rPr>
        <w:t xml:space="preserve"> </w:t>
      </w:r>
      <w:r>
        <w:rPr>
          <w:szCs w:val="24"/>
        </w:rPr>
        <w:t xml:space="preserve">Aboriginal and Torres </w:t>
      </w:r>
      <w:r w:rsidRPr="008B6622">
        <w:rPr>
          <w:szCs w:val="24"/>
        </w:rPr>
        <w:t>Strait Islander health practitioner</w:t>
      </w:r>
      <w:r>
        <w:rPr>
          <w:szCs w:val="24"/>
        </w:rPr>
        <w:t xml:space="preserve"> phone attendance items (Subgroup 24 of Group M18) to apply the same requirement.</w:t>
      </w:r>
    </w:p>
    <w:p w14:paraId="4258D0B4" w14:textId="77777777" w:rsidR="00CD38A6" w:rsidRDefault="00CD38A6" w:rsidP="008B6622">
      <w:pPr>
        <w:pStyle w:val="Header"/>
        <w:tabs>
          <w:tab w:val="num" w:pos="1080"/>
        </w:tabs>
        <w:rPr>
          <w:b/>
          <w:szCs w:val="24"/>
        </w:rPr>
      </w:pPr>
    </w:p>
    <w:p w14:paraId="673653C7" w14:textId="2BABAB96" w:rsidR="008B6622" w:rsidRDefault="00AB515C" w:rsidP="008B6622">
      <w:pPr>
        <w:pStyle w:val="Header"/>
        <w:tabs>
          <w:tab w:val="num" w:pos="1080"/>
        </w:tabs>
        <w:rPr>
          <w:b/>
          <w:szCs w:val="24"/>
        </w:rPr>
      </w:pPr>
      <w:r>
        <w:rPr>
          <w:b/>
          <w:szCs w:val="24"/>
        </w:rPr>
        <w:t>Item 1</w:t>
      </w:r>
      <w:r w:rsidR="00EE3AF1">
        <w:rPr>
          <w:b/>
          <w:szCs w:val="24"/>
        </w:rPr>
        <w:t>5</w:t>
      </w:r>
    </w:p>
    <w:p w14:paraId="67A36A02" w14:textId="58010ADB" w:rsidR="008B6622" w:rsidRDefault="00AB515C" w:rsidP="008B6622">
      <w:pPr>
        <w:pStyle w:val="Header"/>
        <w:tabs>
          <w:tab w:val="num" w:pos="1080"/>
        </w:tabs>
        <w:rPr>
          <w:szCs w:val="24"/>
        </w:rPr>
      </w:pPr>
      <w:r>
        <w:rPr>
          <w:szCs w:val="24"/>
        </w:rPr>
        <w:t>Item 13</w:t>
      </w:r>
      <w:r w:rsidR="008B6622">
        <w:rPr>
          <w:szCs w:val="24"/>
        </w:rPr>
        <w:t xml:space="preserve"> inserts new clause 4.1.2. </w:t>
      </w:r>
    </w:p>
    <w:p w14:paraId="3B0A5557" w14:textId="77777777" w:rsidR="00AB515C" w:rsidRDefault="00AB515C" w:rsidP="008B6622">
      <w:pPr>
        <w:pStyle w:val="Header"/>
        <w:tabs>
          <w:tab w:val="num" w:pos="1080"/>
        </w:tabs>
        <w:rPr>
          <w:szCs w:val="24"/>
        </w:rPr>
      </w:pPr>
    </w:p>
    <w:p w14:paraId="2C13D4FC" w14:textId="696D6429" w:rsidR="008B6622" w:rsidRDefault="008B6622" w:rsidP="008B6622">
      <w:pPr>
        <w:pStyle w:val="Header"/>
        <w:tabs>
          <w:tab w:val="num" w:pos="1080"/>
        </w:tabs>
        <w:rPr>
          <w:szCs w:val="24"/>
        </w:rPr>
      </w:pPr>
      <w:r>
        <w:rPr>
          <w:szCs w:val="24"/>
        </w:rPr>
        <w:t xml:space="preserve">Subclause 4.1.2(1) </w:t>
      </w:r>
      <w:r w:rsidR="00841EEF">
        <w:rPr>
          <w:szCs w:val="24"/>
        </w:rPr>
        <w:t xml:space="preserve">defines the terms “GP management plan”, “multidisciplinary care plan” and “person with a chronic disease” for the purpose of items </w:t>
      </w:r>
      <w:r w:rsidR="00841EEF" w:rsidRPr="00841EEF">
        <w:rPr>
          <w:szCs w:val="24"/>
        </w:rPr>
        <w:t>93201 and 93203</w:t>
      </w:r>
      <w:r w:rsidR="00841EEF">
        <w:rPr>
          <w:szCs w:val="24"/>
        </w:rPr>
        <w:t>. These definitions determine patient eligibility for the items.</w:t>
      </w:r>
    </w:p>
    <w:p w14:paraId="67396DAF" w14:textId="7E8BA790" w:rsidR="008B6622" w:rsidRDefault="008B6622" w:rsidP="008B6622">
      <w:pPr>
        <w:pStyle w:val="Header"/>
        <w:tabs>
          <w:tab w:val="num" w:pos="1080"/>
        </w:tabs>
        <w:rPr>
          <w:szCs w:val="24"/>
        </w:rPr>
      </w:pPr>
    </w:p>
    <w:p w14:paraId="104A38B2" w14:textId="24A86551" w:rsidR="00841EEF" w:rsidRDefault="00841EEF" w:rsidP="00C63FDC">
      <w:pPr>
        <w:pStyle w:val="Header"/>
        <w:tabs>
          <w:tab w:val="num" w:pos="1080"/>
        </w:tabs>
        <w:rPr>
          <w:szCs w:val="24"/>
        </w:rPr>
      </w:pPr>
      <w:r>
        <w:rPr>
          <w:szCs w:val="24"/>
        </w:rPr>
        <w:t>Subclause 4.2.1(2) prevents a patient from accessing items 93200 or 93202 if they have received 10 services for any combination of those items, or item 10987 of the general medical services table, in a calendar year</w:t>
      </w:r>
      <w:r w:rsidR="007508E2">
        <w:rPr>
          <w:szCs w:val="24"/>
        </w:rPr>
        <w:t xml:space="preserve">. </w:t>
      </w:r>
    </w:p>
    <w:p w14:paraId="47F26B21" w14:textId="77777777" w:rsidR="00841EEF" w:rsidRDefault="00841EEF" w:rsidP="00C63FDC">
      <w:pPr>
        <w:pStyle w:val="Header"/>
        <w:tabs>
          <w:tab w:val="num" w:pos="1080"/>
        </w:tabs>
        <w:rPr>
          <w:szCs w:val="24"/>
        </w:rPr>
      </w:pPr>
    </w:p>
    <w:p w14:paraId="488E0E50" w14:textId="05175748" w:rsidR="0003472A" w:rsidRDefault="007508E2" w:rsidP="00C63FDC">
      <w:pPr>
        <w:pStyle w:val="Header"/>
        <w:tabs>
          <w:tab w:val="num" w:pos="1080"/>
        </w:tabs>
        <w:rPr>
          <w:szCs w:val="24"/>
        </w:rPr>
      </w:pPr>
      <w:r>
        <w:rPr>
          <w:szCs w:val="24"/>
        </w:rPr>
        <w:t xml:space="preserve">Subclause 4.2.1(3) prevents a patient from accessing items 93201 or 93203 if they have received 5 services for any combination of those items, or item 10997 of the general medical services table, in a calendar year. </w:t>
      </w:r>
    </w:p>
    <w:p w14:paraId="4CBEEFCD" w14:textId="77777777" w:rsidR="00607547" w:rsidRDefault="00607547" w:rsidP="00C63FDC">
      <w:pPr>
        <w:pStyle w:val="Header"/>
        <w:tabs>
          <w:tab w:val="num" w:pos="1080"/>
        </w:tabs>
        <w:rPr>
          <w:szCs w:val="24"/>
        </w:rPr>
      </w:pPr>
    </w:p>
    <w:p w14:paraId="15D1058A" w14:textId="73E25847" w:rsidR="00607547" w:rsidRDefault="00AB515C" w:rsidP="00C63FDC">
      <w:pPr>
        <w:pStyle w:val="Header"/>
        <w:tabs>
          <w:tab w:val="num" w:pos="1080"/>
        </w:tabs>
        <w:rPr>
          <w:b/>
          <w:szCs w:val="24"/>
        </w:rPr>
      </w:pPr>
      <w:r>
        <w:rPr>
          <w:b/>
          <w:szCs w:val="24"/>
        </w:rPr>
        <w:t>Item 1</w:t>
      </w:r>
      <w:r w:rsidR="00EE3AF1">
        <w:rPr>
          <w:b/>
          <w:szCs w:val="24"/>
        </w:rPr>
        <w:t>6</w:t>
      </w:r>
    </w:p>
    <w:p w14:paraId="6028D046" w14:textId="4D61A43D" w:rsidR="00607547" w:rsidRPr="008B6622" w:rsidRDefault="00AB515C" w:rsidP="00607547">
      <w:pPr>
        <w:pStyle w:val="Header"/>
        <w:tabs>
          <w:tab w:val="num" w:pos="1080"/>
        </w:tabs>
        <w:rPr>
          <w:szCs w:val="24"/>
        </w:rPr>
      </w:pPr>
      <w:r>
        <w:rPr>
          <w:szCs w:val="24"/>
        </w:rPr>
        <w:t>Item 1</w:t>
      </w:r>
      <w:r w:rsidR="00EE3AF1">
        <w:rPr>
          <w:szCs w:val="24"/>
        </w:rPr>
        <w:t>6</w:t>
      </w:r>
      <w:r w:rsidR="008B6622">
        <w:rPr>
          <w:szCs w:val="24"/>
        </w:rPr>
        <w:t xml:space="preserve"> inserts two new subgroups into Group M18. Subgroups </w:t>
      </w:r>
      <w:r w:rsidR="007508E2">
        <w:rPr>
          <w:szCs w:val="24"/>
        </w:rPr>
        <w:t>23</w:t>
      </w:r>
      <w:r w:rsidR="008B6622">
        <w:rPr>
          <w:szCs w:val="24"/>
        </w:rPr>
        <w:t xml:space="preserve"> and </w:t>
      </w:r>
      <w:r w:rsidR="007508E2">
        <w:rPr>
          <w:szCs w:val="24"/>
        </w:rPr>
        <w:t xml:space="preserve">24 </w:t>
      </w:r>
      <w:r w:rsidR="008B6622">
        <w:rPr>
          <w:szCs w:val="24"/>
        </w:rPr>
        <w:t xml:space="preserve">contain the phone and telehealth equivalents of </w:t>
      </w:r>
      <w:r w:rsidR="007508E2">
        <w:rPr>
          <w:szCs w:val="24"/>
        </w:rPr>
        <w:t xml:space="preserve">Aboriginal and Torres </w:t>
      </w:r>
      <w:r w:rsidR="007508E2" w:rsidRPr="008B6622">
        <w:rPr>
          <w:szCs w:val="24"/>
        </w:rPr>
        <w:t xml:space="preserve">Strait Islander health practitioner </w:t>
      </w:r>
      <w:r w:rsidR="007508E2">
        <w:rPr>
          <w:szCs w:val="24"/>
        </w:rPr>
        <w:t xml:space="preserve">items </w:t>
      </w:r>
      <w:r w:rsidR="008B6622">
        <w:rPr>
          <w:szCs w:val="24"/>
        </w:rPr>
        <w:t xml:space="preserve">10987 and 10997. </w:t>
      </w:r>
    </w:p>
    <w:p w14:paraId="0404669E" w14:textId="77777777" w:rsidR="00607547" w:rsidRDefault="00607547" w:rsidP="00607547">
      <w:pPr>
        <w:pStyle w:val="Header"/>
        <w:tabs>
          <w:tab w:val="num" w:pos="1080"/>
        </w:tabs>
        <w:rPr>
          <w:b/>
          <w:szCs w:val="24"/>
        </w:rPr>
      </w:pPr>
    </w:p>
    <w:p w14:paraId="023806A9" w14:textId="5E7C2368" w:rsidR="00F91A58" w:rsidRPr="00607547" w:rsidRDefault="003F68B7" w:rsidP="00607547">
      <w:pPr>
        <w:pStyle w:val="Header"/>
        <w:tabs>
          <w:tab w:val="num" w:pos="1080"/>
        </w:tabs>
        <w:rPr>
          <w:szCs w:val="24"/>
        </w:rPr>
      </w:pPr>
      <w:r w:rsidRPr="00B97848">
        <w:rPr>
          <w:b/>
          <w:sz w:val="28"/>
          <w:szCs w:val="28"/>
        </w:rPr>
        <w:br w:type="page"/>
      </w:r>
    </w:p>
    <w:p w14:paraId="2412D14E" w14:textId="0E613FE8" w:rsidR="00A17F2C" w:rsidRPr="00B97848" w:rsidRDefault="00A17F2C" w:rsidP="008D136F">
      <w:pPr>
        <w:pStyle w:val="Header"/>
        <w:tabs>
          <w:tab w:val="num" w:pos="1080"/>
        </w:tabs>
        <w:jc w:val="center"/>
        <w:rPr>
          <w:b/>
          <w:sz w:val="28"/>
          <w:szCs w:val="28"/>
        </w:rPr>
      </w:pPr>
      <w:r w:rsidRPr="00B97848">
        <w:rPr>
          <w:b/>
          <w:sz w:val="28"/>
          <w:szCs w:val="28"/>
        </w:rPr>
        <w:lastRenderedPageBreak/>
        <w:t>Statement of Compatibility with Human Rights</w:t>
      </w:r>
    </w:p>
    <w:p w14:paraId="2412D14F" w14:textId="77777777" w:rsidR="00A17F2C" w:rsidRPr="00B97848" w:rsidRDefault="00A17F2C" w:rsidP="000337CB">
      <w:pPr>
        <w:spacing w:before="120" w:after="120"/>
        <w:jc w:val="center"/>
        <w:rPr>
          <w:szCs w:val="24"/>
        </w:rPr>
      </w:pPr>
      <w:r w:rsidRPr="00B97848">
        <w:rPr>
          <w:i/>
          <w:szCs w:val="24"/>
        </w:rPr>
        <w:t>Prepared in accordance with Part 3 of the Human Rights (Parliamentary Scrutiny) Act 2011</w:t>
      </w:r>
    </w:p>
    <w:p w14:paraId="751DE726" w14:textId="77777777" w:rsidR="002A6C77" w:rsidRPr="00B97848" w:rsidRDefault="002A6C77" w:rsidP="000337CB">
      <w:pPr>
        <w:tabs>
          <w:tab w:val="left" w:pos="1418"/>
        </w:tabs>
        <w:ind w:left="851"/>
        <w:jc w:val="center"/>
        <w:rPr>
          <w:b/>
          <w:i/>
          <w:iCs/>
        </w:rPr>
      </w:pPr>
    </w:p>
    <w:p w14:paraId="1BF56C38" w14:textId="59C66636" w:rsidR="007708B3" w:rsidRPr="00B97848" w:rsidRDefault="004D6708" w:rsidP="000337CB">
      <w:pPr>
        <w:tabs>
          <w:tab w:val="left" w:pos="1418"/>
        </w:tabs>
        <w:ind w:left="851"/>
        <w:jc w:val="center"/>
        <w:rPr>
          <w:b/>
          <w:i/>
        </w:rPr>
      </w:pPr>
      <w:r w:rsidRPr="004D6708">
        <w:rPr>
          <w:b/>
          <w:i/>
        </w:rPr>
        <w:t>Health Insurance (Section 3C General Medical Services – COVID-19 Telehealth and Telephone Attendances) Amendment (Bulk-billing Requirement and New Remote Attendance Services) Determination 2020</w:t>
      </w:r>
    </w:p>
    <w:p w14:paraId="333D57AA" w14:textId="77777777" w:rsidR="00067581" w:rsidRPr="00B97848" w:rsidRDefault="00067581" w:rsidP="000337CB">
      <w:pPr>
        <w:tabs>
          <w:tab w:val="left" w:pos="1418"/>
        </w:tabs>
        <w:ind w:left="851"/>
        <w:jc w:val="center"/>
        <w:rPr>
          <w:b/>
          <w:i/>
          <w:szCs w:val="24"/>
        </w:rPr>
      </w:pPr>
    </w:p>
    <w:p w14:paraId="2412D153" w14:textId="5D70BCE5" w:rsidR="00A17F2C" w:rsidRPr="00B97848" w:rsidRDefault="00A17F2C" w:rsidP="00735ED1">
      <w:pPr>
        <w:ind w:right="-448"/>
        <w:jc w:val="center"/>
        <w:rPr>
          <w:szCs w:val="24"/>
        </w:rPr>
      </w:pPr>
      <w:r w:rsidRPr="00B97848">
        <w:rPr>
          <w:szCs w:val="24"/>
        </w:rPr>
        <w:t xml:space="preserve">This </w:t>
      </w:r>
      <w:r w:rsidR="0046022A" w:rsidRPr="00B97848">
        <w:rPr>
          <w:szCs w:val="24"/>
        </w:rPr>
        <w:t>instrument</w:t>
      </w:r>
      <w:r w:rsidRPr="00B97848">
        <w:rPr>
          <w:szCs w:val="24"/>
        </w:rPr>
        <w:t xml:space="preserve"> is compatible with the human rights and freedoms recognised or declared in the international instruments listed in section 3 of the </w:t>
      </w:r>
      <w:r w:rsidRPr="00B97848">
        <w:rPr>
          <w:i/>
          <w:szCs w:val="24"/>
        </w:rPr>
        <w:t>Human Rights (Parliamentary Scrutiny) Act 2011</w:t>
      </w:r>
      <w:r w:rsidRPr="00B97848">
        <w:rPr>
          <w:szCs w:val="24"/>
        </w:rPr>
        <w:t>.</w:t>
      </w:r>
    </w:p>
    <w:p w14:paraId="490B9441" w14:textId="77777777" w:rsidR="00735ED1" w:rsidRPr="00B97848" w:rsidRDefault="00735ED1" w:rsidP="00735ED1">
      <w:pPr>
        <w:ind w:right="-448"/>
        <w:jc w:val="center"/>
        <w:rPr>
          <w:szCs w:val="24"/>
        </w:rPr>
      </w:pPr>
    </w:p>
    <w:p w14:paraId="7EDA9098" w14:textId="306A78E1" w:rsidR="006E6BBF" w:rsidRPr="00B97848" w:rsidRDefault="006E6BBF" w:rsidP="008734F5">
      <w:pPr>
        <w:spacing w:before="120" w:after="120"/>
        <w:rPr>
          <w:b/>
          <w:szCs w:val="24"/>
        </w:rPr>
      </w:pPr>
      <w:r w:rsidRPr="00B97848">
        <w:rPr>
          <w:b/>
          <w:szCs w:val="24"/>
        </w:rPr>
        <w:t xml:space="preserve">Overview of the </w:t>
      </w:r>
      <w:r w:rsidR="00B86A9F" w:rsidRPr="00B97848">
        <w:rPr>
          <w:b/>
          <w:szCs w:val="24"/>
        </w:rPr>
        <w:t>Determination</w:t>
      </w:r>
    </w:p>
    <w:p w14:paraId="0700EFF6" w14:textId="77777777" w:rsidR="006645E8" w:rsidRPr="00B97848" w:rsidRDefault="006645E8" w:rsidP="006645E8">
      <w:r w:rsidRPr="00B97848">
        <w:t xml:space="preserve">Since 13 March 2020, the Australian Government has been providing Medicare benefits to assist patients to receive remote health consultations by telehealth or phone in certain circumstances. The </w:t>
      </w:r>
      <w:r w:rsidRPr="006E2A38">
        <w:rPr>
          <w:i/>
        </w:rPr>
        <w:t>Health Insurance (Section 3C General Medical Services - COVID-19 Telehealth and Telephone Attendances) Determination 2020</w:t>
      </w:r>
      <w:r w:rsidRPr="006E2A38">
        <w:t xml:space="preserve"> (the Principal Determination) currently prescribes 244 temporary items that cover many general practice, specialist and consultant physician, nurse practitioner</w:t>
      </w:r>
      <w:r w:rsidRPr="00B97848">
        <w:t>, midwife and allied health attendances.</w:t>
      </w:r>
    </w:p>
    <w:p w14:paraId="4A02748D" w14:textId="77777777" w:rsidR="006645E8" w:rsidRPr="00B97848" w:rsidRDefault="006645E8" w:rsidP="006645E8"/>
    <w:p w14:paraId="5B3E2A4D" w14:textId="77777777" w:rsidR="006645E8" w:rsidRPr="00B97848" w:rsidRDefault="006645E8" w:rsidP="006645E8">
      <w:r w:rsidRPr="00B97848">
        <w:t xml:space="preserve">These items ensure that telehealth can be used as a key weapon in the fight against </w:t>
      </w:r>
      <w:r w:rsidRPr="00B97848">
        <w:rPr>
          <w:szCs w:val="24"/>
        </w:rPr>
        <w:t>coronavirus</w:t>
      </w:r>
      <w:r w:rsidRPr="00B97848">
        <w:t xml:space="preserve"> (COVID-19) pandemic. Expanding the consultation services available by telehealth is the next critical stage in the Government’s response to COVID-19.</w:t>
      </w:r>
    </w:p>
    <w:p w14:paraId="7AE9A715" w14:textId="77777777" w:rsidR="006645E8" w:rsidRPr="00B97848" w:rsidRDefault="006645E8" w:rsidP="006645E8"/>
    <w:p w14:paraId="70BBCC08" w14:textId="20122078" w:rsidR="006645E8" w:rsidRDefault="006645E8" w:rsidP="006645E8">
      <w:pPr>
        <w:ind w:right="-58"/>
      </w:pPr>
      <w:r w:rsidRPr="00B97848">
        <w:t xml:space="preserve">The </w:t>
      </w:r>
      <w:r w:rsidR="004D6708" w:rsidRPr="004D6708">
        <w:rPr>
          <w:i/>
        </w:rPr>
        <w:t>Health Insurance (Section 3C General Medical Services – COVID-19 Telehealth and Telephone Attendances) Amendment (Bulk-billing Requirement and New Remote Attendance Services) Determination 2020</w:t>
      </w:r>
      <w:r>
        <w:t xml:space="preserve"> (the Amendment Determination) has two purposes. </w:t>
      </w:r>
    </w:p>
    <w:p w14:paraId="6F8F5566" w14:textId="77777777" w:rsidR="006645E8" w:rsidRDefault="006645E8" w:rsidP="006645E8">
      <w:pPr>
        <w:ind w:right="-58"/>
      </w:pPr>
    </w:p>
    <w:p w14:paraId="68CC2C0E" w14:textId="77777777" w:rsidR="006645E8" w:rsidRDefault="006645E8" w:rsidP="006645E8">
      <w:pPr>
        <w:ind w:right="-58"/>
      </w:pPr>
      <w:r>
        <w:t xml:space="preserve">First, the Amendment Determination removes the requirement for </w:t>
      </w:r>
      <w:r w:rsidRPr="008425E1">
        <w:t>specialist and consultant physician</w:t>
      </w:r>
      <w:r>
        <w:t>s</w:t>
      </w:r>
      <w:r w:rsidRPr="008425E1">
        <w:t>, nurse practitioner</w:t>
      </w:r>
      <w:r>
        <w:t>s</w:t>
      </w:r>
      <w:r w:rsidRPr="008425E1">
        <w:t>, midwife</w:t>
      </w:r>
      <w:r>
        <w:t>s</w:t>
      </w:r>
      <w:r w:rsidRPr="008425E1">
        <w:t xml:space="preserve"> and allied health </w:t>
      </w:r>
      <w:r>
        <w:t xml:space="preserve">practitioners to bulk-bill attendances for certain patients. From 20 April 2020, these health professionals will be able to choose to bulk-bill or patient bill any attendance service in the </w:t>
      </w:r>
      <w:r w:rsidRPr="008425E1">
        <w:t>Principal Determination</w:t>
      </w:r>
      <w:r>
        <w:t xml:space="preserve">. </w:t>
      </w:r>
    </w:p>
    <w:p w14:paraId="7BC2F49E" w14:textId="77777777" w:rsidR="006645E8" w:rsidRDefault="006645E8" w:rsidP="006645E8">
      <w:pPr>
        <w:ind w:right="-58"/>
      </w:pPr>
    </w:p>
    <w:p w14:paraId="012F41F2" w14:textId="77777777" w:rsidR="006645E8" w:rsidRDefault="006645E8" w:rsidP="006645E8">
      <w:pPr>
        <w:ind w:right="-58"/>
      </w:pPr>
      <w:r>
        <w:t xml:space="preserve">GPs and medical practitioners in general practice must continue to bulk-bill services in the </w:t>
      </w:r>
      <w:r w:rsidRPr="008425E1">
        <w:t>Principal Determinatio</w:t>
      </w:r>
      <w:r>
        <w:t>n which are provided to:</w:t>
      </w:r>
    </w:p>
    <w:p w14:paraId="0D018DCD" w14:textId="77777777" w:rsidR="006645E8" w:rsidRDefault="006645E8" w:rsidP="006645E8">
      <w:pPr>
        <w:pStyle w:val="ListParagraph"/>
        <w:numPr>
          <w:ilvl w:val="0"/>
          <w:numId w:val="37"/>
        </w:numPr>
        <w:ind w:right="-58"/>
      </w:pPr>
      <w:r>
        <w:t xml:space="preserve">a </w:t>
      </w:r>
      <w:r w:rsidRPr="008425E1">
        <w:t>patient at risk of COVID-19 virus</w:t>
      </w:r>
      <w:r>
        <w:t>;</w:t>
      </w:r>
    </w:p>
    <w:p w14:paraId="0FA99D63" w14:textId="77777777" w:rsidR="006645E8" w:rsidRDefault="006645E8" w:rsidP="006645E8">
      <w:pPr>
        <w:pStyle w:val="ListParagraph"/>
        <w:numPr>
          <w:ilvl w:val="0"/>
          <w:numId w:val="37"/>
        </w:numPr>
        <w:ind w:right="-58"/>
      </w:pPr>
      <w:r>
        <w:t xml:space="preserve">a </w:t>
      </w:r>
      <w:r w:rsidRPr="008425E1">
        <w:t>person who is a concessional beneficiary</w:t>
      </w:r>
      <w:r>
        <w:t>; or</w:t>
      </w:r>
    </w:p>
    <w:p w14:paraId="79078882" w14:textId="77777777" w:rsidR="006645E8" w:rsidRDefault="006645E8" w:rsidP="006645E8">
      <w:pPr>
        <w:pStyle w:val="ListParagraph"/>
        <w:numPr>
          <w:ilvl w:val="0"/>
          <w:numId w:val="37"/>
        </w:numPr>
        <w:ind w:right="-58"/>
      </w:pPr>
      <w:proofErr w:type="gramStart"/>
      <w:r>
        <w:t>a</w:t>
      </w:r>
      <w:proofErr w:type="gramEnd"/>
      <w:r>
        <w:t xml:space="preserve"> </w:t>
      </w:r>
      <w:r w:rsidRPr="008425E1">
        <w:t>person who is under the age of 16</w:t>
      </w:r>
      <w:r>
        <w:t xml:space="preserve">. </w:t>
      </w:r>
    </w:p>
    <w:p w14:paraId="310CEBDC" w14:textId="77777777" w:rsidR="006645E8" w:rsidRDefault="006645E8" w:rsidP="006645E8">
      <w:pPr>
        <w:ind w:right="-58"/>
      </w:pPr>
    </w:p>
    <w:p w14:paraId="57C1261F" w14:textId="13F6D395" w:rsidR="006645E8" w:rsidRDefault="006645E8" w:rsidP="006645E8">
      <w:pPr>
        <w:ind w:right="-58"/>
      </w:pPr>
      <w:r>
        <w:t xml:space="preserve">Second, the Amendment Determination creates 28 additional telehealth and phone service items. </w:t>
      </w:r>
      <w:r w:rsidRPr="006C069C">
        <w:t xml:space="preserve">These items relate to </w:t>
      </w:r>
      <w:r>
        <w:t xml:space="preserve">neurosurgery consultations, </w:t>
      </w:r>
      <w:r w:rsidRPr="006C069C">
        <w:t>public health physician consultation</w:t>
      </w:r>
      <w:r>
        <w:t xml:space="preserve">s, </w:t>
      </w:r>
      <w:r w:rsidRPr="006C069C">
        <w:t>Aboriginal and Torres Strait Islander health practitioner consultation</w:t>
      </w:r>
      <w:r>
        <w:t>s</w:t>
      </w:r>
      <w:r w:rsidRPr="006C069C">
        <w:t xml:space="preserve"> </w:t>
      </w:r>
      <w:r>
        <w:t>and group psychotherapy services</w:t>
      </w:r>
      <w:r w:rsidR="007508E2">
        <w:t xml:space="preserve"> </w:t>
      </w:r>
      <w:r w:rsidR="007508E2" w:rsidRPr="007508E2">
        <w:t>performed by psychiatrists</w:t>
      </w:r>
      <w:r>
        <w:t>.</w:t>
      </w:r>
    </w:p>
    <w:p w14:paraId="418EF087" w14:textId="77777777" w:rsidR="00DB25C5" w:rsidRPr="00B97848" w:rsidRDefault="00DB25C5" w:rsidP="0002119B">
      <w:pPr>
        <w:ind w:right="84"/>
      </w:pPr>
    </w:p>
    <w:p w14:paraId="2412D15C" w14:textId="50D38E8B" w:rsidR="00A17F2C" w:rsidRPr="00B97848" w:rsidRDefault="00A17F2C" w:rsidP="00067581">
      <w:pPr>
        <w:keepNext/>
        <w:keepLines/>
        <w:ind w:right="-482"/>
        <w:rPr>
          <w:b/>
          <w:szCs w:val="24"/>
        </w:rPr>
      </w:pPr>
      <w:r w:rsidRPr="00B97848">
        <w:rPr>
          <w:b/>
          <w:szCs w:val="24"/>
        </w:rPr>
        <w:lastRenderedPageBreak/>
        <w:t>Human rights implications</w:t>
      </w:r>
    </w:p>
    <w:p w14:paraId="449665F0" w14:textId="2ED3F54B" w:rsidR="00806020" w:rsidRPr="00B97848" w:rsidRDefault="00806020" w:rsidP="00067581">
      <w:pPr>
        <w:keepNext/>
        <w:keepLines/>
        <w:spacing w:before="120" w:after="120"/>
        <w:rPr>
          <w:szCs w:val="24"/>
        </w:rPr>
      </w:pPr>
      <w:r w:rsidRPr="00B97848">
        <w:rPr>
          <w:szCs w:val="24"/>
        </w:rPr>
        <w:t xml:space="preserve">This instrument engages Articles 9 and 12 of the International Covenant on Economic Social and Cultural Rights (ICESCR), specifically the rights to health and social security. </w:t>
      </w:r>
    </w:p>
    <w:p w14:paraId="32CCABB2" w14:textId="77777777" w:rsidR="00247148" w:rsidRDefault="00247148">
      <w:pPr>
        <w:spacing w:after="200" w:line="276" w:lineRule="auto"/>
        <w:rPr>
          <w:i/>
          <w:szCs w:val="24"/>
        </w:rPr>
      </w:pPr>
      <w:r>
        <w:rPr>
          <w:i/>
          <w:szCs w:val="24"/>
        </w:rPr>
        <w:br w:type="page"/>
      </w:r>
    </w:p>
    <w:p w14:paraId="2412D15E" w14:textId="12827B9B" w:rsidR="00A17F2C" w:rsidRPr="00B97848" w:rsidRDefault="00A17F2C" w:rsidP="00806020">
      <w:pPr>
        <w:spacing w:before="120" w:after="120"/>
        <w:rPr>
          <w:i/>
          <w:szCs w:val="24"/>
        </w:rPr>
      </w:pPr>
      <w:r w:rsidRPr="00B97848">
        <w:rPr>
          <w:i/>
          <w:szCs w:val="24"/>
        </w:rPr>
        <w:lastRenderedPageBreak/>
        <w:t>The Right to Health</w:t>
      </w:r>
    </w:p>
    <w:p w14:paraId="2412D15F" w14:textId="77777777" w:rsidR="00A17F2C" w:rsidRPr="00B97848" w:rsidRDefault="00A17F2C" w:rsidP="000337CB">
      <w:pPr>
        <w:spacing w:before="120" w:after="120"/>
        <w:rPr>
          <w:szCs w:val="24"/>
        </w:rPr>
      </w:pPr>
      <w:r w:rsidRPr="00B97848">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B97848" w:rsidRDefault="00A17F2C" w:rsidP="000337CB">
      <w:pPr>
        <w:spacing w:before="120" w:after="120"/>
        <w:rPr>
          <w:szCs w:val="24"/>
        </w:rPr>
      </w:pPr>
      <w:r w:rsidRPr="00B97848">
        <w:rPr>
          <w:szCs w:val="24"/>
        </w:rPr>
        <w:t xml:space="preserve">The Committee reports that the </w:t>
      </w:r>
      <w:r w:rsidRPr="00B97848">
        <w:rPr>
          <w:i/>
          <w:szCs w:val="24"/>
        </w:rPr>
        <w:t>‘highest attainable standard of health’</w:t>
      </w:r>
      <w:r w:rsidRPr="00B97848">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B97848" w:rsidRDefault="00A17F2C" w:rsidP="000337CB">
      <w:pPr>
        <w:spacing w:before="120" w:after="120"/>
        <w:rPr>
          <w:i/>
          <w:szCs w:val="24"/>
        </w:rPr>
      </w:pPr>
      <w:r w:rsidRPr="00B97848">
        <w:rPr>
          <w:i/>
          <w:szCs w:val="24"/>
        </w:rPr>
        <w:t xml:space="preserve">The Right to Social Security </w:t>
      </w:r>
    </w:p>
    <w:p w14:paraId="2412D162" w14:textId="77777777" w:rsidR="00A17F2C" w:rsidRPr="00B97848" w:rsidRDefault="00A17F2C" w:rsidP="000337CB">
      <w:pPr>
        <w:spacing w:before="120" w:after="120"/>
        <w:rPr>
          <w:szCs w:val="24"/>
        </w:rPr>
      </w:pPr>
      <w:r w:rsidRPr="00B97848">
        <w:rPr>
          <w:szCs w:val="24"/>
        </w:rPr>
        <w:t>The right to social security is contained in Article 9 of the ICESCR. It requires that a country must, within its maximum available resources, ensure access to a social security scheme that</w:t>
      </w:r>
      <w:r w:rsidR="00BA69CB" w:rsidRPr="00B97848">
        <w:rPr>
          <w:szCs w:val="24"/>
        </w:rPr>
        <w:t xml:space="preserve"> </w:t>
      </w:r>
      <w:r w:rsidRPr="00B97848">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B97848" w:rsidRDefault="00A17F2C" w:rsidP="000337CB">
      <w:pPr>
        <w:spacing w:before="120" w:after="120"/>
        <w:rPr>
          <w:szCs w:val="24"/>
        </w:rPr>
      </w:pPr>
      <w:r w:rsidRPr="00B97848">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B97848" w:rsidRDefault="00A17F2C" w:rsidP="000337CB">
      <w:pPr>
        <w:spacing w:before="120" w:after="120"/>
        <w:rPr>
          <w:szCs w:val="24"/>
          <w:u w:val="single"/>
        </w:rPr>
      </w:pPr>
      <w:r w:rsidRPr="00B97848">
        <w:rPr>
          <w:szCs w:val="24"/>
          <w:u w:val="single"/>
        </w:rPr>
        <w:t xml:space="preserve">Analysis </w:t>
      </w:r>
    </w:p>
    <w:p w14:paraId="38D8501F" w14:textId="430E3B9B" w:rsidR="00F75C7C" w:rsidRPr="00B97848" w:rsidRDefault="00F75C7C" w:rsidP="00067581">
      <w:pPr>
        <w:rPr>
          <w:szCs w:val="24"/>
        </w:rPr>
      </w:pPr>
      <w:r w:rsidRPr="00F75C7C">
        <w:rPr>
          <w:szCs w:val="24"/>
        </w:rPr>
        <w:t xml:space="preserve">This instrument maintains the right to health and the right to social security by ensuring </w:t>
      </w:r>
      <w:r w:rsidR="00B23C81">
        <w:rPr>
          <w:szCs w:val="24"/>
        </w:rPr>
        <w:t xml:space="preserve">the continued viability of specialist and allied health service providers under Medicare. Although this instrument removes the requirement that </w:t>
      </w:r>
      <w:r w:rsidR="00B23C81" w:rsidRPr="00B23C81">
        <w:rPr>
          <w:szCs w:val="24"/>
        </w:rPr>
        <w:t>specialist</w:t>
      </w:r>
      <w:r w:rsidR="00420B06">
        <w:rPr>
          <w:szCs w:val="24"/>
        </w:rPr>
        <w:t>s</w:t>
      </w:r>
      <w:r w:rsidR="00B23C81" w:rsidRPr="00B23C81">
        <w:rPr>
          <w:szCs w:val="24"/>
        </w:rPr>
        <w:t xml:space="preserve"> and consultant physicians, nurse practitioners, midwifes and allied health practitioners </w:t>
      </w:r>
      <w:r w:rsidR="00420B06">
        <w:rPr>
          <w:szCs w:val="24"/>
        </w:rPr>
        <w:t xml:space="preserve">must </w:t>
      </w:r>
      <w:r w:rsidR="00420B06" w:rsidRPr="00420B06">
        <w:rPr>
          <w:szCs w:val="24"/>
        </w:rPr>
        <w:t>bulk-bill attendances for certain patients</w:t>
      </w:r>
      <w:r w:rsidR="00B23C81">
        <w:rPr>
          <w:szCs w:val="24"/>
        </w:rPr>
        <w:t xml:space="preserve">, this change </w:t>
      </w:r>
      <w:r w:rsidR="00420B06">
        <w:rPr>
          <w:szCs w:val="24"/>
        </w:rPr>
        <w:t xml:space="preserve">was considered necessary to support the continued viability of these sectors during the COVID-19 pandemic. The change is also consistent with the billing arrangements for the equivalent face-to-face services for these service types under Medicare. It will be at the discretion of the individual health professional to determine their own billing arrangements. This includes choosing to bulk-bill a service at no cost to the patient. </w:t>
      </w:r>
    </w:p>
    <w:p w14:paraId="2412D166" w14:textId="1973400E" w:rsidR="00A17F2C" w:rsidRPr="00B97848" w:rsidRDefault="00A17F2C" w:rsidP="004B7CB9">
      <w:pPr>
        <w:spacing w:before="120" w:after="120" w:line="276" w:lineRule="auto"/>
        <w:rPr>
          <w:rFonts w:eastAsia="Calibri"/>
          <w:b/>
          <w:szCs w:val="24"/>
          <w:lang w:eastAsia="en-US"/>
        </w:rPr>
      </w:pPr>
      <w:r w:rsidRPr="00B97848">
        <w:rPr>
          <w:rFonts w:eastAsia="Calibri"/>
          <w:b/>
          <w:szCs w:val="24"/>
          <w:lang w:eastAsia="en-US"/>
        </w:rPr>
        <w:t xml:space="preserve">Conclusion </w:t>
      </w:r>
    </w:p>
    <w:p w14:paraId="5F52FC1C" w14:textId="4D91F2B8" w:rsidR="00067581" w:rsidRPr="00B97848" w:rsidRDefault="00067581" w:rsidP="00067581">
      <w:pPr>
        <w:rPr>
          <w:szCs w:val="24"/>
        </w:rPr>
      </w:pPr>
      <w:r w:rsidRPr="00B97848">
        <w:rPr>
          <w:szCs w:val="24"/>
        </w:rPr>
        <w:t xml:space="preserve">This instrument is compatible with human rights as it </w:t>
      </w:r>
      <w:r w:rsidR="0002119B" w:rsidRPr="00B97848">
        <w:rPr>
          <w:szCs w:val="24"/>
        </w:rPr>
        <w:t>maintains</w:t>
      </w:r>
      <w:r w:rsidRPr="00B97848">
        <w:rPr>
          <w:szCs w:val="24"/>
        </w:rPr>
        <w:t xml:space="preserve"> the right to health and the right to social security. </w:t>
      </w:r>
    </w:p>
    <w:p w14:paraId="0D9EA547" w14:textId="7FDC302B" w:rsidR="00067581" w:rsidRPr="00B97848" w:rsidRDefault="00067581" w:rsidP="00067581">
      <w:pPr>
        <w:jc w:val="center"/>
        <w:rPr>
          <w:b/>
          <w:bCs/>
        </w:rPr>
      </w:pPr>
    </w:p>
    <w:p w14:paraId="3D30E007" w14:textId="77777777" w:rsidR="008834B3" w:rsidRPr="00B97848" w:rsidRDefault="008834B3" w:rsidP="00067581">
      <w:pPr>
        <w:jc w:val="center"/>
        <w:rPr>
          <w:b/>
          <w:bCs/>
        </w:rPr>
      </w:pPr>
    </w:p>
    <w:p w14:paraId="006CC154" w14:textId="2899C657" w:rsidR="008834B3" w:rsidRDefault="00583445" w:rsidP="008834B3">
      <w:pPr>
        <w:jc w:val="center"/>
        <w:rPr>
          <w:b/>
          <w:bCs/>
        </w:rPr>
      </w:pPr>
      <w:r w:rsidRPr="00B439CE">
        <w:rPr>
          <w:b/>
          <w:bCs/>
        </w:rPr>
        <w:t>Greg Hunt</w:t>
      </w:r>
    </w:p>
    <w:p w14:paraId="2E5AC562" w14:textId="77777777" w:rsidR="00247148" w:rsidRPr="00B439CE" w:rsidRDefault="00247148" w:rsidP="008834B3">
      <w:pPr>
        <w:jc w:val="center"/>
        <w:rPr>
          <w:b/>
          <w:lang w:val="en-US"/>
        </w:rPr>
      </w:pPr>
    </w:p>
    <w:p w14:paraId="674168CA" w14:textId="77777777" w:rsidR="008834B3" w:rsidRPr="008834B3" w:rsidRDefault="008834B3" w:rsidP="008834B3">
      <w:pPr>
        <w:jc w:val="center"/>
        <w:rPr>
          <w:b/>
          <w:lang w:val="en-US"/>
        </w:rPr>
      </w:pPr>
      <w:r w:rsidRPr="00B439CE">
        <w:rPr>
          <w:b/>
          <w:bCs/>
        </w:rPr>
        <w:t>Minister for Health</w:t>
      </w:r>
    </w:p>
    <w:p w14:paraId="3F3B8755" w14:textId="43682BB7" w:rsidR="00E65230" w:rsidRPr="00E65230" w:rsidRDefault="00E65230" w:rsidP="00E65230">
      <w:pPr>
        <w:jc w:val="center"/>
        <w:rPr>
          <w:rFonts w:eastAsia="Calibri"/>
          <w:b/>
          <w:szCs w:val="24"/>
          <w:lang w:eastAsia="en-US"/>
        </w:rPr>
      </w:pPr>
    </w:p>
    <w:sectPr w:rsidR="00E65230" w:rsidRPr="00E65230"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52700" w14:textId="77777777" w:rsidR="004D107F" w:rsidRDefault="004D107F">
      <w:r>
        <w:separator/>
      </w:r>
    </w:p>
  </w:endnote>
  <w:endnote w:type="continuationSeparator" w:id="0">
    <w:p w14:paraId="6EC260C0" w14:textId="77777777" w:rsidR="004D107F" w:rsidRDefault="004D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2D06C" w14:textId="77777777" w:rsidR="004D107F" w:rsidRDefault="004D107F">
      <w:r>
        <w:separator/>
      </w:r>
    </w:p>
  </w:footnote>
  <w:footnote w:type="continuationSeparator" w:id="0">
    <w:p w14:paraId="1CC34A18" w14:textId="77777777" w:rsidR="004D107F" w:rsidRDefault="004D1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3E4429A7" w:rsidR="00A1739A" w:rsidRDefault="00A1739A" w:rsidP="00BD6F5F">
    <w:pPr>
      <w:pStyle w:val="Header"/>
      <w:jc w:val="center"/>
    </w:pPr>
    <w:r>
      <w:fldChar w:fldCharType="begin"/>
    </w:r>
    <w:r>
      <w:instrText xml:space="preserve"> PAGE  \* Arabic  \* MERGEFORMAT </w:instrText>
    </w:r>
    <w:r>
      <w:fldChar w:fldCharType="separate"/>
    </w:r>
    <w:r w:rsidR="0011491B">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552CBDD7" w:rsidR="00E23B6B" w:rsidRDefault="00E23B6B">
        <w:pPr>
          <w:pStyle w:val="Header"/>
          <w:jc w:val="center"/>
        </w:pPr>
        <w:r>
          <w:fldChar w:fldCharType="begin"/>
        </w:r>
        <w:r>
          <w:instrText xml:space="preserve"> PAGE   \* MERGEFORMAT </w:instrText>
        </w:r>
        <w:r>
          <w:fldChar w:fldCharType="separate"/>
        </w:r>
        <w:r w:rsidR="0011491B">
          <w:rPr>
            <w:noProof/>
          </w:rPr>
          <w:t>7</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28316E65" w:rsidR="00E23B6B" w:rsidRDefault="00E23B6B">
        <w:pPr>
          <w:pStyle w:val="Header"/>
          <w:jc w:val="center"/>
        </w:pPr>
        <w:r>
          <w:fldChar w:fldCharType="begin"/>
        </w:r>
        <w:r>
          <w:instrText xml:space="preserve"> PAGE   \* MERGEFORMAT </w:instrText>
        </w:r>
        <w:r>
          <w:fldChar w:fldCharType="separate"/>
        </w:r>
        <w:r w:rsidR="0011491B">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6BF734D"/>
    <w:multiLevelType w:val="hybridMultilevel"/>
    <w:tmpl w:val="6892005A"/>
    <w:lvl w:ilvl="0" w:tplc="2A9C16C0">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C257D3A"/>
    <w:multiLevelType w:val="hybridMultilevel"/>
    <w:tmpl w:val="CF2C7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F7125A"/>
    <w:multiLevelType w:val="hybridMultilevel"/>
    <w:tmpl w:val="6B8AF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641A3A"/>
    <w:multiLevelType w:val="hybridMultilevel"/>
    <w:tmpl w:val="A1DAB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2B22"/>
    <w:multiLevelType w:val="hybridMultilevel"/>
    <w:tmpl w:val="CF94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4"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5456429"/>
    <w:multiLevelType w:val="multilevel"/>
    <w:tmpl w:val="8C9E054C"/>
    <w:lvl w:ilvl="0">
      <w:start w:val="1"/>
      <w:numFmt w:val="decimal"/>
      <w:pStyle w:val="ListNumber"/>
      <w:lvlText w:val="%1."/>
      <w:lvlJc w:val="left"/>
      <w:pPr>
        <w:ind w:left="369" w:hanging="369"/>
      </w:pPr>
      <w:rPr>
        <w:rFonts w:ascii="Calibri" w:hAnsi="Calibri" w:cs="Times New Roman" w:hint="default"/>
        <w:color w:val="auto"/>
        <w:sz w:val="24"/>
        <w:szCs w:val="24"/>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30"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2"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2"/>
  </w:num>
  <w:num w:numId="4">
    <w:abstractNumId w:val="15"/>
  </w:num>
  <w:num w:numId="5">
    <w:abstractNumId w:val="22"/>
  </w:num>
  <w:num w:numId="6">
    <w:abstractNumId w:val="12"/>
  </w:num>
  <w:num w:numId="7">
    <w:abstractNumId w:val="34"/>
  </w:num>
  <w:num w:numId="8">
    <w:abstractNumId w:val="8"/>
  </w:num>
  <w:num w:numId="9">
    <w:abstractNumId w:val="6"/>
  </w:num>
  <w:num w:numId="10">
    <w:abstractNumId w:val="36"/>
  </w:num>
  <w:num w:numId="11">
    <w:abstractNumId w:val="33"/>
  </w:num>
  <w:num w:numId="12">
    <w:abstractNumId w:val="16"/>
  </w:num>
  <w:num w:numId="13">
    <w:abstractNumId w:val="18"/>
  </w:num>
  <w:num w:numId="14">
    <w:abstractNumId w:val="31"/>
  </w:num>
  <w:num w:numId="15">
    <w:abstractNumId w:val="9"/>
  </w:num>
  <w:num w:numId="16">
    <w:abstractNumId w:val="24"/>
  </w:num>
  <w:num w:numId="17">
    <w:abstractNumId w:val="27"/>
  </w:num>
  <w:num w:numId="18">
    <w:abstractNumId w:val="25"/>
  </w:num>
  <w:num w:numId="19">
    <w:abstractNumId w:val="4"/>
  </w:num>
  <w:num w:numId="20">
    <w:abstractNumId w:val="14"/>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6"/>
  </w:num>
  <w:num w:numId="25">
    <w:abstractNumId w:val="11"/>
  </w:num>
  <w:num w:numId="26">
    <w:abstractNumId w:val="5"/>
  </w:num>
  <w:num w:numId="27">
    <w:abstractNumId w:val="19"/>
  </w:num>
  <w:num w:numId="28">
    <w:abstractNumId w:val="35"/>
  </w:num>
  <w:num w:numId="29">
    <w:abstractNumId w:val="21"/>
  </w:num>
  <w:num w:numId="30">
    <w:abstractNumId w:val="32"/>
  </w:num>
  <w:num w:numId="31">
    <w:abstractNumId w:val="17"/>
  </w:num>
  <w:num w:numId="32">
    <w:abstractNumId w:val="30"/>
  </w:num>
  <w:num w:numId="33">
    <w:abstractNumId w:val="3"/>
  </w:num>
  <w:num w:numId="34">
    <w:abstractNumId w:val="10"/>
  </w:num>
  <w:num w:numId="35">
    <w:abstractNumId w:val="20"/>
  </w:num>
  <w:num w:numId="36">
    <w:abstractNumId w:val="13"/>
  </w:num>
  <w:num w:numId="37">
    <w:abstractNumId w:val="7"/>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4F67"/>
    <w:rsid w:val="00016774"/>
    <w:rsid w:val="000203B4"/>
    <w:rsid w:val="0002119B"/>
    <w:rsid w:val="00021EFA"/>
    <w:rsid w:val="00024158"/>
    <w:rsid w:val="00024A1D"/>
    <w:rsid w:val="00025F64"/>
    <w:rsid w:val="0002704E"/>
    <w:rsid w:val="0002728B"/>
    <w:rsid w:val="00027830"/>
    <w:rsid w:val="000319EF"/>
    <w:rsid w:val="00033034"/>
    <w:rsid w:val="000337CB"/>
    <w:rsid w:val="0003472A"/>
    <w:rsid w:val="00035684"/>
    <w:rsid w:val="0003591F"/>
    <w:rsid w:val="00036E2B"/>
    <w:rsid w:val="000409D3"/>
    <w:rsid w:val="00040B83"/>
    <w:rsid w:val="00041849"/>
    <w:rsid w:val="0004426E"/>
    <w:rsid w:val="00044A2A"/>
    <w:rsid w:val="00047285"/>
    <w:rsid w:val="00050623"/>
    <w:rsid w:val="000509BA"/>
    <w:rsid w:val="0005224B"/>
    <w:rsid w:val="00054F46"/>
    <w:rsid w:val="0005533C"/>
    <w:rsid w:val="00063242"/>
    <w:rsid w:val="000640CF"/>
    <w:rsid w:val="00064BA4"/>
    <w:rsid w:val="00067581"/>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D7E1F"/>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1634"/>
    <w:rsid w:val="00113B2E"/>
    <w:rsid w:val="0011491B"/>
    <w:rsid w:val="00115225"/>
    <w:rsid w:val="00120766"/>
    <w:rsid w:val="00121189"/>
    <w:rsid w:val="00121A66"/>
    <w:rsid w:val="00132087"/>
    <w:rsid w:val="00134B27"/>
    <w:rsid w:val="00134C9A"/>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02D2"/>
    <w:rsid w:val="001B3714"/>
    <w:rsid w:val="001B5ED9"/>
    <w:rsid w:val="001B6095"/>
    <w:rsid w:val="001B66AF"/>
    <w:rsid w:val="001B7092"/>
    <w:rsid w:val="001C1B86"/>
    <w:rsid w:val="001C2360"/>
    <w:rsid w:val="001C35BC"/>
    <w:rsid w:val="001C443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1F4B00"/>
    <w:rsid w:val="00200145"/>
    <w:rsid w:val="002003CA"/>
    <w:rsid w:val="002003F7"/>
    <w:rsid w:val="00200971"/>
    <w:rsid w:val="0020245D"/>
    <w:rsid w:val="00203952"/>
    <w:rsid w:val="00203F23"/>
    <w:rsid w:val="00204413"/>
    <w:rsid w:val="00210EE7"/>
    <w:rsid w:val="00213177"/>
    <w:rsid w:val="00215191"/>
    <w:rsid w:val="00216907"/>
    <w:rsid w:val="00216C44"/>
    <w:rsid w:val="00217EBF"/>
    <w:rsid w:val="00220EE3"/>
    <w:rsid w:val="00221C4B"/>
    <w:rsid w:val="002227DF"/>
    <w:rsid w:val="0022342C"/>
    <w:rsid w:val="0022384B"/>
    <w:rsid w:val="00225B50"/>
    <w:rsid w:val="00225D8E"/>
    <w:rsid w:val="002264F4"/>
    <w:rsid w:val="00231CD0"/>
    <w:rsid w:val="002322A8"/>
    <w:rsid w:val="0023311C"/>
    <w:rsid w:val="00233BEB"/>
    <w:rsid w:val="00234EDC"/>
    <w:rsid w:val="00235B6C"/>
    <w:rsid w:val="00236DF2"/>
    <w:rsid w:val="0024152E"/>
    <w:rsid w:val="002427DC"/>
    <w:rsid w:val="00242974"/>
    <w:rsid w:val="0024428D"/>
    <w:rsid w:val="00244C7B"/>
    <w:rsid w:val="00244D84"/>
    <w:rsid w:val="00247148"/>
    <w:rsid w:val="00250061"/>
    <w:rsid w:val="00250642"/>
    <w:rsid w:val="00251E4A"/>
    <w:rsid w:val="00251F50"/>
    <w:rsid w:val="002538F6"/>
    <w:rsid w:val="00253E30"/>
    <w:rsid w:val="0025493F"/>
    <w:rsid w:val="00257459"/>
    <w:rsid w:val="00257E4D"/>
    <w:rsid w:val="00262230"/>
    <w:rsid w:val="00262865"/>
    <w:rsid w:val="00263279"/>
    <w:rsid w:val="002643FC"/>
    <w:rsid w:val="00271EEA"/>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178"/>
    <w:rsid w:val="00301D49"/>
    <w:rsid w:val="003025C7"/>
    <w:rsid w:val="00302C01"/>
    <w:rsid w:val="00302F5C"/>
    <w:rsid w:val="00304080"/>
    <w:rsid w:val="0031124D"/>
    <w:rsid w:val="003113E4"/>
    <w:rsid w:val="00312ED1"/>
    <w:rsid w:val="00313554"/>
    <w:rsid w:val="003175A1"/>
    <w:rsid w:val="00317B55"/>
    <w:rsid w:val="0032155B"/>
    <w:rsid w:val="003215B6"/>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5689"/>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4AF3"/>
    <w:rsid w:val="00386C22"/>
    <w:rsid w:val="003876E6"/>
    <w:rsid w:val="0039170C"/>
    <w:rsid w:val="00391AFA"/>
    <w:rsid w:val="003937EF"/>
    <w:rsid w:val="00393E9B"/>
    <w:rsid w:val="00394315"/>
    <w:rsid w:val="00397A97"/>
    <w:rsid w:val="00397F4D"/>
    <w:rsid w:val="003A257A"/>
    <w:rsid w:val="003A280D"/>
    <w:rsid w:val="003A5A70"/>
    <w:rsid w:val="003A6230"/>
    <w:rsid w:val="003A6299"/>
    <w:rsid w:val="003B1976"/>
    <w:rsid w:val="003B1D46"/>
    <w:rsid w:val="003B27BA"/>
    <w:rsid w:val="003B366C"/>
    <w:rsid w:val="003B38C1"/>
    <w:rsid w:val="003B495F"/>
    <w:rsid w:val="003B59A9"/>
    <w:rsid w:val="003B6B63"/>
    <w:rsid w:val="003B731D"/>
    <w:rsid w:val="003B7C31"/>
    <w:rsid w:val="003C02D4"/>
    <w:rsid w:val="003C37E3"/>
    <w:rsid w:val="003C4CBD"/>
    <w:rsid w:val="003C546B"/>
    <w:rsid w:val="003C7719"/>
    <w:rsid w:val="003C7B75"/>
    <w:rsid w:val="003D0FBD"/>
    <w:rsid w:val="003D2A6D"/>
    <w:rsid w:val="003E005B"/>
    <w:rsid w:val="003E04DA"/>
    <w:rsid w:val="003E1249"/>
    <w:rsid w:val="003E3544"/>
    <w:rsid w:val="003E35A8"/>
    <w:rsid w:val="003E4F2D"/>
    <w:rsid w:val="003E57BE"/>
    <w:rsid w:val="003E77CB"/>
    <w:rsid w:val="003F40EC"/>
    <w:rsid w:val="003F47FD"/>
    <w:rsid w:val="003F4B52"/>
    <w:rsid w:val="003F68B7"/>
    <w:rsid w:val="003F73BA"/>
    <w:rsid w:val="003F73F0"/>
    <w:rsid w:val="00401423"/>
    <w:rsid w:val="00403105"/>
    <w:rsid w:val="00404F11"/>
    <w:rsid w:val="00405890"/>
    <w:rsid w:val="00405EF4"/>
    <w:rsid w:val="00406536"/>
    <w:rsid w:val="00406D7A"/>
    <w:rsid w:val="00411365"/>
    <w:rsid w:val="0041237F"/>
    <w:rsid w:val="00412B6C"/>
    <w:rsid w:val="00414613"/>
    <w:rsid w:val="00415B19"/>
    <w:rsid w:val="0041767B"/>
    <w:rsid w:val="00417AE0"/>
    <w:rsid w:val="00420205"/>
    <w:rsid w:val="00420B06"/>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5536"/>
    <w:rsid w:val="00456B1D"/>
    <w:rsid w:val="0046022A"/>
    <w:rsid w:val="004636B4"/>
    <w:rsid w:val="004641DC"/>
    <w:rsid w:val="00464AC7"/>
    <w:rsid w:val="004669A4"/>
    <w:rsid w:val="00466A5B"/>
    <w:rsid w:val="00466D9C"/>
    <w:rsid w:val="0046799A"/>
    <w:rsid w:val="00472D67"/>
    <w:rsid w:val="0047447F"/>
    <w:rsid w:val="0047484E"/>
    <w:rsid w:val="0047494B"/>
    <w:rsid w:val="00475A85"/>
    <w:rsid w:val="00476F13"/>
    <w:rsid w:val="00477C74"/>
    <w:rsid w:val="00480561"/>
    <w:rsid w:val="004806B3"/>
    <w:rsid w:val="00481E5E"/>
    <w:rsid w:val="004828A9"/>
    <w:rsid w:val="00484953"/>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07F"/>
    <w:rsid w:val="004D1BF4"/>
    <w:rsid w:val="004D480B"/>
    <w:rsid w:val="004D6104"/>
    <w:rsid w:val="004D6708"/>
    <w:rsid w:val="004D712C"/>
    <w:rsid w:val="004D7821"/>
    <w:rsid w:val="004E10C5"/>
    <w:rsid w:val="004E22A7"/>
    <w:rsid w:val="004E39E6"/>
    <w:rsid w:val="004E71DC"/>
    <w:rsid w:val="004E7F97"/>
    <w:rsid w:val="004F1563"/>
    <w:rsid w:val="004F20B0"/>
    <w:rsid w:val="004F4BAD"/>
    <w:rsid w:val="004F7682"/>
    <w:rsid w:val="005012BC"/>
    <w:rsid w:val="00502156"/>
    <w:rsid w:val="00502277"/>
    <w:rsid w:val="005023B9"/>
    <w:rsid w:val="005042B5"/>
    <w:rsid w:val="00504D6C"/>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671FA"/>
    <w:rsid w:val="00570F2B"/>
    <w:rsid w:val="0057258C"/>
    <w:rsid w:val="00573651"/>
    <w:rsid w:val="00574E71"/>
    <w:rsid w:val="005811D8"/>
    <w:rsid w:val="00581904"/>
    <w:rsid w:val="00582B3F"/>
    <w:rsid w:val="00583445"/>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25"/>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9F8"/>
    <w:rsid w:val="005F0F6C"/>
    <w:rsid w:val="005F1A7F"/>
    <w:rsid w:val="00601165"/>
    <w:rsid w:val="00607547"/>
    <w:rsid w:val="00607971"/>
    <w:rsid w:val="00611A4E"/>
    <w:rsid w:val="006122C0"/>
    <w:rsid w:val="0061281D"/>
    <w:rsid w:val="00612D28"/>
    <w:rsid w:val="00613C46"/>
    <w:rsid w:val="00614085"/>
    <w:rsid w:val="00616889"/>
    <w:rsid w:val="00617F77"/>
    <w:rsid w:val="00623004"/>
    <w:rsid w:val="006237CC"/>
    <w:rsid w:val="00627C91"/>
    <w:rsid w:val="00635031"/>
    <w:rsid w:val="006369D4"/>
    <w:rsid w:val="00636C51"/>
    <w:rsid w:val="006407FA"/>
    <w:rsid w:val="00642368"/>
    <w:rsid w:val="00642537"/>
    <w:rsid w:val="006427B2"/>
    <w:rsid w:val="00642BEB"/>
    <w:rsid w:val="00647426"/>
    <w:rsid w:val="00647590"/>
    <w:rsid w:val="006526F5"/>
    <w:rsid w:val="00656275"/>
    <w:rsid w:val="00657702"/>
    <w:rsid w:val="006619F5"/>
    <w:rsid w:val="006629F9"/>
    <w:rsid w:val="006639F0"/>
    <w:rsid w:val="006645E8"/>
    <w:rsid w:val="0066562D"/>
    <w:rsid w:val="0066727B"/>
    <w:rsid w:val="00670998"/>
    <w:rsid w:val="00672050"/>
    <w:rsid w:val="00673872"/>
    <w:rsid w:val="00674A34"/>
    <w:rsid w:val="00681100"/>
    <w:rsid w:val="00685515"/>
    <w:rsid w:val="0068642A"/>
    <w:rsid w:val="00694C76"/>
    <w:rsid w:val="00694F4A"/>
    <w:rsid w:val="006A029B"/>
    <w:rsid w:val="006A17A1"/>
    <w:rsid w:val="006A2241"/>
    <w:rsid w:val="006A61C5"/>
    <w:rsid w:val="006B0F31"/>
    <w:rsid w:val="006B13BC"/>
    <w:rsid w:val="006B14EC"/>
    <w:rsid w:val="006B32FE"/>
    <w:rsid w:val="006B3959"/>
    <w:rsid w:val="006B4B58"/>
    <w:rsid w:val="006B6925"/>
    <w:rsid w:val="006C026A"/>
    <w:rsid w:val="006C069C"/>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3E1"/>
    <w:rsid w:val="006E1A62"/>
    <w:rsid w:val="006E2A38"/>
    <w:rsid w:val="006E320C"/>
    <w:rsid w:val="006E3D84"/>
    <w:rsid w:val="006E527B"/>
    <w:rsid w:val="006E5C6B"/>
    <w:rsid w:val="006E6377"/>
    <w:rsid w:val="006E6640"/>
    <w:rsid w:val="006E6BBF"/>
    <w:rsid w:val="006E7529"/>
    <w:rsid w:val="006F1E48"/>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393D"/>
    <w:rsid w:val="00726CFA"/>
    <w:rsid w:val="0072758A"/>
    <w:rsid w:val="007304D5"/>
    <w:rsid w:val="00730965"/>
    <w:rsid w:val="00733599"/>
    <w:rsid w:val="00733F09"/>
    <w:rsid w:val="00735753"/>
    <w:rsid w:val="00735891"/>
    <w:rsid w:val="00735CCC"/>
    <w:rsid w:val="00735ED1"/>
    <w:rsid w:val="007368DC"/>
    <w:rsid w:val="00736AC9"/>
    <w:rsid w:val="00741A4E"/>
    <w:rsid w:val="00742E97"/>
    <w:rsid w:val="007452E0"/>
    <w:rsid w:val="00745BD4"/>
    <w:rsid w:val="00750378"/>
    <w:rsid w:val="007505FB"/>
    <w:rsid w:val="007508E2"/>
    <w:rsid w:val="007524B0"/>
    <w:rsid w:val="00752997"/>
    <w:rsid w:val="007533EC"/>
    <w:rsid w:val="00756FEA"/>
    <w:rsid w:val="00757618"/>
    <w:rsid w:val="00762606"/>
    <w:rsid w:val="00762B45"/>
    <w:rsid w:val="0076544A"/>
    <w:rsid w:val="00767402"/>
    <w:rsid w:val="0077044D"/>
    <w:rsid w:val="007708B3"/>
    <w:rsid w:val="007710A8"/>
    <w:rsid w:val="007721B6"/>
    <w:rsid w:val="00773C22"/>
    <w:rsid w:val="00774454"/>
    <w:rsid w:val="00774ABF"/>
    <w:rsid w:val="00776E17"/>
    <w:rsid w:val="00782D07"/>
    <w:rsid w:val="0078575F"/>
    <w:rsid w:val="007859F8"/>
    <w:rsid w:val="00791384"/>
    <w:rsid w:val="0079191B"/>
    <w:rsid w:val="00791C27"/>
    <w:rsid w:val="0079239C"/>
    <w:rsid w:val="007934F3"/>
    <w:rsid w:val="00795A80"/>
    <w:rsid w:val="00796464"/>
    <w:rsid w:val="00796F15"/>
    <w:rsid w:val="007A0403"/>
    <w:rsid w:val="007A12F5"/>
    <w:rsid w:val="007A1981"/>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BBC"/>
    <w:rsid w:val="00805C3A"/>
    <w:rsid w:val="00806020"/>
    <w:rsid w:val="008061B8"/>
    <w:rsid w:val="008100CF"/>
    <w:rsid w:val="00811E69"/>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1EEF"/>
    <w:rsid w:val="008425E1"/>
    <w:rsid w:val="00843425"/>
    <w:rsid w:val="00845708"/>
    <w:rsid w:val="00846239"/>
    <w:rsid w:val="00846484"/>
    <w:rsid w:val="008478EE"/>
    <w:rsid w:val="00851F40"/>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4B3"/>
    <w:rsid w:val="00883771"/>
    <w:rsid w:val="00883C9D"/>
    <w:rsid w:val="00883EFE"/>
    <w:rsid w:val="008869CA"/>
    <w:rsid w:val="008870CD"/>
    <w:rsid w:val="008905BA"/>
    <w:rsid w:val="00891156"/>
    <w:rsid w:val="0089375C"/>
    <w:rsid w:val="0089513F"/>
    <w:rsid w:val="00895699"/>
    <w:rsid w:val="0089579B"/>
    <w:rsid w:val="008973B9"/>
    <w:rsid w:val="008A153F"/>
    <w:rsid w:val="008A54A9"/>
    <w:rsid w:val="008A6188"/>
    <w:rsid w:val="008A763F"/>
    <w:rsid w:val="008A79C6"/>
    <w:rsid w:val="008B2094"/>
    <w:rsid w:val="008B28F2"/>
    <w:rsid w:val="008B444F"/>
    <w:rsid w:val="008B6622"/>
    <w:rsid w:val="008B683E"/>
    <w:rsid w:val="008C0EF7"/>
    <w:rsid w:val="008C11A2"/>
    <w:rsid w:val="008C20F7"/>
    <w:rsid w:val="008C40A5"/>
    <w:rsid w:val="008C4CDF"/>
    <w:rsid w:val="008C5F1C"/>
    <w:rsid w:val="008C7F8F"/>
    <w:rsid w:val="008D06D8"/>
    <w:rsid w:val="008D136F"/>
    <w:rsid w:val="008D1B01"/>
    <w:rsid w:val="008D25D7"/>
    <w:rsid w:val="008D2A83"/>
    <w:rsid w:val="008D2D7B"/>
    <w:rsid w:val="008D2D98"/>
    <w:rsid w:val="008D44EB"/>
    <w:rsid w:val="008D6051"/>
    <w:rsid w:val="008E3E1A"/>
    <w:rsid w:val="008E4039"/>
    <w:rsid w:val="008F1AA9"/>
    <w:rsid w:val="008F75FC"/>
    <w:rsid w:val="008F7C5B"/>
    <w:rsid w:val="00901C4E"/>
    <w:rsid w:val="00904502"/>
    <w:rsid w:val="009049C0"/>
    <w:rsid w:val="00906257"/>
    <w:rsid w:val="009069D6"/>
    <w:rsid w:val="00910EF6"/>
    <w:rsid w:val="00912380"/>
    <w:rsid w:val="009124F6"/>
    <w:rsid w:val="00912BC1"/>
    <w:rsid w:val="00913B67"/>
    <w:rsid w:val="0091520D"/>
    <w:rsid w:val="00915B08"/>
    <w:rsid w:val="00920F97"/>
    <w:rsid w:val="00921DD1"/>
    <w:rsid w:val="009225FE"/>
    <w:rsid w:val="00923D31"/>
    <w:rsid w:val="00923F94"/>
    <w:rsid w:val="00924AA2"/>
    <w:rsid w:val="00926DD3"/>
    <w:rsid w:val="00927771"/>
    <w:rsid w:val="009336C8"/>
    <w:rsid w:val="00935308"/>
    <w:rsid w:val="009361FD"/>
    <w:rsid w:val="009406D2"/>
    <w:rsid w:val="00940F17"/>
    <w:rsid w:val="009414C5"/>
    <w:rsid w:val="0094153E"/>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62E6"/>
    <w:rsid w:val="00967E51"/>
    <w:rsid w:val="00971039"/>
    <w:rsid w:val="00971B7B"/>
    <w:rsid w:val="00971D3B"/>
    <w:rsid w:val="00972D48"/>
    <w:rsid w:val="00975E68"/>
    <w:rsid w:val="00977A95"/>
    <w:rsid w:val="00977BD8"/>
    <w:rsid w:val="00982585"/>
    <w:rsid w:val="00983FBD"/>
    <w:rsid w:val="00983FD9"/>
    <w:rsid w:val="00985DC9"/>
    <w:rsid w:val="00985FA9"/>
    <w:rsid w:val="00987A99"/>
    <w:rsid w:val="009902F7"/>
    <w:rsid w:val="0099306E"/>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29D"/>
    <w:rsid w:val="009E36E1"/>
    <w:rsid w:val="009E3783"/>
    <w:rsid w:val="009E3EA3"/>
    <w:rsid w:val="009E3ED4"/>
    <w:rsid w:val="009F0715"/>
    <w:rsid w:val="009F1615"/>
    <w:rsid w:val="009F4352"/>
    <w:rsid w:val="009F45FE"/>
    <w:rsid w:val="009F4E4E"/>
    <w:rsid w:val="009F6717"/>
    <w:rsid w:val="00A01F6A"/>
    <w:rsid w:val="00A0321B"/>
    <w:rsid w:val="00A03D93"/>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069B"/>
    <w:rsid w:val="00A54891"/>
    <w:rsid w:val="00A54CA1"/>
    <w:rsid w:val="00A56516"/>
    <w:rsid w:val="00A62031"/>
    <w:rsid w:val="00A65D80"/>
    <w:rsid w:val="00A66849"/>
    <w:rsid w:val="00A672A7"/>
    <w:rsid w:val="00A714DD"/>
    <w:rsid w:val="00A73044"/>
    <w:rsid w:val="00A7379C"/>
    <w:rsid w:val="00A73CF1"/>
    <w:rsid w:val="00A74412"/>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420A"/>
    <w:rsid w:val="00AB515C"/>
    <w:rsid w:val="00AB52D0"/>
    <w:rsid w:val="00AC046B"/>
    <w:rsid w:val="00AC1E16"/>
    <w:rsid w:val="00AC1EDB"/>
    <w:rsid w:val="00AC3A0C"/>
    <w:rsid w:val="00AC3EEC"/>
    <w:rsid w:val="00AC3FE7"/>
    <w:rsid w:val="00AC50EE"/>
    <w:rsid w:val="00AC54F8"/>
    <w:rsid w:val="00AC57A5"/>
    <w:rsid w:val="00AC681D"/>
    <w:rsid w:val="00AC6FF1"/>
    <w:rsid w:val="00AD0BAD"/>
    <w:rsid w:val="00AD0F67"/>
    <w:rsid w:val="00AD19E2"/>
    <w:rsid w:val="00AD1A30"/>
    <w:rsid w:val="00AD7E8E"/>
    <w:rsid w:val="00AE0487"/>
    <w:rsid w:val="00AE0F81"/>
    <w:rsid w:val="00AE330D"/>
    <w:rsid w:val="00AE7A51"/>
    <w:rsid w:val="00AE7C6B"/>
    <w:rsid w:val="00AF134A"/>
    <w:rsid w:val="00AF3563"/>
    <w:rsid w:val="00AF3BCE"/>
    <w:rsid w:val="00AF421C"/>
    <w:rsid w:val="00AF5C05"/>
    <w:rsid w:val="00AF7622"/>
    <w:rsid w:val="00B00238"/>
    <w:rsid w:val="00B019A9"/>
    <w:rsid w:val="00B03218"/>
    <w:rsid w:val="00B03273"/>
    <w:rsid w:val="00B039EC"/>
    <w:rsid w:val="00B07EFF"/>
    <w:rsid w:val="00B10922"/>
    <w:rsid w:val="00B10984"/>
    <w:rsid w:val="00B109B2"/>
    <w:rsid w:val="00B10D67"/>
    <w:rsid w:val="00B110B5"/>
    <w:rsid w:val="00B14C3A"/>
    <w:rsid w:val="00B15781"/>
    <w:rsid w:val="00B167A2"/>
    <w:rsid w:val="00B174E3"/>
    <w:rsid w:val="00B20415"/>
    <w:rsid w:val="00B23C81"/>
    <w:rsid w:val="00B2772E"/>
    <w:rsid w:val="00B27A5B"/>
    <w:rsid w:val="00B316E7"/>
    <w:rsid w:val="00B3398C"/>
    <w:rsid w:val="00B34334"/>
    <w:rsid w:val="00B34BDE"/>
    <w:rsid w:val="00B34EF9"/>
    <w:rsid w:val="00B3578F"/>
    <w:rsid w:val="00B35DAD"/>
    <w:rsid w:val="00B36EB3"/>
    <w:rsid w:val="00B40E17"/>
    <w:rsid w:val="00B41AE8"/>
    <w:rsid w:val="00B439CE"/>
    <w:rsid w:val="00B445D0"/>
    <w:rsid w:val="00B45C4D"/>
    <w:rsid w:val="00B50E59"/>
    <w:rsid w:val="00B53FF2"/>
    <w:rsid w:val="00B54620"/>
    <w:rsid w:val="00B55CDD"/>
    <w:rsid w:val="00B56E4F"/>
    <w:rsid w:val="00B610A9"/>
    <w:rsid w:val="00B63345"/>
    <w:rsid w:val="00B63A7A"/>
    <w:rsid w:val="00B652B0"/>
    <w:rsid w:val="00B65ABC"/>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727"/>
    <w:rsid w:val="00B90E4C"/>
    <w:rsid w:val="00B910E8"/>
    <w:rsid w:val="00B93137"/>
    <w:rsid w:val="00B9328C"/>
    <w:rsid w:val="00B94CD8"/>
    <w:rsid w:val="00B96F16"/>
    <w:rsid w:val="00B97848"/>
    <w:rsid w:val="00B97A54"/>
    <w:rsid w:val="00BA0974"/>
    <w:rsid w:val="00BA1526"/>
    <w:rsid w:val="00BA2309"/>
    <w:rsid w:val="00BA37D1"/>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24CC"/>
    <w:rsid w:val="00BD304A"/>
    <w:rsid w:val="00BD7FD9"/>
    <w:rsid w:val="00BE1022"/>
    <w:rsid w:val="00BE283F"/>
    <w:rsid w:val="00BE299C"/>
    <w:rsid w:val="00BE2ECA"/>
    <w:rsid w:val="00BE2EFA"/>
    <w:rsid w:val="00BE568E"/>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1B5C"/>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19F9"/>
    <w:rsid w:val="00C724F5"/>
    <w:rsid w:val="00C73066"/>
    <w:rsid w:val="00C743D2"/>
    <w:rsid w:val="00C763FD"/>
    <w:rsid w:val="00C77305"/>
    <w:rsid w:val="00C77A1F"/>
    <w:rsid w:val="00C80647"/>
    <w:rsid w:val="00C80836"/>
    <w:rsid w:val="00C84DDE"/>
    <w:rsid w:val="00C85162"/>
    <w:rsid w:val="00C87864"/>
    <w:rsid w:val="00C90EAC"/>
    <w:rsid w:val="00C917FD"/>
    <w:rsid w:val="00C93D01"/>
    <w:rsid w:val="00C94625"/>
    <w:rsid w:val="00C958FA"/>
    <w:rsid w:val="00C96958"/>
    <w:rsid w:val="00C96A6B"/>
    <w:rsid w:val="00C97BFB"/>
    <w:rsid w:val="00CA285C"/>
    <w:rsid w:val="00CA2888"/>
    <w:rsid w:val="00CA3967"/>
    <w:rsid w:val="00CA62C0"/>
    <w:rsid w:val="00CA73CB"/>
    <w:rsid w:val="00CA79BB"/>
    <w:rsid w:val="00CB4161"/>
    <w:rsid w:val="00CB43A2"/>
    <w:rsid w:val="00CB6DE1"/>
    <w:rsid w:val="00CB7730"/>
    <w:rsid w:val="00CB78D0"/>
    <w:rsid w:val="00CC12A0"/>
    <w:rsid w:val="00CC26A8"/>
    <w:rsid w:val="00CC3336"/>
    <w:rsid w:val="00CC4CED"/>
    <w:rsid w:val="00CC6EBB"/>
    <w:rsid w:val="00CD1788"/>
    <w:rsid w:val="00CD38A6"/>
    <w:rsid w:val="00CD4A21"/>
    <w:rsid w:val="00CD6442"/>
    <w:rsid w:val="00CE3A6F"/>
    <w:rsid w:val="00CE40BB"/>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689C"/>
    <w:rsid w:val="00D17BDD"/>
    <w:rsid w:val="00D24F7B"/>
    <w:rsid w:val="00D2532E"/>
    <w:rsid w:val="00D25890"/>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291E"/>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06F8"/>
    <w:rsid w:val="00D712E9"/>
    <w:rsid w:val="00D7566A"/>
    <w:rsid w:val="00D85008"/>
    <w:rsid w:val="00D87426"/>
    <w:rsid w:val="00D8754D"/>
    <w:rsid w:val="00D90291"/>
    <w:rsid w:val="00D92717"/>
    <w:rsid w:val="00D93E05"/>
    <w:rsid w:val="00D9515D"/>
    <w:rsid w:val="00DA3A08"/>
    <w:rsid w:val="00DA4715"/>
    <w:rsid w:val="00DA62DF"/>
    <w:rsid w:val="00DA7439"/>
    <w:rsid w:val="00DB0166"/>
    <w:rsid w:val="00DB0DA9"/>
    <w:rsid w:val="00DB108A"/>
    <w:rsid w:val="00DB209A"/>
    <w:rsid w:val="00DB25C5"/>
    <w:rsid w:val="00DC1776"/>
    <w:rsid w:val="00DC33A5"/>
    <w:rsid w:val="00DC4340"/>
    <w:rsid w:val="00DC5F13"/>
    <w:rsid w:val="00DC7898"/>
    <w:rsid w:val="00DD19F8"/>
    <w:rsid w:val="00DD1C70"/>
    <w:rsid w:val="00DD2898"/>
    <w:rsid w:val="00DD3239"/>
    <w:rsid w:val="00DE07E4"/>
    <w:rsid w:val="00DE0877"/>
    <w:rsid w:val="00DE0FF8"/>
    <w:rsid w:val="00DE3EBF"/>
    <w:rsid w:val="00DE6D39"/>
    <w:rsid w:val="00DE7345"/>
    <w:rsid w:val="00DE76EB"/>
    <w:rsid w:val="00DF2A8F"/>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19E9"/>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5230"/>
    <w:rsid w:val="00E664F4"/>
    <w:rsid w:val="00E70355"/>
    <w:rsid w:val="00E72855"/>
    <w:rsid w:val="00E72E5D"/>
    <w:rsid w:val="00E7377F"/>
    <w:rsid w:val="00E74710"/>
    <w:rsid w:val="00E74C1D"/>
    <w:rsid w:val="00E75ACC"/>
    <w:rsid w:val="00E75C74"/>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044C"/>
    <w:rsid w:val="00EB2F51"/>
    <w:rsid w:val="00EB3BF0"/>
    <w:rsid w:val="00EB4DA6"/>
    <w:rsid w:val="00EB601D"/>
    <w:rsid w:val="00EB6CCD"/>
    <w:rsid w:val="00EC0273"/>
    <w:rsid w:val="00EC25BA"/>
    <w:rsid w:val="00ED0AD5"/>
    <w:rsid w:val="00ED10A7"/>
    <w:rsid w:val="00ED1DE2"/>
    <w:rsid w:val="00ED1F31"/>
    <w:rsid w:val="00ED3630"/>
    <w:rsid w:val="00ED7140"/>
    <w:rsid w:val="00ED77E5"/>
    <w:rsid w:val="00EE026E"/>
    <w:rsid w:val="00EE3931"/>
    <w:rsid w:val="00EE3AF1"/>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44A9"/>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66C49"/>
    <w:rsid w:val="00F70D35"/>
    <w:rsid w:val="00F72B07"/>
    <w:rsid w:val="00F7546C"/>
    <w:rsid w:val="00F75C7C"/>
    <w:rsid w:val="00F77B00"/>
    <w:rsid w:val="00F820C0"/>
    <w:rsid w:val="00F83B6F"/>
    <w:rsid w:val="00F84470"/>
    <w:rsid w:val="00F857BC"/>
    <w:rsid w:val="00F90273"/>
    <w:rsid w:val="00F90BD0"/>
    <w:rsid w:val="00F91A58"/>
    <w:rsid w:val="00F91A5F"/>
    <w:rsid w:val="00F93ACB"/>
    <w:rsid w:val="00F93C4F"/>
    <w:rsid w:val="00F95581"/>
    <w:rsid w:val="00F95994"/>
    <w:rsid w:val="00F95E1B"/>
    <w:rsid w:val="00FA2611"/>
    <w:rsid w:val="00FA29C9"/>
    <w:rsid w:val="00FA2D81"/>
    <w:rsid w:val="00FA3F17"/>
    <w:rsid w:val="00FA49C5"/>
    <w:rsid w:val="00FA5BD2"/>
    <w:rsid w:val="00FA6175"/>
    <w:rsid w:val="00FA6784"/>
    <w:rsid w:val="00FA7E00"/>
    <w:rsid w:val="00FB16BA"/>
    <w:rsid w:val="00FB1780"/>
    <w:rsid w:val="00FB35C6"/>
    <w:rsid w:val="00FB4C5A"/>
    <w:rsid w:val="00FB5BFA"/>
    <w:rsid w:val="00FB6850"/>
    <w:rsid w:val="00FB6F79"/>
    <w:rsid w:val="00FC10F6"/>
    <w:rsid w:val="00FC319A"/>
    <w:rsid w:val="00FC33A2"/>
    <w:rsid w:val="00FC423E"/>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58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ActHead7">
    <w:name w:val="ActHead 7"/>
    <w:aliases w:val="ap"/>
    <w:basedOn w:val="Normal"/>
    <w:next w:val="Normal"/>
    <w:qFormat/>
    <w:rsid w:val="00CD6442"/>
    <w:pPr>
      <w:keepNext/>
      <w:keepLines/>
      <w:spacing w:before="280"/>
      <w:ind w:left="1134" w:hanging="1134"/>
      <w:outlineLvl w:val="6"/>
    </w:pPr>
    <w:rPr>
      <w:rFonts w:ascii="Arial" w:hAnsi="Arial"/>
      <w:b/>
      <w:kern w:val="28"/>
      <w:sz w:val="28"/>
    </w:rPr>
  </w:style>
  <w:style w:type="paragraph" w:customStyle="1" w:styleId="subsection">
    <w:name w:val="subsection"/>
    <w:aliases w:val="ss,Subsection"/>
    <w:basedOn w:val="Normal"/>
    <w:link w:val="subsectionChar"/>
    <w:rsid w:val="0006758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067581"/>
    <w:rPr>
      <w:rFonts w:ascii="Times New Roman" w:eastAsia="Times New Roman" w:hAnsi="Times New Roman" w:cs="Times New Roman"/>
      <w:szCs w:val="20"/>
      <w:lang w:eastAsia="en-AU"/>
    </w:rPr>
  </w:style>
  <w:style w:type="paragraph" w:styleId="ListNumber">
    <w:name w:val="List Number"/>
    <w:basedOn w:val="Normal"/>
    <w:uiPriority w:val="99"/>
    <w:unhideWhenUsed/>
    <w:rsid w:val="00AD0BAD"/>
    <w:pPr>
      <w:numPr>
        <w:numId w:val="38"/>
      </w:numPr>
      <w:spacing w:after="200" w:line="276" w:lineRule="auto"/>
    </w:pPr>
    <w:rPr>
      <w:rFonts w:ascii="Arial" w:eastAsiaTheme="minorHAnsi" w:hAnsi="Arial" w:cs="Arial"/>
      <w:sz w:val="22"/>
      <w:szCs w:val="22"/>
      <w:lang w:val="en-GB" w:eastAsia="en-US"/>
    </w:rPr>
  </w:style>
  <w:style w:type="paragraph" w:styleId="ListNumber2">
    <w:name w:val="List Number 2"/>
    <w:basedOn w:val="Normal"/>
    <w:uiPriority w:val="99"/>
    <w:semiHidden/>
    <w:unhideWhenUsed/>
    <w:rsid w:val="00AD0BAD"/>
    <w:pPr>
      <w:numPr>
        <w:ilvl w:val="1"/>
        <w:numId w:val="38"/>
      </w:numPr>
      <w:spacing w:after="200" w:line="276" w:lineRule="auto"/>
    </w:pPr>
    <w:rPr>
      <w:rFonts w:ascii="Arial" w:eastAsiaTheme="minorHAnsi" w:hAnsi="Arial" w:cs="Arial"/>
      <w:sz w:val="22"/>
      <w:szCs w:val="22"/>
      <w:lang w:val="en-GB" w:eastAsia="en-US"/>
    </w:rPr>
  </w:style>
  <w:style w:type="paragraph" w:styleId="ListNumber3">
    <w:name w:val="List Number 3"/>
    <w:basedOn w:val="Normal"/>
    <w:uiPriority w:val="99"/>
    <w:semiHidden/>
    <w:unhideWhenUsed/>
    <w:rsid w:val="00AD0BAD"/>
    <w:pPr>
      <w:numPr>
        <w:ilvl w:val="2"/>
        <w:numId w:val="38"/>
      </w:numPr>
      <w:spacing w:after="200" w:line="276" w:lineRule="auto"/>
    </w:pPr>
    <w:rPr>
      <w:rFonts w:ascii="Arial" w:eastAsiaTheme="minorHAnsi" w:hAnsi="Arial" w:cs="Arial"/>
      <w:sz w:val="22"/>
      <w:szCs w:val="22"/>
      <w:lang w:val="en-GB" w:eastAsia="en-US"/>
    </w:rPr>
  </w:style>
  <w:style w:type="paragraph" w:styleId="ListNumber4">
    <w:name w:val="List Number 4"/>
    <w:basedOn w:val="Normal"/>
    <w:uiPriority w:val="99"/>
    <w:semiHidden/>
    <w:unhideWhenUsed/>
    <w:rsid w:val="00AD0BAD"/>
    <w:pPr>
      <w:numPr>
        <w:ilvl w:val="3"/>
        <w:numId w:val="38"/>
      </w:numPr>
      <w:spacing w:after="200" w:line="276" w:lineRule="auto"/>
    </w:pPr>
    <w:rPr>
      <w:rFonts w:ascii="Arial" w:eastAsiaTheme="minorHAnsi" w:hAnsi="Arial" w:cs="Arial"/>
      <w:sz w:val="22"/>
      <w:szCs w:val="22"/>
      <w:lang w:val="en-GB" w:eastAsia="en-US"/>
    </w:rPr>
  </w:style>
  <w:style w:type="paragraph" w:styleId="ListNumber5">
    <w:name w:val="List Number 5"/>
    <w:basedOn w:val="Normal"/>
    <w:uiPriority w:val="99"/>
    <w:semiHidden/>
    <w:unhideWhenUsed/>
    <w:rsid w:val="00AD0BAD"/>
    <w:pPr>
      <w:numPr>
        <w:ilvl w:val="4"/>
        <w:numId w:val="38"/>
      </w:numPr>
      <w:spacing w:after="200" w:line="276" w:lineRule="auto"/>
    </w:pPr>
    <w:rPr>
      <w:rFonts w:ascii="Arial" w:eastAsiaTheme="minorHAnsi"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25535133">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82033044">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99149367">
      <w:bodyDiv w:val="1"/>
      <w:marLeft w:val="0"/>
      <w:marRight w:val="0"/>
      <w:marTop w:val="0"/>
      <w:marBottom w:val="0"/>
      <w:divBdr>
        <w:top w:val="none" w:sz="0" w:space="0" w:color="auto"/>
        <w:left w:val="none" w:sz="0" w:space="0" w:color="auto"/>
        <w:bottom w:val="none" w:sz="0" w:space="0" w:color="auto"/>
        <w:right w:val="none" w:sz="0" w:space="0" w:color="auto"/>
      </w:divBdr>
      <w:divsChild>
        <w:div w:id="1894580322">
          <w:marLeft w:val="0"/>
          <w:marRight w:val="0"/>
          <w:marTop w:val="0"/>
          <w:marBottom w:val="0"/>
          <w:divBdr>
            <w:top w:val="none" w:sz="0" w:space="0" w:color="auto"/>
            <w:left w:val="none" w:sz="0" w:space="0" w:color="auto"/>
            <w:bottom w:val="none" w:sz="0" w:space="0" w:color="auto"/>
            <w:right w:val="none" w:sz="0" w:space="0" w:color="auto"/>
          </w:divBdr>
          <w:divsChild>
            <w:div w:id="157503817">
              <w:marLeft w:val="0"/>
              <w:marRight w:val="0"/>
              <w:marTop w:val="0"/>
              <w:marBottom w:val="0"/>
              <w:divBdr>
                <w:top w:val="none" w:sz="0" w:space="0" w:color="auto"/>
                <w:left w:val="none" w:sz="0" w:space="0" w:color="auto"/>
                <w:bottom w:val="none" w:sz="0" w:space="0" w:color="auto"/>
                <w:right w:val="none" w:sz="0" w:space="0" w:color="auto"/>
              </w:divBdr>
              <w:divsChild>
                <w:div w:id="2142530701">
                  <w:marLeft w:val="0"/>
                  <w:marRight w:val="0"/>
                  <w:marTop w:val="0"/>
                  <w:marBottom w:val="0"/>
                  <w:divBdr>
                    <w:top w:val="none" w:sz="0" w:space="0" w:color="auto"/>
                    <w:left w:val="none" w:sz="0" w:space="0" w:color="auto"/>
                    <w:bottom w:val="none" w:sz="0" w:space="0" w:color="auto"/>
                    <w:right w:val="none" w:sz="0" w:space="0" w:color="auto"/>
                  </w:divBdr>
                  <w:divsChild>
                    <w:div w:id="581989384">
                      <w:marLeft w:val="0"/>
                      <w:marRight w:val="0"/>
                      <w:marTop w:val="0"/>
                      <w:marBottom w:val="0"/>
                      <w:divBdr>
                        <w:top w:val="none" w:sz="0" w:space="0" w:color="auto"/>
                        <w:left w:val="none" w:sz="0" w:space="0" w:color="auto"/>
                        <w:bottom w:val="none" w:sz="0" w:space="0" w:color="auto"/>
                        <w:right w:val="none" w:sz="0" w:space="0" w:color="auto"/>
                      </w:divBdr>
                      <w:divsChild>
                        <w:div w:id="1860507016">
                          <w:marLeft w:val="0"/>
                          <w:marRight w:val="0"/>
                          <w:marTop w:val="0"/>
                          <w:marBottom w:val="0"/>
                          <w:divBdr>
                            <w:top w:val="none" w:sz="0" w:space="0" w:color="auto"/>
                            <w:left w:val="none" w:sz="0" w:space="0" w:color="auto"/>
                            <w:bottom w:val="none" w:sz="0" w:space="0" w:color="auto"/>
                            <w:right w:val="none" w:sz="0" w:space="0" w:color="auto"/>
                          </w:divBdr>
                          <w:divsChild>
                            <w:div w:id="1615214328">
                              <w:marLeft w:val="0"/>
                              <w:marRight w:val="0"/>
                              <w:marTop w:val="0"/>
                              <w:marBottom w:val="0"/>
                              <w:divBdr>
                                <w:top w:val="none" w:sz="0" w:space="0" w:color="auto"/>
                                <w:left w:val="none" w:sz="0" w:space="0" w:color="auto"/>
                                <w:bottom w:val="none" w:sz="0" w:space="0" w:color="auto"/>
                                <w:right w:val="none" w:sz="0" w:space="0" w:color="auto"/>
                              </w:divBdr>
                              <w:divsChild>
                                <w:div w:id="183135162">
                                  <w:marLeft w:val="0"/>
                                  <w:marRight w:val="0"/>
                                  <w:marTop w:val="0"/>
                                  <w:marBottom w:val="0"/>
                                  <w:divBdr>
                                    <w:top w:val="none" w:sz="0" w:space="0" w:color="auto"/>
                                    <w:left w:val="none" w:sz="0" w:space="0" w:color="auto"/>
                                    <w:bottom w:val="none" w:sz="0" w:space="0" w:color="auto"/>
                                    <w:right w:val="none" w:sz="0" w:space="0" w:color="auto"/>
                                  </w:divBdr>
                                  <w:divsChild>
                                    <w:div w:id="1455715123">
                                      <w:marLeft w:val="0"/>
                                      <w:marRight w:val="0"/>
                                      <w:marTop w:val="0"/>
                                      <w:marBottom w:val="0"/>
                                      <w:divBdr>
                                        <w:top w:val="none" w:sz="0" w:space="0" w:color="auto"/>
                                        <w:left w:val="none" w:sz="0" w:space="0" w:color="auto"/>
                                        <w:bottom w:val="none" w:sz="0" w:space="0" w:color="auto"/>
                                        <w:right w:val="none" w:sz="0" w:space="0" w:color="auto"/>
                                      </w:divBdr>
                                      <w:divsChild>
                                        <w:div w:id="682977119">
                                          <w:marLeft w:val="0"/>
                                          <w:marRight w:val="0"/>
                                          <w:marTop w:val="0"/>
                                          <w:marBottom w:val="0"/>
                                          <w:divBdr>
                                            <w:top w:val="none" w:sz="0" w:space="0" w:color="auto"/>
                                            <w:left w:val="none" w:sz="0" w:space="0" w:color="auto"/>
                                            <w:bottom w:val="none" w:sz="0" w:space="0" w:color="auto"/>
                                            <w:right w:val="none" w:sz="0" w:space="0" w:color="auto"/>
                                          </w:divBdr>
                                          <w:divsChild>
                                            <w:div w:id="211232458">
                                              <w:marLeft w:val="0"/>
                                              <w:marRight w:val="0"/>
                                              <w:marTop w:val="0"/>
                                              <w:marBottom w:val="0"/>
                                              <w:divBdr>
                                                <w:top w:val="none" w:sz="0" w:space="0" w:color="auto"/>
                                                <w:left w:val="none" w:sz="0" w:space="0" w:color="auto"/>
                                                <w:bottom w:val="none" w:sz="0" w:space="0" w:color="auto"/>
                                                <w:right w:val="none" w:sz="0" w:space="0" w:color="auto"/>
                                              </w:divBdr>
                                              <w:divsChild>
                                                <w:div w:id="1094787204">
                                                  <w:marLeft w:val="0"/>
                                                  <w:marRight w:val="0"/>
                                                  <w:marTop w:val="0"/>
                                                  <w:marBottom w:val="0"/>
                                                  <w:divBdr>
                                                    <w:top w:val="none" w:sz="0" w:space="0" w:color="auto"/>
                                                    <w:left w:val="none" w:sz="0" w:space="0" w:color="auto"/>
                                                    <w:bottom w:val="none" w:sz="0" w:space="0" w:color="auto"/>
                                                    <w:right w:val="none" w:sz="0" w:space="0" w:color="auto"/>
                                                  </w:divBdr>
                                                  <w:divsChild>
                                                    <w:div w:id="1991641190">
                                                      <w:marLeft w:val="0"/>
                                                      <w:marRight w:val="0"/>
                                                      <w:marTop w:val="0"/>
                                                      <w:marBottom w:val="0"/>
                                                      <w:divBdr>
                                                        <w:top w:val="none" w:sz="0" w:space="0" w:color="auto"/>
                                                        <w:left w:val="none" w:sz="0" w:space="0" w:color="auto"/>
                                                        <w:bottom w:val="none" w:sz="0" w:space="0" w:color="auto"/>
                                                        <w:right w:val="none" w:sz="0" w:space="0" w:color="auto"/>
                                                      </w:divBdr>
                                                      <w:divsChild>
                                                        <w:div w:id="16493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1158452">
      <w:bodyDiv w:val="1"/>
      <w:marLeft w:val="0"/>
      <w:marRight w:val="0"/>
      <w:marTop w:val="0"/>
      <w:marBottom w:val="0"/>
      <w:divBdr>
        <w:top w:val="none" w:sz="0" w:space="0" w:color="auto"/>
        <w:left w:val="none" w:sz="0" w:space="0" w:color="auto"/>
        <w:bottom w:val="none" w:sz="0" w:space="0" w:color="auto"/>
        <w:right w:val="none" w:sz="0" w:space="0" w:color="auto"/>
      </w:divBdr>
      <w:divsChild>
        <w:div w:id="1334793944">
          <w:marLeft w:val="0"/>
          <w:marRight w:val="0"/>
          <w:marTop w:val="0"/>
          <w:marBottom w:val="0"/>
          <w:divBdr>
            <w:top w:val="none" w:sz="0" w:space="0" w:color="auto"/>
            <w:left w:val="none" w:sz="0" w:space="0" w:color="auto"/>
            <w:bottom w:val="none" w:sz="0" w:space="0" w:color="auto"/>
            <w:right w:val="none" w:sz="0" w:space="0" w:color="auto"/>
          </w:divBdr>
          <w:divsChild>
            <w:div w:id="1726299349">
              <w:marLeft w:val="0"/>
              <w:marRight w:val="0"/>
              <w:marTop w:val="0"/>
              <w:marBottom w:val="0"/>
              <w:divBdr>
                <w:top w:val="none" w:sz="0" w:space="0" w:color="auto"/>
                <w:left w:val="none" w:sz="0" w:space="0" w:color="auto"/>
                <w:bottom w:val="none" w:sz="0" w:space="0" w:color="auto"/>
                <w:right w:val="none" w:sz="0" w:space="0" w:color="auto"/>
              </w:divBdr>
              <w:divsChild>
                <w:div w:id="1137408405">
                  <w:marLeft w:val="0"/>
                  <w:marRight w:val="0"/>
                  <w:marTop w:val="0"/>
                  <w:marBottom w:val="0"/>
                  <w:divBdr>
                    <w:top w:val="none" w:sz="0" w:space="0" w:color="auto"/>
                    <w:left w:val="none" w:sz="0" w:space="0" w:color="auto"/>
                    <w:bottom w:val="none" w:sz="0" w:space="0" w:color="auto"/>
                    <w:right w:val="none" w:sz="0" w:space="0" w:color="auto"/>
                  </w:divBdr>
                  <w:divsChild>
                    <w:div w:id="562106751">
                      <w:marLeft w:val="0"/>
                      <w:marRight w:val="0"/>
                      <w:marTop w:val="0"/>
                      <w:marBottom w:val="0"/>
                      <w:divBdr>
                        <w:top w:val="none" w:sz="0" w:space="0" w:color="auto"/>
                        <w:left w:val="none" w:sz="0" w:space="0" w:color="auto"/>
                        <w:bottom w:val="none" w:sz="0" w:space="0" w:color="auto"/>
                        <w:right w:val="none" w:sz="0" w:space="0" w:color="auto"/>
                      </w:divBdr>
                      <w:divsChild>
                        <w:div w:id="377438810">
                          <w:marLeft w:val="0"/>
                          <w:marRight w:val="0"/>
                          <w:marTop w:val="0"/>
                          <w:marBottom w:val="0"/>
                          <w:divBdr>
                            <w:top w:val="none" w:sz="0" w:space="0" w:color="auto"/>
                            <w:left w:val="none" w:sz="0" w:space="0" w:color="auto"/>
                            <w:bottom w:val="none" w:sz="0" w:space="0" w:color="auto"/>
                            <w:right w:val="none" w:sz="0" w:space="0" w:color="auto"/>
                          </w:divBdr>
                          <w:divsChild>
                            <w:div w:id="723060353">
                              <w:marLeft w:val="0"/>
                              <w:marRight w:val="0"/>
                              <w:marTop w:val="0"/>
                              <w:marBottom w:val="0"/>
                              <w:divBdr>
                                <w:top w:val="none" w:sz="0" w:space="0" w:color="auto"/>
                                <w:left w:val="none" w:sz="0" w:space="0" w:color="auto"/>
                                <w:bottom w:val="none" w:sz="0" w:space="0" w:color="auto"/>
                                <w:right w:val="none" w:sz="0" w:space="0" w:color="auto"/>
                              </w:divBdr>
                              <w:divsChild>
                                <w:div w:id="454643658">
                                  <w:marLeft w:val="0"/>
                                  <w:marRight w:val="0"/>
                                  <w:marTop w:val="0"/>
                                  <w:marBottom w:val="0"/>
                                  <w:divBdr>
                                    <w:top w:val="none" w:sz="0" w:space="0" w:color="auto"/>
                                    <w:left w:val="none" w:sz="0" w:space="0" w:color="auto"/>
                                    <w:bottom w:val="none" w:sz="0" w:space="0" w:color="auto"/>
                                    <w:right w:val="none" w:sz="0" w:space="0" w:color="auto"/>
                                  </w:divBdr>
                                  <w:divsChild>
                                    <w:div w:id="587737205">
                                      <w:marLeft w:val="0"/>
                                      <w:marRight w:val="0"/>
                                      <w:marTop w:val="0"/>
                                      <w:marBottom w:val="0"/>
                                      <w:divBdr>
                                        <w:top w:val="none" w:sz="0" w:space="0" w:color="auto"/>
                                        <w:left w:val="none" w:sz="0" w:space="0" w:color="auto"/>
                                        <w:bottom w:val="none" w:sz="0" w:space="0" w:color="auto"/>
                                        <w:right w:val="none" w:sz="0" w:space="0" w:color="auto"/>
                                      </w:divBdr>
                                      <w:divsChild>
                                        <w:div w:id="1440220518">
                                          <w:marLeft w:val="0"/>
                                          <w:marRight w:val="0"/>
                                          <w:marTop w:val="0"/>
                                          <w:marBottom w:val="0"/>
                                          <w:divBdr>
                                            <w:top w:val="none" w:sz="0" w:space="0" w:color="auto"/>
                                            <w:left w:val="none" w:sz="0" w:space="0" w:color="auto"/>
                                            <w:bottom w:val="none" w:sz="0" w:space="0" w:color="auto"/>
                                            <w:right w:val="none" w:sz="0" w:space="0" w:color="auto"/>
                                          </w:divBdr>
                                          <w:divsChild>
                                            <w:div w:id="1473599900">
                                              <w:marLeft w:val="0"/>
                                              <w:marRight w:val="0"/>
                                              <w:marTop w:val="0"/>
                                              <w:marBottom w:val="0"/>
                                              <w:divBdr>
                                                <w:top w:val="none" w:sz="0" w:space="0" w:color="auto"/>
                                                <w:left w:val="none" w:sz="0" w:space="0" w:color="auto"/>
                                                <w:bottom w:val="none" w:sz="0" w:space="0" w:color="auto"/>
                                                <w:right w:val="none" w:sz="0" w:space="0" w:color="auto"/>
                                              </w:divBdr>
                                              <w:divsChild>
                                                <w:div w:id="622226622">
                                                  <w:marLeft w:val="0"/>
                                                  <w:marRight w:val="0"/>
                                                  <w:marTop w:val="0"/>
                                                  <w:marBottom w:val="0"/>
                                                  <w:divBdr>
                                                    <w:top w:val="none" w:sz="0" w:space="0" w:color="auto"/>
                                                    <w:left w:val="none" w:sz="0" w:space="0" w:color="auto"/>
                                                    <w:bottom w:val="none" w:sz="0" w:space="0" w:color="auto"/>
                                                    <w:right w:val="none" w:sz="0" w:space="0" w:color="auto"/>
                                                  </w:divBdr>
                                                  <w:divsChild>
                                                    <w:div w:id="1253976928">
                                                      <w:marLeft w:val="0"/>
                                                      <w:marRight w:val="0"/>
                                                      <w:marTop w:val="0"/>
                                                      <w:marBottom w:val="0"/>
                                                      <w:divBdr>
                                                        <w:top w:val="none" w:sz="0" w:space="0" w:color="auto"/>
                                                        <w:left w:val="none" w:sz="0" w:space="0" w:color="auto"/>
                                                        <w:bottom w:val="none" w:sz="0" w:space="0" w:color="auto"/>
                                                        <w:right w:val="none" w:sz="0" w:space="0" w:color="auto"/>
                                                      </w:divBdr>
                                                      <w:divsChild>
                                                        <w:div w:id="3222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322077">
      <w:bodyDiv w:val="1"/>
      <w:marLeft w:val="0"/>
      <w:marRight w:val="0"/>
      <w:marTop w:val="0"/>
      <w:marBottom w:val="0"/>
      <w:divBdr>
        <w:top w:val="none" w:sz="0" w:space="0" w:color="auto"/>
        <w:left w:val="none" w:sz="0" w:space="0" w:color="auto"/>
        <w:bottom w:val="none" w:sz="0" w:space="0" w:color="auto"/>
        <w:right w:val="none" w:sz="0" w:space="0" w:color="auto"/>
      </w:divBdr>
      <w:divsChild>
        <w:div w:id="1383016053">
          <w:marLeft w:val="0"/>
          <w:marRight w:val="0"/>
          <w:marTop w:val="0"/>
          <w:marBottom w:val="0"/>
          <w:divBdr>
            <w:top w:val="none" w:sz="0" w:space="0" w:color="auto"/>
            <w:left w:val="none" w:sz="0" w:space="0" w:color="auto"/>
            <w:bottom w:val="none" w:sz="0" w:space="0" w:color="auto"/>
            <w:right w:val="none" w:sz="0" w:space="0" w:color="auto"/>
          </w:divBdr>
          <w:divsChild>
            <w:div w:id="669793009">
              <w:marLeft w:val="0"/>
              <w:marRight w:val="0"/>
              <w:marTop w:val="0"/>
              <w:marBottom w:val="0"/>
              <w:divBdr>
                <w:top w:val="none" w:sz="0" w:space="0" w:color="auto"/>
                <w:left w:val="none" w:sz="0" w:space="0" w:color="auto"/>
                <w:bottom w:val="none" w:sz="0" w:space="0" w:color="auto"/>
                <w:right w:val="none" w:sz="0" w:space="0" w:color="auto"/>
              </w:divBdr>
              <w:divsChild>
                <w:div w:id="360085797">
                  <w:marLeft w:val="0"/>
                  <w:marRight w:val="0"/>
                  <w:marTop w:val="0"/>
                  <w:marBottom w:val="0"/>
                  <w:divBdr>
                    <w:top w:val="none" w:sz="0" w:space="0" w:color="auto"/>
                    <w:left w:val="none" w:sz="0" w:space="0" w:color="auto"/>
                    <w:bottom w:val="none" w:sz="0" w:space="0" w:color="auto"/>
                    <w:right w:val="none" w:sz="0" w:space="0" w:color="auto"/>
                  </w:divBdr>
                  <w:divsChild>
                    <w:div w:id="808474557">
                      <w:marLeft w:val="0"/>
                      <w:marRight w:val="0"/>
                      <w:marTop w:val="0"/>
                      <w:marBottom w:val="0"/>
                      <w:divBdr>
                        <w:top w:val="none" w:sz="0" w:space="0" w:color="auto"/>
                        <w:left w:val="none" w:sz="0" w:space="0" w:color="auto"/>
                        <w:bottom w:val="none" w:sz="0" w:space="0" w:color="auto"/>
                        <w:right w:val="none" w:sz="0" w:space="0" w:color="auto"/>
                      </w:divBdr>
                      <w:divsChild>
                        <w:div w:id="355081389">
                          <w:marLeft w:val="0"/>
                          <w:marRight w:val="0"/>
                          <w:marTop w:val="0"/>
                          <w:marBottom w:val="0"/>
                          <w:divBdr>
                            <w:top w:val="none" w:sz="0" w:space="0" w:color="auto"/>
                            <w:left w:val="none" w:sz="0" w:space="0" w:color="auto"/>
                            <w:bottom w:val="none" w:sz="0" w:space="0" w:color="auto"/>
                            <w:right w:val="none" w:sz="0" w:space="0" w:color="auto"/>
                          </w:divBdr>
                          <w:divsChild>
                            <w:div w:id="1007362938">
                              <w:marLeft w:val="0"/>
                              <w:marRight w:val="0"/>
                              <w:marTop w:val="0"/>
                              <w:marBottom w:val="0"/>
                              <w:divBdr>
                                <w:top w:val="none" w:sz="0" w:space="0" w:color="auto"/>
                                <w:left w:val="none" w:sz="0" w:space="0" w:color="auto"/>
                                <w:bottom w:val="none" w:sz="0" w:space="0" w:color="auto"/>
                                <w:right w:val="none" w:sz="0" w:space="0" w:color="auto"/>
                              </w:divBdr>
                              <w:divsChild>
                                <w:div w:id="1378506269">
                                  <w:marLeft w:val="0"/>
                                  <w:marRight w:val="0"/>
                                  <w:marTop w:val="0"/>
                                  <w:marBottom w:val="0"/>
                                  <w:divBdr>
                                    <w:top w:val="none" w:sz="0" w:space="0" w:color="auto"/>
                                    <w:left w:val="none" w:sz="0" w:space="0" w:color="auto"/>
                                    <w:bottom w:val="none" w:sz="0" w:space="0" w:color="auto"/>
                                    <w:right w:val="none" w:sz="0" w:space="0" w:color="auto"/>
                                  </w:divBdr>
                                  <w:divsChild>
                                    <w:div w:id="1986272620">
                                      <w:marLeft w:val="0"/>
                                      <w:marRight w:val="0"/>
                                      <w:marTop w:val="0"/>
                                      <w:marBottom w:val="0"/>
                                      <w:divBdr>
                                        <w:top w:val="none" w:sz="0" w:space="0" w:color="auto"/>
                                        <w:left w:val="none" w:sz="0" w:space="0" w:color="auto"/>
                                        <w:bottom w:val="none" w:sz="0" w:space="0" w:color="auto"/>
                                        <w:right w:val="none" w:sz="0" w:space="0" w:color="auto"/>
                                      </w:divBdr>
                                      <w:divsChild>
                                        <w:div w:id="1997302504">
                                          <w:marLeft w:val="0"/>
                                          <w:marRight w:val="0"/>
                                          <w:marTop w:val="0"/>
                                          <w:marBottom w:val="0"/>
                                          <w:divBdr>
                                            <w:top w:val="none" w:sz="0" w:space="0" w:color="auto"/>
                                            <w:left w:val="none" w:sz="0" w:space="0" w:color="auto"/>
                                            <w:bottom w:val="none" w:sz="0" w:space="0" w:color="auto"/>
                                            <w:right w:val="none" w:sz="0" w:space="0" w:color="auto"/>
                                          </w:divBdr>
                                          <w:divsChild>
                                            <w:div w:id="2110077666">
                                              <w:marLeft w:val="0"/>
                                              <w:marRight w:val="0"/>
                                              <w:marTop w:val="0"/>
                                              <w:marBottom w:val="0"/>
                                              <w:divBdr>
                                                <w:top w:val="none" w:sz="0" w:space="0" w:color="auto"/>
                                                <w:left w:val="none" w:sz="0" w:space="0" w:color="auto"/>
                                                <w:bottom w:val="none" w:sz="0" w:space="0" w:color="auto"/>
                                                <w:right w:val="none" w:sz="0" w:space="0" w:color="auto"/>
                                              </w:divBdr>
                                              <w:divsChild>
                                                <w:div w:id="1748377078">
                                                  <w:marLeft w:val="0"/>
                                                  <w:marRight w:val="0"/>
                                                  <w:marTop w:val="0"/>
                                                  <w:marBottom w:val="0"/>
                                                  <w:divBdr>
                                                    <w:top w:val="none" w:sz="0" w:space="0" w:color="auto"/>
                                                    <w:left w:val="none" w:sz="0" w:space="0" w:color="auto"/>
                                                    <w:bottom w:val="none" w:sz="0" w:space="0" w:color="auto"/>
                                                    <w:right w:val="none" w:sz="0" w:space="0" w:color="auto"/>
                                                  </w:divBdr>
                                                  <w:divsChild>
                                                    <w:div w:id="1382367116">
                                                      <w:marLeft w:val="0"/>
                                                      <w:marRight w:val="0"/>
                                                      <w:marTop w:val="0"/>
                                                      <w:marBottom w:val="0"/>
                                                      <w:divBdr>
                                                        <w:top w:val="none" w:sz="0" w:space="0" w:color="auto"/>
                                                        <w:left w:val="none" w:sz="0" w:space="0" w:color="auto"/>
                                                        <w:bottom w:val="none" w:sz="0" w:space="0" w:color="auto"/>
                                                        <w:right w:val="none" w:sz="0" w:space="0" w:color="auto"/>
                                                      </w:divBdr>
                                                      <w:divsChild>
                                                        <w:div w:id="1702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3486589">
      <w:bodyDiv w:val="1"/>
      <w:marLeft w:val="0"/>
      <w:marRight w:val="0"/>
      <w:marTop w:val="0"/>
      <w:marBottom w:val="0"/>
      <w:divBdr>
        <w:top w:val="none" w:sz="0" w:space="0" w:color="auto"/>
        <w:left w:val="none" w:sz="0" w:space="0" w:color="auto"/>
        <w:bottom w:val="none" w:sz="0" w:space="0" w:color="auto"/>
        <w:right w:val="none" w:sz="0" w:space="0" w:color="auto"/>
      </w:divBdr>
    </w:div>
    <w:div w:id="1687826036">
      <w:bodyDiv w:val="1"/>
      <w:marLeft w:val="0"/>
      <w:marRight w:val="0"/>
      <w:marTop w:val="0"/>
      <w:marBottom w:val="0"/>
      <w:divBdr>
        <w:top w:val="none" w:sz="0" w:space="0" w:color="auto"/>
        <w:left w:val="none" w:sz="0" w:space="0" w:color="auto"/>
        <w:bottom w:val="none" w:sz="0" w:space="0" w:color="auto"/>
        <w:right w:val="none" w:sz="0" w:space="0" w:color="auto"/>
      </w:divBdr>
      <w:divsChild>
        <w:div w:id="1063135928">
          <w:marLeft w:val="0"/>
          <w:marRight w:val="0"/>
          <w:marTop w:val="0"/>
          <w:marBottom w:val="0"/>
          <w:divBdr>
            <w:top w:val="none" w:sz="0" w:space="0" w:color="auto"/>
            <w:left w:val="none" w:sz="0" w:space="0" w:color="auto"/>
            <w:bottom w:val="none" w:sz="0" w:space="0" w:color="auto"/>
            <w:right w:val="none" w:sz="0" w:space="0" w:color="auto"/>
          </w:divBdr>
          <w:divsChild>
            <w:div w:id="878781708">
              <w:marLeft w:val="0"/>
              <w:marRight w:val="0"/>
              <w:marTop w:val="0"/>
              <w:marBottom w:val="0"/>
              <w:divBdr>
                <w:top w:val="none" w:sz="0" w:space="0" w:color="auto"/>
                <w:left w:val="none" w:sz="0" w:space="0" w:color="auto"/>
                <w:bottom w:val="none" w:sz="0" w:space="0" w:color="auto"/>
                <w:right w:val="none" w:sz="0" w:space="0" w:color="auto"/>
              </w:divBdr>
              <w:divsChild>
                <w:div w:id="634870491">
                  <w:marLeft w:val="0"/>
                  <w:marRight w:val="0"/>
                  <w:marTop w:val="0"/>
                  <w:marBottom w:val="0"/>
                  <w:divBdr>
                    <w:top w:val="none" w:sz="0" w:space="0" w:color="auto"/>
                    <w:left w:val="none" w:sz="0" w:space="0" w:color="auto"/>
                    <w:bottom w:val="none" w:sz="0" w:space="0" w:color="auto"/>
                    <w:right w:val="none" w:sz="0" w:space="0" w:color="auto"/>
                  </w:divBdr>
                  <w:divsChild>
                    <w:div w:id="99641025">
                      <w:marLeft w:val="0"/>
                      <w:marRight w:val="0"/>
                      <w:marTop w:val="0"/>
                      <w:marBottom w:val="0"/>
                      <w:divBdr>
                        <w:top w:val="none" w:sz="0" w:space="0" w:color="auto"/>
                        <w:left w:val="none" w:sz="0" w:space="0" w:color="auto"/>
                        <w:bottom w:val="none" w:sz="0" w:space="0" w:color="auto"/>
                        <w:right w:val="none" w:sz="0" w:space="0" w:color="auto"/>
                      </w:divBdr>
                      <w:divsChild>
                        <w:div w:id="1805192320">
                          <w:marLeft w:val="0"/>
                          <w:marRight w:val="0"/>
                          <w:marTop w:val="0"/>
                          <w:marBottom w:val="0"/>
                          <w:divBdr>
                            <w:top w:val="none" w:sz="0" w:space="0" w:color="auto"/>
                            <w:left w:val="none" w:sz="0" w:space="0" w:color="auto"/>
                            <w:bottom w:val="none" w:sz="0" w:space="0" w:color="auto"/>
                            <w:right w:val="none" w:sz="0" w:space="0" w:color="auto"/>
                          </w:divBdr>
                          <w:divsChild>
                            <w:div w:id="1623073961">
                              <w:marLeft w:val="0"/>
                              <w:marRight w:val="0"/>
                              <w:marTop w:val="0"/>
                              <w:marBottom w:val="0"/>
                              <w:divBdr>
                                <w:top w:val="none" w:sz="0" w:space="0" w:color="auto"/>
                                <w:left w:val="none" w:sz="0" w:space="0" w:color="auto"/>
                                <w:bottom w:val="none" w:sz="0" w:space="0" w:color="auto"/>
                                <w:right w:val="none" w:sz="0" w:space="0" w:color="auto"/>
                              </w:divBdr>
                              <w:divsChild>
                                <w:div w:id="364840859">
                                  <w:marLeft w:val="0"/>
                                  <w:marRight w:val="0"/>
                                  <w:marTop w:val="0"/>
                                  <w:marBottom w:val="0"/>
                                  <w:divBdr>
                                    <w:top w:val="none" w:sz="0" w:space="0" w:color="auto"/>
                                    <w:left w:val="none" w:sz="0" w:space="0" w:color="auto"/>
                                    <w:bottom w:val="none" w:sz="0" w:space="0" w:color="auto"/>
                                    <w:right w:val="none" w:sz="0" w:space="0" w:color="auto"/>
                                  </w:divBdr>
                                  <w:divsChild>
                                    <w:div w:id="1642802607">
                                      <w:marLeft w:val="0"/>
                                      <w:marRight w:val="0"/>
                                      <w:marTop w:val="0"/>
                                      <w:marBottom w:val="0"/>
                                      <w:divBdr>
                                        <w:top w:val="none" w:sz="0" w:space="0" w:color="auto"/>
                                        <w:left w:val="none" w:sz="0" w:space="0" w:color="auto"/>
                                        <w:bottom w:val="none" w:sz="0" w:space="0" w:color="auto"/>
                                        <w:right w:val="none" w:sz="0" w:space="0" w:color="auto"/>
                                      </w:divBdr>
                                      <w:divsChild>
                                        <w:div w:id="40597872">
                                          <w:marLeft w:val="0"/>
                                          <w:marRight w:val="0"/>
                                          <w:marTop w:val="0"/>
                                          <w:marBottom w:val="0"/>
                                          <w:divBdr>
                                            <w:top w:val="none" w:sz="0" w:space="0" w:color="auto"/>
                                            <w:left w:val="none" w:sz="0" w:space="0" w:color="auto"/>
                                            <w:bottom w:val="none" w:sz="0" w:space="0" w:color="auto"/>
                                            <w:right w:val="none" w:sz="0" w:space="0" w:color="auto"/>
                                          </w:divBdr>
                                          <w:divsChild>
                                            <w:div w:id="1323006491">
                                              <w:marLeft w:val="0"/>
                                              <w:marRight w:val="0"/>
                                              <w:marTop w:val="0"/>
                                              <w:marBottom w:val="0"/>
                                              <w:divBdr>
                                                <w:top w:val="none" w:sz="0" w:space="0" w:color="auto"/>
                                                <w:left w:val="none" w:sz="0" w:space="0" w:color="auto"/>
                                                <w:bottom w:val="none" w:sz="0" w:space="0" w:color="auto"/>
                                                <w:right w:val="none" w:sz="0" w:space="0" w:color="auto"/>
                                              </w:divBdr>
                                              <w:divsChild>
                                                <w:div w:id="953830878">
                                                  <w:marLeft w:val="0"/>
                                                  <w:marRight w:val="0"/>
                                                  <w:marTop w:val="0"/>
                                                  <w:marBottom w:val="0"/>
                                                  <w:divBdr>
                                                    <w:top w:val="none" w:sz="0" w:space="0" w:color="auto"/>
                                                    <w:left w:val="none" w:sz="0" w:space="0" w:color="auto"/>
                                                    <w:bottom w:val="none" w:sz="0" w:space="0" w:color="auto"/>
                                                    <w:right w:val="none" w:sz="0" w:space="0" w:color="auto"/>
                                                  </w:divBdr>
                                                  <w:divsChild>
                                                    <w:div w:id="1896508575">
                                                      <w:marLeft w:val="0"/>
                                                      <w:marRight w:val="0"/>
                                                      <w:marTop w:val="0"/>
                                                      <w:marBottom w:val="0"/>
                                                      <w:divBdr>
                                                        <w:top w:val="none" w:sz="0" w:space="0" w:color="auto"/>
                                                        <w:left w:val="none" w:sz="0" w:space="0" w:color="auto"/>
                                                        <w:bottom w:val="none" w:sz="0" w:space="0" w:color="auto"/>
                                                        <w:right w:val="none" w:sz="0" w:space="0" w:color="auto"/>
                                                      </w:divBdr>
                                                      <w:divsChild>
                                                        <w:div w:id="18221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887641049">
      <w:bodyDiv w:val="1"/>
      <w:marLeft w:val="0"/>
      <w:marRight w:val="0"/>
      <w:marTop w:val="0"/>
      <w:marBottom w:val="0"/>
      <w:divBdr>
        <w:top w:val="none" w:sz="0" w:space="0" w:color="auto"/>
        <w:left w:val="none" w:sz="0" w:space="0" w:color="auto"/>
        <w:bottom w:val="none" w:sz="0" w:space="0" w:color="auto"/>
        <w:right w:val="none" w:sz="0" w:space="0" w:color="auto"/>
      </w:divBdr>
    </w:div>
    <w:div w:id="1891726184">
      <w:bodyDiv w:val="1"/>
      <w:marLeft w:val="0"/>
      <w:marRight w:val="0"/>
      <w:marTop w:val="0"/>
      <w:marBottom w:val="0"/>
      <w:divBdr>
        <w:top w:val="none" w:sz="0" w:space="0" w:color="auto"/>
        <w:left w:val="none" w:sz="0" w:space="0" w:color="auto"/>
        <w:bottom w:val="none" w:sz="0" w:space="0" w:color="auto"/>
        <w:right w:val="none" w:sz="0" w:space="0" w:color="auto"/>
      </w:divBdr>
      <w:divsChild>
        <w:div w:id="1723287790">
          <w:marLeft w:val="0"/>
          <w:marRight w:val="0"/>
          <w:marTop w:val="0"/>
          <w:marBottom w:val="0"/>
          <w:divBdr>
            <w:top w:val="none" w:sz="0" w:space="0" w:color="auto"/>
            <w:left w:val="none" w:sz="0" w:space="0" w:color="auto"/>
            <w:bottom w:val="none" w:sz="0" w:space="0" w:color="auto"/>
            <w:right w:val="none" w:sz="0" w:space="0" w:color="auto"/>
          </w:divBdr>
          <w:divsChild>
            <w:div w:id="665209086">
              <w:marLeft w:val="0"/>
              <w:marRight w:val="0"/>
              <w:marTop w:val="0"/>
              <w:marBottom w:val="0"/>
              <w:divBdr>
                <w:top w:val="none" w:sz="0" w:space="0" w:color="auto"/>
                <w:left w:val="none" w:sz="0" w:space="0" w:color="auto"/>
                <w:bottom w:val="none" w:sz="0" w:space="0" w:color="auto"/>
                <w:right w:val="none" w:sz="0" w:space="0" w:color="auto"/>
              </w:divBdr>
              <w:divsChild>
                <w:div w:id="688331982">
                  <w:marLeft w:val="0"/>
                  <w:marRight w:val="0"/>
                  <w:marTop w:val="0"/>
                  <w:marBottom w:val="0"/>
                  <w:divBdr>
                    <w:top w:val="none" w:sz="0" w:space="0" w:color="auto"/>
                    <w:left w:val="none" w:sz="0" w:space="0" w:color="auto"/>
                    <w:bottom w:val="none" w:sz="0" w:space="0" w:color="auto"/>
                    <w:right w:val="none" w:sz="0" w:space="0" w:color="auto"/>
                  </w:divBdr>
                  <w:divsChild>
                    <w:div w:id="915019045">
                      <w:marLeft w:val="0"/>
                      <w:marRight w:val="0"/>
                      <w:marTop w:val="0"/>
                      <w:marBottom w:val="0"/>
                      <w:divBdr>
                        <w:top w:val="none" w:sz="0" w:space="0" w:color="auto"/>
                        <w:left w:val="none" w:sz="0" w:space="0" w:color="auto"/>
                        <w:bottom w:val="none" w:sz="0" w:space="0" w:color="auto"/>
                        <w:right w:val="none" w:sz="0" w:space="0" w:color="auto"/>
                      </w:divBdr>
                      <w:divsChild>
                        <w:div w:id="241109584">
                          <w:marLeft w:val="0"/>
                          <w:marRight w:val="0"/>
                          <w:marTop w:val="0"/>
                          <w:marBottom w:val="0"/>
                          <w:divBdr>
                            <w:top w:val="none" w:sz="0" w:space="0" w:color="auto"/>
                            <w:left w:val="none" w:sz="0" w:space="0" w:color="auto"/>
                            <w:bottom w:val="none" w:sz="0" w:space="0" w:color="auto"/>
                            <w:right w:val="none" w:sz="0" w:space="0" w:color="auto"/>
                          </w:divBdr>
                          <w:divsChild>
                            <w:div w:id="87773113">
                              <w:marLeft w:val="0"/>
                              <w:marRight w:val="0"/>
                              <w:marTop w:val="0"/>
                              <w:marBottom w:val="0"/>
                              <w:divBdr>
                                <w:top w:val="none" w:sz="0" w:space="0" w:color="auto"/>
                                <w:left w:val="none" w:sz="0" w:space="0" w:color="auto"/>
                                <w:bottom w:val="none" w:sz="0" w:space="0" w:color="auto"/>
                                <w:right w:val="none" w:sz="0" w:space="0" w:color="auto"/>
                              </w:divBdr>
                              <w:divsChild>
                                <w:div w:id="982151773">
                                  <w:marLeft w:val="0"/>
                                  <w:marRight w:val="0"/>
                                  <w:marTop w:val="0"/>
                                  <w:marBottom w:val="0"/>
                                  <w:divBdr>
                                    <w:top w:val="none" w:sz="0" w:space="0" w:color="auto"/>
                                    <w:left w:val="none" w:sz="0" w:space="0" w:color="auto"/>
                                    <w:bottom w:val="none" w:sz="0" w:space="0" w:color="auto"/>
                                    <w:right w:val="none" w:sz="0" w:space="0" w:color="auto"/>
                                  </w:divBdr>
                                  <w:divsChild>
                                    <w:div w:id="1054234862">
                                      <w:marLeft w:val="0"/>
                                      <w:marRight w:val="0"/>
                                      <w:marTop w:val="0"/>
                                      <w:marBottom w:val="0"/>
                                      <w:divBdr>
                                        <w:top w:val="none" w:sz="0" w:space="0" w:color="auto"/>
                                        <w:left w:val="none" w:sz="0" w:space="0" w:color="auto"/>
                                        <w:bottom w:val="none" w:sz="0" w:space="0" w:color="auto"/>
                                        <w:right w:val="none" w:sz="0" w:space="0" w:color="auto"/>
                                      </w:divBdr>
                                      <w:divsChild>
                                        <w:div w:id="1140805089">
                                          <w:marLeft w:val="0"/>
                                          <w:marRight w:val="0"/>
                                          <w:marTop w:val="0"/>
                                          <w:marBottom w:val="0"/>
                                          <w:divBdr>
                                            <w:top w:val="none" w:sz="0" w:space="0" w:color="auto"/>
                                            <w:left w:val="none" w:sz="0" w:space="0" w:color="auto"/>
                                            <w:bottom w:val="none" w:sz="0" w:space="0" w:color="auto"/>
                                            <w:right w:val="none" w:sz="0" w:space="0" w:color="auto"/>
                                          </w:divBdr>
                                          <w:divsChild>
                                            <w:div w:id="1011908579">
                                              <w:marLeft w:val="0"/>
                                              <w:marRight w:val="0"/>
                                              <w:marTop w:val="0"/>
                                              <w:marBottom w:val="0"/>
                                              <w:divBdr>
                                                <w:top w:val="none" w:sz="0" w:space="0" w:color="auto"/>
                                                <w:left w:val="none" w:sz="0" w:space="0" w:color="auto"/>
                                                <w:bottom w:val="none" w:sz="0" w:space="0" w:color="auto"/>
                                                <w:right w:val="none" w:sz="0" w:space="0" w:color="auto"/>
                                              </w:divBdr>
                                              <w:divsChild>
                                                <w:div w:id="932786298">
                                                  <w:marLeft w:val="0"/>
                                                  <w:marRight w:val="0"/>
                                                  <w:marTop w:val="0"/>
                                                  <w:marBottom w:val="0"/>
                                                  <w:divBdr>
                                                    <w:top w:val="none" w:sz="0" w:space="0" w:color="auto"/>
                                                    <w:left w:val="none" w:sz="0" w:space="0" w:color="auto"/>
                                                    <w:bottom w:val="none" w:sz="0" w:space="0" w:color="auto"/>
                                                    <w:right w:val="none" w:sz="0" w:space="0" w:color="auto"/>
                                                  </w:divBdr>
                                                  <w:divsChild>
                                                    <w:div w:id="1282759704">
                                                      <w:marLeft w:val="0"/>
                                                      <w:marRight w:val="0"/>
                                                      <w:marTop w:val="0"/>
                                                      <w:marBottom w:val="0"/>
                                                      <w:divBdr>
                                                        <w:top w:val="none" w:sz="0" w:space="0" w:color="auto"/>
                                                        <w:left w:val="none" w:sz="0" w:space="0" w:color="auto"/>
                                                        <w:bottom w:val="none" w:sz="0" w:space="0" w:color="auto"/>
                                                        <w:right w:val="none" w:sz="0" w:space="0" w:color="auto"/>
                                                      </w:divBdr>
                                                      <w:divsChild>
                                                        <w:div w:id="1479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0723120">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purl.org/dc/elements/1.1/"/>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9281660C-779B-4A91-A1EF-F76E4EB3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2508</Words>
  <Characters>14300</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MARTIN, Yvette</cp:lastModifiedBy>
  <cp:revision>2</cp:revision>
  <cp:lastPrinted>2020-04-02T22:56:00Z</cp:lastPrinted>
  <dcterms:created xsi:type="dcterms:W3CDTF">2020-04-17T08:30:00Z</dcterms:created>
  <dcterms:modified xsi:type="dcterms:W3CDTF">2020-04-17T08:30:00Z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y fmtid="{D5CDD505-2E9C-101B-9397-08002B2CF9AE}" pid="9" name="checkforsharepointfields">
    <vt:lpwstr>True</vt:lpwstr>
  </property>
  <property fmtid="{D5CDD505-2E9C-101B-9397-08002B2CF9AE}" pid="10" name="Template Filename">
    <vt:lpwstr/>
  </property>
  <property fmtid="{D5CDD505-2E9C-101B-9397-08002B2CF9AE}" pid="11" name="ObjectiveRef">
    <vt:lpwstr>Removed</vt:lpwstr>
  </property>
  <property fmtid="{D5CDD505-2E9C-101B-9397-08002B2CF9AE}" pid="12" name="LeadingLawyers">
    <vt:lpwstr>Removed</vt:lpwstr>
  </property>
</Properties>
</file>